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9F8ED0" w14:textId="77777777" w:rsidR="00ED2FC5" w:rsidRPr="00AB20E7"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r w:rsidRPr="00AB20E7">
        <w:rPr>
          <w:rFonts w:ascii="Arial" w:eastAsia="Times New Roman" w:hAnsi="Arial" w:cs="Arial"/>
          <w:sz w:val="28"/>
          <w:szCs w:val="28"/>
          <w:lang w:eastAsia="en-GB"/>
        </w:rPr>
        <w:t>REPUBLIC OF SOUTH AFRICA</w:t>
      </w:r>
    </w:p>
    <w:p w14:paraId="4436A0DF" w14:textId="77777777" w:rsidR="00ED2FC5" w:rsidRPr="00AB20E7" w:rsidRDefault="00ED2FC5" w:rsidP="00C160A1">
      <w:pPr>
        <w:spacing w:before="120" w:after="120" w:line="360" w:lineRule="auto"/>
        <w:ind w:left="663" w:hangingChars="236" w:hanging="663"/>
        <w:jc w:val="center"/>
        <w:rPr>
          <w:rFonts w:ascii="Arial" w:eastAsia="Times New Roman" w:hAnsi="Arial" w:cs="Arial"/>
          <w:sz w:val="28"/>
          <w:szCs w:val="28"/>
          <w:lang w:eastAsia="en-GB"/>
        </w:rPr>
      </w:pPr>
      <w:r w:rsidRPr="00AB20E7">
        <w:rPr>
          <w:rFonts w:ascii="Arial" w:hAnsi="Arial" w:cs="Arial"/>
          <w:b/>
          <w:noProof/>
          <w:sz w:val="28"/>
          <w:szCs w:val="28"/>
          <w:lang w:val="en-US"/>
        </w:rPr>
        <w:drawing>
          <wp:inline distT="0" distB="0" distL="0" distR="0" wp14:anchorId="3464236B" wp14:editId="00AF8329">
            <wp:extent cx="1352550" cy="1352550"/>
            <wp:effectExtent l="0" t="0" r="0" b="0"/>
            <wp:docPr id="3" name="Picture 2" descr="Description: Description: Description: cid:image003.png@01D117DD.26203030"/>
            <wp:cNvGraphicFramePr/>
            <a:graphic xmlns:a="http://schemas.openxmlformats.org/drawingml/2006/main">
              <a:graphicData uri="http://schemas.openxmlformats.org/drawingml/2006/picture">
                <pic:pic xmlns:pic="http://schemas.openxmlformats.org/drawingml/2006/picture">
                  <pic:nvPicPr>
                    <pic:cNvPr id="1" name="Picture 2" descr="Description: Description: Description: cid:image003.png@01D117DD.26203030"/>
                    <pic:cNvPicPr/>
                  </pic:nvPicPr>
                  <pic:blipFill>
                    <a:blip r:embed="rId8">
                      <a:extLst>
                        <a:ext uri="{BEBA8EAE-BF5A-486C-A8C5-ECC9F3942E4B}">
                          <a14:imgProps xmlns:a14="http://schemas.microsoft.com/office/drawing/2010/main">
                            <a14:imgLayer r:embed="rId9">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p w14:paraId="7EC666A5" w14:textId="77777777" w:rsidR="00ED2FC5" w:rsidRPr="00AB20E7"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r w:rsidRPr="00AB20E7">
        <w:rPr>
          <w:rFonts w:ascii="Arial" w:eastAsia="Times New Roman" w:hAnsi="Arial" w:cs="Arial"/>
          <w:sz w:val="28"/>
          <w:szCs w:val="28"/>
          <w:lang w:eastAsia="en-GB"/>
        </w:rPr>
        <w:t>IN THE HIGH COURT OF SOUTH AFRICA</w:t>
      </w:r>
    </w:p>
    <w:p w14:paraId="1C5CCDC4" w14:textId="77777777" w:rsidR="00ED2FC5" w:rsidRPr="00AB20E7"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r w:rsidRPr="00AB20E7">
        <w:rPr>
          <w:rFonts w:ascii="Arial" w:eastAsia="Times New Roman" w:hAnsi="Arial" w:cs="Arial"/>
          <w:sz w:val="28"/>
          <w:szCs w:val="28"/>
          <w:lang w:eastAsia="en-GB"/>
        </w:rPr>
        <w:t>GAUTENG DIVISION, PRETORIA</w:t>
      </w:r>
    </w:p>
    <w:p w14:paraId="2F4E9B91" w14:textId="5A8030A6" w:rsidR="00665539" w:rsidRPr="00AB20E7" w:rsidRDefault="003F64B3" w:rsidP="00FC3DC3">
      <w:pPr>
        <w:spacing w:after="0" w:line="240" w:lineRule="auto"/>
        <w:ind w:left="661" w:hangingChars="236" w:hanging="661"/>
        <w:jc w:val="right"/>
        <w:rPr>
          <w:rFonts w:ascii="Arial" w:eastAsia="Times New Roman" w:hAnsi="Arial" w:cs="Arial"/>
          <w:sz w:val="28"/>
          <w:szCs w:val="28"/>
          <w:lang w:eastAsia="en-GB"/>
        </w:rPr>
      </w:pPr>
      <w:r w:rsidRPr="00AB20E7">
        <w:rPr>
          <w:rFonts w:ascii="Arial" w:eastAsia="Times New Roman" w:hAnsi="Arial" w:cs="Arial"/>
          <w:sz w:val="28"/>
          <w:szCs w:val="28"/>
          <w:lang w:eastAsia="en-GB"/>
        </w:rPr>
        <w:t>CASE NO:</w:t>
      </w:r>
      <w:r w:rsidR="00DE3835" w:rsidRPr="00AB20E7">
        <w:rPr>
          <w:rFonts w:ascii="Arial" w:eastAsia="Times New Roman" w:hAnsi="Arial" w:cs="Arial"/>
          <w:sz w:val="28"/>
          <w:szCs w:val="28"/>
          <w:lang w:eastAsia="en-GB"/>
        </w:rPr>
        <w:t xml:space="preserve"> </w:t>
      </w:r>
      <w:r w:rsidR="008764E1" w:rsidRPr="00AB20E7">
        <w:rPr>
          <w:rFonts w:ascii="Arial" w:eastAsia="Times New Roman" w:hAnsi="Arial" w:cs="Arial"/>
          <w:sz w:val="28"/>
          <w:szCs w:val="28"/>
          <w:lang w:eastAsia="en-GB"/>
        </w:rPr>
        <w:t>63838/2021</w:t>
      </w:r>
    </w:p>
    <w:p w14:paraId="633CC936" w14:textId="5D66C20F" w:rsidR="002033C4" w:rsidRPr="00AB20E7" w:rsidRDefault="002033C4" w:rsidP="00E96154">
      <w:pPr>
        <w:spacing w:after="0" w:line="240" w:lineRule="auto"/>
        <w:ind w:left="661" w:hangingChars="236" w:hanging="661"/>
        <w:jc w:val="center"/>
        <w:rPr>
          <w:rFonts w:ascii="Arial" w:eastAsia="Times New Roman" w:hAnsi="Arial" w:cs="Arial"/>
          <w:sz w:val="28"/>
          <w:szCs w:val="28"/>
          <w:lang w:eastAsia="en-GB"/>
        </w:rPr>
      </w:pPr>
    </w:p>
    <w:p w14:paraId="75B2C876" w14:textId="25AD3079" w:rsidR="00C160A1" w:rsidRPr="00AB20E7" w:rsidRDefault="003A6E81" w:rsidP="00C160A1">
      <w:pPr>
        <w:spacing w:before="120" w:after="120" w:line="360" w:lineRule="auto"/>
        <w:jc w:val="center"/>
        <w:rPr>
          <w:rFonts w:ascii="Arial" w:hAnsi="Arial" w:cs="Arial"/>
          <w:sz w:val="24"/>
          <w:szCs w:val="24"/>
        </w:rPr>
      </w:pPr>
      <w:r w:rsidRPr="00AB20E7">
        <w:rPr>
          <w:rFonts w:ascii="Arial" w:hAnsi="Arial" w:cs="Arial"/>
          <w:noProof/>
          <w:sz w:val="24"/>
          <w:szCs w:val="24"/>
          <w:lang w:val="en-US"/>
        </w:rPr>
        <mc:AlternateContent>
          <mc:Choice Requires="wps">
            <w:drawing>
              <wp:anchor distT="0" distB="0" distL="114300" distR="114300" simplePos="0" relativeHeight="251659264" behindDoc="0" locked="0" layoutInCell="1" allowOverlap="1" wp14:anchorId="684773B7" wp14:editId="00296069">
                <wp:simplePos x="0" y="0"/>
                <wp:positionH relativeFrom="margin">
                  <wp:align>left</wp:align>
                </wp:positionH>
                <wp:positionV relativeFrom="paragraph">
                  <wp:posOffset>88265</wp:posOffset>
                </wp:positionV>
                <wp:extent cx="3232785" cy="1209675"/>
                <wp:effectExtent l="0" t="0" r="2476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785" cy="1209675"/>
                        </a:xfrm>
                        <a:prstGeom prst="rect">
                          <a:avLst/>
                        </a:prstGeom>
                        <a:solidFill>
                          <a:srgbClr val="FFFFFF"/>
                        </a:solidFill>
                        <a:ln w="9525">
                          <a:solidFill>
                            <a:srgbClr val="000000"/>
                          </a:solidFill>
                          <a:miter lim="800000"/>
                          <a:headEnd/>
                          <a:tailEnd/>
                        </a:ln>
                      </wps:spPr>
                      <wps:txbx>
                        <w:txbxContent>
                          <w:p w14:paraId="397DD474" w14:textId="77777777" w:rsidR="003D681A" w:rsidRDefault="003D681A" w:rsidP="00ED2FC5">
                            <w:pPr>
                              <w:jc w:val="center"/>
                              <w:rPr>
                                <w:rFonts w:ascii="Century Gothic" w:hAnsi="Century Gothic"/>
                                <w:b/>
                                <w:sz w:val="20"/>
                                <w:szCs w:val="20"/>
                              </w:rPr>
                            </w:pPr>
                          </w:p>
                          <w:p w14:paraId="2B4C2A7A" w14:textId="1503804A" w:rsidR="003D681A" w:rsidRDefault="00442EC6" w:rsidP="00442EC6">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3D681A">
                              <w:rPr>
                                <w:rFonts w:ascii="Century Gothic" w:hAnsi="Century Gothic"/>
                                <w:sz w:val="20"/>
                                <w:szCs w:val="20"/>
                              </w:rPr>
                              <w:t>REPORTABLE: YES/NO</w:t>
                            </w:r>
                          </w:p>
                          <w:p w14:paraId="240656F9" w14:textId="6C730E96" w:rsidR="003D681A" w:rsidRDefault="00442EC6" w:rsidP="00442EC6">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3D681A">
                              <w:rPr>
                                <w:rFonts w:ascii="Century Gothic" w:hAnsi="Century Gothic"/>
                                <w:sz w:val="20"/>
                                <w:szCs w:val="20"/>
                              </w:rPr>
                              <w:t>OF INTEREST TO OTHER JUDGES: NO</w:t>
                            </w:r>
                          </w:p>
                          <w:p w14:paraId="22436154" w14:textId="2314B511" w:rsidR="003D681A" w:rsidRDefault="00442EC6" w:rsidP="00442EC6">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3D681A">
                              <w:rPr>
                                <w:rFonts w:ascii="Century Gothic" w:hAnsi="Century Gothic"/>
                                <w:sz w:val="20"/>
                                <w:szCs w:val="20"/>
                              </w:rPr>
                              <w:t>REVISED: NO</w:t>
                            </w:r>
                          </w:p>
                          <w:p w14:paraId="3DE114B7" w14:textId="77777777" w:rsidR="003D681A" w:rsidRDefault="003D681A" w:rsidP="00ED2FC5">
                            <w:pPr>
                              <w:spacing w:after="0" w:line="240" w:lineRule="auto"/>
                              <w:ind w:firstLine="180"/>
                              <w:rPr>
                                <w:rFonts w:ascii="Century Gothic" w:hAnsi="Century Gothic"/>
                                <w:sz w:val="20"/>
                                <w:szCs w:val="20"/>
                              </w:rPr>
                            </w:pPr>
                            <w:r>
                              <w:rPr>
                                <w:rFonts w:ascii="Century Gothic" w:hAnsi="Century Gothic"/>
                                <w:sz w:val="20"/>
                                <w:szCs w:val="20"/>
                              </w:rPr>
                              <w:t xml:space="preserve"> </w:t>
                            </w:r>
                          </w:p>
                          <w:p w14:paraId="7EE48239" w14:textId="68654C3B" w:rsidR="003D681A" w:rsidRDefault="007B380E" w:rsidP="00ED2FC5">
                            <w:pPr>
                              <w:spacing w:after="0" w:line="240" w:lineRule="auto"/>
                              <w:ind w:firstLine="180"/>
                              <w:rPr>
                                <w:rFonts w:ascii="Century Gothic" w:hAnsi="Century Gothic"/>
                                <w:sz w:val="20"/>
                                <w:szCs w:val="20"/>
                              </w:rPr>
                            </w:pPr>
                            <w:r>
                              <w:rPr>
                                <w:rFonts w:ascii="Century Gothic" w:hAnsi="Century Gothic"/>
                                <w:sz w:val="20"/>
                                <w:szCs w:val="20"/>
                              </w:rPr>
                              <w:t>Date:</w:t>
                            </w:r>
                            <w:r>
                              <w:rPr>
                                <w:rFonts w:ascii="Century Gothic" w:hAnsi="Century Gothic"/>
                                <w:sz w:val="20"/>
                                <w:szCs w:val="20"/>
                              </w:rPr>
                              <w:tab/>
                              <w:t xml:space="preserve"> 3 April</w:t>
                            </w:r>
                            <w:r w:rsidR="003D681A">
                              <w:rPr>
                                <w:rFonts w:ascii="Century Gothic" w:hAnsi="Century Gothic"/>
                                <w:sz w:val="20"/>
                                <w:szCs w:val="20"/>
                              </w:rPr>
                              <w:t xml:space="preserve"> 2023</w:t>
                            </w:r>
                            <w:r w:rsidR="003D681A">
                              <w:rPr>
                                <w:rFonts w:ascii="Century Gothic" w:hAnsi="Century Gothic"/>
                                <w:sz w:val="20"/>
                                <w:szCs w:val="20"/>
                              </w:rPr>
                              <w:tab/>
                              <w:t>E van der Schyff</w:t>
                            </w:r>
                          </w:p>
                          <w:p w14:paraId="1F64CB6E" w14:textId="77777777" w:rsidR="003D681A" w:rsidRDefault="003D681A" w:rsidP="00ED2FC5">
                            <w:pPr>
                              <w:rPr>
                                <w:rFonts w:ascii="Century Gothic" w:hAnsi="Century Gothic"/>
                                <w:sz w:val="18"/>
                                <w:szCs w:val="18"/>
                              </w:rPr>
                            </w:pPr>
                            <w:r>
                              <w:rPr>
                                <w:rFonts w:ascii="Century Gothic" w:hAnsi="Century Gothic"/>
                                <w:b/>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4773B7" id="_x0000_t202" coordsize="21600,21600" o:spt="202" path="m,l,21600r21600,l21600,xe">
                <v:stroke joinstyle="miter"/>
                <v:path gradientshapeok="t" o:connecttype="rect"/>
              </v:shapetype>
              <v:shape id="Text Box 2" o:spid="_x0000_s1026" type="#_x0000_t202" style="position:absolute;left:0;text-align:left;margin-left:0;margin-top:6.95pt;width:254.55pt;height:95.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">
                <v:textbox>
                  <w:txbxContent>
                    <w:p w14:paraId="397DD474" w14:textId="77777777" w:rsidR="003D681A" w:rsidRDefault="003D681A" w:rsidP="00ED2FC5">
                      <w:pPr>
                        <w:jc w:val="center"/>
                        <w:rPr>
                          <w:rFonts w:ascii="Century Gothic" w:hAnsi="Century Gothic"/>
                          <w:b/>
                          <w:sz w:val="20"/>
                          <w:szCs w:val="20"/>
                        </w:rPr>
                      </w:pPr>
                    </w:p>
                    <w:p w14:paraId="2B4C2A7A" w14:textId="1503804A" w:rsidR="003D681A" w:rsidRDefault="00442EC6" w:rsidP="00442EC6">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3D681A">
                        <w:rPr>
                          <w:rFonts w:ascii="Century Gothic" w:hAnsi="Century Gothic"/>
                          <w:sz w:val="20"/>
                          <w:szCs w:val="20"/>
                        </w:rPr>
                        <w:t>REPORTABLE: YES/NO</w:t>
                      </w:r>
                    </w:p>
                    <w:p w14:paraId="240656F9" w14:textId="6C730E96" w:rsidR="003D681A" w:rsidRDefault="00442EC6" w:rsidP="00442EC6">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3D681A">
                        <w:rPr>
                          <w:rFonts w:ascii="Century Gothic" w:hAnsi="Century Gothic"/>
                          <w:sz w:val="20"/>
                          <w:szCs w:val="20"/>
                        </w:rPr>
                        <w:t>OF INTEREST TO OTHER JUDGES: NO</w:t>
                      </w:r>
                    </w:p>
                    <w:p w14:paraId="22436154" w14:textId="2314B511" w:rsidR="003D681A" w:rsidRDefault="00442EC6" w:rsidP="00442EC6">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3D681A">
                        <w:rPr>
                          <w:rFonts w:ascii="Century Gothic" w:hAnsi="Century Gothic"/>
                          <w:sz w:val="20"/>
                          <w:szCs w:val="20"/>
                        </w:rPr>
                        <w:t>REVISED: NO</w:t>
                      </w:r>
                    </w:p>
                    <w:p w14:paraId="3DE114B7" w14:textId="77777777" w:rsidR="003D681A" w:rsidRDefault="003D681A" w:rsidP="00ED2FC5">
                      <w:pPr>
                        <w:spacing w:after="0" w:line="240" w:lineRule="auto"/>
                        <w:ind w:firstLine="180"/>
                        <w:rPr>
                          <w:rFonts w:ascii="Century Gothic" w:hAnsi="Century Gothic"/>
                          <w:sz w:val="20"/>
                          <w:szCs w:val="20"/>
                        </w:rPr>
                      </w:pPr>
                      <w:r>
                        <w:rPr>
                          <w:rFonts w:ascii="Century Gothic" w:hAnsi="Century Gothic"/>
                          <w:sz w:val="20"/>
                          <w:szCs w:val="20"/>
                        </w:rPr>
                        <w:t xml:space="preserve"> </w:t>
                      </w:r>
                    </w:p>
                    <w:p w14:paraId="7EE48239" w14:textId="68654C3B" w:rsidR="003D681A" w:rsidRDefault="007B380E" w:rsidP="00ED2FC5">
                      <w:pPr>
                        <w:spacing w:after="0" w:line="240" w:lineRule="auto"/>
                        <w:ind w:firstLine="180"/>
                        <w:rPr>
                          <w:rFonts w:ascii="Century Gothic" w:hAnsi="Century Gothic"/>
                          <w:sz w:val="20"/>
                          <w:szCs w:val="20"/>
                        </w:rPr>
                      </w:pPr>
                      <w:r>
                        <w:rPr>
                          <w:rFonts w:ascii="Century Gothic" w:hAnsi="Century Gothic"/>
                          <w:sz w:val="20"/>
                          <w:szCs w:val="20"/>
                        </w:rPr>
                        <w:t>Date:</w:t>
                      </w:r>
                      <w:r>
                        <w:rPr>
                          <w:rFonts w:ascii="Century Gothic" w:hAnsi="Century Gothic"/>
                          <w:sz w:val="20"/>
                          <w:szCs w:val="20"/>
                        </w:rPr>
                        <w:tab/>
                        <w:t xml:space="preserve"> 3 April</w:t>
                      </w:r>
                      <w:r w:rsidR="003D681A">
                        <w:rPr>
                          <w:rFonts w:ascii="Century Gothic" w:hAnsi="Century Gothic"/>
                          <w:sz w:val="20"/>
                          <w:szCs w:val="20"/>
                        </w:rPr>
                        <w:t xml:space="preserve"> 2023</w:t>
                      </w:r>
                      <w:r w:rsidR="003D681A">
                        <w:rPr>
                          <w:rFonts w:ascii="Century Gothic" w:hAnsi="Century Gothic"/>
                          <w:sz w:val="20"/>
                          <w:szCs w:val="20"/>
                        </w:rPr>
                        <w:tab/>
                        <w:t>E van der Schyff</w:t>
                      </w:r>
                    </w:p>
                    <w:p w14:paraId="1F64CB6E" w14:textId="77777777" w:rsidR="003D681A" w:rsidRDefault="003D681A" w:rsidP="00ED2FC5">
                      <w:pPr>
                        <w:rPr>
                          <w:rFonts w:ascii="Century Gothic" w:hAnsi="Century Gothic"/>
                          <w:sz w:val="18"/>
                          <w:szCs w:val="18"/>
                        </w:rPr>
                      </w:pPr>
                      <w:r>
                        <w:rPr>
                          <w:rFonts w:ascii="Century Gothic" w:hAnsi="Century Gothic"/>
                          <w:b/>
                          <w:sz w:val="18"/>
                          <w:szCs w:val="18"/>
                        </w:rPr>
                        <w:t xml:space="preserve">           </w:t>
                      </w:r>
                    </w:p>
                  </w:txbxContent>
                </v:textbox>
                <w10:wrap anchorx="margin"/>
              </v:shape>
            </w:pict>
          </mc:Fallback>
        </mc:AlternateContent>
      </w:r>
    </w:p>
    <w:p w14:paraId="66C15F4F" w14:textId="77777777" w:rsidR="00ED2FC5" w:rsidRPr="00AB20E7" w:rsidRDefault="00ED2FC5" w:rsidP="00C160A1">
      <w:pPr>
        <w:tabs>
          <w:tab w:val="left" w:pos="4917"/>
        </w:tabs>
        <w:spacing w:before="120" w:after="120" w:line="360" w:lineRule="auto"/>
        <w:jc w:val="center"/>
        <w:rPr>
          <w:rFonts w:ascii="Arial" w:hAnsi="Arial" w:cs="Arial"/>
          <w:sz w:val="24"/>
          <w:szCs w:val="24"/>
        </w:rPr>
      </w:pPr>
    </w:p>
    <w:p w14:paraId="23725110" w14:textId="77777777" w:rsidR="00ED2FC5" w:rsidRPr="00AB20E7" w:rsidRDefault="00ED2FC5" w:rsidP="00C160A1">
      <w:pPr>
        <w:tabs>
          <w:tab w:val="left" w:pos="4917"/>
        </w:tabs>
        <w:spacing w:before="120" w:after="120" w:line="360" w:lineRule="auto"/>
        <w:jc w:val="center"/>
        <w:rPr>
          <w:rFonts w:ascii="Arial" w:hAnsi="Arial" w:cs="Arial"/>
          <w:sz w:val="24"/>
          <w:szCs w:val="24"/>
        </w:rPr>
      </w:pPr>
    </w:p>
    <w:p w14:paraId="739C93D9" w14:textId="439991A7" w:rsidR="00ED2FC5" w:rsidRPr="00AB20E7" w:rsidRDefault="00ED2FC5" w:rsidP="00C160A1">
      <w:pPr>
        <w:tabs>
          <w:tab w:val="left" w:pos="4917"/>
        </w:tabs>
        <w:spacing w:before="120" w:after="120" w:line="360" w:lineRule="auto"/>
        <w:jc w:val="center"/>
        <w:rPr>
          <w:rFonts w:ascii="Arial" w:hAnsi="Arial" w:cs="Arial"/>
          <w:sz w:val="24"/>
          <w:szCs w:val="24"/>
        </w:rPr>
      </w:pPr>
    </w:p>
    <w:p w14:paraId="2F14A3A4" w14:textId="77777777" w:rsidR="00C17911" w:rsidRPr="00AB20E7" w:rsidRDefault="00C17911" w:rsidP="00C17911">
      <w:pPr>
        <w:tabs>
          <w:tab w:val="left" w:pos="4917"/>
        </w:tabs>
        <w:spacing w:before="120" w:after="120" w:line="360" w:lineRule="auto"/>
        <w:jc w:val="center"/>
        <w:rPr>
          <w:rFonts w:ascii="Arial" w:hAnsi="Arial" w:cs="Arial"/>
          <w:sz w:val="24"/>
          <w:szCs w:val="24"/>
        </w:rPr>
      </w:pPr>
    </w:p>
    <w:p w14:paraId="79E1D3F6" w14:textId="22346CB5" w:rsidR="009C6780" w:rsidRPr="00AB20E7" w:rsidRDefault="009C6780" w:rsidP="009C6780">
      <w:pPr>
        <w:tabs>
          <w:tab w:val="left" w:pos="4917"/>
        </w:tabs>
        <w:spacing w:before="120" w:after="120" w:line="360" w:lineRule="auto"/>
        <w:rPr>
          <w:rFonts w:ascii="Arial" w:hAnsi="Arial" w:cs="Arial"/>
          <w:sz w:val="24"/>
          <w:szCs w:val="24"/>
        </w:rPr>
      </w:pPr>
      <w:r w:rsidRPr="00AB20E7">
        <w:rPr>
          <w:rFonts w:ascii="Arial" w:hAnsi="Arial" w:cs="Arial"/>
          <w:sz w:val="24"/>
          <w:szCs w:val="24"/>
        </w:rPr>
        <w:t>In the matter between:</w:t>
      </w:r>
    </w:p>
    <w:p w14:paraId="503B14A0" w14:textId="2037191E" w:rsidR="00273774" w:rsidRPr="00AB20E7" w:rsidRDefault="008764E1" w:rsidP="009C6780">
      <w:pPr>
        <w:tabs>
          <w:tab w:val="left" w:pos="4917"/>
        </w:tabs>
        <w:spacing w:before="120" w:after="120" w:line="360" w:lineRule="auto"/>
        <w:rPr>
          <w:rFonts w:ascii="Arial" w:hAnsi="Arial" w:cs="Arial"/>
          <w:sz w:val="24"/>
          <w:szCs w:val="24"/>
        </w:rPr>
      </w:pPr>
      <w:r w:rsidRPr="00AB20E7">
        <w:rPr>
          <w:rFonts w:ascii="Arial" w:hAnsi="Arial" w:cs="Arial"/>
          <w:sz w:val="24"/>
          <w:szCs w:val="24"/>
        </w:rPr>
        <w:t>ONOLIA NGAKO RABALAO</w:t>
      </w:r>
      <w:r w:rsidR="00273774" w:rsidRPr="00AB20E7">
        <w:rPr>
          <w:rFonts w:ascii="Arial" w:hAnsi="Arial" w:cs="Arial"/>
          <w:sz w:val="24"/>
          <w:szCs w:val="24"/>
        </w:rPr>
        <w:tab/>
      </w:r>
      <w:r w:rsidR="00273774" w:rsidRPr="00AB20E7">
        <w:rPr>
          <w:rFonts w:ascii="Arial" w:hAnsi="Arial" w:cs="Arial"/>
          <w:sz w:val="24"/>
          <w:szCs w:val="24"/>
        </w:rPr>
        <w:tab/>
      </w:r>
      <w:r w:rsidR="00273774" w:rsidRPr="00AB20E7">
        <w:rPr>
          <w:rFonts w:ascii="Arial" w:hAnsi="Arial" w:cs="Arial"/>
          <w:sz w:val="24"/>
          <w:szCs w:val="24"/>
        </w:rPr>
        <w:tab/>
      </w:r>
      <w:r w:rsidRPr="00AB20E7">
        <w:rPr>
          <w:rFonts w:ascii="Arial" w:hAnsi="Arial" w:cs="Arial"/>
          <w:sz w:val="24"/>
          <w:szCs w:val="24"/>
        </w:rPr>
        <w:tab/>
      </w:r>
      <w:r w:rsidR="00273774" w:rsidRPr="00AB20E7">
        <w:rPr>
          <w:rFonts w:ascii="Arial" w:hAnsi="Arial" w:cs="Arial"/>
          <w:sz w:val="24"/>
          <w:szCs w:val="24"/>
        </w:rPr>
        <w:t>APPLICANT</w:t>
      </w:r>
    </w:p>
    <w:p w14:paraId="57F4DAF2" w14:textId="705189B1" w:rsidR="002C7989" w:rsidRPr="00AB20E7" w:rsidRDefault="00EC07C1" w:rsidP="009C6780">
      <w:pPr>
        <w:tabs>
          <w:tab w:val="left" w:pos="4917"/>
        </w:tabs>
        <w:spacing w:before="120" w:after="120" w:line="360" w:lineRule="auto"/>
        <w:rPr>
          <w:rFonts w:ascii="Arial" w:hAnsi="Arial" w:cs="Arial"/>
          <w:sz w:val="24"/>
          <w:szCs w:val="24"/>
        </w:rPr>
      </w:pPr>
      <w:r w:rsidRPr="00AB20E7">
        <w:rPr>
          <w:rFonts w:ascii="Arial" w:hAnsi="Arial" w:cs="Arial"/>
          <w:sz w:val="24"/>
          <w:szCs w:val="24"/>
        </w:rPr>
        <w:tab/>
      </w:r>
      <w:r w:rsidRPr="00AB20E7">
        <w:rPr>
          <w:rFonts w:ascii="Arial" w:hAnsi="Arial" w:cs="Arial"/>
          <w:sz w:val="24"/>
          <w:szCs w:val="24"/>
        </w:rPr>
        <w:tab/>
      </w:r>
      <w:r w:rsidRPr="00AB20E7">
        <w:rPr>
          <w:rFonts w:ascii="Arial" w:hAnsi="Arial" w:cs="Arial"/>
          <w:sz w:val="24"/>
          <w:szCs w:val="24"/>
        </w:rPr>
        <w:tab/>
      </w:r>
    </w:p>
    <w:p w14:paraId="5AD99CCB" w14:textId="750D69AE" w:rsidR="002C7989" w:rsidRPr="00AB20E7" w:rsidRDefault="008764E1" w:rsidP="009C6780">
      <w:pPr>
        <w:tabs>
          <w:tab w:val="left" w:pos="4917"/>
        </w:tabs>
        <w:spacing w:before="120" w:after="120" w:line="360" w:lineRule="auto"/>
        <w:rPr>
          <w:rFonts w:ascii="Arial" w:hAnsi="Arial" w:cs="Arial"/>
          <w:sz w:val="24"/>
          <w:szCs w:val="24"/>
        </w:rPr>
      </w:pPr>
      <w:r w:rsidRPr="00AB20E7">
        <w:rPr>
          <w:rFonts w:ascii="Arial" w:hAnsi="Arial" w:cs="Arial"/>
          <w:sz w:val="24"/>
          <w:szCs w:val="24"/>
        </w:rPr>
        <w:t>a</w:t>
      </w:r>
      <w:r w:rsidR="002C7989" w:rsidRPr="00AB20E7">
        <w:rPr>
          <w:rFonts w:ascii="Arial" w:hAnsi="Arial" w:cs="Arial"/>
          <w:sz w:val="24"/>
          <w:szCs w:val="24"/>
        </w:rPr>
        <w:t>nd</w:t>
      </w:r>
    </w:p>
    <w:p w14:paraId="43AE0EAD" w14:textId="77777777" w:rsidR="008764E1" w:rsidRPr="00AB20E7" w:rsidRDefault="008764E1" w:rsidP="009C6780">
      <w:pPr>
        <w:tabs>
          <w:tab w:val="left" w:pos="4917"/>
        </w:tabs>
        <w:spacing w:before="120" w:after="120" w:line="360" w:lineRule="auto"/>
        <w:rPr>
          <w:rFonts w:ascii="Arial" w:hAnsi="Arial" w:cs="Arial"/>
          <w:sz w:val="24"/>
          <w:szCs w:val="24"/>
        </w:rPr>
      </w:pPr>
    </w:p>
    <w:p w14:paraId="363CE386" w14:textId="77777777" w:rsidR="008764E1" w:rsidRPr="00AB20E7" w:rsidRDefault="008764E1" w:rsidP="00F9064E">
      <w:pPr>
        <w:tabs>
          <w:tab w:val="left" w:pos="4917"/>
        </w:tabs>
        <w:spacing w:before="120" w:after="0" w:line="240" w:lineRule="auto"/>
        <w:rPr>
          <w:rFonts w:ascii="Arial" w:hAnsi="Arial" w:cs="Arial"/>
          <w:sz w:val="24"/>
          <w:szCs w:val="24"/>
        </w:rPr>
      </w:pPr>
      <w:r w:rsidRPr="00AB20E7">
        <w:rPr>
          <w:rFonts w:ascii="Arial" w:hAnsi="Arial" w:cs="Arial"/>
          <w:sz w:val="24"/>
          <w:szCs w:val="24"/>
        </w:rPr>
        <w:t>THE TRUSTEES FOR THE TIME BEING OF THE</w:t>
      </w:r>
    </w:p>
    <w:p w14:paraId="36640729" w14:textId="40554683" w:rsidR="008764E1" w:rsidRPr="00AB20E7" w:rsidRDefault="008764E1" w:rsidP="00F9064E">
      <w:pPr>
        <w:tabs>
          <w:tab w:val="left" w:pos="4917"/>
        </w:tabs>
        <w:spacing w:before="120" w:after="0" w:line="240" w:lineRule="auto"/>
        <w:rPr>
          <w:rFonts w:ascii="Arial" w:hAnsi="Arial" w:cs="Arial"/>
          <w:sz w:val="24"/>
          <w:szCs w:val="24"/>
        </w:rPr>
      </w:pPr>
      <w:r w:rsidRPr="00AB20E7">
        <w:rPr>
          <w:rFonts w:ascii="Arial" w:hAnsi="Arial" w:cs="Arial"/>
          <w:sz w:val="24"/>
          <w:szCs w:val="24"/>
        </w:rPr>
        <w:t>LEGAL PRACTITIONER’</w:t>
      </w:r>
      <w:r w:rsidR="007844EF" w:rsidRPr="00AB20E7">
        <w:rPr>
          <w:rFonts w:ascii="Arial" w:hAnsi="Arial" w:cs="Arial"/>
          <w:sz w:val="24"/>
          <w:szCs w:val="24"/>
        </w:rPr>
        <w:t>S FIDE</w:t>
      </w:r>
      <w:r w:rsidRPr="00AB20E7">
        <w:rPr>
          <w:rFonts w:ascii="Arial" w:hAnsi="Arial" w:cs="Arial"/>
          <w:sz w:val="24"/>
          <w:szCs w:val="24"/>
        </w:rPr>
        <w:t xml:space="preserve">LITY FUND: </w:t>
      </w:r>
    </w:p>
    <w:p w14:paraId="59AA76E9" w14:textId="7742C11E" w:rsidR="00F9064E" w:rsidRPr="00AB20E7" w:rsidRDefault="008764E1" w:rsidP="00F9064E">
      <w:pPr>
        <w:tabs>
          <w:tab w:val="left" w:pos="4917"/>
        </w:tabs>
        <w:spacing w:before="120" w:after="0" w:line="240" w:lineRule="auto"/>
        <w:rPr>
          <w:rFonts w:ascii="Arial" w:hAnsi="Arial" w:cs="Arial"/>
          <w:sz w:val="24"/>
          <w:szCs w:val="24"/>
        </w:rPr>
      </w:pPr>
      <w:r w:rsidRPr="00AB20E7">
        <w:rPr>
          <w:rFonts w:ascii="Arial" w:hAnsi="Arial" w:cs="Arial"/>
          <w:sz w:val="24"/>
          <w:szCs w:val="24"/>
        </w:rPr>
        <w:t xml:space="preserve">SOUTH AFRICA </w:t>
      </w:r>
      <w:r w:rsidRPr="00AB20E7">
        <w:rPr>
          <w:rFonts w:ascii="Arial" w:hAnsi="Arial" w:cs="Arial"/>
          <w:sz w:val="24"/>
          <w:szCs w:val="24"/>
        </w:rPr>
        <w:tab/>
      </w:r>
      <w:r w:rsidRPr="00AB20E7">
        <w:rPr>
          <w:rFonts w:ascii="Arial" w:hAnsi="Arial" w:cs="Arial"/>
          <w:sz w:val="24"/>
          <w:szCs w:val="24"/>
        </w:rPr>
        <w:tab/>
      </w:r>
      <w:r w:rsidRPr="00AB20E7">
        <w:rPr>
          <w:rFonts w:ascii="Arial" w:hAnsi="Arial" w:cs="Arial"/>
          <w:sz w:val="24"/>
          <w:szCs w:val="24"/>
        </w:rPr>
        <w:tab/>
      </w:r>
      <w:r w:rsidRPr="00AB20E7">
        <w:rPr>
          <w:rFonts w:ascii="Arial" w:hAnsi="Arial" w:cs="Arial"/>
          <w:sz w:val="24"/>
          <w:szCs w:val="24"/>
        </w:rPr>
        <w:tab/>
        <w:t xml:space="preserve">FIRST </w:t>
      </w:r>
      <w:r w:rsidR="000C36B5" w:rsidRPr="00AB20E7">
        <w:rPr>
          <w:rFonts w:ascii="Arial" w:hAnsi="Arial" w:cs="Arial"/>
          <w:sz w:val="24"/>
          <w:szCs w:val="24"/>
        </w:rPr>
        <w:t>RESPONDENT</w:t>
      </w:r>
    </w:p>
    <w:p w14:paraId="56F798A7" w14:textId="6331254C" w:rsidR="00090DD9" w:rsidRPr="00AB20E7" w:rsidRDefault="00090DD9" w:rsidP="00F9064E">
      <w:pPr>
        <w:tabs>
          <w:tab w:val="left" w:pos="4917"/>
        </w:tabs>
        <w:spacing w:before="120" w:after="0" w:line="240" w:lineRule="auto"/>
        <w:rPr>
          <w:rFonts w:ascii="Arial" w:hAnsi="Arial" w:cs="Arial"/>
          <w:sz w:val="24"/>
          <w:szCs w:val="24"/>
        </w:rPr>
      </w:pPr>
    </w:p>
    <w:p w14:paraId="6F70CDB1" w14:textId="51FAE53B" w:rsidR="00090DD9" w:rsidRPr="00AB20E7" w:rsidRDefault="00090DD9" w:rsidP="00F9064E">
      <w:pPr>
        <w:tabs>
          <w:tab w:val="left" w:pos="4917"/>
        </w:tabs>
        <w:spacing w:before="120" w:after="0" w:line="240" w:lineRule="auto"/>
        <w:rPr>
          <w:rFonts w:ascii="Arial" w:hAnsi="Arial" w:cs="Arial"/>
          <w:sz w:val="24"/>
          <w:szCs w:val="24"/>
        </w:rPr>
      </w:pPr>
      <w:r w:rsidRPr="00AB20E7">
        <w:rPr>
          <w:rFonts w:ascii="Arial" w:hAnsi="Arial" w:cs="Arial"/>
          <w:sz w:val="24"/>
          <w:szCs w:val="24"/>
        </w:rPr>
        <w:t>THE BOARD OF CONTROL OF THE LEGAL</w:t>
      </w:r>
    </w:p>
    <w:p w14:paraId="2138F24F" w14:textId="102AE4B1" w:rsidR="00090DD9" w:rsidRPr="00AB20E7" w:rsidRDefault="00090DD9" w:rsidP="00F9064E">
      <w:pPr>
        <w:tabs>
          <w:tab w:val="left" w:pos="4917"/>
        </w:tabs>
        <w:spacing w:before="120" w:after="0" w:line="240" w:lineRule="auto"/>
        <w:rPr>
          <w:rFonts w:ascii="Arial" w:hAnsi="Arial" w:cs="Arial"/>
          <w:sz w:val="24"/>
          <w:szCs w:val="24"/>
        </w:rPr>
      </w:pPr>
      <w:r w:rsidRPr="00AB20E7">
        <w:rPr>
          <w:rFonts w:ascii="Arial" w:hAnsi="Arial" w:cs="Arial"/>
          <w:sz w:val="24"/>
          <w:szCs w:val="24"/>
        </w:rPr>
        <w:t>PRACTITIONER’S FIDELITY FUND SOUTH AFRICA</w:t>
      </w:r>
      <w:r w:rsidRPr="00AB20E7">
        <w:rPr>
          <w:rFonts w:ascii="Arial" w:hAnsi="Arial" w:cs="Arial"/>
          <w:sz w:val="24"/>
          <w:szCs w:val="24"/>
        </w:rPr>
        <w:tab/>
      </w:r>
      <w:r w:rsidRPr="00AB20E7">
        <w:rPr>
          <w:rFonts w:ascii="Arial" w:hAnsi="Arial" w:cs="Arial"/>
          <w:sz w:val="24"/>
          <w:szCs w:val="24"/>
        </w:rPr>
        <w:tab/>
        <w:t>SECOND RESPONDENT</w:t>
      </w:r>
    </w:p>
    <w:p w14:paraId="6D8C9FC1" w14:textId="3D2ABB1A" w:rsidR="008764E1" w:rsidRPr="00AB20E7" w:rsidRDefault="008764E1" w:rsidP="00F9064E">
      <w:pPr>
        <w:tabs>
          <w:tab w:val="left" w:pos="4917"/>
        </w:tabs>
        <w:spacing w:before="120" w:after="0" w:line="240" w:lineRule="auto"/>
        <w:rPr>
          <w:rFonts w:ascii="Arial" w:hAnsi="Arial" w:cs="Arial"/>
          <w:sz w:val="24"/>
          <w:szCs w:val="24"/>
        </w:rPr>
      </w:pPr>
    </w:p>
    <w:p w14:paraId="2B589A6E" w14:textId="77777777" w:rsidR="008764E1" w:rsidRPr="00AB20E7" w:rsidRDefault="008764E1" w:rsidP="00F9064E">
      <w:pPr>
        <w:tabs>
          <w:tab w:val="left" w:pos="4917"/>
        </w:tabs>
        <w:spacing w:before="120" w:after="0" w:line="240" w:lineRule="auto"/>
        <w:rPr>
          <w:rFonts w:ascii="Arial" w:hAnsi="Arial" w:cs="Arial"/>
          <w:sz w:val="24"/>
          <w:szCs w:val="24"/>
        </w:rPr>
      </w:pPr>
    </w:p>
    <w:p w14:paraId="17CAEA52" w14:textId="3ABCB37E" w:rsidR="0056224F" w:rsidRPr="00AB20E7" w:rsidRDefault="0056224F" w:rsidP="00F9064E">
      <w:pPr>
        <w:tabs>
          <w:tab w:val="left" w:pos="4917"/>
        </w:tabs>
        <w:spacing w:before="120" w:after="0" w:line="240" w:lineRule="auto"/>
        <w:rPr>
          <w:rFonts w:ascii="Arial" w:hAnsi="Arial" w:cs="Arial"/>
          <w:sz w:val="24"/>
          <w:szCs w:val="24"/>
        </w:rPr>
      </w:pPr>
    </w:p>
    <w:p w14:paraId="163B4780" w14:textId="34E7D4FF" w:rsidR="004F10C9" w:rsidRPr="00AB20E7" w:rsidRDefault="00FD703F" w:rsidP="00EC0FC6">
      <w:pPr>
        <w:pBdr>
          <w:top w:val="single" w:sz="12" w:space="1" w:color="auto"/>
          <w:bottom w:val="single" w:sz="12" w:space="1" w:color="auto"/>
        </w:pBdr>
        <w:tabs>
          <w:tab w:val="left" w:pos="4917"/>
        </w:tabs>
        <w:spacing w:before="120" w:after="120" w:line="360" w:lineRule="auto"/>
        <w:jc w:val="center"/>
        <w:rPr>
          <w:rFonts w:ascii="Arial" w:hAnsi="Arial" w:cs="Arial"/>
          <w:sz w:val="24"/>
          <w:szCs w:val="24"/>
        </w:rPr>
      </w:pPr>
      <w:r w:rsidRPr="00AB20E7">
        <w:rPr>
          <w:rFonts w:ascii="Arial" w:hAnsi="Arial" w:cs="Arial"/>
          <w:sz w:val="24"/>
          <w:szCs w:val="24"/>
        </w:rPr>
        <w:t>JUDGMENT</w:t>
      </w:r>
    </w:p>
    <w:p w14:paraId="0D3F50F0" w14:textId="66309BD7" w:rsidR="00537115" w:rsidRPr="00AB20E7" w:rsidRDefault="00D852E9" w:rsidP="00D852E9">
      <w:pPr>
        <w:pStyle w:val="ListParagraph"/>
        <w:tabs>
          <w:tab w:val="left" w:pos="4917"/>
        </w:tabs>
        <w:spacing w:before="120" w:after="120" w:line="360" w:lineRule="auto"/>
        <w:ind w:left="0"/>
        <w:jc w:val="both"/>
        <w:rPr>
          <w:rFonts w:ascii="Arial" w:hAnsi="Arial" w:cs="Arial"/>
          <w:sz w:val="24"/>
          <w:szCs w:val="24"/>
        </w:rPr>
      </w:pPr>
      <w:r w:rsidRPr="00AB20E7">
        <w:rPr>
          <w:rFonts w:ascii="Arial" w:hAnsi="Arial" w:cs="Arial"/>
          <w:sz w:val="24"/>
          <w:szCs w:val="24"/>
        </w:rPr>
        <w:t>Van der Schyff J</w:t>
      </w:r>
      <w:r w:rsidR="00EA4756" w:rsidRPr="00AB20E7">
        <w:rPr>
          <w:rFonts w:ascii="Arial" w:hAnsi="Arial" w:cs="Arial"/>
          <w:sz w:val="24"/>
          <w:szCs w:val="24"/>
        </w:rPr>
        <w:t xml:space="preserve"> </w:t>
      </w:r>
    </w:p>
    <w:p w14:paraId="2CB65FD5" w14:textId="2A49A3A5" w:rsidR="00D17DE3" w:rsidRPr="00AB20E7" w:rsidRDefault="00D17DE3" w:rsidP="00D852E9">
      <w:pPr>
        <w:pStyle w:val="ListParagraph"/>
        <w:tabs>
          <w:tab w:val="left" w:pos="4917"/>
        </w:tabs>
        <w:spacing w:before="120" w:after="120" w:line="360" w:lineRule="auto"/>
        <w:ind w:left="0"/>
        <w:jc w:val="both"/>
        <w:rPr>
          <w:rFonts w:ascii="Arial" w:hAnsi="Arial" w:cs="Arial"/>
          <w:sz w:val="24"/>
          <w:szCs w:val="24"/>
        </w:rPr>
      </w:pPr>
    </w:p>
    <w:p w14:paraId="594CAFAD" w14:textId="20FBF359" w:rsidR="008E70C8" w:rsidRPr="00AB20E7" w:rsidRDefault="00D17DE3" w:rsidP="00273774">
      <w:pPr>
        <w:pStyle w:val="ListParagraph"/>
        <w:tabs>
          <w:tab w:val="left" w:pos="4917"/>
        </w:tabs>
        <w:spacing w:before="120" w:after="120" w:line="360" w:lineRule="auto"/>
        <w:ind w:left="0"/>
        <w:jc w:val="both"/>
        <w:rPr>
          <w:rFonts w:ascii="Arial" w:hAnsi="Arial" w:cs="Arial"/>
          <w:b/>
          <w:sz w:val="24"/>
          <w:szCs w:val="24"/>
        </w:rPr>
      </w:pPr>
      <w:r w:rsidRPr="00AB20E7">
        <w:rPr>
          <w:rFonts w:ascii="Arial" w:hAnsi="Arial" w:cs="Arial"/>
          <w:b/>
          <w:sz w:val="24"/>
          <w:szCs w:val="24"/>
        </w:rPr>
        <w:t>Introduction</w:t>
      </w:r>
    </w:p>
    <w:p w14:paraId="7CB360FD" w14:textId="77777777" w:rsidR="00273774" w:rsidRPr="00AB20E7" w:rsidRDefault="00273774" w:rsidP="00273774">
      <w:pPr>
        <w:pStyle w:val="ListParagraph"/>
        <w:tabs>
          <w:tab w:val="left" w:pos="4917"/>
        </w:tabs>
        <w:spacing w:before="120" w:after="120" w:line="360" w:lineRule="auto"/>
        <w:ind w:left="0"/>
        <w:jc w:val="both"/>
        <w:rPr>
          <w:rFonts w:ascii="Arial" w:hAnsi="Arial" w:cs="Arial"/>
          <w:b/>
          <w:sz w:val="24"/>
          <w:szCs w:val="24"/>
        </w:rPr>
      </w:pPr>
    </w:p>
    <w:p w14:paraId="73D980EC" w14:textId="2532A5F0" w:rsidR="004849DA" w:rsidRPr="00442EC6" w:rsidRDefault="00442EC6" w:rsidP="00442EC6">
      <w:pPr>
        <w:tabs>
          <w:tab w:val="left" w:pos="4917"/>
        </w:tabs>
        <w:spacing w:before="120" w:after="120" w:line="360" w:lineRule="auto"/>
        <w:ind w:left="720" w:hanging="720"/>
        <w:jc w:val="both"/>
        <w:rPr>
          <w:rFonts w:ascii="Arial" w:hAnsi="Arial" w:cs="Arial"/>
          <w:sz w:val="24"/>
          <w:szCs w:val="24"/>
        </w:rPr>
      </w:pPr>
      <w:r w:rsidRPr="00AB20E7">
        <w:rPr>
          <w:rFonts w:ascii="Arial" w:hAnsi="Arial" w:cs="Arial"/>
          <w:sz w:val="24"/>
          <w:szCs w:val="24"/>
        </w:rPr>
        <w:t>[1]</w:t>
      </w:r>
      <w:r w:rsidRPr="00AB20E7">
        <w:rPr>
          <w:rFonts w:ascii="Arial" w:hAnsi="Arial" w:cs="Arial"/>
          <w:sz w:val="24"/>
          <w:szCs w:val="24"/>
        </w:rPr>
        <w:tab/>
      </w:r>
      <w:r w:rsidR="007844EF" w:rsidRPr="00442EC6">
        <w:rPr>
          <w:rFonts w:ascii="Arial" w:hAnsi="Arial" w:cs="Arial"/>
          <w:sz w:val="24"/>
          <w:szCs w:val="24"/>
        </w:rPr>
        <w:t>The applicant in this application</w:t>
      </w:r>
      <w:r w:rsidR="007B380E" w:rsidRPr="00442EC6">
        <w:rPr>
          <w:rFonts w:ascii="Arial" w:hAnsi="Arial" w:cs="Arial"/>
          <w:sz w:val="24"/>
          <w:szCs w:val="24"/>
        </w:rPr>
        <w:t>, Ms. Rabalao,</w:t>
      </w:r>
      <w:r w:rsidR="007844EF" w:rsidRPr="00442EC6">
        <w:rPr>
          <w:rFonts w:ascii="Arial" w:hAnsi="Arial" w:cs="Arial"/>
          <w:sz w:val="24"/>
          <w:szCs w:val="24"/>
        </w:rPr>
        <w:t xml:space="preserve"> is self-represented. Counsel for the respondents highlighted that the proper respondents are the Legal Practitioner’s Fidelity Fund (‘the Fund’) and the Legal Practi</w:t>
      </w:r>
      <w:r w:rsidR="007B380E" w:rsidRPr="00442EC6">
        <w:rPr>
          <w:rFonts w:ascii="Arial" w:hAnsi="Arial" w:cs="Arial"/>
          <w:sz w:val="24"/>
          <w:szCs w:val="24"/>
        </w:rPr>
        <w:t>tioner’s Fidelity Fund Board (‘t</w:t>
      </w:r>
      <w:r w:rsidR="007844EF" w:rsidRPr="00442EC6">
        <w:rPr>
          <w:rFonts w:ascii="Arial" w:hAnsi="Arial" w:cs="Arial"/>
          <w:sz w:val="24"/>
          <w:szCs w:val="24"/>
        </w:rPr>
        <w:t>he Board’). Although the applicant did not cite the respondents correctly, the respondents did not, and correctly so</w:t>
      </w:r>
      <w:r w:rsidR="002C7A3D" w:rsidRPr="00442EC6">
        <w:rPr>
          <w:rFonts w:ascii="Arial" w:hAnsi="Arial" w:cs="Arial"/>
          <w:sz w:val="24"/>
          <w:szCs w:val="24"/>
        </w:rPr>
        <w:t>,</w:t>
      </w:r>
      <w:r w:rsidR="007844EF" w:rsidRPr="00442EC6">
        <w:rPr>
          <w:rFonts w:ascii="Arial" w:hAnsi="Arial" w:cs="Arial"/>
          <w:sz w:val="24"/>
          <w:szCs w:val="24"/>
        </w:rPr>
        <w:t xml:space="preserve"> in my view, place the citations in issue for the purpose of the determination of the matter.</w:t>
      </w:r>
    </w:p>
    <w:p w14:paraId="349FE8EA" w14:textId="77777777" w:rsidR="004849DA" w:rsidRPr="00AB20E7" w:rsidRDefault="004849DA" w:rsidP="004849DA">
      <w:pPr>
        <w:pStyle w:val="ListParagraph"/>
        <w:tabs>
          <w:tab w:val="left" w:pos="4917"/>
        </w:tabs>
        <w:spacing w:before="120" w:after="120" w:line="360" w:lineRule="auto"/>
        <w:jc w:val="both"/>
        <w:rPr>
          <w:rFonts w:ascii="Arial" w:hAnsi="Arial" w:cs="Arial"/>
          <w:sz w:val="24"/>
          <w:szCs w:val="24"/>
        </w:rPr>
      </w:pPr>
    </w:p>
    <w:p w14:paraId="5880B5BB" w14:textId="009981B5" w:rsidR="007844EF" w:rsidRPr="00442EC6" w:rsidRDefault="00442EC6" w:rsidP="00442EC6">
      <w:pPr>
        <w:tabs>
          <w:tab w:val="left" w:pos="4917"/>
        </w:tabs>
        <w:spacing w:before="120" w:after="120" w:line="360" w:lineRule="auto"/>
        <w:ind w:left="720" w:hanging="720"/>
        <w:jc w:val="both"/>
        <w:rPr>
          <w:rFonts w:ascii="Arial" w:hAnsi="Arial" w:cs="Arial"/>
          <w:sz w:val="24"/>
          <w:szCs w:val="24"/>
        </w:rPr>
      </w:pPr>
      <w:r w:rsidRPr="00AB20E7">
        <w:rPr>
          <w:rFonts w:ascii="Arial" w:hAnsi="Arial" w:cs="Arial"/>
          <w:sz w:val="24"/>
          <w:szCs w:val="24"/>
        </w:rPr>
        <w:t>[2]</w:t>
      </w:r>
      <w:r w:rsidRPr="00AB20E7">
        <w:rPr>
          <w:rFonts w:ascii="Arial" w:hAnsi="Arial" w:cs="Arial"/>
          <w:sz w:val="24"/>
          <w:szCs w:val="24"/>
        </w:rPr>
        <w:tab/>
      </w:r>
      <w:r w:rsidR="004849DA" w:rsidRPr="00442EC6">
        <w:rPr>
          <w:rFonts w:ascii="Arial" w:hAnsi="Arial" w:cs="Arial"/>
          <w:sz w:val="24"/>
          <w:szCs w:val="24"/>
        </w:rPr>
        <w:t xml:space="preserve">In light of the nature of the legal issue, and the fact that the applicant, a lay person, is self-represented, I requested the General Council of the Bar of South Africa to act as </w:t>
      </w:r>
      <w:r w:rsidR="004849DA" w:rsidRPr="00442EC6">
        <w:rPr>
          <w:rFonts w:ascii="Arial" w:hAnsi="Arial" w:cs="Arial"/>
          <w:i/>
          <w:sz w:val="24"/>
          <w:szCs w:val="24"/>
        </w:rPr>
        <w:t>amicus curiae</w:t>
      </w:r>
      <w:r w:rsidR="004849DA" w:rsidRPr="00442EC6">
        <w:rPr>
          <w:rFonts w:ascii="Arial" w:hAnsi="Arial" w:cs="Arial"/>
          <w:sz w:val="24"/>
          <w:szCs w:val="24"/>
        </w:rPr>
        <w:t xml:space="preserve">. </w:t>
      </w:r>
      <w:r w:rsidR="007B380E" w:rsidRPr="00442EC6">
        <w:rPr>
          <w:rFonts w:ascii="Arial" w:hAnsi="Arial" w:cs="Arial"/>
          <w:sz w:val="24"/>
          <w:szCs w:val="24"/>
        </w:rPr>
        <w:t xml:space="preserve">The </w:t>
      </w:r>
      <w:r w:rsidR="007B380E" w:rsidRPr="00442EC6">
        <w:rPr>
          <w:rFonts w:ascii="Arial" w:hAnsi="Arial" w:cs="Arial"/>
          <w:i/>
          <w:sz w:val="24"/>
          <w:szCs w:val="24"/>
        </w:rPr>
        <w:t>amicu</w:t>
      </w:r>
      <w:r w:rsidR="006132AA" w:rsidRPr="00442EC6">
        <w:rPr>
          <w:rFonts w:ascii="Arial" w:hAnsi="Arial" w:cs="Arial"/>
          <w:i/>
          <w:sz w:val="24"/>
          <w:szCs w:val="24"/>
        </w:rPr>
        <w:t>s</w:t>
      </w:r>
      <w:r w:rsidR="002F71AB" w:rsidRPr="00442EC6">
        <w:rPr>
          <w:rFonts w:ascii="Arial" w:hAnsi="Arial" w:cs="Arial"/>
          <w:i/>
          <w:sz w:val="24"/>
          <w:szCs w:val="24"/>
        </w:rPr>
        <w:t>’</w:t>
      </w:r>
      <w:r w:rsidR="006132AA" w:rsidRPr="00442EC6">
        <w:rPr>
          <w:rFonts w:ascii="Arial" w:hAnsi="Arial" w:cs="Arial"/>
          <w:i/>
          <w:sz w:val="24"/>
          <w:szCs w:val="24"/>
        </w:rPr>
        <w:t>s</w:t>
      </w:r>
      <w:r w:rsidR="007B380E" w:rsidRPr="00442EC6">
        <w:rPr>
          <w:rFonts w:ascii="Arial" w:hAnsi="Arial" w:cs="Arial"/>
          <w:sz w:val="24"/>
          <w:szCs w:val="24"/>
        </w:rPr>
        <w:t xml:space="preserve"> valuable contribution is recognised.</w:t>
      </w:r>
    </w:p>
    <w:p w14:paraId="4440F405" w14:textId="77777777" w:rsidR="007844EF" w:rsidRPr="00AB20E7" w:rsidRDefault="007844EF" w:rsidP="007844EF">
      <w:pPr>
        <w:pStyle w:val="ListParagraph"/>
        <w:tabs>
          <w:tab w:val="left" w:pos="4917"/>
        </w:tabs>
        <w:spacing w:before="120" w:after="120" w:line="360" w:lineRule="auto"/>
        <w:jc w:val="both"/>
        <w:rPr>
          <w:rFonts w:ascii="Arial" w:hAnsi="Arial" w:cs="Arial"/>
          <w:sz w:val="24"/>
          <w:szCs w:val="24"/>
        </w:rPr>
      </w:pPr>
    </w:p>
    <w:p w14:paraId="3E3B258F" w14:textId="484B7361" w:rsidR="0022692F" w:rsidRPr="00442EC6" w:rsidRDefault="00442EC6" w:rsidP="00442EC6">
      <w:pPr>
        <w:tabs>
          <w:tab w:val="left" w:pos="4917"/>
        </w:tabs>
        <w:spacing w:before="120" w:after="120" w:line="360" w:lineRule="auto"/>
        <w:ind w:left="720" w:hanging="720"/>
        <w:jc w:val="both"/>
        <w:rPr>
          <w:rFonts w:ascii="Arial" w:hAnsi="Arial" w:cs="Arial"/>
          <w:sz w:val="24"/>
          <w:szCs w:val="24"/>
        </w:rPr>
      </w:pPr>
      <w:r w:rsidRPr="00AB20E7">
        <w:rPr>
          <w:rFonts w:ascii="Arial" w:hAnsi="Arial" w:cs="Arial"/>
          <w:sz w:val="24"/>
          <w:szCs w:val="24"/>
        </w:rPr>
        <w:t>[3]</w:t>
      </w:r>
      <w:r w:rsidRPr="00AB20E7">
        <w:rPr>
          <w:rFonts w:ascii="Arial" w:hAnsi="Arial" w:cs="Arial"/>
          <w:sz w:val="24"/>
          <w:szCs w:val="24"/>
        </w:rPr>
        <w:tab/>
      </w:r>
      <w:r w:rsidR="002C7A3D" w:rsidRPr="00442EC6">
        <w:rPr>
          <w:rFonts w:ascii="Arial" w:hAnsi="Arial" w:cs="Arial"/>
          <w:sz w:val="24"/>
          <w:szCs w:val="24"/>
        </w:rPr>
        <w:t>T</w:t>
      </w:r>
      <w:r w:rsidR="0073301C" w:rsidRPr="00442EC6">
        <w:rPr>
          <w:rFonts w:ascii="Arial" w:hAnsi="Arial" w:cs="Arial"/>
          <w:sz w:val="24"/>
          <w:szCs w:val="24"/>
        </w:rPr>
        <w:t xml:space="preserve">he </w:t>
      </w:r>
      <w:r w:rsidR="002C7A3D" w:rsidRPr="00442EC6">
        <w:rPr>
          <w:rFonts w:ascii="Arial" w:hAnsi="Arial" w:cs="Arial"/>
          <w:sz w:val="24"/>
          <w:szCs w:val="24"/>
        </w:rPr>
        <w:t xml:space="preserve">applicant seeks to have the </w:t>
      </w:r>
      <w:r w:rsidR="007844EF" w:rsidRPr="00442EC6">
        <w:rPr>
          <w:rFonts w:ascii="Arial" w:hAnsi="Arial" w:cs="Arial"/>
          <w:sz w:val="24"/>
          <w:szCs w:val="24"/>
        </w:rPr>
        <w:t>decision taken by members of the Board on 22 September 202</w:t>
      </w:r>
      <w:r w:rsidR="00B51EF8" w:rsidRPr="00442EC6">
        <w:rPr>
          <w:rFonts w:ascii="Arial" w:hAnsi="Arial" w:cs="Arial"/>
          <w:sz w:val="24"/>
          <w:szCs w:val="24"/>
        </w:rPr>
        <w:t>1</w:t>
      </w:r>
      <w:r w:rsidR="007844EF" w:rsidRPr="00442EC6">
        <w:rPr>
          <w:rFonts w:ascii="Arial" w:hAnsi="Arial" w:cs="Arial"/>
          <w:sz w:val="24"/>
          <w:szCs w:val="24"/>
        </w:rPr>
        <w:t xml:space="preserve">, </w:t>
      </w:r>
      <w:r w:rsidR="00B51EF8" w:rsidRPr="00442EC6">
        <w:rPr>
          <w:rFonts w:ascii="Arial" w:hAnsi="Arial" w:cs="Arial"/>
          <w:sz w:val="24"/>
          <w:szCs w:val="24"/>
        </w:rPr>
        <w:t>that the Fund is not liable to reimburse the applicant for pecuniary loss suffered as a result of theft of money paid in trust to a trust account advocate referred to in s 34(2)(b) of the Legal Practice Act 28 of 2014 (‘the LPA’)</w:t>
      </w:r>
      <w:r w:rsidR="002C7A3D" w:rsidRPr="00442EC6">
        <w:rPr>
          <w:rFonts w:ascii="Arial" w:hAnsi="Arial" w:cs="Arial"/>
          <w:sz w:val="24"/>
          <w:szCs w:val="24"/>
        </w:rPr>
        <w:t>, reviewed.</w:t>
      </w:r>
    </w:p>
    <w:p w14:paraId="5C901B09" w14:textId="77777777" w:rsidR="0022692F" w:rsidRPr="00AB20E7" w:rsidRDefault="0022692F" w:rsidP="0022692F">
      <w:pPr>
        <w:pStyle w:val="ListParagraph"/>
        <w:rPr>
          <w:rFonts w:ascii="Arial" w:hAnsi="Arial" w:cs="Arial"/>
          <w:sz w:val="24"/>
          <w:szCs w:val="24"/>
        </w:rPr>
      </w:pPr>
    </w:p>
    <w:p w14:paraId="2B1FA78A" w14:textId="58A46F27" w:rsidR="0022692F" w:rsidRPr="00AB20E7" w:rsidRDefault="00B51EF8" w:rsidP="00B51EF8">
      <w:pPr>
        <w:tabs>
          <w:tab w:val="left" w:pos="4917"/>
        </w:tabs>
        <w:spacing w:before="120" w:after="120" w:line="360" w:lineRule="auto"/>
        <w:jc w:val="both"/>
        <w:rPr>
          <w:rFonts w:ascii="Arial" w:hAnsi="Arial" w:cs="Arial"/>
          <w:b/>
          <w:sz w:val="24"/>
          <w:szCs w:val="24"/>
        </w:rPr>
      </w:pPr>
      <w:r w:rsidRPr="00AB20E7">
        <w:rPr>
          <w:rFonts w:ascii="Arial" w:hAnsi="Arial" w:cs="Arial"/>
          <w:b/>
          <w:sz w:val="24"/>
          <w:szCs w:val="24"/>
        </w:rPr>
        <w:t>Factual matrix</w:t>
      </w:r>
    </w:p>
    <w:p w14:paraId="05A3D1F7" w14:textId="77777777" w:rsidR="0022692F" w:rsidRPr="00AB20E7" w:rsidRDefault="0022692F" w:rsidP="0022692F">
      <w:pPr>
        <w:pStyle w:val="ListParagraph"/>
        <w:rPr>
          <w:rFonts w:ascii="Arial" w:hAnsi="Arial" w:cs="Arial"/>
          <w:sz w:val="24"/>
          <w:szCs w:val="24"/>
        </w:rPr>
      </w:pPr>
    </w:p>
    <w:p w14:paraId="4E7BDB4B" w14:textId="42185C5C" w:rsidR="0022692F" w:rsidRPr="00442EC6" w:rsidRDefault="00442EC6" w:rsidP="00442EC6">
      <w:pPr>
        <w:tabs>
          <w:tab w:val="left" w:pos="4917"/>
        </w:tabs>
        <w:spacing w:before="120" w:after="120" w:line="360" w:lineRule="auto"/>
        <w:ind w:left="720" w:hanging="720"/>
        <w:jc w:val="both"/>
        <w:rPr>
          <w:rFonts w:ascii="Arial" w:hAnsi="Arial" w:cs="Arial"/>
          <w:sz w:val="24"/>
          <w:szCs w:val="24"/>
        </w:rPr>
      </w:pPr>
      <w:r w:rsidRPr="00AB20E7">
        <w:rPr>
          <w:rFonts w:ascii="Arial" w:hAnsi="Arial" w:cs="Arial"/>
          <w:sz w:val="24"/>
          <w:szCs w:val="24"/>
        </w:rPr>
        <w:t>[4]</w:t>
      </w:r>
      <w:r w:rsidRPr="00AB20E7">
        <w:rPr>
          <w:rFonts w:ascii="Arial" w:hAnsi="Arial" w:cs="Arial"/>
          <w:sz w:val="24"/>
          <w:szCs w:val="24"/>
        </w:rPr>
        <w:tab/>
      </w:r>
      <w:r w:rsidR="00B51EF8" w:rsidRPr="00442EC6">
        <w:rPr>
          <w:rFonts w:ascii="Arial" w:hAnsi="Arial" w:cs="Arial"/>
          <w:sz w:val="24"/>
          <w:szCs w:val="24"/>
        </w:rPr>
        <w:t>Towards the end of September 2020, the applicant saw an advertisement of a property for sale in Lotus Gardens</w:t>
      </w:r>
      <w:r w:rsidR="00B4260A" w:rsidRPr="00442EC6">
        <w:rPr>
          <w:rFonts w:ascii="Arial" w:hAnsi="Arial" w:cs="Arial"/>
          <w:sz w:val="24"/>
          <w:szCs w:val="24"/>
        </w:rPr>
        <w:t xml:space="preserve"> Extension 2</w:t>
      </w:r>
      <w:r w:rsidR="00B51EF8" w:rsidRPr="00442EC6">
        <w:rPr>
          <w:rFonts w:ascii="Arial" w:hAnsi="Arial" w:cs="Arial"/>
          <w:sz w:val="24"/>
          <w:szCs w:val="24"/>
        </w:rPr>
        <w:t>. The property was advertised on Facebook by an estate agency named Baikanyi Moreneng</w:t>
      </w:r>
      <w:r w:rsidR="00C777EE" w:rsidRPr="00442EC6">
        <w:rPr>
          <w:rFonts w:ascii="Arial" w:hAnsi="Arial" w:cs="Arial"/>
          <w:sz w:val="24"/>
          <w:szCs w:val="24"/>
        </w:rPr>
        <w:t xml:space="preserve"> (‘the estate agent</w:t>
      </w:r>
      <w:r w:rsidR="00B4260A" w:rsidRPr="00442EC6">
        <w:rPr>
          <w:rFonts w:ascii="Arial" w:hAnsi="Arial" w:cs="Arial"/>
          <w:sz w:val="24"/>
          <w:szCs w:val="24"/>
        </w:rPr>
        <w:t>’)</w:t>
      </w:r>
      <w:r w:rsidR="00B51EF8" w:rsidRPr="00442EC6">
        <w:rPr>
          <w:rFonts w:ascii="Arial" w:hAnsi="Arial" w:cs="Arial"/>
          <w:sz w:val="24"/>
          <w:szCs w:val="24"/>
        </w:rPr>
        <w:t>.</w:t>
      </w:r>
      <w:r w:rsidR="00B4260A" w:rsidRPr="00442EC6">
        <w:rPr>
          <w:rFonts w:ascii="Arial" w:hAnsi="Arial" w:cs="Arial"/>
          <w:sz w:val="24"/>
          <w:szCs w:val="24"/>
        </w:rPr>
        <w:t xml:space="preserve"> The applicant called the estate agency and spoke to a certain Collen Sithole (‘Mr. Sithole’). The applicant and Mr. Sithole arranged an appointment to view the property on 3 October 2020.</w:t>
      </w:r>
      <w:r w:rsidR="00B51EF8" w:rsidRPr="00442EC6">
        <w:rPr>
          <w:rFonts w:ascii="Arial" w:hAnsi="Arial" w:cs="Arial"/>
          <w:sz w:val="24"/>
          <w:szCs w:val="24"/>
        </w:rPr>
        <w:t xml:space="preserve"> </w:t>
      </w:r>
    </w:p>
    <w:p w14:paraId="7F8103F8" w14:textId="77777777" w:rsidR="0022692F" w:rsidRPr="00AB20E7" w:rsidRDefault="0022692F" w:rsidP="0022692F">
      <w:pPr>
        <w:pStyle w:val="ListParagraph"/>
        <w:rPr>
          <w:rFonts w:ascii="Arial" w:hAnsi="Arial" w:cs="Arial"/>
          <w:sz w:val="24"/>
          <w:szCs w:val="24"/>
        </w:rPr>
      </w:pPr>
    </w:p>
    <w:p w14:paraId="471C7731" w14:textId="3786D008" w:rsidR="0022692F" w:rsidRPr="00442EC6" w:rsidRDefault="00442EC6" w:rsidP="00442EC6">
      <w:pPr>
        <w:tabs>
          <w:tab w:val="left" w:pos="4917"/>
        </w:tabs>
        <w:spacing w:before="120" w:after="120" w:line="360" w:lineRule="auto"/>
        <w:ind w:left="720" w:hanging="720"/>
        <w:jc w:val="both"/>
        <w:rPr>
          <w:rFonts w:ascii="Arial" w:hAnsi="Arial" w:cs="Arial"/>
          <w:sz w:val="24"/>
          <w:szCs w:val="24"/>
        </w:rPr>
      </w:pPr>
      <w:r w:rsidRPr="00AB20E7">
        <w:rPr>
          <w:rFonts w:ascii="Arial" w:hAnsi="Arial" w:cs="Arial"/>
          <w:sz w:val="24"/>
          <w:szCs w:val="24"/>
        </w:rPr>
        <w:t>[5]</w:t>
      </w:r>
      <w:r w:rsidRPr="00AB20E7">
        <w:rPr>
          <w:rFonts w:ascii="Arial" w:hAnsi="Arial" w:cs="Arial"/>
          <w:sz w:val="24"/>
          <w:szCs w:val="24"/>
        </w:rPr>
        <w:tab/>
      </w:r>
      <w:r w:rsidR="00B4260A" w:rsidRPr="00442EC6">
        <w:rPr>
          <w:rFonts w:ascii="Arial" w:hAnsi="Arial" w:cs="Arial"/>
          <w:sz w:val="24"/>
          <w:szCs w:val="24"/>
        </w:rPr>
        <w:t>On the day of the viewing, the applicant met Mr. Sithole who was accompanied by a female person who introduced herself as a lawyer by the name of Dora Rambau (‘Ms. Rambau’).  Ms. Rambau informed the applicant that she was working with Advocate Abram Moela (‘Adv. Moela’) and that they would ensure the transfer of the property in her name as soon as the purchase price of R160 000.00, together with the transfer and registration costs, were paid. The applicant signed an offer to purchase with Mr. Sithole and was furnished with Advocate Moela’s trust account details. The applicant paid the required a</w:t>
      </w:r>
      <w:r w:rsidR="007B380E" w:rsidRPr="00442EC6">
        <w:rPr>
          <w:rFonts w:ascii="Arial" w:hAnsi="Arial" w:cs="Arial"/>
          <w:sz w:val="24"/>
          <w:szCs w:val="24"/>
        </w:rPr>
        <w:t>mounts in two payments into Advocate</w:t>
      </w:r>
      <w:r w:rsidR="00B4260A" w:rsidRPr="00442EC6">
        <w:rPr>
          <w:rFonts w:ascii="Arial" w:hAnsi="Arial" w:cs="Arial"/>
          <w:sz w:val="24"/>
          <w:szCs w:val="24"/>
        </w:rPr>
        <w:t xml:space="preserve"> Moela’s trust account with First National Bank. The transfer </w:t>
      </w:r>
      <w:r w:rsidR="00C777EE" w:rsidRPr="00442EC6">
        <w:rPr>
          <w:rFonts w:ascii="Arial" w:hAnsi="Arial" w:cs="Arial"/>
          <w:sz w:val="24"/>
          <w:szCs w:val="24"/>
        </w:rPr>
        <w:t xml:space="preserve">and registration of the property into the applicant’s name </w:t>
      </w:r>
      <w:r w:rsidR="007B380E" w:rsidRPr="00442EC6">
        <w:rPr>
          <w:rFonts w:ascii="Arial" w:hAnsi="Arial" w:cs="Arial"/>
          <w:sz w:val="24"/>
          <w:szCs w:val="24"/>
        </w:rPr>
        <w:t>were</w:t>
      </w:r>
      <w:r w:rsidR="00C777EE" w:rsidRPr="00442EC6">
        <w:rPr>
          <w:rFonts w:ascii="Arial" w:hAnsi="Arial" w:cs="Arial"/>
          <w:sz w:val="24"/>
          <w:szCs w:val="24"/>
        </w:rPr>
        <w:t xml:space="preserve"> not attended to.</w:t>
      </w:r>
    </w:p>
    <w:p w14:paraId="4A916BA5" w14:textId="77777777" w:rsidR="00B4260A" w:rsidRPr="00AB20E7" w:rsidRDefault="00B4260A" w:rsidP="00B4260A">
      <w:pPr>
        <w:pStyle w:val="ListParagraph"/>
        <w:rPr>
          <w:rFonts w:ascii="Arial" w:hAnsi="Arial" w:cs="Arial"/>
          <w:sz w:val="24"/>
          <w:szCs w:val="24"/>
        </w:rPr>
      </w:pPr>
    </w:p>
    <w:p w14:paraId="3DB61000" w14:textId="7311AAE9" w:rsidR="00B4260A" w:rsidRPr="00442EC6" w:rsidRDefault="00442EC6" w:rsidP="00442EC6">
      <w:pPr>
        <w:tabs>
          <w:tab w:val="left" w:pos="4917"/>
        </w:tabs>
        <w:spacing w:before="120" w:after="120" w:line="360" w:lineRule="auto"/>
        <w:ind w:left="720" w:hanging="720"/>
        <w:jc w:val="both"/>
        <w:rPr>
          <w:rFonts w:ascii="Arial" w:hAnsi="Arial" w:cs="Arial"/>
          <w:sz w:val="24"/>
          <w:szCs w:val="24"/>
        </w:rPr>
      </w:pPr>
      <w:r w:rsidRPr="00AB20E7">
        <w:rPr>
          <w:rFonts w:ascii="Arial" w:hAnsi="Arial" w:cs="Arial"/>
          <w:sz w:val="24"/>
          <w:szCs w:val="24"/>
        </w:rPr>
        <w:t>[6]</w:t>
      </w:r>
      <w:r w:rsidRPr="00AB20E7">
        <w:rPr>
          <w:rFonts w:ascii="Arial" w:hAnsi="Arial" w:cs="Arial"/>
          <w:sz w:val="24"/>
          <w:szCs w:val="24"/>
        </w:rPr>
        <w:tab/>
      </w:r>
      <w:r w:rsidR="00B4260A" w:rsidRPr="00442EC6">
        <w:rPr>
          <w:rFonts w:ascii="Arial" w:hAnsi="Arial" w:cs="Arial"/>
          <w:sz w:val="24"/>
          <w:szCs w:val="24"/>
        </w:rPr>
        <w:t>In January 2021</w:t>
      </w:r>
      <w:r w:rsidR="007B380E" w:rsidRPr="00442EC6">
        <w:rPr>
          <w:rFonts w:ascii="Arial" w:hAnsi="Arial" w:cs="Arial"/>
          <w:sz w:val="24"/>
          <w:szCs w:val="24"/>
        </w:rPr>
        <w:t>,</w:t>
      </w:r>
      <w:r w:rsidR="00B4260A" w:rsidRPr="00442EC6">
        <w:rPr>
          <w:rFonts w:ascii="Arial" w:hAnsi="Arial" w:cs="Arial"/>
          <w:sz w:val="24"/>
          <w:szCs w:val="24"/>
        </w:rPr>
        <w:t xml:space="preserve"> the applicant lodged a complaint with the Legal Practice Council. During May 2021</w:t>
      </w:r>
      <w:r w:rsidR="007B380E" w:rsidRPr="00442EC6">
        <w:rPr>
          <w:rFonts w:ascii="Arial" w:hAnsi="Arial" w:cs="Arial"/>
          <w:sz w:val="24"/>
          <w:szCs w:val="24"/>
        </w:rPr>
        <w:t>,</w:t>
      </w:r>
      <w:r w:rsidR="00B4260A" w:rsidRPr="00442EC6">
        <w:rPr>
          <w:rFonts w:ascii="Arial" w:hAnsi="Arial" w:cs="Arial"/>
          <w:sz w:val="24"/>
          <w:szCs w:val="24"/>
        </w:rPr>
        <w:t xml:space="preserve"> she lodged a claim with the Fund in order to recover the money. The Fund instituted an investigation against Advocate Moela</w:t>
      </w:r>
      <w:r w:rsidR="00C777EE" w:rsidRPr="00442EC6">
        <w:rPr>
          <w:rFonts w:ascii="Arial" w:hAnsi="Arial" w:cs="Arial"/>
          <w:sz w:val="24"/>
          <w:szCs w:val="24"/>
        </w:rPr>
        <w:t>. Advocate Moela deposed to an affidavit to the effect that he transferred the R160 000.00 received from the applicant to the estate agent as he was also doing debt collections for the estate agency. Advocate Moela further alleged that he was scammed by the estate agency.</w:t>
      </w:r>
    </w:p>
    <w:p w14:paraId="4E5089AC" w14:textId="77777777" w:rsidR="0022692F" w:rsidRPr="00AB20E7" w:rsidRDefault="0022692F" w:rsidP="0022692F">
      <w:pPr>
        <w:pStyle w:val="ListParagraph"/>
        <w:rPr>
          <w:rFonts w:ascii="Arial" w:hAnsi="Arial" w:cs="Arial"/>
          <w:sz w:val="24"/>
          <w:szCs w:val="24"/>
        </w:rPr>
      </w:pPr>
    </w:p>
    <w:p w14:paraId="305ADC80" w14:textId="2332807F" w:rsidR="0022692F" w:rsidRPr="00442EC6" w:rsidRDefault="00442EC6" w:rsidP="00442EC6">
      <w:pPr>
        <w:tabs>
          <w:tab w:val="left" w:pos="4917"/>
        </w:tabs>
        <w:spacing w:before="120" w:after="120" w:line="360" w:lineRule="auto"/>
        <w:ind w:left="720" w:hanging="720"/>
        <w:jc w:val="both"/>
        <w:rPr>
          <w:rFonts w:ascii="Arial" w:hAnsi="Arial" w:cs="Arial"/>
          <w:sz w:val="24"/>
          <w:szCs w:val="24"/>
        </w:rPr>
      </w:pPr>
      <w:r w:rsidRPr="00AB20E7">
        <w:rPr>
          <w:rFonts w:ascii="Arial" w:hAnsi="Arial" w:cs="Arial"/>
          <w:sz w:val="24"/>
          <w:szCs w:val="24"/>
        </w:rPr>
        <w:t>[7]</w:t>
      </w:r>
      <w:r w:rsidRPr="00AB20E7">
        <w:rPr>
          <w:rFonts w:ascii="Arial" w:hAnsi="Arial" w:cs="Arial"/>
          <w:sz w:val="24"/>
          <w:szCs w:val="24"/>
        </w:rPr>
        <w:tab/>
      </w:r>
      <w:r w:rsidR="00C777EE" w:rsidRPr="00442EC6">
        <w:rPr>
          <w:rFonts w:ascii="Arial" w:hAnsi="Arial" w:cs="Arial"/>
          <w:sz w:val="24"/>
          <w:szCs w:val="24"/>
        </w:rPr>
        <w:t>On or about 22 September 2021</w:t>
      </w:r>
      <w:r w:rsidR="007B380E" w:rsidRPr="00442EC6">
        <w:rPr>
          <w:rFonts w:ascii="Arial" w:hAnsi="Arial" w:cs="Arial"/>
          <w:sz w:val="24"/>
          <w:szCs w:val="24"/>
        </w:rPr>
        <w:t>,</w:t>
      </w:r>
      <w:r w:rsidR="00C777EE" w:rsidRPr="00442EC6">
        <w:rPr>
          <w:rFonts w:ascii="Arial" w:hAnsi="Arial" w:cs="Arial"/>
          <w:sz w:val="24"/>
          <w:szCs w:val="24"/>
        </w:rPr>
        <w:t xml:space="preserve"> the Fund dismissed the applicant’s claim on the basis tha</w:t>
      </w:r>
      <w:bookmarkStart w:id="0" w:name="_GoBack"/>
      <w:bookmarkEnd w:id="0"/>
      <w:r w:rsidR="00C777EE" w:rsidRPr="00442EC6">
        <w:rPr>
          <w:rFonts w:ascii="Arial" w:hAnsi="Arial" w:cs="Arial"/>
          <w:sz w:val="24"/>
          <w:szCs w:val="24"/>
        </w:rPr>
        <w:t>t the claim did not comply with the provisions of section 55 of the LPA, and more particularly because the money was not ‘</w:t>
      </w:r>
      <w:r w:rsidR="00C777EE" w:rsidRPr="00442EC6">
        <w:rPr>
          <w:rFonts w:ascii="Arial" w:hAnsi="Arial" w:cs="Arial"/>
          <w:i/>
          <w:sz w:val="24"/>
          <w:szCs w:val="24"/>
        </w:rPr>
        <w:t>given in trust to a trust account practice in the course of the practice of the … advocate referred to in section 34(2)(b).’</w:t>
      </w:r>
    </w:p>
    <w:p w14:paraId="4CD9A653" w14:textId="77777777" w:rsidR="00A2130E" w:rsidRPr="00AB20E7" w:rsidRDefault="00A2130E" w:rsidP="00A2130E">
      <w:pPr>
        <w:pStyle w:val="ListParagraph"/>
        <w:rPr>
          <w:rFonts w:ascii="Arial" w:hAnsi="Arial" w:cs="Arial"/>
          <w:sz w:val="24"/>
          <w:szCs w:val="24"/>
        </w:rPr>
      </w:pPr>
    </w:p>
    <w:p w14:paraId="1D3E7FF1" w14:textId="1D5AFC2C" w:rsidR="00A2130E" w:rsidRPr="00442EC6" w:rsidRDefault="00442EC6" w:rsidP="00442EC6">
      <w:pPr>
        <w:tabs>
          <w:tab w:val="left" w:pos="4917"/>
        </w:tabs>
        <w:spacing w:before="120" w:after="120" w:line="360" w:lineRule="auto"/>
        <w:ind w:left="720" w:hanging="720"/>
        <w:jc w:val="both"/>
        <w:rPr>
          <w:rFonts w:ascii="Arial" w:hAnsi="Arial" w:cs="Arial"/>
          <w:sz w:val="24"/>
          <w:szCs w:val="24"/>
        </w:rPr>
      </w:pPr>
      <w:r w:rsidRPr="00AB20E7">
        <w:rPr>
          <w:rFonts w:ascii="Arial" w:hAnsi="Arial" w:cs="Arial"/>
          <w:sz w:val="24"/>
          <w:szCs w:val="24"/>
        </w:rPr>
        <w:t>[8]</w:t>
      </w:r>
      <w:r w:rsidRPr="00AB20E7">
        <w:rPr>
          <w:rFonts w:ascii="Arial" w:hAnsi="Arial" w:cs="Arial"/>
          <w:sz w:val="24"/>
          <w:szCs w:val="24"/>
        </w:rPr>
        <w:tab/>
      </w:r>
      <w:r w:rsidR="00A2130E" w:rsidRPr="00442EC6">
        <w:rPr>
          <w:rFonts w:ascii="Arial" w:hAnsi="Arial" w:cs="Arial"/>
          <w:sz w:val="24"/>
          <w:szCs w:val="24"/>
        </w:rPr>
        <w:t xml:space="preserve">The crisp issue for determination is whether it can be found that Advocate Moela received the purchase price and registration and transfer costs that were paid into his trust account, in </w:t>
      </w:r>
      <w:r w:rsidR="00A2130E" w:rsidRPr="00442EC6">
        <w:rPr>
          <w:rFonts w:ascii="Arial" w:hAnsi="Arial" w:cs="Arial"/>
          <w:b/>
          <w:sz w:val="24"/>
          <w:szCs w:val="24"/>
        </w:rPr>
        <w:t>the course of his practice</w:t>
      </w:r>
      <w:r w:rsidR="00A2130E" w:rsidRPr="00442EC6">
        <w:rPr>
          <w:rFonts w:ascii="Arial" w:hAnsi="Arial" w:cs="Arial"/>
          <w:sz w:val="24"/>
          <w:szCs w:val="24"/>
        </w:rPr>
        <w:t xml:space="preserve"> as a trust account advocate. </w:t>
      </w:r>
    </w:p>
    <w:p w14:paraId="01BF1141" w14:textId="77777777" w:rsidR="00A2130E" w:rsidRPr="00AB20E7" w:rsidRDefault="00A2130E" w:rsidP="00A2130E">
      <w:pPr>
        <w:pStyle w:val="ListParagraph"/>
        <w:rPr>
          <w:rFonts w:ascii="Arial" w:hAnsi="Arial" w:cs="Arial"/>
          <w:sz w:val="24"/>
          <w:szCs w:val="24"/>
        </w:rPr>
      </w:pPr>
    </w:p>
    <w:p w14:paraId="6269A2BB" w14:textId="11EEC5FA" w:rsidR="00A2130E" w:rsidRPr="00442EC6" w:rsidRDefault="00442EC6" w:rsidP="00442EC6">
      <w:pPr>
        <w:tabs>
          <w:tab w:val="left" w:pos="4917"/>
        </w:tabs>
        <w:spacing w:before="120" w:after="120" w:line="360" w:lineRule="auto"/>
        <w:ind w:left="720" w:hanging="720"/>
        <w:jc w:val="both"/>
        <w:rPr>
          <w:rFonts w:ascii="Arial" w:hAnsi="Arial" w:cs="Arial"/>
          <w:sz w:val="24"/>
          <w:szCs w:val="24"/>
        </w:rPr>
      </w:pPr>
      <w:r w:rsidRPr="00D72CE8">
        <w:rPr>
          <w:rFonts w:ascii="Arial" w:hAnsi="Arial" w:cs="Arial"/>
          <w:sz w:val="24"/>
          <w:szCs w:val="24"/>
        </w:rPr>
        <w:lastRenderedPageBreak/>
        <w:t>[9]</w:t>
      </w:r>
      <w:r w:rsidRPr="00D72CE8">
        <w:rPr>
          <w:rFonts w:ascii="Arial" w:hAnsi="Arial" w:cs="Arial"/>
          <w:sz w:val="24"/>
          <w:szCs w:val="24"/>
        </w:rPr>
        <w:tab/>
      </w:r>
      <w:r w:rsidR="00A2130E" w:rsidRPr="00442EC6">
        <w:rPr>
          <w:rFonts w:ascii="Arial" w:hAnsi="Arial" w:cs="Arial"/>
          <w:sz w:val="24"/>
          <w:szCs w:val="24"/>
        </w:rPr>
        <w:t xml:space="preserve">Ms. Rabalao stated that she made the payment into Advocate Moela’s trust account so that he could transfer the property to her name. Advocate Moela was undoubtedly not in a position to register the property in Ms. Rabalao’s name because he is not a conveyancer. Does this then absolve the Fund of liability in circumstances where it is common cause that the money was paid into the advocate’s trust account, and that he was in possession of a Fidelity Fund certificate at the time the money was paid into his </w:t>
      </w:r>
      <w:r w:rsidR="007B380E" w:rsidRPr="00442EC6">
        <w:rPr>
          <w:rFonts w:ascii="Arial" w:hAnsi="Arial" w:cs="Arial"/>
          <w:sz w:val="24"/>
          <w:szCs w:val="24"/>
        </w:rPr>
        <w:t xml:space="preserve">trust </w:t>
      </w:r>
      <w:r w:rsidR="00A2130E" w:rsidRPr="00442EC6">
        <w:rPr>
          <w:rFonts w:ascii="Arial" w:hAnsi="Arial" w:cs="Arial"/>
          <w:sz w:val="24"/>
          <w:szCs w:val="24"/>
        </w:rPr>
        <w:t>account</w:t>
      </w:r>
      <w:r w:rsidR="007B380E" w:rsidRPr="00442EC6">
        <w:rPr>
          <w:rFonts w:ascii="Arial" w:hAnsi="Arial" w:cs="Arial"/>
          <w:sz w:val="24"/>
          <w:szCs w:val="24"/>
        </w:rPr>
        <w:t>?</w:t>
      </w:r>
    </w:p>
    <w:p w14:paraId="2A9F9382" w14:textId="77777777" w:rsidR="0022692F" w:rsidRPr="00AB20E7" w:rsidRDefault="0022692F" w:rsidP="0022692F">
      <w:pPr>
        <w:pStyle w:val="ListParagraph"/>
        <w:rPr>
          <w:rFonts w:ascii="Arial" w:hAnsi="Arial" w:cs="Arial"/>
          <w:sz w:val="24"/>
          <w:szCs w:val="24"/>
        </w:rPr>
      </w:pPr>
    </w:p>
    <w:p w14:paraId="156CFA61" w14:textId="7E553E56" w:rsidR="0022692F" w:rsidRPr="00AB20E7" w:rsidRDefault="004849DA" w:rsidP="00C777EE">
      <w:pPr>
        <w:tabs>
          <w:tab w:val="left" w:pos="4917"/>
        </w:tabs>
        <w:spacing w:before="120" w:after="120" w:line="360" w:lineRule="auto"/>
        <w:jc w:val="both"/>
        <w:rPr>
          <w:rFonts w:ascii="Arial" w:hAnsi="Arial" w:cs="Arial"/>
          <w:b/>
          <w:sz w:val="24"/>
          <w:szCs w:val="24"/>
        </w:rPr>
      </w:pPr>
      <w:r w:rsidRPr="00AB20E7">
        <w:rPr>
          <w:rFonts w:ascii="Arial" w:hAnsi="Arial" w:cs="Arial"/>
          <w:b/>
          <w:sz w:val="24"/>
          <w:szCs w:val="24"/>
        </w:rPr>
        <w:t>The submissions</w:t>
      </w:r>
      <w:r w:rsidR="00C777EE" w:rsidRPr="00AB20E7">
        <w:rPr>
          <w:rFonts w:ascii="Arial" w:hAnsi="Arial" w:cs="Arial"/>
          <w:b/>
          <w:sz w:val="24"/>
          <w:szCs w:val="24"/>
        </w:rPr>
        <w:t xml:space="preserve"> </w:t>
      </w:r>
    </w:p>
    <w:p w14:paraId="274576C9" w14:textId="6C749E18" w:rsidR="00464449" w:rsidRPr="00442EC6" w:rsidRDefault="00442EC6" w:rsidP="00442EC6">
      <w:pPr>
        <w:tabs>
          <w:tab w:val="left" w:pos="4917"/>
        </w:tabs>
        <w:spacing w:before="120" w:after="120" w:line="360" w:lineRule="auto"/>
        <w:ind w:left="1440" w:hanging="360"/>
        <w:jc w:val="both"/>
        <w:rPr>
          <w:rFonts w:ascii="Arial" w:hAnsi="Arial" w:cs="Arial"/>
          <w:b/>
          <w:i/>
          <w:sz w:val="24"/>
          <w:szCs w:val="24"/>
        </w:rPr>
      </w:pPr>
      <w:r w:rsidRPr="00AB20E7">
        <w:rPr>
          <w:rFonts w:ascii="Arial" w:hAnsi="Arial" w:cs="Arial"/>
          <w:b/>
          <w:i/>
          <w:sz w:val="24"/>
          <w:szCs w:val="24"/>
        </w:rPr>
        <w:t>i.</w:t>
      </w:r>
      <w:r w:rsidRPr="00AB20E7">
        <w:rPr>
          <w:rFonts w:ascii="Arial" w:hAnsi="Arial" w:cs="Arial"/>
          <w:b/>
          <w:i/>
          <w:sz w:val="24"/>
          <w:szCs w:val="24"/>
        </w:rPr>
        <w:tab/>
      </w:r>
      <w:r w:rsidR="00464449" w:rsidRPr="00442EC6">
        <w:rPr>
          <w:rFonts w:ascii="Arial" w:hAnsi="Arial" w:cs="Arial"/>
          <w:b/>
          <w:i/>
          <w:sz w:val="24"/>
          <w:szCs w:val="24"/>
        </w:rPr>
        <w:t>The applicant’s submissions</w:t>
      </w:r>
    </w:p>
    <w:p w14:paraId="73C36A5E" w14:textId="77777777" w:rsidR="0022692F" w:rsidRPr="00AB20E7" w:rsidRDefault="0022692F" w:rsidP="0022692F">
      <w:pPr>
        <w:pStyle w:val="ListParagraph"/>
        <w:rPr>
          <w:rFonts w:ascii="Arial" w:hAnsi="Arial" w:cs="Arial"/>
          <w:sz w:val="24"/>
          <w:szCs w:val="24"/>
        </w:rPr>
      </w:pPr>
    </w:p>
    <w:p w14:paraId="647261A7" w14:textId="58A2A19C" w:rsidR="000A636A" w:rsidRPr="00442EC6" w:rsidRDefault="00442EC6" w:rsidP="00442EC6">
      <w:pPr>
        <w:tabs>
          <w:tab w:val="left" w:pos="4917"/>
        </w:tabs>
        <w:spacing w:before="120" w:after="120" w:line="360" w:lineRule="auto"/>
        <w:ind w:left="720" w:hanging="720"/>
        <w:jc w:val="both"/>
        <w:rPr>
          <w:rFonts w:ascii="Arial" w:hAnsi="Arial" w:cs="Arial"/>
          <w:sz w:val="24"/>
          <w:szCs w:val="24"/>
        </w:rPr>
      </w:pPr>
      <w:r w:rsidRPr="00AB20E7">
        <w:rPr>
          <w:rFonts w:ascii="Arial" w:hAnsi="Arial" w:cs="Arial"/>
          <w:sz w:val="24"/>
          <w:szCs w:val="24"/>
        </w:rPr>
        <w:t>[10]</w:t>
      </w:r>
      <w:r w:rsidRPr="00AB20E7">
        <w:rPr>
          <w:rFonts w:ascii="Arial" w:hAnsi="Arial" w:cs="Arial"/>
          <w:sz w:val="24"/>
          <w:szCs w:val="24"/>
        </w:rPr>
        <w:tab/>
      </w:r>
      <w:r w:rsidR="000A636A" w:rsidRPr="00442EC6">
        <w:rPr>
          <w:rFonts w:ascii="Arial" w:hAnsi="Arial" w:cs="Arial"/>
          <w:sz w:val="24"/>
          <w:szCs w:val="24"/>
        </w:rPr>
        <w:t>The applicant submits</w:t>
      </w:r>
      <w:r w:rsidR="00464449" w:rsidRPr="00442EC6">
        <w:rPr>
          <w:rFonts w:ascii="Arial" w:hAnsi="Arial" w:cs="Arial"/>
          <w:sz w:val="24"/>
          <w:szCs w:val="24"/>
        </w:rPr>
        <w:t xml:space="preserve"> that she is an innocent member of the public who lost money as a result of the alleged theft of trust fund m</w:t>
      </w:r>
      <w:r w:rsidR="00A2130E" w:rsidRPr="00442EC6">
        <w:rPr>
          <w:rFonts w:ascii="Arial" w:hAnsi="Arial" w:cs="Arial"/>
          <w:sz w:val="24"/>
          <w:szCs w:val="24"/>
        </w:rPr>
        <w:t>onies by a legal practitioner as</w:t>
      </w:r>
      <w:r w:rsidR="00464449" w:rsidRPr="00442EC6">
        <w:rPr>
          <w:rFonts w:ascii="Arial" w:hAnsi="Arial" w:cs="Arial"/>
          <w:sz w:val="24"/>
          <w:szCs w:val="24"/>
        </w:rPr>
        <w:t xml:space="preserve"> defined in s 34(2) of the LPA. She stated that it is common cause that Advocate Moela was an advocate admitted in terms of s 34(2)(b), and as such authorised to render legal services upon receipt of a request directly from a member of the public. She, as a </w:t>
      </w:r>
      <w:r w:rsidR="001E063B" w:rsidRPr="00442EC6">
        <w:rPr>
          <w:rFonts w:ascii="Arial" w:hAnsi="Arial" w:cs="Arial"/>
          <w:sz w:val="24"/>
          <w:szCs w:val="24"/>
        </w:rPr>
        <w:t>layperson</w:t>
      </w:r>
      <w:r w:rsidR="00464449" w:rsidRPr="00442EC6">
        <w:rPr>
          <w:rFonts w:ascii="Arial" w:hAnsi="Arial" w:cs="Arial"/>
          <w:sz w:val="24"/>
          <w:szCs w:val="24"/>
        </w:rPr>
        <w:t>, has limited knowledge regarding, amongst others, the ‘types’ of legal practitioners, especially the requirement that only a legal practitioner who is an admitted attorn</w:t>
      </w:r>
      <w:r w:rsidR="001E063B" w:rsidRPr="00442EC6">
        <w:rPr>
          <w:rFonts w:ascii="Arial" w:hAnsi="Arial" w:cs="Arial"/>
          <w:sz w:val="24"/>
          <w:szCs w:val="24"/>
        </w:rPr>
        <w:t>ey and conveyancer can a</w:t>
      </w:r>
      <w:r w:rsidR="00464449" w:rsidRPr="00442EC6">
        <w:rPr>
          <w:rFonts w:ascii="Arial" w:hAnsi="Arial" w:cs="Arial"/>
          <w:sz w:val="24"/>
          <w:szCs w:val="24"/>
        </w:rPr>
        <w:t>ffect the transfer and registration of immovable properties. At the time of the commissioning of the theft of the trust funds, Advocate Moela was in possession of a valid Legal Practitioner’s Fi</w:t>
      </w:r>
      <w:r w:rsidR="00627E8C" w:rsidRPr="00442EC6">
        <w:rPr>
          <w:rFonts w:ascii="Arial" w:hAnsi="Arial" w:cs="Arial"/>
          <w:sz w:val="24"/>
          <w:szCs w:val="24"/>
        </w:rPr>
        <w:t>delity Fund Certificate. Since A</w:t>
      </w:r>
      <w:r w:rsidR="00464449" w:rsidRPr="00442EC6">
        <w:rPr>
          <w:rFonts w:ascii="Arial" w:hAnsi="Arial" w:cs="Arial"/>
          <w:sz w:val="24"/>
          <w:szCs w:val="24"/>
        </w:rPr>
        <w:t>dvocate Moela was regulated by the Legal Practice Council in terms of the LPA, the Fund cannot escape liability by introducing further requirements of what services advocates with trust accounts can perform.</w:t>
      </w:r>
    </w:p>
    <w:p w14:paraId="49D977B8" w14:textId="77777777" w:rsidR="00464449" w:rsidRPr="00AB20E7" w:rsidRDefault="00464449" w:rsidP="00464449">
      <w:pPr>
        <w:pStyle w:val="ListParagraph"/>
        <w:tabs>
          <w:tab w:val="left" w:pos="4917"/>
        </w:tabs>
        <w:spacing w:before="120" w:after="120" w:line="360" w:lineRule="auto"/>
        <w:jc w:val="both"/>
        <w:rPr>
          <w:rFonts w:ascii="Arial" w:hAnsi="Arial" w:cs="Arial"/>
          <w:sz w:val="24"/>
          <w:szCs w:val="24"/>
        </w:rPr>
      </w:pPr>
    </w:p>
    <w:p w14:paraId="2D533F3B" w14:textId="6914A0B9" w:rsidR="00464449" w:rsidRPr="00AB20E7" w:rsidRDefault="00464449" w:rsidP="00C83A67">
      <w:pPr>
        <w:tabs>
          <w:tab w:val="left" w:pos="4917"/>
        </w:tabs>
        <w:spacing w:before="120" w:after="120" w:line="360" w:lineRule="auto"/>
        <w:ind w:left="1440" w:hanging="360"/>
        <w:jc w:val="both"/>
        <w:rPr>
          <w:rFonts w:ascii="Arial" w:hAnsi="Arial" w:cs="Arial"/>
          <w:b/>
          <w:i/>
          <w:sz w:val="24"/>
          <w:szCs w:val="24"/>
        </w:rPr>
      </w:pPr>
      <w:r w:rsidRPr="00AB20E7">
        <w:rPr>
          <w:rFonts w:ascii="Arial" w:hAnsi="Arial" w:cs="Arial"/>
          <w:b/>
          <w:i/>
          <w:sz w:val="24"/>
          <w:szCs w:val="24"/>
        </w:rPr>
        <w:t xml:space="preserve">ii. </w:t>
      </w:r>
      <w:r w:rsidR="00C83A67" w:rsidRPr="00AB20E7">
        <w:rPr>
          <w:rFonts w:ascii="Arial" w:hAnsi="Arial" w:cs="Arial"/>
          <w:b/>
          <w:i/>
          <w:sz w:val="24"/>
          <w:szCs w:val="24"/>
        </w:rPr>
        <w:tab/>
      </w:r>
      <w:r w:rsidRPr="00AB20E7">
        <w:rPr>
          <w:rFonts w:ascii="Arial" w:hAnsi="Arial" w:cs="Arial"/>
          <w:b/>
          <w:i/>
          <w:sz w:val="24"/>
          <w:szCs w:val="24"/>
        </w:rPr>
        <w:t>The respondents’ submissions</w:t>
      </w:r>
    </w:p>
    <w:p w14:paraId="1F7BEF44" w14:textId="4A013F06" w:rsidR="000A636A" w:rsidRPr="00AB20E7" w:rsidRDefault="000A636A" w:rsidP="000A636A">
      <w:pPr>
        <w:pStyle w:val="ListParagraph"/>
        <w:tabs>
          <w:tab w:val="left" w:pos="4917"/>
        </w:tabs>
        <w:spacing w:before="120" w:after="120" w:line="360" w:lineRule="auto"/>
        <w:jc w:val="both"/>
        <w:rPr>
          <w:rFonts w:ascii="Arial" w:hAnsi="Arial" w:cs="Arial"/>
          <w:sz w:val="24"/>
          <w:szCs w:val="24"/>
        </w:rPr>
      </w:pPr>
    </w:p>
    <w:p w14:paraId="6DBA8F25" w14:textId="04BAE33F" w:rsidR="0022692F" w:rsidRPr="00442EC6" w:rsidRDefault="00442EC6" w:rsidP="00442EC6">
      <w:pPr>
        <w:tabs>
          <w:tab w:val="left" w:pos="4917"/>
        </w:tabs>
        <w:spacing w:before="120" w:after="120" w:line="360" w:lineRule="auto"/>
        <w:ind w:left="720" w:hanging="720"/>
        <w:jc w:val="both"/>
        <w:rPr>
          <w:rFonts w:ascii="Arial" w:hAnsi="Arial" w:cs="Arial"/>
          <w:sz w:val="24"/>
          <w:szCs w:val="24"/>
        </w:rPr>
      </w:pPr>
      <w:r w:rsidRPr="00AB20E7">
        <w:rPr>
          <w:rFonts w:ascii="Arial" w:hAnsi="Arial" w:cs="Arial"/>
          <w:sz w:val="24"/>
          <w:szCs w:val="24"/>
        </w:rPr>
        <w:t>[11]</w:t>
      </w:r>
      <w:r w:rsidRPr="00AB20E7">
        <w:rPr>
          <w:rFonts w:ascii="Arial" w:hAnsi="Arial" w:cs="Arial"/>
          <w:sz w:val="24"/>
          <w:szCs w:val="24"/>
        </w:rPr>
        <w:tab/>
      </w:r>
      <w:r w:rsidR="00C777EE" w:rsidRPr="00442EC6">
        <w:rPr>
          <w:rFonts w:ascii="Arial" w:hAnsi="Arial" w:cs="Arial"/>
          <w:sz w:val="24"/>
          <w:szCs w:val="24"/>
        </w:rPr>
        <w:t>The Fund contends that the said money was not paid in trust to the</w:t>
      </w:r>
      <w:r w:rsidR="0098445E" w:rsidRPr="00442EC6">
        <w:rPr>
          <w:rFonts w:ascii="Arial" w:hAnsi="Arial" w:cs="Arial"/>
          <w:sz w:val="24"/>
          <w:szCs w:val="24"/>
        </w:rPr>
        <w:t xml:space="preserve"> trust account advocate in the course and </w:t>
      </w:r>
      <w:r w:rsidR="00627E8C" w:rsidRPr="00442EC6">
        <w:rPr>
          <w:rFonts w:ascii="Arial" w:hAnsi="Arial" w:cs="Arial"/>
          <w:sz w:val="24"/>
          <w:szCs w:val="24"/>
        </w:rPr>
        <w:t>scope of an advocate holding a Fidelity F</w:t>
      </w:r>
      <w:r w:rsidR="0098445E" w:rsidRPr="00442EC6">
        <w:rPr>
          <w:rFonts w:ascii="Arial" w:hAnsi="Arial" w:cs="Arial"/>
          <w:sz w:val="24"/>
          <w:szCs w:val="24"/>
        </w:rPr>
        <w:t>und certificate, and, in consequence, even if there was a theft of funds, such theft was not committed in the course and prac</w:t>
      </w:r>
      <w:r w:rsidR="00627E8C" w:rsidRPr="00442EC6">
        <w:rPr>
          <w:rFonts w:ascii="Arial" w:hAnsi="Arial" w:cs="Arial"/>
          <w:sz w:val="24"/>
          <w:szCs w:val="24"/>
        </w:rPr>
        <w:t>tice of an advocate holding a Fidelity F</w:t>
      </w:r>
      <w:r w:rsidR="0098445E" w:rsidRPr="00442EC6">
        <w:rPr>
          <w:rFonts w:ascii="Arial" w:hAnsi="Arial" w:cs="Arial"/>
          <w:sz w:val="24"/>
          <w:szCs w:val="24"/>
        </w:rPr>
        <w:t xml:space="preserve">und certificate. </w:t>
      </w:r>
      <w:r w:rsidR="002019D7" w:rsidRPr="00442EC6">
        <w:rPr>
          <w:rFonts w:ascii="Arial" w:hAnsi="Arial" w:cs="Arial"/>
          <w:sz w:val="24"/>
          <w:szCs w:val="24"/>
        </w:rPr>
        <w:t xml:space="preserve">An </w:t>
      </w:r>
      <w:r w:rsidR="002019D7" w:rsidRPr="00442EC6">
        <w:rPr>
          <w:rFonts w:ascii="Arial" w:hAnsi="Arial" w:cs="Arial"/>
          <w:sz w:val="24"/>
          <w:szCs w:val="24"/>
        </w:rPr>
        <w:lastRenderedPageBreak/>
        <w:t xml:space="preserve">advocate who is in possession </w:t>
      </w:r>
      <w:r w:rsidR="00627E8C" w:rsidRPr="00442EC6">
        <w:rPr>
          <w:rFonts w:ascii="Arial" w:hAnsi="Arial" w:cs="Arial"/>
          <w:sz w:val="24"/>
          <w:szCs w:val="24"/>
        </w:rPr>
        <w:t>of a Fidelity F</w:t>
      </w:r>
      <w:r w:rsidR="002C7A3D" w:rsidRPr="00442EC6">
        <w:rPr>
          <w:rFonts w:ascii="Arial" w:hAnsi="Arial" w:cs="Arial"/>
          <w:sz w:val="24"/>
          <w:szCs w:val="24"/>
        </w:rPr>
        <w:t xml:space="preserve">und certificate </w:t>
      </w:r>
      <w:r w:rsidR="002019D7" w:rsidRPr="00442EC6">
        <w:rPr>
          <w:rFonts w:ascii="Arial" w:hAnsi="Arial" w:cs="Arial"/>
          <w:sz w:val="24"/>
          <w:szCs w:val="24"/>
        </w:rPr>
        <w:t xml:space="preserve">is, so the respondents’ counsel submitted, not lawfully in a position to take instructions regarding conveyancing work to be done, and, accordingly, such work is not work that may be undertaken in the course of the practice of such an advocate. </w:t>
      </w:r>
      <w:r w:rsidR="0098445E" w:rsidRPr="00442EC6">
        <w:rPr>
          <w:rFonts w:ascii="Arial" w:hAnsi="Arial" w:cs="Arial"/>
          <w:sz w:val="24"/>
          <w:szCs w:val="24"/>
        </w:rPr>
        <w:t xml:space="preserve">The respondents submit that the matter would have been no different if the applicant had given the money to a paralegal, or to someone who does not lawfully conduct a trust account practice in accordance with the LPA, in the </w:t>
      </w:r>
      <w:r w:rsidR="0098445E" w:rsidRPr="00442EC6">
        <w:rPr>
          <w:rFonts w:ascii="Arial" w:hAnsi="Arial" w:cs="Arial"/>
          <w:i/>
          <w:sz w:val="24"/>
          <w:szCs w:val="24"/>
        </w:rPr>
        <w:t>bona fide</w:t>
      </w:r>
      <w:r w:rsidR="0098445E" w:rsidRPr="00442EC6">
        <w:rPr>
          <w:rFonts w:ascii="Arial" w:hAnsi="Arial" w:cs="Arial"/>
          <w:sz w:val="24"/>
          <w:szCs w:val="24"/>
        </w:rPr>
        <w:t xml:space="preserve"> but mistaken belief that the person concerned was a conveyancer. Such entrustment, the respondents contend, would not have been in the course and scope of the practice of a practitioner holding a fidelity fund certificate, and, in consequence, even if there was a theft of funds, such theft would not have been committed</w:t>
      </w:r>
      <w:r w:rsidR="002019D7" w:rsidRPr="00442EC6">
        <w:rPr>
          <w:rFonts w:ascii="Arial" w:hAnsi="Arial" w:cs="Arial"/>
          <w:sz w:val="24"/>
          <w:szCs w:val="24"/>
        </w:rPr>
        <w:t xml:space="preserve"> in the course of the practic</w:t>
      </w:r>
      <w:r w:rsidR="0098445E" w:rsidRPr="00442EC6">
        <w:rPr>
          <w:rFonts w:ascii="Arial" w:hAnsi="Arial" w:cs="Arial"/>
          <w:sz w:val="24"/>
          <w:szCs w:val="24"/>
        </w:rPr>
        <w:t>e of a practitioner holding a fidelity fund certificate.</w:t>
      </w:r>
    </w:p>
    <w:p w14:paraId="26A1A8D2" w14:textId="77777777" w:rsidR="0022692F" w:rsidRPr="00AB20E7" w:rsidRDefault="0022692F" w:rsidP="0022692F">
      <w:pPr>
        <w:pStyle w:val="ListParagraph"/>
        <w:rPr>
          <w:rFonts w:ascii="Arial" w:hAnsi="Arial" w:cs="Arial"/>
          <w:sz w:val="24"/>
          <w:szCs w:val="24"/>
        </w:rPr>
      </w:pPr>
    </w:p>
    <w:p w14:paraId="3718327F" w14:textId="08728554" w:rsidR="0022692F" w:rsidRPr="00442EC6" w:rsidRDefault="00442EC6" w:rsidP="00442EC6">
      <w:pPr>
        <w:tabs>
          <w:tab w:val="left" w:pos="4917"/>
        </w:tabs>
        <w:spacing w:before="120" w:after="120" w:line="360" w:lineRule="auto"/>
        <w:ind w:left="720" w:hanging="720"/>
        <w:jc w:val="both"/>
        <w:rPr>
          <w:rFonts w:ascii="Arial" w:hAnsi="Arial" w:cs="Arial"/>
          <w:sz w:val="24"/>
          <w:szCs w:val="24"/>
        </w:rPr>
      </w:pPr>
      <w:r w:rsidRPr="00AB20E7">
        <w:rPr>
          <w:rFonts w:ascii="Arial" w:hAnsi="Arial" w:cs="Arial"/>
          <w:sz w:val="24"/>
          <w:szCs w:val="24"/>
        </w:rPr>
        <w:t>[12]</w:t>
      </w:r>
      <w:r w:rsidRPr="00AB20E7">
        <w:rPr>
          <w:rFonts w:ascii="Arial" w:hAnsi="Arial" w:cs="Arial"/>
          <w:sz w:val="24"/>
          <w:szCs w:val="24"/>
        </w:rPr>
        <w:tab/>
      </w:r>
      <w:r w:rsidR="0098445E" w:rsidRPr="00442EC6">
        <w:rPr>
          <w:rFonts w:ascii="Arial" w:hAnsi="Arial" w:cs="Arial"/>
          <w:sz w:val="24"/>
          <w:szCs w:val="24"/>
        </w:rPr>
        <w:t xml:space="preserve">The respondents’ counsel submitted that the presumption that statutes do not contain invalid or purposeless provisions is </w:t>
      </w:r>
      <w:r w:rsidR="004849DA" w:rsidRPr="00442EC6">
        <w:rPr>
          <w:rFonts w:ascii="Arial" w:hAnsi="Arial" w:cs="Arial"/>
          <w:sz w:val="24"/>
          <w:szCs w:val="24"/>
        </w:rPr>
        <w:t>well established in our law, as is the principle</w:t>
      </w:r>
      <w:r w:rsidR="0098445E" w:rsidRPr="00442EC6">
        <w:rPr>
          <w:rFonts w:ascii="Arial" w:hAnsi="Arial" w:cs="Arial"/>
          <w:sz w:val="24"/>
          <w:szCs w:val="24"/>
        </w:rPr>
        <w:t xml:space="preserve"> that a statutory provision must be construed in such a way that effect is given to every word and phrase in it. </w:t>
      </w:r>
      <w:r w:rsidR="004849DA" w:rsidRPr="00442EC6">
        <w:rPr>
          <w:rFonts w:ascii="Arial" w:hAnsi="Arial" w:cs="Arial"/>
          <w:sz w:val="24"/>
          <w:szCs w:val="24"/>
        </w:rPr>
        <w:t xml:space="preserve">Through the provisions of the LPA, the legislature created a claim in statute which would not otherwise have existed, and the terms in which it has done so must be respected and given effect to. In this context, the respondents did not exercise a discretion in the sense of making an election to reject the applicant’s claim, but made </w:t>
      </w:r>
      <w:r w:rsidR="00CB7D85" w:rsidRPr="00442EC6">
        <w:rPr>
          <w:rFonts w:ascii="Arial" w:hAnsi="Arial" w:cs="Arial"/>
          <w:sz w:val="24"/>
          <w:szCs w:val="24"/>
        </w:rPr>
        <w:t xml:space="preserve">a </w:t>
      </w:r>
      <w:r w:rsidR="004849DA" w:rsidRPr="00442EC6">
        <w:rPr>
          <w:rFonts w:ascii="Arial" w:hAnsi="Arial" w:cs="Arial"/>
          <w:sz w:val="24"/>
          <w:szCs w:val="24"/>
        </w:rPr>
        <w:t xml:space="preserve">determination that the claim did not meet the requirements of s 55 of the LPA. This determination was in accordance with the applicable statutory provisions and is correct in law. Accordingly, there are no grounds as set out in s 6 of the Promotion of Administrative Justice Act </w:t>
      </w:r>
      <w:r w:rsidR="002019D7" w:rsidRPr="00442EC6">
        <w:rPr>
          <w:rFonts w:ascii="Arial" w:hAnsi="Arial" w:cs="Arial"/>
          <w:sz w:val="24"/>
          <w:szCs w:val="24"/>
        </w:rPr>
        <w:t>3</w:t>
      </w:r>
      <w:r w:rsidR="004849DA" w:rsidRPr="00442EC6">
        <w:rPr>
          <w:rFonts w:ascii="Arial" w:hAnsi="Arial" w:cs="Arial"/>
          <w:sz w:val="24"/>
          <w:szCs w:val="24"/>
        </w:rPr>
        <w:t xml:space="preserve"> of 2000, to review and / or set aside the decision of the Board to reject the applicant’s claim for reimbursement from the Fund.</w:t>
      </w:r>
    </w:p>
    <w:p w14:paraId="27C1930D" w14:textId="77777777" w:rsidR="00464449" w:rsidRPr="00AB20E7" w:rsidRDefault="00464449" w:rsidP="00464449">
      <w:pPr>
        <w:pStyle w:val="ListParagraph"/>
        <w:rPr>
          <w:rFonts w:ascii="Arial" w:hAnsi="Arial" w:cs="Arial"/>
          <w:sz w:val="24"/>
          <w:szCs w:val="24"/>
        </w:rPr>
      </w:pPr>
    </w:p>
    <w:p w14:paraId="0A76A74C" w14:textId="73A7E7C0" w:rsidR="00464449" w:rsidRPr="00AB20E7" w:rsidRDefault="00464449" w:rsidP="00C83A67">
      <w:pPr>
        <w:tabs>
          <w:tab w:val="left" w:pos="4917"/>
        </w:tabs>
        <w:spacing w:before="120" w:after="120" w:line="360" w:lineRule="auto"/>
        <w:ind w:left="1440" w:hanging="360"/>
        <w:jc w:val="both"/>
        <w:rPr>
          <w:rFonts w:ascii="Arial" w:hAnsi="Arial" w:cs="Arial"/>
          <w:b/>
          <w:i/>
          <w:sz w:val="24"/>
          <w:szCs w:val="24"/>
        </w:rPr>
      </w:pPr>
      <w:r w:rsidRPr="00AB20E7">
        <w:rPr>
          <w:rFonts w:ascii="Arial" w:hAnsi="Arial" w:cs="Arial"/>
          <w:b/>
          <w:i/>
          <w:sz w:val="24"/>
          <w:szCs w:val="24"/>
        </w:rPr>
        <w:t xml:space="preserve">iii. </w:t>
      </w:r>
      <w:r w:rsidR="00C83A67" w:rsidRPr="00AB20E7">
        <w:rPr>
          <w:rFonts w:ascii="Arial" w:hAnsi="Arial" w:cs="Arial"/>
          <w:b/>
          <w:i/>
          <w:sz w:val="24"/>
          <w:szCs w:val="24"/>
        </w:rPr>
        <w:tab/>
      </w:r>
      <w:r w:rsidRPr="00AB20E7">
        <w:rPr>
          <w:rFonts w:ascii="Arial" w:hAnsi="Arial" w:cs="Arial"/>
          <w:b/>
          <w:i/>
          <w:sz w:val="24"/>
          <w:szCs w:val="24"/>
        </w:rPr>
        <w:t>The amicus’s submissions</w:t>
      </w:r>
    </w:p>
    <w:p w14:paraId="1B8586D7" w14:textId="77777777" w:rsidR="00C777EE" w:rsidRPr="00AB20E7" w:rsidRDefault="00C777EE" w:rsidP="00C777EE">
      <w:pPr>
        <w:pStyle w:val="ListParagraph"/>
        <w:rPr>
          <w:rFonts w:ascii="Arial" w:hAnsi="Arial" w:cs="Arial"/>
          <w:sz w:val="24"/>
          <w:szCs w:val="24"/>
        </w:rPr>
      </w:pPr>
    </w:p>
    <w:p w14:paraId="085DD36D" w14:textId="4E6B42F9" w:rsidR="00C777EE" w:rsidRPr="00442EC6" w:rsidRDefault="00442EC6" w:rsidP="00442EC6">
      <w:pPr>
        <w:tabs>
          <w:tab w:val="left" w:pos="4917"/>
        </w:tabs>
        <w:spacing w:before="120" w:after="120" w:line="360" w:lineRule="auto"/>
        <w:ind w:left="720" w:hanging="720"/>
        <w:jc w:val="both"/>
        <w:rPr>
          <w:rFonts w:ascii="Arial" w:hAnsi="Arial" w:cs="Arial"/>
          <w:sz w:val="24"/>
          <w:szCs w:val="24"/>
        </w:rPr>
      </w:pPr>
      <w:r w:rsidRPr="00AB20E7">
        <w:rPr>
          <w:rFonts w:ascii="Arial" w:hAnsi="Arial" w:cs="Arial"/>
          <w:sz w:val="24"/>
          <w:szCs w:val="24"/>
        </w:rPr>
        <w:t>[13]</w:t>
      </w:r>
      <w:r w:rsidRPr="00AB20E7">
        <w:rPr>
          <w:rFonts w:ascii="Arial" w:hAnsi="Arial" w:cs="Arial"/>
          <w:sz w:val="24"/>
          <w:szCs w:val="24"/>
        </w:rPr>
        <w:tab/>
      </w:r>
      <w:r w:rsidR="00C83A67" w:rsidRPr="00442EC6">
        <w:rPr>
          <w:rFonts w:ascii="Arial" w:hAnsi="Arial" w:cs="Arial"/>
          <w:sz w:val="24"/>
          <w:szCs w:val="24"/>
        </w:rPr>
        <w:t xml:space="preserve">The </w:t>
      </w:r>
      <w:r w:rsidR="00C83A67" w:rsidRPr="00442EC6">
        <w:rPr>
          <w:rFonts w:ascii="Arial" w:hAnsi="Arial" w:cs="Arial"/>
          <w:i/>
          <w:sz w:val="24"/>
          <w:szCs w:val="24"/>
        </w:rPr>
        <w:t>amicus</w:t>
      </w:r>
      <w:r w:rsidR="00C83A67" w:rsidRPr="00442EC6">
        <w:rPr>
          <w:rFonts w:ascii="Arial" w:hAnsi="Arial" w:cs="Arial"/>
          <w:sz w:val="24"/>
          <w:szCs w:val="24"/>
        </w:rPr>
        <w:t xml:space="preserve"> submitted that on a proper interpretation of s 34(2)(b) read with rule 33 of the rules promulgated under the LPA, it becomes clear that a trust account advocate is not restricted to do only what his or her predecessors did, but may also </w:t>
      </w:r>
      <w:r w:rsidR="00C83A67" w:rsidRPr="00442EC6">
        <w:rPr>
          <w:rFonts w:ascii="Arial" w:hAnsi="Arial" w:cs="Arial"/>
          <w:sz w:val="24"/>
          <w:szCs w:val="24"/>
        </w:rPr>
        <w:lastRenderedPageBreak/>
        <w:t xml:space="preserve">perform functions ancillary to his or her instructions. What advocates may do, </w:t>
      </w:r>
      <w:r w:rsidR="00627E8C" w:rsidRPr="00442EC6">
        <w:rPr>
          <w:rFonts w:ascii="Arial" w:hAnsi="Arial" w:cs="Arial"/>
          <w:sz w:val="24"/>
          <w:szCs w:val="24"/>
        </w:rPr>
        <w:t>was</w:t>
      </w:r>
      <w:r w:rsidR="00C83A67" w:rsidRPr="00442EC6">
        <w:rPr>
          <w:rFonts w:ascii="Arial" w:hAnsi="Arial" w:cs="Arial"/>
          <w:sz w:val="24"/>
          <w:szCs w:val="24"/>
        </w:rPr>
        <w:t xml:space="preserve"> not defined by statute. With the promulgation of the LPA, and the creation of ‘Trust Account Advocates’ the dividing line between the professions of attorney and advocate </w:t>
      </w:r>
      <w:r w:rsidR="002C7A3D" w:rsidRPr="00442EC6">
        <w:rPr>
          <w:rFonts w:ascii="Arial" w:hAnsi="Arial" w:cs="Arial"/>
          <w:sz w:val="24"/>
          <w:szCs w:val="24"/>
        </w:rPr>
        <w:t>has</w:t>
      </w:r>
      <w:r w:rsidR="00C83A67" w:rsidRPr="00442EC6">
        <w:rPr>
          <w:rFonts w:ascii="Arial" w:hAnsi="Arial" w:cs="Arial"/>
          <w:sz w:val="24"/>
          <w:szCs w:val="24"/>
        </w:rPr>
        <w:t xml:space="preserve"> become less distinct. After considering the broad scope of legal services</w:t>
      </w:r>
      <w:r w:rsidR="002C7A3D" w:rsidRPr="00442EC6">
        <w:rPr>
          <w:rFonts w:ascii="Arial" w:hAnsi="Arial" w:cs="Arial"/>
          <w:sz w:val="24"/>
          <w:szCs w:val="24"/>
        </w:rPr>
        <w:t>,</w:t>
      </w:r>
      <w:r w:rsidR="00C83A67" w:rsidRPr="00442EC6">
        <w:rPr>
          <w:rFonts w:ascii="Arial" w:hAnsi="Arial" w:cs="Arial"/>
          <w:sz w:val="24"/>
          <w:szCs w:val="24"/>
        </w:rPr>
        <w:t xml:space="preserve"> </w:t>
      </w:r>
      <w:r w:rsidR="002C7A3D" w:rsidRPr="00442EC6">
        <w:rPr>
          <w:rFonts w:ascii="Arial" w:hAnsi="Arial" w:cs="Arial"/>
          <w:sz w:val="24"/>
          <w:szCs w:val="24"/>
        </w:rPr>
        <w:t>t</w:t>
      </w:r>
      <w:r w:rsidR="00C83A67" w:rsidRPr="00442EC6">
        <w:rPr>
          <w:rFonts w:ascii="Arial" w:hAnsi="Arial" w:cs="Arial"/>
          <w:sz w:val="24"/>
          <w:szCs w:val="24"/>
        </w:rPr>
        <w:t xml:space="preserve">he </w:t>
      </w:r>
      <w:r w:rsidR="00C83A67" w:rsidRPr="00442EC6">
        <w:rPr>
          <w:rFonts w:ascii="Arial" w:hAnsi="Arial" w:cs="Arial"/>
          <w:i/>
          <w:sz w:val="24"/>
          <w:szCs w:val="24"/>
        </w:rPr>
        <w:t>amicus</w:t>
      </w:r>
      <w:r w:rsidR="00C83A67" w:rsidRPr="00442EC6">
        <w:rPr>
          <w:rFonts w:ascii="Arial" w:hAnsi="Arial" w:cs="Arial"/>
          <w:sz w:val="24"/>
          <w:szCs w:val="24"/>
        </w:rPr>
        <w:t xml:space="preserve"> submitted that there is no prohibition</w:t>
      </w:r>
      <w:r w:rsidR="00E3524E" w:rsidRPr="00442EC6">
        <w:rPr>
          <w:rFonts w:ascii="Arial" w:hAnsi="Arial" w:cs="Arial"/>
          <w:sz w:val="24"/>
          <w:szCs w:val="24"/>
        </w:rPr>
        <w:t xml:space="preserve"> against a trust account advocate receiving instructions to advise a client on the conclusion of a contract, to draw the contract</w:t>
      </w:r>
      <w:r w:rsidR="002C7A3D" w:rsidRPr="00442EC6">
        <w:rPr>
          <w:rFonts w:ascii="Arial" w:hAnsi="Arial" w:cs="Arial"/>
          <w:sz w:val="24"/>
          <w:szCs w:val="24"/>
        </w:rPr>
        <w:t>,</w:t>
      </w:r>
      <w:r w:rsidR="00E3524E" w:rsidRPr="00442EC6">
        <w:rPr>
          <w:rFonts w:ascii="Arial" w:hAnsi="Arial" w:cs="Arial"/>
          <w:sz w:val="24"/>
          <w:szCs w:val="24"/>
        </w:rPr>
        <w:t xml:space="preserve"> and to receive money in trust in order to execute the contract. With reference to </w:t>
      </w:r>
      <w:r w:rsidR="00E3524E" w:rsidRPr="00442EC6">
        <w:rPr>
          <w:rFonts w:ascii="Arial" w:hAnsi="Arial" w:cs="Arial"/>
          <w:i/>
          <w:sz w:val="24"/>
          <w:szCs w:val="24"/>
        </w:rPr>
        <w:t>Tollemache v Attorneys Fidelity Fund,</w:t>
      </w:r>
      <w:r w:rsidR="00E3524E" w:rsidRPr="00AB20E7">
        <w:rPr>
          <w:rStyle w:val="FootnoteReference"/>
          <w:rFonts w:ascii="Arial" w:hAnsi="Arial" w:cs="Arial"/>
          <w:i/>
          <w:sz w:val="24"/>
          <w:szCs w:val="24"/>
        </w:rPr>
        <w:footnoteReference w:id="1"/>
      </w:r>
      <w:r w:rsidR="00E3524E" w:rsidRPr="00442EC6">
        <w:rPr>
          <w:rFonts w:ascii="Arial" w:hAnsi="Arial" w:cs="Arial"/>
          <w:sz w:val="24"/>
          <w:szCs w:val="24"/>
        </w:rPr>
        <w:t xml:space="preserve"> the </w:t>
      </w:r>
      <w:r w:rsidR="00E3524E" w:rsidRPr="00442EC6">
        <w:rPr>
          <w:rFonts w:ascii="Arial" w:hAnsi="Arial" w:cs="Arial"/>
          <w:i/>
          <w:sz w:val="24"/>
          <w:szCs w:val="24"/>
        </w:rPr>
        <w:t>amicus</w:t>
      </w:r>
      <w:r w:rsidR="00E3524E" w:rsidRPr="00442EC6">
        <w:rPr>
          <w:rFonts w:ascii="Arial" w:hAnsi="Arial" w:cs="Arial"/>
          <w:sz w:val="24"/>
          <w:szCs w:val="24"/>
        </w:rPr>
        <w:t xml:space="preserve"> contended that the fact that Advocate Moela could not himself effect transfer of the property to the applicant, does not render the entrustment of the funds an entrustment falling foul of s 55 of the LPA. The money was according to the </w:t>
      </w:r>
      <w:r w:rsidR="00E3524E" w:rsidRPr="00442EC6">
        <w:rPr>
          <w:rFonts w:ascii="Arial" w:hAnsi="Arial" w:cs="Arial"/>
          <w:i/>
          <w:sz w:val="24"/>
          <w:szCs w:val="24"/>
        </w:rPr>
        <w:t>amicus</w:t>
      </w:r>
      <w:r w:rsidR="00E3524E" w:rsidRPr="00442EC6">
        <w:rPr>
          <w:rFonts w:ascii="Arial" w:hAnsi="Arial" w:cs="Arial"/>
          <w:sz w:val="24"/>
          <w:szCs w:val="24"/>
        </w:rPr>
        <w:t>, entrusted to Advocate Moela in the course of his practice, as required by s 55(1) of the LPA.</w:t>
      </w:r>
    </w:p>
    <w:p w14:paraId="09081D17" w14:textId="77777777" w:rsidR="00C777EE" w:rsidRPr="00AB20E7" w:rsidRDefault="00C777EE" w:rsidP="00C777EE">
      <w:pPr>
        <w:pStyle w:val="ListParagraph"/>
        <w:rPr>
          <w:rFonts w:ascii="Arial" w:hAnsi="Arial" w:cs="Arial"/>
          <w:sz w:val="24"/>
          <w:szCs w:val="24"/>
        </w:rPr>
      </w:pPr>
    </w:p>
    <w:p w14:paraId="2A7140E8" w14:textId="1FB8A7D1" w:rsidR="00C777EE" w:rsidRPr="00AB20E7" w:rsidRDefault="002019D7" w:rsidP="002019D7">
      <w:pPr>
        <w:tabs>
          <w:tab w:val="left" w:pos="4917"/>
        </w:tabs>
        <w:spacing w:before="120" w:after="120" w:line="360" w:lineRule="auto"/>
        <w:jc w:val="both"/>
        <w:rPr>
          <w:rFonts w:ascii="Arial" w:hAnsi="Arial" w:cs="Arial"/>
          <w:b/>
          <w:sz w:val="24"/>
          <w:szCs w:val="24"/>
        </w:rPr>
      </w:pPr>
      <w:r w:rsidRPr="00AB20E7">
        <w:rPr>
          <w:rFonts w:ascii="Arial" w:hAnsi="Arial" w:cs="Arial"/>
          <w:b/>
          <w:sz w:val="24"/>
          <w:szCs w:val="24"/>
        </w:rPr>
        <w:t>The main issue</w:t>
      </w:r>
    </w:p>
    <w:p w14:paraId="620B54DB" w14:textId="77777777" w:rsidR="00C777EE" w:rsidRPr="00AB20E7" w:rsidRDefault="00C777EE" w:rsidP="00C777EE">
      <w:pPr>
        <w:pStyle w:val="ListParagraph"/>
        <w:rPr>
          <w:rFonts w:ascii="Arial" w:hAnsi="Arial" w:cs="Arial"/>
          <w:sz w:val="24"/>
          <w:szCs w:val="24"/>
        </w:rPr>
      </w:pPr>
    </w:p>
    <w:p w14:paraId="5BB87391" w14:textId="18B01605" w:rsidR="00C777EE" w:rsidRPr="00442EC6" w:rsidRDefault="00442EC6" w:rsidP="00442EC6">
      <w:pPr>
        <w:tabs>
          <w:tab w:val="left" w:pos="4917"/>
        </w:tabs>
        <w:spacing w:before="120" w:after="120" w:line="360" w:lineRule="auto"/>
        <w:ind w:left="720" w:hanging="720"/>
        <w:jc w:val="both"/>
        <w:rPr>
          <w:rFonts w:ascii="Arial" w:hAnsi="Arial" w:cs="Arial"/>
          <w:sz w:val="24"/>
          <w:szCs w:val="24"/>
        </w:rPr>
      </w:pPr>
      <w:r w:rsidRPr="00AB20E7">
        <w:rPr>
          <w:rFonts w:ascii="Arial" w:hAnsi="Arial" w:cs="Arial"/>
          <w:sz w:val="24"/>
          <w:szCs w:val="24"/>
        </w:rPr>
        <w:t>[14]</w:t>
      </w:r>
      <w:r w:rsidRPr="00AB20E7">
        <w:rPr>
          <w:rFonts w:ascii="Arial" w:hAnsi="Arial" w:cs="Arial"/>
          <w:sz w:val="24"/>
          <w:szCs w:val="24"/>
        </w:rPr>
        <w:tab/>
      </w:r>
      <w:r w:rsidR="002019D7" w:rsidRPr="00442EC6">
        <w:rPr>
          <w:rFonts w:ascii="Arial" w:hAnsi="Arial" w:cs="Arial"/>
          <w:sz w:val="24"/>
          <w:szCs w:val="24"/>
        </w:rPr>
        <w:t>This application turns on the interpretation of s 55 of the LPA and the determination of the ambit and scope of the practice of trust account advocates</w:t>
      </w:r>
      <w:r w:rsidR="001E063B" w:rsidRPr="00442EC6">
        <w:rPr>
          <w:rFonts w:ascii="Arial" w:hAnsi="Arial" w:cs="Arial"/>
          <w:sz w:val="24"/>
          <w:szCs w:val="24"/>
        </w:rPr>
        <w:t xml:space="preserve"> relevant to the factual context of this application</w:t>
      </w:r>
      <w:r w:rsidR="002019D7" w:rsidRPr="00442EC6">
        <w:rPr>
          <w:rFonts w:ascii="Arial" w:hAnsi="Arial" w:cs="Arial"/>
          <w:sz w:val="24"/>
          <w:szCs w:val="24"/>
        </w:rPr>
        <w:t>.</w:t>
      </w:r>
    </w:p>
    <w:p w14:paraId="128C04B3" w14:textId="77777777" w:rsidR="001E063B" w:rsidRPr="00AB20E7" w:rsidRDefault="001E063B" w:rsidP="001E063B">
      <w:pPr>
        <w:pStyle w:val="ListParagraph"/>
        <w:tabs>
          <w:tab w:val="left" w:pos="4917"/>
        </w:tabs>
        <w:spacing w:before="120" w:after="120" w:line="360" w:lineRule="auto"/>
        <w:jc w:val="both"/>
        <w:rPr>
          <w:rFonts w:ascii="Arial" w:hAnsi="Arial" w:cs="Arial"/>
          <w:sz w:val="24"/>
          <w:szCs w:val="24"/>
        </w:rPr>
      </w:pPr>
    </w:p>
    <w:p w14:paraId="7B56676F" w14:textId="7AA1488F" w:rsidR="001E063B" w:rsidRPr="00442EC6" w:rsidRDefault="00442EC6" w:rsidP="00442EC6">
      <w:pPr>
        <w:tabs>
          <w:tab w:val="left" w:pos="4917"/>
        </w:tabs>
        <w:spacing w:before="120" w:after="120" w:line="360" w:lineRule="auto"/>
        <w:ind w:left="720" w:hanging="720"/>
        <w:jc w:val="both"/>
        <w:rPr>
          <w:rFonts w:ascii="Arial" w:hAnsi="Arial" w:cs="Arial"/>
          <w:sz w:val="24"/>
          <w:szCs w:val="24"/>
        </w:rPr>
      </w:pPr>
      <w:r w:rsidRPr="00AB20E7">
        <w:rPr>
          <w:rFonts w:ascii="Arial" w:hAnsi="Arial" w:cs="Arial"/>
          <w:sz w:val="24"/>
          <w:szCs w:val="24"/>
        </w:rPr>
        <w:t>[15]</w:t>
      </w:r>
      <w:r w:rsidRPr="00AB20E7">
        <w:rPr>
          <w:rFonts w:ascii="Arial" w:hAnsi="Arial" w:cs="Arial"/>
          <w:sz w:val="24"/>
          <w:szCs w:val="24"/>
        </w:rPr>
        <w:tab/>
      </w:r>
      <w:r w:rsidR="001E063B" w:rsidRPr="00442EC6">
        <w:rPr>
          <w:rFonts w:ascii="Arial" w:hAnsi="Arial" w:cs="Arial"/>
          <w:sz w:val="24"/>
          <w:szCs w:val="24"/>
        </w:rPr>
        <w:t>Section 55 of the LPA provides as follows:</w:t>
      </w:r>
    </w:p>
    <w:p w14:paraId="3CCAFD31" w14:textId="77777777" w:rsidR="001E063B" w:rsidRPr="00AB20E7" w:rsidRDefault="001E063B" w:rsidP="001E063B">
      <w:pPr>
        <w:pStyle w:val="ListParagraph"/>
        <w:rPr>
          <w:rFonts w:ascii="Arial" w:hAnsi="Arial" w:cs="Arial"/>
          <w:sz w:val="24"/>
          <w:szCs w:val="24"/>
        </w:rPr>
      </w:pPr>
    </w:p>
    <w:p w14:paraId="526021FB" w14:textId="77777777" w:rsidR="001E063B" w:rsidRPr="00AB20E7" w:rsidRDefault="001E063B" w:rsidP="001E063B">
      <w:pPr>
        <w:pStyle w:val="ListParagraph"/>
        <w:tabs>
          <w:tab w:val="left" w:pos="4917"/>
        </w:tabs>
        <w:spacing w:before="120" w:after="120" w:line="360" w:lineRule="auto"/>
        <w:ind w:left="1008" w:right="1008"/>
        <w:jc w:val="both"/>
        <w:rPr>
          <w:rFonts w:ascii="Arial" w:hAnsi="Arial" w:cs="Arial"/>
          <w:sz w:val="24"/>
          <w:szCs w:val="24"/>
        </w:rPr>
      </w:pPr>
      <w:r w:rsidRPr="00AB20E7">
        <w:rPr>
          <w:rFonts w:ascii="Arial" w:hAnsi="Arial" w:cs="Arial"/>
          <w:sz w:val="24"/>
          <w:szCs w:val="24"/>
        </w:rPr>
        <w:t xml:space="preserve">‘(1) The Fund is liable to reimburse persons who suffer pecuniary loss, not exceeding the amount determined by the Minister from time to time by notice in the </w:t>
      </w:r>
      <w:r w:rsidRPr="00AB20E7">
        <w:rPr>
          <w:rFonts w:ascii="Arial" w:hAnsi="Arial" w:cs="Arial"/>
          <w:i/>
          <w:sz w:val="24"/>
          <w:szCs w:val="24"/>
        </w:rPr>
        <w:t>Gazette</w:t>
      </w:r>
      <w:r w:rsidRPr="00AB20E7">
        <w:rPr>
          <w:rFonts w:ascii="Arial" w:hAnsi="Arial" w:cs="Arial"/>
          <w:sz w:val="24"/>
          <w:szCs w:val="24"/>
        </w:rPr>
        <w:t xml:space="preserve">, as a result of theft of money or other property given in trust to a trust account practice </w:t>
      </w:r>
      <w:r w:rsidRPr="00AB20E7">
        <w:rPr>
          <w:rFonts w:ascii="Arial" w:hAnsi="Arial" w:cs="Arial"/>
          <w:b/>
          <w:sz w:val="24"/>
          <w:szCs w:val="24"/>
        </w:rPr>
        <w:t>in the course of the practice</w:t>
      </w:r>
      <w:r w:rsidRPr="00AB20E7">
        <w:rPr>
          <w:rFonts w:ascii="Arial" w:hAnsi="Arial" w:cs="Arial"/>
          <w:sz w:val="24"/>
          <w:szCs w:val="24"/>
        </w:rPr>
        <w:t xml:space="preserve"> of the attorney or advocate referred to in section 34(2)(b) as such, if the theft is committed –</w:t>
      </w:r>
    </w:p>
    <w:p w14:paraId="4D048A93" w14:textId="202EA43F" w:rsidR="001E063B" w:rsidRPr="00442EC6" w:rsidRDefault="00442EC6" w:rsidP="00442EC6">
      <w:pPr>
        <w:tabs>
          <w:tab w:val="left" w:pos="4917"/>
        </w:tabs>
        <w:spacing w:before="120" w:after="120" w:line="360" w:lineRule="auto"/>
        <w:ind w:left="1368" w:right="1008" w:hanging="360"/>
        <w:jc w:val="both"/>
        <w:rPr>
          <w:rFonts w:ascii="Arial" w:hAnsi="Arial" w:cs="Arial"/>
          <w:sz w:val="24"/>
          <w:szCs w:val="24"/>
        </w:rPr>
      </w:pPr>
      <w:r w:rsidRPr="00AB20E7">
        <w:rPr>
          <w:rFonts w:ascii="Arial" w:hAnsi="Arial" w:cs="Arial"/>
          <w:sz w:val="24"/>
          <w:szCs w:val="24"/>
        </w:rPr>
        <w:t>(a)</w:t>
      </w:r>
      <w:r w:rsidRPr="00AB20E7">
        <w:rPr>
          <w:rFonts w:ascii="Arial" w:hAnsi="Arial" w:cs="Arial"/>
          <w:sz w:val="24"/>
          <w:szCs w:val="24"/>
        </w:rPr>
        <w:tab/>
      </w:r>
      <w:r w:rsidR="001E063B" w:rsidRPr="00442EC6">
        <w:rPr>
          <w:rFonts w:ascii="Arial" w:hAnsi="Arial" w:cs="Arial"/>
          <w:sz w:val="24"/>
          <w:szCs w:val="24"/>
        </w:rPr>
        <w:t>by an attorney in that practice or advocate, or any person employed by that practice or supervised by that attorney or advocate;</w:t>
      </w:r>
    </w:p>
    <w:p w14:paraId="424514ED" w14:textId="6AD2BC3D" w:rsidR="001E063B" w:rsidRPr="00442EC6" w:rsidRDefault="00442EC6" w:rsidP="00442EC6">
      <w:pPr>
        <w:tabs>
          <w:tab w:val="left" w:pos="4917"/>
        </w:tabs>
        <w:spacing w:before="120" w:after="120" w:line="360" w:lineRule="auto"/>
        <w:ind w:left="1368" w:right="1008" w:hanging="360"/>
        <w:jc w:val="both"/>
        <w:rPr>
          <w:rFonts w:ascii="Arial" w:hAnsi="Arial" w:cs="Arial"/>
          <w:sz w:val="24"/>
          <w:szCs w:val="24"/>
        </w:rPr>
      </w:pPr>
      <w:r w:rsidRPr="00AB20E7">
        <w:rPr>
          <w:rFonts w:ascii="Arial" w:hAnsi="Arial" w:cs="Arial"/>
          <w:sz w:val="24"/>
          <w:szCs w:val="24"/>
        </w:rPr>
        <w:lastRenderedPageBreak/>
        <w:t>(b)</w:t>
      </w:r>
      <w:r w:rsidRPr="00AB20E7">
        <w:rPr>
          <w:rFonts w:ascii="Arial" w:hAnsi="Arial" w:cs="Arial"/>
          <w:sz w:val="24"/>
          <w:szCs w:val="24"/>
        </w:rPr>
        <w:tab/>
      </w:r>
      <w:r w:rsidR="001E063B" w:rsidRPr="00442EC6">
        <w:rPr>
          <w:rFonts w:ascii="Arial" w:hAnsi="Arial" w:cs="Arial"/>
          <w:sz w:val="24"/>
          <w:szCs w:val="24"/>
        </w:rPr>
        <w:t>by an attorney or person acting as executor or administrator in the estate of a deceased person; or</w:t>
      </w:r>
    </w:p>
    <w:p w14:paraId="6F4094AC" w14:textId="67C491E2" w:rsidR="001E063B" w:rsidRPr="00442EC6" w:rsidRDefault="00442EC6" w:rsidP="00442EC6">
      <w:pPr>
        <w:tabs>
          <w:tab w:val="left" w:pos="4917"/>
        </w:tabs>
        <w:spacing w:before="120" w:after="120" w:line="360" w:lineRule="auto"/>
        <w:ind w:left="1368" w:right="1008" w:hanging="360"/>
        <w:jc w:val="both"/>
        <w:rPr>
          <w:rFonts w:ascii="Arial" w:hAnsi="Arial" w:cs="Arial"/>
          <w:sz w:val="24"/>
          <w:szCs w:val="24"/>
        </w:rPr>
      </w:pPr>
      <w:r w:rsidRPr="00AB20E7">
        <w:rPr>
          <w:rFonts w:ascii="Arial" w:hAnsi="Arial" w:cs="Arial"/>
          <w:sz w:val="24"/>
          <w:szCs w:val="24"/>
        </w:rPr>
        <w:t>(c)</w:t>
      </w:r>
      <w:r w:rsidRPr="00AB20E7">
        <w:rPr>
          <w:rFonts w:ascii="Arial" w:hAnsi="Arial" w:cs="Arial"/>
          <w:sz w:val="24"/>
          <w:szCs w:val="24"/>
        </w:rPr>
        <w:tab/>
      </w:r>
      <w:r w:rsidR="001E063B" w:rsidRPr="00442EC6">
        <w:rPr>
          <w:rFonts w:ascii="Arial" w:hAnsi="Arial" w:cs="Arial"/>
          <w:sz w:val="24"/>
          <w:szCs w:val="24"/>
        </w:rPr>
        <w:t>by an attorney or person employed by that attorney who is a trustee in an insolvent estate or in any other similar capacity,</w:t>
      </w:r>
    </w:p>
    <w:p w14:paraId="1B947CC1" w14:textId="41F2AF6A" w:rsidR="001E063B" w:rsidRPr="00AB20E7" w:rsidRDefault="001E063B" w:rsidP="001E063B">
      <w:pPr>
        <w:tabs>
          <w:tab w:val="left" w:pos="4917"/>
        </w:tabs>
        <w:spacing w:before="120" w:after="120" w:line="360" w:lineRule="auto"/>
        <w:ind w:left="1008" w:right="1008"/>
        <w:jc w:val="both"/>
        <w:rPr>
          <w:rFonts w:ascii="Arial" w:hAnsi="Arial" w:cs="Arial"/>
          <w:sz w:val="24"/>
          <w:szCs w:val="24"/>
        </w:rPr>
      </w:pPr>
      <w:r w:rsidRPr="00AB20E7">
        <w:rPr>
          <w:rFonts w:ascii="Arial" w:hAnsi="Arial" w:cs="Arial"/>
          <w:sz w:val="24"/>
          <w:szCs w:val="24"/>
        </w:rPr>
        <w:t>excluding a curator to a financial institution in te</w:t>
      </w:r>
      <w:r w:rsidR="00D91EAC">
        <w:rPr>
          <w:rFonts w:ascii="Arial" w:hAnsi="Arial" w:cs="Arial"/>
          <w:sz w:val="24"/>
          <w:szCs w:val="24"/>
        </w:rPr>
        <w:t>rms of the Bank Act, 1990 (Act N</w:t>
      </w:r>
      <w:r w:rsidRPr="00AB20E7">
        <w:rPr>
          <w:rFonts w:ascii="Arial" w:hAnsi="Arial" w:cs="Arial"/>
          <w:sz w:val="24"/>
          <w:szCs w:val="24"/>
        </w:rPr>
        <w:t>o. 94 of 1990) or a liquidator of a mutual bank in terms of the Mutual Bank Act, 1993 (Act No. 124 of 1993).’</w:t>
      </w:r>
    </w:p>
    <w:p w14:paraId="7625845A" w14:textId="77777777" w:rsidR="00C777EE" w:rsidRPr="00AB20E7" w:rsidRDefault="00C777EE" w:rsidP="00C777EE">
      <w:pPr>
        <w:pStyle w:val="ListParagraph"/>
        <w:rPr>
          <w:rFonts w:ascii="Arial" w:hAnsi="Arial" w:cs="Arial"/>
          <w:sz w:val="24"/>
          <w:szCs w:val="24"/>
        </w:rPr>
      </w:pPr>
    </w:p>
    <w:p w14:paraId="17C87F01" w14:textId="39C51991" w:rsidR="00C777EE" w:rsidRPr="00AB20E7" w:rsidRDefault="001E445C" w:rsidP="001E445C">
      <w:pPr>
        <w:tabs>
          <w:tab w:val="left" w:pos="4917"/>
        </w:tabs>
        <w:spacing w:before="120" w:after="120" w:line="360" w:lineRule="auto"/>
        <w:jc w:val="both"/>
        <w:rPr>
          <w:rFonts w:ascii="Arial" w:hAnsi="Arial" w:cs="Arial"/>
          <w:b/>
          <w:sz w:val="24"/>
          <w:szCs w:val="24"/>
        </w:rPr>
      </w:pPr>
      <w:r w:rsidRPr="00AB20E7">
        <w:rPr>
          <w:rFonts w:ascii="Arial" w:hAnsi="Arial" w:cs="Arial"/>
          <w:b/>
          <w:sz w:val="24"/>
          <w:szCs w:val="24"/>
        </w:rPr>
        <w:t>Discussion</w:t>
      </w:r>
    </w:p>
    <w:p w14:paraId="597294D5" w14:textId="4F9F6699" w:rsidR="008939BD" w:rsidRPr="00AB20E7" w:rsidRDefault="008939BD" w:rsidP="001E445C">
      <w:pPr>
        <w:tabs>
          <w:tab w:val="left" w:pos="4917"/>
        </w:tabs>
        <w:spacing w:before="120" w:after="120" w:line="360" w:lineRule="auto"/>
        <w:jc w:val="both"/>
        <w:rPr>
          <w:rFonts w:ascii="Arial" w:hAnsi="Arial" w:cs="Arial"/>
          <w:i/>
          <w:sz w:val="24"/>
          <w:szCs w:val="24"/>
        </w:rPr>
      </w:pPr>
      <w:r w:rsidRPr="00AB20E7">
        <w:rPr>
          <w:rFonts w:ascii="Arial" w:hAnsi="Arial" w:cs="Arial"/>
          <w:i/>
          <w:sz w:val="24"/>
          <w:szCs w:val="24"/>
        </w:rPr>
        <w:t>Interpretational paradigm</w:t>
      </w:r>
    </w:p>
    <w:p w14:paraId="776E526C" w14:textId="77777777" w:rsidR="00C777EE" w:rsidRPr="00AB20E7" w:rsidRDefault="00C777EE" w:rsidP="00C777EE">
      <w:pPr>
        <w:pStyle w:val="ListParagraph"/>
        <w:rPr>
          <w:rFonts w:ascii="Arial" w:hAnsi="Arial" w:cs="Arial"/>
          <w:sz w:val="24"/>
          <w:szCs w:val="24"/>
        </w:rPr>
      </w:pPr>
    </w:p>
    <w:p w14:paraId="196BDC8D" w14:textId="3FE585B3" w:rsidR="00C777EE" w:rsidRPr="00442EC6" w:rsidRDefault="00442EC6" w:rsidP="00442EC6">
      <w:pPr>
        <w:tabs>
          <w:tab w:val="left" w:pos="4917"/>
        </w:tabs>
        <w:spacing w:before="120" w:after="120" w:line="360" w:lineRule="auto"/>
        <w:ind w:left="720" w:hanging="720"/>
        <w:jc w:val="both"/>
        <w:rPr>
          <w:rFonts w:ascii="Arial" w:hAnsi="Arial" w:cs="Arial"/>
          <w:sz w:val="24"/>
          <w:szCs w:val="24"/>
        </w:rPr>
      </w:pPr>
      <w:r w:rsidRPr="00AB20E7">
        <w:rPr>
          <w:rFonts w:ascii="Arial" w:hAnsi="Arial" w:cs="Arial"/>
          <w:sz w:val="24"/>
          <w:szCs w:val="24"/>
        </w:rPr>
        <w:t>[16]</w:t>
      </w:r>
      <w:r w:rsidRPr="00AB20E7">
        <w:rPr>
          <w:rFonts w:ascii="Arial" w:hAnsi="Arial" w:cs="Arial"/>
          <w:sz w:val="24"/>
          <w:szCs w:val="24"/>
        </w:rPr>
        <w:tab/>
      </w:r>
      <w:r w:rsidR="001E445C" w:rsidRPr="00442EC6">
        <w:rPr>
          <w:rFonts w:ascii="Arial" w:hAnsi="Arial" w:cs="Arial"/>
          <w:sz w:val="24"/>
          <w:szCs w:val="24"/>
        </w:rPr>
        <w:t xml:space="preserve">Statutory interpretation is the process by which courts interpret and apply legislation. </w:t>
      </w:r>
      <w:r w:rsidR="00ED7491" w:rsidRPr="00442EC6">
        <w:rPr>
          <w:rFonts w:ascii="Arial" w:hAnsi="Arial" w:cs="Arial"/>
          <w:sz w:val="24"/>
          <w:szCs w:val="24"/>
        </w:rPr>
        <w:t>Professor Lourens du Plessis aptly stated that ‘the realisation of statute law depends decisively on judicial interpretation.’</w:t>
      </w:r>
      <w:r w:rsidR="00ED7491" w:rsidRPr="00AB20E7">
        <w:rPr>
          <w:rStyle w:val="FootnoteReference"/>
          <w:rFonts w:ascii="Arial" w:hAnsi="Arial" w:cs="Arial"/>
          <w:sz w:val="24"/>
          <w:szCs w:val="24"/>
        </w:rPr>
        <w:footnoteReference w:id="2"/>
      </w:r>
      <w:r w:rsidR="00ED7491" w:rsidRPr="00442EC6">
        <w:rPr>
          <w:rFonts w:ascii="Arial" w:hAnsi="Arial" w:cs="Arial"/>
          <w:sz w:val="24"/>
          <w:szCs w:val="24"/>
        </w:rPr>
        <w:t xml:space="preserve"> The interface between ss 2 and 39(2) of the Constitution creates the foundation of the constitutional matrix within which the interpretative process should ensue. </w:t>
      </w:r>
      <w:r w:rsidR="008939BD" w:rsidRPr="00442EC6">
        <w:rPr>
          <w:rFonts w:ascii="Arial" w:hAnsi="Arial" w:cs="Arial"/>
          <w:sz w:val="24"/>
          <w:szCs w:val="24"/>
        </w:rPr>
        <w:t>In</w:t>
      </w:r>
      <w:r w:rsidR="00ED7491" w:rsidRPr="00442EC6">
        <w:rPr>
          <w:rFonts w:ascii="Arial" w:hAnsi="Arial" w:cs="Arial"/>
          <w:sz w:val="24"/>
          <w:szCs w:val="24"/>
        </w:rPr>
        <w:t xml:space="preserve"> </w:t>
      </w:r>
      <w:r w:rsidR="008939BD" w:rsidRPr="00442EC6">
        <w:rPr>
          <w:rFonts w:ascii="Arial" w:hAnsi="Arial" w:cs="Arial"/>
          <w:sz w:val="24"/>
          <w:szCs w:val="24"/>
        </w:rPr>
        <w:t xml:space="preserve">giving effect to s 2 of the Constitution proclaiming that </w:t>
      </w:r>
      <w:r w:rsidR="00ED7491" w:rsidRPr="00442EC6">
        <w:rPr>
          <w:rFonts w:ascii="Arial" w:hAnsi="Arial" w:cs="Arial"/>
          <w:sz w:val="24"/>
          <w:szCs w:val="24"/>
        </w:rPr>
        <w:t>the Constitution is</w:t>
      </w:r>
      <w:r w:rsidR="008939BD" w:rsidRPr="00442EC6">
        <w:rPr>
          <w:rFonts w:ascii="Arial" w:hAnsi="Arial" w:cs="Arial"/>
          <w:sz w:val="24"/>
          <w:szCs w:val="24"/>
        </w:rPr>
        <w:t xml:space="preserve"> the supreme law of the Republic, every court must, when it interprets legislation, promote the spirit, purport</w:t>
      </w:r>
      <w:r w:rsidR="000A40AF" w:rsidRPr="00442EC6">
        <w:rPr>
          <w:rFonts w:ascii="Arial" w:hAnsi="Arial" w:cs="Arial"/>
          <w:sz w:val="24"/>
          <w:szCs w:val="24"/>
        </w:rPr>
        <w:t>,</w:t>
      </w:r>
      <w:r w:rsidR="008939BD" w:rsidRPr="00442EC6">
        <w:rPr>
          <w:rFonts w:ascii="Arial" w:hAnsi="Arial" w:cs="Arial"/>
          <w:sz w:val="24"/>
          <w:szCs w:val="24"/>
        </w:rPr>
        <w:t xml:space="preserve"> and objects of the Bill of Rights. In </w:t>
      </w:r>
      <w:r w:rsidR="008939BD" w:rsidRPr="00442EC6">
        <w:rPr>
          <w:rFonts w:ascii="Arial" w:hAnsi="Arial" w:cs="Arial"/>
          <w:i/>
          <w:sz w:val="24"/>
          <w:szCs w:val="24"/>
        </w:rPr>
        <w:t>Makate v Vodacom (Pty) Ltd,</w:t>
      </w:r>
      <w:r w:rsidR="008939BD" w:rsidRPr="00AB20E7">
        <w:rPr>
          <w:rStyle w:val="FootnoteReference"/>
          <w:rFonts w:ascii="Arial" w:hAnsi="Arial" w:cs="Arial"/>
          <w:i/>
          <w:sz w:val="24"/>
          <w:szCs w:val="24"/>
        </w:rPr>
        <w:footnoteReference w:id="3"/>
      </w:r>
      <w:r w:rsidR="008939BD" w:rsidRPr="00442EC6">
        <w:rPr>
          <w:rFonts w:ascii="Arial" w:hAnsi="Arial" w:cs="Arial"/>
          <w:i/>
          <w:sz w:val="24"/>
          <w:szCs w:val="24"/>
        </w:rPr>
        <w:t xml:space="preserve"> </w:t>
      </w:r>
      <w:r w:rsidR="008939BD" w:rsidRPr="00442EC6">
        <w:rPr>
          <w:rFonts w:ascii="Arial" w:hAnsi="Arial" w:cs="Arial"/>
          <w:sz w:val="24"/>
          <w:szCs w:val="24"/>
        </w:rPr>
        <w:t xml:space="preserve">the Constitutional Court held that the High Court is obliged to follow s 39(2) irrespective </w:t>
      </w:r>
      <w:r w:rsidR="000A40AF" w:rsidRPr="00442EC6">
        <w:rPr>
          <w:rFonts w:ascii="Arial" w:hAnsi="Arial" w:cs="Arial"/>
          <w:sz w:val="24"/>
          <w:szCs w:val="24"/>
        </w:rPr>
        <w:t xml:space="preserve">of </w:t>
      </w:r>
      <w:r w:rsidR="008939BD" w:rsidRPr="00442EC6">
        <w:rPr>
          <w:rFonts w:ascii="Arial" w:hAnsi="Arial" w:cs="Arial"/>
          <w:sz w:val="24"/>
          <w:szCs w:val="24"/>
        </w:rPr>
        <w:t xml:space="preserve">whether </w:t>
      </w:r>
      <w:r w:rsidR="00B34C65" w:rsidRPr="00442EC6">
        <w:rPr>
          <w:rFonts w:ascii="Arial" w:hAnsi="Arial" w:cs="Arial"/>
          <w:sz w:val="24"/>
          <w:szCs w:val="24"/>
        </w:rPr>
        <w:t xml:space="preserve">or not </w:t>
      </w:r>
      <w:r w:rsidR="008939BD" w:rsidRPr="00442EC6">
        <w:rPr>
          <w:rFonts w:ascii="Arial" w:hAnsi="Arial" w:cs="Arial"/>
          <w:sz w:val="24"/>
          <w:szCs w:val="24"/>
        </w:rPr>
        <w:t xml:space="preserve">the parties had asked for it. This approach is further entrenched by the Constitutional Court in </w:t>
      </w:r>
      <w:r w:rsidR="00B34C65" w:rsidRPr="00442EC6">
        <w:rPr>
          <w:rFonts w:ascii="Arial" w:hAnsi="Arial" w:cs="Arial"/>
          <w:i/>
          <w:sz w:val="24"/>
          <w:szCs w:val="24"/>
        </w:rPr>
        <w:t>Independent Institute of Education (Pty)</w:t>
      </w:r>
      <w:r w:rsidR="000A40AF" w:rsidRPr="00442EC6">
        <w:rPr>
          <w:rFonts w:ascii="Arial" w:hAnsi="Arial" w:cs="Arial"/>
          <w:i/>
          <w:sz w:val="24"/>
          <w:szCs w:val="24"/>
        </w:rPr>
        <w:t xml:space="preserve"> </w:t>
      </w:r>
      <w:r w:rsidR="00B34C65" w:rsidRPr="00442EC6">
        <w:rPr>
          <w:rFonts w:ascii="Arial" w:hAnsi="Arial" w:cs="Arial"/>
          <w:i/>
          <w:sz w:val="24"/>
          <w:szCs w:val="24"/>
        </w:rPr>
        <w:t>Limited v Kwazulu-Natal Law</w:t>
      </w:r>
      <w:r w:rsidR="000A40AF" w:rsidRPr="00442EC6">
        <w:rPr>
          <w:rFonts w:ascii="Arial" w:hAnsi="Arial" w:cs="Arial"/>
          <w:i/>
          <w:sz w:val="24"/>
          <w:szCs w:val="24"/>
        </w:rPr>
        <w:t xml:space="preserve"> </w:t>
      </w:r>
      <w:r w:rsidR="00B34C65" w:rsidRPr="00442EC6">
        <w:rPr>
          <w:rFonts w:ascii="Arial" w:hAnsi="Arial" w:cs="Arial"/>
          <w:i/>
          <w:sz w:val="24"/>
          <w:szCs w:val="24"/>
        </w:rPr>
        <w:t>Society and Others</w:t>
      </w:r>
      <w:r w:rsidR="00B34C65" w:rsidRPr="00442EC6">
        <w:rPr>
          <w:rFonts w:ascii="Arial" w:hAnsi="Arial" w:cs="Arial"/>
          <w:sz w:val="24"/>
          <w:szCs w:val="24"/>
        </w:rPr>
        <w:t>,</w:t>
      </w:r>
      <w:r w:rsidR="00B34C65" w:rsidRPr="00AB20E7">
        <w:rPr>
          <w:rStyle w:val="FootnoteReference"/>
          <w:rFonts w:ascii="Arial" w:hAnsi="Arial" w:cs="Arial"/>
          <w:sz w:val="24"/>
          <w:szCs w:val="24"/>
        </w:rPr>
        <w:footnoteReference w:id="4"/>
      </w:r>
      <w:r w:rsidR="00B34C65" w:rsidRPr="00442EC6">
        <w:rPr>
          <w:rFonts w:ascii="Arial" w:hAnsi="Arial" w:cs="Arial"/>
          <w:sz w:val="24"/>
          <w:szCs w:val="24"/>
        </w:rPr>
        <w:t xml:space="preserve"> where the court emphasised that ‘every opportunity courts have to interpret legislation, must be seen and utilised as a platform for the promotion of the Bill of Rights by infusing its central purpose into the very essence of the legislation itself.’ </w:t>
      </w:r>
    </w:p>
    <w:p w14:paraId="2A703160" w14:textId="77777777" w:rsidR="00C777EE" w:rsidRPr="00AB20E7" w:rsidRDefault="00C777EE" w:rsidP="00C777EE">
      <w:pPr>
        <w:pStyle w:val="ListParagraph"/>
        <w:rPr>
          <w:rFonts w:ascii="Arial" w:hAnsi="Arial" w:cs="Arial"/>
          <w:sz w:val="24"/>
          <w:szCs w:val="24"/>
        </w:rPr>
      </w:pPr>
    </w:p>
    <w:p w14:paraId="31E8C766" w14:textId="424EE5FF" w:rsidR="00F909E0" w:rsidRPr="00442EC6" w:rsidRDefault="00442EC6" w:rsidP="00442EC6">
      <w:pPr>
        <w:tabs>
          <w:tab w:val="left" w:pos="4917"/>
        </w:tabs>
        <w:spacing w:before="120" w:after="120" w:line="360" w:lineRule="auto"/>
        <w:ind w:left="720" w:hanging="720"/>
        <w:jc w:val="both"/>
        <w:rPr>
          <w:rFonts w:ascii="Arial" w:hAnsi="Arial" w:cs="Arial"/>
          <w:sz w:val="24"/>
          <w:szCs w:val="24"/>
        </w:rPr>
      </w:pPr>
      <w:r w:rsidRPr="00AB20E7">
        <w:rPr>
          <w:rFonts w:ascii="Arial" w:hAnsi="Arial" w:cs="Arial"/>
          <w:sz w:val="24"/>
          <w:szCs w:val="24"/>
        </w:rPr>
        <w:lastRenderedPageBreak/>
        <w:t>[17]</w:t>
      </w:r>
      <w:r w:rsidRPr="00AB20E7">
        <w:rPr>
          <w:rFonts w:ascii="Arial" w:hAnsi="Arial" w:cs="Arial"/>
          <w:sz w:val="24"/>
          <w:szCs w:val="24"/>
        </w:rPr>
        <w:tab/>
      </w:r>
      <w:r w:rsidR="00F909E0" w:rsidRPr="00442EC6">
        <w:rPr>
          <w:rFonts w:ascii="Arial" w:hAnsi="Arial" w:cs="Arial"/>
          <w:sz w:val="24"/>
          <w:szCs w:val="24"/>
        </w:rPr>
        <w:t>The State has a constitutional mandate to take progressive steps in realising the rights contained in the Bill of Rights. In facilitating the realisation of the right entrenched in s 34 of the Bill of Rights, the State is obliged to endeavour to eliminate the obstructions inhibiting access to justice and</w:t>
      </w:r>
      <w:r w:rsidR="00627E8C" w:rsidRPr="00442EC6">
        <w:rPr>
          <w:rFonts w:ascii="Arial" w:hAnsi="Arial" w:cs="Arial"/>
          <w:sz w:val="24"/>
          <w:szCs w:val="24"/>
        </w:rPr>
        <w:t>,</w:t>
      </w:r>
      <w:r w:rsidR="00F909E0" w:rsidRPr="00442EC6">
        <w:rPr>
          <w:rFonts w:ascii="Arial" w:hAnsi="Arial" w:cs="Arial"/>
          <w:sz w:val="24"/>
          <w:szCs w:val="24"/>
        </w:rPr>
        <w:t xml:space="preserve"> in particular, those difficulties which impede the poor, illiterate</w:t>
      </w:r>
      <w:r w:rsidR="00627E8C" w:rsidRPr="00442EC6">
        <w:rPr>
          <w:rFonts w:ascii="Arial" w:hAnsi="Arial" w:cs="Arial"/>
          <w:sz w:val="24"/>
          <w:szCs w:val="24"/>
        </w:rPr>
        <w:t>,</w:t>
      </w:r>
      <w:r w:rsidR="00F909E0" w:rsidRPr="00442EC6">
        <w:rPr>
          <w:rFonts w:ascii="Arial" w:hAnsi="Arial" w:cs="Arial"/>
          <w:sz w:val="24"/>
          <w:szCs w:val="24"/>
        </w:rPr>
        <w:t xml:space="preserve"> and indigent. Since the advent of the constitution</w:t>
      </w:r>
      <w:r w:rsidR="00744B5B" w:rsidRPr="00442EC6">
        <w:rPr>
          <w:rFonts w:ascii="Arial" w:hAnsi="Arial" w:cs="Arial"/>
          <w:sz w:val="24"/>
          <w:szCs w:val="24"/>
        </w:rPr>
        <w:t>al democracy</w:t>
      </w:r>
      <w:r w:rsidR="00627E8C" w:rsidRPr="00442EC6">
        <w:rPr>
          <w:rFonts w:ascii="Arial" w:hAnsi="Arial" w:cs="Arial"/>
          <w:sz w:val="24"/>
          <w:szCs w:val="24"/>
        </w:rPr>
        <w:t>,</w:t>
      </w:r>
      <w:r w:rsidR="00744B5B" w:rsidRPr="00442EC6">
        <w:rPr>
          <w:rFonts w:ascii="Arial" w:hAnsi="Arial" w:cs="Arial"/>
          <w:sz w:val="24"/>
          <w:szCs w:val="24"/>
        </w:rPr>
        <w:t xml:space="preserve"> the executive, the legislature</w:t>
      </w:r>
      <w:r w:rsidR="00627E8C" w:rsidRPr="00442EC6">
        <w:rPr>
          <w:rFonts w:ascii="Arial" w:hAnsi="Arial" w:cs="Arial"/>
          <w:sz w:val="24"/>
          <w:szCs w:val="24"/>
        </w:rPr>
        <w:t>,</w:t>
      </w:r>
      <w:r w:rsidR="00744B5B" w:rsidRPr="00442EC6">
        <w:rPr>
          <w:rFonts w:ascii="Arial" w:hAnsi="Arial" w:cs="Arial"/>
          <w:sz w:val="24"/>
          <w:szCs w:val="24"/>
        </w:rPr>
        <w:t xml:space="preserve"> and the judiciary have combined their efforts to </w:t>
      </w:r>
      <w:r w:rsidR="00627E8C" w:rsidRPr="00442EC6">
        <w:rPr>
          <w:rFonts w:ascii="Arial" w:hAnsi="Arial" w:cs="Arial"/>
          <w:sz w:val="24"/>
          <w:szCs w:val="24"/>
        </w:rPr>
        <w:t>put</w:t>
      </w:r>
      <w:r w:rsidR="00744B5B" w:rsidRPr="00442EC6">
        <w:rPr>
          <w:rFonts w:ascii="Arial" w:hAnsi="Arial" w:cs="Arial"/>
          <w:sz w:val="24"/>
          <w:szCs w:val="24"/>
        </w:rPr>
        <w:t xml:space="preserve"> in place measures with the objective of broadening access to justice.</w:t>
      </w:r>
      <w:r w:rsidR="00744B5B" w:rsidRPr="00AB20E7">
        <w:rPr>
          <w:rStyle w:val="FootnoteReference"/>
          <w:rFonts w:ascii="Arial" w:hAnsi="Arial" w:cs="Arial"/>
          <w:sz w:val="24"/>
          <w:szCs w:val="24"/>
        </w:rPr>
        <w:footnoteReference w:id="5"/>
      </w:r>
    </w:p>
    <w:p w14:paraId="646AF146" w14:textId="77777777" w:rsidR="00C777EE" w:rsidRPr="00AB20E7" w:rsidRDefault="00C777EE" w:rsidP="00C777EE">
      <w:pPr>
        <w:pStyle w:val="ListParagraph"/>
        <w:rPr>
          <w:rFonts w:ascii="Arial" w:hAnsi="Arial" w:cs="Arial"/>
          <w:sz w:val="24"/>
          <w:szCs w:val="24"/>
        </w:rPr>
      </w:pPr>
    </w:p>
    <w:p w14:paraId="10F1C7FF" w14:textId="05B38908" w:rsidR="00744B5B" w:rsidRPr="00442EC6" w:rsidRDefault="00442EC6" w:rsidP="00442EC6">
      <w:pPr>
        <w:tabs>
          <w:tab w:val="left" w:pos="4917"/>
        </w:tabs>
        <w:spacing w:before="120" w:after="120" w:line="360" w:lineRule="auto"/>
        <w:ind w:left="720" w:hanging="720"/>
        <w:jc w:val="both"/>
        <w:rPr>
          <w:rFonts w:ascii="Arial" w:hAnsi="Arial" w:cs="Arial"/>
          <w:sz w:val="24"/>
          <w:szCs w:val="24"/>
        </w:rPr>
      </w:pPr>
      <w:r w:rsidRPr="00AB20E7">
        <w:rPr>
          <w:rFonts w:ascii="Arial" w:hAnsi="Arial" w:cs="Arial"/>
          <w:sz w:val="24"/>
          <w:szCs w:val="24"/>
        </w:rPr>
        <w:t>[18]</w:t>
      </w:r>
      <w:r w:rsidRPr="00AB20E7">
        <w:rPr>
          <w:rFonts w:ascii="Arial" w:hAnsi="Arial" w:cs="Arial"/>
          <w:sz w:val="24"/>
          <w:szCs w:val="24"/>
        </w:rPr>
        <w:tab/>
      </w:r>
      <w:r w:rsidR="00DA2CC7" w:rsidRPr="00442EC6">
        <w:rPr>
          <w:rFonts w:ascii="Arial" w:hAnsi="Arial" w:cs="Arial"/>
          <w:sz w:val="24"/>
          <w:szCs w:val="24"/>
        </w:rPr>
        <w:t xml:space="preserve">In </w:t>
      </w:r>
      <w:r w:rsidR="00DA2CC7" w:rsidRPr="00442EC6">
        <w:rPr>
          <w:rFonts w:ascii="Arial" w:hAnsi="Arial" w:cs="Arial"/>
          <w:i/>
          <w:sz w:val="24"/>
          <w:szCs w:val="24"/>
        </w:rPr>
        <w:t>Justice Vision 2000</w:t>
      </w:r>
      <w:r w:rsidR="00744B5B" w:rsidRPr="00442EC6">
        <w:rPr>
          <w:rFonts w:ascii="Arial" w:hAnsi="Arial" w:cs="Arial"/>
          <w:sz w:val="24"/>
          <w:szCs w:val="24"/>
        </w:rPr>
        <w:t>, the product of a long process of consultation amongst role players in the administration of justice,</w:t>
      </w:r>
      <w:bookmarkStart w:id="1" w:name="_Ref130275481"/>
      <w:r w:rsidR="00744B5B" w:rsidRPr="00AB20E7">
        <w:rPr>
          <w:rStyle w:val="FootnoteReference"/>
          <w:rFonts w:ascii="Arial" w:hAnsi="Arial" w:cs="Arial"/>
          <w:sz w:val="24"/>
          <w:szCs w:val="24"/>
        </w:rPr>
        <w:footnoteReference w:id="6"/>
      </w:r>
      <w:bookmarkEnd w:id="1"/>
      <w:r w:rsidR="00DA2CC7" w:rsidRPr="00442EC6">
        <w:rPr>
          <w:rFonts w:ascii="Arial" w:hAnsi="Arial" w:cs="Arial"/>
          <w:sz w:val="24"/>
          <w:szCs w:val="24"/>
        </w:rPr>
        <w:t xml:space="preserve"> it was recognis</w:t>
      </w:r>
      <w:r w:rsidR="00744B5B" w:rsidRPr="00442EC6">
        <w:rPr>
          <w:rFonts w:ascii="Arial" w:hAnsi="Arial" w:cs="Arial"/>
          <w:sz w:val="24"/>
          <w:szCs w:val="24"/>
        </w:rPr>
        <w:t>ed that the legal profession had</w:t>
      </w:r>
      <w:r w:rsidR="00DA2CC7" w:rsidRPr="00442EC6">
        <w:rPr>
          <w:rFonts w:ascii="Arial" w:hAnsi="Arial" w:cs="Arial"/>
          <w:sz w:val="24"/>
          <w:szCs w:val="24"/>
        </w:rPr>
        <w:t xml:space="preserve"> to be transformed in order to be able to respond adequately to the need of all the people of South Africa.</w:t>
      </w:r>
      <w:bookmarkStart w:id="2" w:name="_Ref130275456"/>
      <w:r w:rsidR="00DA2CC7" w:rsidRPr="00AB20E7">
        <w:rPr>
          <w:rStyle w:val="FootnoteReference"/>
          <w:rFonts w:ascii="Arial" w:hAnsi="Arial" w:cs="Arial"/>
          <w:sz w:val="24"/>
          <w:szCs w:val="24"/>
        </w:rPr>
        <w:footnoteReference w:id="7"/>
      </w:r>
      <w:bookmarkEnd w:id="2"/>
      <w:r w:rsidR="00DA2CC7" w:rsidRPr="00442EC6">
        <w:rPr>
          <w:rFonts w:ascii="Arial" w:hAnsi="Arial" w:cs="Arial"/>
          <w:sz w:val="24"/>
          <w:szCs w:val="24"/>
        </w:rPr>
        <w:t xml:space="preserve"> One of the main challenges identified was to make the legal professio</w:t>
      </w:r>
      <w:r w:rsidR="00744B5B" w:rsidRPr="00442EC6">
        <w:rPr>
          <w:rFonts w:ascii="Arial" w:hAnsi="Arial" w:cs="Arial"/>
          <w:sz w:val="24"/>
          <w:szCs w:val="24"/>
        </w:rPr>
        <w:t>n more accessible to the public:</w:t>
      </w:r>
    </w:p>
    <w:p w14:paraId="719CA52C" w14:textId="77777777" w:rsidR="00744B5B" w:rsidRPr="00AB20E7" w:rsidRDefault="00744B5B" w:rsidP="00744B5B">
      <w:pPr>
        <w:pStyle w:val="ListParagraph"/>
        <w:ind w:left="1008" w:right="1008"/>
        <w:jc w:val="both"/>
        <w:rPr>
          <w:rFonts w:ascii="Arial" w:hAnsi="Arial" w:cs="Arial"/>
          <w:sz w:val="24"/>
          <w:szCs w:val="24"/>
        </w:rPr>
      </w:pPr>
    </w:p>
    <w:p w14:paraId="4D929D5E" w14:textId="748C1092" w:rsidR="00744B5B" w:rsidRPr="00AB20E7" w:rsidRDefault="00744B5B" w:rsidP="00744B5B">
      <w:pPr>
        <w:pStyle w:val="ListParagraph"/>
        <w:tabs>
          <w:tab w:val="left" w:pos="4917"/>
        </w:tabs>
        <w:spacing w:before="120" w:after="120" w:line="360" w:lineRule="auto"/>
        <w:ind w:left="1008" w:right="1008"/>
        <w:jc w:val="both"/>
        <w:rPr>
          <w:rFonts w:ascii="Arial" w:hAnsi="Arial" w:cs="Arial"/>
          <w:sz w:val="24"/>
          <w:szCs w:val="24"/>
        </w:rPr>
      </w:pPr>
      <w:r w:rsidRPr="00AB20E7">
        <w:rPr>
          <w:rFonts w:ascii="Arial" w:hAnsi="Arial" w:cs="Arial"/>
          <w:sz w:val="24"/>
          <w:szCs w:val="24"/>
        </w:rPr>
        <w:t>‘</w:t>
      </w:r>
      <w:r w:rsidRPr="00AB20E7">
        <w:rPr>
          <w:rFonts w:ascii="Arial" w:hAnsi="Arial" w:cs="Arial"/>
          <w:color w:val="252525"/>
          <w:sz w:val="24"/>
          <w:szCs w:val="24"/>
          <w:shd w:val="clear" w:color="auto" w:fill="F8F8F8"/>
        </w:rPr>
        <w:t xml:space="preserve">What was clear from the outset was that the administration of justice was in need of change; not change for the sake of it but because people want a more effective and open system of </w:t>
      </w:r>
      <w:r w:rsidRPr="00AB20E7">
        <w:rPr>
          <w:rFonts w:ascii="Arial" w:hAnsi="Arial" w:cs="Arial"/>
          <w:i/>
          <w:color w:val="252525"/>
          <w:sz w:val="24"/>
          <w:szCs w:val="24"/>
          <w:shd w:val="clear" w:color="auto" w:fill="F8F8F8"/>
        </w:rPr>
        <w:t>justice which is within reach of the ordinary person.</w:t>
      </w:r>
      <w:r w:rsidRPr="00AB20E7">
        <w:rPr>
          <w:rFonts w:ascii="Arial" w:hAnsi="Arial" w:cs="Arial"/>
          <w:color w:val="252525"/>
          <w:sz w:val="24"/>
          <w:szCs w:val="24"/>
          <w:shd w:val="clear" w:color="auto" w:fill="F8F8F8"/>
        </w:rPr>
        <w:t xml:space="preserve"> Also, the Constitution compels us to develop a system of justice which is in keeping with democracy and respect for human rights.’</w:t>
      </w:r>
      <w:r w:rsidRPr="00AB20E7">
        <w:rPr>
          <w:rStyle w:val="FootnoteReference"/>
          <w:rFonts w:ascii="Arial" w:hAnsi="Arial" w:cs="Arial"/>
          <w:color w:val="252525"/>
          <w:sz w:val="24"/>
          <w:szCs w:val="24"/>
          <w:shd w:val="clear" w:color="auto" w:fill="F8F8F8"/>
        </w:rPr>
        <w:footnoteReference w:id="8"/>
      </w:r>
      <w:r w:rsidR="00E71B2F" w:rsidRPr="00AB20E7">
        <w:rPr>
          <w:rFonts w:ascii="Arial" w:hAnsi="Arial" w:cs="Arial"/>
          <w:color w:val="252525"/>
          <w:sz w:val="24"/>
          <w:szCs w:val="24"/>
          <w:shd w:val="clear" w:color="auto" w:fill="F8F8F8"/>
        </w:rPr>
        <w:t xml:space="preserve"> (My emphasis)</w:t>
      </w:r>
    </w:p>
    <w:p w14:paraId="4C5CA890" w14:textId="77777777" w:rsidR="00744B5B" w:rsidRPr="00AB20E7" w:rsidRDefault="00744B5B" w:rsidP="00744B5B">
      <w:pPr>
        <w:pStyle w:val="ListParagraph"/>
        <w:rPr>
          <w:rFonts w:ascii="Arial" w:hAnsi="Arial" w:cs="Arial"/>
          <w:sz w:val="24"/>
          <w:szCs w:val="24"/>
        </w:rPr>
      </w:pPr>
    </w:p>
    <w:p w14:paraId="02188D8D" w14:textId="0CAEBD45" w:rsidR="00C777EE" w:rsidRPr="00442EC6" w:rsidRDefault="00442EC6" w:rsidP="00442EC6">
      <w:pPr>
        <w:tabs>
          <w:tab w:val="left" w:pos="4917"/>
        </w:tabs>
        <w:spacing w:before="120" w:after="120" w:line="360" w:lineRule="auto"/>
        <w:ind w:left="720" w:hanging="720"/>
        <w:jc w:val="both"/>
        <w:rPr>
          <w:rFonts w:ascii="Arial" w:hAnsi="Arial" w:cs="Arial"/>
          <w:sz w:val="24"/>
          <w:szCs w:val="24"/>
        </w:rPr>
      </w:pPr>
      <w:r w:rsidRPr="00AB20E7">
        <w:rPr>
          <w:rFonts w:ascii="Arial" w:hAnsi="Arial" w:cs="Arial"/>
          <w:sz w:val="24"/>
          <w:szCs w:val="24"/>
        </w:rPr>
        <w:t>[19]</w:t>
      </w:r>
      <w:r w:rsidRPr="00AB20E7">
        <w:rPr>
          <w:rFonts w:ascii="Arial" w:hAnsi="Arial" w:cs="Arial"/>
          <w:sz w:val="24"/>
          <w:szCs w:val="24"/>
        </w:rPr>
        <w:tab/>
      </w:r>
      <w:r w:rsidR="00194F2B" w:rsidRPr="00442EC6">
        <w:rPr>
          <w:rFonts w:ascii="Arial" w:hAnsi="Arial" w:cs="Arial"/>
          <w:sz w:val="24"/>
          <w:szCs w:val="24"/>
        </w:rPr>
        <w:t xml:space="preserve">The following excerpt from the </w:t>
      </w:r>
      <w:r w:rsidR="00744B5B" w:rsidRPr="00442EC6">
        <w:rPr>
          <w:rFonts w:ascii="Arial" w:hAnsi="Arial" w:cs="Arial"/>
          <w:sz w:val="24"/>
          <w:szCs w:val="24"/>
        </w:rPr>
        <w:t xml:space="preserve">ensuing </w:t>
      </w:r>
      <w:r w:rsidR="00194F2B" w:rsidRPr="00442EC6">
        <w:rPr>
          <w:rFonts w:ascii="Arial" w:hAnsi="Arial" w:cs="Arial"/>
          <w:sz w:val="24"/>
          <w:szCs w:val="24"/>
          <w:lang w:val="en-GB"/>
        </w:rPr>
        <w:t>Transformation of the Legal Profession: Discussion Paper</w:t>
      </w:r>
      <w:r w:rsidR="00194F2B" w:rsidRPr="00AB20E7">
        <w:rPr>
          <w:rStyle w:val="FootnoteReference"/>
          <w:rFonts w:ascii="Arial" w:hAnsi="Arial" w:cs="Arial"/>
          <w:sz w:val="24"/>
          <w:szCs w:val="24"/>
          <w:lang w:val="en-GB"/>
        </w:rPr>
        <w:footnoteReference w:id="9"/>
      </w:r>
      <w:r w:rsidR="00194F2B" w:rsidRPr="00442EC6">
        <w:rPr>
          <w:rFonts w:ascii="Arial" w:hAnsi="Arial" w:cs="Arial"/>
          <w:sz w:val="24"/>
          <w:szCs w:val="24"/>
          <w:lang w:val="en-GB"/>
        </w:rPr>
        <w:t xml:space="preserve"> (‘the discussion paper’) is relevant to the issue to be determined:</w:t>
      </w:r>
    </w:p>
    <w:p w14:paraId="481C0434" w14:textId="2A408866" w:rsidR="00194F2B" w:rsidRPr="00AB20E7" w:rsidRDefault="00194F2B" w:rsidP="00493920">
      <w:pPr>
        <w:pStyle w:val="ListParagraph"/>
        <w:rPr>
          <w:rFonts w:ascii="Arial" w:hAnsi="Arial" w:cs="Arial"/>
          <w:sz w:val="24"/>
          <w:szCs w:val="24"/>
        </w:rPr>
      </w:pPr>
    </w:p>
    <w:p w14:paraId="73CE7352" w14:textId="77777777" w:rsidR="00194F2B" w:rsidRPr="00AB20E7" w:rsidRDefault="00194F2B" w:rsidP="00493920">
      <w:pPr>
        <w:spacing w:before="120" w:after="120" w:line="360" w:lineRule="auto"/>
        <w:ind w:left="1008" w:right="1008"/>
        <w:jc w:val="both"/>
        <w:textAlignment w:val="baseline"/>
        <w:outlineLvl w:val="2"/>
        <w:rPr>
          <w:rFonts w:ascii="Arial" w:eastAsia="Times New Roman" w:hAnsi="Arial" w:cs="Arial"/>
          <w:spacing w:val="-5"/>
          <w:sz w:val="24"/>
          <w:szCs w:val="24"/>
        </w:rPr>
      </w:pPr>
      <w:r w:rsidRPr="00AB20E7">
        <w:rPr>
          <w:rFonts w:ascii="Arial" w:hAnsi="Arial" w:cs="Arial"/>
          <w:sz w:val="24"/>
          <w:szCs w:val="24"/>
        </w:rPr>
        <w:lastRenderedPageBreak/>
        <w:t>‘</w:t>
      </w:r>
      <w:r w:rsidRPr="00AB20E7">
        <w:rPr>
          <w:rFonts w:ascii="Arial" w:eastAsia="Times New Roman" w:hAnsi="Arial" w:cs="Arial"/>
          <w:spacing w:val="-5"/>
          <w:sz w:val="24"/>
          <w:szCs w:val="24"/>
        </w:rPr>
        <w:t>3.2 Uniform regulation of the profession</w:t>
      </w:r>
    </w:p>
    <w:p w14:paraId="522AF9D6" w14:textId="77777777" w:rsidR="00194F2B" w:rsidRPr="00AB20E7" w:rsidRDefault="00194F2B" w:rsidP="00493920">
      <w:pPr>
        <w:spacing w:before="120" w:after="120" w:line="360" w:lineRule="auto"/>
        <w:ind w:left="1008" w:right="1008"/>
        <w:jc w:val="both"/>
        <w:textAlignment w:val="baseline"/>
        <w:rPr>
          <w:rFonts w:ascii="Arial" w:eastAsia="Times New Roman" w:hAnsi="Arial" w:cs="Arial"/>
          <w:sz w:val="24"/>
          <w:szCs w:val="24"/>
        </w:rPr>
      </w:pPr>
      <w:r w:rsidRPr="00AB20E7">
        <w:rPr>
          <w:rFonts w:ascii="Arial" w:eastAsia="Times New Roman" w:hAnsi="Arial" w:cs="Arial"/>
          <w:i/>
          <w:iCs/>
          <w:sz w:val="24"/>
          <w:szCs w:val="24"/>
          <w:bdr w:val="none" w:sz="0" w:space="0" w:color="auto" w:frame="1"/>
        </w:rPr>
        <w:t>Justice Vision 2000</w:t>
      </w:r>
      <w:r w:rsidRPr="00AB20E7">
        <w:rPr>
          <w:rFonts w:ascii="Arial" w:eastAsia="Times New Roman" w:hAnsi="Arial" w:cs="Arial"/>
          <w:sz w:val="24"/>
          <w:szCs w:val="24"/>
        </w:rPr>
        <w:t> suggests the possibility of integration of the profession and the creation of a single controlling body for the profession. The inclination of the Ministry of Justice and Constitutional Development is not to force integration but to facilitate developments in this direction. It is therefore necessary to consider whether the continued regulation of the profession by way of separate statutes is justifiable and in the public interest.</w:t>
      </w:r>
    </w:p>
    <w:p w14:paraId="55BF7A0E" w14:textId="77777777" w:rsidR="00194F2B" w:rsidRPr="00AB20E7" w:rsidRDefault="00194F2B" w:rsidP="00493920">
      <w:pPr>
        <w:spacing w:before="120" w:after="120" w:line="360" w:lineRule="auto"/>
        <w:ind w:left="1008" w:right="1008"/>
        <w:jc w:val="both"/>
        <w:textAlignment w:val="baseline"/>
        <w:rPr>
          <w:rFonts w:ascii="Arial" w:eastAsia="Times New Roman" w:hAnsi="Arial" w:cs="Arial"/>
          <w:sz w:val="24"/>
          <w:szCs w:val="24"/>
        </w:rPr>
      </w:pPr>
      <w:r w:rsidRPr="00AB20E7">
        <w:rPr>
          <w:rFonts w:ascii="Arial" w:eastAsia="Times New Roman" w:hAnsi="Arial" w:cs="Arial"/>
          <w:sz w:val="24"/>
          <w:szCs w:val="24"/>
        </w:rPr>
        <w:t>The following aspects of professional practice need to regulated in the public interest:</w:t>
      </w:r>
    </w:p>
    <w:p w14:paraId="2DBA59D5" w14:textId="31EE3A90" w:rsidR="00194F2B" w:rsidRPr="00442EC6" w:rsidRDefault="00442EC6" w:rsidP="00442EC6">
      <w:pPr>
        <w:tabs>
          <w:tab w:val="left" w:pos="936"/>
        </w:tabs>
        <w:spacing w:before="120" w:after="120" w:line="360" w:lineRule="auto"/>
        <w:ind w:left="936" w:right="1008" w:firstLine="594"/>
        <w:jc w:val="both"/>
        <w:textAlignment w:val="baseline"/>
        <w:rPr>
          <w:rFonts w:ascii="Arial" w:eastAsia="Times New Roman" w:hAnsi="Arial" w:cs="Arial"/>
          <w:sz w:val="24"/>
          <w:szCs w:val="24"/>
        </w:rPr>
      </w:pPr>
      <w:r w:rsidRPr="00AB20E7">
        <w:rPr>
          <w:rFonts w:ascii="Symbol" w:eastAsia="Times New Roman" w:hAnsi="Symbol" w:cs="Arial"/>
          <w:sz w:val="20"/>
          <w:szCs w:val="24"/>
        </w:rPr>
        <w:t></w:t>
      </w:r>
      <w:r w:rsidRPr="00AB20E7">
        <w:rPr>
          <w:rFonts w:ascii="Symbol" w:eastAsia="Times New Roman" w:hAnsi="Symbol" w:cs="Arial"/>
          <w:sz w:val="20"/>
          <w:szCs w:val="24"/>
        </w:rPr>
        <w:tab/>
      </w:r>
      <w:r w:rsidR="00194F2B" w:rsidRPr="00442EC6">
        <w:rPr>
          <w:rFonts w:ascii="Arial" w:eastAsia="Times New Roman" w:hAnsi="Arial" w:cs="Arial"/>
          <w:sz w:val="24"/>
          <w:szCs w:val="24"/>
        </w:rPr>
        <w:t>Standards of education and training</w:t>
      </w:r>
    </w:p>
    <w:p w14:paraId="611505B0" w14:textId="6C39B5C7" w:rsidR="00194F2B" w:rsidRPr="00442EC6" w:rsidRDefault="00442EC6" w:rsidP="00442EC6">
      <w:pPr>
        <w:tabs>
          <w:tab w:val="left" w:pos="936"/>
        </w:tabs>
        <w:spacing w:before="120" w:after="120" w:line="360" w:lineRule="auto"/>
        <w:ind w:left="936" w:right="1008" w:firstLine="594"/>
        <w:jc w:val="both"/>
        <w:textAlignment w:val="baseline"/>
        <w:rPr>
          <w:rFonts w:ascii="Arial" w:eastAsia="Times New Roman" w:hAnsi="Arial" w:cs="Arial"/>
          <w:sz w:val="24"/>
          <w:szCs w:val="24"/>
        </w:rPr>
      </w:pPr>
      <w:r w:rsidRPr="00AB20E7">
        <w:rPr>
          <w:rFonts w:ascii="Symbol" w:eastAsia="Times New Roman" w:hAnsi="Symbol" w:cs="Arial"/>
          <w:sz w:val="20"/>
          <w:szCs w:val="24"/>
        </w:rPr>
        <w:t></w:t>
      </w:r>
      <w:r w:rsidRPr="00AB20E7">
        <w:rPr>
          <w:rFonts w:ascii="Symbol" w:eastAsia="Times New Roman" w:hAnsi="Symbol" w:cs="Arial"/>
          <w:sz w:val="20"/>
          <w:szCs w:val="24"/>
        </w:rPr>
        <w:tab/>
      </w:r>
      <w:r w:rsidR="00194F2B" w:rsidRPr="00442EC6">
        <w:rPr>
          <w:rFonts w:ascii="Arial" w:eastAsia="Times New Roman" w:hAnsi="Arial" w:cs="Arial"/>
          <w:sz w:val="24"/>
          <w:szCs w:val="24"/>
        </w:rPr>
        <w:t>Qualification for admission to the profession</w:t>
      </w:r>
    </w:p>
    <w:p w14:paraId="7E880B73" w14:textId="0BA039FE" w:rsidR="00194F2B" w:rsidRPr="00442EC6" w:rsidRDefault="00442EC6" w:rsidP="00442EC6">
      <w:pPr>
        <w:tabs>
          <w:tab w:val="left" w:pos="936"/>
        </w:tabs>
        <w:spacing w:before="120" w:after="120" w:line="360" w:lineRule="auto"/>
        <w:ind w:left="936" w:right="1008" w:firstLine="594"/>
        <w:jc w:val="both"/>
        <w:textAlignment w:val="baseline"/>
        <w:rPr>
          <w:rFonts w:ascii="Arial" w:eastAsia="Times New Roman" w:hAnsi="Arial" w:cs="Arial"/>
          <w:sz w:val="24"/>
          <w:szCs w:val="24"/>
        </w:rPr>
      </w:pPr>
      <w:r w:rsidRPr="00AB20E7">
        <w:rPr>
          <w:rFonts w:ascii="Symbol" w:eastAsia="Times New Roman" w:hAnsi="Symbol" w:cs="Arial"/>
          <w:sz w:val="20"/>
          <w:szCs w:val="24"/>
        </w:rPr>
        <w:t></w:t>
      </w:r>
      <w:r w:rsidRPr="00AB20E7">
        <w:rPr>
          <w:rFonts w:ascii="Symbol" w:eastAsia="Times New Roman" w:hAnsi="Symbol" w:cs="Arial"/>
          <w:sz w:val="20"/>
          <w:szCs w:val="24"/>
        </w:rPr>
        <w:tab/>
      </w:r>
      <w:r w:rsidR="00194F2B" w:rsidRPr="00442EC6">
        <w:rPr>
          <w:rFonts w:ascii="Arial" w:eastAsia="Times New Roman" w:hAnsi="Arial" w:cs="Arial"/>
          <w:sz w:val="24"/>
          <w:szCs w:val="24"/>
        </w:rPr>
        <w:t>Licence to practice</w:t>
      </w:r>
    </w:p>
    <w:p w14:paraId="442C24CD" w14:textId="35E872F6" w:rsidR="00194F2B" w:rsidRPr="00442EC6" w:rsidRDefault="00442EC6" w:rsidP="00442EC6">
      <w:pPr>
        <w:tabs>
          <w:tab w:val="left" w:pos="936"/>
        </w:tabs>
        <w:spacing w:before="120" w:after="120" w:line="360" w:lineRule="auto"/>
        <w:ind w:left="936" w:right="1008" w:firstLine="594"/>
        <w:jc w:val="both"/>
        <w:textAlignment w:val="baseline"/>
        <w:rPr>
          <w:rFonts w:ascii="Arial" w:eastAsia="Times New Roman" w:hAnsi="Arial" w:cs="Arial"/>
          <w:sz w:val="24"/>
          <w:szCs w:val="24"/>
        </w:rPr>
      </w:pPr>
      <w:r w:rsidRPr="00AB20E7">
        <w:rPr>
          <w:rFonts w:ascii="Symbol" w:eastAsia="Times New Roman" w:hAnsi="Symbol" w:cs="Arial"/>
          <w:sz w:val="20"/>
          <w:szCs w:val="24"/>
        </w:rPr>
        <w:t></w:t>
      </w:r>
      <w:r w:rsidRPr="00AB20E7">
        <w:rPr>
          <w:rFonts w:ascii="Symbol" w:eastAsia="Times New Roman" w:hAnsi="Symbol" w:cs="Arial"/>
          <w:sz w:val="20"/>
          <w:szCs w:val="24"/>
        </w:rPr>
        <w:tab/>
      </w:r>
      <w:r w:rsidR="00194F2B" w:rsidRPr="00442EC6">
        <w:rPr>
          <w:rFonts w:ascii="Arial" w:eastAsia="Times New Roman" w:hAnsi="Arial" w:cs="Arial"/>
          <w:sz w:val="24"/>
          <w:szCs w:val="24"/>
        </w:rPr>
        <w:t>Discipline in respect of improper conduct</w:t>
      </w:r>
    </w:p>
    <w:p w14:paraId="6C8CA735" w14:textId="7D64B6E9" w:rsidR="00194F2B" w:rsidRPr="00442EC6" w:rsidRDefault="00442EC6" w:rsidP="00442EC6">
      <w:pPr>
        <w:tabs>
          <w:tab w:val="left" w:pos="936"/>
        </w:tabs>
        <w:spacing w:before="120" w:after="120" w:line="360" w:lineRule="auto"/>
        <w:ind w:left="936" w:right="1008" w:firstLine="594"/>
        <w:jc w:val="both"/>
        <w:textAlignment w:val="baseline"/>
        <w:rPr>
          <w:rFonts w:ascii="Arial" w:eastAsia="Times New Roman" w:hAnsi="Arial" w:cs="Arial"/>
          <w:i/>
          <w:sz w:val="24"/>
          <w:szCs w:val="24"/>
        </w:rPr>
      </w:pPr>
      <w:r w:rsidRPr="00AB20E7">
        <w:rPr>
          <w:rFonts w:ascii="Symbol" w:eastAsia="Times New Roman" w:hAnsi="Symbol" w:cs="Arial"/>
          <w:sz w:val="20"/>
          <w:szCs w:val="24"/>
        </w:rPr>
        <w:t></w:t>
      </w:r>
      <w:r w:rsidRPr="00AB20E7">
        <w:rPr>
          <w:rFonts w:ascii="Symbol" w:eastAsia="Times New Roman" w:hAnsi="Symbol" w:cs="Arial"/>
          <w:sz w:val="20"/>
          <w:szCs w:val="24"/>
        </w:rPr>
        <w:tab/>
      </w:r>
      <w:r w:rsidR="00194F2B" w:rsidRPr="00442EC6">
        <w:rPr>
          <w:rFonts w:ascii="Arial" w:eastAsia="Times New Roman" w:hAnsi="Arial" w:cs="Arial"/>
          <w:i/>
          <w:sz w:val="24"/>
          <w:szCs w:val="24"/>
        </w:rPr>
        <w:t>Public indemnity in respect of the misappropriation of funds</w:t>
      </w:r>
    </w:p>
    <w:p w14:paraId="6AF79B2E" w14:textId="780C98D6" w:rsidR="00194F2B" w:rsidRPr="00AB20E7" w:rsidRDefault="00194F2B" w:rsidP="002C7A3D">
      <w:pPr>
        <w:spacing w:before="120" w:after="120" w:line="360" w:lineRule="auto"/>
        <w:ind w:left="1008" w:right="1008"/>
        <w:jc w:val="both"/>
        <w:textAlignment w:val="baseline"/>
        <w:rPr>
          <w:rFonts w:ascii="Arial" w:eastAsia="Times New Roman" w:hAnsi="Arial" w:cs="Arial"/>
          <w:sz w:val="24"/>
          <w:szCs w:val="24"/>
        </w:rPr>
      </w:pPr>
      <w:r w:rsidRPr="00AB20E7">
        <w:rPr>
          <w:rFonts w:ascii="Arial" w:eastAsia="Times New Roman" w:hAnsi="Arial" w:cs="Arial"/>
          <w:i/>
          <w:sz w:val="24"/>
          <w:szCs w:val="24"/>
        </w:rPr>
        <w:t>All except the last of these clearly apply to both professions, but even the last will become necessary with regard to the advocates' profession if the prohibition against taking instructions from members of the public without a brief from an attorney is removed</w:t>
      </w:r>
      <w:r w:rsidRPr="00AB20E7">
        <w:rPr>
          <w:rFonts w:ascii="Arial" w:eastAsia="Times New Roman" w:hAnsi="Arial" w:cs="Arial"/>
          <w:sz w:val="24"/>
          <w:szCs w:val="24"/>
        </w:rPr>
        <w:t xml:space="preserve">. Now that attorneys have right of appearance in the High Court, it seems fair that advocates should be allowed to take instructions directly from clients and in this situation they might well find themselves handling clients' funds. </w:t>
      </w:r>
      <w:r w:rsidRPr="00AB20E7">
        <w:rPr>
          <w:rFonts w:ascii="Arial" w:eastAsia="Times New Roman" w:hAnsi="Arial" w:cs="Arial"/>
          <w:i/>
          <w:sz w:val="24"/>
          <w:szCs w:val="24"/>
        </w:rPr>
        <w:t>It might be appropriate simply to require any legal practitioner who handles funds on behalf of a client to be in possession of a Fidelity Fund certificate</w:t>
      </w:r>
      <w:r w:rsidRPr="00AB20E7">
        <w:rPr>
          <w:rFonts w:ascii="Arial" w:eastAsia="Times New Roman" w:hAnsi="Arial" w:cs="Arial"/>
          <w:sz w:val="24"/>
          <w:szCs w:val="24"/>
        </w:rPr>
        <w:t xml:space="preserve"> and to restructure the Board of the Fidelity Fund so that it is representative of all private legal practitioners and sufficiently representative of consumers of legal services.’ (My emphasis).</w:t>
      </w:r>
    </w:p>
    <w:p w14:paraId="16503292" w14:textId="0B840270" w:rsidR="005575CB" w:rsidRPr="00AB20E7" w:rsidRDefault="005575CB" w:rsidP="005575CB">
      <w:pPr>
        <w:spacing w:before="120" w:after="120" w:line="360" w:lineRule="auto"/>
        <w:ind w:right="1008"/>
        <w:jc w:val="both"/>
        <w:textAlignment w:val="baseline"/>
        <w:rPr>
          <w:rFonts w:ascii="Arial" w:eastAsia="Times New Roman" w:hAnsi="Arial" w:cs="Arial"/>
          <w:sz w:val="24"/>
          <w:szCs w:val="24"/>
        </w:rPr>
      </w:pPr>
    </w:p>
    <w:p w14:paraId="625E3736" w14:textId="441B6AEE" w:rsidR="005575CB" w:rsidRPr="00AB20E7" w:rsidRDefault="00DD5F91" w:rsidP="005575CB">
      <w:pPr>
        <w:spacing w:before="120" w:after="120" w:line="360" w:lineRule="auto"/>
        <w:ind w:right="1008"/>
        <w:jc w:val="both"/>
        <w:textAlignment w:val="baseline"/>
        <w:rPr>
          <w:rFonts w:ascii="Arial" w:eastAsia="Times New Roman" w:hAnsi="Arial" w:cs="Arial"/>
          <w:i/>
          <w:sz w:val="24"/>
          <w:szCs w:val="24"/>
        </w:rPr>
      </w:pPr>
      <w:r w:rsidRPr="00AB20E7">
        <w:rPr>
          <w:rFonts w:ascii="Arial" w:eastAsia="Times New Roman" w:hAnsi="Arial" w:cs="Arial"/>
          <w:i/>
          <w:sz w:val="24"/>
          <w:szCs w:val="24"/>
        </w:rPr>
        <w:t>Legislative</w:t>
      </w:r>
      <w:r w:rsidR="005575CB" w:rsidRPr="00AB20E7">
        <w:rPr>
          <w:rFonts w:ascii="Arial" w:eastAsia="Times New Roman" w:hAnsi="Arial" w:cs="Arial"/>
          <w:i/>
          <w:sz w:val="24"/>
          <w:szCs w:val="24"/>
        </w:rPr>
        <w:t xml:space="preserve"> framework</w:t>
      </w:r>
    </w:p>
    <w:p w14:paraId="08BD686E" w14:textId="07BD1D73" w:rsidR="00194F2B" w:rsidRPr="00AB20E7" w:rsidRDefault="00194F2B" w:rsidP="00194F2B">
      <w:pPr>
        <w:pStyle w:val="ListParagraph"/>
        <w:rPr>
          <w:rFonts w:ascii="Arial" w:hAnsi="Arial" w:cs="Arial"/>
          <w:sz w:val="24"/>
          <w:szCs w:val="24"/>
        </w:rPr>
      </w:pPr>
    </w:p>
    <w:p w14:paraId="3D62486D" w14:textId="50990573" w:rsidR="00C72CA2" w:rsidRPr="00442EC6" w:rsidRDefault="00442EC6" w:rsidP="00442EC6">
      <w:pPr>
        <w:tabs>
          <w:tab w:val="left" w:pos="4917"/>
        </w:tabs>
        <w:spacing w:before="120" w:after="120" w:line="360" w:lineRule="auto"/>
        <w:ind w:left="720" w:hanging="720"/>
        <w:jc w:val="both"/>
        <w:rPr>
          <w:rFonts w:ascii="Arial" w:hAnsi="Arial" w:cs="Arial"/>
          <w:sz w:val="24"/>
          <w:szCs w:val="24"/>
        </w:rPr>
      </w:pPr>
      <w:r w:rsidRPr="00AB20E7">
        <w:rPr>
          <w:rFonts w:ascii="Arial" w:hAnsi="Arial" w:cs="Arial"/>
          <w:sz w:val="24"/>
          <w:szCs w:val="24"/>
        </w:rPr>
        <w:lastRenderedPageBreak/>
        <w:t>[20]</w:t>
      </w:r>
      <w:r w:rsidRPr="00AB20E7">
        <w:rPr>
          <w:rFonts w:ascii="Arial" w:hAnsi="Arial" w:cs="Arial"/>
          <w:sz w:val="24"/>
          <w:szCs w:val="24"/>
        </w:rPr>
        <w:tab/>
      </w:r>
      <w:r w:rsidR="00284D2E" w:rsidRPr="00442EC6">
        <w:rPr>
          <w:rFonts w:ascii="Arial" w:hAnsi="Arial" w:cs="Arial"/>
          <w:sz w:val="24"/>
          <w:szCs w:val="24"/>
        </w:rPr>
        <w:t>The LPA</w:t>
      </w:r>
      <w:r w:rsidR="00DD5F91" w:rsidRPr="00442EC6">
        <w:rPr>
          <w:rFonts w:ascii="Arial" w:hAnsi="Arial" w:cs="Arial"/>
          <w:sz w:val="24"/>
          <w:szCs w:val="24"/>
        </w:rPr>
        <w:t>, its Rules, and the Code of Conduct promulgated in terms of the Act,</w:t>
      </w:r>
      <w:r w:rsidR="000250B0" w:rsidRPr="00442EC6">
        <w:rPr>
          <w:rFonts w:ascii="Arial" w:hAnsi="Arial" w:cs="Arial"/>
          <w:sz w:val="24"/>
          <w:szCs w:val="24"/>
        </w:rPr>
        <w:t xml:space="preserve"> provides the legislative framework for the transformation of the legal profession. Through its transformational character</w:t>
      </w:r>
      <w:r w:rsidR="00C245B9" w:rsidRPr="00442EC6">
        <w:rPr>
          <w:rFonts w:ascii="Arial" w:hAnsi="Arial" w:cs="Arial"/>
          <w:sz w:val="24"/>
          <w:szCs w:val="24"/>
        </w:rPr>
        <w:t>,</w:t>
      </w:r>
      <w:r w:rsidR="000250B0" w:rsidRPr="00442EC6">
        <w:rPr>
          <w:rFonts w:ascii="Arial" w:hAnsi="Arial" w:cs="Arial"/>
          <w:sz w:val="24"/>
          <w:szCs w:val="24"/>
        </w:rPr>
        <w:t xml:space="preserve"> the LPA is ‘umbilically’ bound to the Constitution.</w:t>
      </w:r>
      <w:r w:rsidR="00C245B9" w:rsidRPr="00442EC6">
        <w:rPr>
          <w:rFonts w:ascii="Arial" w:hAnsi="Arial" w:cs="Arial"/>
          <w:sz w:val="24"/>
          <w:szCs w:val="24"/>
        </w:rPr>
        <w:t xml:space="preserve"> The transformational aim of the LPA, specifically as far as it is aimed at promoting access to justice to </w:t>
      </w:r>
      <w:r w:rsidR="007D7872" w:rsidRPr="00442EC6">
        <w:rPr>
          <w:rFonts w:ascii="Arial" w:hAnsi="Arial" w:cs="Arial"/>
          <w:sz w:val="24"/>
          <w:szCs w:val="24"/>
        </w:rPr>
        <w:t>facilitate a ‘more effective and open system of justice which is within reach of the ordinary person’</w:t>
      </w:r>
      <w:r w:rsidR="00C245B9" w:rsidRPr="00442EC6">
        <w:rPr>
          <w:rFonts w:ascii="Arial" w:hAnsi="Arial" w:cs="Arial"/>
          <w:sz w:val="24"/>
          <w:szCs w:val="24"/>
        </w:rPr>
        <w:t>,</w:t>
      </w:r>
      <w:r w:rsidR="007D7872" w:rsidRPr="00442EC6">
        <w:rPr>
          <w:rFonts w:ascii="Arial" w:hAnsi="Arial" w:cs="Arial"/>
          <w:sz w:val="24"/>
          <w:szCs w:val="24"/>
        </w:rPr>
        <w:t xml:space="preserve"> provides the constitutional matrix within which the LPA, and consequently s 55, stand to be interpreted. </w:t>
      </w:r>
    </w:p>
    <w:p w14:paraId="4B51C242" w14:textId="77777777" w:rsidR="00C72CA2" w:rsidRPr="00AB20E7" w:rsidRDefault="00C72CA2" w:rsidP="00C72CA2">
      <w:pPr>
        <w:pStyle w:val="ListParagraph"/>
        <w:tabs>
          <w:tab w:val="left" w:pos="4917"/>
        </w:tabs>
        <w:spacing w:before="120" w:after="120" w:line="360" w:lineRule="auto"/>
        <w:jc w:val="both"/>
        <w:rPr>
          <w:rFonts w:ascii="Arial" w:hAnsi="Arial" w:cs="Arial"/>
          <w:sz w:val="24"/>
          <w:szCs w:val="24"/>
        </w:rPr>
      </w:pPr>
    </w:p>
    <w:p w14:paraId="056E3A9F" w14:textId="35A618E8" w:rsidR="00194F2B" w:rsidRPr="00442EC6" w:rsidRDefault="00442EC6" w:rsidP="00442EC6">
      <w:pPr>
        <w:tabs>
          <w:tab w:val="left" w:pos="4917"/>
        </w:tabs>
        <w:spacing w:before="120" w:after="120" w:line="360" w:lineRule="auto"/>
        <w:ind w:left="720" w:hanging="720"/>
        <w:jc w:val="both"/>
        <w:rPr>
          <w:rFonts w:ascii="Arial" w:hAnsi="Arial" w:cs="Arial"/>
          <w:sz w:val="24"/>
          <w:szCs w:val="24"/>
        </w:rPr>
      </w:pPr>
      <w:r w:rsidRPr="00AB20E7">
        <w:rPr>
          <w:rFonts w:ascii="Arial" w:hAnsi="Arial" w:cs="Arial"/>
          <w:sz w:val="24"/>
          <w:szCs w:val="24"/>
        </w:rPr>
        <w:t>[21]</w:t>
      </w:r>
      <w:r w:rsidRPr="00AB20E7">
        <w:rPr>
          <w:rFonts w:ascii="Arial" w:hAnsi="Arial" w:cs="Arial"/>
          <w:sz w:val="24"/>
          <w:szCs w:val="24"/>
        </w:rPr>
        <w:tab/>
      </w:r>
      <w:r w:rsidR="00C72CA2" w:rsidRPr="00442EC6">
        <w:rPr>
          <w:rFonts w:ascii="Arial" w:hAnsi="Arial" w:cs="Arial"/>
          <w:sz w:val="24"/>
          <w:szCs w:val="24"/>
        </w:rPr>
        <w:t xml:space="preserve">Within the all-encompassing constitutional interpretation matrix, the preamble to the LPA sets the tone for its interpretation. </w:t>
      </w:r>
      <w:r w:rsidR="007D7872" w:rsidRPr="00442EC6">
        <w:rPr>
          <w:rFonts w:ascii="Arial" w:hAnsi="Arial" w:cs="Arial"/>
          <w:sz w:val="24"/>
          <w:szCs w:val="24"/>
        </w:rPr>
        <w:t>The constitutional imperative of promoting access to justice</w:t>
      </w:r>
      <w:r w:rsidR="00C72CA2" w:rsidRPr="00442EC6">
        <w:rPr>
          <w:rFonts w:ascii="Arial" w:hAnsi="Arial" w:cs="Arial"/>
          <w:sz w:val="24"/>
          <w:szCs w:val="24"/>
        </w:rPr>
        <w:t>, and the concomitant principle of ensuring accountability to the public</w:t>
      </w:r>
      <w:r w:rsidR="008864E8" w:rsidRPr="00442EC6">
        <w:rPr>
          <w:rFonts w:ascii="Arial" w:hAnsi="Arial" w:cs="Arial"/>
          <w:sz w:val="24"/>
          <w:szCs w:val="24"/>
        </w:rPr>
        <w:t>,</w:t>
      </w:r>
      <w:r w:rsidR="00C72CA2" w:rsidRPr="00442EC6">
        <w:rPr>
          <w:rFonts w:ascii="Arial" w:hAnsi="Arial" w:cs="Arial"/>
          <w:sz w:val="24"/>
          <w:szCs w:val="24"/>
        </w:rPr>
        <w:t xml:space="preserve"> </w:t>
      </w:r>
      <w:r w:rsidR="008864E8" w:rsidRPr="00442EC6">
        <w:rPr>
          <w:rFonts w:ascii="Arial" w:hAnsi="Arial" w:cs="Arial"/>
          <w:sz w:val="24"/>
          <w:szCs w:val="24"/>
        </w:rPr>
        <w:t>are emphasised</w:t>
      </w:r>
      <w:r w:rsidR="006B5BC6" w:rsidRPr="00442EC6">
        <w:rPr>
          <w:rFonts w:ascii="Arial" w:hAnsi="Arial" w:cs="Arial"/>
          <w:sz w:val="24"/>
          <w:szCs w:val="24"/>
        </w:rPr>
        <w:t xml:space="preserve"> in the preamble to the LPA where the legislature, </w:t>
      </w:r>
      <w:r w:rsidR="006B5BC6" w:rsidRPr="00442EC6">
        <w:rPr>
          <w:rFonts w:ascii="Arial" w:hAnsi="Arial" w:cs="Arial"/>
          <w:i/>
          <w:sz w:val="24"/>
          <w:szCs w:val="24"/>
        </w:rPr>
        <w:t>inter alia</w:t>
      </w:r>
      <w:r w:rsidR="006B5BC6" w:rsidRPr="00442EC6">
        <w:rPr>
          <w:rFonts w:ascii="Arial" w:hAnsi="Arial" w:cs="Arial"/>
          <w:sz w:val="24"/>
          <w:szCs w:val="24"/>
        </w:rPr>
        <w:t>, declares:</w:t>
      </w:r>
    </w:p>
    <w:p w14:paraId="68B11961" w14:textId="77777777" w:rsidR="006B5BC6" w:rsidRPr="00AB20E7" w:rsidRDefault="006B5BC6" w:rsidP="002C7A3D">
      <w:pPr>
        <w:pStyle w:val="normal-text"/>
        <w:shd w:val="clear" w:color="auto" w:fill="FFFFFF"/>
        <w:spacing w:before="120" w:beforeAutospacing="0" w:after="120" w:afterAutospacing="0" w:line="360" w:lineRule="auto"/>
        <w:ind w:left="1008" w:right="1008"/>
        <w:jc w:val="both"/>
        <w:rPr>
          <w:rFonts w:ascii="Arial" w:hAnsi="Arial" w:cs="Arial"/>
          <w:color w:val="000000"/>
        </w:rPr>
      </w:pPr>
      <w:r w:rsidRPr="00AB20E7">
        <w:rPr>
          <w:rFonts w:ascii="Arial" w:hAnsi="Arial" w:cs="Arial"/>
        </w:rPr>
        <w:t>‘</w:t>
      </w:r>
      <w:r w:rsidRPr="00AB20E7">
        <w:rPr>
          <w:rFonts w:ascii="Arial" w:hAnsi="Arial" w:cs="Arial"/>
          <w:color w:val="000000"/>
        </w:rPr>
        <w:t>WHEREAS section 22 of the Bill of Rights of the Constitution establishes the right to freedom of trade, occupation and profession, and provides that the practice of a trade, occupation or profession may be regulated by law;</w:t>
      </w:r>
    </w:p>
    <w:p w14:paraId="6D277F6B" w14:textId="1E9A9C20" w:rsidR="006B5BC6" w:rsidRPr="00AB20E7" w:rsidRDefault="006B5BC6" w:rsidP="002C7A3D">
      <w:pPr>
        <w:pStyle w:val="normal-text"/>
        <w:shd w:val="clear" w:color="auto" w:fill="FFFFFF"/>
        <w:spacing w:before="120" w:beforeAutospacing="0" w:after="120" w:afterAutospacing="0" w:line="360" w:lineRule="auto"/>
        <w:ind w:left="1008" w:right="1008"/>
        <w:jc w:val="both"/>
        <w:rPr>
          <w:rFonts w:ascii="Arial" w:hAnsi="Arial" w:cs="Arial"/>
          <w:color w:val="000000"/>
        </w:rPr>
      </w:pPr>
      <w:r w:rsidRPr="00AB20E7">
        <w:rPr>
          <w:rFonts w:ascii="Arial" w:hAnsi="Arial" w:cs="Arial"/>
          <w:color w:val="000000"/>
        </w:rPr>
        <w:t>AND BEARING IN MIND THAT—</w:t>
      </w:r>
    </w:p>
    <w:p w14:paraId="7FEEBDE4" w14:textId="5B3DE097" w:rsidR="006B5BC6" w:rsidRPr="00AB20E7" w:rsidRDefault="00442EC6" w:rsidP="00442EC6">
      <w:pPr>
        <w:pStyle w:val="normal-text"/>
        <w:shd w:val="clear" w:color="auto" w:fill="FFFFFF"/>
        <w:tabs>
          <w:tab w:val="left" w:pos="1656"/>
        </w:tabs>
        <w:spacing w:before="120" w:beforeAutospacing="0" w:after="120" w:afterAutospacing="0" w:line="360" w:lineRule="auto"/>
        <w:ind w:left="1656" w:right="1008" w:hanging="360"/>
        <w:jc w:val="both"/>
        <w:rPr>
          <w:rFonts w:ascii="Arial" w:hAnsi="Arial" w:cs="Arial"/>
          <w:color w:val="000000"/>
        </w:rPr>
      </w:pPr>
      <w:r w:rsidRPr="00AB20E7">
        <w:rPr>
          <w:rFonts w:ascii="Symbol" w:hAnsi="Symbol" w:cs="Arial"/>
          <w:color w:val="000000"/>
          <w:sz w:val="20"/>
        </w:rPr>
        <w:t></w:t>
      </w:r>
      <w:r w:rsidRPr="00AB20E7">
        <w:rPr>
          <w:rFonts w:ascii="Symbol" w:hAnsi="Symbol" w:cs="Arial"/>
          <w:color w:val="000000"/>
          <w:sz w:val="20"/>
        </w:rPr>
        <w:tab/>
      </w:r>
      <w:r w:rsidR="006B5BC6" w:rsidRPr="00AB20E7">
        <w:rPr>
          <w:rFonts w:ascii="Arial" w:hAnsi="Arial" w:cs="Arial"/>
          <w:color w:val="000000"/>
        </w:rPr>
        <w:t>…</w:t>
      </w:r>
    </w:p>
    <w:p w14:paraId="4AB1B82C" w14:textId="068C9BB3" w:rsidR="006B5BC6" w:rsidRPr="00AB20E7" w:rsidRDefault="00442EC6" w:rsidP="00442EC6">
      <w:pPr>
        <w:pStyle w:val="normal-text"/>
        <w:shd w:val="clear" w:color="auto" w:fill="FFFFFF"/>
        <w:tabs>
          <w:tab w:val="left" w:pos="1656"/>
        </w:tabs>
        <w:spacing w:before="120" w:beforeAutospacing="0" w:after="0" w:afterAutospacing="0"/>
        <w:ind w:left="1656" w:right="1008" w:hanging="360"/>
        <w:jc w:val="both"/>
        <w:rPr>
          <w:rFonts w:ascii="Arial" w:hAnsi="Arial" w:cs="Arial"/>
          <w:color w:val="000000"/>
        </w:rPr>
      </w:pPr>
      <w:r w:rsidRPr="00AB20E7">
        <w:rPr>
          <w:rFonts w:ascii="Symbol" w:hAnsi="Symbol" w:cs="Arial"/>
          <w:color w:val="000000"/>
          <w:sz w:val="20"/>
        </w:rPr>
        <w:t></w:t>
      </w:r>
      <w:r w:rsidRPr="00AB20E7">
        <w:rPr>
          <w:rFonts w:ascii="Symbol" w:hAnsi="Symbol" w:cs="Arial"/>
          <w:color w:val="000000"/>
          <w:sz w:val="20"/>
        </w:rPr>
        <w:tab/>
      </w:r>
      <w:r w:rsidR="006B5BC6" w:rsidRPr="00AB20E7">
        <w:rPr>
          <w:rFonts w:ascii="Arial" w:hAnsi="Arial" w:cs="Arial"/>
          <w:color w:val="000000"/>
        </w:rPr>
        <w:t>access to legal services is not a reality for most South Africans</w:t>
      </w:r>
    </w:p>
    <w:p w14:paraId="4497D48D" w14:textId="5B347580" w:rsidR="006B5BC6" w:rsidRPr="00AB20E7" w:rsidRDefault="00442EC6" w:rsidP="00442EC6">
      <w:pPr>
        <w:pStyle w:val="normal-text"/>
        <w:shd w:val="clear" w:color="auto" w:fill="FFFFFF"/>
        <w:tabs>
          <w:tab w:val="left" w:pos="1656"/>
        </w:tabs>
        <w:spacing w:before="120" w:beforeAutospacing="0" w:after="0" w:afterAutospacing="0"/>
        <w:ind w:left="1656" w:right="1008" w:hanging="360"/>
        <w:jc w:val="both"/>
        <w:rPr>
          <w:rFonts w:ascii="Arial" w:hAnsi="Arial" w:cs="Arial"/>
          <w:color w:val="000000"/>
        </w:rPr>
      </w:pPr>
      <w:r w:rsidRPr="00AB20E7">
        <w:rPr>
          <w:rFonts w:ascii="Symbol" w:hAnsi="Symbol" w:cs="Arial"/>
          <w:color w:val="000000"/>
          <w:sz w:val="20"/>
        </w:rPr>
        <w:t></w:t>
      </w:r>
      <w:r w:rsidRPr="00AB20E7">
        <w:rPr>
          <w:rFonts w:ascii="Symbol" w:hAnsi="Symbol" w:cs="Arial"/>
          <w:color w:val="000000"/>
          <w:sz w:val="20"/>
        </w:rPr>
        <w:tab/>
      </w:r>
      <w:r w:rsidR="006B5BC6" w:rsidRPr="00AB20E7">
        <w:rPr>
          <w:rFonts w:ascii="Arial" w:hAnsi="Arial" w:cs="Arial"/>
          <w:color w:val="000000"/>
        </w:rPr>
        <w:t>…</w:t>
      </w:r>
    </w:p>
    <w:p w14:paraId="33546CA5" w14:textId="7C444F4E" w:rsidR="006B5BC6" w:rsidRPr="00AB20E7" w:rsidRDefault="006B5BC6" w:rsidP="006B5BC6">
      <w:pPr>
        <w:pStyle w:val="normal-text"/>
        <w:shd w:val="clear" w:color="auto" w:fill="FFFFFF"/>
        <w:spacing w:before="120" w:beforeAutospacing="0" w:after="0" w:afterAutospacing="0"/>
        <w:ind w:left="1008" w:right="1008"/>
        <w:jc w:val="both"/>
        <w:rPr>
          <w:rFonts w:ascii="Arial" w:hAnsi="Arial" w:cs="Arial"/>
          <w:color w:val="000000"/>
        </w:rPr>
      </w:pPr>
      <w:r w:rsidRPr="00AB20E7">
        <w:rPr>
          <w:rFonts w:ascii="Arial" w:hAnsi="Arial" w:cs="Arial"/>
          <w:color w:val="000000"/>
        </w:rPr>
        <w:t xml:space="preserve">AND IN ORDER TO </w:t>
      </w:r>
    </w:p>
    <w:p w14:paraId="182CD4DE" w14:textId="51D10833" w:rsidR="006B5BC6" w:rsidRPr="00AB20E7" w:rsidRDefault="00442EC6" w:rsidP="00442EC6">
      <w:pPr>
        <w:pStyle w:val="normal-text"/>
        <w:shd w:val="clear" w:color="auto" w:fill="FFFFFF"/>
        <w:tabs>
          <w:tab w:val="left" w:pos="1656"/>
        </w:tabs>
        <w:spacing w:before="120" w:beforeAutospacing="0" w:after="0" w:afterAutospacing="0"/>
        <w:ind w:left="1656" w:right="1008" w:hanging="360"/>
        <w:jc w:val="both"/>
        <w:rPr>
          <w:rFonts w:ascii="Arial" w:hAnsi="Arial" w:cs="Arial"/>
          <w:color w:val="000000"/>
        </w:rPr>
      </w:pPr>
      <w:r w:rsidRPr="00AB20E7">
        <w:rPr>
          <w:rFonts w:ascii="Symbol" w:hAnsi="Symbol" w:cs="Arial"/>
          <w:color w:val="000000"/>
          <w:sz w:val="20"/>
        </w:rPr>
        <w:t></w:t>
      </w:r>
      <w:r w:rsidRPr="00AB20E7">
        <w:rPr>
          <w:rFonts w:ascii="Symbol" w:hAnsi="Symbol" w:cs="Arial"/>
          <w:color w:val="000000"/>
          <w:sz w:val="20"/>
        </w:rPr>
        <w:tab/>
      </w:r>
      <w:r w:rsidR="006B5BC6" w:rsidRPr="00AB20E7">
        <w:rPr>
          <w:rFonts w:ascii="Arial" w:hAnsi="Arial" w:cs="Arial"/>
          <w:color w:val="000000"/>
        </w:rPr>
        <w:t>…</w:t>
      </w:r>
    </w:p>
    <w:p w14:paraId="62E966A4" w14:textId="10957C5F" w:rsidR="006B5BC6" w:rsidRPr="00AB20E7" w:rsidRDefault="00442EC6" w:rsidP="00442EC6">
      <w:pPr>
        <w:pStyle w:val="normal-text"/>
        <w:shd w:val="clear" w:color="auto" w:fill="FFFFFF"/>
        <w:tabs>
          <w:tab w:val="left" w:pos="1656"/>
        </w:tabs>
        <w:spacing w:before="120" w:beforeAutospacing="0" w:after="0" w:afterAutospacing="0"/>
        <w:ind w:left="1656" w:right="1008" w:hanging="360"/>
        <w:jc w:val="both"/>
        <w:rPr>
          <w:rFonts w:ascii="Arial" w:hAnsi="Arial" w:cs="Arial"/>
          <w:color w:val="000000"/>
        </w:rPr>
      </w:pPr>
      <w:r w:rsidRPr="00AB20E7">
        <w:rPr>
          <w:rFonts w:ascii="Symbol" w:hAnsi="Symbol" w:cs="Arial"/>
          <w:color w:val="000000"/>
          <w:sz w:val="20"/>
        </w:rPr>
        <w:t></w:t>
      </w:r>
      <w:r w:rsidRPr="00AB20E7">
        <w:rPr>
          <w:rFonts w:ascii="Symbol" w:hAnsi="Symbol" w:cs="Arial"/>
          <w:color w:val="000000"/>
          <w:sz w:val="20"/>
        </w:rPr>
        <w:tab/>
      </w:r>
      <w:r w:rsidR="006B5BC6" w:rsidRPr="00AB20E7">
        <w:rPr>
          <w:rFonts w:ascii="Arial" w:hAnsi="Arial" w:cs="Arial"/>
          <w:color w:val="000000"/>
        </w:rPr>
        <w:t>ensure that the values underpinning the Constitution are embraced and that the rule of law is upheld;</w:t>
      </w:r>
    </w:p>
    <w:p w14:paraId="57C7B043" w14:textId="6A49141D" w:rsidR="006B5BC6" w:rsidRPr="00AB20E7" w:rsidRDefault="00442EC6" w:rsidP="00442EC6">
      <w:pPr>
        <w:pStyle w:val="normal-text"/>
        <w:shd w:val="clear" w:color="auto" w:fill="FFFFFF"/>
        <w:tabs>
          <w:tab w:val="left" w:pos="1656"/>
        </w:tabs>
        <w:spacing w:before="120" w:beforeAutospacing="0" w:after="0" w:afterAutospacing="0"/>
        <w:ind w:left="1656" w:right="1008" w:hanging="360"/>
        <w:jc w:val="both"/>
        <w:rPr>
          <w:rFonts w:ascii="Arial" w:hAnsi="Arial" w:cs="Arial"/>
          <w:color w:val="000000"/>
        </w:rPr>
      </w:pPr>
      <w:r w:rsidRPr="00AB20E7">
        <w:rPr>
          <w:rFonts w:ascii="Symbol" w:hAnsi="Symbol" w:cs="Arial"/>
          <w:color w:val="000000"/>
          <w:sz w:val="20"/>
        </w:rPr>
        <w:t></w:t>
      </w:r>
      <w:r w:rsidRPr="00AB20E7">
        <w:rPr>
          <w:rFonts w:ascii="Symbol" w:hAnsi="Symbol" w:cs="Arial"/>
          <w:color w:val="000000"/>
          <w:sz w:val="20"/>
        </w:rPr>
        <w:tab/>
      </w:r>
      <w:r w:rsidR="006B5BC6" w:rsidRPr="00AB20E7">
        <w:rPr>
          <w:rFonts w:ascii="Arial" w:hAnsi="Arial" w:cs="Arial"/>
          <w:color w:val="000000"/>
        </w:rPr>
        <w:t>ensure that legal services are accessible;</w:t>
      </w:r>
    </w:p>
    <w:p w14:paraId="7C430287" w14:textId="326F136D" w:rsidR="006B5BC6" w:rsidRPr="00AB20E7" w:rsidRDefault="00442EC6" w:rsidP="00442EC6">
      <w:pPr>
        <w:pStyle w:val="normal-text"/>
        <w:shd w:val="clear" w:color="auto" w:fill="FFFFFF"/>
        <w:tabs>
          <w:tab w:val="left" w:pos="1656"/>
        </w:tabs>
        <w:spacing w:before="120" w:beforeAutospacing="0" w:after="0" w:afterAutospacing="0"/>
        <w:ind w:left="1656" w:right="1008" w:hanging="360"/>
        <w:jc w:val="both"/>
        <w:rPr>
          <w:rFonts w:ascii="Arial" w:hAnsi="Arial" w:cs="Arial"/>
          <w:color w:val="000000"/>
        </w:rPr>
      </w:pPr>
      <w:r w:rsidRPr="00AB20E7">
        <w:rPr>
          <w:rFonts w:ascii="Symbol" w:hAnsi="Symbol" w:cs="Arial"/>
          <w:color w:val="000000"/>
          <w:sz w:val="20"/>
        </w:rPr>
        <w:t></w:t>
      </w:r>
      <w:r w:rsidRPr="00AB20E7">
        <w:rPr>
          <w:rFonts w:ascii="Symbol" w:hAnsi="Symbol" w:cs="Arial"/>
          <w:color w:val="000000"/>
          <w:sz w:val="20"/>
        </w:rPr>
        <w:tab/>
      </w:r>
      <w:r w:rsidR="006B5BC6" w:rsidRPr="00AB20E7">
        <w:rPr>
          <w:rFonts w:ascii="Arial" w:hAnsi="Arial" w:cs="Arial"/>
          <w:color w:val="000000"/>
        </w:rPr>
        <w:t>…; and</w:t>
      </w:r>
    </w:p>
    <w:p w14:paraId="2AD381CC" w14:textId="2255035F" w:rsidR="006B5BC6" w:rsidRPr="00AB20E7" w:rsidRDefault="00442EC6" w:rsidP="00442EC6">
      <w:pPr>
        <w:pStyle w:val="normal-text"/>
        <w:shd w:val="clear" w:color="auto" w:fill="FFFFFF"/>
        <w:tabs>
          <w:tab w:val="left" w:pos="1656"/>
        </w:tabs>
        <w:spacing w:before="120" w:beforeAutospacing="0" w:after="0" w:afterAutospacing="0"/>
        <w:ind w:left="1656" w:right="1008" w:hanging="360"/>
        <w:jc w:val="both"/>
        <w:rPr>
          <w:rFonts w:ascii="Arial" w:hAnsi="Arial" w:cs="Arial"/>
          <w:color w:val="000000"/>
        </w:rPr>
      </w:pPr>
      <w:r w:rsidRPr="00AB20E7">
        <w:rPr>
          <w:rFonts w:ascii="Symbol" w:hAnsi="Symbol" w:cs="Arial"/>
          <w:color w:val="000000"/>
          <w:sz w:val="20"/>
        </w:rPr>
        <w:t></w:t>
      </w:r>
      <w:r w:rsidRPr="00AB20E7">
        <w:rPr>
          <w:rFonts w:ascii="Symbol" w:hAnsi="Symbol" w:cs="Arial"/>
          <w:color w:val="000000"/>
          <w:sz w:val="20"/>
        </w:rPr>
        <w:tab/>
      </w:r>
      <w:r w:rsidR="006B5BC6" w:rsidRPr="00AB20E7">
        <w:rPr>
          <w:rFonts w:ascii="Arial" w:hAnsi="Arial" w:cs="Arial"/>
          <w:color w:val="000000"/>
        </w:rPr>
        <w:t>ensure the accountability of the legal profession to the public.</w:t>
      </w:r>
    </w:p>
    <w:p w14:paraId="618B8E01" w14:textId="493FF434" w:rsidR="006B5BC6" w:rsidRPr="00AB20E7" w:rsidRDefault="006B5BC6" w:rsidP="006B5BC6">
      <w:pPr>
        <w:pStyle w:val="ListParagraph"/>
        <w:tabs>
          <w:tab w:val="left" w:pos="4917"/>
        </w:tabs>
        <w:spacing w:before="120" w:after="0" w:line="240" w:lineRule="auto"/>
        <w:ind w:left="1008" w:right="1008"/>
        <w:jc w:val="both"/>
        <w:rPr>
          <w:rFonts w:ascii="Arial" w:hAnsi="Arial" w:cs="Arial"/>
          <w:sz w:val="24"/>
          <w:szCs w:val="24"/>
        </w:rPr>
      </w:pPr>
      <w:r w:rsidRPr="00AB20E7">
        <w:rPr>
          <w:rFonts w:ascii="Arial" w:hAnsi="Arial" w:cs="Arial"/>
          <w:sz w:val="24"/>
          <w:szCs w:val="24"/>
        </w:rPr>
        <w:t>Parliament of the Republic of South Africa enacts as follows: …’</w:t>
      </w:r>
    </w:p>
    <w:p w14:paraId="703C1908" w14:textId="77777777" w:rsidR="00C777EE" w:rsidRPr="00AB20E7" w:rsidRDefault="00C777EE" w:rsidP="00C777EE">
      <w:pPr>
        <w:pStyle w:val="ListParagraph"/>
        <w:rPr>
          <w:rFonts w:ascii="Arial" w:hAnsi="Arial" w:cs="Arial"/>
          <w:sz w:val="24"/>
          <w:szCs w:val="24"/>
        </w:rPr>
      </w:pPr>
    </w:p>
    <w:p w14:paraId="273806BC" w14:textId="4E9E19EA" w:rsidR="008864E8" w:rsidRPr="00442EC6" w:rsidRDefault="00442EC6" w:rsidP="00442EC6">
      <w:pPr>
        <w:tabs>
          <w:tab w:val="left" w:pos="4917"/>
        </w:tabs>
        <w:spacing w:before="120" w:after="120" w:line="360" w:lineRule="auto"/>
        <w:ind w:left="720" w:hanging="720"/>
        <w:jc w:val="both"/>
        <w:rPr>
          <w:rFonts w:ascii="Arial" w:hAnsi="Arial" w:cs="Arial"/>
          <w:sz w:val="24"/>
          <w:szCs w:val="24"/>
        </w:rPr>
      </w:pPr>
      <w:r w:rsidRPr="00AB20E7">
        <w:rPr>
          <w:rFonts w:ascii="Arial" w:hAnsi="Arial" w:cs="Arial"/>
          <w:sz w:val="24"/>
          <w:szCs w:val="24"/>
        </w:rPr>
        <w:t>[22]</w:t>
      </w:r>
      <w:r w:rsidRPr="00AB20E7">
        <w:rPr>
          <w:rFonts w:ascii="Arial" w:hAnsi="Arial" w:cs="Arial"/>
          <w:sz w:val="24"/>
          <w:szCs w:val="24"/>
        </w:rPr>
        <w:tab/>
      </w:r>
      <w:r w:rsidR="008864E8" w:rsidRPr="00442EC6">
        <w:rPr>
          <w:rFonts w:ascii="Arial" w:hAnsi="Arial" w:cs="Arial"/>
          <w:sz w:val="24"/>
          <w:szCs w:val="24"/>
        </w:rPr>
        <w:t xml:space="preserve">The context within </w:t>
      </w:r>
      <w:r w:rsidR="0094285D" w:rsidRPr="00442EC6">
        <w:rPr>
          <w:rFonts w:ascii="Arial" w:hAnsi="Arial" w:cs="Arial"/>
          <w:sz w:val="24"/>
          <w:szCs w:val="24"/>
        </w:rPr>
        <w:t xml:space="preserve">which </w:t>
      </w:r>
      <w:r w:rsidR="008864E8" w:rsidRPr="00442EC6">
        <w:rPr>
          <w:rFonts w:ascii="Arial" w:hAnsi="Arial" w:cs="Arial"/>
          <w:sz w:val="24"/>
          <w:szCs w:val="24"/>
        </w:rPr>
        <w:t xml:space="preserve">s 55 of the LPA is to be interpreted is further circumscribed if it is considered that the legislature statutorily declared in s 3 of the LPA, that the </w:t>
      </w:r>
      <w:r w:rsidR="008864E8" w:rsidRPr="00442EC6">
        <w:rPr>
          <w:rFonts w:ascii="Arial" w:hAnsi="Arial" w:cs="Arial"/>
          <w:sz w:val="24"/>
          <w:szCs w:val="24"/>
        </w:rPr>
        <w:lastRenderedPageBreak/>
        <w:t>purpose of the LPA is</w:t>
      </w:r>
      <w:r w:rsidR="0094285D" w:rsidRPr="00442EC6">
        <w:rPr>
          <w:rFonts w:ascii="Arial" w:hAnsi="Arial" w:cs="Arial"/>
          <w:sz w:val="24"/>
          <w:szCs w:val="24"/>
        </w:rPr>
        <w:t>, amongst others,</w:t>
      </w:r>
      <w:r w:rsidR="008864E8" w:rsidRPr="00442EC6">
        <w:rPr>
          <w:rFonts w:ascii="Arial" w:hAnsi="Arial" w:cs="Arial"/>
          <w:sz w:val="24"/>
          <w:szCs w:val="24"/>
        </w:rPr>
        <w:t xml:space="preserve"> to </w:t>
      </w:r>
      <w:r w:rsidR="0094285D" w:rsidRPr="00442EC6">
        <w:rPr>
          <w:rFonts w:ascii="Arial" w:hAnsi="Arial" w:cs="Arial"/>
          <w:sz w:val="24"/>
          <w:szCs w:val="24"/>
        </w:rPr>
        <w:t xml:space="preserve">provide a legislative framework for the transformation and restructuring of the legal profession that embraces the values underpinning the Constitution and ensures that the rule of law is upheld; and </w:t>
      </w:r>
      <w:r w:rsidR="008864E8" w:rsidRPr="00442EC6">
        <w:rPr>
          <w:rFonts w:ascii="Arial" w:hAnsi="Arial" w:cs="Arial"/>
          <w:sz w:val="24"/>
          <w:szCs w:val="24"/>
        </w:rPr>
        <w:t>include</w:t>
      </w:r>
      <w:r w:rsidR="0094285D" w:rsidRPr="00442EC6">
        <w:rPr>
          <w:rFonts w:ascii="Arial" w:hAnsi="Arial" w:cs="Arial"/>
          <w:sz w:val="24"/>
          <w:szCs w:val="24"/>
        </w:rPr>
        <w:t>s</w:t>
      </w:r>
      <w:r w:rsidR="008864E8" w:rsidRPr="00442EC6">
        <w:rPr>
          <w:rFonts w:ascii="Arial" w:hAnsi="Arial" w:cs="Arial"/>
          <w:sz w:val="24"/>
          <w:szCs w:val="24"/>
        </w:rPr>
        <w:t xml:space="preserve"> broadening access to justice by</w:t>
      </w:r>
      <w:r w:rsidR="0094285D" w:rsidRPr="00442EC6">
        <w:rPr>
          <w:rFonts w:ascii="Arial" w:hAnsi="Arial" w:cs="Arial"/>
          <w:sz w:val="24"/>
          <w:szCs w:val="24"/>
        </w:rPr>
        <w:t xml:space="preserve"> putting in place a mechanism to determine fees chargeable by legal practitioners for legal services rendered that are within the reach of the citizenry; and to protect and promote the public interest.</w:t>
      </w:r>
    </w:p>
    <w:p w14:paraId="2B53682A" w14:textId="02B61354" w:rsidR="008864E8" w:rsidRPr="00AB20E7" w:rsidRDefault="008864E8" w:rsidP="008864E8">
      <w:pPr>
        <w:pStyle w:val="ListParagraph"/>
        <w:tabs>
          <w:tab w:val="left" w:pos="4917"/>
        </w:tabs>
        <w:spacing w:before="120" w:after="120" w:line="360" w:lineRule="auto"/>
        <w:jc w:val="both"/>
        <w:rPr>
          <w:rFonts w:ascii="Arial" w:hAnsi="Arial" w:cs="Arial"/>
          <w:sz w:val="24"/>
          <w:szCs w:val="24"/>
        </w:rPr>
      </w:pPr>
    </w:p>
    <w:p w14:paraId="6E7AA8FC" w14:textId="428963CE" w:rsidR="00C777EE" w:rsidRPr="00442EC6" w:rsidRDefault="00442EC6" w:rsidP="00442EC6">
      <w:pPr>
        <w:tabs>
          <w:tab w:val="left" w:pos="4917"/>
        </w:tabs>
        <w:spacing w:before="120" w:after="120" w:line="360" w:lineRule="auto"/>
        <w:ind w:left="720" w:hanging="720"/>
        <w:jc w:val="both"/>
        <w:rPr>
          <w:rFonts w:ascii="Arial" w:hAnsi="Arial" w:cs="Arial"/>
          <w:sz w:val="24"/>
          <w:szCs w:val="24"/>
        </w:rPr>
      </w:pPr>
      <w:r w:rsidRPr="00AB20E7">
        <w:rPr>
          <w:rFonts w:ascii="Arial" w:hAnsi="Arial" w:cs="Arial"/>
          <w:sz w:val="24"/>
          <w:szCs w:val="24"/>
        </w:rPr>
        <w:t>[23]</w:t>
      </w:r>
      <w:r w:rsidRPr="00AB20E7">
        <w:rPr>
          <w:rFonts w:ascii="Arial" w:hAnsi="Arial" w:cs="Arial"/>
          <w:sz w:val="24"/>
          <w:szCs w:val="24"/>
        </w:rPr>
        <w:tab/>
      </w:r>
      <w:r w:rsidR="00F057CD" w:rsidRPr="00442EC6">
        <w:rPr>
          <w:rFonts w:ascii="Arial" w:hAnsi="Arial" w:cs="Arial"/>
          <w:sz w:val="24"/>
          <w:szCs w:val="24"/>
        </w:rPr>
        <w:t>In pursuing the transformational objective of facilitating access to the legal profession and access to justice, the LPA provides for a category of legal practitioners generally referred to as trust account advocates</w:t>
      </w:r>
      <w:r w:rsidR="00486996" w:rsidRPr="00442EC6">
        <w:rPr>
          <w:rFonts w:ascii="Arial" w:hAnsi="Arial" w:cs="Arial"/>
          <w:sz w:val="24"/>
          <w:szCs w:val="24"/>
        </w:rPr>
        <w:t>, in addition to the pre-existing categories of attorneys and referral-advocates</w:t>
      </w:r>
      <w:r w:rsidR="00F057CD" w:rsidRPr="00442EC6">
        <w:rPr>
          <w:rFonts w:ascii="Arial" w:hAnsi="Arial" w:cs="Arial"/>
          <w:sz w:val="24"/>
          <w:szCs w:val="24"/>
        </w:rPr>
        <w:t xml:space="preserve">. Trust account advocates can be approached by members of the public directly. This means that attorneys </w:t>
      </w:r>
      <w:r w:rsidR="002C7A3D" w:rsidRPr="00442EC6">
        <w:rPr>
          <w:rFonts w:ascii="Arial" w:hAnsi="Arial" w:cs="Arial"/>
          <w:sz w:val="24"/>
          <w:szCs w:val="24"/>
        </w:rPr>
        <w:t xml:space="preserve">don’t </w:t>
      </w:r>
      <w:r w:rsidR="00F057CD" w:rsidRPr="00442EC6">
        <w:rPr>
          <w:rFonts w:ascii="Arial" w:hAnsi="Arial" w:cs="Arial"/>
          <w:sz w:val="24"/>
          <w:szCs w:val="24"/>
        </w:rPr>
        <w:t>play ‘middle man’ between the public and trust account advocates. The reasoning behind providing for trust account advocates is that it gives the public a choice in whom to approach as their legal representative and this direct approach could save legal fees, as the exist</w:t>
      </w:r>
      <w:r w:rsidR="004C44A9" w:rsidRPr="00442EC6">
        <w:rPr>
          <w:rFonts w:ascii="Arial" w:hAnsi="Arial" w:cs="Arial"/>
          <w:sz w:val="24"/>
          <w:szCs w:val="24"/>
        </w:rPr>
        <w:t>ing referral system is costly because</w:t>
      </w:r>
      <w:r w:rsidR="00F057CD" w:rsidRPr="00442EC6">
        <w:rPr>
          <w:rFonts w:ascii="Arial" w:hAnsi="Arial" w:cs="Arial"/>
          <w:sz w:val="24"/>
          <w:szCs w:val="24"/>
        </w:rPr>
        <w:t xml:space="preserve"> it entails paying two lawyers to assist on one matter.</w:t>
      </w:r>
      <w:r w:rsidR="00486996" w:rsidRPr="00442EC6">
        <w:rPr>
          <w:rFonts w:ascii="Arial" w:hAnsi="Arial" w:cs="Arial"/>
          <w:sz w:val="24"/>
          <w:szCs w:val="24"/>
        </w:rPr>
        <w:t xml:space="preserve"> </w:t>
      </w:r>
    </w:p>
    <w:p w14:paraId="377FED63" w14:textId="77777777" w:rsidR="00486996" w:rsidRPr="00AB20E7" w:rsidRDefault="00486996" w:rsidP="00486996">
      <w:pPr>
        <w:pStyle w:val="ListParagraph"/>
        <w:rPr>
          <w:rFonts w:ascii="Arial" w:hAnsi="Arial" w:cs="Arial"/>
          <w:sz w:val="24"/>
          <w:szCs w:val="24"/>
        </w:rPr>
      </w:pPr>
    </w:p>
    <w:p w14:paraId="7A88EBB9" w14:textId="7D8B7EC9" w:rsidR="00486996" w:rsidRPr="00442EC6" w:rsidRDefault="00442EC6" w:rsidP="00442EC6">
      <w:pPr>
        <w:tabs>
          <w:tab w:val="left" w:pos="4917"/>
        </w:tabs>
        <w:spacing w:before="120" w:after="120" w:line="360" w:lineRule="auto"/>
        <w:ind w:left="720" w:hanging="720"/>
        <w:jc w:val="both"/>
        <w:rPr>
          <w:rFonts w:ascii="Arial" w:hAnsi="Arial" w:cs="Arial"/>
          <w:sz w:val="24"/>
          <w:szCs w:val="24"/>
        </w:rPr>
      </w:pPr>
      <w:r w:rsidRPr="00AB20E7">
        <w:rPr>
          <w:rFonts w:ascii="Arial" w:hAnsi="Arial" w:cs="Arial"/>
          <w:sz w:val="24"/>
          <w:szCs w:val="24"/>
        </w:rPr>
        <w:t>[24]</w:t>
      </w:r>
      <w:r w:rsidRPr="00AB20E7">
        <w:rPr>
          <w:rFonts w:ascii="Arial" w:hAnsi="Arial" w:cs="Arial"/>
          <w:sz w:val="24"/>
          <w:szCs w:val="24"/>
        </w:rPr>
        <w:tab/>
      </w:r>
      <w:r w:rsidR="00486996" w:rsidRPr="00442EC6">
        <w:rPr>
          <w:rFonts w:ascii="Arial" w:hAnsi="Arial" w:cs="Arial"/>
          <w:sz w:val="24"/>
          <w:szCs w:val="24"/>
        </w:rPr>
        <w:t>Section 34(2) of the LPA provides as follows:</w:t>
      </w:r>
    </w:p>
    <w:p w14:paraId="01E0C6B8" w14:textId="77777777" w:rsidR="00486996" w:rsidRPr="00AB20E7" w:rsidRDefault="00486996" w:rsidP="00486996">
      <w:pPr>
        <w:pStyle w:val="ListParagraph"/>
        <w:rPr>
          <w:rFonts w:ascii="Arial" w:hAnsi="Arial" w:cs="Arial"/>
          <w:sz w:val="24"/>
          <w:szCs w:val="24"/>
        </w:rPr>
      </w:pPr>
    </w:p>
    <w:p w14:paraId="6B880CBD" w14:textId="2919AABB" w:rsidR="00486996" w:rsidRPr="00AB20E7" w:rsidRDefault="00627E8C" w:rsidP="00627E8C">
      <w:pPr>
        <w:pStyle w:val="ListParagraph"/>
        <w:tabs>
          <w:tab w:val="left" w:pos="1620"/>
        </w:tabs>
        <w:spacing w:before="120" w:after="120" w:line="360" w:lineRule="auto"/>
        <w:ind w:left="1620" w:right="1008" w:hanging="1512"/>
        <w:jc w:val="both"/>
        <w:rPr>
          <w:rFonts w:ascii="Arial" w:hAnsi="Arial" w:cs="Arial"/>
          <w:sz w:val="24"/>
          <w:szCs w:val="24"/>
        </w:rPr>
      </w:pPr>
      <w:r w:rsidRPr="00AB20E7">
        <w:rPr>
          <w:rFonts w:ascii="Arial" w:hAnsi="Arial" w:cs="Arial"/>
          <w:sz w:val="24"/>
          <w:szCs w:val="24"/>
        </w:rPr>
        <w:tab/>
      </w:r>
      <w:r w:rsidR="00486996" w:rsidRPr="00AB20E7">
        <w:rPr>
          <w:rFonts w:ascii="Arial" w:hAnsi="Arial" w:cs="Arial"/>
          <w:sz w:val="24"/>
          <w:szCs w:val="24"/>
        </w:rPr>
        <w:t>‘(a)</w:t>
      </w:r>
      <w:r w:rsidR="00486996" w:rsidRPr="00AB20E7">
        <w:rPr>
          <w:rFonts w:ascii="Arial" w:hAnsi="Arial" w:cs="Arial"/>
          <w:sz w:val="24"/>
          <w:szCs w:val="24"/>
        </w:rPr>
        <w:tab/>
        <w:t>An advocate may render legal services in expectation of a fee, commission, gain or reward as contemplated in this Act or any other applicable law –</w:t>
      </w:r>
    </w:p>
    <w:p w14:paraId="3D433082" w14:textId="4D7C897F" w:rsidR="00486996" w:rsidRPr="00442EC6" w:rsidRDefault="00442EC6" w:rsidP="00442EC6">
      <w:pPr>
        <w:tabs>
          <w:tab w:val="left" w:pos="1620"/>
        </w:tabs>
        <w:spacing w:before="120" w:after="120" w:line="360" w:lineRule="auto"/>
        <w:ind w:left="2736" w:right="1008" w:hanging="720"/>
        <w:jc w:val="both"/>
        <w:rPr>
          <w:rFonts w:ascii="Arial" w:hAnsi="Arial" w:cs="Arial"/>
          <w:sz w:val="24"/>
          <w:szCs w:val="24"/>
        </w:rPr>
      </w:pPr>
      <w:r w:rsidRPr="00AB20E7">
        <w:rPr>
          <w:rFonts w:ascii="Arial" w:hAnsi="Arial" w:cs="Arial"/>
          <w:sz w:val="24"/>
          <w:szCs w:val="24"/>
        </w:rPr>
        <w:t>(i)</w:t>
      </w:r>
      <w:r w:rsidRPr="00AB20E7">
        <w:rPr>
          <w:rFonts w:ascii="Arial" w:hAnsi="Arial" w:cs="Arial"/>
          <w:sz w:val="24"/>
          <w:szCs w:val="24"/>
        </w:rPr>
        <w:tab/>
      </w:r>
      <w:r w:rsidR="00486996" w:rsidRPr="00442EC6">
        <w:rPr>
          <w:rFonts w:ascii="Arial" w:hAnsi="Arial" w:cs="Arial"/>
          <w:sz w:val="24"/>
          <w:szCs w:val="24"/>
        </w:rPr>
        <w:t>upon receipt of a brief from an attorney; or</w:t>
      </w:r>
    </w:p>
    <w:p w14:paraId="26F7358A" w14:textId="0FB8C010" w:rsidR="00486996" w:rsidRPr="00442EC6" w:rsidRDefault="00442EC6" w:rsidP="00442EC6">
      <w:pPr>
        <w:tabs>
          <w:tab w:val="left" w:pos="1620"/>
        </w:tabs>
        <w:spacing w:before="120" w:after="120" w:line="360" w:lineRule="auto"/>
        <w:ind w:left="2736" w:right="1008" w:hanging="720"/>
        <w:jc w:val="both"/>
        <w:rPr>
          <w:rFonts w:ascii="Arial" w:hAnsi="Arial" w:cs="Arial"/>
          <w:sz w:val="24"/>
          <w:szCs w:val="24"/>
        </w:rPr>
      </w:pPr>
      <w:r w:rsidRPr="00AB20E7">
        <w:rPr>
          <w:rFonts w:ascii="Arial" w:hAnsi="Arial" w:cs="Arial"/>
          <w:sz w:val="24"/>
          <w:szCs w:val="24"/>
        </w:rPr>
        <w:t>(ii)</w:t>
      </w:r>
      <w:r w:rsidRPr="00AB20E7">
        <w:rPr>
          <w:rFonts w:ascii="Arial" w:hAnsi="Arial" w:cs="Arial"/>
          <w:sz w:val="24"/>
          <w:szCs w:val="24"/>
        </w:rPr>
        <w:tab/>
      </w:r>
      <w:r w:rsidR="00486996" w:rsidRPr="00442EC6">
        <w:rPr>
          <w:rFonts w:ascii="Arial" w:hAnsi="Arial" w:cs="Arial"/>
          <w:sz w:val="24"/>
          <w:szCs w:val="24"/>
        </w:rPr>
        <w:t>upon receipt of a request directly from a member of the public or from a justice centre for that service, subject to paragraph (b).</w:t>
      </w:r>
    </w:p>
    <w:p w14:paraId="175AB75A" w14:textId="445E12DE" w:rsidR="00486996" w:rsidRPr="00AB20E7" w:rsidRDefault="00627E8C" w:rsidP="00627E8C">
      <w:pPr>
        <w:pStyle w:val="ListParagraph"/>
        <w:tabs>
          <w:tab w:val="left" w:pos="1620"/>
        </w:tabs>
        <w:spacing w:before="120" w:after="120" w:line="360" w:lineRule="auto"/>
        <w:ind w:left="1620" w:right="1008" w:hanging="1512"/>
        <w:jc w:val="both"/>
        <w:rPr>
          <w:rFonts w:ascii="Arial" w:hAnsi="Arial" w:cs="Arial"/>
          <w:sz w:val="24"/>
          <w:szCs w:val="24"/>
        </w:rPr>
      </w:pPr>
      <w:r w:rsidRPr="00AB20E7">
        <w:rPr>
          <w:rFonts w:ascii="Arial" w:hAnsi="Arial" w:cs="Arial"/>
          <w:sz w:val="24"/>
          <w:szCs w:val="24"/>
        </w:rPr>
        <w:tab/>
      </w:r>
      <w:r w:rsidR="00486996" w:rsidRPr="00AB20E7">
        <w:rPr>
          <w:rFonts w:ascii="Arial" w:hAnsi="Arial" w:cs="Arial"/>
          <w:sz w:val="24"/>
          <w:szCs w:val="24"/>
        </w:rPr>
        <w:t>(b)</w:t>
      </w:r>
      <w:r w:rsidR="00486996" w:rsidRPr="00AB20E7">
        <w:rPr>
          <w:rFonts w:ascii="Arial" w:hAnsi="Arial" w:cs="Arial"/>
          <w:sz w:val="24"/>
          <w:szCs w:val="24"/>
        </w:rPr>
        <w:tab/>
        <w:t xml:space="preserve">An advocate contemplated in paragraph (a)(ii) </w:t>
      </w:r>
      <w:r w:rsidR="00486996" w:rsidRPr="00AB20E7">
        <w:rPr>
          <w:rFonts w:ascii="Arial" w:hAnsi="Arial" w:cs="Arial"/>
          <w:b/>
          <w:sz w:val="24"/>
          <w:szCs w:val="24"/>
        </w:rPr>
        <w:t>may only render those legal services rendered by advocates before the commencement of the Act as determined by the Council in the rules</w:t>
      </w:r>
      <w:r w:rsidR="00486996" w:rsidRPr="00AB20E7">
        <w:rPr>
          <w:rFonts w:ascii="Arial" w:hAnsi="Arial" w:cs="Arial"/>
          <w:sz w:val="24"/>
          <w:szCs w:val="24"/>
        </w:rPr>
        <w:t>, if he or she-</w:t>
      </w:r>
    </w:p>
    <w:p w14:paraId="07619F84" w14:textId="72784734" w:rsidR="00486996" w:rsidRPr="00AB20E7" w:rsidRDefault="00486996" w:rsidP="00486996">
      <w:pPr>
        <w:pStyle w:val="ListParagraph"/>
        <w:tabs>
          <w:tab w:val="left" w:pos="1620"/>
        </w:tabs>
        <w:spacing w:before="120" w:after="120" w:line="360" w:lineRule="auto"/>
        <w:ind w:left="2880" w:right="1008" w:hanging="2682"/>
        <w:jc w:val="both"/>
        <w:rPr>
          <w:rFonts w:ascii="Arial" w:hAnsi="Arial" w:cs="Arial"/>
          <w:sz w:val="24"/>
          <w:szCs w:val="24"/>
        </w:rPr>
      </w:pPr>
      <w:r w:rsidRPr="00AB20E7">
        <w:rPr>
          <w:rFonts w:ascii="Arial" w:hAnsi="Arial" w:cs="Arial"/>
          <w:sz w:val="24"/>
          <w:szCs w:val="24"/>
        </w:rPr>
        <w:lastRenderedPageBreak/>
        <w:tab/>
        <w:t xml:space="preserve"> (i)</w:t>
      </w:r>
      <w:r w:rsidRPr="00AB20E7">
        <w:rPr>
          <w:rFonts w:ascii="Arial" w:hAnsi="Arial" w:cs="Arial"/>
          <w:sz w:val="24"/>
          <w:szCs w:val="24"/>
        </w:rPr>
        <w:tab/>
        <w:t xml:space="preserve">is in possession of a Fidelity Fund </w:t>
      </w:r>
      <w:r w:rsidR="00AD151F" w:rsidRPr="00AB20E7">
        <w:rPr>
          <w:rFonts w:ascii="Arial" w:hAnsi="Arial" w:cs="Arial"/>
          <w:sz w:val="24"/>
          <w:szCs w:val="24"/>
        </w:rPr>
        <w:t>C</w:t>
      </w:r>
      <w:r w:rsidRPr="00AB20E7">
        <w:rPr>
          <w:rFonts w:ascii="Arial" w:hAnsi="Arial" w:cs="Arial"/>
          <w:sz w:val="24"/>
          <w:szCs w:val="24"/>
        </w:rPr>
        <w:t>ertificate and conducts his or her practice in accordance with the relevant provisions of Chapter 7, with particular reference to sections 84, 85, 86 and 87;</w:t>
      </w:r>
    </w:p>
    <w:p w14:paraId="662AFB51" w14:textId="60E96211" w:rsidR="00486996" w:rsidRPr="00AB20E7" w:rsidRDefault="00486996" w:rsidP="00486996">
      <w:pPr>
        <w:pStyle w:val="ListParagraph"/>
        <w:tabs>
          <w:tab w:val="left" w:pos="1620"/>
        </w:tabs>
        <w:spacing w:before="120" w:after="120" w:line="360" w:lineRule="auto"/>
        <w:ind w:left="2880" w:right="1008" w:hanging="2682"/>
        <w:jc w:val="both"/>
        <w:rPr>
          <w:rFonts w:ascii="Arial" w:hAnsi="Arial" w:cs="Arial"/>
          <w:sz w:val="24"/>
          <w:szCs w:val="24"/>
        </w:rPr>
      </w:pPr>
      <w:r w:rsidRPr="00AB20E7">
        <w:rPr>
          <w:rFonts w:ascii="Arial" w:hAnsi="Arial" w:cs="Arial"/>
          <w:sz w:val="24"/>
          <w:szCs w:val="24"/>
        </w:rPr>
        <w:tab/>
        <w:t>(ii)</w:t>
      </w:r>
      <w:r w:rsidRPr="00AB20E7">
        <w:rPr>
          <w:rFonts w:ascii="Arial" w:hAnsi="Arial" w:cs="Arial"/>
          <w:sz w:val="24"/>
          <w:szCs w:val="24"/>
        </w:rPr>
        <w:tab/>
        <w:t>has notified the Council thereof in terms of section 30(1)(b)(ii).’</w:t>
      </w:r>
    </w:p>
    <w:p w14:paraId="12700577" w14:textId="77777777" w:rsidR="00486996" w:rsidRPr="00AB20E7" w:rsidRDefault="00486996" w:rsidP="00486996">
      <w:pPr>
        <w:pStyle w:val="ListParagraph"/>
        <w:rPr>
          <w:rFonts w:ascii="Arial" w:hAnsi="Arial" w:cs="Arial"/>
          <w:sz w:val="24"/>
          <w:szCs w:val="24"/>
        </w:rPr>
      </w:pPr>
    </w:p>
    <w:p w14:paraId="0ECD5B50" w14:textId="69FB2588" w:rsidR="007E1B46" w:rsidRPr="00442EC6" w:rsidRDefault="00442EC6" w:rsidP="00442EC6">
      <w:pPr>
        <w:tabs>
          <w:tab w:val="left" w:pos="4917"/>
        </w:tabs>
        <w:spacing w:before="120" w:after="120" w:line="360" w:lineRule="auto"/>
        <w:ind w:left="720" w:hanging="720"/>
        <w:jc w:val="both"/>
        <w:rPr>
          <w:rFonts w:ascii="Arial" w:hAnsi="Arial" w:cs="Arial"/>
          <w:sz w:val="24"/>
          <w:szCs w:val="24"/>
        </w:rPr>
      </w:pPr>
      <w:r w:rsidRPr="00AB20E7">
        <w:rPr>
          <w:rFonts w:ascii="Arial" w:hAnsi="Arial" w:cs="Arial"/>
          <w:sz w:val="24"/>
          <w:szCs w:val="24"/>
        </w:rPr>
        <w:t>[25]</w:t>
      </w:r>
      <w:r w:rsidRPr="00AB20E7">
        <w:rPr>
          <w:rFonts w:ascii="Arial" w:hAnsi="Arial" w:cs="Arial"/>
          <w:sz w:val="24"/>
          <w:szCs w:val="24"/>
        </w:rPr>
        <w:tab/>
      </w:r>
      <w:r w:rsidR="007E1B46" w:rsidRPr="00442EC6">
        <w:rPr>
          <w:rFonts w:ascii="Arial" w:hAnsi="Arial" w:cs="Arial"/>
          <w:sz w:val="24"/>
          <w:szCs w:val="24"/>
        </w:rPr>
        <w:t>Rule 33 of the South African Legal Practice Council Rules made under the authority of s 95(1) of the LPA,</w:t>
      </w:r>
      <w:r w:rsidR="007E1B46" w:rsidRPr="00AB20E7">
        <w:rPr>
          <w:rStyle w:val="FootnoteReference"/>
          <w:rFonts w:ascii="Arial" w:hAnsi="Arial" w:cs="Arial"/>
          <w:sz w:val="24"/>
          <w:szCs w:val="24"/>
        </w:rPr>
        <w:footnoteReference w:id="10"/>
      </w:r>
      <w:r w:rsidR="007E1B46" w:rsidRPr="00442EC6">
        <w:rPr>
          <w:rFonts w:ascii="Arial" w:hAnsi="Arial" w:cs="Arial"/>
          <w:sz w:val="24"/>
          <w:szCs w:val="24"/>
        </w:rPr>
        <w:t xml:space="preserve"> in turn provides as follows:</w:t>
      </w:r>
    </w:p>
    <w:p w14:paraId="7734B5A5" w14:textId="77777777" w:rsidR="007E1B46" w:rsidRPr="00AB20E7" w:rsidRDefault="007E1B46" w:rsidP="007E1B46">
      <w:pPr>
        <w:pStyle w:val="ListParagraph"/>
        <w:rPr>
          <w:rFonts w:ascii="Arial" w:hAnsi="Arial" w:cs="Arial"/>
          <w:sz w:val="24"/>
          <w:szCs w:val="24"/>
        </w:rPr>
      </w:pPr>
    </w:p>
    <w:p w14:paraId="3C297F61" w14:textId="47196581" w:rsidR="007E1B46" w:rsidRPr="00AB20E7" w:rsidRDefault="007E1B46" w:rsidP="007E1B46">
      <w:pPr>
        <w:pStyle w:val="ListParagraph"/>
        <w:tabs>
          <w:tab w:val="left" w:pos="4917"/>
        </w:tabs>
        <w:spacing w:before="120" w:after="120" w:line="360" w:lineRule="auto"/>
        <w:ind w:left="1008" w:right="1008"/>
        <w:jc w:val="both"/>
        <w:rPr>
          <w:rFonts w:ascii="Arial" w:hAnsi="Arial" w:cs="Arial"/>
          <w:sz w:val="24"/>
          <w:szCs w:val="24"/>
        </w:rPr>
      </w:pPr>
      <w:r w:rsidRPr="00AB20E7">
        <w:rPr>
          <w:rFonts w:ascii="Arial" w:hAnsi="Arial" w:cs="Arial"/>
          <w:sz w:val="24"/>
          <w:szCs w:val="24"/>
        </w:rPr>
        <w:t xml:space="preserve">‘An advocate referred to in section 34(2)(a)(ii) of the Act who is in possession of a Fidelity Fund certificate may render all those legal services which advocates were entitled to render before the commencement of the Act, </w:t>
      </w:r>
      <w:r w:rsidRPr="00AB20E7">
        <w:rPr>
          <w:rFonts w:ascii="Arial" w:hAnsi="Arial" w:cs="Arial"/>
          <w:b/>
          <w:sz w:val="24"/>
          <w:szCs w:val="24"/>
        </w:rPr>
        <w:t xml:space="preserve">and may perform such functions ancillary to his or her instructions as are necessary to enable him or her to properly represent the client.’ </w:t>
      </w:r>
      <w:r w:rsidRPr="00AB20E7">
        <w:rPr>
          <w:rFonts w:ascii="Arial" w:hAnsi="Arial" w:cs="Arial"/>
          <w:sz w:val="24"/>
          <w:szCs w:val="24"/>
        </w:rPr>
        <w:t>(My emphasis).</w:t>
      </w:r>
    </w:p>
    <w:p w14:paraId="1F0874D9" w14:textId="77777777" w:rsidR="007E1B46" w:rsidRPr="00AB20E7" w:rsidRDefault="007E1B46" w:rsidP="007E1B46">
      <w:pPr>
        <w:pStyle w:val="ListParagraph"/>
        <w:rPr>
          <w:rFonts w:ascii="Arial" w:hAnsi="Arial" w:cs="Arial"/>
          <w:sz w:val="24"/>
          <w:szCs w:val="24"/>
        </w:rPr>
      </w:pPr>
    </w:p>
    <w:p w14:paraId="4C37C00F" w14:textId="03AF62CC" w:rsidR="00627E8C" w:rsidRPr="00442EC6" w:rsidRDefault="00442EC6" w:rsidP="00442EC6">
      <w:pPr>
        <w:tabs>
          <w:tab w:val="left" w:pos="4917"/>
        </w:tabs>
        <w:spacing w:before="120" w:after="120" w:line="360" w:lineRule="auto"/>
        <w:ind w:left="720" w:hanging="720"/>
        <w:jc w:val="both"/>
        <w:rPr>
          <w:rFonts w:ascii="Arial" w:hAnsi="Arial" w:cs="Arial"/>
          <w:sz w:val="24"/>
          <w:szCs w:val="24"/>
        </w:rPr>
      </w:pPr>
      <w:r w:rsidRPr="00AB20E7">
        <w:rPr>
          <w:rFonts w:ascii="Arial" w:hAnsi="Arial" w:cs="Arial"/>
          <w:sz w:val="24"/>
          <w:szCs w:val="24"/>
        </w:rPr>
        <w:t>[26]</w:t>
      </w:r>
      <w:r w:rsidRPr="00AB20E7">
        <w:rPr>
          <w:rFonts w:ascii="Arial" w:hAnsi="Arial" w:cs="Arial"/>
          <w:sz w:val="24"/>
          <w:szCs w:val="24"/>
        </w:rPr>
        <w:tab/>
      </w:r>
      <w:r w:rsidR="005756D4" w:rsidRPr="00442EC6">
        <w:rPr>
          <w:rFonts w:ascii="Arial" w:hAnsi="Arial" w:cs="Arial"/>
          <w:sz w:val="24"/>
          <w:szCs w:val="24"/>
        </w:rPr>
        <w:t xml:space="preserve">The relevance and importance of enabling advocates to perform ‘such functions ancillary to his or her instructions as are necessary to enable him or her to properly represent the client’ should, in the context of the issue that is to be determined, not be overlooked. The need for this extension </w:t>
      </w:r>
      <w:r w:rsidR="00286E60" w:rsidRPr="00442EC6">
        <w:rPr>
          <w:rFonts w:ascii="Arial" w:hAnsi="Arial" w:cs="Arial"/>
          <w:sz w:val="24"/>
          <w:szCs w:val="24"/>
        </w:rPr>
        <w:t>is borne from the historic position where an attorney whose contract with its clients is that of mandate,</w:t>
      </w:r>
      <w:r w:rsidR="00286E60" w:rsidRPr="00AB20E7">
        <w:rPr>
          <w:rStyle w:val="FootnoteReference"/>
          <w:rFonts w:ascii="Arial" w:hAnsi="Arial" w:cs="Arial"/>
          <w:sz w:val="24"/>
          <w:szCs w:val="24"/>
        </w:rPr>
        <w:footnoteReference w:id="11"/>
      </w:r>
      <w:r w:rsidR="00286E60" w:rsidRPr="00442EC6">
        <w:rPr>
          <w:rFonts w:ascii="Arial" w:hAnsi="Arial" w:cs="Arial"/>
          <w:sz w:val="24"/>
          <w:szCs w:val="24"/>
        </w:rPr>
        <w:t xml:space="preserve"> which includes the power to do everything that is incidental to the carrying out of his instruction unless specifically excluded.</w:t>
      </w:r>
      <w:r w:rsidR="00286E60" w:rsidRPr="00AB20E7">
        <w:rPr>
          <w:rStyle w:val="FootnoteReference"/>
          <w:rFonts w:ascii="Arial" w:hAnsi="Arial" w:cs="Arial"/>
          <w:sz w:val="24"/>
          <w:szCs w:val="24"/>
        </w:rPr>
        <w:footnoteReference w:id="12"/>
      </w:r>
      <w:r w:rsidR="00C35312" w:rsidRPr="00442EC6">
        <w:rPr>
          <w:rFonts w:ascii="Arial" w:hAnsi="Arial" w:cs="Arial"/>
          <w:sz w:val="24"/>
          <w:szCs w:val="24"/>
        </w:rPr>
        <w:t xml:space="preserve"> Referral-advocates, on the other hand, </w:t>
      </w:r>
      <w:r w:rsidR="0041690A" w:rsidRPr="00442EC6">
        <w:rPr>
          <w:rFonts w:ascii="Arial" w:hAnsi="Arial" w:cs="Arial"/>
          <w:sz w:val="24"/>
          <w:szCs w:val="24"/>
        </w:rPr>
        <w:t xml:space="preserve">were historically, and </w:t>
      </w:r>
      <w:r w:rsidR="0001056F" w:rsidRPr="00442EC6">
        <w:rPr>
          <w:rFonts w:ascii="Arial" w:hAnsi="Arial" w:cs="Arial"/>
          <w:sz w:val="24"/>
          <w:szCs w:val="24"/>
        </w:rPr>
        <w:t>are</w:t>
      </w:r>
      <w:r w:rsidR="0041690A" w:rsidRPr="00442EC6">
        <w:rPr>
          <w:rFonts w:ascii="Arial" w:hAnsi="Arial" w:cs="Arial"/>
          <w:sz w:val="24"/>
          <w:szCs w:val="24"/>
        </w:rPr>
        <w:t xml:space="preserve"> currently,</w:t>
      </w:r>
    </w:p>
    <w:p w14:paraId="516CD070" w14:textId="77777777" w:rsidR="00627E8C" w:rsidRPr="00AB20E7" w:rsidRDefault="00627E8C" w:rsidP="00627E8C">
      <w:pPr>
        <w:pStyle w:val="ListParagraph"/>
        <w:tabs>
          <w:tab w:val="left" w:pos="4917"/>
        </w:tabs>
        <w:spacing w:before="120" w:after="120" w:line="360" w:lineRule="auto"/>
        <w:jc w:val="both"/>
        <w:rPr>
          <w:rFonts w:ascii="Arial" w:hAnsi="Arial" w:cs="Arial"/>
          <w:sz w:val="24"/>
          <w:szCs w:val="24"/>
        </w:rPr>
      </w:pPr>
    </w:p>
    <w:p w14:paraId="397DDD55" w14:textId="0E6C4FEB" w:rsidR="00627E8C" w:rsidRPr="00AB20E7" w:rsidRDefault="0041690A" w:rsidP="00627E8C">
      <w:pPr>
        <w:pStyle w:val="ListParagraph"/>
        <w:tabs>
          <w:tab w:val="left" w:pos="4917"/>
        </w:tabs>
        <w:spacing w:before="120" w:after="120" w:line="360" w:lineRule="auto"/>
        <w:ind w:left="1008" w:right="1008"/>
        <w:jc w:val="both"/>
        <w:rPr>
          <w:rFonts w:ascii="Arial" w:hAnsi="Arial" w:cs="Arial"/>
          <w:sz w:val="24"/>
          <w:szCs w:val="24"/>
        </w:rPr>
      </w:pPr>
      <w:r w:rsidRPr="00AB20E7">
        <w:rPr>
          <w:rFonts w:ascii="Arial" w:hAnsi="Arial" w:cs="Arial"/>
          <w:sz w:val="24"/>
          <w:szCs w:val="24"/>
        </w:rPr>
        <w:t xml:space="preserve"> </w:t>
      </w:r>
      <w:r w:rsidR="00C35312" w:rsidRPr="00AB20E7">
        <w:rPr>
          <w:rFonts w:ascii="Arial" w:hAnsi="Arial" w:cs="Arial"/>
          <w:sz w:val="24"/>
          <w:szCs w:val="24"/>
        </w:rPr>
        <w:t>‘required and entitled to act</w:t>
      </w:r>
      <w:r w:rsidR="0001056F" w:rsidRPr="00AB20E7">
        <w:rPr>
          <w:rFonts w:ascii="Arial" w:hAnsi="Arial" w:cs="Arial"/>
          <w:sz w:val="24"/>
          <w:szCs w:val="24"/>
        </w:rPr>
        <w:t xml:space="preserve"> only when specifically and properly briefed thereto. The brief </w:t>
      </w:r>
      <w:r w:rsidR="0001056F" w:rsidRPr="00AB20E7">
        <w:rPr>
          <w:rFonts w:ascii="Arial" w:hAnsi="Arial" w:cs="Arial"/>
          <w:b/>
          <w:sz w:val="24"/>
          <w:szCs w:val="24"/>
        </w:rPr>
        <w:t xml:space="preserve">will indicate the particular purpose for which </w:t>
      </w:r>
      <w:r w:rsidR="0001056F" w:rsidRPr="00AB20E7">
        <w:rPr>
          <w:rFonts w:ascii="Arial" w:hAnsi="Arial" w:cs="Arial"/>
          <w:b/>
          <w:sz w:val="24"/>
          <w:szCs w:val="24"/>
        </w:rPr>
        <w:lastRenderedPageBreak/>
        <w:t xml:space="preserve">counsel has been briefed and his [or her] function is limited to his </w:t>
      </w:r>
      <w:r w:rsidR="005575CB" w:rsidRPr="00AB20E7">
        <w:rPr>
          <w:rFonts w:ascii="Arial" w:hAnsi="Arial" w:cs="Arial"/>
          <w:b/>
          <w:sz w:val="24"/>
          <w:szCs w:val="24"/>
        </w:rPr>
        <w:t xml:space="preserve">[or her] </w:t>
      </w:r>
      <w:r w:rsidR="0001056F" w:rsidRPr="00AB20E7">
        <w:rPr>
          <w:rFonts w:ascii="Arial" w:hAnsi="Arial" w:cs="Arial"/>
          <w:b/>
          <w:sz w:val="24"/>
          <w:szCs w:val="24"/>
        </w:rPr>
        <w:t>instructions.’</w:t>
      </w:r>
      <w:r w:rsidR="0001056F" w:rsidRPr="00AB20E7">
        <w:rPr>
          <w:rStyle w:val="FootnoteReference"/>
          <w:rFonts w:ascii="Arial" w:hAnsi="Arial" w:cs="Arial"/>
          <w:b/>
          <w:sz w:val="24"/>
          <w:szCs w:val="24"/>
        </w:rPr>
        <w:footnoteReference w:id="13"/>
      </w:r>
      <w:r w:rsidR="0001056F" w:rsidRPr="00AB20E7">
        <w:rPr>
          <w:rFonts w:ascii="Arial" w:hAnsi="Arial" w:cs="Arial"/>
          <w:sz w:val="24"/>
          <w:szCs w:val="24"/>
        </w:rPr>
        <w:t xml:space="preserve"> (My emphasis).</w:t>
      </w:r>
    </w:p>
    <w:p w14:paraId="69413CBC" w14:textId="77777777" w:rsidR="00627E8C" w:rsidRPr="00AB20E7" w:rsidRDefault="00627E8C" w:rsidP="00627E8C">
      <w:pPr>
        <w:pStyle w:val="ListParagraph"/>
        <w:tabs>
          <w:tab w:val="left" w:pos="4917"/>
        </w:tabs>
        <w:spacing w:before="120" w:after="120" w:line="360" w:lineRule="auto"/>
        <w:ind w:left="1008" w:right="1008"/>
        <w:jc w:val="both"/>
        <w:rPr>
          <w:rFonts w:ascii="Arial" w:hAnsi="Arial" w:cs="Arial"/>
          <w:sz w:val="24"/>
          <w:szCs w:val="24"/>
        </w:rPr>
      </w:pPr>
    </w:p>
    <w:p w14:paraId="2090433D" w14:textId="3BA4A643" w:rsidR="005756D4" w:rsidRPr="00AB20E7" w:rsidRDefault="00627E8C" w:rsidP="00627E8C">
      <w:pPr>
        <w:pStyle w:val="ListParagraph"/>
        <w:tabs>
          <w:tab w:val="left" w:pos="4917"/>
        </w:tabs>
        <w:spacing w:before="120" w:after="120" w:line="360" w:lineRule="auto"/>
        <w:jc w:val="both"/>
        <w:rPr>
          <w:rFonts w:ascii="Arial" w:hAnsi="Arial" w:cs="Arial"/>
          <w:sz w:val="24"/>
          <w:szCs w:val="24"/>
        </w:rPr>
      </w:pPr>
      <w:r w:rsidRPr="00AB20E7">
        <w:rPr>
          <w:rFonts w:ascii="Arial" w:hAnsi="Arial" w:cs="Arial"/>
          <w:sz w:val="24"/>
          <w:szCs w:val="24"/>
        </w:rPr>
        <w:t xml:space="preserve"> The latter remark is made by the authors while</w:t>
      </w:r>
      <w:r w:rsidR="005575CB" w:rsidRPr="00AB20E7">
        <w:rPr>
          <w:rFonts w:ascii="Arial" w:hAnsi="Arial" w:cs="Arial"/>
          <w:sz w:val="24"/>
          <w:szCs w:val="24"/>
        </w:rPr>
        <w:t xml:space="preserve"> acknowledging that counsel has ‘a complete discretion in the conduct of a case’ for which it is briefed,</w:t>
      </w:r>
      <w:r w:rsidR="005575CB" w:rsidRPr="00AB20E7">
        <w:rPr>
          <w:rStyle w:val="FootnoteReference"/>
          <w:rFonts w:ascii="Arial" w:hAnsi="Arial" w:cs="Arial"/>
          <w:sz w:val="24"/>
          <w:szCs w:val="24"/>
        </w:rPr>
        <w:footnoteReference w:id="14"/>
      </w:r>
      <w:r w:rsidR="005575CB" w:rsidRPr="00AB20E7">
        <w:rPr>
          <w:rFonts w:ascii="Arial" w:hAnsi="Arial" w:cs="Arial"/>
          <w:sz w:val="24"/>
          <w:szCs w:val="24"/>
        </w:rPr>
        <w:t xml:space="preserve"> and the explicit provision in the rules that trust account advocates are entitled to ‘perform such functions </w:t>
      </w:r>
      <w:r w:rsidRPr="00AB20E7">
        <w:rPr>
          <w:rFonts w:ascii="Arial" w:hAnsi="Arial" w:cs="Arial"/>
          <w:sz w:val="24"/>
          <w:szCs w:val="24"/>
        </w:rPr>
        <w:t>ancillary’ to their instructions. This</w:t>
      </w:r>
      <w:r w:rsidR="005575CB" w:rsidRPr="00AB20E7">
        <w:rPr>
          <w:rFonts w:ascii="Arial" w:hAnsi="Arial" w:cs="Arial"/>
          <w:sz w:val="24"/>
          <w:szCs w:val="24"/>
        </w:rPr>
        <w:t xml:space="preserve"> denotes entitlements that exceed the powers previously attributed to advocates.</w:t>
      </w:r>
    </w:p>
    <w:p w14:paraId="2720EA6B" w14:textId="77777777" w:rsidR="005756D4" w:rsidRPr="00AB20E7" w:rsidRDefault="005756D4" w:rsidP="005756D4">
      <w:pPr>
        <w:pStyle w:val="ListParagraph"/>
        <w:tabs>
          <w:tab w:val="left" w:pos="4917"/>
        </w:tabs>
        <w:spacing w:before="120" w:after="120" w:line="360" w:lineRule="auto"/>
        <w:jc w:val="both"/>
        <w:rPr>
          <w:rFonts w:ascii="Arial" w:hAnsi="Arial" w:cs="Arial"/>
          <w:sz w:val="24"/>
          <w:szCs w:val="24"/>
        </w:rPr>
      </w:pPr>
    </w:p>
    <w:p w14:paraId="598F5EFB" w14:textId="7AC39367" w:rsidR="0011748A" w:rsidRPr="00442EC6" w:rsidRDefault="00442EC6" w:rsidP="00442EC6">
      <w:pPr>
        <w:tabs>
          <w:tab w:val="left" w:pos="4917"/>
        </w:tabs>
        <w:spacing w:before="120" w:after="120" w:line="360" w:lineRule="auto"/>
        <w:ind w:left="720" w:hanging="720"/>
        <w:jc w:val="both"/>
        <w:rPr>
          <w:rFonts w:ascii="Arial" w:hAnsi="Arial" w:cs="Arial"/>
          <w:sz w:val="24"/>
          <w:szCs w:val="24"/>
        </w:rPr>
      </w:pPr>
      <w:r w:rsidRPr="00AB20E7">
        <w:rPr>
          <w:rFonts w:ascii="Arial" w:hAnsi="Arial" w:cs="Arial"/>
          <w:sz w:val="24"/>
          <w:szCs w:val="24"/>
        </w:rPr>
        <w:t>[27]</w:t>
      </w:r>
      <w:r w:rsidRPr="00AB20E7">
        <w:rPr>
          <w:rFonts w:ascii="Arial" w:hAnsi="Arial" w:cs="Arial"/>
          <w:sz w:val="24"/>
          <w:szCs w:val="24"/>
        </w:rPr>
        <w:tab/>
      </w:r>
      <w:r w:rsidR="0011748A" w:rsidRPr="00442EC6">
        <w:rPr>
          <w:rFonts w:ascii="Arial" w:hAnsi="Arial" w:cs="Arial"/>
          <w:sz w:val="24"/>
          <w:szCs w:val="24"/>
        </w:rPr>
        <w:t>In the ‘Code of Conduct for all Legal Practitioners, Candidate Legal Practitioners and Juristic Entities’</w:t>
      </w:r>
      <w:r w:rsidR="0011748A" w:rsidRPr="00AB20E7">
        <w:rPr>
          <w:rStyle w:val="FootnoteReference"/>
          <w:rFonts w:ascii="Arial" w:hAnsi="Arial" w:cs="Arial"/>
          <w:sz w:val="24"/>
          <w:szCs w:val="24"/>
        </w:rPr>
        <w:footnoteReference w:id="15"/>
      </w:r>
      <w:r w:rsidR="0011748A" w:rsidRPr="00442EC6">
        <w:rPr>
          <w:rFonts w:ascii="Arial" w:hAnsi="Arial" w:cs="Arial"/>
          <w:sz w:val="24"/>
          <w:szCs w:val="24"/>
        </w:rPr>
        <w:t xml:space="preserve"> (</w:t>
      </w:r>
      <w:r w:rsidR="00AB20E7" w:rsidRPr="00442EC6">
        <w:rPr>
          <w:rFonts w:ascii="Arial" w:hAnsi="Arial" w:cs="Arial"/>
          <w:sz w:val="24"/>
          <w:szCs w:val="24"/>
        </w:rPr>
        <w:t>‘the c</w:t>
      </w:r>
      <w:r w:rsidR="00C35312" w:rsidRPr="00442EC6">
        <w:rPr>
          <w:rFonts w:ascii="Arial" w:hAnsi="Arial" w:cs="Arial"/>
          <w:sz w:val="24"/>
          <w:szCs w:val="24"/>
        </w:rPr>
        <w:t>ode’) a distinction is ma</w:t>
      </w:r>
      <w:r w:rsidR="0011748A" w:rsidRPr="00442EC6">
        <w:rPr>
          <w:rFonts w:ascii="Arial" w:hAnsi="Arial" w:cs="Arial"/>
          <w:sz w:val="24"/>
          <w:szCs w:val="24"/>
        </w:rPr>
        <w:t>de between the meaning attributed in the code to the terms ‘advocate’ and ‘counsel’. The term ‘advocate’ is defined to mean ‘a le</w:t>
      </w:r>
      <w:r w:rsidR="00881FDC" w:rsidRPr="00442EC6">
        <w:rPr>
          <w:rFonts w:ascii="Arial" w:hAnsi="Arial" w:cs="Arial"/>
          <w:sz w:val="24"/>
          <w:szCs w:val="24"/>
        </w:rPr>
        <w:t>gal</w:t>
      </w:r>
      <w:r w:rsidR="0011748A" w:rsidRPr="00442EC6">
        <w:rPr>
          <w:rFonts w:ascii="Arial" w:hAnsi="Arial" w:cs="Arial"/>
          <w:sz w:val="24"/>
          <w:szCs w:val="24"/>
        </w:rPr>
        <w:t xml:space="preserve"> practitioner who is admitted and enro</w:t>
      </w:r>
      <w:r w:rsidR="0001056F" w:rsidRPr="00442EC6">
        <w:rPr>
          <w:rFonts w:ascii="Arial" w:hAnsi="Arial" w:cs="Arial"/>
          <w:sz w:val="24"/>
          <w:szCs w:val="24"/>
        </w:rPr>
        <w:t>lled as such under the Act [LPA]</w:t>
      </w:r>
      <w:r w:rsidR="00881FDC" w:rsidRPr="00442EC6">
        <w:rPr>
          <w:rFonts w:ascii="Arial" w:hAnsi="Arial" w:cs="Arial"/>
          <w:sz w:val="24"/>
          <w:szCs w:val="24"/>
        </w:rPr>
        <w:t xml:space="preserve">’, while the term ‘counsel’ means ‘an advocate referred to in section 34(2)(a)(i) of the Act’. In </w:t>
      </w:r>
      <w:r w:rsidR="00AB20E7" w:rsidRPr="00442EC6">
        <w:rPr>
          <w:rFonts w:ascii="Arial" w:hAnsi="Arial" w:cs="Arial"/>
          <w:sz w:val="24"/>
          <w:szCs w:val="24"/>
        </w:rPr>
        <w:t>the preamble to Part IV of the c</w:t>
      </w:r>
      <w:r w:rsidR="00881FDC" w:rsidRPr="00442EC6">
        <w:rPr>
          <w:rFonts w:ascii="Arial" w:hAnsi="Arial" w:cs="Arial"/>
          <w:sz w:val="24"/>
          <w:szCs w:val="24"/>
        </w:rPr>
        <w:t>ode</w:t>
      </w:r>
      <w:r w:rsidR="00AB20E7" w:rsidRPr="00442EC6">
        <w:rPr>
          <w:rFonts w:ascii="Arial" w:hAnsi="Arial" w:cs="Arial"/>
          <w:sz w:val="24"/>
          <w:szCs w:val="24"/>
        </w:rPr>
        <w:t>,</w:t>
      </w:r>
      <w:r w:rsidR="00881FDC" w:rsidRPr="00442EC6">
        <w:rPr>
          <w:rFonts w:ascii="Arial" w:hAnsi="Arial" w:cs="Arial"/>
          <w:sz w:val="24"/>
          <w:szCs w:val="24"/>
        </w:rPr>
        <w:t xml:space="preserve"> it is stated that ‘counsel are independent practitioners of advocacy’.</w:t>
      </w:r>
      <w:r w:rsidR="00881FDC" w:rsidRPr="00AB20E7">
        <w:rPr>
          <w:rStyle w:val="FootnoteReference"/>
          <w:rFonts w:ascii="Arial" w:hAnsi="Arial" w:cs="Arial"/>
          <w:sz w:val="24"/>
          <w:szCs w:val="24"/>
        </w:rPr>
        <w:footnoteReference w:id="16"/>
      </w:r>
      <w:r w:rsidR="00881FDC" w:rsidRPr="00442EC6">
        <w:rPr>
          <w:rFonts w:ascii="Arial" w:hAnsi="Arial" w:cs="Arial"/>
          <w:sz w:val="24"/>
          <w:szCs w:val="24"/>
        </w:rPr>
        <w:t xml:space="preserve"> The nature of work</w:t>
      </w:r>
      <w:r w:rsidR="00AC19FD" w:rsidRPr="00442EC6">
        <w:rPr>
          <w:rFonts w:ascii="Arial" w:hAnsi="Arial" w:cs="Arial"/>
          <w:sz w:val="24"/>
          <w:szCs w:val="24"/>
        </w:rPr>
        <w:t xml:space="preserve"> undertaken by counsel is </w:t>
      </w:r>
      <w:r w:rsidR="00881FDC" w:rsidRPr="00442EC6">
        <w:rPr>
          <w:rFonts w:ascii="Arial" w:hAnsi="Arial" w:cs="Arial"/>
          <w:sz w:val="24"/>
          <w:szCs w:val="24"/>
        </w:rPr>
        <w:t>circumscribed as follows:</w:t>
      </w:r>
      <w:r w:rsidR="00881FDC" w:rsidRPr="00AB20E7">
        <w:rPr>
          <w:rStyle w:val="FootnoteReference"/>
          <w:rFonts w:ascii="Arial" w:hAnsi="Arial" w:cs="Arial"/>
          <w:sz w:val="24"/>
          <w:szCs w:val="24"/>
        </w:rPr>
        <w:footnoteReference w:id="17"/>
      </w:r>
    </w:p>
    <w:p w14:paraId="66102EA6" w14:textId="0F654E94" w:rsidR="00881FDC" w:rsidRPr="00AB20E7" w:rsidRDefault="00881FDC" w:rsidP="00881FDC">
      <w:pPr>
        <w:pStyle w:val="ListParagraph"/>
        <w:tabs>
          <w:tab w:val="left" w:pos="4917"/>
        </w:tabs>
        <w:spacing w:before="120" w:after="120" w:line="360" w:lineRule="auto"/>
        <w:jc w:val="both"/>
        <w:rPr>
          <w:rFonts w:ascii="Arial" w:hAnsi="Arial" w:cs="Arial"/>
          <w:sz w:val="24"/>
          <w:szCs w:val="24"/>
        </w:rPr>
      </w:pPr>
    </w:p>
    <w:p w14:paraId="44CD9AA6" w14:textId="1BC3DBDA" w:rsidR="00881FDC" w:rsidRPr="00AB20E7" w:rsidRDefault="00881FDC" w:rsidP="00231AD6">
      <w:pPr>
        <w:pStyle w:val="lg-1-1-1"/>
        <w:shd w:val="clear" w:color="auto" w:fill="FFFFFF"/>
        <w:spacing w:before="120" w:beforeAutospacing="0" w:after="120" w:afterAutospacing="0" w:line="360" w:lineRule="auto"/>
        <w:ind w:left="2160" w:right="1008" w:hanging="1152"/>
        <w:jc w:val="both"/>
        <w:rPr>
          <w:rFonts w:ascii="Arial" w:hAnsi="Arial" w:cs="Arial"/>
          <w:color w:val="000000"/>
        </w:rPr>
      </w:pPr>
      <w:r w:rsidRPr="00AB20E7">
        <w:rPr>
          <w:rFonts w:ascii="Arial" w:hAnsi="Arial" w:cs="Arial"/>
        </w:rPr>
        <w:t>‘</w:t>
      </w:r>
      <w:r w:rsidRPr="00AB20E7">
        <w:rPr>
          <w:rFonts w:ascii="Arial" w:hAnsi="Arial" w:cs="Arial"/>
          <w:color w:val="000000"/>
        </w:rPr>
        <w:t xml:space="preserve">23.1 </w:t>
      </w:r>
      <w:r w:rsidR="00231AD6" w:rsidRPr="00AB20E7">
        <w:rPr>
          <w:rFonts w:ascii="Arial" w:hAnsi="Arial" w:cs="Arial"/>
          <w:color w:val="000000"/>
        </w:rPr>
        <w:tab/>
      </w:r>
      <w:r w:rsidRPr="00AB20E7">
        <w:rPr>
          <w:rFonts w:ascii="Arial" w:hAnsi="Arial" w:cs="Arial"/>
          <w:color w:val="000000"/>
        </w:rPr>
        <w:t>Counsel undertake to perform professional legal services for a reasonable reward.</w:t>
      </w:r>
    </w:p>
    <w:p w14:paraId="5529E020" w14:textId="440E63AC" w:rsidR="00881FDC" w:rsidRPr="00AB20E7" w:rsidRDefault="00881FDC" w:rsidP="00231AD6">
      <w:pPr>
        <w:pStyle w:val="lg-1-1-1"/>
        <w:shd w:val="clear" w:color="auto" w:fill="FFFFFF"/>
        <w:spacing w:before="120" w:beforeAutospacing="0" w:after="120" w:afterAutospacing="0" w:line="360" w:lineRule="auto"/>
        <w:ind w:left="2160" w:right="1008" w:hanging="1152"/>
        <w:jc w:val="both"/>
        <w:rPr>
          <w:rFonts w:ascii="Arial" w:hAnsi="Arial" w:cs="Arial"/>
          <w:color w:val="000000"/>
        </w:rPr>
      </w:pPr>
      <w:r w:rsidRPr="00AB20E7">
        <w:rPr>
          <w:rFonts w:ascii="Arial" w:hAnsi="Arial" w:cs="Arial"/>
          <w:color w:val="000000"/>
        </w:rPr>
        <w:t>23.2</w:t>
      </w:r>
      <w:r w:rsidRPr="00AB20E7">
        <w:rPr>
          <w:rFonts w:ascii="Arial" w:hAnsi="Arial" w:cs="Arial"/>
          <w:color w:val="000000"/>
        </w:rPr>
        <w:tab/>
        <w:t>There is no closed list of subject matter about which a brief may be accepted by counsel provided the brief does not require counsel to undertake work which is properly that of an attorney. In particular, counsel may accept a brief—</w:t>
      </w:r>
    </w:p>
    <w:p w14:paraId="7A5174DA" w14:textId="086B7940" w:rsidR="00881FDC" w:rsidRPr="00AB20E7" w:rsidRDefault="00881FDC" w:rsidP="00881FDC">
      <w:pPr>
        <w:pStyle w:val="lg-1-1-1-1"/>
        <w:shd w:val="clear" w:color="auto" w:fill="FFFFFF"/>
        <w:spacing w:before="120" w:beforeAutospacing="0" w:after="120" w:afterAutospacing="0" w:line="360" w:lineRule="auto"/>
        <w:ind w:left="1008" w:right="1008" w:firstLine="432"/>
        <w:jc w:val="both"/>
        <w:rPr>
          <w:rFonts w:ascii="Arial" w:hAnsi="Arial" w:cs="Arial"/>
          <w:color w:val="000000"/>
        </w:rPr>
      </w:pPr>
      <w:r w:rsidRPr="00AB20E7">
        <w:rPr>
          <w:rFonts w:ascii="Arial" w:hAnsi="Arial" w:cs="Arial"/>
          <w:color w:val="000000"/>
        </w:rPr>
        <w:t>23.2.1</w:t>
      </w:r>
      <w:r w:rsidRPr="00AB20E7">
        <w:rPr>
          <w:rFonts w:ascii="Arial" w:hAnsi="Arial" w:cs="Arial"/>
          <w:color w:val="000000"/>
        </w:rPr>
        <w:tab/>
      </w:r>
      <w:r w:rsidR="00231AD6" w:rsidRPr="00AB20E7">
        <w:rPr>
          <w:rFonts w:ascii="Arial" w:hAnsi="Arial" w:cs="Arial"/>
          <w:color w:val="000000"/>
        </w:rPr>
        <w:tab/>
      </w:r>
      <w:r w:rsidRPr="00AB20E7">
        <w:rPr>
          <w:rFonts w:ascii="Arial" w:hAnsi="Arial" w:cs="Arial"/>
          <w:color w:val="000000"/>
        </w:rPr>
        <w:t>to give legal advice orally or in a written opinion;</w:t>
      </w:r>
    </w:p>
    <w:p w14:paraId="79F835DF" w14:textId="61CD698F" w:rsidR="00881FDC" w:rsidRPr="00AB20E7" w:rsidRDefault="00881FDC" w:rsidP="00231AD6">
      <w:pPr>
        <w:pStyle w:val="lg-1-1-1-1"/>
        <w:shd w:val="clear" w:color="auto" w:fill="FFFFFF"/>
        <w:spacing w:before="120" w:beforeAutospacing="0" w:after="120" w:afterAutospacing="0" w:line="360" w:lineRule="auto"/>
        <w:ind w:left="2880" w:right="1008" w:hanging="1440"/>
        <w:jc w:val="both"/>
        <w:rPr>
          <w:rFonts w:ascii="Arial" w:hAnsi="Arial" w:cs="Arial"/>
          <w:color w:val="000000"/>
        </w:rPr>
      </w:pPr>
      <w:r w:rsidRPr="00AB20E7">
        <w:rPr>
          <w:rFonts w:ascii="Arial" w:hAnsi="Arial" w:cs="Arial"/>
          <w:color w:val="000000"/>
        </w:rPr>
        <w:lastRenderedPageBreak/>
        <w:t>23.2.2</w:t>
      </w:r>
      <w:r w:rsidRPr="00AB20E7">
        <w:rPr>
          <w:rFonts w:ascii="Arial" w:hAnsi="Arial" w:cs="Arial"/>
          <w:color w:val="000000"/>
        </w:rPr>
        <w:tab/>
        <w:t>to prepare any documents required for use in any court or arbitration or other adjudicative proceedings;</w:t>
      </w:r>
    </w:p>
    <w:p w14:paraId="1B80F752" w14:textId="195C0E99" w:rsidR="00231AD6" w:rsidRPr="00AB20E7" w:rsidRDefault="00881FDC" w:rsidP="00231AD6">
      <w:pPr>
        <w:pStyle w:val="lg-1-1-1-1"/>
        <w:shd w:val="clear" w:color="auto" w:fill="FFFFFF"/>
        <w:spacing w:before="120" w:beforeAutospacing="0" w:after="120" w:afterAutospacing="0" w:line="360" w:lineRule="auto"/>
        <w:ind w:left="1008" w:right="1008" w:firstLine="432"/>
        <w:jc w:val="both"/>
        <w:rPr>
          <w:rFonts w:ascii="Arial" w:hAnsi="Arial" w:cs="Arial"/>
          <w:color w:val="000000"/>
        </w:rPr>
      </w:pPr>
      <w:r w:rsidRPr="00AB20E7">
        <w:rPr>
          <w:rFonts w:ascii="Arial" w:hAnsi="Arial" w:cs="Arial"/>
          <w:color w:val="000000"/>
        </w:rPr>
        <w:t>23.2.4</w:t>
      </w:r>
      <w:r w:rsidR="00231AD6" w:rsidRPr="00AB20E7">
        <w:rPr>
          <w:rFonts w:ascii="Arial" w:hAnsi="Arial" w:cs="Arial"/>
          <w:color w:val="000000"/>
        </w:rPr>
        <w:tab/>
      </w:r>
      <w:r w:rsidR="00231AD6" w:rsidRPr="00AB20E7">
        <w:rPr>
          <w:rFonts w:ascii="Arial" w:hAnsi="Arial" w:cs="Arial"/>
          <w:color w:val="000000"/>
        </w:rPr>
        <w:tab/>
      </w:r>
      <w:r w:rsidRPr="00AB20E7">
        <w:rPr>
          <w:rFonts w:ascii="Arial" w:hAnsi="Arial" w:cs="Arial"/>
          <w:color w:val="000000"/>
        </w:rPr>
        <w:t>to argue an applicatio</w:t>
      </w:r>
      <w:r w:rsidR="00231AD6" w:rsidRPr="00AB20E7">
        <w:rPr>
          <w:rFonts w:ascii="Arial" w:hAnsi="Arial" w:cs="Arial"/>
          <w:color w:val="000000"/>
        </w:rPr>
        <w:t>n;</w:t>
      </w:r>
    </w:p>
    <w:p w14:paraId="255C6A78" w14:textId="470B6726" w:rsidR="00881FDC" w:rsidRPr="00AB20E7" w:rsidRDefault="00881FDC" w:rsidP="00231AD6">
      <w:pPr>
        <w:pStyle w:val="lg-1-1-1-1"/>
        <w:shd w:val="clear" w:color="auto" w:fill="FFFFFF"/>
        <w:spacing w:before="120" w:beforeAutospacing="0" w:after="120" w:afterAutospacing="0" w:line="360" w:lineRule="auto"/>
        <w:ind w:left="1008" w:right="1008" w:firstLine="432"/>
        <w:jc w:val="both"/>
        <w:rPr>
          <w:rFonts w:ascii="Arial" w:hAnsi="Arial" w:cs="Arial"/>
          <w:color w:val="000000"/>
        </w:rPr>
      </w:pPr>
      <w:r w:rsidRPr="00AB20E7">
        <w:rPr>
          <w:rFonts w:ascii="Arial" w:hAnsi="Arial" w:cs="Arial"/>
          <w:color w:val="000000"/>
        </w:rPr>
        <w:t>(Editorial Note: Numbering as per original </w:t>
      </w:r>
      <w:r w:rsidRPr="00AB20E7">
        <w:rPr>
          <w:rFonts w:ascii="Arial" w:hAnsi="Arial" w:cs="Arial"/>
          <w:i/>
          <w:iCs/>
          <w:color w:val="000000"/>
        </w:rPr>
        <w:t>Government Gazette</w:t>
      </w:r>
      <w:r w:rsidRPr="00AB20E7">
        <w:rPr>
          <w:rFonts w:ascii="Arial" w:hAnsi="Arial" w:cs="Arial"/>
          <w:color w:val="000000"/>
        </w:rPr>
        <w:t>.)</w:t>
      </w:r>
    </w:p>
    <w:p w14:paraId="2A873FA0" w14:textId="7A9EC6A0" w:rsidR="00881FDC" w:rsidRPr="00AB20E7" w:rsidRDefault="00881FDC" w:rsidP="00231AD6">
      <w:pPr>
        <w:pStyle w:val="lg-1-1-1-1"/>
        <w:shd w:val="clear" w:color="auto" w:fill="FFFFFF"/>
        <w:spacing w:before="120" w:beforeAutospacing="0" w:after="120" w:afterAutospacing="0" w:line="360" w:lineRule="auto"/>
        <w:ind w:left="1008" w:right="1008" w:firstLine="432"/>
        <w:jc w:val="both"/>
        <w:rPr>
          <w:rFonts w:ascii="Arial" w:hAnsi="Arial" w:cs="Arial"/>
          <w:color w:val="000000"/>
        </w:rPr>
      </w:pPr>
      <w:r w:rsidRPr="00AB20E7">
        <w:rPr>
          <w:rFonts w:ascii="Arial" w:hAnsi="Arial" w:cs="Arial"/>
          <w:color w:val="000000"/>
        </w:rPr>
        <w:t>23.2.5</w:t>
      </w:r>
      <w:r w:rsidR="00231AD6" w:rsidRPr="00AB20E7">
        <w:rPr>
          <w:rFonts w:ascii="Arial" w:hAnsi="Arial" w:cs="Arial"/>
          <w:color w:val="000000"/>
        </w:rPr>
        <w:tab/>
      </w:r>
      <w:r w:rsidR="00231AD6" w:rsidRPr="00AB20E7">
        <w:rPr>
          <w:rFonts w:ascii="Arial" w:hAnsi="Arial" w:cs="Arial"/>
          <w:color w:val="000000"/>
        </w:rPr>
        <w:tab/>
      </w:r>
      <w:r w:rsidRPr="00AB20E7">
        <w:rPr>
          <w:rFonts w:ascii="Arial" w:hAnsi="Arial" w:cs="Arial"/>
          <w:color w:val="000000"/>
        </w:rPr>
        <w:t>to argue an appeal;</w:t>
      </w:r>
    </w:p>
    <w:p w14:paraId="2A05DC88" w14:textId="1EDF3A29" w:rsidR="00881FDC" w:rsidRPr="00AB20E7" w:rsidRDefault="00881FDC" w:rsidP="00231AD6">
      <w:pPr>
        <w:pStyle w:val="lg-1-1-1-1"/>
        <w:shd w:val="clear" w:color="auto" w:fill="FFFFFF"/>
        <w:spacing w:before="120" w:beforeAutospacing="0" w:after="120" w:afterAutospacing="0" w:line="360" w:lineRule="auto"/>
        <w:ind w:left="1008" w:right="1008" w:firstLine="432"/>
        <w:jc w:val="both"/>
        <w:rPr>
          <w:rFonts w:ascii="Arial" w:hAnsi="Arial" w:cs="Arial"/>
          <w:color w:val="000000"/>
        </w:rPr>
      </w:pPr>
      <w:r w:rsidRPr="00AB20E7">
        <w:rPr>
          <w:rFonts w:ascii="Arial" w:hAnsi="Arial" w:cs="Arial"/>
          <w:color w:val="000000"/>
        </w:rPr>
        <w:t>23.2.6</w:t>
      </w:r>
      <w:r w:rsidR="00231AD6" w:rsidRPr="00AB20E7">
        <w:rPr>
          <w:rFonts w:ascii="Arial" w:hAnsi="Arial" w:cs="Arial"/>
          <w:color w:val="000000"/>
        </w:rPr>
        <w:tab/>
      </w:r>
      <w:r w:rsidR="00231AD6" w:rsidRPr="00AB20E7">
        <w:rPr>
          <w:rFonts w:ascii="Arial" w:hAnsi="Arial" w:cs="Arial"/>
          <w:color w:val="000000"/>
        </w:rPr>
        <w:tab/>
      </w:r>
      <w:r w:rsidRPr="00AB20E7">
        <w:rPr>
          <w:rFonts w:ascii="Arial" w:hAnsi="Arial" w:cs="Arial"/>
          <w:color w:val="000000"/>
        </w:rPr>
        <w:t>to move an unopposed matter;</w:t>
      </w:r>
    </w:p>
    <w:p w14:paraId="560B25F2" w14:textId="53E42FD9" w:rsidR="00881FDC" w:rsidRPr="00AB20E7" w:rsidRDefault="00881FDC" w:rsidP="00231AD6">
      <w:pPr>
        <w:pStyle w:val="lg-1-1-1-1"/>
        <w:shd w:val="clear" w:color="auto" w:fill="FFFFFF"/>
        <w:spacing w:before="120" w:beforeAutospacing="0" w:after="120" w:afterAutospacing="0" w:line="360" w:lineRule="auto"/>
        <w:ind w:left="2880" w:right="1008" w:hanging="1440"/>
        <w:jc w:val="both"/>
        <w:rPr>
          <w:rFonts w:ascii="Arial" w:hAnsi="Arial" w:cs="Arial"/>
          <w:color w:val="000000"/>
        </w:rPr>
      </w:pPr>
      <w:r w:rsidRPr="00AB20E7">
        <w:rPr>
          <w:rFonts w:ascii="Arial" w:hAnsi="Arial" w:cs="Arial"/>
          <w:color w:val="000000"/>
        </w:rPr>
        <w:t>23.2.7</w:t>
      </w:r>
      <w:r w:rsidR="00231AD6" w:rsidRPr="00AB20E7">
        <w:rPr>
          <w:rFonts w:ascii="Arial" w:hAnsi="Arial" w:cs="Arial"/>
          <w:color w:val="000000"/>
        </w:rPr>
        <w:tab/>
      </w:r>
      <w:r w:rsidRPr="00AB20E7">
        <w:rPr>
          <w:rFonts w:ascii="Arial" w:hAnsi="Arial" w:cs="Arial"/>
          <w:color w:val="000000"/>
        </w:rPr>
        <w:t>to appear in a trial or in an arbitration or in any other decision-making forum;</w:t>
      </w:r>
    </w:p>
    <w:p w14:paraId="295D9F6D" w14:textId="1D5F897E" w:rsidR="00881FDC" w:rsidRPr="00AB20E7" w:rsidRDefault="00881FDC" w:rsidP="00231AD6">
      <w:pPr>
        <w:pStyle w:val="lg-1-1-1-1"/>
        <w:shd w:val="clear" w:color="auto" w:fill="FFFFFF"/>
        <w:spacing w:before="120" w:beforeAutospacing="0" w:after="120" w:afterAutospacing="0" w:line="360" w:lineRule="auto"/>
        <w:ind w:left="1008" w:right="1008" w:firstLine="432"/>
        <w:jc w:val="both"/>
        <w:rPr>
          <w:rFonts w:ascii="Arial" w:hAnsi="Arial" w:cs="Arial"/>
          <w:color w:val="000000"/>
        </w:rPr>
      </w:pPr>
      <w:r w:rsidRPr="00AB20E7">
        <w:rPr>
          <w:rFonts w:ascii="Arial" w:hAnsi="Arial" w:cs="Arial"/>
          <w:color w:val="000000"/>
        </w:rPr>
        <w:t>23.2.8</w:t>
      </w:r>
      <w:r w:rsidR="00231AD6" w:rsidRPr="00AB20E7">
        <w:rPr>
          <w:rFonts w:ascii="Arial" w:hAnsi="Arial" w:cs="Arial"/>
          <w:color w:val="000000"/>
        </w:rPr>
        <w:tab/>
      </w:r>
      <w:r w:rsidR="00231AD6" w:rsidRPr="00AB20E7">
        <w:rPr>
          <w:rFonts w:ascii="Arial" w:hAnsi="Arial" w:cs="Arial"/>
          <w:color w:val="000000"/>
        </w:rPr>
        <w:tab/>
      </w:r>
      <w:r w:rsidRPr="00AB20E7">
        <w:rPr>
          <w:rFonts w:ascii="Arial" w:hAnsi="Arial" w:cs="Arial"/>
          <w:color w:val="000000"/>
        </w:rPr>
        <w:t>to negotiate on behalf of a client;</w:t>
      </w:r>
    </w:p>
    <w:p w14:paraId="019C9B20" w14:textId="3219B6DD" w:rsidR="00881FDC" w:rsidRPr="00AB20E7" w:rsidRDefault="00881FDC" w:rsidP="00231AD6">
      <w:pPr>
        <w:pStyle w:val="lg-1-1-1-1"/>
        <w:shd w:val="clear" w:color="auto" w:fill="FFFFFF"/>
        <w:spacing w:before="120" w:beforeAutospacing="0" w:after="120" w:afterAutospacing="0" w:line="360" w:lineRule="auto"/>
        <w:ind w:left="720" w:right="1008" w:firstLine="720"/>
        <w:jc w:val="both"/>
        <w:rPr>
          <w:rFonts w:ascii="Arial" w:hAnsi="Arial" w:cs="Arial"/>
          <w:color w:val="000000"/>
        </w:rPr>
      </w:pPr>
      <w:r w:rsidRPr="00AB20E7">
        <w:rPr>
          <w:rFonts w:ascii="Arial" w:hAnsi="Arial" w:cs="Arial"/>
          <w:color w:val="000000"/>
        </w:rPr>
        <w:t>23.2.9</w:t>
      </w:r>
      <w:r w:rsidR="00231AD6" w:rsidRPr="00AB20E7">
        <w:rPr>
          <w:rFonts w:ascii="Arial" w:hAnsi="Arial" w:cs="Arial"/>
          <w:color w:val="000000"/>
        </w:rPr>
        <w:tab/>
      </w:r>
      <w:r w:rsidR="00231AD6" w:rsidRPr="00AB20E7">
        <w:rPr>
          <w:rFonts w:ascii="Arial" w:hAnsi="Arial" w:cs="Arial"/>
          <w:color w:val="000000"/>
        </w:rPr>
        <w:tab/>
      </w:r>
      <w:r w:rsidRPr="00AB20E7">
        <w:rPr>
          <w:rFonts w:ascii="Arial" w:hAnsi="Arial" w:cs="Arial"/>
          <w:color w:val="000000"/>
        </w:rPr>
        <w:t>to settle a matter, whether on trial or otherwise;</w:t>
      </w:r>
    </w:p>
    <w:p w14:paraId="100F541B" w14:textId="6B3934C3" w:rsidR="00881FDC" w:rsidRPr="00AB20E7" w:rsidRDefault="00881FDC" w:rsidP="00231AD6">
      <w:pPr>
        <w:pStyle w:val="lg-1-1-1-1"/>
        <w:shd w:val="clear" w:color="auto" w:fill="FFFFFF"/>
        <w:spacing w:before="120" w:beforeAutospacing="0" w:after="120" w:afterAutospacing="0" w:line="360" w:lineRule="auto"/>
        <w:ind w:left="1008" w:right="1008" w:firstLine="432"/>
        <w:jc w:val="both"/>
        <w:rPr>
          <w:rFonts w:ascii="Arial" w:hAnsi="Arial" w:cs="Arial"/>
          <w:color w:val="000000"/>
        </w:rPr>
      </w:pPr>
      <w:r w:rsidRPr="00AB20E7">
        <w:rPr>
          <w:rFonts w:ascii="Arial" w:hAnsi="Arial" w:cs="Arial"/>
          <w:color w:val="000000"/>
        </w:rPr>
        <w:t>23.2.10</w:t>
      </w:r>
      <w:r w:rsidR="00231AD6" w:rsidRPr="00AB20E7">
        <w:rPr>
          <w:rFonts w:ascii="Arial" w:hAnsi="Arial" w:cs="Arial"/>
          <w:color w:val="000000"/>
        </w:rPr>
        <w:tab/>
      </w:r>
      <w:r w:rsidRPr="00AB20E7">
        <w:rPr>
          <w:rFonts w:ascii="Arial" w:hAnsi="Arial" w:cs="Arial"/>
          <w:color w:val="000000"/>
        </w:rPr>
        <w:t>to argue a matter on taxation before a taxing master;</w:t>
      </w:r>
    </w:p>
    <w:p w14:paraId="0618533F" w14:textId="461D31F3" w:rsidR="00881FDC" w:rsidRPr="00AB20E7" w:rsidRDefault="00881FDC" w:rsidP="00231AD6">
      <w:pPr>
        <w:pStyle w:val="lg-1-1-1-1"/>
        <w:shd w:val="clear" w:color="auto" w:fill="FFFFFF"/>
        <w:spacing w:before="120" w:beforeAutospacing="0" w:after="120" w:afterAutospacing="0" w:line="360" w:lineRule="auto"/>
        <w:ind w:left="2880" w:right="1008" w:hanging="1440"/>
        <w:jc w:val="both"/>
        <w:rPr>
          <w:rFonts w:ascii="Arial" w:hAnsi="Arial" w:cs="Arial"/>
          <w:color w:val="000000"/>
        </w:rPr>
      </w:pPr>
      <w:r w:rsidRPr="00AB20E7">
        <w:rPr>
          <w:rFonts w:ascii="Arial" w:hAnsi="Arial" w:cs="Arial"/>
          <w:color w:val="000000"/>
        </w:rPr>
        <w:t>23.2.11</w:t>
      </w:r>
      <w:r w:rsidR="00231AD6" w:rsidRPr="00AB20E7">
        <w:rPr>
          <w:rFonts w:ascii="Arial" w:hAnsi="Arial" w:cs="Arial"/>
          <w:color w:val="000000"/>
        </w:rPr>
        <w:tab/>
      </w:r>
      <w:r w:rsidRPr="00AB20E7">
        <w:rPr>
          <w:rFonts w:ascii="Arial" w:hAnsi="Arial" w:cs="Arial"/>
          <w:color w:val="000000"/>
        </w:rPr>
        <w:t>to make representations to the National Prosecution Authority about whether or not to charge a person with a criminal offence;</w:t>
      </w:r>
    </w:p>
    <w:p w14:paraId="6722FD5A" w14:textId="061D572A" w:rsidR="00881FDC" w:rsidRPr="00AB20E7" w:rsidRDefault="00881FDC" w:rsidP="00231AD6">
      <w:pPr>
        <w:pStyle w:val="lg-1-1-1-1"/>
        <w:shd w:val="clear" w:color="auto" w:fill="FFFFFF"/>
        <w:spacing w:before="120" w:beforeAutospacing="0" w:after="120" w:afterAutospacing="0" w:line="360" w:lineRule="auto"/>
        <w:ind w:left="2880" w:right="1008" w:hanging="1440"/>
        <w:jc w:val="both"/>
        <w:rPr>
          <w:rFonts w:ascii="Arial" w:hAnsi="Arial" w:cs="Arial"/>
          <w:color w:val="000000"/>
        </w:rPr>
      </w:pPr>
      <w:r w:rsidRPr="00AB20E7">
        <w:rPr>
          <w:rFonts w:ascii="Arial" w:hAnsi="Arial" w:cs="Arial"/>
          <w:color w:val="000000"/>
        </w:rPr>
        <w:t>23.2.12</w:t>
      </w:r>
      <w:r w:rsidR="00231AD6" w:rsidRPr="00AB20E7">
        <w:rPr>
          <w:rFonts w:ascii="Arial" w:hAnsi="Arial" w:cs="Arial"/>
          <w:color w:val="000000"/>
        </w:rPr>
        <w:tab/>
      </w:r>
      <w:r w:rsidRPr="00AB20E7">
        <w:rPr>
          <w:rFonts w:ascii="Arial" w:hAnsi="Arial" w:cs="Arial"/>
          <w:color w:val="000000"/>
        </w:rPr>
        <w:t>to undertake a criminal prosecution on behalf of the State or on behalf of, or as, a private prosecutor;</w:t>
      </w:r>
    </w:p>
    <w:p w14:paraId="7119A106" w14:textId="228A3CDA" w:rsidR="00881FDC" w:rsidRPr="00AB20E7" w:rsidRDefault="00881FDC" w:rsidP="00231AD6">
      <w:pPr>
        <w:pStyle w:val="lg-1-1-1-1"/>
        <w:shd w:val="clear" w:color="auto" w:fill="FFFFFF"/>
        <w:spacing w:before="120" w:beforeAutospacing="0" w:after="120" w:afterAutospacing="0" w:line="360" w:lineRule="auto"/>
        <w:ind w:left="2880" w:right="1008" w:hanging="1440"/>
        <w:jc w:val="both"/>
        <w:rPr>
          <w:rFonts w:ascii="Arial" w:hAnsi="Arial" w:cs="Arial"/>
          <w:color w:val="000000"/>
        </w:rPr>
      </w:pPr>
      <w:r w:rsidRPr="00AB20E7">
        <w:rPr>
          <w:rFonts w:ascii="Arial" w:hAnsi="Arial" w:cs="Arial"/>
          <w:color w:val="000000"/>
        </w:rPr>
        <w:t>23.2.13</w:t>
      </w:r>
      <w:r w:rsidR="00231AD6" w:rsidRPr="00AB20E7">
        <w:rPr>
          <w:rFonts w:ascii="Arial" w:hAnsi="Arial" w:cs="Arial"/>
          <w:color w:val="000000"/>
        </w:rPr>
        <w:tab/>
      </w:r>
      <w:r w:rsidRPr="00AB20E7">
        <w:rPr>
          <w:rFonts w:ascii="Arial" w:hAnsi="Arial" w:cs="Arial"/>
          <w:color w:val="000000"/>
        </w:rPr>
        <w:t>to preside as an arbitrator, or as the chair of a disciplinary enquiry, or as presiding officer in any other adversarial proceedings, or to conduct any inquisitorial proceedings;</w:t>
      </w:r>
    </w:p>
    <w:p w14:paraId="52C4EC56" w14:textId="09BDA27D" w:rsidR="00881FDC" w:rsidRPr="00AB20E7" w:rsidRDefault="00881FDC" w:rsidP="00231AD6">
      <w:pPr>
        <w:pStyle w:val="lg-1-1-1-1"/>
        <w:shd w:val="clear" w:color="auto" w:fill="FFFFFF"/>
        <w:spacing w:before="120" w:beforeAutospacing="0" w:after="120" w:afterAutospacing="0" w:line="360" w:lineRule="auto"/>
        <w:ind w:left="720" w:right="1008" w:firstLine="720"/>
        <w:jc w:val="both"/>
        <w:rPr>
          <w:rFonts w:ascii="Arial" w:hAnsi="Arial" w:cs="Arial"/>
          <w:color w:val="000000"/>
        </w:rPr>
      </w:pPr>
      <w:r w:rsidRPr="00AB20E7">
        <w:rPr>
          <w:rFonts w:ascii="Arial" w:hAnsi="Arial" w:cs="Arial"/>
          <w:color w:val="000000"/>
        </w:rPr>
        <w:t>23.2.14</w:t>
      </w:r>
      <w:r w:rsidR="00231AD6" w:rsidRPr="00AB20E7">
        <w:rPr>
          <w:rFonts w:ascii="Arial" w:hAnsi="Arial" w:cs="Arial"/>
          <w:color w:val="000000"/>
        </w:rPr>
        <w:tab/>
      </w:r>
      <w:r w:rsidRPr="00AB20E7">
        <w:rPr>
          <w:rFonts w:ascii="Arial" w:hAnsi="Arial" w:cs="Arial"/>
          <w:color w:val="000000"/>
        </w:rPr>
        <w:t>to act as an expert or as a referee;</w:t>
      </w:r>
    </w:p>
    <w:p w14:paraId="3A5C14C4" w14:textId="244C52AC" w:rsidR="00881FDC" w:rsidRPr="00AB20E7" w:rsidRDefault="00881FDC" w:rsidP="00231AD6">
      <w:pPr>
        <w:pStyle w:val="lg-1-1-1-1"/>
        <w:shd w:val="clear" w:color="auto" w:fill="FFFFFF"/>
        <w:spacing w:before="120" w:beforeAutospacing="0" w:after="120" w:afterAutospacing="0" w:line="360" w:lineRule="auto"/>
        <w:ind w:left="1008" w:right="1008" w:firstLine="432"/>
        <w:jc w:val="both"/>
        <w:rPr>
          <w:rFonts w:ascii="Arial" w:hAnsi="Arial" w:cs="Arial"/>
          <w:color w:val="000000"/>
        </w:rPr>
      </w:pPr>
      <w:r w:rsidRPr="00AB20E7">
        <w:rPr>
          <w:rFonts w:ascii="Arial" w:hAnsi="Arial" w:cs="Arial"/>
          <w:color w:val="000000"/>
        </w:rPr>
        <w:t>23.2.15</w:t>
      </w:r>
      <w:r w:rsidR="00231AD6" w:rsidRPr="00AB20E7">
        <w:rPr>
          <w:rFonts w:ascii="Arial" w:hAnsi="Arial" w:cs="Arial"/>
          <w:color w:val="000000"/>
        </w:rPr>
        <w:tab/>
      </w:r>
      <w:r w:rsidRPr="00AB20E7">
        <w:rPr>
          <w:rFonts w:ascii="Arial" w:hAnsi="Arial" w:cs="Arial"/>
          <w:color w:val="000000"/>
        </w:rPr>
        <w:t>to act as a mediator, facilitator or adjudicator;</w:t>
      </w:r>
    </w:p>
    <w:p w14:paraId="73AF05E9" w14:textId="38110FF7" w:rsidR="00881FDC" w:rsidRPr="00AB20E7" w:rsidRDefault="00881FDC" w:rsidP="00231AD6">
      <w:pPr>
        <w:pStyle w:val="lg-1-1-1-1"/>
        <w:shd w:val="clear" w:color="auto" w:fill="FFFFFF"/>
        <w:spacing w:before="120" w:beforeAutospacing="0" w:after="120" w:afterAutospacing="0" w:line="360" w:lineRule="auto"/>
        <w:ind w:left="2880" w:right="1008" w:hanging="1440"/>
        <w:jc w:val="both"/>
        <w:rPr>
          <w:rFonts w:ascii="Arial" w:hAnsi="Arial" w:cs="Arial"/>
          <w:color w:val="000000"/>
        </w:rPr>
      </w:pPr>
      <w:r w:rsidRPr="00AB20E7">
        <w:rPr>
          <w:rFonts w:ascii="Arial" w:hAnsi="Arial" w:cs="Arial"/>
          <w:color w:val="000000"/>
        </w:rPr>
        <w:t>23.2.16</w:t>
      </w:r>
      <w:r w:rsidR="00231AD6" w:rsidRPr="00AB20E7">
        <w:rPr>
          <w:rFonts w:ascii="Arial" w:hAnsi="Arial" w:cs="Arial"/>
          <w:color w:val="000000"/>
        </w:rPr>
        <w:tab/>
      </w:r>
      <w:r w:rsidRPr="00AB20E7">
        <w:rPr>
          <w:rFonts w:ascii="Arial" w:hAnsi="Arial" w:cs="Arial"/>
          <w:color w:val="000000"/>
        </w:rPr>
        <w:t>to conduct an investigation and furnish a report with recommendations as to facts found and to make recommendations as to future action;</w:t>
      </w:r>
    </w:p>
    <w:p w14:paraId="5E05CA3C" w14:textId="5401442A" w:rsidR="00881FDC" w:rsidRPr="00AB20E7" w:rsidRDefault="00881FDC" w:rsidP="00231AD6">
      <w:pPr>
        <w:pStyle w:val="lg-1-1-1-1"/>
        <w:shd w:val="clear" w:color="auto" w:fill="FFFFFF"/>
        <w:spacing w:before="120" w:beforeAutospacing="0" w:after="120" w:afterAutospacing="0" w:line="360" w:lineRule="auto"/>
        <w:ind w:left="1008" w:right="1008" w:firstLine="432"/>
        <w:jc w:val="both"/>
        <w:rPr>
          <w:rFonts w:ascii="Arial" w:hAnsi="Arial" w:cs="Arial"/>
          <w:color w:val="000000"/>
        </w:rPr>
      </w:pPr>
      <w:r w:rsidRPr="00AB20E7">
        <w:rPr>
          <w:rFonts w:ascii="Arial" w:hAnsi="Arial" w:cs="Arial"/>
          <w:color w:val="000000"/>
        </w:rPr>
        <w:t>23.2.17</w:t>
      </w:r>
      <w:r w:rsidR="00231AD6" w:rsidRPr="00AB20E7">
        <w:rPr>
          <w:rFonts w:ascii="Arial" w:hAnsi="Arial" w:cs="Arial"/>
          <w:color w:val="000000"/>
        </w:rPr>
        <w:tab/>
      </w:r>
      <w:r w:rsidRPr="00AB20E7">
        <w:rPr>
          <w:rFonts w:ascii="Arial" w:hAnsi="Arial" w:cs="Arial"/>
          <w:color w:val="000000"/>
        </w:rPr>
        <w:t>to act as a curator </w:t>
      </w:r>
      <w:r w:rsidRPr="00AB20E7">
        <w:rPr>
          <w:rFonts w:ascii="Arial" w:hAnsi="Arial" w:cs="Arial"/>
          <w:i/>
          <w:iCs/>
          <w:color w:val="000000"/>
        </w:rPr>
        <w:t>ad litem</w:t>
      </w:r>
      <w:r w:rsidRPr="00AB20E7">
        <w:rPr>
          <w:rFonts w:ascii="Arial" w:hAnsi="Arial" w:cs="Arial"/>
          <w:color w:val="000000"/>
        </w:rPr>
        <w:t>;</w:t>
      </w:r>
    </w:p>
    <w:p w14:paraId="7EE2916D" w14:textId="09F571A4" w:rsidR="00881FDC" w:rsidRPr="00AB20E7" w:rsidRDefault="00881FDC" w:rsidP="00231AD6">
      <w:pPr>
        <w:pStyle w:val="lg-1-1-1-1"/>
        <w:shd w:val="clear" w:color="auto" w:fill="FFFFFF"/>
        <w:spacing w:before="120" w:beforeAutospacing="0" w:after="120" w:afterAutospacing="0" w:line="360" w:lineRule="auto"/>
        <w:ind w:left="2880" w:right="1008" w:hanging="1440"/>
        <w:jc w:val="both"/>
        <w:rPr>
          <w:rFonts w:ascii="Arial" w:hAnsi="Arial" w:cs="Arial"/>
          <w:color w:val="000000"/>
        </w:rPr>
      </w:pPr>
      <w:r w:rsidRPr="00AB20E7">
        <w:rPr>
          <w:rFonts w:ascii="Arial" w:hAnsi="Arial" w:cs="Arial"/>
          <w:color w:val="000000"/>
        </w:rPr>
        <w:t>23.2.18</w:t>
      </w:r>
      <w:r w:rsidR="00231AD6" w:rsidRPr="00AB20E7">
        <w:rPr>
          <w:rFonts w:ascii="Arial" w:hAnsi="Arial" w:cs="Arial"/>
          <w:color w:val="000000"/>
        </w:rPr>
        <w:tab/>
      </w:r>
      <w:r w:rsidRPr="00AB20E7">
        <w:rPr>
          <w:rFonts w:ascii="Arial" w:hAnsi="Arial" w:cs="Arial"/>
          <w:color w:val="000000"/>
        </w:rPr>
        <w:t>to make representations to a statutory or voluntary body or any state official;</w:t>
      </w:r>
    </w:p>
    <w:p w14:paraId="6314A7A2" w14:textId="33716E1E" w:rsidR="00881FDC" w:rsidRPr="00AB20E7" w:rsidRDefault="00881FDC" w:rsidP="00231AD6">
      <w:pPr>
        <w:pStyle w:val="lg-1-1-1-1"/>
        <w:shd w:val="clear" w:color="auto" w:fill="FFFFFF"/>
        <w:spacing w:before="120" w:beforeAutospacing="0" w:after="120" w:afterAutospacing="0" w:line="360" w:lineRule="auto"/>
        <w:ind w:left="1008" w:right="1008" w:firstLine="432"/>
        <w:jc w:val="both"/>
        <w:rPr>
          <w:rFonts w:ascii="Arial" w:hAnsi="Arial" w:cs="Arial"/>
          <w:color w:val="000000"/>
        </w:rPr>
      </w:pPr>
      <w:r w:rsidRPr="00AB20E7">
        <w:rPr>
          <w:rFonts w:ascii="Arial" w:hAnsi="Arial" w:cs="Arial"/>
          <w:color w:val="000000"/>
        </w:rPr>
        <w:lastRenderedPageBreak/>
        <w:t>23.2.19</w:t>
      </w:r>
      <w:r w:rsidR="00231AD6" w:rsidRPr="00AB20E7">
        <w:rPr>
          <w:rFonts w:ascii="Arial" w:hAnsi="Arial" w:cs="Arial"/>
          <w:color w:val="000000"/>
        </w:rPr>
        <w:tab/>
      </w:r>
      <w:r w:rsidRPr="00AB20E7">
        <w:rPr>
          <w:rFonts w:ascii="Arial" w:hAnsi="Arial" w:cs="Arial"/>
          <w:color w:val="000000"/>
        </w:rPr>
        <w:t>to act as a commissioner in any enquiry.</w:t>
      </w:r>
    </w:p>
    <w:p w14:paraId="2301FC22" w14:textId="7F2D7CA8" w:rsidR="00881FDC" w:rsidRPr="00AB20E7" w:rsidRDefault="00881FDC" w:rsidP="00231AD6">
      <w:pPr>
        <w:pStyle w:val="lg-1-1-1"/>
        <w:shd w:val="clear" w:color="auto" w:fill="FFFFFF"/>
        <w:spacing w:before="120" w:beforeAutospacing="0" w:after="120" w:afterAutospacing="0" w:line="360" w:lineRule="auto"/>
        <w:ind w:left="2160" w:right="1008" w:hanging="1152"/>
        <w:jc w:val="both"/>
        <w:rPr>
          <w:rFonts w:ascii="Arial" w:hAnsi="Arial" w:cs="Arial"/>
          <w:color w:val="000000"/>
        </w:rPr>
      </w:pPr>
      <w:r w:rsidRPr="00AB20E7">
        <w:rPr>
          <w:rFonts w:ascii="Arial" w:hAnsi="Arial" w:cs="Arial"/>
          <w:color w:val="000000"/>
        </w:rPr>
        <w:t>23.3</w:t>
      </w:r>
      <w:r w:rsidR="00231AD6" w:rsidRPr="00AB20E7">
        <w:rPr>
          <w:rFonts w:ascii="Arial" w:hAnsi="Arial" w:cs="Arial"/>
          <w:color w:val="000000"/>
        </w:rPr>
        <w:tab/>
      </w:r>
      <w:r w:rsidRPr="00AB20E7">
        <w:rPr>
          <w:rFonts w:ascii="Arial" w:hAnsi="Arial" w:cs="Arial"/>
          <w:color w:val="000000"/>
        </w:rPr>
        <w:t>Counsel shall comply with these rules of conduct and the rules of conduct applicable to prosecutors issued by the National Prosecution Authority whenever briefed on behalf of the State to conduct a prosecution, and in the event that any conflict might arise between the sets of rules, these rules of conduct shall prevail.</w:t>
      </w:r>
      <w:r w:rsidR="00231AD6" w:rsidRPr="00AB20E7">
        <w:rPr>
          <w:rFonts w:ascii="Arial" w:hAnsi="Arial" w:cs="Arial"/>
          <w:color w:val="000000"/>
        </w:rPr>
        <w:t>’</w:t>
      </w:r>
    </w:p>
    <w:p w14:paraId="3C844CBF" w14:textId="42AD1EDF" w:rsidR="00881FDC" w:rsidRPr="00AB20E7" w:rsidRDefault="00881FDC" w:rsidP="00881FDC">
      <w:pPr>
        <w:pStyle w:val="ListParagraph"/>
        <w:tabs>
          <w:tab w:val="left" w:pos="4917"/>
        </w:tabs>
        <w:spacing w:before="120" w:after="120" w:line="360" w:lineRule="auto"/>
        <w:jc w:val="both"/>
        <w:rPr>
          <w:rFonts w:ascii="Arial" w:hAnsi="Arial" w:cs="Arial"/>
          <w:sz w:val="24"/>
          <w:szCs w:val="24"/>
        </w:rPr>
      </w:pPr>
    </w:p>
    <w:p w14:paraId="72D513C4" w14:textId="3C9F1EE4" w:rsidR="0011748A" w:rsidRPr="00442EC6" w:rsidRDefault="00442EC6" w:rsidP="00442EC6">
      <w:pPr>
        <w:tabs>
          <w:tab w:val="left" w:pos="4917"/>
        </w:tabs>
        <w:spacing w:before="120" w:after="120" w:line="360" w:lineRule="auto"/>
        <w:ind w:left="720" w:hanging="720"/>
        <w:jc w:val="both"/>
        <w:rPr>
          <w:rFonts w:ascii="Arial" w:hAnsi="Arial" w:cs="Arial"/>
          <w:sz w:val="24"/>
          <w:szCs w:val="24"/>
        </w:rPr>
      </w:pPr>
      <w:r w:rsidRPr="00AB20E7">
        <w:rPr>
          <w:rFonts w:ascii="Arial" w:hAnsi="Arial" w:cs="Arial"/>
          <w:sz w:val="24"/>
          <w:szCs w:val="24"/>
        </w:rPr>
        <w:t>[28]</w:t>
      </w:r>
      <w:r w:rsidRPr="00AB20E7">
        <w:rPr>
          <w:rFonts w:ascii="Arial" w:hAnsi="Arial" w:cs="Arial"/>
          <w:sz w:val="24"/>
          <w:szCs w:val="24"/>
        </w:rPr>
        <w:tab/>
      </w:r>
      <w:r w:rsidR="00231AD6" w:rsidRPr="00442EC6">
        <w:rPr>
          <w:rFonts w:ascii="Arial" w:hAnsi="Arial" w:cs="Arial"/>
          <w:sz w:val="24"/>
          <w:szCs w:val="24"/>
        </w:rPr>
        <w:t xml:space="preserve">As far as the nature of work undertaken by trust account advocates </w:t>
      </w:r>
      <w:r w:rsidR="0041690A" w:rsidRPr="00442EC6">
        <w:rPr>
          <w:rFonts w:ascii="Arial" w:hAnsi="Arial" w:cs="Arial"/>
          <w:sz w:val="24"/>
          <w:szCs w:val="24"/>
        </w:rPr>
        <w:t>is</w:t>
      </w:r>
      <w:r w:rsidR="00231AD6" w:rsidRPr="00442EC6">
        <w:rPr>
          <w:rFonts w:ascii="Arial" w:hAnsi="Arial" w:cs="Arial"/>
          <w:sz w:val="24"/>
          <w:szCs w:val="24"/>
        </w:rPr>
        <w:t xml:space="preserve"> concerned, it is stated in the code that the provisions of paragraph 23 of the code apply, with the necessary changes required by the context, to trust account advocates.</w:t>
      </w:r>
      <w:r w:rsidR="00C375E3" w:rsidRPr="00AB20E7">
        <w:rPr>
          <w:rStyle w:val="FootnoteReference"/>
          <w:rFonts w:ascii="Arial" w:hAnsi="Arial" w:cs="Arial"/>
          <w:sz w:val="24"/>
          <w:szCs w:val="24"/>
        </w:rPr>
        <w:footnoteReference w:id="18"/>
      </w:r>
      <w:r w:rsidR="001B00BC" w:rsidRPr="00442EC6">
        <w:rPr>
          <w:rFonts w:ascii="Arial" w:hAnsi="Arial" w:cs="Arial"/>
          <w:sz w:val="24"/>
          <w:szCs w:val="24"/>
        </w:rPr>
        <w:t xml:space="preserve"> The nature of </w:t>
      </w:r>
      <w:r w:rsidR="007D28C6" w:rsidRPr="00442EC6">
        <w:rPr>
          <w:rFonts w:ascii="Arial" w:hAnsi="Arial" w:cs="Arial"/>
          <w:sz w:val="24"/>
          <w:szCs w:val="24"/>
        </w:rPr>
        <w:t xml:space="preserve">an advocate’s </w:t>
      </w:r>
      <w:r w:rsidR="001B00BC" w:rsidRPr="00442EC6">
        <w:rPr>
          <w:rFonts w:ascii="Arial" w:hAnsi="Arial" w:cs="Arial"/>
          <w:sz w:val="24"/>
          <w:szCs w:val="24"/>
        </w:rPr>
        <w:t xml:space="preserve">work is also described as the </w:t>
      </w:r>
      <w:r w:rsidR="007D28C6" w:rsidRPr="00442EC6">
        <w:rPr>
          <w:rFonts w:ascii="Arial" w:hAnsi="Arial" w:cs="Arial"/>
          <w:sz w:val="24"/>
          <w:szCs w:val="24"/>
        </w:rPr>
        <w:t>performing</w:t>
      </w:r>
      <w:r w:rsidR="001B00BC" w:rsidRPr="00442EC6">
        <w:rPr>
          <w:rFonts w:ascii="Arial" w:hAnsi="Arial" w:cs="Arial"/>
          <w:sz w:val="24"/>
          <w:szCs w:val="24"/>
        </w:rPr>
        <w:t xml:space="preserve"> of ‘legal professional services in court-craft and knowledge of the law.’</w:t>
      </w:r>
      <w:r w:rsidR="001B00BC" w:rsidRPr="00AB20E7">
        <w:rPr>
          <w:rStyle w:val="FootnoteReference"/>
          <w:rFonts w:ascii="Arial" w:hAnsi="Arial" w:cs="Arial"/>
          <w:sz w:val="24"/>
          <w:szCs w:val="24"/>
        </w:rPr>
        <w:footnoteReference w:id="19"/>
      </w:r>
    </w:p>
    <w:p w14:paraId="2A865119" w14:textId="77777777" w:rsidR="0011748A" w:rsidRPr="00AB20E7" w:rsidRDefault="0011748A" w:rsidP="0011748A">
      <w:pPr>
        <w:pStyle w:val="ListParagraph"/>
        <w:rPr>
          <w:rFonts w:ascii="Arial" w:hAnsi="Arial" w:cs="Arial"/>
          <w:sz w:val="24"/>
          <w:szCs w:val="24"/>
        </w:rPr>
      </w:pPr>
    </w:p>
    <w:p w14:paraId="4259E74D" w14:textId="6ADCBFE1" w:rsidR="0011748A" w:rsidRPr="00442EC6" w:rsidRDefault="00442EC6" w:rsidP="00442EC6">
      <w:pPr>
        <w:tabs>
          <w:tab w:val="left" w:pos="4917"/>
        </w:tabs>
        <w:spacing w:before="120" w:after="120" w:line="360" w:lineRule="auto"/>
        <w:ind w:left="720" w:hanging="720"/>
        <w:jc w:val="both"/>
        <w:rPr>
          <w:rFonts w:ascii="Arial" w:hAnsi="Arial" w:cs="Arial"/>
          <w:sz w:val="24"/>
          <w:szCs w:val="24"/>
        </w:rPr>
      </w:pPr>
      <w:r w:rsidRPr="00AB20E7">
        <w:rPr>
          <w:rFonts w:ascii="Arial" w:hAnsi="Arial" w:cs="Arial"/>
          <w:sz w:val="24"/>
          <w:szCs w:val="24"/>
        </w:rPr>
        <w:t>[29]</w:t>
      </w:r>
      <w:r w:rsidRPr="00AB20E7">
        <w:rPr>
          <w:rFonts w:ascii="Arial" w:hAnsi="Arial" w:cs="Arial"/>
          <w:sz w:val="24"/>
          <w:szCs w:val="24"/>
        </w:rPr>
        <w:tab/>
      </w:r>
      <w:r w:rsidR="00DD5F91" w:rsidRPr="00442EC6">
        <w:rPr>
          <w:rFonts w:ascii="Arial" w:hAnsi="Arial" w:cs="Arial"/>
          <w:sz w:val="24"/>
          <w:szCs w:val="24"/>
        </w:rPr>
        <w:t>How does the context within which a trust account advocate practices impact on the scope of legal services that may be rendered by such an advocate? The obvious consequence of creating a category of advocates that may be approached directly by the public is that a client may, instead of approaching an attorney for services that may be rendere</w:t>
      </w:r>
      <w:r w:rsidR="00567837" w:rsidRPr="00442EC6">
        <w:rPr>
          <w:rFonts w:ascii="Arial" w:hAnsi="Arial" w:cs="Arial"/>
          <w:sz w:val="24"/>
          <w:szCs w:val="24"/>
        </w:rPr>
        <w:t xml:space="preserve">d by an advocate, directly </w:t>
      </w:r>
      <w:r w:rsidR="00DD5F91" w:rsidRPr="00442EC6">
        <w:rPr>
          <w:rFonts w:ascii="Arial" w:hAnsi="Arial" w:cs="Arial"/>
          <w:sz w:val="24"/>
          <w:szCs w:val="24"/>
        </w:rPr>
        <w:t>make use of the services of trust account advo</w:t>
      </w:r>
      <w:r w:rsidR="00CB7D85" w:rsidRPr="00442EC6">
        <w:rPr>
          <w:rFonts w:ascii="Arial" w:hAnsi="Arial" w:cs="Arial"/>
          <w:sz w:val="24"/>
          <w:szCs w:val="24"/>
        </w:rPr>
        <w:t>cates. A</w:t>
      </w:r>
      <w:r w:rsidR="00DD5F91" w:rsidRPr="00442EC6">
        <w:rPr>
          <w:rFonts w:ascii="Arial" w:hAnsi="Arial" w:cs="Arial"/>
          <w:sz w:val="24"/>
          <w:szCs w:val="24"/>
        </w:rPr>
        <w:t xml:space="preserve"> tr</w:t>
      </w:r>
      <w:r w:rsidR="00567837" w:rsidRPr="00442EC6">
        <w:rPr>
          <w:rFonts w:ascii="Arial" w:hAnsi="Arial" w:cs="Arial"/>
          <w:sz w:val="24"/>
          <w:szCs w:val="24"/>
        </w:rPr>
        <w:t>ust account advocate may be approached</w:t>
      </w:r>
      <w:r w:rsidR="00CB7D85" w:rsidRPr="00442EC6">
        <w:rPr>
          <w:rFonts w:ascii="Arial" w:hAnsi="Arial" w:cs="Arial"/>
          <w:sz w:val="24"/>
          <w:szCs w:val="24"/>
        </w:rPr>
        <w:t xml:space="preserve"> directly, for example, to provide</w:t>
      </w:r>
      <w:r w:rsidR="00DD5F91" w:rsidRPr="00442EC6">
        <w:rPr>
          <w:rFonts w:ascii="Arial" w:hAnsi="Arial" w:cs="Arial"/>
          <w:sz w:val="24"/>
          <w:szCs w:val="24"/>
        </w:rPr>
        <w:t xml:space="preserve"> a legal opinion in the area of law on which a trust account advocate is knowledgeable.  Where a legal opinion is, for example, sought on the termination of a contract, a client </w:t>
      </w:r>
      <w:r w:rsidR="00567837" w:rsidRPr="00442EC6">
        <w:rPr>
          <w:rFonts w:ascii="Arial" w:hAnsi="Arial" w:cs="Arial"/>
          <w:sz w:val="24"/>
          <w:szCs w:val="24"/>
        </w:rPr>
        <w:t>who</w:t>
      </w:r>
      <w:r w:rsidR="00DD5F91" w:rsidRPr="00442EC6">
        <w:rPr>
          <w:rFonts w:ascii="Arial" w:hAnsi="Arial" w:cs="Arial"/>
          <w:sz w:val="24"/>
          <w:szCs w:val="24"/>
        </w:rPr>
        <w:t xml:space="preserve"> would ordinarily have appointed an attorney who would in turn</w:t>
      </w:r>
      <w:r w:rsidR="00567837" w:rsidRPr="00442EC6">
        <w:rPr>
          <w:rFonts w:ascii="Arial" w:hAnsi="Arial" w:cs="Arial"/>
          <w:sz w:val="24"/>
          <w:szCs w:val="24"/>
        </w:rPr>
        <w:t>,</w:t>
      </w:r>
      <w:r w:rsidR="00DD5F91" w:rsidRPr="00442EC6">
        <w:rPr>
          <w:rFonts w:ascii="Arial" w:hAnsi="Arial" w:cs="Arial"/>
          <w:sz w:val="24"/>
          <w:szCs w:val="24"/>
        </w:rPr>
        <w:t xml:space="preserve"> have appointed an advocate, </w:t>
      </w:r>
      <w:r w:rsidR="0041690A" w:rsidRPr="00442EC6">
        <w:rPr>
          <w:rFonts w:ascii="Arial" w:hAnsi="Arial" w:cs="Arial"/>
          <w:sz w:val="24"/>
          <w:szCs w:val="24"/>
        </w:rPr>
        <w:t xml:space="preserve">can now approach </w:t>
      </w:r>
      <w:r w:rsidR="00DD5F91" w:rsidRPr="00442EC6">
        <w:rPr>
          <w:rFonts w:ascii="Arial" w:hAnsi="Arial" w:cs="Arial"/>
          <w:sz w:val="24"/>
          <w:szCs w:val="24"/>
        </w:rPr>
        <w:t>a trust ac</w:t>
      </w:r>
      <w:r w:rsidR="0041690A" w:rsidRPr="00442EC6">
        <w:rPr>
          <w:rFonts w:ascii="Arial" w:hAnsi="Arial" w:cs="Arial"/>
          <w:sz w:val="24"/>
          <w:szCs w:val="24"/>
        </w:rPr>
        <w:t>count advocate</w:t>
      </w:r>
      <w:r w:rsidR="00DD5F91" w:rsidRPr="00442EC6">
        <w:rPr>
          <w:rFonts w:ascii="Arial" w:hAnsi="Arial" w:cs="Arial"/>
          <w:sz w:val="24"/>
          <w:szCs w:val="24"/>
        </w:rPr>
        <w:t xml:space="preserve"> directly. This will result</w:t>
      </w:r>
      <w:r w:rsidR="007F6FB5" w:rsidRPr="00442EC6">
        <w:rPr>
          <w:rFonts w:ascii="Arial" w:hAnsi="Arial" w:cs="Arial"/>
          <w:sz w:val="24"/>
          <w:szCs w:val="24"/>
        </w:rPr>
        <w:t xml:space="preserve"> in the capping of legal fees</w:t>
      </w:r>
      <w:r w:rsidR="0041690A" w:rsidRPr="00442EC6">
        <w:rPr>
          <w:rFonts w:ascii="Arial" w:hAnsi="Arial" w:cs="Arial"/>
          <w:sz w:val="24"/>
          <w:szCs w:val="24"/>
        </w:rPr>
        <w:t xml:space="preserve"> and bring about the desired result </w:t>
      </w:r>
      <w:r w:rsidR="00567837" w:rsidRPr="00442EC6">
        <w:rPr>
          <w:rFonts w:ascii="Arial" w:hAnsi="Arial" w:cs="Arial"/>
          <w:sz w:val="24"/>
          <w:szCs w:val="24"/>
        </w:rPr>
        <w:t xml:space="preserve">pursued </w:t>
      </w:r>
      <w:r w:rsidR="0041690A" w:rsidRPr="00442EC6">
        <w:rPr>
          <w:rFonts w:ascii="Arial" w:hAnsi="Arial" w:cs="Arial"/>
          <w:sz w:val="24"/>
          <w:szCs w:val="24"/>
        </w:rPr>
        <w:t>by the legislature</w:t>
      </w:r>
      <w:r w:rsidR="007F6FB5" w:rsidRPr="00442EC6">
        <w:rPr>
          <w:rFonts w:ascii="Arial" w:hAnsi="Arial" w:cs="Arial"/>
          <w:sz w:val="24"/>
          <w:szCs w:val="24"/>
        </w:rPr>
        <w:t>.</w:t>
      </w:r>
    </w:p>
    <w:p w14:paraId="6E3E2C82" w14:textId="77777777" w:rsidR="0041690A" w:rsidRPr="00AB20E7" w:rsidRDefault="0041690A" w:rsidP="0041690A">
      <w:pPr>
        <w:pStyle w:val="ListParagraph"/>
        <w:rPr>
          <w:rFonts w:ascii="Arial" w:hAnsi="Arial" w:cs="Arial"/>
          <w:sz w:val="24"/>
          <w:szCs w:val="24"/>
        </w:rPr>
      </w:pPr>
    </w:p>
    <w:p w14:paraId="41106C7A" w14:textId="05FEAB51" w:rsidR="0041690A" w:rsidRPr="00442EC6" w:rsidRDefault="00442EC6" w:rsidP="00442EC6">
      <w:pPr>
        <w:tabs>
          <w:tab w:val="left" w:pos="4917"/>
        </w:tabs>
        <w:spacing w:before="120" w:after="120" w:line="360" w:lineRule="auto"/>
        <w:ind w:left="720" w:hanging="720"/>
        <w:jc w:val="both"/>
        <w:rPr>
          <w:rFonts w:ascii="Arial" w:hAnsi="Arial" w:cs="Arial"/>
          <w:sz w:val="24"/>
          <w:szCs w:val="24"/>
        </w:rPr>
      </w:pPr>
      <w:r w:rsidRPr="00AB20E7">
        <w:rPr>
          <w:rFonts w:ascii="Arial" w:hAnsi="Arial" w:cs="Arial"/>
          <w:sz w:val="24"/>
          <w:szCs w:val="24"/>
        </w:rPr>
        <w:lastRenderedPageBreak/>
        <w:t>[30]</w:t>
      </w:r>
      <w:r w:rsidRPr="00AB20E7">
        <w:rPr>
          <w:rFonts w:ascii="Arial" w:hAnsi="Arial" w:cs="Arial"/>
          <w:sz w:val="24"/>
          <w:szCs w:val="24"/>
        </w:rPr>
        <w:tab/>
      </w:r>
      <w:r w:rsidR="0041690A" w:rsidRPr="00442EC6">
        <w:rPr>
          <w:rFonts w:ascii="Arial" w:hAnsi="Arial" w:cs="Arial"/>
          <w:sz w:val="24"/>
          <w:szCs w:val="24"/>
        </w:rPr>
        <w:t>It is also necessary to have regard to the purpose of the Fidelity Fund and the consequence of a Fidelity Fund certificate being issued, in the interpretative process. The Legal Practice Council issues Fidelity Fund Certificates to legal practitioners. A Fidelity Fund Certificate is a certificate that an attorney practising for own account as director or sole practitioner, and an advocate operating a trust bank account and accepting deposits from the public, must hold in terms of s 84 of the LPA. The Legal Practitioner’s Fidelity Fund (‘the Fund’) was previously known as the Attorneys Fidelity Fund. It is a fidelity guarantee fund which exists in terms of the LPA. The primary purpose of the Fund ‘is to reimburse members of the public who may suffer pecuniary loss, not exceeding the amount determined by the Minister from time to time by notice in the Gazette, as a result of theft of any money or other property given in trust to a trust account practice in the course of the practice of a legal practitioner…’</w:t>
      </w:r>
      <w:r w:rsidR="0041690A" w:rsidRPr="00AB20E7">
        <w:rPr>
          <w:rStyle w:val="FootnoteReference"/>
          <w:rFonts w:ascii="Arial" w:hAnsi="Arial" w:cs="Arial"/>
          <w:sz w:val="24"/>
          <w:szCs w:val="24"/>
        </w:rPr>
        <w:footnoteReference w:id="20"/>
      </w:r>
      <w:r w:rsidR="0041690A" w:rsidRPr="00442EC6">
        <w:rPr>
          <w:rFonts w:ascii="Arial" w:hAnsi="Arial" w:cs="Arial"/>
          <w:sz w:val="24"/>
          <w:szCs w:val="24"/>
        </w:rPr>
        <w:t xml:space="preserve"> The protection provided by the Fund encourages the public to use services provided by legal practitioners with confidence.</w:t>
      </w:r>
      <w:r w:rsidR="0041690A" w:rsidRPr="00AB20E7">
        <w:rPr>
          <w:rStyle w:val="FootnoteReference"/>
          <w:rFonts w:ascii="Arial" w:hAnsi="Arial" w:cs="Arial"/>
          <w:sz w:val="24"/>
          <w:szCs w:val="24"/>
        </w:rPr>
        <w:footnoteReference w:id="21"/>
      </w:r>
      <w:r w:rsidR="0041690A" w:rsidRPr="00442EC6">
        <w:rPr>
          <w:rFonts w:ascii="Arial" w:hAnsi="Arial" w:cs="Arial"/>
          <w:sz w:val="24"/>
          <w:szCs w:val="24"/>
        </w:rPr>
        <w:t xml:space="preserve"> The mission of the Fund includes the promotion of access to, and confidence in, the administration of justice by ensuring that victims of such theft are promptly and fully compensated for their loss.</w:t>
      </w:r>
      <w:r w:rsidR="0041690A" w:rsidRPr="00AB20E7">
        <w:rPr>
          <w:rStyle w:val="FootnoteReference"/>
          <w:rFonts w:ascii="Arial" w:hAnsi="Arial" w:cs="Arial"/>
          <w:sz w:val="24"/>
          <w:szCs w:val="24"/>
        </w:rPr>
        <w:footnoteReference w:id="22"/>
      </w:r>
    </w:p>
    <w:p w14:paraId="2E1E6AAC" w14:textId="77777777" w:rsidR="0041690A" w:rsidRPr="00AB20E7" w:rsidRDefault="0041690A" w:rsidP="0041690A">
      <w:pPr>
        <w:pStyle w:val="ListParagraph"/>
        <w:rPr>
          <w:rFonts w:ascii="Arial" w:hAnsi="Arial" w:cs="Arial"/>
          <w:sz w:val="24"/>
          <w:szCs w:val="24"/>
        </w:rPr>
      </w:pPr>
    </w:p>
    <w:p w14:paraId="03A37BA6" w14:textId="159D76DE" w:rsidR="0011748A" w:rsidRPr="00442EC6" w:rsidRDefault="00442EC6" w:rsidP="00442EC6">
      <w:pPr>
        <w:tabs>
          <w:tab w:val="left" w:pos="4917"/>
        </w:tabs>
        <w:spacing w:before="120" w:after="120" w:line="360" w:lineRule="auto"/>
        <w:ind w:left="720" w:hanging="720"/>
        <w:jc w:val="both"/>
        <w:rPr>
          <w:rFonts w:ascii="Arial" w:hAnsi="Arial" w:cs="Arial"/>
          <w:sz w:val="24"/>
          <w:szCs w:val="24"/>
        </w:rPr>
      </w:pPr>
      <w:r w:rsidRPr="00AB20E7">
        <w:rPr>
          <w:rFonts w:ascii="Arial" w:hAnsi="Arial" w:cs="Arial"/>
          <w:sz w:val="24"/>
          <w:szCs w:val="24"/>
        </w:rPr>
        <w:t>[31]</w:t>
      </w:r>
      <w:r w:rsidRPr="00AB20E7">
        <w:rPr>
          <w:rFonts w:ascii="Arial" w:hAnsi="Arial" w:cs="Arial"/>
          <w:sz w:val="24"/>
          <w:szCs w:val="24"/>
        </w:rPr>
        <w:tab/>
      </w:r>
      <w:r w:rsidR="0041690A" w:rsidRPr="00442EC6">
        <w:rPr>
          <w:rFonts w:ascii="Arial" w:hAnsi="Arial" w:cs="Arial"/>
          <w:sz w:val="24"/>
          <w:szCs w:val="24"/>
        </w:rPr>
        <w:t xml:space="preserve">The respondents correctly submitted that the Fund owes its existence to the LPA, and that the Fund’s liability is circumscribed and pre-determined by the LPA. The liability of the Fund is expressly limited through the provisions of s 56 of the LPA. Section 56 </w:t>
      </w:r>
      <w:r w:rsidR="0050359E" w:rsidRPr="00442EC6">
        <w:rPr>
          <w:rFonts w:ascii="Arial" w:hAnsi="Arial" w:cs="Arial"/>
          <w:sz w:val="24"/>
          <w:szCs w:val="24"/>
        </w:rPr>
        <w:t>lists</w:t>
      </w:r>
      <w:r w:rsidR="0041690A" w:rsidRPr="00442EC6">
        <w:rPr>
          <w:rFonts w:ascii="Arial" w:hAnsi="Arial" w:cs="Arial"/>
          <w:sz w:val="24"/>
          <w:szCs w:val="24"/>
        </w:rPr>
        <w:t xml:space="preserve"> certain categories of persons to whom the Fund is not liable in respect of any loss suffered. Section 56 of the LPA is not relevant to the current proceedings, save for the fact that the applicant in this application, Ms. Rabalao, does not fall within any of the categories listed in s 56.</w:t>
      </w:r>
    </w:p>
    <w:p w14:paraId="148A1AC5" w14:textId="77777777" w:rsidR="0011748A" w:rsidRPr="00AB20E7" w:rsidRDefault="0011748A" w:rsidP="0011748A">
      <w:pPr>
        <w:pStyle w:val="ListParagraph"/>
        <w:rPr>
          <w:rFonts w:ascii="Arial" w:hAnsi="Arial" w:cs="Arial"/>
          <w:sz w:val="24"/>
          <w:szCs w:val="24"/>
        </w:rPr>
      </w:pPr>
    </w:p>
    <w:p w14:paraId="3B90C23F" w14:textId="566B9665" w:rsidR="0094285D" w:rsidRPr="00442EC6" w:rsidRDefault="00442EC6" w:rsidP="00442EC6">
      <w:pPr>
        <w:tabs>
          <w:tab w:val="left" w:pos="4917"/>
        </w:tabs>
        <w:spacing w:before="120" w:after="120" w:line="360" w:lineRule="auto"/>
        <w:ind w:left="720" w:hanging="720"/>
        <w:jc w:val="both"/>
        <w:rPr>
          <w:rFonts w:ascii="Arial" w:hAnsi="Arial" w:cs="Arial"/>
          <w:sz w:val="24"/>
          <w:szCs w:val="24"/>
        </w:rPr>
      </w:pPr>
      <w:r w:rsidRPr="00AB20E7">
        <w:rPr>
          <w:rFonts w:ascii="Arial" w:hAnsi="Arial" w:cs="Arial"/>
          <w:sz w:val="24"/>
          <w:szCs w:val="24"/>
        </w:rPr>
        <w:t>[32]</w:t>
      </w:r>
      <w:r w:rsidRPr="00AB20E7">
        <w:rPr>
          <w:rFonts w:ascii="Arial" w:hAnsi="Arial" w:cs="Arial"/>
          <w:sz w:val="24"/>
          <w:szCs w:val="24"/>
        </w:rPr>
        <w:tab/>
      </w:r>
      <w:r w:rsidR="00417599" w:rsidRPr="00442EC6">
        <w:rPr>
          <w:rFonts w:ascii="Arial" w:hAnsi="Arial" w:cs="Arial"/>
          <w:sz w:val="24"/>
          <w:szCs w:val="24"/>
        </w:rPr>
        <w:t>Section 55 of the LPA mirrors s 26(a) of the now repealed Attorneys Act 53 of 1997 (‘the AA’), save that it now includes the ‘trust account advocates’ in its ambit. Guidance might be provided by case law where the question as to whether funds were paid into an attorney’s trust account in the course of the practice as such, was considered.</w:t>
      </w:r>
    </w:p>
    <w:p w14:paraId="2AF180F5" w14:textId="77777777" w:rsidR="00417599" w:rsidRPr="00AB20E7" w:rsidRDefault="00417599" w:rsidP="00417599">
      <w:pPr>
        <w:pStyle w:val="ListParagraph"/>
        <w:rPr>
          <w:rFonts w:ascii="Arial" w:hAnsi="Arial" w:cs="Arial"/>
          <w:sz w:val="24"/>
          <w:szCs w:val="24"/>
        </w:rPr>
      </w:pPr>
    </w:p>
    <w:p w14:paraId="1A4B28DB" w14:textId="111D910E" w:rsidR="00417599" w:rsidRPr="00442EC6" w:rsidRDefault="00442EC6" w:rsidP="00442EC6">
      <w:pPr>
        <w:tabs>
          <w:tab w:val="left" w:pos="4917"/>
        </w:tabs>
        <w:spacing w:before="120" w:after="120" w:line="360" w:lineRule="auto"/>
        <w:ind w:left="720" w:hanging="720"/>
        <w:jc w:val="both"/>
        <w:rPr>
          <w:rFonts w:ascii="Arial" w:hAnsi="Arial" w:cs="Arial"/>
          <w:sz w:val="24"/>
          <w:szCs w:val="24"/>
        </w:rPr>
      </w:pPr>
      <w:r w:rsidRPr="00AB20E7">
        <w:rPr>
          <w:rFonts w:ascii="Arial" w:hAnsi="Arial" w:cs="Arial"/>
          <w:sz w:val="24"/>
          <w:szCs w:val="24"/>
        </w:rPr>
        <w:t>[33]</w:t>
      </w:r>
      <w:r w:rsidRPr="00AB20E7">
        <w:rPr>
          <w:rFonts w:ascii="Arial" w:hAnsi="Arial" w:cs="Arial"/>
          <w:sz w:val="24"/>
          <w:szCs w:val="24"/>
        </w:rPr>
        <w:tab/>
      </w:r>
      <w:r w:rsidR="00417599" w:rsidRPr="00442EC6">
        <w:rPr>
          <w:rFonts w:ascii="Arial" w:hAnsi="Arial" w:cs="Arial"/>
          <w:sz w:val="24"/>
          <w:szCs w:val="24"/>
        </w:rPr>
        <w:t xml:space="preserve">In </w:t>
      </w:r>
      <w:r w:rsidR="00417599" w:rsidRPr="00442EC6">
        <w:rPr>
          <w:rFonts w:ascii="Arial" w:hAnsi="Arial" w:cs="Arial"/>
          <w:i/>
          <w:sz w:val="24"/>
          <w:szCs w:val="24"/>
        </w:rPr>
        <w:t>Paramount Suppliers (Merchandise) (Pty) Ltd v Attorneys, Notaries and Conveyancers Fidelity Guarantee Fund Board of Control</w:t>
      </w:r>
      <w:r w:rsidR="00417599" w:rsidRPr="00442EC6">
        <w:rPr>
          <w:rFonts w:ascii="Arial" w:hAnsi="Arial" w:cs="Arial"/>
          <w:sz w:val="24"/>
          <w:szCs w:val="24"/>
        </w:rPr>
        <w:t>,</w:t>
      </w:r>
      <w:r w:rsidR="00417599" w:rsidRPr="00AB20E7">
        <w:rPr>
          <w:rStyle w:val="FootnoteReference"/>
          <w:rFonts w:ascii="Arial" w:hAnsi="Arial" w:cs="Arial"/>
          <w:sz w:val="24"/>
          <w:szCs w:val="24"/>
        </w:rPr>
        <w:footnoteReference w:id="23"/>
      </w:r>
      <w:r w:rsidR="00417599" w:rsidRPr="00442EC6">
        <w:rPr>
          <w:rFonts w:ascii="Arial" w:hAnsi="Arial" w:cs="Arial"/>
          <w:sz w:val="24"/>
          <w:szCs w:val="24"/>
        </w:rPr>
        <w:t xml:space="preserve"> Kuper J said that:</w:t>
      </w:r>
    </w:p>
    <w:p w14:paraId="70BF7CE3" w14:textId="77777777" w:rsidR="00417599" w:rsidRPr="00AB20E7" w:rsidRDefault="00417599" w:rsidP="00417599">
      <w:pPr>
        <w:pStyle w:val="ListParagraph"/>
        <w:rPr>
          <w:rFonts w:ascii="Arial" w:hAnsi="Arial" w:cs="Arial"/>
          <w:sz w:val="24"/>
          <w:szCs w:val="24"/>
        </w:rPr>
      </w:pPr>
    </w:p>
    <w:p w14:paraId="206A624B" w14:textId="17651F79" w:rsidR="00417599" w:rsidRPr="00AB20E7" w:rsidRDefault="00417599" w:rsidP="00417599">
      <w:pPr>
        <w:pStyle w:val="ListParagraph"/>
        <w:tabs>
          <w:tab w:val="left" w:pos="4917"/>
        </w:tabs>
        <w:spacing w:before="120" w:after="120" w:line="360" w:lineRule="auto"/>
        <w:ind w:left="1008" w:right="1008"/>
        <w:jc w:val="both"/>
        <w:rPr>
          <w:rFonts w:ascii="Arial" w:hAnsi="Arial" w:cs="Arial"/>
          <w:sz w:val="24"/>
          <w:szCs w:val="24"/>
        </w:rPr>
      </w:pPr>
      <w:r w:rsidRPr="00AB20E7">
        <w:rPr>
          <w:rFonts w:ascii="Arial" w:hAnsi="Arial" w:cs="Arial"/>
          <w:sz w:val="24"/>
          <w:szCs w:val="24"/>
        </w:rPr>
        <w:t>‘</w:t>
      </w:r>
      <w:r w:rsidRPr="00AB20E7">
        <w:rPr>
          <w:rFonts w:ascii="Arial" w:hAnsi="Arial" w:cs="Arial"/>
          <w:color w:val="000000"/>
          <w:sz w:val="24"/>
          <w:szCs w:val="24"/>
        </w:rPr>
        <w:t>It does not follow from the fact that an attorney pays a sum of money into his trust account that that sum of money is in fact either trust money held by that attorney or money paid to that attorney in the course of his practice as an attorney, or in any other capacity provided for in s 26 of Act 19 of 1941.’</w:t>
      </w:r>
    </w:p>
    <w:p w14:paraId="11B9BB2A" w14:textId="65EDE1D4" w:rsidR="00417599" w:rsidRPr="00AB20E7" w:rsidRDefault="00417599" w:rsidP="00417599">
      <w:pPr>
        <w:pStyle w:val="ListParagraph"/>
        <w:spacing w:before="120" w:after="120" w:line="360" w:lineRule="auto"/>
        <w:jc w:val="both"/>
        <w:rPr>
          <w:rFonts w:ascii="Arial" w:hAnsi="Arial" w:cs="Arial"/>
          <w:sz w:val="24"/>
          <w:szCs w:val="24"/>
        </w:rPr>
      </w:pPr>
    </w:p>
    <w:p w14:paraId="71FD6332" w14:textId="4CA2A10F" w:rsidR="00417599" w:rsidRPr="00AB20E7" w:rsidRDefault="00417599" w:rsidP="00417599">
      <w:pPr>
        <w:pStyle w:val="ListParagraph"/>
        <w:spacing w:before="120" w:after="120" w:line="360" w:lineRule="auto"/>
        <w:jc w:val="both"/>
        <w:rPr>
          <w:rFonts w:ascii="Arial" w:hAnsi="Arial" w:cs="Arial"/>
          <w:sz w:val="24"/>
          <w:szCs w:val="24"/>
        </w:rPr>
      </w:pPr>
      <w:r w:rsidRPr="00AB20E7">
        <w:rPr>
          <w:rFonts w:ascii="Arial" w:hAnsi="Arial" w:cs="Arial"/>
          <w:sz w:val="24"/>
          <w:szCs w:val="24"/>
        </w:rPr>
        <w:t>This case, however, dealt with money paid to an attorney on the basis that he was to use his ‘influence’ in order to obtain a benefit that all the persons concerned knew should not be obtained, i.e. to obtain an import control permit for a dormant company. The money had been paid to the attorney for an illegal or immoral transaction.</w:t>
      </w:r>
    </w:p>
    <w:p w14:paraId="0F8254F7" w14:textId="77777777" w:rsidR="00417599" w:rsidRPr="00AB20E7" w:rsidRDefault="00417599" w:rsidP="00417599">
      <w:pPr>
        <w:pStyle w:val="ListParagraph"/>
        <w:spacing w:before="120" w:after="120" w:line="360" w:lineRule="auto"/>
        <w:jc w:val="both"/>
        <w:rPr>
          <w:rFonts w:ascii="Arial" w:hAnsi="Arial" w:cs="Arial"/>
          <w:sz w:val="24"/>
          <w:szCs w:val="24"/>
        </w:rPr>
      </w:pPr>
    </w:p>
    <w:p w14:paraId="3F21F5ED" w14:textId="279A325D" w:rsidR="001440F1" w:rsidRPr="00442EC6" w:rsidRDefault="00442EC6" w:rsidP="00442EC6">
      <w:pPr>
        <w:tabs>
          <w:tab w:val="left" w:pos="4917"/>
        </w:tabs>
        <w:spacing w:before="120" w:after="120" w:line="360" w:lineRule="auto"/>
        <w:ind w:left="720" w:hanging="720"/>
        <w:jc w:val="both"/>
        <w:rPr>
          <w:rFonts w:ascii="Arial" w:hAnsi="Arial" w:cs="Arial"/>
          <w:sz w:val="24"/>
          <w:szCs w:val="24"/>
        </w:rPr>
      </w:pPr>
      <w:r w:rsidRPr="00AB20E7">
        <w:rPr>
          <w:rFonts w:ascii="Arial" w:hAnsi="Arial" w:cs="Arial"/>
          <w:sz w:val="24"/>
          <w:szCs w:val="24"/>
        </w:rPr>
        <w:t>[34]</w:t>
      </w:r>
      <w:r w:rsidRPr="00AB20E7">
        <w:rPr>
          <w:rFonts w:ascii="Arial" w:hAnsi="Arial" w:cs="Arial"/>
          <w:sz w:val="24"/>
          <w:szCs w:val="24"/>
        </w:rPr>
        <w:tab/>
      </w:r>
      <w:r w:rsidR="00417599" w:rsidRPr="00442EC6">
        <w:rPr>
          <w:rFonts w:ascii="Arial" w:hAnsi="Arial" w:cs="Arial"/>
          <w:sz w:val="24"/>
          <w:szCs w:val="24"/>
        </w:rPr>
        <w:t xml:space="preserve">In </w:t>
      </w:r>
      <w:r w:rsidR="00417599" w:rsidRPr="00442EC6">
        <w:rPr>
          <w:rFonts w:ascii="Arial" w:hAnsi="Arial" w:cs="Arial"/>
          <w:i/>
          <w:sz w:val="24"/>
          <w:szCs w:val="24"/>
        </w:rPr>
        <w:t>Tollemache v Attorneys Fidelity Fund,</w:t>
      </w:r>
      <w:r w:rsidR="00417599" w:rsidRPr="00AB20E7">
        <w:rPr>
          <w:rStyle w:val="FootnoteReference"/>
          <w:rFonts w:ascii="Arial" w:hAnsi="Arial" w:cs="Arial"/>
          <w:i/>
          <w:sz w:val="24"/>
          <w:szCs w:val="24"/>
        </w:rPr>
        <w:footnoteReference w:id="24"/>
      </w:r>
      <w:r w:rsidR="00653C41" w:rsidRPr="00442EC6">
        <w:rPr>
          <w:rFonts w:ascii="Arial" w:hAnsi="Arial" w:cs="Arial"/>
          <w:i/>
          <w:sz w:val="24"/>
          <w:szCs w:val="24"/>
        </w:rPr>
        <w:t xml:space="preserve"> </w:t>
      </w:r>
      <w:r w:rsidR="00653C41" w:rsidRPr="00442EC6">
        <w:rPr>
          <w:rFonts w:ascii="Arial" w:hAnsi="Arial" w:cs="Arial"/>
          <w:sz w:val="24"/>
          <w:szCs w:val="24"/>
        </w:rPr>
        <w:t xml:space="preserve">the court held that the fact that the attorney who received certain funds in trust, was not personally able to transfer the money in terms of </w:t>
      </w:r>
      <w:r w:rsidR="006A277D" w:rsidRPr="00442EC6">
        <w:rPr>
          <w:rFonts w:ascii="Arial" w:hAnsi="Arial" w:cs="Arial"/>
          <w:sz w:val="24"/>
          <w:szCs w:val="24"/>
        </w:rPr>
        <w:t xml:space="preserve">the rules promulgated by </w:t>
      </w:r>
      <w:r w:rsidR="00653C41" w:rsidRPr="00442EC6">
        <w:rPr>
          <w:rFonts w:ascii="Arial" w:hAnsi="Arial" w:cs="Arial"/>
          <w:sz w:val="24"/>
          <w:szCs w:val="24"/>
        </w:rPr>
        <w:t>Treasury, is not sufficient to justify a finding that the money was not entrusted to him in the course of his practice.</w:t>
      </w:r>
      <w:r w:rsidR="006A277D" w:rsidRPr="00442EC6">
        <w:rPr>
          <w:rFonts w:ascii="Arial" w:hAnsi="Arial" w:cs="Arial"/>
          <w:i/>
          <w:sz w:val="24"/>
          <w:szCs w:val="24"/>
        </w:rPr>
        <w:t xml:space="preserve"> </w:t>
      </w:r>
      <w:r w:rsidR="006A277D" w:rsidRPr="00442EC6">
        <w:rPr>
          <w:rFonts w:ascii="Arial" w:hAnsi="Arial" w:cs="Arial"/>
          <w:sz w:val="24"/>
          <w:szCs w:val="24"/>
        </w:rPr>
        <w:t>The attorney was recognised as an expert in banking law and foreign exchange and his firm offered exchange control advice, including arranging to transfer funds to foreign countries.</w:t>
      </w:r>
      <w:r w:rsidR="006B6352" w:rsidRPr="00442EC6">
        <w:rPr>
          <w:rFonts w:ascii="Arial" w:hAnsi="Arial" w:cs="Arial"/>
          <w:sz w:val="24"/>
          <w:szCs w:val="24"/>
        </w:rPr>
        <w:t xml:space="preserve"> The fact that one aspect of the exc</w:t>
      </w:r>
      <w:r w:rsidR="0050359E" w:rsidRPr="00442EC6">
        <w:rPr>
          <w:rFonts w:ascii="Arial" w:hAnsi="Arial" w:cs="Arial"/>
          <w:sz w:val="24"/>
          <w:szCs w:val="24"/>
        </w:rPr>
        <w:t xml:space="preserve">hange control was restricted </w:t>
      </w:r>
      <w:r w:rsidR="006B6352" w:rsidRPr="00442EC6">
        <w:rPr>
          <w:rFonts w:ascii="Arial" w:hAnsi="Arial" w:cs="Arial"/>
          <w:sz w:val="24"/>
          <w:szCs w:val="24"/>
        </w:rPr>
        <w:t xml:space="preserve">to </w:t>
      </w:r>
      <w:r w:rsidR="006B6352" w:rsidRPr="00442EC6">
        <w:rPr>
          <w:rFonts w:ascii="Arial" w:hAnsi="Arial" w:cs="Arial"/>
          <w:sz w:val="24"/>
          <w:szCs w:val="24"/>
        </w:rPr>
        <w:lastRenderedPageBreak/>
        <w:t>authorised dealers was not sufficient to justify a finding that the entrustment of the funds to the attorney was not in the course of his practice.</w:t>
      </w:r>
    </w:p>
    <w:p w14:paraId="328BD604" w14:textId="77777777" w:rsidR="001440F1" w:rsidRPr="00AB20E7" w:rsidRDefault="001440F1" w:rsidP="001440F1">
      <w:pPr>
        <w:pStyle w:val="ListParagraph"/>
        <w:tabs>
          <w:tab w:val="left" w:pos="4917"/>
        </w:tabs>
        <w:spacing w:before="120" w:after="120" w:line="360" w:lineRule="auto"/>
        <w:jc w:val="both"/>
        <w:rPr>
          <w:rFonts w:ascii="Arial" w:hAnsi="Arial" w:cs="Arial"/>
          <w:sz w:val="24"/>
          <w:szCs w:val="24"/>
        </w:rPr>
      </w:pPr>
    </w:p>
    <w:p w14:paraId="2F63E8CF" w14:textId="70B63DB8" w:rsidR="001440F1" w:rsidRPr="00442EC6" w:rsidRDefault="00442EC6" w:rsidP="00442EC6">
      <w:pPr>
        <w:tabs>
          <w:tab w:val="left" w:pos="4917"/>
        </w:tabs>
        <w:spacing w:before="120" w:after="120" w:line="360" w:lineRule="auto"/>
        <w:ind w:left="720" w:hanging="720"/>
        <w:jc w:val="both"/>
        <w:rPr>
          <w:rFonts w:ascii="Arial" w:hAnsi="Arial" w:cs="Arial"/>
          <w:sz w:val="24"/>
          <w:szCs w:val="24"/>
        </w:rPr>
      </w:pPr>
      <w:r w:rsidRPr="00AB20E7">
        <w:rPr>
          <w:rFonts w:ascii="Arial" w:hAnsi="Arial" w:cs="Arial"/>
          <w:sz w:val="24"/>
          <w:szCs w:val="24"/>
        </w:rPr>
        <w:t>[35]</w:t>
      </w:r>
      <w:r w:rsidRPr="00AB20E7">
        <w:rPr>
          <w:rFonts w:ascii="Arial" w:hAnsi="Arial" w:cs="Arial"/>
          <w:sz w:val="24"/>
          <w:szCs w:val="24"/>
        </w:rPr>
        <w:tab/>
      </w:r>
      <w:r w:rsidR="006A277D" w:rsidRPr="00442EC6">
        <w:rPr>
          <w:rFonts w:ascii="Arial" w:hAnsi="Arial" w:cs="Arial"/>
          <w:sz w:val="24"/>
          <w:szCs w:val="24"/>
        </w:rPr>
        <w:t>Cleaver J dealt with Fund’s submission that since the attorney was not authorised to submit exchange control applications, it cannot generally be regarded as part of an attorney’s work to prepare and submit such applications</w:t>
      </w:r>
      <w:r w:rsidR="001440F1" w:rsidRPr="00442EC6">
        <w:rPr>
          <w:rFonts w:ascii="Arial" w:hAnsi="Arial" w:cs="Arial"/>
          <w:sz w:val="24"/>
          <w:szCs w:val="24"/>
        </w:rPr>
        <w:t xml:space="preserve">, and that the question as to whether in any given case money has been paid to an attorney in the course his practice requires, </w:t>
      </w:r>
      <w:r w:rsidR="001440F1" w:rsidRPr="00442EC6">
        <w:rPr>
          <w:rFonts w:ascii="Arial" w:hAnsi="Arial" w:cs="Arial"/>
          <w:i/>
          <w:sz w:val="24"/>
          <w:szCs w:val="24"/>
        </w:rPr>
        <w:t>inter alia</w:t>
      </w:r>
      <w:r w:rsidR="001440F1" w:rsidRPr="00442EC6">
        <w:rPr>
          <w:rFonts w:ascii="Arial" w:hAnsi="Arial" w:cs="Arial"/>
          <w:sz w:val="24"/>
          <w:szCs w:val="24"/>
        </w:rPr>
        <w:t xml:space="preserve"> an enquiry into the sort of work which attorneys can and do, as an objective fact, perform in the course of their practice as an attorney.</w:t>
      </w:r>
      <w:r w:rsidR="006A277D" w:rsidRPr="00AB20E7">
        <w:rPr>
          <w:rStyle w:val="FootnoteReference"/>
          <w:rFonts w:ascii="Arial" w:hAnsi="Arial" w:cs="Arial"/>
          <w:sz w:val="24"/>
          <w:szCs w:val="24"/>
        </w:rPr>
        <w:footnoteReference w:id="25"/>
      </w:r>
      <w:r w:rsidR="006B6352" w:rsidRPr="00442EC6">
        <w:rPr>
          <w:rFonts w:ascii="Arial" w:hAnsi="Arial" w:cs="Arial"/>
          <w:sz w:val="24"/>
          <w:szCs w:val="24"/>
        </w:rPr>
        <w:t xml:space="preserve"> He</w:t>
      </w:r>
      <w:r w:rsidR="001440F1" w:rsidRPr="00442EC6">
        <w:rPr>
          <w:rFonts w:ascii="Arial" w:hAnsi="Arial" w:cs="Arial"/>
          <w:sz w:val="24"/>
          <w:szCs w:val="24"/>
        </w:rPr>
        <w:t xml:space="preserve"> stated:</w:t>
      </w:r>
      <w:r w:rsidR="001440F1" w:rsidRPr="00AB20E7">
        <w:rPr>
          <w:rStyle w:val="FootnoteReference"/>
          <w:rFonts w:ascii="Arial" w:hAnsi="Arial" w:cs="Arial"/>
          <w:sz w:val="24"/>
          <w:szCs w:val="24"/>
        </w:rPr>
        <w:footnoteReference w:id="26"/>
      </w:r>
    </w:p>
    <w:p w14:paraId="7F85E75F" w14:textId="77777777" w:rsidR="001440F1" w:rsidRPr="00AB20E7" w:rsidRDefault="001440F1" w:rsidP="001440F1">
      <w:pPr>
        <w:pStyle w:val="ListParagraph"/>
        <w:rPr>
          <w:rFonts w:ascii="Arial" w:hAnsi="Arial" w:cs="Arial"/>
          <w:sz w:val="24"/>
          <w:szCs w:val="24"/>
        </w:rPr>
      </w:pPr>
    </w:p>
    <w:p w14:paraId="23103B47" w14:textId="351E3A20" w:rsidR="001440F1" w:rsidRPr="00AB20E7" w:rsidRDefault="001440F1" w:rsidP="001440F1">
      <w:pPr>
        <w:pStyle w:val="ListParagraph"/>
        <w:tabs>
          <w:tab w:val="left" w:pos="4917"/>
        </w:tabs>
        <w:spacing w:before="120" w:after="120" w:line="360" w:lineRule="auto"/>
        <w:ind w:left="1008" w:right="1008"/>
        <w:jc w:val="both"/>
        <w:rPr>
          <w:rFonts w:ascii="Arial" w:hAnsi="Arial" w:cs="Arial"/>
          <w:sz w:val="24"/>
          <w:szCs w:val="24"/>
        </w:rPr>
      </w:pPr>
      <w:r w:rsidRPr="00AB20E7">
        <w:rPr>
          <w:rFonts w:ascii="Arial" w:hAnsi="Arial" w:cs="Arial"/>
          <w:sz w:val="24"/>
          <w:szCs w:val="24"/>
        </w:rPr>
        <w:t>‘</w:t>
      </w:r>
      <w:r w:rsidRPr="00AB20E7">
        <w:rPr>
          <w:rFonts w:ascii="Arial" w:hAnsi="Arial" w:cs="Arial"/>
          <w:color w:val="000000"/>
          <w:sz w:val="24"/>
          <w:szCs w:val="24"/>
        </w:rPr>
        <w:t>I think it fair to say that there has been great change in attorneys' practices since the time when the judgment in the </w:t>
      </w:r>
      <w:r w:rsidRPr="00AB20E7">
        <w:rPr>
          <w:rFonts w:ascii="Arial" w:hAnsi="Arial" w:cs="Arial"/>
          <w:i/>
          <w:iCs/>
          <w:color w:val="000000"/>
          <w:sz w:val="24"/>
          <w:szCs w:val="24"/>
        </w:rPr>
        <w:t>Paramount Suppliers</w:t>
      </w:r>
      <w:r w:rsidRPr="00AB20E7">
        <w:rPr>
          <w:rFonts w:ascii="Arial" w:hAnsi="Arial" w:cs="Arial"/>
          <w:color w:val="000000"/>
          <w:sz w:val="24"/>
          <w:szCs w:val="24"/>
        </w:rPr>
        <w:t> case was handed down in 1957. Whereas the work done by attorneys at that time was fairly narrowly delineated, the type and range of services offered by attorneys today is vastly different.’</w:t>
      </w:r>
    </w:p>
    <w:p w14:paraId="7A03FB93" w14:textId="77777777" w:rsidR="00417599" w:rsidRPr="00AB20E7" w:rsidRDefault="00417599" w:rsidP="00417599">
      <w:pPr>
        <w:pStyle w:val="ListParagraph"/>
        <w:tabs>
          <w:tab w:val="left" w:pos="4917"/>
        </w:tabs>
        <w:spacing w:before="120" w:after="120" w:line="360" w:lineRule="auto"/>
        <w:jc w:val="both"/>
        <w:rPr>
          <w:rFonts w:ascii="Arial" w:hAnsi="Arial" w:cs="Arial"/>
          <w:sz w:val="24"/>
          <w:szCs w:val="24"/>
        </w:rPr>
      </w:pPr>
    </w:p>
    <w:p w14:paraId="089CA031" w14:textId="15B2616A" w:rsidR="006B6352" w:rsidRPr="00442EC6" w:rsidRDefault="00442EC6" w:rsidP="00442EC6">
      <w:pPr>
        <w:tabs>
          <w:tab w:val="left" w:pos="4917"/>
        </w:tabs>
        <w:spacing w:before="120" w:after="120" w:line="360" w:lineRule="auto"/>
        <w:ind w:left="720" w:hanging="720"/>
        <w:jc w:val="both"/>
        <w:rPr>
          <w:rFonts w:ascii="Arial" w:hAnsi="Arial" w:cs="Arial"/>
          <w:sz w:val="24"/>
          <w:szCs w:val="24"/>
        </w:rPr>
      </w:pPr>
      <w:r w:rsidRPr="00AB20E7">
        <w:rPr>
          <w:rFonts w:ascii="Arial" w:hAnsi="Arial" w:cs="Arial"/>
          <w:sz w:val="24"/>
          <w:szCs w:val="24"/>
        </w:rPr>
        <w:t>[36]</w:t>
      </w:r>
      <w:r w:rsidRPr="00AB20E7">
        <w:rPr>
          <w:rFonts w:ascii="Arial" w:hAnsi="Arial" w:cs="Arial"/>
          <w:sz w:val="24"/>
          <w:szCs w:val="24"/>
        </w:rPr>
        <w:tab/>
      </w:r>
      <w:r w:rsidR="006B6352" w:rsidRPr="00442EC6">
        <w:rPr>
          <w:rFonts w:ascii="Arial" w:hAnsi="Arial" w:cs="Arial"/>
          <w:sz w:val="24"/>
          <w:szCs w:val="24"/>
        </w:rPr>
        <w:t xml:space="preserve">In </w:t>
      </w:r>
      <w:r w:rsidR="006B6352" w:rsidRPr="00442EC6">
        <w:rPr>
          <w:rFonts w:ascii="Arial" w:hAnsi="Arial" w:cs="Arial"/>
          <w:i/>
          <w:sz w:val="24"/>
          <w:szCs w:val="24"/>
        </w:rPr>
        <w:t>Westley and Others v Attorneys Fidelity Fund,</w:t>
      </w:r>
      <w:r w:rsidR="006B6352" w:rsidRPr="00AB20E7">
        <w:rPr>
          <w:rStyle w:val="FootnoteReference"/>
          <w:rFonts w:ascii="Arial" w:hAnsi="Arial" w:cs="Arial"/>
          <w:i/>
          <w:sz w:val="24"/>
          <w:szCs w:val="24"/>
        </w:rPr>
        <w:footnoteReference w:id="27"/>
      </w:r>
      <w:r w:rsidR="006B6352" w:rsidRPr="00442EC6">
        <w:rPr>
          <w:rFonts w:ascii="Arial" w:hAnsi="Arial" w:cs="Arial"/>
          <w:sz w:val="24"/>
          <w:szCs w:val="24"/>
        </w:rPr>
        <w:t xml:space="preserve"> the court held that the funds in question </w:t>
      </w:r>
      <w:r w:rsidR="0050359E" w:rsidRPr="00442EC6">
        <w:rPr>
          <w:rFonts w:ascii="Arial" w:hAnsi="Arial" w:cs="Arial"/>
          <w:sz w:val="24"/>
          <w:szCs w:val="24"/>
        </w:rPr>
        <w:t>were</w:t>
      </w:r>
      <w:r w:rsidR="006B6352" w:rsidRPr="00442EC6">
        <w:rPr>
          <w:rFonts w:ascii="Arial" w:hAnsi="Arial" w:cs="Arial"/>
          <w:sz w:val="24"/>
          <w:szCs w:val="24"/>
        </w:rPr>
        <w:t xml:space="preserve"> not entrusted to the practitioner in the course of his practice, because:</w:t>
      </w:r>
      <w:r w:rsidR="006B6352" w:rsidRPr="00AB20E7">
        <w:rPr>
          <w:rStyle w:val="FootnoteReference"/>
          <w:rFonts w:ascii="Arial" w:hAnsi="Arial" w:cs="Arial"/>
          <w:sz w:val="24"/>
          <w:szCs w:val="24"/>
        </w:rPr>
        <w:footnoteReference w:id="28"/>
      </w:r>
    </w:p>
    <w:p w14:paraId="6D223861" w14:textId="77777777" w:rsidR="006B6352" w:rsidRPr="00AB20E7" w:rsidRDefault="006B6352" w:rsidP="006B6352">
      <w:pPr>
        <w:pStyle w:val="ListParagraph"/>
        <w:tabs>
          <w:tab w:val="left" w:pos="4917"/>
        </w:tabs>
        <w:spacing w:before="120" w:after="120" w:line="360" w:lineRule="auto"/>
        <w:jc w:val="both"/>
        <w:rPr>
          <w:rFonts w:ascii="Arial" w:hAnsi="Arial" w:cs="Arial"/>
          <w:sz w:val="24"/>
          <w:szCs w:val="24"/>
        </w:rPr>
      </w:pPr>
    </w:p>
    <w:p w14:paraId="345AD5C6" w14:textId="405126FB" w:rsidR="006B6352" w:rsidRPr="00AB20E7" w:rsidRDefault="006B6352" w:rsidP="006B6352">
      <w:pPr>
        <w:pStyle w:val="ListParagraph"/>
        <w:tabs>
          <w:tab w:val="left" w:pos="4917"/>
        </w:tabs>
        <w:spacing w:before="120" w:after="120" w:line="360" w:lineRule="auto"/>
        <w:ind w:left="1008" w:right="1008"/>
        <w:jc w:val="both"/>
        <w:rPr>
          <w:rFonts w:ascii="Arial" w:hAnsi="Arial" w:cs="Arial"/>
          <w:sz w:val="24"/>
          <w:szCs w:val="24"/>
        </w:rPr>
      </w:pPr>
      <w:r w:rsidRPr="00AB20E7">
        <w:rPr>
          <w:rFonts w:ascii="Arial" w:hAnsi="Arial" w:cs="Arial"/>
          <w:sz w:val="24"/>
          <w:szCs w:val="24"/>
        </w:rPr>
        <w:t>‘</w:t>
      </w:r>
      <w:r w:rsidRPr="00AB20E7">
        <w:rPr>
          <w:rFonts w:ascii="Arial" w:hAnsi="Arial" w:cs="Arial"/>
          <w:color w:val="000000"/>
          <w:sz w:val="24"/>
          <w:szCs w:val="24"/>
        </w:rPr>
        <w:t>There was no suggestion on the papers that the funds had been entrusted to Akritidis to enable him to employ them in the putative future transactions for a purpose which by its very nature was properly performed by an attorney…’</w:t>
      </w:r>
    </w:p>
    <w:p w14:paraId="06352DEA" w14:textId="77777777" w:rsidR="006B6352" w:rsidRPr="00AB20E7" w:rsidRDefault="006B6352" w:rsidP="006B6352">
      <w:pPr>
        <w:pStyle w:val="ListParagraph"/>
        <w:tabs>
          <w:tab w:val="left" w:pos="4917"/>
        </w:tabs>
        <w:spacing w:before="120" w:after="120" w:line="360" w:lineRule="auto"/>
        <w:jc w:val="both"/>
        <w:rPr>
          <w:rFonts w:ascii="Arial" w:hAnsi="Arial" w:cs="Arial"/>
          <w:sz w:val="24"/>
          <w:szCs w:val="24"/>
        </w:rPr>
      </w:pPr>
    </w:p>
    <w:p w14:paraId="6309167A" w14:textId="38419818" w:rsidR="0094285D" w:rsidRPr="00442EC6" w:rsidRDefault="00442EC6" w:rsidP="00442EC6">
      <w:pPr>
        <w:tabs>
          <w:tab w:val="left" w:pos="4917"/>
        </w:tabs>
        <w:spacing w:before="120" w:after="120" w:line="360" w:lineRule="auto"/>
        <w:ind w:left="720" w:hanging="720"/>
        <w:jc w:val="both"/>
        <w:rPr>
          <w:rFonts w:ascii="Arial" w:hAnsi="Arial" w:cs="Arial"/>
          <w:sz w:val="24"/>
          <w:szCs w:val="24"/>
        </w:rPr>
      </w:pPr>
      <w:r w:rsidRPr="00AB20E7">
        <w:rPr>
          <w:rFonts w:ascii="Arial" w:hAnsi="Arial" w:cs="Arial"/>
          <w:sz w:val="24"/>
          <w:szCs w:val="24"/>
        </w:rPr>
        <w:lastRenderedPageBreak/>
        <w:t>[37]</w:t>
      </w:r>
      <w:r w:rsidRPr="00AB20E7">
        <w:rPr>
          <w:rFonts w:ascii="Arial" w:hAnsi="Arial" w:cs="Arial"/>
          <w:sz w:val="24"/>
          <w:szCs w:val="24"/>
        </w:rPr>
        <w:tab/>
      </w:r>
      <w:r w:rsidR="006B6352" w:rsidRPr="00442EC6">
        <w:rPr>
          <w:rFonts w:ascii="Arial" w:hAnsi="Arial" w:cs="Arial"/>
          <w:sz w:val="24"/>
          <w:szCs w:val="24"/>
        </w:rPr>
        <w:t xml:space="preserve">In </w:t>
      </w:r>
      <w:r w:rsidR="006B6352" w:rsidRPr="00442EC6">
        <w:rPr>
          <w:rFonts w:ascii="Arial" w:hAnsi="Arial" w:cs="Arial"/>
          <w:i/>
          <w:sz w:val="24"/>
          <w:szCs w:val="24"/>
        </w:rPr>
        <w:t>Provident Fund for the Clothing Industry v Attorneys, Notaries and Conveyancers Fidelity Guarantee Fund,</w:t>
      </w:r>
      <w:r w:rsidR="006B6352" w:rsidRPr="00AB20E7">
        <w:rPr>
          <w:rStyle w:val="FootnoteReference"/>
          <w:rFonts w:ascii="Arial" w:hAnsi="Arial" w:cs="Arial"/>
          <w:sz w:val="24"/>
          <w:szCs w:val="24"/>
        </w:rPr>
        <w:footnoteReference w:id="29"/>
      </w:r>
      <w:r w:rsidR="006B6352" w:rsidRPr="00442EC6">
        <w:rPr>
          <w:rFonts w:ascii="Arial" w:hAnsi="Arial" w:cs="Arial"/>
          <w:i/>
          <w:sz w:val="24"/>
          <w:szCs w:val="24"/>
        </w:rPr>
        <w:t xml:space="preserve"> </w:t>
      </w:r>
      <w:r w:rsidR="006B6352" w:rsidRPr="00442EC6">
        <w:rPr>
          <w:rFonts w:ascii="Arial" w:hAnsi="Arial" w:cs="Arial"/>
          <w:sz w:val="24"/>
          <w:szCs w:val="24"/>
        </w:rPr>
        <w:t>Nicholas J stated that it is not ‘infrequently a provision in a deed of sale of fixed property that the purchaser should pay an amount by way of deposit in trust to the seller’s attorney.’</w:t>
      </w:r>
      <w:r w:rsidR="0050359E" w:rsidRPr="00442EC6">
        <w:rPr>
          <w:rFonts w:ascii="Arial" w:hAnsi="Arial" w:cs="Arial"/>
          <w:sz w:val="24"/>
          <w:szCs w:val="24"/>
        </w:rPr>
        <w:t xml:space="preserve"> The fact that there is no pre-existing fiduciary relationship between the purchaser of immovable property and the attorney in whose trust account the purchase price is to be deposited</w:t>
      </w:r>
      <w:r w:rsidR="008F4A3D" w:rsidRPr="00442EC6">
        <w:rPr>
          <w:rFonts w:ascii="Arial" w:hAnsi="Arial" w:cs="Arial"/>
          <w:sz w:val="24"/>
          <w:szCs w:val="24"/>
        </w:rPr>
        <w:t xml:space="preserve"> does not mean that the money was not entrusted to the attorney or that the Fidelity Fund would be absolved of the liability to reimburse the purchaser if the other requirements for the Fund’s liability were to be established.</w:t>
      </w:r>
    </w:p>
    <w:p w14:paraId="774F4FC7" w14:textId="77777777" w:rsidR="0094285D" w:rsidRPr="00AB20E7" w:rsidRDefault="0094285D" w:rsidP="0094285D">
      <w:pPr>
        <w:pStyle w:val="ListParagraph"/>
        <w:rPr>
          <w:rFonts w:ascii="Arial" w:hAnsi="Arial" w:cs="Arial"/>
          <w:sz w:val="24"/>
          <w:szCs w:val="24"/>
        </w:rPr>
      </w:pPr>
    </w:p>
    <w:p w14:paraId="45C9E996" w14:textId="100FEC5C" w:rsidR="0094285D" w:rsidRPr="00442EC6" w:rsidRDefault="00442EC6" w:rsidP="00442EC6">
      <w:pPr>
        <w:tabs>
          <w:tab w:val="left" w:pos="4917"/>
        </w:tabs>
        <w:spacing w:before="120" w:after="120" w:line="360" w:lineRule="auto"/>
        <w:ind w:left="720" w:hanging="720"/>
        <w:jc w:val="both"/>
        <w:rPr>
          <w:rFonts w:ascii="Arial" w:hAnsi="Arial" w:cs="Arial"/>
          <w:sz w:val="24"/>
          <w:szCs w:val="24"/>
        </w:rPr>
      </w:pPr>
      <w:r w:rsidRPr="00AB20E7">
        <w:rPr>
          <w:rFonts w:ascii="Arial" w:hAnsi="Arial" w:cs="Arial"/>
          <w:sz w:val="24"/>
          <w:szCs w:val="24"/>
        </w:rPr>
        <w:t>[38]</w:t>
      </w:r>
      <w:r w:rsidRPr="00AB20E7">
        <w:rPr>
          <w:rFonts w:ascii="Arial" w:hAnsi="Arial" w:cs="Arial"/>
          <w:sz w:val="24"/>
          <w:szCs w:val="24"/>
        </w:rPr>
        <w:tab/>
      </w:r>
      <w:r w:rsidR="006B6352" w:rsidRPr="00442EC6">
        <w:rPr>
          <w:rFonts w:ascii="Arial" w:hAnsi="Arial" w:cs="Arial"/>
          <w:sz w:val="24"/>
          <w:szCs w:val="24"/>
        </w:rPr>
        <w:t xml:space="preserve">In </w:t>
      </w:r>
      <w:r w:rsidR="006B6352" w:rsidRPr="00442EC6">
        <w:rPr>
          <w:rFonts w:ascii="Arial" w:hAnsi="Arial" w:cs="Arial"/>
          <w:i/>
          <w:sz w:val="24"/>
          <w:szCs w:val="24"/>
        </w:rPr>
        <w:t>Attorneys Fidelity Fund Board of Control v Mettle Property Finance (Pty) Ltd,</w:t>
      </w:r>
      <w:bookmarkStart w:id="3" w:name="_Ref130318812"/>
      <w:r w:rsidR="006B6352" w:rsidRPr="00AB20E7">
        <w:rPr>
          <w:rStyle w:val="FootnoteReference"/>
          <w:rFonts w:ascii="Arial" w:hAnsi="Arial" w:cs="Arial"/>
          <w:i/>
          <w:sz w:val="24"/>
          <w:szCs w:val="24"/>
        </w:rPr>
        <w:footnoteReference w:id="30"/>
      </w:r>
      <w:bookmarkEnd w:id="3"/>
      <w:r w:rsidR="006B6352" w:rsidRPr="00442EC6">
        <w:rPr>
          <w:rFonts w:ascii="Arial" w:hAnsi="Arial" w:cs="Arial"/>
          <w:sz w:val="24"/>
          <w:szCs w:val="24"/>
        </w:rPr>
        <w:t xml:space="preserve"> the Supreme Court of Appeal </w:t>
      </w:r>
      <w:r w:rsidR="007B3772" w:rsidRPr="00442EC6">
        <w:rPr>
          <w:rFonts w:ascii="Arial" w:hAnsi="Arial" w:cs="Arial"/>
          <w:sz w:val="24"/>
          <w:szCs w:val="24"/>
        </w:rPr>
        <w:t>endorsed</w:t>
      </w:r>
      <w:r w:rsidR="006B6352" w:rsidRPr="00442EC6">
        <w:rPr>
          <w:rFonts w:ascii="Arial" w:hAnsi="Arial" w:cs="Arial"/>
          <w:sz w:val="24"/>
          <w:szCs w:val="24"/>
        </w:rPr>
        <w:t xml:space="preserve"> the view </w:t>
      </w:r>
      <w:r w:rsidR="007B3772" w:rsidRPr="00442EC6">
        <w:rPr>
          <w:rFonts w:ascii="Arial" w:hAnsi="Arial" w:cs="Arial"/>
          <w:sz w:val="24"/>
          <w:szCs w:val="24"/>
        </w:rPr>
        <w:t xml:space="preserve">expressed by </w:t>
      </w:r>
      <w:r w:rsidR="006B6352" w:rsidRPr="00442EC6">
        <w:rPr>
          <w:rFonts w:ascii="Arial" w:hAnsi="Arial" w:cs="Arial"/>
          <w:sz w:val="24"/>
          <w:szCs w:val="24"/>
        </w:rPr>
        <w:t xml:space="preserve">Marais JA in </w:t>
      </w:r>
      <w:r w:rsidR="006B6352" w:rsidRPr="00442EC6">
        <w:rPr>
          <w:rFonts w:ascii="Arial" w:hAnsi="Arial" w:cs="Arial"/>
          <w:i/>
          <w:sz w:val="24"/>
          <w:szCs w:val="24"/>
        </w:rPr>
        <w:t xml:space="preserve">Industrial </w:t>
      </w:r>
      <w:r w:rsidR="007B3772" w:rsidRPr="00442EC6">
        <w:rPr>
          <w:rFonts w:ascii="Arial" w:hAnsi="Arial" w:cs="Arial"/>
          <w:i/>
          <w:sz w:val="24"/>
          <w:szCs w:val="24"/>
        </w:rPr>
        <w:t>and Commercial Factors (Pty) Ltd v Attorneys Fidelity Fund,</w:t>
      </w:r>
      <w:r w:rsidR="007B3772" w:rsidRPr="00AB20E7">
        <w:rPr>
          <w:rStyle w:val="FootnoteReference"/>
          <w:rFonts w:ascii="Arial" w:hAnsi="Arial" w:cs="Arial"/>
          <w:i/>
          <w:sz w:val="24"/>
          <w:szCs w:val="24"/>
        </w:rPr>
        <w:footnoteReference w:id="31"/>
      </w:r>
      <w:r w:rsidR="006B6352" w:rsidRPr="00442EC6">
        <w:rPr>
          <w:rFonts w:ascii="Arial" w:hAnsi="Arial" w:cs="Arial"/>
          <w:sz w:val="24"/>
          <w:szCs w:val="24"/>
        </w:rPr>
        <w:t xml:space="preserve"> when it held that:</w:t>
      </w:r>
    </w:p>
    <w:p w14:paraId="65F01804" w14:textId="77777777" w:rsidR="006B6352" w:rsidRPr="00AB20E7" w:rsidRDefault="006B6352" w:rsidP="006B6352">
      <w:pPr>
        <w:pStyle w:val="ListParagraph"/>
        <w:rPr>
          <w:rFonts w:ascii="Arial" w:hAnsi="Arial" w:cs="Arial"/>
          <w:sz w:val="24"/>
          <w:szCs w:val="24"/>
        </w:rPr>
      </w:pPr>
    </w:p>
    <w:p w14:paraId="0B7E0FDC" w14:textId="2876C15D" w:rsidR="006B6352" w:rsidRPr="00AB20E7" w:rsidRDefault="006B6352" w:rsidP="006B6352">
      <w:pPr>
        <w:pStyle w:val="ListParagraph"/>
        <w:tabs>
          <w:tab w:val="left" w:pos="4917"/>
        </w:tabs>
        <w:spacing w:before="120" w:after="120" w:line="360" w:lineRule="auto"/>
        <w:ind w:left="1008" w:right="1008"/>
        <w:jc w:val="both"/>
        <w:rPr>
          <w:rFonts w:ascii="Arial" w:hAnsi="Arial" w:cs="Arial"/>
          <w:sz w:val="24"/>
          <w:szCs w:val="24"/>
        </w:rPr>
      </w:pPr>
      <w:r w:rsidRPr="00AB20E7">
        <w:rPr>
          <w:rFonts w:ascii="Arial" w:hAnsi="Arial" w:cs="Arial"/>
          <w:sz w:val="24"/>
          <w:szCs w:val="24"/>
        </w:rPr>
        <w:t>‘</w:t>
      </w:r>
      <w:r w:rsidRPr="00AB20E7">
        <w:rPr>
          <w:rFonts w:ascii="Arial" w:hAnsi="Arial" w:cs="Arial"/>
          <w:color w:val="242121"/>
          <w:sz w:val="24"/>
          <w:szCs w:val="24"/>
          <w:shd w:val="clear" w:color="auto" w:fill="FFFFFF"/>
        </w:rPr>
        <w:t>It must be remembered that ‘the indemnity against loss for which the Act provides is not unlimited in its scope. It does not provide indemnification against any kind of loss suffered as a consequence of any conceivable kind of knavery in which an attorney might indulge in the course of his or her practice.’ It is not an insurance policy against all ills that may befall money paid to an attorney.’</w:t>
      </w:r>
    </w:p>
    <w:p w14:paraId="7FF87795" w14:textId="77777777" w:rsidR="0094285D" w:rsidRPr="00AB20E7" w:rsidRDefault="0094285D" w:rsidP="0094285D">
      <w:pPr>
        <w:pStyle w:val="ListParagraph"/>
        <w:rPr>
          <w:rFonts w:ascii="Arial" w:hAnsi="Arial" w:cs="Arial"/>
          <w:sz w:val="24"/>
          <w:szCs w:val="24"/>
        </w:rPr>
      </w:pPr>
    </w:p>
    <w:p w14:paraId="44E4321E" w14:textId="77777777" w:rsidR="008F4A3D" w:rsidRPr="00AB20E7" w:rsidRDefault="008F4A3D" w:rsidP="008F4A3D">
      <w:pPr>
        <w:pStyle w:val="ListParagraph"/>
        <w:tabs>
          <w:tab w:val="left" w:pos="4917"/>
        </w:tabs>
        <w:spacing w:before="120" w:after="120" w:line="360" w:lineRule="auto"/>
        <w:jc w:val="both"/>
        <w:rPr>
          <w:rFonts w:ascii="Arial" w:hAnsi="Arial" w:cs="Arial"/>
          <w:sz w:val="24"/>
          <w:szCs w:val="24"/>
        </w:rPr>
      </w:pPr>
      <w:r w:rsidRPr="00AB20E7">
        <w:rPr>
          <w:rFonts w:ascii="Arial" w:hAnsi="Arial" w:cs="Arial"/>
          <w:sz w:val="24"/>
          <w:szCs w:val="24"/>
        </w:rPr>
        <w:t xml:space="preserve">The facts in this case, lead the Supreme Court of Appeal to find that there was ‘no entrustment’ of the money paid by Mettle to the attorney in question – </w:t>
      </w:r>
    </w:p>
    <w:p w14:paraId="6FB07527" w14:textId="77777777" w:rsidR="008F4A3D" w:rsidRPr="00AB20E7" w:rsidRDefault="008F4A3D" w:rsidP="008F4A3D">
      <w:pPr>
        <w:pStyle w:val="ListParagraph"/>
        <w:tabs>
          <w:tab w:val="left" w:pos="4917"/>
        </w:tabs>
        <w:spacing w:before="120" w:after="120" w:line="360" w:lineRule="auto"/>
        <w:jc w:val="both"/>
        <w:rPr>
          <w:rFonts w:ascii="Arial" w:hAnsi="Arial" w:cs="Arial"/>
          <w:sz w:val="24"/>
          <w:szCs w:val="24"/>
        </w:rPr>
      </w:pPr>
    </w:p>
    <w:p w14:paraId="4BC1854A" w14:textId="2B7A8351" w:rsidR="0094285D" w:rsidRPr="00AB20E7" w:rsidRDefault="008F4A3D" w:rsidP="008F4A3D">
      <w:pPr>
        <w:pStyle w:val="ListParagraph"/>
        <w:tabs>
          <w:tab w:val="left" w:pos="4917"/>
        </w:tabs>
        <w:spacing w:before="120" w:after="120" w:line="360" w:lineRule="auto"/>
        <w:ind w:left="1008" w:right="1008"/>
        <w:jc w:val="both"/>
        <w:rPr>
          <w:rFonts w:ascii="Arial" w:hAnsi="Arial" w:cs="Arial"/>
          <w:color w:val="000000"/>
          <w:sz w:val="24"/>
          <w:szCs w:val="24"/>
        </w:rPr>
      </w:pPr>
      <w:r w:rsidRPr="00AB20E7">
        <w:rPr>
          <w:rFonts w:ascii="Arial" w:hAnsi="Arial" w:cs="Arial"/>
          <w:sz w:val="24"/>
          <w:szCs w:val="24"/>
        </w:rPr>
        <w:t>‘</w:t>
      </w:r>
      <w:r w:rsidRPr="00AB20E7">
        <w:rPr>
          <w:rFonts w:ascii="Arial" w:hAnsi="Arial" w:cs="Arial"/>
          <w:color w:val="000000"/>
          <w:sz w:val="24"/>
          <w:szCs w:val="24"/>
        </w:rPr>
        <w:t>Suffice it to say that, in the case where Langerak in his personal capacity was the mortgagor, the initial purchase price paid by Mettle into Langerak's trust account belonged to Langerak as the client. He could hardly be said to steal his own money.’</w:t>
      </w:r>
    </w:p>
    <w:p w14:paraId="160C7612" w14:textId="261A8707" w:rsidR="00AC19FD" w:rsidRPr="00AB20E7" w:rsidRDefault="00AC19FD" w:rsidP="00AC19FD">
      <w:pPr>
        <w:tabs>
          <w:tab w:val="left" w:pos="4917"/>
        </w:tabs>
        <w:spacing w:before="120" w:after="120" w:line="360" w:lineRule="auto"/>
        <w:ind w:right="1008"/>
        <w:jc w:val="both"/>
        <w:rPr>
          <w:rFonts w:ascii="Arial" w:hAnsi="Arial" w:cs="Arial"/>
          <w:sz w:val="24"/>
          <w:szCs w:val="24"/>
        </w:rPr>
      </w:pPr>
    </w:p>
    <w:p w14:paraId="62BAD249" w14:textId="07F4FB01" w:rsidR="00AC19FD" w:rsidRPr="00AB20E7" w:rsidRDefault="00AC19FD" w:rsidP="00AC19FD">
      <w:pPr>
        <w:tabs>
          <w:tab w:val="left" w:pos="4917"/>
        </w:tabs>
        <w:spacing w:before="120" w:after="120" w:line="360" w:lineRule="auto"/>
        <w:ind w:right="1008"/>
        <w:jc w:val="both"/>
        <w:rPr>
          <w:rFonts w:ascii="Arial" w:hAnsi="Arial" w:cs="Arial"/>
          <w:sz w:val="24"/>
          <w:szCs w:val="24"/>
        </w:rPr>
      </w:pPr>
      <w:r w:rsidRPr="00AB20E7">
        <w:rPr>
          <w:rFonts w:ascii="Arial" w:hAnsi="Arial" w:cs="Arial"/>
          <w:sz w:val="24"/>
          <w:szCs w:val="24"/>
        </w:rPr>
        <w:lastRenderedPageBreak/>
        <w:t>Conclusion</w:t>
      </w:r>
    </w:p>
    <w:p w14:paraId="6B0D5927" w14:textId="77777777" w:rsidR="0094285D" w:rsidRPr="00AB20E7" w:rsidRDefault="0094285D" w:rsidP="0094285D">
      <w:pPr>
        <w:pStyle w:val="ListParagraph"/>
        <w:rPr>
          <w:rFonts w:ascii="Arial" w:hAnsi="Arial" w:cs="Arial"/>
          <w:sz w:val="24"/>
          <w:szCs w:val="24"/>
        </w:rPr>
      </w:pPr>
    </w:p>
    <w:p w14:paraId="60A10205" w14:textId="0DA78974" w:rsidR="00D72CE8" w:rsidRPr="00442EC6" w:rsidRDefault="00442EC6" w:rsidP="00442EC6">
      <w:pPr>
        <w:tabs>
          <w:tab w:val="left" w:pos="4917"/>
        </w:tabs>
        <w:spacing w:before="120" w:after="120" w:line="360" w:lineRule="auto"/>
        <w:ind w:left="720" w:hanging="720"/>
        <w:jc w:val="both"/>
        <w:rPr>
          <w:rFonts w:ascii="Arial" w:hAnsi="Arial" w:cs="Arial"/>
          <w:sz w:val="24"/>
          <w:szCs w:val="24"/>
        </w:rPr>
      </w:pPr>
      <w:r w:rsidRPr="00580489">
        <w:rPr>
          <w:rFonts w:ascii="Arial" w:hAnsi="Arial" w:cs="Arial"/>
          <w:sz w:val="24"/>
          <w:szCs w:val="24"/>
        </w:rPr>
        <w:t>[39]</w:t>
      </w:r>
      <w:r w:rsidRPr="00580489">
        <w:rPr>
          <w:rFonts w:ascii="Arial" w:hAnsi="Arial" w:cs="Arial"/>
          <w:sz w:val="24"/>
          <w:szCs w:val="24"/>
        </w:rPr>
        <w:tab/>
      </w:r>
      <w:r w:rsidR="00D72CE8" w:rsidRPr="00442EC6">
        <w:rPr>
          <w:rFonts w:ascii="Arial" w:hAnsi="Arial" w:cs="Arial"/>
          <w:sz w:val="24"/>
          <w:szCs w:val="24"/>
        </w:rPr>
        <w:t xml:space="preserve">The money was paid over to Advocate Moela because Ms. Rabalao was under the impression that he would render legal services to her. </w:t>
      </w:r>
      <w:r w:rsidR="00580489" w:rsidRPr="00442EC6">
        <w:rPr>
          <w:rFonts w:ascii="Arial" w:hAnsi="Arial" w:cs="Arial"/>
          <w:sz w:val="24"/>
          <w:szCs w:val="24"/>
        </w:rPr>
        <w:t>Ms. Rabalao was informed that Ms. Rambau and Advocate Moela would attend to the transfer of the property. The money was not paid over to Advocate Moela’s trust account</w:t>
      </w:r>
      <w:r w:rsidR="00D72CE8" w:rsidRPr="00442EC6">
        <w:rPr>
          <w:rFonts w:ascii="Arial" w:hAnsi="Arial" w:cs="Arial"/>
          <w:sz w:val="24"/>
          <w:szCs w:val="24"/>
        </w:rPr>
        <w:t xml:space="preserve"> because he was a friend or because, for instance, she wanted to keep money separate from the funds in her own account for a specific purpose or invest it otherwise</w:t>
      </w:r>
      <w:r w:rsidR="00580489" w:rsidRPr="00442EC6">
        <w:rPr>
          <w:rFonts w:ascii="Arial" w:hAnsi="Arial" w:cs="Arial"/>
          <w:sz w:val="24"/>
          <w:szCs w:val="24"/>
        </w:rPr>
        <w:t>, or for an immoral transaction</w:t>
      </w:r>
      <w:r w:rsidR="00D72CE8" w:rsidRPr="00442EC6">
        <w:rPr>
          <w:rFonts w:ascii="Arial" w:hAnsi="Arial" w:cs="Arial"/>
          <w:sz w:val="24"/>
          <w:szCs w:val="24"/>
        </w:rPr>
        <w:t xml:space="preserve">. Had Advocate Moela not been identified as the legal practitioner </w:t>
      </w:r>
      <w:r w:rsidR="00580489" w:rsidRPr="00442EC6">
        <w:rPr>
          <w:rFonts w:ascii="Arial" w:hAnsi="Arial" w:cs="Arial"/>
          <w:sz w:val="24"/>
          <w:szCs w:val="24"/>
        </w:rPr>
        <w:t xml:space="preserve">in whose trust account the purchase price and transfer- and registration fees had to be paid, </w:t>
      </w:r>
      <w:r w:rsidR="00D72CE8" w:rsidRPr="00442EC6">
        <w:rPr>
          <w:rFonts w:ascii="Arial" w:hAnsi="Arial" w:cs="Arial"/>
          <w:sz w:val="24"/>
          <w:szCs w:val="24"/>
        </w:rPr>
        <w:t xml:space="preserve">the money would not have been paid into his trust account. The fact that Advocate Moela practised as a legal practitioner with a trust account was a </w:t>
      </w:r>
      <w:r w:rsidR="00D72CE8" w:rsidRPr="00442EC6">
        <w:rPr>
          <w:rFonts w:ascii="Arial" w:hAnsi="Arial" w:cs="Arial"/>
          <w:i/>
          <w:sz w:val="24"/>
          <w:szCs w:val="24"/>
        </w:rPr>
        <w:t>sine qua non</w:t>
      </w:r>
      <w:r w:rsidR="00D72CE8" w:rsidRPr="00442EC6">
        <w:rPr>
          <w:rFonts w:ascii="Arial" w:hAnsi="Arial" w:cs="Arial"/>
          <w:sz w:val="24"/>
          <w:szCs w:val="24"/>
        </w:rPr>
        <w:t xml:space="preserve"> for the money being paid into his trust account. </w:t>
      </w:r>
    </w:p>
    <w:p w14:paraId="644C1D78" w14:textId="77777777" w:rsidR="00D72CE8" w:rsidRDefault="00D72CE8" w:rsidP="00D72CE8">
      <w:pPr>
        <w:pStyle w:val="ListParagraph"/>
        <w:tabs>
          <w:tab w:val="left" w:pos="4917"/>
        </w:tabs>
        <w:spacing w:before="120" w:after="120" w:line="360" w:lineRule="auto"/>
        <w:jc w:val="both"/>
        <w:rPr>
          <w:rFonts w:ascii="Arial" w:hAnsi="Arial" w:cs="Arial"/>
          <w:sz w:val="24"/>
          <w:szCs w:val="24"/>
        </w:rPr>
      </w:pPr>
    </w:p>
    <w:p w14:paraId="5914B935" w14:textId="388A0BF2" w:rsidR="0094285D" w:rsidRPr="00442EC6" w:rsidRDefault="00442EC6" w:rsidP="00442EC6">
      <w:pPr>
        <w:tabs>
          <w:tab w:val="left" w:pos="4917"/>
        </w:tabs>
        <w:spacing w:before="120" w:after="120" w:line="360" w:lineRule="auto"/>
        <w:ind w:left="720" w:hanging="720"/>
        <w:jc w:val="both"/>
        <w:rPr>
          <w:rFonts w:ascii="Arial" w:hAnsi="Arial" w:cs="Arial"/>
          <w:sz w:val="24"/>
          <w:szCs w:val="24"/>
        </w:rPr>
      </w:pPr>
      <w:r w:rsidRPr="00AB20E7">
        <w:rPr>
          <w:rFonts w:ascii="Arial" w:hAnsi="Arial" w:cs="Arial"/>
          <w:sz w:val="24"/>
          <w:szCs w:val="24"/>
        </w:rPr>
        <w:t>[40]</w:t>
      </w:r>
      <w:r w:rsidRPr="00AB20E7">
        <w:rPr>
          <w:rFonts w:ascii="Arial" w:hAnsi="Arial" w:cs="Arial"/>
          <w:sz w:val="24"/>
          <w:szCs w:val="24"/>
        </w:rPr>
        <w:tab/>
      </w:r>
      <w:r w:rsidR="00AC19FD" w:rsidRPr="00442EC6">
        <w:rPr>
          <w:rFonts w:ascii="Arial" w:hAnsi="Arial" w:cs="Arial"/>
          <w:sz w:val="24"/>
          <w:szCs w:val="24"/>
        </w:rPr>
        <w:t>The LPA changed the landscape within which legal practitioners function. With the creation of a category of trust account advocates, and by granting attorneys the right to appear in the High Court, the divide between the functions of attorneys and advocates became</w:t>
      </w:r>
      <w:r w:rsidR="00B064AC" w:rsidRPr="00442EC6">
        <w:rPr>
          <w:rFonts w:ascii="Arial" w:hAnsi="Arial" w:cs="Arial"/>
          <w:sz w:val="24"/>
          <w:szCs w:val="24"/>
        </w:rPr>
        <w:t xml:space="preserve"> </w:t>
      </w:r>
      <w:r w:rsidR="00173A9F" w:rsidRPr="00442EC6">
        <w:rPr>
          <w:rFonts w:ascii="Arial" w:hAnsi="Arial" w:cs="Arial"/>
          <w:sz w:val="24"/>
          <w:szCs w:val="24"/>
        </w:rPr>
        <w:t>less distinct</w:t>
      </w:r>
      <w:r w:rsidR="00AC19FD" w:rsidRPr="00442EC6">
        <w:rPr>
          <w:rFonts w:ascii="Arial" w:hAnsi="Arial" w:cs="Arial"/>
          <w:sz w:val="24"/>
          <w:szCs w:val="24"/>
        </w:rPr>
        <w:t xml:space="preserve">. The purpose of this development was, however, to facilitate access to the legal profession and access to justice. </w:t>
      </w:r>
    </w:p>
    <w:p w14:paraId="7C020DDD" w14:textId="77777777" w:rsidR="00AC19FD" w:rsidRPr="00AB20E7" w:rsidRDefault="00AC19FD" w:rsidP="00AC19FD">
      <w:pPr>
        <w:pStyle w:val="ListParagraph"/>
        <w:tabs>
          <w:tab w:val="left" w:pos="4917"/>
        </w:tabs>
        <w:spacing w:before="120" w:after="120" w:line="360" w:lineRule="auto"/>
        <w:jc w:val="both"/>
        <w:rPr>
          <w:rFonts w:ascii="Arial" w:hAnsi="Arial" w:cs="Arial"/>
          <w:sz w:val="24"/>
          <w:szCs w:val="24"/>
        </w:rPr>
      </w:pPr>
    </w:p>
    <w:p w14:paraId="299B7028" w14:textId="11C14EFE" w:rsidR="00AC19FD" w:rsidRPr="00442EC6" w:rsidRDefault="00442EC6" w:rsidP="00442EC6">
      <w:pPr>
        <w:tabs>
          <w:tab w:val="left" w:pos="4917"/>
        </w:tabs>
        <w:spacing w:before="120" w:after="120" w:line="360" w:lineRule="auto"/>
        <w:ind w:left="720" w:hanging="720"/>
        <w:jc w:val="both"/>
        <w:rPr>
          <w:rFonts w:ascii="Arial" w:hAnsi="Arial" w:cs="Arial"/>
          <w:sz w:val="24"/>
          <w:szCs w:val="24"/>
        </w:rPr>
      </w:pPr>
      <w:r w:rsidRPr="00AB20E7">
        <w:rPr>
          <w:rFonts w:ascii="Arial" w:hAnsi="Arial" w:cs="Arial"/>
          <w:sz w:val="24"/>
          <w:szCs w:val="24"/>
        </w:rPr>
        <w:t>[41]</w:t>
      </w:r>
      <w:r w:rsidRPr="00AB20E7">
        <w:rPr>
          <w:rFonts w:ascii="Arial" w:hAnsi="Arial" w:cs="Arial"/>
          <w:sz w:val="24"/>
          <w:szCs w:val="24"/>
        </w:rPr>
        <w:tab/>
      </w:r>
      <w:r w:rsidR="00AC19FD" w:rsidRPr="00442EC6">
        <w:rPr>
          <w:rFonts w:ascii="Arial" w:hAnsi="Arial" w:cs="Arial"/>
          <w:sz w:val="24"/>
          <w:szCs w:val="24"/>
        </w:rPr>
        <w:t xml:space="preserve">The respondents are correct in holding that the Fidelity Fund is a creature of statute and that its liability can only be determined within the provisions of the LPA. </w:t>
      </w:r>
      <w:r w:rsidR="000B6A49" w:rsidRPr="00442EC6">
        <w:rPr>
          <w:rFonts w:ascii="Arial" w:hAnsi="Arial" w:cs="Arial"/>
          <w:sz w:val="24"/>
          <w:szCs w:val="24"/>
        </w:rPr>
        <w:t xml:space="preserve">When the relevant provisions of the LPA are, however, interpreted against the constitutional imperative of facilitating access to justice and within the legislative framework through which access to justice is enhanced by providing a category of trust account advocates, the protection afforded to members of the public, often members of vulnerable communities whom the legislature wanted to benefit from having direct access to </w:t>
      </w:r>
      <w:r w:rsidR="00B064AC" w:rsidRPr="00442EC6">
        <w:rPr>
          <w:rFonts w:ascii="Arial" w:hAnsi="Arial" w:cs="Arial"/>
          <w:sz w:val="24"/>
          <w:szCs w:val="24"/>
        </w:rPr>
        <w:t xml:space="preserve">trust account </w:t>
      </w:r>
      <w:r w:rsidR="000B6A49" w:rsidRPr="00442EC6">
        <w:rPr>
          <w:rFonts w:ascii="Arial" w:hAnsi="Arial" w:cs="Arial"/>
          <w:sz w:val="24"/>
          <w:szCs w:val="24"/>
        </w:rPr>
        <w:t xml:space="preserve">advocates, cannot unduly be limited. The scope of protection provided to members of society who entrust money to the trust accounts of trust account advocates, must correlate with the extent to which </w:t>
      </w:r>
      <w:r w:rsidR="00AB20E7" w:rsidRPr="00442EC6">
        <w:rPr>
          <w:rFonts w:ascii="Arial" w:hAnsi="Arial" w:cs="Arial"/>
          <w:sz w:val="24"/>
          <w:szCs w:val="24"/>
        </w:rPr>
        <w:t>the legal</w:t>
      </w:r>
      <w:r w:rsidR="006E5BF5" w:rsidRPr="00442EC6">
        <w:rPr>
          <w:rFonts w:ascii="Arial" w:hAnsi="Arial" w:cs="Arial"/>
          <w:sz w:val="24"/>
          <w:szCs w:val="24"/>
        </w:rPr>
        <w:t xml:space="preserve"> </w:t>
      </w:r>
      <w:r w:rsidR="000B6A49" w:rsidRPr="00442EC6">
        <w:rPr>
          <w:rFonts w:ascii="Arial" w:hAnsi="Arial" w:cs="Arial"/>
          <w:sz w:val="24"/>
          <w:szCs w:val="24"/>
        </w:rPr>
        <w:t>services that may be rendered by trust accoun</w:t>
      </w:r>
      <w:r w:rsidR="00AB20E7" w:rsidRPr="00442EC6">
        <w:rPr>
          <w:rFonts w:ascii="Arial" w:hAnsi="Arial" w:cs="Arial"/>
          <w:sz w:val="24"/>
          <w:szCs w:val="24"/>
        </w:rPr>
        <w:t xml:space="preserve">t advocates have been extended to </w:t>
      </w:r>
      <w:r w:rsidR="00AB20E7" w:rsidRPr="00442EC6">
        <w:rPr>
          <w:rFonts w:ascii="Arial" w:hAnsi="Arial" w:cs="Arial"/>
          <w:sz w:val="24"/>
          <w:szCs w:val="24"/>
        </w:rPr>
        <w:lastRenderedPageBreak/>
        <w:t>the public</w:t>
      </w:r>
      <w:r w:rsidR="000B6A49" w:rsidRPr="00442EC6">
        <w:rPr>
          <w:rFonts w:ascii="Arial" w:hAnsi="Arial" w:cs="Arial"/>
          <w:sz w:val="24"/>
          <w:szCs w:val="24"/>
        </w:rPr>
        <w:t xml:space="preserve">. The legislature and the Council refrained from limiting the </w:t>
      </w:r>
      <w:r w:rsidR="003D681A" w:rsidRPr="00442EC6">
        <w:rPr>
          <w:rFonts w:ascii="Arial" w:hAnsi="Arial" w:cs="Arial"/>
          <w:sz w:val="24"/>
          <w:szCs w:val="24"/>
        </w:rPr>
        <w:t>legal services that can be rendered by trust account advocates by providing a closed</w:t>
      </w:r>
      <w:r w:rsidR="00D72CE8" w:rsidRPr="00442EC6">
        <w:rPr>
          <w:rFonts w:ascii="Arial" w:hAnsi="Arial" w:cs="Arial"/>
          <w:sz w:val="24"/>
          <w:szCs w:val="24"/>
        </w:rPr>
        <w:t>, or clearly delineated</w:t>
      </w:r>
      <w:r w:rsidR="003D681A" w:rsidRPr="00442EC6">
        <w:rPr>
          <w:rFonts w:ascii="Arial" w:hAnsi="Arial" w:cs="Arial"/>
          <w:sz w:val="24"/>
          <w:szCs w:val="24"/>
        </w:rPr>
        <w:t xml:space="preserve"> list</w:t>
      </w:r>
      <w:r w:rsidR="00AB20E7" w:rsidRPr="00442EC6">
        <w:rPr>
          <w:rFonts w:ascii="Arial" w:hAnsi="Arial" w:cs="Arial"/>
          <w:sz w:val="24"/>
          <w:szCs w:val="24"/>
        </w:rPr>
        <w:t xml:space="preserve"> of legal services</w:t>
      </w:r>
      <w:r w:rsidR="005D3574" w:rsidRPr="00442EC6">
        <w:rPr>
          <w:rFonts w:ascii="Arial" w:hAnsi="Arial" w:cs="Arial"/>
          <w:sz w:val="24"/>
          <w:szCs w:val="24"/>
        </w:rPr>
        <w:t xml:space="preserve"> that may be rendered by trust account advocates</w:t>
      </w:r>
      <w:r w:rsidR="00D72CE8" w:rsidRPr="00442EC6">
        <w:rPr>
          <w:rFonts w:ascii="Arial" w:hAnsi="Arial" w:cs="Arial"/>
          <w:sz w:val="24"/>
          <w:szCs w:val="24"/>
        </w:rPr>
        <w:t>, save for stipulating that trust account advocates may</w:t>
      </w:r>
      <w:r w:rsidR="003D681A" w:rsidRPr="00442EC6">
        <w:rPr>
          <w:rFonts w:ascii="Arial" w:hAnsi="Arial" w:cs="Arial"/>
          <w:sz w:val="24"/>
          <w:szCs w:val="24"/>
        </w:rPr>
        <w:t xml:space="preserve"> </w:t>
      </w:r>
      <w:r w:rsidR="00D72CE8" w:rsidRPr="00442EC6">
        <w:rPr>
          <w:rFonts w:ascii="Arial" w:hAnsi="Arial" w:cs="Arial"/>
          <w:sz w:val="24"/>
          <w:szCs w:val="24"/>
        </w:rPr>
        <w:t>only render those legal services rendered by advocates before the commencement of the Act as determined by the Council in the rules.</w:t>
      </w:r>
      <w:r w:rsidR="00D72CE8" w:rsidRPr="00442EC6">
        <w:rPr>
          <w:rFonts w:ascii="Arial" w:hAnsi="Arial" w:cs="Arial"/>
          <w:b/>
          <w:sz w:val="24"/>
          <w:szCs w:val="24"/>
        </w:rPr>
        <w:t xml:space="preserve"> </w:t>
      </w:r>
      <w:r w:rsidR="005D3574" w:rsidRPr="00442EC6">
        <w:rPr>
          <w:rFonts w:ascii="Arial" w:hAnsi="Arial" w:cs="Arial"/>
          <w:sz w:val="24"/>
          <w:szCs w:val="24"/>
        </w:rPr>
        <w:t>In addition, t</w:t>
      </w:r>
      <w:r w:rsidR="003D681A" w:rsidRPr="00442EC6">
        <w:rPr>
          <w:rFonts w:ascii="Arial" w:hAnsi="Arial" w:cs="Arial"/>
          <w:sz w:val="24"/>
          <w:szCs w:val="24"/>
        </w:rPr>
        <w:t>he Council specifically provided that trust account advocates may perform such functions ancillary to the</w:t>
      </w:r>
      <w:r w:rsidR="00C7567F" w:rsidRPr="00442EC6">
        <w:rPr>
          <w:rFonts w:ascii="Arial" w:hAnsi="Arial" w:cs="Arial"/>
          <w:sz w:val="24"/>
          <w:szCs w:val="24"/>
        </w:rPr>
        <w:t>ir</w:t>
      </w:r>
      <w:r w:rsidR="003D681A" w:rsidRPr="00442EC6">
        <w:rPr>
          <w:rFonts w:ascii="Arial" w:hAnsi="Arial" w:cs="Arial"/>
          <w:sz w:val="24"/>
          <w:szCs w:val="24"/>
        </w:rPr>
        <w:t xml:space="preserve"> instructions as are necessary to properly represent the client. </w:t>
      </w:r>
      <w:r w:rsidR="00D72CE8" w:rsidRPr="00442EC6">
        <w:rPr>
          <w:rFonts w:ascii="Arial" w:hAnsi="Arial" w:cs="Arial"/>
          <w:sz w:val="24"/>
          <w:szCs w:val="24"/>
        </w:rPr>
        <w:t>In this context, t</w:t>
      </w:r>
      <w:r w:rsidR="000B6A49" w:rsidRPr="00442EC6">
        <w:rPr>
          <w:rFonts w:ascii="Arial" w:hAnsi="Arial" w:cs="Arial"/>
          <w:sz w:val="24"/>
          <w:szCs w:val="24"/>
        </w:rPr>
        <w:t>he principle</w:t>
      </w:r>
      <w:r w:rsidR="003D681A" w:rsidRPr="00442EC6">
        <w:rPr>
          <w:rFonts w:ascii="Arial" w:hAnsi="Arial" w:cs="Arial"/>
          <w:sz w:val="24"/>
          <w:szCs w:val="24"/>
        </w:rPr>
        <w:t>,</w:t>
      </w:r>
      <w:r w:rsidR="000B6A49" w:rsidRPr="00442EC6">
        <w:rPr>
          <w:rFonts w:ascii="Arial" w:hAnsi="Arial" w:cs="Arial"/>
          <w:sz w:val="24"/>
          <w:szCs w:val="24"/>
        </w:rPr>
        <w:t xml:space="preserve"> as applied in </w:t>
      </w:r>
      <w:r w:rsidR="000B6A49" w:rsidRPr="00442EC6">
        <w:rPr>
          <w:rFonts w:ascii="Arial" w:hAnsi="Arial" w:cs="Arial"/>
          <w:i/>
          <w:sz w:val="24"/>
          <w:szCs w:val="24"/>
        </w:rPr>
        <w:t>Tollemache</w:t>
      </w:r>
      <w:r w:rsidR="003D681A" w:rsidRPr="00442EC6">
        <w:rPr>
          <w:rFonts w:ascii="Arial" w:hAnsi="Arial" w:cs="Arial"/>
          <w:i/>
          <w:sz w:val="24"/>
          <w:szCs w:val="24"/>
        </w:rPr>
        <w:t>,</w:t>
      </w:r>
      <w:r w:rsidR="000B6A49" w:rsidRPr="00442EC6">
        <w:rPr>
          <w:rFonts w:ascii="Arial" w:hAnsi="Arial" w:cs="Arial"/>
          <w:sz w:val="24"/>
          <w:szCs w:val="24"/>
        </w:rPr>
        <w:t xml:space="preserve"> is equally applicable to trust account advocates</w:t>
      </w:r>
      <w:r w:rsidR="003D681A" w:rsidRPr="00442EC6">
        <w:rPr>
          <w:rFonts w:ascii="Arial" w:hAnsi="Arial" w:cs="Arial"/>
          <w:sz w:val="24"/>
          <w:szCs w:val="24"/>
        </w:rPr>
        <w:t>.</w:t>
      </w:r>
    </w:p>
    <w:p w14:paraId="794EA37C" w14:textId="77777777" w:rsidR="000B6A49" w:rsidRPr="00AB20E7" w:rsidRDefault="000B6A49" w:rsidP="000B6A49">
      <w:pPr>
        <w:pStyle w:val="ListParagraph"/>
        <w:rPr>
          <w:rFonts w:ascii="Arial" w:hAnsi="Arial" w:cs="Arial"/>
          <w:sz w:val="24"/>
          <w:szCs w:val="24"/>
        </w:rPr>
      </w:pPr>
    </w:p>
    <w:p w14:paraId="18797017" w14:textId="2CB6403E" w:rsidR="00CC7205" w:rsidRPr="00442EC6" w:rsidRDefault="00442EC6" w:rsidP="00442EC6">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[42]</w:t>
      </w:r>
      <w:r>
        <w:rPr>
          <w:rFonts w:ascii="Arial" w:hAnsi="Arial" w:cs="Arial"/>
          <w:sz w:val="24"/>
          <w:szCs w:val="24"/>
        </w:rPr>
        <w:tab/>
      </w:r>
      <w:r w:rsidR="00B064AC" w:rsidRPr="00442EC6">
        <w:rPr>
          <w:rFonts w:ascii="Arial" w:hAnsi="Arial" w:cs="Arial"/>
          <w:sz w:val="24"/>
          <w:szCs w:val="24"/>
        </w:rPr>
        <w:t>Having regard to the applicable constitutional principles, the legislative framework and existing caselaw, t</w:t>
      </w:r>
      <w:r w:rsidR="0050359E" w:rsidRPr="00442EC6">
        <w:rPr>
          <w:rFonts w:ascii="Arial" w:hAnsi="Arial" w:cs="Arial"/>
          <w:sz w:val="24"/>
          <w:szCs w:val="24"/>
        </w:rPr>
        <w:t xml:space="preserve">he </w:t>
      </w:r>
      <w:r w:rsidR="0050359E" w:rsidRPr="00442EC6">
        <w:rPr>
          <w:rFonts w:ascii="Arial" w:hAnsi="Arial" w:cs="Arial"/>
          <w:i/>
          <w:sz w:val="24"/>
          <w:szCs w:val="24"/>
        </w:rPr>
        <w:t>amicus curiae</w:t>
      </w:r>
      <w:r w:rsidR="0050359E" w:rsidRPr="00442EC6">
        <w:rPr>
          <w:rFonts w:ascii="Arial" w:hAnsi="Arial" w:cs="Arial"/>
          <w:sz w:val="24"/>
          <w:szCs w:val="24"/>
        </w:rPr>
        <w:t>, correctly in my view, contended that where a trust account advocate is briefed to negotiate on behalf of a client</w:t>
      </w:r>
      <w:r w:rsidR="003D681A" w:rsidRPr="00442EC6">
        <w:rPr>
          <w:rFonts w:ascii="Arial" w:hAnsi="Arial" w:cs="Arial"/>
          <w:sz w:val="24"/>
          <w:szCs w:val="24"/>
        </w:rPr>
        <w:t>, or advi</w:t>
      </w:r>
      <w:r w:rsidR="006132AA" w:rsidRPr="00442EC6">
        <w:rPr>
          <w:rFonts w:ascii="Arial" w:hAnsi="Arial" w:cs="Arial"/>
          <w:sz w:val="24"/>
          <w:szCs w:val="24"/>
        </w:rPr>
        <w:t>s</w:t>
      </w:r>
      <w:r w:rsidR="003D681A" w:rsidRPr="00442EC6">
        <w:rPr>
          <w:rFonts w:ascii="Arial" w:hAnsi="Arial" w:cs="Arial"/>
          <w:sz w:val="24"/>
          <w:szCs w:val="24"/>
        </w:rPr>
        <w:t>e a client,</w:t>
      </w:r>
      <w:r w:rsidR="0050359E" w:rsidRPr="00442EC6">
        <w:rPr>
          <w:rFonts w:ascii="Arial" w:hAnsi="Arial" w:cs="Arial"/>
          <w:sz w:val="24"/>
          <w:szCs w:val="24"/>
        </w:rPr>
        <w:t xml:space="preserve"> regarding a sale of immovable property, one of the ‘functions ancillary to his or her instructions as are necessary to enable him or her to pr</w:t>
      </w:r>
      <w:r w:rsidR="00CC7205" w:rsidRPr="00442EC6">
        <w:rPr>
          <w:rFonts w:ascii="Arial" w:hAnsi="Arial" w:cs="Arial"/>
          <w:sz w:val="24"/>
          <w:szCs w:val="24"/>
        </w:rPr>
        <w:t>operly represent the client’ can</w:t>
      </w:r>
      <w:r w:rsidR="0050359E" w:rsidRPr="00442EC6">
        <w:rPr>
          <w:rFonts w:ascii="Arial" w:hAnsi="Arial" w:cs="Arial"/>
          <w:sz w:val="24"/>
          <w:szCs w:val="24"/>
        </w:rPr>
        <w:t xml:space="preserve"> include receiving the purchase price and registration and transfer fees into his trust account. The fact that a trust account advocate is not a conveyancer is of no consequence. It is trite that attorneys, who are not conveyancers, often receive the purchase price and transfer and registration fees relating to a sale of immovable property in their trust accounts, only to pay it out </w:t>
      </w:r>
      <w:r w:rsidR="00580489" w:rsidRPr="00442EC6">
        <w:rPr>
          <w:rFonts w:ascii="Arial" w:hAnsi="Arial" w:cs="Arial"/>
          <w:sz w:val="24"/>
          <w:szCs w:val="24"/>
        </w:rPr>
        <w:t xml:space="preserve">to the seller </w:t>
      </w:r>
      <w:r w:rsidR="0050359E" w:rsidRPr="00442EC6">
        <w:rPr>
          <w:rFonts w:ascii="Arial" w:hAnsi="Arial" w:cs="Arial"/>
          <w:sz w:val="24"/>
          <w:szCs w:val="24"/>
        </w:rPr>
        <w:t>on registration of the property in the name of the purchaser, or to pay it over to the trust account of the conveyancer instructed by the client, on the client’s instruction.</w:t>
      </w:r>
      <w:r w:rsidR="00D72CE8" w:rsidRPr="00442EC6">
        <w:rPr>
          <w:rFonts w:ascii="Arial" w:hAnsi="Arial" w:cs="Arial"/>
          <w:sz w:val="24"/>
          <w:szCs w:val="24"/>
        </w:rPr>
        <w:t xml:space="preserve"> </w:t>
      </w:r>
    </w:p>
    <w:p w14:paraId="208A2B94" w14:textId="77777777" w:rsidR="00CC7205" w:rsidRPr="00CC7205" w:rsidRDefault="00CC7205" w:rsidP="00CC7205">
      <w:pPr>
        <w:pStyle w:val="ListParagraph"/>
        <w:rPr>
          <w:rFonts w:ascii="Arial" w:hAnsi="Arial" w:cs="Arial"/>
          <w:sz w:val="24"/>
          <w:szCs w:val="24"/>
        </w:rPr>
      </w:pPr>
    </w:p>
    <w:p w14:paraId="7E21912E" w14:textId="4B119C27" w:rsidR="0050359E" w:rsidRPr="00442EC6" w:rsidRDefault="00442EC6" w:rsidP="00442EC6">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[43]</w:t>
      </w:r>
      <w:r>
        <w:rPr>
          <w:rFonts w:ascii="Arial" w:hAnsi="Arial" w:cs="Arial"/>
          <w:sz w:val="24"/>
          <w:szCs w:val="24"/>
        </w:rPr>
        <w:tab/>
      </w:r>
      <w:r w:rsidR="00D72CE8" w:rsidRPr="00442EC6">
        <w:rPr>
          <w:rFonts w:ascii="Arial" w:hAnsi="Arial" w:cs="Arial"/>
          <w:sz w:val="24"/>
          <w:szCs w:val="24"/>
        </w:rPr>
        <w:t>No</w:t>
      </w:r>
      <w:r w:rsidR="003D681A" w:rsidRPr="00442EC6">
        <w:rPr>
          <w:rFonts w:ascii="Arial" w:hAnsi="Arial" w:cs="Arial"/>
          <w:sz w:val="24"/>
          <w:szCs w:val="24"/>
        </w:rPr>
        <w:t xml:space="preserve"> reason </w:t>
      </w:r>
      <w:r w:rsidR="00D72CE8" w:rsidRPr="00442EC6">
        <w:rPr>
          <w:rFonts w:ascii="Arial" w:hAnsi="Arial" w:cs="Arial"/>
          <w:sz w:val="24"/>
          <w:szCs w:val="24"/>
        </w:rPr>
        <w:t xml:space="preserve">exists </w:t>
      </w:r>
      <w:r w:rsidR="003D681A" w:rsidRPr="00442EC6">
        <w:rPr>
          <w:rFonts w:ascii="Arial" w:hAnsi="Arial" w:cs="Arial"/>
          <w:sz w:val="24"/>
          <w:szCs w:val="24"/>
        </w:rPr>
        <w:t xml:space="preserve">that </w:t>
      </w:r>
      <w:r w:rsidR="00C7567F" w:rsidRPr="00442EC6">
        <w:rPr>
          <w:rFonts w:ascii="Arial" w:hAnsi="Arial" w:cs="Arial"/>
          <w:sz w:val="24"/>
          <w:szCs w:val="24"/>
        </w:rPr>
        <w:t>would justify</w:t>
      </w:r>
      <w:r w:rsidR="00CC7205" w:rsidRPr="00442EC6">
        <w:rPr>
          <w:rFonts w:ascii="Arial" w:hAnsi="Arial" w:cs="Arial"/>
          <w:sz w:val="24"/>
          <w:szCs w:val="24"/>
        </w:rPr>
        <w:t xml:space="preserve"> a finding that providing</w:t>
      </w:r>
      <w:r w:rsidR="003D681A" w:rsidRPr="00442EC6">
        <w:rPr>
          <w:rFonts w:ascii="Arial" w:hAnsi="Arial" w:cs="Arial"/>
          <w:sz w:val="24"/>
          <w:szCs w:val="24"/>
        </w:rPr>
        <w:t xml:space="preserve"> clients with </w:t>
      </w:r>
      <w:r w:rsidR="00C7567F" w:rsidRPr="00442EC6">
        <w:rPr>
          <w:rFonts w:ascii="Arial" w:hAnsi="Arial" w:cs="Arial"/>
          <w:sz w:val="24"/>
          <w:szCs w:val="24"/>
        </w:rPr>
        <w:t xml:space="preserve">advice, or </w:t>
      </w:r>
      <w:r w:rsidR="00CC7205" w:rsidRPr="00442EC6">
        <w:rPr>
          <w:rFonts w:ascii="Arial" w:hAnsi="Arial" w:cs="Arial"/>
          <w:sz w:val="24"/>
          <w:szCs w:val="24"/>
        </w:rPr>
        <w:t xml:space="preserve">assistance </w:t>
      </w:r>
      <w:r w:rsidR="00C7567F" w:rsidRPr="00442EC6">
        <w:rPr>
          <w:rFonts w:ascii="Arial" w:hAnsi="Arial" w:cs="Arial"/>
          <w:sz w:val="24"/>
          <w:szCs w:val="24"/>
        </w:rPr>
        <w:t>during negotiations</w:t>
      </w:r>
      <w:r w:rsidR="003D681A" w:rsidRPr="00442EC6">
        <w:rPr>
          <w:rFonts w:ascii="Arial" w:hAnsi="Arial" w:cs="Arial"/>
          <w:sz w:val="24"/>
          <w:szCs w:val="24"/>
        </w:rPr>
        <w:t xml:space="preserve"> regarding the sale of immovable property is a function </w:t>
      </w:r>
      <w:r w:rsidR="00B064AC" w:rsidRPr="00442EC6">
        <w:rPr>
          <w:rFonts w:ascii="Arial" w:hAnsi="Arial" w:cs="Arial"/>
          <w:sz w:val="24"/>
          <w:szCs w:val="24"/>
        </w:rPr>
        <w:t>that</w:t>
      </w:r>
      <w:r w:rsidR="003D681A" w:rsidRPr="00442EC6">
        <w:rPr>
          <w:rFonts w:ascii="Arial" w:hAnsi="Arial" w:cs="Arial"/>
          <w:sz w:val="24"/>
          <w:szCs w:val="24"/>
        </w:rPr>
        <w:t xml:space="preserve"> is</w:t>
      </w:r>
      <w:r w:rsidR="00D72CE8" w:rsidRPr="00442EC6">
        <w:rPr>
          <w:rFonts w:ascii="Arial" w:hAnsi="Arial" w:cs="Arial"/>
          <w:sz w:val="24"/>
          <w:szCs w:val="24"/>
        </w:rPr>
        <w:t xml:space="preserve"> ‘properly that of an attorney’, and thus reserved for attorneys only</w:t>
      </w:r>
      <w:r w:rsidR="00580489" w:rsidRPr="00442EC6">
        <w:rPr>
          <w:rFonts w:ascii="Arial" w:hAnsi="Arial" w:cs="Arial"/>
          <w:sz w:val="24"/>
          <w:szCs w:val="24"/>
        </w:rPr>
        <w:t>. Where a purchaser pays the purchase price and transfer and registration fees</w:t>
      </w:r>
      <w:r w:rsidR="00913448" w:rsidRPr="00442EC6">
        <w:rPr>
          <w:rFonts w:ascii="Arial" w:hAnsi="Arial" w:cs="Arial"/>
          <w:sz w:val="24"/>
          <w:szCs w:val="24"/>
        </w:rPr>
        <w:t xml:space="preserve"> into a trust account advocate’s trust account</w:t>
      </w:r>
      <w:r w:rsidR="005D3574" w:rsidRPr="00442EC6">
        <w:rPr>
          <w:rFonts w:ascii="Arial" w:hAnsi="Arial" w:cs="Arial"/>
          <w:sz w:val="24"/>
          <w:szCs w:val="24"/>
        </w:rPr>
        <w:t>,</w:t>
      </w:r>
      <w:r w:rsidR="00913448" w:rsidRPr="00442EC6">
        <w:rPr>
          <w:rFonts w:ascii="Arial" w:hAnsi="Arial" w:cs="Arial"/>
          <w:sz w:val="24"/>
          <w:szCs w:val="24"/>
        </w:rPr>
        <w:t xml:space="preserve"> it is paid in the trust account within the scope of the trust account advocate’s practice and received by him in his capacity as a legal practioner with a trust account.</w:t>
      </w:r>
    </w:p>
    <w:p w14:paraId="5D69253A" w14:textId="77777777" w:rsidR="00C7567F" w:rsidRDefault="00C7567F" w:rsidP="00C7567F">
      <w:pPr>
        <w:pStyle w:val="ListParagraph"/>
        <w:tabs>
          <w:tab w:val="left" w:pos="4917"/>
        </w:tabs>
        <w:spacing w:before="120" w:after="120" w:line="360" w:lineRule="auto"/>
        <w:jc w:val="both"/>
        <w:rPr>
          <w:rFonts w:ascii="Arial" w:hAnsi="Arial" w:cs="Arial"/>
          <w:sz w:val="24"/>
          <w:szCs w:val="24"/>
        </w:rPr>
      </w:pPr>
    </w:p>
    <w:p w14:paraId="4875C7E9" w14:textId="7D2F5E41" w:rsidR="00C7567F" w:rsidRPr="00442EC6" w:rsidRDefault="00442EC6" w:rsidP="00442EC6">
      <w:pPr>
        <w:tabs>
          <w:tab w:val="left" w:pos="4917"/>
        </w:tabs>
        <w:spacing w:before="120" w:after="120" w:line="360" w:lineRule="auto"/>
        <w:ind w:left="720" w:hanging="720"/>
        <w:jc w:val="both"/>
        <w:rPr>
          <w:rFonts w:ascii="Arial" w:hAnsi="Arial" w:cs="Arial"/>
          <w:sz w:val="24"/>
          <w:szCs w:val="24"/>
        </w:rPr>
      </w:pPr>
      <w:r w:rsidRPr="00AB20E7">
        <w:rPr>
          <w:rFonts w:ascii="Arial" w:hAnsi="Arial" w:cs="Arial"/>
          <w:sz w:val="24"/>
          <w:szCs w:val="24"/>
        </w:rPr>
        <w:t>[44]</w:t>
      </w:r>
      <w:r w:rsidRPr="00AB20E7">
        <w:rPr>
          <w:rFonts w:ascii="Arial" w:hAnsi="Arial" w:cs="Arial"/>
          <w:sz w:val="24"/>
          <w:szCs w:val="24"/>
        </w:rPr>
        <w:tab/>
      </w:r>
      <w:r w:rsidR="00C7567F" w:rsidRPr="00442EC6">
        <w:rPr>
          <w:rFonts w:ascii="Arial" w:hAnsi="Arial" w:cs="Arial"/>
          <w:sz w:val="24"/>
          <w:szCs w:val="24"/>
        </w:rPr>
        <w:t>In light of the fact that the applicant is self-repr</w:t>
      </w:r>
      <w:r w:rsidR="000D5C09" w:rsidRPr="00442EC6">
        <w:rPr>
          <w:rFonts w:ascii="Arial" w:hAnsi="Arial" w:cs="Arial"/>
          <w:sz w:val="24"/>
          <w:szCs w:val="24"/>
        </w:rPr>
        <w:t>esented, no costs order is</w:t>
      </w:r>
      <w:r w:rsidR="00C7567F" w:rsidRPr="00442EC6">
        <w:rPr>
          <w:rFonts w:ascii="Arial" w:hAnsi="Arial" w:cs="Arial"/>
          <w:sz w:val="24"/>
          <w:szCs w:val="24"/>
        </w:rPr>
        <w:t xml:space="preserve"> made.</w:t>
      </w:r>
    </w:p>
    <w:p w14:paraId="41D9021E" w14:textId="1B2CED90" w:rsidR="0094285D" w:rsidRPr="00AB20E7" w:rsidRDefault="0094285D" w:rsidP="003D681A">
      <w:pPr>
        <w:pStyle w:val="ListParagraph"/>
        <w:tabs>
          <w:tab w:val="left" w:pos="4917"/>
        </w:tabs>
        <w:spacing w:before="120" w:after="120" w:line="360" w:lineRule="auto"/>
        <w:jc w:val="both"/>
        <w:rPr>
          <w:rFonts w:ascii="Arial" w:hAnsi="Arial" w:cs="Arial"/>
          <w:sz w:val="24"/>
          <w:szCs w:val="24"/>
        </w:rPr>
      </w:pPr>
    </w:p>
    <w:p w14:paraId="3C89FD3F" w14:textId="75285249" w:rsidR="00CF7942" w:rsidRPr="00AB20E7" w:rsidRDefault="00CF7942" w:rsidP="00377FDC">
      <w:pPr>
        <w:tabs>
          <w:tab w:val="left" w:pos="4917"/>
        </w:tabs>
        <w:spacing w:before="120" w:after="120" w:line="360" w:lineRule="auto"/>
        <w:jc w:val="both"/>
        <w:rPr>
          <w:rFonts w:ascii="Arial" w:hAnsi="Arial" w:cs="Arial"/>
          <w:b/>
          <w:sz w:val="24"/>
          <w:szCs w:val="24"/>
        </w:rPr>
      </w:pPr>
      <w:r w:rsidRPr="00AB20E7">
        <w:rPr>
          <w:rFonts w:ascii="Arial" w:hAnsi="Arial" w:cs="Arial"/>
          <w:b/>
          <w:sz w:val="24"/>
          <w:szCs w:val="24"/>
        </w:rPr>
        <w:t>ORDER</w:t>
      </w:r>
    </w:p>
    <w:p w14:paraId="2A15CA90" w14:textId="24EC2070" w:rsidR="00CF7942" w:rsidRPr="00AB20E7" w:rsidRDefault="00CF7942" w:rsidP="00CF7942">
      <w:pPr>
        <w:tabs>
          <w:tab w:val="left" w:pos="4917"/>
        </w:tabs>
        <w:spacing w:before="120" w:after="120" w:line="360" w:lineRule="auto"/>
        <w:jc w:val="both"/>
        <w:rPr>
          <w:rFonts w:ascii="Arial" w:hAnsi="Arial" w:cs="Arial"/>
          <w:b/>
          <w:sz w:val="24"/>
          <w:szCs w:val="24"/>
        </w:rPr>
      </w:pPr>
      <w:r w:rsidRPr="00AB20E7">
        <w:rPr>
          <w:rFonts w:ascii="Arial" w:hAnsi="Arial" w:cs="Arial"/>
          <w:b/>
          <w:sz w:val="24"/>
          <w:szCs w:val="24"/>
        </w:rPr>
        <w:t>In the result, the following order is granted:</w:t>
      </w:r>
    </w:p>
    <w:p w14:paraId="11A526CF" w14:textId="38EBFC00" w:rsidR="003D681A" w:rsidRPr="00442EC6" w:rsidRDefault="00442EC6" w:rsidP="00442EC6">
      <w:pPr>
        <w:tabs>
          <w:tab w:val="left" w:pos="4917"/>
        </w:tabs>
        <w:spacing w:before="120" w:after="120" w:line="360" w:lineRule="auto"/>
        <w:ind w:left="720" w:hanging="360"/>
        <w:jc w:val="both"/>
        <w:rPr>
          <w:rFonts w:ascii="Arial" w:hAnsi="Arial" w:cs="Arial"/>
          <w:b/>
          <w:sz w:val="24"/>
          <w:szCs w:val="24"/>
        </w:rPr>
      </w:pPr>
      <w:r>
        <w:rPr>
          <w:rFonts w:ascii="Arial" w:hAnsi="Arial" w:cs="Arial"/>
          <w:b/>
          <w:sz w:val="24"/>
          <w:szCs w:val="24"/>
        </w:rPr>
        <w:t>1.</w:t>
      </w:r>
      <w:r>
        <w:rPr>
          <w:rFonts w:ascii="Arial" w:hAnsi="Arial" w:cs="Arial"/>
          <w:b/>
          <w:sz w:val="24"/>
          <w:szCs w:val="24"/>
        </w:rPr>
        <w:tab/>
      </w:r>
      <w:r w:rsidR="003D681A" w:rsidRPr="00442EC6">
        <w:rPr>
          <w:rFonts w:ascii="Arial" w:hAnsi="Arial" w:cs="Arial"/>
          <w:b/>
          <w:sz w:val="24"/>
          <w:szCs w:val="24"/>
        </w:rPr>
        <w:t>The decision of the second respondent to disallow the applicant’s claim arising out of monies deposited by her into the trust account of Advocate Moela, is hereby reviewed and set aside</w:t>
      </w:r>
      <w:r w:rsidR="00AB20E7" w:rsidRPr="00442EC6">
        <w:rPr>
          <w:rFonts w:ascii="Arial" w:hAnsi="Arial" w:cs="Arial"/>
          <w:b/>
          <w:sz w:val="24"/>
          <w:szCs w:val="24"/>
        </w:rPr>
        <w:t>,</w:t>
      </w:r>
      <w:r w:rsidR="003D681A" w:rsidRPr="00442EC6">
        <w:rPr>
          <w:rFonts w:ascii="Arial" w:hAnsi="Arial" w:cs="Arial"/>
          <w:b/>
          <w:sz w:val="24"/>
          <w:szCs w:val="24"/>
        </w:rPr>
        <w:t xml:space="preserve"> and referred back to the second respondent for consideration.</w:t>
      </w:r>
    </w:p>
    <w:p w14:paraId="0CBDE226" w14:textId="77777777" w:rsidR="00E2791F" w:rsidRPr="00AB20E7" w:rsidRDefault="00E2791F" w:rsidP="00E2791F">
      <w:pPr>
        <w:pStyle w:val="ListParagraph"/>
        <w:tabs>
          <w:tab w:val="left" w:pos="4917"/>
        </w:tabs>
        <w:spacing w:before="120" w:after="120" w:line="360" w:lineRule="auto"/>
        <w:jc w:val="both"/>
        <w:rPr>
          <w:rFonts w:ascii="Arial" w:hAnsi="Arial" w:cs="Arial"/>
          <w:b/>
          <w:sz w:val="24"/>
          <w:szCs w:val="24"/>
        </w:rPr>
      </w:pPr>
    </w:p>
    <w:p w14:paraId="70421D4E" w14:textId="6B002045" w:rsidR="004F3075" w:rsidRPr="00AB20E7" w:rsidRDefault="004F3075" w:rsidP="002F1742">
      <w:pPr>
        <w:pStyle w:val="ListParagraph"/>
        <w:tabs>
          <w:tab w:val="left" w:pos="4917"/>
        </w:tabs>
        <w:spacing w:before="120" w:after="120" w:line="240" w:lineRule="auto"/>
        <w:ind w:left="907"/>
        <w:jc w:val="right"/>
        <w:rPr>
          <w:rFonts w:ascii="Arial" w:hAnsi="Arial" w:cs="Arial"/>
          <w:sz w:val="24"/>
          <w:szCs w:val="24"/>
        </w:rPr>
      </w:pPr>
      <w:r w:rsidRPr="00AB20E7">
        <w:rPr>
          <w:rFonts w:ascii="Arial" w:hAnsi="Arial" w:cs="Arial"/>
          <w:sz w:val="24"/>
          <w:szCs w:val="24"/>
        </w:rPr>
        <w:t>____________________________</w:t>
      </w:r>
    </w:p>
    <w:p w14:paraId="316A0066" w14:textId="6770DFAF" w:rsidR="009C6441" w:rsidRPr="00AB20E7" w:rsidRDefault="009C6441" w:rsidP="002F1742">
      <w:pPr>
        <w:pStyle w:val="ListParagraph"/>
        <w:tabs>
          <w:tab w:val="left" w:pos="4917"/>
        </w:tabs>
        <w:spacing w:before="120" w:after="120" w:line="240" w:lineRule="auto"/>
        <w:ind w:left="907"/>
        <w:jc w:val="right"/>
        <w:rPr>
          <w:rFonts w:ascii="Arial" w:hAnsi="Arial" w:cs="Arial"/>
          <w:sz w:val="24"/>
          <w:szCs w:val="24"/>
        </w:rPr>
      </w:pPr>
      <w:r w:rsidRPr="00AB20E7">
        <w:rPr>
          <w:rFonts w:ascii="Arial" w:hAnsi="Arial" w:cs="Arial"/>
          <w:sz w:val="24"/>
          <w:szCs w:val="24"/>
        </w:rPr>
        <w:t>E van der Schyff</w:t>
      </w:r>
    </w:p>
    <w:p w14:paraId="6661EF95" w14:textId="5606AFFD" w:rsidR="009C6441" w:rsidRPr="00AB20E7" w:rsidRDefault="009C6441" w:rsidP="002F1742">
      <w:pPr>
        <w:tabs>
          <w:tab w:val="left" w:pos="4917"/>
        </w:tabs>
        <w:spacing w:before="120" w:after="120" w:line="240" w:lineRule="auto"/>
        <w:ind w:left="357"/>
        <w:jc w:val="right"/>
        <w:rPr>
          <w:rFonts w:ascii="Arial" w:hAnsi="Arial" w:cs="Arial"/>
          <w:sz w:val="24"/>
          <w:szCs w:val="24"/>
        </w:rPr>
      </w:pPr>
      <w:r w:rsidRPr="00AB20E7">
        <w:rPr>
          <w:rFonts w:ascii="Arial" w:hAnsi="Arial" w:cs="Arial"/>
          <w:sz w:val="24"/>
          <w:szCs w:val="24"/>
        </w:rPr>
        <w:t>Judge of t</w:t>
      </w:r>
      <w:r w:rsidR="00B7783F" w:rsidRPr="00AB20E7">
        <w:rPr>
          <w:rFonts w:ascii="Arial" w:hAnsi="Arial" w:cs="Arial"/>
          <w:sz w:val="24"/>
          <w:szCs w:val="24"/>
        </w:rPr>
        <w:t>he High Court</w:t>
      </w:r>
    </w:p>
    <w:p w14:paraId="7C3020C9" w14:textId="77777777" w:rsidR="00A42BDA" w:rsidRPr="00AB20E7" w:rsidRDefault="00A42BDA" w:rsidP="003649CD">
      <w:pPr>
        <w:tabs>
          <w:tab w:val="left" w:pos="4917"/>
        </w:tabs>
        <w:spacing w:after="0" w:line="360" w:lineRule="auto"/>
        <w:ind w:left="357"/>
        <w:rPr>
          <w:rFonts w:ascii="Arial" w:hAnsi="Arial" w:cs="Arial"/>
          <w:sz w:val="24"/>
          <w:szCs w:val="24"/>
        </w:rPr>
      </w:pPr>
    </w:p>
    <w:p w14:paraId="33317977" w14:textId="0DE14CA4" w:rsidR="002B0D1E" w:rsidRPr="00AB20E7" w:rsidRDefault="002B0D1E" w:rsidP="002B0D1E">
      <w:pPr>
        <w:tabs>
          <w:tab w:val="left" w:pos="4917"/>
        </w:tabs>
        <w:spacing w:after="0" w:line="360" w:lineRule="auto"/>
        <w:ind w:left="357"/>
        <w:jc w:val="both"/>
        <w:rPr>
          <w:rFonts w:ascii="Arial" w:hAnsi="Arial" w:cs="Arial"/>
          <w:sz w:val="24"/>
          <w:szCs w:val="24"/>
        </w:rPr>
      </w:pPr>
      <w:r w:rsidRPr="00AB20E7">
        <w:rPr>
          <w:rFonts w:ascii="Arial" w:eastAsia="Arial Unicode MS" w:hAnsi="Arial" w:cs="Arial"/>
          <w:bCs/>
        </w:rPr>
        <w:t xml:space="preserve">Delivered:  This judgement is handed down electronically by uploading it to the electronic file of this matter on CaseLines. </w:t>
      </w:r>
      <w:r w:rsidR="00C97578" w:rsidRPr="00AB20E7">
        <w:rPr>
          <w:rFonts w:ascii="Arial" w:eastAsia="Arial Unicode MS" w:hAnsi="Arial" w:cs="Arial"/>
          <w:bCs/>
        </w:rPr>
        <w:t>As a cou</w:t>
      </w:r>
      <w:r w:rsidR="00BD696A" w:rsidRPr="00AB20E7">
        <w:rPr>
          <w:rFonts w:ascii="Arial" w:eastAsia="Arial Unicode MS" w:hAnsi="Arial" w:cs="Arial"/>
          <w:bCs/>
        </w:rPr>
        <w:t>rtesy gesture</w:t>
      </w:r>
      <w:r w:rsidR="00AF5BC0" w:rsidRPr="00AB20E7">
        <w:rPr>
          <w:rFonts w:ascii="Arial" w:eastAsia="Arial Unicode MS" w:hAnsi="Arial" w:cs="Arial"/>
          <w:bCs/>
        </w:rPr>
        <w:t>,</w:t>
      </w:r>
      <w:r w:rsidR="00BD696A" w:rsidRPr="00AB20E7">
        <w:rPr>
          <w:rFonts w:ascii="Arial" w:eastAsia="Arial Unicode MS" w:hAnsi="Arial" w:cs="Arial"/>
          <w:bCs/>
        </w:rPr>
        <w:t xml:space="preserve"> it will be sent</w:t>
      </w:r>
      <w:r w:rsidR="00290703" w:rsidRPr="00AB20E7">
        <w:rPr>
          <w:rFonts w:ascii="Arial" w:eastAsia="Arial Unicode MS" w:hAnsi="Arial" w:cs="Arial"/>
          <w:bCs/>
        </w:rPr>
        <w:t xml:space="preserve"> to the p</w:t>
      </w:r>
      <w:r w:rsidR="00BD696A" w:rsidRPr="00AB20E7">
        <w:rPr>
          <w:rFonts w:ascii="Arial" w:eastAsia="Arial Unicode MS" w:hAnsi="Arial" w:cs="Arial"/>
          <w:bCs/>
        </w:rPr>
        <w:t xml:space="preserve">arties/their legal representatives by email. </w:t>
      </w:r>
    </w:p>
    <w:p w14:paraId="13B2B5F7" w14:textId="77777777" w:rsidR="00A42BDA" w:rsidRPr="00AB20E7" w:rsidRDefault="00A42BDA" w:rsidP="003649CD">
      <w:pPr>
        <w:tabs>
          <w:tab w:val="left" w:pos="4917"/>
        </w:tabs>
        <w:spacing w:after="0" w:line="360" w:lineRule="auto"/>
        <w:ind w:left="357"/>
        <w:rPr>
          <w:rFonts w:ascii="Arial" w:hAnsi="Arial" w:cs="Arial"/>
          <w:sz w:val="24"/>
          <w:szCs w:val="24"/>
        </w:rPr>
      </w:pPr>
    </w:p>
    <w:p w14:paraId="32901E29" w14:textId="0E0D6D6A" w:rsidR="00BE029D" w:rsidRPr="00AB20E7" w:rsidRDefault="002C7989" w:rsidP="003649CD">
      <w:pPr>
        <w:tabs>
          <w:tab w:val="left" w:pos="4917"/>
        </w:tabs>
        <w:spacing w:after="0" w:line="360" w:lineRule="auto"/>
        <w:ind w:left="357"/>
        <w:rPr>
          <w:rFonts w:ascii="Arial" w:hAnsi="Arial" w:cs="Arial"/>
          <w:sz w:val="24"/>
          <w:szCs w:val="24"/>
        </w:rPr>
      </w:pPr>
      <w:r w:rsidRPr="00AB20E7">
        <w:rPr>
          <w:rFonts w:ascii="Arial" w:hAnsi="Arial" w:cs="Arial"/>
          <w:sz w:val="24"/>
          <w:szCs w:val="24"/>
        </w:rPr>
        <w:t>F</w:t>
      </w:r>
      <w:r w:rsidR="00E66A18" w:rsidRPr="00AB20E7">
        <w:rPr>
          <w:rFonts w:ascii="Arial" w:hAnsi="Arial" w:cs="Arial"/>
          <w:sz w:val="24"/>
          <w:szCs w:val="24"/>
        </w:rPr>
        <w:t>o</w:t>
      </w:r>
      <w:r w:rsidR="00377FDC" w:rsidRPr="00AB20E7">
        <w:rPr>
          <w:rFonts w:ascii="Arial" w:hAnsi="Arial" w:cs="Arial"/>
          <w:sz w:val="24"/>
          <w:szCs w:val="24"/>
        </w:rPr>
        <w:t>r the applicant</w:t>
      </w:r>
      <w:r w:rsidR="004716A2" w:rsidRPr="00AB20E7">
        <w:rPr>
          <w:rFonts w:ascii="Arial" w:hAnsi="Arial" w:cs="Arial"/>
          <w:sz w:val="24"/>
          <w:szCs w:val="24"/>
        </w:rPr>
        <w:t>:</w:t>
      </w:r>
      <w:r w:rsidR="00580489">
        <w:rPr>
          <w:rFonts w:ascii="Arial" w:hAnsi="Arial" w:cs="Arial"/>
          <w:sz w:val="24"/>
          <w:szCs w:val="24"/>
        </w:rPr>
        <w:tab/>
        <w:t>I</w:t>
      </w:r>
      <w:r w:rsidR="006E5BF5" w:rsidRPr="00AB20E7">
        <w:rPr>
          <w:rFonts w:ascii="Arial" w:hAnsi="Arial" w:cs="Arial"/>
          <w:sz w:val="24"/>
          <w:szCs w:val="24"/>
        </w:rPr>
        <w:t>n person</w:t>
      </w:r>
      <w:r w:rsidR="0022692F" w:rsidRPr="00AB20E7">
        <w:rPr>
          <w:rFonts w:ascii="Arial" w:hAnsi="Arial" w:cs="Arial"/>
          <w:sz w:val="24"/>
          <w:szCs w:val="24"/>
        </w:rPr>
        <w:tab/>
      </w:r>
      <w:r w:rsidR="00377FDC" w:rsidRPr="00AB20E7">
        <w:rPr>
          <w:rFonts w:ascii="Arial" w:hAnsi="Arial" w:cs="Arial"/>
          <w:sz w:val="24"/>
          <w:szCs w:val="24"/>
        </w:rPr>
        <w:tab/>
      </w:r>
      <w:r w:rsidR="00377FDC" w:rsidRPr="00AB20E7">
        <w:rPr>
          <w:rFonts w:ascii="Arial" w:hAnsi="Arial" w:cs="Arial"/>
          <w:sz w:val="24"/>
          <w:szCs w:val="24"/>
        </w:rPr>
        <w:tab/>
      </w:r>
      <w:r w:rsidR="00377FDC" w:rsidRPr="00AB20E7">
        <w:rPr>
          <w:rFonts w:ascii="Arial" w:hAnsi="Arial" w:cs="Arial"/>
          <w:sz w:val="24"/>
          <w:szCs w:val="24"/>
        </w:rPr>
        <w:tab/>
      </w:r>
      <w:r w:rsidR="00E20004" w:rsidRPr="00AB20E7">
        <w:rPr>
          <w:rFonts w:ascii="Arial" w:hAnsi="Arial" w:cs="Arial"/>
          <w:sz w:val="24"/>
          <w:szCs w:val="24"/>
        </w:rPr>
        <w:tab/>
      </w:r>
    </w:p>
    <w:p w14:paraId="44D1AFCD" w14:textId="1367B456" w:rsidR="00377FDC" w:rsidRPr="00AB20E7" w:rsidRDefault="00B7783F" w:rsidP="00BE500B">
      <w:pPr>
        <w:tabs>
          <w:tab w:val="left" w:pos="4917"/>
        </w:tabs>
        <w:spacing w:after="0" w:line="360" w:lineRule="auto"/>
        <w:ind w:left="4917" w:hanging="4557"/>
        <w:rPr>
          <w:rFonts w:ascii="Arial" w:hAnsi="Arial" w:cs="Arial"/>
          <w:sz w:val="24"/>
          <w:szCs w:val="24"/>
        </w:rPr>
      </w:pPr>
      <w:r w:rsidRPr="00AB20E7">
        <w:rPr>
          <w:rFonts w:ascii="Arial" w:hAnsi="Arial" w:cs="Arial"/>
          <w:sz w:val="24"/>
          <w:szCs w:val="24"/>
        </w:rPr>
        <w:t>F</w:t>
      </w:r>
      <w:r w:rsidR="00F9064E" w:rsidRPr="00AB20E7">
        <w:rPr>
          <w:rFonts w:ascii="Arial" w:hAnsi="Arial" w:cs="Arial"/>
          <w:sz w:val="24"/>
          <w:szCs w:val="24"/>
        </w:rPr>
        <w:t>or</w:t>
      </w:r>
      <w:r w:rsidR="00E20004" w:rsidRPr="00AB20E7">
        <w:rPr>
          <w:rFonts w:ascii="Arial" w:hAnsi="Arial" w:cs="Arial"/>
          <w:sz w:val="24"/>
          <w:szCs w:val="24"/>
        </w:rPr>
        <w:t xml:space="preserve"> the </w:t>
      </w:r>
      <w:r w:rsidR="00377FDC" w:rsidRPr="00AB20E7">
        <w:rPr>
          <w:rFonts w:ascii="Arial" w:hAnsi="Arial" w:cs="Arial"/>
          <w:sz w:val="24"/>
          <w:szCs w:val="24"/>
        </w:rPr>
        <w:t>respondent</w:t>
      </w:r>
      <w:r w:rsidR="006E5BF5" w:rsidRPr="00AB20E7">
        <w:rPr>
          <w:rFonts w:ascii="Arial" w:hAnsi="Arial" w:cs="Arial"/>
          <w:sz w:val="24"/>
          <w:szCs w:val="24"/>
        </w:rPr>
        <w:t>s</w:t>
      </w:r>
      <w:r w:rsidR="00377FDC" w:rsidRPr="00AB20E7">
        <w:rPr>
          <w:rFonts w:ascii="Arial" w:hAnsi="Arial" w:cs="Arial"/>
          <w:sz w:val="24"/>
          <w:szCs w:val="24"/>
        </w:rPr>
        <w:t>:</w:t>
      </w:r>
      <w:r w:rsidR="006E5BF5" w:rsidRPr="00AB20E7">
        <w:rPr>
          <w:rFonts w:ascii="Arial" w:hAnsi="Arial" w:cs="Arial"/>
          <w:sz w:val="24"/>
          <w:szCs w:val="24"/>
        </w:rPr>
        <w:tab/>
        <w:t>Adv. G. Oliver</w:t>
      </w:r>
      <w:r w:rsidR="0022692F" w:rsidRPr="00AB20E7">
        <w:rPr>
          <w:rFonts w:ascii="Arial" w:hAnsi="Arial" w:cs="Arial"/>
          <w:sz w:val="24"/>
          <w:szCs w:val="24"/>
        </w:rPr>
        <w:tab/>
      </w:r>
    </w:p>
    <w:p w14:paraId="67876EBF" w14:textId="5FB4873C" w:rsidR="003649CD" w:rsidRPr="00AB20E7" w:rsidRDefault="00F03EE2" w:rsidP="00B36472">
      <w:pPr>
        <w:tabs>
          <w:tab w:val="left" w:pos="4917"/>
        </w:tabs>
        <w:spacing w:after="0" w:line="360" w:lineRule="auto"/>
        <w:ind w:left="4917" w:hanging="4557"/>
        <w:rPr>
          <w:rFonts w:ascii="Arial" w:hAnsi="Arial" w:cs="Arial"/>
          <w:sz w:val="24"/>
          <w:szCs w:val="24"/>
        </w:rPr>
      </w:pPr>
      <w:r w:rsidRPr="00AB20E7">
        <w:rPr>
          <w:rFonts w:ascii="Arial" w:hAnsi="Arial" w:cs="Arial"/>
          <w:sz w:val="24"/>
          <w:szCs w:val="24"/>
        </w:rPr>
        <w:t>Instructed by:</w:t>
      </w:r>
      <w:r w:rsidRPr="00AB20E7">
        <w:rPr>
          <w:rFonts w:ascii="Arial" w:hAnsi="Arial" w:cs="Arial"/>
          <w:sz w:val="24"/>
          <w:szCs w:val="24"/>
        </w:rPr>
        <w:tab/>
      </w:r>
      <w:r w:rsidR="006E5BF5" w:rsidRPr="00AB20E7">
        <w:rPr>
          <w:rFonts w:ascii="Arial" w:hAnsi="Arial" w:cs="Arial"/>
          <w:sz w:val="24"/>
          <w:szCs w:val="24"/>
        </w:rPr>
        <w:t>Brendan Muller Inc.</w:t>
      </w:r>
    </w:p>
    <w:p w14:paraId="2BB4F093" w14:textId="7A00FFC1" w:rsidR="006E5BF5" w:rsidRPr="00AB20E7" w:rsidRDefault="006E5BF5" w:rsidP="00B36472">
      <w:pPr>
        <w:tabs>
          <w:tab w:val="left" w:pos="4917"/>
        </w:tabs>
        <w:spacing w:after="0" w:line="360" w:lineRule="auto"/>
        <w:ind w:left="4917" w:hanging="4557"/>
        <w:rPr>
          <w:rFonts w:ascii="Arial" w:hAnsi="Arial" w:cs="Arial"/>
          <w:sz w:val="24"/>
          <w:szCs w:val="24"/>
        </w:rPr>
      </w:pPr>
      <w:r w:rsidRPr="00AB20E7">
        <w:rPr>
          <w:rFonts w:ascii="Arial" w:hAnsi="Arial" w:cs="Arial"/>
          <w:sz w:val="24"/>
          <w:szCs w:val="24"/>
        </w:rPr>
        <w:t xml:space="preserve">For the </w:t>
      </w:r>
      <w:r w:rsidRPr="00AB20E7">
        <w:rPr>
          <w:rFonts w:ascii="Arial" w:hAnsi="Arial" w:cs="Arial"/>
          <w:i/>
          <w:sz w:val="24"/>
          <w:szCs w:val="24"/>
        </w:rPr>
        <w:t>amicus curiae:</w:t>
      </w:r>
      <w:r w:rsidRPr="00AB20E7">
        <w:rPr>
          <w:rFonts w:ascii="Arial" w:hAnsi="Arial" w:cs="Arial"/>
          <w:i/>
          <w:sz w:val="24"/>
          <w:szCs w:val="24"/>
        </w:rPr>
        <w:tab/>
      </w:r>
      <w:r w:rsidRPr="00AB20E7">
        <w:rPr>
          <w:rFonts w:ascii="Arial" w:hAnsi="Arial" w:cs="Arial"/>
          <w:sz w:val="24"/>
          <w:szCs w:val="24"/>
        </w:rPr>
        <w:t>Adv. P Ellis SC</w:t>
      </w:r>
    </w:p>
    <w:p w14:paraId="0EBE4C36" w14:textId="39A13832" w:rsidR="006E5BF5" w:rsidRPr="00AB20E7" w:rsidRDefault="006E5BF5" w:rsidP="00B36472">
      <w:pPr>
        <w:tabs>
          <w:tab w:val="left" w:pos="4917"/>
        </w:tabs>
        <w:spacing w:after="0" w:line="360" w:lineRule="auto"/>
        <w:ind w:left="4917" w:hanging="4557"/>
        <w:rPr>
          <w:rFonts w:ascii="Arial" w:hAnsi="Arial" w:cs="Arial"/>
          <w:sz w:val="24"/>
          <w:szCs w:val="24"/>
        </w:rPr>
      </w:pPr>
      <w:r w:rsidRPr="00AB20E7">
        <w:rPr>
          <w:rFonts w:ascii="Arial" w:hAnsi="Arial" w:cs="Arial"/>
          <w:sz w:val="24"/>
          <w:szCs w:val="24"/>
        </w:rPr>
        <w:t>With:</w:t>
      </w:r>
      <w:r w:rsidRPr="00AB20E7">
        <w:rPr>
          <w:rFonts w:ascii="Arial" w:hAnsi="Arial" w:cs="Arial"/>
          <w:sz w:val="24"/>
          <w:szCs w:val="24"/>
        </w:rPr>
        <w:tab/>
        <w:t>Adv. B Yawa</w:t>
      </w:r>
    </w:p>
    <w:p w14:paraId="60737477" w14:textId="67AC381B" w:rsidR="004F3075" w:rsidRPr="00AB20E7" w:rsidRDefault="00C46D9C" w:rsidP="003649CD">
      <w:pPr>
        <w:tabs>
          <w:tab w:val="left" w:pos="4917"/>
        </w:tabs>
        <w:spacing w:after="0" w:line="360" w:lineRule="auto"/>
        <w:ind w:left="360"/>
        <w:rPr>
          <w:rFonts w:ascii="Arial" w:hAnsi="Arial" w:cs="Arial"/>
          <w:sz w:val="24"/>
          <w:szCs w:val="24"/>
        </w:rPr>
      </w:pPr>
      <w:r w:rsidRPr="00AB20E7">
        <w:rPr>
          <w:rFonts w:ascii="Arial" w:hAnsi="Arial" w:cs="Arial"/>
          <w:sz w:val="24"/>
          <w:szCs w:val="24"/>
        </w:rPr>
        <w:t>D</w:t>
      </w:r>
      <w:r w:rsidR="002F1742" w:rsidRPr="00AB20E7">
        <w:rPr>
          <w:rFonts w:ascii="Arial" w:hAnsi="Arial" w:cs="Arial"/>
          <w:sz w:val="24"/>
          <w:szCs w:val="24"/>
        </w:rPr>
        <w:t>ate of the hearing:</w:t>
      </w:r>
      <w:r w:rsidR="006E5BF5" w:rsidRPr="00AB20E7">
        <w:rPr>
          <w:rFonts w:ascii="Arial" w:hAnsi="Arial" w:cs="Arial"/>
          <w:sz w:val="24"/>
          <w:szCs w:val="24"/>
        </w:rPr>
        <w:tab/>
        <w:t>16 March 2023</w:t>
      </w:r>
      <w:r w:rsidR="00F03EE2" w:rsidRPr="00AB20E7">
        <w:rPr>
          <w:rFonts w:ascii="Arial" w:hAnsi="Arial" w:cs="Arial"/>
          <w:sz w:val="24"/>
          <w:szCs w:val="24"/>
        </w:rPr>
        <w:tab/>
      </w:r>
      <w:r w:rsidR="00CF7942" w:rsidRPr="00AB20E7">
        <w:rPr>
          <w:rFonts w:ascii="Arial" w:hAnsi="Arial" w:cs="Arial"/>
          <w:sz w:val="24"/>
          <w:szCs w:val="24"/>
        </w:rPr>
        <w:tab/>
      </w:r>
      <w:r w:rsidR="00CF7942" w:rsidRPr="00AB20E7">
        <w:rPr>
          <w:rFonts w:ascii="Arial" w:hAnsi="Arial" w:cs="Arial"/>
          <w:sz w:val="24"/>
          <w:szCs w:val="24"/>
        </w:rPr>
        <w:tab/>
      </w:r>
      <w:r w:rsidR="002F1742" w:rsidRPr="00AB20E7">
        <w:rPr>
          <w:rFonts w:ascii="Arial" w:hAnsi="Arial" w:cs="Arial"/>
          <w:sz w:val="24"/>
          <w:szCs w:val="24"/>
        </w:rPr>
        <w:tab/>
      </w:r>
    </w:p>
    <w:p w14:paraId="4A34187D" w14:textId="5C46FACF" w:rsidR="003649CD" w:rsidRDefault="00EA61D2" w:rsidP="00580489">
      <w:pPr>
        <w:tabs>
          <w:tab w:val="left" w:pos="4917"/>
        </w:tabs>
        <w:spacing w:after="0" w:line="360" w:lineRule="auto"/>
        <w:ind w:left="360"/>
        <w:rPr>
          <w:rFonts w:ascii="Arial" w:hAnsi="Arial" w:cs="Arial"/>
          <w:sz w:val="24"/>
          <w:szCs w:val="24"/>
        </w:rPr>
      </w:pPr>
      <w:r w:rsidRPr="00AB20E7">
        <w:rPr>
          <w:rFonts w:ascii="Arial" w:hAnsi="Arial" w:cs="Arial"/>
          <w:sz w:val="24"/>
          <w:szCs w:val="24"/>
        </w:rPr>
        <w:t>Da</w:t>
      </w:r>
      <w:r w:rsidR="004F3075" w:rsidRPr="00AB20E7">
        <w:rPr>
          <w:rFonts w:ascii="Arial" w:hAnsi="Arial" w:cs="Arial"/>
          <w:sz w:val="24"/>
          <w:szCs w:val="24"/>
        </w:rPr>
        <w:t>te of judgment:</w:t>
      </w:r>
      <w:r w:rsidR="006E5BF5" w:rsidRPr="00AB20E7">
        <w:rPr>
          <w:rFonts w:ascii="Arial" w:hAnsi="Arial" w:cs="Arial"/>
          <w:sz w:val="24"/>
          <w:szCs w:val="24"/>
        </w:rPr>
        <w:tab/>
        <w:t>3 April 2023</w:t>
      </w:r>
    </w:p>
    <w:sectPr w:rsidR="003649CD" w:rsidSect="00065E8F">
      <w:headerReference w:type="default" r:id="rId10"/>
      <w:footerReference w:type="default" r:id="rId11"/>
      <w:pgSz w:w="11906" w:h="16838"/>
      <w:pgMar w:top="1702" w:right="926"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E98299" w14:textId="77777777" w:rsidR="006C5875" w:rsidRDefault="006C5875">
      <w:pPr>
        <w:spacing w:after="0" w:line="240" w:lineRule="auto"/>
      </w:pPr>
      <w:r>
        <w:separator/>
      </w:r>
    </w:p>
  </w:endnote>
  <w:endnote w:type="continuationSeparator" w:id="0">
    <w:p w14:paraId="0EC142E6" w14:textId="77777777" w:rsidR="006C5875" w:rsidRDefault="006C5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sans-serif"/>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5403757"/>
      <w:docPartObj>
        <w:docPartGallery w:val="Page Numbers (Bottom of Page)"/>
        <w:docPartUnique/>
      </w:docPartObj>
    </w:sdtPr>
    <w:sdtEndPr>
      <w:rPr>
        <w:noProof/>
      </w:rPr>
    </w:sdtEndPr>
    <w:sdtContent>
      <w:p w14:paraId="09B7314C" w14:textId="53F4FC83" w:rsidR="003D681A" w:rsidRDefault="003D681A">
        <w:pPr>
          <w:pStyle w:val="Footer"/>
          <w:jc w:val="center"/>
        </w:pPr>
        <w:r>
          <w:fldChar w:fldCharType="begin"/>
        </w:r>
        <w:r>
          <w:instrText xml:space="preserve"> PAGE   \* MERGEFORMAT </w:instrText>
        </w:r>
        <w:r>
          <w:fldChar w:fldCharType="separate"/>
        </w:r>
        <w:r w:rsidR="00442EC6">
          <w:rPr>
            <w:noProof/>
          </w:rPr>
          <w:t>3</w:t>
        </w:r>
        <w:r>
          <w:rPr>
            <w:noProof/>
          </w:rPr>
          <w:fldChar w:fldCharType="end"/>
        </w:r>
      </w:p>
    </w:sdtContent>
  </w:sdt>
  <w:p w14:paraId="53EAF7CA" w14:textId="77777777" w:rsidR="003D681A" w:rsidRDefault="003D68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790BD9" w14:textId="77777777" w:rsidR="006C5875" w:rsidRDefault="006C5875">
      <w:pPr>
        <w:spacing w:after="0" w:line="240" w:lineRule="auto"/>
      </w:pPr>
      <w:r>
        <w:separator/>
      </w:r>
    </w:p>
  </w:footnote>
  <w:footnote w:type="continuationSeparator" w:id="0">
    <w:p w14:paraId="40E3BF7A" w14:textId="77777777" w:rsidR="006C5875" w:rsidRDefault="006C5875">
      <w:pPr>
        <w:spacing w:after="0" w:line="240" w:lineRule="auto"/>
      </w:pPr>
      <w:r>
        <w:continuationSeparator/>
      </w:r>
    </w:p>
  </w:footnote>
  <w:footnote w:id="1">
    <w:p w14:paraId="20A74826" w14:textId="7A33D7AF" w:rsidR="003D681A" w:rsidRPr="00AB20E7" w:rsidRDefault="003D681A" w:rsidP="00C375E3">
      <w:pPr>
        <w:pStyle w:val="FootnoteText"/>
        <w:spacing w:after="120"/>
        <w:jc w:val="both"/>
        <w:rPr>
          <w:rFonts w:ascii="Arial" w:hAnsi="Arial" w:cs="Arial"/>
          <w:sz w:val="22"/>
          <w:szCs w:val="22"/>
          <w:lang w:val="en-GB"/>
        </w:rPr>
      </w:pPr>
      <w:r w:rsidRPr="00AB20E7">
        <w:rPr>
          <w:rStyle w:val="FootnoteReference"/>
          <w:rFonts w:ascii="Arial" w:hAnsi="Arial" w:cs="Arial"/>
          <w:sz w:val="22"/>
          <w:szCs w:val="22"/>
        </w:rPr>
        <w:footnoteRef/>
      </w:r>
      <w:r w:rsidRPr="00AB20E7">
        <w:rPr>
          <w:rFonts w:ascii="Arial" w:hAnsi="Arial" w:cs="Arial"/>
          <w:sz w:val="22"/>
          <w:szCs w:val="22"/>
        </w:rPr>
        <w:t xml:space="preserve"> </w:t>
      </w:r>
      <w:r w:rsidRPr="00AB20E7">
        <w:rPr>
          <w:rFonts w:ascii="Arial" w:hAnsi="Arial" w:cs="Arial"/>
          <w:sz w:val="22"/>
          <w:szCs w:val="22"/>
          <w:lang w:val="en-GB"/>
        </w:rPr>
        <w:t>2003 (6) SA 664 (C).</w:t>
      </w:r>
    </w:p>
  </w:footnote>
  <w:footnote w:id="2">
    <w:p w14:paraId="435E554B" w14:textId="230A285A" w:rsidR="003D681A" w:rsidRPr="00AB20E7" w:rsidRDefault="003D681A" w:rsidP="00C375E3">
      <w:pPr>
        <w:pStyle w:val="FootnoteText"/>
        <w:spacing w:after="120"/>
        <w:jc w:val="both"/>
        <w:rPr>
          <w:rFonts w:ascii="Arial" w:hAnsi="Arial" w:cs="Arial"/>
          <w:sz w:val="22"/>
          <w:szCs w:val="22"/>
          <w:lang w:val="en-GB"/>
        </w:rPr>
      </w:pPr>
      <w:r w:rsidRPr="00AB20E7">
        <w:rPr>
          <w:rStyle w:val="FootnoteReference"/>
          <w:rFonts w:ascii="Arial" w:hAnsi="Arial" w:cs="Arial"/>
          <w:sz w:val="22"/>
          <w:szCs w:val="22"/>
        </w:rPr>
        <w:footnoteRef/>
      </w:r>
      <w:r w:rsidRPr="00AB20E7">
        <w:rPr>
          <w:rFonts w:ascii="Arial" w:hAnsi="Arial" w:cs="Arial"/>
          <w:sz w:val="22"/>
          <w:szCs w:val="22"/>
        </w:rPr>
        <w:t xml:space="preserve"> </w:t>
      </w:r>
      <w:r w:rsidRPr="00AB20E7">
        <w:rPr>
          <w:rFonts w:ascii="Arial" w:hAnsi="Arial" w:cs="Arial"/>
          <w:sz w:val="22"/>
          <w:szCs w:val="22"/>
          <w:lang w:val="en-GB"/>
        </w:rPr>
        <w:t xml:space="preserve">LM du Plessis ‘Statute law and interpretation’ in WA Joubert, JA Faris and LTC Harms (eds) </w:t>
      </w:r>
      <w:r w:rsidRPr="00AB20E7">
        <w:rPr>
          <w:rFonts w:ascii="Arial" w:hAnsi="Arial" w:cs="Arial"/>
          <w:i/>
          <w:sz w:val="22"/>
          <w:szCs w:val="22"/>
          <w:lang w:val="en-GB"/>
        </w:rPr>
        <w:t xml:space="preserve">The </w:t>
      </w:r>
      <w:r w:rsidR="006D5A1C" w:rsidRPr="00AB20E7">
        <w:rPr>
          <w:rFonts w:ascii="Arial" w:hAnsi="Arial" w:cs="Arial"/>
          <w:i/>
          <w:sz w:val="22"/>
          <w:szCs w:val="22"/>
          <w:lang w:val="en-GB"/>
        </w:rPr>
        <w:t>L</w:t>
      </w:r>
      <w:r w:rsidRPr="00AB20E7">
        <w:rPr>
          <w:rFonts w:ascii="Arial" w:hAnsi="Arial" w:cs="Arial"/>
          <w:i/>
          <w:sz w:val="22"/>
          <w:szCs w:val="22"/>
          <w:lang w:val="en-GB"/>
        </w:rPr>
        <w:t>aw of South Africa</w:t>
      </w:r>
      <w:r w:rsidRPr="00AB20E7">
        <w:rPr>
          <w:rFonts w:ascii="Arial" w:hAnsi="Arial" w:cs="Arial"/>
          <w:sz w:val="22"/>
          <w:szCs w:val="22"/>
          <w:lang w:val="en-GB"/>
        </w:rPr>
        <w:t xml:space="preserve"> vol 25 2 ed (2001) para 291.</w:t>
      </w:r>
    </w:p>
  </w:footnote>
  <w:footnote w:id="3">
    <w:p w14:paraId="5B9A4936" w14:textId="4AF9BCBF" w:rsidR="003D681A" w:rsidRPr="00AB20E7" w:rsidRDefault="003D681A" w:rsidP="00C375E3">
      <w:pPr>
        <w:pStyle w:val="FootnoteText"/>
        <w:spacing w:after="120"/>
        <w:jc w:val="both"/>
        <w:rPr>
          <w:rFonts w:ascii="Arial" w:hAnsi="Arial" w:cs="Arial"/>
          <w:sz w:val="22"/>
          <w:szCs w:val="22"/>
          <w:lang w:val="en-GB"/>
        </w:rPr>
      </w:pPr>
      <w:r w:rsidRPr="00AB20E7">
        <w:rPr>
          <w:rStyle w:val="FootnoteReference"/>
          <w:rFonts w:ascii="Arial" w:hAnsi="Arial" w:cs="Arial"/>
          <w:sz w:val="22"/>
          <w:szCs w:val="22"/>
        </w:rPr>
        <w:footnoteRef/>
      </w:r>
      <w:r w:rsidRPr="00AB20E7">
        <w:rPr>
          <w:rFonts w:ascii="Arial" w:hAnsi="Arial" w:cs="Arial"/>
          <w:sz w:val="22"/>
          <w:szCs w:val="22"/>
        </w:rPr>
        <w:t xml:space="preserve"> </w:t>
      </w:r>
      <w:r w:rsidRPr="00AB20E7">
        <w:rPr>
          <w:rFonts w:ascii="Arial" w:hAnsi="Arial" w:cs="Arial"/>
          <w:sz w:val="22"/>
          <w:szCs w:val="22"/>
          <w:lang w:val="en-GB"/>
        </w:rPr>
        <w:t>2016 (4) SA 121 (CC) at para [90].</w:t>
      </w:r>
    </w:p>
  </w:footnote>
  <w:footnote w:id="4">
    <w:p w14:paraId="1D7B2D60" w14:textId="31AD801F" w:rsidR="003D681A" w:rsidRPr="00AB20E7" w:rsidRDefault="003D681A" w:rsidP="00C375E3">
      <w:pPr>
        <w:pStyle w:val="FootnoteText"/>
        <w:spacing w:after="120"/>
        <w:jc w:val="both"/>
        <w:rPr>
          <w:rFonts w:ascii="Arial" w:hAnsi="Arial" w:cs="Arial"/>
          <w:sz w:val="22"/>
          <w:szCs w:val="22"/>
          <w:lang w:val="en-GB"/>
        </w:rPr>
      </w:pPr>
      <w:r w:rsidRPr="00AB20E7">
        <w:rPr>
          <w:rStyle w:val="FootnoteReference"/>
          <w:rFonts w:ascii="Arial" w:hAnsi="Arial" w:cs="Arial"/>
          <w:sz w:val="22"/>
          <w:szCs w:val="22"/>
        </w:rPr>
        <w:footnoteRef/>
      </w:r>
      <w:r w:rsidRPr="00AB20E7">
        <w:rPr>
          <w:rFonts w:ascii="Arial" w:hAnsi="Arial" w:cs="Arial"/>
          <w:sz w:val="22"/>
          <w:szCs w:val="22"/>
        </w:rPr>
        <w:t xml:space="preserve"> </w:t>
      </w:r>
      <w:r w:rsidRPr="00AB20E7">
        <w:rPr>
          <w:rFonts w:ascii="Arial" w:hAnsi="Arial" w:cs="Arial"/>
          <w:sz w:val="22"/>
          <w:szCs w:val="22"/>
          <w:lang w:val="en-GB"/>
        </w:rPr>
        <w:t>2020 (2) SA 325 (CC) at para [2].</w:t>
      </w:r>
    </w:p>
  </w:footnote>
  <w:footnote w:id="5">
    <w:p w14:paraId="3D9796D2" w14:textId="2304C05B" w:rsidR="003D681A" w:rsidRPr="00AB20E7" w:rsidRDefault="003D681A" w:rsidP="00C375E3">
      <w:pPr>
        <w:pStyle w:val="FootnoteText"/>
        <w:spacing w:after="120"/>
        <w:jc w:val="both"/>
        <w:rPr>
          <w:rFonts w:ascii="Arial" w:hAnsi="Arial" w:cs="Arial"/>
          <w:sz w:val="22"/>
          <w:szCs w:val="22"/>
          <w:lang w:val="en-GB"/>
        </w:rPr>
      </w:pPr>
      <w:r w:rsidRPr="00AB20E7">
        <w:rPr>
          <w:rStyle w:val="FootnoteReference"/>
          <w:rFonts w:ascii="Arial" w:hAnsi="Arial" w:cs="Arial"/>
          <w:sz w:val="22"/>
          <w:szCs w:val="22"/>
        </w:rPr>
        <w:footnoteRef/>
      </w:r>
      <w:r w:rsidRPr="00AB20E7">
        <w:rPr>
          <w:rFonts w:ascii="Arial" w:hAnsi="Arial" w:cs="Arial"/>
          <w:sz w:val="22"/>
          <w:szCs w:val="22"/>
        </w:rPr>
        <w:t xml:space="preserve"> </w:t>
      </w:r>
      <w:r w:rsidRPr="00AB20E7">
        <w:rPr>
          <w:rFonts w:ascii="Arial" w:hAnsi="Arial" w:cs="Arial"/>
          <w:sz w:val="22"/>
          <w:szCs w:val="22"/>
          <w:lang w:val="en-GB"/>
        </w:rPr>
        <w:t>See, amongst other, J Halbert ‘The link between the Legal Practice Bill and access to justice’ De Rebus October 2014</w:t>
      </w:r>
    </w:p>
  </w:footnote>
  <w:footnote w:id="6">
    <w:p w14:paraId="570AA899" w14:textId="303C1493" w:rsidR="003D681A" w:rsidRPr="00AB20E7" w:rsidRDefault="003D681A" w:rsidP="00C375E3">
      <w:pPr>
        <w:pStyle w:val="FootnoteText"/>
        <w:spacing w:after="120"/>
        <w:jc w:val="both"/>
        <w:rPr>
          <w:rFonts w:ascii="Arial" w:hAnsi="Arial" w:cs="Arial"/>
          <w:sz w:val="22"/>
          <w:szCs w:val="22"/>
          <w:lang w:val="en-GB"/>
        </w:rPr>
      </w:pPr>
      <w:r w:rsidRPr="00AB20E7">
        <w:rPr>
          <w:rStyle w:val="FootnoteReference"/>
          <w:rFonts w:ascii="Arial" w:hAnsi="Arial" w:cs="Arial"/>
          <w:sz w:val="22"/>
          <w:szCs w:val="22"/>
        </w:rPr>
        <w:footnoteRef/>
      </w:r>
      <w:r w:rsidRPr="00AB20E7">
        <w:rPr>
          <w:rFonts w:ascii="Arial" w:hAnsi="Arial" w:cs="Arial"/>
          <w:sz w:val="22"/>
          <w:szCs w:val="22"/>
        </w:rPr>
        <w:t xml:space="preserve"> </w:t>
      </w:r>
      <w:r w:rsidR="00A66A23" w:rsidRPr="009516CC">
        <w:rPr>
          <w:rFonts w:ascii="Arial" w:hAnsi="Arial" w:cs="Arial"/>
          <w:sz w:val="22"/>
          <w:szCs w:val="22"/>
        </w:rPr>
        <w:t>https://www.gov.za/documents/justice-vision-2000-executive-summary</w:t>
      </w:r>
      <w:r w:rsidR="00A66A23" w:rsidRPr="00AB20E7">
        <w:rPr>
          <w:rFonts w:ascii="Arial" w:hAnsi="Arial" w:cs="Arial"/>
          <w:sz w:val="22"/>
          <w:szCs w:val="22"/>
        </w:rPr>
        <w:t xml:space="preserve"> </w:t>
      </w:r>
      <w:r w:rsidRPr="00AB20E7">
        <w:rPr>
          <w:rFonts w:ascii="Arial" w:hAnsi="Arial" w:cs="Arial"/>
          <w:sz w:val="22"/>
          <w:szCs w:val="22"/>
        </w:rPr>
        <w:t xml:space="preserve"> accessed on 21 March 2023.</w:t>
      </w:r>
    </w:p>
  </w:footnote>
  <w:footnote w:id="7">
    <w:p w14:paraId="73614B20" w14:textId="3F8F49B0" w:rsidR="003D681A" w:rsidRPr="00AB20E7" w:rsidRDefault="003D681A" w:rsidP="00C375E3">
      <w:pPr>
        <w:pStyle w:val="FootnoteText"/>
        <w:spacing w:after="120"/>
        <w:jc w:val="both"/>
        <w:rPr>
          <w:rFonts w:ascii="Arial" w:hAnsi="Arial" w:cs="Arial"/>
          <w:sz w:val="22"/>
          <w:szCs w:val="22"/>
          <w:lang w:val="en-GB"/>
        </w:rPr>
      </w:pPr>
      <w:r w:rsidRPr="00AB20E7">
        <w:rPr>
          <w:rStyle w:val="FootnoteReference"/>
          <w:rFonts w:ascii="Arial" w:hAnsi="Arial" w:cs="Arial"/>
          <w:sz w:val="22"/>
          <w:szCs w:val="22"/>
        </w:rPr>
        <w:footnoteRef/>
      </w:r>
      <w:r w:rsidRPr="00AB20E7">
        <w:rPr>
          <w:rFonts w:ascii="Arial" w:hAnsi="Arial" w:cs="Arial"/>
          <w:sz w:val="22"/>
          <w:szCs w:val="22"/>
        </w:rPr>
        <w:t xml:space="preserve"> </w:t>
      </w:r>
      <w:r w:rsidRPr="00AB20E7">
        <w:rPr>
          <w:rFonts w:ascii="Arial" w:hAnsi="Arial" w:cs="Arial"/>
          <w:sz w:val="22"/>
          <w:szCs w:val="22"/>
          <w:lang w:val="en-GB"/>
        </w:rPr>
        <w:t xml:space="preserve">C Loots Transformation of the Legal Profession: Discussion Paper </w:t>
      </w:r>
      <w:r w:rsidR="00A66A23" w:rsidRPr="009516CC">
        <w:rPr>
          <w:rFonts w:ascii="Arial" w:hAnsi="Arial" w:cs="Arial"/>
          <w:sz w:val="22"/>
          <w:szCs w:val="22"/>
          <w:lang w:val="en-GB"/>
        </w:rPr>
        <w:t>https://www.gov.za/documents/transformation-legal-profession-discussion-paper</w:t>
      </w:r>
      <w:r w:rsidR="00A66A23" w:rsidRPr="00AB20E7">
        <w:rPr>
          <w:rFonts w:ascii="Arial" w:hAnsi="Arial" w:cs="Arial"/>
          <w:sz w:val="22"/>
          <w:szCs w:val="22"/>
          <w:lang w:val="en-GB"/>
        </w:rPr>
        <w:t xml:space="preserve"> </w:t>
      </w:r>
      <w:r w:rsidRPr="00AB20E7">
        <w:rPr>
          <w:rFonts w:ascii="Arial" w:hAnsi="Arial" w:cs="Arial"/>
          <w:sz w:val="22"/>
          <w:szCs w:val="22"/>
          <w:lang w:val="en-GB"/>
        </w:rPr>
        <w:t xml:space="preserve"> accessed on 21 March 2023.</w:t>
      </w:r>
    </w:p>
  </w:footnote>
  <w:footnote w:id="8">
    <w:p w14:paraId="15BBE9C6" w14:textId="7EEF1BDB" w:rsidR="003D681A" w:rsidRPr="00AB20E7" w:rsidRDefault="003D681A" w:rsidP="00C375E3">
      <w:pPr>
        <w:pStyle w:val="FootnoteText"/>
        <w:spacing w:after="120"/>
        <w:jc w:val="both"/>
        <w:rPr>
          <w:rFonts w:ascii="Arial" w:hAnsi="Arial" w:cs="Arial"/>
          <w:sz w:val="22"/>
          <w:szCs w:val="22"/>
          <w:lang w:val="en-GB"/>
        </w:rPr>
      </w:pPr>
      <w:r w:rsidRPr="00AB20E7">
        <w:rPr>
          <w:rStyle w:val="FootnoteReference"/>
          <w:rFonts w:ascii="Arial" w:hAnsi="Arial" w:cs="Arial"/>
          <w:sz w:val="22"/>
          <w:szCs w:val="22"/>
        </w:rPr>
        <w:footnoteRef/>
      </w:r>
      <w:r w:rsidRPr="00AB20E7">
        <w:rPr>
          <w:rFonts w:ascii="Arial" w:hAnsi="Arial" w:cs="Arial"/>
          <w:sz w:val="22"/>
          <w:szCs w:val="22"/>
        </w:rPr>
        <w:t xml:space="preserve"> </w:t>
      </w:r>
      <w:r w:rsidRPr="00AB20E7">
        <w:rPr>
          <w:rFonts w:ascii="Arial" w:hAnsi="Arial" w:cs="Arial"/>
          <w:sz w:val="22"/>
          <w:szCs w:val="22"/>
          <w:lang w:val="en-GB"/>
        </w:rPr>
        <w:t xml:space="preserve">Justice Vision 2000: Executive Summary, supra n </w:t>
      </w:r>
      <w:r w:rsidRPr="00AB20E7">
        <w:rPr>
          <w:rFonts w:ascii="Arial" w:hAnsi="Arial" w:cs="Arial"/>
          <w:sz w:val="22"/>
          <w:szCs w:val="22"/>
          <w:lang w:val="en-GB"/>
        </w:rPr>
        <w:fldChar w:fldCharType="begin"/>
      </w:r>
      <w:r w:rsidRPr="00AB20E7">
        <w:rPr>
          <w:rFonts w:ascii="Arial" w:hAnsi="Arial" w:cs="Arial"/>
          <w:sz w:val="22"/>
          <w:szCs w:val="22"/>
          <w:lang w:val="en-GB"/>
        </w:rPr>
        <w:instrText xml:space="preserve"> NOTEREF _Ref130275481 \h </w:instrText>
      </w:r>
      <w:r w:rsidR="00B064AC" w:rsidRPr="00AB20E7">
        <w:rPr>
          <w:rFonts w:ascii="Arial" w:hAnsi="Arial" w:cs="Arial"/>
          <w:sz w:val="22"/>
          <w:szCs w:val="22"/>
          <w:lang w:val="en-GB"/>
        </w:rPr>
        <w:instrText xml:space="preserve"> \* MERGEFORMAT </w:instrText>
      </w:r>
      <w:r w:rsidRPr="00AB20E7">
        <w:rPr>
          <w:rFonts w:ascii="Arial" w:hAnsi="Arial" w:cs="Arial"/>
          <w:sz w:val="22"/>
          <w:szCs w:val="22"/>
          <w:lang w:val="en-GB"/>
        </w:rPr>
      </w:r>
      <w:r w:rsidRPr="00AB20E7">
        <w:rPr>
          <w:rFonts w:ascii="Arial" w:hAnsi="Arial" w:cs="Arial"/>
          <w:sz w:val="22"/>
          <w:szCs w:val="22"/>
          <w:lang w:val="en-GB"/>
        </w:rPr>
        <w:fldChar w:fldCharType="separate"/>
      </w:r>
      <w:r w:rsidR="00DA23B3">
        <w:rPr>
          <w:rFonts w:ascii="Arial" w:hAnsi="Arial" w:cs="Arial"/>
          <w:sz w:val="22"/>
          <w:szCs w:val="22"/>
          <w:lang w:val="en-GB"/>
        </w:rPr>
        <w:t>6</w:t>
      </w:r>
      <w:r w:rsidRPr="00AB20E7">
        <w:rPr>
          <w:rFonts w:ascii="Arial" w:hAnsi="Arial" w:cs="Arial"/>
          <w:sz w:val="22"/>
          <w:szCs w:val="22"/>
          <w:lang w:val="en-GB"/>
        </w:rPr>
        <w:fldChar w:fldCharType="end"/>
      </w:r>
      <w:r w:rsidRPr="00AB20E7">
        <w:rPr>
          <w:rFonts w:ascii="Arial" w:hAnsi="Arial" w:cs="Arial"/>
          <w:sz w:val="22"/>
          <w:szCs w:val="22"/>
          <w:lang w:val="en-GB"/>
        </w:rPr>
        <w:t>.</w:t>
      </w:r>
    </w:p>
  </w:footnote>
  <w:footnote w:id="9">
    <w:p w14:paraId="58651047" w14:textId="1CFBF08A" w:rsidR="003D681A" w:rsidRPr="00AB20E7" w:rsidRDefault="003D681A" w:rsidP="00C375E3">
      <w:pPr>
        <w:pStyle w:val="FootnoteText"/>
        <w:spacing w:after="120"/>
        <w:jc w:val="both"/>
        <w:rPr>
          <w:rFonts w:ascii="Arial" w:hAnsi="Arial" w:cs="Arial"/>
          <w:sz w:val="22"/>
          <w:szCs w:val="22"/>
          <w:lang w:val="en-GB"/>
        </w:rPr>
      </w:pPr>
      <w:r w:rsidRPr="00AB20E7">
        <w:rPr>
          <w:rStyle w:val="FootnoteReference"/>
          <w:rFonts w:ascii="Arial" w:hAnsi="Arial" w:cs="Arial"/>
          <w:sz w:val="22"/>
          <w:szCs w:val="22"/>
        </w:rPr>
        <w:footnoteRef/>
      </w:r>
      <w:r w:rsidRPr="00AB20E7">
        <w:rPr>
          <w:rFonts w:ascii="Arial" w:hAnsi="Arial" w:cs="Arial"/>
          <w:sz w:val="22"/>
          <w:szCs w:val="22"/>
        </w:rPr>
        <w:t xml:space="preserve"> </w:t>
      </w:r>
      <w:r w:rsidRPr="00AB20E7">
        <w:rPr>
          <w:rFonts w:ascii="Arial" w:hAnsi="Arial" w:cs="Arial"/>
          <w:sz w:val="22"/>
          <w:szCs w:val="22"/>
          <w:lang w:val="en-GB"/>
        </w:rPr>
        <w:t xml:space="preserve">Supra n </w:t>
      </w:r>
      <w:r w:rsidRPr="00AB20E7">
        <w:rPr>
          <w:rFonts w:ascii="Arial" w:hAnsi="Arial" w:cs="Arial"/>
          <w:sz w:val="22"/>
          <w:szCs w:val="22"/>
          <w:lang w:val="en-GB"/>
        </w:rPr>
        <w:fldChar w:fldCharType="begin"/>
      </w:r>
      <w:r w:rsidRPr="00AB20E7">
        <w:rPr>
          <w:rFonts w:ascii="Arial" w:hAnsi="Arial" w:cs="Arial"/>
          <w:sz w:val="22"/>
          <w:szCs w:val="22"/>
          <w:lang w:val="en-GB"/>
        </w:rPr>
        <w:instrText xml:space="preserve"> NOTEREF _Ref130275456 \h </w:instrText>
      </w:r>
      <w:r w:rsidR="00B064AC" w:rsidRPr="00AB20E7">
        <w:rPr>
          <w:rFonts w:ascii="Arial" w:hAnsi="Arial" w:cs="Arial"/>
          <w:sz w:val="22"/>
          <w:szCs w:val="22"/>
          <w:lang w:val="en-GB"/>
        </w:rPr>
        <w:instrText xml:space="preserve"> \* MERGEFORMAT </w:instrText>
      </w:r>
      <w:r w:rsidRPr="00AB20E7">
        <w:rPr>
          <w:rFonts w:ascii="Arial" w:hAnsi="Arial" w:cs="Arial"/>
          <w:sz w:val="22"/>
          <w:szCs w:val="22"/>
          <w:lang w:val="en-GB"/>
        </w:rPr>
      </w:r>
      <w:r w:rsidRPr="00AB20E7">
        <w:rPr>
          <w:rFonts w:ascii="Arial" w:hAnsi="Arial" w:cs="Arial"/>
          <w:sz w:val="22"/>
          <w:szCs w:val="22"/>
          <w:lang w:val="en-GB"/>
        </w:rPr>
        <w:fldChar w:fldCharType="separate"/>
      </w:r>
      <w:r w:rsidR="00DA23B3">
        <w:rPr>
          <w:rFonts w:ascii="Arial" w:hAnsi="Arial" w:cs="Arial"/>
          <w:sz w:val="22"/>
          <w:szCs w:val="22"/>
          <w:lang w:val="en-GB"/>
        </w:rPr>
        <w:t>7</w:t>
      </w:r>
      <w:r w:rsidRPr="00AB20E7">
        <w:rPr>
          <w:rFonts w:ascii="Arial" w:hAnsi="Arial" w:cs="Arial"/>
          <w:sz w:val="22"/>
          <w:szCs w:val="22"/>
          <w:lang w:val="en-GB"/>
        </w:rPr>
        <w:fldChar w:fldCharType="end"/>
      </w:r>
      <w:r w:rsidRPr="00AB20E7">
        <w:rPr>
          <w:rFonts w:ascii="Arial" w:hAnsi="Arial" w:cs="Arial"/>
          <w:sz w:val="22"/>
          <w:szCs w:val="22"/>
          <w:lang w:val="en-GB"/>
        </w:rPr>
        <w:t>.</w:t>
      </w:r>
    </w:p>
  </w:footnote>
  <w:footnote w:id="10">
    <w:p w14:paraId="22775CAF" w14:textId="77777777" w:rsidR="003D681A" w:rsidRPr="00AB20E7" w:rsidRDefault="003D681A" w:rsidP="00C375E3">
      <w:pPr>
        <w:pStyle w:val="FootnoteText"/>
        <w:spacing w:after="120"/>
        <w:jc w:val="both"/>
        <w:rPr>
          <w:rFonts w:ascii="Arial" w:hAnsi="Arial" w:cs="Arial"/>
          <w:sz w:val="22"/>
          <w:szCs w:val="22"/>
          <w:lang w:val="en-GB"/>
        </w:rPr>
      </w:pPr>
      <w:r w:rsidRPr="00AB20E7">
        <w:rPr>
          <w:rStyle w:val="FootnoteReference"/>
          <w:rFonts w:ascii="Arial" w:hAnsi="Arial" w:cs="Arial"/>
          <w:sz w:val="22"/>
          <w:szCs w:val="22"/>
        </w:rPr>
        <w:footnoteRef/>
      </w:r>
      <w:r w:rsidRPr="00AB20E7">
        <w:rPr>
          <w:rFonts w:ascii="Arial" w:hAnsi="Arial" w:cs="Arial"/>
          <w:sz w:val="22"/>
          <w:szCs w:val="22"/>
        </w:rPr>
        <w:t xml:space="preserve"> </w:t>
      </w:r>
      <w:r w:rsidRPr="00AB20E7">
        <w:rPr>
          <w:rFonts w:ascii="Arial" w:hAnsi="Arial" w:cs="Arial"/>
          <w:sz w:val="22"/>
          <w:szCs w:val="22"/>
          <w:lang w:val="en-GB"/>
        </w:rPr>
        <w:t>NG 401 of 20 July 2018 GG No 41781, as amended.</w:t>
      </w:r>
    </w:p>
  </w:footnote>
  <w:footnote w:id="11">
    <w:p w14:paraId="09597D60" w14:textId="760CAAD7" w:rsidR="003D681A" w:rsidRPr="00AB20E7" w:rsidRDefault="003D681A" w:rsidP="00C375E3">
      <w:pPr>
        <w:pStyle w:val="FootnoteText"/>
        <w:spacing w:after="120"/>
        <w:jc w:val="both"/>
        <w:rPr>
          <w:rFonts w:ascii="Arial" w:hAnsi="Arial" w:cs="Arial"/>
          <w:sz w:val="22"/>
          <w:szCs w:val="22"/>
          <w:lang w:val="en-GB"/>
        </w:rPr>
      </w:pPr>
      <w:r w:rsidRPr="00AB20E7">
        <w:rPr>
          <w:rStyle w:val="FootnoteReference"/>
          <w:rFonts w:ascii="Arial" w:hAnsi="Arial" w:cs="Arial"/>
          <w:sz w:val="22"/>
          <w:szCs w:val="22"/>
        </w:rPr>
        <w:footnoteRef/>
      </w:r>
      <w:r w:rsidRPr="00AB20E7">
        <w:rPr>
          <w:rFonts w:ascii="Arial" w:hAnsi="Arial" w:cs="Arial"/>
          <w:sz w:val="22"/>
          <w:szCs w:val="22"/>
        </w:rPr>
        <w:t xml:space="preserve"> </w:t>
      </w:r>
      <w:r w:rsidRPr="00AB20E7">
        <w:rPr>
          <w:rFonts w:ascii="Arial" w:hAnsi="Arial" w:cs="Arial"/>
          <w:i/>
          <w:sz w:val="22"/>
          <w:szCs w:val="22"/>
          <w:lang w:val="en-GB"/>
        </w:rPr>
        <w:t>Goodricke &amp; Son v Auto Protection Insurance Co</w:t>
      </w:r>
      <w:r w:rsidRPr="00AB20E7">
        <w:rPr>
          <w:rFonts w:ascii="Arial" w:hAnsi="Arial" w:cs="Arial"/>
          <w:sz w:val="22"/>
          <w:szCs w:val="22"/>
          <w:lang w:val="en-GB"/>
        </w:rPr>
        <w:t xml:space="preserve"> 1968 (1) SA 717 (A) at 722 H, </w:t>
      </w:r>
      <w:r w:rsidRPr="00AB20E7">
        <w:rPr>
          <w:rFonts w:ascii="Arial" w:hAnsi="Arial" w:cs="Arial"/>
          <w:i/>
          <w:sz w:val="22"/>
          <w:szCs w:val="22"/>
          <w:lang w:val="en-GB"/>
        </w:rPr>
        <w:t>Eksteen v Van Schalkwyk en ‘n Ander</w:t>
      </w:r>
      <w:r w:rsidRPr="00AB20E7">
        <w:rPr>
          <w:rFonts w:ascii="Arial" w:hAnsi="Arial" w:cs="Arial"/>
          <w:sz w:val="22"/>
          <w:szCs w:val="22"/>
          <w:lang w:val="en-GB"/>
        </w:rPr>
        <w:t xml:space="preserve"> 1991 (2) S</w:t>
      </w:r>
      <w:r w:rsidR="004B3D0F" w:rsidRPr="00AB20E7">
        <w:rPr>
          <w:rFonts w:ascii="Arial" w:hAnsi="Arial" w:cs="Arial"/>
          <w:sz w:val="22"/>
          <w:szCs w:val="22"/>
          <w:lang w:val="en-GB"/>
        </w:rPr>
        <w:t>A</w:t>
      </w:r>
      <w:r w:rsidRPr="00AB20E7">
        <w:rPr>
          <w:rFonts w:ascii="Arial" w:hAnsi="Arial" w:cs="Arial"/>
          <w:sz w:val="22"/>
          <w:szCs w:val="22"/>
          <w:lang w:val="en-GB"/>
        </w:rPr>
        <w:t xml:space="preserve"> 39 (T) 42-43.</w:t>
      </w:r>
    </w:p>
  </w:footnote>
  <w:footnote w:id="12">
    <w:p w14:paraId="36C0D0B3" w14:textId="266F3CE1" w:rsidR="003D681A" w:rsidRPr="00AB20E7" w:rsidRDefault="003D681A" w:rsidP="00C375E3">
      <w:pPr>
        <w:pStyle w:val="FootnoteText"/>
        <w:spacing w:after="120"/>
        <w:jc w:val="both"/>
        <w:rPr>
          <w:rFonts w:ascii="Arial" w:hAnsi="Arial" w:cs="Arial"/>
          <w:sz w:val="22"/>
          <w:szCs w:val="22"/>
          <w:lang w:val="en-GB"/>
        </w:rPr>
      </w:pPr>
      <w:r w:rsidRPr="00AB20E7">
        <w:rPr>
          <w:rStyle w:val="FootnoteReference"/>
          <w:rFonts w:ascii="Arial" w:hAnsi="Arial" w:cs="Arial"/>
          <w:sz w:val="22"/>
          <w:szCs w:val="22"/>
        </w:rPr>
        <w:footnoteRef/>
      </w:r>
      <w:r w:rsidRPr="00AB20E7">
        <w:rPr>
          <w:rFonts w:ascii="Arial" w:hAnsi="Arial" w:cs="Arial"/>
          <w:sz w:val="22"/>
          <w:szCs w:val="22"/>
        </w:rPr>
        <w:t xml:space="preserve"> </w:t>
      </w:r>
      <w:r w:rsidRPr="00AB20E7">
        <w:rPr>
          <w:rFonts w:ascii="Arial" w:hAnsi="Arial" w:cs="Arial"/>
          <w:sz w:val="22"/>
          <w:szCs w:val="22"/>
          <w:lang w:val="en-GB"/>
        </w:rPr>
        <w:t xml:space="preserve">Mullins J and Da Silva C </w:t>
      </w:r>
      <w:r w:rsidRPr="00AB20E7">
        <w:rPr>
          <w:rFonts w:ascii="Arial" w:hAnsi="Arial" w:cs="Arial"/>
          <w:i/>
          <w:sz w:val="22"/>
          <w:szCs w:val="22"/>
          <w:lang w:val="en-GB"/>
        </w:rPr>
        <w:t xml:space="preserve">Morris Technique in Litigation </w:t>
      </w:r>
      <w:r w:rsidRPr="00AB20E7">
        <w:rPr>
          <w:rFonts w:ascii="Arial" w:hAnsi="Arial" w:cs="Arial"/>
          <w:sz w:val="22"/>
          <w:szCs w:val="22"/>
          <w:lang w:val="en-GB"/>
        </w:rPr>
        <w:t>6</w:t>
      </w:r>
      <w:r w:rsidRPr="00AB20E7">
        <w:rPr>
          <w:rFonts w:ascii="Arial" w:hAnsi="Arial" w:cs="Arial"/>
          <w:sz w:val="22"/>
          <w:szCs w:val="22"/>
          <w:vertAlign w:val="superscript"/>
          <w:lang w:val="en-GB"/>
        </w:rPr>
        <w:t>th</w:t>
      </w:r>
      <w:r w:rsidRPr="00AB20E7">
        <w:rPr>
          <w:rFonts w:ascii="Arial" w:hAnsi="Arial" w:cs="Arial"/>
          <w:sz w:val="22"/>
          <w:szCs w:val="22"/>
          <w:lang w:val="en-GB"/>
        </w:rPr>
        <w:t xml:space="preserve"> ed JUTA 5.</w:t>
      </w:r>
    </w:p>
  </w:footnote>
  <w:footnote w:id="13">
    <w:p w14:paraId="73AE603C" w14:textId="43A73069" w:rsidR="003D681A" w:rsidRPr="00AB20E7" w:rsidRDefault="003D681A" w:rsidP="00C375E3">
      <w:pPr>
        <w:pStyle w:val="FootnoteText"/>
        <w:spacing w:after="120"/>
        <w:jc w:val="both"/>
        <w:rPr>
          <w:rFonts w:ascii="Arial" w:hAnsi="Arial" w:cs="Arial"/>
          <w:sz w:val="22"/>
          <w:szCs w:val="22"/>
          <w:lang w:val="en-GB"/>
        </w:rPr>
      </w:pPr>
      <w:r w:rsidRPr="00AB20E7">
        <w:rPr>
          <w:rStyle w:val="FootnoteReference"/>
          <w:rFonts w:ascii="Arial" w:hAnsi="Arial" w:cs="Arial"/>
          <w:sz w:val="22"/>
          <w:szCs w:val="22"/>
        </w:rPr>
        <w:footnoteRef/>
      </w:r>
      <w:r w:rsidRPr="00AB20E7">
        <w:rPr>
          <w:rFonts w:ascii="Arial" w:hAnsi="Arial" w:cs="Arial"/>
          <w:sz w:val="22"/>
          <w:szCs w:val="22"/>
        </w:rPr>
        <w:t xml:space="preserve"> </w:t>
      </w:r>
      <w:r w:rsidRPr="00AB20E7">
        <w:rPr>
          <w:rFonts w:ascii="Arial" w:hAnsi="Arial" w:cs="Arial"/>
          <w:i/>
          <w:sz w:val="22"/>
          <w:szCs w:val="22"/>
          <w:lang w:val="en-GB"/>
        </w:rPr>
        <w:t>Supra</w:t>
      </w:r>
      <w:r w:rsidRPr="00AB20E7">
        <w:rPr>
          <w:rFonts w:ascii="Arial" w:hAnsi="Arial" w:cs="Arial"/>
          <w:sz w:val="22"/>
          <w:szCs w:val="22"/>
          <w:lang w:val="en-GB"/>
        </w:rPr>
        <w:t>, 13.</w:t>
      </w:r>
    </w:p>
  </w:footnote>
  <w:footnote w:id="14">
    <w:p w14:paraId="68AB9DD4" w14:textId="4688F479" w:rsidR="003D681A" w:rsidRPr="00AB20E7" w:rsidRDefault="003D681A" w:rsidP="00C375E3">
      <w:pPr>
        <w:pStyle w:val="FootnoteText"/>
        <w:spacing w:after="120"/>
        <w:jc w:val="both"/>
        <w:rPr>
          <w:rFonts w:ascii="Arial" w:hAnsi="Arial" w:cs="Arial"/>
          <w:sz w:val="22"/>
          <w:szCs w:val="22"/>
          <w:lang w:val="en-GB"/>
        </w:rPr>
      </w:pPr>
      <w:r w:rsidRPr="00AB20E7">
        <w:rPr>
          <w:rStyle w:val="FootnoteReference"/>
          <w:rFonts w:ascii="Arial" w:hAnsi="Arial" w:cs="Arial"/>
          <w:sz w:val="22"/>
          <w:szCs w:val="22"/>
        </w:rPr>
        <w:footnoteRef/>
      </w:r>
      <w:r w:rsidRPr="00AB20E7">
        <w:rPr>
          <w:rFonts w:ascii="Arial" w:hAnsi="Arial" w:cs="Arial"/>
          <w:sz w:val="22"/>
          <w:szCs w:val="22"/>
        </w:rPr>
        <w:t xml:space="preserve"> </w:t>
      </w:r>
      <w:r w:rsidRPr="00AB20E7">
        <w:rPr>
          <w:rFonts w:ascii="Arial" w:hAnsi="Arial" w:cs="Arial"/>
          <w:i/>
          <w:sz w:val="22"/>
          <w:szCs w:val="22"/>
          <w:lang w:val="en-GB"/>
        </w:rPr>
        <w:t>Supra</w:t>
      </w:r>
      <w:r w:rsidRPr="00AB20E7">
        <w:rPr>
          <w:rFonts w:ascii="Arial" w:hAnsi="Arial" w:cs="Arial"/>
          <w:sz w:val="22"/>
          <w:szCs w:val="22"/>
          <w:lang w:val="en-GB"/>
        </w:rPr>
        <w:t>, 9.</w:t>
      </w:r>
    </w:p>
  </w:footnote>
  <w:footnote w:id="15">
    <w:p w14:paraId="6DA3BB3E" w14:textId="7C94A4A1" w:rsidR="003D681A" w:rsidRPr="00AB20E7" w:rsidRDefault="003D681A" w:rsidP="00C375E3">
      <w:pPr>
        <w:pStyle w:val="FootnoteText"/>
        <w:spacing w:after="120"/>
        <w:jc w:val="both"/>
        <w:rPr>
          <w:rFonts w:ascii="Arial" w:hAnsi="Arial" w:cs="Arial"/>
          <w:sz w:val="22"/>
          <w:szCs w:val="22"/>
          <w:lang w:val="en-GB"/>
        </w:rPr>
      </w:pPr>
      <w:r w:rsidRPr="00AB20E7">
        <w:rPr>
          <w:rStyle w:val="FootnoteReference"/>
          <w:rFonts w:ascii="Arial" w:hAnsi="Arial" w:cs="Arial"/>
          <w:sz w:val="22"/>
          <w:szCs w:val="22"/>
        </w:rPr>
        <w:footnoteRef/>
      </w:r>
      <w:r w:rsidRPr="00AB20E7">
        <w:rPr>
          <w:rFonts w:ascii="Arial" w:hAnsi="Arial" w:cs="Arial"/>
          <w:sz w:val="22"/>
          <w:szCs w:val="22"/>
        </w:rPr>
        <w:t xml:space="preserve"> </w:t>
      </w:r>
      <w:r w:rsidRPr="00AB20E7">
        <w:rPr>
          <w:rFonts w:ascii="Arial" w:hAnsi="Arial" w:cs="Arial"/>
          <w:sz w:val="22"/>
          <w:szCs w:val="22"/>
          <w:lang w:val="en-GB"/>
        </w:rPr>
        <w:t>GN 168 of 29 March 2019 GG No. 42337.</w:t>
      </w:r>
    </w:p>
  </w:footnote>
  <w:footnote w:id="16">
    <w:p w14:paraId="3E645DBA" w14:textId="5AB3441E" w:rsidR="003D681A" w:rsidRPr="00AB20E7" w:rsidRDefault="003D681A" w:rsidP="00C375E3">
      <w:pPr>
        <w:pStyle w:val="FootnoteText"/>
        <w:spacing w:after="120"/>
        <w:jc w:val="both"/>
        <w:rPr>
          <w:rFonts w:ascii="Arial" w:hAnsi="Arial" w:cs="Arial"/>
          <w:sz w:val="22"/>
          <w:szCs w:val="22"/>
          <w:lang w:val="en-GB"/>
        </w:rPr>
      </w:pPr>
      <w:r w:rsidRPr="00AB20E7">
        <w:rPr>
          <w:rStyle w:val="FootnoteReference"/>
          <w:rFonts w:ascii="Arial" w:hAnsi="Arial" w:cs="Arial"/>
          <w:sz w:val="22"/>
          <w:szCs w:val="22"/>
        </w:rPr>
        <w:footnoteRef/>
      </w:r>
      <w:r w:rsidRPr="00AB20E7">
        <w:rPr>
          <w:rFonts w:ascii="Arial" w:hAnsi="Arial" w:cs="Arial"/>
          <w:sz w:val="22"/>
          <w:szCs w:val="22"/>
        </w:rPr>
        <w:t xml:space="preserve"> Para. 22.3.1.</w:t>
      </w:r>
    </w:p>
  </w:footnote>
  <w:footnote w:id="17">
    <w:p w14:paraId="1138B7D8" w14:textId="14822080" w:rsidR="003D681A" w:rsidRPr="00AB20E7" w:rsidRDefault="003D681A" w:rsidP="00C375E3">
      <w:pPr>
        <w:pStyle w:val="FootnoteText"/>
        <w:spacing w:after="120"/>
        <w:jc w:val="both"/>
        <w:rPr>
          <w:rFonts w:ascii="Arial" w:hAnsi="Arial" w:cs="Arial"/>
          <w:sz w:val="22"/>
          <w:szCs w:val="22"/>
          <w:lang w:val="en-GB"/>
        </w:rPr>
      </w:pPr>
      <w:r w:rsidRPr="00AB20E7">
        <w:rPr>
          <w:rStyle w:val="FootnoteReference"/>
          <w:rFonts w:ascii="Arial" w:hAnsi="Arial" w:cs="Arial"/>
          <w:sz w:val="22"/>
          <w:szCs w:val="22"/>
        </w:rPr>
        <w:footnoteRef/>
      </w:r>
      <w:r w:rsidRPr="00AB20E7">
        <w:rPr>
          <w:rFonts w:ascii="Arial" w:hAnsi="Arial" w:cs="Arial"/>
          <w:sz w:val="22"/>
          <w:szCs w:val="22"/>
        </w:rPr>
        <w:t xml:space="preserve"> </w:t>
      </w:r>
      <w:r w:rsidRPr="00AB20E7">
        <w:rPr>
          <w:rFonts w:ascii="Arial" w:hAnsi="Arial" w:cs="Arial"/>
          <w:sz w:val="22"/>
          <w:szCs w:val="22"/>
          <w:lang w:val="en-GB"/>
        </w:rPr>
        <w:t>Para 23.</w:t>
      </w:r>
    </w:p>
  </w:footnote>
  <w:footnote w:id="18">
    <w:p w14:paraId="436444A3" w14:textId="0970B4A9" w:rsidR="00C375E3" w:rsidRPr="00AB20E7" w:rsidRDefault="00C375E3" w:rsidP="00C375E3">
      <w:pPr>
        <w:pStyle w:val="FootnoteText"/>
        <w:spacing w:after="120"/>
        <w:jc w:val="both"/>
        <w:rPr>
          <w:rFonts w:ascii="Arial" w:hAnsi="Arial" w:cs="Arial"/>
          <w:sz w:val="22"/>
          <w:szCs w:val="22"/>
          <w:lang w:val="en-GB"/>
        </w:rPr>
      </w:pPr>
      <w:r w:rsidRPr="00AB20E7">
        <w:rPr>
          <w:rStyle w:val="FootnoteReference"/>
          <w:rFonts w:ascii="Arial" w:hAnsi="Arial" w:cs="Arial"/>
          <w:sz w:val="22"/>
          <w:szCs w:val="22"/>
        </w:rPr>
        <w:footnoteRef/>
      </w:r>
      <w:r w:rsidRPr="00AB20E7">
        <w:rPr>
          <w:rFonts w:ascii="Arial" w:hAnsi="Arial" w:cs="Arial"/>
          <w:sz w:val="22"/>
          <w:szCs w:val="22"/>
        </w:rPr>
        <w:t xml:space="preserve"> </w:t>
      </w:r>
      <w:r w:rsidRPr="00AB20E7">
        <w:rPr>
          <w:rFonts w:ascii="Arial" w:hAnsi="Arial" w:cs="Arial"/>
          <w:sz w:val="22"/>
          <w:szCs w:val="22"/>
          <w:lang w:val="en-GB"/>
        </w:rPr>
        <w:t>Para 39.</w:t>
      </w:r>
    </w:p>
  </w:footnote>
  <w:footnote w:id="19">
    <w:p w14:paraId="23B46F41" w14:textId="21BD7E3C" w:rsidR="003D681A" w:rsidRPr="00AB20E7" w:rsidRDefault="003D681A" w:rsidP="00C375E3">
      <w:pPr>
        <w:pStyle w:val="FootnoteText"/>
        <w:spacing w:after="120"/>
        <w:jc w:val="both"/>
        <w:rPr>
          <w:rFonts w:ascii="Arial" w:hAnsi="Arial" w:cs="Arial"/>
          <w:sz w:val="22"/>
          <w:szCs w:val="22"/>
          <w:lang w:val="en-GB"/>
        </w:rPr>
      </w:pPr>
      <w:r w:rsidRPr="00AB20E7">
        <w:rPr>
          <w:rStyle w:val="FootnoteReference"/>
          <w:rFonts w:ascii="Arial" w:hAnsi="Arial" w:cs="Arial"/>
          <w:sz w:val="22"/>
          <w:szCs w:val="22"/>
        </w:rPr>
        <w:footnoteRef/>
      </w:r>
      <w:r w:rsidRPr="00AB20E7">
        <w:rPr>
          <w:rFonts w:ascii="Arial" w:hAnsi="Arial" w:cs="Arial"/>
          <w:sz w:val="22"/>
          <w:szCs w:val="22"/>
        </w:rPr>
        <w:t xml:space="preserve"> </w:t>
      </w:r>
      <w:r w:rsidRPr="00AB20E7">
        <w:rPr>
          <w:rFonts w:ascii="Arial" w:hAnsi="Arial" w:cs="Arial"/>
          <w:sz w:val="22"/>
          <w:szCs w:val="22"/>
          <w:lang w:val="en-GB"/>
        </w:rPr>
        <w:t>Paras 27.1 and 43.1.</w:t>
      </w:r>
    </w:p>
  </w:footnote>
  <w:footnote w:id="20">
    <w:p w14:paraId="2F8F873F" w14:textId="77777777" w:rsidR="006E5BF5" w:rsidRPr="00AB20E7" w:rsidRDefault="003D681A" w:rsidP="006E5BF5">
      <w:pPr>
        <w:pStyle w:val="FootnoteText"/>
        <w:jc w:val="both"/>
        <w:rPr>
          <w:rFonts w:ascii="Arial" w:hAnsi="Arial" w:cs="Arial"/>
          <w:sz w:val="22"/>
          <w:szCs w:val="22"/>
        </w:rPr>
      </w:pPr>
      <w:r w:rsidRPr="00AB20E7">
        <w:rPr>
          <w:rStyle w:val="FootnoteReference"/>
          <w:rFonts w:ascii="Arial" w:hAnsi="Arial" w:cs="Arial"/>
          <w:sz w:val="22"/>
          <w:szCs w:val="22"/>
        </w:rPr>
        <w:footnoteRef/>
      </w:r>
      <w:r w:rsidRPr="00AB20E7">
        <w:rPr>
          <w:rFonts w:ascii="Arial" w:hAnsi="Arial" w:cs="Arial"/>
          <w:sz w:val="22"/>
          <w:szCs w:val="22"/>
        </w:rPr>
        <w:t xml:space="preserve"> ‘Legal Practitioner’s Fidelity Fund’ </w:t>
      </w:r>
    </w:p>
    <w:p w14:paraId="24E86C44" w14:textId="750DDACB" w:rsidR="003D681A" w:rsidRPr="00AB20E7" w:rsidRDefault="003D681A" w:rsidP="00C375E3">
      <w:pPr>
        <w:pStyle w:val="FootnoteText"/>
        <w:spacing w:after="120"/>
        <w:jc w:val="both"/>
        <w:rPr>
          <w:rFonts w:ascii="Arial" w:hAnsi="Arial" w:cs="Arial"/>
          <w:sz w:val="22"/>
          <w:szCs w:val="22"/>
        </w:rPr>
      </w:pPr>
      <w:r w:rsidRPr="00AB20E7">
        <w:rPr>
          <w:rFonts w:ascii="Arial" w:hAnsi="Arial" w:cs="Arial"/>
          <w:sz w:val="22"/>
          <w:szCs w:val="22"/>
        </w:rPr>
        <w:t>https://www.fidfund.co.za/#:~:text=The%20primary%20purpose%20of%20the,executor%20or%20administrator%2 0in%20a accessed on 21 March 2023.</w:t>
      </w:r>
    </w:p>
  </w:footnote>
  <w:footnote w:id="21">
    <w:p w14:paraId="038E2BDF" w14:textId="41914CB7" w:rsidR="003D681A" w:rsidRPr="00AB20E7" w:rsidRDefault="003D681A" w:rsidP="00C375E3">
      <w:pPr>
        <w:pStyle w:val="FootnoteText"/>
        <w:spacing w:after="120"/>
        <w:jc w:val="both"/>
        <w:rPr>
          <w:rFonts w:ascii="Arial" w:hAnsi="Arial" w:cs="Arial"/>
          <w:sz w:val="22"/>
          <w:szCs w:val="22"/>
          <w:lang w:val="en-GB"/>
        </w:rPr>
      </w:pPr>
      <w:r w:rsidRPr="00AB20E7">
        <w:rPr>
          <w:rStyle w:val="FootnoteReference"/>
          <w:rFonts w:ascii="Arial" w:hAnsi="Arial" w:cs="Arial"/>
          <w:sz w:val="22"/>
          <w:szCs w:val="22"/>
        </w:rPr>
        <w:footnoteRef/>
      </w:r>
      <w:r w:rsidRPr="00AB20E7">
        <w:rPr>
          <w:rFonts w:ascii="Arial" w:hAnsi="Arial" w:cs="Arial"/>
          <w:sz w:val="22"/>
          <w:szCs w:val="22"/>
        </w:rPr>
        <w:t xml:space="preserve"> </w:t>
      </w:r>
      <w:r w:rsidRPr="00580489">
        <w:rPr>
          <w:rFonts w:ascii="Arial" w:hAnsi="Arial" w:cs="Arial"/>
          <w:sz w:val="22"/>
          <w:szCs w:val="22"/>
        </w:rPr>
        <w:t>https://www.fidfund.co.za/about-lpff/</w:t>
      </w:r>
      <w:r w:rsidRPr="00AB20E7">
        <w:rPr>
          <w:rFonts w:ascii="Arial" w:hAnsi="Arial" w:cs="Arial"/>
          <w:sz w:val="22"/>
          <w:szCs w:val="22"/>
        </w:rPr>
        <w:t xml:space="preserve"> accessed on 21 March 2023.</w:t>
      </w:r>
    </w:p>
  </w:footnote>
  <w:footnote w:id="22">
    <w:p w14:paraId="0035C236" w14:textId="77777777" w:rsidR="003D681A" w:rsidRPr="00AB20E7" w:rsidRDefault="003D681A" w:rsidP="00C375E3">
      <w:pPr>
        <w:pStyle w:val="FootnoteText"/>
        <w:spacing w:after="120"/>
        <w:jc w:val="both"/>
        <w:rPr>
          <w:rFonts w:ascii="Arial" w:hAnsi="Arial" w:cs="Arial"/>
          <w:sz w:val="22"/>
          <w:szCs w:val="22"/>
          <w:lang w:val="en-GB"/>
        </w:rPr>
      </w:pPr>
      <w:r w:rsidRPr="00AB20E7">
        <w:rPr>
          <w:rStyle w:val="FootnoteReference"/>
          <w:rFonts w:ascii="Arial" w:hAnsi="Arial" w:cs="Arial"/>
          <w:sz w:val="22"/>
          <w:szCs w:val="22"/>
        </w:rPr>
        <w:footnoteRef/>
      </w:r>
      <w:r w:rsidRPr="00AB20E7">
        <w:rPr>
          <w:rFonts w:ascii="Arial" w:hAnsi="Arial" w:cs="Arial"/>
          <w:sz w:val="22"/>
          <w:szCs w:val="22"/>
        </w:rPr>
        <w:t xml:space="preserve"> </w:t>
      </w:r>
      <w:r w:rsidRPr="00AB20E7">
        <w:rPr>
          <w:rFonts w:ascii="Arial" w:hAnsi="Arial" w:cs="Arial"/>
          <w:sz w:val="22"/>
          <w:szCs w:val="22"/>
          <w:lang w:val="en-GB"/>
        </w:rPr>
        <w:t>Ibid. see also ‘The Legal Practitioners Fidelity Fund – empowering South Africans to use legal services with confidence’ - https://www.iol.co.za/business-report/partnered/the-legal-practitioners-fidelity-fund-empowering-south-africans-to-use-legal-services-with-confidence-d88b7f62-80ad-422b-bb6f-f8e064780a33 accessed on 21 March 2023.</w:t>
      </w:r>
    </w:p>
  </w:footnote>
  <w:footnote w:id="23">
    <w:p w14:paraId="54237388" w14:textId="617DA49E" w:rsidR="003D681A" w:rsidRPr="00AB20E7" w:rsidRDefault="003D681A" w:rsidP="00C375E3">
      <w:pPr>
        <w:pStyle w:val="FootnoteText"/>
        <w:spacing w:after="120"/>
        <w:jc w:val="both"/>
        <w:rPr>
          <w:rFonts w:ascii="Arial" w:hAnsi="Arial" w:cs="Arial"/>
          <w:sz w:val="22"/>
          <w:szCs w:val="22"/>
          <w:lang w:val="en-GB"/>
        </w:rPr>
      </w:pPr>
      <w:r w:rsidRPr="00AB20E7">
        <w:rPr>
          <w:rStyle w:val="FootnoteReference"/>
          <w:rFonts w:ascii="Arial" w:hAnsi="Arial" w:cs="Arial"/>
          <w:sz w:val="22"/>
          <w:szCs w:val="22"/>
        </w:rPr>
        <w:footnoteRef/>
      </w:r>
      <w:r w:rsidRPr="00AB20E7">
        <w:rPr>
          <w:rFonts w:ascii="Arial" w:hAnsi="Arial" w:cs="Arial"/>
          <w:sz w:val="22"/>
          <w:szCs w:val="22"/>
        </w:rPr>
        <w:t xml:space="preserve"> </w:t>
      </w:r>
      <w:r w:rsidRPr="00AB20E7">
        <w:rPr>
          <w:rFonts w:ascii="Arial" w:hAnsi="Arial" w:cs="Arial"/>
          <w:sz w:val="22"/>
          <w:szCs w:val="22"/>
          <w:lang w:val="en-GB"/>
        </w:rPr>
        <w:t>1957 (4) SA 618 (W).</w:t>
      </w:r>
    </w:p>
  </w:footnote>
  <w:footnote w:id="24">
    <w:p w14:paraId="2D12F54B" w14:textId="778486AF" w:rsidR="003D681A" w:rsidRPr="00AB20E7" w:rsidRDefault="003D681A" w:rsidP="00C375E3">
      <w:pPr>
        <w:pStyle w:val="FootnoteText"/>
        <w:spacing w:after="120"/>
        <w:jc w:val="both"/>
        <w:rPr>
          <w:rFonts w:ascii="Arial" w:hAnsi="Arial" w:cs="Arial"/>
          <w:sz w:val="22"/>
          <w:szCs w:val="22"/>
          <w:lang w:val="en-GB"/>
        </w:rPr>
      </w:pPr>
      <w:r w:rsidRPr="00AB20E7">
        <w:rPr>
          <w:rStyle w:val="FootnoteReference"/>
          <w:rFonts w:ascii="Arial" w:hAnsi="Arial" w:cs="Arial"/>
          <w:sz w:val="22"/>
          <w:szCs w:val="22"/>
        </w:rPr>
        <w:footnoteRef/>
      </w:r>
      <w:r w:rsidRPr="00AB20E7">
        <w:rPr>
          <w:rFonts w:ascii="Arial" w:hAnsi="Arial" w:cs="Arial"/>
          <w:sz w:val="22"/>
          <w:szCs w:val="22"/>
        </w:rPr>
        <w:t xml:space="preserve"> </w:t>
      </w:r>
      <w:r w:rsidRPr="00AB20E7">
        <w:rPr>
          <w:rFonts w:ascii="Arial" w:hAnsi="Arial" w:cs="Arial"/>
          <w:sz w:val="22"/>
          <w:szCs w:val="22"/>
          <w:lang w:val="en-GB"/>
        </w:rPr>
        <w:t>2003 (6) SA 664 (C).</w:t>
      </w:r>
    </w:p>
  </w:footnote>
  <w:footnote w:id="25">
    <w:p w14:paraId="7EC4FFF6" w14:textId="2F1684D1" w:rsidR="003D681A" w:rsidRPr="00AB20E7" w:rsidRDefault="003D681A" w:rsidP="00C375E3">
      <w:pPr>
        <w:pStyle w:val="FootnoteText"/>
        <w:spacing w:after="120"/>
        <w:jc w:val="both"/>
        <w:rPr>
          <w:rFonts w:ascii="Arial" w:hAnsi="Arial" w:cs="Arial"/>
          <w:sz w:val="22"/>
          <w:szCs w:val="22"/>
          <w:lang w:val="en-GB"/>
        </w:rPr>
      </w:pPr>
      <w:r w:rsidRPr="00AB20E7">
        <w:rPr>
          <w:rStyle w:val="FootnoteReference"/>
          <w:rFonts w:ascii="Arial" w:hAnsi="Arial" w:cs="Arial"/>
          <w:sz w:val="22"/>
          <w:szCs w:val="22"/>
        </w:rPr>
        <w:footnoteRef/>
      </w:r>
      <w:r w:rsidRPr="00AB20E7">
        <w:rPr>
          <w:rFonts w:ascii="Arial" w:hAnsi="Arial" w:cs="Arial"/>
          <w:sz w:val="22"/>
          <w:szCs w:val="22"/>
        </w:rPr>
        <w:t xml:space="preserve"> </w:t>
      </w:r>
      <w:r w:rsidRPr="00AB20E7">
        <w:rPr>
          <w:rFonts w:ascii="Arial" w:hAnsi="Arial" w:cs="Arial"/>
          <w:i/>
          <w:sz w:val="22"/>
          <w:szCs w:val="22"/>
          <w:lang w:val="en-GB"/>
        </w:rPr>
        <w:t>Supra</w:t>
      </w:r>
      <w:r w:rsidRPr="00AB20E7">
        <w:rPr>
          <w:rFonts w:ascii="Arial" w:hAnsi="Arial" w:cs="Arial"/>
          <w:sz w:val="22"/>
          <w:szCs w:val="22"/>
          <w:lang w:val="en-GB"/>
        </w:rPr>
        <w:t>, at para [13].</w:t>
      </w:r>
    </w:p>
  </w:footnote>
  <w:footnote w:id="26">
    <w:p w14:paraId="5E3C8E9F" w14:textId="75F446E8" w:rsidR="003D681A" w:rsidRPr="00AB20E7" w:rsidRDefault="003D681A" w:rsidP="00C375E3">
      <w:pPr>
        <w:pStyle w:val="FootnoteText"/>
        <w:spacing w:after="120"/>
        <w:jc w:val="both"/>
        <w:rPr>
          <w:rFonts w:ascii="Arial" w:hAnsi="Arial" w:cs="Arial"/>
          <w:sz w:val="22"/>
          <w:szCs w:val="22"/>
          <w:lang w:val="en-GB"/>
        </w:rPr>
      </w:pPr>
      <w:r w:rsidRPr="00AB20E7">
        <w:rPr>
          <w:rStyle w:val="FootnoteReference"/>
          <w:rFonts w:ascii="Arial" w:hAnsi="Arial" w:cs="Arial"/>
          <w:sz w:val="22"/>
          <w:szCs w:val="22"/>
        </w:rPr>
        <w:footnoteRef/>
      </w:r>
      <w:r w:rsidRPr="00AB20E7">
        <w:rPr>
          <w:rFonts w:ascii="Arial" w:hAnsi="Arial" w:cs="Arial"/>
          <w:sz w:val="22"/>
          <w:szCs w:val="22"/>
        </w:rPr>
        <w:t xml:space="preserve"> </w:t>
      </w:r>
      <w:r w:rsidRPr="00AB20E7">
        <w:rPr>
          <w:rFonts w:ascii="Arial" w:hAnsi="Arial" w:cs="Arial"/>
          <w:i/>
          <w:sz w:val="22"/>
          <w:szCs w:val="22"/>
          <w:lang w:val="en-GB"/>
        </w:rPr>
        <w:t>Supra</w:t>
      </w:r>
      <w:r w:rsidRPr="00AB20E7">
        <w:rPr>
          <w:rFonts w:ascii="Arial" w:hAnsi="Arial" w:cs="Arial"/>
          <w:sz w:val="22"/>
          <w:szCs w:val="22"/>
          <w:lang w:val="en-GB"/>
        </w:rPr>
        <w:t>, at para [16].</w:t>
      </w:r>
    </w:p>
  </w:footnote>
  <w:footnote w:id="27">
    <w:p w14:paraId="34F79551" w14:textId="09538559" w:rsidR="003D681A" w:rsidRPr="00AB20E7" w:rsidRDefault="003D681A" w:rsidP="00C375E3">
      <w:pPr>
        <w:pStyle w:val="FootnoteText"/>
        <w:spacing w:after="120"/>
        <w:jc w:val="both"/>
        <w:rPr>
          <w:rFonts w:ascii="Arial" w:hAnsi="Arial" w:cs="Arial"/>
          <w:sz w:val="22"/>
          <w:szCs w:val="22"/>
          <w:lang w:val="en-GB"/>
        </w:rPr>
      </w:pPr>
      <w:r w:rsidRPr="00AB20E7">
        <w:rPr>
          <w:rStyle w:val="FootnoteReference"/>
          <w:rFonts w:ascii="Arial" w:hAnsi="Arial" w:cs="Arial"/>
          <w:sz w:val="22"/>
          <w:szCs w:val="22"/>
        </w:rPr>
        <w:footnoteRef/>
      </w:r>
      <w:r w:rsidRPr="00AB20E7">
        <w:rPr>
          <w:rFonts w:ascii="Arial" w:hAnsi="Arial" w:cs="Arial"/>
          <w:sz w:val="22"/>
          <w:szCs w:val="22"/>
        </w:rPr>
        <w:t xml:space="preserve"> </w:t>
      </w:r>
      <w:r w:rsidRPr="00AB20E7">
        <w:rPr>
          <w:rFonts w:ascii="Arial" w:hAnsi="Arial" w:cs="Arial"/>
          <w:sz w:val="22"/>
          <w:szCs w:val="22"/>
          <w:lang w:val="en-GB"/>
        </w:rPr>
        <w:t>2004 (3) SA 31 (C).</w:t>
      </w:r>
    </w:p>
  </w:footnote>
  <w:footnote w:id="28">
    <w:p w14:paraId="508C8580" w14:textId="2966F507" w:rsidR="003D681A" w:rsidRPr="00AB20E7" w:rsidRDefault="003D681A" w:rsidP="00C375E3">
      <w:pPr>
        <w:pStyle w:val="FootnoteText"/>
        <w:spacing w:after="120"/>
        <w:jc w:val="both"/>
        <w:rPr>
          <w:rFonts w:ascii="Arial" w:hAnsi="Arial" w:cs="Arial"/>
          <w:sz w:val="22"/>
          <w:szCs w:val="22"/>
          <w:lang w:val="en-GB"/>
        </w:rPr>
      </w:pPr>
      <w:r w:rsidRPr="00AB20E7">
        <w:rPr>
          <w:rStyle w:val="FootnoteReference"/>
          <w:rFonts w:ascii="Arial" w:hAnsi="Arial" w:cs="Arial"/>
          <w:sz w:val="22"/>
          <w:szCs w:val="22"/>
        </w:rPr>
        <w:footnoteRef/>
      </w:r>
      <w:r w:rsidRPr="00AB20E7">
        <w:rPr>
          <w:rFonts w:ascii="Arial" w:hAnsi="Arial" w:cs="Arial"/>
          <w:sz w:val="22"/>
          <w:szCs w:val="22"/>
        </w:rPr>
        <w:t xml:space="preserve"> </w:t>
      </w:r>
      <w:r w:rsidRPr="00AB20E7">
        <w:rPr>
          <w:rFonts w:ascii="Arial" w:hAnsi="Arial" w:cs="Arial"/>
          <w:i/>
          <w:sz w:val="22"/>
          <w:szCs w:val="22"/>
          <w:lang w:val="en-GB"/>
        </w:rPr>
        <w:t xml:space="preserve">Supra, </w:t>
      </w:r>
      <w:r w:rsidRPr="00AB20E7">
        <w:rPr>
          <w:rFonts w:ascii="Arial" w:hAnsi="Arial" w:cs="Arial"/>
          <w:sz w:val="22"/>
          <w:szCs w:val="22"/>
          <w:lang w:val="en-GB"/>
        </w:rPr>
        <w:t>at para [42].</w:t>
      </w:r>
    </w:p>
  </w:footnote>
  <w:footnote w:id="29">
    <w:p w14:paraId="152DA850" w14:textId="36C31DAD" w:rsidR="003D681A" w:rsidRPr="00AB20E7" w:rsidRDefault="003D681A" w:rsidP="00C375E3">
      <w:pPr>
        <w:pStyle w:val="FootnoteText"/>
        <w:spacing w:after="120"/>
        <w:jc w:val="both"/>
        <w:rPr>
          <w:rFonts w:ascii="Arial" w:hAnsi="Arial" w:cs="Arial"/>
          <w:sz w:val="22"/>
          <w:szCs w:val="22"/>
          <w:lang w:val="en-GB"/>
        </w:rPr>
      </w:pPr>
      <w:r w:rsidRPr="00AB20E7">
        <w:rPr>
          <w:rStyle w:val="FootnoteReference"/>
          <w:rFonts w:ascii="Arial" w:hAnsi="Arial" w:cs="Arial"/>
          <w:sz w:val="22"/>
          <w:szCs w:val="22"/>
        </w:rPr>
        <w:footnoteRef/>
      </w:r>
      <w:r w:rsidRPr="00AB20E7">
        <w:rPr>
          <w:rFonts w:ascii="Arial" w:hAnsi="Arial" w:cs="Arial"/>
          <w:sz w:val="22"/>
          <w:szCs w:val="22"/>
        </w:rPr>
        <w:t xml:space="preserve"> </w:t>
      </w:r>
      <w:r w:rsidRPr="00AB20E7">
        <w:rPr>
          <w:rFonts w:ascii="Arial" w:hAnsi="Arial" w:cs="Arial"/>
          <w:sz w:val="22"/>
          <w:szCs w:val="22"/>
          <w:lang w:val="en-GB"/>
        </w:rPr>
        <w:t>1981 (3) SA 539 (W) at 542G-H.</w:t>
      </w:r>
    </w:p>
  </w:footnote>
  <w:footnote w:id="30">
    <w:p w14:paraId="6898EA00" w14:textId="5633D1A7" w:rsidR="003D681A" w:rsidRPr="00AB20E7" w:rsidRDefault="003D681A" w:rsidP="00C375E3">
      <w:pPr>
        <w:pStyle w:val="FootnoteText"/>
        <w:spacing w:after="120"/>
        <w:jc w:val="both"/>
        <w:rPr>
          <w:rFonts w:ascii="Arial" w:hAnsi="Arial" w:cs="Arial"/>
          <w:sz w:val="22"/>
          <w:szCs w:val="22"/>
          <w:lang w:val="en-GB"/>
        </w:rPr>
      </w:pPr>
      <w:r w:rsidRPr="00AB20E7">
        <w:rPr>
          <w:rStyle w:val="FootnoteReference"/>
          <w:rFonts w:ascii="Arial" w:hAnsi="Arial" w:cs="Arial"/>
          <w:sz w:val="22"/>
          <w:szCs w:val="22"/>
        </w:rPr>
        <w:footnoteRef/>
      </w:r>
      <w:r w:rsidRPr="00AB20E7">
        <w:rPr>
          <w:rFonts w:ascii="Arial" w:hAnsi="Arial" w:cs="Arial"/>
          <w:sz w:val="22"/>
          <w:szCs w:val="22"/>
        </w:rPr>
        <w:t xml:space="preserve"> </w:t>
      </w:r>
      <w:r w:rsidRPr="00AB20E7">
        <w:rPr>
          <w:rFonts w:ascii="Arial" w:hAnsi="Arial" w:cs="Arial"/>
          <w:sz w:val="22"/>
          <w:szCs w:val="22"/>
          <w:lang w:val="en-GB"/>
        </w:rPr>
        <w:t>2012 (3) SA 611 (SCA) at para [17].</w:t>
      </w:r>
    </w:p>
  </w:footnote>
  <w:footnote w:id="31">
    <w:p w14:paraId="6C307913" w14:textId="3697998B" w:rsidR="003D681A" w:rsidRPr="00C375E3" w:rsidRDefault="003D681A" w:rsidP="00C375E3">
      <w:pPr>
        <w:pStyle w:val="FootnoteText"/>
        <w:spacing w:after="120"/>
        <w:jc w:val="both"/>
        <w:rPr>
          <w:rFonts w:ascii="Arial" w:hAnsi="Arial" w:cs="Arial"/>
          <w:sz w:val="22"/>
          <w:szCs w:val="22"/>
          <w:lang w:val="en-GB"/>
        </w:rPr>
      </w:pPr>
      <w:r w:rsidRPr="00AB20E7">
        <w:rPr>
          <w:rStyle w:val="FootnoteReference"/>
          <w:rFonts w:ascii="Arial" w:hAnsi="Arial" w:cs="Arial"/>
          <w:sz w:val="22"/>
          <w:szCs w:val="22"/>
        </w:rPr>
        <w:footnoteRef/>
      </w:r>
      <w:r w:rsidRPr="00AB20E7">
        <w:rPr>
          <w:rFonts w:ascii="Arial" w:hAnsi="Arial" w:cs="Arial"/>
          <w:sz w:val="22"/>
          <w:szCs w:val="22"/>
        </w:rPr>
        <w:t xml:space="preserve"> </w:t>
      </w:r>
      <w:r w:rsidRPr="00AB20E7">
        <w:rPr>
          <w:rFonts w:ascii="Arial" w:hAnsi="Arial" w:cs="Arial"/>
          <w:sz w:val="22"/>
          <w:szCs w:val="22"/>
          <w:lang w:val="en-GB"/>
        </w:rPr>
        <w:t>1997 (1) SA 136 (A).</w:t>
      </w:r>
      <w:r w:rsidRPr="00C375E3">
        <w:rPr>
          <w:rFonts w:ascii="Arial" w:hAnsi="Arial" w:cs="Arial"/>
          <w:sz w:val="22"/>
          <w:szCs w:val="22"/>
          <w:lang w:val="en-GB"/>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1908836"/>
      <w:docPartObj>
        <w:docPartGallery w:val="Page Numbers (Top of Page)"/>
        <w:docPartUnique/>
      </w:docPartObj>
    </w:sdtPr>
    <w:sdtEndPr>
      <w:rPr>
        <w:noProof/>
      </w:rPr>
    </w:sdtEndPr>
    <w:sdtContent>
      <w:p w14:paraId="3E0A3197" w14:textId="0B68D659" w:rsidR="003D681A" w:rsidRDefault="003D681A">
        <w:pPr>
          <w:pStyle w:val="Header"/>
          <w:jc w:val="center"/>
        </w:pPr>
        <w:r>
          <w:fldChar w:fldCharType="begin"/>
        </w:r>
        <w:r>
          <w:instrText xml:space="preserve"> PAGE   \* MERGEFORMAT </w:instrText>
        </w:r>
        <w:r>
          <w:fldChar w:fldCharType="separate"/>
        </w:r>
        <w:r w:rsidR="00442EC6">
          <w:rPr>
            <w:noProof/>
          </w:rPr>
          <w:t>3</w:t>
        </w:r>
        <w:r>
          <w:rPr>
            <w:noProof/>
          </w:rPr>
          <w:fldChar w:fldCharType="end"/>
        </w:r>
      </w:p>
    </w:sdtContent>
  </w:sdt>
  <w:p w14:paraId="281D55A2" w14:textId="77777777" w:rsidR="003D681A" w:rsidRDefault="003D68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3"/>
    <w:multiLevelType w:val="multilevel"/>
    <w:tmpl w:val="7682CB94"/>
    <w:lvl w:ilvl="0">
      <w:start w:val="1"/>
      <w:numFmt w:val="decimal"/>
      <w:lvlText w:val="[%1]"/>
      <w:lvlJc w:val="left"/>
      <w:pPr>
        <w:ind w:left="868" w:hanging="708"/>
      </w:pPr>
      <w:rPr>
        <w:rFonts w:ascii="Arial" w:hAnsi="Arial" w:cs="Arial" w:hint="default"/>
        <w:b w:val="0"/>
        <w:bCs w:val="0"/>
        <w:i w:val="0"/>
        <w:iCs w:val="0"/>
        <w:spacing w:val="0"/>
        <w:w w:val="99"/>
        <w:sz w:val="24"/>
        <w:szCs w:val="24"/>
      </w:rPr>
    </w:lvl>
    <w:lvl w:ilvl="1">
      <w:start w:val="2"/>
      <w:numFmt w:val="decimal"/>
      <w:lvlText w:val="%2."/>
      <w:lvlJc w:val="left"/>
      <w:pPr>
        <w:ind w:left="1600" w:hanging="269"/>
      </w:pPr>
      <w:rPr>
        <w:rFonts w:cs="Times New Roman"/>
        <w:w w:val="100"/>
      </w:rPr>
    </w:lvl>
    <w:lvl w:ilvl="2">
      <w:numFmt w:val="bullet"/>
      <w:lvlText w:val="•"/>
      <w:lvlJc w:val="left"/>
      <w:pPr>
        <w:ind w:left="2456" w:hanging="269"/>
      </w:pPr>
    </w:lvl>
    <w:lvl w:ilvl="3">
      <w:numFmt w:val="bullet"/>
      <w:lvlText w:val="•"/>
      <w:lvlJc w:val="left"/>
      <w:pPr>
        <w:ind w:left="3312" w:hanging="269"/>
      </w:pPr>
    </w:lvl>
    <w:lvl w:ilvl="4">
      <w:numFmt w:val="bullet"/>
      <w:lvlText w:val="•"/>
      <w:lvlJc w:val="left"/>
      <w:pPr>
        <w:ind w:left="4168" w:hanging="269"/>
      </w:pPr>
    </w:lvl>
    <w:lvl w:ilvl="5">
      <w:numFmt w:val="bullet"/>
      <w:lvlText w:val="•"/>
      <w:lvlJc w:val="left"/>
      <w:pPr>
        <w:ind w:left="5025" w:hanging="269"/>
      </w:pPr>
    </w:lvl>
    <w:lvl w:ilvl="6">
      <w:numFmt w:val="bullet"/>
      <w:lvlText w:val="•"/>
      <w:lvlJc w:val="left"/>
      <w:pPr>
        <w:ind w:left="5881" w:hanging="269"/>
      </w:pPr>
    </w:lvl>
    <w:lvl w:ilvl="7">
      <w:numFmt w:val="bullet"/>
      <w:lvlText w:val="•"/>
      <w:lvlJc w:val="left"/>
      <w:pPr>
        <w:ind w:left="6737" w:hanging="269"/>
      </w:pPr>
    </w:lvl>
    <w:lvl w:ilvl="8">
      <w:numFmt w:val="bullet"/>
      <w:lvlText w:val="•"/>
      <w:lvlJc w:val="left"/>
      <w:pPr>
        <w:ind w:left="7593" w:hanging="269"/>
      </w:pPr>
    </w:lvl>
  </w:abstractNum>
  <w:abstractNum w:abstractNumId="1">
    <w:nsid w:val="00000404"/>
    <w:multiLevelType w:val="multilevel"/>
    <w:tmpl w:val="301E5F52"/>
    <w:lvl w:ilvl="0">
      <w:start w:val="1"/>
      <w:numFmt w:val="lowerLetter"/>
      <w:lvlText w:val="%1)"/>
      <w:lvlJc w:val="left"/>
      <w:pPr>
        <w:ind w:left="1586" w:hanging="339"/>
      </w:pPr>
      <w:rPr>
        <w:rFonts w:ascii="Arial" w:hAnsi="Arial" w:cs="Arial" w:hint="default"/>
        <w:b w:val="0"/>
        <w:bCs w:val="0"/>
        <w:i/>
        <w:iCs/>
        <w:spacing w:val="0"/>
        <w:w w:val="99"/>
        <w:sz w:val="24"/>
        <w:szCs w:val="24"/>
      </w:rPr>
    </w:lvl>
    <w:lvl w:ilvl="1">
      <w:numFmt w:val="bullet"/>
      <w:lvlText w:val="•"/>
      <w:lvlJc w:val="left"/>
      <w:pPr>
        <w:ind w:left="2352" w:hanging="339"/>
      </w:pPr>
    </w:lvl>
    <w:lvl w:ilvl="2">
      <w:numFmt w:val="bullet"/>
      <w:lvlText w:val="•"/>
      <w:lvlJc w:val="left"/>
      <w:pPr>
        <w:ind w:left="3125" w:hanging="339"/>
      </w:pPr>
    </w:lvl>
    <w:lvl w:ilvl="3">
      <w:numFmt w:val="bullet"/>
      <w:lvlText w:val="•"/>
      <w:lvlJc w:val="left"/>
      <w:pPr>
        <w:ind w:left="3897" w:hanging="339"/>
      </w:pPr>
    </w:lvl>
    <w:lvl w:ilvl="4">
      <w:numFmt w:val="bullet"/>
      <w:lvlText w:val="•"/>
      <w:lvlJc w:val="left"/>
      <w:pPr>
        <w:ind w:left="4670" w:hanging="339"/>
      </w:pPr>
    </w:lvl>
    <w:lvl w:ilvl="5">
      <w:numFmt w:val="bullet"/>
      <w:lvlText w:val="•"/>
      <w:lvlJc w:val="left"/>
      <w:pPr>
        <w:ind w:left="5443" w:hanging="339"/>
      </w:pPr>
    </w:lvl>
    <w:lvl w:ilvl="6">
      <w:numFmt w:val="bullet"/>
      <w:lvlText w:val="•"/>
      <w:lvlJc w:val="left"/>
      <w:pPr>
        <w:ind w:left="6215" w:hanging="339"/>
      </w:pPr>
    </w:lvl>
    <w:lvl w:ilvl="7">
      <w:numFmt w:val="bullet"/>
      <w:lvlText w:val="•"/>
      <w:lvlJc w:val="left"/>
      <w:pPr>
        <w:ind w:left="6988" w:hanging="339"/>
      </w:pPr>
    </w:lvl>
    <w:lvl w:ilvl="8">
      <w:numFmt w:val="bullet"/>
      <w:lvlText w:val="•"/>
      <w:lvlJc w:val="left"/>
      <w:pPr>
        <w:ind w:left="7761" w:hanging="339"/>
      </w:pPr>
    </w:lvl>
  </w:abstractNum>
  <w:abstractNum w:abstractNumId="2">
    <w:nsid w:val="00000405"/>
    <w:multiLevelType w:val="multilevel"/>
    <w:tmpl w:val="FBF8008E"/>
    <w:lvl w:ilvl="0">
      <w:start w:val="31"/>
      <w:numFmt w:val="decimal"/>
      <w:lvlText w:val="[%1]"/>
      <w:lvlJc w:val="left"/>
      <w:pPr>
        <w:ind w:left="1600" w:hanging="487"/>
      </w:pPr>
      <w:rPr>
        <w:rFonts w:ascii="Arial" w:hAnsi="Arial" w:cs="Arial" w:hint="default"/>
        <w:b w:val="0"/>
        <w:bCs w:val="0"/>
        <w:i/>
        <w:iCs/>
        <w:spacing w:val="-5"/>
        <w:w w:val="99"/>
        <w:sz w:val="24"/>
        <w:szCs w:val="24"/>
      </w:rPr>
    </w:lvl>
    <w:lvl w:ilvl="1">
      <w:numFmt w:val="bullet"/>
      <w:lvlText w:val="•"/>
      <w:lvlJc w:val="left"/>
      <w:pPr>
        <w:ind w:left="2370" w:hanging="487"/>
      </w:pPr>
    </w:lvl>
    <w:lvl w:ilvl="2">
      <w:numFmt w:val="bullet"/>
      <w:lvlText w:val="•"/>
      <w:lvlJc w:val="left"/>
      <w:pPr>
        <w:ind w:left="3141" w:hanging="487"/>
      </w:pPr>
    </w:lvl>
    <w:lvl w:ilvl="3">
      <w:numFmt w:val="bullet"/>
      <w:lvlText w:val="•"/>
      <w:lvlJc w:val="left"/>
      <w:pPr>
        <w:ind w:left="3911" w:hanging="487"/>
      </w:pPr>
    </w:lvl>
    <w:lvl w:ilvl="4">
      <w:numFmt w:val="bullet"/>
      <w:lvlText w:val="•"/>
      <w:lvlJc w:val="left"/>
      <w:pPr>
        <w:ind w:left="4682" w:hanging="487"/>
      </w:pPr>
    </w:lvl>
    <w:lvl w:ilvl="5">
      <w:numFmt w:val="bullet"/>
      <w:lvlText w:val="•"/>
      <w:lvlJc w:val="left"/>
      <w:pPr>
        <w:ind w:left="5453" w:hanging="487"/>
      </w:pPr>
    </w:lvl>
    <w:lvl w:ilvl="6">
      <w:numFmt w:val="bullet"/>
      <w:lvlText w:val="•"/>
      <w:lvlJc w:val="left"/>
      <w:pPr>
        <w:ind w:left="6223" w:hanging="487"/>
      </w:pPr>
    </w:lvl>
    <w:lvl w:ilvl="7">
      <w:numFmt w:val="bullet"/>
      <w:lvlText w:val="•"/>
      <w:lvlJc w:val="left"/>
      <w:pPr>
        <w:ind w:left="6994" w:hanging="487"/>
      </w:pPr>
    </w:lvl>
    <w:lvl w:ilvl="8">
      <w:numFmt w:val="bullet"/>
      <w:lvlText w:val="•"/>
      <w:lvlJc w:val="left"/>
      <w:pPr>
        <w:ind w:left="7765" w:hanging="487"/>
      </w:pPr>
    </w:lvl>
  </w:abstractNum>
  <w:abstractNum w:abstractNumId="3">
    <w:nsid w:val="02262368"/>
    <w:multiLevelType w:val="hybridMultilevel"/>
    <w:tmpl w:val="3190E308"/>
    <w:lvl w:ilvl="0" w:tplc="CD62A142">
      <w:start w:val="1"/>
      <w:numFmt w:val="decimal"/>
      <w:lvlText w:val="[%1]"/>
      <w:lvlJc w:val="left"/>
      <w:pPr>
        <w:ind w:left="1403" w:hanging="360"/>
      </w:pPr>
      <w:rPr>
        <w:rFonts w:hint="default"/>
      </w:rPr>
    </w:lvl>
    <w:lvl w:ilvl="1" w:tplc="1C090019" w:tentative="1">
      <w:start w:val="1"/>
      <w:numFmt w:val="lowerLetter"/>
      <w:lvlText w:val="%2."/>
      <w:lvlJc w:val="left"/>
      <w:pPr>
        <w:ind w:left="2123" w:hanging="360"/>
      </w:pPr>
    </w:lvl>
    <w:lvl w:ilvl="2" w:tplc="1C09001B" w:tentative="1">
      <w:start w:val="1"/>
      <w:numFmt w:val="lowerRoman"/>
      <w:lvlText w:val="%3."/>
      <w:lvlJc w:val="right"/>
      <w:pPr>
        <w:ind w:left="2843" w:hanging="180"/>
      </w:pPr>
    </w:lvl>
    <w:lvl w:ilvl="3" w:tplc="1C09000F" w:tentative="1">
      <w:start w:val="1"/>
      <w:numFmt w:val="decimal"/>
      <w:lvlText w:val="%4."/>
      <w:lvlJc w:val="left"/>
      <w:pPr>
        <w:ind w:left="3563" w:hanging="360"/>
      </w:pPr>
    </w:lvl>
    <w:lvl w:ilvl="4" w:tplc="1C090019" w:tentative="1">
      <w:start w:val="1"/>
      <w:numFmt w:val="lowerLetter"/>
      <w:lvlText w:val="%5."/>
      <w:lvlJc w:val="left"/>
      <w:pPr>
        <w:ind w:left="4283" w:hanging="360"/>
      </w:pPr>
    </w:lvl>
    <w:lvl w:ilvl="5" w:tplc="1C09001B" w:tentative="1">
      <w:start w:val="1"/>
      <w:numFmt w:val="lowerRoman"/>
      <w:lvlText w:val="%6."/>
      <w:lvlJc w:val="right"/>
      <w:pPr>
        <w:ind w:left="5003" w:hanging="180"/>
      </w:pPr>
    </w:lvl>
    <w:lvl w:ilvl="6" w:tplc="1C09000F" w:tentative="1">
      <w:start w:val="1"/>
      <w:numFmt w:val="decimal"/>
      <w:lvlText w:val="%7."/>
      <w:lvlJc w:val="left"/>
      <w:pPr>
        <w:ind w:left="5723" w:hanging="360"/>
      </w:pPr>
    </w:lvl>
    <w:lvl w:ilvl="7" w:tplc="1C090019" w:tentative="1">
      <w:start w:val="1"/>
      <w:numFmt w:val="lowerLetter"/>
      <w:lvlText w:val="%8."/>
      <w:lvlJc w:val="left"/>
      <w:pPr>
        <w:ind w:left="6443" w:hanging="360"/>
      </w:pPr>
    </w:lvl>
    <w:lvl w:ilvl="8" w:tplc="1C09001B" w:tentative="1">
      <w:start w:val="1"/>
      <w:numFmt w:val="lowerRoman"/>
      <w:lvlText w:val="%9."/>
      <w:lvlJc w:val="right"/>
      <w:pPr>
        <w:ind w:left="7163" w:hanging="180"/>
      </w:pPr>
    </w:lvl>
  </w:abstractNum>
  <w:abstractNum w:abstractNumId="4">
    <w:nsid w:val="043E7188"/>
    <w:multiLevelType w:val="hybridMultilevel"/>
    <w:tmpl w:val="12A23A14"/>
    <w:lvl w:ilvl="0" w:tplc="219A8404">
      <w:start w:val="1"/>
      <w:numFmt w:val="decimal"/>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054556C4"/>
    <w:multiLevelType w:val="hybridMultilevel"/>
    <w:tmpl w:val="84D4618C"/>
    <w:lvl w:ilvl="0" w:tplc="617A1B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4518C1"/>
    <w:multiLevelType w:val="hybridMultilevel"/>
    <w:tmpl w:val="8D0A2870"/>
    <w:lvl w:ilvl="0" w:tplc="9A3801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B72F1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92E660C"/>
    <w:multiLevelType w:val="hybridMultilevel"/>
    <w:tmpl w:val="77740F24"/>
    <w:lvl w:ilvl="0" w:tplc="506218FA">
      <w:start w:val="1"/>
      <w:numFmt w:val="decimal"/>
      <w:lvlText w:val="[%1]"/>
      <w:lvlJc w:val="left"/>
      <w:pPr>
        <w:ind w:left="720" w:hanging="360"/>
      </w:pPr>
      <w:rPr>
        <w:rFonts w:hint="default"/>
        <w:i w:val="0"/>
      </w:rPr>
    </w:lvl>
    <w:lvl w:ilvl="1" w:tplc="1C09001B">
      <w:start w:val="1"/>
      <w:numFmt w:val="lowerRoman"/>
      <w:lvlText w:val="%2."/>
      <w:lvlJc w:val="right"/>
      <w:pPr>
        <w:ind w:left="1440" w:hanging="360"/>
      </w:pPr>
      <w:rPr>
        <w:rFonts w:hint="default"/>
      </w:r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lowerLetter"/>
      <w:lvlText w:val="%2."/>
      <w:lvlJc w:val="left"/>
      <w:pPr>
        <w:tabs>
          <w:tab w:val="num" w:pos="1260"/>
        </w:tabs>
        <w:ind w:left="1260" w:hanging="360"/>
      </w:pPr>
      <w:rPr>
        <w:rFonts w:cs="Times New Roman"/>
      </w:rPr>
    </w:lvl>
    <w:lvl w:ilvl="2" w:tplc="0809001B">
      <w:start w:val="1"/>
      <w:numFmt w:val="lowerRoman"/>
      <w:lvlText w:val="%3."/>
      <w:lvlJc w:val="right"/>
      <w:pPr>
        <w:tabs>
          <w:tab w:val="num" w:pos="1980"/>
        </w:tabs>
        <w:ind w:left="1980" w:hanging="180"/>
      </w:pPr>
      <w:rPr>
        <w:rFonts w:cs="Times New Roman"/>
      </w:rPr>
    </w:lvl>
    <w:lvl w:ilvl="3" w:tplc="0809000F">
      <w:start w:val="1"/>
      <w:numFmt w:val="decimal"/>
      <w:lvlText w:val="%4."/>
      <w:lvlJc w:val="left"/>
      <w:pPr>
        <w:tabs>
          <w:tab w:val="num" w:pos="2700"/>
        </w:tabs>
        <w:ind w:left="2700" w:hanging="360"/>
      </w:pPr>
      <w:rPr>
        <w:rFonts w:cs="Times New Roman"/>
      </w:rPr>
    </w:lvl>
    <w:lvl w:ilvl="4" w:tplc="08090019">
      <w:start w:val="1"/>
      <w:numFmt w:val="lowerLetter"/>
      <w:lvlText w:val="%5."/>
      <w:lvlJc w:val="left"/>
      <w:pPr>
        <w:tabs>
          <w:tab w:val="num" w:pos="3420"/>
        </w:tabs>
        <w:ind w:left="3420" w:hanging="360"/>
      </w:pPr>
      <w:rPr>
        <w:rFonts w:cs="Times New Roman"/>
      </w:rPr>
    </w:lvl>
    <w:lvl w:ilvl="5" w:tplc="0809001B">
      <w:start w:val="1"/>
      <w:numFmt w:val="lowerRoman"/>
      <w:lvlText w:val="%6."/>
      <w:lvlJc w:val="right"/>
      <w:pPr>
        <w:tabs>
          <w:tab w:val="num" w:pos="4140"/>
        </w:tabs>
        <w:ind w:left="4140" w:hanging="180"/>
      </w:pPr>
      <w:rPr>
        <w:rFonts w:cs="Times New Roman"/>
      </w:rPr>
    </w:lvl>
    <w:lvl w:ilvl="6" w:tplc="0809000F">
      <w:start w:val="1"/>
      <w:numFmt w:val="decimal"/>
      <w:lvlText w:val="%7."/>
      <w:lvlJc w:val="left"/>
      <w:pPr>
        <w:tabs>
          <w:tab w:val="num" w:pos="4860"/>
        </w:tabs>
        <w:ind w:left="4860" w:hanging="360"/>
      </w:pPr>
      <w:rPr>
        <w:rFonts w:cs="Times New Roman"/>
      </w:rPr>
    </w:lvl>
    <w:lvl w:ilvl="7" w:tplc="08090019">
      <w:start w:val="1"/>
      <w:numFmt w:val="lowerLetter"/>
      <w:lvlText w:val="%8."/>
      <w:lvlJc w:val="left"/>
      <w:pPr>
        <w:tabs>
          <w:tab w:val="num" w:pos="5580"/>
        </w:tabs>
        <w:ind w:left="5580" w:hanging="360"/>
      </w:pPr>
      <w:rPr>
        <w:rFonts w:cs="Times New Roman"/>
      </w:rPr>
    </w:lvl>
    <w:lvl w:ilvl="8" w:tplc="0809001B">
      <w:start w:val="1"/>
      <w:numFmt w:val="lowerRoman"/>
      <w:lvlText w:val="%9."/>
      <w:lvlJc w:val="right"/>
      <w:pPr>
        <w:tabs>
          <w:tab w:val="num" w:pos="6300"/>
        </w:tabs>
        <w:ind w:left="6300" w:hanging="180"/>
      </w:pPr>
      <w:rPr>
        <w:rFonts w:cs="Times New Roman"/>
      </w:rPr>
    </w:lvl>
  </w:abstractNum>
  <w:abstractNum w:abstractNumId="10">
    <w:nsid w:val="0B06242C"/>
    <w:multiLevelType w:val="hybridMultilevel"/>
    <w:tmpl w:val="29C84A16"/>
    <w:lvl w:ilvl="0" w:tplc="82BCFA88">
      <w:start w:val="1"/>
      <w:numFmt w:val="decimal"/>
      <w:lvlText w:val="%1"/>
      <w:lvlJc w:val="left"/>
      <w:pPr>
        <w:ind w:left="1440" w:hanging="720"/>
      </w:pPr>
      <w:rPr>
        <w:rFonts w:ascii="Arial" w:eastAsiaTheme="minorHAnsi" w:hAnsi="Arial" w:cs="Arial"/>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0D4E098F"/>
    <w:multiLevelType w:val="hybridMultilevel"/>
    <w:tmpl w:val="9848996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170E22D7"/>
    <w:multiLevelType w:val="hybridMultilevel"/>
    <w:tmpl w:val="9A7E4244"/>
    <w:lvl w:ilvl="0" w:tplc="72688B62">
      <w:start w:val="3"/>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3">
    <w:nsid w:val="1EE31CDA"/>
    <w:multiLevelType w:val="hybridMultilevel"/>
    <w:tmpl w:val="F03E3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344B69"/>
    <w:multiLevelType w:val="hybridMultilevel"/>
    <w:tmpl w:val="9F645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7157D1"/>
    <w:multiLevelType w:val="hybridMultilevel"/>
    <w:tmpl w:val="FA46DC4E"/>
    <w:lvl w:ilvl="0" w:tplc="617A1B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F70ABF"/>
    <w:multiLevelType w:val="hybridMultilevel"/>
    <w:tmpl w:val="4C2C961A"/>
    <w:lvl w:ilvl="0" w:tplc="B3DEC2F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28BB53F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4764C28"/>
    <w:multiLevelType w:val="hybridMultilevel"/>
    <w:tmpl w:val="A678FA5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4CE6FC6"/>
    <w:multiLevelType w:val="hybridMultilevel"/>
    <w:tmpl w:val="9168C318"/>
    <w:lvl w:ilvl="0" w:tplc="1C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F9589F"/>
    <w:multiLevelType w:val="hybridMultilevel"/>
    <w:tmpl w:val="66206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8F2FF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C7610AE"/>
    <w:multiLevelType w:val="hybridMultilevel"/>
    <w:tmpl w:val="5C9A1940"/>
    <w:lvl w:ilvl="0" w:tplc="9D52F4B4">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3">
    <w:nsid w:val="4CAD491B"/>
    <w:multiLevelType w:val="hybridMultilevel"/>
    <w:tmpl w:val="DDACA69C"/>
    <w:lvl w:ilvl="0" w:tplc="0C50AD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B85112"/>
    <w:multiLevelType w:val="hybridMultilevel"/>
    <w:tmpl w:val="37B0CB7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58E8158C"/>
    <w:multiLevelType w:val="hybridMultilevel"/>
    <w:tmpl w:val="4C00E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FD3C71"/>
    <w:multiLevelType w:val="hybridMultilevel"/>
    <w:tmpl w:val="6C186594"/>
    <w:lvl w:ilvl="0" w:tplc="593A9744">
      <w:start w:val="1"/>
      <w:numFmt w:val="decimal"/>
      <w:lvlText w:val="[%1]"/>
      <w:lvlJc w:val="left"/>
      <w:pPr>
        <w:ind w:left="720" w:hanging="360"/>
      </w:pPr>
      <w:rPr>
        <w:rFonts w:ascii="Times New Roman" w:hAnsi="Times New Roman" w:cs="Times New Roman" w:hint="default"/>
        <w:sz w:val="24"/>
        <w:szCs w:val="24"/>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5DCC1D28"/>
    <w:multiLevelType w:val="hybridMultilevel"/>
    <w:tmpl w:val="A822BD0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5EDF62F5"/>
    <w:multiLevelType w:val="hybridMultilevel"/>
    <w:tmpl w:val="CE0AF98A"/>
    <w:lvl w:ilvl="0" w:tplc="724643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355821"/>
    <w:multiLevelType w:val="multilevel"/>
    <w:tmpl w:val="4A529288"/>
    <w:lvl w:ilvl="0">
      <w:start w:val="1"/>
      <w:numFmt w:val="bullet"/>
      <w:lvlText w:val=""/>
      <w:lvlJc w:val="left"/>
      <w:pPr>
        <w:tabs>
          <w:tab w:val="num" w:pos="936"/>
        </w:tabs>
        <w:ind w:left="936" w:hanging="360"/>
      </w:pPr>
      <w:rPr>
        <w:rFonts w:ascii="Symbol" w:hAnsi="Symbol" w:hint="default"/>
        <w:sz w:val="20"/>
      </w:rPr>
    </w:lvl>
    <w:lvl w:ilvl="1">
      <w:start w:val="1"/>
      <w:numFmt w:val="bullet"/>
      <w:lvlText w:val=""/>
      <w:lvlJc w:val="left"/>
      <w:pPr>
        <w:tabs>
          <w:tab w:val="num" w:pos="1656"/>
        </w:tabs>
        <w:ind w:left="1656" w:hanging="360"/>
      </w:pPr>
      <w:rPr>
        <w:rFonts w:ascii="Symbol" w:hAnsi="Symbol" w:hint="default"/>
        <w:sz w:val="20"/>
      </w:rPr>
    </w:lvl>
    <w:lvl w:ilvl="2">
      <w:start w:val="1"/>
      <w:numFmt w:val="lowerRoman"/>
      <w:lvlText w:val="(%3)"/>
      <w:lvlJc w:val="left"/>
      <w:pPr>
        <w:ind w:left="2736" w:hanging="720"/>
      </w:pPr>
      <w:rPr>
        <w:rFonts w:hint="default"/>
      </w:rPr>
    </w:lvl>
    <w:lvl w:ilvl="3">
      <w:start w:val="1"/>
      <w:numFmt w:val="bullet"/>
      <w:lvlText w:val=""/>
      <w:lvlJc w:val="left"/>
      <w:pPr>
        <w:tabs>
          <w:tab w:val="num" w:pos="3096"/>
        </w:tabs>
        <w:ind w:left="3096" w:hanging="360"/>
      </w:pPr>
      <w:rPr>
        <w:rFonts w:ascii="Symbol" w:hAnsi="Symbol" w:hint="default"/>
        <w:sz w:val="20"/>
      </w:rPr>
    </w:lvl>
    <w:lvl w:ilvl="4" w:tentative="1">
      <w:start w:val="1"/>
      <w:numFmt w:val="bullet"/>
      <w:lvlText w:val=""/>
      <w:lvlJc w:val="left"/>
      <w:pPr>
        <w:tabs>
          <w:tab w:val="num" w:pos="3816"/>
        </w:tabs>
        <w:ind w:left="3816" w:hanging="360"/>
      </w:pPr>
      <w:rPr>
        <w:rFonts w:ascii="Symbol" w:hAnsi="Symbol" w:hint="default"/>
        <w:sz w:val="20"/>
      </w:rPr>
    </w:lvl>
    <w:lvl w:ilvl="5" w:tentative="1">
      <w:start w:val="1"/>
      <w:numFmt w:val="bullet"/>
      <w:lvlText w:val=""/>
      <w:lvlJc w:val="left"/>
      <w:pPr>
        <w:tabs>
          <w:tab w:val="num" w:pos="4536"/>
        </w:tabs>
        <w:ind w:left="4536" w:hanging="360"/>
      </w:pPr>
      <w:rPr>
        <w:rFonts w:ascii="Symbol" w:hAnsi="Symbol" w:hint="default"/>
        <w:sz w:val="20"/>
      </w:rPr>
    </w:lvl>
    <w:lvl w:ilvl="6" w:tentative="1">
      <w:start w:val="1"/>
      <w:numFmt w:val="bullet"/>
      <w:lvlText w:val=""/>
      <w:lvlJc w:val="left"/>
      <w:pPr>
        <w:tabs>
          <w:tab w:val="num" w:pos="5256"/>
        </w:tabs>
        <w:ind w:left="5256" w:hanging="360"/>
      </w:pPr>
      <w:rPr>
        <w:rFonts w:ascii="Symbol" w:hAnsi="Symbol" w:hint="default"/>
        <w:sz w:val="20"/>
      </w:rPr>
    </w:lvl>
    <w:lvl w:ilvl="7" w:tentative="1">
      <w:start w:val="1"/>
      <w:numFmt w:val="bullet"/>
      <w:lvlText w:val=""/>
      <w:lvlJc w:val="left"/>
      <w:pPr>
        <w:tabs>
          <w:tab w:val="num" w:pos="5976"/>
        </w:tabs>
        <w:ind w:left="5976" w:hanging="360"/>
      </w:pPr>
      <w:rPr>
        <w:rFonts w:ascii="Symbol" w:hAnsi="Symbol" w:hint="default"/>
        <w:sz w:val="20"/>
      </w:rPr>
    </w:lvl>
    <w:lvl w:ilvl="8" w:tentative="1">
      <w:start w:val="1"/>
      <w:numFmt w:val="bullet"/>
      <w:lvlText w:val=""/>
      <w:lvlJc w:val="left"/>
      <w:pPr>
        <w:tabs>
          <w:tab w:val="num" w:pos="6696"/>
        </w:tabs>
        <w:ind w:left="6696" w:hanging="360"/>
      </w:pPr>
      <w:rPr>
        <w:rFonts w:ascii="Symbol" w:hAnsi="Symbol" w:hint="default"/>
        <w:sz w:val="20"/>
      </w:rPr>
    </w:lvl>
  </w:abstractNum>
  <w:abstractNum w:abstractNumId="30">
    <w:nsid w:val="65345006"/>
    <w:multiLevelType w:val="hybridMultilevel"/>
    <w:tmpl w:val="66344818"/>
    <w:lvl w:ilvl="0" w:tplc="617A1B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EB41E4"/>
    <w:multiLevelType w:val="hybridMultilevel"/>
    <w:tmpl w:val="41C8E8C8"/>
    <w:lvl w:ilvl="0" w:tplc="617A1B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9121D7"/>
    <w:multiLevelType w:val="hybridMultilevel"/>
    <w:tmpl w:val="34C27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AF45326"/>
    <w:multiLevelType w:val="hybridMultilevel"/>
    <w:tmpl w:val="2E62B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3F0E4B"/>
    <w:multiLevelType w:val="hybridMultilevel"/>
    <w:tmpl w:val="F76468D6"/>
    <w:lvl w:ilvl="0" w:tplc="DAFA46E2">
      <w:start w:val="1"/>
      <w:numFmt w:val="lowerRoman"/>
      <w:lvlText w:val="(%1)"/>
      <w:lvlJc w:val="left"/>
      <w:pPr>
        <w:ind w:left="1440" w:hanging="360"/>
      </w:pPr>
      <w:rPr>
        <w:rFonts w:hint="default"/>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5">
    <w:nsid w:val="6D6F1CB5"/>
    <w:multiLevelType w:val="hybridMultilevel"/>
    <w:tmpl w:val="9D962E2E"/>
    <w:lvl w:ilvl="0" w:tplc="2E5C0A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4B71B8"/>
    <w:multiLevelType w:val="hybridMultilevel"/>
    <w:tmpl w:val="73F60CA6"/>
    <w:lvl w:ilvl="0" w:tplc="10F8818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6F851CC1"/>
    <w:multiLevelType w:val="hybridMultilevel"/>
    <w:tmpl w:val="A26A69EC"/>
    <w:lvl w:ilvl="0" w:tplc="617A1B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2CD0164"/>
    <w:multiLevelType w:val="hybridMultilevel"/>
    <w:tmpl w:val="DD689A80"/>
    <w:lvl w:ilvl="0" w:tplc="DAFA46E2">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9">
    <w:nsid w:val="789130DB"/>
    <w:multiLevelType w:val="hybridMultilevel"/>
    <w:tmpl w:val="52340610"/>
    <w:lvl w:ilvl="0" w:tplc="163A0244">
      <w:start w:val="1"/>
      <w:numFmt w:val="lowerLetter"/>
      <w:lvlText w:val="(%1)"/>
      <w:lvlJc w:val="left"/>
      <w:pPr>
        <w:ind w:left="1095" w:hanging="360"/>
      </w:pPr>
      <w:rPr>
        <w:rFonts w:hint="default"/>
      </w:rPr>
    </w:lvl>
    <w:lvl w:ilvl="1" w:tplc="1C090019" w:tentative="1">
      <w:start w:val="1"/>
      <w:numFmt w:val="lowerLetter"/>
      <w:lvlText w:val="%2."/>
      <w:lvlJc w:val="left"/>
      <w:pPr>
        <w:ind w:left="1815" w:hanging="360"/>
      </w:pPr>
    </w:lvl>
    <w:lvl w:ilvl="2" w:tplc="1C09001B" w:tentative="1">
      <w:start w:val="1"/>
      <w:numFmt w:val="lowerRoman"/>
      <w:lvlText w:val="%3."/>
      <w:lvlJc w:val="right"/>
      <w:pPr>
        <w:ind w:left="2535" w:hanging="180"/>
      </w:pPr>
    </w:lvl>
    <w:lvl w:ilvl="3" w:tplc="1C09000F" w:tentative="1">
      <w:start w:val="1"/>
      <w:numFmt w:val="decimal"/>
      <w:lvlText w:val="%4."/>
      <w:lvlJc w:val="left"/>
      <w:pPr>
        <w:ind w:left="3255" w:hanging="360"/>
      </w:pPr>
    </w:lvl>
    <w:lvl w:ilvl="4" w:tplc="1C090019" w:tentative="1">
      <w:start w:val="1"/>
      <w:numFmt w:val="lowerLetter"/>
      <w:lvlText w:val="%5."/>
      <w:lvlJc w:val="left"/>
      <w:pPr>
        <w:ind w:left="3975" w:hanging="360"/>
      </w:pPr>
    </w:lvl>
    <w:lvl w:ilvl="5" w:tplc="1C09001B" w:tentative="1">
      <w:start w:val="1"/>
      <w:numFmt w:val="lowerRoman"/>
      <w:lvlText w:val="%6."/>
      <w:lvlJc w:val="right"/>
      <w:pPr>
        <w:ind w:left="4695" w:hanging="180"/>
      </w:pPr>
    </w:lvl>
    <w:lvl w:ilvl="6" w:tplc="1C09000F" w:tentative="1">
      <w:start w:val="1"/>
      <w:numFmt w:val="decimal"/>
      <w:lvlText w:val="%7."/>
      <w:lvlJc w:val="left"/>
      <w:pPr>
        <w:ind w:left="5415" w:hanging="360"/>
      </w:pPr>
    </w:lvl>
    <w:lvl w:ilvl="7" w:tplc="1C090019" w:tentative="1">
      <w:start w:val="1"/>
      <w:numFmt w:val="lowerLetter"/>
      <w:lvlText w:val="%8."/>
      <w:lvlJc w:val="left"/>
      <w:pPr>
        <w:ind w:left="6135" w:hanging="360"/>
      </w:pPr>
    </w:lvl>
    <w:lvl w:ilvl="8" w:tplc="1C09001B" w:tentative="1">
      <w:start w:val="1"/>
      <w:numFmt w:val="lowerRoman"/>
      <w:lvlText w:val="%9."/>
      <w:lvlJc w:val="right"/>
      <w:pPr>
        <w:ind w:left="6855" w:hanging="180"/>
      </w:pPr>
    </w:lvl>
  </w:abstractNum>
  <w:abstractNum w:abstractNumId="40">
    <w:nsid w:val="78B21DB0"/>
    <w:multiLevelType w:val="hybridMultilevel"/>
    <w:tmpl w:val="29C497DA"/>
    <w:lvl w:ilvl="0" w:tplc="617A1B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9574FF6"/>
    <w:multiLevelType w:val="hybridMultilevel"/>
    <w:tmpl w:val="14706FFC"/>
    <w:lvl w:ilvl="0" w:tplc="617A1B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B7745EF"/>
    <w:multiLevelType w:val="multilevel"/>
    <w:tmpl w:val="3C806230"/>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C4241B6"/>
    <w:multiLevelType w:val="hybridMultilevel"/>
    <w:tmpl w:val="1A883F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7D6C7C46"/>
    <w:multiLevelType w:val="hybridMultilevel"/>
    <w:tmpl w:val="E8FA7B84"/>
    <w:lvl w:ilvl="0" w:tplc="7FBCDB34">
      <w:start w:val="1"/>
      <w:numFmt w:val="lowerLetter"/>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45">
    <w:nsid w:val="7ED337D6"/>
    <w:multiLevelType w:val="hybridMultilevel"/>
    <w:tmpl w:val="71C058C6"/>
    <w:lvl w:ilvl="0" w:tplc="617A1B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1"/>
  </w:num>
  <w:num w:numId="3">
    <w:abstractNumId w:val="24"/>
  </w:num>
  <w:num w:numId="4">
    <w:abstractNumId w:val="39"/>
  </w:num>
  <w:num w:numId="5">
    <w:abstractNumId w:val="4"/>
  </w:num>
  <w:num w:numId="6">
    <w:abstractNumId w:val="22"/>
  </w:num>
  <w:num w:numId="7">
    <w:abstractNumId w:val="43"/>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3"/>
  </w:num>
  <w:num w:numId="11">
    <w:abstractNumId w:val="42"/>
  </w:num>
  <w:num w:numId="12">
    <w:abstractNumId w:val="18"/>
  </w:num>
  <w:num w:numId="13">
    <w:abstractNumId w:val="16"/>
  </w:num>
  <w:num w:numId="14">
    <w:abstractNumId w:val="38"/>
  </w:num>
  <w:num w:numId="15">
    <w:abstractNumId w:val="34"/>
  </w:num>
  <w:num w:numId="16">
    <w:abstractNumId w:val="8"/>
  </w:num>
  <w:num w:numId="17">
    <w:abstractNumId w:val="36"/>
  </w:num>
  <w:num w:numId="18">
    <w:abstractNumId w:val="17"/>
  </w:num>
  <w:num w:numId="19">
    <w:abstractNumId w:val="10"/>
  </w:num>
  <w:num w:numId="20">
    <w:abstractNumId w:val="9"/>
  </w:num>
  <w:num w:numId="21">
    <w:abstractNumId w:val="5"/>
  </w:num>
  <w:num w:numId="22">
    <w:abstractNumId w:val="33"/>
  </w:num>
  <w:num w:numId="23">
    <w:abstractNumId w:val="23"/>
  </w:num>
  <w:num w:numId="24">
    <w:abstractNumId w:val="25"/>
  </w:num>
  <w:num w:numId="25">
    <w:abstractNumId w:val="45"/>
  </w:num>
  <w:num w:numId="26">
    <w:abstractNumId w:val="35"/>
  </w:num>
  <w:num w:numId="27">
    <w:abstractNumId w:val="41"/>
  </w:num>
  <w:num w:numId="28">
    <w:abstractNumId w:val="37"/>
  </w:num>
  <w:num w:numId="29">
    <w:abstractNumId w:val="20"/>
  </w:num>
  <w:num w:numId="30">
    <w:abstractNumId w:val="7"/>
  </w:num>
  <w:num w:numId="31">
    <w:abstractNumId w:val="31"/>
  </w:num>
  <w:num w:numId="32">
    <w:abstractNumId w:val="13"/>
  </w:num>
  <w:num w:numId="33">
    <w:abstractNumId w:val="15"/>
  </w:num>
  <w:num w:numId="34">
    <w:abstractNumId w:val="30"/>
  </w:num>
  <w:num w:numId="35">
    <w:abstractNumId w:val="21"/>
  </w:num>
  <w:num w:numId="36">
    <w:abstractNumId w:val="14"/>
  </w:num>
  <w:num w:numId="37">
    <w:abstractNumId w:val="40"/>
  </w:num>
  <w:num w:numId="38">
    <w:abstractNumId w:val="6"/>
  </w:num>
  <w:num w:numId="39">
    <w:abstractNumId w:val="1"/>
  </w:num>
  <w:num w:numId="40">
    <w:abstractNumId w:val="12"/>
  </w:num>
  <w:num w:numId="41">
    <w:abstractNumId w:val="2"/>
  </w:num>
  <w:num w:numId="42">
    <w:abstractNumId w:val="0"/>
  </w:num>
  <w:num w:numId="43">
    <w:abstractNumId w:val="28"/>
  </w:num>
  <w:num w:numId="44">
    <w:abstractNumId w:val="19"/>
  </w:num>
  <w:num w:numId="45">
    <w:abstractNumId w:val="29"/>
  </w:num>
  <w:num w:numId="46">
    <w:abstractNumId w:val="44"/>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c3tTSzNDC3NDQ2MjVS0lEKTi0uzszPAykwNasFAGzDOSAtAAAA"/>
  </w:docVars>
  <w:rsids>
    <w:rsidRoot w:val="00716377"/>
    <w:rsid w:val="0000007B"/>
    <w:rsid w:val="00000977"/>
    <w:rsid w:val="0000112A"/>
    <w:rsid w:val="0000244E"/>
    <w:rsid w:val="0000273A"/>
    <w:rsid w:val="00004997"/>
    <w:rsid w:val="00004F7C"/>
    <w:rsid w:val="000055D3"/>
    <w:rsid w:val="0000567D"/>
    <w:rsid w:val="00005C66"/>
    <w:rsid w:val="00005F8E"/>
    <w:rsid w:val="00007ADD"/>
    <w:rsid w:val="0001056F"/>
    <w:rsid w:val="0001114D"/>
    <w:rsid w:val="00012309"/>
    <w:rsid w:val="00015828"/>
    <w:rsid w:val="000171DB"/>
    <w:rsid w:val="000176C9"/>
    <w:rsid w:val="000203E2"/>
    <w:rsid w:val="00021ECC"/>
    <w:rsid w:val="000230BD"/>
    <w:rsid w:val="00023275"/>
    <w:rsid w:val="00023CAC"/>
    <w:rsid w:val="0002404E"/>
    <w:rsid w:val="00024E0F"/>
    <w:rsid w:val="000250B0"/>
    <w:rsid w:val="00025126"/>
    <w:rsid w:val="000257A9"/>
    <w:rsid w:val="000274E7"/>
    <w:rsid w:val="00031143"/>
    <w:rsid w:val="000317A3"/>
    <w:rsid w:val="00032C78"/>
    <w:rsid w:val="00032FC2"/>
    <w:rsid w:val="00034E27"/>
    <w:rsid w:val="00035BF5"/>
    <w:rsid w:val="000367C1"/>
    <w:rsid w:val="00036DF7"/>
    <w:rsid w:val="00037CA8"/>
    <w:rsid w:val="000406C2"/>
    <w:rsid w:val="00041763"/>
    <w:rsid w:val="00041D2B"/>
    <w:rsid w:val="000422BC"/>
    <w:rsid w:val="00046AC5"/>
    <w:rsid w:val="00051C95"/>
    <w:rsid w:val="00055BFD"/>
    <w:rsid w:val="00060196"/>
    <w:rsid w:val="00060B7B"/>
    <w:rsid w:val="00061538"/>
    <w:rsid w:val="00062130"/>
    <w:rsid w:val="00062922"/>
    <w:rsid w:val="00064763"/>
    <w:rsid w:val="000649D6"/>
    <w:rsid w:val="00065E8F"/>
    <w:rsid w:val="000664E5"/>
    <w:rsid w:val="00070056"/>
    <w:rsid w:val="00070EB1"/>
    <w:rsid w:val="00072699"/>
    <w:rsid w:val="0007288F"/>
    <w:rsid w:val="00072C0C"/>
    <w:rsid w:val="00072D8C"/>
    <w:rsid w:val="0007341A"/>
    <w:rsid w:val="000734D0"/>
    <w:rsid w:val="00073D36"/>
    <w:rsid w:val="00074073"/>
    <w:rsid w:val="00074DF7"/>
    <w:rsid w:val="00075F85"/>
    <w:rsid w:val="000760AA"/>
    <w:rsid w:val="000769B8"/>
    <w:rsid w:val="00076D45"/>
    <w:rsid w:val="00076E83"/>
    <w:rsid w:val="0008099B"/>
    <w:rsid w:val="000809D6"/>
    <w:rsid w:val="0008149E"/>
    <w:rsid w:val="00084058"/>
    <w:rsid w:val="00085CA1"/>
    <w:rsid w:val="00087A9C"/>
    <w:rsid w:val="00090049"/>
    <w:rsid w:val="00090328"/>
    <w:rsid w:val="0009046E"/>
    <w:rsid w:val="00090DD9"/>
    <w:rsid w:val="00091185"/>
    <w:rsid w:val="00091A89"/>
    <w:rsid w:val="00092153"/>
    <w:rsid w:val="0009232A"/>
    <w:rsid w:val="00094B43"/>
    <w:rsid w:val="00096DAE"/>
    <w:rsid w:val="0009779B"/>
    <w:rsid w:val="000A0887"/>
    <w:rsid w:val="000A0E23"/>
    <w:rsid w:val="000A0FE8"/>
    <w:rsid w:val="000A3C9A"/>
    <w:rsid w:val="000A3E11"/>
    <w:rsid w:val="000A4062"/>
    <w:rsid w:val="000A40AF"/>
    <w:rsid w:val="000A518B"/>
    <w:rsid w:val="000A5A2F"/>
    <w:rsid w:val="000A636A"/>
    <w:rsid w:val="000A6421"/>
    <w:rsid w:val="000A7776"/>
    <w:rsid w:val="000B1AFB"/>
    <w:rsid w:val="000B2E75"/>
    <w:rsid w:val="000B4025"/>
    <w:rsid w:val="000B5A68"/>
    <w:rsid w:val="000B6169"/>
    <w:rsid w:val="000B6A49"/>
    <w:rsid w:val="000B6F80"/>
    <w:rsid w:val="000C02F7"/>
    <w:rsid w:val="000C0C3C"/>
    <w:rsid w:val="000C1968"/>
    <w:rsid w:val="000C2246"/>
    <w:rsid w:val="000C23A9"/>
    <w:rsid w:val="000C310D"/>
    <w:rsid w:val="000C36B5"/>
    <w:rsid w:val="000C4CCB"/>
    <w:rsid w:val="000C4DD8"/>
    <w:rsid w:val="000C4FFC"/>
    <w:rsid w:val="000C523F"/>
    <w:rsid w:val="000C5861"/>
    <w:rsid w:val="000C5993"/>
    <w:rsid w:val="000C6A50"/>
    <w:rsid w:val="000C6AC9"/>
    <w:rsid w:val="000C7ED3"/>
    <w:rsid w:val="000D205D"/>
    <w:rsid w:val="000D5C09"/>
    <w:rsid w:val="000D5CB8"/>
    <w:rsid w:val="000D6CA0"/>
    <w:rsid w:val="000D7582"/>
    <w:rsid w:val="000D7FA9"/>
    <w:rsid w:val="000E009C"/>
    <w:rsid w:val="000E13AC"/>
    <w:rsid w:val="000E15F4"/>
    <w:rsid w:val="000E165F"/>
    <w:rsid w:val="000E2182"/>
    <w:rsid w:val="000E2944"/>
    <w:rsid w:val="000E4DD3"/>
    <w:rsid w:val="000E4E88"/>
    <w:rsid w:val="000E5467"/>
    <w:rsid w:val="000E599D"/>
    <w:rsid w:val="000E62AF"/>
    <w:rsid w:val="000E7A00"/>
    <w:rsid w:val="000F209F"/>
    <w:rsid w:val="000F382D"/>
    <w:rsid w:val="000F40EC"/>
    <w:rsid w:val="000F4953"/>
    <w:rsid w:val="000F6898"/>
    <w:rsid w:val="000F6F37"/>
    <w:rsid w:val="000F7E3B"/>
    <w:rsid w:val="00101200"/>
    <w:rsid w:val="00102BAC"/>
    <w:rsid w:val="00103781"/>
    <w:rsid w:val="0010514A"/>
    <w:rsid w:val="001051BF"/>
    <w:rsid w:val="0010564D"/>
    <w:rsid w:val="00105D99"/>
    <w:rsid w:val="001062B3"/>
    <w:rsid w:val="00106334"/>
    <w:rsid w:val="001069B2"/>
    <w:rsid w:val="00111644"/>
    <w:rsid w:val="00113617"/>
    <w:rsid w:val="00113E28"/>
    <w:rsid w:val="00113E97"/>
    <w:rsid w:val="001167B4"/>
    <w:rsid w:val="0011748A"/>
    <w:rsid w:val="001176BA"/>
    <w:rsid w:val="0012171D"/>
    <w:rsid w:val="00122D3B"/>
    <w:rsid w:val="00123AF6"/>
    <w:rsid w:val="00124C87"/>
    <w:rsid w:val="0012537E"/>
    <w:rsid w:val="00125917"/>
    <w:rsid w:val="00125A23"/>
    <w:rsid w:val="00125E7E"/>
    <w:rsid w:val="00126105"/>
    <w:rsid w:val="00126196"/>
    <w:rsid w:val="0012642B"/>
    <w:rsid w:val="001277ED"/>
    <w:rsid w:val="00127F08"/>
    <w:rsid w:val="00127F3D"/>
    <w:rsid w:val="00134554"/>
    <w:rsid w:val="00134ABA"/>
    <w:rsid w:val="00135882"/>
    <w:rsid w:val="00135DE6"/>
    <w:rsid w:val="00136128"/>
    <w:rsid w:val="001363C9"/>
    <w:rsid w:val="00137D9B"/>
    <w:rsid w:val="00140F30"/>
    <w:rsid w:val="00141DD9"/>
    <w:rsid w:val="0014280A"/>
    <w:rsid w:val="001434C3"/>
    <w:rsid w:val="001440F1"/>
    <w:rsid w:val="001441F1"/>
    <w:rsid w:val="00146286"/>
    <w:rsid w:val="001470B9"/>
    <w:rsid w:val="0014739E"/>
    <w:rsid w:val="00150405"/>
    <w:rsid w:val="00150974"/>
    <w:rsid w:val="00151DEB"/>
    <w:rsid w:val="001521AC"/>
    <w:rsid w:val="001525ED"/>
    <w:rsid w:val="0015280B"/>
    <w:rsid w:val="00153851"/>
    <w:rsid w:val="00153ED5"/>
    <w:rsid w:val="0015408F"/>
    <w:rsid w:val="00154895"/>
    <w:rsid w:val="00155217"/>
    <w:rsid w:val="001564DC"/>
    <w:rsid w:val="001564E3"/>
    <w:rsid w:val="0015765D"/>
    <w:rsid w:val="00157C7A"/>
    <w:rsid w:val="00157E11"/>
    <w:rsid w:val="0016057B"/>
    <w:rsid w:val="0016180C"/>
    <w:rsid w:val="00162779"/>
    <w:rsid w:val="00162C52"/>
    <w:rsid w:val="00162C6B"/>
    <w:rsid w:val="00164075"/>
    <w:rsid w:val="00164B19"/>
    <w:rsid w:val="001664B3"/>
    <w:rsid w:val="00166CC5"/>
    <w:rsid w:val="001678C5"/>
    <w:rsid w:val="001679BD"/>
    <w:rsid w:val="00170C19"/>
    <w:rsid w:val="00170FC2"/>
    <w:rsid w:val="0017167F"/>
    <w:rsid w:val="00172B6E"/>
    <w:rsid w:val="00172E1D"/>
    <w:rsid w:val="00173785"/>
    <w:rsid w:val="00173A9F"/>
    <w:rsid w:val="00173B1C"/>
    <w:rsid w:val="0017406D"/>
    <w:rsid w:val="00175560"/>
    <w:rsid w:val="00175CF6"/>
    <w:rsid w:val="00176875"/>
    <w:rsid w:val="00176E94"/>
    <w:rsid w:val="00177800"/>
    <w:rsid w:val="00180745"/>
    <w:rsid w:val="00180852"/>
    <w:rsid w:val="00180B91"/>
    <w:rsid w:val="00181603"/>
    <w:rsid w:val="00182850"/>
    <w:rsid w:val="00182894"/>
    <w:rsid w:val="00182A8B"/>
    <w:rsid w:val="00182C88"/>
    <w:rsid w:val="0018381F"/>
    <w:rsid w:val="00183C7D"/>
    <w:rsid w:val="0018606E"/>
    <w:rsid w:val="0018677F"/>
    <w:rsid w:val="00186C60"/>
    <w:rsid w:val="00187295"/>
    <w:rsid w:val="00187D7E"/>
    <w:rsid w:val="0019113E"/>
    <w:rsid w:val="00191FEC"/>
    <w:rsid w:val="001933F8"/>
    <w:rsid w:val="00193443"/>
    <w:rsid w:val="00194F2B"/>
    <w:rsid w:val="001A090F"/>
    <w:rsid w:val="001A1AF2"/>
    <w:rsid w:val="001A256F"/>
    <w:rsid w:val="001A31CC"/>
    <w:rsid w:val="001A378D"/>
    <w:rsid w:val="001A49A8"/>
    <w:rsid w:val="001A4BA7"/>
    <w:rsid w:val="001A4BCE"/>
    <w:rsid w:val="001A7400"/>
    <w:rsid w:val="001B00BC"/>
    <w:rsid w:val="001B0BDA"/>
    <w:rsid w:val="001B0C8D"/>
    <w:rsid w:val="001B1693"/>
    <w:rsid w:val="001B2183"/>
    <w:rsid w:val="001B27DE"/>
    <w:rsid w:val="001B31E0"/>
    <w:rsid w:val="001B5973"/>
    <w:rsid w:val="001B5C62"/>
    <w:rsid w:val="001B7AEF"/>
    <w:rsid w:val="001B7DDE"/>
    <w:rsid w:val="001C15CC"/>
    <w:rsid w:val="001C1F00"/>
    <w:rsid w:val="001C1F91"/>
    <w:rsid w:val="001C2169"/>
    <w:rsid w:val="001C38EE"/>
    <w:rsid w:val="001C46D3"/>
    <w:rsid w:val="001C487B"/>
    <w:rsid w:val="001C6102"/>
    <w:rsid w:val="001C7831"/>
    <w:rsid w:val="001C79B2"/>
    <w:rsid w:val="001C7D68"/>
    <w:rsid w:val="001D0288"/>
    <w:rsid w:val="001D06F6"/>
    <w:rsid w:val="001D115E"/>
    <w:rsid w:val="001D2632"/>
    <w:rsid w:val="001D6772"/>
    <w:rsid w:val="001D7577"/>
    <w:rsid w:val="001D779C"/>
    <w:rsid w:val="001E063B"/>
    <w:rsid w:val="001E1B80"/>
    <w:rsid w:val="001E2B6C"/>
    <w:rsid w:val="001E39CE"/>
    <w:rsid w:val="001E445C"/>
    <w:rsid w:val="001E4659"/>
    <w:rsid w:val="001E4C5C"/>
    <w:rsid w:val="001E571B"/>
    <w:rsid w:val="001E59B4"/>
    <w:rsid w:val="001E6423"/>
    <w:rsid w:val="001F1C20"/>
    <w:rsid w:val="001F2AA1"/>
    <w:rsid w:val="001F31B4"/>
    <w:rsid w:val="001F6A6D"/>
    <w:rsid w:val="001F7084"/>
    <w:rsid w:val="002010BD"/>
    <w:rsid w:val="002019D7"/>
    <w:rsid w:val="00201ABE"/>
    <w:rsid w:val="002026A5"/>
    <w:rsid w:val="002033C4"/>
    <w:rsid w:val="00203E30"/>
    <w:rsid w:val="0020431B"/>
    <w:rsid w:val="00205606"/>
    <w:rsid w:val="0020576B"/>
    <w:rsid w:val="00205BAF"/>
    <w:rsid w:val="00206991"/>
    <w:rsid w:val="00207ACE"/>
    <w:rsid w:val="00207C77"/>
    <w:rsid w:val="0021023C"/>
    <w:rsid w:val="00211178"/>
    <w:rsid w:val="0021162E"/>
    <w:rsid w:val="00211892"/>
    <w:rsid w:val="00212639"/>
    <w:rsid w:val="00212B1A"/>
    <w:rsid w:val="00212B3B"/>
    <w:rsid w:val="00212B41"/>
    <w:rsid w:val="00213C6C"/>
    <w:rsid w:val="00213E73"/>
    <w:rsid w:val="002143D4"/>
    <w:rsid w:val="00215ACE"/>
    <w:rsid w:val="0021722F"/>
    <w:rsid w:val="002216B5"/>
    <w:rsid w:val="0022184C"/>
    <w:rsid w:val="0022189E"/>
    <w:rsid w:val="00221F9C"/>
    <w:rsid w:val="00223864"/>
    <w:rsid w:val="00223DCA"/>
    <w:rsid w:val="00225180"/>
    <w:rsid w:val="0022692F"/>
    <w:rsid w:val="00227A67"/>
    <w:rsid w:val="00227A76"/>
    <w:rsid w:val="00230074"/>
    <w:rsid w:val="002318B2"/>
    <w:rsid w:val="00231AD6"/>
    <w:rsid w:val="00232C6A"/>
    <w:rsid w:val="002330E1"/>
    <w:rsid w:val="0023401D"/>
    <w:rsid w:val="002341F3"/>
    <w:rsid w:val="00234C05"/>
    <w:rsid w:val="00234D25"/>
    <w:rsid w:val="00236A17"/>
    <w:rsid w:val="00237E63"/>
    <w:rsid w:val="00243553"/>
    <w:rsid w:val="00243BCF"/>
    <w:rsid w:val="00243C9C"/>
    <w:rsid w:val="0024604F"/>
    <w:rsid w:val="002464C8"/>
    <w:rsid w:val="002478CE"/>
    <w:rsid w:val="002503AB"/>
    <w:rsid w:val="00250960"/>
    <w:rsid w:val="0025195C"/>
    <w:rsid w:val="00251E93"/>
    <w:rsid w:val="00252206"/>
    <w:rsid w:val="00254995"/>
    <w:rsid w:val="0025519C"/>
    <w:rsid w:val="00256C8F"/>
    <w:rsid w:val="0025719A"/>
    <w:rsid w:val="00260466"/>
    <w:rsid w:val="00260E95"/>
    <w:rsid w:val="002610C4"/>
    <w:rsid w:val="00262781"/>
    <w:rsid w:val="0026393E"/>
    <w:rsid w:val="00264144"/>
    <w:rsid w:val="002658B7"/>
    <w:rsid w:val="0026622E"/>
    <w:rsid w:val="0026627B"/>
    <w:rsid w:val="002667E1"/>
    <w:rsid w:val="00266953"/>
    <w:rsid w:val="00267BFE"/>
    <w:rsid w:val="00270060"/>
    <w:rsid w:val="0027047E"/>
    <w:rsid w:val="00270532"/>
    <w:rsid w:val="002709BF"/>
    <w:rsid w:val="00272086"/>
    <w:rsid w:val="00272DA7"/>
    <w:rsid w:val="00273774"/>
    <w:rsid w:val="00273C53"/>
    <w:rsid w:val="00274BB3"/>
    <w:rsid w:val="0027529F"/>
    <w:rsid w:val="00276EF5"/>
    <w:rsid w:val="00280AF4"/>
    <w:rsid w:val="00280CBB"/>
    <w:rsid w:val="002818B8"/>
    <w:rsid w:val="00281F02"/>
    <w:rsid w:val="00282392"/>
    <w:rsid w:val="00282904"/>
    <w:rsid w:val="00282A32"/>
    <w:rsid w:val="0028372B"/>
    <w:rsid w:val="002846CE"/>
    <w:rsid w:val="00284A06"/>
    <w:rsid w:val="00284D2E"/>
    <w:rsid w:val="00284E06"/>
    <w:rsid w:val="0028519B"/>
    <w:rsid w:val="0028604B"/>
    <w:rsid w:val="00286722"/>
    <w:rsid w:val="00286CB9"/>
    <w:rsid w:val="00286CEB"/>
    <w:rsid w:val="00286E60"/>
    <w:rsid w:val="00290703"/>
    <w:rsid w:val="00290AF3"/>
    <w:rsid w:val="002910C2"/>
    <w:rsid w:val="0029337C"/>
    <w:rsid w:val="002966CE"/>
    <w:rsid w:val="00297A1B"/>
    <w:rsid w:val="00297A86"/>
    <w:rsid w:val="002A0531"/>
    <w:rsid w:val="002A2019"/>
    <w:rsid w:val="002A245F"/>
    <w:rsid w:val="002A2F72"/>
    <w:rsid w:val="002A312D"/>
    <w:rsid w:val="002A380F"/>
    <w:rsid w:val="002A382D"/>
    <w:rsid w:val="002A3CFB"/>
    <w:rsid w:val="002A4417"/>
    <w:rsid w:val="002A47B4"/>
    <w:rsid w:val="002A51A4"/>
    <w:rsid w:val="002A6D64"/>
    <w:rsid w:val="002A77E8"/>
    <w:rsid w:val="002B095A"/>
    <w:rsid w:val="002B0AC4"/>
    <w:rsid w:val="002B0D1E"/>
    <w:rsid w:val="002B1498"/>
    <w:rsid w:val="002B1900"/>
    <w:rsid w:val="002B3141"/>
    <w:rsid w:val="002B324A"/>
    <w:rsid w:val="002B35C1"/>
    <w:rsid w:val="002B467F"/>
    <w:rsid w:val="002B5F54"/>
    <w:rsid w:val="002B635C"/>
    <w:rsid w:val="002B7099"/>
    <w:rsid w:val="002B7175"/>
    <w:rsid w:val="002C015A"/>
    <w:rsid w:val="002C0193"/>
    <w:rsid w:val="002C09A7"/>
    <w:rsid w:val="002C0BEA"/>
    <w:rsid w:val="002C0FDF"/>
    <w:rsid w:val="002C117A"/>
    <w:rsid w:val="002C1C08"/>
    <w:rsid w:val="002C2149"/>
    <w:rsid w:val="002C2B9A"/>
    <w:rsid w:val="002C4DB8"/>
    <w:rsid w:val="002C54C6"/>
    <w:rsid w:val="002C5CE4"/>
    <w:rsid w:val="002C6618"/>
    <w:rsid w:val="002C6B8F"/>
    <w:rsid w:val="002C7851"/>
    <w:rsid w:val="002C7989"/>
    <w:rsid w:val="002C7A3D"/>
    <w:rsid w:val="002D0838"/>
    <w:rsid w:val="002D1306"/>
    <w:rsid w:val="002D1539"/>
    <w:rsid w:val="002D3182"/>
    <w:rsid w:val="002D33EE"/>
    <w:rsid w:val="002D50D6"/>
    <w:rsid w:val="002D6F91"/>
    <w:rsid w:val="002D7236"/>
    <w:rsid w:val="002D7FE5"/>
    <w:rsid w:val="002E080F"/>
    <w:rsid w:val="002E3CF1"/>
    <w:rsid w:val="002E46AF"/>
    <w:rsid w:val="002E4BB9"/>
    <w:rsid w:val="002E5635"/>
    <w:rsid w:val="002E63AB"/>
    <w:rsid w:val="002E66B7"/>
    <w:rsid w:val="002E6ABB"/>
    <w:rsid w:val="002E6BBF"/>
    <w:rsid w:val="002E75F0"/>
    <w:rsid w:val="002F07DE"/>
    <w:rsid w:val="002F1742"/>
    <w:rsid w:val="002F216F"/>
    <w:rsid w:val="002F3636"/>
    <w:rsid w:val="002F4264"/>
    <w:rsid w:val="002F65EC"/>
    <w:rsid w:val="002F71AB"/>
    <w:rsid w:val="002F742A"/>
    <w:rsid w:val="002F7CBE"/>
    <w:rsid w:val="003000A5"/>
    <w:rsid w:val="00300C0B"/>
    <w:rsid w:val="00300E24"/>
    <w:rsid w:val="0030111F"/>
    <w:rsid w:val="00301C50"/>
    <w:rsid w:val="00303909"/>
    <w:rsid w:val="0030390F"/>
    <w:rsid w:val="0030422C"/>
    <w:rsid w:val="00304B84"/>
    <w:rsid w:val="003051BE"/>
    <w:rsid w:val="00305472"/>
    <w:rsid w:val="0030602B"/>
    <w:rsid w:val="00306AFF"/>
    <w:rsid w:val="00306C8D"/>
    <w:rsid w:val="00306E49"/>
    <w:rsid w:val="00310DA1"/>
    <w:rsid w:val="003129AD"/>
    <w:rsid w:val="00312D8D"/>
    <w:rsid w:val="00314020"/>
    <w:rsid w:val="003145ED"/>
    <w:rsid w:val="00314C4D"/>
    <w:rsid w:val="003151F4"/>
    <w:rsid w:val="00315700"/>
    <w:rsid w:val="00315CC5"/>
    <w:rsid w:val="00317A0C"/>
    <w:rsid w:val="00320767"/>
    <w:rsid w:val="00320913"/>
    <w:rsid w:val="00321A4D"/>
    <w:rsid w:val="00321A60"/>
    <w:rsid w:val="00321F01"/>
    <w:rsid w:val="00321F8D"/>
    <w:rsid w:val="00322FD9"/>
    <w:rsid w:val="003230D2"/>
    <w:rsid w:val="00324460"/>
    <w:rsid w:val="0032526F"/>
    <w:rsid w:val="00325448"/>
    <w:rsid w:val="0032653D"/>
    <w:rsid w:val="00326F07"/>
    <w:rsid w:val="003275AC"/>
    <w:rsid w:val="0032784F"/>
    <w:rsid w:val="00327B5E"/>
    <w:rsid w:val="00330CC7"/>
    <w:rsid w:val="00332266"/>
    <w:rsid w:val="00332D2F"/>
    <w:rsid w:val="00334428"/>
    <w:rsid w:val="003345AF"/>
    <w:rsid w:val="00335621"/>
    <w:rsid w:val="0033595A"/>
    <w:rsid w:val="00335AB3"/>
    <w:rsid w:val="00336718"/>
    <w:rsid w:val="0033772C"/>
    <w:rsid w:val="00340292"/>
    <w:rsid w:val="00341CD8"/>
    <w:rsid w:val="00341F77"/>
    <w:rsid w:val="00342003"/>
    <w:rsid w:val="00342AB5"/>
    <w:rsid w:val="003431C0"/>
    <w:rsid w:val="003446C8"/>
    <w:rsid w:val="003460F9"/>
    <w:rsid w:val="003478A2"/>
    <w:rsid w:val="00347E91"/>
    <w:rsid w:val="00350127"/>
    <w:rsid w:val="003515C7"/>
    <w:rsid w:val="003517C7"/>
    <w:rsid w:val="00351873"/>
    <w:rsid w:val="00351E4B"/>
    <w:rsid w:val="0035256C"/>
    <w:rsid w:val="003531AA"/>
    <w:rsid w:val="00353B52"/>
    <w:rsid w:val="00353C5E"/>
    <w:rsid w:val="003552CD"/>
    <w:rsid w:val="00356319"/>
    <w:rsid w:val="00357A8B"/>
    <w:rsid w:val="00357D15"/>
    <w:rsid w:val="00357F9F"/>
    <w:rsid w:val="00360800"/>
    <w:rsid w:val="00361ED6"/>
    <w:rsid w:val="00362299"/>
    <w:rsid w:val="00362621"/>
    <w:rsid w:val="00362FC5"/>
    <w:rsid w:val="00363AE6"/>
    <w:rsid w:val="003645E0"/>
    <w:rsid w:val="003649CD"/>
    <w:rsid w:val="00365CCC"/>
    <w:rsid w:val="00370824"/>
    <w:rsid w:val="00371B13"/>
    <w:rsid w:val="00371DFF"/>
    <w:rsid w:val="0037270F"/>
    <w:rsid w:val="00372DBB"/>
    <w:rsid w:val="0037375E"/>
    <w:rsid w:val="00373BD3"/>
    <w:rsid w:val="003758C1"/>
    <w:rsid w:val="00375FBD"/>
    <w:rsid w:val="00376CF4"/>
    <w:rsid w:val="00377FDC"/>
    <w:rsid w:val="00384E67"/>
    <w:rsid w:val="00387956"/>
    <w:rsid w:val="00387D7E"/>
    <w:rsid w:val="0039103E"/>
    <w:rsid w:val="003911D9"/>
    <w:rsid w:val="00391E31"/>
    <w:rsid w:val="00392E9C"/>
    <w:rsid w:val="00393566"/>
    <w:rsid w:val="003939A1"/>
    <w:rsid w:val="00394CDC"/>
    <w:rsid w:val="003958F2"/>
    <w:rsid w:val="00395F53"/>
    <w:rsid w:val="003A016E"/>
    <w:rsid w:val="003A0B6A"/>
    <w:rsid w:val="003A0E23"/>
    <w:rsid w:val="003A1758"/>
    <w:rsid w:val="003A1D39"/>
    <w:rsid w:val="003A2136"/>
    <w:rsid w:val="003A2651"/>
    <w:rsid w:val="003A28F5"/>
    <w:rsid w:val="003A4E74"/>
    <w:rsid w:val="003A6E81"/>
    <w:rsid w:val="003A7A57"/>
    <w:rsid w:val="003B0BB2"/>
    <w:rsid w:val="003B0C3A"/>
    <w:rsid w:val="003B12FE"/>
    <w:rsid w:val="003B1590"/>
    <w:rsid w:val="003B1E8D"/>
    <w:rsid w:val="003B2313"/>
    <w:rsid w:val="003B240B"/>
    <w:rsid w:val="003B27FF"/>
    <w:rsid w:val="003B2E9C"/>
    <w:rsid w:val="003B354E"/>
    <w:rsid w:val="003B5083"/>
    <w:rsid w:val="003B6352"/>
    <w:rsid w:val="003B746B"/>
    <w:rsid w:val="003C09DA"/>
    <w:rsid w:val="003C0A87"/>
    <w:rsid w:val="003C2304"/>
    <w:rsid w:val="003C3FEF"/>
    <w:rsid w:val="003C429F"/>
    <w:rsid w:val="003C59B2"/>
    <w:rsid w:val="003D0578"/>
    <w:rsid w:val="003D1021"/>
    <w:rsid w:val="003D1355"/>
    <w:rsid w:val="003D1EB3"/>
    <w:rsid w:val="003D29D4"/>
    <w:rsid w:val="003D32B7"/>
    <w:rsid w:val="003D3362"/>
    <w:rsid w:val="003D3CF6"/>
    <w:rsid w:val="003D6149"/>
    <w:rsid w:val="003D681A"/>
    <w:rsid w:val="003D6E7A"/>
    <w:rsid w:val="003D75C5"/>
    <w:rsid w:val="003E011D"/>
    <w:rsid w:val="003E058F"/>
    <w:rsid w:val="003E249F"/>
    <w:rsid w:val="003E28CD"/>
    <w:rsid w:val="003E37F5"/>
    <w:rsid w:val="003E39EC"/>
    <w:rsid w:val="003E3A23"/>
    <w:rsid w:val="003E4676"/>
    <w:rsid w:val="003E5F74"/>
    <w:rsid w:val="003E6276"/>
    <w:rsid w:val="003E6969"/>
    <w:rsid w:val="003F0A9C"/>
    <w:rsid w:val="003F0D9F"/>
    <w:rsid w:val="003F131C"/>
    <w:rsid w:val="003F1981"/>
    <w:rsid w:val="003F4433"/>
    <w:rsid w:val="003F5865"/>
    <w:rsid w:val="003F5DC7"/>
    <w:rsid w:val="003F64B3"/>
    <w:rsid w:val="003F672B"/>
    <w:rsid w:val="003F728B"/>
    <w:rsid w:val="004004B7"/>
    <w:rsid w:val="00400C70"/>
    <w:rsid w:val="00400F7A"/>
    <w:rsid w:val="00401027"/>
    <w:rsid w:val="00401A8B"/>
    <w:rsid w:val="00402229"/>
    <w:rsid w:val="00403533"/>
    <w:rsid w:val="00403BDC"/>
    <w:rsid w:val="00405F18"/>
    <w:rsid w:val="004078B5"/>
    <w:rsid w:val="0041001D"/>
    <w:rsid w:val="0041042A"/>
    <w:rsid w:val="00411BC6"/>
    <w:rsid w:val="00411CAF"/>
    <w:rsid w:val="004123A8"/>
    <w:rsid w:val="004145DD"/>
    <w:rsid w:val="0041690A"/>
    <w:rsid w:val="00416D00"/>
    <w:rsid w:val="00417599"/>
    <w:rsid w:val="004215F5"/>
    <w:rsid w:val="0042492A"/>
    <w:rsid w:val="0042535C"/>
    <w:rsid w:val="004258BA"/>
    <w:rsid w:val="004263F6"/>
    <w:rsid w:val="004279BA"/>
    <w:rsid w:val="00430F1C"/>
    <w:rsid w:val="00431036"/>
    <w:rsid w:val="0043115F"/>
    <w:rsid w:val="004313C4"/>
    <w:rsid w:val="004318BB"/>
    <w:rsid w:val="00431B1D"/>
    <w:rsid w:val="00431F9F"/>
    <w:rsid w:val="004327BE"/>
    <w:rsid w:val="00433EAE"/>
    <w:rsid w:val="00434199"/>
    <w:rsid w:val="00436A31"/>
    <w:rsid w:val="0043731B"/>
    <w:rsid w:val="0043781F"/>
    <w:rsid w:val="00437B32"/>
    <w:rsid w:val="0044052D"/>
    <w:rsid w:val="00441BFE"/>
    <w:rsid w:val="00442EC6"/>
    <w:rsid w:val="004437AE"/>
    <w:rsid w:val="00443AE8"/>
    <w:rsid w:val="00443DDB"/>
    <w:rsid w:val="00444465"/>
    <w:rsid w:val="00445EEB"/>
    <w:rsid w:val="0044629B"/>
    <w:rsid w:val="00447061"/>
    <w:rsid w:val="00447D02"/>
    <w:rsid w:val="00447DCA"/>
    <w:rsid w:val="00451616"/>
    <w:rsid w:val="004529FD"/>
    <w:rsid w:val="00454447"/>
    <w:rsid w:val="00454D07"/>
    <w:rsid w:val="00454F45"/>
    <w:rsid w:val="004552AA"/>
    <w:rsid w:val="0045595B"/>
    <w:rsid w:val="004570ED"/>
    <w:rsid w:val="00457B10"/>
    <w:rsid w:val="00457B3B"/>
    <w:rsid w:val="00460056"/>
    <w:rsid w:val="00460832"/>
    <w:rsid w:val="00461E4A"/>
    <w:rsid w:val="0046371F"/>
    <w:rsid w:val="00464263"/>
    <w:rsid w:val="00464449"/>
    <w:rsid w:val="0046488B"/>
    <w:rsid w:val="004649F0"/>
    <w:rsid w:val="004655BC"/>
    <w:rsid w:val="004662CB"/>
    <w:rsid w:val="00466E54"/>
    <w:rsid w:val="00467B30"/>
    <w:rsid w:val="00470DBD"/>
    <w:rsid w:val="004716A2"/>
    <w:rsid w:val="00471B52"/>
    <w:rsid w:val="00471C5C"/>
    <w:rsid w:val="00472391"/>
    <w:rsid w:val="0047254F"/>
    <w:rsid w:val="00472D1F"/>
    <w:rsid w:val="00474816"/>
    <w:rsid w:val="00474CD8"/>
    <w:rsid w:val="00474F65"/>
    <w:rsid w:val="00476116"/>
    <w:rsid w:val="0047638F"/>
    <w:rsid w:val="00476B20"/>
    <w:rsid w:val="004770C1"/>
    <w:rsid w:val="0047714B"/>
    <w:rsid w:val="00480D08"/>
    <w:rsid w:val="00481BD4"/>
    <w:rsid w:val="0048256F"/>
    <w:rsid w:val="0048293C"/>
    <w:rsid w:val="00483B29"/>
    <w:rsid w:val="00483D1F"/>
    <w:rsid w:val="004849DA"/>
    <w:rsid w:val="004857C3"/>
    <w:rsid w:val="00485E00"/>
    <w:rsid w:val="00485E4F"/>
    <w:rsid w:val="0048672B"/>
    <w:rsid w:val="00486996"/>
    <w:rsid w:val="00486E33"/>
    <w:rsid w:val="004908ED"/>
    <w:rsid w:val="00490C49"/>
    <w:rsid w:val="00490D13"/>
    <w:rsid w:val="00490EC0"/>
    <w:rsid w:val="004913CF"/>
    <w:rsid w:val="0049255B"/>
    <w:rsid w:val="00492898"/>
    <w:rsid w:val="00492C00"/>
    <w:rsid w:val="00493920"/>
    <w:rsid w:val="004952B8"/>
    <w:rsid w:val="00495F16"/>
    <w:rsid w:val="0049637A"/>
    <w:rsid w:val="004A1EEA"/>
    <w:rsid w:val="004A2146"/>
    <w:rsid w:val="004A2AE2"/>
    <w:rsid w:val="004A30F4"/>
    <w:rsid w:val="004A3A6D"/>
    <w:rsid w:val="004A5E9D"/>
    <w:rsid w:val="004A634E"/>
    <w:rsid w:val="004A7F43"/>
    <w:rsid w:val="004B054A"/>
    <w:rsid w:val="004B0D22"/>
    <w:rsid w:val="004B0F3C"/>
    <w:rsid w:val="004B12BC"/>
    <w:rsid w:val="004B13C7"/>
    <w:rsid w:val="004B2DBB"/>
    <w:rsid w:val="004B31DE"/>
    <w:rsid w:val="004B3D0F"/>
    <w:rsid w:val="004B3D6E"/>
    <w:rsid w:val="004B4CF5"/>
    <w:rsid w:val="004B53DF"/>
    <w:rsid w:val="004B6D1A"/>
    <w:rsid w:val="004B710C"/>
    <w:rsid w:val="004B7F9C"/>
    <w:rsid w:val="004B7FC8"/>
    <w:rsid w:val="004C01AC"/>
    <w:rsid w:val="004C1C76"/>
    <w:rsid w:val="004C3347"/>
    <w:rsid w:val="004C44A9"/>
    <w:rsid w:val="004C5540"/>
    <w:rsid w:val="004C58FD"/>
    <w:rsid w:val="004C74F7"/>
    <w:rsid w:val="004D0217"/>
    <w:rsid w:val="004D08CB"/>
    <w:rsid w:val="004D1C21"/>
    <w:rsid w:val="004D32C7"/>
    <w:rsid w:val="004D4131"/>
    <w:rsid w:val="004D43E9"/>
    <w:rsid w:val="004D4622"/>
    <w:rsid w:val="004D4E5C"/>
    <w:rsid w:val="004D515E"/>
    <w:rsid w:val="004D6396"/>
    <w:rsid w:val="004D7EEA"/>
    <w:rsid w:val="004D7FCC"/>
    <w:rsid w:val="004E12D6"/>
    <w:rsid w:val="004E17C6"/>
    <w:rsid w:val="004E369E"/>
    <w:rsid w:val="004E3FCB"/>
    <w:rsid w:val="004E466B"/>
    <w:rsid w:val="004E5BDB"/>
    <w:rsid w:val="004E5FA3"/>
    <w:rsid w:val="004E6D3E"/>
    <w:rsid w:val="004E7C38"/>
    <w:rsid w:val="004F0D67"/>
    <w:rsid w:val="004F10C9"/>
    <w:rsid w:val="004F17D1"/>
    <w:rsid w:val="004F2088"/>
    <w:rsid w:val="004F3075"/>
    <w:rsid w:val="004F4C56"/>
    <w:rsid w:val="004F4DD8"/>
    <w:rsid w:val="004F64F2"/>
    <w:rsid w:val="004F77AB"/>
    <w:rsid w:val="005001F3"/>
    <w:rsid w:val="0050026B"/>
    <w:rsid w:val="005010A0"/>
    <w:rsid w:val="0050127E"/>
    <w:rsid w:val="00501305"/>
    <w:rsid w:val="00501896"/>
    <w:rsid w:val="00502030"/>
    <w:rsid w:val="0050273E"/>
    <w:rsid w:val="005029DC"/>
    <w:rsid w:val="00502D8A"/>
    <w:rsid w:val="0050359E"/>
    <w:rsid w:val="00504577"/>
    <w:rsid w:val="005059F1"/>
    <w:rsid w:val="0050621F"/>
    <w:rsid w:val="00506625"/>
    <w:rsid w:val="00506B32"/>
    <w:rsid w:val="00506D1D"/>
    <w:rsid w:val="0051104C"/>
    <w:rsid w:val="00511F5F"/>
    <w:rsid w:val="00512839"/>
    <w:rsid w:val="005130A7"/>
    <w:rsid w:val="00514362"/>
    <w:rsid w:val="00514EC9"/>
    <w:rsid w:val="00515A23"/>
    <w:rsid w:val="00515F91"/>
    <w:rsid w:val="00516250"/>
    <w:rsid w:val="0052382C"/>
    <w:rsid w:val="00524331"/>
    <w:rsid w:val="00524746"/>
    <w:rsid w:val="00525DD1"/>
    <w:rsid w:val="00526511"/>
    <w:rsid w:val="005277B4"/>
    <w:rsid w:val="00527927"/>
    <w:rsid w:val="0053017F"/>
    <w:rsid w:val="0053144B"/>
    <w:rsid w:val="00531C58"/>
    <w:rsid w:val="005320D4"/>
    <w:rsid w:val="00532247"/>
    <w:rsid w:val="005327C2"/>
    <w:rsid w:val="00533609"/>
    <w:rsid w:val="00534B0F"/>
    <w:rsid w:val="00536DE7"/>
    <w:rsid w:val="00537115"/>
    <w:rsid w:val="005400AD"/>
    <w:rsid w:val="005424B3"/>
    <w:rsid w:val="005427AF"/>
    <w:rsid w:val="00542ECB"/>
    <w:rsid w:val="005432BA"/>
    <w:rsid w:val="005443A5"/>
    <w:rsid w:val="00545312"/>
    <w:rsid w:val="00545AED"/>
    <w:rsid w:val="005472B3"/>
    <w:rsid w:val="00550C11"/>
    <w:rsid w:val="00550DE7"/>
    <w:rsid w:val="005514BB"/>
    <w:rsid w:val="00551F73"/>
    <w:rsid w:val="00552301"/>
    <w:rsid w:val="0055269F"/>
    <w:rsid w:val="00553046"/>
    <w:rsid w:val="00553E62"/>
    <w:rsid w:val="0055471C"/>
    <w:rsid w:val="00554AB0"/>
    <w:rsid w:val="005550B9"/>
    <w:rsid w:val="0055561C"/>
    <w:rsid w:val="0055629C"/>
    <w:rsid w:val="005575CB"/>
    <w:rsid w:val="00557981"/>
    <w:rsid w:val="00560148"/>
    <w:rsid w:val="0056016F"/>
    <w:rsid w:val="005605A2"/>
    <w:rsid w:val="0056080F"/>
    <w:rsid w:val="00560EDE"/>
    <w:rsid w:val="00561042"/>
    <w:rsid w:val="005610C7"/>
    <w:rsid w:val="005613DA"/>
    <w:rsid w:val="00561C91"/>
    <w:rsid w:val="0056222E"/>
    <w:rsid w:val="0056224F"/>
    <w:rsid w:val="005644E5"/>
    <w:rsid w:val="00565011"/>
    <w:rsid w:val="0056506E"/>
    <w:rsid w:val="00565EBC"/>
    <w:rsid w:val="0056662F"/>
    <w:rsid w:val="00566D53"/>
    <w:rsid w:val="0056708A"/>
    <w:rsid w:val="00567242"/>
    <w:rsid w:val="00567755"/>
    <w:rsid w:val="00567837"/>
    <w:rsid w:val="00567EA2"/>
    <w:rsid w:val="00571BB7"/>
    <w:rsid w:val="0057317C"/>
    <w:rsid w:val="00573656"/>
    <w:rsid w:val="0057496C"/>
    <w:rsid w:val="005749A3"/>
    <w:rsid w:val="00574A7F"/>
    <w:rsid w:val="005756D4"/>
    <w:rsid w:val="00576774"/>
    <w:rsid w:val="00580489"/>
    <w:rsid w:val="005823F5"/>
    <w:rsid w:val="00583542"/>
    <w:rsid w:val="00583B31"/>
    <w:rsid w:val="00583FEE"/>
    <w:rsid w:val="00584380"/>
    <w:rsid w:val="00584A01"/>
    <w:rsid w:val="00584A5C"/>
    <w:rsid w:val="00586108"/>
    <w:rsid w:val="00586BF6"/>
    <w:rsid w:val="00590860"/>
    <w:rsid w:val="00593058"/>
    <w:rsid w:val="00593173"/>
    <w:rsid w:val="005939D5"/>
    <w:rsid w:val="00594F48"/>
    <w:rsid w:val="00595A3C"/>
    <w:rsid w:val="00596491"/>
    <w:rsid w:val="005977F1"/>
    <w:rsid w:val="005A0446"/>
    <w:rsid w:val="005A0590"/>
    <w:rsid w:val="005A0C98"/>
    <w:rsid w:val="005A36AB"/>
    <w:rsid w:val="005A3D6F"/>
    <w:rsid w:val="005A3D89"/>
    <w:rsid w:val="005A4806"/>
    <w:rsid w:val="005A4DBC"/>
    <w:rsid w:val="005A5578"/>
    <w:rsid w:val="005A5684"/>
    <w:rsid w:val="005A6B51"/>
    <w:rsid w:val="005A77BF"/>
    <w:rsid w:val="005A7A04"/>
    <w:rsid w:val="005A7C9B"/>
    <w:rsid w:val="005B0B37"/>
    <w:rsid w:val="005B0E94"/>
    <w:rsid w:val="005B1A7C"/>
    <w:rsid w:val="005B2964"/>
    <w:rsid w:val="005B2C4B"/>
    <w:rsid w:val="005B4660"/>
    <w:rsid w:val="005B569E"/>
    <w:rsid w:val="005B5859"/>
    <w:rsid w:val="005B5D13"/>
    <w:rsid w:val="005B7466"/>
    <w:rsid w:val="005C113B"/>
    <w:rsid w:val="005C1523"/>
    <w:rsid w:val="005C1882"/>
    <w:rsid w:val="005C22CF"/>
    <w:rsid w:val="005C3156"/>
    <w:rsid w:val="005C58A6"/>
    <w:rsid w:val="005C598D"/>
    <w:rsid w:val="005C6D14"/>
    <w:rsid w:val="005C7540"/>
    <w:rsid w:val="005D128F"/>
    <w:rsid w:val="005D1461"/>
    <w:rsid w:val="005D16CB"/>
    <w:rsid w:val="005D2FFF"/>
    <w:rsid w:val="005D3574"/>
    <w:rsid w:val="005D4337"/>
    <w:rsid w:val="005D43BE"/>
    <w:rsid w:val="005D4ED7"/>
    <w:rsid w:val="005D5215"/>
    <w:rsid w:val="005D620D"/>
    <w:rsid w:val="005D6A6C"/>
    <w:rsid w:val="005D7C43"/>
    <w:rsid w:val="005E0175"/>
    <w:rsid w:val="005E1472"/>
    <w:rsid w:val="005E24E0"/>
    <w:rsid w:val="005E279F"/>
    <w:rsid w:val="005E30E2"/>
    <w:rsid w:val="005E4AAB"/>
    <w:rsid w:val="005E4DDB"/>
    <w:rsid w:val="005E5219"/>
    <w:rsid w:val="005E58DC"/>
    <w:rsid w:val="005E6808"/>
    <w:rsid w:val="005F0F02"/>
    <w:rsid w:val="005F0FE2"/>
    <w:rsid w:val="005F168F"/>
    <w:rsid w:val="005F1E3E"/>
    <w:rsid w:val="005F23B3"/>
    <w:rsid w:val="005F2527"/>
    <w:rsid w:val="005F2F2D"/>
    <w:rsid w:val="005F58D3"/>
    <w:rsid w:val="005F6328"/>
    <w:rsid w:val="005F6347"/>
    <w:rsid w:val="005F770C"/>
    <w:rsid w:val="0060366A"/>
    <w:rsid w:val="006038D0"/>
    <w:rsid w:val="006043B4"/>
    <w:rsid w:val="006044F8"/>
    <w:rsid w:val="00605B49"/>
    <w:rsid w:val="006066C1"/>
    <w:rsid w:val="00606F4C"/>
    <w:rsid w:val="006079E3"/>
    <w:rsid w:val="00607C74"/>
    <w:rsid w:val="006103D7"/>
    <w:rsid w:val="00610998"/>
    <w:rsid w:val="006114E3"/>
    <w:rsid w:val="00611D0E"/>
    <w:rsid w:val="00612912"/>
    <w:rsid w:val="006132AA"/>
    <w:rsid w:val="00613A5E"/>
    <w:rsid w:val="00613B36"/>
    <w:rsid w:val="0061492A"/>
    <w:rsid w:val="00614B54"/>
    <w:rsid w:val="006151B1"/>
    <w:rsid w:val="0061640A"/>
    <w:rsid w:val="006217FA"/>
    <w:rsid w:val="006225F0"/>
    <w:rsid w:val="00623AD0"/>
    <w:rsid w:val="00624CE5"/>
    <w:rsid w:val="00625C02"/>
    <w:rsid w:val="00626B84"/>
    <w:rsid w:val="00626ED8"/>
    <w:rsid w:val="00627E8C"/>
    <w:rsid w:val="00627F68"/>
    <w:rsid w:val="0063100D"/>
    <w:rsid w:val="006311CF"/>
    <w:rsid w:val="00632B82"/>
    <w:rsid w:val="00632E12"/>
    <w:rsid w:val="006342B7"/>
    <w:rsid w:val="006344D6"/>
    <w:rsid w:val="0063472B"/>
    <w:rsid w:val="00635860"/>
    <w:rsid w:val="006363FA"/>
    <w:rsid w:val="0063705A"/>
    <w:rsid w:val="0063726F"/>
    <w:rsid w:val="00637C36"/>
    <w:rsid w:val="00641AA7"/>
    <w:rsid w:val="006422CB"/>
    <w:rsid w:val="00642520"/>
    <w:rsid w:val="00642699"/>
    <w:rsid w:val="006429BA"/>
    <w:rsid w:val="006438A7"/>
    <w:rsid w:val="00643AAD"/>
    <w:rsid w:val="00643CBA"/>
    <w:rsid w:val="00645D67"/>
    <w:rsid w:val="00646D05"/>
    <w:rsid w:val="0065021B"/>
    <w:rsid w:val="006508B5"/>
    <w:rsid w:val="00651942"/>
    <w:rsid w:val="00652ED0"/>
    <w:rsid w:val="0065314C"/>
    <w:rsid w:val="0065373C"/>
    <w:rsid w:val="00653C41"/>
    <w:rsid w:val="00653E55"/>
    <w:rsid w:val="006540B2"/>
    <w:rsid w:val="0065472B"/>
    <w:rsid w:val="00655C9D"/>
    <w:rsid w:val="0065773B"/>
    <w:rsid w:val="00660DFA"/>
    <w:rsid w:val="00660F44"/>
    <w:rsid w:val="0066289A"/>
    <w:rsid w:val="00662E7B"/>
    <w:rsid w:val="00664494"/>
    <w:rsid w:val="00664BF5"/>
    <w:rsid w:val="006651CC"/>
    <w:rsid w:val="00665539"/>
    <w:rsid w:val="00666066"/>
    <w:rsid w:val="006665B5"/>
    <w:rsid w:val="00667393"/>
    <w:rsid w:val="00667CD6"/>
    <w:rsid w:val="00670F17"/>
    <w:rsid w:val="00670FBB"/>
    <w:rsid w:val="0067292A"/>
    <w:rsid w:val="00673291"/>
    <w:rsid w:val="00673E6B"/>
    <w:rsid w:val="006745C0"/>
    <w:rsid w:val="00674C2A"/>
    <w:rsid w:val="006766F8"/>
    <w:rsid w:val="00676F3F"/>
    <w:rsid w:val="006773E0"/>
    <w:rsid w:val="006776EF"/>
    <w:rsid w:val="00677D84"/>
    <w:rsid w:val="00681003"/>
    <w:rsid w:val="0068145A"/>
    <w:rsid w:val="00683456"/>
    <w:rsid w:val="00683E07"/>
    <w:rsid w:val="00683E4A"/>
    <w:rsid w:val="00683F33"/>
    <w:rsid w:val="0068459E"/>
    <w:rsid w:val="00685CFD"/>
    <w:rsid w:val="00686EFD"/>
    <w:rsid w:val="00686FD0"/>
    <w:rsid w:val="00687337"/>
    <w:rsid w:val="0068759C"/>
    <w:rsid w:val="00690771"/>
    <w:rsid w:val="00690B3B"/>
    <w:rsid w:val="00692613"/>
    <w:rsid w:val="00693460"/>
    <w:rsid w:val="00694F5B"/>
    <w:rsid w:val="0069638E"/>
    <w:rsid w:val="00696A55"/>
    <w:rsid w:val="00696B90"/>
    <w:rsid w:val="00696BBC"/>
    <w:rsid w:val="00696E41"/>
    <w:rsid w:val="006970F7"/>
    <w:rsid w:val="0069735A"/>
    <w:rsid w:val="006A18D4"/>
    <w:rsid w:val="006A1D1A"/>
    <w:rsid w:val="006A277D"/>
    <w:rsid w:val="006A2C53"/>
    <w:rsid w:val="006A3036"/>
    <w:rsid w:val="006A3698"/>
    <w:rsid w:val="006A37CF"/>
    <w:rsid w:val="006A51AF"/>
    <w:rsid w:val="006A69E1"/>
    <w:rsid w:val="006B0DC9"/>
    <w:rsid w:val="006B2BE2"/>
    <w:rsid w:val="006B3049"/>
    <w:rsid w:val="006B34D1"/>
    <w:rsid w:val="006B3633"/>
    <w:rsid w:val="006B40CD"/>
    <w:rsid w:val="006B415A"/>
    <w:rsid w:val="006B41A7"/>
    <w:rsid w:val="006B57E3"/>
    <w:rsid w:val="006B5BC6"/>
    <w:rsid w:val="006B6352"/>
    <w:rsid w:val="006C0019"/>
    <w:rsid w:val="006C08A0"/>
    <w:rsid w:val="006C1FCA"/>
    <w:rsid w:val="006C2C99"/>
    <w:rsid w:val="006C375E"/>
    <w:rsid w:val="006C3A88"/>
    <w:rsid w:val="006C5875"/>
    <w:rsid w:val="006D01D1"/>
    <w:rsid w:val="006D3D42"/>
    <w:rsid w:val="006D4A8E"/>
    <w:rsid w:val="006D5A1C"/>
    <w:rsid w:val="006D5A87"/>
    <w:rsid w:val="006D62CE"/>
    <w:rsid w:val="006D73B9"/>
    <w:rsid w:val="006D762C"/>
    <w:rsid w:val="006D7E5D"/>
    <w:rsid w:val="006E0190"/>
    <w:rsid w:val="006E0193"/>
    <w:rsid w:val="006E03FB"/>
    <w:rsid w:val="006E0909"/>
    <w:rsid w:val="006E096C"/>
    <w:rsid w:val="006E0CB7"/>
    <w:rsid w:val="006E11BD"/>
    <w:rsid w:val="006E17F1"/>
    <w:rsid w:val="006E527B"/>
    <w:rsid w:val="006E5309"/>
    <w:rsid w:val="006E5BF5"/>
    <w:rsid w:val="006E6BFD"/>
    <w:rsid w:val="006F00F9"/>
    <w:rsid w:val="006F0CEB"/>
    <w:rsid w:val="006F1589"/>
    <w:rsid w:val="006F2B58"/>
    <w:rsid w:val="006F2C01"/>
    <w:rsid w:val="006F2E9B"/>
    <w:rsid w:val="006F30C4"/>
    <w:rsid w:val="006F33DF"/>
    <w:rsid w:val="006F387A"/>
    <w:rsid w:val="006F4F5E"/>
    <w:rsid w:val="006F6072"/>
    <w:rsid w:val="006F64B3"/>
    <w:rsid w:val="006F7D2C"/>
    <w:rsid w:val="00700324"/>
    <w:rsid w:val="007009A3"/>
    <w:rsid w:val="007013B2"/>
    <w:rsid w:val="00701767"/>
    <w:rsid w:val="00702CD0"/>
    <w:rsid w:val="00703191"/>
    <w:rsid w:val="007045ED"/>
    <w:rsid w:val="007049C6"/>
    <w:rsid w:val="00704F9D"/>
    <w:rsid w:val="007055A8"/>
    <w:rsid w:val="007056C3"/>
    <w:rsid w:val="007059D5"/>
    <w:rsid w:val="00705B6D"/>
    <w:rsid w:val="007067D7"/>
    <w:rsid w:val="00710BD3"/>
    <w:rsid w:val="00711DA4"/>
    <w:rsid w:val="00711F83"/>
    <w:rsid w:val="0071300D"/>
    <w:rsid w:val="00713537"/>
    <w:rsid w:val="00713998"/>
    <w:rsid w:val="00713E3C"/>
    <w:rsid w:val="00715BF2"/>
    <w:rsid w:val="0071602B"/>
    <w:rsid w:val="00716377"/>
    <w:rsid w:val="00717B90"/>
    <w:rsid w:val="00717E81"/>
    <w:rsid w:val="00720275"/>
    <w:rsid w:val="00720BDF"/>
    <w:rsid w:val="00721B8C"/>
    <w:rsid w:val="00721C66"/>
    <w:rsid w:val="00721ECE"/>
    <w:rsid w:val="007222BE"/>
    <w:rsid w:val="007231B7"/>
    <w:rsid w:val="00724E33"/>
    <w:rsid w:val="007256DC"/>
    <w:rsid w:val="00726946"/>
    <w:rsid w:val="007269A3"/>
    <w:rsid w:val="007300DF"/>
    <w:rsid w:val="00732375"/>
    <w:rsid w:val="007328B4"/>
    <w:rsid w:val="00732976"/>
    <w:rsid w:val="0073301C"/>
    <w:rsid w:val="0073323D"/>
    <w:rsid w:val="007334D5"/>
    <w:rsid w:val="00733639"/>
    <w:rsid w:val="00733AB7"/>
    <w:rsid w:val="0073471A"/>
    <w:rsid w:val="007347BF"/>
    <w:rsid w:val="00735117"/>
    <w:rsid w:val="0073712D"/>
    <w:rsid w:val="007375A6"/>
    <w:rsid w:val="0074183C"/>
    <w:rsid w:val="007424CB"/>
    <w:rsid w:val="007431E3"/>
    <w:rsid w:val="00743AA8"/>
    <w:rsid w:val="00744B5B"/>
    <w:rsid w:val="00744E00"/>
    <w:rsid w:val="00744FF0"/>
    <w:rsid w:val="0074571B"/>
    <w:rsid w:val="00745ADF"/>
    <w:rsid w:val="00746D98"/>
    <w:rsid w:val="007503C7"/>
    <w:rsid w:val="0075069A"/>
    <w:rsid w:val="007513FE"/>
    <w:rsid w:val="00752378"/>
    <w:rsid w:val="00752E4B"/>
    <w:rsid w:val="0075346A"/>
    <w:rsid w:val="00753FA6"/>
    <w:rsid w:val="00756057"/>
    <w:rsid w:val="00756202"/>
    <w:rsid w:val="0075638F"/>
    <w:rsid w:val="0076001D"/>
    <w:rsid w:val="0076113E"/>
    <w:rsid w:val="00761426"/>
    <w:rsid w:val="007625C7"/>
    <w:rsid w:val="0076298A"/>
    <w:rsid w:val="007629B8"/>
    <w:rsid w:val="00762D12"/>
    <w:rsid w:val="00763140"/>
    <w:rsid w:val="0076334E"/>
    <w:rsid w:val="00763BF0"/>
    <w:rsid w:val="00763F0D"/>
    <w:rsid w:val="00764121"/>
    <w:rsid w:val="0076454A"/>
    <w:rsid w:val="00765120"/>
    <w:rsid w:val="007666D9"/>
    <w:rsid w:val="00767378"/>
    <w:rsid w:val="0077006D"/>
    <w:rsid w:val="007706B7"/>
    <w:rsid w:val="007707A6"/>
    <w:rsid w:val="00770DC9"/>
    <w:rsid w:val="0077175E"/>
    <w:rsid w:val="0077253D"/>
    <w:rsid w:val="007727CC"/>
    <w:rsid w:val="00773629"/>
    <w:rsid w:val="0077377B"/>
    <w:rsid w:val="00773C29"/>
    <w:rsid w:val="007740B9"/>
    <w:rsid w:val="00774352"/>
    <w:rsid w:val="00775E3E"/>
    <w:rsid w:val="00776E0A"/>
    <w:rsid w:val="00777364"/>
    <w:rsid w:val="00777527"/>
    <w:rsid w:val="0077798C"/>
    <w:rsid w:val="00777F71"/>
    <w:rsid w:val="00780513"/>
    <w:rsid w:val="00780A96"/>
    <w:rsid w:val="00781108"/>
    <w:rsid w:val="0078142B"/>
    <w:rsid w:val="007819DA"/>
    <w:rsid w:val="00781A85"/>
    <w:rsid w:val="00782475"/>
    <w:rsid w:val="00782929"/>
    <w:rsid w:val="007844EF"/>
    <w:rsid w:val="00784EF5"/>
    <w:rsid w:val="007862EE"/>
    <w:rsid w:val="0078690F"/>
    <w:rsid w:val="007873F8"/>
    <w:rsid w:val="00792B3D"/>
    <w:rsid w:val="00793B9F"/>
    <w:rsid w:val="0079634D"/>
    <w:rsid w:val="007969C0"/>
    <w:rsid w:val="00796C5A"/>
    <w:rsid w:val="007970E6"/>
    <w:rsid w:val="00797628"/>
    <w:rsid w:val="00797E0D"/>
    <w:rsid w:val="007A0E98"/>
    <w:rsid w:val="007A37A2"/>
    <w:rsid w:val="007A405A"/>
    <w:rsid w:val="007A4CA5"/>
    <w:rsid w:val="007A50C3"/>
    <w:rsid w:val="007A5719"/>
    <w:rsid w:val="007A5B35"/>
    <w:rsid w:val="007A5F48"/>
    <w:rsid w:val="007A619F"/>
    <w:rsid w:val="007A62E2"/>
    <w:rsid w:val="007A7774"/>
    <w:rsid w:val="007A7FC4"/>
    <w:rsid w:val="007B0CB4"/>
    <w:rsid w:val="007B3086"/>
    <w:rsid w:val="007B3772"/>
    <w:rsid w:val="007B380E"/>
    <w:rsid w:val="007B3888"/>
    <w:rsid w:val="007B43EC"/>
    <w:rsid w:val="007B4DB6"/>
    <w:rsid w:val="007B59D4"/>
    <w:rsid w:val="007B5A1C"/>
    <w:rsid w:val="007B5A90"/>
    <w:rsid w:val="007B705F"/>
    <w:rsid w:val="007B7149"/>
    <w:rsid w:val="007B7733"/>
    <w:rsid w:val="007B7E77"/>
    <w:rsid w:val="007C2260"/>
    <w:rsid w:val="007C26FB"/>
    <w:rsid w:val="007C356E"/>
    <w:rsid w:val="007C4C2B"/>
    <w:rsid w:val="007C5F71"/>
    <w:rsid w:val="007C71AF"/>
    <w:rsid w:val="007D0436"/>
    <w:rsid w:val="007D161F"/>
    <w:rsid w:val="007D26B3"/>
    <w:rsid w:val="007D28C6"/>
    <w:rsid w:val="007D3525"/>
    <w:rsid w:val="007D469E"/>
    <w:rsid w:val="007D55EE"/>
    <w:rsid w:val="007D5E6A"/>
    <w:rsid w:val="007D6403"/>
    <w:rsid w:val="007D6C89"/>
    <w:rsid w:val="007D786E"/>
    <w:rsid w:val="007D7872"/>
    <w:rsid w:val="007D7902"/>
    <w:rsid w:val="007E07A4"/>
    <w:rsid w:val="007E1B46"/>
    <w:rsid w:val="007E359C"/>
    <w:rsid w:val="007E4E2F"/>
    <w:rsid w:val="007E6830"/>
    <w:rsid w:val="007E715A"/>
    <w:rsid w:val="007F0D02"/>
    <w:rsid w:val="007F1146"/>
    <w:rsid w:val="007F1472"/>
    <w:rsid w:val="007F1A3E"/>
    <w:rsid w:val="007F34F4"/>
    <w:rsid w:val="007F3A90"/>
    <w:rsid w:val="007F46F6"/>
    <w:rsid w:val="007F49D8"/>
    <w:rsid w:val="007F5AEE"/>
    <w:rsid w:val="007F64F9"/>
    <w:rsid w:val="007F69E1"/>
    <w:rsid w:val="007F6FB5"/>
    <w:rsid w:val="007F7C7B"/>
    <w:rsid w:val="00800372"/>
    <w:rsid w:val="008016C4"/>
    <w:rsid w:val="00801772"/>
    <w:rsid w:val="00801DD8"/>
    <w:rsid w:val="00802AA0"/>
    <w:rsid w:val="00804514"/>
    <w:rsid w:val="00804E7C"/>
    <w:rsid w:val="00805614"/>
    <w:rsid w:val="008059B6"/>
    <w:rsid w:val="00805A8C"/>
    <w:rsid w:val="00805E9A"/>
    <w:rsid w:val="0080622C"/>
    <w:rsid w:val="0080760D"/>
    <w:rsid w:val="00811809"/>
    <w:rsid w:val="00811A3B"/>
    <w:rsid w:val="00811BCB"/>
    <w:rsid w:val="00813019"/>
    <w:rsid w:val="00813027"/>
    <w:rsid w:val="00813338"/>
    <w:rsid w:val="008135BC"/>
    <w:rsid w:val="00814E3D"/>
    <w:rsid w:val="00814FF0"/>
    <w:rsid w:val="00815291"/>
    <w:rsid w:val="00816EDC"/>
    <w:rsid w:val="008200D8"/>
    <w:rsid w:val="00820AC0"/>
    <w:rsid w:val="0082165E"/>
    <w:rsid w:val="00821F20"/>
    <w:rsid w:val="008222B9"/>
    <w:rsid w:val="00822573"/>
    <w:rsid w:val="00822D1E"/>
    <w:rsid w:val="00823857"/>
    <w:rsid w:val="00823AD7"/>
    <w:rsid w:val="00824678"/>
    <w:rsid w:val="0082495C"/>
    <w:rsid w:val="008253AA"/>
    <w:rsid w:val="008258D7"/>
    <w:rsid w:val="008259EA"/>
    <w:rsid w:val="00825CED"/>
    <w:rsid w:val="00827747"/>
    <w:rsid w:val="0083074F"/>
    <w:rsid w:val="008320C8"/>
    <w:rsid w:val="0083264A"/>
    <w:rsid w:val="008338BD"/>
    <w:rsid w:val="00834EBD"/>
    <w:rsid w:val="008352D0"/>
    <w:rsid w:val="00835832"/>
    <w:rsid w:val="0083598E"/>
    <w:rsid w:val="008376F3"/>
    <w:rsid w:val="00837AF0"/>
    <w:rsid w:val="008403A2"/>
    <w:rsid w:val="00840A08"/>
    <w:rsid w:val="00840A65"/>
    <w:rsid w:val="0084112D"/>
    <w:rsid w:val="00843071"/>
    <w:rsid w:val="0084437E"/>
    <w:rsid w:val="008449D9"/>
    <w:rsid w:val="008451AD"/>
    <w:rsid w:val="00845430"/>
    <w:rsid w:val="008457E4"/>
    <w:rsid w:val="00846994"/>
    <w:rsid w:val="008474C5"/>
    <w:rsid w:val="00850297"/>
    <w:rsid w:val="00851583"/>
    <w:rsid w:val="0085160D"/>
    <w:rsid w:val="00851CAF"/>
    <w:rsid w:val="00852363"/>
    <w:rsid w:val="008529E2"/>
    <w:rsid w:val="008535C8"/>
    <w:rsid w:val="008535CE"/>
    <w:rsid w:val="00853A46"/>
    <w:rsid w:val="00854305"/>
    <w:rsid w:val="00854E34"/>
    <w:rsid w:val="0085654E"/>
    <w:rsid w:val="008608C8"/>
    <w:rsid w:val="00860963"/>
    <w:rsid w:val="00861FB8"/>
    <w:rsid w:val="00862166"/>
    <w:rsid w:val="00862ECD"/>
    <w:rsid w:val="00863747"/>
    <w:rsid w:val="00864B02"/>
    <w:rsid w:val="0086566D"/>
    <w:rsid w:val="0086599F"/>
    <w:rsid w:val="00866087"/>
    <w:rsid w:val="0087094A"/>
    <w:rsid w:val="00873177"/>
    <w:rsid w:val="0087350A"/>
    <w:rsid w:val="0087369B"/>
    <w:rsid w:val="00873B73"/>
    <w:rsid w:val="0087452D"/>
    <w:rsid w:val="008751FA"/>
    <w:rsid w:val="00875554"/>
    <w:rsid w:val="008764E1"/>
    <w:rsid w:val="00876C80"/>
    <w:rsid w:val="00877B3B"/>
    <w:rsid w:val="008802D3"/>
    <w:rsid w:val="0088054E"/>
    <w:rsid w:val="00880E08"/>
    <w:rsid w:val="00881943"/>
    <w:rsid w:val="00881FDC"/>
    <w:rsid w:val="00882512"/>
    <w:rsid w:val="00884DFF"/>
    <w:rsid w:val="00885AE1"/>
    <w:rsid w:val="0088618D"/>
    <w:rsid w:val="008864E8"/>
    <w:rsid w:val="00887C94"/>
    <w:rsid w:val="00887F9D"/>
    <w:rsid w:val="00890C2F"/>
    <w:rsid w:val="00891679"/>
    <w:rsid w:val="008939BD"/>
    <w:rsid w:val="00893C7D"/>
    <w:rsid w:val="00893CD6"/>
    <w:rsid w:val="00893E0F"/>
    <w:rsid w:val="00894A2A"/>
    <w:rsid w:val="008963EC"/>
    <w:rsid w:val="008964A5"/>
    <w:rsid w:val="00896A99"/>
    <w:rsid w:val="00897E82"/>
    <w:rsid w:val="008A01B6"/>
    <w:rsid w:val="008A0293"/>
    <w:rsid w:val="008A0432"/>
    <w:rsid w:val="008A0EDC"/>
    <w:rsid w:val="008A199C"/>
    <w:rsid w:val="008A233C"/>
    <w:rsid w:val="008A3B9A"/>
    <w:rsid w:val="008A42E9"/>
    <w:rsid w:val="008A5D64"/>
    <w:rsid w:val="008A5F61"/>
    <w:rsid w:val="008A6435"/>
    <w:rsid w:val="008A6FE2"/>
    <w:rsid w:val="008B09B3"/>
    <w:rsid w:val="008B142A"/>
    <w:rsid w:val="008B14AB"/>
    <w:rsid w:val="008B1759"/>
    <w:rsid w:val="008B29CD"/>
    <w:rsid w:val="008B30DB"/>
    <w:rsid w:val="008B4425"/>
    <w:rsid w:val="008B44E3"/>
    <w:rsid w:val="008B47C1"/>
    <w:rsid w:val="008B4928"/>
    <w:rsid w:val="008B4EFE"/>
    <w:rsid w:val="008B5A90"/>
    <w:rsid w:val="008B6E6F"/>
    <w:rsid w:val="008C06EB"/>
    <w:rsid w:val="008C0753"/>
    <w:rsid w:val="008C16D2"/>
    <w:rsid w:val="008C1B3A"/>
    <w:rsid w:val="008C1CFF"/>
    <w:rsid w:val="008C26AF"/>
    <w:rsid w:val="008C4B00"/>
    <w:rsid w:val="008C5738"/>
    <w:rsid w:val="008C66C0"/>
    <w:rsid w:val="008C70EF"/>
    <w:rsid w:val="008C7ADC"/>
    <w:rsid w:val="008C7C48"/>
    <w:rsid w:val="008C7C74"/>
    <w:rsid w:val="008D106D"/>
    <w:rsid w:val="008D13E5"/>
    <w:rsid w:val="008D1CD9"/>
    <w:rsid w:val="008D2234"/>
    <w:rsid w:val="008D22FB"/>
    <w:rsid w:val="008D3019"/>
    <w:rsid w:val="008D32BD"/>
    <w:rsid w:val="008D5940"/>
    <w:rsid w:val="008D5FED"/>
    <w:rsid w:val="008D5FF3"/>
    <w:rsid w:val="008D6302"/>
    <w:rsid w:val="008D69E1"/>
    <w:rsid w:val="008D6C1E"/>
    <w:rsid w:val="008D7513"/>
    <w:rsid w:val="008E24EC"/>
    <w:rsid w:val="008E36B1"/>
    <w:rsid w:val="008E54A4"/>
    <w:rsid w:val="008E56E9"/>
    <w:rsid w:val="008E59FD"/>
    <w:rsid w:val="008E5B6B"/>
    <w:rsid w:val="008E6115"/>
    <w:rsid w:val="008E70C8"/>
    <w:rsid w:val="008E7326"/>
    <w:rsid w:val="008E78A1"/>
    <w:rsid w:val="008F1377"/>
    <w:rsid w:val="008F1DE9"/>
    <w:rsid w:val="008F206C"/>
    <w:rsid w:val="008F27FA"/>
    <w:rsid w:val="008F3A29"/>
    <w:rsid w:val="008F4A3D"/>
    <w:rsid w:val="008F5628"/>
    <w:rsid w:val="008F5D33"/>
    <w:rsid w:val="008F5D51"/>
    <w:rsid w:val="008F6055"/>
    <w:rsid w:val="008F7474"/>
    <w:rsid w:val="008F75E9"/>
    <w:rsid w:val="008F7A9B"/>
    <w:rsid w:val="00900559"/>
    <w:rsid w:val="009023CF"/>
    <w:rsid w:val="009026E0"/>
    <w:rsid w:val="00902771"/>
    <w:rsid w:val="00903188"/>
    <w:rsid w:val="0090375F"/>
    <w:rsid w:val="00903AA2"/>
    <w:rsid w:val="00903B0C"/>
    <w:rsid w:val="00904257"/>
    <w:rsid w:val="00904277"/>
    <w:rsid w:val="00905530"/>
    <w:rsid w:val="009058B9"/>
    <w:rsid w:val="009062EA"/>
    <w:rsid w:val="00907526"/>
    <w:rsid w:val="00911306"/>
    <w:rsid w:val="00911B6F"/>
    <w:rsid w:val="009131DD"/>
    <w:rsid w:val="00913448"/>
    <w:rsid w:val="00914645"/>
    <w:rsid w:val="009147AD"/>
    <w:rsid w:val="009149B9"/>
    <w:rsid w:val="0091743A"/>
    <w:rsid w:val="009179F5"/>
    <w:rsid w:val="00921C7E"/>
    <w:rsid w:val="009244C6"/>
    <w:rsid w:val="009245C1"/>
    <w:rsid w:val="00924E2E"/>
    <w:rsid w:val="009250CF"/>
    <w:rsid w:val="0092743E"/>
    <w:rsid w:val="00927E06"/>
    <w:rsid w:val="00930149"/>
    <w:rsid w:val="00931910"/>
    <w:rsid w:val="009323EF"/>
    <w:rsid w:val="0093342C"/>
    <w:rsid w:val="009334CA"/>
    <w:rsid w:val="0093441E"/>
    <w:rsid w:val="0093608D"/>
    <w:rsid w:val="009368A2"/>
    <w:rsid w:val="00937534"/>
    <w:rsid w:val="009400F8"/>
    <w:rsid w:val="009412D8"/>
    <w:rsid w:val="009418FA"/>
    <w:rsid w:val="0094228C"/>
    <w:rsid w:val="0094285D"/>
    <w:rsid w:val="009429F2"/>
    <w:rsid w:val="00943F2A"/>
    <w:rsid w:val="00943F63"/>
    <w:rsid w:val="0094626B"/>
    <w:rsid w:val="009468F8"/>
    <w:rsid w:val="00946A7B"/>
    <w:rsid w:val="00950554"/>
    <w:rsid w:val="009509B0"/>
    <w:rsid w:val="009515DF"/>
    <w:rsid w:val="009516CC"/>
    <w:rsid w:val="00951F54"/>
    <w:rsid w:val="009538C7"/>
    <w:rsid w:val="00953F31"/>
    <w:rsid w:val="00954981"/>
    <w:rsid w:val="00954A09"/>
    <w:rsid w:val="009552D4"/>
    <w:rsid w:val="009553E0"/>
    <w:rsid w:val="00955D22"/>
    <w:rsid w:val="009562ED"/>
    <w:rsid w:val="00956B8B"/>
    <w:rsid w:val="0096012C"/>
    <w:rsid w:val="00960F48"/>
    <w:rsid w:val="00961F5A"/>
    <w:rsid w:val="009640A7"/>
    <w:rsid w:val="009645C6"/>
    <w:rsid w:val="00964689"/>
    <w:rsid w:val="009654D5"/>
    <w:rsid w:val="009662DF"/>
    <w:rsid w:val="009662F7"/>
    <w:rsid w:val="00967C7A"/>
    <w:rsid w:val="0097003C"/>
    <w:rsid w:val="009700EA"/>
    <w:rsid w:val="00970583"/>
    <w:rsid w:val="00970F59"/>
    <w:rsid w:val="00971319"/>
    <w:rsid w:val="0097136B"/>
    <w:rsid w:val="00972409"/>
    <w:rsid w:val="009732EB"/>
    <w:rsid w:val="00973FD8"/>
    <w:rsid w:val="009744AB"/>
    <w:rsid w:val="00975495"/>
    <w:rsid w:val="009757AB"/>
    <w:rsid w:val="00975858"/>
    <w:rsid w:val="009762DF"/>
    <w:rsid w:val="00976701"/>
    <w:rsid w:val="00977831"/>
    <w:rsid w:val="00977B6F"/>
    <w:rsid w:val="0098016A"/>
    <w:rsid w:val="009801C4"/>
    <w:rsid w:val="0098069C"/>
    <w:rsid w:val="00981A8C"/>
    <w:rsid w:val="00981BD6"/>
    <w:rsid w:val="009820C8"/>
    <w:rsid w:val="00982479"/>
    <w:rsid w:val="00982AA1"/>
    <w:rsid w:val="0098341B"/>
    <w:rsid w:val="0098445E"/>
    <w:rsid w:val="009852C5"/>
    <w:rsid w:val="009867C2"/>
    <w:rsid w:val="0098795A"/>
    <w:rsid w:val="00990398"/>
    <w:rsid w:val="009910E1"/>
    <w:rsid w:val="00994782"/>
    <w:rsid w:val="00996241"/>
    <w:rsid w:val="009A0084"/>
    <w:rsid w:val="009A1B74"/>
    <w:rsid w:val="009A31B5"/>
    <w:rsid w:val="009A3590"/>
    <w:rsid w:val="009A3C0C"/>
    <w:rsid w:val="009A42B1"/>
    <w:rsid w:val="009A49FE"/>
    <w:rsid w:val="009A4FEC"/>
    <w:rsid w:val="009A6348"/>
    <w:rsid w:val="009A6A5C"/>
    <w:rsid w:val="009A6B59"/>
    <w:rsid w:val="009A6F02"/>
    <w:rsid w:val="009A75A3"/>
    <w:rsid w:val="009B11E7"/>
    <w:rsid w:val="009B179F"/>
    <w:rsid w:val="009B195B"/>
    <w:rsid w:val="009B3067"/>
    <w:rsid w:val="009B3399"/>
    <w:rsid w:val="009B6340"/>
    <w:rsid w:val="009B64F7"/>
    <w:rsid w:val="009B6C8D"/>
    <w:rsid w:val="009B6C9C"/>
    <w:rsid w:val="009B7414"/>
    <w:rsid w:val="009B775C"/>
    <w:rsid w:val="009B7B16"/>
    <w:rsid w:val="009B7EA2"/>
    <w:rsid w:val="009C0045"/>
    <w:rsid w:val="009C1763"/>
    <w:rsid w:val="009C25AB"/>
    <w:rsid w:val="009C2C05"/>
    <w:rsid w:val="009C3412"/>
    <w:rsid w:val="009C4894"/>
    <w:rsid w:val="009C4F0E"/>
    <w:rsid w:val="009C5216"/>
    <w:rsid w:val="009C56C8"/>
    <w:rsid w:val="009C5F5F"/>
    <w:rsid w:val="009C6441"/>
    <w:rsid w:val="009C6780"/>
    <w:rsid w:val="009C72C9"/>
    <w:rsid w:val="009C7A32"/>
    <w:rsid w:val="009D1707"/>
    <w:rsid w:val="009D1E34"/>
    <w:rsid w:val="009D2B29"/>
    <w:rsid w:val="009D2ED8"/>
    <w:rsid w:val="009D3185"/>
    <w:rsid w:val="009D358B"/>
    <w:rsid w:val="009D38C4"/>
    <w:rsid w:val="009D3979"/>
    <w:rsid w:val="009D42AE"/>
    <w:rsid w:val="009D45EC"/>
    <w:rsid w:val="009D57B6"/>
    <w:rsid w:val="009D5F4D"/>
    <w:rsid w:val="009D60D9"/>
    <w:rsid w:val="009D643E"/>
    <w:rsid w:val="009D77D8"/>
    <w:rsid w:val="009D7F77"/>
    <w:rsid w:val="009E00AC"/>
    <w:rsid w:val="009E08AA"/>
    <w:rsid w:val="009E131B"/>
    <w:rsid w:val="009E148C"/>
    <w:rsid w:val="009E1DF2"/>
    <w:rsid w:val="009E22D1"/>
    <w:rsid w:val="009E365D"/>
    <w:rsid w:val="009E3881"/>
    <w:rsid w:val="009E410E"/>
    <w:rsid w:val="009E433D"/>
    <w:rsid w:val="009E454F"/>
    <w:rsid w:val="009E51C3"/>
    <w:rsid w:val="009E6D0F"/>
    <w:rsid w:val="009E7C18"/>
    <w:rsid w:val="009F12A8"/>
    <w:rsid w:val="009F14EF"/>
    <w:rsid w:val="009F3121"/>
    <w:rsid w:val="009F397E"/>
    <w:rsid w:val="009F39A1"/>
    <w:rsid w:val="009F3A0B"/>
    <w:rsid w:val="009F3C64"/>
    <w:rsid w:val="009F55FE"/>
    <w:rsid w:val="009F5B19"/>
    <w:rsid w:val="009F71D8"/>
    <w:rsid w:val="00A0089B"/>
    <w:rsid w:val="00A00BC6"/>
    <w:rsid w:val="00A01A50"/>
    <w:rsid w:val="00A02448"/>
    <w:rsid w:val="00A026EA"/>
    <w:rsid w:val="00A04A14"/>
    <w:rsid w:val="00A04F38"/>
    <w:rsid w:val="00A0535B"/>
    <w:rsid w:val="00A06F8F"/>
    <w:rsid w:val="00A103C9"/>
    <w:rsid w:val="00A12C61"/>
    <w:rsid w:val="00A15373"/>
    <w:rsid w:val="00A156D4"/>
    <w:rsid w:val="00A16AFB"/>
    <w:rsid w:val="00A17BE4"/>
    <w:rsid w:val="00A2083F"/>
    <w:rsid w:val="00A2130E"/>
    <w:rsid w:val="00A2172C"/>
    <w:rsid w:val="00A2199D"/>
    <w:rsid w:val="00A21AD0"/>
    <w:rsid w:val="00A258C9"/>
    <w:rsid w:val="00A262CA"/>
    <w:rsid w:val="00A26ADF"/>
    <w:rsid w:val="00A27206"/>
    <w:rsid w:val="00A301D8"/>
    <w:rsid w:val="00A315F2"/>
    <w:rsid w:val="00A31D30"/>
    <w:rsid w:val="00A32731"/>
    <w:rsid w:val="00A3289F"/>
    <w:rsid w:val="00A32CD7"/>
    <w:rsid w:val="00A33FA1"/>
    <w:rsid w:val="00A3441D"/>
    <w:rsid w:val="00A355FB"/>
    <w:rsid w:val="00A35ADC"/>
    <w:rsid w:val="00A35D9C"/>
    <w:rsid w:val="00A37B40"/>
    <w:rsid w:val="00A42BDA"/>
    <w:rsid w:val="00A4466D"/>
    <w:rsid w:val="00A4588D"/>
    <w:rsid w:val="00A4604E"/>
    <w:rsid w:val="00A52163"/>
    <w:rsid w:val="00A524CA"/>
    <w:rsid w:val="00A526E7"/>
    <w:rsid w:val="00A53641"/>
    <w:rsid w:val="00A54BDB"/>
    <w:rsid w:val="00A55F42"/>
    <w:rsid w:val="00A5693C"/>
    <w:rsid w:val="00A56A48"/>
    <w:rsid w:val="00A57377"/>
    <w:rsid w:val="00A60C2B"/>
    <w:rsid w:val="00A617C5"/>
    <w:rsid w:val="00A657CC"/>
    <w:rsid w:val="00A65B37"/>
    <w:rsid w:val="00A66064"/>
    <w:rsid w:val="00A66A23"/>
    <w:rsid w:val="00A67D95"/>
    <w:rsid w:val="00A70939"/>
    <w:rsid w:val="00A7213A"/>
    <w:rsid w:val="00A73869"/>
    <w:rsid w:val="00A74D18"/>
    <w:rsid w:val="00A75311"/>
    <w:rsid w:val="00A75A3C"/>
    <w:rsid w:val="00A75A90"/>
    <w:rsid w:val="00A774CD"/>
    <w:rsid w:val="00A7792D"/>
    <w:rsid w:val="00A80580"/>
    <w:rsid w:val="00A80735"/>
    <w:rsid w:val="00A81937"/>
    <w:rsid w:val="00A81999"/>
    <w:rsid w:val="00A81D6C"/>
    <w:rsid w:val="00A83434"/>
    <w:rsid w:val="00A83A10"/>
    <w:rsid w:val="00A852A1"/>
    <w:rsid w:val="00A85683"/>
    <w:rsid w:val="00A85838"/>
    <w:rsid w:val="00A86CAA"/>
    <w:rsid w:val="00A870B7"/>
    <w:rsid w:val="00A87C7C"/>
    <w:rsid w:val="00A90011"/>
    <w:rsid w:val="00A90600"/>
    <w:rsid w:val="00A90786"/>
    <w:rsid w:val="00A92853"/>
    <w:rsid w:val="00A93759"/>
    <w:rsid w:val="00A93B03"/>
    <w:rsid w:val="00A97627"/>
    <w:rsid w:val="00AA028D"/>
    <w:rsid w:val="00AA115F"/>
    <w:rsid w:val="00AA158F"/>
    <w:rsid w:val="00AA167B"/>
    <w:rsid w:val="00AA1EC5"/>
    <w:rsid w:val="00AA1F42"/>
    <w:rsid w:val="00AA26E5"/>
    <w:rsid w:val="00AA36A0"/>
    <w:rsid w:val="00AA4B0D"/>
    <w:rsid w:val="00AA4E57"/>
    <w:rsid w:val="00AA60B9"/>
    <w:rsid w:val="00AA6194"/>
    <w:rsid w:val="00AA70DC"/>
    <w:rsid w:val="00AA7189"/>
    <w:rsid w:val="00AA74B4"/>
    <w:rsid w:val="00AA7589"/>
    <w:rsid w:val="00AB0BB8"/>
    <w:rsid w:val="00AB1DC7"/>
    <w:rsid w:val="00AB20E7"/>
    <w:rsid w:val="00AB2A99"/>
    <w:rsid w:val="00AB685D"/>
    <w:rsid w:val="00AB6EF6"/>
    <w:rsid w:val="00AB741C"/>
    <w:rsid w:val="00AB74E8"/>
    <w:rsid w:val="00AB7C6D"/>
    <w:rsid w:val="00AB7CE4"/>
    <w:rsid w:val="00AC00A2"/>
    <w:rsid w:val="00AC0F1E"/>
    <w:rsid w:val="00AC11E3"/>
    <w:rsid w:val="00AC19FD"/>
    <w:rsid w:val="00AC24DA"/>
    <w:rsid w:val="00AC4105"/>
    <w:rsid w:val="00AC4573"/>
    <w:rsid w:val="00AC510F"/>
    <w:rsid w:val="00AC598A"/>
    <w:rsid w:val="00AD11B2"/>
    <w:rsid w:val="00AD128F"/>
    <w:rsid w:val="00AD13DF"/>
    <w:rsid w:val="00AD151F"/>
    <w:rsid w:val="00AD1E15"/>
    <w:rsid w:val="00AD204C"/>
    <w:rsid w:val="00AD23B7"/>
    <w:rsid w:val="00AD3025"/>
    <w:rsid w:val="00AD646A"/>
    <w:rsid w:val="00AD6B5E"/>
    <w:rsid w:val="00AD6C7F"/>
    <w:rsid w:val="00AD77BF"/>
    <w:rsid w:val="00AD78C1"/>
    <w:rsid w:val="00AD7ABC"/>
    <w:rsid w:val="00AE256A"/>
    <w:rsid w:val="00AE29F5"/>
    <w:rsid w:val="00AE33DF"/>
    <w:rsid w:val="00AE38B9"/>
    <w:rsid w:val="00AE53F4"/>
    <w:rsid w:val="00AE5C7A"/>
    <w:rsid w:val="00AE749E"/>
    <w:rsid w:val="00AE756E"/>
    <w:rsid w:val="00AF0909"/>
    <w:rsid w:val="00AF0910"/>
    <w:rsid w:val="00AF0F0D"/>
    <w:rsid w:val="00AF1132"/>
    <w:rsid w:val="00AF1F58"/>
    <w:rsid w:val="00AF2539"/>
    <w:rsid w:val="00AF32B8"/>
    <w:rsid w:val="00AF3C01"/>
    <w:rsid w:val="00AF4075"/>
    <w:rsid w:val="00AF47BF"/>
    <w:rsid w:val="00AF5BC0"/>
    <w:rsid w:val="00AF5DC3"/>
    <w:rsid w:val="00B0025E"/>
    <w:rsid w:val="00B01458"/>
    <w:rsid w:val="00B01887"/>
    <w:rsid w:val="00B0288D"/>
    <w:rsid w:val="00B064AC"/>
    <w:rsid w:val="00B06E92"/>
    <w:rsid w:val="00B07001"/>
    <w:rsid w:val="00B0728E"/>
    <w:rsid w:val="00B07AD5"/>
    <w:rsid w:val="00B105A4"/>
    <w:rsid w:val="00B107A6"/>
    <w:rsid w:val="00B10E5F"/>
    <w:rsid w:val="00B11338"/>
    <w:rsid w:val="00B1242A"/>
    <w:rsid w:val="00B125F6"/>
    <w:rsid w:val="00B13350"/>
    <w:rsid w:val="00B13372"/>
    <w:rsid w:val="00B135BA"/>
    <w:rsid w:val="00B141D9"/>
    <w:rsid w:val="00B1535F"/>
    <w:rsid w:val="00B153EA"/>
    <w:rsid w:val="00B154B4"/>
    <w:rsid w:val="00B156EB"/>
    <w:rsid w:val="00B16070"/>
    <w:rsid w:val="00B161A4"/>
    <w:rsid w:val="00B171DC"/>
    <w:rsid w:val="00B21417"/>
    <w:rsid w:val="00B22A5D"/>
    <w:rsid w:val="00B235C8"/>
    <w:rsid w:val="00B24099"/>
    <w:rsid w:val="00B2547F"/>
    <w:rsid w:val="00B31348"/>
    <w:rsid w:val="00B3155A"/>
    <w:rsid w:val="00B33C5F"/>
    <w:rsid w:val="00B34B68"/>
    <w:rsid w:val="00B34C65"/>
    <w:rsid w:val="00B3529A"/>
    <w:rsid w:val="00B358D0"/>
    <w:rsid w:val="00B362DD"/>
    <w:rsid w:val="00B36472"/>
    <w:rsid w:val="00B36C5E"/>
    <w:rsid w:val="00B40239"/>
    <w:rsid w:val="00B42176"/>
    <w:rsid w:val="00B4260A"/>
    <w:rsid w:val="00B43EDB"/>
    <w:rsid w:val="00B44A91"/>
    <w:rsid w:val="00B44D6C"/>
    <w:rsid w:val="00B451C1"/>
    <w:rsid w:val="00B45715"/>
    <w:rsid w:val="00B465C8"/>
    <w:rsid w:val="00B4792A"/>
    <w:rsid w:val="00B505F7"/>
    <w:rsid w:val="00B51101"/>
    <w:rsid w:val="00B51E24"/>
    <w:rsid w:val="00B51EF8"/>
    <w:rsid w:val="00B52392"/>
    <w:rsid w:val="00B52655"/>
    <w:rsid w:val="00B5309C"/>
    <w:rsid w:val="00B533DE"/>
    <w:rsid w:val="00B53C1C"/>
    <w:rsid w:val="00B54BB7"/>
    <w:rsid w:val="00B55072"/>
    <w:rsid w:val="00B554CE"/>
    <w:rsid w:val="00B55E99"/>
    <w:rsid w:val="00B563D3"/>
    <w:rsid w:val="00B565EC"/>
    <w:rsid w:val="00B56B26"/>
    <w:rsid w:val="00B56D67"/>
    <w:rsid w:val="00B601F1"/>
    <w:rsid w:val="00B6333E"/>
    <w:rsid w:val="00B633D9"/>
    <w:rsid w:val="00B6443C"/>
    <w:rsid w:val="00B64A18"/>
    <w:rsid w:val="00B65FEC"/>
    <w:rsid w:val="00B67086"/>
    <w:rsid w:val="00B67332"/>
    <w:rsid w:val="00B67737"/>
    <w:rsid w:val="00B67A42"/>
    <w:rsid w:val="00B70DFD"/>
    <w:rsid w:val="00B72046"/>
    <w:rsid w:val="00B720B9"/>
    <w:rsid w:val="00B7337A"/>
    <w:rsid w:val="00B745FE"/>
    <w:rsid w:val="00B76D20"/>
    <w:rsid w:val="00B76E1F"/>
    <w:rsid w:val="00B7783F"/>
    <w:rsid w:val="00B808B8"/>
    <w:rsid w:val="00B80ED9"/>
    <w:rsid w:val="00B8188E"/>
    <w:rsid w:val="00B81F5D"/>
    <w:rsid w:val="00B8225E"/>
    <w:rsid w:val="00B833FD"/>
    <w:rsid w:val="00B856C8"/>
    <w:rsid w:val="00B8596A"/>
    <w:rsid w:val="00B859FB"/>
    <w:rsid w:val="00B85B7E"/>
    <w:rsid w:val="00B85CBA"/>
    <w:rsid w:val="00B86648"/>
    <w:rsid w:val="00B86863"/>
    <w:rsid w:val="00B87CFB"/>
    <w:rsid w:val="00B90516"/>
    <w:rsid w:val="00B90C09"/>
    <w:rsid w:val="00B91885"/>
    <w:rsid w:val="00B91F21"/>
    <w:rsid w:val="00B924DB"/>
    <w:rsid w:val="00B9380F"/>
    <w:rsid w:val="00B9384D"/>
    <w:rsid w:val="00B9432D"/>
    <w:rsid w:val="00B950AB"/>
    <w:rsid w:val="00B95181"/>
    <w:rsid w:val="00B96F22"/>
    <w:rsid w:val="00B97014"/>
    <w:rsid w:val="00BA11DA"/>
    <w:rsid w:val="00BA1301"/>
    <w:rsid w:val="00BA1F10"/>
    <w:rsid w:val="00BA2018"/>
    <w:rsid w:val="00BA2622"/>
    <w:rsid w:val="00BA316A"/>
    <w:rsid w:val="00BA3E01"/>
    <w:rsid w:val="00BA3E9C"/>
    <w:rsid w:val="00BA71ED"/>
    <w:rsid w:val="00BA760F"/>
    <w:rsid w:val="00BB0001"/>
    <w:rsid w:val="00BB059D"/>
    <w:rsid w:val="00BB0B34"/>
    <w:rsid w:val="00BB1A92"/>
    <w:rsid w:val="00BB4851"/>
    <w:rsid w:val="00BB5414"/>
    <w:rsid w:val="00BB55B9"/>
    <w:rsid w:val="00BB5ABF"/>
    <w:rsid w:val="00BB6E90"/>
    <w:rsid w:val="00BB6F87"/>
    <w:rsid w:val="00BB7925"/>
    <w:rsid w:val="00BB798B"/>
    <w:rsid w:val="00BB7DE4"/>
    <w:rsid w:val="00BB7E0E"/>
    <w:rsid w:val="00BB7E69"/>
    <w:rsid w:val="00BC1272"/>
    <w:rsid w:val="00BC1F3C"/>
    <w:rsid w:val="00BC24B5"/>
    <w:rsid w:val="00BC2FB0"/>
    <w:rsid w:val="00BC3421"/>
    <w:rsid w:val="00BC3874"/>
    <w:rsid w:val="00BC4728"/>
    <w:rsid w:val="00BC4AB9"/>
    <w:rsid w:val="00BC5D10"/>
    <w:rsid w:val="00BC6BF9"/>
    <w:rsid w:val="00BC6EAD"/>
    <w:rsid w:val="00BC7DFD"/>
    <w:rsid w:val="00BC7F63"/>
    <w:rsid w:val="00BD28B7"/>
    <w:rsid w:val="00BD3077"/>
    <w:rsid w:val="00BD3B2E"/>
    <w:rsid w:val="00BD3E60"/>
    <w:rsid w:val="00BD4667"/>
    <w:rsid w:val="00BD4D95"/>
    <w:rsid w:val="00BD696A"/>
    <w:rsid w:val="00BD6A6A"/>
    <w:rsid w:val="00BD71E1"/>
    <w:rsid w:val="00BD77A2"/>
    <w:rsid w:val="00BE029D"/>
    <w:rsid w:val="00BE05BB"/>
    <w:rsid w:val="00BE07D6"/>
    <w:rsid w:val="00BE229A"/>
    <w:rsid w:val="00BE3762"/>
    <w:rsid w:val="00BE4A47"/>
    <w:rsid w:val="00BE500B"/>
    <w:rsid w:val="00BE5401"/>
    <w:rsid w:val="00BE69EC"/>
    <w:rsid w:val="00BE6FBA"/>
    <w:rsid w:val="00BE71AA"/>
    <w:rsid w:val="00BE786E"/>
    <w:rsid w:val="00BF0151"/>
    <w:rsid w:val="00BF1CAB"/>
    <w:rsid w:val="00BF207B"/>
    <w:rsid w:val="00BF257C"/>
    <w:rsid w:val="00BF2A8A"/>
    <w:rsid w:val="00BF2BBE"/>
    <w:rsid w:val="00BF311B"/>
    <w:rsid w:val="00BF3409"/>
    <w:rsid w:val="00BF39D1"/>
    <w:rsid w:val="00BF6718"/>
    <w:rsid w:val="00BF6A7A"/>
    <w:rsid w:val="00BF734D"/>
    <w:rsid w:val="00BF759A"/>
    <w:rsid w:val="00C00FCE"/>
    <w:rsid w:val="00C01A49"/>
    <w:rsid w:val="00C01EEA"/>
    <w:rsid w:val="00C03B97"/>
    <w:rsid w:val="00C040AA"/>
    <w:rsid w:val="00C04C1E"/>
    <w:rsid w:val="00C06BCD"/>
    <w:rsid w:val="00C06D82"/>
    <w:rsid w:val="00C0728B"/>
    <w:rsid w:val="00C073E7"/>
    <w:rsid w:val="00C07524"/>
    <w:rsid w:val="00C077C6"/>
    <w:rsid w:val="00C07809"/>
    <w:rsid w:val="00C105B3"/>
    <w:rsid w:val="00C110B2"/>
    <w:rsid w:val="00C117BD"/>
    <w:rsid w:val="00C11AF3"/>
    <w:rsid w:val="00C122EF"/>
    <w:rsid w:val="00C136E3"/>
    <w:rsid w:val="00C13AF0"/>
    <w:rsid w:val="00C13CE1"/>
    <w:rsid w:val="00C13ED1"/>
    <w:rsid w:val="00C14532"/>
    <w:rsid w:val="00C147BC"/>
    <w:rsid w:val="00C15BB1"/>
    <w:rsid w:val="00C160A1"/>
    <w:rsid w:val="00C16386"/>
    <w:rsid w:val="00C16557"/>
    <w:rsid w:val="00C16A05"/>
    <w:rsid w:val="00C17050"/>
    <w:rsid w:val="00C17911"/>
    <w:rsid w:val="00C21880"/>
    <w:rsid w:val="00C2202C"/>
    <w:rsid w:val="00C220CB"/>
    <w:rsid w:val="00C233F3"/>
    <w:rsid w:val="00C245B9"/>
    <w:rsid w:val="00C24984"/>
    <w:rsid w:val="00C24D0F"/>
    <w:rsid w:val="00C24E3F"/>
    <w:rsid w:val="00C25BF3"/>
    <w:rsid w:val="00C26E8D"/>
    <w:rsid w:val="00C27B65"/>
    <w:rsid w:val="00C27BE6"/>
    <w:rsid w:val="00C300E2"/>
    <w:rsid w:val="00C31471"/>
    <w:rsid w:val="00C32590"/>
    <w:rsid w:val="00C32F9C"/>
    <w:rsid w:val="00C338B8"/>
    <w:rsid w:val="00C33C9C"/>
    <w:rsid w:val="00C33EFD"/>
    <w:rsid w:val="00C3443A"/>
    <w:rsid w:val="00C344EF"/>
    <w:rsid w:val="00C3487B"/>
    <w:rsid w:val="00C34BF0"/>
    <w:rsid w:val="00C35312"/>
    <w:rsid w:val="00C353B0"/>
    <w:rsid w:val="00C35405"/>
    <w:rsid w:val="00C3602B"/>
    <w:rsid w:val="00C363BC"/>
    <w:rsid w:val="00C375E3"/>
    <w:rsid w:val="00C402DA"/>
    <w:rsid w:val="00C403D2"/>
    <w:rsid w:val="00C404F7"/>
    <w:rsid w:val="00C4081A"/>
    <w:rsid w:val="00C40E50"/>
    <w:rsid w:val="00C42718"/>
    <w:rsid w:val="00C42FB9"/>
    <w:rsid w:val="00C46144"/>
    <w:rsid w:val="00C46D9C"/>
    <w:rsid w:val="00C513DC"/>
    <w:rsid w:val="00C5149B"/>
    <w:rsid w:val="00C51E28"/>
    <w:rsid w:val="00C55220"/>
    <w:rsid w:val="00C55251"/>
    <w:rsid w:val="00C55442"/>
    <w:rsid w:val="00C564B4"/>
    <w:rsid w:val="00C5693E"/>
    <w:rsid w:val="00C578B8"/>
    <w:rsid w:val="00C6086E"/>
    <w:rsid w:val="00C623FA"/>
    <w:rsid w:val="00C62CE8"/>
    <w:rsid w:val="00C643E5"/>
    <w:rsid w:val="00C64DA1"/>
    <w:rsid w:val="00C6621D"/>
    <w:rsid w:val="00C664F2"/>
    <w:rsid w:val="00C667D9"/>
    <w:rsid w:val="00C66D52"/>
    <w:rsid w:val="00C71AA2"/>
    <w:rsid w:val="00C720FA"/>
    <w:rsid w:val="00C72204"/>
    <w:rsid w:val="00C72CA2"/>
    <w:rsid w:val="00C72CA6"/>
    <w:rsid w:val="00C740D1"/>
    <w:rsid w:val="00C74670"/>
    <w:rsid w:val="00C74805"/>
    <w:rsid w:val="00C74C16"/>
    <w:rsid w:val="00C7501C"/>
    <w:rsid w:val="00C7567F"/>
    <w:rsid w:val="00C77100"/>
    <w:rsid w:val="00C77117"/>
    <w:rsid w:val="00C775E8"/>
    <w:rsid w:val="00C7763E"/>
    <w:rsid w:val="00C777EE"/>
    <w:rsid w:val="00C77C6A"/>
    <w:rsid w:val="00C8048B"/>
    <w:rsid w:val="00C8287D"/>
    <w:rsid w:val="00C8388E"/>
    <w:rsid w:val="00C83A67"/>
    <w:rsid w:val="00C8420A"/>
    <w:rsid w:val="00C85236"/>
    <w:rsid w:val="00C854B1"/>
    <w:rsid w:val="00C875D1"/>
    <w:rsid w:val="00C90A63"/>
    <w:rsid w:val="00C92732"/>
    <w:rsid w:val="00C937C7"/>
    <w:rsid w:val="00C94B75"/>
    <w:rsid w:val="00C953A8"/>
    <w:rsid w:val="00C9608A"/>
    <w:rsid w:val="00C96C9A"/>
    <w:rsid w:val="00C96F9A"/>
    <w:rsid w:val="00C97578"/>
    <w:rsid w:val="00CA1519"/>
    <w:rsid w:val="00CA1B89"/>
    <w:rsid w:val="00CA25AD"/>
    <w:rsid w:val="00CA26A1"/>
    <w:rsid w:val="00CA3367"/>
    <w:rsid w:val="00CA56FF"/>
    <w:rsid w:val="00CA6F65"/>
    <w:rsid w:val="00CA7B55"/>
    <w:rsid w:val="00CB036F"/>
    <w:rsid w:val="00CB192F"/>
    <w:rsid w:val="00CB2AF8"/>
    <w:rsid w:val="00CB3217"/>
    <w:rsid w:val="00CB3A06"/>
    <w:rsid w:val="00CB3AE4"/>
    <w:rsid w:val="00CB4396"/>
    <w:rsid w:val="00CB469E"/>
    <w:rsid w:val="00CB4931"/>
    <w:rsid w:val="00CB5D7E"/>
    <w:rsid w:val="00CB616D"/>
    <w:rsid w:val="00CB676F"/>
    <w:rsid w:val="00CB68BB"/>
    <w:rsid w:val="00CB7653"/>
    <w:rsid w:val="00CB7D85"/>
    <w:rsid w:val="00CC07FF"/>
    <w:rsid w:val="00CC0868"/>
    <w:rsid w:val="00CC08DB"/>
    <w:rsid w:val="00CC09FA"/>
    <w:rsid w:val="00CC0C5E"/>
    <w:rsid w:val="00CC1387"/>
    <w:rsid w:val="00CC144C"/>
    <w:rsid w:val="00CC148A"/>
    <w:rsid w:val="00CC2FA4"/>
    <w:rsid w:val="00CC325E"/>
    <w:rsid w:val="00CC4DC0"/>
    <w:rsid w:val="00CC4FE4"/>
    <w:rsid w:val="00CC558E"/>
    <w:rsid w:val="00CC5CC6"/>
    <w:rsid w:val="00CC5D2C"/>
    <w:rsid w:val="00CC61D7"/>
    <w:rsid w:val="00CC664E"/>
    <w:rsid w:val="00CC7205"/>
    <w:rsid w:val="00CC7BDA"/>
    <w:rsid w:val="00CD0913"/>
    <w:rsid w:val="00CD1462"/>
    <w:rsid w:val="00CD25AA"/>
    <w:rsid w:val="00CD30A9"/>
    <w:rsid w:val="00CD3E0D"/>
    <w:rsid w:val="00CD3F07"/>
    <w:rsid w:val="00CD4002"/>
    <w:rsid w:val="00CD415D"/>
    <w:rsid w:val="00CD4949"/>
    <w:rsid w:val="00CD4DAE"/>
    <w:rsid w:val="00CE3E81"/>
    <w:rsid w:val="00CE4B0A"/>
    <w:rsid w:val="00CE4D8F"/>
    <w:rsid w:val="00CE5D0C"/>
    <w:rsid w:val="00CE7762"/>
    <w:rsid w:val="00CE7D3E"/>
    <w:rsid w:val="00CF05A8"/>
    <w:rsid w:val="00CF27CE"/>
    <w:rsid w:val="00CF303D"/>
    <w:rsid w:val="00CF3DD0"/>
    <w:rsid w:val="00CF45B0"/>
    <w:rsid w:val="00CF46EA"/>
    <w:rsid w:val="00CF4E1A"/>
    <w:rsid w:val="00CF518C"/>
    <w:rsid w:val="00CF5A3E"/>
    <w:rsid w:val="00CF7942"/>
    <w:rsid w:val="00D000EC"/>
    <w:rsid w:val="00D00991"/>
    <w:rsid w:val="00D02478"/>
    <w:rsid w:val="00D04E69"/>
    <w:rsid w:val="00D04FBC"/>
    <w:rsid w:val="00D060BB"/>
    <w:rsid w:val="00D062BB"/>
    <w:rsid w:val="00D07631"/>
    <w:rsid w:val="00D07A11"/>
    <w:rsid w:val="00D122A8"/>
    <w:rsid w:val="00D131D3"/>
    <w:rsid w:val="00D14F23"/>
    <w:rsid w:val="00D15429"/>
    <w:rsid w:val="00D15FC0"/>
    <w:rsid w:val="00D16E5B"/>
    <w:rsid w:val="00D17A0F"/>
    <w:rsid w:val="00D17DE3"/>
    <w:rsid w:val="00D2210B"/>
    <w:rsid w:val="00D22485"/>
    <w:rsid w:val="00D2426F"/>
    <w:rsid w:val="00D24C91"/>
    <w:rsid w:val="00D24F0A"/>
    <w:rsid w:val="00D25073"/>
    <w:rsid w:val="00D25B48"/>
    <w:rsid w:val="00D26DE1"/>
    <w:rsid w:val="00D272AA"/>
    <w:rsid w:val="00D27464"/>
    <w:rsid w:val="00D274D6"/>
    <w:rsid w:val="00D30239"/>
    <w:rsid w:val="00D3045E"/>
    <w:rsid w:val="00D30682"/>
    <w:rsid w:val="00D3082D"/>
    <w:rsid w:val="00D31923"/>
    <w:rsid w:val="00D32F28"/>
    <w:rsid w:val="00D332E1"/>
    <w:rsid w:val="00D3366D"/>
    <w:rsid w:val="00D336FD"/>
    <w:rsid w:val="00D33FA0"/>
    <w:rsid w:val="00D34900"/>
    <w:rsid w:val="00D34928"/>
    <w:rsid w:val="00D35C97"/>
    <w:rsid w:val="00D40789"/>
    <w:rsid w:val="00D417B6"/>
    <w:rsid w:val="00D42005"/>
    <w:rsid w:val="00D42423"/>
    <w:rsid w:val="00D42701"/>
    <w:rsid w:val="00D4312B"/>
    <w:rsid w:val="00D43D65"/>
    <w:rsid w:val="00D457E4"/>
    <w:rsid w:val="00D45B89"/>
    <w:rsid w:val="00D464F2"/>
    <w:rsid w:val="00D46A50"/>
    <w:rsid w:val="00D474E8"/>
    <w:rsid w:val="00D47A2D"/>
    <w:rsid w:val="00D47F69"/>
    <w:rsid w:val="00D50F2C"/>
    <w:rsid w:val="00D528EA"/>
    <w:rsid w:val="00D54258"/>
    <w:rsid w:val="00D54D85"/>
    <w:rsid w:val="00D550A0"/>
    <w:rsid w:val="00D55179"/>
    <w:rsid w:val="00D551BC"/>
    <w:rsid w:val="00D55446"/>
    <w:rsid w:val="00D57DB8"/>
    <w:rsid w:val="00D615C1"/>
    <w:rsid w:val="00D620E7"/>
    <w:rsid w:val="00D62A3A"/>
    <w:rsid w:val="00D63502"/>
    <w:rsid w:val="00D63996"/>
    <w:rsid w:val="00D63EA9"/>
    <w:rsid w:val="00D64CB4"/>
    <w:rsid w:val="00D64F92"/>
    <w:rsid w:val="00D64FA2"/>
    <w:rsid w:val="00D65D3B"/>
    <w:rsid w:val="00D66030"/>
    <w:rsid w:val="00D66E9E"/>
    <w:rsid w:val="00D70922"/>
    <w:rsid w:val="00D70F2A"/>
    <w:rsid w:val="00D713BE"/>
    <w:rsid w:val="00D71FAA"/>
    <w:rsid w:val="00D7220E"/>
    <w:rsid w:val="00D72B25"/>
    <w:rsid w:val="00D72C0C"/>
    <w:rsid w:val="00D72C27"/>
    <w:rsid w:val="00D72CE8"/>
    <w:rsid w:val="00D732E4"/>
    <w:rsid w:val="00D74649"/>
    <w:rsid w:val="00D7518C"/>
    <w:rsid w:val="00D75831"/>
    <w:rsid w:val="00D75E9C"/>
    <w:rsid w:val="00D7612B"/>
    <w:rsid w:val="00D77A43"/>
    <w:rsid w:val="00D8072C"/>
    <w:rsid w:val="00D808D8"/>
    <w:rsid w:val="00D831A4"/>
    <w:rsid w:val="00D836D9"/>
    <w:rsid w:val="00D83AD5"/>
    <w:rsid w:val="00D852E9"/>
    <w:rsid w:val="00D85BA4"/>
    <w:rsid w:val="00D85DC2"/>
    <w:rsid w:val="00D85FDB"/>
    <w:rsid w:val="00D8689E"/>
    <w:rsid w:val="00D872E6"/>
    <w:rsid w:val="00D87561"/>
    <w:rsid w:val="00D90F8C"/>
    <w:rsid w:val="00D91EAC"/>
    <w:rsid w:val="00D93473"/>
    <w:rsid w:val="00D93AE7"/>
    <w:rsid w:val="00D943BA"/>
    <w:rsid w:val="00D94A64"/>
    <w:rsid w:val="00D957A8"/>
    <w:rsid w:val="00D9588B"/>
    <w:rsid w:val="00D95951"/>
    <w:rsid w:val="00D97A00"/>
    <w:rsid w:val="00D97A29"/>
    <w:rsid w:val="00DA06C7"/>
    <w:rsid w:val="00DA0719"/>
    <w:rsid w:val="00DA12D1"/>
    <w:rsid w:val="00DA141C"/>
    <w:rsid w:val="00DA23B3"/>
    <w:rsid w:val="00DA25B3"/>
    <w:rsid w:val="00DA2CC7"/>
    <w:rsid w:val="00DA2E41"/>
    <w:rsid w:val="00DA50CA"/>
    <w:rsid w:val="00DA7B43"/>
    <w:rsid w:val="00DB0522"/>
    <w:rsid w:val="00DB0E5A"/>
    <w:rsid w:val="00DB10B5"/>
    <w:rsid w:val="00DB24FE"/>
    <w:rsid w:val="00DB26E2"/>
    <w:rsid w:val="00DB27EA"/>
    <w:rsid w:val="00DB395E"/>
    <w:rsid w:val="00DB3C96"/>
    <w:rsid w:val="00DB4195"/>
    <w:rsid w:val="00DB5220"/>
    <w:rsid w:val="00DB55F1"/>
    <w:rsid w:val="00DB5A97"/>
    <w:rsid w:val="00DB6C24"/>
    <w:rsid w:val="00DB6DE7"/>
    <w:rsid w:val="00DB785F"/>
    <w:rsid w:val="00DB7A11"/>
    <w:rsid w:val="00DB7AE0"/>
    <w:rsid w:val="00DB7B05"/>
    <w:rsid w:val="00DB7C4B"/>
    <w:rsid w:val="00DC052A"/>
    <w:rsid w:val="00DC10EF"/>
    <w:rsid w:val="00DC2594"/>
    <w:rsid w:val="00DC2CDC"/>
    <w:rsid w:val="00DC4017"/>
    <w:rsid w:val="00DC5C68"/>
    <w:rsid w:val="00DC7126"/>
    <w:rsid w:val="00DC7645"/>
    <w:rsid w:val="00DD05AB"/>
    <w:rsid w:val="00DD0E7F"/>
    <w:rsid w:val="00DD184B"/>
    <w:rsid w:val="00DD1928"/>
    <w:rsid w:val="00DD3723"/>
    <w:rsid w:val="00DD37E3"/>
    <w:rsid w:val="00DD43AC"/>
    <w:rsid w:val="00DD4D99"/>
    <w:rsid w:val="00DD569C"/>
    <w:rsid w:val="00DD57F2"/>
    <w:rsid w:val="00DD5F91"/>
    <w:rsid w:val="00DE0E16"/>
    <w:rsid w:val="00DE17FC"/>
    <w:rsid w:val="00DE24CF"/>
    <w:rsid w:val="00DE267A"/>
    <w:rsid w:val="00DE2B38"/>
    <w:rsid w:val="00DE2C54"/>
    <w:rsid w:val="00DE3716"/>
    <w:rsid w:val="00DE3835"/>
    <w:rsid w:val="00DE42E3"/>
    <w:rsid w:val="00DE47E5"/>
    <w:rsid w:val="00DE489C"/>
    <w:rsid w:val="00DE5018"/>
    <w:rsid w:val="00DE5E5D"/>
    <w:rsid w:val="00DE65EA"/>
    <w:rsid w:val="00DE6A84"/>
    <w:rsid w:val="00DE6E8C"/>
    <w:rsid w:val="00DE70AA"/>
    <w:rsid w:val="00DE791E"/>
    <w:rsid w:val="00DF0578"/>
    <w:rsid w:val="00DF0BF4"/>
    <w:rsid w:val="00DF1085"/>
    <w:rsid w:val="00DF1B8F"/>
    <w:rsid w:val="00DF1F71"/>
    <w:rsid w:val="00DF34F9"/>
    <w:rsid w:val="00DF469D"/>
    <w:rsid w:val="00DF4E30"/>
    <w:rsid w:val="00DF7DFD"/>
    <w:rsid w:val="00E00518"/>
    <w:rsid w:val="00E025AB"/>
    <w:rsid w:val="00E03FA1"/>
    <w:rsid w:val="00E04F26"/>
    <w:rsid w:val="00E056A1"/>
    <w:rsid w:val="00E05843"/>
    <w:rsid w:val="00E05D25"/>
    <w:rsid w:val="00E0620A"/>
    <w:rsid w:val="00E10F1F"/>
    <w:rsid w:val="00E11039"/>
    <w:rsid w:val="00E12670"/>
    <w:rsid w:val="00E13AD9"/>
    <w:rsid w:val="00E1629A"/>
    <w:rsid w:val="00E17312"/>
    <w:rsid w:val="00E175D2"/>
    <w:rsid w:val="00E1782D"/>
    <w:rsid w:val="00E17A0A"/>
    <w:rsid w:val="00E20004"/>
    <w:rsid w:val="00E21091"/>
    <w:rsid w:val="00E2136C"/>
    <w:rsid w:val="00E23FAB"/>
    <w:rsid w:val="00E24379"/>
    <w:rsid w:val="00E25373"/>
    <w:rsid w:val="00E26B68"/>
    <w:rsid w:val="00E26EC0"/>
    <w:rsid w:val="00E26EDF"/>
    <w:rsid w:val="00E2791F"/>
    <w:rsid w:val="00E27E12"/>
    <w:rsid w:val="00E3005E"/>
    <w:rsid w:val="00E313F6"/>
    <w:rsid w:val="00E31889"/>
    <w:rsid w:val="00E31B56"/>
    <w:rsid w:val="00E32E7C"/>
    <w:rsid w:val="00E33CEE"/>
    <w:rsid w:val="00E3524E"/>
    <w:rsid w:val="00E36042"/>
    <w:rsid w:val="00E369AA"/>
    <w:rsid w:val="00E373A7"/>
    <w:rsid w:val="00E40752"/>
    <w:rsid w:val="00E40B30"/>
    <w:rsid w:val="00E41680"/>
    <w:rsid w:val="00E41769"/>
    <w:rsid w:val="00E41D49"/>
    <w:rsid w:val="00E42351"/>
    <w:rsid w:val="00E42773"/>
    <w:rsid w:val="00E42AF8"/>
    <w:rsid w:val="00E42B12"/>
    <w:rsid w:val="00E42D8B"/>
    <w:rsid w:val="00E44579"/>
    <w:rsid w:val="00E4475D"/>
    <w:rsid w:val="00E44FCB"/>
    <w:rsid w:val="00E45953"/>
    <w:rsid w:val="00E46AA5"/>
    <w:rsid w:val="00E46DA4"/>
    <w:rsid w:val="00E47AD7"/>
    <w:rsid w:val="00E502F5"/>
    <w:rsid w:val="00E5284A"/>
    <w:rsid w:val="00E544AC"/>
    <w:rsid w:val="00E548E2"/>
    <w:rsid w:val="00E549B2"/>
    <w:rsid w:val="00E5566D"/>
    <w:rsid w:val="00E55A3F"/>
    <w:rsid w:val="00E55CC9"/>
    <w:rsid w:val="00E56069"/>
    <w:rsid w:val="00E56091"/>
    <w:rsid w:val="00E56363"/>
    <w:rsid w:val="00E567AD"/>
    <w:rsid w:val="00E607C9"/>
    <w:rsid w:val="00E619F6"/>
    <w:rsid w:val="00E61D89"/>
    <w:rsid w:val="00E61DAF"/>
    <w:rsid w:val="00E61E3E"/>
    <w:rsid w:val="00E62981"/>
    <w:rsid w:val="00E63807"/>
    <w:rsid w:val="00E63DC1"/>
    <w:rsid w:val="00E64268"/>
    <w:rsid w:val="00E651D5"/>
    <w:rsid w:val="00E65208"/>
    <w:rsid w:val="00E66488"/>
    <w:rsid w:val="00E665FF"/>
    <w:rsid w:val="00E66A18"/>
    <w:rsid w:val="00E67634"/>
    <w:rsid w:val="00E6798F"/>
    <w:rsid w:val="00E70255"/>
    <w:rsid w:val="00E70C46"/>
    <w:rsid w:val="00E71B2F"/>
    <w:rsid w:val="00E720A1"/>
    <w:rsid w:val="00E72C8B"/>
    <w:rsid w:val="00E7589B"/>
    <w:rsid w:val="00E7597B"/>
    <w:rsid w:val="00E75D31"/>
    <w:rsid w:val="00E80469"/>
    <w:rsid w:val="00E81F96"/>
    <w:rsid w:val="00E82B00"/>
    <w:rsid w:val="00E82FCC"/>
    <w:rsid w:val="00E846EA"/>
    <w:rsid w:val="00E8471C"/>
    <w:rsid w:val="00E84799"/>
    <w:rsid w:val="00E84DEE"/>
    <w:rsid w:val="00E86668"/>
    <w:rsid w:val="00E912BA"/>
    <w:rsid w:val="00E91DED"/>
    <w:rsid w:val="00E9332C"/>
    <w:rsid w:val="00E937ED"/>
    <w:rsid w:val="00E94B16"/>
    <w:rsid w:val="00E95F8E"/>
    <w:rsid w:val="00E96154"/>
    <w:rsid w:val="00E962FF"/>
    <w:rsid w:val="00E96F8E"/>
    <w:rsid w:val="00E9714C"/>
    <w:rsid w:val="00E97339"/>
    <w:rsid w:val="00EA2A8C"/>
    <w:rsid w:val="00EA3C96"/>
    <w:rsid w:val="00EA4276"/>
    <w:rsid w:val="00EA46E0"/>
    <w:rsid w:val="00EA4756"/>
    <w:rsid w:val="00EA4E6F"/>
    <w:rsid w:val="00EA4EE7"/>
    <w:rsid w:val="00EA6120"/>
    <w:rsid w:val="00EA61D2"/>
    <w:rsid w:val="00EA7511"/>
    <w:rsid w:val="00EB0AE5"/>
    <w:rsid w:val="00EB14F8"/>
    <w:rsid w:val="00EB1A6A"/>
    <w:rsid w:val="00EB4036"/>
    <w:rsid w:val="00EB461D"/>
    <w:rsid w:val="00EB4F9A"/>
    <w:rsid w:val="00EB589D"/>
    <w:rsid w:val="00EB5E85"/>
    <w:rsid w:val="00EB5F1B"/>
    <w:rsid w:val="00EB6036"/>
    <w:rsid w:val="00EB6722"/>
    <w:rsid w:val="00EB6CF8"/>
    <w:rsid w:val="00EC04AC"/>
    <w:rsid w:val="00EC07C1"/>
    <w:rsid w:val="00EC0FC6"/>
    <w:rsid w:val="00EC19E2"/>
    <w:rsid w:val="00EC277D"/>
    <w:rsid w:val="00EC3A42"/>
    <w:rsid w:val="00EC4333"/>
    <w:rsid w:val="00EC4576"/>
    <w:rsid w:val="00EC4716"/>
    <w:rsid w:val="00EC63F4"/>
    <w:rsid w:val="00EC6966"/>
    <w:rsid w:val="00EC6C90"/>
    <w:rsid w:val="00EC6FC7"/>
    <w:rsid w:val="00ED01AF"/>
    <w:rsid w:val="00ED2AF3"/>
    <w:rsid w:val="00ED2E3E"/>
    <w:rsid w:val="00ED2F7A"/>
    <w:rsid w:val="00ED2FC5"/>
    <w:rsid w:val="00ED43AA"/>
    <w:rsid w:val="00ED4DB5"/>
    <w:rsid w:val="00ED57BB"/>
    <w:rsid w:val="00ED7491"/>
    <w:rsid w:val="00ED7742"/>
    <w:rsid w:val="00ED7A40"/>
    <w:rsid w:val="00EE0395"/>
    <w:rsid w:val="00EE1B88"/>
    <w:rsid w:val="00EE3730"/>
    <w:rsid w:val="00EE4016"/>
    <w:rsid w:val="00EE4AD2"/>
    <w:rsid w:val="00EE5916"/>
    <w:rsid w:val="00EE67CD"/>
    <w:rsid w:val="00EE70B1"/>
    <w:rsid w:val="00EF04ED"/>
    <w:rsid w:val="00EF0ED8"/>
    <w:rsid w:val="00EF2FE1"/>
    <w:rsid w:val="00EF3454"/>
    <w:rsid w:val="00EF38F3"/>
    <w:rsid w:val="00EF46B6"/>
    <w:rsid w:val="00EF51D1"/>
    <w:rsid w:val="00EF5FD5"/>
    <w:rsid w:val="00F0022D"/>
    <w:rsid w:val="00F00A47"/>
    <w:rsid w:val="00F018A4"/>
    <w:rsid w:val="00F01B76"/>
    <w:rsid w:val="00F029E0"/>
    <w:rsid w:val="00F0376A"/>
    <w:rsid w:val="00F03C7D"/>
    <w:rsid w:val="00F03EE2"/>
    <w:rsid w:val="00F03FDC"/>
    <w:rsid w:val="00F0446B"/>
    <w:rsid w:val="00F04785"/>
    <w:rsid w:val="00F057CD"/>
    <w:rsid w:val="00F0682C"/>
    <w:rsid w:val="00F0790A"/>
    <w:rsid w:val="00F07D4D"/>
    <w:rsid w:val="00F1000F"/>
    <w:rsid w:val="00F10095"/>
    <w:rsid w:val="00F1066E"/>
    <w:rsid w:val="00F10EF3"/>
    <w:rsid w:val="00F12B2D"/>
    <w:rsid w:val="00F14223"/>
    <w:rsid w:val="00F1490E"/>
    <w:rsid w:val="00F2022E"/>
    <w:rsid w:val="00F2035F"/>
    <w:rsid w:val="00F209E2"/>
    <w:rsid w:val="00F21414"/>
    <w:rsid w:val="00F218F8"/>
    <w:rsid w:val="00F2325C"/>
    <w:rsid w:val="00F23BCA"/>
    <w:rsid w:val="00F24C2A"/>
    <w:rsid w:val="00F309AF"/>
    <w:rsid w:val="00F3148C"/>
    <w:rsid w:val="00F32515"/>
    <w:rsid w:val="00F32548"/>
    <w:rsid w:val="00F336FD"/>
    <w:rsid w:val="00F33C82"/>
    <w:rsid w:val="00F3452B"/>
    <w:rsid w:val="00F348E1"/>
    <w:rsid w:val="00F35B55"/>
    <w:rsid w:val="00F36850"/>
    <w:rsid w:val="00F3790D"/>
    <w:rsid w:val="00F417D6"/>
    <w:rsid w:val="00F42C96"/>
    <w:rsid w:val="00F42D52"/>
    <w:rsid w:val="00F438D7"/>
    <w:rsid w:val="00F43A1C"/>
    <w:rsid w:val="00F445AC"/>
    <w:rsid w:val="00F46DD5"/>
    <w:rsid w:val="00F47707"/>
    <w:rsid w:val="00F50B26"/>
    <w:rsid w:val="00F510BC"/>
    <w:rsid w:val="00F520F5"/>
    <w:rsid w:val="00F5255C"/>
    <w:rsid w:val="00F541AB"/>
    <w:rsid w:val="00F54A41"/>
    <w:rsid w:val="00F54A76"/>
    <w:rsid w:val="00F54C3F"/>
    <w:rsid w:val="00F5518E"/>
    <w:rsid w:val="00F557A4"/>
    <w:rsid w:val="00F560CA"/>
    <w:rsid w:val="00F574E6"/>
    <w:rsid w:val="00F6012E"/>
    <w:rsid w:val="00F60941"/>
    <w:rsid w:val="00F61168"/>
    <w:rsid w:val="00F61482"/>
    <w:rsid w:val="00F62697"/>
    <w:rsid w:val="00F64E61"/>
    <w:rsid w:val="00F65FC9"/>
    <w:rsid w:val="00F664FB"/>
    <w:rsid w:val="00F67249"/>
    <w:rsid w:val="00F674DC"/>
    <w:rsid w:val="00F70645"/>
    <w:rsid w:val="00F730AB"/>
    <w:rsid w:val="00F736D6"/>
    <w:rsid w:val="00F73DCE"/>
    <w:rsid w:val="00F74774"/>
    <w:rsid w:val="00F752AD"/>
    <w:rsid w:val="00F753F6"/>
    <w:rsid w:val="00F7559D"/>
    <w:rsid w:val="00F760B7"/>
    <w:rsid w:val="00F766EC"/>
    <w:rsid w:val="00F778D4"/>
    <w:rsid w:val="00F811DA"/>
    <w:rsid w:val="00F81B4B"/>
    <w:rsid w:val="00F81E90"/>
    <w:rsid w:val="00F82BE9"/>
    <w:rsid w:val="00F848D4"/>
    <w:rsid w:val="00F852DC"/>
    <w:rsid w:val="00F85331"/>
    <w:rsid w:val="00F855D3"/>
    <w:rsid w:val="00F8679A"/>
    <w:rsid w:val="00F87EB8"/>
    <w:rsid w:val="00F9064E"/>
    <w:rsid w:val="00F909E0"/>
    <w:rsid w:val="00F90D95"/>
    <w:rsid w:val="00F91B0B"/>
    <w:rsid w:val="00F92139"/>
    <w:rsid w:val="00F92208"/>
    <w:rsid w:val="00F9483D"/>
    <w:rsid w:val="00F97AB2"/>
    <w:rsid w:val="00F97EF0"/>
    <w:rsid w:val="00FA120D"/>
    <w:rsid w:val="00FA1222"/>
    <w:rsid w:val="00FA1428"/>
    <w:rsid w:val="00FA1689"/>
    <w:rsid w:val="00FA1C20"/>
    <w:rsid w:val="00FA2D50"/>
    <w:rsid w:val="00FA2F2C"/>
    <w:rsid w:val="00FA323C"/>
    <w:rsid w:val="00FA38CD"/>
    <w:rsid w:val="00FA410A"/>
    <w:rsid w:val="00FA41E9"/>
    <w:rsid w:val="00FA59A5"/>
    <w:rsid w:val="00FA6FF8"/>
    <w:rsid w:val="00FA78DA"/>
    <w:rsid w:val="00FB0BC1"/>
    <w:rsid w:val="00FB0F4E"/>
    <w:rsid w:val="00FB136C"/>
    <w:rsid w:val="00FB1575"/>
    <w:rsid w:val="00FB245A"/>
    <w:rsid w:val="00FB2658"/>
    <w:rsid w:val="00FB2EA7"/>
    <w:rsid w:val="00FB2F98"/>
    <w:rsid w:val="00FB3EE7"/>
    <w:rsid w:val="00FB3FC7"/>
    <w:rsid w:val="00FB45C1"/>
    <w:rsid w:val="00FB50A5"/>
    <w:rsid w:val="00FB5865"/>
    <w:rsid w:val="00FB5BC5"/>
    <w:rsid w:val="00FB5DAD"/>
    <w:rsid w:val="00FB5E87"/>
    <w:rsid w:val="00FB6B24"/>
    <w:rsid w:val="00FB6E44"/>
    <w:rsid w:val="00FC0296"/>
    <w:rsid w:val="00FC02DA"/>
    <w:rsid w:val="00FC038E"/>
    <w:rsid w:val="00FC0391"/>
    <w:rsid w:val="00FC0E46"/>
    <w:rsid w:val="00FC15EE"/>
    <w:rsid w:val="00FC21AC"/>
    <w:rsid w:val="00FC2651"/>
    <w:rsid w:val="00FC2BD9"/>
    <w:rsid w:val="00FC340C"/>
    <w:rsid w:val="00FC37A4"/>
    <w:rsid w:val="00FC3D0D"/>
    <w:rsid w:val="00FC3DC3"/>
    <w:rsid w:val="00FC47FE"/>
    <w:rsid w:val="00FC4A10"/>
    <w:rsid w:val="00FC5F99"/>
    <w:rsid w:val="00FD0364"/>
    <w:rsid w:val="00FD0886"/>
    <w:rsid w:val="00FD16F7"/>
    <w:rsid w:val="00FD178E"/>
    <w:rsid w:val="00FD505E"/>
    <w:rsid w:val="00FD6821"/>
    <w:rsid w:val="00FD703F"/>
    <w:rsid w:val="00FD7BDC"/>
    <w:rsid w:val="00FE0E98"/>
    <w:rsid w:val="00FE101E"/>
    <w:rsid w:val="00FE1172"/>
    <w:rsid w:val="00FE163B"/>
    <w:rsid w:val="00FE2590"/>
    <w:rsid w:val="00FE3378"/>
    <w:rsid w:val="00FE34F3"/>
    <w:rsid w:val="00FE6044"/>
    <w:rsid w:val="00FE6C56"/>
    <w:rsid w:val="00FE7FC3"/>
    <w:rsid w:val="00FF034F"/>
    <w:rsid w:val="00FF19C7"/>
    <w:rsid w:val="00FF29D9"/>
    <w:rsid w:val="00FF3150"/>
    <w:rsid w:val="00FF3F77"/>
    <w:rsid w:val="00FF44D8"/>
    <w:rsid w:val="00FF4954"/>
    <w:rsid w:val="00FF4C65"/>
    <w:rsid w:val="00FF55F1"/>
    <w:rsid w:val="00FF706F"/>
    <w:rsid w:val="00FF71EA"/>
    <w:rsid w:val="00FF7370"/>
    <w:rsid w:val="00FF73A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A612B"/>
  <w15:docId w15:val="{8DCAE2C2-1E5F-4ED5-B209-C98CF0B6E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645E0"/>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FootnoteText">
    <w:name w:val="footnote text"/>
    <w:basedOn w:val="Normal"/>
    <w:link w:val="FootnoteTextChar"/>
    <w:uiPriority w:val="99"/>
    <w:unhideWhenUsed/>
    <w:rsid w:val="00820AC0"/>
    <w:pPr>
      <w:spacing w:after="0" w:line="240" w:lineRule="auto"/>
    </w:pPr>
    <w:rPr>
      <w:sz w:val="20"/>
      <w:szCs w:val="20"/>
    </w:rPr>
  </w:style>
  <w:style w:type="character" w:customStyle="1" w:styleId="FootnoteTextChar">
    <w:name w:val="Footnote Text Char"/>
    <w:basedOn w:val="DefaultParagraphFont"/>
    <w:link w:val="FootnoteText"/>
    <w:uiPriority w:val="99"/>
    <w:rsid w:val="00820AC0"/>
    <w:rPr>
      <w:sz w:val="20"/>
      <w:szCs w:val="20"/>
    </w:rPr>
  </w:style>
  <w:style w:type="character" w:styleId="FootnoteReference">
    <w:name w:val="footnote reference"/>
    <w:basedOn w:val="DefaultParagraphFont"/>
    <w:uiPriority w:val="99"/>
    <w:unhideWhenUsed/>
    <w:rsid w:val="00820AC0"/>
    <w:rPr>
      <w:vertAlign w:val="superscript"/>
    </w:rPr>
  </w:style>
  <w:style w:type="paragraph" w:styleId="BalloonText">
    <w:name w:val="Balloon Text"/>
    <w:basedOn w:val="Normal"/>
    <w:link w:val="BalloonTextChar"/>
    <w:uiPriority w:val="99"/>
    <w:semiHidden/>
    <w:unhideWhenUsed/>
    <w:rsid w:val="006B2B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BE2"/>
    <w:rPr>
      <w:rFonts w:ascii="Tahoma" w:hAnsi="Tahoma" w:cs="Tahoma"/>
      <w:sz w:val="16"/>
      <w:szCs w:val="16"/>
    </w:rPr>
  </w:style>
  <w:style w:type="character" w:styleId="Hyperlink">
    <w:name w:val="Hyperlink"/>
    <w:uiPriority w:val="99"/>
    <w:unhideWhenUsed/>
    <w:rsid w:val="000C6A50"/>
    <w:rPr>
      <w:color w:val="0000FF"/>
      <w:u w:val="single"/>
    </w:rPr>
  </w:style>
  <w:style w:type="paragraph" w:styleId="NormalWeb">
    <w:name w:val="Normal (Web)"/>
    <w:basedOn w:val="Normal"/>
    <w:uiPriority w:val="99"/>
    <w:semiHidden/>
    <w:unhideWhenUsed/>
    <w:rsid w:val="000C6A50"/>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2Char">
    <w:name w:val="Heading 2 Char"/>
    <w:basedOn w:val="DefaultParagraphFont"/>
    <w:link w:val="Heading2"/>
    <w:uiPriority w:val="9"/>
    <w:rsid w:val="003645E0"/>
    <w:rPr>
      <w:rFonts w:ascii="Times New Roman" w:eastAsia="Times New Roman" w:hAnsi="Times New Roman" w:cs="Times New Roman"/>
      <w:b/>
      <w:bCs/>
      <w:sz w:val="36"/>
      <w:szCs w:val="36"/>
      <w:lang w:eastAsia="en-ZA"/>
    </w:rPr>
  </w:style>
  <w:style w:type="paragraph" w:customStyle="1" w:styleId="lg-para3">
    <w:name w:val="lg-para3"/>
    <w:basedOn w:val="Normal"/>
    <w:rsid w:val="00A90600"/>
    <w:pPr>
      <w:spacing w:before="120" w:after="0" w:line="240" w:lineRule="auto"/>
      <w:ind w:firstLine="601"/>
      <w:jc w:val="both"/>
    </w:pPr>
    <w:rPr>
      <w:rFonts w:ascii="Verdana" w:eastAsia="Times New Roman" w:hAnsi="Verdana" w:cs="Times New Roman"/>
      <w:color w:val="000000"/>
      <w:sz w:val="18"/>
      <w:szCs w:val="18"/>
      <w:lang w:val="en-US"/>
    </w:rPr>
  </w:style>
  <w:style w:type="character" w:styleId="CommentReference">
    <w:name w:val="annotation reference"/>
    <w:basedOn w:val="DefaultParagraphFont"/>
    <w:uiPriority w:val="99"/>
    <w:semiHidden/>
    <w:unhideWhenUsed/>
    <w:rsid w:val="005613DA"/>
    <w:rPr>
      <w:sz w:val="16"/>
      <w:szCs w:val="16"/>
    </w:rPr>
  </w:style>
  <w:style w:type="paragraph" w:styleId="CommentText">
    <w:name w:val="annotation text"/>
    <w:basedOn w:val="Normal"/>
    <w:link w:val="CommentTextChar"/>
    <w:uiPriority w:val="99"/>
    <w:semiHidden/>
    <w:unhideWhenUsed/>
    <w:rsid w:val="005613DA"/>
    <w:pPr>
      <w:spacing w:line="240" w:lineRule="auto"/>
    </w:pPr>
    <w:rPr>
      <w:sz w:val="20"/>
      <w:szCs w:val="20"/>
    </w:rPr>
  </w:style>
  <w:style w:type="character" w:customStyle="1" w:styleId="CommentTextChar">
    <w:name w:val="Comment Text Char"/>
    <w:basedOn w:val="DefaultParagraphFont"/>
    <w:link w:val="CommentText"/>
    <w:uiPriority w:val="99"/>
    <w:semiHidden/>
    <w:rsid w:val="005613DA"/>
    <w:rPr>
      <w:sz w:val="20"/>
      <w:szCs w:val="20"/>
    </w:rPr>
  </w:style>
  <w:style w:type="paragraph" w:styleId="CommentSubject">
    <w:name w:val="annotation subject"/>
    <w:basedOn w:val="CommentText"/>
    <w:next w:val="CommentText"/>
    <w:link w:val="CommentSubjectChar"/>
    <w:uiPriority w:val="99"/>
    <w:semiHidden/>
    <w:unhideWhenUsed/>
    <w:rsid w:val="005613DA"/>
    <w:rPr>
      <w:b/>
      <w:bCs/>
    </w:rPr>
  </w:style>
  <w:style w:type="character" w:customStyle="1" w:styleId="CommentSubjectChar">
    <w:name w:val="Comment Subject Char"/>
    <w:basedOn w:val="CommentTextChar"/>
    <w:link w:val="CommentSubject"/>
    <w:uiPriority w:val="99"/>
    <w:semiHidden/>
    <w:rsid w:val="005613DA"/>
    <w:rPr>
      <w:b/>
      <w:bCs/>
      <w:sz w:val="20"/>
      <w:szCs w:val="20"/>
    </w:rPr>
  </w:style>
  <w:style w:type="paragraph" w:styleId="BodyText">
    <w:name w:val="Body Text"/>
    <w:basedOn w:val="Normal"/>
    <w:link w:val="BodyTextChar"/>
    <w:uiPriority w:val="1"/>
    <w:qFormat/>
    <w:rsid w:val="00B51101"/>
    <w:pPr>
      <w:widowControl w:val="0"/>
      <w:autoSpaceDE w:val="0"/>
      <w:autoSpaceDN w:val="0"/>
      <w:adjustRightInd w:val="0"/>
      <w:spacing w:after="0" w:line="240" w:lineRule="auto"/>
    </w:pPr>
    <w:rPr>
      <w:rFonts w:ascii="Times New Roman" w:eastAsiaTheme="minorEastAsia" w:hAnsi="Times New Roman" w:cs="Times New Roman"/>
      <w:sz w:val="24"/>
      <w:szCs w:val="24"/>
      <w:lang w:val="en-GB" w:eastAsia="en-GB"/>
    </w:rPr>
  </w:style>
  <w:style w:type="character" w:customStyle="1" w:styleId="BodyTextChar">
    <w:name w:val="Body Text Char"/>
    <w:basedOn w:val="DefaultParagraphFont"/>
    <w:link w:val="BodyText"/>
    <w:uiPriority w:val="1"/>
    <w:rsid w:val="00B51101"/>
    <w:rPr>
      <w:rFonts w:ascii="Times New Roman" w:eastAsiaTheme="minorEastAsia" w:hAnsi="Times New Roman" w:cs="Times New Roman"/>
      <w:sz w:val="24"/>
      <w:szCs w:val="24"/>
      <w:lang w:val="en-GB" w:eastAsia="en-GB"/>
    </w:rPr>
  </w:style>
  <w:style w:type="paragraph" w:customStyle="1" w:styleId="normal-text">
    <w:name w:val="normal-text"/>
    <w:basedOn w:val="Normal"/>
    <w:rsid w:val="006B5BC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mc">
    <w:name w:val="mc"/>
    <w:basedOn w:val="DefaultParagraphFont"/>
    <w:rsid w:val="006B6352"/>
  </w:style>
  <w:style w:type="paragraph" w:customStyle="1" w:styleId="lg-1-1-1">
    <w:name w:val="lg-1-1-1"/>
    <w:basedOn w:val="Normal"/>
    <w:rsid w:val="00881FD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g-1-1-1-1">
    <w:name w:val="lg-1-1-1-1"/>
    <w:basedOn w:val="Normal"/>
    <w:rsid w:val="00881FD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UnresolvedMention">
    <w:name w:val="Unresolved Mention"/>
    <w:basedOn w:val="DefaultParagraphFont"/>
    <w:uiPriority w:val="99"/>
    <w:semiHidden/>
    <w:unhideWhenUsed/>
    <w:rsid w:val="00A66A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9194">
      <w:bodyDiv w:val="1"/>
      <w:marLeft w:val="0"/>
      <w:marRight w:val="0"/>
      <w:marTop w:val="0"/>
      <w:marBottom w:val="0"/>
      <w:divBdr>
        <w:top w:val="none" w:sz="0" w:space="0" w:color="auto"/>
        <w:left w:val="none" w:sz="0" w:space="0" w:color="auto"/>
        <w:bottom w:val="none" w:sz="0" w:space="0" w:color="auto"/>
        <w:right w:val="none" w:sz="0" w:space="0" w:color="auto"/>
      </w:divBdr>
    </w:div>
    <w:div w:id="425075079">
      <w:bodyDiv w:val="1"/>
      <w:marLeft w:val="0"/>
      <w:marRight w:val="0"/>
      <w:marTop w:val="0"/>
      <w:marBottom w:val="0"/>
      <w:divBdr>
        <w:top w:val="none" w:sz="0" w:space="0" w:color="auto"/>
        <w:left w:val="none" w:sz="0" w:space="0" w:color="auto"/>
        <w:bottom w:val="none" w:sz="0" w:space="0" w:color="auto"/>
        <w:right w:val="none" w:sz="0" w:space="0" w:color="auto"/>
      </w:divBdr>
    </w:div>
    <w:div w:id="737897395">
      <w:bodyDiv w:val="1"/>
      <w:marLeft w:val="0"/>
      <w:marRight w:val="0"/>
      <w:marTop w:val="0"/>
      <w:marBottom w:val="0"/>
      <w:divBdr>
        <w:top w:val="none" w:sz="0" w:space="0" w:color="auto"/>
        <w:left w:val="none" w:sz="0" w:space="0" w:color="auto"/>
        <w:bottom w:val="none" w:sz="0" w:space="0" w:color="auto"/>
        <w:right w:val="none" w:sz="0" w:space="0" w:color="auto"/>
      </w:divBdr>
    </w:div>
    <w:div w:id="782774650">
      <w:bodyDiv w:val="1"/>
      <w:marLeft w:val="0"/>
      <w:marRight w:val="0"/>
      <w:marTop w:val="0"/>
      <w:marBottom w:val="0"/>
      <w:divBdr>
        <w:top w:val="none" w:sz="0" w:space="0" w:color="auto"/>
        <w:left w:val="none" w:sz="0" w:space="0" w:color="auto"/>
        <w:bottom w:val="none" w:sz="0" w:space="0" w:color="auto"/>
        <w:right w:val="none" w:sz="0" w:space="0" w:color="auto"/>
      </w:divBdr>
    </w:div>
    <w:div w:id="1149249948">
      <w:bodyDiv w:val="1"/>
      <w:marLeft w:val="0"/>
      <w:marRight w:val="0"/>
      <w:marTop w:val="0"/>
      <w:marBottom w:val="0"/>
      <w:divBdr>
        <w:top w:val="none" w:sz="0" w:space="0" w:color="auto"/>
        <w:left w:val="none" w:sz="0" w:space="0" w:color="auto"/>
        <w:bottom w:val="none" w:sz="0" w:space="0" w:color="auto"/>
        <w:right w:val="none" w:sz="0" w:space="0" w:color="auto"/>
      </w:divBdr>
    </w:div>
    <w:div w:id="1980184061">
      <w:bodyDiv w:val="1"/>
      <w:marLeft w:val="0"/>
      <w:marRight w:val="0"/>
      <w:marTop w:val="0"/>
      <w:marBottom w:val="0"/>
      <w:divBdr>
        <w:top w:val="none" w:sz="0" w:space="0" w:color="auto"/>
        <w:left w:val="none" w:sz="0" w:space="0" w:color="auto"/>
        <w:bottom w:val="none" w:sz="0" w:space="0" w:color="auto"/>
        <w:right w:val="none" w:sz="0" w:space="0" w:color="auto"/>
      </w:divBdr>
    </w:div>
    <w:div w:id="203129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32386-840D-4F0A-8AD3-85C1FBF8D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5478</Words>
  <Characters>31228</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portia phahlane</dc:creator>
  <cp:keywords/>
  <dc:description/>
  <cp:lastModifiedBy>Mokone</cp:lastModifiedBy>
  <cp:revision>3</cp:revision>
  <cp:lastPrinted>2023-04-03T10:34:00Z</cp:lastPrinted>
  <dcterms:created xsi:type="dcterms:W3CDTF">2023-04-15T09:50:00Z</dcterms:created>
  <dcterms:modified xsi:type="dcterms:W3CDTF">2023-04-15T09:51:00Z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4a51715b9535a0f1e20ecbe07ac9df6641a0d3d450c9e4e7750ab7ba507be8c4</vt:lpwstr>
  </property>
</Properties>
</file>