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0CDD6" w14:textId="77777777" w:rsidR="009B64E1" w:rsidRDefault="009B64E1" w:rsidP="009B64E1">
      <w:pPr>
        <w:autoSpaceDE w:val="0"/>
        <w:autoSpaceDN w:val="0"/>
        <w:adjustRightInd w:val="0"/>
        <w:spacing w:line="360" w:lineRule="auto"/>
        <w:ind w:right="-386"/>
        <w:jc w:val="both"/>
        <w:rPr>
          <w:rFonts w:ascii="Arial" w:hAnsi="Arial" w:cs="Arial"/>
          <w:b/>
          <w:bCs/>
          <w:lang w:val="en-GB"/>
        </w:rPr>
      </w:pPr>
      <w:bookmarkStart w:id="0" w:name="_GoBack"/>
      <w:bookmarkEnd w:id="0"/>
    </w:p>
    <w:p w14:paraId="312564F5" w14:textId="77777777" w:rsidR="009B64E1" w:rsidRDefault="009B64E1" w:rsidP="009B64E1">
      <w:pPr>
        <w:autoSpaceDE w:val="0"/>
        <w:autoSpaceDN w:val="0"/>
        <w:adjustRightInd w:val="0"/>
        <w:spacing w:line="360" w:lineRule="auto"/>
        <w:ind w:right="-386"/>
        <w:jc w:val="center"/>
        <w:rPr>
          <w:rFonts w:ascii="Arial" w:hAnsi="Arial" w:cs="Arial"/>
          <w:b/>
          <w:bCs/>
          <w:lang w:val="en-GB"/>
        </w:rPr>
      </w:pPr>
      <w:r>
        <w:rPr>
          <w:rFonts w:ascii="Arial" w:hAnsi="Arial" w:cs="Arial"/>
          <w:b/>
          <w:bCs/>
          <w:lang w:val="en-GB"/>
        </w:rPr>
        <w:t>IN THE HIGH COURT OF SOUTH AFRICA</w:t>
      </w:r>
    </w:p>
    <w:p w14:paraId="029ED928" w14:textId="4FBF543A" w:rsidR="009B64E1" w:rsidRDefault="00CA3F31" w:rsidP="009B64E1">
      <w:pPr>
        <w:autoSpaceDE w:val="0"/>
        <w:autoSpaceDN w:val="0"/>
        <w:adjustRightInd w:val="0"/>
        <w:spacing w:line="360" w:lineRule="auto"/>
        <w:ind w:right="-386"/>
        <w:jc w:val="center"/>
        <w:rPr>
          <w:rFonts w:ascii="Arial" w:hAnsi="Arial" w:cs="Arial"/>
          <w:b/>
          <w:bCs/>
          <w:lang w:val="en-GB"/>
        </w:rPr>
      </w:pPr>
      <w:r>
        <w:rPr>
          <w:rFonts w:ascii="Arial" w:hAnsi="Arial" w:cs="Arial"/>
          <w:b/>
          <w:bCs/>
          <w:lang w:val="en-GB"/>
        </w:rPr>
        <w:t xml:space="preserve">GAUTENG </w:t>
      </w:r>
      <w:r w:rsidR="009B64E1">
        <w:rPr>
          <w:rFonts w:ascii="Arial" w:hAnsi="Arial" w:cs="Arial"/>
          <w:b/>
          <w:bCs/>
          <w:lang w:val="en-GB"/>
        </w:rPr>
        <w:t>DIVISION</w:t>
      </w:r>
      <w:r>
        <w:rPr>
          <w:rFonts w:ascii="Arial" w:hAnsi="Arial" w:cs="Arial"/>
          <w:b/>
          <w:bCs/>
          <w:lang w:val="en-GB"/>
        </w:rPr>
        <w:t>, PRETORIA</w:t>
      </w:r>
    </w:p>
    <w:p w14:paraId="22FD9851" w14:textId="461C2B47" w:rsidR="009B64E1" w:rsidRDefault="009B64E1" w:rsidP="009B64E1">
      <w:pPr>
        <w:autoSpaceDE w:val="0"/>
        <w:autoSpaceDN w:val="0"/>
        <w:adjustRightInd w:val="0"/>
        <w:spacing w:line="360" w:lineRule="auto"/>
        <w:ind w:right="-386"/>
        <w:jc w:val="center"/>
        <w:rPr>
          <w:rFonts w:ascii="Arial" w:hAnsi="Arial" w:cs="Arial"/>
          <w:b/>
          <w:bCs/>
          <w:lang w:val="en-GB"/>
        </w:rPr>
      </w:pPr>
    </w:p>
    <w:tbl>
      <w:tblPr>
        <w:tblpPr w:leftFromText="180" w:rightFromText="180" w:vertAnchor="text" w:tblpX="-524"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tblGrid>
      <w:tr w:rsidR="00CA3F31" w14:paraId="61B249F3" w14:textId="77777777" w:rsidTr="00CA3F31">
        <w:trPr>
          <w:trHeight w:val="2160"/>
        </w:trPr>
        <w:tc>
          <w:tcPr>
            <w:tcW w:w="4215" w:type="dxa"/>
          </w:tcPr>
          <w:p w14:paraId="1668BDBF" w14:textId="77777777" w:rsidR="00CA3F31" w:rsidRPr="00CA3F31" w:rsidRDefault="00CA3F31" w:rsidP="00CA3F31">
            <w:pPr>
              <w:autoSpaceDE w:val="0"/>
              <w:autoSpaceDN w:val="0"/>
              <w:adjustRightInd w:val="0"/>
              <w:spacing w:line="360" w:lineRule="auto"/>
              <w:ind w:right="-386"/>
              <w:rPr>
                <w:rFonts w:ascii="Arial" w:hAnsi="Arial" w:cs="Arial"/>
                <w:b/>
                <w:bCs/>
                <w:sz w:val="16"/>
                <w:szCs w:val="16"/>
                <w:lang w:val="en-GB"/>
              </w:rPr>
            </w:pPr>
            <w:r w:rsidRPr="00CA3F31">
              <w:rPr>
                <w:rFonts w:ascii="Arial" w:hAnsi="Arial" w:cs="Arial"/>
                <w:b/>
                <w:bCs/>
                <w:sz w:val="16"/>
                <w:szCs w:val="16"/>
                <w:lang w:val="en-GB"/>
              </w:rPr>
              <w:t>(1)</w:t>
            </w:r>
            <w:r w:rsidRPr="00CA3F31">
              <w:rPr>
                <w:rFonts w:ascii="Arial" w:hAnsi="Arial" w:cs="Arial"/>
                <w:b/>
                <w:bCs/>
                <w:sz w:val="16"/>
                <w:szCs w:val="16"/>
                <w:lang w:val="en-GB"/>
              </w:rPr>
              <w:tab/>
              <w:t>REPORTABLE: YES</w:t>
            </w:r>
          </w:p>
          <w:p w14:paraId="4B441078" w14:textId="77777777" w:rsidR="00CA3F31" w:rsidRPr="00CA3F31" w:rsidRDefault="00CA3F31" w:rsidP="00CA3F31">
            <w:pPr>
              <w:autoSpaceDE w:val="0"/>
              <w:autoSpaceDN w:val="0"/>
              <w:adjustRightInd w:val="0"/>
              <w:spacing w:line="360" w:lineRule="auto"/>
              <w:ind w:right="-386"/>
              <w:rPr>
                <w:rFonts w:ascii="Arial" w:hAnsi="Arial" w:cs="Arial"/>
                <w:b/>
                <w:bCs/>
                <w:sz w:val="16"/>
                <w:szCs w:val="16"/>
                <w:lang w:val="en-GB"/>
              </w:rPr>
            </w:pPr>
            <w:r w:rsidRPr="00CA3F31">
              <w:rPr>
                <w:rFonts w:ascii="Arial" w:hAnsi="Arial" w:cs="Arial"/>
                <w:b/>
                <w:bCs/>
                <w:sz w:val="16"/>
                <w:szCs w:val="16"/>
                <w:lang w:val="en-GB"/>
              </w:rPr>
              <w:t>(2)</w:t>
            </w:r>
            <w:r w:rsidRPr="00CA3F31">
              <w:rPr>
                <w:rFonts w:ascii="Arial" w:hAnsi="Arial" w:cs="Arial"/>
                <w:b/>
                <w:bCs/>
                <w:sz w:val="16"/>
                <w:szCs w:val="16"/>
                <w:lang w:val="en-GB"/>
              </w:rPr>
              <w:tab/>
              <w:t>OF INTEREST TO OTHER JUDGES: YES</w:t>
            </w:r>
          </w:p>
          <w:p w14:paraId="0D389B65" w14:textId="77777777" w:rsidR="00CA3F31" w:rsidRPr="00CA3F31" w:rsidRDefault="00CA3F31" w:rsidP="00CA3F31">
            <w:pPr>
              <w:autoSpaceDE w:val="0"/>
              <w:autoSpaceDN w:val="0"/>
              <w:adjustRightInd w:val="0"/>
              <w:spacing w:line="360" w:lineRule="auto"/>
              <w:ind w:right="-386"/>
              <w:rPr>
                <w:rFonts w:ascii="Arial" w:hAnsi="Arial" w:cs="Arial"/>
                <w:b/>
                <w:bCs/>
                <w:sz w:val="16"/>
                <w:szCs w:val="16"/>
                <w:lang w:val="en-GB"/>
              </w:rPr>
            </w:pPr>
            <w:r w:rsidRPr="00CA3F31">
              <w:rPr>
                <w:rFonts w:ascii="Arial" w:hAnsi="Arial" w:cs="Arial"/>
                <w:b/>
                <w:bCs/>
                <w:sz w:val="16"/>
                <w:szCs w:val="16"/>
                <w:lang w:val="en-GB"/>
              </w:rPr>
              <w:t>(3)</w:t>
            </w:r>
            <w:r w:rsidRPr="00CA3F31">
              <w:rPr>
                <w:rFonts w:ascii="Arial" w:hAnsi="Arial" w:cs="Arial"/>
                <w:b/>
                <w:bCs/>
                <w:sz w:val="16"/>
                <w:szCs w:val="16"/>
                <w:lang w:val="en-GB"/>
              </w:rPr>
              <w:tab/>
              <w:t xml:space="preserve">REVISED: Yes </w:t>
            </w:r>
          </w:p>
          <w:p w14:paraId="4FAE3653" w14:textId="77777777" w:rsidR="00CA3F31" w:rsidRPr="00CA3F31" w:rsidRDefault="00CA3F31" w:rsidP="00CA3F31">
            <w:pPr>
              <w:autoSpaceDE w:val="0"/>
              <w:autoSpaceDN w:val="0"/>
              <w:adjustRightInd w:val="0"/>
              <w:spacing w:line="360" w:lineRule="auto"/>
              <w:ind w:right="-386"/>
              <w:rPr>
                <w:rFonts w:ascii="Arial" w:hAnsi="Arial" w:cs="Arial"/>
                <w:b/>
                <w:bCs/>
                <w:sz w:val="16"/>
                <w:szCs w:val="16"/>
                <w:lang w:val="en-GB"/>
              </w:rPr>
            </w:pPr>
          </w:p>
          <w:p w14:paraId="6966F6AD" w14:textId="77777777" w:rsidR="00CA3F31" w:rsidRPr="00CA3F31" w:rsidRDefault="00CA3F31" w:rsidP="00CA3F31">
            <w:pPr>
              <w:autoSpaceDE w:val="0"/>
              <w:autoSpaceDN w:val="0"/>
              <w:adjustRightInd w:val="0"/>
              <w:spacing w:line="360" w:lineRule="auto"/>
              <w:ind w:right="-386"/>
              <w:rPr>
                <w:rFonts w:ascii="Arial" w:hAnsi="Arial" w:cs="Arial"/>
                <w:b/>
                <w:bCs/>
                <w:sz w:val="16"/>
                <w:szCs w:val="16"/>
                <w:lang w:val="en-GB"/>
              </w:rPr>
            </w:pPr>
          </w:p>
          <w:p w14:paraId="2E123399" w14:textId="77777777" w:rsidR="00CA3F31" w:rsidRPr="00CA3F31" w:rsidRDefault="00CA3F31" w:rsidP="00CA3F31">
            <w:pPr>
              <w:autoSpaceDE w:val="0"/>
              <w:autoSpaceDN w:val="0"/>
              <w:adjustRightInd w:val="0"/>
              <w:spacing w:line="360" w:lineRule="auto"/>
              <w:ind w:right="-386"/>
              <w:rPr>
                <w:rFonts w:ascii="Arial" w:hAnsi="Arial" w:cs="Arial"/>
                <w:b/>
                <w:bCs/>
                <w:sz w:val="16"/>
                <w:szCs w:val="16"/>
                <w:lang w:val="en-GB"/>
              </w:rPr>
            </w:pPr>
            <w:r w:rsidRPr="00CA3F31">
              <w:rPr>
                <w:rFonts w:ascii="Arial" w:hAnsi="Arial" w:cs="Arial"/>
                <w:b/>
                <w:bCs/>
                <w:sz w:val="16"/>
                <w:szCs w:val="16"/>
                <w:lang w:val="en-GB"/>
              </w:rPr>
              <w:t>__________________              ______________</w:t>
            </w:r>
          </w:p>
          <w:p w14:paraId="0336A05A" w14:textId="0B524BE1" w:rsidR="00CA3F31" w:rsidRDefault="00CA3F31" w:rsidP="00CA3F31">
            <w:pPr>
              <w:autoSpaceDE w:val="0"/>
              <w:autoSpaceDN w:val="0"/>
              <w:adjustRightInd w:val="0"/>
              <w:spacing w:line="360" w:lineRule="auto"/>
              <w:ind w:right="-386"/>
              <w:rPr>
                <w:rFonts w:ascii="Arial" w:hAnsi="Arial" w:cs="Arial"/>
                <w:b/>
                <w:bCs/>
                <w:lang w:val="en-GB"/>
              </w:rPr>
            </w:pPr>
            <w:r w:rsidRPr="00CA3F31">
              <w:rPr>
                <w:rFonts w:ascii="Arial" w:hAnsi="Arial" w:cs="Arial"/>
                <w:b/>
                <w:bCs/>
                <w:sz w:val="16"/>
                <w:szCs w:val="16"/>
                <w:lang w:val="en-GB"/>
              </w:rPr>
              <w:t xml:space="preserve">Signature </w:t>
            </w:r>
            <w:r w:rsidRPr="00CA3F31">
              <w:rPr>
                <w:rFonts w:ascii="Arial" w:hAnsi="Arial" w:cs="Arial"/>
                <w:b/>
                <w:bCs/>
                <w:sz w:val="16"/>
                <w:szCs w:val="16"/>
                <w:lang w:val="en-GB"/>
              </w:rPr>
              <w:tab/>
              <w:t xml:space="preserve">             </w:t>
            </w:r>
            <w:r w:rsidRPr="00CA3F31">
              <w:rPr>
                <w:rFonts w:ascii="Arial" w:hAnsi="Arial" w:cs="Arial"/>
                <w:b/>
                <w:bCs/>
                <w:sz w:val="16"/>
                <w:szCs w:val="16"/>
                <w:lang w:val="en-GB"/>
              </w:rPr>
              <w:tab/>
            </w:r>
            <w:r w:rsidRPr="00CA3F31">
              <w:rPr>
                <w:rFonts w:ascii="Arial" w:hAnsi="Arial" w:cs="Arial"/>
                <w:b/>
                <w:bCs/>
                <w:sz w:val="16"/>
                <w:szCs w:val="16"/>
                <w:lang w:val="en-GB"/>
              </w:rPr>
              <w:tab/>
              <w:t xml:space="preserve">  Date</w:t>
            </w:r>
            <w:r w:rsidRPr="00CA3F31">
              <w:rPr>
                <w:rFonts w:ascii="Arial" w:hAnsi="Arial" w:cs="Arial"/>
                <w:b/>
                <w:bCs/>
                <w:lang w:val="en-GB"/>
              </w:rPr>
              <w:t xml:space="preserve">                               </w:t>
            </w:r>
          </w:p>
        </w:tc>
      </w:tr>
    </w:tbl>
    <w:p w14:paraId="73EFE044" w14:textId="41B528B2" w:rsidR="009B64E1" w:rsidRDefault="00CA3F31" w:rsidP="00CA3F31">
      <w:pPr>
        <w:autoSpaceDE w:val="0"/>
        <w:autoSpaceDN w:val="0"/>
        <w:adjustRightInd w:val="0"/>
        <w:spacing w:line="360" w:lineRule="auto"/>
        <w:ind w:right="-386"/>
        <w:rPr>
          <w:rFonts w:ascii="Arial" w:hAnsi="Arial" w:cs="Arial"/>
          <w:b/>
          <w:bCs/>
          <w:lang w:val="en-GB"/>
        </w:rPr>
      </w:pPr>
      <w:r>
        <w:rPr>
          <w:rFonts w:eastAsiaTheme="minorEastAsia"/>
          <w:b/>
          <w:noProof/>
          <w:lang w:val="en-US"/>
        </w:rPr>
        <w:drawing>
          <wp:anchor distT="0" distB="0" distL="114300" distR="114300" simplePos="0" relativeHeight="251658240" behindDoc="0" locked="0" layoutInCell="1" allowOverlap="1" wp14:anchorId="15277C03" wp14:editId="53A5211D">
            <wp:simplePos x="0" y="0"/>
            <wp:positionH relativeFrom="column">
              <wp:posOffset>2219325</wp:posOffset>
            </wp:positionH>
            <wp:positionV relativeFrom="paragraph">
              <wp:posOffset>9525</wp:posOffset>
            </wp:positionV>
            <wp:extent cx="1302385" cy="1302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385" cy="1302385"/>
                    </a:xfrm>
                    <a:prstGeom prst="rect">
                      <a:avLst/>
                    </a:prstGeom>
                    <a:noFill/>
                    <a:ln>
                      <a:noFill/>
                    </a:ln>
                  </pic:spPr>
                </pic:pic>
              </a:graphicData>
            </a:graphic>
          </wp:anchor>
        </w:drawing>
      </w:r>
      <w:r>
        <w:rPr>
          <w:rFonts w:ascii="Arial" w:hAnsi="Arial" w:cs="Arial"/>
          <w:b/>
          <w:bCs/>
          <w:lang w:val="en-GB"/>
        </w:rPr>
        <w:br w:type="textWrapping" w:clear="all"/>
      </w:r>
    </w:p>
    <w:p w14:paraId="4197AB31" w14:textId="77777777" w:rsidR="009B64E1" w:rsidRDefault="009B64E1" w:rsidP="009B64E1">
      <w:pPr>
        <w:autoSpaceDE w:val="0"/>
        <w:autoSpaceDN w:val="0"/>
        <w:adjustRightInd w:val="0"/>
        <w:spacing w:line="360" w:lineRule="auto"/>
        <w:ind w:right="-386"/>
        <w:jc w:val="both"/>
        <w:rPr>
          <w:rFonts w:ascii="Arial" w:hAnsi="Arial" w:cs="Arial"/>
          <w:b/>
          <w:bCs/>
          <w:lang w:val="en-GB"/>
        </w:rPr>
      </w:pPr>
    </w:p>
    <w:p w14:paraId="2B7AB20C" w14:textId="77777777" w:rsidR="00CA3F31" w:rsidRDefault="00CA3F31" w:rsidP="00CA3F31">
      <w:pPr>
        <w:autoSpaceDE w:val="0"/>
        <w:autoSpaceDN w:val="0"/>
        <w:adjustRightInd w:val="0"/>
        <w:spacing w:line="360" w:lineRule="auto"/>
        <w:ind w:right="-386"/>
        <w:rPr>
          <w:rFonts w:ascii="Arial" w:hAnsi="Arial" w:cs="Arial"/>
          <w:b/>
          <w:bCs/>
          <w:lang w:val="en-GB"/>
        </w:rPr>
      </w:pPr>
    </w:p>
    <w:p w14:paraId="7D7787DF" w14:textId="77777777" w:rsidR="009B64E1" w:rsidRDefault="009B64E1" w:rsidP="009B64E1">
      <w:pPr>
        <w:autoSpaceDE w:val="0"/>
        <w:autoSpaceDN w:val="0"/>
        <w:adjustRightInd w:val="0"/>
        <w:spacing w:line="360" w:lineRule="auto"/>
        <w:ind w:right="-386"/>
        <w:jc w:val="both"/>
        <w:rPr>
          <w:rFonts w:ascii="Arial" w:hAnsi="Arial" w:cs="Arial"/>
          <w:b/>
          <w:bCs/>
          <w:lang w:val="en-GB"/>
        </w:rPr>
      </w:pPr>
    </w:p>
    <w:p w14:paraId="5B999D20" w14:textId="77777777" w:rsidR="00CA3F31" w:rsidRDefault="00CA3F31" w:rsidP="009B64E1">
      <w:pPr>
        <w:autoSpaceDE w:val="0"/>
        <w:autoSpaceDN w:val="0"/>
        <w:adjustRightInd w:val="0"/>
        <w:spacing w:line="360" w:lineRule="auto"/>
        <w:ind w:right="-386"/>
        <w:jc w:val="both"/>
        <w:rPr>
          <w:rFonts w:ascii="Arial" w:hAnsi="Arial" w:cs="Arial"/>
          <w:lang w:val="en-GB"/>
        </w:rPr>
      </w:pPr>
    </w:p>
    <w:p w14:paraId="70909449" w14:textId="77777777" w:rsidR="00CA3F31" w:rsidRDefault="00CA3F31" w:rsidP="009B64E1">
      <w:pPr>
        <w:autoSpaceDE w:val="0"/>
        <w:autoSpaceDN w:val="0"/>
        <w:adjustRightInd w:val="0"/>
        <w:spacing w:line="360" w:lineRule="auto"/>
        <w:ind w:right="-386"/>
        <w:jc w:val="both"/>
        <w:rPr>
          <w:rFonts w:ascii="Arial" w:hAnsi="Arial" w:cs="Arial"/>
          <w:lang w:val="en-GB"/>
        </w:rPr>
      </w:pPr>
    </w:p>
    <w:p w14:paraId="506409BC" w14:textId="77777777" w:rsidR="00CA3F31" w:rsidRDefault="00CA3F31" w:rsidP="009B64E1">
      <w:pPr>
        <w:autoSpaceDE w:val="0"/>
        <w:autoSpaceDN w:val="0"/>
        <w:adjustRightInd w:val="0"/>
        <w:spacing w:line="360" w:lineRule="auto"/>
        <w:ind w:right="-386"/>
        <w:jc w:val="both"/>
        <w:rPr>
          <w:rFonts w:ascii="Arial" w:hAnsi="Arial" w:cs="Arial"/>
          <w:lang w:val="en-GB"/>
        </w:rPr>
      </w:pPr>
    </w:p>
    <w:p w14:paraId="4EC01B01" w14:textId="1494B233" w:rsidR="00CA3F31" w:rsidRDefault="00CA3F31" w:rsidP="009B64E1">
      <w:pPr>
        <w:autoSpaceDE w:val="0"/>
        <w:autoSpaceDN w:val="0"/>
        <w:adjustRightInd w:val="0"/>
        <w:spacing w:line="360" w:lineRule="auto"/>
        <w:ind w:right="-386"/>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A3F31">
        <w:rPr>
          <w:rFonts w:ascii="Arial" w:hAnsi="Arial" w:cs="Arial"/>
          <w:lang w:val="en-GB"/>
        </w:rPr>
        <w:t>Case No: 17532/2019</w:t>
      </w:r>
    </w:p>
    <w:p w14:paraId="6DA46188" w14:textId="1C003363" w:rsidR="009B64E1" w:rsidRDefault="009B64E1" w:rsidP="009B64E1">
      <w:pPr>
        <w:autoSpaceDE w:val="0"/>
        <w:autoSpaceDN w:val="0"/>
        <w:adjustRightInd w:val="0"/>
        <w:spacing w:line="360" w:lineRule="auto"/>
        <w:ind w:right="-386"/>
        <w:jc w:val="both"/>
        <w:rPr>
          <w:rFonts w:ascii="Arial" w:hAnsi="Arial" w:cs="Arial"/>
          <w:lang w:val="en-GB"/>
        </w:rPr>
      </w:pPr>
      <w:r>
        <w:rPr>
          <w:rFonts w:ascii="Arial" w:hAnsi="Arial" w:cs="Arial"/>
          <w:lang w:val="en-GB"/>
        </w:rPr>
        <w:t>In the matter between:</w:t>
      </w:r>
    </w:p>
    <w:p w14:paraId="563E916C" w14:textId="77777777" w:rsidR="009B64E1" w:rsidRDefault="009B64E1" w:rsidP="009B64E1">
      <w:pPr>
        <w:autoSpaceDE w:val="0"/>
        <w:autoSpaceDN w:val="0"/>
        <w:adjustRightInd w:val="0"/>
        <w:spacing w:line="360" w:lineRule="auto"/>
        <w:ind w:right="-386"/>
        <w:jc w:val="both"/>
        <w:rPr>
          <w:rFonts w:ascii="Arial" w:hAnsi="Arial" w:cs="Arial"/>
          <w:b/>
          <w:bCs/>
          <w:lang w:val="en-GB"/>
        </w:rPr>
      </w:pPr>
    </w:p>
    <w:p w14:paraId="395DAF2E" w14:textId="4B22F596" w:rsidR="009B64E1" w:rsidRDefault="00982EA8" w:rsidP="009B64E1">
      <w:pPr>
        <w:tabs>
          <w:tab w:val="left" w:pos="6379"/>
        </w:tabs>
        <w:autoSpaceDE w:val="0"/>
        <w:autoSpaceDN w:val="0"/>
        <w:adjustRightInd w:val="0"/>
        <w:spacing w:line="360" w:lineRule="auto"/>
        <w:ind w:right="-386"/>
        <w:jc w:val="both"/>
        <w:rPr>
          <w:rFonts w:ascii="Arial" w:hAnsi="Arial" w:cs="Arial"/>
          <w:lang w:val="en-GB"/>
        </w:rPr>
      </w:pPr>
      <w:r>
        <w:rPr>
          <w:rFonts w:ascii="Arial" w:hAnsi="Arial" w:cs="Arial"/>
          <w:b/>
          <w:bCs/>
          <w:lang w:val="en-GB"/>
        </w:rPr>
        <w:t>BIZZ TRACERS</w:t>
      </w:r>
      <w:r w:rsidR="009B64E1">
        <w:rPr>
          <w:rFonts w:ascii="Arial" w:hAnsi="Arial" w:cs="Arial"/>
          <w:b/>
          <w:bCs/>
          <w:lang w:val="en-GB"/>
        </w:rPr>
        <w:t xml:space="preserve"> (PTY) LTD</w:t>
      </w:r>
      <w:r w:rsidR="009B64E1">
        <w:rPr>
          <w:rFonts w:ascii="Arial" w:hAnsi="Arial" w:cs="Arial"/>
          <w:b/>
          <w:bCs/>
          <w:lang w:val="en-GB"/>
        </w:rPr>
        <w:tab/>
      </w:r>
      <w:r w:rsidR="009B64E1">
        <w:rPr>
          <w:rFonts w:ascii="Arial" w:hAnsi="Arial" w:cs="Arial"/>
          <w:lang w:val="en-GB"/>
        </w:rPr>
        <w:tab/>
      </w:r>
      <w:r w:rsidR="009B64E1">
        <w:rPr>
          <w:rFonts w:ascii="Arial" w:hAnsi="Arial" w:cs="Arial"/>
          <w:lang w:val="en-GB"/>
        </w:rPr>
        <w:tab/>
        <w:t>Applicant</w:t>
      </w:r>
    </w:p>
    <w:p w14:paraId="5A165479" w14:textId="790C6EBC" w:rsidR="009B64E1" w:rsidRDefault="009B64E1" w:rsidP="009B64E1">
      <w:pPr>
        <w:tabs>
          <w:tab w:val="left" w:pos="6379"/>
        </w:tabs>
        <w:autoSpaceDE w:val="0"/>
        <w:autoSpaceDN w:val="0"/>
        <w:adjustRightInd w:val="0"/>
        <w:spacing w:line="360" w:lineRule="auto"/>
        <w:ind w:right="-386"/>
        <w:jc w:val="both"/>
        <w:rPr>
          <w:rFonts w:ascii="Arial" w:hAnsi="Arial" w:cs="Arial"/>
          <w:lang w:val="en-GB"/>
        </w:rPr>
      </w:pPr>
      <w:r>
        <w:rPr>
          <w:rFonts w:ascii="Arial" w:hAnsi="Arial" w:cs="Arial"/>
          <w:lang w:val="en-GB"/>
        </w:rPr>
        <w:t xml:space="preserve">(Registration number: </w:t>
      </w:r>
      <w:r w:rsidR="00982EA8">
        <w:rPr>
          <w:rFonts w:ascii="Arial" w:hAnsi="Arial" w:cs="Arial"/>
          <w:lang w:val="en-GB"/>
        </w:rPr>
        <w:t>2012</w:t>
      </w:r>
      <w:r>
        <w:rPr>
          <w:rFonts w:ascii="Arial" w:hAnsi="Arial" w:cs="Arial"/>
          <w:lang w:val="en-GB"/>
        </w:rPr>
        <w:t>/</w:t>
      </w:r>
      <w:r w:rsidR="00982EA8">
        <w:rPr>
          <w:rFonts w:ascii="Arial" w:hAnsi="Arial" w:cs="Arial"/>
          <w:lang w:val="en-GB"/>
        </w:rPr>
        <w:t>212910</w:t>
      </w:r>
      <w:r>
        <w:rPr>
          <w:rFonts w:ascii="Arial" w:hAnsi="Arial" w:cs="Arial"/>
          <w:lang w:val="en-GB"/>
        </w:rPr>
        <w:t>/07)</w:t>
      </w:r>
    </w:p>
    <w:p w14:paraId="25B37ADA" w14:textId="77777777" w:rsidR="009B64E1" w:rsidRDefault="009B64E1" w:rsidP="009B64E1">
      <w:pPr>
        <w:tabs>
          <w:tab w:val="left" w:pos="6379"/>
        </w:tabs>
        <w:autoSpaceDE w:val="0"/>
        <w:autoSpaceDN w:val="0"/>
        <w:adjustRightInd w:val="0"/>
        <w:spacing w:line="360" w:lineRule="auto"/>
        <w:ind w:right="-386"/>
        <w:jc w:val="both"/>
        <w:rPr>
          <w:rFonts w:ascii="Arial" w:hAnsi="Arial" w:cs="Arial"/>
          <w:lang w:val="en-GB"/>
        </w:rPr>
      </w:pPr>
    </w:p>
    <w:p w14:paraId="717CCF50" w14:textId="77777777" w:rsidR="009B64E1" w:rsidRDefault="009B64E1" w:rsidP="009B64E1">
      <w:pPr>
        <w:tabs>
          <w:tab w:val="left" w:pos="6379"/>
        </w:tabs>
        <w:autoSpaceDE w:val="0"/>
        <w:autoSpaceDN w:val="0"/>
        <w:adjustRightInd w:val="0"/>
        <w:spacing w:line="360" w:lineRule="auto"/>
        <w:ind w:right="-386"/>
        <w:jc w:val="both"/>
        <w:rPr>
          <w:rFonts w:ascii="Arial" w:hAnsi="Arial" w:cs="Arial"/>
          <w:lang w:val="en-GB"/>
        </w:rPr>
      </w:pPr>
      <w:r>
        <w:rPr>
          <w:rFonts w:ascii="Arial" w:hAnsi="Arial" w:cs="Arial"/>
          <w:lang w:val="en-GB"/>
        </w:rPr>
        <w:t>and</w:t>
      </w:r>
    </w:p>
    <w:p w14:paraId="5C2A3343" w14:textId="77777777" w:rsidR="009B64E1" w:rsidRDefault="009B64E1" w:rsidP="009B64E1">
      <w:pPr>
        <w:tabs>
          <w:tab w:val="left" w:pos="6379"/>
        </w:tabs>
        <w:autoSpaceDE w:val="0"/>
        <w:autoSpaceDN w:val="0"/>
        <w:adjustRightInd w:val="0"/>
        <w:spacing w:line="360" w:lineRule="auto"/>
        <w:ind w:right="-386"/>
        <w:jc w:val="both"/>
        <w:rPr>
          <w:rFonts w:ascii="Arial" w:hAnsi="Arial" w:cs="Arial"/>
          <w:lang w:val="en-GB"/>
        </w:rPr>
      </w:pPr>
    </w:p>
    <w:p w14:paraId="59FD6D47" w14:textId="4694CAE4" w:rsidR="009B64E1" w:rsidRDefault="00982EA8" w:rsidP="009B64E1">
      <w:pPr>
        <w:tabs>
          <w:tab w:val="left" w:pos="6379"/>
        </w:tabs>
        <w:autoSpaceDE w:val="0"/>
        <w:autoSpaceDN w:val="0"/>
        <w:adjustRightInd w:val="0"/>
        <w:spacing w:line="360" w:lineRule="auto"/>
        <w:ind w:right="-386"/>
        <w:jc w:val="both"/>
        <w:rPr>
          <w:rFonts w:ascii="Arial" w:hAnsi="Arial" w:cs="Arial"/>
          <w:lang w:val="en-GB"/>
        </w:rPr>
      </w:pPr>
      <w:r>
        <w:rPr>
          <w:rFonts w:ascii="Arial" w:hAnsi="Arial" w:cs="Arial"/>
          <w:b/>
          <w:bCs/>
          <w:lang w:val="en-GB"/>
        </w:rPr>
        <w:t>ESKOM HOLDINGS SOC LTD</w:t>
      </w:r>
      <w:r w:rsidR="009B64E1">
        <w:rPr>
          <w:rFonts w:ascii="Arial" w:hAnsi="Arial" w:cs="Arial"/>
          <w:b/>
          <w:bCs/>
          <w:lang w:val="en-GB"/>
        </w:rPr>
        <w:t xml:space="preserve"> </w:t>
      </w:r>
      <w:r w:rsidR="009B64E1">
        <w:rPr>
          <w:rFonts w:ascii="Arial" w:hAnsi="Arial" w:cs="Arial"/>
          <w:b/>
          <w:bCs/>
          <w:lang w:val="en-GB"/>
        </w:rPr>
        <w:tab/>
      </w:r>
      <w:r w:rsidR="009B64E1">
        <w:rPr>
          <w:rFonts w:ascii="Arial" w:hAnsi="Arial" w:cs="Arial"/>
          <w:lang w:val="en-GB"/>
        </w:rPr>
        <w:tab/>
      </w:r>
      <w:r w:rsidR="009B64E1">
        <w:rPr>
          <w:rFonts w:ascii="Arial" w:hAnsi="Arial" w:cs="Arial"/>
          <w:lang w:val="en-GB"/>
        </w:rPr>
        <w:tab/>
        <w:t>Respondent</w:t>
      </w:r>
    </w:p>
    <w:p w14:paraId="6A5611C2" w14:textId="77777777" w:rsidR="009B64E1" w:rsidRDefault="009B64E1" w:rsidP="009B64E1">
      <w:pPr>
        <w:autoSpaceDE w:val="0"/>
        <w:autoSpaceDN w:val="0"/>
        <w:adjustRightInd w:val="0"/>
        <w:spacing w:line="360" w:lineRule="auto"/>
        <w:ind w:right="-386"/>
        <w:jc w:val="both"/>
        <w:rPr>
          <w:rFonts w:ascii="Arial" w:hAnsi="Arial" w:cs="Arial"/>
          <w:lang w:val="en-GB"/>
        </w:rPr>
      </w:pPr>
    </w:p>
    <w:p w14:paraId="02F43EEF" w14:textId="77777777" w:rsidR="009B64E1" w:rsidRDefault="009B64E1" w:rsidP="009B64E1">
      <w:pPr>
        <w:autoSpaceDE w:val="0"/>
        <w:autoSpaceDN w:val="0"/>
        <w:adjustRightInd w:val="0"/>
        <w:spacing w:line="360" w:lineRule="auto"/>
        <w:ind w:right="-386"/>
        <w:jc w:val="both"/>
        <w:rPr>
          <w:rFonts w:ascii="Arial" w:hAnsi="Arial" w:cs="Arial"/>
          <w:b/>
          <w:bCs/>
          <w:lang w:val="en-GB"/>
        </w:rPr>
      </w:pPr>
      <w:r>
        <w:rPr>
          <w:rFonts w:ascii="Arial" w:hAnsi="Arial" w:cs="Arial"/>
          <w:b/>
          <w:bCs/>
          <w:lang w:val="en-GB"/>
        </w:rPr>
        <w:t>______________________________________________________________________</w:t>
      </w:r>
    </w:p>
    <w:p w14:paraId="6F1F092C" w14:textId="77777777" w:rsidR="009B64E1" w:rsidRDefault="009B64E1" w:rsidP="009B64E1">
      <w:pPr>
        <w:pBdr>
          <w:bottom w:val="single" w:sz="12" w:space="1" w:color="auto"/>
        </w:pBdr>
        <w:autoSpaceDE w:val="0"/>
        <w:autoSpaceDN w:val="0"/>
        <w:adjustRightInd w:val="0"/>
        <w:spacing w:line="360" w:lineRule="auto"/>
        <w:ind w:right="-386"/>
        <w:jc w:val="center"/>
        <w:rPr>
          <w:rFonts w:ascii="Arial" w:hAnsi="Arial" w:cs="Arial"/>
          <w:b/>
          <w:bCs/>
          <w:lang w:val="en-GB"/>
        </w:rPr>
      </w:pPr>
    </w:p>
    <w:p w14:paraId="14AFDF97" w14:textId="77777777" w:rsidR="009B64E1" w:rsidRDefault="009B64E1" w:rsidP="009B64E1">
      <w:pPr>
        <w:pBdr>
          <w:bottom w:val="single" w:sz="12" w:space="1" w:color="auto"/>
        </w:pBdr>
        <w:autoSpaceDE w:val="0"/>
        <w:autoSpaceDN w:val="0"/>
        <w:adjustRightInd w:val="0"/>
        <w:spacing w:line="360" w:lineRule="auto"/>
        <w:ind w:right="-386"/>
        <w:jc w:val="center"/>
        <w:rPr>
          <w:rFonts w:ascii="Arial" w:hAnsi="Arial" w:cs="Arial"/>
          <w:b/>
          <w:bCs/>
          <w:lang w:val="en-GB"/>
        </w:rPr>
      </w:pPr>
      <w:r>
        <w:rPr>
          <w:rFonts w:ascii="Arial" w:hAnsi="Arial" w:cs="Arial"/>
          <w:b/>
          <w:bCs/>
          <w:lang w:val="en-GB"/>
        </w:rPr>
        <w:t>JUDGMENT</w:t>
      </w:r>
    </w:p>
    <w:p w14:paraId="3A215EF9" w14:textId="77777777" w:rsidR="009B64E1" w:rsidRDefault="009B64E1" w:rsidP="009B64E1">
      <w:pPr>
        <w:pBdr>
          <w:bottom w:val="single" w:sz="12" w:space="1" w:color="auto"/>
        </w:pBdr>
        <w:autoSpaceDE w:val="0"/>
        <w:autoSpaceDN w:val="0"/>
        <w:adjustRightInd w:val="0"/>
        <w:spacing w:line="360" w:lineRule="auto"/>
        <w:ind w:right="-386"/>
        <w:jc w:val="center"/>
        <w:rPr>
          <w:rFonts w:ascii="Arial" w:hAnsi="Arial" w:cs="Arial"/>
          <w:b/>
          <w:bCs/>
          <w:lang w:val="en-GB"/>
        </w:rPr>
      </w:pPr>
    </w:p>
    <w:p w14:paraId="2D455C5C" w14:textId="77777777" w:rsidR="009B64E1" w:rsidRDefault="009B64E1" w:rsidP="009B64E1">
      <w:pPr>
        <w:autoSpaceDE w:val="0"/>
        <w:autoSpaceDN w:val="0"/>
        <w:adjustRightInd w:val="0"/>
        <w:spacing w:line="360" w:lineRule="auto"/>
        <w:ind w:right="-386"/>
        <w:rPr>
          <w:rFonts w:ascii="Arial" w:hAnsi="Arial" w:cs="Arial"/>
          <w:b/>
          <w:bCs/>
          <w:lang w:val="en-GB"/>
        </w:rPr>
      </w:pPr>
    </w:p>
    <w:p w14:paraId="30E59DBB" w14:textId="2D949330" w:rsidR="009B64E1" w:rsidRDefault="009B64E1" w:rsidP="009B64E1">
      <w:pPr>
        <w:autoSpaceDE w:val="0"/>
        <w:autoSpaceDN w:val="0"/>
        <w:adjustRightInd w:val="0"/>
        <w:spacing w:line="360" w:lineRule="auto"/>
        <w:ind w:right="-386"/>
        <w:jc w:val="both"/>
        <w:rPr>
          <w:rFonts w:ascii="Arial" w:hAnsi="Arial" w:cs="Arial"/>
          <w:b/>
          <w:bCs/>
          <w:lang w:val="en-GB"/>
        </w:rPr>
      </w:pPr>
      <w:r>
        <w:rPr>
          <w:rFonts w:ascii="Arial" w:hAnsi="Arial" w:cs="Arial"/>
          <w:b/>
          <w:bCs/>
          <w:lang w:val="en-GB"/>
        </w:rPr>
        <w:t xml:space="preserve">SARDIWALLA J </w:t>
      </w:r>
    </w:p>
    <w:p w14:paraId="73E0E326" w14:textId="7A9EE17F"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lastRenderedPageBreak/>
        <w:t>[1]</w:t>
      </w:r>
      <w:r>
        <w:rPr>
          <w:rFonts w:ascii="Arial" w:hAnsi="Arial" w:cs="Arial"/>
          <w:lang w:val="en-GB"/>
        </w:rPr>
        <w:tab/>
        <w:t>This is an application for summary judgment in terms of Rule 32</w:t>
      </w:r>
      <w:r w:rsidR="0042068D">
        <w:rPr>
          <w:rFonts w:ascii="Arial" w:hAnsi="Arial" w:cs="Arial"/>
          <w:lang w:val="en-GB"/>
        </w:rPr>
        <w:t>(2)</w:t>
      </w:r>
      <w:r>
        <w:rPr>
          <w:rFonts w:ascii="Arial" w:hAnsi="Arial" w:cs="Arial"/>
          <w:lang w:val="en-GB"/>
        </w:rPr>
        <w:t xml:space="preserve"> of the Uniform Rules of Court. The relief sought is as follows:</w:t>
      </w:r>
    </w:p>
    <w:p w14:paraId="15772F4E" w14:textId="087AD7DC" w:rsidR="009B64E1" w:rsidRDefault="009B64E1"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1.1</w:t>
      </w:r>
      <w:r>
        <w:rPr>
          <w:rFonts w:ascii="Arial" w:hAnsi="Arial" w:cs="Arial"/>
          <w:lang w:val="en-GB"/>
        </w:rPr>
        <w:tab/>
        <w:t>Payment in the amount of R</w:t>
      </w:r>
      <w:r w:rsidR="007B169A">
        <w:rPr>
          <w:rFonts w:ascii="Arial" w:hAnsi="Arial" w:cs="Arial"/>
          <w:lang w:val="en-GB"/>
        </w:rPr>
        <w:t>57</w:t>
      </w:r>
      <w:r>
        <w:rPr>
          <w:rFonts w:ascii="Arial" w:hAnsi="Arial" w:cs="Arial"/>
          <w:lang w:val="en-GB"/>
        </w:rPr>
        <w:t> 0</w:t>
      </w:r>
      <w:r w:rsidR="007B169A">
        <w:rPr>
          <w:rFonts w:ascii="Arial" w:hAnsi="Arial" w:cs="Arial"/>
          <w:lang w:val="en-GB"/>
        </w:rPr>
        <w:t>00</w:t>
      </w:r>
      <w:r>
        <w:rPr>
          <w:rFonts w:ascii="Arial" w:hAnsi="Arial" w:cs="Arial"/>
          <w:lang w:val="en-GB"/>
        </w:rPr>
        <w:t xml:space="preserve"> 0</w:t>
      </w:r>
      <w:r w:rsidR="007B169A">
        <w:rPr>
          <w:rFonts w:ascii="Arial" w:hAnsi="Arial" w:cs="Arial"/>
          <w:lang w:val="en-GB"/>
        </w:rPr>
        <w:t>00</w:t>
      </w:r>
      <w:r>
        <w:rPr>
          <w:rFonts w:ascii="Arial" w:hAnsi="Arial" w:cs="Arial"/>
          <w:lang w:val="en-GB"/>
        </w:rPr>
        <w:t>.</w:t>
      </w:r>
      <w:r w:rsidR="007B169A">
        <w:rPr>
          <w:rFonts w:ascii="Arial" w:hAnsi="Arial" w:cs="Arial"/>
          <w:lang w:val="en-GB"/>
        </w:rPr>
        <w:t>00</w:t>
      </w:r>
    </w:p>
    <w:p w14:paraId="185E789D" w14:textId="0DEDD907" w:rsidR="009B64E1" w:rsidRDefault="009B64E1"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1.2</w:t>
      </w:r>
      <w:r>
        <w:rPr>
          <w:rFonts w:ascii="Arial" w:hAnsi="Arial" w:cs="Arial"/>
          <w:lang w:val="en-GB"/>
        </w:rPr>
        <w:tab/>
        <w:t xml:space="preserve">Interest on the sum of </w:t>
      </w:r>
      <w:r w:rsidR="007B169A">
        <w:rPr>
          <w:rFonts w:ascii="Arial" w:hAnsi="Arial" w:cs="Arial"/>
          <w:lang w:val="en-GB"/>
        </w:rPr>
        <w:t>R57</w:t>
      </w:r>
      <w:r>
        <w:rPr>
          <w:rFonts w:ascii="Arial" w:hAnsi="Arial" w:cs="Arial"/>
          <w:lang w:val="en-GB"/>
        </w:rPr>
        <w:t> 0</w:t>
      </w:r>
      <w:r w:rsidR="007B169A">
        <w:rPr>
          <w:rFonts w:ascii="Arial" w:hAnsi="Arial" w:cs="Arial"/>
          <w:lang w:val="en-GB"/>
        </w:rPr>
        <w:t>00</w:t>
      </w:r>
      <w:r>
        <w:rPr>
          <w:rFonts w:ascii="Arial" w:hAnsi="Arial" w:cs="Arial"/>
          <w:lang w:val="en-GB"/>
        </w:rPr>
        <w:t xml:space="preserve"> 0</w:t>
      </w:r>
      <w:r w:rsidR="007B169A">
        <w:rPr>
          <w:rFonts w:ascii="Arial" w:hAnsi="Arial" w:cs="Arial"/>
          <w:lang w:val="en-GB"/>
        </w:rPr>
        <w:t>00</w:t>
      </w:r>
      <w:r>
        <w:rPr>
          <w:rFonts w:ascii="Arial" w:hAnsi="Arial" w:cs="Arial"/>
          <w:lang w:val="en-GB"/>
        </w:rPr>
        <w:t>.</w:t>
      </w:r>
      <w:r w:rsidR="007B169A">
        <w:rPr>
          <w:rFonts w:ascii="Arial" w:hAnsi="Arial" w:cs="Arial"/>
          <w:lang w:val="en-GB"/>
        </w:rPr>
        <w:t>00</w:t>
      </w:r>
      <w:r>
        <w:rPr>
          <w:rFonts w:ascii="Arial" w:hAnsi="Arial" w:cs="Arial"/>
          <w:lang w:val="en-GB"/>
        </w:rPr>
        <w:t xml:space="preserve"> at the rate of 10,5</w:t>
      </w:r>
      <w:r w:rsidR="007B169A">
        <w:rPr>
          <w:rFonts w:ascii="Arial" w:hAnsi="Arial" w:cs="Arial"/>
          <w:lang w:val="en-GB"/>
        </w:rPr>
        <w:t>0</w:t>
      </w:r>
      <w:r>
        <w:rPr>
          <w:rFonts w:ascii="Arial" w:hAnsi="Arial" w:cs="Arial"/>
          <w:lang w:val="en-GB"/>
        </w:rPr>
        <w:t>% per annum a</w:t>
      </w:r>
      <w:r w:rsidR="007B169A">
        <w:rPr>
          <w:rFonts w:ascii="Arial" w:hAnsi="Arial" w:cs="Arial"/>
          <w:lang w:val="en-GB"/>
        </w:rPr>
        <w:t xml:space="preserve"> from </w:t>
      </w:r>
      <w:r>
        <w:rPr>
          <w:rFonts w:ascii="Arial" w:hAnsi="Arial" w:cs="Arial"/>
          <w:lang w:val="en-GB"/>
        </w:rPr>
        <w:t xml:space="preserve">date of </w:t>
      </w:r>
      <w:r w:rsidR="007B169A">
        <w:rPr>
          <w:rFonts w:ascii="Arial" w:hAnsi="Arial" w:cs="Arial"/>
          <w:lang w:val="en-GB"/>
        </w:rPr>
        <w:t>summons</w:t>
      </w:r>
      <w:r>
        <w:rPr>
          <w:rFonts w:ascii="Arial" w:hAnsi="Arial" w:cs="Arial"/>
          <w:lang w:val="en-GB"/>
        </w:rPr>
        <w:t xml:space="preserve">. </w:t>
      </w:r>
    </w:p>
    <w:p w14:paraId="7B45D821" w14:textId="6D30A2F3" w:rsidR="009B64E1" w:rsidRDefault="009B64E1"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1.3</w:t>
      </w:r>
      <w:r>
        <w:rPr>
          <w:rFonts w:ascii="Arial" w:hAnsi="Arial" w:cs="Arial"/>
          <w:lang w:val="en-GB"/>
        </w:rPr>
        <w:tab/>
        <w:t>Costs of suit;</w:t>
      </w:r>
    </w:p>
    <w:p w14:paraId="41815390" w14:textId="5733D3DC" w:rsidR="009B64E1" w:rsidRDefault="009B64E1"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1.4</w:t>
      </w:r>
      <w:r>
        <w:rPr>
          <w:rFonts w:ascii="Arial" w:hAnsi="Arial" w:cs="Arial"/>
          <w:lang w:val="en-GB"/>
        </w:rPr>
        <w:tab/>
        <w:t xml:space="preserve">Further and/or alternative relief. </w:t>
      </w:r>
    </w:p>
    <w:p w14:paraId="7A5377DC" w14:textId="77777777" w:rsidR="00656BAE" w:rsidRDefault="00656BAE" w:rsidP="00CA3F31">
      <w:pPr>
        <w:autoSpaceDE w:val="0"/>
        <w:autoSpaceDN w:val="0"/>
        <w:adjustRightInd w:val="0"/>
        <w:spacing w:after="120" w:line="360" w:lineRule="auto"/>
        <w:ind w:left="851" w:right="-386"/>
        <w:jc w:val="both"/>
        <w:rPr>
          <w:rFonts w:ascii="Arial" w:hAnsi="Arial" w:cs="Arial"/>
          <w:lang w:val="en-GB"/>
        </w:rPr>
      </w:pPr>
    </w:p>
    <w:p w14:paraId="7151AA9F" w14:textId="77777777" w:rsidR="009B64E1" w:rsidRPr="00656BAE" w:rsidRDefault="009B64E1" w:rsidP="00CA3F31">
      <w:pPr>
        <w:autoSpaceDE w:val="0"/>
        <w:autoSpaceDN w:val="0"/>
        <w:adjustRightInd w:val="0"/>
        <w:spacing w:after="120" w:line="360" w:lineRule="auto"/>
        <w:ind w:right="-386"/>
        <w:jc w:val="both"/>
        <w:rPr>
          <w:rFonts w:ascii="Arial" w:hAnsi="Arial" w:cs="Arial"/>
          <w:b/>
          <w:u w:val="single"/>
          <w:lang w:val="en-GB"/>
        </w:rPr>
      </w:pPr>
      <w:r w:rsidRPr="00656BAE">
        <w:rPr>
          <w:rFonts w:ascii="Arial" w:hAnsi="Arial" w:cs="Arial"/>
          <w:b/>
          <w:u w:val="single"/>
          <w:lang w:val="en-GB"/>
        </w:rPr>
        <w:t>Factual Background</w:t>
      </w:r>
    </w:p>
    <w:p w14:paraId="05540867" w14:textId="77777777" w:rsidR="00656BAE"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w:t>
      </w:r>
      <w:r w:rsidR="00C92075">
        <w:rPr>
          <w:rFonts w:ascii="Arial" w:hAnsi="Arial" w:cs="Arial"/>
          <w:lang w:val="en-GB"/>
        </w:rPr>
        <w:t>2</w:t>
      </w:r>
      <w:r>
        <w:rPr>
          <w:rFonts w:ascii="Arial" w:hAnsi="Arial" w:cs="Arial"/>
          <w:lang w:val="en-GB"/>
        </w:rPr>
        <w:t>]</w:t>
      </w:r>
      <w:r>
        <w:rPr>
          <w:rFonts w:ascii="Arial" w:hAnsi="Arial" w:cs="Arial"/>
          <w:lang w:val="en-GB"/>
        </w:rPr>
        <w:tab/>
        <w:t xml:space="preserve">The </w:t>
      </w:r>
      <w:r w:rsidR="00391DB8">
        <w:rPr>
          <w:rFonts w:ascii="Arial" w:hAnsi="Arial" w:cs="Arial"/>
          <w:lang w:val="en-GB"/>
        </w:rPr>
        <w:t>A</w:t>
      </w:r>
      <w:r>
        <w:rPr>
          <w:rFonts w:ascii="Arial" w:hAnsi="Arial" w:cs="Arial"/>
          <w:lang w:val="en-GB"/>
        </w:rPr>
        <w:t xml:space="preserve">pplicant and </w:t>
      </w:r>
      <w:r w:rsidR="00391DB8">
        <w:rPr>
          <w:rFonts w:ascii="Arial" w:hAnsi="Arial" w:cs="Arial"/>
          <w:lang w:val="en-GB"/>
        </w:rPr>
        <w:t>R</w:t>
      </w:r>
      <w:r>
        <w:rPr>
          <w:rFonts w:ascii="Arial" w:hAnsi="Arial" w:cs="Arial"/>
          <w:lang w:val="en-GB"/>
        </w:rPr>
        <w:t xml:space="preserve">espondent entered </w:t>
      </w:r>
      <w:r w:rsidR="00391DB8">
        <w:rPr>
          <w:rFonts w:ascii="Arial" w:hAnsi="Arial" w:cs="Arial"/>
          <w:lang w:val="en-GB"/>
        </w:rPr>
        <w:t xml:space="preserve">a written </w:t>
      </w:r>
      <w:r>
        <w:rPr>
          <w:rFonts w:ascii="Arial" w:hAnsi="Arial" w:cs="Arial"/>
          <w:lang w:val="en-GB"/>
        </w:rPr>
        <w:t xml:space="preserve">agreements </w:t>
      </w:r>
      <w:r w:rsidR="00391DB8">
        <w:rPr>
          <w:rFonts w:ascii="Arial" w:hAnsi="Arial" w:cs="Arial"/>
          <w:lang w:val="en-GB"/>
        </w:rPr>
        <w:t>on pr about 19 October 2019.</w:t>
      </w:r>
    </w:p>
    <w:p w14:paraId="650B8A33" w14:textId="63CE8869" w:rsidR="009B64E1" w:rsidRDefault="00391DB8"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 xml:space="preserve"> </w:t>
      </w:r>
    </w:p>
    <w:p w14:paraId="06C1AADC" w14:textId="777DDE5B"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w:t>
      </w:r>
      <w:r w:rsidR="00C92075">
        <w:rPr>
          <w:rFonts w:ascii="Arial" w:hAnsi="Arial" w:cs="Arial"/>
          <w:lang w:val="en-GB"/>
        </w:rPr>
        <w:t>3</w:t>
      </w:r>
      <w:r>
        <w:rPr>
          <w:rFonts w:ascii="Arial" w:hAnsi="Arial" w:cs="Arial"/>
          <w:lang w:val="en-GB"/>
        </w:rPr>
        <w:t>]</w:t>
      </w:r>
      <w:r>
        <w:rPr>
          <w:rFonts w:ascii="Arial" w:hAnsi="Arial" w:cs="Arial"/>
          <w:lang w:val="en-GB"/>
        </w:rPr>
        <w:tab/>
        <w:t xml:space="preserve">The </w:t>
      </w:r>
      <w:r w:rsidR="00391DB8">
        <w:rPr>
          <w:rFonts w:ascii="Arial" w:hAnsi="Arial" w:cs="Arial"/>
          <w:lang w:val="en-GB"/>
        </w:rPr>
        <w:t xml:space="preserve">alleged </w:t>
      </w:r>
      <w:r>
        <w:rPr>
          <w:rFonts w:ascii="Arial" w:hAnsi="Arial" w:cs="Arial"/>
          <w:lang w:val="en-GB"/>
        </w:rPr>
        <w:t>express terms</w:t>
      </w:r>
      <w:r w:rsidR="00391DB8">
        <w:rPr>
          <w:rFonts w:ascii="Arial" w:hAnsi="Arial" w:cs="Arial"/>
          <w:lang w:val="en-GB"/>
        </w:rPr>
        <w:t>,</w:t>
      </w:r>
      <w:r>
        <w:rPr>
          <w:rFonts w:ascii="Arial" w:hAnsi="Arial" w:cs="Arial"/>
          <w:lang w:val="en-GB"/>
        </w:rPr>
        <w:t xml:space="preserve"> </w:t>
      </w:r>
      <w:r w:rsidR="00391DB8">
        <w:rPr>
          <w:rFonts w:ascii="Arial" w:hAnsi="Arial" w:cs="Arial"/>
          <w:lang w:val="en-GB"/>
        </w:rPr>
        <w:t xml:space="preserve">alternatively tacit, alternatively implied </w:t>
      </w:r>
      <w:r>
        <w:rPr>
          <w:rFonts w:ascii="Arial" w:hAnsi="Arial" w:cs="Arial"/>
          <w:lang w:val="en-GB"/>
        </w:rPr>
        <w:t xml:space="preserve">and conditions of the agreement were </w:t>
      </w:r>
      <w:r>
        <w:rPr>
          <w:rFonts w:ascii="Arial" w:hAnsi="Arial" w:cs="Arial"/>
          <w:i/>
          <w:iCs/>
          <w:lang w:val="en-GB"/>
        </w:rPr>
        <w:t xml:space="preserve">inter alia </w:t>
      </w:r>
      <w:r>
        <w:rPr>
          <w:rFonts w:ascii="Arial" w:hAnsi="Arial" w:cs="Arial"/>
          <w:lang w:val="en-GB"/>
        </w:rPr>
        <w:t>the following:</w:t>
      </w:r>
    </w:p>
    <w:p w14:paraId="3E831DFE" w14:textId="1B0FB8A9" w:rsidR="00C92075" w:rsidRPr="00656BAE" w:rsidRDefault="00C92075" w:rsidP="00656BAE">
      <w:pPr>
        <w:pStyle w:val="ListParagraph"/>
        <w:autoSpaceDE w:val="0"/>
        <w:autoSpaceDN w:val="0"/>
        <w:adjustRightInd w:val="0"/>
        <w:spacing w:after="120" w:line="360" w:lineRule="auto"/>
        <w:ind w:left="1211" w:right="-386"/>
        <w:jc w:val="both"/>
        <w:rPr>
          <w:rFonts w:ascii="Arial" w:hAnsi="Arial" w:cs="Arial"/>
          <w:lang w:val="en-GB"/>
        </w:rPr>
      </w:pPr>
      <w:r>
        <w:rPr>
          <w:rFonts w:ascii="Arial" w:hAnsi="Arial" w:cs="Arial"/>
          <w:lang w:val="en-GB"/>
        </w:rPr>
        <w:t xml:space="preserve">3.1 </w:t>
      </w:r>
      <w:r w:rsidR="00391DB8" w:rsidRPr="00391DB8">
        <w:rPr>
          <w:rFonts w:ascii="Arial" w:hAnsi="Arial" w:cs="Arial"/>
          <w:lang w:val="en-GB"/>
        </w:rPr>
        <w:t>The Plaintiff would track and recover Ghost Vending Machines (hereinafter referred to as the</w:t>
      </w:r>
      <w:r w:rsidR="00391DB8">
        <w:rPr>
          <w:rFonts w:ascii="Arial" w:hAnsi="Arial" w:cs="Arial"/>
          <w:lang w:val="en-GB"/>
        </w:rPr>
        <w:t xml:space="preserve"> </w:t>
      </w:r>
      <w:r w:rsidR="00391DB8" w:rsidRPr="00391DB8">
        <w:rPr>
          <w:rFonts w:ascii="Arial" w:hAnsi="Arial" w:cs="Arial"/>
          <w:lang w:val="en-GB"/>
        </w:rPr>
        <w:t>“machine”)</w:t>
      </w:r>
      <w:r>
        <w:rPr>
          <w:rFonts w:ascii="Arial" w:hAnsi="Arial" w:cs="Arial"/>
          <w:lang w:val="en-GB"/>
        </w:rPr>
        <w:t xml:space="preserve"> </w:t>
      </w:r>
      <w:r w:rsidR="00391DB8" w:rsidRPr="00391DB8">
        <w:rPr>
          <w:rFonts w:ascii="Arial" w:hAnsi="Arial" w:cs="Arial"/>
          <w:lang w:val="en-GB"/>
        </w:rPr>
        <w:t>which are used to defraud Eskom (the Defendant) of electricity sales revenue;</w:t>
      </w:r>
    </w:p>
    <w:p w14:paraId="4BC5D3A8" w14:textId="7C3BE032" w:rsidR="00C92075" w:rsidRPr="00656BAE" w:rsidRDefault="009B64E1" w:rsidP="00656BAE">
      <w:pPr>
        <w:pStyle w:val="ListParagraph"/>
        <w:numPr>
          <w:ilvl w:val="1"/>
          <w:numId w:val="4"/>
        </w:numPr>
        <w:autoSpaceDE w:val="0"/>
        <w:autoSpaceDN w:val="0"/>
        <w:adjustRightInd w:val="0"/>
        <w:spacing w:after="120" w:line="360" w:lineRule="auto"/>
        <w:ind w:right="-386"/>
        <w:jc w:val="both"/>
        <w:rPr>
          <w:rFonts w:ascii="Arial" w:hAnsi="Arial" w:cs="Arial"/>
          <w:lang w:val="en-GB"/>
        </w:rPr>
      </w:pPr>
      <w:r w:rsidRPr="00C92075">
        <w:rPr>
          <w:rFonts w:ascii="Arial" w:hAnsi="Arial" w:cs="Arial"/>
          <w:lang w:val="en-GB"/>
        </w:rPr>
        <w:t xml:space="preserve">The </w:t>
      </w:r>
      <w:r w:rsidR="00391DB8" w:rsidRPr="00C92075">
        <w:rPr>
          <w:rFonts w:ascii="Arial" w:hAnsi="Arial" w:cs="Arial"/>
          <w:lang w:val="en-GB"/>
        </w:rPr>
        <w:t xml:space="preserve">Defendant would pay commission in the amount of R57 000 000.00 (FIFTY-SEVEN MILLION RAND) inclusive of VAT, for every successful recovery of a machine; and </w:t>
      </w:r>
    </w:p>
    <w:p w14:paraId="341AC85E" w14:textId="286CE8EF" w:rsidR="00C92075" w:rsidRPr="00656BAE" w:rsidRDefault="009B64E1" w:rsidP="00656BAE">
      <w:pPr>
        <w:pStyle w:val="ListParagraph"/>
        <w:numPr>
          <w:ilvl w:val="1"/>
          <w:numId w:val="4"/>
        </w:numPr>
        <w:autoSpaceDE w:val="0"/>
        <w:autoSpaceDN w:val="0"/>
        <w:adjustRightInd w:val="0"/>
        <w:spacing w:after="120" w:line="360" w:lineRule="auto"/>
        <w:ind w:right="-386"/>
        <w:jc w:val="both"/>
        <w:rPr>
          <w:rFonts w:ascii="Arial" w:hAnsi="Arial" w:cs="Arial"/>
          <w:lang w:val="en-GB"/>
        </w:rPr>
      </w:pPr>
      <w:r w:rsidRPr="00C92075">
        <w:rPr>
          <w:rFonts w:ascii="Arial" w:hAnsi="Arial" w:cs="Arial"/>
          <w:lang w:val="en-GB"/>
        </w:rPr>
        <w:t xml:space="preserve">The </w:t>
      </w:r>
      <w:r w:rsidR="00391DB8" w:rsidRPr="00C92075">
        <w:rPr>
          <w:rFonts w:ascii="Arial" w:hAnsi="Arial" w:cs="Arial"/>
          <w:lang w:val="en-GB"/>
        </w:rPr>
        <w:t>commencement date of the Agreement was 19 October 2015 and the completion date was 19 September 2018;</w:t>
      </w:r>
    </w:p>
    <w:p w14:paraId="6B8F9521" w14:textId="7AD6892D" w:rsidR="00C92075" w:rsidRPr="00656BAE" w:rsidRDefault="00391DB8" w:rsidP="00656BAE">
      <w:pPr>
        <w:pStyle w:val="ListParagraph"/>
        <w:numPr>
          <w:ilvl w:val="1"/>
          <w:numId w:val="4"/>
        </w:numPr>
        <w:autoSpaceDE w:val="0"/>
        <w:autoSpaceDN w:val="0"/>
        <w:adjustRightInd w:val="0"/>
        <w:spacing w:after="120" w:line="360" w:lineRule="auto"/>
        <w:ind w:right="-386"/>
        <w:jc w:val="both"/>
        <w:rPr>
          <w:rFonts w:ascii="Arial" w:hAnsi="Arial" w:cs="Arial"/>
          <w:lang w:val="en-GB"/>
        </w:rPr>
      </w:pPr>
      <w:r w:rsidRPr="00C92075">
        <w:rPr>
          <w:rFonts w:ascii="Arial" w:hAnsi="Arial" w:cs="Arial"/>
          <w:lang w:val="en-GB"/>
        </w:rPr>
        <w:t>On or about the 3 August 2017, the Applicant recovered an Eskom machine</w:t>
      </w:r>
      <w:r w:rsidR="00F538CC" w:rsidRPr="00C92075">
        <w:rPr>
          <w:rFonts w:ascii="Arial" w:hAnsi="Arial" w:cs="Arial"/>
          <w:lang w:val="en-GB"/>
        </w:rPr>
        <w:t xml:space="preserve">. </w:t>
      </w:r>
    </w:p>
    <w:p w14:paraId="466FB370" w14:textId="0E563ABD" w:rsidR="00C92075" w:rsidRPr="00656BAE" w:rsidRDefault="00C92075" w:rsidP="00656BAE">
      <w:pPr>
        <w:pStyle w:val="ListParagraph"/>
        <w:numPr>
          <w:ilvl w:val="1"/>
          <w:numId w:val="4"/>
        </w:numPr>
        <w:autoSpaceDE w:val="0"/>
        <w:autoSpaceDN w:val="0"/>
        <w:adjustRightInd w:val="0"/>
        <w:spacing w:after="120" w:line="360" w:lineRule="auto"/>
        <w:ind w:right="-386"/>
        <w:jc w:val="both"/>
        <w:rPr>
          <w:rFonts w:ascii="Arial" w:hAnsi="Arial" w:cs="Arial"/>
          <w:lang w:val="en-GB"/>
        </w:rPr>
      </w:pPr>
      <w:r>
        <w:rPr>
          <w:rFonts w:ascii="Arial" w:hAnsi="Arial" w:cs="Arial"/>
          <w:lang w:val="en-GB"/>
        </w:rPr>
        <w:t xml:space="preserve"> </w:t>
      </w:r>
      <w:r w:rsidR="009B64E1" w:rsidRPr="00C92075">
        <w:rPr>
          <w:rFonts w:ascii="Arial" w:hAnsi="Arial" w:cs="Arial"/>
          <w:lang w:val="en-GB"/>
        </w:rPr>
        <w:t xml:space="preserve">The </w:t>
      </w:r>
      <w:r w:rsidR="00F538CC" w:rsidRPr="00C92075">
        <w:rPr>
          <w:rFonts w:ascii="Arial" w:hAnsi="Arial" w:cs="Arial"/>
          <w:lang w:val="en-GB"/>
        </w:rPr>
        <w:t xml:space="preserve">Applicant was requested to identify the machine, which the Applicant allegedly identified positively as an Eskom Ghost Vending Machine with Serial Number: 04061187946. </w:t>
      </w:r>
    </w:p>
    <w:p w14:paraId="1706FA6D" w14:textId="342929E9" w:rsidR="00F538CC" w:rsidRPr="00C92075" w:rsidRDefault="00F538CC" w:rsidP="00CA3F31">
      <w:pPr>
        <w:pStyle w:val="ListParagraph"/>
        <w:numPr>
          <w:ilvl w:val="1"/>
          <w:numId w:val="4"/>
        </w:numPr>
        <w:autoSpaceDE w:val="0"/>
        <w:autoSpaceDN w:val="0"/>
        <w:adjustRightInd w:val="0"/>
        <w:spacing w:after="120" w:line="360" w:lineRule="auto"/>
        <w:ind w:right="-386"/>
        <w:jc w:val="both"/>
        <w:rPr>
          <w:rFonts w:ascii="Arial" w:hAnsi="Arial" w:cs="Arial"/>
          <w:lang w:val="en-GB"/>
        </w:rPr>
      </w:pPr>
      <w:r w:rsidRPr="00C92075">
        <w:rPr>
          <w:rFonts w:ascii="Arial" w:hAnsi="Arial" w:cs="Arial"/>
          <w:lang w:val="en-GB"/>
        </w:rPr>
        <w:t>Subsequently the Respondent failed to make payment to the Applicant for the successful recovery of the Machine per the Agreement despite the Applicant having followed the agreed procedure below:</w:t>
      </w:r>
    </w:p>
    <w:p w14:paraId="587E2C15" w14:textId="697A3A1B" w:rsidR="00F538CC" w:rsidRPr="00CF1500" w:rsidRDefault="00F538CC" w:rsidP="00CA3F31">
      <w:pPr>
        <w:pStyle w:val="ListParagraph"/>
        <w:numPr>
          <w:ilvl w:val="2"/>
          <w:numId w:val="4"/>
        </w:numPr>
        <w:autoSpaceDE w:val="0"/>
        <w:autoSpaceDN w:val="0"/>
        <w:adjustRightInd w:val="0"/>
        <w:spacing w:after="120" w:line="360" w:lineRule="auto"/>
        <w:ind w:right="-386"/>
        <w:jc w:val="both"/>
        <w:rPr>
          <w:rFonts w:ascii="Arial" w:hAnsi="Arial" w:cs="Arial"/>
          <w:lang w:val="en-GB"/>
        </w:rPr>
      </w:pPr>
      <w:r w:rsidRPr="00CF1500">
        <w:rPr>
          <w:rFonts w:ascii="Arial" w:hAnsi="Arial" w:cs="Arial"/>
          <w:lang w:val="en-GB"/>
        </w:rPr>
        <w:lastRenderedPageBreak/>
        <w:t>An invoice for payment was issued and delivered by the Applicant to the Respondent on or about 14 January 2019;</w:t>
      </w:r>
    </w:p>
    <w:p w14:paraId="487C66DA" w14:textId="77777777" w:rsidR="00CF1500" w:rsidRDefault="00F538CC" w:rsidP="00CA3F31">
      <w:pPr>
        <w:pStyle w:val="ListParagraph"/>
        <w:numPr>
          <w:ilvl w:val="2"/>
          <w:numId w:val="4"/>
        </w:numPr>
        <w:autoSpaceDE w:val="0"/>
        <w:autoSpaceDN w:val="0"/>
        <w:adjustRightInd w:val="0"/>
        <w:spacing w:after="120" w:line="360" w:lineRule="auto"/>
        <w:ind w:right="-386"/>
        <w:jc w:val="both"/>
        <w:rPr>
          <w:rFonts w:ascii="Arial" w:hAnsi="Arial" w:cs="Arial"/>
          <w:lang w:val="en-GB"/>
        </w:rPr>
      </w:pPr>
      <w:r>
        <w:rPr>
          <w:rFonts w:ascii="Arial" w:hAnsi="Arial" w:cs="Arial"/>
          <w:lang w:val="en-GB"/>
        </w:rPr>
        <w:t xml:space="preserve">On 5 February 2019 the Applicant sent an email to the Respondent confirming receipt of the invoice. </w:t>
      </w:r>
    </w:p>
    <w:p w14:paraId="6B26143F" w14:textId="5720FC06" w:rsidR="009B64E1" w:rsidRDefault="00F538CC" w:rsidP="00CA3F31">
      <w:pPr>
        <w:pStyle w:val="ListParagraph"/>
        <w:numPr>
          <w:ilvl w:val="2"/>
          <w:numId w:val="4"/>
        </w:numPr>
        <w:autoSpaceDE w:val="0"/>
        <w:autoSpaceDN w:val="0"/>
        <w:adjustRightInd w:val="0"/>
        <w:spacing w:after="120" w:line="360" w:lineRule="auto"/>
        <w:ind w:right="-386"/>
        <w:jc w:val="both"/>
        <w:rPr>
          <w:rFonts w:ascii="Arial" w:hAnsi="Arial" w:cs="Arial"/>
          <w:lang w:val="en-GB"/>
        </w:rPr>
      </w:pPr>
      <w:r w:rsidRPr="00CF1500">
        <w:rPr>
          <w:rFonts w:ascii="Arial" w:hAnsi="Arial" w:cs="Arial"/>
          <w:lang w:val="en-GB"/>
        </w:rPr>
        <w:t xml:space="preserve">On or about 1 March 2019 a further letter of demand was sent requesting payment of the invoice to the Respondent. </w:t>
      </w:r>
    </w:p>
    <w:p w14:paraId="277152FD" w14:textId="77777777" w:rsidR="00656BAE" w:rsidRPr="00CF1500" w:rsidRDefault="00656BAE" w:rsidP="00656BAE">
      <w:pPr>
        <w:pStyle w:val="ListParagraph"/>
        <w:autoSpaceDE w:val="0"/>
        <w:autoSpaceDN w:val="0"/>
        <w:adjustRightInd w:val="0"/>
        <w:spacing w:after="120" w:line="360" w:lineRule="auto"/>
        <w:ind w:left="3142" w:right="-386"/>
        <w:jc w:val="both"/>
        <w:rPr>
          <w:rFonts w:ascii="Arial" w:hAnsi="Arial" w:cs="Arial"/>
          <w:lang w:val="en-GB"/>
        </w:rPr>
      </w:pPr>
    </w:p>
    <w:p w14:paraId="2EE39FD0" w14:textId="1FE8EC1A" w:rsidR="00C92075"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w:t>
      </w:r>
      <w:r w:rsidR="00CF1500">
        <w:rPr>
          <w:rFonts w:ascii="Arial" w:hAnsi="Arial" w:cs="Arial"/>
          <w:lang w:val="en-GB"/>
        </w:rPr>
        <w:t>4</w:t>
      </w:r>
      <w:r>
        <w:rPr>
          <w:rFonts w:ascii="Arial" w:hAnsi="Arial" w:cs="Arial"/>
          <w:lang w:val="en-GB"/>
        </w:rPr>
        <w:t>]</w:t>
      </w:r>
      <w:r>
        <w:rPr>
          <w:rFonts w:ascii="Arial" w:hAnsi="Arial" w:cs="Arial"/>
          <w:lang w:val="en-GB"/>
        </w:rPr>
        <w:tab/>
      </w:r>
      <w:r w:rsidR="00F538CC">
        <w:rPr>
          <w:rFonts w:ascii="Arial" w:hAnsi="Arial" w:cs="Arial"/>
          <w:lang w:val="en-GB"/>
        </w:rPr>
        <w:t xml:space="preserve">The Applicant alleges that it followed the same process for verification and payment previously and no payment has been affected. Therefore, the amount of the time of the application for summary judgment the invoice was outstanding for a year and eight month and it is the Applicant’s contention that the Respondent has no </w:t>
      </w:r>
      <w:r w:rsidR="00F538CC" w:rsidRPr="00F538CC">
        <w:rPr>
          <w:rFonts w:ascii="Arial" w:hAnsi="Arial" w:cs="Arial"/>
          <w:i/>
          <w:iCs/>
          <w:lang w:val="en-GB"/>
        </w:rPr>
        <w:t xml:space="preserve">bona fide </w:t>
      </w:r>
      <w:r w:rsidR="00F538CC">
        <w:rPr>
          <w:rFonts w:ascii="Arial" w:hAnsi="Arial" w:cs="Arial"/>
          <w:lang w:val="en-GB"/>
        </w:rPr>
        <w:t xml:space="preserve">defence. </w:t>
      </w:r>
    </w:p>
    <w:p w14:paraId="40D6F9AE" w14:textId="74FB2446" w:rsidR="00CA3F31" w:rsidRDefault="00CA3F31" w:rsidP="00CA3F31">
      <w:pPr>
        <w:autoSpaceDE w:val="0"/>
        <w:autoSpaceDN w:val="0"/>
        <w:adjustRightInd w:val="0"/>
        <w:spacing w:after="120" w:line="360" w:lineRule="auto"/>
        <w:ind w:right="-386"/>
        <w:jc w:val="both"/>
        <w:rPr>
          <w:rFonts w:ascii="Arial" w:hAnsi="Arial" w:cs="Arial"/>
          <w:lang w:val="en-GB"/>
        </w:rPr>
      </w:pPr>
    </w:p>
    <w:p w14:paraId="2AD1DA6E" w14:textId="703F1713" w:rsidR="00CF1500" w:rsidRDefault="00CF1500"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[5]</w:t>
      </w:r>
      <w:r>
        <w:rPr>
          <w:rFonts w:ascii="Arial" w:hAnsi="Arial" w:cs="Arial"/>
          <w:lang w:val="en-GB"/>
        </w:rPr>
        <w:tab/>
        <w:t xml:space="preserve">The summary judgment is resisted on the following basis: </w:t>
      </w:r>
    </w:p>
    <w:p w14:paraId="4FB58926" w14:textId="2802C7C4"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5.1 There is a dispute of fact relating to the Plaintiff’s claim which dispute can only be resolved at trial.</w:t>
      </w:r>
    </w:p>
    <w:p w14:paraId="025B52D2" w14:textId="29F35EE7"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5.2 There was and </w:t>
      </w:r>
      <w:r w:rsidR="0042068D">
        <w:rPr>
          <w:rFonts w:ascii="Arial" w:hAnsi="Arial" w:cs="Arial"/>
          <w:lang w:val="en-GB"/>
        </w:rPr>
        <w:t>cannot</w:t>
      </w:r>
      <w:r>
        <w:rPr>
          <w:rFonts w:ascii="Arial" w:hAnsi="Arial" w:cs="Arial"/>
          <w:lang w:val="en-GB"/>
        </w:rPr>
        <w:t xml:space="preserve"> be any justification in terms of Eskom’s procurement policy for the Agreement being entered into and in the way it was entered into. The services were acquired from a sole source, contrary to Eskom’s policy.</w:t>
      </w:r>
    </w:p>
    <w:p w14:paraId="0484F7DE" w14:textId="191F51DD"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5.3 The approval of the Agreement by Triple adjudication waqs invalid in that the Triple Adjudication applies to the approval of the commercial transactions not exceeding R5 000 000.00. </w:t>
      </w:r>
    </w:p>
    <w:p w14:paraId="7C25AE41" w14:textId="10F8FC57"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5.4 The Agreement contravenes the provisions of the Public Finance Management Act (“PFMA”) specifically section 45 and it constitutes financial misconduct in terms of section 83 of the PFMA and section 217 of the Constitution of the Republic of South Africa Act 108 of 1996 (“the Constitution”). </w:t>
      </w:r>
    </w:p>
    <w:p w14:paraId="4C9AE3B2" w14:textId="7054AD0A"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5.5 There is prima facie proof of money laundering and/or corruption relating to the conclusion of the Agreement. </w:t>
      </w:r>
    </w:p>
    <w:p w14:paraId="6D1E0A8A" w14:textId="519DFB3A"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5.6 The Respondent intends to issue a counterclaim against the Applicant for the recovery of all </w:t>
      </w:r>
      <w:r w:rsidR="00CA3F31">
        <w:rPr>
          <w:rFonts w:ascii="Arial" w:hAnsi="Arial" w:cs="Arial"/>
          <w:lang w:val="en-GB"/>
        </w:rPr>
        <w:t>amounts</w:t>
      </w:r>
      <w:r>
        <w:rPr>
          <w:rFonts w:ascii="Arial" w:hAnsi="Arial" w:cs="Arial"/>
          <w:lang w:val="en-GB"/>
        </w:rPr>
        <w:t xml:space="preserve"> paid to the Applicant as a result of the invalid, unconstitutional and unlawful Agreement. The basis for this contention in so far as the Defendant alleges that in terms of Clause C 1.1, C 2.1 and Clause 11.2 (4) </w:t>
      </w:r>
      <w:r>
        <w:rPr>
          <w:rFonts w:ascii="Arial" w:hAnsi="Arial" w:cs="Arial"/>
          <w:lang w:val="en-GB"/>
        </w:rPr>
        <w:lastRenderedPageBreak/>
        <w:t xml:space="preserve">the Plaintiff failed to comply with all its terms and conditions and that the parties agreed that the price for each ghost machine that was recovered would be agreed, upon recovery. </w:t>
      </w:r>
    </w:p>
    <w:p w14:paraId="34873909" w14:textId="30984999"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5.7 It was never the intention of the parties that the Applicant would </w:t>
      </w:r>
      <w:r w:rsidR="00CA3F31">
        <w:rPr>
          <w:rFonts w:ascii="Arial" w:hAnsi="Arial" w:cs="Arial"/>
          <w:lang w:val="en-GB"/>
        </w:rPr>
        <w:t>be</w:t>
      </w:r>
      <w:r>
        <w:rPr>
          <w:rFonts w:ascii="Arial" w:hAnsi="Arial" w:cs="Arial"/>
          <w:lang w:val="en-GB"/>
        </w:rPr>
        <w:t xml:space="preserve"> paid R50 000 000.00 for each ghost machine recovered. </w:t>
      </w:r>
    </w:p>
    <w:p w14:paraId="42A3CD22" w14:textId="6C4383A0"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5.8 The Agreement clearly states that that the Applicant would be apid a total of R50 000 000.00 (excluding VAT) on the recovery of all ghost machines. That is the total amount that would be set aside for the purpose of recovering the ghost machines for the purposes of the Agreement. </w:t>
      </w:r>
    </w:p>
    <w:p w14:paraId="21017A67" w14:textId="06B9BF2B"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5.9 On the Plaintiff’s own version the Respondent had previously paid an amount of R9 000 000.00 for the recovery of each ghost machine. Therefore, there is no basis upon which the Applicant now claim’s R57 000 000.00 in respect of each ghost machine. </w:t>
      </w:r>
    </w:p>
    <w:p w14:paraId="50C18E38" w14:textId="333A7A4F"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5.10 The calculation methodology referred to in Applicant’s letter dated 12 April 2019 makes several incorrect assumptions of the rates. No evidence was provided by the Applicant to sustain that the Respondent was sustaining losses of R50 000 000.00 per month as a result of the unrecovered ghost machines. </w:t>
      </w:r>
    </w:p>
    <w:p w14:paraId="2C79DB27" w14:textId="040DA9A9" w:rsidR="00CF1500"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5.11 The Respondent states that the Applicant provided no detail as to the basis upon which he concludes that the machine is an Eskom machine. The Respondent denies the machine is an Eskom machine. </w:t>
      </w:r>
    </w:p>
    <w:p w14:paraId="1E078335" w14:textId="02BBB43A" w:rsidR="009B64E1" w:rsidRDefault="00CF1500" w:rsidP="00CA3F31">
      <w:pPr>
        <w:autoSpaceDE w:val="0"/>
        <w:autoSpaceDN w:val="0"/>
        <w:adjustRightInd w:val="0"/>
        <w:spacing w:after="120" w:line="360" w:lineRule="auto"/>
        <w:ind w:left="851" w:right="-386"/>
        <w:jc w:val="both"/>
        <w:rPr>
          <w:rFonts w:ascii="Arial" w:hAnsi="Arial" w:cs="Arial"/>
          <w:lang w:val="en-GB"/>
        </w:rPr>
      </w:pPr>
      <w:r>
        <w:rPr>
          <w:rFonts w:ascii="Arial" w:hAnsi="Arial" w:cs="Arial"/>
          <w:lang w:val="en-GB"/>
        </w:rPr>
        <w:t xml:space="preserve">5.12 The Plaintiff alleges that he attended an inspection of the machine but has provided no of what the inspection entailed and/or whether a report was compiled in respect of the Ghost machine. Therefore, it is clear that authentication is required prior to a machine being regarded as an Eskom machine let alone that the fact that a fee is payable in respect of that machine. </w:t>
      </w:r>
    </w:p>
    <w:p w14:paraId="75FDB7FC" w14:textId="77777777" w:rsidR="00656BAE" w:rsidRDefault="00656BAE" w:rsidP="00CA3F31">
      <w:pPr>
        <w:autoSpaceDE w:val="0"/>
        <w:autoSpaceDN w:val="0"/>
        <w:adjustRightInd w:val="0"/>
        <w:spacing w:after="120" w:line="360" w:lineRule="auto"/>
        <w:ind w:left="851" w:right="-386"/>
        <w:jc w:val="both"/>
        <w:rPr>
          <w:rFonts w:ascii="Arial" w:hAnsi="Arial" w:cs="Arial"/>
          <w:lang w:val="en-GB"/>
        </w:rPr>
      </w:pPr>
    </w:p>
    <w:p w14:paraId="214142DA" w14:textId="77777777" w:rsidR="009B64E1" w:rsidRDefault="009B64E1" w:rsidP="00CA3F31">
      <w:pPr>
        <w:autoSpaceDE w:val="0"/>
        <w:autoSpaceDN w:val="0"/>
        <w:adjustRightInd w:val="0"/>
        <w:spacing w:after="120" w:line="360" w:lineRule="auto"/>
        <w:ind w:right="-386"/>
        <w:jc w:val="both"/>
        <w:rPr>
          <w:rFonts w:ascii="Arial" w:hAnsi="Arial" w:cs="Arial"/>
          <w:b/>
          <w:bCs/>
          <w:u w:val="single"/>
          <w:lang w:val="en-GB"/>
        </w:rPr>
      </w:pPr>
      <w:r>
        <w:rPr>
          <w:rFonts w:ascii="Arial" w:hAnsi="Arial" w:cs="Arial"/>
          <w:b/>
          <w:bCs/>
          <w:u w:val="single"/>
          <w:lang w:val="en-GB"/>
        </w:rPr>
        <w:t>ISSUES FOR DETERMINATION</w:t>
      </w:r>
    </w:p>
    <w:p w14:paraId="5FAE5A51" w14:textId="1AF32CEC"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w:t>
      </w:r>
      <w:r w:rsidR="00CF1500">
        <w:rPr>
          <w:rFonts w:ascii="Arial" w:hAnsi="Arial" w:cs="Arial"/>
          <w:lang w:val="en-GB"/>
        </w:rPr>
        <w:t>6</w:t>
      </w:r>
      <w:r>
        <w:rPr>
          <w:rFonts w:ascii="Arial" w:hAnsi="Arial" w:cs="Arial"/>
          <w:lang w:val="en-GB"/>
        </w:rPr>
        <w:t>]</w:t>
      </w:r>
      <w:r>
        <w:rPr>
          <w:rFonts w:ascii="Arial" w:hAnsi="Arial" w:cs="Arial"/>
          <w:lang w:val="en-GB"/>
        </w:rPr>
        <w:tab/>
        <w:t xml:space="preserve">Whether the </w:t>
      </w:r>
      <w:r w:rsidR="0042068D">
        <w:rPr>
          <w:rFonts w:ascii="Arial" w:hAnsi="Arial" w:cs="Arial"/>
          <w:lang w:val="en-GB"/>
        </w:rPr>
        <w:t>R</w:t>
      </w:r>
      <w:r>
        <w:rPr>
          <w:rFonts w:ascii="Arial" w:hAnsi="Arial" w:cs="Arial"/>
          <w:lang w:val="en-GB"/>
        </w:rPr>
        <w:t xml:space="preserve">espondent has a </w:t>
      </w:r>
      <w:r>
        <w:rPr>
          <w:rFonts w:ascii="Arial" w:hAnsi="Arial" w:cs="Arial"/>
          <w:i/>
          <w:iCs/>
          <w:lang w:val="en-GB"/>
        </w:rPr>
        <w:t xml:space="preserve">bona fide </w:t>
      </w:r>
      <w:r>
        <w:rPr>
          <w:rFonts w:ascii="Arial" w:hAnsi="Arial" w:cs="Arial"/>
          <w:lang w:val="en-GB"/>
        </w:rPr>
        <w:t>defence.</w:t>
      </w:r>
    </w:p>
    <w:p w14:paraId="7E0F10CE" w14:textId="77777777" w:rsidR="00656BAE" w:rsidRDefault="00656BAE" w:rsidP="00CA3F31">
      <w:pPr>
        <w:autoSpaceDE w:val="0"/>
        <w:autoSpaceDN w:val="0"/>
        <w:adjustRightInd w:val="0"/>
        <w:spacing w:after="120" w:line="360" w:lineRule="auto"/>
        <w:ind w:right="-386"/>
        <w:jc w:val="both"/>
        <w:rPr>
          <w:rFonts w:ascii="Arial" w:hAnsi="Arial" w:cs="Arial"/>
          <w:lang w:val="en-GB"/>
        </w:rPr>
      </w:pPr>
    </w:p>
    <w:p w14:paraId="3ECBCD50" w14:textId="7AC67511"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w:t>
      </w:r>
      <w:r w:rsidR="00CF1500">
        <w:rPr>
          <w:rFonts w:ascii="Arial" w:hAnsi="Arial" w:cs="Arial"/>
          <w:lang w:val="en-GB"/>
        </w:rPr>
        <w:t>7</w:t>
      </w:r>
      <w:r>
        <w:rPr>
          <w:rFonts w:ascii="Arial" w:hAnsi="Arial" w:cs="Arial"/>
          <w:lang w:val="en-GB"/>
        </w:rPr>
        <w:t>]</w:t>
      </w:r>
      <w:r>
        <w:rPr>
          <w:rFonts w:ascii="Arial" w:hAnsi="Arial" w:cs="Arial"/>
          <w:lang w:val="en-GB"/>
        </w:rPr>
        <w:tab/>
        <w:t xml:space="preserve">Whether there are triable and mitigating issues raised by the </w:t>
      </w:r>
      <w:r w:rsidR="00A4056E">
        <w:rPr>
          <w:rFonts w:ascii="Arial" w:hAnsi="Arial" w:cs="Arial"/>
          <w:lang w:val="en-GB"/>
        </w:rPr>
        <w:t>R</w:t>
      </w:r>
      <w:r>
        <w:rPr>
          <w:rFonts w:ascii="Arial" w:hAnsi="Arial" w:cs="Arial"/>
          <w:lang w:val="en-GB"/>
        </w:rPr>
        <w:t>espondent.</w:t>
      </w:r>
    </w:p>
    <w:p w14:paraId="2B904184" w14:textId="77777777" w:rsidR="009B64E1" w:rsidRPr="00656BAE" w:rsidRDefault="009B64E1" w:rsidP="00CA3F31">
      <w:pPr>
        <w:autoSpaceDE w:val="0"/>
        <w:autoSpaceDN w:val="0"/>
        <w:adjustRightInd w:val="0"/>
        <w:spacing w:after="120" w:line="360" w:lineRule="auto"/>
        <w:ind w:right="-386"/>
        <w:jc w:val="both"/>
        <w:rPr>
          <w:rFonts w:ascii="Arial" w:hAnsi="Arial" w:cs="Arial"/>
          <w:b/>
          <w:u w:val="single"/>
          <w:lang w:val="en-GB"/>
        </w:rPr>
      </w:pPr>
      <w:r w:rsidRPr="00656BAE">
        <w:rPr>
          <w:rFonts w:ascii="Arial" w:hAnsi="Arial" w:cs="Arial"/>
          <w:b/>
          <w:u w:val="single"/>
          <w:lang w:val="en-GB"/>
        </w:rPr>
        <w:lastRenderedPageBreak/>
        <w:t xml:space="preserve">Legal Principles </w:t>
      </w:r>
    </w:p>
    <w:p w14:paraId="582E3B6B" w14:textId="72091FF4"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w:t>
      </w:r>
      <w:r w:rsidR="00CF1500">
        <w:rPr>
          <w:rFonts w:ascii="Arial" w:hAnsi="Arial" w:cs="Arial"/>
          <w:lang w:val="en-GB"/>
        </w:rPr>
        <w:t>8</w:t>
      </w:r>
      <w:r>
        <w:rPr>
          <w:rFonts w:ascii="Arial" w:hAnsi="Arial" w:cs="Arial"/>
          <w:lang w:val="en-GB"/>
        </w:rPr>
        <w:t>]</w:t>
      </w:r>
      <w:r>
        <w:rPr>
          <w:rFonts w:ascii="Arial" w:hAnsi="Arial" w:cs="Arial"/>
          <w:lang w:val="en-GB"/>
        </w:rPr>
        <w:tab/>
        <w:t xml:space="preserve">In terms of Rule 32(2) (b) the </w:t>
      </w:r>
      <w:r w:rsidR="00CF1500">
        <w:rPr>
          <w:rFonts w:ascii="Arial" w:hAnsi="Arial" w:cs="Arial"/>
          <w:lang w:val="en-GB"/>
        </w:rPr>
        <w:t>A</w:t>
      </w:r>
      <w:r>
        <w:rPr>
          <w:rFonts w:ascii="Arial" w:hAnsi="Arial" w:cs="Arial"/>
          <w:lang w:val="en-GB"/>
        </w:rPr>
        <w:t xml:space="preserve">pplicant has to identify a point in law and facts relied upon which </w:t>
      </w:r>
      <w:r w:rsidR="00CF1500">
        <w:rPr>
          <w:rFonts w:ascii="Arial" w:hAnsi="Arial" w:cs="Arial"/>
          <w:lang w:val="en-GB"/>
        </w:rPr>
        <w:t>its</w:t>
      </w:r>
      <w:r>
        <w:rPr>
          <w:rFonts w:ascii="Arial" w:hAnsi="Arial" w:cs="Arial"/>
          <w:lang w:val="en-GB"/>
        </w:rPr>
        <w:t xml:space="preserve"> claim is based. The </w:t>
      </w:r>
      <w:r w:rsidR="00CF1500">
        <w:rPr>
          <w:rFonts w:ascii="Arial" w:hAnsi="Arial" w:cs="Arial"/>
          <w:lang w:val="en-GB"/>
        </w:rPr>
        <w:t>A</w:t>
      </w:r>
      <w:r>
        <w:rPr>
          <w:rFonts w:ascii="Arial" w:hAnsi="Arial" w:cs="Arial"/>
          <w:lang w:val="en-GB"/>
        </w:rPr>
        <w:t xml:space="preserve">pplicant has the onus to prove why the defence pleaded does not raise any issues for trial. It is not enough to merely state that the </w:t>
      </w:r>
      <w:r w:rsidR="00CF1500">
        <w:rPr>
          <w:rFonts w:ascii="Arial" w:hAnsi="Arial" w:cs="Arial"/>
          <w:lang w:val="en-GB"/>
        </w:rPr>
        <w:t>R</w:t>
      </w:r>
      <w:r>
        <w:rPr>
          <w:rFonts w:ascii="Arial" w:hAnsi="Arial" w:cs="Arial"/>
          <w:lang w:val="en-GB"/>
        </w:rPr>
        <w:t xml:space="preserve">espondent did not have a </w:t>
      </w:r>
      <w:r>
        <w:rPr>
          <w:rFonts w:ascii="Arial" w:hAnsi="Arial" w:cs="Arial"/>
          <w:i/>
          <w:iCs/>
          <w:lang w:val="en-GB"/>
        </w:rPr>
        <w:t xml:space="preserve">bona fide </w:t>
      </w:r>
      <w:r>
        <w:rPr>
          <w:rFonts w:ascii="Arial" w:hAnsi="Arial" w:cs="Arial"/>
          <w:lang w:val="en-GB"/>
        </w:rPr>
        <w:t xml:space="preserve">defence. To the contrary the </w:t>
      </w:r>
      <w:r w:rsidR="00CF1500">
        <w:rPr>
          <w:rFonts w:ascii="Arial" w:hAnsi="Arial" w:cs="Arial"/>
          <w:lang w:val="en-GB"/>
        </w:rPr>
        <w:t>R</w:t>
      </w:r>
      <w:r>
        <w:rPr>
          <w:rFonts w:ascii="Arial" w:hAnsi="Arial" w:cs="Arial"/>
          <w:lang w:val="en-GB"/>
        </w:rPr>
        <w:t xml:space="preserve">espondent has to prove that he at the very least has a defence and state the material facts upon which his defence is based. This then enables the court to decide as to whether he has a </w:t>
      </w:r>
      <w:r>
        <w:rPr>
          <w:rFonts w:ascii="Arial" w:hAnsi="Arial" w:cs="Arial"/>
          <w:i/>
          <w:iCs/>
          <w:lang w:val="en-GB"/>
        </w:rPr>
        <w:t xml:space="preserve">bona fide </w:t>
      </w:r>
      <w:r>
        <w:rPr>
          <w:rFonts w:ascii="Arial" w:hAnsi="Arial" w:cs="Arial"/>
          <w:lang w:val="en-GB"/>
        </w:rPr>
        <w:t xml:space="preserve">defence or not. </w:t>
      </w:r>
    </w:p>
    <w:p w14:paraId="631BCCA6" w14:textId="77777777" w:rsidR="00656BAE" w:rsidRDefault="00656BAE" w:rsidP="00CA3F31">
      <w:pPr>
        <w:autoSpaceDE w:val="0"/>
        <w:autoSpaceDN w:val="0"/>
        <w:adjustRightInd w:val="0"/>
        <w:spacing w:after="120" w:line="360" w:lineRule="auto"/>
        <w:ind w:right="-386"/>
        <w:jc w:val="both"/>
        <w:rPr>
          <w:rFonts w:ascii="Arial" w:hAnsi="Arial" w:cs="Arial"/>
          <w:lang w:val="en-GB"/>
        </w:rPr>
      </w:pPr>
    </w:p>
    <w:p w14:paraId="00AA693E" w14:textId="61177D0A" w:rsidR="009B64E1" w:rsidRDefault="009B64E1" w:rsidP="00CA3F31">
      <w:pPr>
        <w:autoSpaceDE w:val="0"/>
        <w:autoSpaceDN w:val="0"/>
        <w:adjustRightInd w:val="0"/>
        <w:spacing w:after="120" w:line="360" w:lineRule="auto"/>
        <w:ind w:right="-386"/>
        <w:jc w:val="both"/>
        <w:rPr>
          <w:rFonts w:ascii="Arial" w:hAnsi="Arial" w:cs="Arial"/>
          <w:b/>
          <w:bCs/>
          <w:u w:val="single"/>
          <w:lang w:val="en-GB"/>
        </w:rPr>
      </w:pPr>
      <w:r>
        <w:rPr>
          <w:rFonts w:ascii="Arial" w:hAnsi="Arial" w:cs="Arial"/>
          <w:lang w:val="en-GB"/>
        </w:rPr>
        <w:t>[</w:t>
      </w:r>
      <w:r w:rsidR="00CF1500">
        <w:rPr>
          <w:rFonts w:ascii="Arial" w:hAnsi="Arial" w:cs="Arial"/>
          <w:lang w:val="en-GB"/>
        </w:rPr>
        <w:t>9</w:t>
      </w:r>
      <w:r>
        <w:rPr>
          <w:rFonts w:ascii="Arial" w:hAnsi="Arial" w:cs="Arial"/>
          <w:lang w:val="en-GB"/>
        </w:rPr>
        <w:t xml:space="preserve">] </w:t>
      </w:r>
      <w:r w:rsidR="00C83223">
        <w:rPr>
          <w:rFonts w:ascii="Arial" w:hAnsi="Arial" w:cs="Arial"/>
          <w:lang w:val="en-GB"/>
        </w:rPr>
        <w:tab/>
      </w:r>
      <w:r>
        <w:rPr>
          <w:rFonts w:ascii="Arial" w:hAnsi="Arial" w:cs="Arial"/>
          <w:lang w:val="en-GB"/>
        </w:rPr>
        <w:t>The onus rests with the plaintiff to show that the defendant does not have a defence on the merits of the case.</w:t>
      </w:r>
      <w:r w:rsidRPr="004A5E06">
        <w:rPr>
          <w:rFonts w:ascii="Arial" w:hAnsi="Arial" w:cs="Arial"/>
          <w:lang w:val="en-GB"/>
        </w:rPr>
        <w:t xml:space="preserve"> </w:t>
      </w:r>
      <w:r>
        <w:rPr>
          <w:rFonts w:ascii="Arial" w:hAnsi="Arial" w:cs="Arial"/>
          <w:lang w:val="en-GB"/>
        </w:rPr>
        <w:t xml:space="preserve">See </w:t>
      </w:r>
      <w:r>
        <w:rPr>
          <w:rFonts w:ascii="Arial" w:hAnsi="Arial" w:cs="Arial"/>
          <w:b/>
          <w:bCs/>
          <w:i/>
          <w:iCs/>
          <w:u w:val="single"/>
          <w:lang w:val="en-GB"/>
        </w:rPr>
        <w:t>Breitenbach v Fiat SA (Edms) BPK</w:t>
      </w:r>
      <w:r>
        <w:rPr>
          <w:rFonts w:ascii="Arial" w:hAnsi="Arial" w:cs="Arial"/>
          <w:b/>
          <w:bCs/>
          <w:u w:val="single"/>
          <w:lang w:val="en-GB"/>
        </w:rPr>
        <w:t xml:space="preserve"> 1976 (2) SA 226 T at 227F.</w:t>
      </w:r>
    </w:p>
    <w:p w14:paraId="5D24CCA9" w14:textId="77777777" w:rsidR="00656BAE" w:rsidRPr="00D04860" w:rsidRDefault="00656BAE" w:rsidP="00CA3F31">
      <w:pPr>
        <w:autoSpaceDE w:val="0"/>
        <w:autoSpaceDN w:val="0"/>
        <w:adjustRightInd w:val="0"/>
        <w:spacing w:after="120" w:line="360" w:lineRule="auto"/>
        <w:ind w:right="-386"/>
        <w:jc w:val="both"/>
        <w:rPr>
          <w:rFonts w:ascii="Arial" w:hAnsi="Arial" w:cs="Arial"/>
          <w:lang w:val="en-GB"/>
        </w:rPr>
      </w:pPr>
    </w:p>
    <w:p w14:paraId="3AB8BD97" w14:textId="77777777" w:rsidR="00656BAE"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[1</w:t>
      </w:r>
      <w:r w:rsidR="00640033">
        <w:rPr>
          <w:rFonts w:ascii="Arial" w:hAnsi="Arial" w:cs="Arial"/>
          <w:lang w:val="en-GB"/>
        </w:rPr>
        <w:t>0</w:t>
      </w:r>
      <w:r>
        <w:rPr>
          <w:rFonts w:ascii="Arial" w:hAnsi="Arial" w:cs="Arial"/>
          <w:lang w:val="en-GB"/>
        </w:rPr>
        <w:t>]</w:t>
      </w:r>
      <w:r>
        <w:rPr>
          <w:rFonts w:ascii="Arial" w:hAnsi="Arial" w:cs="Arial"/>
          <w:lang w:val="en-GB"/>
        </w:rPr>
        <w:tab/>
        <w:t xml:space="preserve">The contentious issue for determination is whether the </w:t>
      </w:r>
      <w:r w:rsidR="00CF1500">
        <w:rPr>
          <w:rFonts w:ascii="Arial" w:hAnsi="Arial" w:cs="Arial"/>
          <w:lang w:val="en-GB"/>
        </w:rPr>
        <w:t>R</w:t>
      </w:r>
      <w:r>
        <w:rPr>
          <w:rFonts w:ascii="Arial" w:hAnsi="Arial" w:cs="Arial"/>
          <w:lang w:val="en-GB"/>
        </w:rPr>
        <w:t xml:space="preserve">espondent has raised </w:t>
      </w:r>
      <w:r>
        <w:rPr>
          <w:rFonts w:ascii="Arial" w:hAnsi="Arial" w:cs="Arial"/>
          <w:i/>
          <w:iCs/>
          <w:lang w:val="en-GB"/>
        </w:rPr>
        <w:t xml:space="preserve">bona fide </w:t>
      </w:r>
      <w:r>
        <w:rPr>
          <w:rFonts w:ascii="Arial" w:hAnsi="Arial" w:cs="Arial"/>
          <w:lang w:val="en-GB"/>
        </w:rPr>
        <w:t xml:space="preserve">defences. The </w:t>
      </w:r>
      <w:r w:rsidR="00CF1500">
        <w:rPr>
          <w:rFonts w:ascii="Arial" w:hAnsi="Arial" w:cs="Arial"/>
          <w:lang w:val="en-GB"/>
        </w:rPr>
        <w:t>A</w:t>
      </w:r>
      <w:r>
        <w:rPr>
          <w:rFonts w:ascii="Arial" w:hAnsi="Arial" w:cs="Arial"/>
          <w:lang w:val="en-GB"/>
        </w:rPr>
        <w:t xml:space="preserve">pplicant submitted that the </w:t>
      </w:r>
      <w:r w:rsidR="00CF1500">
        <w:rPr>
          <w:rFonts w:ascii="Arial" w:hAnsi="Arial" w:cs="Arial"/>
          <w:lang w:val="en-GB"/>
        </w:rPr>
        <w:t>R</w:t>
      </w:r>
      <w:r>
        <w:rPr>
          <w:rFonts w:ascii="Arial" w:hAnsi="Arial" w:cs="Arial"/>
          <w:lang w:val="en-GB"/>
        </w:rPr>
        <w:t xml:space="preserve">espondent has not succeeded in disclosing triable issues and therefore issues raised by the </w:t>
      </w:r>
      <w:r w:rsidR="00CF1500">
        <w:rPr>
          <w:rFonts w:ascii="Arial" w:hAnsi="Arial" w:cs="Arial"/>
          <w:lang w:val="en-GB"/>
        </w:rPr>
        <w:t>R</w:t>
      </w:r>
      <w:r>
        <w:rPr>
          <w:rFonts w:ascii="Arial" w:hAnsi="Arial" w:cs="Arial"/>
          <w:lang w:val="en-GB"/>
        </w:rPr>
        <w:t xml:space="preserve">espondent, do not constitute </w:t>
      </w:r>
      <w:r>
        <w:rPr>
          <w:rFonts w:ascii="Arial" w:hAnsi="Arial" w:cs="Arial"/>
          <w:i/>
          <w:iCs/>
          <w:lang w:val="en-GB"/>
        </w:rPr>
        <w:t xml:space="preserve">bona fide </w:t>
      </w:r>
      <w:r>
        <w:rPr>
          <w:rFonts w:ascii="Arial" w:hAnsi="Arial" w:cs="Arial"/>
          <w:lang w:val="en-GB"/>
        </w:rPr>
        <w:t>defence</w:t>
      </w:r>
      <w:r w:rsidR="006B0E2F">
        <w:rPr>
          <w:rFonts w:ascii="Arial" w:hAnsi="Arial" w:cs="Arial"/>
          <w:lang w:val="en-GB"/>
        </w:rPr>
        <w:t>s</w:t>
      </w:r>
      <w:r>
        <w:rPr>
          <w:rFonts w:ascii="Arial" w:hAnsi="Arial" w:cs="Arial"/>
          <w:lang w:val="en-GB"/>
        </w:rPr>
        <w:t>.</w:t>
      </w:r>
      <w:r w:rsidR="00D70893">
        <w:rPr>
          <w:rFonts w:ascii="Arial" w:hAnsi="Arial" w:cs="Arial"/>
          <w:lang w:val="en-GB"/>
        </w:rPr>
        <w:t xml:space="preserve"> Further that the Respondent’s Legal Representatives have been unable to provide this Court with proof of its mandate for this Court to consider the Summary Judgment and grant it leave to defend. As a direct result of this the opposing affidavit is invalid and the matter is actually unopposed.</w:t>
      </w:r>
    </w:p>
    <w:p w14:paraId="24941C2F" w14:textId="3D993CA8" w:rsidR="009B64E1" w:rsidRDefault="00D70893" w:rsidP="00CA3F31">
      <w:pPr>
        <w:autoSpaceDE w:val="0"/>
        <w:autoSpaceDN w:val="0"/>
        <w:adjustRightInd w:val="0"/>
        <w:spacing w:after="120" w:line="360" w:lineRule="auto"/>
        <w:ind w:right="-386"/>
        <w:jc w:val="both"/>
        <w:rPr>
          <w:rFonts w:ascii="Arial" w:hAnsi="Arial" w:cs="Arial"/>
          <w:b/>
          <w:bCs/>
          <w:lang w:val="en-GB"/>
        </w:rPr>
      </w:pPr>
      <w:r>
        <w:rPr>
          <w:rFonts w:ascii="Arial" w:hAnsi="Arial" w:cs="Arial"/>
          <w:lang w:val="en-GB"/>
        </w:rPr>
        <w:t xml:space="preserve"> </w:t>
      </w:r>
    </w:p>
    <w:p w14:paraId="731E1226" w14:textId="2CE31714" w:rsidR="00D70893"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[1</w:t>
      </w:r>
      <w:r w:rsidR="00640033">
        <w:rPr>
          <w:rFonts w:ascii="Arial" w:hAnsi="Arial" w:cs="Arial"/>
          <w:lang w:val="en-GB"/>
        </w:rPr>
        <w:t>1</w:t>
      </w:r>
      <w:r>
        <w:rPr>
          <w:rFonts w:ascii="Arial" w:hAnsi="Arial" w:cs="Arial"/>
          <w:lang w:val="en-GB"/>
        </w:rPr>
        <w:t>]</w:t>
      </w:r>
      <w:r>
        <w:rPr>
          <w:rFonts w:ascii="Arial" w:hAnsi="Arial" w:cs="Arial"/>
          <w:lang w:val="en-GB"/>
        </w:rPr>
        <w:tab/>
        <w:t xml:space="preserve">It is contended by the </w:t>
      </w:r>
      <w:r w:rsidR="006B0E2F">
        <w:rPr>
          <w:rFonts w:ascii="Arial" w:hAnsi="Arial" w:cs="Arial"/>
          <w:lang w:val="en-GB"/>
        </w:rPr>
        <w:t>R</w:t>
      </w:r>
      <w:r>
        <w:rPr>
          <w:rFonts w:ascii="Arial" w:hAnsi="Arial" w:cs="Arial"/>
          <w:lang w:val="en-GB"/>
        </w:rPr>
        <w:t xml:space="preserve">espondent </w:t>
      </w:r>
      <w:r w:rsidR="00D70893">
        <w:rPr>
          <w:rFonts w:ascii="Arial" w:hAnsi="Arial" w:cs="Arial"/>
          <w:lang w:val="en-GB"/>
        </w:rPr>
        <w:t xml:space="preserve">that the provisions of the Rule 32(4) are peremptory and therefore the Applicant’s attempt to introduce further evidence in this application for Summary judgment is unavailing and improper. </w:t>
      </w:r>
      <w:r>
        <w:rPr>
          <w:rFonts w:ascii="Arial" w:hAnsi="Arial" w:cs="Arial"/>
          <w:lang w:val="en-GB"/>
        </w:rPr>
        <w:t xml:space="preserve">Secondly </w:t>
      </w:r>
      <w:r w:rsidR="00D70893">
        <w:rPr>
          <w:rFonts w:ascii="Arial" w:hAnsi="Arial" w:cs="Arial"/>
          <w:lang w:val="en-GB"/>
        </w:rPr>
        <w:t>on the Applicant’s version four “ghost vending machines” were recovered by the Applicant and on three occasions the Applicant was paid as follows:</w:t>
      </w:r>
    </w:p>
    <w:p w14:paraId="3A694A12" w14:textId="77777777" w:rsidR="00D70893" w:rsidRDefault="00D70893"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A) 1</w:t>
      </w:r>
      <w:r w:rsidRPr="00D70893">
        <w:rPr>
          <w:rFonts w:ascii="Arial" w:hAnsi="Arial" w:cs="Arial"/>
          <w:vertAlign w:val="superscript"/>
          <w:lang w:val="en-GB"/>
        </w:rPr>
        <w:t>st</w:t>
      </w:r>
      <w:r>
        <w:rPr>
          <w:rFonts w:ascii="Arial" w:hAnsi="Arial" w:cs="Arial"/>
          <w:lang w:val="en-GB"/>
        </w:rPr>
        <w:t xml:space="preserve"> Ghost Machine (Ghost CDU) </w:t>
      </w:r>
    </w:p>
    <w:p w14:paraId="0C075A3A" w14:textId="77777777" w:rsidR="00D70893" w:rsidRDefault="00D70893"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 recovered and paid by Eskom on 20 December 2016 -R 9 285 756.</w:t>
      </w:r>
      <w:r w:rsidR="009B64E1">
        <w:rPr>
          <w:rFonts w:ascii="Arial" w:hAnsi="Arial" w:cs="Arial"/>
          <w:lang w:val="en-GB"/>
        </w:rPr>
        <w:t xml:space="preserve"> </w:t>
      </w:r>
    </w:p>
    <w:p w14:paraId="4ADBA1A4" w14:textId="77777777" w:rsidR="00D70893" w:rsidRDefault="00D70893"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B) 2nd Validator/ Ghost Office Machine</w:t>
      </w:r>
    </w:p>
    <w:p w14:paraId="25060DBE" w14:textId="77777777" w:rsidR="00640033" w:rsidRDefault="00D70893"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- 6 July 2017 -R9</w:t>
      </w:r>
      <w:r w:rsidR="00640033">
        <w:rPr>
          <w:rFonts w:ascii="Arial" w:hAnsi="Arial" w:cs="Arial"/>
          <w:lang w:val="en-GB"/>
        </w:rPr>
        <w:t> 756 653.52</w:t>
      </w:r>
    </w:p>
    <w:p w14:paraId="65CF33E7" w14:textId="77777777" w:rsidR="00640033" w:rsidRDefault="00640033"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lastRenderedPageBreak/>
        <w:t>C) 3</w:t>
      </w:r>
      <w:r w:rsidRPr="00640033">
        <w:rPr>
          <w:rFonts w:ascii="Arial" w:hAnsi="Arial" w:cs="Arial"/>
          <w:vertAlign w:val="superscript"/>
          <w:lang w:val="en-GB"/>
        </w:rPr>
        <w:t>rd</w:t>
      </w:r>
      <w:r>
        <w:rPr>
          <w:rFonts w:ascii="Arial" w:hAnsi="Arial" w:cs="Arial"/>
          <w:lang w:val="en-GB"/>
        </w:rPr>
        <w:t xml:space="preserve"> Ghost Machine (Ghost CDU)</w:t>
      </w:r>
    </w:p>
    <w:p w14:paraId="11BC5739" w14:textId="52658A38" w:rsidR="00640033" w:rsidRDefault="00640033"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- 21 December 2017 – R 9 120 000.00</w:t>
      </w:r>
    </w:p>
    <w:p w14:paraId="1C7469ED" w14:textId="77777777" w:rsidR="00656BAE" w:rsidRDefault="00656BAE" w:rsidP="00CA3F31">
      <w:pPr>
        <w:autoSpaceDE w:val="0"/>
        <w:autoSpaceDN w:val="0"/>
        <w:adjustRightInd w:val="0"/>
        <w:spacing w:after="120" w:line="360" w:lineRule="auto"/>
        <w:ind w:right="-386"/>
        <w:jc w:val="both"/>
        <w:rPr>
          <w:rFonts w:ascii="Arial" w:hAnsi="Arial" w:cs="Arial"/>
          <w:lang w:val="en-GB"/>
        </w:rPr>
      </w:pPr>
    </w:p>
    <w:p w14:paraId="6109F471" w14:textId="4B826BCA" w:rsidR="009B64E1" w:rsidRDefault="00640033"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 xml:space="preserve">[12] </w:t>
      </w:r>
      <w:r w:rsidR="00C83223">
        <w:rPr>
          <w:rFonts w:ascii="Arial" w:hAnsi="Arial" w:cs="Arial"/>
          <w:lang w:val="en-GB"/>
        </w:rPr>
        <w:tab/>
      </w:r>
      <w:r>
        <w:rPr>
          <w:rFonts w:ascii="Arial" w:hAnsi="Arial" w:cs="Arial"/>
          <w:lang w:val="en-GB"/>
        </w:rPr>
        <w:t xml:space="preserve">Therefore, as can be previously seen the Applicant was only paid in the region of R9 000 000.00 per machine and the Applicant can provide no basis for contending that this amount would now be R57 000 000.00 in respect of each machine. Further that the Applicant is claiming a liquidated amount and there cannot be any grounds for summary judgment in this matter as there is a dispute of fact that cannot be resolved on the papers alone. Lastly that the Agreement is unlawful, unconstitutional and invalid as it contravenes the Constitution and the PFMA therefore summary judgment cannot be utilised to protect an illegally obtained right. On these basis the summary judgment should be dismissed with costs. </w:t>
      </w:r>
      <w:r w:rsidR="009B64E1">
        <w:rPr>
          <w:rFonts w:ascii="Arial" w:hAnsi="Arial" w:cs="Arial"/>
          <w:lang w:val="en-GB"/>
        </w:rPr>
        <w:t xml:space="preserve">It is the </w:t>
      </w:r>
      <w:r w:rsidR="006B0E2F">
        <w:rPr>
          <w:rFonts w:ascii="Arial" w:hAnsi="Arial" w:cs="Arial"/>
          <w:lang w:val="en-GB"/>
        </w:rPr>
        <w:t>R</w:t>
      </w:r>
      <w:r w:rsidR="009B64E1">
        <w:rPr>
          <w:rFonts w:ascii="Arial" w:hAnsi="Arial" w:cs="Arial"/>
          <w:lang w:val="en-GB"/>
        </w:rPr>
        <w:t xml:space="preserve">espondent’s contention that it has raised or set out sufficient facts in its affidavit, which if proved will constitute and answer to the </w:t>
      </w:r>
      <w:r>
        <w:rPr>
          <w:rFonts w:ascii="Arial" w:hAnsi="Arial" w:cs="Arial"/>
          <w:lang w:val="en-GB"/>
        </w:rPr>
        <w:t>A</w:t>
      </w:r>
      <w:r w:rsidR="009B64E1">
        <w:rPr>
          <w:rFonts w:ascii="Arial" w:hAnsi="Arial" w:cs="Arial"/>
          <w:lang w:val="en-GB"/>
        </w:rPr>
        <w:t xml:space="preserve">pplicant’s claim and or is a </w:t>
      </w:r>
      <w:r w:rsidR="009B64E1" w:rsidRPr="009739FC">
        <w:rPr>
          <w:rFonts w:ascii="Arial" w:hAnsi="Arial" w:cs="Arial"/>
          <w:i/>
          <w:iCs/>
          <w:lang w:val="en-GB"/>
        </w:rPr>
        <w:t>bona fide</w:t>
      </w:r>
      <w:r w:rsidR="009B64E1">
        <w:rPr>
          <w:rFonts w:ascii="Arial" w:hAnsi="Arial" w:cs="Arial"/>
          <w:lang w:val="en-GB"/>
        </w:rPr>
        <w:t xml:space="preserve"> defence therefore the court should not grant the summary judgment. </w:t>
      </w:r>
    </w:p>
    <w:p w14:paraId="656E0F61" w14:textId="77777777" w:rsidR="00656BAE" w:rsidRDefault="00656BAE" w:rsidP="00CA3F31">
      <w:pPr>
        <w:autoSpaceDE w:val="0"/>
        <w:autoSpaceDN w:val="0"/>
        <w:adjustRightInd w:val="0"/>
        <w:spacing w:after="120" w:line="360" w:lineRule="auto"/>
        <w:ind w:right="-386"/>
        <w:jc w:val="both"/>
        <w:rPr>
          <w:rFonts w:ascii="Arial" w:hAnsi="Arial" w:cs="Arial"/>
          <w:b/>
          <w:bCs/>
          <w:lang w:val="en-GB"/>
        </w:rPr>
      </w:pPr>
    </w:p>
    <w:p w14:paraId="55F36F53" w14:textId="6C8A2EC3"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[1</w:t>
      </w:r>
      <w:r w:rsidR="00640033">
        <w:rPr>
          <w:rFonts w:ascii="Arial" w:hAnsi="Arial" w:cs="Arial"/>
          <w:lang w:val="en-GB"/>
        </w:rPr>
        <w:t>3</w:t>
      </w:r>
      <w:r>
        <w:rPr>
          <w:rFonts w:ascii="Arial" w:hAnsi="Arial" w:cs="Arial"/>
          <w:lang w:val="en-GB"/>
        </w:rPr>
        <w:t>]</w:t>
      </w:r>
      <w:r>
        <w:rPr>
          <w:rFonts w:ascii="Arial" w:hAnsi="Arial" w:cs="Arial"/>
          <w:lang w:val="en-GB"/>
        </w:rPr>
        <w:tab/>
        <w:t xml:space="preserve">The </w:t>
      </w:r>
      <w:r w:rsidR="00640033">
        <w:rPr>
          <w:rFonts w:ascii="Arial" w:hAnsi="Arial" w:cs="Arial"/>
          <w:lang w:val="en-GB"/>
        </w:rPr>
        <w:t>R</w:t>
      </w:r>
      <w:r>
        <w:rPr>
          <w:rFonts w:ascii="Arial" w:hAnsi="Arial" w:cs="Arial"/>
          <w:lang w:val="en-GB"/>
        </w:rPr>
        <w:t xml:space="preserve">espondent contends that it has </w:t>
      </w:r>
      <w:r>
        <w:rPr>
          <w:rFonts w:ascii="Arial" w:hAnsi="Arial" w:cs="Arial"/>
          <w:i/>
          <w:iCs/>
          <w:lang w:val="en-GB"/>
        </w:rPr>
        <w:t>bona fide</w:t>
      </w:r>
      <w:r>
        <w:rPr>
          <w:rFonts w:ascii="Arial" w:hAnsi="Arial" w:cs="Arial"/>
          <w:lang w:val="en-GB"/>
        </w:rPr>
        <w:t xml:space="preserve"> defence</w:t>
      </w:r>
      <w:r w:rsidR="006B0E2F">
        <w:rPr>
          <w:rFonts w:ascii="Arial" w:hAnsi="Arial" w:cs="Arial"/>
          <w:lang w:val="en-GB"/>
        </w:rPr>
        <w:t>s</w:t>
      </w:r>
      <w:r>
        <w:rPr>
          <w:rFonts w:ascii="Arial" w:hAnsi="Arial" w:cs="Arial"/>
          <w:lang w:val="en-GB"/>
        </w:rPr>
        <w:t xml:space="preserve"> and has raised triable issues entitling it to leave to defend </w:t>
      </w:r>
      <w:r w:rsidR="00640033">
        <w:rPr>
          <w:rFonts w:ascii="Arial" w:hAnsi="Arial" w:cs="Arial"/>
          <w:lang w:val="en-GB"/>
        </w:rPr>
        <w:t>A</w:t>
      </w:r>
      <w:r>
        <w:rPr>
          <w:rFonts w:ascii="Arial" w:hAnsi="Arial" w:cs="Arial"/>
          <w:lang w:val="en-GB"/>
        </w:rPr>
        <w:t xml:space="preserve">pplicant’s claim. </w:t>
      </w:r>
    </w:p>
    <w:p w14:paraId="0C30E5D4" w14:textId="77777777" w:rsidR="00656BAE" w:rsidRDefault="00656BAE" w:rsidP="00CA3F31">
      <w:pPr>
        <w:autoSpaceDE w:val="0"/>
        <w:autoSpaceDN w:val="0"/>
        <w:adjustRightInd w:val="0"/>
        <w:spacing w:after="120" w:line="360" w:lineRule="auto"/>
        <w:ind w:right="-386"/>
        <w:jc w:val="both"/>
        <w:rPr>
          <w:rFonts w:ascii="Arial" w:hAnsi="Arial" w:cs="Arial"/>
          <w:b/>
          <w:bCs/>
          <w:lang w:val="en-GB"/>
        </w:rPr>
      </w:pPr>
    </w:p>
    <w:p w14:paraId="7702A442" w14:textId="0AD79644"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[1</w:t>
      </w:r>
      <w:r w:rsidR="00640033">
        <w:rPr>
          <w:rFonts w:ascii="Arial" w:hAnsi="Arial" w:cs="Arial"/>
          <w:lang w:val="en-GB"/>
        </w:rPr>
        <w:t>4</w:t>
      </w:r>
      <w:r>
        <w:rPr>
          <w:rFonts w:ascii="Arial" w:hAnsi="Arial" w:cs="Arial"/>
          <w:lang w:val="en-GB"/>
        </w:rPr>
        <w:t>]</w:t>
      </w:r>
      <w:r>
        <w:rPr>
          <w:rFonts w:ascii="Arial" w:hAnsi="Arial" w:cs="Arial"/>
          <w:lang w:val="en-GB"/>
        </w:rPr>
        <w:tab/>
        <w:t xml:space="preserve">Summary judgment is an extraordinary, stringent and drastic remedy, it calls for strict compliance with the prerequisites as provided for in Rule 32 (2) (b). See </w:t>
      </w:r>
      <w:r>
        <w:rPr>
          <w:rFonts w:ascii="Arial" w:hAnsi="Arial" w:cs="Arial"/>
          <w:b/>
          <w:bCs/>
          <w:i/>
          <w:iCs/>
          <w:u w:val="single"/>
          <w:lang w:val="en-GB"/>
        </w:rPr>
        <w:t>Gull Steel (Pty) Ltd v Rack Hire BOP (Pty) Ltd</w:t>
      </w:r>
      <w:r>
        <w:rPr>
          <w:rFonts w:ascii="Arial" w:hAnsi="Arial" w:cs="Arial"/>
          <w:b/>
          <w:bCs/>
          <w:u w:val="single"/>
          <w:lang w:val="en-GB"/>
        </w:rPr>
        <w:t xml:space="preserve"> 1998 (1) SA 679 (O)</w:t>
      </w:r>
      <w:r>
        <w:rPr>
          <w:rFonts w:ascii="Arial" w:hAnsi="Arial" w:cs="Arial"/>
          <w:lang w:val="en-GB"/>
        </w:rPr>
        <w:t xml:space="preserve"> at 683 H.</w:t>
      </w:r>
    </w:p>
    <w:p w14:paraId="0BAC712B" w14:textId="77777777" w:rsidR="00656BAE" w:rsidRDefault="00656BAE" w:rsidP="00CA3F31">
      <w:pPr>
        <w:autoSpaceDE w:val="0"/>
        <w:autoSpaceDN w:val="0"/>
        <w:adjustRightInd w:val="0"/>
        <w:spacing w:after="120" w:line="360" w:lineRule="auto"/>
        <w:ind w:right="-386"/>
        <w:jc w:val="both"/>
        <w:rPr>
          <w:rFonts w:ascii="Arial" w:hAnsi="Arial" w:cs="Arial"/>
          <w:b/>
          <w:bCs/>
          <w:lang w:val="en-GB"/>
        </w:rPr>
      </w:pPr>
    </w:p>
    <w:p w14:paraId="4128001A" w14:textId="672EDA3E" w:rsidR="009B64E1" w:rsidRDefault="009B64E1" w:rsidP="00CA3F31">
      <w:pPr>
        <w:autoSpaceDE w:val="0"/>
        <w:autoSpaceDN w:val="0"/>
        <w:adjustRightInd w:val="0"/>
        <w:spacing w:after="120" w:line="360" w:lineRule="auto"/>
        <w:ind w:right="-386"/>
        <w:jc w:val="both"/>
        <w:rPr>
          <w:rFonts w:ascii="Arial" w:hAnsi="Arial" w:cs="Arial"/>
          <w:b/>
          <w:bCs/>
          <w:lang w:val="en-GB"/>
        </w:rPr>
      </w:pPr>
      <w:r>
        <w:rPr>
          <w:rFonts w:ascii="Arial" w:hAnsi="Arial" w:cs="Arial"/>
          <w:lang w:val="en-GB"/>
        </w:rPr>
        <w:t>[1</w:t>
      </w:r>
      <w:r w:rsidR="0042068D">
        <w:rPr>
          <w:rFonts w:ascii="Arial" w:hAnsi="Arial" w:cs="Arial"/>
          <w:lang w:val="en-GB"/>
        </w:rPr>
        <w:t>5</w:t>
      </w:r>
      <w:r>
        <w:rPr>
          <w:rFonts w:ascii="Arial" w:hAnsi="Arial" w:cs="Arial"/>
          <w:lang w:val="en-GB"/>
        </w:rPr>
        <w:t>]</w:t>
      </w:r>
      <w:r>
        <w:rPr>
          <w:rFonts w:ascii="Arial" w:hAnsi="Arial" w:cs="Arial"/>
          <w:lang w:val="en-GB"/>
        </w:rPr>
        <w:tab/>
        <w:t xml:space="preserve">In </w:t>
      </w:r>
      <w:r>
        <w:rPr>
          <w:rFonts w:ascii="Arial" w:hAnsi="Arial" w:cs="Arial"/>
          <w:b/>
          <w:bCs/>
          <w:i/>
          <w:iCs/>
          <w:u w:val="single"/>
          <w:lang w:val="en-GB"/>
        </w:rPr>
        <w:t>Maharaj v Barclays Ltd</w:t>
      </w:r>
      <w:r>
        <w:rPr>
          <w:rFonts w:ascii="Arial" w:hAnsi="Arial" w:cs="Arial"/>
          <w:b/>
          <w:bCs/>
          <w:u w:val="single"/>
          <w:lang w:val="en-GB"/>
        </w:rPr>
        <w:t xml:space="preserve"> 1976 (1) SA 418 (A)</w:t>
      </w:r>
      <w:r>
        <w:rPr>
          <w:rFonts w:ascii="Arial" w:hAnsi="Arial" w:cs="Arial"/>
          <w:lang w:val="en-GB"/>
        </w:rPr>
        <w:t xml:space="preserve"> </w:t>
      </w:r>
      <w:r>
        <w:rPr>
          <w:rFonts w:ascii="Arial" w:hAnsi="Arial" w:cs="Arial"/>
          <w:b/>
          <w:bCs/>
          <w:i/>
          <w:iCs/>
          <w:u w:val="single"/>
          <w:lang w:val="en-GB"/>
        </w:rPr>
        <w:t>Maharaj v Barclays Ltd</w:t>
      </w:r>
      <w:r>
        <w:rPr>
          <w:rFonts w:ascii="Arial" w:hAnsi="Arial" w:cs="Arial"/>
          <w:b/>
          <w:bCs/>
          <w:u w:val="single"/>
          <w:lang w:val="en-GB"/>
        </w:rPr>
        <w:t xml:space="preserve"> 1976 (1) SA 418 (A)</w:t>
      </w:r>
      <w:r>
        <w:rPr>
          <w:rFonts w:ascii="Arial" w:hAnsi="Arial" w:cs="Arial"/>
          <w:lang w:val="en-GB"/>
        </w:rPr>
        <w:t xml:space="preserve"> </w:t>
      </w:r>
      <w:r>
        <w:rPr>
          <w:rFonts w:ascii="Arial" w:hAnsi="Arial" w:cs="Arial"/>
          <w:b/>
          <w:bCs/>
          <w:i/>
          <w:iCs/>
          <w:u w:val="single"/>
          <w:lang w:val="en-GB"/>
        </w:rPr>
        <w:t>Maharaj v Barclays Ltd</w:t>
      </w:r>
      <w:r>
        <w:rPr>
          <w:rFonts w:ascii="Arial" w:hAnsi="Arial" w:cs="Arial"/>
          <w:b/>
          <w:bCs/>
          <w:u w:val="single"/>
          <w:lang w:val="en-GB"/>
        </w:rPr>
        <w:t xml:space="preserve"> 1976 (1) SA 418 (A)</w:t>
      </w:r>
      <w:r>
        <w:rPr>
          <w:rFonts w:ascii="Arial" w:hAnsi="Arial" w:cs="Arial"/>
          <w:lang w:val="en-GB"/>
        </w:rPr>
        <w:t xml:space="preserve">  the courts are vested with an unfettered discretion which has to be exercised judicially when considering summary judgment applications. Summary judgment will be granted in the event where the plaintiff has made out an unanswerable case against the defendant who simply wants to unnecessarily delay the plaintiff’s case. In </w:t>
      </w:r>
      <w:r>
        <w:rPr>
          <w:rFonts w:ascii="Arial" w:hAnsi="Arial" w:cs="Arial"/>
          <w:b/>
          <w:bCs/>
          <w:i/>
          <w:iCs/>
          <w:u w:val="single"/>
          <w:lang w:val="en-GB"/>
        </w:rPr>
        <w:t>Maharaj</w:t>
      </w:r>
      <w:r>
        <w:rPr>
          <w:rFonts w:ascii="Arial" w:hAnsi="Arial" w:cs="Arial"/>
          <w:i/>
          <w:iCs/>
          <w:lang w:val="en-GB"/>
        </w:rPr>
        <w:t xml:space="preserve"> supra,</w:t>
      </w:r>
      <w:r>
        <w:rPr>
          <w:rFonts w:ascii="Arial" w:hAnsi="Arial" w:cs="Arial"/>
          <w:lang w:val="en-GB"/>
        </w:rPr>
        <w:t xml:space="preserve"> the court held that in deciding whether or not to grant summary judgment, the principle is that the court has to look at the matter and all the documents that are properly before it.</w:t>
      </w:r>
    </w:p>
    <w:p w14:paraId="77FA9AA7" w14:textId="07862748" w:rsidR="0042068D" w:rsidRDefault="0042068D"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lastRenderedPageBreak/>
        <w:t>[16]</w:t>
      </w:r>
      <w:r>
        <w:rPr>
          <w:rFonts w:ascii="Arial" w:hAnsi="Arial" w:cs="Arial"/>
          <w:lang w:val="en-GB"/>
        </w:rPr>
        <w:tab/>
        <w:t xml:space="preserve">The Applicant averred that he had followed the same processes as he did with previous invoices for Ghost machines recovered and therefore there is clearly and Agreement between the parties and the debt has not been paid for the machine recovered on 3 August 2017. He further stated that the Agreement cannot be unlawful as he states that the processes for procurement were different as this was contract was “specialized” in nature. Further that a forensic investigation into service providers and suppliers was done by Eskom in which the Applicant also submitted documents and compulsory interviews received a clean audit.   Therefore, there are no defences. The Applicant, however, significantly has made no averment on how the Respondent is liable to pay R57 000 000.00 for one machine when it previously charged approximately R9 000 000.00 per machine for the recovery of three other machines. </w:t>
      </w:r>
    </w:p>
    <w:p w14:paraId="409DA32A" w14:textId="77777777" w:rsidR="00656BAE" w:rsidRDefault="00656BAE" w:rsidP="00CA3F31">
      <w:pPr>
        <w:autoSpaceDE w:val="0"/>
        <w:autoSpaceDN w:val="0"/>
        <w:adjustRightInd w:val="0"/>
        <w:spacing w:after="120" w:line="360" w:lineRule="auto"/>
        <w:ind w:right="-386"/>
        <w:jc w:val="both"/>
        <w:rPr>
          <w:rFonts w:ascii="Arial" w:hAnsi="Arial" w:cs="Arial"/>
          <w:lang w:val="en-GB"/>
        </w:rPr>
      </w:pPr>
    </w:p>
    <w:p w14:paraId="640BEA1C" w14:textId="04E32D7D" w:rsidR="0042068D" w:rsidRDefault="0042068D" w:rsidP="00CA3F31">
      <w:pPr>
        <w:autoSpaceDE w:val="0"/>
        <w:autoSpaceDN w:val="0"/>
        <w:adjustRightInd w:val="0"/>
        <w:spacing w:after="120" w:line="360" w:lineRule="auto"/>
        <w:ind w:right="-386"/>
        <w:jc w:val="both"/>
        <w:rPr>
          <w:rFonts w:ascii="Arial" w:hAnsi="Arial" w:cs="Arial"/>
          <w:b/>
          <w:bCs/>
          <w:lang w:val="en-GB"/>
        </w:rPr>
      </w:pPr>
      <w:r>
        <w:rPr>
          <w:rFonts w:ascii="Arial" w:hAnsi="Arial" w:cs="Arial"/>
          <w:lang w:val="en-GB"/>
        </w:rPr>
        <w:t>[17]</w:t>
      </w:r>
      <w:r>
        <w:rPr>
          <w:rFonts w:ascii="Arial" w:hAnsi="Arial" w:cs="Arial"/>
          <w:lang w:val="en-GB"/>
        </w:rPr>
        <w:tab/>
        <w:t xml:space="preserve">The Respondent has taken issue with the calculation of the rate at which the Applicant has calculated the amount owing amongst several other issues in that the Agreement itself was unlawful. Therefore, there is no explanation from the Applicant why it proceeded to pursue payment for R57 000 000.00 from the Respondent and the Respondent’s defence remains unanswered. </w:t>
      </w:r>
    </w:p>
    <w:p w14:paraId="534422DF" w14:textId="77777777" w:rsidR="0042068D" w:rsidRDefault="0042068D" w:rsidP="00CA3F31">
      <w:pPr>
        <w:spacing w:after="120" w:line="360" w:lineRule="auto"/>
        <w:jc w:val="both"/>
        <w:rPr>
          <w:rFonts w:ascii="Arial" w:hAnsi="Arial" w:cs="Arial"/>
          <w:lang w:val="en-GB"/>
        </w:rPr>
      </w:pPr>
    </w:p>
    <w:p w14:paraId="3698B0C0" w14:textId="0690CDDF" w:rsidR="009B64E1" w:rsidRDefault="009B64E1" w:rsidP="00CA3F31">
      <w:pPr>
        <w:spacing w:after="120" w:line="360" w:lineRule="auto"/>
        <w:jc w:val="both"/>
        <w:rPr>
          <w:rFonts w:ascii="Arial" w:hAnsi="Arial" w:cs="Arial"/>
          <w:lang w:val="en-GB" w:eastAsia="zh-CN"/>
        </w:rPr>
      </w:pPr>
      <w:r>
        <w:rPr>
          <w:rFonts w:ascii="Arial" w:hAnsi="Arial" w:cs="Arial"/>
          <w:lang w:val="en-GB"/>
        </w:rPr>
        <w:t>[1</w:t>
      </w:r>
      <w:r w:rsidR="0042068D">
        <w:rPr>
          <w:rFonts w:ascii="Arial" w:hAnsi="Arial" w:cs="Arial"/>
          <w:lang w:val="en-GB"/>
        </w:rPr>
        <w:t>8</w:t>
      </w:r>
      <w:r>
        <w:rPr>
          <w:rFonts w:ascii="Arial" w:hAnsi="Arial" w:cs="Arial"/>
          <w:lang w:val="en-GB"/>
        </w:rPr>
        <w:t>]</w:t>
      </w:r>
      <w:r>
        <w:rPr>
          <w:rFonts w:ascii="Arial" w:hAnsi="Arial" w:cs="Arial"/>
          <w:lang w:val="en-GB"/>
        </w:rPr>
        <w:tab/>
        <w:t xml:space="preserve">The </w:t>
      </w:r>
      <w:r w:rsidR="00640033">
        <w:rPr>
          <w:rFonts w:ascii="Arial" w:hAnsi="Arial" w:cs="Arial"/>
          <w:lang w:val="en-GB"/>
        </w:rPr>
        <w:t>A</w:t>
      </w:r>
      <w:r>
        <w:rPr>
          <w:rFonts w:ascii="Arial" w:hAnsi="Arial" w:cs="Arial"/>
          <w:lang w:val="en-GB"/>
        </w:rPr>
        <w:t xml:space="preserve">pplicant’s cause of action which constitutes its foundation in this application </w:t>
      </w:r>
      <w:r w:rsidR="00640033">
        <w:rPr>
          <w:rFonts w:ascii="Arial" w:hAnsi="Arial" w:cs="Arial"/>
          <w:lang w:val="en-GB"/>
        </w:rPr>
        <w:t xml:space="preserve">is </w:t>
      </w:r>
      <w:r>
        <w:rPr>
          <w:rFonts w:ascii="Arial" w:hAnsi="Arial" w:cs="Arial"/>
          <w:lang w:val="en-GB"/>
        </w:rPr>
        <w:t>disputed. In my view the defences raised d</w:t>
      </w:r>
      <w:r w:rsidR="00640033">
        <w:rPr>
          <w:rFonts w:ascii="Arial" w:hAnsi="Arial" w:cs="Arial"/>
          <w:lang w:val="en-GB"/>
        </w:rPr>
        <w:t xml:space="preserve">o </w:t>
      </w:r>
      <w:r>
        <w:rPr>
          <w:rFonts w:ascii="Arial" w:hAnsi="Arial" w:cs="Arial"/>
          <w:lang w:val="en-GB"/>
        </w:rPr>
        <w:t xml:space="preserve">provide an explanation to the claim and the claim therefore </w:t>
      </w:r>
      <w:r w:rsidR="00BA1E10">
        <w:rPr>
          <w:rFonts w:ascii="Arial" w:hAnsi="Arial" w:cs="Arial"/>
          <w:lang w:val="en-GB"/>
        </w:rPr>
        <w:t xml:space="preserve">has been </w:t>
      </w:r>
      <w:r>
        <w:rPr>
          <w:rFonts w:ascii="Arial" w:hAnsi="Arial" w:cs="Arial"/>
          <w:lang w:val="en-GB"/>
        </w:rPr>
        <w:t xml:space="preserve">answered by the </w:t>
      </w:r>
      <w:r w:rsidR="00BA1E10">
        <w:rPr>
          <w:rFonts w:ascii="Arial" w:hAnsi="Arial" w:cs="Arial"/>
          <w:lang w:val="en-GB"/>
        </w:rPr>
        <w:t>R</w:t>
      </w:r>
      <w:r>
        <w:rPr>
          <w:rFonts w:ascii="Arial" w:hAnsi="Arial" w:cs="Arial"/>
          <w:lang w:val="en-GB"/>
        </w:rPr>
        <w:t>espondent. In respect of the defence</w:t>
      </w:r>
      <w:r w:rsidR="00BA1E10">
        <w:rPr>
          <w:rFonts w:ascii="Arial" w:hAnsi="Arial" w:cs="Arial"/>
          <w:lang w:val="en-GB"/>
        </w:rPr>
        <w:t xml:space="preserve"> that the process contravenes the PFMA and the Constitution</w:t>
      </w:r>
      <w:r>
        <w:rPr>
          <w:rFonts w:ascii="Arial" w:hAnsi="Arial" w:cs="Arial"/>
          <w:lang w:val="en-GB"/>
        </w:rPr>
        <w:t xml:space="preserve"> I am satisfied that </w:t>
      </w:r>
      <w:r w:rsidR="00BA1E10">
        <w:rPr>
          <w:rFonts w:ascii="Arial" w:hAnsi="Arial" w:cs="Arial"/>
          <w:lang w:val="en-GB"/>
        </w:rPr>
        <w:t xml:space="preserve">there is a triable issue. </w:t>
      </w:r>
      <w:r>
        <w:rPr>
          <w:rFonts w:ascii="Arial" w:hAnsi="Arial" w:cs="Arial"/>
          <w:lang w:val="en-GB"/>
        </w:rPr>
        <w:t xml:space="preserve">In respect of the second defence raised the </w:t>
      </w:r>
      <w:r w:rsidR="0042068D">
        <w:rPr>
          <w:rFonts w:ascii="Arial" w:hAnsi="Arial" w:cs="Arial"/>
          <w:lang w:val="en-GB"/>
        </w:rPr>
        <w:t>A</w:t>
      </w:r>
      <w:r w:rsidR="00BA1E10">
        <w:rPr>
          <w:rFonts w:ascii="Arial" w:hAnsi="Arial" w:cs="Arial"/>
          <w:lang w:val="en-GB"/>
        </w:rPr>
        <w:t>pplicant</w:t>
      </w:r>
      <w:r>
        <w:rPr>
          <w:rFonts w:ascii="Arial" w:hAnsi="Arial" w:cs="Arial"/>
          <w:lang w:val="en-GB"/>
        </w:rPr>
        <w:t xml:space="preserve"> has in </w:t>
      </w:r>
      <w:r w:rsidR="00CA3F31">
        <w:rPr>
          <w:rFonts w:ascii="Arial" w:hAnsi="Arial" w:cs="Arial"/>
          <w:lang w:val="en-GB"/>
        </w:rPr>
        <w:t xml:space="preserve">its own papers averred that </w:t>
      </w:r>
      <w:r w:rsidR="00BA1E10">
        <w:rPr>
          <w:rFonts w:ascii="Arial" w:hAnsi="Arial" w:cs="Arial"/>
          <w:lang w:val="en-GB"/>
        </w:rPr>
        <w:t>it was paid approximately R 9 000 000.00 for each machine previously</w:t>
      </w:r>
      <w:r>
        <w:rPr>
          <w:rFonts w:ascii="Arial" w:hAnsi="Arial" w:cs="Arial"/>
          <w:lang w:val="en-GB"/>
        </w:rPr>
        <w:t xml:space="preserve">, therefore the defence that the </w:t>
      </w:r>
      <w:r w:rsidR="00BA1E10">
        <w:rPr>
          <w:rFonts w:ascii="Arial" w:hAnsi="Arial" w:cs="Arial"/>
          <w:lang w:val="en-GB"/>
        </w:rPr>
        <w:t xml:space="preserve">Respondent </w:t>
      </w:r>
      <w:r>
        <w:rPr>
          <w:rFonts w:ascii="Arial" w:hAnsi="Arial" w:cs="Arial"/>
          <w:lang w:val="en-GB"/>
        </w:rPr>
        <w:t xml:space="preserve">is indebted to the </w:t>
      </w:r>
      <w:r w:rsidR="00BA1E10">
        <w:rPr>
          <w:rFonts w:ascii="Arial" w:hAnsi="Arial" w:cs="Arial"/>
          <w:lang w:val="en-GB"/>
        </w:rPr>
        <w:t>Applicant for R57 000 000.00 for one machine</w:t>
      </w:r>
      <w:r>
        <w:rPr>
          <w:rFonts w:ascii="Arial" w:hAnsi="Arial" w:cs="Arial"/>
          <w:lang w:val="en-GB"/>
        </w:rPr>
        <w:t xml:space="preserve"> is non-sensical and must be factually incorrect. </w:t>
      </w:r>
    </w:p>
    <w:p w14:paraId="1AC17E48" w14:textId="77777777" w:rsidR="009B64E1" w:rsidRPr="00C45D45" w:rsidRDefault="009B64E1" w:rsidP="00CA3F31">
      <w:pPr>
        <w:spacing w:after="120" w:line="360" w:lineRule="auto"/>
        <w:jc w:val="both"/>
        <w:rPr>
          <w:rFonts w:ascii="Arial" w:hAnsi="Arial" w:cs="Arial"/>
          <w:lang w:val="en-GB" w:eastAsia="zh-CN"/>
        </w:rPr>
      </w:pPr>
    </w:p>
    <w:p w14:paraId="0C166368" w14:textId="0098D233" w:rsidR="009B64E1" w:rsidRDefault="009B64E1" w:rsidP="00CA3F31">
      <w:pPr>
        <w:autoSpaceDE w:val="0"/>
        <w:autoSpaceDN w:val="0"/>
        <w:adjustRightInd w:val="0"/>
        <w:spacing w:after="120" w:line="360" w:lineRule="auto"/>
        <w:ind w:right="-386"/>
        <w:jc w:val="both"/>
        <w:rPr>
          <w:rFonts w:ascii="Arial" w:hAnsi="Arial" w:cs="Arial"/>
          <w:lang w:val="en-GB"/>
        </w:rPr>
      </w:pPr>
      <w:r>
        <w:rPr>
          <w:rFonts w:ascii="Arial" w:hAnsi="Arial" w:cs="Arial"/>
          <w:lang w:val="en-GB"/>
        </w:rPr>
        <w:t>[</w:t>
      </w:r>
      <w:r w:rsidR="0042068D">
        <w:rPr>
          <w:rFonts w:ascii="Arial" w:hAnsi="Arial" w:cs="Arial"/>
          <w:lang w:val="en-GB"/>
        </w:rPr>
        <w:t>19</w:t>
      </w:r>
      <w:r>
        <w:rPr>
          <w:rFonts w:ascii="Arial" w:hAnsi="Arial" w:cs="Arial"/>
          <w:lang w:val="en-GB"/>
        </w:rPr>
        <w:t>]</w:t>
      </w:r>
      <w:r>
        <w:rPr>
          <w:rFonts w:ascii="Arial" w:hAnsi="Arial" w:cs="Arial"/>
          <w:lang w:val="en-GB"/>
        </w:rPr>
        <w:tab/>
        <w:t xml:space="preserve">I am satisfied that the defences raised by the </w:t>
      </w:r>
      <w:r w:rsidR="00BA1E10">
        <w:rPr>
          <w:rFonts w:ascii="Arial" w:hAnsi="Arial" w:cs="Arial"/>
          <w:lang w:val="en-GB"/>
        </w:rPr>
        <w:t>R</w:t>
      </w:r>
      <w:r>
        <w:rPr>
          <w:rFonts w:ascii="Arial" w:hAnsi="Arial" w:cs="Arial"/>
          <w:lang w:val="en-GB"/>
        </w:rPr>
        <w:t xml:space="preserve">espondent to the </w:t>
      </w:r>
      <w:r w:rsidR="00BA1E10">
        <w:rPr>
          <w:rFonts w:ascii="Arial" w:hAnsi="Arial" w:cs="Arial"/>
          <w:lang w:val="en-GB"/>
        </w:rPr>
        <w:t>A</w:t>
      </w:r>
      <w:r>
        <w:rPr>
          <w:rFonts w:ascii="Arial" w:hAnsi="Arial" w:cs="Arial"/>
          <w:lang w:val="en-GB"/>
        </w:rPr>
        <w:t xml:space="preserve">pplicant’s case are </w:t>
      </w:r>
      <w:r>
        <w:rPr>
          <w:rFonts w:ascii="Arial" w:hAnsi="Arial" w:cs="Arial"/>
          <w:i/>
          <w:iCs/>
          <w:lang w:val="en-GB"/>
        </w:rPr>
        <w:t xml:space="preserve">bona fide </w:t>
      </w:r>
      <w:r>
        <w:rPr>
          <w:rFonts w:ascii="Arial" w:hAnsi="Arial" w:cs="Arial"/>
          <w:lang w:val="en-GB"/>
        </w:rPr>
        <w:t xml:space="preserve">defences </w:t>
      </w:r>
      <w:r w:rsidR="0042068D">
        <w:rPr>
          <w:rFonts w:ascii="Arial" w:hAnsi="Arial" w:cs="Arial"/>
          <w:lang w:val="en-GB"/>
        </w:rPr>
        <w:t>which can be</w:t>
      </w:r>
      <w:r>
        <w:rPr>
          <w:rFonts w:ascii="Arial" w:hAnsi="Arial" w:cs="Arial"/>
          <w:lang w:val="en-GB"/>
        </w:rPr>
        <w:t xml:space="preserve"> sustained by the </w:t>
      </w:r>
      <w:r w:rsidR="00BA1E10">
        <w:rPr>
          <w:rFonts w:ascii="Arial" w:hAnsi="Arial" w:cs="Arial"/>
          <w:lang w:val="en-GB"/>
        </w:rPr>
        <w:t>R</w:t>
      </w:r>
      <w:r>
        <w:rPr>
          <w:rFonts w:ascii="Arial" w:hAnsi="Arial" w:cs="Arial"/>
          <w:lang w:val="en-GB"/>
        </w:rPr>
        <w:t>espondent at the subsequent trial.</w:t>
      </w:r>
    </w:p>
    <w:p w14:paraId="01C493D9" w14:textId="77777777" w:rsidR="00656BAE" w:rsidRDefault="00656BAE" w:rsidP="00CA3F31">
      <w:pPr>
        <w:autoSpaceDE w:val="0"/>
        <w:autoSpaceDN w:val="0"/>
        <w:adjustRightInd w:val="0"/>
        <w:spacing w:after="120" w:line="360" w:lineRule="auto"/>
        <w:ind w:right="-386"/>
        <w:jc w:val="both"/>
        <w:rPr>
          <w:rFonts w:ascii="Arial" w:hAnsi="Arial" w:cs="Arial"/>
          <w:b/>
          <w:bCs/>
          <w:lang w:val="en-GB"/>
        </w:rPr>
      </w:pPr>
    </w:p>
    <w:p w14:paraId="51F038B0" w14:textId="0CACD8CB" w:rsidR="009B64E1" w:rsidRPr="00656BAE" w:rsidRDefault="009B64E1" w:rsidP="00CA3F31">
      <w:pPr>
        <w:autoSpaceDE w:val="0"/>
        <w:autoSpaceDN w:val="0"/>
        <w:adjustRightInd w:val="0"/>
        <w:spacing w:after="120" w:line="360" w:lineRule="auto"/>
        <w:ind w:right="-386"/>
        <w:jc w:val="both"/>
        <w:rPr>
          <w:rFonts w:ascii="Arial" w:hAnsi="Arial" w:cs="Arial"/>
          <w:b/>
          <w:bCs/>
          <w:lang w:val="en-GB"/>
        </w:rPr>
      </w:pPr>
      <w:r w:rsidRPr="00656BAE">
        <w:rPr>
          <w:rFonts w:ascii="Arial" w:hAnsi="Arial" w:cs="Arial"/>
          <w:b/>
          <w:lang w:val="en-GB"/>
        </w:rPr>
        <w:lastRenderedPageBreak/>
        <w:t>[2</w:t>
      </w:r>
      <w:r w:rsidR="0042068D" w:rsidRPr="00656BAE">
        <w:rPr>
          <w:rFonts w:ascii="Arial" w:hAnsi="Arial" w:cs="Arial"/>
          <w:b/>
          <w:lang w:val="en-GB"/>
        </w:rPr>
        <w:t>0</w:t>
      </w:r>
      <w:r w:rsidRPr="00656BAE">
        <w:rPr>
          <w:rFonts w:ascii="Arial" w:hAnsi="Arial" w:cs="Arial"/>
          <w:b/>
          <w:lang w:val="en-GB"/>
        </w:rPr>
        <w:t>]</w:t>
      </w:r>
      <w:r w:rsidRPr="00656BAE">
        <w:rPr>
          <w:rFonts w:ascii="Arial" w:hAnsi="Arial" w:cs="Arial"/>
          <w:b/>
          <w:lang w:val="en-GB"/>
        </w:rPr>
        <w:tab/>
        <w:t>I therefore make the following order:</w:t>
      </w:r>
    </w:p>
    <w:p w14:paraId="07BBA2B7" w14:textId="4F7FBA9A" w:rsidR="009B64E1" w:rsidRPr="00656BAE" w:rsidRDefault="009B64E1" w:rsidP="00CA3F31">
      <w:pPr>
        <w:autoSpaceDE w:val="0"/>
        <w:autoSpaceDN w:val="0"/>
        <w:adjustRightInd w:val="0"/>
        <w:spacing w:after="120" w:line="360" w:lineRule="auto"/>
        <w:ind w:right="-386" w:firstLine="720"/>
        <w:jc w:val="both"/>
        <w:rPr>
          <w:rFonts w:ascii="Arial" w:hAnsi="Arial" w:cs="Arial"/>
          <w:b/>
          <w:lang w:val="en-GB"/>
        </w:rPr>
      </w:pPr>
      <w:r w:rsidRPr="00656BAE">
        <w:rPr>
          <w:rFonts w:ascii="Arial" w:hAnsi="Arial" w:cs="Arial"/>
          <w:b/>
          <w:lang w:val="en-GB"/>
        </w:rPr>
        <w:t>20.1</w:t>
      </w:r>
      <w:r w:rsidRPr="00656BAE">
        <w:rPr>
          <w:rFonts w:ascii="Arial" w:hAnsi="Arial" w:cs="Arial"/>
          <w:b/>
          <w:lang w:val="en-GB"/>
        </w:rPr>
        <w:tab/>
        <w:t xml:space="preserve">Summary judgment is granted with costs. </w:t>
      </w:r>
    </w:p>
    <w:p w14:paraId="722686E6" w14:textId="755042E2" w:rsidR="0042068D" w:rsidRPr="00656BAE" w:rsidRDefault="0042068D" w:rsidP="00CA3F31">
      <w:pPr>
        <w:autoSpaceDE w:val="0"/>
        <w:autoSpaceDN w:val="0"/>
        <w:adjustRightInd w:val="0"/>
        <w:spacing w:after="120" w:line="360" w:lineRule="auto"/>
        <w:ind w:right="-386" w:firstLine="720"/>
        <w:jc w:val="both"/>
        <w:rPr>
          <w:rFonts w:ascii="Arial" w:hAnsi="Arial" w:cs="Arial"/>
          <w:b/>
          <w:lang w:val="en-GB"/>
        </w:rPr>
      </w:pPr>
      <w:r w:rsidRPr="00656BAE">
        <w:rPr>
          <w:rFonts w:ascii="Arial" w:hAnsi="Arial" w:cs="Arial"/>
          <w:b/>
          <w:lang w:val="en-GB"/>
        </w:rPr>
        <w:t xml:space="preserve">20.2 The Respondent is granted leave to defend the action. </w:t>
      </w:r>
    </w:p>
    <w:p w14:paraId="635C6868" w14:textId="4D971409" w:rsidR="009B64E1" w:rsidRPr="00656BAE" w:rsidRDefault="009B64E1" w:rsidP="00CA3F31">
      <w:pPr>
        <w:kinsoku w:val="0"/>
        <w:overflowPunct w:val="0"/>
        <w:spacing w:after="120" w:line="360" w:lineRule="auto"/>
        <w:rPr>
          <w:b/>
          <w:bCs/>
          <w:color w:val="000000" w:themeColor="text1"/>
        </w:rPr>
      </w:pPr>
    </w:p>
    <w:p w14:paraId="37E87144" w14:textId="5E9DBE11" w:rsidR="00CA3F31" w:rsidRDefault="00CA3F31" w:rsidP="00CA3F31">
      <w:pPr>
        <w:kinsoku w:val="0"/>
        <w:overflowPunct w:val="0"/>
        <w:spacing w:after="120" w:line="360" w:lineRule="auto"/>
        <w:rPr>
          <w:b/>
          <w:bCs/>
          <w:color w:val="000000" w:themeColor="text1"/>
        </w:rPr>
      </w:pPr>
    </w:p>
    <w:p w14:paraId="64918BB5" w14:textId="77777777" w:rsidR="00CA3F31" w:rsidRDefault="00CA3F31" w:rsidP="0042068D">
      <w:pPr>
        <w:kinsoku w:val="0"/>
        <w:overflowPunct w:val="0"/>
        <w:spacing w:line="480" w:lineRule="auto"/>
        <w:rPr>
          <w:b/>
          <w:bCs/>
          <w:color w:val="000000" w:themeColor="text1"/>
        </w:rPr>
      </w:pPr>
    </w:p>
    <w:p w14:paraId="6B1E5A4F" w14:textId="77777777" w:rsidR="009B64E1" w:rsidRPr="004A5E06" w:rsidRDefault="009B64E1" w:rsidP="00CA3F31">
      <w:pPr>
        <w:kinsoku w:val="0"/>
        <w:overflowPunct w:val="0"/>
        <w:spacing w:line="480" w:lineRule="auto"/>
        <w:rPr>
          <w:rFonts w:ascii="Arial" w:hAnsi="Arial" w:cs="Arial"/>
          <w:b/>
          <w:bCs/>
          <w:color w:val="000000" w:themeColor="text1"/>
        </w:rPr>
      </w:pPr>
      <w:r>
        <w:rPr>
          <w:b/>
          <w:bCs/>
          <w:color w:val="000000" w:themeColor="text1"/>
        </w:rPr>
        <w:t>_______________</w:t>
      </w:r>
      <w:r w:rsidRPr="004A5E06">
        <w:rPr>
          <w:rFonts w:ascii="Arial" w:hAnsi="Arial" w:cs="Arial"/>
          <w:b/>
          <w:bCs/>
          <w:color w:val="000000" w:themeColor="text1"/>
        </w:rPr>
        <w:t>___</w:t>
      </w:r>
    </w:p>
    <w:p w14:paraId="067B848F" w14:textId="77777777" w:rsidR="009B64E1" w:rsidRPr="004A5E06" w:rsidRDefault="009B64E1" w:rsidP="00CA3F31">
      <w:pPr>
        <w:kinsoku w:val="0"/>
        <w:overflowPunct w:val="0"/>
        <w:spacing w:line="480" w:lineRule="auto"/>
        <w:rPr>
          <w:rFonts w:ascii="Arial" w:hAnsi="Arial" w:cs="Arial"/>
          <w:b/>
          <w:bCs/>
          <w:color w:val="000000" w:themeColor="text1"/>
        </w:rPr>
      </w:pPr>
      <w:r w:rsidRPr="004A5E06">
        <w:rPr>
          <w:rFonts w:ascii="Arial" w:hAnsi="Arial" w:cs="Arial"/>
          <w:b/>
          <w:bCs/>
          <w:color w:val="000000" w:themeColor="text1"/>
        </w:rPr>
        <w:t>SARDIWALLA J</w:t>
      </w:r>
    </w:p>
    <w:p w14:paraId="4B991F2A" w14:textId="77777777" w:rsidR="009B64E1" w:rsidRPr="004A5E06" w:rsidRDefault="009B64E1" w:rsidP="009B64E1">
      <w:pPr>
        <w:kinsoku w:val="0"/>
        <w:overflowPunct w:val="0"/>
        <w:spacing w:line="360" w:lineRule="auto"/>
        <w:ind w:right="184" w:firstLine="720"/>
        <w:rPr>
          <w:rFonts w:ascii="Arial" w:hAnsi="Arial" w:cs="Arial"/>
          <w:b/>
          <w:bCs/>
          <w:color w:val="000000" w:themeColor="text1"/>
          <w:u w:val="single"/>
        </w:rPr>
      </w:pPr>
    </w:p>
    <w:p w14:paraId="4C4D7775" w14:textId="77777777" w:rsidR="009B64E1" w:rsidRPr="004A5E06" w:rsidRDefault="009B64E1" w:rsidP="009B64E1">
      <w:pPr>
        <w:kinsoku w:val="0"/>
        <w:overflowPunct w:val="0"/>
        <w:spacing w:line="360" w:lineRule="auto"/>
        <w:ind w:right="184" w:firstLine="720"/>
        <w:rPr>
          <w:rFonts w:ascii="Arial" w:hAnsi="Arial" w:cs="Arial"/>
          <w:b/>
          <w:bCs/>
          <w:color w:val="000000" w:themeColor="text1"/>
        </w:rPr>
      </w:pPr>
      <w:r w:rsidRPr="004A5E06">
        <w:rPr>
          <w:rFonts w:ascii="Arial" w:hAnsi="Arial" w:cs="Arial"/>
          <w:b/>
          <w:bCs/>
          <w:color w:val="000000" w:themeColor="text1"/>
          <w:u w:val="single"/>
        </w:rPr>
        <w:t>Appearances</w:t>
      </w:r>
      <w:r w:rsidRPr="004A5E06">
        <w:rPr>
          <w:rFonts w:ascii="Arial" w:hAnsi="Arial" w:cs="Arial"/>
          <w:b/>
          <w:bCs/>
          <w:color w:val="000000" w:themeColor="text1"/>
        </w:rPr>
        <w:t xml:space="preserve">: </w:t>
      </w:r>
    </w:p>
    <w:p w14:paraId="52EC9E3E" w14:textId="3FA1CAEC" w:rsidR="009B64E1" w:rsidRPr="004A5E06" w:rsidRDefault="009B64E1" w:rsidP="009B64E1">
      <w:pPr>
        <w:kinsoku w:val="0"/>
        <w:overflowPunct w:val="0"/>
        <w:spacing w:line="360" w:lineRule="auto"/>
        <w:ind w:right="23" w:firstLine="720"/>
        <w:rPr>
          <w:rFonts w:ascii="Arial" w:hAnsi="Arial" w:cs="Arial"/>
          <w:color w:val="000000" w:themeColor="text1"/>
        </w:rPr>
      </w:pPr>
      <w:r w:rsidRPr="004A5E06">
        <w:rPr>
          <w:rFonts w:ascii="Arial" w:hAnsi="Arial" w:cs="Arial"/>
          <w:color w:val="000000" w:themeColor="text1"/>
        </w:rPr>
        <w:t>For the Applicant:</w:t>
      </w:r>
      <w:r w:rsidRPr="004A5E06">
        <w:rPr>
          <w:rFonts w:ascii="Arial" w:hAnsi="Arial" w:cs="Arial"/>
          <w:color w:val="000000" w:themeColor="text1"/>
        </w:rPr>
        <w:tab/>
      </w:r>
      <w:r w:rsidRPr="004A5E06">
        <w:rPr>
          <w:rFonts w:ascii="Arial" w:hAnsi="Arial" w:cs="Arial"/>
          <w:color w:val="000000" w:themeColor="text1"/>
        </w:rPr>
        <w:tab/>
      </w:r>
      <w:r w:rsidRPr="004A5E06">
        <w:rPr>
          <w:rFonts w:ascii="Arial" w:hAnsi="Arial" w:cs="Arial"/>
          <w:color w:val="000000" w:themeColor="text1"/>
        </w:rPr>
        <w:tab/>
      </w:r>
      <w:r w:rsidR="0042068D">
        <w:rPr>
          <w:rFonts w:ascii="Arial" w:hAnsi="Arial" w:cs="Arial"/>
          <w:color w:val="000000" w:themeColor="text1"/>
        </w:rPr>
        <w:t>Adv Karabo B Kgoroeadira</w:t>
      </w:r>
      <w:r w:rsidRPr="004A5E06">
        <w:rPr>
          <w:rFonts w:ascii="Arial" w:hAnsi="Arial" w:cs="Arial"/>
          <w:color w:val="000000" w:themeColor="text1"/>
        </w:rPr>
        <w:t xml:space="preserve"> </w:t>
      </w:r>
    </w:p>
    <w:p w14:paraId="5A7F8916" w14:textId="0985AC75" w:rsidR="009B64E1" w:rsidRPr="004A5E06" w:rsidRDefault="009B64E1" w:rsidP="009B64E1">
      <w:pPr>
        <w:kinsoku w:val="0"/>
        <w:overflowPunct w:val="0"/>
        <w:spacing w:line="360" w:lineRule="auto"/>
        <w:ind w:right="23" w:firstLine="720"/>
        <w:rPr>
          <w:rFonts w:ascii="Arial" w:hAnsi="Arial" w:cs="Arial"/>
          <w:color w:val="000000" w:themeColor="text1"/>
        </w:rPr>
      </w:pPr>
      <w:r w:rsidRPr="004A5E06">
        <w:rPr>
          <w:rFonts w:ascii="Arial" w:hAnsi="Arial" w:cs="Arial"/>
          <w:color w:val="000000"/>
        </w:rPr>
        <w:t>Instructed by:</w:t>
      </w:r>
      <w:r w:rsidRPr="004A5E06">
        <w:rPr>
          <w:rFonts w:ascii="Arial" w:hAnsi="Arial" w:cs="Arial"/>
          <w:color w:val="000000"/>
        </w:rPr>
        <w:tab/>
      </w:r>
      <w:r w:rsidRPr="004A5E06">
        <w:rPr>
          <w:rFonts w:ascii="Arial" w:hAnsi="Arial" w:cs="Arial"/>
          <w:color w:val="000000"/>
        </w:rPr>
        <w:tab/>
      </w:r>
      <w:r w:rsidRPr="004A5E06">
        <w:rPr>
          <w:rFonts w:ascii="Arial" w:hAnsi="Arial" w:cs="Arial"/>
          <w:color w:val="000000"/>
        </w:rPr>
        <w:tab/>
      </w:r>
      <w:r w:rsidR="0042068D">
        <w:rPr>
          <w:rFonts w:ascii="Arial" w:hAnsi="Arial" w:cs="Arial"/>
          <w:color w:val="000000"/>
        </w:rPr>
        <w:t>Hefferman</w:t>
      </w:r>
      <w:r w:rsidRPr="004A5E06">
        <w:rPr>
          <w:rFonts w:ascii="Arial" w:hAnsi="Arial" w:cs="Arial"/>
          <w:color w:val="000000"/>
        </w:rPr>
        <w:t xml:space="preserve"> Attorneys </w:t>
      </w:r>
      <w:r w:rsidRPr="004A5E06">
        <w:rPr>
          <w:rFonts w:ascii="Arial" w:hAnsi="Arial" w:cs="Arial"/>
          <w:color w:val="000000"/>
        </w:rPr>
        <w:tab/>
      </w:r>
      <w:r w:rsidRPr="004A5E06">
        <w:rPr>
          <w:rFonts w:ascii="Arial" w:hAnsi="Arial" w:cs="Arial"/>
          <w:color w:val="000000"/>
        </w:rPr>
        <w:tab/>
      </w:r>
    </w:p>
    <w:p w14:paraId="69BB05A7" w14:textId="77777777" w:rsidR="009B64E1" w:rsidRPr="00DF5C3F" w:rsidRDefault="009B64E1" w:rsidP="009B64E1">
      <w:pPr>
        <w:kinsoku w:val="0"/>
        <w:overflowPunct w:val="0"/>
        <w:spacing w:line="360" w:lineRule="auto"/>
        <w:ind w:left="1080" w:right="23"/>
        <w:rPr>
          <w:color w:val="000000" w:themeColor="text1"/>
        </w:rPr>
      </w:pPr>
    </w:p>
    <w:p w14:paraId="46D4D0C1" w14:textId="77777777" w:rsidR="009B64E1" w:rsidRPr="00DF5C3F" w:rsidRDefault="009B64E1" w:rsidP="009B64E1">
      <w:pPr>
        <w:kinsoku w:val="0"/>
        <w:overflowPunct w:val="0"/>
        <w:spacing w:line="360" w:lineRule="auto"/>
        <w:ind w:left="1080"/>
        <w:rPr>
          <w:color w:val="000000" w:themeColor="text1"/>
        </w:rPr>
      </w:pPr>
    </w:p>
    <w:p w14:paraId="6D5943F8" w14:textId="5D0B6327" w:rsidR="009B64E1" w:rsidRPr="00DF5C3F" w:rsidRDefault="009B64E1" w:rsidP="009B64E1">
      <w:pPr>
        <w:kinsoku w:val="0"/>
        <w:overflowPunct w:val="0"/>
        <w:spacing w:line="360" w:lineRule="auto"/>
        <w:ind w:right="-18" w:firstLine="720"/>
        <w:rPr>
          <w:color w:val="000000" w:themeColor="text1"/>
        </w:rPr>
      </w:pPr>
      <w:r w:rsidRPr="00DF5C3F">
        <w:rPr>
          <w:color w:val="000000" w:themeColor="text1"/>
        </w:rPr>
        <w:t>For the Respondent:</w:t>
      </w:r>
      <w:r w:rsidRPr="00DF5C3F">
        <w:rPr>
          <w:color w:val="000000" w:themeColor="text1"/>
        </w:rPr>
        <w:tab/>
      </w:r>
      <w:r w:rsidR="0042068D">
        <w:rPr>
          <w:color w:val="000000" w:themeColor="text1"/>
        </w:rPr>
        <w:tab/>
      </w:r>
      <w:r w:rsidR="0042068D">
        <w:rPr>
          <w:color w:val="000000" w:themeColor="text1"/>
        </w:rPr>
        <w:tab/>
        <w:t>X Hilita</w:t>
      </w:r>
    </w:p>
    <w:p w14:paraId="1491625B" w14:textId="62ECE3FC" w:rsidR="009B64E1" w:rsidRPr="00DF5C3F" w:rsidRDefault="009B64E1" w:rsidP="009B64E1">
      <w:pPr>
        <w:kinsoku w:val="0"/>
        <w:overflowPunct w:val="0"/>
        <w:spacing w:line="360" w:lineRule="auto"/>
        <w:ind w:right="-18" w:firstLine="720"/>
        <w:rPr>
          <w:color w:val="000000" w:themeColor="text1"/>
        </w:rPr>
      </w:pPr>
      <w:r w:rsidRPr="00DF5C3F">
        <w:rPr>
          <w:color w:val="000000" w:themeColor="text1"/>
        </w:rPr>
        <w:t>Instructed by:</w:t>
      </w:r>
      <w:r w:rsidRPr="00DF5C3F">
        <w:rPr>
          <w:color w:val="000000" w:themeColor="text1"/>
        </w:rPr>
        <w:tab/>
      </w:r>
      <w:r w:rsidRPr="00DF5C3F">
        <w:rPr>
          <w:color w:val="000000" w:themeColor="text1"/>
        </w:rPr>
        <w:tab/>
      </w:r>
      <w:r w:rsidRPr="00DF5C3F">
        <w:rPr>
          <w:color w:val="000000" w:themeColor="text1"/>
        </w:rPr>
        <w:tab/>
      </w:r>
      <w:r>
        <w:rPr>
          <w:color w:val="000000" w:themeColor="text1"/>
        </w:rPr>
        <w:tab/>
      </w:r>
      <w:r w:rsidR="0042068D">
        <w:rPr>
          <w:color w:val="000000" w:themeColor="text1"/>
        </w:rPr>
        <w:t xml:space="preserve">Mamatela Attorneys </w:t>
      </w:r>
      <w:r>
        <w:rPr>
          <w:color w:val="000000" w:themeColor="text1"/>
        </w:rPr>
        <w:t>Inc</w:t>
      </w:r>
      <w:r w:rsidR="0042068D">
        <w:rPr>
          <w:color w:val="000000" w:themeColor="text1"/>
        </w:rPr>
        <w:t>orporated</w:t>
      </w:r>
    </w:p>
    <w:p w14:paraId="2876E7D8" w14:textId="77777777" w:rsidR="009B64E1" w:rsidRPr="00DF5C3F" w:rsidRDefault="009B64E1" w:rsidP="009B64E1">
      <w:pPr>
        <w:kinsoku w:val="0"/>
        <w:overflowPunct w:val="0"/>
        <w:spacing w:line="360" w:lineRule="auto"/>
        <w:ind w:left="1080" w:right="-18"/>
        <w:rPr>
          <w:rFonts w:ascii="Times New Roman" w:hAnsi="Times New Roman" w:cs="Times New Roman"/>
          <w:color w:val="000000" w:themeColor="text1"/>
        </w:rPr>
      </w:pPr>
    </w:p>
    <w:p w14:paraId="74A91871" w14:textId="77777777" w:rsidR="009B64E1" w:rsidRPr="00DF5C3F" w:rsidRDefault="009B64E1" w:rsidP="009B64E1">
      <w:pPr>
        <w:spacing w:after="160" w:line="259" w:lineRule="auto"/>
      </w:pPr>
    </w:p>
    <w:p w14:paraId="161B9220" w14:textId="77777777" w:rsidR="009B64E1" w:rsidRPr="00417737" w:rsidRDefault="009B64E1" w:rsidP="009B64E1">
      <w:pPr>
        <w:spacing w:after="160" w:line="480" w:lineRule="auto"/>
        <w:jc w:val="both"/>
        <w:rPr>
          <w:rFonts w:ascii="Times New Roman" w:eastAsia="Times New Roman" w:hAnsi="Times New Roman" w:cs="Times New Roman"/>
          <w:lang w:val="en-US"/>
        </w:rPr>
      </w:pPr>
    </w:p>
    <w:p w14:paraId="3AC19ED5" w14:textId="77777777" w:rsidR="009B64E1" w:rsidRPr="00417737" w:rsidRDefault="009B64E1" w:rsidP="009B64E1">
      <w:pPr>
        <w:spacing w:after="160" w:line="480" w:lineRule="auto"/>
        <w:ind w:left="720"/>
        <w:jc w:val="both"/>
        <w:rPr>
          <w:rFonts w:ascii="Times New Roman" w:eastAsia="Times New Roman" w:hAnsi="Times New Roman" w:cs="Times New Roman"/>
          <w:lang w:val="en-US"/>
        </w:rPr>
      </w:pPr>
    </w:p>
    <w:p w14:paraId="46CCB37D" w14:textId="77777777" w:rsidR="00490353" w:rsidRDefault="00490353"/>
    <w:sectPr w:rsidR="00490353" w:rsidSect="0042068D">
      <w:footerReference w:type="even" r:id="rId8"/>
      <w:footerReference w:type="default" r:id="rId9"/>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F05B7" w14:textId="77777777" w:rsidR="000068E8" w:rsidRDefault="000068E8" w:rsidP="0042068D">
      <w:r>
        <w:separator/>
      </w:r>
    </w:p>
  </w:endnote>
  <w:endnote w:type="continuationSeparator" w:id="0">
    <w:p w14:paraId="1C1227B8" w14:textId="77777777" w:rsidR="000068E8" w:rsidRDefault="000068E8" w:rsidP="0042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793967"/>
      <w:docPartObj>
        <w:docPartGallery w:val="Page Numbers (Bottom of Page)"/>
        <w:docPartUnique/>
      </w:docPartObj>
    </w:sdtPr>
    <w:sdtEndPr>
      <w:rPr>
        <w:rStyle w:val="PageNumber"/>
      </w:rPr>
    </w:sdtEndPr>
    <w:sdtContent>
      <w:p w14:paraId="0B8B4A78" w14:textId="20D4BE34" w:rsidR="0042068D" w:rsidRDefault="0042068D" w:rsidP="00F84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CD81A" w14:textId="77777777" w:rsidR="0042068D" w:rsidRDefault="0042068D" w:rsidP="004206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39897"/>
      <w:docPartObj>
        <w:docPartGallery w:val="Page Numbers (Bottom of Page)"/>
        <w:docPartUnique/>
      </w:docPartObj>
    </w:sdtPr>
    <w:sdtEndPr>
      <w:rPr>
        <w:rStyle w:val="PageNumber"/>
      </w:rPr>
    </w:sdtEndPr>
    <w:sdtContent>
      <w:p w14:paraId="3E31F519" w14:textId="7451F825" w:rsidR="0042068D" w:rsidRDefault="0042068D" w:rsidP="00F84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400B">
          <w:rPr>
            <w:rStyle w:val="PageNumber"/>
            <w:noProof/>
          </w:rPr>
          <w:t>- 2 -</w:t>
        </w:r>
        <w:r>
          <w:rPr>
            <w:rStyle w:val="PageNumber"/>
          </w:rPr>
          <w:fldChar w:fldCharType="end"/>
        </w:r>
      </w:p>
    </w:sdtContent>
  </w:sdt>
  <w:p w14:paraId="6CBD88B2" w14:textId="77777777" w:rsidR="0042068D" w:rsidRDefault="0042068D" w:rsidP="004206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2E37" w14:textId="77777777" w:rsidR="000068E8" w:rsidRDefault="000068E8" w:rsidP="0042068D">
      <w:r>
        <w:separator/>
      </w:r>
    </w:p>
  </w:footnote>
  <w:footnote w:type="continuationSeparator" w:id="0">
    <w:p w14:paraId="47AAF6DC" w14:textId="77777777" w:rsidR="000068E8" w:rsidRDefault="000068E8" w:rsidP="0042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F60C8"/>
    <w:multiLevelType w:val="multilevel"/>
    <w:tmpl w:val="41A85A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B2B5950"/>
    <w:multiLevelType w:val="multilevel"/>
    <w:tmpl w:val="12024C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2207F83"/>
    <w:multiLevelType w:val="multilevel"/>
    <w:tmpl w:val="1882AA6C"/>
    <w:lvl w:ilvl="0">
      <w:start w:val="3"/>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3">
    <w:nsid w:val="6B7D79F0"/>
    <w:multiLevelType w:val="multilevel"/>
    <w:tmpl w:val="9BE4EEFE"/>
    <w:lvl w:ilvl="0">
      <w:start w:val="4"/>
      <w:numFmt w:val="decimal"/>
      <w:lvlText w:val="%1"/>
      <w:lvlJc w:val="left"/>
      <w:pPr>
        <w:ind w:left="360" w:hanging="360"/>
      </w:pPr>
      <w:rPr>
        <w:rFonts w:hint="default"/>
      </w:rPr>
    </w:lvl>
    <w:lvl w:ilvl="1">
      <w:start w:val="1"/>
      <w:numFmt w:val="none"/>
      <w:lvlText w:val="3.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E1"/>
    <w:rsid w:val="000068E8"/>
    <w:rsid w:val="00073C8F"/>
    <w:rsid w:val="001A5076"/>
    <w:rsid w:val="00391DB8"/>
    <w:rsid w:val="0042068D"/>
    <w:rsid w:val="00490353"/>
    <w:rsid w:val="00640033"/>
    <w:rsid w:val="00656BAE"/>
    <w:rsid w:val="006B0E2F"/>
    <w:rsid w:val="006E023A"/>
    <w:rsid w:val="00733A0F"/>
    <w:rsid w:val="00777785"/>
    <w:rsid w:val="007B169A"/>
    <w:rsid w:val="0090400B"/>
    <w:rsid w:val="00982EA8"/>
    <w:rsid w:val="009B64E1"/>
    <w:rsid w:val="00A4056E"/>
    <w:rsid w:val="00BA1E10"/>
    <w:rsid w:val="00C83223"/>
    <w:rsid w:val="00C92075"/>
    <w:rsid w:val="00CA3F31"/>
    <w:rsid w:val="00CF1500"/>
    <w:rsid w:val="00D70893"/>
    <w:rsid w:val="00F23F69"/>
    <w:rsid w:val="00F538CC"/>
    <w:rsid w:val="00FC5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BABD"/>
  <w15:chartTrackingRefBased/>
  <w15:docId w15:val="{3F18DAD1-2C36-0941-B2C0-80F389DC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E1"/>
    <w:pPr>
      <w:ind w:left="720"/>
      <w:contextualSpacing/>
    </w:pPr>
  </w:style>
  <w:style w:type="paragraph" w:styleId="Footer">
    <w:name w:val="footer"/>
    <w:basedOn w:val="Normal"/>
    <w:link w:val="FooterChar"/>
    <w:uiPriority w:val="99"/>
    <w:unhideWhenUsed/>
    <w:rsid w:val="0042068D"/>
    <w:pPr>
      <w:tabs>
        <w:tab w:val="center" w:pos="4513"/>
        <w:tab w:val="right" w:pos="9026"/>
      </w:tabs>
    </w:pPr>
  </w:style>
  <w:style w:type="character" w:customStyle="1" w:styleId="FooterChar">
    <w:name w:val="Footer Char"/>
    <w:basedOn w:val="DefaultParagraphFont"/>
    <w:link w:val="Footer"/>
    <w:uiPriority w:val="99"/>
    <w:rsid w:val="0042068D"/>
  </w:style>
  <w:style w:type="character" w:styleId="PageNumber">
    <w:name w:val="page number"/>
    <w:basedOn w:val="DefaultParagraphFont"/>
    <w:uiPriority w:val="99"/>
    <w:semiHidden/>
    <w:unhideWhenUsed/>
    <w:rsid w:val="0042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Mokone</cp:lastModifiedBy>
  <cp:revision>2</cp:revision>
  <dcterms:created xsi:type="dcterms:W3CDTF">2023-04-15T11:04:00Z</dcterms:created>
  <dcterms:modified xsi:type="dcterms:W3CDTF">2023-04-15T11:04:00Z</dcterms:modified>
  <cp:category/>
</cp:coreProperties>
</file>