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1552A" w14:textId="77777777" w:rsidR="00ED2FC5" w:rsidRPr="00B93312"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E0CD7F2" w14:textId="77777777" w:rsidR="00ED2FC5" w:rsidRPr="007F2E9E" w:rsidRDefault="00ED2FC5" w:rsidP="007F2E9E">
      <w:pPr>
        <w:spacing w:after="0" w:line="240" w:lineRule="auto"/>
        <w:ind w:left="663" w:hangingChars="236" w:hanging="663"/>
        <w:jc w:val="center"/>
        <w:rPr>
          <w:rFonts w:ascii="Arial" w:eastAsia="Times New Roman" w:hAnsi="Arial" w:cs="Arial"/>
          <w:b/>
          <w:sz w:val="28"/>
          <w:szCs w:val="28"/>
          <w:lang w:eastAsia="en-GB"/>
        </w:rPr>
      </w:pPr>
      <w:r w:rsidRPr="007F2E9E">
        <w:rPr>
          <w:rFonts w:ascii="Arial" w:eastAsia="Times New Roman" w:hAnsi="Arial" w:cs="Arial"/>
          <w:b/>
          <w:sz w:val="28"/>
          <w:szCs w:val="28"/>
          <w:lang w:eastAsia="en-GB"/>
        </w:rPr>
        <w:t>IN THE HIGH COURT OF SOUTH AFRICA</w:t>
      </w:r>
    </w:p>
    <w:p w14:paraId="1DC50E6C" w14:textId="77777777" w:rsidR="00ED2FC5" w:rsidRPr="007F2E9E" w:rsidRDefault="00ED2FC5" w:rsidP="007F2E9E">
      <w:pPr>
        <w:spacing w:after="0" w:line="240" w:lineRule="auto"/>
        <w:ind w:left="663" w:hangingChars="236" w:hanging="663"/>
        <w:jc w:val="center"/>
        <w:rPr>
          <w:rFonts w:ascii="Arial" w:eastAsia="Times New Roman" w:hAnsi="Arial" w:cs="Arial"/>
          <w:b/>
          <w:sz w:val="28"/>
          <w:szCs w:val="28"/>
          <w:lang w:eastAsia="en-GB"/>
        </w:rPr>
      </w:pPr>
      <w:r w:rsidRPr="007F2E9E">
        <w:rPr>
          <w:rFonts w:ascii="Arial" w:eastAsia="Times New Roman" w:hAnsi="Arial" w:cs="Arial"/>
          <w:b/>
          <w:sz w:val="28"/>
          <w:szCs w:val="28"/>
          <w:lang w:eastAsia="en-GB"/>
        </w:rPr>
        <w:t>GAUTENG DIVISION, PRETORIA</w:t>
      </w:r>
    </w:p>
    <w:p w14:paraId="1B10C114" w14:textId="0FC16DC9" w:rsidR="006704E0" w:rsidRPr="006704E0" w:rsidRDefault="003F64B3" w:rsidP="006704E0">
      <w:pPr>
        <w:pStyle w:val="NormalWeb"/>
        <w:jc w:val="right"/>
        <w:rPr>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6335B5">
        <w:rPr>
          <w:rFonts w:ascii="Arial" w:hAnsi="Arial" w:cs="Arial"/>
          <w:b/>
          <w:bCs/>
          <w:lang w:eastAsia="en-GB"/>
        </w:rPr>
        <w:t>A158</w:t>
      </w:r>
      <w:r w:rsidR="00EF0CDB">
        <w:rPr>
          <w:rFonts w:ascii="Arial" w:hAnsi="Arial" w:cs="Arial"/>
          <w:b/>
          <w:bCs/>
          <w:lang w:eastAsia="en-GB"/>
        </w:rPr>
        <w:t>/202</w:t>
      </w:r>
      <w:r w:rsidR="006335B5">
        <w:rPr>
          <w:rFonts w:ascii="Arial" w:hAnsi="Arial" w:cs="Arial"/>
          <w:b/>
          <w:bCs/>
          <w:lang w:eastAsia="en-GB"/>
        </w:rPr>
        <w:t>0</w:t>
      </w:r>
    </w:p>
    <w:p w14:paraId="2A3C9B06" w14:textId="77777777" w:rsidR="00C160A1" w:rsidRPr="00B93312" w:rsidRDefault="003A6E81" w:rsidP="00C160A1">
      <w:pPr>
        <w:spacing w:before="120" w:after="120" w:line="360" w:lineRule="auto"/>
        <w:jc w:val="center"/>
        <w:rPr>
          <w:rFonts w:ascii="Arial" w:hAnsi="Arial" w:cs="Arial"/>
          <w:sz w:val="24"/>
          <w:szCs w:val="24"/>
        </w:rPr>
      </w:pPr>
      <w:r w:rsidRPr="00B9331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A439F39" wp14:editId="0E0404D2">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0980DF73" w14:textId="77777777" w:rsidR="000E009C" w:rsidRDefault="000E009C" w:rsidP="00ED2FC5">
                            <w:pPr>
                              <w:jc w:val="center"/>
                              <w:rPr>
                                <w:rFonts w:ascii="Century Gothic" w:hAnsi="Century Gothic"/>
                                <w:b/>
                                <w:sz w:val="20"/>
                                <w:szCs w:val="20"/>
                              </w:rPr>
                            </w:pPr>
                          </w:p>
                          <w:p w14:paraId="3008F28E" w14:textId="707D7FA0" w:rsidR="000E009C" w:rsidRDefault="003C12C3" w:rsidP="003C12C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E009C">
                              <w:rPr>
                                <w:rFonts w:ascii="Century Gothic" w:hAnsi="Century Gothic"/>
                                <w:sz w:val="20"/>
                                <w:szCs w:val="20"/>
                              </w:rPr>
                              <w:t>REPORTABLE: NO</w:t>
                            </w:r>
                          </w:p>
                          <w:p w14:paraId="624DF8C4" w14:textId="1154779D" w:rsidR="000E009C" w:rsidRDefault="003C12C3" w:rsidP="003C12C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E009C">
                              <w:rPr>
                                <w:rFonts w:ascii="Century Gothic" w:hAnsi="Century Gothic"/>
                                <w:sz w:val="20"/>
                                <w:szCs w:val="20"/>
                              </w:rPr>
                              <w:t>OF INTEREST TO OTHER JUDGES: NO</w:t>
                            </w:r>
                          </w:p>
                          <w:p w14:paraId="644D6678" w14:textId="12DBB251" w:rsidR="000E009C" w:rsidRDefault="003C12C3" w:rsidP="003C12C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E009C">
                              <w:rPr>
                                <w:rFonts w:ascii="Century Gothic" w:hAnsi="Century Gothic"/>
                                <w:sz w:val="20"/>
                                <w:szCs w:val="20"/>
                              </w:rPr>
                              <w:t>REVISED: NO</w:t>
                            </w:r>
                          </w:p>
                          <w:p w14:paraId="0860FFAF"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C3D9A3E" w14:textId="583EB7B9"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7F2E9E">
                              <w:rPr>
                                <w:rFonts w:ascii="Arial" w:eastAsia="Times New Roman" w:hAnsi="Arial" w:cs="Arial"/>
                                <w:sz w:val="24"/>
                                <w:szCs w:val="24"/>
                                <w:lang w:eastAsia="en-GB"/>
                              </w:rPr>
                              <w:t>14 APRIL</w:t>
                            </w:r>
                            <w:r w:rsidR="006F20C3">
                              <w:rPr>
                                <w:rFonts w:ascii="Arial" w:eastAsia="Times New Roman" w:hAnsi="Arial" w:cs="Arial"/>
                                <w:sz w:val="24"/>
                                <w:szCs w:val="24"/>
                                <w:lang w:eastAsia="en-GB"/>
                              </w:rPr>
                              <w:t xml:space="preserve"> 2023</w:t>
                            </w:r>
                          </w:p>
                          <w:p w14:paraId="325302CF"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0980DF73" w14:textId="77777777" w:rsidR="000E009C" w:rsidRDefault="000E009C" w:rsidP="00ED2FC5">
                      <w:pPr>
                        <w:jc w:val="center"/>
                        <w:rPr>
                          <w:rFonts w:ascii="Century Gothic" w:hAnsi="Century Gothic"/>
                          <w:b/>
                          <w:sz w:val="20"/>
                          <w:szCs w:val="20"/>
                        </w:rPr>
                      </w:pPr>
                    </w:p>
                    <w:p w14:paraId="3008F28E" w14:textId="707D7FA0" w:rsidR="000E009C" w:rsidRDefault="003C12C3" w:rsidP="003C12C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E009C">
                        <w:rPr>
                          <w:rFonts w:ascii="Century Gothic" w:hAnsi="Century Gothic"/>
                          <w:sz w:val="20"/>
                          <w:szCs w:val="20"/>
                        </w:rPr>
                        <w:t>REPORTABLE: NO</w:t>
                      </w:r>
                    </w:p>
                    <w:p w14:paraId="624DF8C4" w14:textId="1154779D" w:rsidR="000E009C" w:rsidRDefault="003C12C3" w:rsidP="003C12C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E009C">
                        <w:rPr>
                          <w:rFonts w:ascii="Century Gothic" w:hAnsi="Century Gothic"/>
                          <w:sz w:val="20"/>
                          <w:szCs w:val="20"/>
                        </w:rPr>
                        <w:t>OF INTEREST TO OTHER JUDGES: NO</w:t>
                      </w:r>
                    </w:p>
                    <w:p w14:paraId="644D6678" w14:textId="12DBB251" w:rsidR="000E009C" w:rsidRDefault="003C12C3" w:rsidP="003C12C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E009C">
                        <w:rPr>
                          <w:rFonts w:ascii="Century Gothic" w:hAnsi="Century Gothic"/>
                          <w:sz w:val="20"/>
                          <w:szCs w:val="20"/>
                        </w:rPr>
                        <w:t>REVISED: NO</w:t>
                      </w:r>
                    </w:p>
                    <w:p w14:paraId="0860FFAF"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C3D9A3E" w14:textId="583EB7B9"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7F2E9E">
                        <w:rPr>
                          <w:rFonts w:ascii="Arial" w:eastAsia="Times New Roman" w:hAnsi="Arial" w:cs="Arial"/>
                          <w:sz w:val="24"/>
                          <w:szCs w:val="24"/>
                          <w:lang w:eastAsia="en-GB"/>
                        </w:rPr>
                        <w:t>14 APRIL</w:t>
                      </w:r>
                      <w:r w:rsidR="006F20C3">
                        <w:rPr>
                          <w:rFonts w:ascii="Arial" w:eastAsia="Times New Roman" w:hAnsi="Arial" w:cs="Arial"/>
                          <w:sz w:val="24"/>
                          <w:szCs w:val="24"/>
                          <w:lang w:eastAsia="en-GB"/>
                        </w:rPr>
                        <w:t xml:space="preserve"> 2023</w:t>
                      </w:r>
                    </w:p>
                    <w:p w14:paraId="325302CF"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2140EE7"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068CB4B0"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147E4634" w14:textId="77777777" w:rsidR="00C17911" w:rsidRPr="00B93312" w:rsidRDefault="00C17911" w:rsidP="00C85D57">
      <w:pPr>
        <w:tabs>
          <w:tab w:val="left" w:pos="4917"/>
        </w:tabs>
        <w:spacing w:before="120" w:after="120" w:line="360" w:lineRule="auto"/>
        <w:rPr>
          <w:rFonts w:ascii="Arial" w:hAnsi="Arial" w:cs="Arial"/>
          <w:sz w:val="24"/>
          <w:szCs w:val="24"/>
        </w:rPr>
      </w:pPr>
    </w:p>
    <w:p w14:paraId="4B57F090" w14:textId="03AD079E" w:rsidR="009C6780" w:rsidRPr="00B93312" w:rsidRDefault="009C6780"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179F34D0" w14:textId="531F9C81" w:rsidR="00BB506C" w:rsidRPr="001E75E8" w:rsidRDefault="006335B5" w:rsidP="009C6780">
      <w:pPr>
        <w:tabs>
          <w:tab w:val="left" w:pos="4917"/>
        </w:tabs>
        <w:spacing w:before="120" w:after="120" w:line="360" w:lineRule="auto"/>
        <w:rPr>
          <w:rFonts w:ascii="Arial" w:hAnsi="Arial" w:cs="Arial"/>
          <w:sz w:val="24"/>
          <w:szCs w:val="24"/>
        </w:rPr>
      </w:pPr>
      <w:r>
        <w:rPr>
          <w:rFonts w:ascii="Arial" w:hAnsi="Arial" w:cs="Arial"/>
          <w:b/>
          <w:sz w:val="24"/>
          <w:szCs w:val="24"/>
        </w:rPr>
        <w:t>SPEICAL OPS 99 (PTY) LTD</w:t>
      </w:r>
      <w:r w:rsidR="00BB506C" w:rsidRPr="001E75E8">
        <w:rPr>
          <w:rFonts w:ascii="Arial" w:hAnsi="Arial" w:cs="Arial"/>
          <w:sz w:val="24"/>
          <w:szCs w:val="24"/>
        </w:rPr>
        <w:tab/>
      </w:r>
      <w:r w:rsidR="00BB506C" w:rsidRPr="001E75E8">
        <w:rPr>
          <w:rFonts w:ascii="Arial" w:hAnsi="Arial" w:cs="Arial"/>
          <w:sz w:val="24"/>
          <w:szCs w:val="24"/>
        </w:rPr>
        <w:tab/>
      </w:r>
      <w:r w:rsidR="00BB506C" w:rsidRPr="001E75E8">
        <w:rPr>
          <w:rFonts w:ascii="Arial" w:hAnsi="Arial" w:cs="Arial"/>
          <w:sz w:val="24"/>
          <w:szCs w:val="24"/>
        </w:rPr>
        <w:tab/>
      </w:r>
      <w:r w:rsidR="00BB506C" w:rsidRPr="001E75E8">
        <w:rPr>
          <w:rFonts w:ascii="Arial" w:hAnsi="Arial" w:cs="Arial"/>
          <w:sz w:val="24"/>
          <w:szCs w:val="24"/>
        </w:rPr>
        <w:tab/>
      </w:r>
      <w:r w:rsidR="00BB506C" w:rsidRPr="001E75E8">
        <w:rPr>
          <w:rFonts w:ascii="Arial" w:hAnsi="Arial" w:cs="Arial"/>
          <w:sz w:val="24"/>
          <w:szCs w:val="24"/>
        </w:rPr>
        <w:tab/>
      </w:r>
      <w:r w:rsidR="001E75E8" w:rsidRPr="001E75E8">
        <w:rPr>
          <w:rFonts w:ascii="Arial" w:hAnsi="Arial" w:cs="Arial"/>
          <w:sz w:val="24"/>
          <w:szCs w:val="24"/>
        </w:rPr>
        <w:t xml:space="preserve">                  </w:t>
      </w:r>
      <w:r w:rsidR="000823F2">
        <w:rPr>
          <w:rFonts w:ascii="Arial" w:hAnsi="Arial" w:cs="Arial"/>
          <w:sz w:val="24"/>
          <w:szCs w:val="24"/>
        </w:rPr>
        <w:t xml:space="preserve">  </w:t>
      </w:r>
      <w:r w:rsidR="00EF0CDB">
        <w:rPr>
          <w:rFonts w:ascii="Arial" w:hAnsi="Arial" w:cs="Arial"/>
          <w:sz w:val="24"/>
          <w:szCs w:val="24"/>
        </w:rPr>
        <w:t>App</w:t>
      </w:r>
      <w:r>
        <w:rPr>
          <w:rFonts w:ascii="Arial" w:hAnsi="Arial" w:cs="Arial"/>
          <w:sz w:val="24"/>
          <w:szCs w:val="24"/>
        </w:rPr>
        <w:t>ellant</w:t>
      </w:r>
    </w:p>
    <w:p w14:paraId="182AE9E7" w14:textId="3C61D3D7" w:rsidR="00BB506C" w:rsidRPr="001E75E8" w:rsidRDefault="00BB506C"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1FB0E845" w14:textId="01828E79" w:rsidR="00EF0CDB" w:rsidRDefault="006335B5" w:rsidP="00F93331">
      <w:pPr>
        <w:spacing w:before="100" w:beforeAutospacing="1" w:after="100" w:afterAutospacing="1" w:line="240" w:lineRule="auto"/>
        <w:rPr>
          <w:rFonts w:ascii="Arial" w:hAnsi="Arial" w:cs="Arial"/>
          <w:sz w:val="24"/>
          <w:szCs w:val="24"/>
        </w:rPr>
      </w:pPr>
      <w:r>
        <w:rPr>
          <w:rFonts w:ascii="Arial" w:hAnsi="Arial" w:cs="Arial"/>
          <w:b/>
          <w:sz w:val="24"/>
          <w:szCs w:val="24"/>
        </w:rPr>
        <w:t>BEAGLE WATCH ARMED RESPONSE</w:t>
      </w:r>
      <w:r w:rsidR="00EF0CDB">
        <w:tab/>
      </w:r>
      <w:r w:rsidR="000823F2">
        <w:tab/>
      </w:r>
      <w:r w:rsidR="00EF0CDB">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Pr>
          <w:rFonts w:ascii="Arial" w:hAnsi="Arial" w:cs="Arial"/>
          <w:sz w:val="24"/>
          <w:szCs w:val="24"/>
        </w:rPr>
        <w:t xml:space="preserve">       First </w:t>
      </w:r>
      <w:r w:rsidR="00EF0CDB" w:rsidRPr="00EF0CDB">
        <w:rPr>
          <w:rFonts w:ascii="Arial" w:hAnsi="Arial" w:cs="Arial"/>
          <w:sz w:val="24"/>
          <w:szCs w:val="24"/>
        </w:rPr>
        <w:t>Respondent</w:t>
      </w:r>
    </w:p>
    <w:p w14:paraId="0D93EF82" w14:textId="6AB78EDE" w:rsidR="006335B5" w:rsidRDefault="006335B5" w:rsidP="00F93331">
      <w:pPr>
        <w:spacing w:before="100" w:beforeAutospacing="1" w:after="100" w:afterAutospacing="1" w:line="240" w:lineRule="auto"/>
      </w:pPr>
      <w:r w:rsidRPr="006335B5">
        <w:rPr>
          <w:rFonts w:ascii="Arial" w:hAnsi="Arial" w:cs="Arial"/>
          <w:b/>
          <w:bCs/>
          <w:sz w:val="24"/>
          <w:szCs w:val="24"/>
        </w:rPr>
        <w:t>PHUMLANI MKHIZE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Respondent</w:t>
      </w:r>
    </w:p>
    <w:p w14:paraId="38AA4343"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0695E30F" w14:textId="5417C44E" w:rsidR="00194A07" w:rsidRPr="00B93312" w:rsidRDefault="00FD703F"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B93312">
        <w:rPr>
          <w:rFonts w:ascii="Arial" w:hAnsi="Arial" w:cs="Arial"/>
          <w:b/>
          <w:bCs/>
          <w:sz w:val="24"/>
          <w:szCs w:val="24"/>
        </w:rPr>
        <w:t>JUDGMENT</w:t>
      </w:r>
    </w:p>
    <w:p w14:paraId="42C8DB19" w14:textId="6F9404C8" w:rsidR="00194A07" w:rsidRDefault="00622DB5" w:rsidP="00D9032E">
      <w:pPr>
        <w:pStyle w:val="Heading1"/>
      </w:pPr>
      <w:r>
        <w:t>DE VOS AJ</w:t>
      </w:r>
      <w:r w:rsidR="004E7DAE">
        <w:t xml:space="preserve"> (Van der Westhuizen and Phahlane JJ concurring) </w:t>
      </w:r>
    </w:p>
    <w:p w14:paraId="1C8872A1" w14:textId="77777777" w:rsidR="007F2E9E" w:rsidRPr="007F2E9E" w:rsidRDefault="007F2E9E" w:rsidP="00DB322D">
      <w:pPr>
        <w:spacing w:line="276" w:lineRule="auto"/>
      </w:pPr>
    </w:p>
    <w:p w14:paraId="4FF9846A" w14:textId="27B982CD" w:rsidR="002B70E4" w:rsidRDefault="003C12C3" w:rsidP="003C12C3">
      <w:pPr>
        <w:pStyle w:val="Judgmentparagraph"/>
        <w:numPr>
          <w:ilvl w:val="0"/>
          <w:numId w:val="0"/>
        </w:numPr>
        <w:spacing w:line="276" w:lineRule="auto"/>
        <w:ind w:left="567" w:hanging="567"/>
      </w:pPr>
      <w:r>
        <w:t>[1]</w:t>
      </w:r>
      <w:r>
        <w:tab/>
      </w:r>
      <w:r w:rsidR="005E7B24">
        <w:t xml:space="preserve">The appellant and the first respondent are competitors in the private security industry.  The second respondent is a security officer.  The </w:t>
      </w:r>
      <w:r w:rsidR="009F0221">
        <w:t>parties are in dispute about statements the respondents made about the appellant</w:t>
      </w:r>
      <w:r w:rsidR="005E7B24">
        <w:t xml:space="preserve">. The sting of the statements </w:t>
      </w:r>
      <w:r w:rsidR="007F5515">
        <w:t>are</w:t>
      </w:r>
      <w:r w:rsidR="005E7B24">
        <w:t xml:space="preserve"> that the applicant </w:t>
      </w:r>
      <w:r w:rsidR="007F5515">
        <w:t>is</w:t>
      </w:r>
      <w:r w:rsidR="005E7B24">
        <w:t xml:space="preserve"> operating unlawfully.  </w:t>
      </w:r>
    </w:p>
    <w:p w14:paraId="106589FE" w14:textId="77777777" w:rsidR="007F2E9E" w:rsidRDefault="007F2E9E" w:rsidP="00DB322D">
      <w:pPr>
        <w:pStyle w:val="Judgmentparagraph"/>
        <w:numPr>
          <w:ilvl w:val="0"/>
          <w:numId w:val="0"/>
        </w:numPr>
        <w:spacing w:line="276" w:lineRule="auto"/>
        <w:ind w:left="567"/>
      </w:pPr>
    </w:p>
    <w:p w14:paraId="10825D51" w14:textId="40521341" w:rsidR="005E7B24" w:rsidRDefault="003C12C3" w:rsidP="003C12C3">
      <w:pPr>
        <w:pStyle w:val="Judgmentparagraph"/>
        <w:numPr>
          <w:ilvl w:val="0"/>
          <w:numId w:val="0"/>
        </w:numPr>
        <w:spacing w:line="276" w:lineRule="auto"/>
        <w:ind w:left="567" w:hanging="567"/>
      </w:pPr>
      <w:r>
        <w:t>[2]</w:t>
      </w:r>
      <w:r>
        <w:tab/>
      </w:r>
      <w:r w:rsidR="005E7B24">
        <w:t xml:space="preserve">The </w:t>
      </w:r>
      <w:r w:rsidR="002B70E4">
        <w:t xml:space="preserve">statements </w:t>
      </w:r>
      <w:r w:rsidR="007F5515">
        <w:t>a</w:t>
      </w:r>
      <w:r w:rsidR="002B70E4">
        <w:t>re based on the second respondent's knowledge of the appellant's business.  The second respondent worked for the appellant and gained knowledge from this employment.  The first</w:t>
      </w:r>
      <w:r w:rsidR="005E7B24">
        <w:t xml:space="preserve"> respondent came to learn, through the second </w:t>
      </w:r>
      <w:r w:rsidR="005E7B24">
        <w:lastRenderedPageBreak/>
        <w:t>respondent</w:t>
      </w:r>
      <w:r w:rsidR="006335B5">
        <w:t>,</w:t>
      </w:r>
      <w:r w:rsidR="005E7B24">
        <w:t xml:space="preserve"> that the appellant was not </w:t>
      </w:r>
      <w:r w:rsidR="002B70E4">
        <w:t>operating lawfully</w:t>
      </w:r>
      <w:r w:rsidR="005E7B24">
        <w:t xml:space="preserve">. </w:t>
      </w:r>
      <w:r w:rsidR="002B70E4">
        <w:t>The</w:t>
      </w:r>
      <w:r w:rsidR="005E7B24">
        <w:t xml:space="preserve"> respondents used the statutory complaints mechanism </w:t>
      </w:r>
      <w:r w:rsidR="002B70E4">
        <w:t xml:space="preserve">of the </w:t>
      </w:r>
      <w:r w:rsidR="008A6A31" w:rsidRPr="008A6A31">
        <w:t xml:space="preserve">Private Security Industry Regulation Act 56 of 2001 </w:t>
      </w:r>
      <w:r w:rsidR="005E7B24">
        <w:t xml:space="preserve">to request the </w:t>
      </w:r>
      <w:r w:rsidR="009F0221">
        <w:t>Private Security Industry Regulatory Authority ("the Regulator")</w:t>
      </w:r>
      <w:r w:rsidR="005E7B24">
        <w:t xml:space="preserve"> to investigate the lawfulness of the appellant's operations.  </w:t>
      </w:r>
      <w:r w:rsidR="006335B5">
        <w:t xml:space="preserve">In this context, </w:t>
      </w:r>
      <w:r w:rsidR="009F0221">
        <w:t xml:space="preserve">the </w:t>
      </w:r>
      <w:r w:rsidR="005E7B24">
        <w:t xml:space="preserve">respondents obtained </w:t>
      </w:r>
      <w:r w:rsidR="006335B5">
        <w:t xml:space="preserve">further </w:t>
      </w:r>
      <w:r w:rsidR="005E7B24">
        <w:t xml:space="preserve">information </w:t>
      </w:r>
      <w:r w:rsidR="006335B5">
        <w:t>regarding the appellant's non-compliance</w:t>
      </w:r>
      <w:r w:rsidR="005E7B24">
        <w:t>.  Based on th</w:t>
      </w:r>
      <w:r w:rsidR="006335B5">
        <w:t>is</w:t>
      </w:r>
      <w:r w:rsidR="009F0221">
        <w:t xml:space="preserve"> information</w:t>
      </w:r>
      <w:r w:rsidR="006335B5">
        <w:t xml:space="preserve"> plus an affidavit from the </w:t>
      </w:r>
      <w:r w:rsidR="009F0221">
        <w:t>second respondent</w:t>
      </w:r>
      <w:r w:rsidR="005E7B24">
        <w:t xml:space="preserve">, the first respondent </w:t>
      </w:r>
      <w:r w:rsidR="009F0221">
        <w:t>published two statements</w:t>
      </w:r>
      <w:r w:rsidR="006335B5">
        <w:t xml:space="preserve"> regarding the appellant</w:t>
      </w:r>
      <w:r w:rsidR="009F0221">
        <w:t xml:space="preserve">. The first was </w:t>
      </w:r>
      <w:r w:rsidR="005E7B24">
        <w:t xml:space="preserve">a circular for publication to certain media houses and </w:t>
      </w:r>
      <w:r w:rsidR="009F0221">
        <w:t>the second was a</w:t>
      </w:r>
      <w:r w:rsidR="005E7B24">
        <w:t xml:space="preserve"> statement to </w:t>
      </w:r>
      <w:r w:rsidR="00A74FBC">
        <w:t>the Bryanfern Residents Association</w:t>
      </w:r>
      <w:r w:rsidR="005E7B24">
        <w:t xml:space="preserve">.  </w:t>
      </w:r>
      <w:r w:rsidR="009F0221">
        <w:t>In these statements the first respondent said</w:t>
      </w:r>
      <w:r w:rsidR="005E7B24">
        <w:t xml:space="preserve"> that the appellant was operating unlawfully and was being investigated by the Regulator. </w:t>
      </w:r>
    </w:p>
    <w:p w14:paraId="01E3EB73" w14:textId="31CA8EDF" w:rsidR="007F2E9E" w:rsidRDefault="007F2E9E" w:rsidP="00DB322D">
      <w:pPr>
        <w:pStyle w:val="ListParagraph"/>
        <w:numPr>
          <w:ilvl w:val="0"/>
          <w:numId w:val="0"/>
        </w:numPr>
        <w:spacing w:line="276" w:lineRule="auto"/>
        <w:ind w:left="567"/>
      </w:pPr>
    </w:p>
    <w:p w14:paraId="364D1B32" w14:textId="3256A058" w:rsidR="009F0221" w:rsidRDefault="003C12C3" w:rsidP="003C12C3">
      <w:pPr>
        <w:pStyle w:val="Judgmentparagraph"/>
        <w:numPr>
          <w:ilvl w:val="0"/>
          <w:numId w:val="0"/>
        </w:numPr>
        <w:spacing w:line="276" w:lineRule="auto"/>
        <w:ind w:left="567" w:hanging="567"/>
      </w:pPr>
      <w:r>
        <w:t>[3]</w:t>
      </w:r>
      <w:r>
        <w:tab/>
      </w:r>
      <w:r w:rsidR="005E7B24">
        <w:t>The appellant</w:t>
      </w:r>
      <w:r w:rsidR="009F0221">
        <w:t>'s case is</w:t>
      </w:r>
      <w:r w:rsidR="005E7B24">
        <w:t xml:space="preserve"> </w:t>
      </w:r>
      <w:r w:rsidR="009F0221">
        <w:t>that</w:t>
      </w:r>
      <w:r w:rsidR="005E7B24">
        <w:t xml:space="preserve"> th</w:t>
      </w:r>
      <w:bookmarkStart w:id="0" w:name="_GoBack"/>
      <w:bookmarkEnd w:id="0"/>
      <w:r w:rsidR="005E7B24">
        <w:t xml:space="preserve">e complaint to the </w:t>
      </w:r>
      <w:r w:rsidR="009F0221">
        <w:t>R</w:t>
      </w:r>
      <w:r w:rsidR="005E7B24">
        <w:t xml:space="preserve">egulator and the two statements are defamatory.  The appellant seeks a final interdict to prohibit </w:t>
      </w:r>
      <w:r w:rsidR="009F0221">
        <w:t>future</w:t>
      </w:r>
      <w:r w:rsidR="005E7B24">
        <w:t xml:space="preserve"> publication</w:t>
      </w:r>
      <w:r w:rsidR="009F0221">
        <w:t>s</w:t>
      </w:r>
      <w:r w:rsidR="005E7B24">
        <w:t xml:space="preserve"> </w:t>
      </w:r>
      <w:r w:rsidR="00A74FBC">
        <w:t>on the ground of defamation</w:t>
      </w:r>
      <w:r w:rsidR="005E7B24">
        <w:t>. The respondents</w:t>
      </w:r>
      <w:r w:rsidR="006335B5">
        <w:t xml:space="preserve"> rely on the defence of truth and public interest to </w:t>
      </w:r>
      <w:r w:rsidR="009F0221">
        <w:t>resist the interdict</w:t>
      </w:r>
      <w:r w:rsidR="006335B5">
        <w:t>.</w:t>
      </w:r>
      <w:r w:rsidR="009F0221">
        <w:t xml:space="preserve"> </w:t>
      </w:r>
    </w:p>
    <w:p w14:paraId="1E0EE33A" w14:textId="0477599C" w:rsidR="00EB72D2" w:rsidRDefault="00EB72D2" w:rsidP="00DB322D">
      <w:pPr>
        <w:pStyle w:val="ListParagraph"/>
        <w:numPr>
          <w:ilvl w:val="0"/>
          <w:numId w:val="0"/>
        </w:numPr>
        <w:spacing w:line="276" w:lineRule="auto"/>
        <w:ind w:left="567"/>
      </w:pPr>
    </w:p>
    <w:p w14:paraId="56C9E34B" w14:textId="64E4A339" w:rsidR="002B70E4" w:rsidRDefault="003C12C3" w:rsidP="003C12C3">
      <w:pPr>
        <w:pStyle w:val="Judgmentparagraph"/>
        <w:numPr>
          <w:ilvl w:val="0"/>
          <w:numId w:val="0"/>
        </w:numPr>
        <w:spacing w:line="276" w:lineRule="auto"/>
        <w:ind w:left="567" w:hanging="567"/>
      </w:pPr>
      <w:r>
        <w:t>[4]</w:t>
      </w:r>
      <w:r>
        <w:tab/>
      </w:r>
      <w:r w:rsidR="009F0221">
        <w:t>In the court a quo, t</w:t>
      </w:r>
      <w:r w:rsidR="00C26521">
        <w:t xml:space="preserve">he appellant was unsuccessful in proving the requirements for a final interdict. The Court a quo held that the appellant had not </w:t>
      </w:r>
      <w:r w:rsidR="006335B5">
        <w:t>proven a</w:t>
      </w:r>
      <w:r w:rsidR="00C26521">
        <w:t xml:space="preserve"> clear right </w:t>
      </w:r>
      <w:r w:rsidR="006335B5">
        <w:t>or</w:t>
      </w:r>
      <w:r w:rsidR="00C26521">
        <w:t xml:space="preserve"> the absence of an alternative remedy.  The appellant was however granted leave to appeal to this Full Bench.  The sole issue for consideration is whether the appellant has satisfied the requirements for a final interdict.  </w:t>
      </w:r>
    </w:p>
    <w:p w14:paraId="2CBF65F9" w14:textId="515E6538" w:rsidR="00EB72D2" w:rsidRDefault="00EB72D2" w:rsidP="00DB322D">
      <w:pPr>
        <w:pStyle w:val="ListParagraph"/>
        <w:numPr>
          <w:ilvl w:val="0"/>
          <w:numId w:val="0"/>
        </w:numPr>
        <w:spacing w:line="276" w:lineRule="auto"/>
        <w:ind w:left="567"/>
      </w:pPr>
    </w:p>
    <w:p w14:paraId="636597A6" w14:textId="7CD72648" w:rsidR="00F95C0B" w:rsidRDefault="003C12C3" w:rsidP="003C12C3">
      <w:pPr>
        <w:pStyle w:val="Judgmentparagraph"/>
        <w:numPr>
          <w:ilvl w:val="0"/>
          <w:numId w:val="0"/>
        </w:numPr>
        <w:spacing w:line="276" w:lineRule="auto"/>
        <w:ind w:left="567" w:hanging="567"/>
      </w:pPr>
      <w:r>
        <w:t>[5]</w:t>
      </w:r>
      <w:r>
        <w:tab/>
      </w:r>
      <w:r w:rsidR="00C26521">
        <w:t xml:space="preserve">The first </w:t>
      </w:r>
      <w:r w:rsidR="006335B5">
        <w:t>requirement to consider is whether the appellant has established a</w:t>
      </w:r>
      <w:r w:rsidR="00C26521">
        <w:t xml:space="preserve"> clear right.</w:t>
      </w:r>
      <w:r w:rsidR="00B74829">
        <w:t xml:space="preserve"> </w:t>
      </w:r>
      <w:r w:rsidR="00C26521">
        <w:t xml:space="preserve">The appellant contends that the sting of the statements are that it is operating its business unlawfully.  The </w:t>
      </w:r>
      <w:r w:rsidR="00F95C0B">
        <w:t xml:space="preserve">circular contained </w:t>
      </w:r>
      <w:r w:rsidR="00C26521">
        <w:t xml:space="preserve">allegations that </w:t>
      </w:r>
      <w:r w:rsidR="00F944F5">
        <w:t xml:space="preserve">the first </w:t>
      </w:r>
      <w:r w:rsidR="006335B5">
        <w:t>respondent</w:t>
      </w:r>
      <w:r w:rsidR="00F944F5">
        <w:t xml:space="preserve"> feels it </w:t>
      </w:r>
      <w:r w:rsidR="00014FB0">
        <w:t>"</w:t>
      </w:r>
      <w:r w:rsidR="00F944F5">
        <w:t>must advise residents of a serious risk</w:t>
      </w:r>
      <w:r w:rsidR="00014FB0">
        <w:t>"</w:t>
      </w:r>
      <w:r w:rsidR="00F944F5">
        <w:t xml:space="preserve"> and that it </w:t>
      </w:r>
      <w:r w:rsidR="006335B5">
        <w:t>believes</w:t>
      </w:r>
      <w:r w:rsidR="00F944F5">
        <w:t xml:space="preserve"> that </w:t>
      </w:r>
      <w:r w:rsidR="00014FB0">
        <w:t>"</w:t>
      </w:r>
      <w:r w:rsidR="00F944F5">
        <w:t xml:space="preserve">the </w:t>
      </w:r>
      <w:r w:rsidR="006335B5">
        <w:t>residents</w:t>
      </w:r>
      <w:r w:rsidR="00F944F5">
        <w:t xml:space="preserve"> may be expose</w:t>
      </w:r>
      <w:r w:rsidR="00014FB0">
        <w:t>d</w:t>
      </w:r>
      <w:r w:rsidR="00F944F5">
        <w:t xml:space="preserve"> to the risk </w:t>
      </w:r>
      <w:r w:rsidR="00BF78C8">
        <w:t>of</w:t>
      </w:r>
      <w:r w:rsidR="00F944F5">
        <w:t xml:space="preserve"> poorly </w:t>
      </w:r>
      <w:r w:rsidR="006335B5">
        <w:t>trained</w:t>
      </w:r>
      <w:r w:rsidR="00F944F5">
        <w:t xml:space="preserve"> officers</w:t>
      </w:r>
      <w:r w:rsidR="00014FB0">
        <w:t>"</w:t>
      </w:r>
      <w:r w:rsidR="00F944F5">
        <w:t xml:space="preserve"> and that </w:t>
      </w:r>
      <w:r w:rsidR="007F5515">
        <w:t>the first respondent</w:t>
      </w:r>
      <w:r w:rsidR="00F944F5">
        <w:t xml:space="preserve"> </w:t>
      </w:r>
      <w:r w:rsidR="00014FB0">
        <w:t>is</w:t>
      </w:r>
      <w:r w:rsidR="00F944F5">
        <w:t xml:space="preserve"> </w:t>
      </w:r>
      <w:r w:rsidR="00014FB0">
        <w:t>"</w:t>
      </w:r>
      <w:r w:rsidR="00F944F5">
        <w:t>deeply conc</w:t>
      </w:r>
      <w:r w:rsidR="00014FB0">
        <w:t>erned</w:t>
      </w:r>
      <w:r w:rsidR="00F944F5">
        <w:t xml:space="preserve"> for th</w:t>
      </w:r>
      <w:r w:rsidR="00014FB0">
        <w:t>e</w:t>
      </w:r>
      <w:r w:rsidR="00F944F5">
        <w:t xml:space="preserve"> safety of the clients and staff</w:t>
      </w:r>
      <w:r w:rsidR="00014FB0">
        <w:t>"</w:t>
      </w:r>
      <w:r w:rsidR="00F944F5">
        <w:t xml:space="preserve"> of the appellant.  </w:t>
      </w:r>
      <w:r w:rsidR="00C26521">
        <w:t xml:space="preserve"> </w:t>
      </w:r>
    </w:p>
    <w:p w14:paraId="703BE326" w14:textId="4468A037" w:rsidR="00F95C0B" w:rsidRDefault="003C12C3" w:rsidP="003C12C3">
      <w:pPr>
        <w:pStyle w:val="Judgmentparagraph"/>
        <w:numPr>
          <w:ilvl w:val="0"/>
          <w:numId w:val="0"/>
        </w:numPr>
        <w:spacing w:line="276" w:lineRule="auto"/>
        <w:ind w:left="567" w:hanging="567"/>
      </w:pPr>
      <w:r>
        <w:t>[6]</w:t>
      </w:r>
      <w:r>
        <w:tab/>
      </w:r>
      <w:r w:rsidR="00F95C0B">
        <w:t xml:space="preserve">The statement to the Bryanfern Residents Association is along the same line and reads: </w:t>
      </w:r>
    </w:p>
    <w:p w14:paraId="3A8013A3" w14:textId="05459871" w:rsidR="00F95C0B" w:rsidRPr="00EB72D2" w:rsidRDefault="00F95C0B" w:rsidP="00DB322D">
      <w:pPr>
        <w:pStyle w:val="Judgmentparagraph"/>
        <w:numPr>
          <w:ilvl w:val="0"/>
          <w:numId w:val="0"/>
        </w:numPr>
        <w:spacing w:line="276" w:lineRule="auto"/>
        <w:ind w:left="720"/>
        <w:rPr>
          <w:sz w:val="22"/>
          <w:szCs w:val="22"/>
        </w:rPr>
      </w:pPr>
      <w:r w:rsidRPr="00EB72D2">
        <w:rPr>
          <w:sz w:val="22"/>
          <w:szCs w:val="22"/>
        </w:rPr>
        <w:t>"Having recently employed an ex-Special Ops 99 security armed response officer we are reliably informed that Special Ops 99 is and has been conducting business unlawfully in that:</w:t>
      </w:r>
    </w:p>
    <w:p w14:paraId="76BE44ED" w14:textId="5E924EDC" w:rsidR="00F95C0B" w:rsidRPr="00EB72D2" w:rsidRDefault="00F95C0B" w:rsidP="00DB322D">
      <w:pPr>
        <w:pStyle w:val="Judgmentparagraph"/>
        <w:numPr>
          <w:ilvl w:val="0"/>
          <w:numId w:val="0"/>
        </w:numPr>
        <w:spacing w:line="276" w:lineRule="auto"/>
        <w:ind w:left="720"/>
        <w:rPr>
          <w:sz w:val="22"/>
          <w:szCs w:val="22"/>
        </w:rPr>
      </w:pPr>
      <w:r w:rsidRPr="00EB72D2">
        <w:rPr>
          <w:sz w:val="22"/>
          <w:szCs w:val="22"/>
        </w:rPr>
        <w:t xml:space="preserve">Whilst Special Ops 99 is registered with the compulsory PSIRA provident fund, they have been flagged by the administrators of the fund as non-compliant.  All employers and employees must according to the law, participate in the fund. Special Ops 99 is required to contribute to the provident fund and is required to participate in the fund. Special Ops 99 is required to contribute to the provident fund and is required to deduct the same amount from its employee.  Failure to do so, results in the employees and reaction officers not having any risk benefits, including death, permanent disability and funeral benefits. </w:t>
      </w:r>
    </w:p>
    <w:p w14:paraId="2ECC15BC" w14:textId="6693D82F" w:rsidR="00F95C0B" w:rsidRPr="00EB72D2" w:rsidRDefault="00F95C0B" w:rsidP="00DB322D">
      <w:pPr>
        <w:pStyle w:val="Judgmentparagraph"/>
        <w:numPr>
          <w:ilvl w:val="0"/>
          <w:numId w:val="0"/>
        </w:numPr>
        <w:spacing w:line="276" w:lineRule="auto"/>
        <w:ind w:left="720"/>
        <w:rPr>
          <w:sz w:val="22"/>
          <w:szCs w:val="22"/>
        </w:rPr>
      </w:pPr>
      <w:r w:rsidRPr="00EB72D2">
        <w:rPr>
          <w:sz w:val="22"/>
          <w:szCs w:val="22"/>
        </w:rPr>
        <w:lastRenderedPageBreak/>
        <w:t>The gravity of the above unlawful conduct is such that such violation attracts imprisonment of up to 10 years or a fine of up to R 10 million.</w:t>
      </w:r>
    </w:p>
    <w:p w14:paraId="16422DDF" w14:textId="5BD5F0D9" w:rsidR="00F95C0B" w:rsidRPr="00EB72D2" w:rsidRDefault="00F95C0B" w:rsidP="00DB322D">
      <w:pPr>
        <w:pStyle w:val="Judgmentparagraph"/>
        <w:numPr>
          <w:ilvl w:val="0"/>
          <w:numId w:val="0"/>
        </w:numPr>
        <w:spacing w:line="276" w:lineRule="auto"/>
        <w:ind w:left="720"/>
        <w:rPr>
          <w:sz w:val="22"/>
          <w:szCs w:val="22"/>
        </w:rPr>
      </w:pPr>
      <w:r w:rsidRPr="00EB72D2">
        <w:rPr>
          <w:sz w:val="22"/>
          <w:szCs w:val="22"/>
        </w:rPr>
        <w:t>Significantly, we, in concurrency with the PSIRA Act and Regulations consider the unlawful and unjust treatment of employees of security service providers to constitute a risk to staff and customers ...</w:t>
      </w:r>
    </w:p>
    <w:p w14:paraId="1DD69A0B" w14:textId="29281262" w:rsidR="00F95C0B" w:rsidRPr="00EB72D2" w:rsidRDefault="00F95C0B" w:rsidP="00DB322D">
      <w:pPr>
        <w:pStyle w:val="Judgmentparagraph"/>
        <w:numPr>
          <w:ilvl w:val="0"/>
          <w:numId w:val="0"/>
        </w:numPr>
        <w:spacing w:line="276" w:lineRule="auto"/>
        <w:ind w:left="720"/>
        <w:rPr>
          <w:sz w:val="22"/>
          <w:szCs w:val="22"/>
        </w:rPr>
      </w:pPr>
      <w:r w:rsidRPr="00EB72D2">
        <w:rPr>
          <w:sz w:val="22"/>
          <w:szCs w:val="22"/>
        </w:rPr>
        <w:t xml:space="preserve">We draw your attention to the unlawful conduct of Special Ops 99 in the discharge of our duty to you and in compliance with the PSIRA Act and the PSIRA Code of Conduct.  </w:t>
      </w:r>
    </w:p>
    <w:p w14:paraId="552EC15C" w14:textId="432253FF" w:rsidR="00F95C0B" w:rsidRDefault="00F95C0B" w:rsidP="00DB322D">
      <w:pPr>
        <w:pStyle w:val="Judgmentparagraph"/>
        <w:numPr>
          <w:ilvl w:val="0"/>
          <w:numId w:val="0"/>
        </w:numPr>
        <w:spacing w:line="276" w:lineRule="auto"/>
        <w:ind w:left="720"/>
        <w:rPr>
          <w:sz w:val="22"/>
          <w:szCs w:val="22"/>
        </w:rPr>
      </w:pPr>
      <w:r w:rsidRPr="00EB72D2">
        <w:rPr>
          <w:sz w:val="22"/>
          <w:szCs w:val="22"/>
        </w:rPr>
        <w:t>We have drawn the PSIRA Authority's attention to the unlawful conduct of Special Ops 99 and the matter is currently under investigation.  We also note that in your previous correspondence to Bryanfern Residents you indicated that your due diligence in response to Special Ops 99 was successful."</w:t>
      </w:r>
    </w:p>
    <w:p w14:paraId="16FD3561" w14:textId="77777777" w:rsidR="00EB72D2" w:rsidRPr="00EB72D2" w:rsidRDefault="00EB72D2" w:rsidP="00DB322D">
      <w:pPr>
        <w:pStyle w:val="Judgmentparagraph"/>
        <w:numPr>
          <w:ilvl w:val="0"/>
          <w:numId w:val="0"/>
        </w:numPr>
        <w:spacing w:line="276" w:lineRule="auto"/>
        <w:ind w:left="720"/>
        <w:rPr>
          <w:sz w:val="22"/>
          <w:szCs w:val="22"/>
        </w:rPr>
      </w:pPr>
    </w:p>
    <w:p w14:paraId="137A5BAD" w14:textId="7AD12440" w:rsidR="007C7C25" w:rsidRDefault="003C12C3" w:rsidP="003C12C3">
      <w:pPr>
        <w:pStyle w:val="Judgmentparagraph"/>
        <w:numPr>
          <w:ilvl w:val="0"/>
          <w:numId w:val="0"/>
        </w:numPr>
        <w:spacing w:line="276" w:lineRule="auto"/>
        <w:ind w:left="567" w:hanging="567"/>
      </w:pPr>
      <w:r>
        <w:t>[7]</w:t>
      </w:r>
      <w:r>
        <w:tab/>
      </w:r>
      <w:r w:rsidR="00C26521">
        <w:t>The</w:t>
      </w:r>
      <w:r w:rsidR="00F95C0B">
        <w:t xml:space="preserve"> court a quo accepted that the</w:t>
      </w:r>
      <w:r w:rsidR="00C26521">
        <w:t xml:space="preserve"> statements </w:t>
      </w:r>
      <w:r w:rsidR="00F95C0B">
        <w:t xml:space="preserve">were, prima facie, defamatory.  </w:t>
      </w:r>
      <w:r w:rsidR="007C7C25">
        <w:t xml:space="preserve">This Court is willing to assume that the statements can diminish the good name of the appellant in the eyes of a reasonable person and are consequently defamatory.  </w:t>
      </w:r>
    </w:p>
    <w:p w14:paraId="6F0EE59B" w14:textId="77777777" w:rsidR="00EB72D2" w:rsidRDefault="00EB72D2" w:rsidP="00DB322D">
      <w:pPr>
        <w:pStyle w:val="Judgmentparagraph"/>
        <w:numPr>
          <w:ilvl w:val="0"/>
          <w:numId w:val="0"/>
        </w:numPr>
        <w:spacing w:line="276" w:lineRule="auto"/>
        <w:ind w:left="567"/>
      </w:pPr>
    </w:p>
    <w:p w14:paraId="4EE3D568" w14:textId="3E8B232C" w:rsidR="00B74829" w:rsidRDefault="003C12C3" w:rsidP="003C12C3">
      <w:pPr>
        <w:pStyle w:val="Judgmentparagraph"/>
        <w:numPr>
          <w:ilvl w:val="0"/>
          <w:numId w:val="0"/>
        </w:numPr>
        <w:spacing w:line="276" w:lineRule="auto"/>
        <w:ind w:left="567" w:hanging="567"/>
      </w:pPr>
      <w:r>
        <w:t>[8]</w:t>
      </w:r>
      <w:r>
        <w:tab/>
      </w:r>
      <w:r w:rsidR="00C26521">
        <w:t>The respondents the</w:t>
      </w:r>
      <w:r w:rsidR="007C7C25">
        <w:t>refore</w:t>
      </w:r>
      <w:r w:rsidR="00C26521">
        <w:t xml:space="preserve"> attract the onus to prove that the sting of the statements are true and in </w:t>
      </w:r>
      <w:r w:rsidR="007C7C25">
        <w:t>the</w:t>
      </w:r>
      <w:r w:rsidR="00C26521">
        <w:t xml:space="preserve"> public interest</w:t>
      </w:r>
      <w:r w:rsidR="007C7C25">
        <w:t>.  The</w:t>
      </w:r>
      <w:r w:rsidR="00C26521">
        <w:t xml:space="preserve"> </w:t>
      </w:r>
      <w:r w:rsidR="00BF78C8">
        <w:t xml:space="preserve">defence requires that the </w:t>
      </w:r>
      <w:r w:rsidR="00C26521">
        <w:t xml:space="preserve">respondents have to </w:t>
      </w:r>
      <w:r w:rsidR="00A74FBC">
        <w:t xml:space="preserve">lay a "substantial foundation" for the </w:t>
      </w:r>
      <w:r w:rsidR="007C7C25">
        <w:t xml:space="preserve">statements. </w:t>
      </w:r>
      <w:r w:rsidR="000C0BC9">
        <w:t>The</w:t>
      </w:r>
      <w:r w:rsidR="007C7C25">
        <w:t xml:space="preserve"> Supreme Court of Appeal in </w:t>
      </w:r>
      <w:r w:rsidR="000C0BC9" w:rsidRPr="002B70E4">
        <w:rPr>
          <w:i/>
          <w:iCs/>
        </w:rPr>
        <w:t>Herbal Zone (Pty) Ltd and Others v Infitech Technologies (Pty) Ltd</w:t>
      </w:r>
      <w:r w:rsidR="008A6A31">
        <w:rPr>
          <w:rStyle w:val="FootnoteReference"/>
          <w:i/>
          <w:iCs/>
        </w:rPr>
        <w:footnoteReference w:id="2"/>
      </w:r>
      <w:r w:rsidR="000C0BC9">
        <w:t xml:space="preserve"> held that </w:t>
      </w:r>
      <w:r w:rsidR="000C0BC9" w:rsidRPr="000C0BC9">
        <w:t xml:space="preserve">the mere </w:t>
      </w:r>
      <w:r w:rsidR="007F5515">
        <w:t>say so</w:t>
      </w:r>
      <w:r w:rsidR="000C0BC9" w:rsidRPr="000C0BC9">
        <w:t xml:space="preserve"> of a respondent would </w:t>
      </w:r>
      <w:r w:rsidR="000C0BC9">
        <w:t xml:space="preserve">not </w:t>
      </w:r>
      <w:r w:rsidR="000C0BC9" w:rsidRPr="000C0BC9">
        <w:t>suffice to prevent a court from granting an interdict. What is required is that a sustainable foundation be laid by way of evidence that a defence such as truth and public interest or fair comment is available to be pursued by the respondent.</w:t>
      </w:r>
      <w:r w:rsidR="000C0BC9">
        <w:rPr>
          <w:rStyle w:val="FootnoteReference"/>
        </w:rPr>
        <w:footnoteReference w:id="3"/>
      </w:r>
      <w:r w:rsidR="000C0BC9" w:rsidRPr="000C0BC9">
        <w:t xml:space="preserve"> </w:t>
      </w:r>
      <w:r w:rsidR="002B70E4">
        <w:t>The Court held that i</w:t>
      </w:r>
      <w:r w:rsidR="000C0BC9" w:rsidRPr="000C0BC9">
        <w:t xml:space="preserve">t is not sufficient simply to state that at a trial the respondent will prove that the statements were true and made in the public interest, or some other defence to a claim for defamation, without providing a factual basis. </w:t>
      </w:r>
      <w:r w:rsidR="00DC1D47">
        <w:t xml:space="preserve"> </w:t>
      </w:r>
      <w:r w:rsidR="00B74829">
        <w:t xml:space="preserve">The authority of </w:t>
      </w:r>
      <w:r w:rsidR="00B74829" w:rsidRPr="004A1527">
        <w:rPr>
          <w:i/>
          <w:iCs/>
        </w:rPr>
        <w:t>Herbal Zone</w:t>
      </w:r>
      <w:r w:rsidR="00B74829">
        <w:t xml:space="preserve"> is appropriate as the case, similar to what is before us, relates to averments made </w:t>
      </w:r>
      <w:r w:rsidR="007F5515">
        <w:t>against a</w:t>
      </w:r>
      <w:r w:rsidR="00B74829">
        <w:t xml:space="preserve"> competi</w:t>
      </w:r>
      <w:r w:rsidR="007F5515">
        <w:t>tor</w:t>
      </w:r>
      <w:r w:rsidR="00B74829">
        <w:t xml:space="preserve">, with allegations containing overtones of criminality and in the context of final interdict relief being sought.  </w:t>
      </w:r>
    </w:p>
    <w:p w14:paraId="42B6699C" w14:textId="77777777" w:rsidR="00EB72D2" w:rsidRDefault="00EB72D2" w:rsidP="00DB322D">
      <w:pPr>
        <w:pStyle w:val="Judgmentparagraph"/>
        <w:numPr>
          <w:ilvl w:val="0"/>
          <w:numId w:val="0"/>
        </w:numPr>
        <w:spacing w:line="276" w:lineRule="auto"/>
        <w:ind w:left="567"/>
      </w:pPr>
    </w:p>
    <w:p w14:paraId="6444D1F5" w14:textId="17BCBC29" w:rsidR="004A1527" w:rsidRDefault="003C12C3" w:rsidP="003C12C3">
      <w:pPr>
        <w:pStyle w:val="Judgmentparagraph"/>
        <w:numPr>
          <w:ilvl w:val="0"/>
          <w:numId w:val="0"/>
        </w:numPr>
        <w:spacing w:line="276" w:lineRule="auto"/>
        <w:ind w:left="567" w:hanging="567"/>
      </w:pPr>
      <w:r>
        <w:t>[9]</w:t>
      </w:r>
      <w:r>
        <w:tab/>
      </w:r>
      <w:r w:rsidR="00B74829">
        <w:t>The Court</w:t>
      </w:r>
      <w:r w:rsidR="008A6A31">
        <w:t xml:space="preserve">, in </w:t>
      </w:r>
      <w:r w:rsidR="008A6A31" w:rsidRPr="008A6A31">
        <w:rPr>
          <w:i/>
          <w:iCs/>
        </w:rPr>
        <w:t>Herbal Zone</w:t>
      </w:r>
      <w:r w:rsidR="008A6A31">
        <w:t>,</w:t>
      </w:r>
      <w:r w:rsidR="00B74829">
        <w:t xml:space="preserve"> </w:t>
      </w:r>
      <w:r w:rsidR="007F5515">
        <w:t>concluded</w:t>
      </w:r>
      <w:r w:rsidR="00B74829">
        <w:t xml:space="preserve"> that a sustainable foundation for the defence of truth and public interest had been laid. The Court held - </w:t>
      </w:r>
    </w:p>
    <w:p w14:paraId="720C090B" w14:textId="2DD1872D" w:rsidR="000C0BC9" w:rsidRDefault="00DC1D47" w:rsidP="00DB322D">
      <w:pPr>
        <w:pStyle w:val="Judgmentparagraph"/>
        <w:numPr>
          <w:ilvl w:val="0"/>
          <w:numId w:val="0"/>
        </w:numPr>
        <w:spacing w:line="276" w:lineRule="auto"/>
        <w:ind w:left="720"/>
        <w:rPr>
          <w:sz w:val="22"/>
          <w:szCs w:val="22"/>
        </w:rPr>
      </w:pPr>
      <w:r w:rsidRPr="00EB72D2">
        <w:rPr>
          <w:sz w:val="22"/>
          <w:szCs w:val="22"/>
        </w:rPr>
        <w:t>"There is no need for us to determine whether that defence will succeed at trial. But it is a colourable defence and a factual basis has been laid for it that cannot be rejected out of hand."</w:t>
      </w:r>
      <w:r w:rsidRPr="00EB72D2">
        <w:rPr>
          <w:rStyle w:val="FootnoteReference"/>
          <w:sz w:val="22"/>
          <w:szCs w:val="22"/>
        </w:rPr>
        <w:footnoteReference w:id="4"/>
      </w:r>
      <w:r w:rsidRPr="00EB72D2">
        <w:rPr>
          <w:sz w:val="22"/>
          <w:szCs w:val="22"/>
        </w:rPr>
        <w:t xml:space="preserve"> </w:t>
      </w:r>
    </w:p>
    <w:p w14:paraId="5A3B9819" w14:textId="77777777" w:rsidR="00EB72D2" w:rsidRPr="00EB72D2" w:rsidRDefault="00EB72D2" w:rsidP="00DB322D">
      <w:pPr>
        <w:pStyle w:val="Judgmentparagraph"/>
        <w:numPr>
          <w:ilvl w:val="0"/>
          <w:numId w:val="0"/>
        </w:numPr>
        <w:spacing w:line="276" w:lineRule="auto"/>
        <w:ind w:left="720"/>
        <w:rPr>
          <w:sz w:val="22"/>
          <w:szCs w:val="22"/>
        </w:rPr>
      </w:pPr>
    </w:p>
    <w:p w14:paraId="55FFA06F" w14:textId="79F71A66" w:rsidR="004A1527" w:rsidRDefault="003C12C3" w:rsidP="003C12C3">
      <w:pPr>
        <w:pStyle w:val="Judgmentparagraph"/>
        <w:numPr>
          <w:ilvl w:val="0"/>
          <w:numId w:val="0"/>
        </w:numPr>
        <w:spacing w:line="276" w:lineRule="auto"/>
        <w:ind w:left="567" w:hanging="567"/>
      </w:pPr>
      <w:r>
        <w:t>[10]</w:t>
      </w:r>
      <w:r>
        <w:tab/>
      </w:r>
      <w:r w:rsidR="00DC1D47">
        <w:t>Th</w:t>
      </w:r>
      <w:r w:rsidR="004A1527">
        <w:t>is</w:t>
      </w:r>
      <w:r w:rsidR="00DC1D47">
        <w:t xml:space="preserve"> Court has to determine whether it has before it a colourable defence</w:t>
      </w:r>
      <w:r w:rsidR="007F5515">
        <w:t>.</w:t>
      </w:r>
      <w:r w:rsidR="00DC1D47">
        <w:t xml:space="preserve"> </w:t>
      </w:r>
      <w:r w:rsidR="004A1527">
        <w:t>Applying this test, t</w:t>
      </w:r>
      <w:r w:rsidR="00DC1D47">
        <w:t xml:space="preserve">he Court considers the evidence presented by the respondents.  </w:t>
      </w:r>
      <w:r w:rsidR="001F2E33">
        <w:t>The respondents</w:t>
      </w:r>
      <w:r w:rsidR="004A1527">
        <w:t xml:space="preserve"> factual foundation consists, in the main, of several pillars.</w:t>
      </w:r>
      <w:r w:rsidR="007F5515">
        <w:t xml:space="preserve">  </w:t>
      </w:r>
      <w:r w:rsidR="004A1527">
        <w:t>First, the respondents</w:t>
      </w:r>
      <w:r w:rsidR="001F2E33">
        <w:t xml:space="preserve"> present</w:t>
      </w:r>
      <w:r w:rsidR="004A1527">
        <w:t xml:space="preserve"> a</w:t>
      </w:r>
      <w:r w:rsidR="001F2E33">
        <w:t>n email from Mr Tony Botes, the National Administrator of the Security Association of South Africa</w:t>
      </w:r>
      <w:r w:rsidR="00A33AB0">
        <w:t xml:space="preserve"> (an employer's organisation) dated 12 November 2019.  The email </w:t>
      </w:r>
      <w:r w:rsidR="004A1527">
        <w:t>relies on a</w:t>
      </w:r>
      <w:r w:rsidR="00A33AB0">
        <w:t xml:space="preserve"> payslip from Special Ops 99 and states that "it is blatantly obvious</w:t>
      </w:r>
      <w:r w:rsidR="004A1527">
        <w:t>"</w:t>
      </w:r>
      <w:r w:rsidR="00A33AB0">
        <w:t xml:space="preserve"> that </w:t>
      </w:r>
      <w:r w:rsidR="004A1527">
        <w:t>the appellant is</w:t>
      </w:r>
      <w:r w:rsidR="00A33AB0">
        <w:t xml:space="preserve"> </w:t>
      </w:r>
      <w:r w:rsidR="004A1527">
        <w:t>"</w:t>
      </w:r>
      <w:r w:rsidR="00A33AB0">
        <w:t xml:space="preserve">grossly non-compliant with SD 6" in that it does not contain </w:t>
      </w:r>
      <w:r w:rsidR="004A1527">
        <w:t>"</w:t>
      </w:r>
      <w:r w:rsidR="00A33AB0">
        <w:t>overtime, Sunday time</w:t>
      </w:r>
      <w:r w:rsidR="007F5515">
        <w:t>,</w:t>
      </w:r>
      <w:r w:rsidR="00A33AB0">
        <w:t xml:space="preserve"> no statutory provident fund deductions</w:t>
      </w:r>
      <w:r w:rsidR="007F5515">
        <w:t>,</w:t>
      </w:r>
      <w:r w:rsidR="00A33AB0">
        <w:t xml:space="preserve"> no cleaning allowance and no special allowance</w:t>
      </w:r>
      <w:r w:rsidR="004A1527">
        <w:t>"</w:t>
      </w:r>
      <w:r w:rsidR="00A33AB0">
        <w:t xml:space="preserve">. </w:t>
      </w:r>
    </w:p>
    <w:p w14:paraId="324B8654" w14:textId="77777777" w:rsidR="00EB72D2" w:rsidRDefault="00EB72D2" w:rsidP="00DB322D">
      <w:pPr>
        <w:pStyle w:val="Judgmentparagraph"/>
        <w:numPr>
          <w:ilvl w:val="0"/>
          <w:numId w:val="0"/>
        </w:numPr>
        <w:spacing w:line="276" w:lineRule="auto"/>
        <w:ind w:left="567"/>
      </w:pPr>
    </w:p>
    <w:p w14:paraId="1926E2EF" w14:textId="7A2509D5" w:rsidR="004A1527" w:rsidRDefault="003C12C3" w:rsidP="003C12C3">
      <w:pPr>
        <w:pStyle w:val="Judgmentparagraph"/>
        <w:numPr>
          <w:ilvl w:val="0"/>
          <w:numId w:val="0"/>
        </w:numPr>
        <w:spacing w:line="276" w:lineRule="auto"/>
        <w:ind w:left="567" w:hanging="567"/>
      </w:pPr>
      <w:r>
        <w:t>[11]</w:t>
      </w:r>
      <w:r>
        <w:tab/>
      </w:r>
      <w:r w:rsidR="004A1527">
        <w:t>Second, the respondents provide a</w:t>
      </w:r>
      <w:r w:rsidR="00C66532">
        <w:t xml:space="preserve">n email from Ms Wanda Ndabeni, a Legal Officer at </w:t>
      </w:r>
      <w:r w:rsidR="004A1527">
        <w:t>the</w:t>
      </w:r>
      <w:r w:rsidR="00C66532">
        <w:t xml:space="preserve"> </w:t>
      </w:r>
      <w:r w:rsidR="004A1527">
        <w:t>Provident</w:t>
      </w:r>
      <w:r w:rsidR="00C66532">
        <w:t xml:space="preserve"> Fund of 13 November 2019</w:t>
      </w:r>
      <w:r w:rsidR="007F5515">
        <w:t>.</w:t>
      </w:r>
      <w:r w:rsidR="00C66532">
        <w:t xml:space="preserve"> Ms Ndabeni </w:t>
      </w:r>
      <w:r w:rsidR="007F5515">
        <w:t>writes</w:t>
      </w:r>
      <w:r w:rsidR="00C66532">
        <w:t xml:space="preserve"> that the appellant's contributions are "not frequent and the last contribution was received on 31 October 2019 but without the submission </w:t>
      </w:r>
      <w:r w:rsidR="00F446F2">
        <w:t>of</w:t>
      </w:r>
      <w:r w:rsidR="00C66532">
        <w:t xml:space="preserve"> a schedule". </w:t>
      </w:r>
      <w:r w:rsidR="004A1527">
        <w:t xml:space="preserve"> The PSIRA Act requires contributions to the Provident Fund </w:t>
      </w:r>
      <w:r w:rsidR="00B74829">
        <w:t xml:space="preserve">and the failure to contribute amounts to a criminal offence.  </w:t>
      </w:r>
    </w:p>
    <w:p w14:paraId="6F8435AA" w14:textId="6CE7228A" w:rsidR="004A1527" w:rsidRDefault="003C12C3" w:rsidP="003C12C3">
      <w:pPr>
        <w:pStyle w:val="Judgmentparagraph"/>
        <w:numPr>
          <w:ilvl w:val="0"/>
          <w:numId w:val="0"/>
        </w:numPr>
        <w:spacing w:line="276" w:lineRule="auto"/>
        <w:ind w:left="567" w:hanging="567"/>
      </w:pPr>
      <w:r>
        <w:t>[12]</w:t>
      </w:r>
      <w:r>
        <w:tab/>
      </w:r>
      <w:r w:rsidR="004A1527">
        <w:t>Third, a</w:t>
      </w:r>
      <w:r w:rsidR="00C66532">
        <w:t xml:space="preserve"> certificate from the Regulator which indicates that there </w:t>
      </w:r>
      <w:r w:rsidR="007F5515">
        <w:t>is an amount of roughly</w:t>
      </w:r>
      <w:r w:rsidR="00C66532">
        <w:t xml:space="preserve"> R 50 000 </w:t>
      </w:r>
      <w:r w:rsidR="004A1527">
        <w:t>in the form of</w:t>
      </w:r>
      <w:r w:rsidR="00C66532">
        <w:t xml:space="preserve"> interest for late payments still outstanding from the appellant. </w:t>
      </w:r>
      <w:r w:rsidR="004A1527">
        <w:t>The appellant has not explained why there is interest levied for late payment or disputed the interest or that it is outstanding.</w:t>
      </w:r>
      <w:r w:rsidR="007F5515">
        <w:t xml:space="preserve"> </w:t>
      </w:r>
    </w:p>
    <w:p w14:paraId="5550A5B3" w14:textId="77777777" w:rsidR="00EB72D2" w:rsidRDefault="00EB72D2" w:rsidP="00DB322D">
      <w:pPr>
        <w:pStyle w:val="Judgmentparagraph"/>
        <w:numPr>
          <w:ilvl w:val="0"/>
          <w:numId w:val="0"/>
        </w:numPr>
        <w:spacing w:line="276" w:lineRule="auto"/>
        <w:ind w:left="567"/>
      </w:pPr>
    </w:p>
    <w:p w14:paraId="58E358D7" w14:textId="410160B0" w:rsidR="004A1527" w:rsidRDefault="003C12C3" w:rsidP="003C12C3">
      <w:pPr>
        <w:pStyle w:val="Judgmentparagraph"/>
        <w:numPr>
          <w:ilvl w:val="0"/>
          <w:numId w:val="0"/>
        </w:numPr>
        <w:spacing w:line="276" w:lineRule="auto"/>
        <w:ind w:left="567" w:hanging="567"/>
      </w:pPr>
      <w:r>
        <w:t>[13]</w:t>
      </w:r>
      <w:r>
        <w:tab/>
      </w:r>
      <w:r w:rsidR="004A1527">
        <w:t>Fourth, the</w:t>
      </w:r>
      <w:r w:rsidR="00C66532">
        <w:t xml:space="preserve"> second respondent's payslip.  The payslip shows that there is no deduction and no contribution to the Provident Fund. Th</w:t>
      </w:r>
      <w:r w:rsidR="007F5515">
        <w:t xml:space="preserve">e failure </w:t>
      </w:r>
      <w:r w:rsidR="00906F03">
        <w:t>to make the necessary deduction and contribution,</w:t>
      </w:r>
      <w:r w:rsidR="00C66532">
        <w:t xml:space="preserve"> is not disputed. </w:t>
      </w:r>
      <w:r w:rsidR="00906F03">
        <w:t>The</w:t>
      </w:r>
      <w:r w:rsidR="00C66532">
        <w:t xml:space="preserve"> appellant </w:t>
      </w:r>
      <w:r w:rsidR="00906F03">
        <w:t xml:space="preserve">laid the blame for this at the feet of the second respondent, claiming </w:t>
      </w:r>
      <w:r w:rsidR="00C66532">
        <w:t xml:space="preserve">the second respondent did not provide </w:t>
      </w:r>
      <w:r w:rsidR="004A1527">
        <w:t xml:space="preserve">certain </w:t>
      </w:r>
      <w:r w:rsidR="00C66532">
        <w:t>information</w:t>
      </w:r>
      <w:r w:rsidR="00906F03">
        <w:t xml:space="preserve">.  However, </w:t>
      </w:r>
      <w:r w:rsidR="00C66532">
        <w:t xml:space="preserve">during the course of the proceedings, the appellant did manage to register the second respondent and the deductions were made. </w:t>
      </w:r>
      <w:r w:rsidR="00F446F2">
        <w:t>The registration however predates the second respondent starting employment with the appellant</w:t>
      </w:r>
      <w:r w:rsidR="00A25D5B">
        <w:t xml:space="preserve"> and appears to have been possibl</w:t>
      </w:r>
      <w:r w:rsidR="004E7DAE">
        <w:t>e</w:t>
      </w:r>
      <w:r w:rsidR="00A25D5B">
        <w:t xml:space="preserve"> without any indication that the outstanding information had been provided.  </w:t>
      </w:r>
    </w:p>
    <w:p w14:paraId="6E4969D8" w14:textId="319F9FFB" w:rsidR="00EB72D2" w:rsidRDefault="00EB72D2" w:rsidP="00DB322D">
      <w:pPr>
        <w:pStyle w:val="ListParagraph"/>
        <w:numPr>
          <w:ilvl w:val="0"/>
          <w:numId w:val="0"/>
        </w:numPr>
        <w:spacing w:line="276" w:lineRule="auto"/>
        <w:ind w:left="567"/>
      </w:pPr>
    </w:p>
    <w:p w14:paraId="05BEA0BC" w14:textId="562E15A6" w:rsidR="004A1527" w:rsidRDefault="003C12C3" w:rsidP="003C12C3">
      <w:pPr>
        <w:pStyle w:val="Judgmentparagraph"/>
        <w:numPr>
          <w:ilvl w:val="0"/>
          <w:numId w:val="0"/>
        </w:numPr>
        <w:spacing w:line="276" w:lineRule="auto"/>
        <w:ind w:left="567" w:hanging="567"/>
      </w:pPr>
      <w:r>
        <w:t>[14]</w:t>
      </w:r>
      <w:r>
        <w:tab/>
      </w:r>
      <w:r w:rsidR="004A1527">
        <w:t>Fifth, the</w:t>
      </w:r>
      <w:r w:rsidR="00C66532">
        <w:t xml:space="preserve"> </w:t>
      </w:r>
      <w:r w:rsidR="00081F71">
        <w:t>first</w:t>
      </w:r>
      <w:r w:rsidR="00C66532">
        <w:t xml:space="preserve"> respondent </w:t>
      </w:r>
      <w:r w:rsidR="00906F03">
        <w:t>raises questions about</w:t>
      </w:r>
      <w:r w:rsidR="00C66532">
        <w:t xml:space="preserve"> the appellant's registration with the Regulator and </w:t>
      </w:r>
      <w:r w:rsidR="00906F03">
        <w:t>Provident Fund.</w:t>
      </w:r>
      <w:r w:rsidR="00C66532">
        <w:t xml:space="preserve">  The appellant's version is that it was</w:t>
      </w:r>
      <w:r w:rsidR="00F446F2">
        <w:t xml:space="preserve"> registered as a company in 2014 and</w:t>
      </w:r>
      <w:r w:rsidR="00C66532">
        <w:t xml:space="preserve"> registered with </w:t>
      </w:r>
      <w:r w:rsidR="00F446F2">
        <w:t xml:space="preserve">the </w:t>
      </w:r>
      <w:r w:rsidR="00C66532">
        <w:t xml:space="preserve">Regulator in 2016.  </w:t>
      </w:r>
      <w:r w:rsidR="00F446F2">
        <w:t>Section</w:t>
      </w:r>
      <w:r w:rsidR="00C66532">
        <w:t xml:space="preserve"> 20(1)(a) of PSIRA </w:t>
      </w:r>
      <w:r w:rsidR="00F446F2">
        <w:t xml:space="preserve">provides that no person may render a security service for remuneration unless registered. </w:t>
      </w:r>
      <w:r w:rsidR="00A25D5B">
        <w:t>The respondents contends that even on the appellant's version,</w:t>
      </w:r>
      <w:r w:rsidR="00F446F2">
        <w:t xml:space="preserve"> it acted in contravention of section 20(1)(a) of PSIRA for two years.  The first respondent contends that a contravention of this section attracts a penalty and constitutes a criminal offence. </w:t>
      </w:r>
      <w:r w:rsidR="00C66532">
        <w:t xml:space="preserve"> </w:t>
      </w:r>
      <w:r w:rsidR="00A33AB0">
        <w:t xml:space="preserve"> </w:t>
      </w:r>
    </w:p>
    <w:p w14:paraId="72E173FA" w14:textId="409814E5" w:rsidR="00EB72D2" w:rsidRDefault="00EB72D2" w:rsidP="00DB322D">
      <w:pPr>
        <w:pStyle w:val="ListParagraph"/>
        <w:numPr>
          <w:ilvl w:val="0"/>
          <w:numId w:val="0"/>
        </w:numPr>
        <w:spacing w:line="276" w:lineRule="auto"/>
        <w:ind w:left="567"/>
      </w:pPr>
    </w:p>
    <w:p w14:paraId="3665BD5A" w14:textId="75303A00" w:rsidR="001F2E33" w:rsidRDefault="003C12C3" w:rsidP="003C12C3">
      <w:pPr>
        <w:pStyle w:val="Judgmentparagraph"/>
        <w:numPr>
          <w:ilvl w:val="0"/>
          <w:numId w:val="0"/>
        </w:numPr>
        <w:spacing w:line="276" w:lineRule="auto"/>
        <w:ind w:left="567" w:hanging="567"/>
      </w:pPr>
      <w:r>
        <w:t>[15]</w:t>
      </w:r>
      <w:r>
        <w:tab/>
      </w:r>
      <w:r w:rsidR="004A1527">
        <w:t xml:space="preserve">Sixth, the </w:t>
      </w:r>
      <w:r w:rsidR="00081F71">
        <w:t>first</w:t>
      </w:r>
      <w:r w:rsidR="00F446F2">
        <w:t xml:space="preserve"> respondent points to the date on which the appellant registered with the Provident</w:t>
      </w:r>
      <w:r w:rsidR="0079294C">
        <w:t xml:space="preserve"> Fund.  On the appellant's version it was registered with the Provident Fund on 22 August 2012.  The version is at odds with the appellant's contention it was registered as a company only in 2014.  On the appellant's version it registered with the Fund before it was registered as a company. </w:t>
      </w:r>
      <w:r w:rsidR="00A33AB0">
        <w:t xml:space="preserve"> </w:t>
      </w:r>
    </w:p>
    <w:p w14:paraId="496E1471" w14:textId="0F8CA562" w:rsidR="00EB72D2" w:rsidRDefault="00EB72D2" w:rsidP="00DB322D">
      <w:pPr>
        <w:pStyle w:val="ListParagraph"/>
        <w:numPr>
          <w:ilvl w:val="0"/>
          <w:numId w:val="0"/>
        </w:numPr>
        <w:spacing w:line="276" w:lineRule="auto"/>
        <w:ind w:left="567"/>
      </w:pPr>
    </w:p>
    <w:p w14:paraId="28C6A228" w14:textId="3B2E2AE4" w:rsidR="004A1527" w:rsidRDefault="003C12C3" w:rsidP="003C12C3">
      <w:pPr>
        <w:pStyle w:val="Judgmentparagraph"/>
        <w:numPr>
          <w:ilvl w:val="0"/>
          <w:numId w:val="0"/>
        </w:numPr>
        <w:spacing w:line="276" w:lineRule="auto"/>
        <w:ind w:left="567" w:hanging="567"/>
      </w:pPr>
      <w:r>
        <w:t>[16]</w:t>
      </w:r>
      <w:r>
        <w:tab/>
      </w:r>
      <w:r w:rsidR="004A1527">
        <w:t>Seventh, the Regulator inspected the appellant and called for a host of outstanding information in order to determine whether the appellant was operating lawfully.</w:t>
      </w:r>
    </w:p>
    <w:p w14:paraId="4829C7A4" w14:textId="39E30B8A" w:rsidR="00EB72D2" w:rsidRDefault="00EB72D2" w:rsidP="00DB322D">
      <w:pPr>
        <w:pStyle w:val="ListParagraph"/>
        <w:numPr>
          <w:ilvl w:val="0"/>
          <w:numId w:val="0"/>
        </w:numPr>
        <w:spacing w:line="276" w:lineRule="auto"/>
        <w:ind w:left="567"/>
      </w:pPr>
    </w:p>
    <w:p w14:paraId="5AA9EF5F" w14:textId="3873526E" w:rsidR="00C26521" w:rsidRDefault="003C12C3" w:rsidP="003C12C3">
      <w:pPr>
        <w:pStyle w:val="Judgmentparagraph"/>
        <w:numPr>
          <w:ilvl w:val="0"/>
          <w:numId w:val="0"/>
        </w:numPr>
        <w:spacing w:line="276" w:lineRule="auto"/>
        <w:ind w:left="567" w:hanging="567"/>
      </w:pPr>
      <w:r>
        <w:t>[17]</w:t>
      </w:r>
      <w:r>
        <w:tab/>
      </w:r>
      <w:r w:rsidR="00C26521">
        <w:t>The appellant disputes some of these</w:t>
      </w:r>
      <w:r w:rsidR="00081F71">
        <w:t xml:space="preserve"> </w:t>
      </w:r>
      <w:r w:rsidR="004A1527">
        <w:t>and presents an updated report from the Regulator. Neither the Report nor the appellant's version provides a basis on which the Court can, out of hand, dismiss the respondents</w:t>
      </w:r>
      <w:r w:rsidR="008A6A31">
        <w:t>'</w:t>
      </w:r>
      <w:r w:rsidR="004A1527">
        <w:t xml:space="preserve"> defence.  </w:t>
      </w:r>
      <w:r w:rsidR="00A25D5B">
        <w:t>When the</w:t>
      </w:r>
      <w:r w:rsidR="004A1527">
        <w:t xml:space="preserve"> respondents</w:t>
      </w:r>
      <w:r w:rsidR="00A25D5B">
        <w:t xml:space="preserve">' </w:t>
      </w:r>
      <w:r w:rsidR="004A1527">
        <w:t>evidence</w:t>
      </w:r>
      <w:r w:rsidR="00A25D5B">
        <w:t xml:space="preserve"> is</w:t>
      </w:r>
      <w:r w:rsidR="004A1527">
        <w:t xml:space="preserve"> </w:t>
      </w:r>
      <w:r w:rsidR="00081F71">
        <w:t xml:space="preserve">viewed cumulatively, as </w:t>
      </w:r>
      <w:r w:rsidR="00A25D5B">
        <w:t>it</w:t>
      </w:r>
      <w:r w:rsidR="00081F71">
        <w:t xml:space="preserve"> must be viewed, the evidence stacks up to meet the threshold of a colourable defence that cannot be rejected out of hand. </w:t>
      </w:r>
      <w:r w:rsidR="004A1527">
        <w:t xml:space="preserve"> The evidence arise from different sources, an employer's organisation, the Regulator and the Provident Fund.  The factual foundation is </w:t>
      </w:r>
      <w:r w:rsidR="002C1939">
        <w:t>bolstered</w:t>
      </w:r>
      <w:r w:rsidR="004A1527">
        <w:t xml:space="preserve"> by objective evidence.  </w:t>
      </w:r>
      <w:r w:rsidR="00A25D5B">
        <w:t>The respondents have therefore laid a sustainable foundation for the defence of truth and the public interest.</w:t>
      </w:r>
      <w:r w:rsidR="001510B0">
        <w:t xml:space="preserve"> </w:t>
      </w:r>
      <w:r w:rsidR="002C1939">
        <w:t xml:space="preserve">The appellant has failed to prove it has a clear right to the relief sought. The failure to meet the threshold of a clear right is sufficient to dismiss the appeal on its own.  The Court however considers the remainder of the requirements </w:t>
      </w:r>
      <w:r w:rsidR="008A6A31">
        <w:t xml:space="preserve">for purposes of </w:t>
      </w:r>
      <w:r w:rsidR="001510B0">
        <w:t xml:space="preserve">providing a </w:t>
      </w:r>
      <w:r w:rsidR="008A6A31">
        <w:t xml:space="preserve">full </w:t>
      </w:r>
      <w:r w:rsidR="001510B0">
        <w:t xml:space="preserve">set of </w:t>
      </w:r>
      <w:r w:rsidR="008A6A31">
        <w:t xml:space="preserve">reasons.  </w:t>
      </w:r>
    </w:p>
    <w:p w14:paraId="48A491A0" w14:textId="09705B11" w:rsidR="00EB72D2" w:rsidRDefault="00EB72D2" w:rsidP="00DB322D">
      <w:pPr>
        <w:pStyle w:val="ListParagraph"/>
        <w:numPr>
          <w:ilvl w:val="0"/>
          <w:numId w:val="0"/>
        </w:numPr>
        <w:spacing w:line="276" w:lineRule="auto"/>
        <w:ind w:left="567"/>
      </w:pPr>
    </w:p>
    <w:p w14:paraId="0EBFE811" w14:textId="57FDA36C" w:rsidR="00C648B0" w:rsidRDefault="003C12C3" w:rsidP="003C12C3">
      <w:pPr>
        <w:pStyle w:val="Judgmentparagraph"/>
        <w:numPr>
          <w:ilvl w:val="0"/>
          <w:numId w:val="0"/>
        </w:numPr>
        <w:spacing w:line="276" w:lineRule="auto"/>
        <w:ind w:left="567" w:hanging="567"/>
      </w:pPr>
      <w:r>
        <w:t>[18]</w:t>
      </w:r>
      <w:r>
        <w:tab/>
      </w:r>
      <w:r w:rsidR="00C26521">
        <w:t xml:space="preserve">The next requirement the appellant has to </w:t>
      </w:r>
      <w:r w:rsidR="00A25D5B">
        <w:t>satisfy</w:t>
      </w:r>
      <w:r w:rsidR="00C26521">
        <w:t xml:space="preserve"> is to show it has no alternative remedy.  </w:t>
      </w:r>
      <w:r w:rsidR="00EE39EF">
        <w:t xml:space="preserve">The possibility of an alternative remedy plays a weighty role in the context of the relief sought in this matter.  </w:t>
      </w:r>
      <w:r w:rsidR="00982426">
        <w:t xml:space="preserve">The </w:t>
      </w:r>
      <w:r w:rsidR="00982426" w:rsidRPr="00982426">
        <w:t xml:space="preserve">interdict </w:t>
      </w:r>
      <w:r w:rsidR="00982426">
        <w:t xml:space="preserve">sought </w:t>
      </w:r>
      <w:r w:rsidR="00982426" w:rsidRPr="00982426">
        <w:t xml:space="preserve">is directed at preventing the party interdicted from making statements in the future. If granted it impinges upon that party's constitutionally protected right to freedom of speech. For that reason such an interdict is only </w:t>
      </w:r>
      <w:r w:rsidR="00EE39EF">
        <w:t>"</w:t>
      </w:r>
      <w:r w:rsidR="00982426" w:rsidRPr="00982426">
        <w:t>infrequently granted</w:t>
      </w:r>
      <w:r w:rsidR="00EE39EF">
        <w:t>" and the courts are cautious in granting this relief.</w:t>
      </w:r>
      <w:r w:rsidR="00EE39EF">
        <w:rPr>
          <w:rStyle w:val="FootnoteReference"/>
        </w:rPr>
        <w:footnoteReference w:id="5"/>
      </w:r>
      <w:r w:rsidR="00EE39EF">
        <w:t xml:space="preserve">  </w:t>
      </w:r>
      <w:r w:rsidR="00C648B0">
        <w:t>Generally,</w:t>
      </w:r>
      <w:r w:rsidR="00EE39EF">
        <w:t xml:space="preserve"> a party injured by speech can ordinarily claim damages in due course</w:t>
      </w:r>
      <w:r w:rsidR="00C648B0">
        <w:t xml:space="preserve"> and would have an alternative remedy available.</w:t>
      </w:r>
      <w:r w:rsidR="00EE39EF">
        <w:t xml:space="preserve"> </w:t>
      </w:r>
      <w:r w:rsidR="00C648B0">
        <w:t>Our courts have held that</w:t>
      </w:r>
      <w:r w:rsidR="00EE39EF">
        <w:t xml:space="preserve"> </w:t>
      </w:r>
      <w:r w:rsidR="00982426" w:rsidRPr="00982426">
        <w:t xml:space="preserve">an award of damages is </w:t>
      </w:r>
      <w:r w:rsidR="00C648B0">
        <w:t>"</w:t>
      </w:r>
      <w:r w:rsidR="00982426" w:rsidRPr="00982426">
        <w:t>usually capable of vindicating the right to reputation</w:t>
      </w:r>
      <w:r w:rsidR="00C648B0">
        <w:t>"</w:t>
      </w:r>
      <w:r w:rsidR="00982426" w:rsidRPr="00982426">
        <w:t xml:space="preserve"> and an </w:t>
      </w:r>
      <w:r w:rsidR="00C648B0">
        <w:t>"</w:t>
      </w:r>
      <w:r w:rsidR="00982426" w:rsidRPr="00982426">
        <w:t>anticipatory ban on publication will seldom be necessary for that purpose.</w:t>
      </w:r>
      <w:r w:rsidR="00EE39EF">
        <w:t>"</w:t>
      </w:r>
      <w:r w:rsidR="00EE39EF">
        <w:rPr>
          <w:rStyle w:val="FootnoteReference"/>
        </w:rPr>
        <w:footnoteReference w:id="6"/>
      </w:r>
      <w:r w:rsidR="00EE39EF">
        <w:t xml:space="preserve">  </w:t>
      </w:r>
      <w:r w:rsidR="00C648B0">
        <w:t xml:space="preserve"> </w:t>
      </w:r>
    </w:p>
    <w:p w14:paraId="343CF963" w14:textId="2E101E02" w:rsidR="00EB72D2" w:rsidRDefault="00EB72D2" w:rsidP="00DB322D">
      <w:pPr>
        <w:pStyle w:val="ListParagraph"/>
        <w:numPr>
          <w:ilvl w:val="0"/>
          <w:numId w:val="0"/>
        </w:numPr>
        <w:spacing w:line="276" w:lineRule="auto"/>
        <w:ind w:left="567"/>
      </w:pPr>
    </w:p>
    <w:p w14:paraId="56BD8EF8" w14:textId="4B6AB70F" w:rsidR="00A25D5B" w:rsidRDefault="003C12C3" w:rsidP="003C12C3">
      <w:pPr>
        <w:pStyle w:val="Judgmentparagraph"/>
        <w:numPr>
          <w:ilvl w:val="0"/>
          <w:numId w:val="0"/>
        </w:numPr>
        <w:spacing w:line="276" w:lineRule="auto"/>
        <w:ind w:left="567" w:hanging="567"/>
      </w:pPr>
      <w:r>
        <w:lastRenderedPageBreak/>
        <w:t>[19]</w:t>
      </w:r>
      <w:r>
        <w:tab/>
      </w:r>
      <w:r w:rsidR="00C648B0">
        <w:t xml:space="preserve">The appellant has to show why, on these facts, an anticipatory ban is necessary and explain to the Court why </w:t>
      </w:r>
      <w:r w:rsidR="008436AC">
        <w:t xml:space="preserve">it will not be able to obtain relief through a damages claim. </w:t>
      </w:r>
      <w:r w:rsidR="00C648B0">
        <w:t>The appellant has provided only vague and generalised allegations.  The allegations are that an action in due course would not cure the harm and that the "proverbial horse has already bolted". The factual foundation for this is not provided.  No basis has been provided why damages would not be an effective remedy.  The appellant has failed to indicate the absence of an alternative remedy.  On this basis al</w:t>
      </w:r>
      <w:r w:rsidR="001510B0">
        <w:t>so</w:t>
      </w:r>
      <w:r w:rsidR="00C648B0">
        <w:t xml:space="preserve">, the appeal falls to be dismissed.  </w:t>
      </w:r>
    </w:p>
    <w:p w14:paraId="64CA7C1C" w14:textId="338AF77B" w:rsidR="00EB72D2" w:rsidRDefault="00EB72D2" w:rsidP="00DB322D">
      <w:pPr>
        <w:pStyle w:val="ListParagraph"/>
        <w:numPr>
          <w:ilvl w:val="0"/>
          <w:numId w:val="0"/>
        </w:numPr>
        <w:spacing w:line="276" w:lineRule="auto"/>
        <w:ind w:left="567"/>
      </w:pPr>
    </w:p>
    <w:p w14:paraId="78226BE7" w14:textId="1FF9C0EB" w:rsidR="00982426" w:rsidRDefault="003C12C3" w:rsidP="003C12C3">
      <w:pPr>
        <w:pStyle w:val="Judgmentparagraph"/>
        <w:numPr>
          <w:ilvl w:val="0"/>
          <w:numId w:val="0"/>
        </w:numPr>
        <w:spacing w:line="276" w:lineRule="auto"/>
        <w:ind w:left="567" w:hanging="567"/>
      </w:pPr>
      <w:r>
        <w:t>[20]</w:t>
      </w:r>
      <w:r>
        <w:tab/>
      </w:r>
      <w:r w:rsidR="00C648B0">
        <w:t>The Court however, for purposes of fullness</w:t>
      </w:r>
      <w:r w:rsidR="001510B0">
        <w:t>,</w:t>
      </w:r>
      <w:r w:rsidR="00C648B0">
        <w:t xml:space="preserve"> </w:t>
      </w:r>
      <w:r w:rsidR="001510B0">
        <w:t>considers</w:t>
      </w:r>
      <w:r w:rsidR="00C648B0">
        <w:t xml:space="preserve"> the last requirement of a</w:t>
      </w:r>
      <w:r w:rsidR="001510B0">
        <w:t>n interdict, being a</w:t>
      </w:r>
      <w:r w:rsidR="00C648B0">
        <w:t xml:space="preserve"> reasonable apprehension of harm.</w:t>
      </w:r>
      <w:r w:rsidR="00A25D5B">
        <w:t xml:space="preserve">  </w:t>
      </w:r>
      <w:r w:rsidR="00405447">
        <w:t xml:space="preserve">The Court finds itself in the same position as the Supreme Court of Appeal in </w:t>
      </w:r>
      <w:r w:rsidR="00405447" w:rsidRPr="00A25D5B">
        <w:rPr>
          <w:i/>
          <w:iCs/>
        </w:rPr>
        <w:t>Herbal Zone</w:t>
      </w:r>
      <w:r w:rsidR="00405447">
        <w:t xml:space="preserve"> where the Court held - </w:t>
      </w:r>
    </w:p>
    <w:p w14:paraId="2DACD57B" w14:textId="65C3DC06" w:rsidR="00405447" w:rsidRDefault="00405447" w:rsidP="00DB322D">
      <w:pPr>
        <w:pStyle w:val="Judgmentparagraph"/>
        <w:numPr>
          <w:ilvl w:val="0"/>
          <w:numId w:val="0"/>
        </w:numPr>
        <w:spacing w:line="276" w:lineRule="auto"/>
        <w:ind w:left="720"/>
        <w:rPr>
          <w:sz w:val="22"/>
          <w:szCs w:val="22"/>
        </w:rPr>
      </w:pPr>
      <w:r w:rsidRPr="00EB72D2">
        <w:rPr>
          <w:sz w:val="22"/>
          <w:szCs w:val="22"/>
        </w:rPr>
        <w:t>"no attempt was made to show that Herbs Oils had suffered loss as a result of the publication of the advertisements and circular, much less that it would suffer irreparable harm in the future by further publications of such material. Nor did it allege that damages would not be an adequate remedy for any such publication. Indeed the third respondent's founding affidavit entirely lacked allegations in regard to those two elements of a claim for an interdict."</w:t>
      </w:r>
      <w:r w:rsidRPr="00EB72D2">
        <w:rPr>
          <w:rStyle w:val="FootnoteReference"/>
          <w:sz w:val="22"/>
          <w:szCs w:val="22"/>
        </w:rPr>
        <w:footnoteReference w:id="7"/>
      </w:r>
      <w:r w:rsidRPr="00EB72D2">
        <w:rPr>
          <w:sz w:val="22"/>
          <w:szCs w:val="22"/>
        </w:rPr>
        <w:t xml:space="preserve"> </w:t>
      </w:r>
    </w:p>
    <w:p w14:paraId="25DCCA24" w14:textId="77777777" w:rsidR="00EB72D2" w:rsidRPr="00EB72D2" w:rsidRDefault="00EB72D2" w:rsidP="00DB322D">
      <w:pPr>
        <w:pStyle w:val="Judgmentparagraph"/>
        <w:numPr>
          <w:ilvl w:val="0"/>
          <w:numId w:val="0"/>
        </w:numPr>
        <w:spacing w:line="276" w:lineRule="auto"/>
        <w:ind w:left="720"/>
        <w:rPr>
          <w:sz w:val="22"/>
          <w:szCs w:val="22"/>
        </w:rPr>
      </w:pPr>
    </w:p>
    <w:p w14:paraId="30A107CA" w14:textId="57778A19" w:rsidR="00EB72D2" w:rsidRDefault="003C12C3" w:rsidP="003C12C3">
      <w:pPr>
        <w:pStyle w:val="Judgmentparagraph"/>
        <w:numPr>
          <w:ilvl w:val="0"/>
          <w:numId w:val="0"/>
        </w:numPr>
        <w:spacing w:line="276" w:lineRule="auto"/>
        <w:ind w:left="567" w:hanging="567"/>
      </w:pPr>
      <w:r>
        <w:t>[21]</w:t>
      </w:r>
      <w:r>
        <w:tab/>
      </w:r>
      <w:r w:rsidR="00405447">
        <w:t>Similarly, in this case, t</w:t>
      </w:r>
      <w:r w:rsidR="00C26521">
        <w:t>he appellant has provided only</w:t>
      </w:r>
      <w:r w:rsidR="00405447">
        <w:t xml:space="preserve"> </w:t>
      </w:r>
      <w:r w:rsidR="00C26521">
        <w:t xml:space="preserve">vague and generalised </w:t>
      </w:r>
      <w:r w:rsidR="008A6A31">
        <w:t xml:space="preserve">allegation </w:t>
      </w:r>
      <w:r w:rsidR="00F944F5">
        <w:t>that the appellant has "already suffered reputational harm"</w:t>
      </w:r>
      <w:r w:rsidR="00405447">
        <w:t xml:space="preserve">.  </w:t>
      </w:r>
      <w:r w:rsidR="00C26521">
        <w:t>There are no allegations that the appellant has lost any clients</w:t>
      </w:r>
      <w:r w:rsidR="00A25D5B">
        <w:t xml:space="preserve"> or any income.</w:t>
      </w:r>
      <w:r w:rsidR="00C26521">
        <w:t xml:space="preserve"> </w:t>
      </w:r>
      <w:r w:rsidR="00A25D5B">
        <w:t>I</w:t>
      </w:r>
      <w:r w:rsidR="00C26521">
        <w:t xml:space="preserve">n fact there is no </w:t>
      </w:r>
      <w:r w:rsidR="00B67191">
        <w:t>allegation</w:t>
      </w:r>
      <w:r w:rsidR="00C26521">
        <w:t xml:space="preserve"> of concrete loss suffered.  </w:t>
      </w:r>
      <w:r w:rsidR="00405447">
        <w:t xml:space="preserve">There is no factual basis on which the appellant can reasonably apprehend any future harm. </w:t>
      </w:r>
    </w:p>
    <w:p w14:paraId="71357EA4" w14:textId="3FC62C5F" w:rsidR="00405447" w:rsidRDefault="00405447" w:rsidP="00DB322D">
      <w:pPr>
        <w:pStyle w:val="Judgmentparagraph"/>
        <w:numPr>
          <w:ilvl w:val="0"/>
          <w:numId w:val="0"/>
        </w:numPr>
        <w:spacing w:line="276" w:lineRule="auto"/>
        <w:ind w:left="567"/>
      </w:pPr>
      <w:r>
        <w:t xml:space="preserve"> </w:t>
      </w:r>
    </w:p>
    <w:p w14:paraId="56A2694C" w14:textId="6BE8A7BA" w:rsidR="00C26521" w:rsidRDefault="003C12C3" w:rsidP="003C12C3">
      <w:pPr>
        <w:pStyle w:val="Judgmentparagraph"/>
        <w:numPr>
          <w:ilvl w:val="0"/>
          <w:numId w:val="0"/>
        </w:numPr>
        <w:spacing w:line="276" w:lineRule="auto"/>
        <w:ind w:left="567" w:hanging="567"/>
      </w:pPr>
      <w:r>
        <w:t>[22]</w:t>
      </w:r>
      <w:r>
        <w:tab/>
      </w:r>
      <w:r w:rsidR="00405447">
        <w:t xml:space="preserve">The Constitutional Court in </w:t>
      </w:r>
      <w:r w:rsidR="00405447" w:rsidRPr="00405447">
        <w:rPr>
          <w:i/>
          <w:iCs/>
        </w:rPr>
        <w:t>Oak Valley</w:t>
      </w:r>
      <w:r w:rsidR="00115E3E">
        <w:rPr>
          <w:rStyle w:val="FootnoteReference"/>
          <w:i/>
          <w:iCs/>
        </w:rPr>
        <w:footnoteReference w:id="8"/>
      </w:r>
      <w:r w:rsidR="00405447">
        <w:t xml:space="preserve"> has reaffirmed that </w:t>
      </w:r>
      <w:r w:rsidR="004E7DAE">
        <w:t xml:space="preserve">a </w:t>
      </w:r>
      <w:r w:rsidR="00115E3E" w:rsidRPr="00115E3E">
        <w:t xml:space="preserve">reasonable apprehension of injury has been held to be one which a reasonable </w:t>
      </w:r>
      <w:r w:rsidR="001510B0">
        <w:t>person</w:t>
      </w:r>
      <w:r w:rsidR="00115E3E" w:rsidRPr="00115E3E">
        <w:t xml:space="preserve"> might entertain on being faced with certain facts</w:t>
      </w:r>
      <w:r w:rsidR="00115E3E">
        <w:t xml:space="preserve">.  The Court has to make this determination "on the basis of the facts presented".  </w:t>
      </w:r>
      <w:r w:rsidR="001510B0">
        <w:t xml:space="preserve"> No such facts were presented to this Court.</w:t>
      </w:r>
    </w:p>
    <w:p w14:paraId="4546E48E" w14:textId="6AD11A47" w:rsidR="00C26521" w:rsidRDefault="003C12C3" w:rsidP="003C12C3">
      <w:pPr>
        <w:pStyle w:val="Judgmentparagraph"/>
        <w:numPr>
          <w:ilvl w:val="0"/>
          <w:numId w:val="0"/>
        </w:numPr>
        <w:spacing w:line="276" w:lineRule="auto"/>
        <w:ind w:left="567" w:hanging="567"/>
      </w:pPr>
      <w:r>
        <w:t>[23]</w:t>
      </w:r>
      <w:r>
        <w:tab/>
      </w:r>
      <w:r w:rsidR="00C26521">
        <w:t xml:space="preserve">The appellant has had ample opportunity to place concrete allegations regarding loss before this Court.  </w:t>
      </w:r>
      <w:r w:rsidR="00A25D5B">
        <w:t>W</w:t>
      </w:r>
      <w:r w:rsidR="00B67191">
        <w:t>hilst</w:t>
      </w:r>
      <w:r w:rsidR="00C26521">
        <w:t xml:space="preserve"> the appellant can be excused for not raising such concrete allegations of loss in its founding </w:t>
      </w:r>
      <w:r w:rsidR="00405447">
        <w:t>affidavit</w:t>
      </w:r>
      <w:r w:rsidR="00C26521">
        <w:t xml:space="preserve"> in the </w:t>
      </w:r>
      <w:r w:rsidR="00405447">
        <w:t>context</w:t>
      </w:r>
      <w:r w:rsidR="00C26521">
        <w:t xml:space="preserve"> of urgent proceedings</w:t>
      </w:r>
      <w:r w:rsidR="001510B0">
        <w:t xml:space="preserve"> where this matter originated</w:t>
      </w:r>
      <w:r w:rsidR="00C26521">
        <w:t xml:space="preserve">, the same cannot be said for its </w:t>
      </w:r>
      <w:r w:rsidR="00405447">
        <w:t>failure</w:t>
      </w:r>
      <w:r w:rsidR="00C26521">
        <w:t xml:space="preserve"> to </w:t>
      </w:r>
      <w:r w:rsidR="00405447">
        <w:t>raise</w:t>
      </w:r>
      <w:r w:rsidR="00C26521">
        <w:t xml:space="preserve"> such </w:t>
      </w:r>
      <w:r w:rsidR="00405447">
        <w:t>allegations</w:t>
      </w:r>
      <w:r w:rsidR="00C26521">
        <w:t xml:space="preserve"> in the replying affidavit, or the supplementary </w:t>
      </w:r>
      <w:r w:rsidR="00405447">
        <w:t>affidavit</w:t>
      </w:r>
      <w:r w:rsidR="00C26521">
        <w:t xml:space="preserve"> filed </w:t>
      </w:r>
      <w:r w:rsidR="00A25D5B">
        <w:t>three</w:t>
      </w:r>
      <w:r w:rsidR="00C26521">
        <w:t xml:space="preserve"> months after </w:t>
      </w:r>
      <w:r w:rsidR="00405447">
        <w:t>the</w:t>
      </w:r>
      <w:r w:rsidR="00C26521">
        <w:t xml:space="preserve"> urgent </w:t>
      </w:r>
      <w:r w:rsidR="00405447">
        <w:t>application</w:t>
      </w:r>
      <w:r w:rsidR="00C26521">
        <w:t xml:space="preserve">.  </w:t>
      </w:r>
      <w:r w:rsidR="001510B0">
        <w:t>In fact, b</w:t>
      </w:r>
      <w:r w:rsidR="00CC469C">
        <w:t xml:space="preserve">y the time the appeal came before this </w:t>
      </w:r>
      <w:r w:rsidR="00405447">
        <w:t>Court</w:t>
      </w:r>
      <w:r w:rsidR="00CC469C">
        <w:t xml:space="preserve"> the appellant had had more than </w:t>
      </w:r>
      <w:r w:rsidR="001510B0">
        <w:t>three</w:t>
      </w:r>
      <w:r w:rsidR="00CC469C">
        <w:t xml:space="preserve"> years to place such evidence </w:t>
      </w:r>
      <w:r w:rsidR="00405447">
        <w:t>before</w:t>
      </w:r>
      <w:r w:rsidR="00CC469C">
        <w:t xml:space="preserve"> the court - yet none </w:t>
      </w:r>
      <w:r w:rsidR="00CC469C">
        <w:lastRenderedPageBreak/>
        <w:t xml:space="preserve">was forthcoming. The appellant has not pleaded any clear facts - despite several </w:t>
      </w:r>
      <w:r w:rsidR="00405447">
        <w:t>opportunities</w:t>
      </w:r>
      <w:r w:rsidR="00CC469C">
        <w:t xml:space="preserve"> to do so -</w:t>
      </w:r>
      <w:r w:rsidR="00405447">
        <w:t xml:space="preserve"> that it has suffered harm and the factual basis on which it apprehends harm in future.</w:t>
      </w:r>
    </w:p>
    <w:p w14:paraId="73CC1911" w14:textId="0088EB86" w:rsidR="00EB72D2" w:rsidRDefault="00EB72D2" w:rsidP="00DB322D">
      <w:pPr>
        <w:pStyle w:val="Judgmentparagraph"/>
        <w:numPr>
          <w:ilvl w:val="0"/>
          <w:numId w:val="0"/>
        </w:numPr>
        <w:spacing w:line="276" w:lineRule="auto"/>
        <w:ind w:left="567"/>
      </w:pPr>
    </w:p>
    <w:p w14:paraId="1FC01D58" w14:textId="77777777" w:rsidR="00EB72D2" w:rsidRDefault="00EB72D2" w:rsidP="00DB322D">
      <w:pPr>
        <w:pStyle w:val="Judgmentparagraph"/>
        <w:numPr>
          <w:ilvl w:val="0"/>
          <w:numId w:val="0"/>
        </w:numPr>
        <w:spacing w:line="276" w:lineRule="auto"/>
        <w:ind w:left="567"/>
      </w:pPr>
    </w:p>
    <w:p w14:paraId="09A3DEF3" w14:textId="19DA67E9" w:rsidR="00F77EBB" w:rsidRDefault="003C12C3" w:rsidP="003C12C3">
      <w:pPr>
        <w:pStyle w:val="Judgmentparagraph"/>
        <w:numPr>
          <w:ilvl w:val="0"/>
          <w:numId w:val="0"/>
        </w:numPr>
        <w:spacing w:line="276" w:lineRule="auto"/>
        <w:ind w:left="567" w:hanging="567"/>
      </w:pPr>
      <w:r>
        <w:t>[24]</w:t>
      </w:r>
      <w:r>
        <w:tab/>
      </w:r>
      <w:r w:rsidR="00F77EBB">
        <w:t xml:space="preserve">Lastly, the Court turns to costs.  </w:t>
      </w:r>
      <w:r w:rsidR="00003914">
        <w:t xml:space="preserve">The </w:t>
      </w:r>
      <w:r w:rsidR="00405447">
        <w:t xml:space="preserve">appellant </w:t>
      </w:r>
      <w:r w:rsidR="00664252">
        <w:t>abandoned three quarters of the relief it sought</w:t>
      </w:r>
      <w:r w:rsidR="00546715">
        <w:t>,</w:t>
      </w:r>
      <w:r w:rsidR="00664252">
        <w:t xml:space="preserve"> the day before the matter was heard in court. The </w:t>
      </w:r>
      <w:r w:rsidR="001510B0">
        <w:t xml:space="preserve">respondents </w:t>
      </w:r>
      <w:r w:rsidR="005D2C20">
        <w:t xml:space="preserve">seek </w:t>
      </w:r>
      <w:r w:rsidR="00546715">
        <w:t xml:space="preserve">punitive costs for the late withdrawal </w:t>
      </w:r>
      <w:r w:rsidR="00241A96">
        <w:t>of the relief sought</w:t>
      </w:r>
      <w:r w:rsidR="00546715">
        <w:t xml:space="preserve">. </w:t>
      </w:r>
      <w:r w:rsidR="00570E2C">
        <w:t xml:space="preserve">The appellant contends it had to prepare to defend on these grounds. </w:t>
      </w:r>
      <w:r w:rsidR="00A25D5B">
        <w:t xml:space="preserve">The Court expresses its displeasure with the lateness of the withdrawal and acknowledges that it must have resulted in unnecessary costs incurred for the respondents.  </w:t>
      </w:r>
      <w:r w:rsidR="00241A96">
        <w:t xml:space="preserve">The appellant was provided an opportunity to respond to whether it would be appropriate to grant </w:t>
      </w:r>
      <w:r w:rsidR="004E7DAE">
        <w:t xml:space="preserve">punitive </w:t>
      </w:r>
      <w:r w:rsidR="00241A96">
        <w:t xml:space="preserve">costs in this matter.  Its response was that it withdrew this relief as a result of a development in the case law.  The development however, it conceded, was not recent and </w:t>
      </w:r>
      <w:r w:rsidR="001510B0">
        <w:t>the appellant could not</w:t>
      </w:r>
      <w:r w:rsidR="00241A96">
        <w:t xml:space="preserve"> provide </w:t>
      </w:r>
      <w:r w:rsidR="001510B0">
        <w:t>any explanation</w:t>
      </w:r>
      <w:r w:rsidR="00241A96">
        <w:t xml:space="preserve"> </w:t>
      </w:r>
      <w:r w:rsidR="001510B0">
        <w:t>for the lateness of the</w:t>
      </w:r>
      <w:r w:rsidR="00241A96">
        <w:t xml:space="preserve"> the abandonment</w:t>
      </w:r>
      <w:r w:rsidR="001510B0">
        <w:t xml:space="preserve">. </w:t>
      </w:r>
      <w:r w:rsidR="00241A96">
        <w:t xml:space="preserve"> Th</w:t>
      </w:r>
      <w:r w:rsidR="001510B0">
        <w:t>e Court's</w:t>
      </w:r>
      <w:r w:rsidR="00241A96">
        <w:t xml:space="preserve"> displeasure results in a punitive costs order against the appellant.</w:t>
      </w:r>
    </w:p>
    <w:p w14:paraId="5B437E19" w14:textId="77777777" w:rsidR="00EB72D2" w:rsidRDefault="00EB72D2" w:rsidP="00DB322D">
      <w:pPr>
        <w:pStyle w:val="Judgmentparagraph"/>
        <w:numPr>
          <w:ilvl w:val="0"/>
          <w:numId w:val="0"/>
        </w:numPr>
        <w:spacing w:line="276" w:lineRule="auto"/>
        <w:ind w:left="567"/>
      </w:pPr>
    </w:p>
    <w:p w14:paraId="2838E3FD" w14:textId="242CFA33" w:rsidR="00C900A7" w:rsidRPr="00180053" w:rsidRDefault="0021121F" w:rsidP="00DB322D">
      <w:pPr>
        <w:pStyle w:val="Judgmentparagraph"/>
        <w:numPr>
          <w:ilvl w:val="0"/>
          <w:numId w:val="0"/>
        </w:numPr>
        <w:spacing w:line="276" w:lineRule="auto"/>
        <w:rPr>
          <w:u w:val="single"/>
        </w:rPr>
      </w:pPr>
      <w:r w:rsidRPr="0021121F">
        <w:rPr>
          <w:u w:val="single"/>
        </w:rPr>
        <w:t>Order</w:t>
      </w:r>
      <w:r w:rsidR="00E41171" w:rsidRPr="0021121F">
        <w:rPr>
          <w:u w:val="single"/>
        </w:rPr>
        <w:t xml:space="preserve"> </w:t>
      </w:r>
    </w:p>
    <w:p w14:paraId="437BF159" w14:textId="1BAEBECC" w:rsidR="00C900A7" w:rsidRDefault="003C12C3" w:rsidP="003C12C3">
      <w:pPr>
        <w:pStyle w:val="Judgmentparagraph"/>
        <w:numPr>
          <w:ilvl w:val="0"/>
          <w:numId w:val="0"/>
        </w:numPr>
        <w:spacing w:line="276" w:lineRule="auto"/>
        <w:ind w:left="567" w:hanging="567"/>
      </w:pPr>
      <w:r>
        <w:t>[25]</w:t>
      </w:r>
      <w:r>
        <w:tab/>
      </w:r>
      <w:r w:rsidR="00CF7942" w:rsidRPr="00B93312">
        <w:t xml:space="preserve">In the result, </w:t>
      </w:r>
      <w:r w:rsidR="004E7DAE">
        <w:t>I propose the following order</w:t>
      </w:r>
      <w:r w:rsidR="00CF7942" w:rsidRPr="00B93312">
        <w:t>:</w:t>
      </w:r>
    </w:p>
    <w:p w14:paraId="76D89201" w14:textId="75AA2733" w:rsidR="00791D33" w:rsidRPr="00791D33" w:rsidRDefault="003C12C3" w:rsidP="003C12C3">
      <w:pPr>
        <w:pStyle w:val="Judgmentparagraph"/>
        <w:numPr>
          <w:ilvl w:val="0"/>
          <w:numId w:val="0"/>
        </w:numPr>
        <w:spacing w:line="276" w:lineRule="auto"/>
        <w:ind w:left="720" w:hanging="360"/>
      </w:pPr>
      <w:r w:rsidRPr="00791D33">
        <w:t>a)</w:t>
      </w:r>
      <w:r w:rsidRPr="00791D33">
        <w:tab/>
      </w:r>
      <w:r w:rsidR="00791D33" w:rsidRPr="00791D33">
        <w:t xml:space="preserve">The </w:t>
      </w:r>
      <w:r w:rsidR="004D50A4">
        <w:t>appeal</w:t>
      </w:r>
      <w:r w:rsidR="00791D33" w:rsidRPr="00791D33">
        <w:t xml:space="preserve"> is dismissed.</w:t>
      </w:r>
    </w:p>
    <w:p w14:paraId="67C6EE3F" w14:textId="74BC44D9" w:rsidR="001827E9" w:rsidRDefault="003C12C3" w:rsidP="003C12C3">
      <w:pPr>
        <w:pStyle w:val="Judgmentparagraph"/>
        <w:numPr>
          <w:ilvl w:val="0"/>
          <w:numId w:val="0"/>
        </w:numPr>
        <w:spacing w:line="276" w:lineRule="auto"/>
        <w:ind w:left="720" w:hanging="360"/>
      </w:pPr>
      <w:r>
        <w:t>b)</w:t>
      </w:r>
      <w:r>
        <w:tab/>
      </w:r>
      <w:r w:rsidR="008724F5">
        <w:t xml:space="preserve">The </w:t>
      </w:r>
      <w:r w:rsidR="0078562E">
        <w:t>appellant</w:t>
      </w:r>
      <w:r w:rsidR="008724F5">
        <w:t xml:space="preserve"> is to pay c</w:t>
      </w:r>
      <w:r w:rsidR="001827E9">
        <w:t>osts as between attorney and client.</w:t>
      </w:r>
    </w:p>
    <w:p w14:paraId="349D0CAE" w14:textId="661B03E6" w:rsidR="00EB72D2" w:rsidRDefault="00EB72D2" w:rsidP="00EB72D2">
      <w:pPr>
        <w:tabs>
          <w:tab w:val="left" w:pos="4917"/>
        </w:tabs>
        <w:spacing w:before="120" w:after="120" w:line="240" w:lineRule="auto"/>
        <w:ind w:left="397" w:hanging="397"/>
        <w:rPr>
          <w:rFonts w:ascii="Arial" w:hAnsi="Arial" w:cs="Arial"/>
          <w:sz w:val="24"/>
          <w:szCs w:val="24"/>
        </w:rPr>
      </w:pPr>
    </w:p>
    <w:p w14:paraId="357176C8" w14:textId="7A92F342" w:rsidR="00EB72D2" w:rsidRDefault="00EB72D2" w:rsidP="00EB72D2">
      <w:pPr>
        <w:tabs>
          <w:tab w:val="left" w:pos="4917"/>
        </w:tabs>
        <w:spacing w:before="120" w:after="120" w:line="240" w:lineRule="auto"/>
        <w:ind w:left="397" w:hanging="397"/>
        <w:rPr>
          <w:rFonts w:ascii="Arial" w:hAnsi="Arial" w:cs="Arial"/>
          <w:sz w:val="24"/>
          <w:szCs w:val="24"/>
        </w:rPr>
      </w:pPr>
    </w:p>
    <w:p w14:paraId="728B2A21" w14:textId="3B6E4959" w:rsidR="00EB72D2" w:rsidRPr="001827E9" w:rsidRDefault="00DB322D" w:rsidP="00DB322D">
      <w:pPr>
        <w:tabs>
          <w:tab w:val="left" w:pos="4917"/>
        </w:tabs>
        <w:spacing w:after="0" w:line="240" w:lineRule="auto"/>
        <w:ind w:left="757" w:hanging="397"/>
        <w:jc w:val="right"/>
        <w:rPr>
          <w:rFonts w:ascii="Arial" w:hAnsi="Arial" w:cs="Arial"/>
          <w:sz w:val="24"/>
          <w:szCs w:val="24"/>
        </w:rPr>
      </w:pPr>
      <w:r w:rsidRPr="00DB322D">
        <w:rPr>
          <w:noProof/>
          <w:lang w:val="en-US"/>
        </w:rPr>
        <w:drawing>
          <wp:inline distT="0" distB="0" distL="0" distR="0" wp14:anchorId="1100ADC2" wp14:editId="62169775">
            <wp:extent cx="1073150" cy="438150"/>
            <wp:effectExtent l="19050" t="19050" r="12700" b="19050"/>
            <wp:docPr id="1" name="F052AC28-B47D-47E6-8A22-E168117D2B56" descr="cid:F3693F38-B7C5-463A-B3FA-6515E8BF7639"/>
            <wp:cNvGraphicFramePr/>
            <a:graphic xmlns:a="http://schemas.openxmlformats.org/drawingml/2006/main">
              <a:graphicData uri="http://schemas.openxmlformats.org/drawingml/2006/picture">
                <pic:pic xmlns:pic="http://schemas.openxmlformats.org/drawingml/2006/picture">
                  <pic:nvPicPr>
                    <pic:cNvPr id="2" name="F052AC28-B47D-47E6-8A22-E168117D2B56" descr="cid:F3693F38-B7C5-463A-B3FA-6515E8BF7639"/>
                    <pic:cNvPicPr/>
                  </pic:nvPicPr>
                  <pic:blipFill>
                    <a:blip r:embed="rId13" r:link="rId15"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3150" cy="438150"/>
                    </a:xfrm>
                    <a:prstGeom prst="rect">
                      <a:avLst/>
                    </a:prstGeom>
                    <a:noFill/>
                    <a:ln>
                      <a:solidFill>
                        <a:sysClr val="window" lastClr="FFFFFF"/>
                      </a:solidFill>
                    </a:ln>
                    <a:effectLst>
                      <a:softEdge rad="0"/>
                    </a:effectLst>
                  </pic:spPr>
                </pic:pic>
              </a:graphicData>
            </a:graphic>
          </wp:inline>
        </w:drawing>
      </w:r>
    </w:p>
    <w:p w14:paraId="07FC3067" w14:textId="7B779511" w:rsidR="00EB72D2" w:rsidRDefault="00EB72D2" w:rsidP="00DB322D">
      <w:pPr>
        <w:tabs>
          <w:tab w:val="left" w:pos="4917"/>
        </w:tabs>
        <w:spacing w:after="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t>___________________________</w:t>
      </w:r>
    </w:p>
    <w:p w14:paraId="70D993F1" w14:textId="77777777" w:rsidR="00EB72D2" w:rsidRPr="002A75D6" w:rsidRDefault="00EB72D2" w:rsidP="00EB72D2">
      <w:pPr>
        <w:spacing w:after="0" w:line="240" w:lineRule="auto"/>
        <w:jc w:val="right"/>
        <w:rPr>
          <w:rFonts w:ascii="Arial" w:eastAsia="Cambria" w:hAnsi="Arial" w:cs="Times New Roman"/>
          <w:b/>
          <w:sz w:val="24"/>
          <w:szCs w:val="24"/>
          <w:lang w:val="en-GB"/>
        </w:rPr>
      </w:pPr>
      <w:r w:rsidRPr="002A75D6">
        <w:rPr>
          <w:rFonts w:ascii="Arial" w:eastAsia="Cambria" w:hAnsi="Arial" w:cs="Times New Roman"/>
          <w:b/>
          <w:sz w:val="24"/>
          <w:szCs w:val="24"/>
          <w:lang w:val="en-GB"/>
        </w:rPr>
        <w:t>I DE VOS</w:t>
      </w:r>
    </w:p>
    <w:p w14:paraId="660D6B0D" w14:textId="77777777" w:rsidR="00EB72D2" w:rsidRPr="002A75D6" w:rsidRDefault="00EB72D2" w:rsidP="00EB72D2">
      <w:pPr>
        <w:spacing w:after="0" w:line="240" w:lineRule="auto"/>
        <w:jc w:val="right"/>
        <w:rPr>
          <w:rFonts w:ascii="Arial" w:eastAsia="Cambria" w:hAnsi="Arial" w:cs="Times New Roman"/>
          <w:b/>
          <w:sz w:val="24"/>
          <w:szCs w:val="24"/>
          <w:lang w:val="en-GB"/>
        </w:rPr>
      </w:pPr>
      <w:r w:rsidRPr="002A75D6">
        <w:rPr>
          <w:rFonts w:ascii="Arial" w:eastAsia="Cambria" w:hAnsi="Arial" w:cs="Times New Roman"/>
          <w:b/>
          <w:sz w:val="24"/>
          <w:szCs w:val="24"/>
          <w:lang w:val="en-GB"/>
        </w:rPr>
        <w:t>ACTING JUDGE OF THE HIGH COURT</w:t>
      </w:r>
    </w:p>
    <w:p w14:paraId="33EAB48D" w14:textId="2352B3DF" w:rsidR="001827E9" w:rsidRPr="001827E9" w:rsidRDefault="001827E9" w:rsidP="001827E9">
      <w:pPr>
        <w:tabs>
          <w:tab w:val="left" w:pos="4917"/>
        </w:tabs>
        <w:spacing w:before="120" w:after="120" w:line="240" w:lineRule="auto"/>
        <w:ind w:left="397" w:hanging="397"/>
        <w:rPr>
          <w:rFonts w:ascii="Arial" w:hAnsi="Arial" w:cs="Arial"/>
          <w:sz w:val="24"/>
          <w:szCs w:val="24"/>
        </w:rPr>
      </w:pPr>
    </w:p>
    <w:p w14:paraId="73FB7674" w14:textId="294D104D" w:rsidR="00A42BDA" w:rsidRPr="00B93312" w:rsidRDefault="00940E1B" w:rsidP="00EB72D2">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p>
    <w:p w14:paraId="10643D1D" w14:textId="41C8E5AA" w:rsidR="00EB72D2" w:rsidRPr="00EB72D2" w:rsidRDefault="00EB72D2" w:rsidP="00EB72D2">
      <w:pPr>
        <w:tabs>
          <w:tab w:val="left" w:pos="4917"/>
        </w:tabs>
        <w:spacing w:after="0" w:line="360" w:lineRule="auto"/>
        <w:ind w:left="357"/>
        <w:jc w:val="both"/>
        <w:rPr>
          <w:rFonts w:ascii="Arial" w:eastAsia="Arial Unicode MS" w:hAnsi="Arial" w:cs="Arial"/>
          <w:bCs/>
          <w:i/>
        </w:rPr>
      </w:pPr>
      <w:r w:rsidRPr="00EB72D2">
        <w:rPr>
          <w:rFonts w:ascii="Arial" w:eastAsia="Arial Unicode MS" w:hAnsi="Arial" w:cs="Arial"/>
          <w:bCs/>
          <w:i/>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w:t>
      </w:r>
      <w:r>
        <w:rPr>
          <w:rFonts w:ascii="Arial" w:eastAsia="Arial Unicode MS" w:hAnsi="Arial" w:cs="Arial"/>
          <w:bCs/>
          <w:i/>
        </w:rPr>
        <w:t>and-down is deemed to be 1</w:t>
      </w:r>
      <w:r w:rsidRPr="00EB72D2">
        <w:rPr>
          <w:rFonts w:ascii="Arial" w:eastAsia="Arial Unicode MS" w:hAnsi="Arial" w:cs="Arial"/>
          <w:bCs/>
          <w:i/>
        </w:rPr>
        <w:t>4 April 2023.</w:t>
      </w:r>
    </w:p>
    <w:p w14:paraId="3873DF56" w14:textId="77777777" w:rsidR="00A42BDA" w:rsidRPr="00B93312" w:rsidRDefault="00A42BDA" w:rsidP="00EB72D2">
      <w:pPr>
        <w:tabs>
          <w:tab w:val="left" w:pos="4917"/>
        </w:tabs>
        <w:spacing w:after="0" w:line="360" w:lineRule="auto"/>
        <w:rPr>
          <w:rFonts w:ascii="Arial" w:hAnsi="Arial" w:cs="Arial"/>
          <w:sz w:val="24"/>
          <w:szCs w:val="24"/>
        </w:rPr>
      </w:pPr>
    </w:p>
    <w:p w14:paraId="27E0EB28" w14:textId="77777777" w:rsidR="00DB322D" w:rsidRDefault="00DB322D">
      <w:pPr>
        <w:rPr>
          <w:rFonts w:ascii="Arial" w:hAnsi="Arial" w:cs="Arial"/>
          <w:b/>
          <w:sz w:val="24"/>
          <w:szCs w:val="24"/>
        </w:rPr>
      </w:pPr>
      <w:r>
        <w:rPr>
          <w:rFonts w:ascii="Arial" w:hAnsi="Arial" w:cs="Arial"/>
          <w:b/>
          <w:sz w:val="24"/>
          <w:szCs w:val="24"/>
        </w:rPr>
        <w:br w:type="page"/>
      </w:r>
    </w:p>
    <w:p w14:paraId="3A249898" w14:textId="1D0D7226" w:rsidR="00EB72D2" w:rsidRPr="00EB72D2" w:rsidRDefault="00EB72D2" w:rsidP="00EB72D2">
      <w:pPr>
        <w:rPr>
          <w:rFonts w:ascii="Arial" w:hAnsi="Arial" w:cs="Arial"/>
          <w:b/>
          <w:sz w:val="24"/>
          <w:szCs w:val="24"/>
        </w:rPr>
      </w:pPr>
      <w:r w:rsidRPr="00EB72D2">
        <w:rPr>
          <w:rFonts w:ascii="Arial" w:hAnsi="Arial" w:cs="Arial"/>
          <w:b/>
          <w:sz w:val="24"/>
          <w:szCs w:val="24"/>
        </w:rPr>
        <w:lastRenderedPageBreak/>
        <w:t>APPEARANCES:</w:t>
      </w:r>
    </w:p>
    <w:p w14:paraId="28FED670" w14:textId="77777777" w:rsidR="00EB72D2" w:rsidRPr="00EB72D2" w:rsidRDefault="00EB72D2" w:rsidP="00EB72D2">
      <w:pPr>
        <w:tabs>
          <w:tab w:val="left" w:pos="4917"/>
        </w:tabs>
        <w:spacing w:after="0" w:line="360" w:lineRule="auto"/>
        <w:ind w:left="357"/>
        <w:rPr>
          <w:rFonts w:ascii="Arial" w:hAnsi="Arial" w:cs="Arial"/>
          <w:b/>
          <w:sz w:val="24"/>
          <w:szCs w:val="24"/>
        </w:rPr>
      </w:pPr>
    </w:p>
    <w:p w14:paraId="53754AA6" w14:textId="199F5985" w:rsidR="00EB72D2" w:rsidRPr="00EB72D2" w:rsidRDefault="00EB72D2" w:rsidP="000940FA">
      <w:pPr>
        <w:tabs>
          <w:tab w:val="left" w:pos="4917"/>
        </w:tabs>
        <w:spacing w:after="0" w:line="360" w:lineRule="auto"/>
        <w:rPr>
          <w:rFonts w:ascii="Arial" w:hAnsi="Arial" w:cs="Arial"/>
          <w:b/>
          <w:bCs/>
          <w:lang w:eastAsia="en-GB"/>
        </w:rPr>
      </w:pPr>
      <w:r w:rsidRPr="00EB72D2">
        <w:rPr>
          <w:rFonts w:ascii="Arial" w:hAnsi="Arial" w:cs="Arial"/>
          <w:sz w:val="24"/>
          <w:szCs w:val="24"/>
        </w:rPr>
        <w:t xml:space="preserve">Counsel for the appellant: </w:t>
      </w:r>
      <w:r w:rsidR="000940FA">
        <w:rPr>
          <w:rFonts w:ascii="Arial" w:hAnsi="Arial" w:cs="Arial"/>
          <w:sz w:val="24"/>
          <w:szCs w:val="24"/>
        </w:rPr>
        <w:tab/>
      </w:r>
      <w:r w:rsidRPr="00EB72D2">
        <w:rPr>
          <w:rFonts w:ascii="Arial" w:hAnsi="Arial" w:cs="Arial"/>
          <w:b/>
          <w:sz w:val="24"/>
          <w:szCs w:val="24"/>
        </w:rPr>
        <w:t>Adv.</w:t>
      </w:r>
      <w:r w:rsidRPr="00EB72D2">
        <w:rPr>
          <w:rFonts w:ascii="Arial" w:hAnsi="Arial" w:cs="Arial"/>
          <w:sz w:val="24"/>
          <w:szCs w:val="24"/>
        </w:rPr>
        <w:t xml:space="preserve"> </w:t>
      </w:r>
      <w:r w:rsidRPr="00EB72D2">
        <w:rPr>
          <w:rFonts w:ascii="Arial" w:hAnsi="Arial" w:cs="Arial"/>
          <w:b/>
          <w:bCs/>
          <w:lang w:eastAsia="en-GB"/>
        </w:rPr>
        <w:t>J Roux SC</w:t>
      </w:r>
    </w:p>
    <w:p w14:paraId="55BD927A" w14:textId="77777777" w:rsidR="00EB72D2" w:rsidRPr="00EB72D2" w:rsidRDefault="00EB72D2" w:rsidP="000940FA">
      <w:pPr>
        <w:tabs>
          <w:tab w:val="left" w:pos="4917"/>
        </w:tabs>
        <w:spacing w:after="0" w:line="360" w:lineRule="auto"/>
        <w:rPr>
          <w:rFonts w:ascii="Arial" w:hAnsi="Arial" w:cs="Arial"/>
          <w:b/>
          <w:bCs/>
          <w:lang w:eastAsia="en-GB"/>
        </w:rPr>
      </w:pPr>
      <w:r w:rsidRPr="00EB72D2">
        <w:rPr>
          <w:rFonts w:ascii="Arial" w:hAnsi="Arial" w:cs="Arial"/>
          <w:b/>
          <w:bCs/>
          <w:lang w:eastAsia="en-GB"/>
        </w:rPr>
        <w:tab/>
        <w:t>Adv. C Jacobs</w:t>
      </w:r>
    </w:p>
    <w:p w14:paraId="64A939CB" w14:textId="6C59D2E8" w:rsidR="00EB72D2" w:rsidRPr="00EB72D2" w:rsidRDefault="00EB72D2" w:rsidP="000940FA">
      <w:pPr>
        <w:tabs>
          <w:tab w:val="left" w:pos="4917"/>
        </w:tabs>
        <w:spacing w:after="0" w:line="360" w:lineRule="auto"/>
        <w:ind w:left="4560" w:hanging="4557"/>
        <w:rPr>
          <w:rFonts w:ascii="Arial" w:eastAsia="Times New Roman" w:hAnsi="Arial" w:cs="Arial"/>
          <w:sz w:val="24"/>
          <w:szCs w:val="24"/>
          <w:lang w:eastAsia="en-GB"/>
        </w:rPr>
      </w:pPr>
      <w:r w:rsidRPr="00EB72D2">
        <w:rPr>
          <w:rFonts w:ascii="Arial" w:hAnsi="Arial" w:cs="Arial"/>
          <w:sz w:val="24"/>
          <w:szCs w:val="24"/>
        </w:rPr>
        <w:t>I</w:t>
      </w:r>
      <w:r w:rsidR="000940FA">
        <w:rPr>
          <w:rFonts w:ascii="Arial" w:hAnsi="Arial" w:cs="Arial"/>
          <w:sz w:val="24"/>
          <w:szCs w:val="24"/>
        </w:rPr>
        <w:t>nstructed by:</w:t>
      </w:r>
      <w:r w:rsidR="000940FA">
        <w:rPr>
          <w:rFonts w:ascii="Arial" w:hAnsi="Arial" w:cs="Arial"/>
          <w:sz w:val="24"/>
          <w:szCs w:val="24"/>
        </w:rPr>
        <w:tab/>
      </w:r>
      <w:r w:rsidR="000940FA">
        <w:rPr>
          <w:rFonts w:ascii="Arial" w:hAnsi="Arial" w:cs="Arial"/>
          <w:sz w:val="24"/>
          <w:szCs w:val="24"/>
        </w:rPr>
        <w:tab/>
      </w:r>
      <w:r w:rsidRPr="00EB72D2">
        <w:rPr>
          <w:rFonts w:ascii="Arial" w:eastAsia="Times New Roman" w:hAnsi="Arial" w:cs="Arial"/>
          <w:sz w:val="24"/>
          <w:szCs w:val="24"/>
          <w:lang w:eastAsia="en-GB"/>
        </w:rPr>
        <w:t>Kyriacou Attorneys Inc</w:t>
      </w:r>
    </w:p>
    <w:p w14:paraId="4B1B1B07" w14:textId="77777777" w:rsidR="00EB72D2" w:rsidRPr="00EB72D2" w:rsidRDefault="00EB72D2" w:rsidP="000940FA">
      <w:pPr>
        <w:tabs>
          <w:tab w:val="left" w:pos="4917"/>
        </w:tabs>
        <w:spacing w:after="0" w:line="360" w:lineRule="auto"/>
        <w:ind w:left="4560" w:hanging="4557"/>
        <w:rPr>
          <w:rFonts w:ascii="Arial" w:eastAsia="Times New Roman" w:hAnsi="Arial" w:cs="Arial"/>
          <w:sz w:val="24"/>
          <w:szCs w:val="24"/>
          <w:lang w:eastAsia="en-GB"/>
        </w:rPr>
      </w:pPr>
    </w:p>
    <w:p w14:paraId="40F6F355" w14:textId="77777777" w:rsidR="00C0475F" w:rsidRDefault="00EB72D2" w:rsidP="000940FA">
      <w:pPr>
        <w:tabs>
          <w:tab w:val="left" w:pos="4917"/>
        </w:tabs>
        <w:spacing w:after="0" w:line="360" w:lineRule="auto"/>
        <w:ind w:left="4560" w:hanging="4557"/>
        <w:rPr>
          <w:rFonts w:ascii="Arial" w:eastAsia="Times New Roman" w:hAnsi="Arial" w:cs="Arial"/>
          <w:b/>
          <w:sz w:val="24"/>
          <w:szCs w:val="24"/>
          <w:lang w:eastAsia="en-GB"/>
        </w:rPr>
      </w:pPr>
      <w:r w:rsidRPr="00EB72D2">
        <w:rPr>
          <w:rFonts w:ascii="Arial" w:eastAsia="Times New Roman" w:hAnsi="Arial" w:cs="Arial"/>
          <w:sz w:val="24"/>
          <w:szCs w:val="24"/>
          <w:lang w:eastAsia="en-GB"/>
        </w:rPr>
        <w:t>Counsel for the Respondent:</w:t>
      </w:r>
      <w:r w:rsidRPr="00EB72D2">
        <w:rPr>
          <w:rFonts w:ascii="Arial" w:eastAsia="Times New Roman" w:hAnsi="Arial" w:cs="Arial"/>
          <w:sz w:val="24"/>
          <w:szCs w:val="24"/>
          <w:lang w:eastAsia="en-GB"/>
        </w:rPr>
        <w:tab/>
      </w:r>
      <w:r w:rsidR="000940FA">
        <w:rPr>
          <w:rFonts w:ascii="Arial" w:eastAsia="Times New Roman" w:hAnsi="Arial" w:cs="Arial"/>
          <w:sz w:val="24"/>
          <w:szCs w:val="24"/>
          <w:lang w:eastAsia="en-GB"/>
        </w:rPr>
        <w:tab/>
      </w:r>
      <w:r w:rsidR="00C0475F">
        <w:rPr>
          <w:rFonts w:ascii="Arial" w:eastAsia="Times New Roman" w:hAnsi="Arial" w:cs="Arial"/>
          <w:b/>
          <w:sz w:val="24"/>
          <w:szCs w:val="24"/>
          <w:lang w:eastAsia="en-GB"/>
        </w:rPr>
        <w:t>Adv. A Swanepoel SC</w:t>
      </w:r>
    </w:p>
    <w:p w14:paraId="69E8C62A" w14:textId="06E65949" w:rsidR="00EB72D2" w:rsidRPr="00EB72D2" w:rsidRDefault="00C0475F" w:rsidP="000940FA">
      <w:pPr>
        <w:tabs>
          <w:tab w:val="left" w:pos="4917"/>
        </w:tabs>
        <w:spacing w:after="0" w:line="360" w:lineRule="auto"/>
        <w:ind w:left="4560" w:hanging="4557"/>
        <w:rPr>
          <w:rFonts w:ascii="Arial" w:hAnsi="Arial" w:cs="Arial"/>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EB72D2" w:rsidRPr="00EB72D2">
        <w:rPr>
          <w:rFonts w:ascii="Arial" w:eastAsia="Times New Roman" w:hAnsi="Arial" w:cs="Arial"/>
          <w:b/>
          <w:sz w:val="24"/>
          <w:szCs w:val="24"/>
          <w:lang w:eastAsia="en-GB"/>
        </w:rPr>
        <w:t>Adv.</w:t>
      </w:r>
      <w:r w:rsidR="00EB72D2" w:rsidRPr="00EB72D2">
        <w:rPr>
          <w:rFonts w:ascii="Arial" w:eastAsia="Times New Roman" w:hAnsi="Arial" w:cs="Arial"/>
          <w:sz w:val="24"/>
          <w:szCs w:val="24"/>
          <w:lang w:eastAsia="en-GB"/>
        </w:rPr>
        <w:t xml:space="preserve"> </w:t>
      </w:r>
      <w:r w:rsidR="00EB72D2" w:rsidRPr="00EB72D2">
        <w:rPr>
          <w:rFonts w:ascii="Arial" w:hAnsi="Arial" w:cs="Arial"/>
          <w:b/>
          <w:bCs/>
          <w:lang w:eastAsia="en-GB"/>
        </w:rPr>
        <w:t xml:space="preserve">L Friedman </w:t>
      </w:r>
    </w:p>
    <w:p w14:paraId="2207254E" w14:textId="071F9FDF" w:rsidR="00EB72D2" w:rsidRPr="00EB72D2" w:rsidRDefault="00EB72D2" w:rsidP="000940FA">
      <w:pPr>
        <w:tabs>
          <w:tab w:val="left" w:pos="4917"/>
        </w:tabs>
        <w:spacing w:after="0" w:line="360" w:lineRule="auto"/>
        <w:ind w:left="4560" w:hanging="4557"/>
        <w:rPr>
          <w:rFonts w:ascii="Arial" w:hAnsi="Arial" w:cs="Arial"/>
          <w:sz w:val="24"/>
          <w:szCs w:val="24"/>
        </w:rPr>
      </w:pPr>
      <w:r w:rsidRPr="00EB72D2">
        <w:rPr>
          <w:rFonts w:ascii="Arial" w:hAnsi="Arial" w:cs="Arial"/>
          <w:sz w:val="24"/>
          <w:szCs w:val="24"/>
        </w:rPr>
        <w:t xml:space="preserve">Instructed by: </w:t>
      </w:r>
      <w:r w:rsidRPr="00EB72D2">
        <w:rPr>
          <w:rFonts w:ascii="Arial" w:hAnsi="Arial" w:cs="Arial"/>
          <w:sz w:val="24"/>
          <w:szCs w:val="24"/>
        </w:rPr>
        <w:tab/>
      </w:r>
      <w:r w:rsidR="000940FA">
        <w:rPr>
          <w:rFonts w:ascii="Arial" w:hAnsi="Arial" w:cs="Arial"/>
          <w:sz w:val="24"/>
          <w:szCs w:val="24"/>
        </w:rPr>
        <w:tab/>
      </w:r>
      <w:r w:rsidRPr="00EB72D2">
        <w:rPr>
          <w:rFonts w:ascii="Arial" w:hAnsi="Arial" w:cs="Arial"/>
          <w:sz w:val="24"/>
          <w:szCs w:val="24"/>
        </w:rPr>
        <w:t xml:space="preserve">Douglas Mccusker Attorneys </w:t>
      </w:r>
      <w:r w:rsidR="00B50BC2">
        <w:rPr>
          <w:rFonts w:ascii="Arial" w:hAnsi="Arial" w:cs="Arial"/>
          <w:sz w:val="24"/>
          <w:szCs w:val="24"/>
        </w:rPr>
        <w:t xml:space="preserve"> </w:t>
      </w:r>
    </w:p>
    <w:p w14:paraId="072EF855" w14:textId="77777777" w:rsidR="00EB72D2" w:rsidRPr="00EB72D2" w:rsidRDefault="00EB72D2" w:rsidP="000940FA">
      <w:pPr>
        <w:tabs>
          <w:tab w:val="left" w:pos="4917"/>
        </w:tabs>
        <w:spacing w:after="0" w:line="360" w:lineRule="auto"/>
        <w:ind w:left="4560" w:hanging="4557"/>
        <w:rPr>
          <w:rFonts w:ascii="Arial" w:hAnsi="Arial" w:cs="Arial"/>
          <w:sz w:val="24"/>
          <w:szCs w:val="24"/>
        </w:rPr>
      </w:pPr>
    </w:p>
    <w:p w14:paraId="2FF983EF" w14:textId="77777777" w:rsidR="00EB72D2" w:rsidRPr="00EB72D2" w:rsidRDefault="00EB72D2" w:rsidP="000940FA">
      <w:pPr>
        <w:tabs>
          <w:tab w:val="left" w:pos="4917"/>
        </w:tabs>
        <w:spacing w:after="0" w:line="360" w:lineRule="auto"/>
        <w:ind w:left="3"/>
        <w:rPr>
          <w:rFonts w:ascii="Arial" w:hAnsi="Arial" w:cs="Arial"/>
          <w:sz w:val="24"/>
          <w:szCs w:val="24"/>
        </w:rPr>
      </w:pPr>
      <w:r w:rsidRPr="00EB72D2">
        <w:rPr>
          <w:rFonts w:ascii="Arial" w:hAnsi="Arial" w:cs="Arial"/>
          <w:sz w:val="24"/>
          <w:szCs w:val="24"/>
        </w:rPr>
        <w:t>Date of the hearing:</w:t>
      </w:r>
      <w:r w:rsidRPr="00EB72D2">
        <w:rPr>
          <w:rFonts w:ascii="Arial" w:hAnsi="Arial" w:cs="Arial"/>
          <w:sz w:val="24"/>
          <w:szCs w:val="24"/>
        </w:rPr>
        <w:tab/>
      </w:r>
      <w:r w:rsidRPr="00EB72D2">
        <w:rPr>
          <w:rFonts w:ascii="Arial" w:eastAsia="Times New Roman" w:hAnsi="Arial" w:cs="Arial"/>
          <w:sz w:val="24"/>
          <w:szCs w:val="24"/>
          <w:lang w:eastAsia="en-GB"/>
        </w:rPr>
        <w:t>25 January 2023</w:t>
      </w:r>
    </w:p>
    <w:p w14:paraId="1247445D" w14:textId="7C53C9E6" w:rsidR="00EB72D2" w:rsidRPr="00EB72D2" w:rsidRDefault="00EB72D2" w:rsidP="000940FA">
      <w:pPr>
        <w:tabs>
          <w:tab w:val="left" w:pos="4917"/>
        </w:tabs>
        <w:spacing w:after="0" w:line="360" w:lineRule="auto"/>
        <w:ind w:left="3"/>
        <w:rPr>
          <w:rFonts w:ascii="Arial" w:eastAsia="Times New Roman" w:hAnsi="Arial" w:cs="Arial"/>
          <w:sz w:val="24"/>
          <w:szCs w:val="24"/>
          <w:lang w:eastAsia="en-GB"/>
        </w:rPr>
      </w:pPr>
      <w:r w:rsidRPr="00EB72D2">
        <w:rPr>
          <w:rFonts w:ascii="Arial" w:hAnsi="Arial" w:cs="Arial"/>
          <w:sz w:val="24"/>
          <w:szCs w:val="24"/>
        </w:rPr>
        <w:t>Date of judgment:</w:t>
      </w:r>
      <w:r w:rsidRPr="00EB72D2">
        <w:rPr>
          <w:rFonts w:ascii="Arial" w:hAnsi="Arial" w:cs="Arial"/>
          <w:sz w:val="24"/>
          <w:szCs w:val="24"/>
        </w:rPr>
        <w:tab/>
      </w:r>
      <w:r>
        <w:rPr>
          <w:rFonts w:ascii="Arial" w:eastAsia="Times New Roman" w:hAnsi="Arial" w:cs="Arial"/>
          <w:sz w:val="24"/>
          <w:szCs w:val="24"/>
          <w:lang w:eastAsia="en-GB"/>
        </w:rPr>
        <w:t>1</w:t>
      </w:r>
      <w:r w:rsidRPr="00EB72D2">
        <w:rPr>
          <w:rFonts w:ascii="Arial" w:eastAsia="Times New Roman" w:hAnsi="Arial" w:cs="Arial"/>
          <w:sz w:val="24"/>
          <w:szCs w:val="24"/>
          <w:lang w:eastAsia="en-GB"/>
        </w:rPr>
        <w:t>4 April 2023</w:t>
      </w:r>
    </w:p>
    <w:sectPr w:rsidR="00EB72D2" w:rsidRPr="00EB72D2" w:rsidSect="00065E8F">
      <w:headerReference w:type="default" r:id="rId16"/>
      <w:footerReference w:type="default" r:id="rId17"/>
      <w:footerReference w:type="first" r:id="rId18"/>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B74A" w14:textId="77777777" w:rsidR="0010772E" w:rsidRDefault="0010772E">
      <w:pPr>
        <w:spacing w:after="0" w:line="240" w:lineRule="auto"/>
      </w:pPr>
      <w:r>
        <w:separator/>
      </w:r>
    </w:p>
  </w:endnote>
  <w:endnote w:type="continuationSeparator" w:id="0">
    <w:p w14:paraId="6889C642" w14:textId="77777777" w:rsidR="0010772E" w:rsidRDefault="0010772E">
      <w:pPr>
        <w:spacing w:after="0" w:line="240" w:lineRule="auto"/>
      </w:pPr>
      <w:r>
        <w:continuationSeparator/>
      </w:r>
    </w:p>
  </w:endnote>
  <w:endnote w:type="continuationNotice" w:id="1">
    <w:p w14:paraId="5AD6C011" w14:textId="77777777" w:rsidR="0010772E" w:rsidRDefault="00107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50AC95B3" w14:textId="345CE0E6" w:rsidR="000E009C" w:rsidRDefault="000E009C">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3C12C3">
          <w:rPr>
            <w:rFonts w:ascii="Arial" w:hAnsi="Arial" w:cs="Arial"/>
            <w:noProof/>
            <w:sz w:val="24"/>
            <w:szCs w:val="24"/>
          </w:rPr>
          <w:t>2</w:t>
        </w:r>
        <w:r w:rsidRPr="00CD0D31">
          <w:rPr>
            <w:rFonts w:ascii="Arial" w:hAnsi="Arial" w:cs="Arial"/>
            <w:noProof/>
            <w:sz w:val="24"/>
            <w:szCs w:val="24"/>
          </w:rPr>
          <w:fldChar w:fldCharType="end"/>
        </w:r>
      </w:p>
    </w:sdtContent>
  </w:sdt>
  <w:p w14:paraId="07F7C5ED" w14:textId="77777777" w:rsidR="000E009C" w:rsidRDefault="000E0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7486259"/>
      <w:docPartObj>
        <w:docPartGallery w:val="Page Numbers (Bottom of Page)"/>
        <w:docPartUnique/>
      </w:docPartObj>
    </w:sdtPr>
    <w:sdtEndPr/>
    <w:sdtContent>
      <w:p w14:paraId="2334B3CF" w14:textId="4F22C745" w:rsidR="005F074E" w:rsidRPr="005F074E" w:rsidRDefault="005F074E">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3C12C3" w:rsidRPr="003C12C3">
          <w:rPr>
            <w:rFonts w:ascii="Arial" w:hAnsi="Arial" w:cs="Arial"/>
            <w:noProof/>
            <w:sz w:val="24"/>
            <w:szCs w:val="24"/>
            <w:lang w:val="af-ZA"/>
          </w:rPr>
          <w:t>1</w:t>
        </w:r>
        <w:r w:rsidRPr="005F074E">
          <w:rPr>
            <w:rFonts w:ascii="Arial" w:hAnsi="Arial" w:cs="Arial"/>
            <w:sz w:val="24"/>
            <w:szCs w:val="24"/>
          </w:rPr>
          <w:fldChar w:fldCharType="end"/>
        </w:r>
      </w:p>
    </w:sdtContent>
  </w:sdt>
  <w:p w14:paraId="4BE6119A"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8B1C0" w14:textId="77777777" w:rsidR="0010772E" w:rsidRDefault="0010772E">
      <w:pPr>
        <w:spacing w:after="0" w:line="240" w:lineRule="auto"/>
      </w:pPr>
      <w:r>
        <w:separator/>
      </w:r>
    </w:p>
  </w:footnote>
  <w:footnote w:type="continuationSeparator" w:id="0">
    <w:p w14:paraId="15494882" w14:textId="77777777" w:rsidR="0010772E" w:rsidRDefault="0010772E">
      <w:pPr>
        <w:spacing w:after="0" w:line="240" w:lineRule="auto"/>
      </w:pPr>
      <w:r>
        <w:continuationSeparator/>
      </w:r>
    </w:p>
  </w:footnote>
  <w:footnote w:type="continuationNotice" w:id="1">
    <w:p w14:paraId="47B3EE2A" w14:textId="77777777" w:rsidR="0010772E" w:rsidRDefault="0010772E">
      <w:pPr>
        <w:spacing w:after="0" w:line="240" w:lineRule="auto"/>
      </w:pPr>
    </w:p>
  </w:footnote>
  <w:footnote w:id="2">
    <w:p w14:paraId="7B1E0E9F" w14:textId="50B9FF6F" w:rsidR="008A6A31" w:rsidRPr="008A6A31" w:rsidRDefault="008A6A31" w:rsidP="00DB322D">
      <w:pPr>
        <w:pStyle w:val="FootnoteText"/>
        <w:jc w:val="left"/>
        <w:rPr>
          <w:lang w:val="en-ZA"/>
        </w:rPr>
      </w:pPr>
      <w:r>
        <w:rPr>
          <w:rStyle w:val="FootnoteReference"/>
        </w:rPr>
        <w:footnoteRef/>
      </w:r>
      <w:r>
        <w:t xml:space="preserve"> </w:t>
      </w:r>
      <w:r w:rsidRPr="008A6A31">
        <w:rPr>
          <w:lang w:val="en-ZA"/>
        </w:rPr>
        <w:t>Herbal Zone (Pty) Limited and Others v Infitech Technologies (Pty) Limited and Others (204/2016) [2017] ZASCA 8; [2017] 2 All SA 347 (SCA) (10 March 2017)</w:t>
      </w:r>
      <w:r>
        <w:rPr>
          <w:lang w:val="en-ZA"/>
        </w:rPr>
        <w:t xml:space="preserve"> at para 38</w:t>
      </w:r>
    </w:p>
  </w:footnote>
  <w:footnote w:id="3">
    <w:p w14:paraId="5A323077" w14:textId="4D5BE731" w:rsidR="000C0BC9" w:rsidRPr="000C0BC9" w:rsidRDefault="000C0BC9" w:rsidP="00DB322D">
      <w:pPr>
        <w:pStyle w:val="FootnoteText"/>
        <w:jc w:val="left"/>
        <w:rPr>
          <w:lang w:val="en-US"/>
        </w:rPr>
      </w:pPr>
      <w:r>
        <w:rPr>
          <w:rStyle w:val="FootnoteReference"/>
        </w:rPr>
        <w:footnoteRef/>
      </w:r>
      <w:r>
        <w:t xml:space="preserve"> </w:t>
      </w:r>
      <w:r>
        <w:rPr>
          <w:lang w:val="en-US"/>
        </w:rPr>
        <w:t>Herbal Zone (above) para 38</w:t>
      </w:r>
    </w:p>
  </w:footnote>
  <w:footnote w:id="4">
    <w:p w14:paraId="37AB5389" w14:textId="6E1ABF4A" w:rsidR="00DC1D47" w:rsidRPr="00DC1D47" w:rsidRDefault="00DC1D47" w:rsidP="00DB322D">
      <w:pPr>
        <w:pStyle w:val="FootnoteText"/>
        <w:jc w:val="left"/>
        <w:rPr>
          <w:lang w:val="en-US"/>
        </w:rPr>
      </w:pPr>
      <w:r>
        <w:rPr>
          <w:rStyle w:val="FootnoteReference"/>
        </w:rPr>
        <w:footnoteRef/>
      </w:r>
      <w:r>
        <w:t xml:space="preserve"> </w:t>
      </w:r>
      <w:r>
        <w:rPr>
          <w:lang w:val="en-US"/>
        </w:rPr>
        <w:t>Herbal Zone (above) para 39</w:t>
      </w:r>
    </w:p>
  </w:footnote>
  <w:footnote w:id="5">
    <w:p w14:paraId="6C0776F2" w14:textId="1A5CEB5E" w:rsidR="00EE39EF" w:rsidRPr="00EE39EF" w:rsidRDefault="00EE39EF" w:rsidP="00DB322D">
      <w:pPr>
        <w:pStyle w:val="FootnoteText"/>
        <w:jc w:val="left"/>
        <w:rPr>
          <w:lang w:val="en-US"/>
        </w:rPr>
      </w:pPr>
      <w:r>
        <w:rPr>
          <w:rStyle w:val="FootnoteReference"/>
        </w:rPr>
        <w:footnoteRef/>
      </w:r>
      <w:r>
        <w:t xml:space="preserve"> </w:t>
      </w:r>
      <w:r w:rsidR="007079AC">
        <w:t>Herbal Zone (above) para 36</w:t>
      </w:r>
    </w:p>
  </w:footnote>
  <w:footnote w:id="6">
    <w:p w14:paraId="33610657" w14:textId="576CD296" w:rsidR="00EE39EF" w:rsidRPr="007079AC" w:rsidRDefault="00EE39EF" w:rsidP="00DB322D">
      <w:pPr>
        <w:pStyle w:val="FootnoteText"/>
        <w:jc w:val="left"/>
        <w:rPr>
          <w:lang w:val="en-ZA"/>
        </w:rPr>
      </w:pPr>
      <w:r>
        <w:rPr>
          <w:rStyle w:val="FootnoteReference"/>
        </w:rPr>
        <w:footnoteRef/>
      </w:r>
      <w:r>
        <w:t xml:space="preserve"> </w:t>
      </w:r>
      <w:r w:rsidR="007079AC" w:rsidRPr="007079AC">
        <w:rPr>
          <w:lang w:val="en-ZA"/>
        </w:rPr>
        <w:t>Midi Television t/a E</w:t>
      </w:r>
      <w:r w:rsidR="007079AC" w:rsidRPr="007079AC">
        <w:rPr>
          <w:lang w:val="en-ZA"/>
        </w:rPr>
        <w:softHyphen/>
        <w:t>TV v Director of Public Prosecutions (Western Cape)</w:t>
      </w:r>
      <w:r w:rsidR="007079AC" w:rsidRPr="007079AC">
        <w:rPr>
          <w:i/>
          <w:iCs/>
          <w:lang w:val="en-ZA"/>
        </w:rPr>
        <w:t xml:space="preserve"> </w:t>
      </w:r>
      <w:r w:rsidR="007079AC" w:rsidRPr="007079AC">
        <w:rPr>
          <w:lang w:val="en-ZA"/>
        </w:rPr>
        <w:t>2007 (5) SA 540 (SCA); 2007 (2) SACR 493 (SCA); 2007 (9) BCLR 958 (SCA); [2007] 3 All SA 318 (SCA) para 20</w:t>
      </w:r>
      <w:r w:rsidR="007079AC">
        <w:rPr>
          <w:lang w:val="en-ZA"/>
        </w:rPr>
        <w:t xml:space="preserve"> quoted with approval in Herbal Zone para 36</w:t>
      </w:r>
    </w:p>
  </w:footnote>
  <w:footnote w:id="7">
    <w:p w14:paraId="5A86AA1F" w14:textId="77777777" w:rsidR="00405447" w:rsidRPr="00982426" w:rsidRDefault="00405447" w:rsidP="00DB322D">
      <w:pPr>
        <w:pStyle w:val="FootnoteText"/>
        <w:jc w:val="left"/>
        <w:rPr>
          <w:lang w:val="en-US"/>
        </w:rPr>
      </w:pPr>
      <w:r>
        <w:rPr>
          <w:rStyle w:val="FootnoteReference"/>
        </w:rPr>
        <w:footnoteRef/>
      </w:r>
      <w:r>
        <w:t xml:space="preserve"> </w:t>
      </w:r>
      <w:r>
        <w:rPr>
          <w:lang w:val="en-US"/>
        </w:rPr>
        <w:t>Herbal Zone para 36</w:t>
      </w:r>
    </w:p>
  </w:footnote>
  <w:footnote w:id="8">
    <w:p w14:paraId="2AE7D310" w14:textId="09699D12" w:rsidR="00115E3E" w:rsidRPr="00115E3E" w:rsidRDefault="00115E3E" w:rsidP="00DB322D">
      <w:pPr>
        <w:pStyle w:val="FootnoteText"/>
        <w:jc w:val="left"/>
        <w:rPr>
          <w:lang w:val="en-ZA"/>
        </w:rPr>
      </w:pPr>
      <w:r>
        <w:rPr>
          <w:rStyle w:val="FootnoteReference"/>
        </w:rPr>
        <w:footnoteRef/>
      </w:r>
      <w:r>
        <w:t xml:space="preserve"> </w:t>
      </w:r>
      <w:r w:rsidRPr="00115E3E">
        <w:rPr>
          <w:lang w:val="en-ZA"/>
        </w:rPr>
        <w:t>Commercial Stevedoring Agricultural and Allied Workers' Union and Others v Oak Valley Estates (Pty) Ltd and Another (CCT 301/20) [2022] ZACC 7; [2022] 6 BLLR 487 (CC); 2022 (7) BCLR 787 (CC); 2022 (5) SA 18 (CC) (1 March 2022)</w:t>
      </w:r>
      <w:r>
        <w:rPr>
          <w:lang w:val="en-ZA"/>
        </w:rPr>
        <w:t xml:space="preserve">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B1A7" w14:textId="360615AC" w:rsidR="000E009C" w:rsidRDefault="000E009C">
    <w:pPr>
      <w:pStyle w:val="Header"/>
      <w:jc w:val="center"/>
    </w:pPr>
  </w:p>
  <w:p w14:paraId="355735E6" w14:textId="77777777" w:rsidR="000E009C" w:rsidRDefault="000E0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B679DB"/>
    <w:multiLevelType w:val="multilevel"/>
    <w:tmpl w:val="13D65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F256C3"/>
    <w:multiLevelType w:val="multilevel"/>
    <w:tmpl w:val="20F2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386314"/>
    <w:multiLevelType w:val="multilevel"/>
    <w:tmpl w:val="8AA2081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5">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600DEF"/>
    <w:multiLevelType w:val="multilevel"/>
    <w:tmpl w:val="9706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B06A30"/>
    <w:multiLevelType w:val="multilevel"/>
    <w:tmpl w:val="FB101E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5"/>
  </w:num>
  <w:num w:numId="4">
    <w:abstractNumId w:val="16"/>
  </w:num>
  <w:num w:numId="5">
    <w:abstractNumId w:val="11"/>
  </w:num>
  <w:num w:numId="6">
    <w:abstractNumId w:val="13"/>
  </w:num>
  <w:num w:numId="7">
    <w:abstractNumId w:val="10"/>
  </w:num>
  <w:num w:numId="8">
    <w:abstractNumId w:val="21"/>
  </w:num>
  <w:num w:numId="9">
    <w:abstractNumId w:val="8"/>
  </w:num>
  <w:num w:numId="10">
    <w:abstractNumId w:val="12"/>
  </w:num>
  <w:num w:numId="11">
    <w:abstractNumId w:val="22"/>
  </w:num>
  <w:num w:numId="12">
    <w:abstractNumId w:val="18"/>
  </w:num>
  <w:num w:numId="13">
    <w:abstractNumId w:val="29"/>
  </w:num>
  <w:num w:numId="14">
    <w:abstractNumId w:val="15"/>
  </w:num>
  <w:num w:numId="15">
    <w:abstractNumId w:val="3"/>
  </w:num>
  <w:num w:numId="16">
    <w:abstractNumId w:val="14"/>
  </w:num>
  <w:num w:numId="17">
    <w:abstractNumId w:val="17"/>
  </w:num>
  <w:num w:numId="18">
    <w:abstractNumId w:val="28"/>
  </w:num>
  <w:num w:numId="19">
    <w:abstractNumId w:val="25"/>
  </w:num>
  <w:num w:numId="20">
    <w:abstractNumId w:val="27"/>
  </w:num>
  <w:num w:numId="21">
    <w:abstractNumId w:val="0"/>
  </w:num>
  <w:num w:numId="22">
    <w:abstractNumId w:val="20"/>
  </w:num>
  <w:num w:numId="23">
    <w:abstractNumId w:val="23"/>
  </w:num>
  <w:num w:numId="24">
    <w:abstractNumId w:val="24"/>
  </w:num>
  <w:num w:numId="25">
    <w:abstractNumId w:val="19"/>
  </w:num>
  <w:num w:numId="26">
    <w:abstractNumId w:val="5"/>
  </w:num>
  <w:num w:numId="27">
    <w:abstractNumId w:val="34"/>
  </w:num>
  <w:num w:numId="28">
    <w:abstractNumId w:val="9"/>
  </w:num>
  <w:num w:numId="29">
    <w:abstractNumId w:val="33"/>
  </w:num>
  <w:num w:numId="30">
    <w:abstractNumId w:val="6"/>
  </w:num>
  <w:num w:numId="31">
    <w:abstractNumId w:val="36"/>
  </w:num>
  <w:num w:numId="32">
    <w:abstractNumId w:val="32"/>
  </w:num>
  <w:num w:numId="33">
    <w:abstractNumId w:val="2"/>
  </w:num>
  <w:num w:numId="34">
    <w:abstractNumId w:val="23"/>
  </w:num>
  <w:num w:numId="35">
    <w:abstractNumId w:val="7"/>
  </w:num>
  <w:num w:numId="36">
    <w:abstractNumId w:val="31"/>
  </w:num>
  <w:num w:numId="37">
    <w:abstractNumId w:val="30"/>
  </w:num>
  <w:num w:numId="38">
    <w:abstractNumId w:val="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2309"/>
    <w:rsid w:val="00014FB0"/>
    <w:rsid w:val="000150D3"/>
    <w:rsid w:val="000156C4"/>
    <w:rsid w:val="00015828"/>
    <w:rsid w:val="00015FFE"/>
    <w:rsid w:val="00016E18"/>
    <w:rsid w:val="000171DB"/>
    <w:rsid w:val="0001769A"/>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27DC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0FF3"/>
    <w:rsid w:val="00081047"/>
    <w:rsid w:val="0008149E"/>
    <w:rsid w:val="000818A3"/>
    <w:rsid w:val="00081CDC"/>
    <w:rsid w:val="00081F71"/>
    <w:rsid w:val="000823F2"/>
    <w:rsid w:val="000838A8"/>
    <w:rsid w:val="00084058"/>
    <w:rsid w:val="000852D8"/>
    <w:rsid w:val="0008530C"/>
    <w:rsid w:val="00085554"/>
    <w:rsid w:val="00085CA1"/>
    <w:rsid w:val="0008603D"/>
    <w:rsid w:val="00087A9C"/>
    <w:rsid w:val="00090049"/>
    <w:rsid w:val="00090328"/>
    <w:rsid w:val="0009046E"/>
    <w:rsid w:val="00091185"/>
    <w:rsid w:val="00091A89"/>
    <w:rsid w:val="00092153"/>
    <w:rsid w:val="0009232A"/>
    <w:rsid w:val="0009290D"/>
    <w:rsid w:val="000940FA"/>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1A"/>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5106"/>
    <w:rsid w:val="0010514A"/>
    <w:rsid w:val="001051BF"/>
    <w:rsid w:val="0010564D"/>
    <w:rsid w:val="00105A4B"/>
    <w:rsid w:val="00105D6A"/>
    <w:rsid w:val="00105D99"/>
    <w:rsid w:val="001062B3"/>
    <w:rsid w:val="00106334"/>
    <w:rsid w:val="001069B2"/>
    <w:rsid w:val="0010772E"/>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26"/>
    <w:rsid w:val="00122D3B"/>
    <w:rsid w:val="00123AF6"/>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63D"/>
    <w:rsid w:val="00187D7E"/>
    <w:rsid w:val="0019113E"/>
    <w:rsid w:val="00191FEC"/>
    <w:rsid w:val="001933F8"/>
    <w:rsid w:val="00193443"/>
    <w:rsid w:val="00194A07"/>
    <w:rsid w:val="00194CC3"/>
    <w:rsid w:val="001964FD"/>
    <w:rsid w:val="00196F99"/>
    <w:rsid w:val="00197841"/>
    <w:rsid w:val="001A090F"/>
    <w:rsid w:val="001A1AF2"/>
    <w:rsid w:val="001A256F"/>
    <w:rsid w:val="001A2AA5"/>
    <w:rsid w:val="001A2B12"/>
    <w:rsid w:val="001A31CC"/>
    <w:rsid w:val="001A32B7"/>
    <w:rsid w:val="001A378D"/>
    <w:rsid w:val="001A3B2C"/>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476"/>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828"/>
    <w:rsid w:val="001D7FDC"/>
    <w:rsid w:val="001E1A37"/>
    <w:rsid w:val="001E1B80"/>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E92"/>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604F"/>
    <w:rsid w:val="002464C8"/>
    <w:rsid w:val="0024660E"/>
    <w:rsid w:val="00246AFF"/>
    <w:rsid w:val="00247716"/>
    <w:rsid w:val="002478CE"/>
    <w:rsid w:val="002503AB"/>
    <w:rsid w:val="00251021"/>
    <w:rsid w:val="0025195C"/>
    <w:rsid w:val="00251E93"/>
    <w:rsid w:val="00252206"/>
    <w:rsid w:val="00252E1D"/>
    <w:rsid w:val="002533FE"/>
    <w:rsid w:val="00253492"/>
    <w:rsid w:val="00253FB7"/>
    <w:rsid w:val="00254721"/>
    <w:rsid w:val="00254819"/>
    <w:rsid w:val="00254995"/>
    <w:rsid w:val="0025519C"/>
    <w:rsid w:val="002555D2"/>
    <w:rsid w:val="00255B62"/>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27"/>
    <w:rsid w:val="002751D7"/>
    <w:rsid w:val="0027529F"/>
    <w:rsid w:val="002759C1"/>
    <w:rsid w:val="00276EF5"/>
    <w:rsid w:val="00280483"/>
    <w:rsid w:val="0028061C"/>
    <w:rsid w:val="002806B4"/>
    <w:rsid w:val="00280AF4"/>
    <w:rsid w:val="00280CBB"/>
    <w:rsid w:val="002818B8"/>
    <w:rsid w:val="00281CC6"/>
    <w:rsid w:val="00281F02"/>
    <w:rsid w:val="00282392"/>
    <w:rsid w:val="00282904"/>
    <w:rsid w:val="00282A32"/>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F91"/>
    <w:rsid w:val="002D7FE5"/>
    <w:rsid w:val="002E040F"/>
    <w:rsid w:val="002E080F"/>
    <w:rsid w:val="002E2E1B"/>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46D0"/>
    <w:rsid w:val="00384E67"/>
    <w:rsid w:val="00385087"/>
    <w:rsid w:val="0038522C"/>
    <w:rsid w:val="003858FF"/>
    <w:rsid w:val="00386296"/>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C09DA"/>
    <w:rsid w:val="003C0A87"/>
    <w:rsid w:val="003C0DB3"/>
    <w:rsid w:val="003C102C"/>
    <w:rsid w:val="003C12C3"/>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D1F"/>
    <w:rsid w:val="00472DD4"/>
    <w:rsid w:val="0047368E"/>
    <w:rsid w:val="00474244"/>
    <w:rsid w:val="004747D2"/>
    <w:rsid w:val="00474816"/>
    <w:rsid w:val="00474CD8"/>
    <w:rsid w:val="00474E07"/>
    <w:rsid w:val="00474F65"/>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637A"/>
    <w:rsid w:val="00496658"/>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E7DAE"/>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104C"/>
    <w:rsid w:val="005116DB"/>
    <w:rsid w:val="00511F5F"/>
    <w:rsid w:val="00512196"/>
    <w:rsid w:val="0051264E"/>
    <w:rsid w:val="00512839"/>
    <w:rsid w:val="005130A7"/>
    <w:rsid w:val="00513342"/>
    <w:rsid w:val="00514362"/>
    <w:rsid w:val="00514EC9"/>
    <w:rsid w:val="00515777"/>
    <w:rsid w:val="00515A23"/>
    <w:rsid w:val="00515CC4"/>
    <w:rsid w:val="00515F91"/>
    <w:rsid w:val="00516250"/>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57"/>
    <w:rsid w:val="005A0C98"/>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3E00"/>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3B3"/>
    <w:rsid w:val="005F2527"/>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C1"/>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7FA"/>
    <w:rsid w:val="006225F0"/>
    <w:rsid w:val="00622DB5"/>
    <w:rsid w:val="00623AD0"/>
    <w:rsid w:val="0062486B"/>
    <w:rsid w:val="00624CE5"/>
    <w:rsid w:val="00624DB9"/>
    <w:rsid w:val="00625C02"/>
    <w:rsid w:val="00626ED8"/>
    <w:rsid w:val="00627BC8"/>
    <w:rsid w:val="00627F68"/>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4D2"/>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2E7"/>
    <w:rsid w:val="006D1CA6"/>
    <w:rsid w:val="006D1D47"/>
    <w:rsid w:val="006D30E8"/>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005"/>
    <w:rsid w:val="006E6BFD"/>
    <w:rsid w:val="006E7754"/>
    <w:rsid w:val="006E7CFC"/>
    <w:rsid w:val="006E7ECB"/>
    <w:rsid w:val="006F00F9"/>
    <w:rsid w:val="006F0CEB"/>
    <w:rsid w:val="006F1589"/>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4E2F"/>
    <w:rsid w:val="007E559F"/>
    <w:rsid w:val="007E6830"/>
    <w:rsid w:val="007E715A"/>
    <w:rsid w:val="007E7FE9"/>
    <w:rsid w:val="007F0D02"/>
    <w:rsid w:val="007F101B"/>
    <w:rsid w:val="007F1146"/>
    <w:rsid w:val="007F1472"/>
    <w:rsid w:val="007F1A3E"/>
    <w:rsid w:val="007F2E9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07C6"/>
    <w:rsid w:val="00831A23"/>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EDC"/>
    <w:rsid w:val="008A147F"/>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3B"/>
    <w:rsid w:val="008A6FE2"/>
    <w:rsid w:val="008B09B3"/>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AA4"/>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559"/>
    <w:rsid w:val="00900E44"/>
    <w:rsid w:val="009012D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6F03"/>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6012C"/>
    <w:rsid w:val="00960F48"/>
    <w:rsid w:val="00961B6F"/>
    <w:rsid w:val="00961F5A"/>
    <w:rsid w:val="00962B73"/>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3F16"/>
    <w:rsid w:val="00A24788"/>
    <w:rsid w:val="00A258C9"/>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D7"/>
    <w:rsid w:val="00A3352A"/>
    <w:rsid w:val="00A33AB0"/>
    <w:rsid w:val="00A3441D"/>
    <w:rsid w:val="00A34A5F"/>
    <w:rsid w:val="00A3542D"/>
    <w:rsid w:val="00A35ADC"/>
    <w:rsid w:val="00A35D9C"/>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3B5D"/>
    <w:rsid w:val="00A63B87"/>
    <w:rsid w:val="00A65B37"/>
    <w:rsid w:val="00A65F4B"/>
    <w:rsid w:val="00A66064"/>
    <w:rsid w:val="00A66AA6"/>
    <w:rsid w:val="00A67D95"/>
    <w:rsid w:val="00A70939"/>
    <w:rsid w:val="00A71042"/>
    <w:rsid w:val="00A7213A"/>
    <w:rsid w:val="00A722EE"/>
    <w:rsid w:val="00A72827"/>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759"/>
    <w:rsid w:val="00A93B03"/>
    <w:rsid w:val="00A93E09"/>
    <w:rsid w:val="00A93F66"/>
    <w:rsid w:val="00A9421C"/>
    <w:rsid w:val="00A948F8"/>
    <w:rsid w:val="00A94CBE"/>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493"/>
    <w:rsid w:val="00AF47BF"/>
    <w:rsid w:val="00AF5BC0"/>
    <w:rsid w:val="00AF5CD3"/>
    <w:rsid w:val="00AF5DC3"/>
    <w:rsid w:val="00AF609D"/>
    <w:rsid w:val="00AF610B"/>
    <w:rsid w:val="00AF7688"/>
    <w:rsid w:val="00B0025E"/>
    <w:rsid w:val="00B004CF"/>
    <w:rsid w:val="00B01458"/>
    <w:rsid w:val="00B01887"/>
    <w:rsid w:val="00B019C7"/>
    <w:rsid w:val="00B02205"/>
    <w:rsid w:val="00B02683"/>
    <w:rsid w:val="00B02807"/>
    <w:rsid w:val="00B0288D"/>
    <w:rsid w:val="00B033C9"/>
    <w:rsid w:val="00B0392C"/>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2F9"/>
    <w:rsid w:val="00B13350"/>
    <w:rsid w:val="00B13372"/>
    <w:rsid w:val="00B135BA"/>
    <w:rsid w:val="00B141D9"/>
    <w:rsid w:val="00B1535F"/>
    <w:rsid w:val="00B153EA"/>
    <w:rsid w:val="00B154B4"/>
    <w:rsid w:val="00B156EB"/>
    <w:rsid w:val="00B16070"/>
    <w:rsid w:val="00B161A4"/>
    <w:rsid w:val="00B171DC"/>
    <w:rsid w:val="00B17BC2"/>
    <w:rsid w:val="00B2159F"/>
    <w:rsid w:val="00B22812"/>
    <w:rsid w:val="00B22A5D"/>
    <w:rsid w:val="00B235C8"/>
    <w:rsid w:val="00B23EEE"/>
    <w:rsid w:val="00B24099"/>
    <w:rsid w:val="00B25456"/>
    <w:rsid w:val="00B2547F"/>
    <w:rsid w:val="00B25D54"/>
    <w:rsid w:val="00B279BE"/>
    <w:rsid w:val="00B30021"/>
    <w:rsid w:val="00B31348"/>
    <w:rsid w:val="00B3155A"/>
    <w:rsid w:val="00B33C5F"/>
    <w:rsid w:val="00B34B68"/>
    <w:rsid w:val="00B3529A"/>
    <w:rsid w:val="00B3588B"/>
    <w:rsid w:val="00B358D0"/>
    <w:rsid w:val="00B362DD"/>
    <w:rsid w:val="00B36472"/>
    <w:rsid w:val="00B366A9"/>
    <w:rsid w:val="00B36C5E"/>
    <w:rsid w:val="00B36F7F"/>
    <w:rsid w:val="00B40239"/>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0BC2"/>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A18"/>
    <w:rsid w:val="00B64F79"/>
    <w:rsid w:val="00B65FEC"/>
    <w:rsid w:val="00B67086"/>
    <w:rsid w:val="00B67191"/>
    <w:rsid w:val="00B67332"/>
    <w:rsid w:val="00B67737"/>
    <w:rsid w:val="00B67A42"/>
    <w:rsid w:val="00B70AE6"/>
    <w:rsid w:val="00B70DFD"/>
    <w:rsid w:val="00B712FA"/>
    <w:rsid w:val="00B7186B"/>
    <w:rsid w:val="00B72046"/>
    <w:rsid w:val="00B720B9"/>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75F"/>
    <w:rsid w:val="00C04C1E"/>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BF3"/>
    <w:rsid w:val="00C2631C"/>
    <w:rsid w:val="00C263AA"/>
    <w:rsid w:val="00C26521"/>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69C"/>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A43"/>
    <w:rsid w:val="00D77D08"/>
    <w:rsid w:val="00D80193"/>
    <w:rsid w:val="00D805F8"/>
    <w:rsid w:val="00D8072C"/>
    <w:rsid w:val="00D808D8"/>
    <w:rsid w:val="00D81668"/>
    <w:rsid w:val="00D831A4"/>
    <w:rsid w:val="00D836D9"/>
    <w:rsid w:val="00D83AD5"/>
    <w:rsid w:val="00D852E9"/>
    <w:rsid w:val="00D85BA4"/>
    <w:rsid w:val="00D85DC2"/>
    <w:rsid w:val="00D8689E"/>
    <w:rsid w:val="00D872E6"/>
    <w:rsid w:val="00D87561"/>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790"/>
    <w:rsid w:val="00DB24FE"/>
    <w:rsid w:val="00DB26E2"/>
    <w:rsid w:val="00DB27EA"/>
    <w:rsid w:val="00DB322D"/>
    <w:rsid w:val="00DB395E"/>
    <w:rsid w:val="00DB3C96"/>
    <w:rsid w:val="00DB4195"/>
    <w:rsid w:val="00DB4248"/>
    <w:rsid w:val="00DB4D0C"/>
    <w:rsid w:val="00DB5220"/>
    <w:rsid w:val="00DB55F1"/>
    <w:rsid w:val="00DB5A97"/>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16D"/>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722"/>
    <w:rsid w:val="00EB72D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AD2"/>
    <w:rsid w:val="00EE5650"/>
    <w:rsid w:val="00EE5916"/>
    <w:rsid w:val="00EE5938"/>
    <w:rsid w:val="00EE6198"/>
    <w:rsid w:val="00EE67CD"/>
    <w:rsid w:val="00EE67D4"/>
    <w:rsid w:val="00EE6920"/>
    <w:rsid w:val="00EE70B1"/>
    <w:rsid w:val="00EF04ED"/>
    <w:rsid w:val="00EF0B99"/>
    <w:rsid w:val="00EF0CDB"/>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1E74"/>
    <w:rsid w:val="00F32515"/>
    <w:rsid w:val="00F32548"/>
    <w:rsid w:val="00F32DA0"/>
    <w:rsid w:val="00F339E1"/>
    <w:rsid w:val="00F33C82"/>
    <w:rsid w:val="00F34380"/>
    <w:rsid w:val="00F3452B"/>
    <w:rsid w:val="00F348E1"/>
    <w:rsid w:val="00F349BE"/>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FC3"/>
    <w:rsid w:val="00FF034F"/>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85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829281">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03252640">
      <w:bodyDiv w:val="1"/>
      <w:marLeft w:val="0"/>
      <w:marRight w:val="0"/>
      <w:marTop w:val="0"/>
      <w:marBottom w:val="0"/>
      <w:divBdr>
        <w:top w:val="none" w:sz="0" w:space="0" w:color="auto"/>
        <w:left w:val="none" w:sz="0" w:space="0" w:color="auto"/>
        <w:bottom w:val="none" w:sz="0" w:space="0" w:color="auto"/>
        <w:right w:val="none" w:sz="0" w:space="0" w:color="auto"/>
      </w:divBdr>
      <w:divsChild>
        <w:div w:id="468135716">
          <w:marLeft w:val="0"/>
          <w:marRight w:val="0"/>
          <w:marTop w:val="0"/>
          <w:marBottom w:val="0"/>
          <w:divBdr>
            <w:top w:val="none" w:sz="0" w:space="0" w:color="auto"/>
            <w:left w:val="none" w:sz="0" w:space="0" w:color="auto"/>
            <w:bottom w:val="none" w:sz="0" w:space="0" w:color="auto"/>
            <w:right w:val="none" w:sz="0" w:space="0" w:color="auto"/>
          </w:divBdr>
          <w:divsChild>
            <w:div w:id="2130316299">
              <w:marLeft w:val="0"/>
              <w:marRight w:val="0"/>
              <w:marTop w:val="0"/>
              <w:marBottom w:val="0"/>
              <w:divBdr>
                <w:top w:val="none" w:sz="0" w:space="0" w:color="auto"/>
                <w:left w:val="none" w:sz="0" w:space="0" w:color="auto"/>
                <w:bottom w:val="none" w:sz="0" w:space="0" w:color="auto"/>
                <w:right w:val="none" w:sz="0" w:space="0" w:color="auto"/>
              </w:divBdr>
              <w:divsChild>
                <w:div w:id="1773209263">
                  <w:marLeft w:val="0"/>
                  <w:marRight w:val="0"/>
                  <w:marTop w:val="0"/>
                  <w:marBottom w:val="0"/>
                  <w:divBdr>
                    <w:top w:val="none" w:sz="0" w:space="0" w:color="auto"/>
                    <w:left w:val="none" w:sz="0" w:space="0" w:color="auto"/>
                    <w:bottom w:val="none" w:sz="0" w:space="0" w:color="auto"/>
                    <w:right w:val="none" w:sz="0" w:space="0" w:color="auto"/>
                  </w:divBdr>
                  <w:divsChild>
                    <w:div w:id="9808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296644038">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389184796">
      <w:bodyDiv w:val="1"/>
      <w:marLeft w:val="0"/>
      <w:marRight w:val="0"/>
      <w:marTop w:val="0"/>
      <w:marBottom w:val="0"/>
      <w:divBdr>
        <w:top w:val="none" w:sz="0" w:space="0" w:color="auto"/>
        <w:left w:val="none" w:sz="0" w:space="0" w:color="auto"/>
        <w:bottom w:val="none" w:sz="0" w:space="0" w:color="auto"/>
        <w:right w:val="none" w:sz="0" w:space="0" w:color="auto"/>
      </w:divBdr>
      <w:divsChild>
        <w:div w:id="356463967">
          <w:marLeft w:val="0"/>
          <w:marRight w:val="0"/>
          <w:marTop w:val="0"/>
          <w:marBottom w:val="0"/>
          <w:divBdr>
            <w:top w:val="none" w:sz="0" w:space="0" w:color="auto"/>
            <w:left w:val="none" w:sz="0" w:space="0" w:color="auto"/>
            <w:bottom w:val="none" w:sz="0" w:space="0" w:color="auto"/>
            <w:right w:val="none" w:sz="0" w:space="0" w:color="auto"/>
          </w:divBdr>
        </w:div>
        <w:div w:id="79328906">
          <w:marLeft w:val="0"/>
          <w:marRight w:val="0"/>
          <w:marTop w:val="0"/>
          <w:marBottom w:val="0"/>
          <w:divBdr>
            <w:top w:val="none" w:sz="0" w:space="0" w:color="auto"/>
            <w:left w:val="none" w:sz="0" w:space="0" w:color="auto"/>
            <w:bottom w:val="none" w:sz="0" w:space="0" w:color="auto"/>
            <w:right w:val="none" w:sz="0" w:space="0" w:color="auto"/>
          </w:divBdr>
        </w:div>
        <w:div w:id="728725346">
          <w:marLeft w:val="0"/>
          <w:marRight w:val="0"/>
          <w:marTop w:val="0"/>
          <w:marBottom w:val="0"/>
          <w:divBdr>
            <w:top w:val="none" w:sz="0" w:space="0" w:color="auto"/>
            <w:left w:val="none" w:sz="0" w:space="0" w:color="auto"/>
            <w:bottom w:val="none" w:sz="0" w:space="0" w:color="auto"/>
            <w:right w:val="none" w:sz="0" w:space="0" w:color="auto"/>
          </w:divBdr>
        </w:div>
        <w:div w:id="426313409">
          <w:marLeft w:val="0"/>
          <w:marRight w:val="0"/>
          <w:marTop w:val="0"/>
          <w:marBottom w:val="0"/>
          <w:divBdr>
            <w:top w:val="none" w:sz="0" w:space="0" w:color="auto"/>
            <w:left w:val="none" w:sz="0" w:space="0" w:color="auto"/>
            <w:bottom w:val="none" w:sz="0" w:space="0" w:color="auto"/>
            <w:right w:val="none" w:sz="0" w:space="0" w:color="auto"/>
          </w:divBdr>
        </w:div>
        <w:div w:id="543980957">
          <w:marLeft w:val="0"/>
          <w:marRight w:val="0"/>
          <w:marTop w:val="0"/>
          <w:marBottom w:val="0"/>
          <w:divBdr>
            <w:top w:val="none" w:sz="0" w:space="0" w:color="auto"/>
            <w:left w:val="none" w:sz="0" w:space="0" w:color="auto"/>
            <w:bottom w:val="none" w:sz="0" w:space="0" w:color="auto"/>
            <w:right w:val="none" w:sz="0" w:space="0" w:color="auto"/>
          </w:divBdr>
        </w:div>
        <w:div w:id="445582324">
          <w:marLeft w:val="0"/>
          <w:marRight w:val="0"/>
          <w:marTop w:val="0"/>
          <w:marBottom w:val="0"/>
          <w:divBdr>
            <w:top w:val="none" w:sz="0" w:space="0" w:color="auto"/>
            <w:left w:val="none" w:sz="0" w:space="0" w:color="auto"/>
            <w:bottom w:val="none" w:sz="0" w:space="0" w:color="auto"/>
            <w:right w:val="none" w:sz="0" w:space="0" w:color="auto"/>
          </w:divBdr>
        </w:div>
        <w:div w:id="431559114">
          <w:marLeft w:val="0"/>
          <w:marRight w:val="0"/>
          <w:marTop w:val="0"/>
          <w:marBottom w:val="0"/>
          <w:divBdr>
            <w:top w:val="none" w:sz="0" w:space="0" w:color="auto"/>
            <w:left w:val="none" w:sz="0" w:space="0" w:color="auto"/>
            <w:bottom w:val="none" w:sz="0" w:space="0" w:color="auto"/>
            <w:right w:val="none" w:sz="0" w:space="0" w:color="auto"/>
          </w:divBdr>
        </w:div>
        <w:div w:id="2139836006">
          <w:marLeft w:val="0"/>
          <w:marRight w:val="0"/>
          <w:marTop w:val="0"/>
          <w:marBottom w:val="0"/>
          <w:divBdr>
            <w:top w:val="none" w:sz="0" w:space="0" w:color="auto"/>
            <w:left w:val="none" w:sz="0" w:space="0" w:color="auto"/>
            <w:bottom w:val="none" w:sz="0" w:space="0" w:color="auto"/>
            <w:right w:val="none" w:sz="0" w:space="0" w:color="auto"/>
          </w:divBdr>
        </w:div>
        <w:div w:id="1254361313">
          <w:marLeft w:val="0"/>
          <w:marRight w:val="0"/>
          <w:marTop w:val="0"/>
          <w:marBottom w:val="0"/>
          <w:divBdr>
            <w:top w:val="none" w:sz="0" w:space="0" w:color="auto"/>
            <w:left w:val="none" w:sz="0" w:space="0" w:color="auto"/>
            <w:bottom w:val="none" w:sz="0" w:space="0" w:color="auto"/>
            <w:right w:val="none" w:sz="0" w:space="0" w:color="auto"/>
          </w:divBdr>
        </w:div>
        <w:div w:id="815872978">
          <w:marLeft w:val="0"/>
          <w:marRight w:val="0"/>
          <w:marTop w:val="0"/>
          <w:marBottom w:val="0"/>
          <w:divBdr>
            <w:top w:val="none" w:sz="0" w:space="0" w:color="auto"/>
            <w:left w:val="none" w:sz="0" w:space="0" w:color="auto"/>
            <w:bottom w:val="none" w:sz="0" w:space="0" w:color="auto"/>
            <w:right w:val="none" w:sz="0" w:space="0" w:color="auto"/>
          </w:divBdr>
        </w:div>
        <w:div w:id="325059220">
          <w:marLeft w:val="0"/>
          <w:marRight w:val="0"/>
          <w:marTop w:val="0"/>
          <w:marBottom w:val="0"/>
          <w:divBdr>
            <w:top w:val="none" w:sz="0" w:space="0" w:color="auto"/>
            <w:left w:val="none" w:sz="0" w:space="0" w:color="auto"/>
            <w:bottom w:val="none" w:sz="0" w:space="0" w:color="auto"/>
            <w:right w:val="none" w:sz="0" w:space="0" w:color="auto"/>
          </w:divBdr>
        </w:div>
        <w:div w:id="1688367602">
          <w:marLeft w:val="0"/>
          <w:marRight w:val="0"/>
          <w:marTop w:val="0"/>
          <w:marBottom w:val="0"/>
          <w:divBdr>
            <w:top w:val="none" w:sz="0" w:space="0" w:color="auto"/>
            <w:left w:val="none" w:sz="0" w:space="0" w:color="auto"/>
            <w:bottom w:val="none" w:sz="0" w:space="0" w:color="auto"/>
            <w:right w:val="none" w:sz="0" w:space="0" w:color="auto"/>
          </w:divBdr>
        </w:div>
        <w:div w:id="2086292647">
          <w:marLeft w:val="0"/>
          <w:marRight w:val="0"/>
          <w:marTop w:val="0"/>
          <w:marBottom w:val="0"/>
          <w:divBdr>
            <w:top w:val="none" w:sz="0" w:space="0" w:color="auto"/>
            <w:left w:val="none" w:sz="0" w:space="0" w:color="auto"/>
            <w:bottom w:val="none" w:sz="0" w:space="0" w:color="auto"/>
            <w:right w:val="none" w:sz="0" w:space="0" w:color="auto"/>
          </w:divBdr>
        </w:div>
        <w:div w:id="1259143707">
          <w:marLeft w:val="0"/>
          <w:marRight w:val="0"/>
          <w:marTop w:val="0"/>
          <w:marBottom w:val="0"/>
          <w:divBdr>
            <w:top w:val="none" w:sz="0" w:space="0" w:color="auto"/>
            <w:left w:val="none" w:sz="0" w:space="0" w:color="auto"/>
            <w:bottom w:val="none" w:sz="0" w:space="0" w:color="auto"/>
            <w:right w:val="none" w:sz="0" w:space="0" w:color="auto"/>
          </w:divBdr>
        </w:div>
        <w:div w:id="1555116111">
          <w:marLeft w:val="0"/>
          <w:marRight w:val="0"/>
          <w:marTop w:val="0"/>
          <w:marBottom w:val="0"/>
          <w:divBdr>
            <w:top w:val="none" w:sz="0" w:space="0" w:color="auto"/>
            <w:left w:val="none" w:sz="0" w:space="0" w:color="auto"/>
            <w:bottom w:val="none" w:sz="0" w:space="0" w:color="auto"/>
            <w:right w:val="none" w:sz="0" w:space="0" w:color="auto"/>
          </w:divBdr>
        </w:div>
        <w:div w:id="1593077576">
          <w:marLeft w:val="0"/>
          <w:marRight w:val="0"/>
          <w:marTop w:val="0"/>
          <w:marBottom w:val="0"/>
          <w:divBdr>
            <w:top w:val="none" w:sz="0" w:space="0" w:color="auto"/>
            <w:left w:val="none" w:sz="0" w:space="0" w:color="auto"/>
            <w:bottom w:val="none" w:sz="0" w:space="0" w:color="auto"/>
            <w:right w:val="none" w:sz="0" w:space="0" w:color="auto"/>
          </w:divBdr>
        </w:div>
        <w:div w:id="1405831405">
          <w:marLeft w:val="0"/>
          <w:marRight w:val="0"/>
          <w:marTop w:val="0"/>
          <w:marBottom w:val="0"/>
          <w:divBdr>
            <w:top w:val="none" w:sz="0" w:space="0" w:color="auto"/>
            <w:left w:val="none" w:sz="0" w:space="0" w:color="auto"/>
            <w:bottom w:val="none" w:sz="0" w:space="0" w:color="auto"/>
            <w:right w:val="none" w:sz="0" w:space="0" w:color="auto"/>
          </w:divBdr>
        </w:div>
        <w:div w:id="1057440220">
          <w:marLeft w:val="0"/>
          <w:marRight w:val="0"/>
          <w:marTop w:val="0"/>
          <w:marBottom w:val="0"/>
          <w:divBdr>
            <w:top w:val="none" w:sz="0" w:space="0" w:color="auto"/>
            <w:left w:val="none" w:sz="0" w:space="0" w:color="auto"/>
            <w:bottom w:val="none" w:sz="0" w:space="0" w:color="auto"/>
            <w:right w:val="none" w:sz="0" w:space="0" w:color="auto"/>
          </w:divBdr>
        </w:div>
        <w:div w:id="544610085">
          <w:marLeft w:val="0"/>
          <w:marRight w:val="0"/>
          <w:marTop w:val="0"/>
          <w:marBottom w:val="0"/>
          <w:divBdr>
            <w:top w:val="none" w:sz="0" w:space="0" w:color="auto"/>
            <w:left w:val="none" w:sz="0" w:space="0" w:color="auto"/>
            <w:bottom w:val="none" w:sz="0" w:space="0" w:color="auto"/>
            <w:right w:val="none" w:sz="0" w:space="0" w:color="auto"/>
          </w:divBdr>
        </w:div>
        <w:div w:id="1773816354">
          <w:marLeft w:val="0"/>
          <w:marRight w:val="0"/>
          <w:marTop w:val="0"/>
          <w:marBottom w:val="0"/>
          <w:divBdr>
            <w:top w:val="none" w:sz="0" w:space="0" w:color="auto"/>
            <w:left w:val="none" w:sz="0" w:space="0" w:color="auto"/>
            <w:bottom w:val="none" w:sz="0" w:space="0" w:color="auto"/>
            <w:right w:val="none" w:sz="0" w:space="0" w:color="auto"/>
          </w:divBdr>
        </w:div>
        <w:div w:id="539708954">
          <w:marLeft w:val="0"/>
          <w:marRight w:val="0"/>
          <w:marTop w:val="0"/>
          <w:marBottom w:val="0"/>
          <w:divBdr>
            <w:top w:val="none" w:sz="0" w:space="0" w:color="auto"/>
            <w:left w:val="none" w:sz="0" w:space="0" w:color="auto"/>
            <w:bottom w:val="none" w:sz="0" w:space="0" w:color="auto"/>
            <w:right w:val="none" w:sz="0" w:space="0" w:color="auto"/>
          </w:divBdr>
        </w:div>
        <w:div w:id="1219971338">
          <w:marLeft w:val="0"/>
          <w:marRight w:val="0"/>
          <w:marTop w:val="0"/>
          <w:marBottom w:val="0"/>
          <w:divBdr>
            <w:top w:val="none" w:sz="0" w:space="0" w:color="auto"/>
            <w:left w:val="none" w:sz="0" w:space="0" w:color="auto"/>
            <w:bottom w:val="none" w:sz="0" w:space="0" w:color="auto"/>
            <w:right w:val="none" w:sz="0" w:space="0" w:color="auto"/>
          </w:divBdr>
        </w:div>
        <w:div w:id="468321771">
          <w:marLeft w:val="0"/>
          <w:marRight w:val="0"/>
          <w:marTop w:val="0"/>
          <w:marBottom w:val="0"/>
          <w:divBdr>
            <w:top w:val="none" w:sz="0" w:space="0" w:color="auto"/>
            <w:left w:val="none" w:sz="0" w:space="0" w:color="auto"/>
            <w:bottom w:val="none" w:sz="0" w:space="0" w:color="auto"/>
            <w:right w:val="none" w:sz="0" w:space="0" w:color="auto"/>
          </w:divBdr>
        </w:div>
        <w:div w:id="327027861">
          <w:marLeft w:val="0"/>
          <w:marRight w:val="0"/>
          <w:marTop w:val="0"/>
          <w:marBottom w:val="0"/>
          <w:divBdr>
            <w:top w:val="none" w:sz="0" w:space="0" w:color="auto"/>
            <w:left w:val="none" w:sz="0" w:space="0" w:color="auto"/>
            <w:bottom w:val="none" w:sz="0" w:space="0" w:color="auto"/>
            <w:right w:val="none" w:sz="0" w:space="0" w:color="auto"/>
          </w:divBdr>
        </w:div>
        <w:div w:id="1269659896">
          <w:marLeft w:val="0"/>
          <w:marRight w:val="0"/>
          <w:marTop w:val="0"/>
          <w:marBottom w:val="0"/>
          <w:divBdr>
            <w:top w:val="none" w:sz="0" w:space="0" w:color="auto"/>
            <w:left w:val="none" w:sz="0" w:space="0" w:color="auto"/>
            <w:bottom w:val="none" w:sz="0" w:space="0" w:color="auto"/>
            <w:right w:val="none" w:sz="0" w:space="0" w:color="auto"/>
          </w:divBdr>
        </w:div>
        <w:div w:id="1906140204">
          <w:marLeft w:val="0"/>
          <w:marRight w:val="0"/>
          <w:marTop w:val="0"/>
          <w:marBottom w:val="0"/>
          <w:divBdr>
            <w:top w:val="none" w:sz="0" w:space="0" w:color="auto"/>
            <w:left w:val="none" w:sz="0" w:space="0" w:color="auto"/>
            <w:bottom w:val="none" w:sz="0" w:space="0" w:color="auto"/>
            <w:right w:val="none" w:sz="0" w:space="0" w:color="auto"/>
          </w:divBdr>
        </w:div>
        <w:div w:id="204677014">
          <w:marLeft w:val="0"/>
          <w:marRight w:val="0"/>
          <w:marTop w:val="0"/>
          <w:marBottom w:val="0"/>
          <w:divBdr>
            <w:top w:val="none" w:sz="0" w:space="0" w:color="auto"/>
            <w:left w:val="none" w:sz="0" w:space="0" w:color="auto"/>
            <w:bottom w:val="none" w:sz="0" w:space="0" w:color="auto"/>
            <w:right w:val="none" w:sz="0" w:space="0" w:color="auto"/>
          </w:divBdr>
        </w:div>
        <w:div w:id="1592741490">
          <w:marLeft w:val="0"/>
          <w:marRight w:val="0"/>
          <w:marTop w:val="0"/>
          <w:marBottom w:val="0"/>
          <w:divBdr>
            <w:top w:val="none" w:sz="0" w:space="0" w:color="auto"/>
            <w:left w:val="none" w:sz="0" w:space="0" w:color="auto"/>
            <w:bottom w:val="none" w:sz="0" w:space="0" w:color="auto"/>
            <w:right w:val="none" w:sz="0" w:space="0" w:color="auto"/>
          </w:divBdr>
        </w:div>
        <w:div w:id="371924423">
          <w:marLeft w:val="0"/>
          <w:marRight w:val="0"/>
          <w:marTop w:val="0"/>
          <w:marBottom w:val="0"/>
          <w:divBdr>
            <w:top w:val="none" w:sz="0" w:space="0" w:color="auto"/>
            <w:left w:val="none" w:sz="0" w:space="0" w:color="auto"/>
            <w:bottom w:val="none" w:sz="0" w:space="0" w:color="auto"/>
            <w:right w:val="none" w:sz="0" w:space="0" w:color="auto"/>
          </w:divBdr>
        </w:div>
        <w:div w:id="1504130912">
          <w:marLeft w:val="0"/>
          <w:marRight w:val="0"/>
          <w:marTop w:val="0"/>
          <w:marBottom w:val="0"/>
          <w:divBdr>
            <w:top w:val="none" w:sz="0" w:space="0" w:color="auto"/>
            <w:left w:val="none" w:sz="0" w:space="0" w:color="auto"/>
            <w:bottom w:val="none" w:sz="0" w:space="0" w:color="auto"/>
            <w:right w:val="none" w:sz="0" w:space="0" w:color="auto"/>
          </w:divBdr>
        </w:div>
        <w:div w:id="1957638739">
          <w:marLeft w:val="0"/>
          <w:marRight w:val="0"/>
          <w:marTop w:val="0"/>
          <w:marBottom w:val="0"/>
          <w:divBdr>
            <w:top w:val="none" w:sz="0" w:space="0" w:color="auto"/>
            <w:left w:val="none" w:sz="0" w:space="0" w:color="auto"/>
            <w:bottom w:val="none" w:sz="0" w:space="0" w:color="auto"/>
            <w:right w:val="none" w:sz="0" w:space="0" w:color="auto"/>
          </w:divBdr>
        </w:div>
        <w:div w:id="859009730">
          <w:marLeft w:val="0"/>
          <w:marRight w:val="0"/>
          <w:marTop w:val="0"/>
          <w:marBottom w:val="0"/>
          <w:divBdr>
            <w:top w:val="none" w:sz="0" w:space="0" w:color="auto"/>
            <w:left w:val="none" w:sz="0" w:space="0" w:color="auto"/>
            <w:bottom w:val="none" w:sz="0" w:space="0" w:color="auto"/>
            <w:right w:val="none" w:sz="0" w:space="0" w:color="auto"/>
          </w:divBdr>
        </w:div>
        <w:div w:id="433794254">
          <w:marLeft w:val="0"/>
          <w:marRight w:val="0"/>
          <w:marTop w:val="0"/>
          <w:marBottom w:val="0"/>
          <w:divBdr>
            <w:top w:val="none" w:sz="0" w:space="0" w:color="auto"/>
            <w:left w:val="none" w:sz="0" w:space="0" w:color="auto"/>
            <w:bottom w:val="none" w:sz="0" w:space="0" w:color="auto"/>
            <w:right w:val="none" w:sz="0" w:space="0" w:color="auto"/>
          </w:divBdr>
        </w:div>
        <w:div w:id="1801801162">
          <w:marLeft w:val="0"/>
          <w:marRight w:val="0"/>
          <w:marTop w:val="0"/>
          <w:marBottom w:val="0"/>
          <w:divBdr>
            <w:top w:val="none" w:sz="0" w:space="0" w:color="auto"/>
            <w:left w:val="none" w:sz="0" w:space="0" w:color="auto"/>
            <w:bottom w:val="none" w:sz="0" w:space="0" w:color="auto"/>
            <w:right w:val="none" w:sz="0" w:space="0" w:color="auto"/>
          </w:divBdr>
        </w:div>
        <w:div w:id="1696423362">
          <w:marLeft w:val="0"/>
          <w:marRight w:val="0"/>
          <w:marTop w:val="0"/>
          <w:marBottom w:val="0"/>
          <w:divBdr>
            <w:top w:val="none" w:sz="0" w:space="0" w:color="auto"/>
            <w:left w:val="none" w:sz="0" w:space="0" w:color="auto"/>
            <w:bottom w:val="none" w:sz="0" w:space="0" w:color="auto"/>
            <w:right w:val="none" w:sz="0" w:space="0" w:color="auto"/>
          </w:divBdr>
        </w:div>
        <w:div w:id="1869219301">
          <w:marLeft w:val="0"/>
          <w:marRight w:val="0"/>
          <w:marTop w:val="0"/>
          <w:marBottom w:val="0"/>
          <w:divBdr>
            <w:top w:val="none" w:sz="0" w:space="0" w:color="auto"/>
            <w:left w:val="none" w:sz="0" w:space="0" w:color="auto"/>
            <w:bottom w:val="none" w:sz="0" w:space="0" w:color="auto"/>
            <w:right w:val="none" w:sz="0" w:space="0" w:color="auto"/>
          </w:divBdr>
        </w:div>
        <w:div w:id="706176713">
          <w:marLeft w:val="0"/>
          <w:marRight w:val="0"/>
          <w:marTop w:val="0"/>
          <w:marBottom w:val="0"/>
          <w:divBdr>
            <w:top w:val="none" w:sz="0" w:space="0" w:color="auto"/>
            <w:left w:val="none" w:sz="0" w:space="0" w:color="auto"/>
            <w:bottom w:val="none" w:sz="0" w:space="0" w:color="auto"/>
            <w:right w:val="none" w:sz="0" w:space="0" w:color="auto"/>
          </w:divBdr>
        </w:div>
        <w:div w:id="1283803655">
          <w:marLeft w:val="0"/>
          <w:marRight w:val="0"/>
          <w:marTop w:val="0"/>
          <w:marBottom w:val="0"/>
          <w:divBdr>
            <w:top w:val="none" w:sz="0" w:space="0" w:color="auto"/>
            <w:left w:val="none" w:sz="0" w:space="0" w:color="auto"/>
            <w:bottom w:val="none" w:sz="0" w:space="0" w:color="auto"/>
            <w:right w:val="none" w:sz="0" w:space="0" w:color="auto"/>
          </w:divBdr>
        </w:div>
        <w:div w:id="35324365">
          <w:marLeft w:val="0"/>
          <w:marRight w:val="0"/>
          <w:marTop w:val="0"/>
          <w:marBottom w:val="0"/>
          <w:divBdr>
            <w:top w:val="none" w:sz="0" w:space="0" w:color="auto"/>
            <w:left w:val="none" w:sz="0" w:space="0" w:color="auto"/>
            <w:bottom w:val="none" w:sz="0" w:space="0" w:color="auto"/>
            <w:right w:val="none" w:sz="0" w:space="0" w:color="auto"/>
          </w:divBdr>
        </w:div>
        <w:div w:id="404687912">
          <w:marLeft w:val="0"/>
          <w:marRight w:val="0"/>
          <w:marTop w:val="0"/>
          <w:marBottom w:val="0"/>
          <w:divBdr>
            <w:top w:val="none" w:sz="0" w:space="0" w:color="auto"/>
            <w:left w:val="none" w:sz="0" w:space="0" w:color="auto"/>
            <w:bottom w:val="none" w:sz="0" w:space="0" w:color="auto"/>
            <w:right w:val="none" w:sz="0" w:space="0" w:color="auto"/>
          </w:divBdr>
        </w:div>
        <w:div w:id="1556116207">
          <w:marLeft w:val="0"/>
          <w:marRight w:val="0"/>
          <w:marTop w:val="0"/>
          <w:marBottom w:val="0"/>
          <w:divBdr>
            <w:top w:val="none" w:sz="0" w:space="0" w:color="auto"/>
            <w:left w:val="none" w:sz="0" w:space="0" w:color="auto"/>
            <w:bottom w:val="none" w:sz="0" w:space="0" w:color="auto"/>
            <w:right w:val="none" w:sz="0" w:space="0" w:color="auto"/>
          </w:divBdr>
        </w:div>
        <w:div w:id="1854608084">
          <w:marLeft w:val="0"/>
          <w:marRight w:val="0"/>
          <w:marTop w:val="0"/>
          <w:marBottom w:val="0"/>
          <w:divBdr>
            <w:top w:val="none" w:sz="0" w:space="0" w:color="auto"/>
            <w:left w:val="none" w:sz="0" w:space="0" w:color="auto"/>
            <w:bottom w:val="none" w:sz="0" w:space="0" w:color="auto"/>
            <w:right w:val="none" w:sz="0" w:space="0" w:color="auto"/>
          </w:divBdr>
        </w:div>
        <w:div w:id="1322663984">
          <w:marLeft w:val="0"/>
          <w:marRight w:val="0"/>
          <w:marTop w:val="0"/>
          <w:marBottom w:val="0"/>
          <w:divBdr>
            <w:top w:val="none" w:sz="0" w:space="0" w:color="auto"/>
            <w:left w:val="none" w:sz="0" w:space="0" w:color="auto"/>
            <w:bottom w:val="none" w:sz="0" w:space="0" w:color="auto"/>
            <w:right w:val="none" w:sz="0" w:space="0" w:color="auto"/>
          </w:divBdr>
        </w:div>
        <w:div w:id="57672069">
          <w:marLeft w:val="0"/>
          <w:marRight w:val="0"/>
          <w:marTop w:val="0"/>
          <w:marBottom w:val="0"/>
          <w:divBdr>
            <w:top w:val="none" w:sz="0" w:space="0" w:color="auto"/>
            <w:left w:val="none" w:sz="0" w:space="0" w:color="auto"/>
            <w:bottom w:val="none" w:sz="0" w:space="0" w:color="auto"/>
            <w:right w:val="none" w:sz="0" w:space="0" w:color="auto"/>
          </w:divBdr>
        </w:div>
        <w:div w:id="1195461713">
          <w:marLeft w:val="0"/>
          <w:marRight w:val="0"/>
          <w:marTop w:val="0"/>
          <w:marBottom w:val="0"/>
          <w:divBdr>
            <w:top w:val="none" w:sz="0" w:space="0" w:color="auto"/>
            <w:left w:val="none" w:sz="0" w:space="0" w:color="auto"/>
            <w:bottom w:val="none" w:sz="0" w:space="0" w:color="auto"/>
            <w:right w:val="none" w:sz="0" w:space="0" w:color="auto"/>
          </w:divBdr>
        </w:div>
        <w:div w:id="1412704391">
          <w:marLeft w:val="0"/>
          <w:marRight w:val="0"/>
          <w:marTop w:val="0"/>
          <w:marBottom w:val="0"/>
          <w:divBdr>
            <w:top w:val="none" w:sz="0" w:space="0" w:color="auto"/>
            <w:left w:val="none" w:sz="0" w:space="0" w:color="auto"/>
            <w:bottom w:val="none" w:sz="0" w:space="0" w:color="auto"/>
            <w:right w:val="none" w:sz="0" w:space="0" w:color="auto"/>
          </w:divBdr>
        </w:div>
        <w:div w:id="1495296333">
          <w:marLeft w:val="0"/>
          <w:marRight w:val="0"/>
          <w:marTop w:val="0"/>
          <w:marBottom w:val="0"/>
          <w:divBdr>
            <w:top w:val="none" w:sz="0" w:space="0" w:color="auto"/>
            <w:left w:val="none" w:sz="0" w:space="0" w:color="auto"/>
            <w:bottom w:val="none" w:sz="0" w:space="0" w:color="auto"/>
            <w:right w:val="none" w:sz="0" w:space="0" w:color="auto"/>
          </w:divBdr>
        </w:div>
        <w:div w:id="1178275050">
          <w:marLeft w:val="0"/>
          <w:marRight w:val="0"/>
          <w:marTop w:val="0"/>
          <w:marBottom w:val="0"/>
          <w:divBdr>
            <w:top w:val="none" w:sz="0" w:space="0" w:color="auto"/>
            <w:left w:val="none" w:sz="0" w:space="0" w:color="auto"/>
            <w:bottom w:val="none" w:sz="0" w:space="0" w:color="auto"/>
            <w:right w:val="none" w:sz="0" w:space="0" w:color="auto"/>
          </w:divBdr>
        </w:div>
        <w:div w:id="1755202194">
          <w:marLeft w:val="0"/>
          <w:marRight w:val="0"/>
          <w:marTop w:val="0"/>
          <w:marBottom w:val="0"/>
          <w:divBdr>
            <w:top w:val="none" w:sz="0" w:space="0" w:color="auto"/>
            <w:left w:val="none" w:sz="0" w:space="0" w:color="auto"/>
            <w:bottom w:val="none" w:sz="0" w:space="0" w:color="auto"/>
            <w:right w:val="none" w:sz="0" w:space="0" w:color="auto"/>
          </w:divBdr>
        </w:div>
        <w:div w:id="6950144">
          <w:marLeft w:val="0"/>
          <w:marRight w:val="0"/>
          <w:marTop w:val="0"/>
          <w:marBottom w:val="0"/>
          <w:divBdr>
            <w:top w:val="none" w:sz="0" w:space="0" w:color="auto"/>
            <w:left w:val="none" w:sz="0" w:space="0" w:color="auto"/>
            <w:bottom w:val="none" w:sz="0" w:space="0" w:color="auto"/>
            <w:right w:val="none" w:sz="0" w:space="0" w:color="auto"/>
          </w:divBdr>
        </w:div>
        <w:div w:id="919413794">
          <w:marLeft w:val="0"/>
          <w:marRight w:val="0"/>
          <w:marTop w:val="0"/>
          <w:marBottom w:val="0"/>
          <w:divBdr>
            <w:top w:val="none" w:sz="0" w:space="0" w:color="auto"/>
            <w:left w:val="none" w:sz="0" w:space="0" w:color="auto"/>
            <w:bottom w:val="none" w:sz="0" w:space="0" w:color="auto"/>
            <w:right w:val="none" w:sz="0" w:space="0" w:color="auto"/>
          </w:divBdr>
        </w:div>
        <w:div w:id="881789656">
          <w:marLeft w:val="0"/>
          <w:marRight w:val="0"/>
          <w:marTop w:val="0"/>
          <w:marBottom w:val="0"/>
          <w:divBdr>
            <w:top w:val="none" w:sz="0" w:space="0" w:color="auto"/>
            <w:left w:val="none" w:sz="0" w:space="0" w:color="auto"/>
            <w:bottom w:val="none" w:sz="0" w:space="0" w:color="auto"/>
            <w:right w:val="none" w:sz="0" w:space="0" w:color="auto"/>
          </w:divBdr>
        </w:div>
        <w:div w:id="202064301">
          <w:marLeft w:val="0"/>
          <w:marRight w:val="0"/>
          <w:marTop w:val="0"/>
          <w:marBottom w:val="0"/>
          <w:divBdr>
            <w:top w:val="none" w:sz="0" w:space="0" w:color="auto"/>
            <w:left w:val="none" w:sz="0" w:space="0" w:color="auto"/>
            <w:bottom w:val="none" w:sz="0" w:space="0" w:color="auto"/>
            <w:right w:val="none" w:sz="0" w:space="0" w:color="auto"/>
          </w:divBdr>
        </w:div>
        <w:div w:id="769199632">
          <w:marLeft w:val="0"/>
          <w:marRight w:val="0"/>
          <w:marTop w:val="0"/>
          <w:marBottom w:val="0"/>
          <w:divBdr>
            <w:top w:val="none" w:sz="0" w:space="0" w:color="auto"/>
            <w:left w:val="none" w:sz="0" w:space="0" w:color="auto"/>
            <w:bottom w:val="none" w:sz="0" w:space="0" w:color="auto"/>
            <w:right w:val="none" w:sz="0" w:space="0" w:color="auto"/>
          </w:divBdr>
        </w:div>
        <w:div w:id="402683922">
          <w:marLeft w:val="0"/>
          <w:marRight w:val="0"/>
          <w:marTop w:val="0"/>
          <w:marBottom w:val="0"/>
          <w:divBdr>
            <w:top w:val="none" w:sz="0" w:space="0" w:color="auto"/>
            <w:left w:val="none" w:sz="0" w:space="0" w:color="auto"/>
            <w:bottom w:val="none" w:sz="0" w:space="0" w:color="auto"/>
            <w:right w:val="none" w:sz="0" w:space="0" w:color="auto"/>
          </w:divBdr>
        </w:div>
        <w:div w:id="1741446019">
          <w:marLeft w:val="0"/>
          <w:marRight w:val="0"/>
          <w:marTop w:val="0"/>
          <w:marBottom w:val="0"/>
          <w:divBdr>
            <w:top w:val="none" w:sz="0" w:space="0" w:color="auto"/>
            <w:left w:val="none" w:sz="0" w:space="0" w:color="auto"/>
            <w:bottom w:val="none" w:sz="0" w:space="0" w:color="auto"/>
            <w:right w:val="none" w:sz="0" w:space="0" w:color="auto"/>
          </w:divBdr>
        </w:div>
        <w:div w:id="1604220352">
          <w:marLeft w:val="0"/>
          <w:marRight w:val="0"/>
          <w:marTop w:val="0"/>
          <w:marBottom w:val="0"/>
          <w:divBdr>
            <w:top w:val="none" w:sz="0" w:space="0" w:color="auto"/>
            <w:left w:val="none" w:sz="0" w:space="0" w:color="auto"/>
            <w:bottom w:val="none" w:sz="0" w:space="0" w:color="auto"/>
            <w:right w:val="none" w:sz="0" w:space="0" w:color="auto"/>
          </w:divBdr>
        </w:div>
        <w:div w:id="2023434287">
          <w:marLeft w:val="0"/>
          <w:marRight w:val="0"/>
          <w:marTop w:val="0"/>
          <w:marBottom w:val="0"/>
          <w:divBdr>
            <w:top w:val="none" w:sz="0" w:space="0" w:color="auto"/>
            <w:left w:val="none" w:sz="0" w:space="0" w:color="auto"/>
            <w:bottom w:val="none" w:sz="0" w:space="0" w:color="auto"/>
            <w:right w:val="none" w:sz="0" w:space="0" w:color="auto"/>
          </w:divBdr>
        </w:div>
        <w:div w:id="761410137">
          <w:marLeft w:val="0"/>
          <w:marRight w:val="0"/>
          <w:marTop w:val="0"/>
          <w:marBottom w:val="0"/>
          <w:divBdr>
            <w:top w:val="none" w:sz="0" w:space="0" w:color="auto"/>
            <w:left w:val="none" w:sz="0" w:space="0" w:color="auto"/>
            <w:bottom w:val="none" w:sz="0" w:space="0" w:color="auto"/>
            <w:right w:val="none" w:sz="0" w:space="0" w:color="auto"/>
          </w:divBdr>
        </w:div>
      </w:divsChild>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0910">
      <w:bodyDiv w:val="1"/>
      <w:marLeft w:val="0"/>
      <w:marRight w:val="0"/>
      <w:marTop w:val="0"/>
      <w:marBottom w:val="0"/>
      <w:divBdr>
        <w:top w:val="none" w:sz="0" w:space="0" w:color="auto"/>
        <w:left w:val="none" w:sz="0" w:space="0" w:color="auto"/>
        <w:bottom w:val="none" w:sz="0" w:space="0" w:color="auto"/>
        <w:right w:val="none" w:sz="0" w:space="0" w:color="auto"/>
      </w:divBdr>
    </w:div>
    <w:div w:id="518743436">
      <w:bodyDiv w:val="1"/>
      <w:marLeft w:val="0"/>
      <w:marRight w:val="0"/>
      <w:marTop w:val="0"/>
      <w:marBottom w:val="0"/>
      <w:divBdr>
        <w:top w:val="none" w:sz="0" w:space="0" w:color="auto"/>
        <w:left w:val="none" w:sz="0" w:space="0" w:color="auto"/>
        <w:bottom w:val="none" w:sz="0" w:space="0" w:color="auto"/>
        <w:right w:val="none" w:sz="0" w:space="0" w:color="auto"/>
      </w:divBdr>
      <w:divsChild>
        <w:div w:id="650909461">
          <w:marLeft w:val="0"/>
          <w:marRight w:val="0"/>
          <w:marTop w:val="0"/>
          <w:marBottom w:val="0"/>
          <w:divBdr>
            <w:top w:val="none" w:sz="0" w:space="0" w:color="auto"/>
            <w:left w:val="none" w:sz="0" w:space="0" w:color="auto"/>
            <w:bottom w:val="none" w:sz="0" w:space="0" w:color="auto"/>
            <w:right w:val="none" w:sz="0" w:space="0" w:color="auto"/>
          </w:divBdr>
        </w:div>
        <w:div w:id="443888244">
          <w:marLeft w:val="0"/>
          <w:marRight w:val="0"/>
          <w:marTop w:val="0"/>
          <w:marBottom w:val="0"/>
          <w:divBdr>
            <w:top w:val="none" w:sz="0" w:space="0" w:color="auto"/>
            <w:left w:val="none" w:sz="0" w:space="0" w:color="auto"/>
            <w:bottom w:val="none" w:sz="0" w:space="0" w:color="auto"/>
            <w:right w:val="none" w:sz="0" w:space="0" w:color="auto"/>
          </w:divBdr>
        </w:div>
        <w:div w:id="447892824">
          <w:marLeft w:val="0"/>
          <w:marRight w:val="0"/>
          <w:marTop w:val="0"/>
          <w:marBottom w:val="0"/>
          <w:divBdr>
            <w:top w:val="none" w:sz="0" w:space="0" w:color="auto"/>
            <w:left w:val="none" w:sz="0" w:space="0" w:color="auto"/>
            <w:bottom w:val="none" w:sz="0" w:space="0" w:color="auto"/>
            <w:right w:val="none" w:sz="0" w:space="0" w:color="auto"/>
          </w:divBdr>
        </w:div>
        <w:div w:id="1182166200">
          <w:marLeft w:val="0"/>
          <w:marRight w:val="0"/>
          <w:marTop w:val="0"/>
          <w:marBottom w:val="0"/>
          <w:divBdr>
            <w:top w:val="none" w:sz="0" w:space="0" w:color="auto"/>
            <w:left w:val="none" w:sz="0" w:space="0" w:color="auto"/>
            <w:bottom w:val="none" w:sz="0" w:space="0" w:color="auto"/>
            <w:right w:val="none" w:sz="0" w:space="0" w:color="auto"/>
          </w:divBdr>
        </w:div>
        <w:div w:id="1850748947">
          <w:marLeft w:val="0"/>
          <w:marRight w:val="0"/>
          <w:marTop w:val="0"/>
          <w:marBottom w:val="0"/>
          <w:divBdr>
            <w:top w:val="none" w:sz="0" w:space="0" w:color="auto"/>
            <w:left w:val="none" w:sz="0" w:space="0" w:color="auto"/>
            <w:bottom w:val="none" w:sz="0" w:space="0" w:color="auto"/>
            <w:right w:val="none" w:sz="0" w:space="0" w:color="auto"/>
          </w:divBdr>
        </w:div>
        <w:div w:id="1908033652">
          <w:marLeft w:val="0"/>
          <w:marRight w:val="0"/>
          <w:marTop w:val="0"/>
          <w:marBottom w:val="0"/>
          <w:divBdr>
            <w:top w:val="none" w:sz="0" w:space="0" w:color="auto"/>
            <w:left w:val="none" w:sz="0" w:space="0" w:color="auto"/>
            <w:bottom w:val="none" w:sz="0" w:space="0" w:color="auto"/>
            <w:right w:val="none" w:sz="0" w:space="0" w:color="auto"/>
          </w:divBdr>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3630">
      <w:bodyDiv w:val="1"/>
      <w:marLeft w:val="0"/>
      <w:marRight w:val="0"/>
      <w:marTop w:val="0"/>
      <w:marBottom w:val="0"/>
      <w:divBdr>
        <w:top w:val="none" w:sz="0" w:space="0" w:color="auto"/>
        <w:left w:val="none" w:sz="0" w:space="0" w:color="auto"/>
        <w:bottom w:val="none" w:sz="0" w:space="0" w:color="auto"/>
        <w:right w:val="none" w:sz="0" w:space="0" w:color="auto"/>
      </w:divBdr>
      <w:divsChild>
        <w:div w:id="10301296">
          <w:marLeft w:val="0"/>
          <w:marRight w:val="0"/>
          <w:marTop w:val="0"/>
          <w:marBottom w:val="0"/>
          <w:divBdr>
            <w:top w:val="none" w:sz="0" w:space="0" w:color="auto"/>
            <w:left w:val="none" w:sz="0" w:space="0" w:color="auto"/>
            <w:bottom w:val="none" w:sz="0" w:space="0" w:color="auto"/>
            <w:right w:val="none" w:sz="0" w:space="0" w:color="auto"/>
          </w:divBdr>
          <w:divsChild>
            <w:div w:id="321471114">
              <w:marLeft w:val="0"/>
              <w:marRight w:val="0"/>
              <w:marTop w:val="0"/>
              <w:marBottom w:val="0"/>
              <w:divBdr>
                <w:top w:val="none" w:sz="0" w:space="0" w:color="auto"/>
                <w:left w:val="none" w:sz="0" w:space="0" w:color="auto"/>
                <w:bottom w:val="none" w:sz="0" w:space="0" w:color="auto"/>
                <w:right w:val="none" w:sz="0" w:space="0" w:color="auto"/>
              </w:divBdr>
              <w:divsChild>
                <w:div w:id="758599446">
                  <w:marLeft w:val="0"/>
                  <w:marRight w:val="0"/>
                  <w:marTop w:val="0"/>
                  <w:marBottom w:val="0"/>
                  <w:divBdr>
                    <w:top w:val="none" w:sz="0" w:space="0" w:color="auto"/>
                    <w:left w:val="none" w:sz="0" w:space="0" w:color="auto"/>
                    <w:bottom w:val="none" w:sz="0" w:space="0" w:color="auto"/>
                    <w:right w:val="none" w:sz="0" w:space="0" w:color="auto"/>
                  </w:divBdr>
                </w:div>
              </w:divsChild>
            </w:div>
            <w:div w:id="1251084826">
              <w:marLeft w:val="0"/>
              <w:marRight w:val="0"/>
              <w:marTop w:val="0"/>
              <w:marBottom w:val="0"/>
              <w:divBdr>
                <w:top w:val="none" w:sz="0" w:space="0" w:color="auto"/>
                <w:left w:val="none" w:sz="0" w:space="0" w:color="auto"/>
                <w:bottom w:val="none" w:sz="0" w:space="0" w:color="auto"/>
                <w:right w:val="none" w:sz="0" w:space="0" w:color="auto"/>
              </w:divBdr>
              <w:divsChild>
                <w:div w:id="10950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609">
          <w:marLeft w:val="0"/>
          <w:marRight w:val="0"/>
          <w:marTop w:val="0"/>
          <w:marBottom w:val="0"/>
          <w:divBdr>
            <w:top w:val="none" w:sz="0" w:space="0" w:color="auto"/>
            <w:left w:val="none" w:sz="0" w:space="0" w:color="auto"/>
            <w:bottom w:val="none" w:sz="0" w:space="0" w:color="auto"/>
            <w:right w:val="none" w:sz="0" w:space="0" w:color="auto"/>
          </w:divBdr>
          <w:divsChild>
            <w:div w:id="1491678636">
              <w:marLeft w:val="0"/>
              <w:marRight w:val="0"/>
              <w:marTop w:val="0"/>
              <w:marBottom w:val="0"/>
              <w:divBdr>
                <w:top w:val="none" w:sz="0" w:space="0" w:color="auto"/>
                <w:left w:val="none" w:sz="0" w:space="0" w:color="auto"/>
                <w:bottom w:val="none" w:sz="0" w:space="0" w:color="auto"/>
                <w:right w:val="none" w:sz="0" w:space="0" w:color="auto"/>
              </w:divBdr>
              <w:divsChild>
                <w:div w:id="243491963">
                  <w:marLeft w:val="0"/>
                  <w:marRight w:val="0"/>
                  <w:marTop w:val="0"/>
                  <w:marBottom w:val="0"/>
                  <w:divBdr>
                    <w:top w:val="none" w:sz="0" w:space="0" w:color="auto"/>
                    <w:left w:val="none" w:sz="0" w:space="0" w:color="auto"/>
                    <w:bottom w:val="none" w:sz="0" w:space="0" w:color="auto"/>
                    <w:right w:val="none" w:sz="0" w:space="0" w:color="auto"/>
                  </w:divBdr>
                </w:div>
              </w:divsChild>
            </w:div>
            <w:div w:id="217665238">
              <w:marLeft w:val="0"/>
              <w:marRight w:val="0"/>
              <w:marTop w:val="0"/>
              <w:marBottom w:val="0"/>
              <w:divBdr>
                <w:top w:val="none" w:sz="0" w:space="0" w:color="auto"/>
                <w:left w:val="none" w:sz="0" w:space="0" w:color="auto"/>
                <w:bottom w:val="none" w:sz="0" w:space="0" w:color="auto"/>
                <w:right w:val="none" w:sz="0" w:space="0" w:color="auto"/>
              </w:divBdr>
              <w:divsChild>
                <w:div w:id="30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614">
          <w:marLeft w:val="0"/>
          <w:marRight w:val="0"/>
          <w:marTop w:val="0"/>
          <w:marBottom w:val="0"/>
          <w:divBdr>
            <w:top w:val="none" w:sz="0" w:space="0" w:color="auto"/>
            <w:left w:val="none" w:sz="0" w:space="0" w:color="auto"/>
            <w:bottom w:val="none" w:sz="0" w:space="0" w:color="auto"/>
            <w:right w:val="none" w:sz="0" w:space="0" w:color="auto"/>
          </w:divBdr>
          <w:divsChild>
            <w:div w:id="1467697836">
              <w:marLeft w:val="0"/>
              <w:marRight w:val="0"/>
              <w:marTop w:val="0"/>
              <w:marBottom w:val="0"/>
              <w:divBdr>
                <w:top w:val="none" w:sz="0" w:space="0" w:color="auto"/>
                <w:left w:val="none" w:sz="0" w:space="0" w:color="auto"/>
                <w:bottom w:val="none" w:sz="0" w:space="0" w:color="auto"/>
                <w:right w:val="none" w:sz="0" w:space="0" w:color="auto"/>
              </w:divBdr>
              <w:divsChild>
                <w:div w:id="483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1136">
      <w:bodyDiv w:val="1"/>
      <w:marLeft w:val="0"/>
      <w:marRight w:val="0"/>
      <w:marTop w:val="0"/>
      <w:marBottom w:val="0"/>
      <w:divBdr>
        <w:top w:val="none" w:sz="0" w:space="0" w:color="auto"/>
        <w:left w:val="none" w:sz="0" w:space="0" w:color="auto"/>
        <w:bottom w:val="none" w:sz="0" w:space="0" w:color="auto"/>
        <w:right w:val="none" w:sz="0" w:space="0" w:color="auto"/>
      </w:divBdr>
      <w:divsChild>
        <w:div w:id="411776141">
          <w:marLeft w:val="0"/>
          <w:marRight w:val="0"/>
          <w:marTop w:val="0"/>
          <w:marBottom w:val="0"/>
          <w:divBdr>
            <w:top w:val="none" w:sz="0" w:space="0" w:color="auto"/>
            <w:left w:val="none" w:sz="0" w:space="0" w:color="auto"/>
            <w:bottom w:val="none" w:sz="0" w:space="0" w:color="auto"/>
            <w:right w:val="none" w:sz="0" w:space="0" w:color="auto"/>
          </w:divBdr>
          <w:divsChild>
            <w:div w:id="1684746771">
              <w:marLeft w:val="0"/>
              <w:marRight w:val="0"/>
              <w:marTop w:val="0"/>
              <w:marBottom w:val="0"/>
              <w:divBdr>
                <w:top w:val="none" w:sz="0" w:space="0" w:color="auto"/>
                <w:left w:val="none" w:sz="0" w:space="0" w:color="auto"/>
                <w:bottom w:val="none" w:sz="0" w:space="0" w:color="auto"/>
                <w:right w:val="none" w:sz="0" w:space="0" w:color="auto"/>
              </w:divBdr>
              <w:divsChild>
                <w:div w:id="494536093">
                  <w:marLeft w:val="0"/>
                  <w:marRight w:val="0"/>
                  <w:marTop w:val="0"/>
                  <w:marBottom w:val="0"/>
                  <w:divBdr>
                    <w:top w:val="none" w:sz="0" w:space="0" w:color="auto"/>
                    <w:left w:val="none" w:sz="0" w:space="0" w:color="auto"/>
                    <w:bottom w:val="none" w:sz="0" w:space="0" w:color="auto"/>
                    <w:right w:val="none" w:sz="0" w:space="0" w:color="auto"/>
                  </w:divBdr>
                  <w:divsChild>
                    <w:div w:id="12021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7031">
      <w:bodyDiv w:val="1"/>
      <w:marLeft w:val="0"/>
      <w:marRight w:val="0"/>
      <w:marTop w:val="0"/>
      <w:marBottom w:val="0"/>
      <w:divBdr>
        <w:top w:val="none" w:sz="0" w:space="0" w:color="auto"/>
        <w:left w:val="none" w:sz="0" w:space="0" w:color="auto"/>
        <w:bottom w:val="none" w:sz="0" w:space="0" w:color="auto"/>
        <w:right w:val="none" w:sz="0" w:space="0" w:color="auto"/>
      </w:divBdr>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49890615">
      <w:bodyDiv w:val="1"/>
      <w:marLeft w:val="0"/>
      <w:marRight w:val="0"/>
      <w:marTop w:val="0"/>
      <w:marBottom w:val="0"/>
      <w:divBdr>
        <w:top w:val="none" w:sz="0" w:space="0" w:color="auto"/>
        <w:left w:val="none" w:sz="0" w:space="0" w:color="auto"/>
        <w:bottom w:val="none" w:sz="0" w:space="0" w:color="auto"/>
        <w:right w:val="none" w:sz="0" w:space="0" w:color="auto"/>
      </w:divBdr>
      <w:divsChild>
        <w:div w:id="1630622940">
          <w:marLeft w:val="0"/>
          <w:marRight w:val="0"/>
          <w:marTop w:val="0"/>
          <w:marBottom w:val="0"/>
          <w:divBdr>
            <w:top w:val="none" w:sz="0" w:space="0" w:color="auto"/>
            <w:left w:val="none" w:sz="0" w:space="0" w:color="auto"/>
            <w:bottom w:val="none" w:sz="0" w:space="0" w:color="auto"/>
            <w:right w:val="none" w:sz="0" w:space="0" w:color="auto"/>
          </w:divBdr>
          <w:divsChild>
            <w:div w:id="65156202">
              <w:marLeft w:val="0"/>
              <w:marRight w:val="0"/>
              <w:marTop w:val="0"/>
              <w:marBottom w:val="0"/>
              <w:divBdr>
                <w:top w:val="none" w:sz="0" w:space="0" w:color="auto"/>
                <w:left w:val="none" w:sz="0" w:space="0" w:color="auto"/>
                <w:bottom w:val="none" w:sz="0" w:space="0" w:color="auto"/>
                <w:right w:val="none" w:sz="0" w:space="0" w:color="auto"/>
              </w:divBdr>
              <w:divsChild>
                <w:div w:id="1586836517">
                  <w:marLeft w:val="0"/>
                  <w:marRight w:val="0"/>
                  <w:marTop w:val="0"/>
                  <w:marBottom w:val="0"/>
                  <w:divBdr>
                    <w:top w:val="none" w:sz="0" w:space="0" w:color="auto"/>
                    <w:left w:val="none" w:sz="0" w:space="0" w:color="auto"/>
                    <w:bottom w:val="none" w:sz="0" w:space="0" w:color="auto"/>
                    <w:right w:val="none" w:sz="0" w:space="0" w:color="auto"/>
                  </w:divBdr>
                  <w:divsChild>
                    <w:div w:id="1468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224928">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66170733">
      <w:bodyDiv w:val="1"/>
      <w:marLeft w:val="0"/>
      <w:marRight w:val="0"/>
      <w:marTop w:val="0"/>
      <w:marBottom w:val="0"/>
      <w:divBdr>
        <w:top w:val="none" w:sz="0" w:space="0" w:color="auto"/>
        <w:left w:val="none" w:sz="0" w:space="0" w:color="auto"/>
        <w:bottom w:val="none" w:sz="0" w:space="0" w:color="auto"/>
        <w:right w:val="none" w:sz="0" w:space="0" w:color="auto"/>
      </w:divBdr>
      <w:divsChild>
        <w:div w:id="1063481653">
          <w:marLeft w:val="0"/>
          <w:marRight w:val="0"/>
          <w:marTop w:val="0"/>
          <w:marBottom w:val="0"/>
          <w:divBdr>
            <w:top w:val="none" w:sz="0" w:space="0" w:color="auto"/>
            <w:left w:val="none" w:sz="0" w:space="0" w:color="auto"/>
            <w:bottom w:val="none" w:sz="0" w:space="0" w:color="auto"/>
            <w:right w:val="none" w:sz="0" w:space="0" w:color="auto"/>
          </w:divBdr>
          <w:divsChild>
            <w:div w:id="2008827841">
              <w:marLeft w:val="0"/>
              <w:marRight w:val="0"/>
              <w:marTop w:val="0"/>
              <w:marBottom w:val="0"/>
              <w:divBdr>
                <w:top w:val="none" w:sz="0" w:space="0" w:color="auto"/>
                <w:left w:val="none" w:sz="0" w:space="0" w:color="auto"/>
                <w:bottom w:val="none" w:sz="0" w:space="0" w:color="auto"/>
                <w:right w:val="none" w:sz="0" w:space="0" w:color="auto"/>
              </w:divBdr>
              <w:divsChild>
                <w:div w:id="1119563896">
                  <w:marLeft w:val="0"/>
                  <w:marRight w:val="0"/>
                  <w:marTop w:val="0"/>
                  <w:marBottom w:val="0"/>
                  <w:divBdr>
                    <w:top w:val="none" w:sz="0" w:space="0" w:color="auto"/>
                    <w:left w:val="none" w:sz="0" w:space="0" w:color="auto"/>
                    <w:bottom w:val="none" w:sz="0" w:space="0" w:color="auto"/>
                    <w:right w:val="none" w:sz="0" w:space="0" w:color="auto"/>
                  </w:divBdr>
                </w:div>
              </w:divsChild>
            </w:div>
            <w:div w:id="1657302145">
              <w:marLeft w:val="0"/>
              <w:marRight w:val="0"/>
              <w:marTop w:val="0"/>
              <w:marBottom w:val="0"/>
              <w:divBdr>
                <w:top w:val="none" w:sz="0" w:space="0" w:color="auto"/>
                <w:left w:val="none" w:sz="0" w:space="0" w:color="auto"/>
                <w:bottom w:val="none" w:sz="0" w:space="0" w:color="auto"/>
                <w:right w:val="none" w:sz="0" w:space="0" w:color="auto"/>
              </w:divBdr>
              <w:divsChild>
                <w:div w:id="12107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5360">
          <w:marLeft w:val="0"/>
          <w:marRight w:val="0"/>
          <w:marTop w:val="0"/>
          <w:marBottom w:val="0"/>
          <w:divBdr>
            <w:top w:val="none" w:sz="0" w:space="0" w:color="auto"/>
            <w:left w:val="none" w:sz="0" w:space="0" w:color="auto"/>
            <w:bottom w:val="none" w:sz="0" w:space="0" w:color="auto"/>
            <w:right w:val="none" w:sz="0" w:space="0" w:color="auto"/>
          </w:divBdr>
          <w:divsChild>
            <w:div w:id="678972800">
              <w:marLeft w:val="0"/>
              <w:marRight w:val="0"/>
              <w:marTop w:val="0"/>
              <w:marBottom w:val="0"/>
              <w:divBdr>
                <w:top w:val="none" w:sz="0" w:space="0" w:color="auto"/>
                <w:left w:val="none" w:sz="0" w:space="0" w:color="auto"/>
                <w:bottom w:val="none" w:sz="0" w:space="0" w:color="auto"/>
                <w:right w:val="none" w:sz="0" w:space="0" w:color="auto"/>
              </w:divBdr>
              <w:divsChild>
                <w:div w:id="7225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8414">
      <w:bodyDiv w:val="1"/>
      <w:marLeft w:val="0"/>
      <w:marRight w:val="0"/>
      <w:marTop w:val="0"/>
      <w:marBottom w:val="0"/>
      <w:divBdr>
        <w:top w:val="none" w:sz="0" w:space="0" w:color="auto"/>
        <w:left w:val="none" w:sz="0" w:space="0" w:color="auto"/>
        <w:bottom w:val="none" w:sz="0" w:space="0" w:color="auto"/>
        <w:right w:val="none" w:sz="0" w:space="0" w:color="auto"/>
      </w:divBdr>
      <w:divsChild>
        <w:div w:id="52120721">
          <w:marLeft w:val="0"/>
          <w:marRight w:val="0"/>
          <w:marTop w:val="0"/>
          <w:marBottom w:val="0"/>
          <w:divBdr>
            <w:top w:val="none" w:sz="0" w:space="0" w:color="auto"/>
            <w:left w:val="none" w:sz="0" w:space="0" w:color="auto"/>
            <w:bottom w:val="none" w:sz="0" w:space="0" w:color="auto"/>
            <w:right w:val="none" w:sz="0" w:space="0" w:color="auto"/>
          </w:divBdr>
          <w:divsChild>
            <w:div w:id="2069380820">
              <w:marLeft w:val="0"/>
              <w:marRight w:val="0"/>
              <w:marTop w:val="0"/>
              <w:marBottom w:val="0"/>
              <w:divBdr>
                <w:top w:val="none" w:sz="0" w:space="0" w:color="auto"/>
                <w:left w:val="none" w:sz="0" w:space="0" w:color="auto"/>
                <w:bottom w:val="none" w:sz="0" w:space="0" w:color="auto"/>
                <w:right w:val="none" w:sz="0" w:space="0" w:color="auto"/>
              </w:divBdr>
              <w:divsChild>
                <w:div w:id="395469437">
                  <w:marLeft w:val="0"/>
                  <w:marRight w:val="0"/>
                  <w:marTop w:val="0"/>
                  <w:marBottom w:val="0"/>
                  <w:divBdr>
                    <w:top w:val="none" w:sz="0" w:space="0" w:color="auto"/>
                    <w:left w:val="none" w:sz="0" w:space="0" w:color="auto"/>
                    <w:bottom w:val="none" w:sz="0" w:space="0" w:color="auto"/>
                    <w:right w:val="none" w:sz="0" w:space="0" w:color="auto"/>
                  </w:divBdr>
                </w:div>
              </w:divsChild>
            </w:div>
            <w:div w:id="1811511605">
              <w:marLeft w:val="0"/>
              <w:marRight w:val="0"/>
              <w:marTop w:val="0"/>
              <w:marBottom w:val="0"/>
              <w:divBdr>
                <w:top w:val="none" w:sz="0" w:space="0" w:color="auto"/>
                <w:left w:val="none" w:sz="0" w:space="0" w:color="auto"/>
                <w:bottom w:val="none" w:sz="0" w:space="0" w:color="auto"/>
                <w:right w:val="none" w:sz="0" w:space="0" w:color="auto"/>
              </w:divBdr>
              <w:divsChild>
                <w:div w:id="18050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022">
          <w:marLeft w:val="0"/>
          <w:marRight w:val="0"/>
          <w:marTop w:val="0"/>
          <w:marBottom w:val="0"/>
          <w:divBdr>
            <w:top w:val="none" w:sz="0" w:space="0" w:color="auto"/>
            <w:left w:val="none" w:sz="0" w:space="0" w:color="auto"/>
            <w:bottom w:val="none" w:sz="0" w:space="0" w:color="auto"/>
            <w:right w:val="none" w:sz="0" w:space="0" w:color="auto"/>
          </w:divBdr>
          <w:divsChild>
            <w:div w:id="1336766821">
              <w:marLeft w:val="0"/>
              <w:marRight w:val="0"/>
              <w:marTop w:val="0"/>
              <w:marBottom w:val="0"/>
              <w:divBdr>
                <w:top w:val="none" w:sz="0" w:space="0" w:color="auto"/>
                <w:left w:val="none" w:sz="0" w:space="0" w:color="auto"/>
                <w:bottom w:val="none" w:sz="0" w:space="0" w:color="auto"/>
                <w:right w:val="none" w:sz="0" w:space="0" w:color="auto"/>
              </w:divBdr>
              <w:divsChild>
                <w:div w:id="20802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312102252">
      <w:bodyDiv w:val="1"/>
      <w:marLeft w:val="0"/>
      <w:marRight w:val="0"/>
      <w:marTop w:val="0"/>
      <w:marBottom w:val="0"/>
      <w:divBdr>
        <w:top w:val="none" w:sz="0" w:space="0" w:color="auto"/>
        <w:left w:val="none" w:sz="0" w:space="0" w:color="auto"/>
        <w:bottom w:val="none" w:sz="0" w:space="0" w:color="auto"/>
        <w:right w:val="none" w:sz="0" w:space="0" w:color="auto"/>
      </w:divBdr>
      <w:divsChild>
        <w:div w:id="312950760">
          <w:marLeft w:val="0"/>
          <w:marRight w:val="0"/>
          <w:marTop w:val="0"/>
          <w:marBottom w:val="0"/>
          <w:divBdr>
            <w:top w:val="none" w:sz="0" w:space="0" w:color="auto"/>
            <w:left w:val="none" w:sz="0" w:space="0" w:color="auto"/>
            <w:bottom w:val="none" w:sz="0" w:space="0" w:color="auto"/>
            <w:right w:val="none" w:sz="0" w:space="0" w:color="auto"/>
          </w:divBdr>
          <w:divsChild>
            <w:div w:id="725567717">
              <w:marLeft w:val="0"/>
              <w:marRight w:val="0"/>
              <w:marTop w:val="0"/>
              <w:marBottom w:val="0"/>
              <w:divBdr>
                <w:top w:val="none" w:sz="0" w:space="0" w:color="auto"/>
                <w:left w:val="none" w:sz="0" w:space="0" w:color="auto"/>
                <w:bottom w:val="none" w:sz="0" w:space="0" w:color="auto"/>
                <w:right w:val="none" w:sz="0" w:space="0" w:color="auto"/>
              </w:divBdr>
              <w:divsChild>
                <w:div w:id="607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5633">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1785">
      <w:bodyDiv w:val="1"/>
      <w:marLeft w:val="0"/>
      <w:marRight w:val="0"/>
      <w:marTop w:val="0"/>
      <w:marBottom w:val="0"/>
      <w:divBdr>
        <w:top w:val="none" w:sz="0" w:space="0" w:color="auto"/>
        <w:left w:val="none" w:sz="0" w:space="0" w:color="auto"/>
        <w:bottom w:val="none" w:sz="0" w:space="0" w:color="auto"/>
        <w:right w:val="none" w:sz="0" w:space="0" w:color="auto"/>
      </w:divBdr>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5313">
      <w:bodyDiv w:val="1"/>
      <w:marLeft w:val="0"/>
      <w:marRight w:val="0"/>
      <w:marTop w:val="0"/>
      <w:marBottom w:val="0"/>
      <w:divBdr>
        <w:top w:val="none" w:sz="0" w:space="0" w:color="auto"/>
        <w:left w:val="none" w:sz="0" w:space="0" w:color="auto"/>
        <w:bottom w:val="none" w:sz="0" w:space="0" w:color="auto"/>
        <w:right w:val="none" w:sz="0" w:space="0" w:color="auto"/>
      </w:divBdr>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17174103">
      <w:bodyDiv w:val="1"/>
      <w:marLeft w:val="0"/>
      <w:marRight w:val="0"/>
      <w:marTop w:val="0"/>
      <w:marBottom w:val="0"/>
      <w:divBdr>
        <w:top w:val="none" w:sz="0" w:space="0" w:color="auto"/>
        <w:left w:val="none" w:sz="0" w:space="0" w:color="auto"/>
        <w:bottom w:val="none" w:sz="0" w:space="0" w:color="auto"/>
        <w:right w:val="none" w:sz="0" w:space="0" w:color="auto"/>
      </w:divBdr>
      <w:divsChild>
        <w:div w:id="2070300834">
          <w:marLeft w:val="0"/>
          <w:marRight w:val="0"/>
          <w:marTop w:val="0"/>
          <w:marBottom w:val="0"/>
          <w:divBdr>
            <w:top w:val="none" w:sz="0" w:space="0" w:color="auto"/>
            <w:left w:val="none" w:sz="0" w:space="0" w:color="auto"/>
            <w:bottom w:val="none" w:sz="0" w:space="0" w:color="auto"/>
            <w:right w:val="none" w:sz="0" w:space="0" w:color="auto"/>
          </w:divBdr>
          <w:divsChild>
            <w:div w:id="2128310386">
              <w:marLeft w:val="0"/>
              <w:marRight w:val="0"/>
              <w:marTop w:val="0"/>
              <w:marBottom w:val="0"/>
              <w:divBdr>
                <w:top w:val="none" w:sz="0" w:space="0" w:color="auto"/>
                <w:left w:val="none" w:sz="0" w:space="0" w:color="auto"/>
                <w:bottom w:val="none" w:sz="0" w:space="0" w:color="auto"/>
                <w:right w:val="none" w:sz="0" w:space="0" w:color="auto"/>
              </w:divBdr>
              <w:divsChild>
                <w:div w:id="30501886">
                  <w:marLeft w:val="0"/>
                  <w:marRight w:val="0"/>
                  <w:marTop w:val="0"/>
                  <w:marBottom w:val="0"/>
                  <w:divBdr>
                    <w:top w:val="none" w:sz="0" w:space="0" w:color="auto"/>
                    <w:left w:val="none" w:sz="0" w:space="0" w:color="auto"/>
                    <w:bottom w:val="none" w:sz="0" w:space="0" w:color="auto"/>
                    <w:right w:val="none" w:sz="0" w:space="0" w:color="auto"/>
                  </w:divBdr>
                  <w:divsChild>
                    <w:div w:id="1013146557">
                      <w:marLeft w:val="0"/>
                      <w:marRight w:val="0"/>
                      <w:marTop w:val="0"/>
                      <w:marBottom w:val="0"/>
                      <w:divBdr>
                        <w:top w:val="none" w:sz="0" w:space="0" w:color="auto"/>
                        <w:left w:val="none" w:sz="0" w:space="0" w:color="auto"/>
                        <w:bottom w:val="none" w:sz="0" w:space="0" w:color="auto"/>
                        <w:right w:val="none" w:sz="0" w:space="0" w:color="auto"/>
                      </w:divBdr>
                      <w:divsChild>
                        <w:div w:id="912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0487">
                  <w:marLeft w:val="0"/>
                  <w:marRight w:val="0"/>
                  <w:marTop w:val="0"/>
                  <w:marBottom w:val="0"/>
                  <w:divBdr>
                    <w:top w:val="none" w:sz="0" w:space="0" w:color="auto"/>
                    <w:left w:val="none" w:sz="0" w:space="0" w:color="auto"/>
                    <w:bottom w:val="none" w:sz="0" w:space="0" w:color="auto"/>
                    <w:right w:val="none" w:sz="0" w:space="0" w:color="auto"/>
                  </w:divBdr>
                  <w:divsChild>
                    <w:div w:id="296374964">
                      <w:marLeft w:val="0"/>
                      <w:marRight w:val="0"/>
                      <w:marTop w:val="0"/>
                      <w:marBottom w:val="0"/>
                      <w:divBdr>
                        <w:top w:val="none" w:sz="0" w:space="0" w:color="auto"/>
                        <w:left w:val="none" w:sz="0" w:space="0" w:color="auto"/>
                        <w:bottom w:val="none" w:sz="0" w:space="0" w:color="auto"/>
                        <w:right w:val="none" w:sz="0" w:space="0" w:color="auto"/>
                      </w:divBdr>
                    </w:div>
                  </w:divsChild>
                </w:div>
                <w:div w:id="1088043161">
                  <w:marLeft w:val="0"/>
                  <w:marRight w:val="0"/>
                  <w:marTop w:val="0"/>
                  <w:marBottom w:val="0"/>
                  <w:divBdr>
                    <w:top w:val="none" w:sz="0" w:space="0" w:color="auto"/>
                    <w:left w:val="none" w:sz="0" w:space="0" w:color="auto"/>
                    <w:bottom w:val="none" w:sz="0" w:space="0" w:color="auto"/>
                    <w:right w:val="none" w:sz="0" w:space="0" w:color="auto"/>
                  </w:divBdr>
                  <w:divsChild>
                    <w:div w:id="1728727674">
                      <w:marLeft w:val="0"/>
                      <w:marRight w:val="0"/>
                      <w:marTop w:val="0"/>
                      <w:marBottom w:val="0"/>
                      <w:divBdr>
                        <w:top w:val="none" w:sz="0" w:space="0" w:color="auto"/>
                        <w:left w:val="none" w:sz="0" w:space="0" w:color="auto"/>
                        <w:bottom w:val="none" w:sz="0" w:space="0" w:color="auto"/>
                        <w:right w:val="none" w:sz="0" w:space="0" w:color="auto"/>
                      </w:divBdr>
                    </w:div>
                  </w:divsChild>
                </w:div>
                <w:div w:id="1248612935">
                  <w:marLeft w:val="0"/>
                  <w:marRight w:val="0"/>
                  <w:marTop w:val="0"/>
                  <w:marBottom w:val="0"/>
                  <w:divBdr>
                    <w:top w:val="none" w:sz="0" w:space="0" w:color="auto"/>
                    <w:left w:val="none" w:sz="0" w:space="0" w:color="auto"/>
                    <w:bottom w:val="none" w:sz="0" w:space="0" w:color="auto"/>
                    <w:right w:val="none" w:sz="0" w:space="0" w:color="auto"/>
                  </w:divBdr>
                  <w:divsChild>
                    <w:div w:id="1588421247">
                      <w:marLeft w:val="0"/>
                      <w:marRight w:val="0"/>
                      <w:marTop w:val="0"/>
                      <w:marBottom w:val="0"/>
                      <w:divBdr>
                        <w:top w:val="none" w:sz="0" w:space="0" w:color="auto"/>
                        <w:left w:val="none" w:sz="0" w:space="0" w:color="auto"/>
                        <w:bottom w:val="none" w:sz="0" w:space="0" w:color="auto"/>
                        <w:right w:val="none" w:sz="0" w:space="0" w:color="auto"/>
                      </w:divBdr>
                    </w:div>
                  </w:divsChild>
                </w:div>
                <w:div w:id="1318878343">
                  <w:marLeft w:val="0"/>
                  <w:marRight w:val="0"/>
                  <w:marTop w:val="0"/>
                  <w:marBottom w:val="0"/>
                  <w:divBdr>
                    <w:top w:val="none" w:sz="0" w:space="0" w:color="auto"/>
                    <w:left w:val="none" w:sz="0" w:space="0" w:color="auto"/>
                    <w:bottom w:val="none" w:sz="0" w:space="0" w:color="auto"/>
                    <w:right w:val="none" w:sz="0" w:space="0" w:color="auto"/>
                  </w:divBdr>
                  <w:divsChild>
                    <w:div w:id="377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366">
          <w:marLeft w:val="0"/>
          <w:marRight w:val="0"/>
          <w:marTop w:val="0"/>
          <w:marBottom w:val="0"/>
          <w:divBdr>
            <w:top w:val="none" w:sz="0" w:space="0" w:color="auto"/>
            <w:left w:val="none" w:sz="0" w:space="0" w:color="auto"/>
            <w:bottom w:val="none" w:sz="0" w:space="0" w:color="auto"/>
            <w:right w:val="none" w:sz="0" w:space="0" w:color="auto"/>
          </w:divBdr>
          <w:divsChild>
            <w:div w:id="1843548294">
              <w:marLeft w:val="0"/>
              <w:marRight w:val="0"/>
              <w:marTop w:val="0"/>
              <w:marBottom w:val="0"/>
              <w:divBdr>
                <w:top w:val="none" w:sz="0" w:space="0" w:color="auto"/>
                <w:left w:val="none" w:sz="0" w:space="0" w:color="auto"/>
                <w:bottom w:val="none" w:sz="0" w:space="0" w:color="auto"/>
                <w:right w:val="none" w:sz="0" w:space="0" w:color="auto"/>
              </w:divBdr>
              <w:divsChild>
                <w:div w:id="1115099523">
                  <w:marLeft w:val="0"/>
                  <w:marRight w:val="0"/>
                  <w:marTop w:val="0"/>
                  <w:marBottom w:val="0"/>
                  <w:divBdr>
                    <w:top w:val="none" w:sz="0" w:space="0" w:color="auto"/>
                    <w:left w:val="none" w:sz="0" w:space="0" w:color="auto"/>
                    <w:bottom w:val="none" w:sz="0" w:space="0" w:color="auto"/>
                    <w:right w:val="none" w:sz="0" w:space="0" w:color="auto"/>
                  </w:divBdr>
                  <w:divsChild>
                    <w:div w:id="4667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255">
              <w:marLeft w:val="0"/>
              <w:marRight w:val="0"/>
              <w:marTop w:val="0"/>
              <w:marBottom w:val="0"/>
              <w:divBdr>
                <w:top w:val="none" w:sz="0" w:space="0" w:color="auto"/>
                <w:left w:val="none" w:sz="0" w:space="0" w:color="auto"/>
                <w:bottom w:val="none" w:sz="0" w:space="0" w:color="auto"/>
                <w:right w:val="none" w:sz="0" w:space="0" w:color="auto"/>
              </w:divBdr>
              <w:divsChild>
                <w:div w:id="1804612543">
                  <w:marLeft w:val="0"/>
                  <w:marRight w:val="0"/>
                  <w:marTop w:val="0"/>
                  <w:marBottom w:val="0"/>
                  <w:divBdr>
                    <w:top w:val="none" w:sz="0" w:space="0" w:color="auto"/>
                    <w:left w:val="none" w:sz="0" w:space="0" w:color="auto"/>
                    <w:bottom w:val="none" w:sz="0" w:space="0" w:color="auto"/>
                    <w:right w:val="none" w:sz="0" w:space="0" w:color="auto"/>
                  </w:divBdr>
                  <w:divsChild>
                    <w:div w:id="989288086">
                      <w:marLeft w:val="0"/>
                      <w:marRight w:val="0"/>
                      <w:marTop w:val="0"/>
                      <w:marBottom w:val="0"/>
                      <w:divBdr>
                        <w:top w:val="none" w:sz="0" w:space="0" w:color="auto"/>
                        <w:left w:val="none" w:sz="0" w:space="0" w:color="auto"/>
                        <w:bottom w:val="none" w:sz="0" w:space="0" w:color="auto"/>
                        <w:right w:val="none" w:sz="0" w:space="0" w:color="auto"/>
                      </w:divBdr>
                    </w:div>
                  </w:divsChild>
                </w:div>
                <w:div w:id="515997049">
                  <w:marLeft w:val="0"/>
                  <w:marRight w:val="0"/>
                  <w:marTop w:val="0"/>
                  <w:marBottom w:val="0"/>
                  <w:divBdr>
                    <w:top w:val="none" w:sz="0" w:space="0" w:color="auto"/>
                    <w:left w:val="none" w:sz="0" w:space="0" w:color="auto"/>
                    <w:bottom w:val="none" w:sz="0" w:space="0" w:color="auto"/>
                    <w:right w:val="none" w:sz="0" w:space="0" w:color="auto"/>
                  </w:divBdr>
                  <w:divsChild>
                    <w:div w:id="7991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19723">
      <w:bodyDiv w:val="1"/>
      <w:marLeft w:val="0"/>
      <w:marRight w:val="0"/>
      <w:marTop w:val="0"/>
      <w:marBottom w:val="0"/>
      <w:divBdr>
        <w:top w:val="none" w:sz="0" w:space="0" w:color="auto"/>
        <w:left w:val="none" w:sz="0" w:space="0" w:color="auto"/>
        <w:bottom w:val="none" w:sz="0" w:space="0" w:color="auto"/>
        <w:right w:val="none" w:sz="0" w:space="0" w:color="auto"/>
      </w:divBdr>
      <w:divsChild>
        <w:div w:id="1369183589">
          <w:marLeft w:val="0"/>
          <w:marRight w:val="0"/>
          <w:marTop w:val="0"/>
          <w:marBottom w:val="0"/>
          <w:divBdr>
            <w:top w:val="none" w:sz="0" w:space="0" w:color="auto"/>
            <w:left w:val="none" w:sz="0" w:space="0" w:color="auto"/>
            <w:bottom w:val="none" w:sz="0" w:space="0" w:color="auto"/>
            <w:right w:val="none" w:sz="0" w:space="0" w:color="auto"/>
          </w:divBdr>
          <w:divsChild>
            <w:div w:id="1717463403">
              <w:marLeft w:val="0"/>
              <w:marRight w:val="0"/>
              <w:marTop w:val="0"/>
              <w:marBottom w:val="0"/>
              <w:divBdr>
                <w:top w:val="none" w:sz="0" w:space="0" w:color="auto"/>
                <w:left w:val="none" w:sz="0" w:space="0" w:color="auto"/>
                <w:bottom w:val="none" w:sz="0" w:space="0" w:color="auto"/>
                <w:right w:val="none" w:sz="0" w:space="0" w:color="auto"/>
              </w:divBdr>
              <w:divsChild>
                <w:div w:id="1647054465">
                  <w:marLeft w:val="0"/>
                  <w:marRight w:val="0"/>
                  <w:marTop w:val="0"/>
                  <w:marBottom w:val="0"/>
                  <w:divBdr>
                    <w:top w:val="none" w:sz="0" w:space="0" w:color="auto"/>
                    <w:left w:val="none" w:sz="0" w:space="0" w:color="auto"/>
                    <w:bottom w:val="none" w:sz="0" w:space="0" w:color="auto"/>
                    <w:right w:val="none" w:sz="0" w:space="0" w:color="auto"/>
                  </w:divBdr>
                  <w:divsChild>
                    <w:div w:id="11423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28667769">
      <w:bodyDiv w:val="1"/>
      <w:marLeft w:val="0"/>
      <w:marRight w:val="0"/>
      <w:marTop w:val="0"/>
      <w:marBottom w:val="0"/>
      <w:divBdr>
        <w:top w:val="none" w:sz="0" w:space="0" w:color="auto"/>
        <w:left w:val="none" w:sz="0" w:space="0" w:color="auto"/>
        <w:bottom w:val="none" w:sz="0" w:space="0" w:color="auto"/>
        <w:right w:val="none" w:sz="0" w:space="0" w:color="auto"/>
      </w:divBdr>
      <w:divsChild>
        <w:div w:id="1072969985">
          <w:marLeft w:val="0"/>
          <w:marRight w:val="0"/>
          <w:marTop w:val="0"/>
          <w:marBottom w:val="0"/>
          <w:divBdr>
            <w:top w:val="none" w:sz="0" w:space="0" w:color="auto"/>
            <w:left w:val="none" w:sz="0" w:space="0" w:color="auto"/>
            <w:bottom w:val="none" w:sz="0" w:space="0" w:color="auto"/>
            <w:right w:val="none" w:sz="0" w:space="0" w:color="auto"/>
          </w:divBdr>
          <w:divsChild>
            <w:div w:id="1314717928">
              <w:marLeft w:val="0"/>
              <w:marRight w:val="0"/>
              <w:marTop w:val="0"/>
              <w:marBottom w:val="0"/>
              <w:divBdr>
                <w:top w:val="none" w:sz="0" w:space="0" w:color="auto"/>
                <w:left w:val="none" w:sz="0" w:space="0" w:color="auto"/>
                <w:bottom w:val="none" w:sz="0" w:space="0" w:color="auto"/>
                <w:right w:val="none" w:sz="0" w:space="0" w:color="auto"/>
              </w:divBdr>
              <w:divsChild>
                <w:div w:id="1064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68461796">
      <w:bodyDiv w:val="1"/>
      <w:marLeft w:val="0"/>
      <w:marRight w:val="0"/>
      <w:marTop w:val="0"/>
      <w:marBottom w:val="0"/>
      <w:divBdr>
        <w:top w:val="none" w:sz="0" w:space="0" w:color="auto"/>
        <w:left w:val="none" w:sz="0" w:space="0" w:color="auto"/>
        <w:bottom w:val="none" w:sz="0" w:space="0" w:color="auto"/>
        <w:right w:val="none" w:sz="0" w:space="0" w:color="auto"/>
      </w:divBdr>
      <w:divsChild>
        <w:div w:id="908610632">
          <w:marLeft w:val="0"/>
          <w:marRight w:val="0"/>
          <w:marTop w:val="0"/>
          <w:marBottom w:val="0"/>
          <w:divBdr>
            <w:top w:val="none" w:sz="0" w:space="0" w:color="auto"/>
            <w:left w:val="none" w:sz="0" w:space="0" w:color="auto"/>
            <w:bottom w:val="none" w:sz="0" w:space="0" w:color="auto"/>
            <w:right w:val="none" w:sz="0" w:space="0" w:color="auto"/>
          </w:divBdr>
          <w:divsChild>
            <w:div w:id="1411075599">
              <w:marLeft w:val="0"/>
              <w:marRight w:val="0"/>
              <w:marTop w:val="0"/>
              <w:marBottom w:val="0"/>
              <w:divBdr>
                <w:top w:val="none" w:sz="0" w:space="0" w:color="auto"/>
                <w:left w:val="none" w:sz="0" w:space="0" w:color="auto"/>
                <w:bottom w:val="none" w:sz="0" w:space="0" w:color="auto"/>
                <w:right w:val="none" w:sz="0" w:space="0" w:color="auto"/>
              </w:divBdr>
              <w:divsChild>
                <w:div w:id="1886866026">
                  <w:marLeft w:val="0"/>
                  <w:marRight w:val="0"/>
                  <w:marTop w:val="0"/>
                  <w:marBottom w:val="0"/>
                  <w:divBdr>
                    <w:top w:val="none" w:sz="0" w:space="0" w:color="auto"/>
                    <w:left w:val="none" w:sz="0" w:space="0" w:color="auto"/>
                    <w:bottom w:val="none" w:sz="0" w:space="0" w:color="auto"/>
                    <w:right w:val="none" w:sz="0" w:space="0" w:color="auto"/>
                  </w:divBdr>
                  <w:divsChild>
                    <w:div w:id="1684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3086">
      <w:bodyDiv w:val="1"/>
      <w:marLeft w:val="0"/>
      <w:marRight w:val="0"/>
      <w:marTop w:val="0"/>
      <w:marBottom w:val="0"/>
      <w:divBdr>
        <w:top w:val="none" w:sz="0" w:space="0" w:color="auto"/>
        <w:left w:val="none" w:sz="0" w:space="0" w:color="auto"/>
        <w:bottom w:val="none" w:sz="0" w:space="0" w:color="auto"/>
        <w:right w:val="none" w:sz="0" w:space="0" w:color="auto"/>
      </w:divBdr>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 w:id="2131169956">
      <w:bodyDiv w:val="1"/>
      <w:marLeft w:val="0"/>
      <w:marRight w:val="0"/>
      <w:marTop w:val="0"/>
      <w:marBottom w:val="0"/>
      <w:divBdr>
        <w:top w:val="none" w:sz="0" w:space="0" w:color="auto"/>
        <w:left w:val="none" w:sz="0" w:space="0" w:color="auto"/>
        <w:bottom w:val="none" w:sz="0" w:space="0" w:color="auto"/>
        <w:right w:val="none" w:sz="0" w:space="0" w:color="auto"/>
      </w:divBdr>
      <w:divsChild>
        <w:div w:id="1721173636">
          <w:marLeft w:val="0"/>
          <w:marRight w:val="0"/>
          <w:marTop w:val="0"/>
          <w:marBottom w:val="0"/>
          <w:divBdr>
            <w:top w:val="none" w:sz="0" w:space="0" w:color="auto"/>
            <w:left w:val="none" w:sz="0" w:space="0" w:color="auto"/>
            <w:bottom w:val="none" w:sz="0" w:space="0" w:color="auto"/>
            <w:right w:val="none" w:sz="0" w:space="0" w:color="auto"/>
          </w:divBdr>
        </w:div>
      </w:divsChild>
    </w:div>
    <w:div w:id="2141531773">
      <w:bodyDiv w:val="1"/>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F3693F38-B7C5-463A-B3FA-6515E8BF763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A60A1F-9B7C-4A6C-88C5-5AAE1D72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8</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2023-04-14T08:23:00Z</cp:lastPrinted>
  <dcterms:created xsi:type="dcterms:W3CDTF">2023-04-28T11:52:00Z</dcterms:created>
  <dcterms:modified xsi:type="dcterms:W3CDTF">2023-04-28T11:53:00Z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