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AF41C1" w14:textId="77777777" w:rsidR="00BF3586" w:rsidRPr="000C7880" w:rsidRDefault="00BF3586" w:rsidP="00BF3586">
      <w:pPr>
        <w:rPr>
          <w:sz w:val="28"/>
          <w:szCs w:val="28"/>
        </w:rPr>
      </w:pPr>
      <w:bookmarkStart w:id="0" w:name="_GoBack"/>
      <w:bookmarkEnd w:id="0"/>
    </w:p>
    <w:p w14:paraId="637A6EDD" w14:textId="77777777" w:rsidR="00BF3586" w:rsidRPr="00E019B7" w:rsidRDefault="00F6292D" w:rsidP="00BF3586">
      <w:pPr>
        <w:tabs>
          <w:tab w:val="left" w:pos="2415"/>
        </w:tabs>
        <w:rPr>
          <w:color w:val="000000"/>
          <w:sz w:val="28"/>
          <w:szCs w:val="28"/>
        </w:rPr>
      </w:pPr>
      <w:r>
        <w:rPr>
          <w:noProof/>
          <w:color w:val="000000"/>
          <w:sz w:val="28"/>
          <w:szCs w:val="28"/>
          <w:lang w:val="en-US" w:eastAsia="en-US"/>
        </w:rPr>
        <w:drawing>
          <wp:anchor distT="0" distB="0" distL="114300" distR="114300" simplePos="0" relativeHeight="251657728" behindDoc="0" locked="0" layoutInCell="1" allowOverlap="1" wp14:anchorId="611AC0D0" wp14:editId="5A63D942">
            <wp:simplePos x="0" y="0"/>
            <wp:positionH relativeFrom="column">
              <wp:posOffset>2295525</wp:posOffset>
            </wp:positionH>
            <wp:positionV relativeFrom="paragraph">
              <wp:posOffset>-309245</wp:posOffset>
            </wp:positionV>
            <wp:extent cx="1247775" cy="1247775"/>
            <wp:effectExtent l="0" t="0" r="0" b="0"/>
            <wp:wrapSquare wrapText="bothSides"/>
            <wp:docPr id="1986079293" name="Picture 9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2"/>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47775" cy="1247775"/>
                    </a:xfrm>
                    <a:prstGeom prst="rect">
                      <a:avLst/>
                    </a:prstGeom>
                    <a:noFill/>
                    <a:ln>
                      <a:noFill/>
                    </a:ln>
                  </pic:spPr>
                </pic:pic>
              </a:graphicData>
            </a:graphic>
            <wp14:sizeRelH relativeFrom="page">
              <wp14:pctWidth>0</wp14:pctWidth>
            </wp14:sizeRelH>
            <wp14:sizeRelV relativeFrom="page">
              <wp14:pctHeight>0</wp14:pctHeight>
            </wp14:sizeRelV>
          </wp:anchor>
        </w:drawing>
      </w:r>
      <w:r w:rsidR="00BF3586" w:rsidRPr="00E019B7">
        <w:rPr>
          <w:color w:val="000000"/>
          <w:sz w:val="28"/>
          <w:szCs w:val="28"/>
        </w:rPr>
        <w:tab/>
      </w:r>
    </w:p>
    <w:p w14:paraId="6AFC07BF" w14:textId="77777777" w:rsidR="00BF3586" w:rsidRPr="00E019B7" w:rsidRDefault="00BF3586" w:rsidP="00BF3586">
      <w:pPr>
        <w:rPr>
          <w:color w:val="000000"/>
          <w:sz w:val="28"/>
          <w:szCs w:val="28"/>
        </w:rPr>
      </w:pPr>
    </w:p>
    <w:p w14:paraId="61C22711" w14:textId="77777777" w:rsidR="00BF3586" w:rsidRPr="00E019B7" w:rsidRDefault="00BF3586" w:rsidP="00BF3586">
      <w:pPr>
        <w:tabs>
          <w:tab w:val="left" w:pos="2415"/>
        </w:tabs>
        <w:rPr>
          <w:color w:val="000000"/>
          <w:sz w:val="28"/>
          <w:szCs w:val="28"/>
        </w:rPr>
      </w:pPr>
    </w:p>
    <w:p w14:paraId="70619A9A" w14:textId="77777777" w:rsidR="00B26135" w:rsidRDefault="00B26135" w:rsidP="00BF3586">
      <w:pPr>
        <w:jc w:val="center"/>
        <w:rPr>
          <w:b/>
          <w:color w:val="000000"/>
        </w:rPr>
      </w:pPr>
    </w:p>
    <w:p w14:paraId="6B750792" w14:textId="77777777" w:rsidR="00B26135" w:rsidRDefault="00B26135" w:rsidP="00BF3586">
      <w:pPr>
        <w:jc w:val="center"/>
        <w:rPr>
          <w:b/>
          <w:color w:val="000000"/>
        </w:rPr>
      </w:pPr>
    </w:p>
    <w:p w14:paraId="5A33B393" w14:textId="65EDE371" w:rsidR="00127226" w:rsidRDefault="00127226" w:rsidP="00516435">
      <w:pPr>
        <w:tabs>
          <w:tab w:val="center" w:pos="4513"/>
          <w:tab w:val="left" w:pos="7826"/>
        </w:tabs>
        <w:spacing w:after="120"/>
        <w:jc w:val="right"/>
        <w:rPr>
          <w:b/>
          <w:color w:val="000000"/>
        </w:rPr>
      </w:pPr>
    </w:p>
    <w:p w14:paraId="723B5252" w14:textId="009ADECB" w:rsidR="00516435" w:rsidRDefault="00E9670A" w:rsidP="00516435">
      <w:pPr>
        <w:tabs>
          <w:tab w:val="center" w:pos="4513"/>
          <w:tab w:val="left" w:pos="7826"/>
        </w:tabs>
        <w:spacing w:after="120"/>
        <w:jc w:val="center"/>
        <w:rPr>
          <w:b/>
          <w:color w:val="000000"/>
        </w:rPr>
      </w:pPr>
      <w:r>
        <w:rPr>
          <w:b/>
          <w:color w:val="000000"/>
        </w:rPr>
        <w:t xml:space="preserve">IN THE </w:t>
      </w:r>
      <w:r w:rsidR="00516435">
        <w:rPr>
          <w:b/>
          <w:color w:val="000000"/>
        </w:rPr>
        <w:t>HIGH COURT OF SOUTH AFRICA</w:t>
      </w:r>
    </w:p>
    <w:p w14:paraId="1DDA0A73" w14:textId="24833FCF" w:rsidR="00BF3586" w:rsidRPr="001A4B67" w:rsidRDefault="00BF3586" w:rsidP="00BF3586">
      <w:pPr>
        <w:tabs>
          <w:tab w:val="center" w:pos="4513"/>
          <w:tab w:val="left" w:pos="7826"/>
        </w:tabs>
        <w:spacing w:after="120"/>
        <w:jc w:val="center"/>
        <w:rPr>
          <w:b/>
          <w:color w:val="000000"/>
        </w:rPr>
      </w:pPr>
      <w:r w:rsidRPr="001A4B67">
        <w:rPr>
          <w:b/>
          <w:color w:val="000000"/>
        </w:rPr>
        <w:t>(GAUTENG DIVISION, PRETORIA)</w:t>
      </w:r>
    </w:p>
    <w:p w14:paraId="50CFB1D9" w14:textId="77777777" w:rsidR="00BF3586" w:rsidRPr="001A4B67" w:rsidRDefault="00BF3586" w:rsidP="00BF3586">
      <w:pPr>
        <w:spacing w:after="240"/>
        <w:ind w:right="-46"/>
        <w:rPr>
          <w:b/>
          <w:color w:val="000000"/>
        </w:rPr>
      </w:pPr>
      <w:r w:rsidRPr="001A4B67">
        <w:rPr>
          <w:b/>
          <w:color w:val="000000"/>
        </w:rPr>
        <w:t xml:space="preserve">                                                                               </w:t>
      </w:r>
      <w:r w:rsidRPr="001A4B67">
        <w:rPr>
          <w:b/>
          <w:color w:val="000000"/>
        </w:rPr>
        <w:tab/>
        <w:t xml:space="preserve">      </w:t>
      </w:r>
      <w:r>
        <w:rPr>
          <w:b/>
          <w:color w:val="000000"/>
        </w:rPr>
        <w:t xml:space="preserve">                          CASE NO: 41667/2021</w:t>
      </w:r>
    </w:p>
    <w:tbl>
      <w:tblPr>
        <w:tblpPr w:leftFromText="180" w:rightFromText="180" w:vertAnchor="text" w:horzAnchor="margin" w:tblpXSpec="right" w:tblpY="26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tblGrid>
      <w:tr w:rsidR="00BF3586" w:rsidRPr="00D72A63" w14:paraId="2E3010C4" w14:textId="77777777" w:rsidTr="00086CE4">
        <w:tc>
          <w:tcPr>
            <w:tcW w:w="4428" w:type="dxa"/>
          </w:tcPr>
          <w:p w14:paraId="4AE6A407" w14:textId="77777777" w:rsidR="00BF3586" w:rsidRPr="00D72A63" w:rsidRDefault="00BF3586" w:rsidP="002B2045">
            <w:pPr>
              <w:rPr>
                <w:rFonts w:cs="Arial"/>
                <w:b/>
                <w:spacing w:val="3"/>
                <w:w w:val="104"/>
                <w:kern w:val="24"/>
                <w:sz w:val="18"/>
                <w:szCs w:val="18"/>
                <w:lang w:val="en-GB"/>
              </w:rPr>
            </w:pPr>
            <w:bookmarkStart w:id="1" w:name="OLE_LINK1"/>
            <w:bookmarkStart w:id="2" w:name="OLE_LINK2"/>
            <w:bookmarkStart w:id="3" w:name="OLE_LINK3"/>
            <w:bookmarkStart w:id="4" w:name="OLE_LINK4"/>
          </w:p>
          <w:p w14:paraId="0D2F845A" w14:textId="77E8B667" w:rsidR="00BF3586" w:rsidRPr="00D72A63" w:rsidRDefault="00BF3586" w:rsidP="002B2045">
            <w:pPr>
              <w:rPr>
                <w:rFonts w:cs="Arial"/>
                <w:b/>
                <w:spacing w:val="3"/>
                <w:w w:val="104"/>
                <w:kern w:val="24"/>
                <w:sz w:val="18"/>
                <w:szCs w:val="18"/>
                <w:lang w:val="en-GB"/>
              </w:rPr>
            </w:pPr>
            <w:r>
              <w:rPr>
                <w:rFonts w:cs="Arial"/>
                <w:b/>
                <w:spacing w:val="3"/>
                <w:w w:val="104"/>
                <w:kern w:val="24"/>
                <w:sz w:val="18"/>
                <w:szCs w:val="18"/>
                <w:lang w:val="en-GB"/>
              </w:rPr>
              <w:t xml:space="preserve">(1) REPORTABLE: </w:t>
            </w:r>
            <w:r w:rsidRPr="00D72A63">
              <w:rPr>
                <w:rFonts w:cs="Arial"/>
                <w:b/>
                <w:spacing w:val="3"/>
                <w:w w:val="104"/>
                <w:kern w:val="24"/>
                <w:sz w:val="18"/>
                <w:szCs w:val="18"/>
                <w:lang w:val="en-GB"/>
              </w:rPr>
              <w:t xml:space="preserve"> </w:t>
            </w:r>
            <w:r w:rsidR="0098146E">
              <w:rPr>
                <w:rFonts w:cs="Arial"/>
                <w:b/>
                <w:spacing w:val="3"/>
                <w:w w:val="104"/>
                <w:kern w:val="24"/>
                <w:sz w:val="18"/>
                <w:szCs w:val="18"/>
                <w:lang w:val="en-GB"/>
              </w:rPr>
              <w:t>Yes</w:t>
            </w:r>
            <w:r w:rsidRPr="00D72A63">
              <w:rPr>
                <w:rFonts w:cs="Arial"/>
                <w:b/>
                <w:spacing w:val="3"/>
                <w:w w:val="104"/>
                <w:kern w:val="24"/>
                <w:sz w:val="18"/>
                <w:szCs w:val="18"/>
                <w:lang w:val="en-GB"/>
              </w:rPr>
              <w:t>.</w:t>
            </w:r>
          </w:p>
          <w:p w14:paraId="72F52212" w14:textId="611114D2" w:rsidR="00BF3586" w:rsidRPr="00D72A63" w:rsidRDefault="00BF3586" w:rsidP="002B2045">
            <w:pPr>
              <w:rPr>
                <w:rFonts w:cs="Arial"/>
                <w:b/>
                <w:spacing w:val="3"/>
                <w:w w:val="104"/>
                <w:kern w:val="24"/>
                <w:sz w:val="18"/>
                <w:szCs w:val="18"/>
                <w:lang w:val="en-GB"/>
              </w:rPr>
            </w:pPr>
            <w:r w:rsidRPr="00D72A63">
              <w:rPr>
                <w:rFonts w:cs="Arial"/>
                <w:b/>
                <w:spacing w:val="3"/>
                <w:w w:val="104"/>
                <w:kern w:val="24"/>
                <w:sz w:val="18"/>
                <w:szCs w:val="18"/>
                <w:lang w:val="en-GB"/>
              </w:rPr>
              <w:t>(2) OF INTE</w:t>
            </w:r>
            <w:r>
              <w:rPr>
                <w:rFonts w:cs="Arial"/>
                <w:b/>
                <w:spacing w:val="3"/>
                <w:w w:val="104"/>
                <w:kern w:val="24"/>
                <w:sz w:val="18"/>
                <w:szCs w:val="18"/>
                <w:lang w:val="en-GB"/>
              </w:rPr>
              <w:t xml:space="preserve">REST TO OTHER JUDGES:  </w:t>
            </w:r>
            <w:r w:rsidR="0098146E">
              <w:rPr>
                <w:rFonts w:cs="Arial"/>
                <w:b/>
                <w:spacing w:val="3"/>
                <w:w w:val="104"/>
                <w:kern w:val="24"/>
                <w:sz w:val="18"/>
                <w:szCs w:val="18"/>
                <w:lang w:val="en-GB"/>
              </w:rPr>
              <w:t>Yes</w:t>
            </w:r>
            <w:r>
              <w:rPr>
                <w:rFonts w:cs="Arial"/>
                <w:b/>
                <w:spacing w:val="3"/>
                <w:w w:val="104"/>
                <w:kern w:val="24"/>
                <w:sz w:val="18"/>
                <w:szCs w:val="18"/>
                <w:lang w:val="en-GB"/>
              </w:rPr>
              <w:t xml:space="preserve"> </w:t>
            </w:r>
          </w:p>
          <w:p w14:paraId="41290147" w14:textId="5213EC41" w:rsidR="00BF3586" w:rsidRPr="00D72A63" w:rsidRDefault="00926A24" w:rsidP="002B2045">
            <w:pPr>
              <w:rPr>
                <w:rFonts w:cs="Arial"/>
                <w:b/>
                <w:spacing w:val="3"/>
                <w:w w:val="104"/>
                <w:kern w:val="24"/>
                <w:sz w:val="18"/>
                <w:szCs w:val="18"/>
                <w:lang w:val="en-GB"/>
              </w:rPr>
            </w:pPr>
            <w:r>
              <w:rPr>
                <w:rFonts w:cs="Arial"/>
                <w:b/>
                <w:spacing w:val="3"/>
                <w:w w:val="104"/>
                <w:kern w:val="24"/>
                <w:sz w:val="18"/>
                <w:szCs w:val="18"/>
                <w:lang w:val="en-GB"/>
              </w:rPr>
              <w:t>(3) REVISED yes</w:t>
            </w:r>
          </w:p>
          <w:p w14:paraId="5D22DAA1" w14:textId="703B208B" w:rsidR="00BF3586" w:rsidRDefault="00BF3586" w:rsidP="002B2045">
            <w:pPr>
              <w:rPr>
                <w:rFonts w:cs="Arial"/>
                <w:b/>
                <w:spacing w:val="3"/>
                <w:w w:val="104"/>
                <w:kern w:val="24"/>
                <w:sz w:val="18"/>
                <w:szCs w:val="18"/>
                <w:lang w:val="en-GB"/>
              </w:rPr>
            </w:pPr>
            <w:r w:rsidRPr="00D72A63">
              <w:rPr>
                <w:rFonts w:cs="Arial"/>
                <w:b/>
                <w:spacing w:val="3"/>
                <w:w w:val="104"/>
                <w:kern w:val="24"/>
                <w:sz w:val="18"/>
                <w:szCs w:val="18"/>
                <w:u w:val="single"/>
                <w:lang w:val="en-GB"/>
              </w:rPr>
              <w:t>DATE</w:t>
            </w:r>
            <w:r w:rsidRPr="002B0B14">
              <w:rPr>
                <w:rFonts w:cs="Arial"/>
                <w:b/>
                <w:spacing w:val="3"/>
                <w:w w:val="104"/>
                <w:kern w:val="24"/>
                <w:sz w:val="18"/>
                <w:szCs w:val="18"/>
                <w:lang w:val="en-GB"/>
              </w:rPr>
              <w:t>:</w:t>
            </w:r>
            <w:r>
              <w:rPr>
                <w:rFonts w:cs="Arial"/>
                <w:b/>
                <w:spacing w:val="3"/>
                <w:w w:val="104"/>
                <w:kern w:val="24"/>
                <w:sz w:val="18"/>
                <w:szCs w:val="18"/>
                <w:lang w:val="en-GB"/>
              </w:rPr>
              <w:t xml:space="preserve">  </w:t>
            </w:r>
          </w:p>
          <w:p w14:paraId="1D2A4A87" w14:textId="77777777" w:rsidR="00BF3586" w:rsidRPr="00D72A63" w:rsidRDefault="00BF3586" w:rsidP="002B2045">
            <w:pPr>
              <w:rPr>
                <w:rFonts w:cs="Arial"/>
                <w:b/>
                <w:spacing w:val="3"/>
                <w:w w:val="104"/>
                <w:kern w:val="24"/>
                <w:sz w:val="18"/>
                <w:szCs w:val="18"/>
                <w:lang w:val="en-GB"/>
              </w:rPr>
            </w:pPr>
            <w:r w:rsidRPr="00D72A63">
              <w:rPr>
                <w:rFonts w:cs="Arial"/>
                <w:b/>
                <w:spacing w:val="3"/>
                <w:w w:val="104"/>
                <w:kern w:val="24"/>
                <w:sz w:val="18"/>
                <w:szCs w:val="18"/>
                <w:lang w:val="en-GB"/>
              </w:rPr>
              <w:t xml:space="preserve">                      </w:t>
            </w:r>
          </w:p>
          <w:p w14:paraId="7A79D011" w14:textId="77777777" w:rsidR="00BF3586" w:rsidRPr="00D72A63" w:rsidRDefault="00BF3586" w:rsidP="002B2045">
            <w:pPr>
              <w:rPr>
                <w:rFonts w:cs="Arial"/>
                <w:b/>
                <w:spacing w:val="3"/>
                <w:w w:val="104"/>
                <w:kern w:val="24"/>
                <w:sz w:val="18"/>
                <w:szCs w:val="18"/>
                <w:u w:val="single"/>
                <w:lang w:val="en-GB"/>
              </w:rPr>
            </w:pPr>
            <w:r w:rsidRPr="00D72A63">
              <w:rPr>
                <w:rFonts w:cs="Arial"/>
                <w:b/>
                <w:spacing w:val="3"/>
                <w:w w:val="104"/>
                <w:kern w:val="24"/>
                <w:sz w:val="18"/>
                <w:szCs w:val="18"/>
                <w:u w:val="single"/>
                <w:lang w:val="en-GB"/>
              </w:rPr>
              <w:t>SIGNATURE</w:t>
            </w:r>
            <w:r>
              <w:rPr>
                <w:rFonts w:cs="Arial"/>
                <w:b/>
                <w:spacing w:val="3"/>
                <w:w w:val="104"/>
                <w:kern w:val="24"/>
                <w:sz w:val="18"/>
                <w:szCs w:val="18"/>
                <w:u w:val="single"/>
                <w:lang w:val="en-GB"/>
              </w:rPr>
              <w:t xml:space="preserve">  </w:t>
            </w:r>
          </w:p>
        </w:tc>
      </w:tr>
      <w:bookmarkEnd w:id="1"/>
      <w:bookmarkEnd w:id="2"/>
      <w:bookmarkEnd w:id="3"/>
      <w:bookmarkEnd w:id="4"/>
    </w:tbl>
    <w:p w14:paraId="04FFFAF6" w14:textId="77777777" w:rsidR="00BF3586" w:rsidRPr="00E019B7" w:rsidRDefault="00BF3586" w:rsidP="00BF3586">
      <w:pPr>
        <w:spacing w:after="240"/>
        <w:ind w:right="-46"/>
        <w:jc w:val="right"/>
        <w:rPr>
          <w:b/>
          <w:color w:val="000000"/>
          <w:sz w:val="28"/>
          <w:szCs w:val="28"/>
        </w:rPr>
      </w:pPr>
    </w:p>
    <w:p w14:paraId="6B4B54FB" w14:textId="77777777" w:rsidR="00BF3586" w:rsidRPr="00E019B7" w:rsidRDefault="00BF3586" w:rsidP="00BF3586">
      <w:pPr>
        <w:spacing w:after="240"/>
        <w:ind w:right="-46"/>
        <w:jc w:val="right"/>
        <w:rPr>
          <w:b/>
          <w:color w:val="000000"/>
          <w:sz w:val="28"/>
          <w:szCs w:val="28"/>
        </w:rPr>
      </w:pPr>
    </w:p>
    <w:p w14:paraId="44080211" w14:textId="77777777" w:rsidR="00BF3586" w:rsidRPr="00E019B7" w:rsidRDefault="00BF3586" w:rsidP="00BF3586">
      <w:pPr>
        <w:spacing w:after="240"/>
        <w:ind w:right="-46"/>
        <w:rPr>
          <w:b/>
          <w:color w:val="000000"/>
          <w:sz w:val="28"/>
          <w:szCs w:val="28"/>
        </w:rPr>
      </w:pPr>
    </w:p>
    <w:p w14:paraId="02441AC6" w14:textId="77777777" w:rsidR="00BF3586" w:rsidRPr="00E019B7" w:rsidRDefault="00BF3586" w:rsidP="00BF3586">
      <w:pPr>
        <w:spacing w:after="240"/>
        <w:ind w:right="-46"/>
        <w:rPr>
          <w:color w:val="000000"/>
          <w:sz w:val="28"/>
          <w:szCs w:val="28"/>
        </w:rPr>
      </w:pPr>
    </w:p>
    <w:p w14:paraId="09C3D42E" w14:textId="77777777" w:rsidR="00BF3586" w:rsidRDefault="00BF3586" w:rsidP="00BF3586">
      <w:pPr>
        <w:spacing w:after="120"/>
        <w:ind w:right="-45"/>
        <w:rPr>
          <w:color w:val="000000"/>
          <w:sz w:val="28"/>
          <w:szCs w:val="28"/>
        </w:rPr>
      </w:pPr>
    </w:p>
    <w:p w14:paraId="38AFAFAC" w14:textId="77777777" w:rsidR="00BF3586" w:rsidRPr="00221E62" w:rsidRDefault="00BF3586" w:rsidP="00BF3586">
      <w:pPr>
        <w:spacing w:after="120"/>
        <w:ind w:right="-45"/>
        <w:rPr>
          <w:color w:val="000000"/>
        </w:rPr>
      </w:pPr>
      <w:r w:rsidRPr="00221E62">
        <w:rPr>
          <w:color w:val="000000"/>
        </w:rPr>
        <w:t>In the matter between:</w:t>
      </w:r>
    </w:p>
    <w:p w14:paraId="46F3247A" w14:textId="77777777" w:rsidR="00BF3586" w:rsidRPr="00E019B7" w:rsidRDefault="00BF3586" w:rsidP="00BF3586">
      <w:pPr>
        <w:spacing w:after="120"/>
        <w:ind w:right="-45"/>
        <w:rPr>
          <w:color w:val="000000"/>
          <w:sz w:val="28"/>
          <w:szCs w:val="28"/>
        </w:rPr>
      </w:pPr>
    </w:p>
    <w:p w14:paraId="78CB466A" w14:textId="77777777" w:rsidR="00BF3586" w:rsidRDefault="00A56A97" w:rsidP="00BF3586">
      <w:pPr>
        <w:spacing w:after="120"/>
        <w:ind w:right="-45"/>
        <w:rPr>
          <w:color w:val="000000"/>
        </w:rPr>
      </w:pPr>
      <w:r>
        <w:rPr>
          <w:b/>
          <w:color w:val="000000"/>
        </w:rPr>
        <w:t>I</w:t>
      </w:r>
      <w:r w:rsidR="00BF3586">
        <w:rPr>
          <w:b/>
          <w:color w:val="000000"/>
        </w:rPr>
        <w:t xml:space="preserve">-CAT INTERNATIONAL CONSULTING (PTY) LTD </w:t>
      </w:r>
      <w:r w:rsidR="00BF3586" w:rsidRPr="00E019B7">
        <w:rPr>
          <w:color w:val="000000"/>
        </w:rPr>
        <w:t xml:space="preserve">  </w:t>
      </w:r>
      <w:r w:rsidR="00BF3586">
        <w:rPr>
          <w:color w:val="000000"/>
        </w:rPr>
        <w:t xml:space="preserve">                        </w:t>
      </w:r>
      <w:r w:rsidR="00F720F1">
        <w:rPr>
          <w:color w:val="000000"/>
        </w:rPr>
        <w:t xml:space="preserve">                 </w:t>
      </w:r>
      <w:r w:rsidR="00BF3586">
        <w:rPr>
          <w:color w:val="000000"/>
        </w:rPr>
        <w:t>Applicant</w:t>
      </w:r>
    </w:p>
    <w:p w14:paraId="29595881" w14:textId="77777777" w:rsidR="00BF3586" w:rsidRDefault="00BF3586" w:rsidP="00BF3586">
      <w:pPr>
        <w:spacing w:after="120"/>
        <w:ind w:right="-45"/>
        <w:rPr>
          <w:b/>
          <w:color w:val="000000"/>
        </w:rPr>
      </w:pPr>
    </w:p>
    <w:p w14:paraId="63A51A6A" w14:textId="77777777" w:rsidR="00BF3586" w:rsidRPr="00221E62" w:rsidRDefault="00BF3586" w:rsidP="00BF3586">
      <w:pPr>
        <w:spacing w:after="120"/>
        <w:ind w:right="-45"/>
        <w:rPr>
          <w:color w:val="000000"/>
        </w:rPr>
      </w:pPr>
      <w:r w:rsidRPr="00221E62">
        <w:rPr>
          <w:color w:val="000000"/>
        </w:rPr>
        <w:t>and</w:t>
      </w:r>
    </w:p>
    <w:p w14:paraId="4FF32E45" w14:textId="77777777" w:rsidR="00BF3586" w:rsidRDefault="00BF3586" w:rsidP="00BF3586">
      <w:pPr>
        <w:spacing w:after="120"/>
        <w:ind w:right="-45"/>
        <w:rPr>
          <w:b/>
          <w:color w:val="000000"/>
        </w:rPr>
      </w:pPr>
    </w:p>
    <w:p w14:paraId="1D2A13F7" w14:textId="366F24B1" w:rsidR="00127226" w:rsidRDefault="00BF3586" w:rsidP="00AC0B85">
      <w:pPr>
        <w:spacing w:after="120"/>
        <w:ind w:right="-138"/>
        <w:rPr>
          <w:b/>
          <w:color w:val="000000"/>
        </w:rPr>
      </w:pPr>
      <w:r>
        <w:rPr>
          <w:b/>
          <w:color w:val="000000"/>
        </w:rPr>
        <w:t xml:space="preserve">THE COMMISSIONER FOR THE SOUTH AFRICAN </w:t>
      </w:r>
      <w:r w:rsidR="00127226">
        <w:rPr>
          <w:b/>
          <w:color w:val="000000"/>
        </w:rPr>
        <w:t xml:space="preserve">                                         </w:t>
      </w:r>
      <w:r w:rsidR="00127226" w:rsidRPr="00AC0B85">
        <w:rPr>
          <w:color w:val="000000"/>
        </w:rPr>
        <w:t>R</w:t>
      </w:r>
      <w:r w:rsidR="00127226">
        <w:rPr>
          <w:color w:val="000000"/>
        </w:rPr>
        <w:t>espondent</w:t>
      </w:r>
    </w:p>
    <w:p w14:paraId="3F42FE22" w14:textId="5744805B" w:rsidR="00BF3586" w:rsidRPr="00E019B7" w:rsidRDefault="00BF3586" w:rsidP="00AC0B85">
      <w:pPr>
        <w:spacing w:after="120"/>
        <w:ind w:right="-138"/>
        <w:rPr>
          <w:color w:val="000000"/>
        </w:rPr>
      </w:pPr>
      <w:r>
        <w:rPr>
          <w:b/>
          <w:color w:val="000000"/>
        </w:rPr>
        <w:t>REVENUE</w:t>
      </w:r>
      <w:r w:rsidR="00F33EC5">
        <w:rPr>
          <w:b/>
          <w:color w:val="000000"/>
        </w:rPr>
        <w:t xml:space="preserve"> S</w:t>
      </w:r>
      <w:r>
        <w:rPr>
          <w:b/>
          <w:color w:val="000000"/>
        </w:rPr>
        <w:t>ERVICES</w:t>
      </w:r>
      <w:r w:rsidR="00F33EC5">
        <w:rPr>
          <w:b/>
          <w:color w:val="000000"/>
        </w:rPr>
        <w:t xml:space="preserve"> </w:t>
      </w:r>
    </w:p>
    <w:p w14:paraId="081C3BDE" w14:textId="77777777" w:rsidR="00BF3586" w:rsidRPr="00E019B7" w:rsidRDefault="00BF3586" w:rsidP="00BF3586">
      <w:pPr>
        <w:spacing w:after="120"/>
        <w:ind w:right="-45"/>
        <w:rPr>
          <w:color w:val="000000"/>
          <w:sz w:val="28"/>
          <w:szCs w:val="28"/>
        </w:rPr>
      </w:pPr>
      <w:r w:rsidRPr="00E019B7">
        <w:rPr>
          <w:b/>
          <w:color w:val="000000"/>
          <w:sz w:val="28"/>
          <w:szCs w:val="28"/>
        </w:rPr>
        <w:t>__________________________________________________________</w:t>
      </w:r>
      <w:r>
        <w:rPr>
          <w:b/>
          <w:color w:val="000000"/>
          <w:sz w:val="28"/>
          <w:szCs w:val="28"/>
        </w:rPr>
        <w:t>__</w:t>
      </w:r>
      <w:r w:rsidRPr="00E019B7">
        <w:rPr>
          <w:b/>
          <w:color w:val="000000"/>
          <w:sz w:val="28"/>
          <w:szCs w:val="28"/>
        </w:rPr>
        <w:t>____</w:t>
      </w:r>
      <w:r w:rsidR="00F33EC5">
        <w:rPr>
          <w:b/>
          <w:color w:val="000000"/>
          <w:sz w:val="28"/>
          <w:szCs w:val="28"/>
        </w:rPr>
        <w:t>___</w:t>
      </w:r>
      <w:r w:rsidRPr="00E019B7">
        <w:rPr>
          <w:b/>
          <w:color w:val="000000"/>
          <w:sz w:val="28"/>
          <w:szCs w:val="28"/>
        </w:rPr>
        <w:t xml:space="preserve">                                                  </w:t>
      </w:r>
    </w:p>
    <w:p w14:paraId="3E315B23" w14:textId="77777777" w:rsidR="00BF3586" w:rsidRPr="00221E62" w:rsidRDefault="00BF3586" w:rsidP="00BF3586">
      <w:pPr>
        <w:ind w:right="-57"/>
        <w:jc w:val="center"/>
        <w:rPr>
          <w:b/>
          <w:color w:val="000000"/>
        </w:rPr>
      </w:pPr>
      <w:r w:rsidRPr="00221E62">
        <w:rPr>
          <w:b/>
          <w:color w:val="000000"/>
        </w:rPr>
        <w:t>J U D G M E N T</w:t>
      </w:r>
    </w:p>
    <w:p w14:paraId="06821CFE" w14:textId="77777777" w:rsidR="00BF3586" w:rsidRPr="00E019B7" w:rsidRDefault="00BF3586" w:rsidP="00BF3586">
      <w:pPr>
        <w:ind w:right="-57"/>
        <w:rPr>
          <w:b/>
          <w:color w:val="000000"/>
          <w:sz w:val="28"/>
          <w:szCs w:val="28"/>
        </w:rPr>
      </w:pPr>
      <w:r w:rsidRPr="00E019B7">
        <w:rPr>
          <w:b/>
          <w:color w:val="000000"/>
          <w:sz w:val="28"/>
          <w:szCs w:val="28"/>
        </w:rPr>
        <w:t>____________________________________________________________</w:t>
      </w:r>
      <w:r>
        <w:rPr>
          <w:b/>
          <w:color w:val="000000"/>
          <w:sz w:val="28"/>
          <w:szCs w:val="28"/>
        </w:rPr>
        <w:t>__</w:t>
      </w:r>
      <w:r w:rsidRPr="00E019B7">
        <w:rPr>
          <w:b/>
          <w:color w:val="000000"/>
          <w:sz w:val="28"/>
          <w:szCs w:val="28"/>
        </w:rPr>
        <w:t>____</w:t>
      </w:r>
      <w:r w:rsidR="00F33EC5">
        <w:rPr>
          <w:b/>
          <w:color w:val="000000"/>
          <w:sz w:val="28"/>
          <w:szCs w:val="28"/>
        </w:rPr>
        <w:t>_</w:t>
      </w:r>
    </w:p>
    <w:p w14:paraId="489EF67E" w14:textId="77777777" w:rsidR="00BF3586" w:rsidRPr="00F720F1" w:rsidRDefault="00BF3586" w:rsidP="00BF3586">
      <w:pPr>
        <w:pStyle w:val="MEMONUMBERED"/>
        <w:numPr>
          <w:ilvl w:val="0"/>
          <w:numId w:val="0"/>
        </w:numPr>
        <w:spacing w:after="360" w:line="360" w:lineRule="auto"/>
        <w:rPr>
          <w:b/>
          <w:color w:val="000000"/>
          <w:u w:val="single"/>
        </w:rPr>
      </w:pPr>
      <w:r w:rsidRPr="00F720F1">
        <w:rPr>
          <w:i/>
          <w:color w:val="000000"/>
        </w:rPr>
        <w:t>The judgment and order are published and distributed electronically.</w:t>
      </w:r>
    </w:p>
    <w:p w14:paraId="15631EC9" w14:textId="77777777" w:rsidR="00BF3586" w:rsidRPr="00264008" w:rsidRDefault="00BF3586" w:rsidP="00BF3586">
      <w:pPr>
        <w:pStyle w:val="MEMONUMBERED"/>
        <w:numPr>
          <w:ilvl w:val="0"/>
          <w:numId w:val="0"/>
        </w:numPr>
        <w:spacing w:after="360" w:line="240" w:lineRule="auto"/>
        <w:rPr>
          <w:rFonts w:ascii="Arial" w:hAnsi="Arial" w:cs="Arial"/>
          <w:b/>
          <w:color w:val="000000"/>
          <w:sz w:val="22"/>
          <w:szCs w:val="22"/>
          <w:u w:val="single"/>
        </w:rPr>
      </w:pPr>
      <w:r w:rsidRPr="00264008">
        <w:rPr>
          <w:rFonts w:ascii="Arial" w:hAnsi="Arial" w:cs="Arial"/>
          <w:b/>
          <w:color w:val="000000"/>
          <w:sz w:val="22"/>
          <w:szCs w:val="22"/>
          <w:u w:val="single"/>
        </w:rPr>
        <w:t>VERMEULEN AJ</w:t>
      </w:r>
    </w:p>
    <w:p w14:paraId="16A0C4C9" w14:textId="77777777" w:rsidR="009C0A30" w:rsidRPr="00264008" w:rsidRDefault="00BF3586" w:rsidP="005E7A17">
      <w:pPr>
        <w:spacing w:line="480" w:lineRule="auto"/>
        <w:ind w:left="567" w:hanging="567"/>
        <w:jc w:val="both"/>
        <w:rPr>
          <w:rFonts w:ascii="Arial" w:hAnsi="Arial" w:cs="Arial"/>
          <w:sz w:val="22"/>
          <w:szCs w:val="22"/>
        </w:rPr>
      </w:pPr>
      <w:r w:rsidRPr="00264008">
        <w:rPr>
          <w:rFonts w:ascii="Arial" w:hAnsi="Arial" w:cs="Arial"/>
          <w:sz w:val="22"/>
          <w:szCs w:val="22"/>
        </w:rPr>
        <w:lastRenderedPageBreak/>
        <w:t>[1]</w:t>
      </w:r>
      <w:r w:rsidRPr="00264008">
        <w:rPr>
          <w:rFonts w:ascii="Arial" w:hAnsi="Arial" w:cs="Arial"/>
          <w:sz w:val="22"/>
          <w:szCs w:val="22"/>
        </w:rPr>
        <w:tab/>
        <w:t>This application comes before me as an opposed application to review and set aside a decision of the Respondent dated the 26</w:t>
      </w:r>
      <w:r w:rsidRPr="00264008">
        <w:rPr>
          <w:rFonts w:ascii="Arial" w:hAnsi="Arial" w:cs="Arial"/>
          <w:sz w:val="22"/>
          <w:szCs w:val="22"/>
          <w:vertAlign w:val="superscript"/>
        </w:rPr>
        <w:t>th</w:t>
      </w:r>
      <w:r w:rsidRPr="00264008">
        <w:rPr>
          <w:rFonts w:ascii="Arial" w:hAnsi="Arial" w:cs="Arial"/>
          <w:sz w:val="22"/>
          <w:szCs w:val="22"/>
        </w:rPr>
        <w:t xml:space="preserve"> of January 2021.</w:t>
      </w:r>
      <w:r w:rsidR="00050C7E" w:rsidRPr="00264008">
        <w:rPr>
          <w:rFonts w:ascii="Arial" w:hAnsi="Arial" w:cs="Arial"/>
          <w:sz w:val="22"/>
          <w:szCs w:val="22"/>
        </w:rPr>
        <w:t xml:space="preserve"> For the ease of reference I will refer to the Applicant as “I-cat” and to the Respondent as “</w:t>
      </w:r>
      <w:r w:rsidR="00050C7E" w:rsidRPr="00264008">
        <w:rPr>
          <w:rFonts w:ascii="Arial" w:hAnsi="Arial" w:cs="Arial"/>
          <w:i/>
          <w:sz w:val="22"/>
          <w:szCs w:val="22"/>
        </w:rPr>
        <w:t>SARS</w:t>
      </w:r>
      <w:r w:rsidR="00050C7E" w:rsidRPr="00264008">
        <w:rPr>
          <w:rFonts w:ascii="Arial" w:hAnsi="Arial" w:cs="Arial"/>
          <w:sz w:val="22"/>
          <w:szCs w:val="22"/>
        </w:rPr>
        <w:t>”.</w:t>
      </w:r>
    </w:p>
    <w:p w14:paraId="30AA1C9A" w14:textId="77777777" w:rsidR="00BF3586" w:rsidRPr="00264008" w:rsidRDefault="00BF3586" w:rsidP="005E7A17">
      <w:pPr>
        <w:spacing w:line="480" w:lineRule="auto"/>
        <w:ind w:left="567" w:hanging="567"/>
        <w:jc w:val="both"/>
        <w:rPr>
          <w:rFonts w:ascii="Arial" w:hAnsi="Arial" w:cs="Arial"/>
          <w:sz w:val="22"/>
          <w:szCs w:val="22"/>
        </w:rPr>
      </w:pPr>
      <w:r w:rsidRPr="00264008">
        <w:rPr>
          <w:rFonts w:ascii="Arial" w:hAnsi="Arial" w:cs="Arial"/>
          <w:sz w:val="22"/>
          <w:szCs w:val="22"/>
        </w:rPr>
        <w:t>[2]</w:t>
      </w:r>
      <w:r w:rsidRPr="00264008">
        <w:rPr>
          <w:rFonts w:ascii="Arial" w:hAnsi="Arial" w:cs="Arial"/>
          <w:sz w:val="22"/>
          <w:szCs w:val="22"/>
        </w:rPr>
        <w:tab/>
        <w:t xml:space="preserve">The relevant decision of </w:t>
      </w:r>
      <w:r w:rsidR="00050C7E" w:rsidRPr="00264008">
        <w:rPr>
          <w:rFonts w:ascii="Arial" w:hAnsi="Arial" w:cs="Arial"/>
          <w:sz w:val="22"/>
          <w:szCs w:val="22"/>
        </w:rPr>
        <w:t>SARS</w:t>
      </w:r>
      <w:r w:rsidRPr="00264008">
        <w:rPr>
          <w:rFonts w:ascii="Arial" w:hAnsi="Arial" w:cs="Arial"/>
          <w:sz w:val="22"/>
          <w:szCs w:val="22"/>
        </w:rPr>
        <w:t xml:space="preserve"> relates to a request submitted by </w:t>
      </w:r>
      <w:r w:rsidR="00050C7E" w:rsidRPr="00264008">
        <w:rPr>
          <w:rFonts w:ascii="Arial" w:hAnsi="Arial" w:cs="Arial"/>
          <w:sz w:val="22"/>
          <w:szCs w:val="22"/>
        </w:rPr>
        <w:t>I-cat</w:t>
      </w:r>
      <w:r w:rsidRPr="00264008">
        <w:rPr>
          <w:rFonts w:ascii="Arial" w:hAnsi="Arial" w:cs="Arial"/>
          <w:sz w:val="22"/>
          <w:szCs w:val="22"/>
        </w:rPr>
        <w:t xml:space="preserve"> to </w:t>
      </w:r>
      <w:r w:rsidR="00050C7E" w:rsidRPr="00264008">
        <w:rPr>
          <w:rFonts w:ascii="Arial" w:hAnsi="Arial" w:cs="Arial"/>
          <w:sz w:val="22"/>
          <w:szCs w:val="22"/>
        </w:rPr>
        <w:t>SARS</w:t>
      </w:r>
      <w:r w:rsidRPr="00264008">
        <w:rPr>
          <w:rFonts w:ascii="Arial" w:hAnsi="Arial" w:cs="Arial"/>
          <w:sz w:val="22"/>
          <w:szCs w:val="22"/>
        </w:rPr>
        <w:t xml:space="preserve"> for a reduced assessment in terms of Section 93 of the Tax Administration Act in respect of the </w:t>
      </w:r>
      <w:r w:rsidR="00050C7E" w:rsidRPr="00264008">
        <w:rPr>
          <w:rFonts w:ascii="Arial" w:hAnsi="Arial" w:cs="Arial"/>
          <w:sz w:val="22"/>
          <w:szCs w:val="22"/>
        </w:rPr>
        <w:t>I-ca</w:t>
      </w:r>
      <w:r w:rsidRPr="00264008">
        <w:rPr>
          <w:rFonts w:ascii="Arial" w:hAnsi="Arial" w:cs="Arial"/>
          <w:sz w:val="22"/>
          <w:szCs w:val="22"/>
        </w:rPr>
        <w:t>t’s 2015 tax assessment.</w:t>
      </w:r>
    </w:p>
    <w:p w14:paraId="091801A9" w14:textId="77777777" w:rsidR="00BF3586" w:rsidRPr="00264008" w:rsidRDefault="00BF3586" w:rsidP="005E7A17">
      <w:pPr>
        <w:spacing w:line="480" w:lineRule="auto"/>
        <w:ind w:left="567" w:hanging="567"/>
        <w:jc w:val="both"/>
        <w:rPr>
          <w:rFonts w:ascii="Arial" w:hAnsi="Arial" w:cs="Arial"/>
          <w:sz w:val="22"/>
          <w:szCs w:val="22"/>
        </w:rPr>
      </w:pPr>
      <w:r w:rsidRPr="00264008">
        <w:rPr>
          <w:rFonts w:ascii="Arial" w:hAnsi="Arial" w:cs="Arial"/>
          <w:sz w:val="22"/>
          <w:szCs w:val="22"/>
        </w:rPr>
        <w:t>[3]</w:t>
      </w:r>
      <w:r w:rsidRPr="00264008">
        <w:rPr>
          <w:rFonts w:ascii="Arial" w:hAnsi="Arial" w:cs="Arial"/>
          <w:sz w:val="22"/>
          <w:szCs w:val="22"/>
        </w:rPr>
        <w:tab/>
        <w:t xml:space="preserve">In terms of the decision of </w:t>
      </w:r>
      <w:r w:rsidR="00050C7E" w:rsidRPr="00264008">
        <w:rPr>
          <w:rFonts w:ascii="Arial" w:hAnsi="Arial" w:cs="Arial"/>
          <w:sz w:val="22"/>
          <w:szCs w:val="22"/>
        </w:rPr>
        <w:t>SARS, I-ca</w:t>
      </w:r>
      <w:r w:rsidRPr="00264008">
        <w:rPr>
          <w:rFonts w:ascii="Arial" w:hAnsi="Arial" w:cs="Arial"/>
          <w:sz w:val="22"/>
          <w:szCs w:val="22"/>
        </w:rPr>
        <w:t xml:space="preserve">t’s application for reduced assessment was declined premised thereon that </w:t>
      </w:r>
      <w:r w:rsidR="00050C7E" w:rsidRPr="00264008">
        <w:rPr>
          <w:rFonts w:ascii="Arial" w:hAnsi="Arial" w:cs="Arial"/>
          <w:sz w:val="22"/>
          <w:szCs w:val="22"/>
        </w:rPr>
        <w:t>SARS i</w:t>
      </w:r>
      <w:r w:rsidRPr="00264008">
        <w:rPr>
          <w:rFonts w:ascii="Arial" w:hAnsi="Arial" w:cs="Arial"/>
          <w:sz w:val="22"/>
          <w:szCs w:val="22"/>
        </w:rPr>
        <w:t xml:space="preserve">s of the opinion that the 2015 assessment of </w:t>
      </w:r>
      <w:r w:rsidR="00050C7E" w:rsidRPr="00264008">
        <w:rPr>
          <w:rFonts w:ascii="Arial" w:hAnsi="Arial" w:cs="Arial"/>
          <w:sz w:val="22"/>
          <w:szCs w:val="22"/>
        </w:rPr>
        <w:t xml:space="preserve">I-cat </w:t>
      </w:r>
      <w:r w:rsidRPr="00264008">
        <w:rPr>
          <w:rFonts w:ascii="Arial" w:hAnsi="Arial" w:cs="Arial"/>
          <w:sz w:val="22"/>
          <w:szCs w:val="22"/>
        </w:rPr>
        <w:t>has become prescribed in terms of Section 99 of the Tax Administration Act;</w:t>
      </w:r>
    </w:p>
    <w:p w14:paraId="79046F55" w14:textId="77777777" w:rsidR="00BF3586" w:rsidRPr="00264008" w:rsidRDefault="005E7A17" w:rsidP="005E7A17">
      <w:pPr>
        <w:spacing w:line="480" w:lineRule="auto"/>
        <w:ind w:left="567" w:hanging="567"/>
        <w:jc w:val="both"/>
        <w:rPr>
          <w:rFonts w:ascii="Arial" w:hAnsi="Arial" w:cs="Arial"/>
          <w:sz w:val="22"/>
          <w:szCs w:val="22"/>
        </w:rPr>
      </w:pPr>
      <w:r w:rsidRPr="00264008">
        <w:rPr>
          <w:rFonts w:ascii="Arial" w:hAnsi="Arial" w:cs="Arial"/>
          <w:sz w:val="22"/>
          <w:szCs w:val="22"/>
        </w:rPr>
        <w:t>[4]</w:t>
      </w:r>
      <w:r w:rsidRPr="00264008">
        <w:rPr>
          <w:rFonts w:ascii="Arial" w:hAnsi="Arial" w:cs="Arial"/>
          <w:sz w:val="22"/>
          <w:szCs w:val="22"/>
        </w:rPr>
        <w:tab/>
      </w:r>
      <w:r w:rsidR="00BF3586" w:rsidRPr="00264008">
        <w:rPr>
          <w:rFonts w:ascii="Arial" w:hAnsi="Arial" w:cs="Arial"/>
          <w:sz w:val="22"/>
          <w:szCs w:val="22"/>
        </w:rPr>
        <w:t xml:space="preserve">At the hearing </w:t>
      </w:r>
      <w:r w:rsidR="00050C7E" w:rsidRPr="00264008">
        <w:rPr>
          <w:rFonts w:ascii="Arial" w:hAnsi="Arial" w:cs="Arial"/>
          <w:sz w:val="22"/>
          <w:szCs w:val="22"/>
        </w:rPr>
        <w:t xml:space="preserve">I-cat </w:t>
      </w:r>
      <w:r w:rsidR="00BF3586" w:rsidRPr="00264008">
        <w:rPr>
          <w:rFonts w:ascii="Arial" w:hAnsi="Arial" w:cs="Arial"/>
          <w:sz w:val="22"/>
          <w:szCs w:val="22"/>
        </w:rPr>
        <w:t xml:space="preserve">was represented by Adv. van Rensburg SC assisted by his junior Mr Coetzee and </w:t>
      </w:r>
      <w:r w:rsidR="00050C7E" w:rsidRPr="00264008">
        <w:rPr>
          <w:rFonts w:ascii="Arial" w:hAnsi="Arial" w:cs="Arial"/>
          <w:sz w:val="22"/>
          <w:szCs w:val="22"/>
        </w:rPr>
        <w:t xml:space="preserve">SARS </w:t>
      </w:r>
      <w:r w:rsidR="00BF3586" w:rsidRPr="00264008">
        <w:rPr>
          <w:rFonts w:ascii="Arial" w:hAnsi="Arial" w:cs="Arial"/>
          <w:sz w:val="22"/>
          <w:szCs w:val="22"/>
        </w:rPr>
        <w:t>was represented by Adv. Dreyer;</w:t>
      </w:r>
    </w:p>
    <w:p w14:paraId="3A2FFFE6" w14:textId="77777777" w:rsidR="00BF3586" w:rsidRPr="00264008" w:rsidRDefault="005E7A17" w:rsidP="005E7A17">
      <w:pPr>
        <w:spacing w:line="480" w:lineRule="auto"/>
        <w:ind w:left="567" w:hanging="567"/>
        <w:jc w:val="both"/>
        <w:rPr>
          <w:rFonts w:ascii="Arial" w:hAnsi="Arial" w:cs="Arial"/>
          <w:sz w:val="22"/>
          <w:szCs w:val="22"/>
        </w:rPr>
      </w:pPr>
      <w:r w:rsidRPr="00264008">
        <w:rPr>
          <w:rFonts w:ascii="Arial" w:hAnsi="Arial" w:cs="Arial"/>
          <w:sz w:val="22"/>
          <w:szCs w:val="22"/>
        </w:rPr>
        <w:t>[5]</w:t>
      </w:r>
      <w:r w:rsidR="00BF3586" w:rsidRPr="00264008">
        <w:rPr>
          <w:rFonts w:ascii="Arial" w:hAnsi="Arial" w:cs="Arial"/>
          <w:sz w:val="22"/>
          <w:szCs w:val="22"/>
        </w:rPr>
        <w:tab/>
        <w:t>In its preparation for the hearing of the application, the Court identified two questions of law that were not raised by the parties either in the application papers o</w:t>
      </w:r>
      <w:r w:rsidRPr="00264008">
        <w:rPr>
          <w:rFonts w:ascii="Arial" w:hAnsi="Arial" w:cs="Arial"/>
          <w:sz w:val="22"/>
          <w:szCs w:val="22"/>
        </w:rPr>
        <w:t>r</w:t>
      </w:r>
      <w:r w:rsidR="00BF3586" w:rsidRPr="00264008">
        <w:rPr>
          <w:rFonts w:ascii="Arial" w:hAnsi="Arial" w:cs="Arial"/>
          <w:sz w:val="22"/>
          <w:szCs w:val="22"/>
        </w:rPr>
        <w:t xml:space="preserve"> in their Heads of Argument.  As a consequence the Court, prior </w:t>
      </w:r>
      <w:r w:rsidR="00525D3F" w:rsidRPr="00264008">
        <w:rPr>
          <w:rFonts w:ascii="Arial" w:hAnsi="Arial" w:cs="Arial"/>
          <w:sz w:val="22"/>
          <w:szCs w:val="22"/>
        </w:rPr>
        <w:t>to the hearing of the matter, issued a directive to the Counsel of both parties that read as follows:</w:t>
      </w:r>
    </w:p>
    <w:p w14:paraId="5E78E34F" w14:textId="77777777" w:rsidR="00525D3F" w:rsidRPr="00264008" w:rsidRDefault="00525D3F" w:rsidP="005E7A17">
      <w:pPr>
        <w:spacing w:line="480" w:lineRule="auto"/>
        <w:ind w:left="1134"/>
        <w:jc w:val="both"/>
        <w:rPr>
          <w:rFonts w:ascii="Arial" w:hAnsi="Arial" w:cs="Arial"/>
          <w:i/>
          <w:sz w:val="18"/>
          <w:szCs w:val="18"/>
        </w:rPr>
      </w:pPr>
      <w:r w:rsidRPr="00264008">
        <w:rPr>
          <w:rFonts w:ascii="Arial" w:hAnsi="Arial" w:cs="Arial"/>
          <w:sz w:val="18"/>
          <w:szCs w:val="18"/>
        </w:rPr>
        <w:t>“</w:t>
      </w:r>
      <w:r w:rsidRPr="00264008">
        <w:rPr>
          <w:rFonts w:ascii="Arial" w:hAnsi="Arial" w:cs="Arial"/>
          <w:i/>
          <w:sz w:val="18"/>
          <w:szCs w:val="18"/>
        </w:rPr>
        <w:t>Counsel is requested to prepare to present submissions to the Court on the following questions of law:</w:t>
      </w:r>
    </w:p>
    <w:p w14:paraId="5EB535D9" w14:textId="77777777" w:rsidR="00525D3F" w:rsidRPr="00264008" w:rsidRDefault="00525D3F" w:rsidP="005E7A17">
      <w:pPr>
        <w:numPr>
          <w:ilvl w:val="0"/>
          <w:numId w:val="2"/>
        </w:numPr>
        <w:spacing w:line="480" w:lineRule="auto"/>
        <w:ind w:left="1418" w:hanging="284"/>
        <w:jc w:val="both"/>
        <w:rPr>
          <w:i/>
          <w:sz w:val="18"/>
          <w:szCs w:val="18"/>
        </w:rPr>
      </w:pPr>
      <w:r w:rsidRPr="00264008">
        <w:rPr>
          <w:rFonts w:ascii="Arial" w:hAnsi="Arial" w:cs="Arial"/>
          <w:i/>
          <w:sz w:val="18"/>
          <w:szCs w:val="18"/>
        </w:rPr>
        <w:t>Are the provisions of Section 99(2)(d)(i) of the Tax Administration Act, 28 of 2011 applicable and relevant to the evidence presented to the Court in the application proceedings and the relief requested by the Applicant;  and/or</w:t>
      </w:r>
    </w:p>
    <w:p w14:paraId="68DFB21A" w14:textId="77777777" w:rsidR="00525D3F" w:rsidRPr="00264008" w:rsidRDefault="00525D3F" w:rsidP="005E7A17">
      <w:pPr>
        <w:numPr>
          <w:ilvl w:val="0"/>
          <w:numId w:val="2"/>
        </w:numPr>
        <w:spacing w:line="480" w:lineRule="auto"/>
        <w:ind w:left="1418" w:hanging="284"/>
        <w:jc w:val="both"/>
        <w:rPr>
          <w:i/>
          <w:sz w:val="18"/>
          <w:szCs w:val="18"/>
        </w:rPr>
      </w:pPr>
      <w:r w:rsidRPr="00264008">
        <w:rPr>
          <w:rFonts w:ascii="Arial" w:hAnsi="Arial" w:cs="Arial"/>
          <w:i/>
          <w:sz w:val="18"/>
          <w:szCs w:val="18"/>
        </w:rPr>
        <w:t>Are the provisions of Section 150 of the Tax Administration Act read with the definition of ‘settlement’ in Section 142 of the Tax Administration Act applicable and relevant to the evidence presented to the Court in the application proceedings and the relief requested by the Applicant;</w:t>
      </w:r>
    </w:p>
    <w:p w14:paraId="68C07B57" w14:textId="77777777" w:rsidR="00525D3F" w:rsidRPr="00264008" w:rsidRDefault="00525D3F" w:rsidP="005E7A17">
      <w:pPr>
        <w:numPr>
          <w:ilvl w:val="0"/>
          <w:numId w:val="2"/>
        </w:numPr>
        <w:spacing w:line="480" w:lineRule="auto"/>
        <w:ind w:left="1418" w:hanging="284"/>
        <w:jc w:val="both"/>
        <w:rPr>
          <w:i/>
          <w:sz w:val="18"/>
          <w:szCs w:val="18"/>
        </w:rPr>
      </w:pPr>
      <w:r w:rsidRPr="00264008">
        <w:rPr>
          <w:rFonts w:ascii="Arial" w:hAnsi="Arial" w:cs="Arial"/>
          <w:i/>
          <w:sz w:val="18"/>
          <w:szCs w:val="18"/>
        </w:rPr>
        <w:t>Is the Court entitled in the present application to mero motu raise the aforementioned as questions of law that emerges fully from the evidence before the Court in the application and which the Court may deem necessary for the decision of the case.”</w:t>
      </w:r>
    </w:p>
    <w:p w14:paraId="3B48A806" w14:textId="77777777" w:rsidR="00525D3F" w:rsidRPr="00264008" w:rsidRDefault="00525D3F" w:rsidP="00A86334">
      <w:pPr>
        <w:spacing w:line="480" w:lineRule="auto"/>
        <w:ind w:left="567" w:hanging="567"/>
        <w:jc w:val="both"/>
        <w:rPr>
          <w:rFonts w:ascii="Arial" w:hAnsi="Arial" w:cs="Arial"/>
          <w:sz w:val="22"/>
          <w:szCs w:val="22"/>
        </w:rPr>
      </w:pPr>
      <w:r w:rsidRPr="00264008">
        <w:rPr>
          <w:rFonts w:ascii="Arial" w:hAnsi="Arial" w:cs="Arial"/>
          <w:sz w:val="22"/>
          <w:szCs w:val="22"/>
        </w:rPr>
        <w:t>[</w:t>
      </w:r>
      <w:r w:rsidR="005E7A17" w:rsidRPr="00264008">
        <w:rPr>
          <w:rFonts w:ascii="Arial" w:hAnsi="Arial" w:cs="Arial"/>
          <w:sz w:val="22"/>
          <w:szCs w:val="22"/>
        </w:rPr>
        <w:t>6</w:t>
      </w:r>
      <w:r w:rsidRPr="00264008">
        <w:rPr>
          <w:rFonts w:ascii="Arial" w:hAnsi="Arial" w:cs="Arial"/>
          <w:sz w:val="22"/>
          <w:szCs w:val="22"/>
        </w:rPr>
        <w:t>]</w:t>
      </w:r>
      <w:r w:rsidRPr="00264008">
        <w:rPr>
          <w:rFonts w:ascii="Arial" w:hAnsi="Arial" w:cs="Arial"/>
          <w:sz w:val="22"/>
          <w:szCs w:val="22"/>
        </w:rPr>
        <w:tab/>
        <w:t>The application was initially set down to commence for hearing on Tuesday, the 28</w:t>
      </w:r>
      <w:r w:rsidRPr="00264008">
        <w:rPr>
          <w:rFonts w:ascii="Arial" w:hAnsi="Arial" w:cs="Arial"/>
          <w:sz w:val="22"/>
          <w:szCs w:val="22"/>
          <w:vertAlign w:val="superscript"/>
        </w:rPr>
        <w:t>th</w:t>
      </w:r>
      <w:r w:rsidRPr="00264008">
        <w:rPr>
          <w:rFonts w:ascii="Arial" w:hAnsi="Arial" w:cs="Arial"/>
          <w:sz w:val="22"/>
          <w:szCs w:val="22"/>
        </w:rPr>
        <w:t xml:space="preserve"> of February 2023.  As a consequence of the aforementioned directive </w:t>
      </w:r>
      <w:r w:rsidR="005E7A17" w:rsidRPr="00264008">
        <w:rPr>
          <w:rFonts w:ascii="Arial" w:hAnsi="Arial" w:cs="Arial"/>
          <w:sz w:val="22"/>
          <w:szCs w:val="22"/>
        </w:rPr>
        <w:t xml:space="preserve">counsel for </w:t>
      </w:r>
      <w:r w:rsidRPr="00264008">
        <w:rPr>
          <w:rFonts w:ascii="Arial" w:hAnsi="Arial" w:cs="Arial"/>
          <w:sz w:val="22"/>
          <w:szCs w:val="22"/>
        </w:rPr>
        <w:t xml:space="preserve">both parties </w:t>
      </w:r>
      <w:r w:rsidRPr="00264008">
        <w:rPr>
          <w:rFonts w:ascii="Arial" w:hAnsi="Arial" w:cs="Arial"/>
          <w:sz w:val="22"/>
          <w:szCs w:val="22"/>
        </w:rPr>
        <w:lastRenderedPageBreak/>
        <w:t>requested an indulgence to have the matter stand down in order for both counsel to properly prepare upon this directive.  In the premises the matter stood down for hearing to 14h00 on Thursday, the 2</w:t>
      </w:r>
      <w:r w:rsidRPr="00264008">
        <w:rPr>
          <w:rFonts w:ascii="Arial" w:hAnsi="Arial" w:cs="Arial"/>
          <w:sz w:val="22"/>
          <w:szCs w:val="22"/>
          <w:vertAlign w:val="superscript"/>
        </w:rPr>
        <w:t>nd</w:t>
      </w:r>
      <w:r w:rsidRPr="00264008">
        <w:rPr>
          <w:rFonts w:ascii="Arial" w:hAnsi="Arial" w:cs="Arial"/>
          <w:sz w:val="22"/>
          <w:szCs w:val="22"/>
        </w:rPr>
        <w:t xml:space="preserve"> of March 2023. </w:t>
      </w:r>
    </w:p>
    <w:p w14:paraId="6D62CBD6" w14:textId="77777777" w:rsidR="00525D3F" w:rsidRPr="00264008" w:rsidRDefault="00525D3F" w:rsidP="00A86334">
      <w:pPr>
        <w:spacing w:line="480" w:lineRule="auto"/>
        <w:ind w:left="567" w:hanging="567"/>
        <w:jc w:val="both"/>
        <w:rPr>
          <w:rFonts w:ascii="Arial" w:hAnsi="Arial" w:cs="Arial"/>
          <w:sz w:val="22"/>
          <w:szCs w:val="22"/>
        </w:rPr>
      </w:pPr>
      <w:r w:rsidRPr="00264008">
        <w:rPr>
          <w:rFonts w:ascii="Arial" w:hAnsi="Arial" w:cs="Arial"/>
          <w:sz w:val="22"/>
          <w:szCs w:val="22"/>
        </w:rPr>
        <w:t>[</w:t>
      </w:r>
      <w:r w:rsidR="005E7A17" w:rsidRPr="00264008">
        <w:rPr>
          <w:rFonts w:ascii="Arial" w:hAnsi="Arial" w:cs="Arial"/>
          <w:sz w:val="22"/>
          <w:szCs w:val="22"/>
        </w:rPr>
        <w:t>7</w:t>
      </w:r>
      <w:r w:rsidRPr="00264008">
        <w:rPr>
          <w:rFonts w:ascii="Arial" w:hAnsi="Arial" w:cs="Arial"/>
          <w:sz w:val="22"/>
          <w:szCs w:val="22"/>
        </w:rPr>
        <w:t>]</w:t>
      </w:r>
      <w:r w:rsidRPr="00264008">
        <w:rPr>
          <w:rFonts w:ascii="Arial" w:hAnsi="Arial" w:cs="Arial"/>
          <w:sz w:val="22"/>
          <w:szCs w:val="22"/>
        </w:rPr>
        <w:tab/>
        <w:t>At the hearing of the application on the 2</w:t>
      </w:r>
      <w:r w:rsidRPr="00264008">
        <w:rPr>
          <w:rFonts w:ascii="Arial" w:hAnsi="Arial" w:cs="Arial"/>
          <w:sz w:val="22"/>
          <w:szCs w:val="22"/>
          <w:vertAlign w:val="superscript"/>
        </w:rPr>
        <w:t>nd</w:t>
      </w:r>
      <w:r w:rsidRPr="00264008">
        <w:rPr>
          <w:rFonts w:ascii="Arial" w:hAnsi="Arial" w:cs="Arial"/>
          <w:sz w:val="22"/>
          <w:szCs w:val="22"/>
        </w:rPr>
        <w:t xml:space="preserve"> of March 2023 counsel acting for both parties presented the Court with supplementary Heads of Argument which addressed the questions as contained in the aforementioned directive.</w:t>
      </w:r>
      <w:r w:rsidR="00C577BB">
        <w:rPr>
          <w:rFonts w:ascii="Arial" w:hAnsi="Arial" w:cs="Arial"/>
          <w:sz w:val="22"/>
          <w:szCs w:val="22"/>
        </w:rPr>
        <w:t xml:space="preserve"> Both parties assured me they were ready to proceed.</w:t>
      </w:r>
    </w:p>
    <w:p w14:paraId="0232D2E6" w14:textId="77777777" w:rsidR="00525D3F" w:rsidRPr="00264008" w:rsidRDefault="00525D3F" w:rsidP="00A86334">
      <w:pPr>
        <w:spacing w:line="480" w:lineRule="auto"/>
        <w:ind w:left="567" w:hanging="567"/>
        <w:jc w:val="both"/>
        <w:rPr>
          <w:rFonts w:ascii="Arial" w:hAnsi="Arial" w:cs="Arial"/>
          <w:sz w:val="22"/>
          <w:szCs w:val="22"/>
        </w:rPr>
      </w:pPr>
      <w:r w:rsidRPr="00264008">
        <w:rPr>
          <w:rFonts w:ascii="Arial" w:hAnsi="Arial" w:cs="Arial"/>
          <w:sz w:val="22"/>
          <w:szCs w:val="22"/>
        </w:rPr>
        <w:t>[</w:t>
      </w:r>
      <w:r w:rsidR="005E7A17" w:rsidRPr="00264008">
        <w:rPr>
          <w:rFonts w:ascii="Arial" w:hAnsi="Arial" w:cs="Arial"/>
          <w:sz w:val="22"/>
          <w:szCs w:val="22"/>
        </w:rPr>
        <w:t>8</w:t>
      </w:r>
      <w:r w:rsidRPr="00264008">
        <w:rPr>
          <w:rFonts w:ascii="Arial" w:hAnsi="Arial" w:cs="Arial"/>
          <w:sz w:val="22"/>
          <w:szCs w:val="22"/>
        </w:rPr>
        <w:t>]</w:t>
      </w:r>
      <w:r w:rsidRPr="00264008">
        <w:rPr>
          <w:rFonts w:ascii="Arial" w:hAnsi="Arial" w:cs="Arial"/>
          <w:sz w:val="22"/>
          <w:szCs w:val="22"/>
        </w:rPr>
        <w:tab/>
        <w:t xml:space="preserve">Both counsel were also </w:t>
      </w:r>
      <w:r w:rsidRPr="00264008">
        <w:rPr>
          <w:rFonts w:ascii="Arial" w:hAnsi="Arial" w:cs="Arial"/>
          <w:b/>
          <w:i/>
          <w:sz w:val="22"/>
          <w:szCs w:val="22"/>
        </w:rPr>
        <w:t xml:space="preserve">ad idem </w:t>
      </w:r>
      <w:r w:rsidRPr="00264008">
        <w:rPr>
          <w:rFonts w:ascii="Arial" w:hAnsi="Arial" w:cs="Arial"/>
          <w:sz w:val="22"/>
          <w:szCs w:val="22"/>
        </w:rPr>
        <w:t xml:space="preserve">that the Court </w:t>
      </w:r>
      <w:r w:rsidR="009C59B5" w:rsidRPr="00264008">
        <w:rPr>
          <w:rFonts w:ascii="Arial" w:hAnsi="Arial" w:cs="Arial"/>
          <w:sz w:val="22"/>
          <w:szCs w:val="22"/>
        </w:rPr>
        <w:t>in the present matter can</w:t>
      </w:r>
      <w:r w:rsidRPr="00264008">
        <w:rPr>
          <w:rFonts w:ascii="Arial" w:hAnsi="Arial" w:cs="Arial"/>
          <w:sz w:val="22"/>
          <w:szCs w:val="22"/>
        </w:rPr>
        <w:t xml:space="preserve"> </w:t>
      </w:r>
      <w:r w:rsidRPr="00264008">
        <w:rPr>
          <w:rFonts w:ascii="Arial" w:hAnsi="Arial" w:cs="Arial"/>
          <w:b/>
          <w:i/>
          <w:sz w:val="22"/>
          <w:szCs w:val="22"/>
        </w:rPr>
        <w:t>mero motu</w:t>
      </w:r>
      <w:r w:rsidR="009C59B5" w:rsidRPr="00264008">
        <w:rPr>
          <w:rFonts w:ascii="Arial" w:hAnsi="Arial" w:cs="Arial"/>
          <w:b/>
          <w:i/>
          <w:sz w:val="22"/>
          <w:szCs w:val="22"/>
        </w:rPr>
        <w:t xml:space="preserve"> </w:t>
      </w:r>
      <w:r w:rsidR="009C59B5" w:rsidRPr="00264008">
        <w:rPr>
          <w:rFonts w:ascii="Arial" w:hAnsi="Arial" w:cs="Arial"/>
          <w:sz w:val="22"/>
          <w:szCs w:val="22"/>
        </w:rPr>
        <w:t>raise the aforementioned questions of law as contained in the directive and that no prejudice would be caused to any of the parties.</w:t>
      </w:r>
      <w:r w:rsidR="005E7A17" w:rsidRPr="00264008">
        <w:rPr>
          <w:rFonts w:ascii="Arial" w:hAnsi="Arial" w:cs="Arial"/>
          <w:sz w:val="22"/>
          <w:szCs w:val="22"/>
        </w:rPr>
        <w:t xml:space="preserve"> In this regard </w:t>
      </w:r>
      <w:r w:rsidR="009C59B5" w:rsidRPr="00264008">
        <w:rPr>
          <w:rFonts w:ascii="Arial" w:hAnsi="Arial" w:cs="Arial"/>
          <w:sz w:val="22"/>
          <w:szCs w:val="22"/>
        </w:rPr>
        <w:t xml:space="preserve">Mr van Rensburg </w:t>
      </w:r>
      <w:r w:rsidR="005E7A17" w:rsidRPr="00264008">
        <w:rPr>
          <w:rFonts w:ascii="Arial" w:hAnsi="Arial" w:cs="Arial"/>
          <w:sz w:val="22"/>
          <w:szCs w:val="22"/>
        </w:rPr>
        <w:t xml:space="preserve">who </w:t>
      </w:r>
      <w:r w:rsidR="009C59B5" w:rsidRPr="00264008">
        <w:rPr>
          <w:rFonts w:ascii="Arial" w:hAnsi="Arial" w:cs="Arial"/>
          <w:sz w:val="22"/>
          <w:szCs w:val="22"/>
        </w:rPr>
        <w:t xml:space="preserve">appeared on behalf of the Applicant referred the court to the Constitutional Court matter of </w:t>
      </w:r>
      <w:r w:rsidR="009C59B5" w:rsidRPr="00264008">
        <w:rPr>
          <w:rFonts w:ascii="Arial" w:hAnsi="Arial" w:cs="Arial"/>
          <w:b/>
          <w:i/>
          <w:sz w:val="22"/>
          <w:szCs w:val="22"/>
        </w:rPr>
        <w:t>Molusi &amp; Others v Voges NO. &amp; Others 2016 (3) SA 370 (CC)</w:t>
      </w:r>
      <w:r w:rsidR="009C59B5" w:rsidRPr="00264008">
        <w:rPr>
          <w:rFonts w:ascii="Arial" w:hAnsi="Arial" w:cs="Arial"/>
          <w:sz w:val="22"/>
          <w:szCs w:val="22"/>
        </w:rPr>
        <w:t xml:space="preserve"> where the court </w:t>
      </w:r>
      <w:r w:rsidR="009C59B5" w:rsidRPr="00264008">
        <w:rPr>
          <w:rFonts w:ascii="Arial" w:hAnsi="Arial" w:cs="Arial"/>
          <w:b/>
          <w:i/>
          <w:sz w:val="22"/>
          <w:szCs w:val="22"/>
        </w:rPr>
        <w:t>inter alia</w:t>
      </w:r>
      <w:r w:rsidR="009C59B5" w:rsidRPr="00264008">
        <w:rPr>
          <w:rFonts w:ascii="Arial" w:hAnsi="Arial" w:cs="Arial"/>
          <w:sz w:val="22"/>
          <w:szCs w:val="22"/>
        </w:rPr>
        <w:t xml:space="preserve"> in paragraph 27 of its judgement noted as follows: </w:t>
      </w:r>
      <w:r w:rsidRPr="00264008">
        <w:rPr>
          <w:rFonts w:ascii="Arial" w:hAnsi="Arial" w:cs="Arial"/>
          <w:sz w:val="22"/>
          <w:szCs w:val="22"/>
        </w:rPr>
        <w:t xml:space="preserve"> </w:t>
      </w:r>
    </w:p>
    <w:p w14:paraId="72D1624C" w14:textId="77777777" w:rsidR="005E7A17" w:rsidRPr="00264008" w:rsidRDefault="009C59B5" w:rsidP="00A86334">
      <w:pPr>
        <w:spacing w:line="480" w:lineRule="auto"/>
        <w:ind w:left="1440" w:hanging="720"/>
        <w:jc w:val="both"/>
        <w:rPr>
          <w:rFonts w:ascii="Arial" w:hAnsi="Arial" w:cs="Arial"/>
          <w:sz w:val="18"/>
          <w:szCs w:val="18"/>
        </w:rPr>
      </w:pPr>
      <w:r w:rsidRPr="00264008">
        <w:rPr>
          <w:rFonts w:ascii="Arial" w:hAnsi="Arial" w:cs="Arial"/>
          <w:i/>
          <w:sz w:val="18"/>
          <w:szCs w:val="18"/>
        </w:rPr>
        <w:t>“[27]</w:t>
      </w:r>
      <w:r w:rsidRPr="00264008">
        <w:rPr>
          <w:rFonts w:ascii="Arial" w:hAnsi="Arial" w:cs="Arial"/>
          <w:i/>
          <w:sz w:val="18"/>
          <w:szCs w:val="18"/>
        </w:rPr>
        <w:tab/>
        <w:t xml:space="preserve">The purpose of pleadings </w:t>
      </w:r>
      <w:r w:rsidR="005E7A17" w:rsidRPr="00264008">
        <w:rPr>
          <w:rFonts w:ascii="Arial" w:hAnsi="Arial" w:cs="Arial"/>
          <w:i/>
          <w:sz w:val="18"/>
          <w:szCs w:val="18"/>
        </w:rPr>
        <w:t xml:space="preserve">are </w:t>
      </w:r>
      <w:r w:rsidRPr="00264008">
        <w:rPr>
          <w:rFonts w:ascii="Arial" w:hAnsi="Arial" w:cs="Arial"/>
          <w:i/>
          <w:sz w:val="18"/>
          <w:szCs w:val="18"/>
        </w:rPr>
        <w:t>to define the issues for the other party and the Court and it is for the Court to adjudicate upon the disputes and those disputes alone.  Of course, there may be instances the Court may of its own accord (mero motu) raise a question of law that emerges fully from the evidence and is necessary for the decision of the case as long its consideration on appeal involves no unfairness to the other party against whom it is directed</w:t>
      </w:r>
      <w:r w:rsidRPr="00264008">
        <w:rPr>
          <w:rFonts w:ascii="Arial" w:hAnsi="Arial" w:cs="Arial"/>
          <w:sz w:val="18"/>
          <w:szCs w:val="18"/>
        </w:rPr>
        <w:t>”.</w:t>
      </w:r>
      <w:r w:rsidRPr="00264008">
        <w:rPr>
          <w:rStyle w:val="FootnoteReference"/>
          <w:rFonts w:ascii="Arial" w:hAnsi="Arial" w:cs="Arial"/>
          <w:sz w:val="18"/>
          <w:szCs w:val="18"/>
        </w:rPr>
        <w:footnoteReference w:id="1"/>
      </w:r>
      <w:r w:rsidRPr="00264008">
        <w:rPr>
          <w:rFonts w:ascii="Arial" w:hAnsi="Arial" w:cs="Arial"/>
          <w:sz w:val="18"/>
          <w:szCs w:val="18"/>
        </w:rPr>
        <w:t xml:space="preserve"> </w:t>
      </w:r>
    </w:p>
    <w:p w14:paraId="65B4E5E9" w14:textId="77777777" w:rsidR="009C59B5" w:rsidRPr="00264008" w:rsidRDefault="005E7A17" w:rsidP="00A86334">
      <w:pPr>
        <w:spacing w:line="480" w:lineRule="auto"/>
        <w:ind w:left="567" w:hanging="567"/>
        <w:jc w:val="both"/>
        <w:rPr>
          <w:rFonts w:ascii="Arial" w:hAnsi="Arial" w:cs="Arial"/>
          <w:sz w:val="22"/>
          <w:szCs w:val="22"/>
        </w:rPr>
      </w:pPr>
      <w:r w:rsidRPr="00264008">
        <w:rPr>
          <w:rFonts w:ascii="Arial" w:hAnsi="Arial" w:cs="Arial"/>
          <w:sz w:val="22"/>
          <w:szCs w:val="22"/>
        </w:rPr>
        <w:t>[9]</w:t>
      </w:r>
      <w:r w:rsidRPr="00264008">
        <w:rPr>
          <w:rFonts w:ascii="Arial" w:hAnsi="Arial" w:cs="Arial"/>
          <w:sz w:val="22"/>
          <w:szCs w:val="22"/>
        </w:rPr>
        <w:tab/>
      </w:r>
      <w:r w:rsidR="009C59B5" w:rsidRPr="00264008">
        <w:rPr>
          <w:rFonts w:ascii="Arial" w:hAnsi="Arial" w:cs="Arial"/>
          <w:sz w:val="22"/>
          <w:szCs w:val="22"/>
        </w:rPr>
        <w:t>As I have indicated</w:t>
      </w:r>
      <w:r w:rsidRPr="00264008">
        <w:rPr>
          <w:rFonts w:ascii="Arial" w:hAnsi="Arial" w:cs="Arial"/>
          <w:sz w:val="22"/>
          <w:szCs w:val="22"/>
        </w:rPr>
        <w:t>,</w:t>
      </w:r>
      <w:r w:rsidR="009C59B5" w:rsidRPr="00264008">
        <w:rPr>
          <w:rFonts w:ascii="Arial" w:hAnsi="Arial" w:cs="Arial"/>
          <w:sz w:val="22"/>
          <w:szCs w:val="22"/>
        </w:rPr>
        <w:t xml:space="preserve"> both counsel are in agreement that the court may raise these questions of law and I am satisfied that </w:t>
      </w:r>
      <w:r w:rsidRPr="00264008">
        <w:rPr>
          <w:rFonts w:ascii="Arial" w:hAnsi="Arial" w:cs="Arial"/>
          <w:sz w:val="22"/>
          <w:szCs w:val="22"/>
        </w:rPr>
        <w:t xml:space="preserve">both parties prepared to address the court on these questions and that </w:t>
      </w:r>
      <w:r w:rsidR="009C59B5" w:rsidRPr="00264008">
        <w:rPr>
          <w:rFonts w:ascii="Arial" w:hAnsi="Arial" w:cs="Arial"/>
          <w:sz w:val="22"/>
          <w:szCs w:val="22"/>
        </w:rPr>
        <w:t>no prejudice is caused to any of the parties in the present proceedings.</w:t>
      </w:r>
    </w:p>
    <w:p w14:paraId="67E50691" w14:textId="77777777" w:rsidR="009C59B5" w:rsidRPr="00264008" w:rsidRDefault="009C59B5" w:rsidP="00A86334">
      <w:pPr>
        <w:spacing w:line="480" w:lineRule="auto"/>
        <w:ind w:left="567" w:hanging="567"/>
        <w:jc w:val="both"/>
        <w:rPr>
          <w:rFonts w:ascii="Arial" w:hAnsi="Arial" w:cs="Arial"/>
          <w:sz w:val="22"/>
          <w:szCs w:val="22"/>
        </w:rPr>
      </w:pPr>
      <w:r w:rsidRPr="00264008">
        <w:rPr>
          <w:rFonts w:ascii="Arial" w:hAnsi="Arial" w:cs="Arial"/>
          <w:sz w:val="22"/>
          <w:szCs w:val="22"/>
        </w:rPr>
        <w:t>[</w:t>
      </w:r>
      <w:r w:rsidR="005E7A17" w:rsidRPr="00264008">
        <w:rPr>
          <w:rFonts w:ascii="Arial" w:hAnsi="Arial" w:cs="Arial"/>
          <w:sz w:val="22"/>
          <w:szCs w:val="22"/>
        </w:rPr>
        <w:t>10</w:t>
      </w:r>
      <w:r w:rsidRPr="00264008">
        <w:rPr>
          <w:rFonts w:ascii="Arial" w:hAnsi="Arial" w:cs="Arial"/>
          <w:sz w:val="22"/>
          <w:szCs w:val="22"/>
        </w:rPr>
        <w:t>]</w:t>
      </w:r>
      <w:r w:rsidR="005E7A17" w:rsidRPr="00264008">
        <w:rPr>
          <w:rFonts w:ascii="Arial" w:hAnsi="Arial" w:cs="Arial"/>
          <w:sz w:val="22"/>
          <w:szCs w:val="22"/>
        </w:rPr>
        <w:tab/>
      </w:r>
      <w:r w:rsidRPr="00264008">
        <w:rPr>
          <w:rFonts w:ascii="Arial" w:hAnsi="Arial" w:cs="Arial"/>
          <w:sz w:val="22"/>
          <w:szCs w:val="22"/>
        </w:rPr>
        <w:t xml:space="preserve">I also need to mention that at the commencement of the hearing of the matter, Mr van Rensburg advised the court that </w:t>
      </w:r>
      <w:r w:rsidR="00050C7E" w:rsidRPr="00264008">
        <w:rPr>
          <w:rFonts w:ascii="Arial" w:hAnsi="Arial" w:cs="Arial"/>
          <w:sz w:val="22"/>
          <w:szCs w:val="22"/>
        </w:rPr>
        <w:t xml:space="preserve">I-cat </w:t>
      </w:r>
      <w:r w:rsidRPr="00264008">
        <w:rPr>
          <w:rFonts w:ascii="Arial" w:hAnsi="Arial" w:cs="Arial"/>
          <w:sz w:val="22"/>
          <w:szCs w:val="22"/>
        </w:rPr>
        <w:t xml:space="preserve">no longer relies on the submission that the </w:t>
      </w:r>
      <w:r w:rsidR="005E7A17" w:rsidRPr="00264008">
        <w:rPr>
          <w:rFonts w:ascii="Arial" w:hAnsi="Arial" w:cs="Arial"/>
          <w:sz w:val="22"/>
          <w:szCs w:val="22"/>
        </w:rPr>
        <w:t xml:space="preserve">relevant </w:t>
      </w:r>
      <w:r w:rsidRPr="00264008">
        <w:rPr>
          <w:rFonts w:ascii="Arial" w:hAnsi="Arial" w:cs="Arial"/>
          <w:sz w:val="22"/>
          <w:szCs w:val="22"/>
        </w:rPr>
        <w:t xml:space="preserve">assessment which was submitted by </w:t>
      </w:r>
      <w:r w:rsidR="00050C7E" w:rsidRPr="00264008">
        <w:rPr>
          <w:rFonts w:ascii="Arial" w:hAnsi="Arial" w:cs="Arial"/>
          <w:sz w:val="22"/>
          <w:szCs w:val="22"/>
        </w:rPr>
        <w:t xml:space="preserve">I-cat </w:t>
      </w:r>
      <w:r w:rsidRPr="00264008">
        <w:rPr>
          <w:rFonts w:ascii="Arial" w:hAnsi="Arial" w:cs="Arial"/>
          <w:sz w:val="22"/>
          <w:szCs w:val="22"/>
        </w:rPr>
        <w:t>in 2015, should be regarded as a “</w:t>
      </w:r>
      <w:r w:rsidRPr="00264008">
        <w:rPr>
          <w:rFonts w:ascii="Arial" w:hAnsi="Arial" w:cs="Arial"/>
          <w:i/>
          <w:sz w:val="22"/>
          <w:szCs w:val="22"/>
        </w:rPr>
        <w:t>self-</w:t>
      </w:r>
      <w:r w:rsidRPr="00264008">
        <w:rPr>
          <w:rFonts w:ascii="Arial" w:hAnsi="Arial" w:cs="Arial"/>
          <w:i/>
          <w:sz w:val="22"/>
          <w:szCs w:val="22"/>
        </w:rPr>
        <w:lastRenderedPageBreak/>
        <w:t>assessment</w:t>
      </w:r>
      <w:r w:rsidRPr="00264008">
        <w:rPr>
          <w:rFonts w:ascii="Arial" w:hAnsi="Arial" w:cs="Arial"/>
          <w:sz w:val="22"/>
          <w:szCs w:val="22"/>
        </w:rPr>
        <w:t xml:space="preserve">” as defined in the </w:t>
      </w:r>
      <w:r w:rsidR="00050C7E" w:rsidRPr="00264008">
        <w:rPr>
          <w:rFonts w:ascii="Arial" w:hAnsi="Arial" w:cs="Arial"/>
          <w:sz w:val="22"/>
          <w:szCs w:val="22"/>
        </w:rPr>
        <w:t xml:space="preserve">Tax Administration </w:t>
      </w:r>
      <w:r w:rsidRPr="00264008">
        <w:rPr>
          <w:rFonts w:ascii="Arial" w:hAnsi="Arial" w:cs="Arial"/>
          <w:sz w:val="22"/>
          <w:szCs w:val="22"/>
        </w:rPr>
        <w:t xml:space="preserve">Act.  The effect of this concession does not only limit the issues in dispute between the parties but </w:t>
      </w:r>
      <w:r w:rsidR="005E7A17" w:rsidRPr="00264008">
        <w:rPr>
          <w:rFonts w:ascii="Arial" w:hAnsi="Arial" w:cs="Arial"/>
          <w:sz w:val="22"/>
          <w:szCs w:val="22"/>
        </w:rPr>
        <w:t>also narrows the disputes in respect</w:t>
      </w:r>
      <w:r w:rsidRPr="00264008">
        <w:rPr>
          <w:rFonts w:ascii="Arial" w:hAnsi="Arial" w:cs="Arial"/>
          <w:sz w:val="22"/>
          <w:szCs w:val="22"/>
        </w:rPr>
        <w:t xml:space="preserve"> of the prescription period</w:t>
      </w:r>
      <w:r w:rsidR="005E7A17" w:rsidRPr="00264008">
        <w:rPr>
          <w:rFonts w:ascii="Arial" w:hAnsi="Arial" w:cs="Arial"/>
          <w:sz w:val="22"/>
          <w:szCs w:val="22"/>
        </w:rPr>
        <w:t xml:space="preserve"> applicable</w:t>
      </w:r>
      <w:r w:rsidRPr="00264008">
        <w:rPr>
          <w:rFonts w:ascii="Arial" w:hAnsi="Arial" w:cs="Arial"/>
          <w:sz w:val="22"/>
          <w:szCs w:val="22"/>
        </w:rPr>
        <w:t xml:space="preserve">.  Section 99(1) of the Tax Administration Act provides that in cases of self-assessment, the relevant prescription period that is applicable is a period of five years. In all other matters </w:t>
      </w:r>
      <w:r w:rsidR="00173595" w:rsidRPr="00264008">
        <w:rPr>
          <w:rFonts w:ascii="Arial" w:hAnsi="Arial" w:cs="Arial"/>
          <w:sz w:val="22"/>
          <w:szCs w:val="22"/>
        </w:rPr>
        <w:t>of assessment the relevant prescription period that will apply is three years.</w:t>
      </w:r>
      <w:r w:rsidR="005E7A17" w:rsidRPr="00264008">
        <w:rPr>
          <w:rFonts w:ascii="Arial" w:hAnsi="Arial" w:cs="Arial"/>
          <w:sz w:val="22"/>
          <w:szCs w:val="22"/>
        </w:rPr>
        <w:t xml:space="preserve"> </w:t>
      </w:r>
    </w:p>
    <w:p w14:paraId="5839CA3B" w14:textId="77777777" w:rsidR="00173595" w:rsidRPr="00264008" w:rsidRDefault="00173595" w:rsidP="00A86334">
      <w:pPr>
        <w:spacing w:line="480" w:lineRule="auto"/>
        <w:ind w:left="567" w:hanging="567"/>
        <w:jc w:val="both"/>
        <w:rPr>
          <w:rFonts w:ascii="Arial" w:hAnsi="Arial" w:cs="Arial"/>
          <w:sz w:val="22"/>
          <w:szCs w:val="22"/>
        </w:rPr>
      </w:pPr>
      <w:r w:rsidRPr="00264008">
        <w:rPr>
          <w:rFonts w:ascii="Arial" w:hAnsi="Arial" w:cs="Arial"/>
          <w:sz w:val="22"/>
          <w:szCs w:val="22"/>
        </w:rPr>
        <w:t>[</w:t>
      </w:r>
      <w:r w:rsidR="00D70493" w:rsidRPr="00264008">
        <w:rPr>
          <w:rFonts w:ascii="Arial" w:hAnsi="Arial" w:cs="Arial"/>
          <w:sz w:val="22"/>
          <w:szCs w:val="22"/>
        </w:rPr>
        <w:t>11</w:t>
      </w:r>
      <w:r w:rsidRPr="00264008">
        <w:rPr>
          <w:rFonts w:ascii="Arial" w:hAnsi="Arial" w:cs="Arial"/>
          <w:sz w:val="22"/>
          <w:szCs w:val="22"/>
        </w:rPr>
        <w:t>]</w:t>
      </w:r>
      <w:r w:rsidRPr="00264008">
        <w:rPr>
          <w:rFonts w:ascii="Arial" w:hAnsi="Arial" w:cs="Arial"/>
          <w:sz w:val="22"/>
          <w:szCs w:val="22"/>
        </w:rPr>
        <w:tab/>
        <w:t xml:space="preserve">In making the concession aforementioned, Mr van Rensburg </w:t>
      </w:r>
      <w:r w:rsidR="00D70493" w:rsidRPr="00264008">
        <w:rPr>
          <w:rFonts w:ascii="Arial" w:hAnsi="Arial" w:cs="Arial"/>
          <w:sz w:val="22"/>
          <w:szCs w:val="22"/>
        </w:rPr>
        <w:t xml:space="preserve">agreed that the matter will be argued by </w:t>
      </w:r>
      <w:r w:rsidR="00050C7E" w:rsidRPr="00264008">
        <w:rPr>
          <w:rFonts w:ascii="Arial" w:hAnsi="Arial" w:cs="Arial"/>
          <w:sz w:val="22"/>
          <w:szCs w:val="22"/>
        </w:rPr>
        <w:t xml:space="preserve">I-cat </w:t>
      </w:r>
      <w:r w:rsidR="00D70493" w:rsidRPr="00264008">
        <w:rPr>
          <w:rFonts w:ascii="Arial" w:hAnsi="Arial" w:cs="Arial"/>
          <w:sz w:val="22"/>
          <w:szCs w:val="22"/>
        </w:rPr>
        <w:t>on the basis</w:t>
      </w:r>
      <w:r w:rsidRPr="00264008">
        <w:rPr>
          <w:rFonts w:ascii="Arial" w:hAnsi="Arial" w:cs="Arial"/>
          <w:sz w:val="22"/>
          <w:szCs w:val="22"/>
        </w:rPr>
        <w:t xml:space="preserve"> that the relevant prescription period that applies to the matter at hand is three years. </w:t>
      </w:r>
      <w:r w:rsidR="00D70493" w:rsidRPr="00264008">
        <w:rPr>
          <w:rFonts w:ascii="Arial" w:hAnsi="Arial" w:cs="Arial"/>
          <w:sz w:val="22"/>
          <w:szCs w:val="22"/>
        </w:rPr>
        <w:t>I wish to state that as a consequence the issue whether the relevant assessment is a self-assessment or a normal assessment has neither been argued before this court, nor has it been necessary for the court to decide upon this issue. This issue is therefor left open.</w:t>
      </w:r>
    </w:p>
    <w:p w14:paraId="3C10264E" w14:textId="77777777" w:rsidR="00D70493" w:rsidRDefault="00D70493" w:rsidP="00A86334">
      <w:pPr>
        <w:spacing w:line="480" w:lineRule="auto"/>
        <w:ind w:left="567" w:hanging="567"/>
        <w:jc w:val="both"/>
        <w:rPr>
          <w:rFonts w:ascii="Arial" w:hAnsi="Arial" w:cs="Arial"/>
          <w:sz w:val="22"/>
          <w:szCs w:val="22"/>
        </w:rPr>
      </w:pPr>
      <w:r w:rsidRPr="00264008">
        <w:rPr>
          <w:rFonts w:ascii="Arial" w:hAnsi="Arial" w:cs="Arial"/>
          <w:sz w:val="22"/>
          <w:szCs w:val="22"/>
        </w:rPr>
        <w:t>[12]</w:t>
      </w:r>
      <w:r w:rsidRPr="00264008">
        <w:rPr>
          <w:rFonts w:ascii="Arial" w:hAnsi="Arial" w:cs="Arial"/>
          <w:sz w:val="22"/>
          <w:szCs w:val="22"/>
        </w:rPr>
        <w:tab/>
        <w:t xml:space="preserve">Although </w:t>
      </w:r>
      <w:r w:rsidR="00050C7E" w:rsidRPr="00264008">
        <w:rPr>
          <w:rFonts w:ascii="Arial" w:hAnsi="Arial" w:cs="Arial"/>
          <w:sz w:val="22"/>
          <w:szCs w:val="22"/>
        </w:rPr>
        <w:t xml:space="preserve">SARS </w:t>
      </w:r>
      <w:r w:rsidRPr="00264008">
        <w:rPr>
          <w:rFonts w:ascii="Arial" w:hAnsi="Arial" w:cs="Arial"/>
          <w:sz w:val="22"/>
          <w:szCs w:val="22"/>
        </w:rPr>
        <w:t>has not seriously opposed the condonation for the late filing of the present application for review this is still an outstanding aspect that needs to be dealt with</w:t>
      </w:r>
      <w:r w:rsidR="00050C7E" w:rsidRPr="00264008">
        <w:rPr>
          <w:rFonts w:ascii="Arial" w:hAnsi="Arial" w:cs="Arial"/>
          <w:sz w:val="22"/>
          <w:szCs w:val="22"/>
        </w:rPr>
        <w:t>.</w:t>
      </w:r>
    </w:p>
    <w:p w14:paraId="529A5540" w14:textId="77777777" w:rsidR="00C2095D" w:rsidRPr="00264008" w:rsidRDefault="00C2095D" w:rsidP="00A86334">
      <w:pPr>
        <w:spacing w:line="480" w:lineRule="auto"/>
        <w:ind w:left="567" w:hanging="567"/>
        <w:jc w:val="both"/>
        <w:rPr>
          <w:rFonts w:ascii="Arial" w:hAnsi="Arial" w:cs="Arial"/>
          <w:sz w:val="22"/>
          <w:szCs w:val="22"/>
        </w:rPr>
      </w:pPr>
      <w:r w:rsidRPr="00264008">
        <w:rPr>
          <w:rFonts w:ascii="Arial" w:hAnsi="Arial" w:cs="Arial"/>
          <w:b/>
          <w:sz w:val="22"/>
          <w:szCs w:val="22"/>
        </w:rPr>
        <w:t>RELEVANT COMMON CAUSE FACTS</w:t>
      </w:r>
      <w:r w:rsidRPr="00264008">
        <w:rPr>
          <w:rFonts w:ascii="Arial" w:hAnsi="Arial" w:cs="Arial"/>
          <w:sz w:val="22"/>
          <w:szCs w:val="22"/>
        </w:rPr>
        <w:t>:</w:t>
      </w:r>
    </w:p>
    <w:p w14:paraId="05C56D11" w14:textId="77777777" w:rsidR="00DB4BBE" w:rsidRPr="00630B66" w:rsidRDefault="00DB4BBE" w:rsidP="00A86334">
      <w:pPr>
        <w:spacing w:line="480" w:lineRule="auto"/>
        <w:ind w:left="567" w:hanging="567"/>
        <w:jc w:val="both"/>
        <w:rPr>
          <w:rFonts w:ascii="Arial" w:hAnsi="Arial" w:cs="Arial"/>
          <w:bCs/>
          <w:sz w:val="22"/>
          <w:szCs w:val="22"/>
        </w:rPr>
      </w:pPr>
      <w:r w:rsidRPr="00630B66">
        <w:rPr>
          <w:rFonts w:ascii="Arial" w:hAnsi="Arial" w:cs="Arial"/>
          <w:bCs/>
          <w:sz w:val="22"/>
          <w:szCs w:val="22"/>
        </w:rPr>
        <w:t>[13]</w:t>
      </w:r>
      <w:r w:rsidRPr="00630B66">
        <w:rPr>
          <w:rFonts w:ascii="Arial" w:hAnsi="Arial" w:cs="Arial"/>
          <w:bCs/>
          <w:sz w:val="22"/>
          <w:szCs w:val="22"/>
        </w:rPr>
        <w:tab/>
        <w:t>During 2013 I-cat obtained a tax opinion from Cova Advisory and had relied upon that opinion to file its tax return for the 2014 year. The opinion on which I-cat relied caused I-cat to claim an amount of R17 171 433.00 as an expense and as an allowable deduction in the 2014 year of assessment;</w:t>
      </w:r>
      <w:r w:rsidRPr="00630B66">
        <w:rPr>
          <w:rStyle w:val="FootnoteReference"/>
          <w:rFonts w:ascii="Arial" w:hAnsi="Arial" w:cs="Arial"/>
          <w:bCs/>
          <w:sz w:val="22"/>
          <w:szCs w:val="22"/>
        </w:rPr>
        <w:footnoteReference w:id="2"/>
      </w:r>
    </w:p>
    <w:p w14:paraId="01F5DF79" w14:textId="77777777" w:rsidR="00DB4BBE" w:rsidRPr="00630B66" w:rsidRDefault="00DB4BBE" w:rsidP="00D12BEB">
      <w:pPr>
        <w:spacing w:line="480" w:lineRule="auto"/>
        <w:ind w:left="567" w:hanging="567"/>
        <w:jc w:val="both"/>
        <w:rPr>
          <w:rFonts w:ascii="Arial" w:hAnsi="Arial" w:cs="Arial"/>
          <w:bCs/>
          <w:sz w:val="22"/>
          <w:szCs w:val="22"/>
        </w:rPr>
      </w:pPr>
      <w:r w:rsidRPr="00630B66">
        <w:rPr>
          <w:rFonts w:ascii="Arial" w:hAnsi="Arial" w:cs="Arial"/>
          <w:bCs/>
          <w:sz w:val="22"/>
          <w:szCs w:val="22"/>
        </w:rPr>
        <w:t>[14]</w:t>
      </w:r>
      <w:r w:rsidRPr="00630B66">
        <w:rPr>
          <w:rFonts w:ascii="Arial" w:hAnsi="Arial" w:cs="Arial"/>
          <w:bCs/>
          <w:sz w:val="22"/>
          <w:szCs w:val="22"/>
        </w:rPr>
        <w:tab/>
        <w:t xml:space="preserve">The main issue between SARS and I-cat in respect of the 2014 assessment was that I-cat,  after having received advice in the legal opinion aforementioned that it was entitled to do so, adopted the tax position that the amount of R17 171 433.00 paid to a third party as compensation for royalties and accounted for by I-cat as cost of stock, could be claimed as a deduction against I-cat’s taxable income under Section 11(a) of the Income Tax Act. I-cat </w:t>
      </w:r>
      <w:r w:rsidRPr="00630B66">
        <w:rPr>
          <w:rFonts w:ascii="Arial" w:hAnsi="Arial" w:cs="Arial"/>
          <w:bCs/>
          <w:sz w:val="22"/>
          <w:szCs w:val="22"/>
        </w:rPr>
        <w:lastRenderedPageBreak/>
        <w:t>accounted for the entire portion of the expense incurred and which flowed from the principal transaction in the 2014 year of assessment.</w:t>
      </w:r>
      <w:r w:rsidRPr="00630B66">
        <w:rPr>
          <w:rStyle w:val="FootnoteReference"/>
          <w:rFonts w:ascii="Arial" w:hAnsi="Arial" w:cs="Arial"/>
          <w:bCs/>
          <w:sz w:val="22"/>
          <w:szCs w:val="22"/>
        </w:rPr>
        <w:footnoteReference w:id="3"/>
      </w:r>
      <w:r w:rsidR="00630B66" w:rsidRPr="00630B66">
        <w:rPr>
          <w:rFonts w:ascii="Arial" w:hAnsi="Arial" w:cs="Arial"/>
          <w:bCs/>
          <w:sz w:val="22"/>
          <w:szCs w:val="22"/>
        </w:rPr>
        <w:t xml:space="preserve"> </w:t>
      </w:r>
    </w:p>
    <w:p w14:paraId="508AE492" w14:textId="77777777" w:rsidR="00DB4BBE" w:rsidRDefault="00DB4BBE" w:rsidP="00630B66">
      <w:pPr>
        <w:spacing w:line="480" w:lineRule="auto"/>
        <w:jc w:val="both"/>
        <w:rPr>
          <w:rFonts w:ascii="Arial" w:hAnsi="Arial" w:cs="Arial"/>
          <w:sz w:val="22"/>
          <w:szCs w:val="22"/>
        </w:rPr>
      </w:pPr>
    </w:p>
    <w:p w14:paraId="7B6F970B" w14:textId="77777777" w:rsidR="00C2095D" w:rsidRPr="00630B66" w:rsidRDefault="00C2095D" w:rsidP="00D12BEB">
      <w:pPr>
        <w:spacing w:line="480" w:lineRule="auto"/>
        <w:ind w:left="567" w:hanging="567"/>
        <w:jc w:val="both"/>
        <w:rPr>
          <w:rFonts w:ascii="Arial" w:hAnsi="Arial" w:cs="Arial"/>
          <w:bCs/>
          <w:sz w:val="22"/>
          <w:szCs w:val="22"/>
        </w:rPr>
      </w:pPr>
      <w:r w:rsidRPr="00264008">
        <w:rPr>
          <w:rFonts w:ascii="Arial" w:hAnsi="Arial" w:cs="Arial"/>
          <w:sz w:val="22"/>
          <w:szCs w:val="22"/>
        </w:rPr>
        <w:t>[1</w:t>
      </w:r>
      <w:r w:rsidR="00630B66">
        <w:rPr>
          <w:rFonts w:ascii="Arial" w:hAnsi="Arial" w:cs="Arial"/>
          <w:sz w:val="22"/>
          <w:szCs w:val="22"/>
        </w:rPr>
        <w:t>5</w:t>
      </w:r>
      <w:r w:rsidRPr="00264008">
        <w:rPr>
          <w:rFonts w:ascii="Arial" w:hAnsi="Arial" w:cs="Arial"/>
          <w:sz w:val="22"/>
          <w:szCs w:val="22"/>
        </w:rPr>
        <w:t>]</w:t>
      </w:r>
      <w:r w:rsidRPr="00264008">
        <w:rPr>
          <w:rFonts w:ascii="Arial" w:hAnsi="Arial" w:cs="Arial"/>
          <w:sz w:val="22"/>
          <w:szCs w:val="22"/>
        </w:rPr>
        <w:tab/>
        <w:t>On the 15</w:t>
      </w:r>
      <w:r w:rsidRPr="00264008">
        <w:rPr>
          <w:rFonts w:ascii="Arial" w:hAnsi="Arial" w:cs="Arial"/>
          <w:sz w:val="22"/>
          <w:szCs w:val="22"/>
          <w:vertAlign w:val="superscript"/>
        </w:rPr>
        <w:t>th</w:t>
      </w:r>
      <w:r w:rsidRPr="00264008">
        <w:rPr>
          <w:rFonts w:ascii="Arial" w:hAnsi="Arial" w:cs="Arial"/>
          <w:sz w:val="22"/>
          <w:szCs w:val="22"/>
        </w:rPr>
        <w:t xml:space="preserve"> of July 2015 </w:t>
      </w:r>
      <w:r w:rsidR="00050C7E" w:rsidRPr="00264008">
        <w:rPr>
          <w:rFonts w:ascii="Arial" w:hAnsi="Arial" w:cs="Arial"/>
          <w:sz w:val="22"/>
          <w:szCs w:val="22"/>
        </w:rPr>
        <w:t xml:space="preserve">SARS </w:t>
      </w:r>
      <w:r w:rsidRPr="00264008">
        <w:rPr>
          <w:rFonts w:ascii="Arial" w:hAnsi="Arial" w:cs="Arial"/>
          <w:sz w:val="22"/>
          <w:szCs w:val="22"/>
        </w:rPr>
        <w:t xml:space="preserve">assessed </w:t>
      </w:r>
      <w:r w:rsidR="00050C7E" w:rsidRPr="00264008">
        <w:rPr>
          <w:rFonts w:ascii="Arial" w:hAnsi="Arial" w:cs="Arial"/>
          <w:sz w:val="22"/>
          <w:szCs w:val="22"/>
        </w:rPr>
        <w:t xml:space="preserve">I-cat </w:t>
      </w:r>
      <w:r w:rsidRPr="00264008">
        <w:rPr>
          <w:rFonts w:ascii="Arial" w:hAnsi="Arial" w:cs="Arial"/>
          <w:sz w:val="22"/>
          <w:szCs w:val="22"/>
        </w:rPr>
        <w:t xml:space="preserve">in respect of the 2014 year of assessment and issued </w:t>
      </w:r>
      <w:r w:rsidR="00050C7E" w:rsidRPr="00264008">
        <w:rPr>
          <w:rFonts w:ascii="Arial" w:hAnsi="Arial" w:cs="Arial"/>
          <w:sz w:val="22"/>
          <w:szCs w:val="22"/>
        </w:rPr>
        <w:t>a</w:t>
      </w:r>
      <w:r w:rsidRPr="00264008">
        <w:rPr>
          <w:rFonts w:ascii="Arial" w:hAnsi="Arial" w:cs="Arial"/>
          <w:sz w:val="22"/>
          <w:szCs w:val="22"/>
        </w:rPr>
        <w:t xml:space="preserve"> notice of finalisation of an audit.</w:t>
      </w:r>
      <w:r w:rsidRPr="00264008">
        <w:rPr>
          <w:rStyle w:val="FootnoteReference"/>
          <w:rFonts w:ascii="Arial" w:hAnsi="Arial" w:cs="Arial"/>
          <w:sz w:val="22"/>
          <w:szCs w:val="22"/>
        </w:rPr>
        <w:footnoteReference w:id="4"/>
      </w:r>
      <w:r w:rsidR="00630B66" w:rsidRPr="00630B66">
        <w:rPr>
          <w:rFonts w:ascii="Arial" w:hAnsi="Arial" w:cs="Arial"/>
          <w:bCs/>
          <w:sz w:val="22"/>
          <w:szCs w:val="22"/>
        </w:rPr>
        <w:t xml:space="preserve"> SARS did not agree with the position adopted by I-cat</w:t>
      </w:r>
      <w:r w:rsidR="00630B66">
        <w:rPr>
          <w:rFonts w:ascii="Arial" w:hAnsi="Arial" w:cs="Arial"/>
          <w:bCs/>
          <w:sz w:val="22"/>
          <w:szCs w:val="22"/>
        </w:rPr>
        <w:t xml:space="preserve"> and disallowed the amount as a deduction.</w:t>
      </w:r>
      <w:r w:rsidR="00630B66" w:rsidRPr="00630B66">
        <w:rPr>
          <w:rFonts w:ascii="Arial" w:hAnsi="Arial" w:cs="Arial"/>
          <w:bCs/>
          <w:sz w:val="22"/>
          <w:szCs w:val="22"/>
        </w:rPr>
        <w:t>.</w:t>
      </w:r>
    </w:p>
    <w:p w14:paraId="03028852" w14:textId="77777777" w:rsidR="00C2095D" w:rsidRPr="00264008" w:rsidRDefault="00C2095D" w:rsidP="00D12BEB">
      <w:pPr>
        <w:spacing w:line="480" w:lineRule="auto"/>
        <w:ind w:left="567" w:hanging="567"/>
        <w:jc w:val="both"/>
        <w:rPr>
          <w:rFonts w:ascii="Arial" w:hAnsi="Arial" w:cs="Arial"/>
          <w:sz w:val="22"/>
          <w:szCs w:val="22"/>
        </w:rPr>
      </w:pPr>
      <w:r w:rsidRPr="00264008">
        <w:rPr>
          <w:rFonts w:ascii="Arial" w:hAnsi="Arial" w:cs="Arial"/>
          <w:sz w:val="22"/>
          <w:szCs w:val="22"/>
        </w:rPr>
        <w:t>[1</w:t>
      </w:r>
      <w:r w:rsidR="00630B66">
        <w:rPr>
          <w:rFonts w:ascii="Arial" w:hAnsi="Arial" w:cs="Arial"/>
          <w:sz w:val="22"/>
          <w:szCs w:val="22"/>
        </w:rPr>
        <w:t>6</w:t>
      </w:r>
      <w:r w:rsidRPr="00264008">
        <w:rPr>
          <w:rFonts w:ascii="Arial" w:hAnsi="Arial" w:cs="Arial"/>
          <w:sz w:val="22"/>
          <w:szCs w:val="22"/>
        </w:rPr>
        <w:t>]</w:t>
      </w:r>
      <w:r w:rsidRPr="00264008">
        <w:rPr>
          <w:rFonts w:ascii="Arial" w:hAnsi="Arial" w:cs="Arial"/>
          <w:sz w:val="22"/>
          <w:szCs w:val="22"/>
        </w:rPr>
        <w:tab/>
        <w:t>On the 15</w:t>
      </w:r>
      <w:r w:rsidRPr="00264008">
        <w:rPr>
          <w:rFonts w:ascii="Arial" w:hAnsi="Arial" w:cs="Arial"/>
          <w:sz w:val="22"/>
          <w:szCs w:val="22"/>
          <w:vertAlign w:val="superscript"/>
        </w:rPr>
        <w:t>th</w:t>
      </w:r>
      <w:r w:rsidRPr="00264008">
        <w:rPr>
          <w:rFonts w:ascii="Arial" w:hAnsi="Arial" w:cs="Arial"/>
          <w:sz w:val="22"/>
          <w:szCs w:val="22"/>
        </w:rPr>
        <w:t xml:space="preserve"> </w:t>
      </w:r>
      <w:r w:rsidR="00A56A97" w:rsidRPr="00264008">
        <w:rPr>
          <w:rFonts w:ascii="Arial" w:hAnsi="Arial" w:cs="Arial"/>
          <w:sz w:val="22"/>
          <w:szCs w:val="22"/>
        </w:rPr>
        <w:t xml:space="preserve">of September 2015 </w:t>
      </w:r>
      <w:r w:rsidR="00050C7E" w:rsidRPr="00264008">
        <w:rPr>
          <w:rFonts w:ascii="Arial" w:hAnsi="Arial" w:cs="Arial"/>
          <w:sz w:val="22"/>
          <w:szCs w:val="22"/>
        </w:rPr>
        <w:t xml:space="preserve">I-cat </w:t>
      </w:r>
      <w:r w:rsidRPr="00264008">
        <w:rPr>
          <w:rFonts w:ascii="Arial" w:hAnsi="Arial" w:cs="Arial"/>
          <w:sz w:val="22"/>
          <w:szCs w:val="22"/>
        </w:rPr>
        <w:t>objected against the additional assessment in respect of 2014 year of assessment.</w:t>
      </w:r>
      <w:r w:rsidRPr="00264008">
        <w:rPr>
          <w:rStyle w:val="FootnoteReference"/>
          <w:rFonts w:ascii="Arial" w:hAnsi="Arial" w:cs="Arial"/>
          <w:sz w:val="22"/>
          <w:szCs w:val="22"/>
        </w:rPr>
        <w:footnoteReference w:id="5"/>
      </w:r>
    </w:p>
    <w:p w14:paraId="13346711" w14:textId="77777777" w:rsidR="00C2095D" w:rsidRPr="00264008" w:rsidRDefault="00C2095D" w:rsidP="00D12BEB">
      <w:pPr>
        <w:spacing w:line="480" w:lineRule="auto"/>
        <w:ind w:left="567" w:hanging="567"/>
        <w:jc w:val="both"/>
        <w:rPr>
          <w:rFonts w:ascii="Arial" w:hAnsi="Arial" w:cs="Arial"/>
          <w:sz w:val="22"/>
          <w:szCs w:val="22"/>
        </w:rPr>
      </w:pPr>
      <w:r w:rsidRPr="00264008">
        <w:rPr>
          <w:rFonts w:ascii="Arial" w:hAnsi="Arial" w:cs="Arial"/>
          <w:sz w:val="22"/>
          <w:szCs w:val="22"/>
        </w:rPr>
        <w:t>[1</w:t>
      </w:r>
      <w:r w:rsidR="00630B66">
        <w:rPr>
          <w:rFonts w:ascii="Arial" w:hAnsi="Arial" w:cs="Arial"/>
          <w:sz w:val="22"/>
          <w:szCs w:val="22"/>
        </w:rPr>
        <w:t>7</w:t>
      </w:r>
      <w:r w:rsidRPr="00264008">
        <w:rPr>
          <w:rFonts w:ascii="Arial" w:hAnsi="Arial" w:cs="Arial"/>
          <w:sz w:val="22"/>
          <w:szCs w:val="22"/>
        </w:rPr>
        <w:t>]</w:t>
      </w:r>
      <w:r w:rsidRPr="00264008">
        <w:rPr>
          <w:rFonts w:ascii="Arial" w:hAnsi="Arial" w:cs="Arial"/>
          <w:sz w:val="22"/>
          <w:szCs w:val="22"/>
        </w:rPr>
        <w:tab/>
        <w:t>On the 26</w:t>
      </w:r>
      <w:r w:rsidRPr="00264008">
        <w:rPr>
          <w:rFonts w:ascii="Arial" w:hAnsi="Arial" w:cs="Arial"/>
          <w:sz w:val="22"/>
          <w:szCs w:val="22"/>
          <w:vertAlign w:val="superscript"/>
        </w:rPr>
        <w:t>th</w:t>
      </w:r>
      <w:r w:rsidRPr="00264008">
        <w:rPr>
          <w:rFonts w:ascii="Arial" w:hAnsi="Arial" w:cs="Arial"/>
          <w:sz w:val="22"/>
          <w:szCs w:val="22"/>
        </w:rPr>
        <w:t xml:space="preserve"> of February 2016 </w:t>
      </w:r>
      <w:r w:rsidR="00A56A97" w:rsidRPr="00264008">
        <w:rPr>
          <w:rFonts w:ascii="Arial" w:hAnsi="Arial" w:cs="Arial"/>
          <w:sz w:val="22"/>
          <w:szCs w:val="22"/>
        </w:rPr>
        <w:t>I</w:t>
      </w:r>
      <w:r w:rsidRPr="00264008">
        <w:rPr>
          <w:rFonts w:ascii="Arial" w:hAnsi="Arial" w:cs="Arial"/>
          <w:sz w:val="22"/>
          <w:szCs w:val="22"/>
        </w:rPr>
        <w:t xml:space="preserve">-Cat filed its income tax return for the 2015 year of assessment. </w:t>
      </w:r>
      <w:r w:rsidRPr="00264008">
        <w:rPr>
          <w:rStyle w:val="FootnoteReference"/>
          <w:rFonts w:ascii="Arial" w:hAnsi="Arial" w:cs="Arial"/>
          <w:sz w:val="22"/>
          <w:szCs w:val="22"/>
        </w:rPr>
        <w:footnoteReference w:id="6"/>
      </w:r>
    </w:p>
    <w:p w14:paraId="5C62B046" w14:textId="77777777" w:rsidR="00C2095D" w:rsidRPr="00264008" w:rsidRDefault="00C2095D" w:rsidP="00D12BEB">
      <w:pPr>
        <w:spacing w:line="480" w:lineRule="auto"/>
        <w:ind w:left="567" w:hanging="567"/>
        <w:jc w:val="both"/>
        <w:rPr>
          <w:rFonts w:ascii="Arial" w:hAnsi="Arial" w:cs="Arial"/>
          <w:sz w:val="22"/>
          <w:szCs w:val="22"/>
        </w:rPr>
      </w:pPr>
      <w:r w:rsidRPr="00264008">
        <w:rPr>
          <w:rFonts w:ascii="Arial" w:hAnsi="Arial" w:cs="Arial"/>
          <w:sz w:val="22"/>
          <w:szCs w:val="22"/>
        </w:rPr>
        <w:t>[1</w:t>
      </w:r>
      <w:r w:rsidR="00630B66">
        <w:rPr>
          <w:rFonts w:ascii="Arial" w:hAnsi="Arial" w:cs="Arial"/>
          <w:sz w:val="22"/>
          <w:szCs w:val="22"/>
        </w:rPr>
        <w:t>8</w:t>
      </w:r>
      <w:r w:rsidRPr="00264008">
        <w:rPr>
          <w:rFonts w:ascii="Arial" w:hAnsi="Arial" w:cs="Arial"/>
          <w:sz w:val="22"/>
          <w:szCs w:val="22"/>
        </w:rPr>
        <w:t>]</w:t>
      </w:r>
      <w:r w:rsidRPr="00264008">
        <w:rPr>
          <w:rFonts w:ascii="Arial" w:hAnsi="Arial" w:cs="Arial"/>
          <w:sz w:val="22"/>
          <w:szCs w:val="22"/>
        </w:rPr>
        <w:tab/>
        <w:t>On 26</w:t>
      </w:r>
      <w:r w:rsidRPr="00264008">
        <w:rPr>
          <w:rFonts w:ascii="Arial" w:hAnsi="Arial" w:cs="Arial"/>
          <w:sz w:val="22"/>
          <w:szCs w:val="22"/>
          <w:vertAlign w:val="superscript"/>
        </w:rPr>
        <w:t>th</w:t>
      </w:r>
      <w:r w:rsidRPr="00264008">
        <w:rPr>
          <w:rFonts w:ascii="Arial" w:hAnsi="Arial" w:cs="Arial"/>
          <w:sz w:val="22"/>
          <w:szCs w:val="22"/>
        </w:rPr>
        <w:t xml:space="preserve"> of February 2016 SARS issued </w:t>
      </w:r>
      <w:r w:rsidR="00A56A97" w:rsidRPr="00264008">
        <w:rPr>
          <w:rFonts w:ascii="Arial" w:hAnsi="Arial" w:cs="Arial"/>
          <w:sz w:val="22"/>
          <w:szCs w:val="22"/>
        </w:rPr>
        <w:t>I</w:t>
      </w:r>
      <w:r w:rsidRPr="00264008">
        <w:rPr>
          <w:rFonts w:ascii="Arial" w:hAnsi="Arial" w:cs="Arial"/>
          <w:sz w:val="22"/>
          <w:szCs w:val="22"/>
        </w:rPr>
        <w:t>-Cat with an original assessment in respect of the 2015 year of assessment.</w:t>
      </w:r>
      <w:r w:rsidRPr="00264008">
        <w:rPr>
          <w:rStyle w:val="FootnoteReference"/>
          <w:rFonts w:ascii="Arial" w:hAnsi="Arial" w:cs="Arial"/>
          <w:sz w:val="22"/>
          <w:szCs w:val="22"/>
        </w:rPr>
        <w:footnoteReference w:id="7"/>
      </w:r>
    </w:p>
    <w:p w14:paraId="511147A5" w14:textId="77777777" w:rsidR="00C2095D" w:rsidRPr="00264008" w:rsidRDefault="00C2095D" w:rsidP="00D12BEB">
      <w:pPr>
        <w:spacing w:line="480" w:lineRule="auto"/>
        <w:ind w:left="567" w:hanging="567"/>
        <w:jc w:val="both"/>
        <w:rPr>
          <w:rFonts w:ascii="Arial" w:hAnsi="Arial" w:cs="Arial"/>
          <w:sz w:val="22"/>
          <w:szCs w:val="22"/>
        </w:rPr>
      </w:pPr>
      <w:r w:rsidRPr="00264008">
        <w:rPr>
          <w:rFonts w:ascii="Arial" w:hAnsi="Arial" w:cs="Arial"/>
          <w:sz w:val="22"/>
          <w:szCs w:val="22"/>
        </w:rPr>
        <w:t>[1</w:t>
      </w:r>
      <w:r w:rsidR="00630B66">
        <w:rPr>
          <w:rFonts w:ascii="Arial" w:hAnsi="Arial" w:cs="Arial"/>
          <w:sz w:val="22"/>
          <w:szCs w:val="22"/>
        </w:rPr>
        <w:t>9</w:t>
      </w:r>
      <w:r w:rsidRPr="00264008">
        <w:rPr>
          <w:rFonts w:ascii="Arial" w:hAnsi="Arial" w:cs="Arial"/>
          <w:sz w:val="22"/>
          <w:szCs w:val="22"/>
        </w:rPr>
        <w:t>]</w:t>
      </w:r>
      <w:r w:rsidRPr="00264008">
        <w:rPr>
          <w:rFonts w:ascii="Arial" w:hAnsi="Arial" w:cs="Arial"/>
          <w:sz w:val="22"/>
          <w:szCs w:val="22"/>
        </w:rPr>
        <w:tab/>
        <w:t>On the 20</w:t>
      </w:r>
      <w:r w:rsidRPr="00264008">
        <w:rPr>
          <w:rFonts w:ascii="Arial" w:hAnsi="Arial" w:cs="Arial"/>
          <w:sz w:val="22"/>
          <w:szCs w:val="22"/>
          <w:vertAlign w:val="superscript"/>
        </w:rPr>
        <w:t>th</w:t>
      </w:r>
      <w:r w:rsidRPr="00264008">
        <w:rPr>
          <w:rFonts w:ascii="Arial" w:hAnsi="Arial" w:cs="Arial"/>
          <w:sz w:val="22"/>
          <w:szCs w:val="22"/>
        </w:rPr>
        <w:t xml:space="preserve"> of January 2017 SARS disallow</w:t>
      </w:r>
      <w:r w:rsidR="00050C7E" w:rsidRPr="00264008">
        <w:rPr>
          <w:rFonts w:ascii="Arial" w:hAnsi="Arial" w:cs="Arial"/>
          <w:sz w:val="22"/>
          <w:szCs w:val="22"/>
        </w:rPr>
        <w:t>ed</w:t>
      </w:r>
      <w:r w:rsidR="00A56A97" w:rsidRPr="00264008">
        <w:rPr>
          <w:rFonts w:ascii="Arial" w:hAnsi="Arial" w:cs="Arial"/>
          <w:sz w:val="22"/>
          <w:szCs w:val="22"/>
        </w:rPr>
        <w:t xml:space="preserve"> I</w:t>
      </w:r>
      <w:r w:rsidRPr="00264008">
        <w:rPr>
          <w:rFonts w:ascii="Arial" w:hAnsi="Arial" w:cs="Arial"/>
          <w:sz w:val="22"/>
          <w:szCs w:val="22"/>
        </w:rPr>
        <w:t>-Cat’s objection against the additional assessment for 2014.</w:t>
      </w:r>
      <w:r w:rsidRPr="00264008">
        <w:rPr>
          <w:rStyle w:val="FootnoteReference"/>
          <w:rFonts w:ascii="Arial" w:hAnsi="Arial" w:cs="Arial"/>
          <w:sz w:val="22"/>
          <w:szCs w:val="22"/>
        </w:rPr>
        <w:footnoteReference w:id="8"/>
      </w:r>
    </w:p>
    <w:p w14:paraId="1EF65318" w14:textId="77777777" w:rsidR="00C2095D" w:rsidRPr="00264008" w:rsidRDefault="00C2095D" w:rsidP="00D12BEB">
      <w:pPr>
        <w:spacing w:line="480" w:lineRule="auto"/>
        <w:ind w:left="567" w:hanging="567"/>
        <w:jc w:val="both"/>
        <w:rPr>
          <w:rFonts w:ascii="Arial" w:hAnsi="Arial" w:cs="Arial"/>
          <w:sz w:val="22"/>
          <w:szCs w:val="22"/>
        </w:rPr>
      </w:pPr>
      <w:r w:rsidRPr="00264008">
        <w:rPr>
          <w:rFonts w:ascii="Arial" w:hAnsi="Arial" w:cs="Arial"/>
          <w:sz w:val="22"/>
          <w:szCs w:val="22"/>
        </w:rPr>
        <w:t>[</w:t>
      </w:r>
      <w:r w:rsidR="00630B66">
        <w:rPr>
          <w:rFonts w:ascii="Arial" w:hAnsi="Arial" w:cs="Arial"/>
          <w:sz w:val="22"/>
          <w:szCs w:val="22"/>
        </w:rPr>
        <w:t>20</w:t>
      </w:r>
      <w:r w:rsidRPr="00264008">
        <w:rPr>
          <w:rFonts w:ascii="Arial" w:hAnsi="Arial" w:cs="Arial"/>
          <w:sz w:val="22"/>
          <w:szCs w:val="22"/>
        </w:rPr>
        <w:t>]</w:t>
      </w:r>
      <w:r w:rsidRPr="00264008">
        <w:rPr>
          <w:rFonts w:ascii="Arial" w:hAnsi="Arial" w:cs="Arial"/>
          <w:sz w:val="22"/>
          <w:szCs w:val="22"/>
        </w:rPr>
        <w:tab/>
        <w:t>On the 24</w:t>
      </w:r>
      <w:r w:rsidRPr="00264008">
        <w:rPr>
          <w:rFonts w:ascii="Arial" w:hAnsi="Arial" w:cs="Arial"/>
          <w:sz w:val="22"/>
          <w:szCs w:val="22"/>
          <w:vertAlign w:val="superscript"/>
        </w:rPr>
        <w:t>th</w:t>
      </w:r>
      <w:r w:rsidRPr="00264008">
        <w:rPr>
          <w:rFonts w:ascii="Arial" w:hAnsi="Arial" w:cs="Arial"/>
          <w:sz w:val="22"/>
          <w:szCs w:val="22"/>
        </w:rPr>
        <w:t xml:space="preserve"> </w:t>
      </w:r>
      <w:r w:rsidR="00A56A97" w:rsidRPr="00264008">
        <w:rPr>
          <w:rFonts w:ascii="Arial" w:hAnsi="Arial" w:cs="Arial"/>
          <w:sz w:val="22"/>
          <w:szCs w:val="22"/>
        </w:rPr>
        <w:t>of March 2017 I</w:t>
      </w:r>
      <w:r w:rsidRPr="00264008">
        <w:rPr>
          <w:rFonts w:ascii="Arial" w:hAnsi="Arial" w:cs="Arial"/>
          <w:sz w:val="22"/>
          <w:szCs w:val="22"/>
        </w:rPr>
        <w:t>-Cat file</w:t>
      </w:r>
      <w:r w:rsidR="00050C7E" w:rsidRPr="00264008">
        <w:rPr>
          <w:rFonts w:ascii="Arial" w:hAnsi="Arial" w:cs="Arial"/>
          <w:sz w:val="22"/>
          <w:szCs w:val="22"/>
        </w:rPr>
        <w:t>d</w:t>
      </w:r>
      <w:r w:rsidRPr="00264008">
        <w:rPr>
          <w:rFonts w:ascii="Arial" w:hAnsi="Arial" w:cs="Arial"/>
          <w:sz w:val="22"/>
          <w:szCs w:val="22"/>
        </w:rPr>
        <w:t xml:space="preserve"> a notice of appeal against the disallowance of the objection in respect of the additional 2014 income tax assessment</w:t>
      </w:r>
      <w:r w:rsidR="00050C7E" w:rsidRPr="00264008">
        <w:rPr>
          <w:rFonts w:ascii="Arial" w:hAnsi="Arial" w:cs="Arial"/>
          <w:sz w:val="22"/>
          <w:szCs w:val="22"/>
        </w:rPr>
        <w:t xml:space="preserve"> (the 2014 assessment dispute)</w:t>
      </w:r>
      <w:r w:rsidRPr="00264008">
        <w:rPr>
          <w:rFonts w:ascii="Arial" w:hAnsi="Arial" w:cs="Arial"/>
          <w:sz w:val="22"/>
          <w:szCs w:val="22"/>
        </w:rPr>
        <w:t xml:space="preserve">. </w:t>
      </w:r>
      <w:r w:rsidRPr="00264008">
        <w:rPr>
          <w:rStyle w:val="FootnoteReference"/>
          <w:rFonts w:ascii="Arial" w:hAnsi="Arial" w:cs="Arial"/>
          <w:sz w:val="22"/>
          <w:szCs w:val="22"/>
        </w:rPr>
        <w:footnoteReference w:id="9"/>
      </w:r>
    </w:p>
    <w:p w14:paraId="6ADE8480" w14:textId="77777777" w:rsidR="00C2095D" w:rsidRPr="00264008" w:rsidRDefault="00C2095D" w:rsidP="00D12BEB">
      <w:pPr>
        <w:spacing w:line="480" w:lineRule="auto"/>
        <w:ind w:left="567" w:hanging="567"/>
        <w:jc w:val="both"/>
        <w:rPr>
          <w:rFonts w:ascii="Arial" w:hAnsi="Arial" w:cs="Arial"/>
          <w:sz w:val="22"/>
          <w:szCs w:val="22"/>
        </w:rPr>
      </w:pPr>
      <w:r w:rsidRPr="00264008">
        <w:rPr>
          <w:rFonts w:ascii="Arial" w:hAnsi="Arial" w:cs="Arial"/>
          <w:sz w:val="22"/>
          <w:szCs w:val="22"/>
        </w:rPr>
        <w:t>[</w:t>
      </w:r>
      <w:r w:rsidR="00630B66">
        <w:rPr>
          <w:rFonts w:ascii="Arial" w:hAnsi="Arial" w:cs="Arial"/>
          <w:sz w:val="22"/>
          <w:szCs w:val="22"/>
        </w:rPr>
        <w:t>21</w:t>
      </w:r>
      <w:r w:rsidRPr="00264008">
        <w:rPr>
          <w:rFonts w:ascii="Arial" w:hAnsi="Arial" w:cs="Arial"/>
          <w:sz w:val="22"/>
          <w:szCs w:val="22"/>
        </w:rPr>
        <w:t>]</w:t>
      </w:r>
      <w:r w:rsidRPr="00264008">
        <w:rPr>
          <w:rFonts w:ascii="Arial" w:hAnsi="Arial" w:cs="Arial"/>
          <w:sz w:val="22"/>
          <w:szCs w:val="22"/>
        </w:rPr>
        <w:tab/>
        <w:t>On the 11</w:t>
      </w:r>
      <w:r w:rsidRPr="00264008">
        <w:rPr>
          <w:rFonts w:ascii="Arial" w:hAnsi="Arial" w:cs="Arial"/>
          <w:sz w:val="22"/>
          <w:szCs w:val="22"/>
          <w:vertAlign w:val="superscript"/>
        </w:rPr>
        <w:t>th</w:t>
      </w:r>
      <w:r w:rsidRPr="00264008">
        <w:rPr>
          <w:rFonts w:ascii="Arial" w:hAnsi="Arial" w:cs="Arial"/>
          <w:sz w:val="22"/>
          <w:szCs w:val="22"/>
        </w:rPr>
        <w:t xml:space="preserve"> of October 2017 the ADR Facilitator issue</w:t>
      </w:r>
      <w:r w:rsidR="00050C7E" w:rsidRPr="00264008">
        <w:rPr>
          <w:rFonts w:ascii="Arial" w:hAnsi="Arial" w:cs="Arial"/>
          <w:sz w:val="22"/>
          <w:szCs w:val="22"/>
        </w:rPr>
        <w:t>d</w:t>
      </w:r>
      <w:r w:rsidRPr="00264008">
        <w:rPr>
          <w:rFonts w:ascii="Arial" w:hAnsi="Arial" w:cs="Arial"/>
          <w:sz w:val="22"/>
          <w:szCs w:val="22"/>
        </w:rPr>
        <w:t xml:space="preserve"> a report noting that the parties are unable to resolve the </w:t>
      </w:r>
      <w:r w:rsidR="00050C7E" w:rsidRPr="00264008">
        <w:rPr>
          <w:rFonts w:ascii="Arial" w:hAnsi="Arial" w:cs="Arial"/>
          <w:sz w:val="22"/>
          <w:szCs w:val="22"/>
        </w:rPr>
        <w:t>2014 assessment dispute</w:t>
      </w:r>
      <w:r w:rsidRPr="00264008">
        <w:rPr>
          <w:rFonts w:ascii="Arial" w:hAnsi="Arial" w:cs="Arial"/>
          <w:sz w:val="22"/>
          <w:szCs w:val="22"/>
        </w:rPr>
        <w:t>.</w:t>
      </w:r>
      <w:r w:rsidRPr="00264008">
        <w:rPr>
          <w:rStyle w:val="FootnoteReference"/>
          <w:rFonts w:ascii="Arial" w:hAnsi="Arial" w:cs="Arial"/>
          <w:sz w:val="22"/>
          <w:szCs w:val="22"/>
        </w:rPr>
        <w:footnoteReference w:id="10"/>
      </w:r>
    </w:p>
    <w:p w14:paraId="758E18F5" w14:textId="77777777" w:rsidR="00C2095D" w:rsidRPr="00264008" w:rsidRDefault="00C2095D" w:rsidP="00D12BEB">
      <w:pPr>
        <w:spacing w:line="480" w:lineRule="auto"/>
        <w:ind w:left="567" w:hanging="567"/>
        <w:jc w:val="both"/>
        <w:rPr>
          <w:rFonts w:ascii="Arial" w:hAnsi="Arial" w:cs="Arial"/>
          <w:sz w:val="22"/>
          <w:szCs w:val="22"/>
        </w:rPr>
      </w:pPr>
      <w:r w:rsidRPr="00264008">
        <w:rPr>
          <w:rFonts w:ascii="Arial" w:hAnsi="Arial" w:cs="Arial"/>
          <w:sz w:val="22"/>
          <w:szCs w:val="22"/>
        </w:rPr>
        <w:lastRenderedPageBreak/>
        <w:t>[</w:t>
      </w:r>
      <w:r w:rsidR="00264008">
        <w:rPr>
          <w:rFonts w:ascii="Arial" w:hAnsi="Arial" w:cs="Arial"/>
          <w:sz w:val="22"/>
          <w:szCs w:val="22"/>
        </w:rPr>
        <w:t>2</w:t>
      </w:r>
      <w:r w:rsidR="00630B66">
        <w:rPr>
          <w:rFonts w:ascii="Arial" w:hAnsi="Arial" w:cs="Arial"/>
          <w:sz w:val="22"/>
          <w:szCs w:val="22"/>
        </w:rPr>
        <w:t>2</w:t>
      </w:r>
      <w:r w:rsidRPr="00264008">
        <w:rPr>
          <w:rFonts w:ascii="Arial" w:hAnsi="Arial" w:cs="Arial"/>
          <w:sz w:val="22"/>
          <w:szCs w:val="22"/>
        </w:rPr>
        <w:t>]</w:t>
      </w:r>
      <w:r w:rsidRPr="00264008">
        <w:rPr>
          <w:rFonts w:ascii="Arial" w:hAnsi="Arial" w:cs="Arial"/>
          <w:sz w:val="22"/>
          <w:szCs w:val="22"/>
        </w:rPr>
        <w:tab/>
        <w:t>On the 25</w:t>
      </w:r>
      <w:r w:rsidRPr="00264008">
        <w:rPr>
          <w:rFonts w:ascii="Arial" w:hAnsi="Arial" w:cs="Arial"/>
          <w:sz w:val="22"/>
          <w:szCs w:val="22"/>
          <w:vertAlign w:val="superscript"/>
        </w:rPr>
        <w:t>th</w:t>
      </w:r>
      <w:r w:rsidRPr="00264008">
        <w:rPr>
          <w:rFonts w:ascii="Arial" w:hAnsi="Arial" w:cs="Arial"/>
          <w:sz w:val="22"/>
          <w:szCs w:val="22"/>
        </w:rPr>
        <w:t xml:space="preserve"> </w:t>
      </w:r>
      <w:r w:rsidR="00A56A97" w:rsidRPr="00264008">
        <w:rPr>
          <w:rFonts w:ascii="Arial" w:hAnsi="Arial" w:cs="Arial"/>
          <w:sz w:val="22"/>
          <w:szCs w:val="22"/>
        </w:rPr>
        <w:t>of October 2017 I</w:t>
      </w:r>
      <w:r w:rsidRPr="00264008">
        <w:rPr>
          <w:rFonts w:ascii="Arial" w:hAnsi="Arial" w:cs="Arial"/>
          <w:sz w:val="22"/>
          <w:szCs w:val="22"/>
        </w:rPr>
        <w:t>-Cat file</w:t>
      </w:r>
      <w:r w:rsidR="00050C7E" w:rsidRPr="00264008">
        <w:rPr>
          <w:rFonts w:ascii="Arial" w:hAnsi="Arial" w:cs="Arial"/>
          <w:sz w:val="22"/>
          <w:szCs w:val="22"/>
        </w:rPr>
        <w:t>d</w:t>
      </w:r>
      <w:r w:rsidRPr="00264008">
        <w:rPr>
          <w:rFonts w:ascii="Arial" w:hAnsi="Arial" w:cs="Arial"/>
          <w:sz w:val="22"/>
          <w:szCs w:val="22"/>
        </w:rPr>
        <w:t xml:space="preserve"> a notice </w:t>
      </w:r>
      <w:r w:rsidR="00050C7E" w:rsidRPr="00264008">
        <w:rPr>
          <w:rFonts w:ascii="Arial" w:hAnsi="Arial" w:cs="Arial"/>
          <w:sz w:val="22"/>
          <w:szCs w:val="22"/>
        </w:rPr>
        <w:t>in terms of</w:t>
      </w:r>
      <w:r w:rsidRPr="00264008">
        <w:rPr>
          <w:rFonts w:ascii="Arial" w:hAnsi="Arial" w:cs="Arial"/>
          <w:sz w:val="22"/>
          <w:szCs w:val="22"/>
        </w:rPr>
        <w:t xml:space="preserve"> Tax Court Rule 25(3) that it intends to pursue the tax appeal to the Tax Court</w:t>
      </w:r>
      <w:r w:rsidR="00050C7E" w:rsidRPr="00264008">
        <w:rPr>
          <w:rFonts w:ascii="Arial" w:hAnsi="Arial" w:cs="Arial"/>
          <w:sz w:val="22"/>
          <w:szCs w:val="22"/>
        </w:rPr>
        <w:t xml:space="preserve"> in respect of the 2014 assessment dispute (the 2014 income tax appeal)</w:t>
      </w:r>
      <w:r w:rsidRPr="00264008">
        <w:rPr>
          <w:rFonts w:ascii="Arial" w:hAnsi="Arial" w:cs="Arial"/>
          <w:sz w:val="22"/>
          <w:szCs w:val="22"/>
        </w:rPr>
        <w:t>.</w:t>
      </w:r>
      <w:r w:rsidRPr="00264008">
        <w:rPr>
          <w:rStyle w:val="FootnoteReference"/>
          <w:rFonts w:ascii="Arial" w:hAnsi="Arial" w:cs="Arial"/>
          <w:sz w:val="22"/>
          <w:szCs w:val="22"/>
        </w:rPr>
        <w:footnoteReference w:id="11"/>
      </w:r>
    </w:p>
    <w:p w14:paraId="676075F3" w14:textId="77777777" w:rsidR="00C2095D" w:rsidRPr="00264008" w:rsidRDefault="00C2095D" w:rsidP="00D12BEB">
      <w:pPr>
        <w:spacing w:line="480" w:lineRule="auto"/>
        <w:ind w:left="567" w:hanging="567"/>
        <w:jc w:val="both"/>
        <w:rPr>
          <w:rFonts w:ascii="Arial" w:hAnsi="Arial" w:cs="Arial"/>
          <w:sz w:val="22"/>
          <w:szCs w:val="22"/>
        </w:rPr>
      </w:pPr>
      <w:r w:rsidRPr="00264008">
        <w:rPr>
          <w:rFonts w:ascii="Arial" w:hAnsi="Arial" w:cs="Arial"/>
          <w:sz w:val="22"/>
          <w:szCs w:val="22"/>
        </w:rPr>
        <w:t>[</w:t>
      </w:r>
      <w:r w:rsidR="00264008">
        <w:rPr>
          <w:rFonts w:ascii="Arial" w:hAnsi="Arial" w:cs="Arial"/>
          <w:sz w:val="22"/>
          <w:szCs w:val="22"/>
        </w:rPr>
        <w:t>2</w:t>
      </w:r>
      <w:r w:rsidR="00630B66">
        <w:rPr>
          <w:rFonts w:ascii="Arial" w:hAnsi="Arial" w:cs="Arial"/>
          <w:sz w:val="22"/>
          <w:szCs w:val="22"/>
        </w:rPr>
        <w:t>3</w:t>
      </w:r>
      <w:r w:rsidRPr="00264008">
        <w:rPr>
          <w:rFonts w:ascii="Arial" w:hAnsi="Arial" w:cs="Arial"/>
          <w:sz w:val="22"/>
          <w:szCs w:val="22"/>
        </w:rPr>
        <w:t>]</w:t>
      </w:r>
      <w:r w:rsidRPr="00264008">
        <w:rPr>
          <w:rFonts w:ascii="Arial" w:hAnsi="Arial" w:cs="Arial"/>
          <w:sz w:val="22"/>
          <w:szCs w:val="22"/>
        </w:rPr>
        <w:tab/>
        <w:t>On the 5</w:t>
      </w:r>
      <w:r w:rsidRPr="00264008">
        <w:rPr>
          <w:rFonts w:ascii="Arial" w:hAnsi="Arial" w:cs="Arial"/>
          <w:sz w:val="22"/>
          <w:szCs w:val="22"/>
          <w:vertAlign w:val="superscript"/>
        </w:rPr>
        <w:t>th</w:t>
      </w:r>
      <w:r w:rsidRPr="00264008">
        <w:rPr>
          <w:rFonts w:ascii="Arial" w:hAnsi="Arial" w:cs="Arial"/>
          <w:sz w:val="22"/>
          <w:szCs w:val="22"/>
        </w:rPr>
        <w:t xml:space="preserve"> of October 2018 SARS file</w:t>
      </w:r>
      <w:r w:rsidR="00050C7E" w:rsidRPr="00264008">
        <w:rPr>
          <w:rFonts w:ascii="Arial" w:hAnsi="Arial" w:cs="Arial"/>
          <w:sz w:val="22"/>
          <w:szCs w:val="22"/>
        </w:rPr>
        <w:t>d</w:t>
      </w:r>
      <w:r w:rsidRPr="00264008">
        <w:rPr>
          <w:rFonts w:ascii="Arial" w:hAnsi="Arial" w:cs="Arial"/>
          <w:sz w:val="22"/>
          <w:szCs w:val="22"/>
        </w:rPr>
        <w:t xml:space="preserve"> its Rule 31 statement in the 2014 income tax appeal.</w:t>
      </w:r>
      <w:r w:rsidRPr="00264008">
        <w:rPr>
          <w:rStyle w:val="FootnoteReference"/>
          <w:rFonts w:ascii="Arial" w:hAnsi="Arial" w:cs="Arial"/>
          <w:sz w:val="22"/>
          <w:szCs w:val="22"/>
        </w:rPr>
        <w:footnoteReference w:id="12"/>
      </w:r>
    </w:p>
    <w:p w14:paraId="7A99CA5C" w14:textId="77777777" w:rsidR="00C2095D" w:rsidRPr="00264008" w:rsidRDefault="00C2095D" w:rsidP="00D12BEB">
      <w:pPr>
        <w:spacing w:line="480" w:lineRule="auto"/>
        <w:ind w:left="567" w:hanging="567"/>
        <w:jc w:val="both"/>
        <w:rPr>
          <w:rFonts w:ascii="Arial" w:hAnsi="Arial" w:cs="Arial"/>
          <w:sz w:val="22"/>
          <w:szCs w:val="22"/>
        </w:rPr>
      </w:pPr>
      <w:r w:rsidRPr="00264008">
        <w:rPr>
          <w:rFonts w:ascii="Arial" w:hAnsi="Arial" w:cs="Arial"/>
          <w:sz w:val="22"/>
          <w:szCs w:val="22"/>
        </w:rPr>
        <w:t>[</w:t>
      </w:r>
      <w:r w:rsidR="00050C7E" w:rsidRPr="00264008">
        <w:rPr>
          <w:rFonts w:ascii="Arial" w:hAnsi="Arial" w:cs="Arial"/>
          <w:sz w:val="22"/>
          <w:szCs w:val="22"/>
        </w:rPr>
        <w:t>2</w:t>
      </w:r>
      <w:r w:rsidR="00630B66">
        <w:rPr>
          <w:rFonts w:ascii="Arial" w:hAnsi="Arial" w:cs="Arial"/>
          <w:sz w:val="22"/>
          <w:szCs w:val="22"/>
        </w:rPr>
        <w:t>4</w:t>
      </w:r>
      <w:r w:rsidRPr="00264008">
        <w:rPr>
          <w:rFonts w:ascii="Arial" w:hAnsi="Arial" w:cs="Arial"/>
          <w:sz w:val="22"/>
          <w:szCs w:val="22"/>
        </w:rPr>
        <w:t>]</w:t>
      </w:r>
      <w:r w:rsidRPr="00264008">
        <w:rPr>
          <w:rFonts w:ascii="Arial" w:hAnsi="Arial" w:cs="Arial"/>
          <w:sz w:val="22"/>
          <w:szCs w:val="22"/>
        </w:rPr>
        <w:tab/>
        <w:t>On the 4</w:t>
      </w:r>
      <w:r w:rsidRPr="00264008">
        <w:rPr>
          <w:rFonts w:ascii="Arial" w:hAnsi="Arial" w:cs="Arial"/>
          <w:sz w:val="22"/>
          <w:szCs w:val="22"/>
          <w:vertAlign w:val="superscript"/>
        </w:rPr>
        <w:t>th</w:t>
      </w:r>
      <w:r w:rsidRPr="00264008">
        <w:rPr>
          <w:rFonts w:ascii="Arial" w:hAnsi="Arial" w:cs="Arial"/>
          <w:sz w:val="22"/>
          <w:szCs w:val="22"/>
        </w:rPr>
        <w:t xml:space="preserve"> </w:t>
      </w:r>
      <w:r w:rsidR="00A56A97" w:rsidRPr="00264008">
        <w:rPr>
          <w:rFonts w:ascii="Arial" w:hAnsi="Arial" w:cs="Arial"/>
          <w:sz w:val="22"/>
          <w:szCs w:val="22"/>
        </w:rPr>
        <w:t>of December 2018 I</w:t>
      </w:r>
      <w:r w:rsidRPr="00264008">
        <w:rPr>
          <w:rFonts w:ascii="Arial" w:hAnsi="Arial" w:cs="Arial"/>
          <w:sz w:val="22"/>
          <w:szCs w:val="22"/>
        </w:rPr>
        <w:t>-Cat file</w:t>
      </w:r>
      <w:r w:rsidR="00050C7E" w:rsidRPr="00264008">
        <w:rPr>
          <w:rFonts w:ascii="Arial" w:hAnsi="Arial" w:cs="Arial"/>
          <w:sz w:val="22"/>
          <w:szCs w:val="22"/>
        </w:rPr>
        <w:t>d</w:t>
      </w:r>
      <w:r w:rsidRPr="00264008">
        <w:rPr>
          <w:rFonts w:ascii="Arial" w:hAnsi="Arial" w:cs="Arial"/>
          <w:sz w:val="22"/>
          <w:szCs w:val="22"/>
        </w:rPr>
        <w:t xml:space="preserve"> it</w:t>
      </w:r>
      <w:r w:rsidR="00630B66">
        <w:rPr>
          <w:rFonts w:ascii="Arial" w:hAnsi="Arial" w:cs="Arial"/>
          <w:sz w:val="22"/>
          <w:szCs w:val="22"/>
        </w:rPr>
        <w:t>s</w:t>
      </w:r>
      <w:r w:rsidRPr="00264008">
        <w:rPr>
          <w:rFonts w:ascii="Arial" w:hAnsi="Arial" w:cs="Arial"/>
          <w:sz w:val="22"/>
          <w:szCs w:val="22"/>
        </w:rPr>
        <w:t xml:space="preserve"> Rule 32 statement in the 2014 income tax appeal.</w:t>
      </w:r>
      <w:r w:rsidRPr="00264008">
        <w:rPr>
          <w:rStyle w:val="FootnoteReference"/>
          <w:rFonts w:ascii="Arial" w:hAnsi="Arial" w:cs="Arial"/>
          <w:sz w:val="22"/>
          <w:szCs w:val="22"/>
        </w:rPr>
        <w:footnoteReference w:id="13"/>
      </w:r>
    </w:p>
    <w:p w14:paraId="78F51884" w14:textId="77777777" w:rsidR="00525D3F" w:rsidRPr="00264008" w:rsidRDefault="00C2095D" w:rsidP="00D12BEB">
      <w:pPr>
        <w:spacing w:line="480" w:lineRule="auto"/>
        <w:ind w:left="567" w:hanging="567"/>
        <w:jc w:val="both"/>
        <w:rPr>
          <w:rFonts w:ascii="Arial" w:hAnsi="Arial" w:cs="Arial"/>
          <w:sz w:val="22"/>
          <w:szCs w:val="22"/>
        </w:rPr>
      </w:pPr>
      <w:r w:rsidRPr="00264008">
        <w:rPr>
          <w:rFonts w:ascii="Arial" w:hAnsi="Arial" w:cs="Arial"/>
          <w:sz w:val="22"/>
          <w:szCs w:val="22"/>
        </w:rPr>
        <w:t>[2</w:t>
      </w:r>
      <w:r w:rsidR="00630B66">
        <w:rPr>
          <w:rFonts w:ascii="Arial" w:hAnsi="Arial" w:cs="Arial"/>
          <w:sz w:val="22"/>
          <w:szCs w:val="22"/>
        </w:rPr>
        <w:t>5</w:t>
      </w:r>
      <w:r w:rsidRPr="00264008">
        <w:rPr>
          <w:rFonts w:ascii="Arial" w:hAnsi="Arial" w:cs="Arial"/>
          <w:sz w:val="22"/>
          <w:szCs w:val="22"/>
        </w:rPr>
        <w:t>]</w:t>
      </w:r>
      <w:r w:rsidRPr="00264008">
        <w:rPr>
          <w:rFonts w:ascii="Arial" w:hAnsi="Arial" w:cs="Arial"/>
          <w:sz w:val="22"/>
          <w:szCs w:val="22"/>
        </w:rPr>
        <w:tab/>
        <w:t>On the 25</w:t>
      </w:r>
      <w:r w:rsidRPr="00264008">
        <w:rPr>
          <w:rFonts w:ascii="Arial" w:hAnsi="Arial" w:cs="Arial"/>
          <w:sz w:val="22"/>
          <w:szCs w:val="22"/>
          <w:vertAlign w:val="superscript"/>
        </w:rPr>
        <w:t>th</w:t>
      </w:r>
      <w:r w:rsidRPr="00264008">
        <w:rPr>
          <w:rFonts w:ascii="Arial" w:hAnsi="Arial" w:cs="Arial"/>
          <w:sz w:val="22"/>
          <w:szCs w:val="22"/>
        </w:rPr>
        <w:t xml:space="preserve"> </w:t>
      </w:r>
      <w:r w:rsidR="00A56A97" w:rsidRPr="00264008">
        <w:rPr>
          <w:rFonts w:ascii="Arial" w:hAnsi="Arial" w:cs="Arial"/>
          <w:sz w:val="22"/>
          <w:szCs w:val="22"/>
        </w:rPr>
        <w:t>of February 2019</w:t>
      </w:r>
      <w:r w:rsidR="00050C7E" w:rsidRPr="00264008">
        <w:rPr>
          <w:rFonts w:ascii="Arial" w:hAnsi="Arial" w:cs="Arial"/>
          <w:sz w:val="22"/>
          <w:szCs w:val="22"/>
        </w:rPr>
        <w:t>,</w:t>
      </w:r>
      <w:r w:rsidR="00A56A97" w:rsidRPr="00264008">
        <w:rPr>
          <w:rFonts w:ascii="Arial" w:hAnsi="Arial" w:cs="Arial"/>
          <w:sz w:val="22"/>
          <w:szCs w:val="22"/>
        </w:rPr>
        <w:t xml:space="preserve"> </w:t>
      </w:r>
      <w:r w:rsidR="00050C7E" w:rsidRPr="00264008">
        <w:rPr>
          <w:rFonts w:ascii="Arial" w:hAnsi="Arial" w:cs="Arial"/>
          <w:sz w:val="22"/>
          <w:szCs w:val="22"/>
        </w:rPr>
        <w:t xml:space="preserve">a three year period </w:t>
      </w:r>
      <w:r w:rsidR="005A33F0" w:rsidRPr="00264008">
        <w:rPr>
          <w:rFonts w:ascii="Arial" w:hAnsi="Arial" w:cs="Arial"/>
          <w:sz w:val="22"/>
          <w:szCs w:val="22"/>
        </w:rPr>
        <w:t xml:space="preserve">subsequent to </w:t>
      </w:r>
      <w:r w:rsidR="00630B66">
        <w:rPr>
          <w:rFonts w:ascii="Arial" w:hAnsi="Arial" w:cs="Arial"/>
          <w:sz w:val="22"/>
          <w:szCs w:val="22"/>
        </w:rPr>
        <w:t xml:space="preserve">the date of </w:t>
      </w:r>
      <w:r w:rsidR="00A56A97" w:rsidRPr="00264008">
        <w:rPr>
          <w:rFonts w:ascii="Arial" w:hAnsi="Arial" w:cs="Arial"/>
          <w:sz w:val="22"/>
          <w:szCs w:val="22"/>
        </w:rPr>
        <w:t>I</w:t>
      </w:r>
      <w:r w:rsidRPr="00264008">
        <w:rPr>
          <w:rFonts w:ascii="Arial" w:hAnsi="Arial" w:cs="Arial"/>
          <w:sz w:val="22"/>
          <w:szCs w:val="22"/>
        </w:rPr>
        <w:t xml:space="preserve">-Cat’s original 2015 assessment </w:t>
      </w:r>
      <w:r w:rsidR="005A33F0" w:rsidRPr="00264008">
        <w:rPr>
          <w:rFonts w:ascii="Arial" w:hAnsi="Arial" w:cs="Arial"/>
          <w:sz w:val="22"/>
          <w:szCs w:val="22"/>
        </w:rPr>
        <w:t>lapses</w:t>
      </w:r>
      <w:r w:rsidR="005A33F0" w:rsidRPr="00264008">
        <w:rPr>
          <w:rStyle w:val="FootnoteReference"/>
          <w:rFonts w:ascii="Arial" w:hAnsi="Arial" w:cs="Arial"/>
          <w:sz w:val="22"/>
          <w:szCs w:val="22"/>
        </w:rPr>
        <w:footnoteReference w:id="14"/>
      </w:r>
      <w:r w:rsidR="005A33F0" w:rsidRPr="00264008">
        <w:rPr>
          <w:rFonts w:ascii="Arial" w:hAnsi="Arial" w:cs="Arial"/>
          <w:sz w:val="22"/>
          <w:szCs w:val="22"/>
        </w:rPr>
        <w:t xml:space="preserve"> and may have possibly become </w:t>
      </w:r>
      <w:r w:rsidRPr="00264008">
        <w:rPr>
          <w:rFonts w:ascii="Arial" w:hAnsi="Arial" w:cs="Arial"/>
          <w:sz w:val="22"/>
          <w:szCs w:val="22"/>
        </w:rPr>
        <w:t>prescribe</w:t>
      </w:r>
      <w:r w:rsidR="005A33F0" w:rsidRPr="00264008">
        <w:rPr>
          <w:rFonts w:ascii="Arial" w:hAnsi="Arial" w:cs="Arial"/>
          <w:sz w:val="22"/>
          <w:szCs w:val="22"/>
        </w:rPr>
        <w:t>d.</w:t>
      </w:r>
      <w:r w:rsidRPr="00264008">
        <w:rPr>
          <w:rFonts w:ascii="Arial" w:hAnsi="Arial" w:cs="Arial"/>
          <w:sz w:val="22"/>
          <w:szCs w:val="22"/>
        </w:rPr>
        <w:t xml:space="preserve"> </w:t>
      </w:r>
    </w:p>
    <w:p w14:paraId="6DBA6BC6" w14:textId="77777777" w:rsidR="00C2095D" w:rsidRPr="00264008" w:rsidRDefault="00C2095D" w:rsidP="00D12BEB">
      <w:pPr>
        <w:spacing w:line="480" w:lineRule="auto"/>
        <w:ind w:left="567" w:hanging="567"/>
        <w:jc w:val="both"/>
        <w:rPr>
          <w:rFonts w:ascii="Arial" w:hAnsi="Arial" w:cs="Arial"/>
          <w:sz w:val="22"/>
          <w:szCs w:val="22"/>
        </w:rPr>
      </w:pPr>
      <w:r w:rsidRPr="00264008">
        <w:rPr>
          <w:rFonts w:ascii="Arial" w:hAnsi="Arial" w:cs="Arial"/>
          <w:sz w:val="22"/>
          <w:szCs w:val="22"/>
        </w:rPr>
        <w:t>[2</w:t>
      </w:r>
      <w:r w:rsidR="00630B66">
        <w:rPr>
          <w:rFonts w:ascii="Arial" w:hAnsi="Arial" w:cs="Arial"/>
          <w:sz w:val="22"/>
          <w:szCs w:val="22"/>
        </w:rPr>
        <w:t>6</w:t>
      </w:r>
      <w:r w:rsidRPr="00264008">
        <w:rPr>
          <w:rFonts w:ascii="Arial" w:hAnsi="Arial" w:cs="Arial"/>
          <w:sz w:val="22"/>
          <w:szCs w:val="22"/>
        </w:rPr>
        <w:t>]</w:t>
      </w:r>
      <w:r w:rsidRPr="00264008">
        <w:rPr>
          <w:rFonts w:ascii="Arial" w:hAnsi="Arial" w:cs="Arial"/>
          <w:sz w:val="22"/>
          <w:szCs w:val="22"/>
        </w:rPr>
        <w:tab/>
        <w:t>On the 8</w:t>
      </w:r>
      <w:r w:rsidRPr="00264008">
        <w:rPr>
          <w:rFonts w:ascii="Arial" w:hAnsi="Arial" w:cs="Arial"/>
          <w:sz w:val="22"/>
          <w:szCs w:val="22"/>
          <w:vertAlign w:val="superscript"/>
        </w:rPr>
        <w:t>th</w:t>
      </w:r>
      <w:r w:rsidRPr="00264008">
        <w:rPr>
          <w:rFonts w:ascii="Arial" w:hAnsi="Arial" w:cs="Arial"/>
          <w:sz w:val="22"/>
          <w:szCs w:val="22"/>
        </w:rPr>
        <w:t xml:space="preserve"> of March 2019 the Registrar of the Tax Court issues a notice of set down </w:t>
      </w:r>
      <w:r w:rsidR="005A33F0" w:rsidRPr="00264008">
        <w:rPr>
          <w:rFonts w:ascii="Arial" w:hAnsi="Arial" w:cs="Arial"/>
          <w:sz w:val="22"/>
          <w:szCs w:val="22"/>
        </w:rPr>
        <w:t xml:space="preserve">for the hearing of the 2014 income tax appeal </w:t>
      </w:r>
      <w:r w:rsidRPr="00264008">
        <w:rPr>
          <w:rFonts w:ascii="Arial" w:hAnsi="Arial" w:cs="Arial"/>
          <w:sz w:val="22"/>
          <w:szCs w:val="22"/>
        </w:rPr>
        <w:t>for the 28</w:t>
      </w:r>
      <w:r w:rsidRPr="00264008">
        <w:rPr>
          <w:rFonts w:ascii="Arial" w:hAnsi="Arial" w:cs="Arial"/>
          <w:sz w:val="22"/>
          <w:szCs w:val="22"/>
          <w:vertAlign w:val="superscript"/>
        </w:rPr>
        <w:t>th</w:t>
      </w:r>
      <w:r w:rsidRPr="00264008">
        <w:rPr>
          <w:rFonts w:ascii="Arial" w:hAnsi="Arial" w:cs="Arial"/>
          <w:sz w:val="22"/>
          <w:szCs w:val="22"/>
        </w:rPr>
        <w:t xml:space="preserve"> of October 2019.</w:t>
      </w:r>
      <w:r w:rsidRPr="00264008">
        <w:rPr>
          <w:rStyle w:val="FootnoteReference"/>
          <w:rFonts w:ascii="Arial" w:hAnsi="Arial" w:cs="Arial"/>
          <w:sz w:val="22"/>
          <w:szCs w:val="22"/>
        </w:rPr>
        <w:footnoteReference w:id="15"/>
      </w:r>
    </w:p>
    <w:p w14:paraId="23C57375" w14:textId="77777777" w:rsidR="00C2095D" w:rsidRPr="00264008" w:rsidRDefault="00C2095D" w:rsidP="00D12BEB">
      <w:pPr>
        <w:spacing w:line="480" w:lineRule="auto"/>
        <w:ind w:left="567" w:hanging="567"/>
        <w:jc w:val="both"/>
        <w:rPr>
          <w:rFonts w:ascii="Arial" w:hAnsi="Arial" w:cs="Arial"/>
          <w:sz w:val="22"/>
          <w:szCs w:val="22"/>
        </w:rPr>
      </w:pPr>
      <w:r w:rsidRPr="00264008">
        <w:rPr>
          <w:rFonts w:ascii="Arial" w:hAnsi="Arial" w:cs="Arial"/>
          <w:sz w:val="22"/>
          <w:szCs w:val="22"/>
        </w:rPr>
        <w:t>[2</w:t>
      </w:r>
      <w:r w:rsidR="00630B66">
        <w:rPr>
          <w:rFonts w:ascii="Arial" w:hAnsi="Arial" w:cs="Arial"/>
          <w:sz w:val="22"/>
          <w:szCs w:val="22"/>
        </w:rPr>
        <w:t>7</w:t>
      </w:r>
      <w:r w:rsidRPr="00264008">
        <w:rPr>
          <w:rFonts w:ascii="Arial" w:hAnsi="Arial" w:cs="Arial"/>
          <w:sz w:val="22"/>
          <w:szCs w:val="22"/>
        </w:rPr>
        <w:t>]</w:t>
      </w:r>
      <w:r w:rsidRPr="00264008">
        <w:rPr>
          <w:rFonts w:ascii="Arial" w:hAnsi="Arial" w:cs="Arial"/>
          <w:sz w:val="22"/>
          <w:szCs w:val="22"/>
        </w:rPr>
        <w:tab/>
        <w:t>On the 28</w:t>
      </w:r>
      <w:r w:rsidRPr="00264008">
        <w:rPr>
          <w:rFonts w:ascii="Arial" w:hAnsi="Arial" w:cs="Arial"/>
          <w:sz w:val="22"/>
          <w:szCs w:val="22"/>
          <w:vertAlign w:val="superscript"/>
        </w:rPr>
        <w:t>th</w:t>
      </w:r>
      <w:r w:rsidRPr="00264008">
        <w:rPr>
          <w:rFonts w:ascii="Arial" w:hAnsi="Arial" w:cs="Arial"/>
          <w:sz w:val="22"/>
          <w:szCs w:val="22"/>
        </w:rPr>
        <w:t xml:space="preserve"> of October 2019, the date for the hear</w:t>
      </w:r>
      <w:r w:rsidR="00A56A97" w:rsidRPr="00264008">
        <w:rPr>
          <w:rFonts w:ascii="Arial" w:hAnsi="Arial" w:cs="Arial"/>
          <w:sz w:val="22"/>
          <w:szCs w:val="22"/>
        </w:rPr>
        <w:t xml:space="preserve">ing of the </w:t>
      </w:r>
      <w:r w:rsidR="005A33F0" w:rsidRPr="00264008">
        <w:rPr>
          <w:rFonts w:ascii="Arial" w:hAnsi="Arial" w:cs="Arial"/>
          <w:sz w:val="22"/>
          <w:szCs w:val="22"/>
        </w:rPr>
        <w:t>2014 income tax</w:t>
      </w:r>
      <w:r w:rsidR="00A56A97" w:rsidRPr="00264008">
        <w:rPr>
          <w:rFonts w:ascii="Arial" w:hAnsi="Arial" w:cs="Arial"/>
          <w:sz w:val="22"/>
          <w:szCs w:val="22"/>
        </w:rPr>
        <w:t xml:space="preserve"> appeal, I</w:t>
      </w:r>
      <w:r w:rsidRPr="00264008">
        <w:rPr>
          <w:rFonts w:ascii="Arial" w:hAnsi="Arial" w:cs="Arial"/>
          <w:sz w:val="22"/>
          <w:szCs w:val="22"/>
        </w:rPr>
        <w:t xml:space="preserve">-Cat and SARS settled the </w:t>
      </w:r>
      <w:r w:rsidR="005A33F0" w:rsidRPr="00264008">
        <w:rPr>
          <w:rFonts w:ascii="Arial" w:hAnsi="Arial" w:cs="Arial"/>
          <w:sz w:val="22"/>
          <w:szCs w:val="22"/>
        </w:rPr>
        <w:t xml:space="preserve">2014 income </w:t>
      </w:r>
      <w:r w:rsidRPr="00264008">
        <w:rPr>
          <w:rFonts w:ascii="Arial" w:hAnsi="Arial" w:cs="Arial"/>
          <w:sz w:val="22"/>
          <w:szCs w:val="22"/>
        </w:rPr>
        <w:t>tax appeal in respect of the 2014 year of assessment.</w:t>
      </w:r>
      <w:r w:rsidRPr="00264008">
        <w:rPr>
          <w:rStyle w:val="FootnoteReference"/>
          <w:rFonts w:ascii="Arial" w:hAnsi="Arial" w:cs="Arial"/>
          <w:sz w:val="22"/>
          <w:szCs w:val="22"/>
        </w:rPr>
        <w:footnoteReference w:id="16"/>
      </w:r>
      <w:r w:rsidR="00630B66">
        <w:rPr>
          <w:rFonts w:ascii="Arial" w:hAnsi="Arial" w:cs="Arial"/>
          <w:sz w:val="22"/>
          <w:szCs w:val="22"/>
        </w:rPr>
        <w:t xml:space="preserve"> O</w:t>
      </w:r>
      <w:r w:rsidRPr="00264008">
        <w:rPr>
          <w:rFonts w:ascii="Arial" w:hAnsi="Arial" w:cs="Arial"/>
          <w:sz w:val="22"/>
          <w:szCs w:val="22"/>
        </w:rPr>
        <w:t>n the 28</w:t>
      </w:r>
      <w:r w:rsidRPr="00264008">
        <w:rPr>
          <w:rFonts w:ascii="Arial" w:hAnsi="Arial" w:cs="Arial"/>
          <w:sz w:val="22"/>
          <w:szCs w:val="22"/>
          <w:vertAlign w:val="superscript"/>
        </w:rPr>
        <w:t>th</w:t>
      </w:r>
      <w:r w:rsidRPr="00264008">
        <w:rPr>
          <w:rFonts w:ascii="Arial" w:hAnsi="Arial" w:cs="Arial"/>
          <w:sz w:val="22"/>
          <w:szCs w:val="22"/>
        </w:rPr>
        <w:t xml:space="preserve"> of October 2019 the Tax Court makes the settlement agreement between the parties a consent order</w:t>
      </w:r>
      <w:r w:rsidR="005A33F0" w:rsidRPr="00264008">
        <w:rPr>
          <w:rFonts w:ascii="Arial" w:hAnsi="Arial" w:cs="Arial"/>
          <w:sz w:val="22"/>
          <w:szCs w:val="22"/>
        </w:rPr>
        <w:t xml:space="preserve"> of court</w:t>
      </w:r>
      <w:r w:rsidRPr="00264008">
        <w:rPr>
          <w:rFonts w:ascii="Arial" w:hAnsi="Arial" w:cs="Arial"/>
          <w:sz w:val="22"/>
          <w:szCs w:val="22"/>
        </w:rPr>
        <w:t xml:space="preserve">. </w:t>
      </w:r>
    </w:p>
    <w:p w14:paraId="68EB11F7" w14:textId="77777777" w:rsidR="00C2095D" w:rsidRPr="00264008" w:rsidRDefault="00C2095D" w:rsidP="00D12BEB">
      <w:pPr>
        <w:spacing w:line="480" w:lineRule="auto"/>
        <w:ind w:left="567" w:hanging="567"/>
        <w:jc w:val="both"/>
        <w:rPr>
          <w:rFonts w:ascii="Arial" w:hAnsi="Arial" w:cs="Arial"/>
          <w:sz w:val="22"/>
          <w:szCs w:val="22"/>
        </w:rPr>
      </w:pPr>
      <w:r w:rsidRPr="00264008">
        <w:rPr>
          <w:rFonts w:ascii="Arial" w:hAnsi="Arial" w:cs="Arial"/>
          <w:sz w:val="22"/>
          <w:szCs w:val="22"/>
        </w:rPr>
        <w:t>[2</w:t>
      </w:r>
      <w:r w:rsidR="00630B66">
        <w:rPr>
          <w:rFonts w:ascii="Arial" w:hAnsi="Arial" w:cs="Arial"/>
          <w:sz w:val="22"/>
          <w:szCs w:val="22"/>
        </w:rPr>
        <w:t>8</w:t>
      </w:r>
      <w:r w:rsidRPr="00264008">
        <w:rPr>
          <w:rFonts w:ascii="Arial" w:hAnsi="Arial" w:cs="Arial"/>
          <w:sz w:val="22"/>
          <w:szCs w:val="22"/>
        </w:rPr>
        <w:t>]</w:t>
      </w:r>
      <w:r w:rsidRPr="00264008">
        <w:rPr>
          <w:rFonts w:ascii="Arial" w:hAnsi="Arial" w:cs="Arial"/>
          <w:sz w:val="22"/>
          <w:szCs w:val="22"/>
        </w:rPr>
        <w:tab/>
      </w:r>
      <w:r w:rsidR="005A33F0" w:rsidRPr="00264008">
        <w:rPr>
          <w:rFonts w:ascii="Arial" w:hAnsi="Arial" w:cs="Arial"/>
          <w:sz w:val="22"/>
          <w:szCs w:val="22"/>
        </w:rPr>
        <w:t>Pursuant to the settlement and the consent order I-cat proceeds and o</w:t>
      </w:r>
      <w:r w:rsidRPr="00264008">
        <w:rPr>
          <w:rFonts w:ascii="Arial" w:hAnsi="Arial" w:cs="Arial"/>
          <w:sz w:val="22"/>
          <w:szCs w:val="22"/>
        </w:rPr>
        <w:t>n the 13</w:t>
      </w:r>
      <w:r w:rsidRPr="00264008">
        <w:rPr>
          <w:rFonts w:ascii="Arial" w:hAnsi="Arial" w:cs="Arial"/>
          <w:sz w:val="22"/>
          <w:szCs w:val="22"/>
          <w:vertAlign w:val="superscript"/>
        </w:rPr>
        <w:t>th</w:t>
      </w:r>
      <w:r w:rsidRPr="00264008">
        <w:rPr>
          <w:rFonts w:ascii="Arial" w:hAnsi="Arial" w:cs="Arial"/>
          <w:sz w:val="22"/>
          <w:szCs w:val="22"/>
        </w:rPr>
        <w:t xml:space="preserve"> </w:t>
      </w:r>
      <w:r w:rsidR="00A56A97" w:rsidRPr="00264008">
        <w:rPr>
          <w:rFonts w:ascii="Arial" w:hAnsi="Arial" w:cs="Arial"/>
          <w:sz w:val="22"/>
          <w:szCs w:val="22"/>
        </w:rPr>
        <w:t xml:space="preserve">of December 2019 </w:t>
      </w:r>
      <w:r w:rsidRPr="00264008">
        <w:rPr>
          <w:rFonts w:ascii="Arial" w:hAnsi="Arial" w:cs="Arial"/>
          <w:sz w:val="22"/>
          <w:szCs w:val="22"/>
        </w:rPr>
        <w:t>file</w:t>
      </w:r>
      <w:r w:rsidR="005A33F0" w:rsidRPr="00264008">
        <w:rPr>
          <w:rFonts w:ascii="Arial" w:hAnsi="Arial" w:cs="Arial"/>
          <w:sz w:val="22"/>
          <w:szCs w:val="22"/>
        </w:rPr>
        <w:t>d</w:t>
      </w:r>
      <w:r w:rsidRPr="00264008">
        <w:rPr>
          <w:rFonts w:ascii="Arial" w:hAnsi="Arial" w:cs="Arial"/>
          <w:sz w:val="22"/>
          <w:szCs w:val="22"/>
        </w:rPr>
        <w:t xml:space="preserve"> an application for a reduced assessment in respect of the 2015 year of assessment in terms of Section 93 of the Tax Administration Act</w:t>
      </w:r>
      <w:r w:rsidRPr="00264008">
        <w:rPr>
          <w:rStyle w:val="FootnoteReference"/>
          <w:rFonts w:ascii="Arial" w:hAnsi="Arial" w:cs="Arial"/>
          <w:sz w:val="22"/>
          <w:szCs w:val="22"/>
        </w:rPr>
        <w:footnoteReference w:id="17"/>
      </w:r>
      <w:r w:rsidR="005A33F0" w:rsidRPr="00264008">
        <w:rPr>
          <w:rFonts w:ascii="Arial" w:hAnsi="Arial" w:cs="Arial"/>
          <w:sz w:val="22"/>
          <w:szCs w:val="22"/>
        </w:rPr>
        <w:t xml:space="preserve"> (the 2015 reduced assessment request).</w:t>
      </w:r>
    </w:p>
    <w:p w14:paraId="1D1D0EFE" w14:textId="77777777" w:rsidR="00C2095D" w:rsidRPr="00264008" w:rsidRDefault="00C2095D" w:rsidP="00D12BEB">
      <w:pPr>
        <w:spacing w:line="480" w:lineRule="auto"/>
        <w:ind w:left="567" w:hanging="567"/>
        <w:jc w:val="both"/>
        <w:rPr>
          <w:rFonts w:ascii="Arial" w:hAnsi="Arial" w:cs="Arial"/>
          <w:sz w:val="22"/>
          <w:szCs w:val="22"/>
        </w:rPr>
      </w:pPr>
      <w:r w:rsidRPr="00264008">
        <w:rPr>
          <w:rFonts w:ascii="Arial" w:hAnsi="Arial" w:cs="Arial"/>
          <w:sz w:val="22"/>
          <w:szCs w:val="22"/>
        </w:rPr>
        <w:lastRenderedPageBreak/>
        <w:t>[2</w:t>
      </w:r>
      <w:r w:rsidR="00630B66">
        <w:rPr>
          <w:rFonts w:ascii="Arial" w:hAnsi="Arial" w:cs="Arial"/>
          <w:sz w:val="22"/>
          <w:szCs w:val="22"/>
        </w:rPr>
        <w:t>9</w:t>
      </w:r>
      <w:r w:rsidRPr="00264008">
        <w:rPr>
          <w:rFonts w:ascii="Arial" w:hAnsi="Arial" w:cs="Arial"/>
          <w:sz w:val="22"/>
          <w:szCs w:val="22"/>
        </w:rPr>
        <w:t>]</w:t>
      </w:r>
      <w:r w:rsidRPr="00264008">
        <w:rPr>
          <w:rFonts w:ascii="Arial" w:hAnsi="Arial" w:cs="Arial"/>
          <w:sz w:val="22"/>
          <w:szCs w:val="22"/>
        </w:rPr>
        <w:tab/>
        <w:t>On the 21</w:t>
      </w:r>
      <w:r w:rsidRPr="00264008">
        <w:rPr>
          <w:rFonts w:ascii="Arial" w:hAnsi="Arial" w:cs="Arial"/>
          <w:sz w:val="22"/>
          <w:szCs w:val="22"/>
          <w:vertAlign w:val="superscript"/>
        </w:rPr>
        <w:t>st</w:t>
      </w:r>
      <w:r w:rsidRPr="00264008">
        <w:rPr>
          <w:rFonts w:ascii="Arial" w:hAnsi="Arial" w:cs="Arial"/>
          <w:sz w:val="22"/>
          <w:szCs w:val="22"/>
        </w:rPr>
        <w:t xml:space="preserve"> </w:t>
      </w:r>
      <w:r w:rsidR="00A56A97" w:rsidRPr="00264008">
        <w:rPr>
          <w:rFonts w:ascii="Arial" w:hAnsi="Arial" w:cs="Arial"/>
          <w:sz w:val="22"/>
          <w:szCs w:val="22"/>
        </w:rPr>
        <w:t>of February 2020 I</w:t>
      </w:r>
      <w:r w:rsidRPr="00264008">
        <w:rPr>
          <w:rFonts w:ascii="Arial" w:hAnsi="Arial" w:cs="Arial"/>
          <w:sz w:val="22"/>
          <w:szCs w:val="22"/>
        </w:rPr>
        <w:t>-Cat gives notice of its intention to institute High Court proceedings in terms of Section 11(4) of the Tax Administration Act 28 of 2011</w:t>
      </w:r>
      <w:r w:rsidR="003D298C" w:rsidRPr="00264008">
        <w:rPr>
          <w:rStyle w:val="FootnoteReference"/>
          <w:rFonts w:ascii="Arial" w:hAnsi="Arial" w:cs="Arial"/>
          <w:sz w:val="22"/>
          <w:szCs w:val="22"/>
        </w:rPr>
        <w:footnoteReference w:id="18"/>
      </w:r>
      <w:r w:rsidR="005A33F0" w:rsidRPr="00264008">
        <w:rPr>
          <w:rFonts w:ascii="Arial" w:hAnsi="Arial" w:cs="Arial"/>
          <w:sz w:val="22"/>
          <w:szCs w:val="22"/>
        </w:rPr>
        <w:t xml:space="preserve"> in respect of the 2015 reduced assessment request.</w:t>
      </w:r>
    </w:p>
    <w:p w14:paraId="7ED4ED14" w14:textId="77777777" w:rsidR="003D298C" w:rsidRPr="00264008" w:rsidRDefault="003D298C" w:rsidP="00D12BEB">
      <w:pPr>
        <w:spacing w:line="480" w:lineRule="auto"/>
        <w:ind w:left="567" w:hanging="567"/>
        <w:jc w:val="both"/>
        <w:rPr>
          <w:rFonts w:ascii="Arial" w:hAnsi="Arial" w:cs="Arial"/>
          <w:sz w:val="22"/>
          <w:szCs w:val="22"/>
        </w:rPr>
      </w:pPr>
      <w:r w:rsidRPr="00264008">
        <w:rPr>
          <w:rFonts w:ascii="Arial" w:hAnsi="Arial" w:cs="Arial"/>
          <w:sz w:val="22"/>
          <w:szCs w:val="22"/>
        </w:rPr>
        <w:t>[</w:t>
      </w:r>
      <w:r w:rsidR="00630B66">
        <w:rPr>
          <w:rFonts w:ascii="Arial" w:hAnsi="Arial" w:cs="Arial"/>
          <w:sz w:val="22"/>
          <w:szCs w:val="22"/>
        </w:rPr>
        <w:t>30</w:t>
      </w:r>
      <w:r w:rsidRPr="00264008">
        <w:rPr>
          <w:rFonts w:ascii="Arial" w:hAnsi="Arial" w:cs="Arial"/>
          <w:sz w:val="22"/>
          <w:szCs w:val="22"/>
        </w:rPr>
        <w:t>]</w:t>
      </w:r>
      <w:r w:rsidRPr="00264008">
        <w:rPr>
          <w:rFonts w:ascii="Arial" w:hAnsi="Arial" w:cs="Arial"/>
          <w:sz w:val="22"/>
          <w:szCs w:val="22"/>
        </w:rPr>
        <w:tab/>
      </w:r>
      <w:r w:rsidR="005A33F0" w:rsidRPr="00264008">
        <w:rPr>
          <w:rFonts w:ascii="Arial" w:hAnsi="Arial" w:cs="Arial"/>
          <w:sz w:val="22"/>
          <w:szCs w:val="22"/>
        </w:rPr>
        <w:t>Absent any decision in respect of the 2015 reduced assessment request, I-cat proceeded o</w:t>
      </w:r>
      <w:r w:rsidRPr="00264008">
        <w:rPr>
          <w:rFonts w:ascii="Arial" w:hAnsi="Arial" w:cs="Arial"/>
          <w:sz w:val="22"/>
          <w:szCs w:val="22"/>
        </w:rPr>
        <w:t>n the 14</w:t>
      </w:r>
      <w:r w:rsidRPr="00264008">
        <w:rPr>
          <w:rFonts w:ascii="Arial" w:hAnsi="Arial" w:cs="Arial"/>
          <w:sz w:val="22"/>
          <w:szCs w:val="22"/>
          <w:vertAlign w:val="superscript"/>
        </w:rPr>
        <w:t>th</w:t>
      </w:r>
      <w:r w:rsidRPr="00264008">
        <w:rPr>
          <w:rFonts w:ascii="Arial" w:hAnsi="Arial" w:cs="Arial"/>
          <w:sz w:val="22"/>
          <w:szCs w:val="22"/>
        </w:rPr>
        <w:t xml:space="preserve"> </w:t>
      </w:r>
      <w:r w:rsidR="00A56A97" w:rsidRPr="00264008">
        <w:rPr>
          <w:rFonts w:ascii="Arial" w:hAnsi="Arial" w:cs="Arial"/>
          <w:sz w:val="22"/>
          <w:szCs w:val="22"/>
        </w:rPr>
        <w:t>of October 2020 I</w:t>
      </w:r>
      <w:r w:rsidRPr="00264008">
        <w:rPr>
          <w:rFonts w:ascii="Arial" w:hAnsi="Arial" w:cs="Arial"/>
          <w:sz w:val="22"/>
          <w:szCs w:val="22"/>
        </w:rPr>
        <w:t xml:space="preserve">-Cat </w:t>
      </w:r>
      <w:r w:rsidR="005A33F0" w:rsidRPr="00264008">
        <w:rPr>
          <w:rFonts w:ascii="Arial" w:hAnsi="Arial" w:cs="Arial"/>
          <w:sz w:val="22"/>
          <w:szCs w:val="22"/>
        </w:rPr>
        <w:t>and i</w:t>
      </w:r>
      <w:r w:rsidRPr="00264008">
        <w:rPr>
          <w:rFonts w:ascii="Arial" w:hAnsi="Arial" w:cs="Arial"/>
          <w:sz w:val="22"/>
          <w:szCs w:val="22"/>
        </w:rPr>
        <w:t>nstitute</w:t>
      </w:r>
      <w:r w:rsidR="005A33F0" w:rsidRPr="00264008">
        <w:rPr>
          <w:rFonts w:ascii="Arial" w:hAnsi="Arial" w:cs="Arial"/>
          <w:sz w:val="22"/>
          <w:szCs w:val="22"/>
        </w:rPr>
        <w:t>d</w:t>
      </w:r>
      <w:r w:rsidRPr="00264008">
        <w:rPr>
          <w:rFonts w:ascii="Arial" w:hAnsi="Arial" w:cs="Arial"/>
          <w:sz w:val="22"/>
          <w:szCs w:val="22"/>
        </w:rPr>
        <w:t xml:space="preserve"> review proceedings under case no. 48638/2020.</w:t>
      </w:r>
      <w:r w:rsidRPr="00264008">
        <w:rPr>
          <w:rStyle w:val="FootnoteReference"/>
          <w:rFonts w:ascii="Arial" w:hAnsi="Arial" w:cs="Arial"/>
          <w:sz w:val="22"/>
          <w:szCs w:val="22"/>
        </w:rPr>
        <w:footnoteReference w:id="19"/>
      </w:r>
    </w:p>
    <w:p w14:paraId="49980B0E" w14:textId="77777777" w:rsidR="003D298C" w:rsidRPr="00264008" w:rsidRDefault="003D298C" w:rsidP="00D12BEB">
      <w:pPr>
        <w:spacing w:line="480" w:lineRule="auto"/>
        <w:ind w:left="567" w:hanging="567"/>
        <w:jc w:val="both"/>
        <w:rPr>
          <w:rFonts w:ascii="Arial" w:hAnsi="Arial" w:cs="Arial"/>
          <w:sz w:val="22"/>
          <w:szCs w:val="22"/>
        </w:rPr>
      </w:pPr>
      <w:r w:rsidRPr="00264008">
        <w:rPr>
          <w:rFonts w:ascii="Arial" w:hAnsi="Arial" w:cs="Arial"/>
          <w:sz w:val="22"/>
          <w:szCs w:val="22"/>
        </w:rPr>
        <w:t>[</w:t>
      </w:r>
      <w:r w:rsidR="00264008">
        <w:rPr>
          <w:rFonts w:ascii="Arial" w:hAnsi="Arial" w:cs="Arial"/>
          <w:sz w:val="22"/>
          <w:szCs w:val="22"/>
        </w:rPr>
        <w:t>3</w:t>
      </w:r>
      <w:r w:rsidR="00630B66">
        <w:rPr>
          <w:rFonts w:ascii="Arial" w:hAnsi="Arial" w:cs="Arial"/>
          <w:sz w:val="22"/>
          <w:szCs w:val="22"/>
        </w:rPr>
        <w:t>1</w:t>
      </w:r>
      <w:r w:rsidRPr="00264008">
        <w:rPr>
          <w:rFonts w:ascii="Arial" w:hAnsi="Arial" w:cs="Arial"/>
          <w:sz w:val="22"/>
          <w:szCs w:val="22"/>
        </w:rPr>
        <w:t>]</w:t>
      </w:r>
      <w:r w:rsidRPr="00264008">
        <w:rPr>
          <w:rFonts w:ascii="Arial" w:hAnsi="Arial" w:cs="Arial"/>
          <w:sz w:val="22"/>
          <w:szCs w:val="22"/>
        </w:rPr>
        <w:tab/>
        <w:t>On the 2</w:t>
      </w:r>
      <w:r w:rsidR="0040039C" w:rsidRPr="00264008">
        <w:rPr>
          <w:rFonts w:ascii="Arial" w:hAnsi="Arial" w:cs="Arial"/>
          <w:sz w:val="22"/>
          <w:szCs w:val="22"/>
        </w:rPr>
        <w:t>6</w:t>
      </w:r>
      <w:r w:rsidR="0040039C" w:rsidRPr="00264008">
        <w:rPr>
          <w:rFonts w:ascii="Arial" w:hAnsi="Arial" w:cs="Arial"/>
          <w:sz w:val="22"/>
          <w:szCs w:val="22"/>
          <w:vertAlign w:val="superscript"/>
        </w:rPr>
        <w:t>th</w:t>
      </w:r>
      <w:r w:rsidR="0040039C" w:rsidRPr="00264008">
        <w:rPr>
          <w:rFonts w:ascii="Arial" w:hAnsi="Arial" w:cs="Arial"/>
          <w:sz w:val="22"/>
          <w:szCs w:val="22"/>
        </w:rPr>
        <w:t xml:space="preserve"> </w:t>
      </w:r>
      <w:r w:rsidRPr="00264008">
        <w:rPr>
          <w:rFonts w:ascii="Arial" w:hAnsi="Arial" w:cs="Arial"/>
          <w:sz w:val="22"/>
          <w:szCs w:val="22"/>
        </w:rPr>
        <w:t xml:space="preserve">of </w:t>
      </w:r>
      <w:r w:rsidR="0040039C" w:rsidRPr="00264008">
        <w:rPr>
          <w:rFonts w:ascii="Arial" w:hAnsi="Arial" w:cs="Arial"/>
          <w:sz w:val="22"/>
          <w:szCs w:val="22"/>
        </w:rPr>
        <w:t>January</w:t>
      </w:r>
      <w:r w:rsidRPr="00264008">
        <w:rPr>
          <w:rFonts w:ascii="Arial" w:hAnsi="Arial" w:cs="Arial"/>
          <w:sz w:val="22"/>
          <w:szCs w:val="22"/>
        </w:rPr>
        <w:t xml:space="preserve"> 2021 SARS refuse</w:t>
      </w:r>
      <w:r w:rsidR="0040039C" w:rsidRPr="00264008">
        <w:rPr>
          <w:rFonts w:ascii="Arial" w:hAnsi="Arial" w:cs="Arial"/>
          <w:sz w:val="22"/>
          <w:szCs w:val="22"/>
        </w:rPr>
        <w:t>d</w:t>
      </w:r>
      <w:r w:rsidRPr="00264008">
        <w:rPr>
          <w:rFonts w:ascii="Arial" w:hAnsi="Arial" w:cs="Arial"/>
          <w:sz w:val="22"/>
          <w:szCs w:val="22"/>
        </w:rPr>
        <w:t xml:space="preserve"> the application for re</w:t>
      </w:r>
      <w:r w:rsidR="005A33F0" w:rsidRPr="00264008">
        <w:rPr>
          <w:rFonts w:ascii="Arial" w:hAnsi="Arial" w:cs="Arial"/>
          <w:sz w:val="22"/>
          <w:szCs w:val="22"/>
        </w:rPr>
        <w:t>duced</w:t>
      </w:r>
      <w:r w:rsidRPr="00264008">
        <w:rPr>
          <w:rFonts w:ascii="Arial" w:hAnsi="Arial" w:cs="Arial"/>
          <w:sz w:val="22"/>
          <w:szCs w:val="22"/>
        </w:rPr>
        <w:t xml:space="preserve"> assessment in resp</w:t>
      </w:r>
      <w:r w:rsidR="003A48BF" w:rsidRPr="00264008">
        <w:rPr>
          <w:rFonts w:ascii="Arial" w:hAnsi="Arial" w:cs="Arial"/>
          <w:sz w:val="22"/>
          <w:szCs w:val="22"/>
        </w:rPr>
        <w:t>ect of 2015 year of assessment</w:t>
      </w:r>
      <w:r w:rsidRPr="00264008">
        <w:rPr>
          <w:rStyle w:val="FootnoteReference"/>
          <w:rFonts w:ascii="Arial" w:hAnsi="Arial" w:cs="Arial"/>
          <w:sz w:val="22"/>
          <w:szCs w:val="22"/>
        </w:rPr>
        <w:footnoteReference w:id="20"/>
      </w:r>
      <w:r w:rsidR="0040039C" w:rsidRPr="00264008">
        <w:rPr>
          <w:rFonts w:ascii="Arial" w:hAnsi="Arial" w:cs="Arial"/>
          <w:sz w:val="22"/>
          <w:szCs w:val="22"/>
        </w:rPr>
        <w:t xml:space="preserve"> premised thereon that SARS is of the opinion that the 2015 assessment of I-cat has become prescribed in terms of Section 99 of the Tax Administration Act;</w:t>
      </w:r>
    </w:p>
    <w:p w14:paraId="68ECFC6A" w14:textId="77777777" w:rsidR="003A48BF" w:rsidRPr="00264008" w:rsidRDefault="003A48BF" w:rsidP="0040039C">
      <w:pPr>
        <w:spacing w:line="480" w:lineRule="auto"/>
        <w:ind w:left="567" w:hanging="567"/>
        <w:jc w:val="both"/>
        <w:rPr>
          <w:rFonts w:ascii="Arial" w:hAnsi="Arial" w:cs="Arial"/>
          <w:sz w:val="22"/>
          <w:szCs w:val="22"/>
        </w:rPr>
      </w:pPr>
      <w:r w:rsidRPr="00264008">
        <w:rPr>
          <w:rFonts w:ascii="Arial" w:hAnsi="Arial" w:cs="Arial"/>
          <w:sz w:val="22"/>
          <w:szCs w:val="22"/>
        </w:rPr>
        <w:t>[</w:t>
      </w:r>
      <w:r w:rsidR="00264008">
        <w:rPr>
          <w:rFonts w:ascii="Arial" w:hAnsi="Arial" w:cs="Arial"/>
          <w:sz w:val="22"/>
          <w:szCs w:val="22"/>
        </w:rPr>
        <w:t>3</w:t>
      </w:r>
      <w:r w:rsidR="00630B66">
        <w:rPr>
          <w:rFonts w:ascii="Arial" w:hAnsi="Arial" w:cs="Arial"/>
          <w:sz w:val="22"/>
          <w:szCs w:val="22"/>
        </w:rPr>
        <w:t>2</w:t>
      </w:r>
      <w:r w:rsidRPr="00264008">
        <w:rPr>
          <w:rFonts w:ascii="Arial" w:hAnsi="Arial" w:cs="Arial"/>
          <w:sz w:val="22"/>
          <w:szCs w:val="22"/>
        </w:rPr>
        <w:t>]</w:t>
      </w:r>
      <w:r w:rsidRPr="00264008">
        <w:rPr>
          <w:rFonts w:ascii="Arial" w:hAnsi="Arial" w:cs="Arial"/>
          <w:sz w:val="22"/>
          <w:szCs w:val="22"/>
        </w:rPr>
        <w:tab/>
        <w:t>On the 13</w:t>
      </w:r>
      <w:r w:rsidRPr="00264008">
        <w:rPr>
          <w:rFonts w:ascii="Arial" w:hAnsi="Arial" w:cs="Arial"/>
          <w:sz w:val="22"/>
          <w:szCs w:val="22"/>
          <w:vertAlign w:val="superscript"/>
        </w:rPr>
        <w:t>th</w:t>
      </w:r>
      <w:r w:rsidRPr="00264008">
        <w:rPr>
          <w:rFonts w:ascii="Arial" w:hAnsi="Arial" w:cs="Arial"/>
          <w:sz w:val="22"/>
          <w:szCs w:val="22"/>
        </w:rPr>
        <w:t xml:space="preserve"> </w:t>
      </w:r>
      <w:r w:rsidR="00A56A97" w:rsidRPr="00264008">
        <w:rPr>
          <w:rFonts w:ascii="Arial" w:hAnsi="Arial" w:cs="Arial"/>
          <w:sz w:val="22"/>
          <w:szCs w:val="22"/>
        </w:rPr>
        <w:t>of May 2021 I</w:t>
      </w:r>
      <w:r w:rsidRPr="00264008">
        <w:rPr>
          <w:rFonts w:ascii="Arial" w:hAnsi="Arial" w:cs="Arial"/>
          <w:sz w:val="22"/>
          <w:szCs w:val="22"/>
        </w:rPr>
        <w:t>-C</w:t>
      </w:r>
      <w:r w:rsidR="00A56A97" w:rsidRPr="00264008">
        <w:rPr>
          <w:rFonts w:ascii="Arial" w:hAnsi="Arial" w:cs="Arial"/>
          <w:sz w:val="22"/>
          <w:szCs w:val="22"/>
        </w:rPr>
        <w:t>at and SARS agreed to remove I</w:t>
      </w:r>
      <w:r w:rsidRPr="00264008">
        <w:rPr>
          <w:rFonts w:ascii="Arial" w:hAnsi="Arial" w:cs="Arial"/>
          <w:sz w:val="22"/>
          <w:szCs w:val="22"/>
        </w:rPr>
        <w:t>-Cat’s first review application under case no. 48638/2020 from the roll.</w:t>
      </w:r>
      <w:r w:rsidRPr="00264008">
        <w:rPr>
          <w:rStyle w:val="FootnoteReference"/>
          <w:rFonts w:ascii="Arial" w:hAnsi="Arial" w:cs="Arial"/>
          <w:sz w:val="22"/>
          <w:szCs w:val="22"/>
        </w:rPr>
        <w:footnoteReference w:id="21"/>
      </w:r>
    </w:p>
    <w:p w14:paraId="669C50A9" w14:textId="77777777" w:rsidR="0040039C" w:rsidRPr="00264008" w:rsidRDefault="003A48BF" w:rsidP="0040039C">
      <w:pPr>
        <w:spacing w:line="480" w:lineRule="auto"/>
        <w:ind w:left="567" w:hanging="567"/>
        <w:jc w:val="both"/>
        <w:rPr>
          <w:rFonts w:ascii="Arial" w:hAnsi="Arial" w:cs="Arial"/>
          <w:sz w:val="22"/>
          <w:szCs w:val="22"/>
        </w:rPr>
      </w:pPr>
      <w:r w:rsidRPr="00264008">
        <w:rPr>
          <w:rFonts w:ascii="Arial" w:hAnsi="Arial" w:cs="Arial"/>
          <w:sz w:val="22"/>
          <w:szCs w:val="22"/>
        </w:rPr>
        <w:t>[</w:t>
      </w:r>
      <w:r w:rsidR="0040039C" w:rsidRPr="00264008">
        <w:rPr>
          <w:rFonts w:ascii="Arial" w:hAnsi="Arial" w:cs="Arial"/>
          <w:sz w:val="22"/>
          <w:szCs w:val="22"/>
        </w:rPr>
        <w:t>3</w:t>
      </w:r>
      <w:r w:rsidR="00630B66">
        <w:rPr>
          <w:rFonts w:ascii="Arial" w:hAnsi="Arial" w:cs="Arial"/>
          <w:sz w:val="22"/>
          <w:szCs w:val="22"/>
        </w:rPr>
        <w:t>3</w:t>
      </w:r>
      <w:r w:rsidRPr="00264008">
        <w:rPr>
          <w:rFonts w:ascii="Arial" w:hAnsi="Arial" w:cs="Arial"/>
          <w:sz w:val="22"/>
          <w:szCs w:val="22"/>
        </w:rPr>
        <w:t>]</w:t>
      </w:r>
      <w:r w:rsidRPr="00264008">
        <w:rPr>
          <w:rFonts w:ascii="Arial" w:hAnsi="Arial" w:cs="Arial"/>
          <w:sz w:val="22"/>
          <w:szCs w:val="22"/>
        </w:rPr>
        <w:tab/>
        <w:t>On the 20</w:t>
      </w:r>
      <w:r w:rsidRPr="00264008">
        <w:rPr>
          <w:rFonts w:ascii="Arial" w:hAnsi="Arial" w:cs="Arial"/>
          <w:sz w:val="22"/>
          <w:szCs w:val="22"/>
          <w:vertAlign w:val="superscript"/>
        </w:rPr>
        <w:t>th</w:t>
      </w:r>
      <w:r w:rsidRPr="00264008">
        <w:rPr>
          <w:rFonts w:ascii="Arial" w:hAnsi="Arial" w:cs="Arial"/>
          <w:sz w:val="22"/>
          <w:szCs w:val="22"/>
        </w:rPr>
        <w:t xml:space="preserve"> </w:t>
      </w:r>
      <w:r w:rsidR="00A56A97" w:rsidRPr="00264008">
        <w:rPr>
          <w:rFonts w:ascii="Arial" w:hAnsi="Arial" w:cs="Arial"/>
          <w:sz w:val="22"/>
          <w:szCs w:val="22"/>
        </w:rPr>
        <w:t>of May 2021 I</w:t>
      </w:r>
      <w:r w:rsidRPr="00264008">
        <w:rPr>
          <w:rFonts w:ascii="Arial" w:hAnsi="Arial" w:cs="Arial"/>
          <w:sz w:val="22"/>
          <w:szCs w:val="22"/>
        </w:rPr>
        <w:t>-Cat gives notice to SARS of its intention to institute the present review proceedings in respect of the 21</w:t>
      </w:r>
      <w:r w:rsidRPr="00264008">
        <w:rPr>
          <w:rFonts w:ascii="Arial" w:hAnsi="Arial" w:cs="Arial"/>
          <w:sz w:val="22"/>
          <w:szCs w:val="22"/>
          <w:vertAlign w:val="superscript"/>
        </w:rPr>
        <w:t>st</w:t>
      </w:r>
      <w:r w:rsidRPr="00264008">
        <w:rPr>
          <w:rFonts w:ascii="Arial" w:hAnsi="Arial" w:cs="Arial"/>
          <w:sz w:val="22"/>
          <w:szCs w:val="22"/>
        </w:rPr>
        <w:t xml:space="preserve"> of January 2021 decision.</w:t>
      </w:r>
      <w:r w:rsidRPr="00264008">
        <w:rPr>
          <w:rStyle w:val="FootnoteReference"/>
          <w:rFonts w:ascii="Arial" w:hAnsi="Arial" w:cs="Arial"/>
          <w:sz w:val="22"/>
          <w:szCs w:val="22"/>
        </w:rPr>
        <w:footnoteReference w:id="22"/>
      </w:r>
    </w:p>
    <w:p w14:paraId="15CF61A7" w14:textId="77777777" w:rsidR="003A48BF" w:rsidRDefault="00A56A97" w:rsidP="00630B66">
      <w:pPr>
        <w:spacing w:line="480" w:lineRule="auto"/>
        <w:ind w:left="567" w:hanging="567"/>
        <w:jc w:val="both"/>
        <w:rPr>
          <w:rFonts w:ascii="Arial" w:hAnsi="Arial" w:cs="Arial"/>
          <w:sz w:val="22"/>
          <w:szCs w:val="22"/>
        </w:rPr>
      </w:pPr>
      <w:r w:rsidRPr="00264008">
        <w:rPr>
          <w:rFonts w:ascii="Arial" w:hAnsi="Arial" w:cs="Arial"/>
          <w:sz w:val="22"/>
          <w:szCs w:val="22"/>
        </w:rPr>
        <w:t>[3</w:t>
      </w:r>
      <w:r w:rsidR="00630B66">
        <w:rPr>
          <w:rFonts w:ascii="Arial" w:hAnsi="Arial" w:cs="Arial"/>
          <w:sz w:val="22"/>
          <w:szCs w:val="22"/>
        </w:rPr>
        <w:t>4</w:t>
      </w:r>
      <w:r w:rsidRPr="00264008">
        <w:rPr>
          <w:rFonts w:ascii="Arial" w:hAnsi="Arial" w:cs="Arial"/>
          <w:sz w:val="22"/>
          <w:szCs w:val="22"/>
        </w:rPr>
        <w:t>]</w:t>
      </w:r>
      <w:r w:rsidRPr="00264008">
        <w:rPr>
          <w:rFonts w:ascii="Arial" w:hAnsi="Arial" w:cs="Arial"/>
          <w:sz w:val="22"/>
          <w:szCs w:val="22"/>
        </w:rPr>
        <w:tab/>
        <w:t>On 19 August 2021, I</w:t>
      </w:r>
      <w:r w:rsidR="003A48BF" w:rsidRPr="00264008">
        <w:rPr>
          <w:rFonts w:ascii="Arial" w:hAnsi="Arial" w:cs="Arial"/>
          <w:sz w:val="22"/>
          <w:szCs w:val="22"/>
        </w:rPr>
        <w:t xml:space="preserve">-Cat launches </w:t>
      </w:r>
      <w:r w:rsidR="0040039C" w:rsidRPr="00264008">
        <w:rPr>
          <w:rFonts w:ascii="Arial" w:hAnsi="Arial" w:cs="Arial"/>
          <w:sz w:val="22"/>
          <w:szCs w:val="22"/>
        </w:rPr>
        <w:t>the</w:t>
      </w:r>
      <w:r w:rsidR="003A48BF" w:rsidRPr="00264008">
        <w:rPr>
          <w:rFonts w:ascii="Arial" w:hAnsi="Arial" w:cs="Arial"/>
          <w:sz w:val="22"/>
          <w:szCs w:val="22"/>
        </w:rPr>
        <w:t xml:space="preserve"> present application for review, </w:t>
      </w:r>
      <w:r w:rsidR="004C6671" w:rsidRPr="00264008">
        <w:rPr>
          <w:rFonts w:ascii="Arial" w:hAnsi="Arial" w:cs="Arial"/>
          <w:sz w:val="22"/>
          <w:szCs w:val="22"/>
        </w:rPr>
        <w:t>25</w:t>
      </w:r>
      <w:r w:rsidR="003A48BF" w:rsidRPr="00264008">
        <w:rPr>
          <w:rFonts w:ascii="Arial" w:hAnsi="Arial" w:cs="Arial"/>
          <w:sz w:val="22"/>
          <w:szCs w:val="22"/>
        </w:rPr>
        <w:t xml:space="preserve"> days outside the 180 day prescribed period in terms of PAJA.</w:t>
      </w:r>
      <w:r w:rsidR="00630B66">
        <w:rPr>
          <w:rFonts w:ascii="Arial" w:hAnsi="Arial" w:cs="Arial"/>
          <w:sz w:val="22"/>
          <w:szCs w:val="22"/>
        </w:rPr>
        <w:t xml:space="preserve"> </w:t>
      </w:r>
      <w:r w:rsidRPr="00264008">
        <w:rPr>
          <w:rFonts w:ascii="Arial" w:hAnsi="Arial" w:cs="Arial"/>
          <w:sz w:val="22"/>
          <w:szCs w:val="22"/>
        </w:rPr>
        <w:t>On 14 December 2021, I</w:t>
      </w:r>
      <w:r w:rsidR="003A48BF" w:rsidRPr="00264008">
        <w:rPr>
          <w:rFonts w:ascii="Arial" w:hAnsi="Arial" w:cs="Arial"/>
          <w:sz w:val="22"/>
          <w:szCs w:val="22"/>
        </w:rPr>
        <w:t>-Cat files its application for condonation for the late institution of the review proceedings.</w:t>
      </w:r>
    </w:p>
    <w:p w14:paraId="4FE1F99E" w14:textId="77777777" w:rsidR="003A48BF" w:rsidRPr="00264008" w:rsidRDefault="003A48BF" w:rsidP="00C2095D">
      <w:pPr>
        <w:spacing w:line="480" w:lineRule="auto"/>
        <w:ind w:left="720" w:hanging="720"/>
        <w:jc w:val="both"/>
        <w:rPr>
          <w:rFonts w:ascii="Arial" w:hAnsi="Arial" w:cs="Arial"/>
          <w:sz w:val="22"/>
          <w:szCs w:val="22"/>
        </w:rPr>
      </w:pPr>
      <w:r w:rsidRPr="00264008">
        <w:rPr>
          <w:rFonts w:ascii="Arial" w:hAnsi="Arial" w:cs="Arial"/>
          <w:b/>
          <w:sz w:val="22"/>
          <w:szCs w:val="22"/>
        </w:rPr>
        <w:t>APPLICATION FOR CONDONATION</w:t>
      </w:r>
      <w:r w:rsidRPr="00264008">
        <w:rPr>
          <w:rFonts w:ascii="Arial" w:hAnsi="Arial" w:cs="Arial"/>
          <w:sz w:val="22"/>
          <w:szCs w:val="22"/>
        </w:rPr>
        <w:t>:</w:t>
      </w:r>
    </w:p>
    <w:p w14:paraId="2B31F3D9" w14:textId="77777777" w:rsidR="003A48BF" w:rsidRPr="00264008" w:rsidRDefault="003A48BF" w:rsidP="00D12BEB">
      <w:pPr>
        <w:spacing w:line="480" w:lineRule="auto"/>
        <w:ind w:left="567" w:hanging="567"/>
        <w:jc w:val="both"/>
        <w:rPr>
          <w:rFonts w:ascii="Arial" w:hAnsi="Arial" w:cs="Arial"/>
          <w:sz w:val="22"/>
          <w:szCs w:val="22"/>
        </w:rPr>
      </w:pPr>
      <w:r w:rsidRPr="00264008">
        <w:rPr>
          <w:rFonts w:ascii="Arial" w:hAnsi="Arial" w:cs="Arial"/>
          <w:sz w:val="22"/>
          <w:szCs w:val="22"/>
        </w:rPr>
        <w:t>[3</w:t>
      </w:r>
      <w:r w:rsidR="00264008">
        <w:rPr>
          <w:rFonts w:ascii="Arial" w:hAnsi="Arial" w:cs="Arial"/>
          <w:sz w:val="22"/>
          <w:szCs w:val="22"/>
        </w:rPr>
        <w:t>5</w:t>
      </w:r>
      <w:r w:rsidRPr="00264008">
        <w:rPr>
          <w:rFonts w:ascii="Arial" w:hAnsi="Arial" w:cs="Arial"/>
          <w:sz w:val="22"/>
          <w:szCs w:val="22"/>
        </w:rPr>
        <w:t>]</w:t>
      </w:r>
      <w:r w:rsidRPr="00264008">
        <w:rPr>
          <w:rFonts w:ascii="Arial" w:hAnsi="Arial" w:cs="Arial"/>
          <w:sz w:val="22"/>
          <w:szCs w:val="22"/>
        </w:rPr>
        <w:tab/>
        <w:t xml:space="preserve">As is apparent from the timeline above, the present application for review that was instituted in terms of the provisions of the Promotion of Administration Justice Act was filed </w:t>
      </w:r>
      <w:r w:rsidR="004C6671" w:rsidRPr="00264008">
        <w:rPr>
          <w:rFonts w:ascii="Arial" w:hAnsi="Arial" w:cs="Arial"/>
          <w:sz w:val="22"/>
          <w:szCs w:val="22"/>
        </w:rPr>
        <w:t xml:space="preserve">approximately 25 </w:t>
      </w:r>
      <w:r w:rsidR="00724B1B" w:rsidRPr="00264008">
        <w:rPr>
          <w:rFonts w:ascii="Arial" w:hAnsi="Arial" w:cs="Arial"/>
          <w:sz w:val="22"/>
          <w:szCs w:val="22"/>
        </w:rPr>
        <w:t xml:space="preserve">days outside of the </w:t>
      </w:r>
      <w:r w:rsidR="004C6671" w:rsidRPr="00264008">
        <w:rPr>
          <w:rFonts w:ascii="Arial" w:hAnsi="Arial" w:cs="Arial"/>
          <w:sz w:val="22"/>
          <w:szCs w:val="22"/>
        </w:rPr>
        <w:t xml:space="preserve">prescribed </w:t>
      </w:r>
      <w:r w:rsidR="00724B1B" w:rsidRPr="00264008">
        <w:rPr>
          <w:rFonts w:ascii="Arial" w:hAnsi="Arial" w:cs="Arial"/>
          <w:sz w:val="22"/>
          <w:szCs w:val="22"/>
        </w:rPr>
        <w:t xml:space="preserve">180 days. </w:t>
      </w:r>
    </w:p>
    <w:p w14:paraId="36649051" w14:textId="77777777" w:rsidR="00724B1B" w:rsidRPr="00264008" w:rsidRDefault="00724B1B" w:rsidP="00D12BEB">
      <w:pPr>
        <w:spacing w:line="480" w:lineRule="auto"/>
        <w:ind w:left="567" w:hanging="567"/>
        <w:jc w:val="both"/>
        <w:rPr>
          <w:rFonts w:ascii="Arial" w:hAnsi="Arial" w:cs="Arial"/>
          <w:sz w:val="22"/>
          <w:szCs w:val="22"/>
        </w:rPr>
      </w:pPr>
      <w:r w:rsidRPr="00264008">
        <w:rPr>
          <w:rFonts w:ascii="Arial" w:hAnsi="Arial" w:cs="Arial"/>
          <w:sz w:val="22"/>
          <w:szCs w:val="22"/>
        </w:rPr>
        <w:t>[3</w:t>
      </w:r>
      <w:r w:rsidR="00264008">
        <w:rPr>
          <w:rFonts w:ascii="Arial" w:hAnsi="Arial" w:cs="Arial"/>
          <w:sz w:val="22"/>
          <w:szCs w:val="22"/>
        </w:rPr>
        <w:t>6</w:t>
      </w:r>
      <w:r w:rsidRPr="00264008">
        <w:rPr>
          <w:rFonts w:ascii="Arial" w:hAnsi="Arial" w:cs="Arial"/>
          <w:sz w:val="22"/>
          <w:szCs w:val="22"/>
        </w:rPr>
        <w:t>]</w:t>
      </w:r>
      <w:r w:rsidRPr="00264008">
        <w:rPr>
          <w:rFonts w:ascii="Arial" w:hAnsi="Arial" w:cs="Arial"/>
          <w:sz w:val="22"/>
          <w:szCs w:val="22"/>
        </w:rPr>
        <w:tab/>
        <w:t xml:space="preserve">I raised the issue </w:t>
      </w:r>
      <w:r w:rsidR="002B1203" w:rsidRPr="00264008">
        <w:rPr>
          <w:rFonts w:ascii="Arial" w:hAnsi="Arial" w:cs="Arial"/>
          <w:sz w:val="22"/>
          <w:szCs w:val="22"/>
        </w:rPr>
        <w:t xml:space="preserve">with Ms Dreyer whether any prejudice was caused to the Respondent as a consequence of the late filing.  Ms Dreyer could not direct my attention to any prejudice </w:t>
      </w:r>
      <w:r w:rsidR="002B1203" w:rsidRPr="00264008">
        <w:rPr>
          <w:rFonts w:ascii="Arial" w:hAnsi="Arial" w:cs="Arial"/>
          <w:sz w:val="22"/>
          <w:szCs w:val="22"/>
        </w:rPr>
        <w:lastRenderedPageBreak/>
        <w:t xml:space="preserve">and also did not make any submissions in opposition to the request for condonation.  </w:t>
      </w:r>
      <w:r w:rsidR="004C6671" w:rsidRPr="00264008">
        <w:rPr>
          <w:rFonts w:ascii="Arial" w:hAnsi="Arial" w:cs="Arial"/>
          <w:sz w:val="22"/>
          <w:szCs w:val="22"/>
        </w:rPr>
        <w:t>Miss Dreyer merely drew my attention to the fact that there was an outstanding application for condonation.</w:t>
      </w:r>
    </w:p>
    <w:p w14:paraId="4B014E04" w14:textId="77777777" w:rsidR="002B1203" w:rsidRPr="00264008" w:rsidRDefault="002B1203" w:rsidP="00D12BEB">
      <w:pPr>
        <w:spacing w:line="480" w:lineRule="auto"/>
        <w:ind w:left="567" w:hanging="567"/>
        <w:jc w:val="both"/>
        <w:rPr>
          <w:rFonts w:ascii="Arial" w:hAnsi="Arial" w:cs="Arial"/>
          <w:sz w:val="22"/>
          <w:szCs w:val="22"/>
        </w:rPr>
      </w:pPr>
      <w:r w:rsidRPr="00264008">
        <w:rPr>
          <w:rFonts w:ascii="Arial" w:hAnsi="Arial" w:cs="Arial"/>
          <w:sz w:val="22"/>
          <w:szCs w:val="22"/>
        </w:rPr>
        <w:t>[3</w:t>
      </w:r>
      <w:r w:rsidR="00264008">
        <w:rPr>
          <w:rFonts w:ascii="Arial" w:hAnsi="Arial" w:cs="Arial"/>
          <w:sz w:val="22"/>
          <w:szCs w:val="22"/>
        </w:rPr>
        <w:t>7</w:t>
      </w:r>
      <w:r w:rsidRPr="00264008">
        <w:rPr>
          <w:rFonts w:ascii="Arial" w:hAnsi="Arial" w:cs="Arial"/>
          <w:sz w:val="22"/>
          <w:szCs w:val="22"/>
        </w:rPr>
        <w:t>]</w:t>
      </w:r>
      <w:r w:rsidRPr="00264008">
        <w:rPr>
          <w:rFonts w:ascii="Arial" w:hAnsi="Arial" w:cs="Arial"/>
          <w:sz w:val="22"/>
          <w:szCs w:val="22"/>
        </w:rPr>
        <w:tab/>
        <w:t xml:space="preserve">It is apparent from the application for condonation that the reasons offered for the late filing of the application for review was mainly as a consequence of </w:t>
      </w:r>
      <w:r w:rsidR="004C6671" w:rsidRPr="00264008">
        <w:rPr>
          <w:rFonts w:ascii="Arial" w:hAnsi="Arial" w:cs="Arial"/>
          <w:sz w:val="22"/>
          <w:szCs w:val="22"/>
        </w:rPr>
        <w:t xml:space="preserve">the </w:t>
      </w:r>
      <w:r w:rsidRPr="00264008">
        <w:rPr>
          <w:rFonts w:ascii="Arial" w:hAnsi="Arial" w:cs="Arial"/>
          <w:sz w:val="22"/>
          <w:szCs w:val="22"/>
        </w:rPr>
        <w:t>senior counsel appearing on behalf of the Applicant who had contracted the Covid19 virus during July</w:t>
      </w:r>
      <w:r w:rsidR="004C6671" w:rsidRPr="00264008">
        <w:rPr>
          <w:rFonts w:ascii="Arial" w:hAnsi="Arial" w:cs="Arial"/>
          <w:sz w:val="22"/>
          <w:szCs w:val="22"/>
        </w:rPr>
        <w:t xml:space="preserve"> 2021</w:t>
      </w:r>
      <w:r w:rsidRPr="00264008">
        <w:rPr>
          <w:rFonts w:ascii="Arial" w:hAnsi="Arial" w:cs="Arial"/>
          <w:sz w:val="22"/>
          <w:szCs w:val="22"/>
        </w:rPr>
        <w:t>.</w:t>
      </w:r>
    </w:p>
    <w:p w14:paraId="0C1ABA16" w14:textId="77777777" w:rsidR="002B1203" w:rsidRPr="00264008" w:rsidRDefault="002B1203" w:rsidP="00D12BEB">
      <w:pPr>
        <w:spacing w:line="480" w:lineRule="auto"/>
        <w:ind w:left="567" w:hanging="567"/>
        <w:jc w:val="both"/>
        <w:rPr>
          <w:rFonts w:ascii="Arial" w:hAnsi="Arial" w:cs="Arial"/>
          <w:sz w:val="22"/>
          <w:szCs w:val="22"/>
        </w:rPr>
      </w:pPr>
      <w:r w:rsidRPr="00264008">
        <w:rPr>
          <w:rFonts w:ascii="Arial" w:hAnsi="Arial" w:cs="Arial"/>
          <w:sz w:val="22"/>
          <w:szCs w:val="22"/>
        </w:rPr>
        <w:t>[3</w:t>
      </w:r>
      <w:r w:rsidR="00264008">
        <w:rPr>
          <w:rFonts w:ascii="Arial" w:hAnsi="Arial" w:cs="Arial"/>
          <w:sz w:val="22"/>
          <w:szCs w:val="22"/>
        </w:rPr>
        <w:t>8</w:t>
      </w:r>
      <w:r w:rsidRPr="00264008">
        <w:rPr>
          <w:rFonts w:ascii="Arial" w:hAnsi="Arial" w:cs="Arial"/>
          <w:sz w:val="22"/>
          <w:szCs w:val="22"/>
        </w:rPr>
        <w:t>]</w:t>
      </w:r>
      <w:r w:rsidRPr="00264008">
        <w:rPr>
          <w:rFonts w:ascii="Arial" w:hAnsi="Arial" w:cs="Arial"/>
          <w:sz w:val="22"/>
          <w:szCs w:val="22"/>
        </w:rPr>
        <w:tab/>
        <w:t>Having regard to the effect which the Covid pandemic had to the country as a whole an in particular the effect that it had not only on the administration of justice but all other businesses during that time I do not deem this explanation unreasonable by</w:t>
      </w:r>
      <w:r w:rsidR="004C6671" w:rsidRPr="00264008">
        <w:rPr>
          <w:rFonts w:ascii="Arial" w:hAnsi="Arial" w:cs="Arial"/>
          <w:sz w:val="22"/>
          <w:szCs w:val="22"/>
        </w:rPr>
        <w:t xml:space="preserve"> I-cat</w:t>
      </w:r>
      <w:r w:rsidRPr="00264008">
        <w:rPr>
          <w:rFonts w:ascii="Arial" w:hAnsi="Arial" w:cs="Arial"/>
          <w:sz w:val="22"/>
          <w:szCs w:val="22"/>
        </w:rPr>
        <w:t>.</w:t>
      </w:r>
    </w:p>
    <w:p w14:paraId="78618E2B" w14:textId="77777777" w:rsidR="002B1203" w:rsidRPr="00264008" w:rsidRDefault="002B1203" w:rsidP="00D12BEB">
      <w:pPr>
        <w:spacing w:line="480" w:lineRule="auto"/>
        <w:ind w:left="567" w:hanging="567"/>
        <w:jc w:val="both"/>
        <w:rPr>
          <w:rFonts w:ascii="Arial" w:hAnsi="Arial" w:cs="Arial"/>
          <w:sz w:val="22"/>
          <w:szCs w:val="22"/>
        </w:rPr>
      </w:pPr>
      <w:r w:rsidRPr="00264008">
        <w:rPr>
          <w:rFonts w:ascii="Arial" w:hAnsi="Arial" w:cs="Arial"/>
          <w:sz w:val="22"/>
          <w:szCs w:val="22"/>
        </w:rPr>
        <w:t>[3</w:t>
      </w:r>
      <w:r w:rsidR="00264008">
        <w:rPr>
          <w:rFonts w:ascii="Arial" w:hAnsi="Arial" w:cs="Arial"/>
          <w:sz w:val="22"/>
          <w:szCs w:val="22"/>
        </w:rPr>
        <w:t>9</w:t>
      </w:r>
      <w:r w:rsidRPr="00264008">
        <w:rPr>
          <w:rFonts w:ascii="Arial" w:hAnsi="Arial" w:cs="Arial"/>
          <w:sz w:val="22"/>
          <w:szCs w:val="22"/>
        </w:rPr>
        <w:t>]</w:t>
      </w:r>
      <w:r w:rsidRPr="00264008">
        <w:rPr>
          <w:rFonts w:ascii="Arial" w:hAnsi="Arial" w:cs="Arial"/>
          <w:sz w:val="22"/>
          <w:szCs w:val="22"/>
        </w:rPr>
        <w:tab/>
        <w:t>Section 9(1)(b) and Section 9(2) of PAJA reads as follows:</w:t>
      </w:r>
    </w:p>
    <w:p w14:paraId="5197FFF5" w14:textId="77777777" w:rsidR="002B1203" w:rsidRPr="00264008" w:rsidRDefault="002B1203" w:rsidP="00C2095D">
      <w:pPr>
        <w:spacing w:line="480" w:lineRule="auto"/>
        <w:ind w:left="720" w:hanging="720"/>
        <w:jc w:val="both"/>
        <w:rPr>
          <w:rFonts w:ascii="Arial" w:hAnsi="Arial" w:cs="Arial"/>
          <w:i/>
          <w:sz w:val="18"/>
          <w:szCs w:val="18"/>
        </w:rPr>
      </w:pPr>
      <w:r>
        <w:rPr>
          <w:rFonts w:ascii="Arial" w:hAnsi="Arial" w:cs="Arial"/>
        </w:rPr>
        <w:tab/>
      </w:r>
      <w:r>
        <w:rPr>
          <w:rFonts w:ascii="Arial" w:hAnsi="Arial" w:cs="Arial"/>
        </w:rPr>
        <w:tab/>
      </w:r>
      <w:r w:rsidRPr="00264008">
        <w:rPr>
          <w:rFonts w:ascii="Arial" w:hAnsi="Arial" w:cs="Arial"/>
          <w:i/>
          <w:sz w:val="18"/>
          <w:szCs w:val="18"/>
        </w:rPr>
        <w:t>“(1)</w:t>
      </w:r>
      <w:r w:rsidRPr="00264008">
        <w:rPr>
          <w:rFonts w:ascii="Arial" w:hAnsi="Arial" w:cs="Arial"/>
          <w:i/>
          <w:sz w:val="18"/>
          <w:szCs w:val="18"/>
        </w:rPr>
        <w:tab/>
        <w:t xml:space="preserve">The period of – </w:t>
      </w:r>
    </w:p>
    <w:p w14:paraId="4F43290D" w14:textId="77777777" w:rsidR="002B1203" w:rsidRPr="00264008" w:rsidRDefault="002B1203" w:rsidP="00086CE4">
      <w:pPr>
        <w:numPr>
          <w:ilvl w:val="0"/>
          <w:numId w:val="3"/>
        </w:numPr>
        <w:spacing w:line="480" w:lineRule="auto"/>
        <w:jc w:val="both"/>
        <w:rPr>
          <w:rFonts w:ascii="Arial" w:hAnsi="Arial" w:cs="Arial"/>
          <w:i/>
          <w:sz w:val="18"/>
          <w:szCs w:val="18"/>
        </w:rPr>
      </w:pPr>
      <w:r w:rsidRPr="00264008">
        <w:rPr>
          <w:rFonts w:ascii="Arial" w:hAnsi="Arial" w:cs="Arial"/>
          <w:i/>
          <w:sz w:val="18"/>
          <w:szCs w:val="18"/>
        </w:rPr>
        <w:t>…</w:t>
      </w:r>
    </w:p>
    <w:p w14:paraId="5E8AC9C3" w14:textId="77777777" w:rsidR="002B1203" w:rsidRPr="00264008" w:rsidRDefault="002B1203" w:rsidP="00086CE4">
      <w:pPr>
        <w:numPr>
          <w:ilvl w:val="0"/>
          <w:numId w:val="3"/>
        </w:numPr>
        <w:spacing w:line="480" w:lineRule="auto"/>
        <w:jc w:val="both"/>
        <w:rPr>
          <w:rFonts w:ascii="Arial" w:hAnsi="Arial" w:cs="Arial"/>
          <w:i/>
          <w:sz w:val="18"/>
          <w:szCs w:val="18"/>
        </w:rPr>
      </w:pPr>
      <w:r w:rsidRPr="00264008">
        <w:rPr>
          <w:rFonts w:ascii="Arial" w:hAnsi="Arial" w:cs="Arial"/>
          <w:i/>
          <w:sz w:val="18"/>
          <w:szCs w:val="18"/>
        </w:rPr>
        <w:t>90 days or 180 days referred to in sections 5 and 6 may be extended for a fix period by agreement between the parties or failing such agreement by a court or tribunal on application by the person or administrator concerned.</w:t>
      </w:r>
    </w:p>
    <w:p w14:paraId="0D6B2937" w14:textId="77777777" w:rsidR="003D298C" w:rsidRPr="00264008" w:rsidRDefault="002B1203" w:rsidP="002B1203">
      <w:pPr>
        <w:spacing w:line="480" w:lineRule="auto"/>
        <w:ind w:left="2160" w:hanging="720"/>
        <w:jc w:val="both"/>
        <w:rPr>
          <w:rFonts w:ascii="Arial" w:hAnsi="Arial" w:cs="Arial"/>
          <w:sz w:val="18"/>
          <w:szCs w:val="18"/>
        </w:rPr>
      </w:pPr>
      <w:r w:rsidRPr="00264008">
        <w:rPr>
          <w:rFonts w:ascii="Arial" w:hAnsi="Arial" w:cs="Arial"/>
          <w:i/>
          <w:sz w:val="18"/>
          <w:szCs w:val="18"/>
        </w:rPr>
        <w:t>(2)</w:t>
      </w:r>
      <w:r w:rsidRPr="00264008">
        <w:rPr>
          <w:rFonts w:ascii="Arial" w:hAnsi="Arial" w:cs="Arial"/>
          <w:i/>
          <w:sz w:val="18"/>
          <w:szCs w:val="18"/>
        </w:rPr>
        <w:tab/>
        <w:t>The court or tribunal may grant an application in terms of sub-section (1) whe</w:t>
      </w:r>
      <w:r w:rsidR="004C6671" w:rsidRPr="00264008">
        <w:rPr>
          <w:rFonts w:ascii="Arial" w:hAnsi="Arial" w:cs="Arial"/>
          <w:i/>
          <w:sz w:val="18"/>
          <w:szCs w:val="18"/>
        </w:rPr>
        <w:t>re the</w:t>
      </w:r>
      <w:r w:rsidRPr="00264008">
        <w:rPr>
          <w:rFonts w:ascii="Arial" w:hAnsi="Arial" w:cs="Arial"/>
          <w:i/>
          <w:sz w:val="18"/>
          <w:szCs w:val="18"/>
        </w:rPr>
        <w:t xml:space="preserve"> interest of justice so require</w:t>
      </w:r>
      <w:r w:rsidRPr="00264008">
        <w:rPr>
          <w:rFonts w:ascii="Arial" w:hAnsi="Arial" w:cs="Arial"/>
          <w:sz w:val="18"/>
          <w:szCs w:val="18"/>
        </w:rPr>
        <w:t>.”</w:t>
      </w:r>
    </w:p>
    <w:p w14:paraId="6318E19E" w14:textId="77777777" w:rsidR="002B1203" w:rsidRPr="00264008" w:rsidRDefault="002B1203" w:rsidP="00D12BEB">
      <w:pPr>
        <w:spacing w:line="480" w:lineRule="auto"/>
        <w:ind w:left="567" w:hanging="567"/>
        <w:jc w:val="both"/>
        <w:rPr>
          <w:rFonts w:ascii="Arial" w:hAnsi="Arial" w:cs="Arial"/>
          <w:sz w:val="22"/>
          <w:szCs w:val="22"/>
        </w:rPr>
      </w:pPr>
      <w:r w:rsidRPr="00264008">
        <w:rPr>
          <w:rFonts w:ascii="Arial" w:hAnsi="Arial" w:cs="Arial"/>
          <w:sz w:val="22"/>
          <w:szCs w:val="22"/>
        </w:rPr>
        <w:t>[</w:t>
      </w:r>
      <w:r w:rsidR="00264008">
        <w:rPr>
          <w:rFonts w:ascii="Arial" w:hAnsi="Arial" w:cs="Arial"/>
          <w:sz w:val="22"/>
          <w:szCs w:val="22"/>
        </w:rPr>
        <w:t>40</w:t>
      </w:r>
      <w:r w:rsidRPr="00264008">
        <w:rPr>
          <w:rFonts w:ascii="Arial" w:hAnsi="Arial" w:cs="Arial"/>
          <w:sz w:val="22"/>
          <w:szCs w:val="22"/>
        </w:rPr>
        <w:t>]</w:t>
      </w:r>
      <w:r w:rsidRPr="00264008">
        <w:rPr>
          <w:rFonts w:ascii="Arial" w:hAnsi="Arial" w:cs="Arial"/>
          <w:sz w:val="22"/>
          <w:szCs w:val="22"/>
        </w:rPr>
        <w:tab/>
        <w:t xml:space="preserve">There is no evidence before me to indicate that the Applicant did not at all relevant times act expeditiously in the institution of the review application. </w:t>
      </w:r>
      <w:r w:rsidR="004C6671" w:rsidRPr="00264008">
        <w:rPr>
          <w:rFonts w:ascii="Arial" w:hAnsi="Arial" w:cs="Arial"/>
          <w:sz w:val="22"/>
          <w:szCs w:val="22"/>
        </w:rPr>
        <w:t>On the contrary as indicated above I-cat already proceeded with an application for review during 2020 absent any decision by SARS on the 2015 request for a reduce assessment.</w:t>
      </w:r>
    </w:p>
    <w:p w14:paraId="4C9464E8" w14:textId="77777777" w:rsidR="002B1203" w:rsidRPr="00264008" w:rsidRDefault="002B1203" w:rsidP="00D12BEB">
      <w:pPr>
        <w:spacing w:line="480" w:lineRule="auto"/>
        <w:ind w:left="567" w:hanging="567"/>
        <w:jc w:val="both"/>
        <w:rPr>
          <w:rFonts w:ascii="Arial" w:hAnsi="Arial" w:cs="Arial"/>
          <w:sz w:val="22"/>
          <w:szCs w:val="22"/>
        </w:rPr>
      </w:pPr>
      <w:r w:rsidRPr="00264008">
        <w:rPr>
          <w:rFonts w:ascii="Arial" w:hAnsi="Arial" w:cs="Arial"/>
          <w:sz w:val="22"/>
          <w:szCs w:val="22"/>
        </w:rPr>
        <w:t>[</w:t>
      </w:r>
      <w:r w:rsidR="00264008">
        <w:rPr>
          <w:rFonts w:ascii="Arial" w:hAnsi="Arial" w:cs="Arial"/>
          <w:sz w:val="22"/>
          <w:szCs w:val="22"/>
        </w:rPr>
        <w:t>41</w:t>
      </w:r>
      <w:r w:rsidRPr="00264008">
        <w:rPr>
          <w:rFonts w:ascii="Arial" w:hAnsi="Arial" w:cs="Arial"/>
          <w:sz w:val="22"/>
          <w:szCs w:val="22"/>
        </w:rPr>
        <w:t>]</w:t>
      </w:r>
      <w:r w:rsidRPr="00264008">
        <w:rPr>
          <w:rFonts w:ascii="Arial" w:hAnsi="Arial" w:cs="Arial"/>
          <w:sz w:val="22"/>
          <w:szCs w:val="22"/>
        </w:rPr>
        <w:tab/>
        <w:t xml:space="preserve">The standard to be applied in assessing the delay under PAJA is thus whether the delay was unreasonable. </w:t>
      </w:r>
      <w:r w:rsidRPr="00264008">
        <w:rPr>
          <w:rStyle w:val="FootnoteReference"/>
          <w:rFonts w:ascii="Arial" w:hAnsi="Arial" w:cs="Arial"/>
          <w:sz w:val="22"/>
          <w:szCs w:val="22"/>
        </w:rPr>
        <w:footnoteReference w:id="23"/>
      </w:r>
      <w:r w:rsidRPr="00264008">
        <w:rPr>
          <w:rFonts w:ascii="Arial" w:hAnsi="Arial" w:cs="Arial"/>
          <w:sz w:val="22"/>
          <w:szCs w:val="22"/>
        </w:rPr>
        <w:t xml:space="preserve"> </w:t>
      </w:r>
    </w:p>
    <w:p w14:paraId="73EFF171" w14:textId="77777777" w:rsidR="006051D2" w:rsidRPr="00264008" w:rsidRDefault="006051D2" w:rsidP="00D12BEB">
      <w:pPr>
        <w:spacing w:line="480" w:lineRule="auto"/>
        <w:ind w:left="567" w:hanging="567"/>
        <w:jc w:val="both"/>
        <w:rPr>
          <w:rFonts w:ascii="Arial" w:hAnsi="Arial" w:cs="Arial"/>
          <w:sz w:val="22"/>
          <w:szCs w:val="22"/>
        </w:rPr>
      </w:pPr>
      <w:r w:rsidRPr="00264008">
        <w:rPr>
          <w:rFonts w:ascii="Arial" w:hAnsi="Arial" w:cs="Arial"/>
          <w:sz w:val="22"/>
          <w:szCs w:val="22"/>
        </w:rPr>
        <w:lastRenderedPageBreak/>
        <w:t>[</w:t>
      </w:r>
      <w:r w:rsidR="001435AD" w:rsidRPr="00264008">
        <w:rPr>
          <w:rFonts w:ascii="Arial" w:hAnsi="Arial" w:cs="Arial"/>
          <w:sz w:val="22"/>
          <w:szCs w:val="22"/>
        </w:rPr>
        <w:t>4</w:t>
      </w:r>
      <w:r w:rsidR="00264008">
        <w:rPr>
          <w:rFonts w:ascii="Arial" w:hAnsi="Arial" w:cs="Arial"/>
          <w:sz w:val="22"/>
          <w:szCs w:val="22"/>
        </w:rPr>
        <w:t>2</w:t>
      </w:r>
      <w:r w:rsidRPr="00264008">
        <w:rPr>
          <w:rFonts w:ascii="Arial" w:hAnsi="Arial" w:cs="Arial"/>
          <w:sz w:val="22"/>
          <w:szCs w:val="22"/>
        </w:rPr>
        <w:t>]</w:t>
      </w:r>
      <w:r w:rsidRPr="00264008">
        <w:rPr>
          <w:rFonts w:ascii="Arial" w:hAnsi="Arial" w:cs="Arial"/>
          <w:sz w:val="22"/>
          <w:szCs w:val="22"/>
        </w:rPr>
        <w:tab/>
        <w:t xml:space="preserve">The Supreme Court of Appeal in </w:t>
      </w:r>
      <w:r w:rsidRPr="00264008">
        <w:rPr>
          <w:rFonts w:ascii="Arial" w:hAnsi="Arial" w:cs="Arial"/>
          <w:b/>
          <w:i/>
          <w:sz w:val="22"/>
          <w:szCs w:val="22"/>
        </w:rPr>
        <w:t>Opposition to Urban Tolling Alliance v South African National Roads Agency Limited (2013) 4 ALL SA 639 SCA</w:t>
      </w:r>
      <w:r w:rsidRPr="00264008">
        <w:rPr>
          <w:rFonts w:ascii="Arial" w:hAnsi="Arial" w:cs="Arial"/>
          <w:sz w:val="22"/>
          <w:szCs w:val="22"/>
        </w:rPr>
        <w:t xml:space="preserve"> held that Section 7 of PAJA creates a presumption that a delay of longer of 180 days is “per se unreasonable”:</w:t>
      </w:r>
    </w:p>
    <w:p w14:paraId="570E8219" w14:textId="77777777" w:rsidR="006051D2" w:rsidRPr="00264008" w:rsidRDefault="006051D2" w:rsidP="006051D2">
      <w:pPr>
        <w:spacing w:line="480" w:lineRule="auto"/>
        <w:ind w:left="1440"/>
        <w:jc w:val="both"/>
        <w:rPr>
          <w:rFonts w:ascii="Arial" w:hAnsi="Arial" w:cs="Arial"/>
          <w:i/>
          <w:sz w:val="18"/>
          <w:szCs w:val="18"/>
        </w:rPr>
      </w:pPr>
      <w:r w:rsidRPr="00264008">
        <w:rPr>
          <w:rFonts w:ascii="Arial" w:hAnsi="Arial" w:cs="Arial"/>
          <w:sz w:val="18"/>
          <w:szCs w:val="18"/>
        </w:rPr>
        <w:t>“</w:t>
      </w:r>
      <w:r w:rsidRPr="00264008">
        <w:rPr>
          <w:rFonts w:ascii="Arial" w:hAnsi="Arial" w:cs="Arial"/>
          <w:i/>
          <w:sz w:val="18"/>
          <w:szCs w:val="18"/>
        </w:rPr>
        <w:t>At common law application of the undue delay rule required a two stage enquiry.  First whether there was an unreasonable delay and, secondly, if so whether the delay should in all circumstances be condoned … up to a point I think, Section 7(1) of PAJA requires the same two stage approach.  The difference lies, as I see it, in the legislature’s determination of the delay exceeding 180 days as per se unreasonable.  Before the effluxion on of 180 days, the first enquiry in applying section 7(1) is still whether the delay (if any) was unreasonable.  But after the 180 date period the issue of unreasonableness is pre-determined by the legislature; it is unreasonable per se.  It follows that the court is only empowered to entertain the review application if the interests of justice dictates an extension in terms of section 9.  Absent such extension the court has no authority to entertain the review application at all.  Whether or not the decision was unlawful no longer matters.  The decision has been ‘validated’ by the delay.”</w:t>
      </w:r>
      <w:r w:rsidRPr="00264008">
        <w:rPr>
          <w:rStyle w:val="FootnoteReference"/>
          <w:rFonts w:ascii="Arial" w:hAnsi="Arial" w:cs="Arial"/>
          <w:i/>
          <w:sz w:val="18"/>
          <w:szCs w:val="18"/>
        </w:rPr>
        <w:footnoteReference w:id="24"/>
      </w:r>
    </w:p>
    <w:p w14:paraId="62A1D145" w14:textId="77777777" w:rsidR="006051D2" w:rsidRPr="00264008" w:rsidRDefault="006051D2" w:rsidP="00D12BEB">
      <w:pPr>
        <w:spacing w:line="480" w:lineRule="auto"/>
        <w:ind w:left="567" w:hanging="567"/>
        <w:jc w:val="both"/>
        <w:rPr>
          <w:rFonts w:ascii="Arial" w:hAnsi="Arial" w:cs="Arial"/>
          <w:sz w:val="22"/>
          <w:szCs w:val="22"/>
        </w:rPr>
      </w:pPr>
      <w:r w:rsidRPr="006051D2">
        <w:rPr>
          <w:rFonts w:ascii="Arial" w:hAnsi="Arial" w:cs="Arial"/>
        </w:rPr>
        <w:t>[4</w:t>
      </w:r>
      <w:r w:rsidR="00264008">
        <w:rPr>
          <w:rFonts w:ascii="Arial" w:hAnsi="Arial" w:cs="Arial"/>
        </w:rPr>
        <w:t>3</w:t>
      </w:r>
      <w:r w:rsidRPr="006051D2">
        <w:rPr>
          <w:rFonts w:ascii="Arial" w:hAnsi="Arial" w:cs="Arial"/>
        </w:rPr>
        <w:t>]</w:t>
      </w:r>
      <w:r w:rsidRPr="006051D2">
        <w:rPr>
          <w:rFonts w:ascii="Arial" w:hAnsi="Arial" w:cs="Arial"/>
        </w:rPr>
        <w:tab/>
      </w:r>
      <w:r w:rsidRPr="00264008">
        <w:rPr>
          <w:rFonts w:ascii="Arial" w:hAnsi="Arial" w:cs="Arial"/>
          <w:sz w:val="22"/>
          <w:szCs w:val="22"/>
        </w:rPr>
        <w:t xml:space="preserve">In </w:t>
      </w:r>
      <w:r w:rsidRPr="00264008">
        <w:rPr>
          <w:rFonts w:ascii="Arial" w:hAnsi="Arial" w:cs="Arial"/>
          <w:b/>
          <w:i/>
          <w:sz w:val="22"/>
          <w:szCs w:val="22"/>
        </w:rPr>
        <w:t>South African National Roads Agency v Cape Town City</w:t>
      </w:r>
      <w:r w:rsidRPr="00264008">
        <w:rPr>
          <w:rStyle w:val="FootnoteReference"/>
          <w:rFonts w:ascii="Arial" w:hAnsi="Arial" w:cs="Arial"/>
          <w:sz w:val="22"/>
          <w:szCs w:val="22"/>
        </w:rPr>
        <w:footnoteReference w:id="25"/>
      </w:r>
      <w:r w:rsidRPr="00264008">
        <w:rPr>
          <w:rFonts w:ascii="Arial" w:hAnsi="Arial" w:cs="Arial"/>
          <w:sz w:val="22"/>
          <w:szCs w:val="22"/>
        </w:rPr>
        <w:t xml:space="preserve"> Appellate Justice Navsa rejected a suggestion that the question of delay must be dealt with before the merits of the review can be entertained:</w:t>
      </w:r>
    </w:p>
    <w:p w14:paraId="74E63C40" w14:textId="77777777" w:rsidR="006051D2" w:rsidRPr="00264008" w:rsidRDefault="006051D2" w:rsidP="006051D2">
      <w:pPr>
        <w:spacing w:line="480" w:lineRule="auto"/>
        <w:ind w:left="1440"/>
        <w:jc w:val="both"/>
        <w:rPr>
          <w:rFonts w:ascii="Arial" w:hAnsi="Arial" w:cs="Arial"/>
          <w:sz w:val="18"/>
          <w:szCs w:val="18"/>
        </w:rPr>
      </w:pPr>
      <w:r w:rsidRPr="00264008">
        <w:rPr>
          <w:rFonts w:ascii="Arial" w:hAnsi="Arial" w:cs="Arial"/>
          <w:sz w:val="18"/>
          <w:szCs w:val="18"/>
        </w:rPr>
        <w:t>“</w:t>
      </w:r>
      <w:r w:rsidRPr="00264008">
        <w:rPr>
          <w:rFonts w:ascii="Arial" w:hAnsi="Arial" w:cs="Arial"/>
          <w:i/>
          <w:sz w:val="18"/>
          <w:szCs w:val="18"/>
        </w:rPr>
        <w:t>It is true that in (the Supreme Court of Appeal’s judgement in opposition to Urban Tolling Alliance) this court considered it important to settle the court’s jurisdiction to entertain the merits of the matter by first having regard to the question of delay</w:t>
      </w:r>
      <w:r w:rsidRPr="00264008">
        <w:rPr>
          <w:rFonts w:ascii="Arial" w:hAnsi="Arial" w:cs="Arial"/>
          <w:sz w:val="18"/>
          <w:szCs w:val="18"/>
        </w:rPr>
        <w:t xml:space="preserve">. </w:t>
      </w:r>
      <w:r w:rsidRPr="00264008">
        <w:rPr>
          <w:rFonts w:ascii="Arial" w:hAnsi="Arial" w:cs="Arial"/>
          <w:i/>
          <w:sz w:val="18"/>
          <w:szCs w:val="18"/>
        </w:rPr>
        <w:t>However, it cannot be read the signal a clinical excision of the merits of the impugned decision, which must be a critical factor when a court embarks on a consideration of all the circumstances of a case in order to determine whether the interests of justice dictate a delay should be condoned.  It would have to include a consideration of whether the non-compliance with statutory prescripts was egregious</w:t>
      </w:r>
      <w:r w:rsidRPr="00264008">
        <w:rPr>
          <w:rFonts w:ascii="Arial" w:hAnsi="Arial" w:cs="Arial"/>
          <w:sz w:val="18"/>
          <w:szCs w:val="18"/>
        </w:rPr>
        <w:t>.”</w:t>
      </w:r>
      <w:r w:rsidRPr="00264008">
        <w:rPr>
          <w:rStyle w:val="FootnoteReference"/>
          <w:rFonts w:ascii="Arial" w:hAnsi="Arial" w:cs="Arial"/>
          <w:sz w:val="18"/>
          <w:szCs w:val="18"/>
        </w:rPr>
        <w:footnoteReference w:id="26"/>
      </w:r>
      <w:r w:rsidRPr="00264008">
        <w:rPr>
          <w:rFonts w:ascii="Arial" w:hAnsi="Arial" w:cs="Arial"/>
          <w:sz w:val="18"/>
          <w:szCs w:val="18"/>
        </w:rPr>
        <w:t xml:space="preserve"> </w:t>
      </w:r>
    </w:p>
    <w:p w14:paraId="3FA24A94" w14:textId="77777777" w:rsidR="00FA5748" w:rsidRPr="00264008" w:rsidRDefault="00FA5748" w:rsidP="00D12BEB">
      <w:pPr>
        <w:spacing w:line="480" w:lineRule="auto"/>
        <w:ind w:left="567" w:hanging="567"/>
        <w:jc w:val="both"/>
        <w:rPr>
          <w:rFonts w:ascii="Arial" w:hAnsi="Arial" w:cs="Arial"/>
          <w:sz w:val="22"/>
          <w:szCs w:val="22"/>
        </w:rPr>
      </w:pPr>
      <w:r>
        <w:rPr>
          <w:rFonts w:ascii="Arial" w:hAnsi="Arial" w:cs="Arial"/>
        </w:rPr>
        <w:t>[4</w:t>
      </w:r>
      <w:r w:rsidR="00264008">
        <w:rPr>
          <w:rFonts w:ascii="Arial" w:hAnsi="Arial" w:cs="Arial"/>
        </w:rPr>
        <w:t>4</w:t>
      </w:r>
      <w:r>
        <w:rPr>
          <w:rFonts w:ascii="Arial" w:hAnsi="Arial" w:cs="Arial"/>
        </w:rPr>
        <w:t>]</w:t>
      </w:r>
      <w:r>
        <w:rPr>
          <w:rFonts w:ascii="Arial" w:hAnsi="Arial" w:cs="Arial"/>
        </w:rPr>
        <w:tab/>
      </w:r>
      <w:r w:rsidRPr="00264008">
        <w:rPr>
          <w:rFonts w:ascii="Arial" w:hAnsi="Arial" w:cs="Arial"/>
          <w:sz w:val="22"/>
          <w:szCs w:val="22"/>
        </w:rPr>
        <w:t>This approach was confirmed by the Constitutional Court in Aurecon where the explanation for the delay was found to be unsatisfactory:</w:t>
      </w:r>
    </w:p>
    <w:p w14:paraId="5013D5D3" w14:textId="77777777" w:rsidR="00A24E22" w:rsidRPr="00264008" w:rsidRDefault="00FA5748" w:rsidP="00A24E22">
      <w:pPr>
        <w:spacing w:line="480" w:lineRule="auto"/>
        <w:ind w:left="1440"/>
        <w:jc w:val="both"/>
        <w:rPr>
          <w:rFonts w:ascii="Arial" w:hAnsi="Arial" w:cs="Arial"/>
          <w:sz w:val="18"/>
          <w:szCs w:val="18"/>
        </w:rPr>
      </w:pPr>
      <w:r w:rsidRPr="00264008">
        <w:rPr>
          <w:rFonts w:ascii="Arial" w:hAnsi="Arial" w:cs="Arial"/>
          <w:sz w:val="18"/>
          <w:szCs w:val="18"/>
        </w:rPr>
        <w:lastRenderedPageBreak/>
        <w:t>“</w:t>
      </w:r>
      <w:r w:rsidRPr="00264008">
        <w:rPr>
          <w:rFonts w:ascii="Arial" w:hAnsi="Arial" w:cs="Arial"/>
          <w:i/>
          <w:sz w:val="18"/>
          <w:szCs w:val="18"/>
        </w:rPr>
        <w:t xml:space="preserve">Nonetheless, due regard must also be given to the importance of the issue that is raised and the prospects of success. In this case </w:t>
      </w:r>
      <w:r w:rsidR="00A24E22" w:rsidRPr="00264008">
        <w:rPr>
          <w:rFonts w:ascii="Arial" w:hAnsi="Arial" w:cs="Arial"/>
          <w:i/>
          <w:sz w:val="18"/>
          <w:szCs w:val="18"/>
        </w:rPr>
        <w:t>that means considering the significance of the alleged procedural irregularities that were raised in the Ernest &amp; Young report.  It should be borne in mind that, when carrying out a legal evaluation a court must, where appropriate, take into account the materiality of any deviance from legal requirements, by linking the question of compliance to the purpose of the provision</w:t>
      </w:r>
      <w:r w:rsidR="00A24E22" w:rsidRPr="00264008">
        <w:rPr>
          <w:rFonts w:ascii="Arial" w:hAnsi="Arial" w:cs="Arial"/>
          <w:sz w:val="18"/>
          <w:szCs w:val="18"/>
        </w:rPr>
        <w:t xml:space="preserve">”. </w:t>
      </w:r>
    </w:p>
    <w:p w14:paraId="23FED320" w14:textId="77777777" w:rsidR="001435AD" w:rsidRPr="00D12BEB" w:rsidRDefault="00A24E22" w:rsidP="00D12BEB">
      <w:pPr>
        <w:spacing w:line="480" w:lineRule="auto"/>
        <w:ind w:left="567" w:hanging="567"/>
        <w:jc w:val="both"/>
        <w:rPr>
          <w:rFonts w:ascii="Arial" w:hAnsi="Arial" w:cs="Arial"/>
          <w:i/>
          <w:iCs/>
          <w:color w:val="000000"/>
          <w:sz w:val="22"/>
          <w:szCs w:val="22"/>
        </w:rPr>
      </w:pPr>
      <w:r>
        <w:rPr>
          <w:rFonts w:ascii="Arial" w:hAnsi="Arial" w:cs="Arial"/>
        </w:rPr>
        <w:t>[4</w:t>
      </w:r>
      <w:r w:rsidR="00264008">
        <w:rPr>
          <w:rFonts w:ascii="Arial" w:hAnsi="Arial" w:cs="Arial"/>
        </w:rPr>
        <w:t>5</w:t>
      </w:r>
      <w:r>
        <w:rPr>
          <w:rFonts w:ascii="Arial" w:hAnsi="Arial" w:cs="Arial"/>
        </w:rPr>
        <w:t>]</w:t>
      </w:r>
      <w:r>
        <w:rPr>
          <w:rFonts w:ascii="Arial" w:hAnsi="Arial" w:cs="Arial"/>
        </w:rPr>
        <w:tab/>
      </w:r>
      <w:r w:rsidRPr="00264008">
        <w:rPr>
          <w:rFonts w:ascii="Arial" w:hAnsi="Arial" w:cs="Arial"/>
          <w:sz w:val="22"/>
          <w:szCs w:val="22"/>
        </w:rPr>
        <w:t xml:space="preserve">In </w:t>
      </w:r>
      <w:r w:rsidR="001435AD" w:rsidRPr="00264008">
        <w:rPr>
          <w:rFonts w:ascii="Arial" w:hAnsi="Arial" w:cs="Arial"/>
          <w:sz w:val="22"/>
          <w:szCs w:val="22"/>
        </w:rPr>
        <w:t>the matter of</w:t>
      </w:r>
      <w:r w:rsidR="001435AD" w:rsidRPr="00264008">
        <w:rPr>
          <w:rFonts w:ascii="Arial" w:hAnsi="Arial" w:cs="Arial"/>
          <w:b/>
          <w:bCs/>
          <w:sz w:val="22"/>
          <w:szCs w:val="22"/>
        </w:rPr>
        <w:t xml:space="preserve"> City of Cape Town v Aurecon</w:t>
      </w:r>
      <w:r w:rsidR="001435AD" w:rsidRPr="00264008">
        <w:rPr>
          <w:rFonts w:ascii="Arial" w:hAnsi="Arial" w:cs="Arial"/>
          <w:sz w:val="22"/>
          <w:szCs w:val="22"/>
        </w:rPr>
        <w:t xml:space="preserve"> supra</w:t>
      </w:r>
      <w:r w:rsidR="001435AD" w:rsidRPr="00264008">
        <w:rPr>
          <w:rStyle w:val="FootnoteReference"/>
          <w:rFonts w:ascii="Arial" w:hAnsi="Arial" w:cs="Arial"/>
          <w:sz w:val="22"/>
          <w:szCs w:val="22"/>
        </w:rPr>
        <w:footnoteReference w:id="27"/>
      </w:r>
      <w:r w:rsidR="001435AD" w:rsidRPr="00264008">
        <w:rPr>
          <w:rFonts w:ascii="Arial" w:hAnsi="Arial" w:cs="Arial"/>
          <w:sz w:val="22"/>
          <w:szCs w:val="22"/>
        </w:rPr>
        <w:t xml:space="preserve"> the Constitutional Court referred with approval to the principles enunciated by the Supreme Court of Appeal</w:t>
      </w:r>
      <w:r w:rsidR="001435AD" w:rsidRPr="00264008">
        <w:rPr>
          <w:rFonts w:ascii="Arial" w:hAnsi="Arial" w:cs="Arial"/>
          <w:color w:val="000000"/>
          <w:sz w:val="22"/>
          <w:szCs w:val="22"/>
        </w:rPr>
        <w:t xml:space="preserve"> in that matter who, relying on this Constitutional Court’s decisions in </w:t>
      </w:r>
      <w:r w:rsidR="001435AD" w:rsidRPr="00264008">
        <w:rPr>
          <w:rFonts w:ascii="Arial" w:hAnsi="Arial" w:cs="Arial"/>
          <w:i/>
          <w:iCs/>
          <w:color w:val="000000"/>
          <w:sz w:val="22"/>
          <w:szCs w:val="22"/>
        </w:rPr>
        <w:t>Va</w:t>
      </w:r>
      <w:r w:rsidR="00D12BEB">
        <w:rPr>
          <w:rFonts w:ascii="Arial" w:hAnsi="Arial" w:cs="Arial"/>
          <w:i/>
          <w:iCs/>
          <w:color w:val="000000"/>
          <w:sz w:val="22"/>
          <w:szCs w:val="22"/>
        </w:rPr>
        <w:t>n W</w:t>
      </w:r>
      <w:r w:rsidR="001435AD" w:rsidRPr="00264008">
        <w:rPr>
          <w:rFonts w:ascii="Arial" w:hAnsi="Arial" w:cs="Arial"/>
          <w:i/>
          <w:iCs/>
          <w:color w:val="000000"/>
          <w:sz w:val="22"/>
          <w:szCs w:val="22"/>
        </w:rPr>
        <w:t>yk</w:t>
      </w:r>
      <w:bookmarkStart w:id="5" w:name="0-0-0-154363"/>
      <w:bookmarkEnd w:id="5"/>
      <w:r w:rsidR="001435AD" w:rsidRPr="00264008">
        <w:rPr>
          <w:rStyle w:val="FootnoteReference"/>
          <w:rFonts w:ascii="Arial" w:hAnsi="Arial" w:cs="Arial"/>
          <w:i/>
          <w:iCs/>
          <w:color w:val="000000"/>
          <w:sz w:val="22"/>
          <w:szCs w:val="22"/>
        </w:rPr>
        <w:footnoteReference w:id="28"/>
      </w:r>
      <w:r w:rsidR="001435AD" w:rsidRPr="00264008">
        <w:rPr>
          <w:rFonts w:ascii="Arial" w:hAnsi="Arial" w:cs="Arial"/>
          <w:color w:val="000000"/>
          <w:sz w:val="22"/>
          <w:szCs w:val="22"/>
        </w:rPr>
        <w:t>  and </w:t>
      </w:r>
      <w:r w:rsidR="001435AD" w:rsidRPr="00264008">
        <w:rPr>
          <w:rFonts w:ascii="Arial" w:hAnsi="Arial" w:cs="Arial"/>
          <w:i/>
          <w:iCs/>
          <w:color w:val="000000"/>
          <w:sz w:val="22"/>
          <w:szCs w:val="22"/>
        </w:rPr>
        <w:t>eThekwini</w:t>
      </w:r>
      <w:r w:rsidR="001435AD" w:rsidRPr="00264008">
        <w:rPr>
          <w:rStyle w:val="FootnoteReference"/>
          <w:rFonts w:ascii="Arial" w:hAnsi="Arial" w:cs="Arial"/>
          <w:i/>
          <w:iCs/>
          <w:color w:val="000000"/>
          <w:sz w:val="22"/>
          <w:szCs w:val="22"/>
        </w:rPr>
        <w:footnoteReference w:id="29"/>
      </w:r>
      <w:r w:rsidR="001435AD" w:rsidRPr="00264008">
        <w:rPr>
          <w:rFonts w:ascii="Arial" w:hAnsi="Arial" w:cs="Arial"/>
          <w:color w:val="000000"/>
          <w:sz w:val="22"/>
          <w:szCs w:val="22"/>
        </w:rPr>
        <w:t>, </w:t>
      </w:r>
      <w:bookmarkStart w:id="6" w:name="0-0-0-154367"/>
      <w:bookmarkEnd w:id="6"/>
      <w:r w:rsidR="001435AD" w:rsidRPr="00264008">
        <w:rPr>
          <w:rFonts w:ascii="Arial" w:hAnsi="Arial" w:cs="Arial"/>
          <w:color w:val="000000"/>
          <w:sz w:val="22"/>
          <w:szCs w:val="22"/>
        </w:rPr>
        <w:t xml:space="preserve"> adeptly set out the factors that need to be considered when granting condonation as follows:</w:t>
      </w:r>
    </w:p>
    <w:p w14:paraId="01F63371" w14:textId="77777777" w:rsidR="00A24E22" w:rsidRPr="00264008" w:rsidRDefault="00A24E22" w:rsidP="001435AD">
      <w:pPr>
        <w:spacing w:line="480" w:lineRule="auto"/>
        <w:ind w:left="1134" w:hanging="567"/>
        <w:jc w:val="both"/>
        <w:rPr>
          <w:rFonts w:ascii="Arial" w:hAnsi="Arial" w:cs="Arial"/>
          <w:sz w:val="22"/>
          <w:szCs w:val="22"/>
        </w:rPr>
      </w:pPr>
      <w:r w:rsidRPr="00264008">
        <w:rPr>
          <w:rFonts w:ascii="Arial" w:hAnsi="Arial" w:cs="Arial"/>
          <w:sz w:val="22"/>
          <w:szCs w:val="22"/>
        </w:rPr>
        <w:t>(i)</w:t>
      </w:r>
      <w:r w:rsidRPr="00264008">
        <w:rPr>
          <w:rFonts w:ascii="Arial" w:hAnsi="Arial" w:cs="Arial"/>
          <w:sz w:val="22"/>
          <w:szCs w:val="22"/>
        </w:rPr>
        <w:tab/>
        <w:t>the nature of the relief sought in the review application;</w:t>
      </w:r>
    </w:p>
    <w:p w14:paraId="5D202E18" w14:textId="77777777" w:rsidR="00A24E22" w:rsidRPr="00264008" w:rsidRDefault="00A24E22" w:rsidP="001435AD">
      <w:pPr>
        <w:spacing w:line="480" w:lineRule="auto"/>
        <w:ind w:left="1134" w:hanging="567"/>
        <w:jc w:val="both"/>
        <w:rPr>
          <w:rFonts w:ascii="Arial" w:hAnsi="Arial" w:cs="Arial"/>
          <w:sz w:val="22"/>
          <w:szCs w:val="22"/>
        </w:rPr>
      </w:pPr>
      <w:r w:rsidRPr="00264008">
        <w:rPr>
          <w:rFonts w:ascii="Arial" w:hAnsi="Arial" w:cs="Arial"/>
          <w:sz w:val="22"/>
          <w:szCs w:val="22"/>
        </w:rPr>
        <w:t>(ii)</w:t>
      </w:r>
      <w:r w:rsidRPr="00264008">
        <w:rPr>
          <w:rFonts w:ascii="Arial" w:hAnsi="Arial" w:cs="Arial"/>
          <w:sz w:val="22"/>
          <w:szCs w:val="22"/>
        </w:rPr>
        <w:tab/>
        <w:t>the extent and cause of the delay;</w:t>
      </w:r>
    </w:p>
    <w:p w14:paraId="369549D4" w14:textId="77777777" w:rsidR="00A24E22" w:rsidRPr="00264008" w:rsidRDefault="00A24E22" w:rsidP="001435AD">
      <w:pPr>
        <w:spacing w:line="480" w:lineRule="auto"/>
        <w:ind w:left="1134" w:hanging="567"/>
        <w:jc w:val="both"/>
        <w:rPr>
          <w:rFonts w:ascii="Arial" w:hAnsi="Arial" w:cs="Arial"/>
          <w:sz w:val="22"/>
          <w:szCs w:val="22"/>
        </w:rPr>
      </w:pPr>
      <w:r w:rsidRPr="00264008">
        <w:rPr>
          <w:rFonts w:ascii="Arial" w:hAnsi="Arial" w:cs="Arial"/>
          <w:sz w:val="22"/>
          <w:szCs w:val="22"/>
        </w:rPr>
        <w:t>(iii)</w:t>
      </w:r>
      <w:r w:rsidRPr="00264008">
        <w:rPr>
          <w:rFonts w:ascii="Arial" w:hAnsi="Arial" w:cs="Arial"/>
          <w:sz w:val="22"/>
          <w:szCs w:val="22"/>
        </w:rPr>
        <w:tab/>
        <w:t>the effect of the delay on the administration of justice and other litigants;</w:t>
      </w:r>
    </w:p>
    <w:p w14:paraId="183E2535" w14:textId="77777777" w:rsidR="00A24E22" w:rsidRPr="00264008" w:rsidRDefault="00A24E22" w:rsidP="001435AD">
      <w:pPr>
        <w:spacing w:line="480" w:lineRule="auto"/>
        <w:ind w:left="1134" w:hanging="567"/>
        <w:jc w:val="both"/>
        <w:rPr>
          <w:rFonts w:ascii="Arial" w:hAnsi="Arial" w:cs="Arial"/>
          <w:sz w:val="22"/>
          <w:szCs w:val="22"/>
        </w:rPr>
      </w:pPr>
      <w:r w:rsidRPr="00264008">
        <w:rPr>
          <w:rFonts w:ascii="Arial" w:hAnsi="Arial" w:cs="Arial"/>
          <w:sz w:val="22"/>
          <w:szCs w:val="22"/>
        </w:rPr>
        <w:t>(iv)</w:t>
      </w:r>
      <w:r w:rsidRPr="00264008">
        <w:rPr>
          <w:rFonts w:ascii="Arial" w:hAnsi="Arial" w:cs="Arial"/>
          <w:sz w:val="22"/>
          <w:szCs w:val="22"/>
        </w:rPr>
        <w:tab/>
        <w:t>the reasonableness of the explanation for the delay;</w:t>
      </w:r>
    </w:p>
    <w:p w14:paraId="232617E8" w14:textId="77777777" w:rsidR="00A24E22" w:rsidRPr="00264008" w:rsidRDefault="00A24E22" w:rsidP="001435AD">
      <w:pPr>
        <w:spacing w:line="480" w:lineRule="auto"/>
        <w:ind w:left="1134" w:hanging="567"/>
        <w:jc w:val="both"/>
        <w:rPr>
          <w:rFonts w:ascii="Arial" w:hAnsi="Arial" w:cs="Arial"/>
          <w:sz w:val="22"/>
          <w:szCs w:val="22"/>
        </w:rPr>
      </w:pPr>
      <w:r w:rsidRPr="00264008">
        <w:rPr>
          <w:rFonts w:ascii="Arial" w:hAnsi="Arial" w:cs="Arial"/>
          <w:sz w:val="22"/>
          <w:szCs w:val="22"/>
        </w:rPr>
        <w:t>(v)</w:t>
      </w:r>
      <w:r w:rsidRPr="00264008">
        <w:rPr>
          <w:rFonts w:ascii="Arial" w:hAnsi="Arial" w:cs="Arial"/>
          <w:sz w:val="22"/>
          <w:szCs w:val="22"/>
        </w:rPr>
        <w:tab/>
        <w:t>the importance of the issue to be raised in the intended appeal and the prospects of success</w:t>
      </w:r>
      <w:r w:rsidR="001435AD" w:rsidRPr="00264008">
        <w:rPr>
          <w:rFonts w:ascii="Arial" w:hAnsi="Arial" w:cs="Arial"/>
          <w:sz w:val="22"/>
          <w:szCs w:val="22"/>
        </w:rPr>
        <w:t>; and</w:t>
      </w:r>
    </w:p>
    <w:p w14:paraId="076FD4DC" w14:textId="77777777" w:rsidR="00C2095D" w:rsidRPr="00264008" w:rsidRDefault="001435AD" w:rsidP="001435AD">
      <w:pPr>
        <w:spacing w:line="480" w:lineRule="auto"/>
        <w:ind w:left="567" w:hanging="567"/>
        <w:jc w:val="both"/>
        <w:rPr>
          <w:rFonts w:ascii="Arial" w:hAnsi="Arial" w:cs="Arial"/>
          <w:sz w:val="22"/>
          <w:szCs w:val="22"/>
        </w:rPr>
      </w:pPr>
      <w:r>
        <w:rPr>
          <w:rFonts w:ascii="Arial" w:hAnsi="Arial" w:cs="Arial"/>
        </w:rPr>
        <w:t>[4</w:t>
      </w:r>
      <w:r w:rsidR="00264008">
        <w:rPr>
          <w:rFonts w:ascii="Arial" w:hAnsi="Arial" w:cs="Arial"/>
        </w:rPr>
        <w:t>6</w:t>
      </w:r>
      <w:r>
        <w:rPr>
          <w:rFonts w:ascii="Arial" w:hAnsi="Arial" w:cs="Arial"/>
        </w:rPr>
        <w:t>]</w:t>
      </w:r>
      <w:r w:rsidRPr="00264008">
        <w:rPr>
          <w:rFonts w:ascii="Arial" w:hAnsi="Arial" w:cs="Arial"/>
          <w:sz w:val="22"/>
          <w:szCs w:val="22"/>
        </w:rPr>
        <w:tab/>
        <w:t xml:space="preserve">Applying the aforementioned principles to the matter </w:t>
      </w:r>
      <w:r w:rsidRPr="00264008">
        <w:rPr>
          <w:rFonts w:ascii="Arial" w:hAnsi="Arial" w:cs="Arial"/>
          <w:b/>
          <w:i/>
          <w:sz w:val="22"/>
          <w:szCs w:val="22"/>
        </w:rPr>
        <w:t>in casu</w:t>
      </w:r>
      <w:r w:rsidRPr="00264008">
        <w:rPr>
          <w:rFonts w:ascii="Arial" w:hAnsi="Arial" w:cs="Arial"/>
          <w:sz w:val="22"/>
          <w:szCs w:val="22"/>
        </w:rPr>
        <w:t xml:space="preserve"> I am satisfied that condonation should be granted to I-cat.</w:t>
      </w:r>
    </w:p>
    <w:p w14:paraId="6845AA86" w14:textId="77777777" w:rsidR="004D451A" w:rsidRPr="00264008" w:rsidRDefault="004D451A" w:rsidP="004D451A">
      <w:pPr>
        <w:spacing w:line="480" w:lineRule="auto"/>
        <w:ind w:left="1418" w:hanging="851"/>
        <w:jc w:val="both"/>
        <w:rPr>
          <w:rFonts w:ascii="Arial" w:hAnsi="Arial" w:cs="Arial"/>
          <w:sz w:val="22"/>
          <w:szCs w:val="22"/>
        </w:rPr>
      </w:pPr>
      <w:r>
        <w:rPr>
          <w:rFonts w:ascii="Arial" w:hAnsi="Arial" w:cs="Arial"/>
        </w:rPr>
        <w:t>[4</w:t>
      </w:r>
      <w:r w:rsidR="00264008">
        <w:rPr>
          <w:rFonts w:ascii="Arial" w:hAnsi="Arial" w:cs="Arial"/>
        </w:rPr>
        <w:t>6</w:t>
      </w:r>
      <w:r>
        <w:rPr>
          <w:rFonts w:ascii="Arial" w:hAnsi="Arial" w:cs="Arial"/>
        </w:rPr>
        <w:t>.1]</w:t>
      </w:r>
      <w:r>
        <w:rPr>
          <w:rFonts w:ascii="Arial" w:hAnsi="Arial" w:cs="Arial"/>
        </w:rPr>
        <w:tab/>
      </w:r>
      <w:r w:rsidRPr="00264008">
        <w:rPr>
          <w:rFonts w:ascii="Arial" w:hAnsi="Arial" w:cs="Arial"/>
          <w:sz w:val="22"/>
          <w:szCs w:val="22"/>
        </w:rPr>
        <w:t>The application was only filed 25 days out of time. This is not significant and in no way caused any prejudice to SARS or the administration of justice.’</w:t>
      </w:r>
    </w:p>
    <w:p w14:paraId="53ABD622" w14:textId="77777777" w:rsidR="004D451A" w:rsidRPr="00264008" w:rsidRDefault="004D451A" w:rsidP="004D451A">
      <w:pPr>
        <w:spacing w:line="480" w:lineRule="auto"/>
        <w:ind w:left="1418" w:hanging="851"/>
        <w:jc w:val="both"/>
        <w:rPr>
          <w:rFonts w:ascii="Arial" w:hAnsi="Arial" w:cs="Arial"/>
          <w:sz w:val="22"/>
          <w:szCs w:val="22"/>
        </w:rPr>
      </w:pPr>
      <w:r w:rsidRPr="00264008">
        <w:rPr>
          <w:rFonts w:ascii="Arial" w:hAnsi="Arial" w:cs="Arial"/>
          <w:sz w:val="22"/>
          <w:szCs w:val="22"/>
        </w:rPr>
        <w:t>[4</w:t>
      </w:r>
      <w:r w:rsidR="00264008">
        <w:rPr>
          <w:rFonts w:ascii="Arial" w:hAnsi="Arial" w:cs="Arial"/>
          <w:sz w:val="22"/>
          <w:szCs w:val="22"/>
        </w:rPr>
        <w:t>6</w:t>
      </w:r>
      <w:r w:rsidRPr="00264008">
        <w:rPr>
          <w:rFonts w:ascii="Arial" w:hAnsi="Arial" w:cs="Arial"/>
          <w:sz w:val="22"/>
          <w:szCs w:val="22"/>
        </w:rPr>
        <w:t>.2]</w:t>
      </w:r>
      <w:r w:rsidRPr="00264008">
        <w:rPr>
          <w:rFonts w:ascii="Arial" w:hAnsi="Arial" w:cs="Arial"/>
          <w:sz w:val="22"/>
          <w:szCs w:val="22"/>
        </w:rPr>
        <w:tab/>
        <w:t xml:space="preserve">The application was launched in the midst of the world wide Covid 19 pandemic. This pandemic had a severe influence on all aspects of business, government  and the public in general. Even the administration of Justice was severely affected by the imposed regulations and lockdowns. I do not deem it unreasonable if the </w:t>
      </w:r>
      <w:r w:rsidRPr="00264008">
        <w:rPr>
          <w:rFonts w:ascii="Arial" w:hAnsi="Arial" w:cs="Arial"/>
          <w:sz w:val="22"/>
          <w:szCs w:val="22"/>
        </w:rPr>
        <w:lastRenderedPageBreak/>
        <w:t>contraction of the Covid 19 virus is offered as an excuse for the lapse of such a short delay.</w:t>
      </w:r>
    </w:p>
    <w:p w14:paraId="0242AF12" w14:textId="77777777" w:rsidR="004D451A" w:rsidRPr="00264008" w:rsidRDefault="004D451A" w:rsidP="004D451A">
      <w:pPr>
        <w:spacing w:line="480" w:lineRule="auto"/>
        <w:ind w:left="1418" w:hanging="851"/>
        <w:jc w:val="both"/>
        <w:rPr>
          <w:rFonts w:ascii="Arial" w:hAnsi="Arial" w:cs="Arial"/>
          <w:sz w:val="22"/>
          <w:szCs w:val="22"/>
        </w:rPr>
      </w:pPr>
      <w:r w:rsidRPr="00264008">
        <w:rPr>
          <w:rFonts w:ascii="Arial" w:hAnsi="Arial" w:cs="Arial"/>
          <w:sz w:val="22"/>
          <w:szCs w:val="22"/>
        </w:rPr>
        <w:t>[4</w:t>
      </w:r>
      <w:r w:rsidR="00264008">
        <w:rPr>
          <w:rFonts w:ascii="Arial" w:hAnsi="Arial" w:cs="Arial"/>
          <w:sz w:val="22"/>
          <w:szCs w:val="22"/>
        </w:rPr>
        <w:t>6</w:t>
      </w:r>
      <w:r w:rsidRPr="00264008">
        <w:rPr>
          <w:rFonts w:ascii="Arial" w:hAnsi="Arial" w:cs="Arial"/>
          <w:sz w:val="22"/>
          <w:szCs w:val="22"/>
        </w:rPr>
        <w:t>.3]</w:t>
      </w:r>
      <w:r w:rsidRPr="00264008">
        <w:rPr>
          <w:rFonts w:ascii="Arial" w:hAnsi="Arial" w:cs="Arial"/>
          <w:sz w:val="22"/>
          <w:szCs w:val="22"/>
        </w:rPr>
        <w:tab/>
        <w:t xml:space="preserve">As is apparent from the history above, I-cat had to wait  for more than a year to obtain a decision from SARS in respect of the request for a reduced 2015 assessment. I-cat was even compelled to proceed with another application for review premised upon SARS failure to take a decision.  The fact that the present application for review was only filed 25 days late will have no </w:t>
      </w:r>
      <w:r w:rsidR="00DF3929" w:rsidRPr="00264008">
        <w:rPr>
          <w:rFonts w:ascii="Arial" w:hAnsi="Arial" w:cs="Arial"/>
          <w:sz w:val="22"/>
          <w:szCs w:val="22"/>
        </w:rPr>
        <w:t>effect</w:t>
      </w:r>
      <w:r w:rsidR="00576050" w:rsidRPr="00264008">
        <w:rPr>
          <w:rFonts w:ascii="Arial" w:hAnsi="Arial" w:cs="Arial"/>
          <w:sz w:val="22"/>
          <w:szCs w:val="22"/>
        </w:rPr>
        <w:t xml:space="preserve"> on SARS or the administration of justice.</w:t>
      </w:r>
    </w:p>
    <w:p w14:paraId="5342FB69" w14:textId="77777777" w:rsidR="00576050" w:rsidRPr="00264008" w:rsidRDefault="00576050" w:rsidP="00576050">
      <w:pPr>
        <w:spacing w:line="480" w:lineRule="auto"/>
        <w:ind w:left="1418" w:hanging="851"/>
        <w:jc w:val="both"/>
        <w:rPr>
          <w:rFonts w:ascii="Arial" w:hAnsi="Arial" w:cs="Arial"/>
          <w:sz w:val="22"/>
          <w:szCs w:val="22"/>
        </w:rPr>
      </w:pPr>
      <w:r w:rsidRPr="00264008">
        <w:rPr>
          <w:rFonts w:ascii="Arial" w:hAnsi="Arial" w:cs="Arial"/>
          <w:sz w:val="22"/>
          <w:szCs w:val="22"/>
        </w:rPr>
        <w:t>[4</w:t>
      </w:r>
      <w:r w:rsidR="00264008">
        <w:rPr>
          <w:rFonts w:ascii="Arial" w:hAnsi="Arial" w:cs="Arial"/>
          <w:sz w:val="22"/>
          <w:szCs w:val="22"/>
        </w:rPr>
        <w:t>6</w:t>
      </w:r>
      <w:r w:rsidRPr="00264008">
        <w:rPr>
          <w:rFonts w:ascii="Arial" w:hAnsi="Arial" w:cs="Arial"/>
          <w:sz w:val="22"/>
          <w:szCs w:val="22"/>
        </w:rPr>
        <w:t>.4]</w:t>
      </w:r>
      <w:r w:rsidRPr="00264008">
        <w:rPr>
          <w:rFonts w:ascii="Arial" w:hAnsi="Arial" w:cs="Arial"/>
          <w:sz w:val="22"/>
          <w:szCs w:val="22"/>
        </w:rPr>
        <w:tab/>
        <w:t>I am in any event of the opinion that the importance of the issue to be raised in the present application for review and the prospects of success which will be discussed below  justify that condonation be granted.</w:t>
      </w:r>
    </w:p>
    <w:p w14:paraId="4BB3DBFD" w14:textId="77777777" w:rsidR="00576050" w:rsidRPr="00264008" w:rsidRDefault="00576050" w:rsidP="00576050">
      <w:pPr>
        <w:spacing w:line="480" w:lineRule="auto"/>
        <w:ind w:left="567" w:hanging="567"/>
        <w:jc w:val="both"/>
        <w:rPr>
          <w:rFonts w:ascii="Arial" w:hAnsi="Arial" w:cs="Arial"/>
          <w:sz w:val="22"/>
          <w:szCs w:val="22"/>
        </w:rPr>
      </w:pPr>
      <w:r w:rsidRPr="00264008">
        <w:rPr>
          <w:rFonts w:ascii="Arial" w:hAnsi="Arial" w:cs="Arial"/>
          <w:sz w:val="22"/>
          <w:szCs w:val="22"/>
        </w:rPr>
        <w:t>[4</w:t>
      </w:r>
      <w:r w:rsidR="00264008">
        <w:rPr>
          <w:rFonts w:ascii="Arial" w:hAnsi="Arial" w:cs="Arial"/>
          <w:sz w:val="22"/>
          <w:szCs w:val="22"/>
        </w:rPr>
        <w:t>7</w:t>
      </w:r>
      <w:r w:rsidRPr="00264008">
        <w:rPr>
          <w:rFonts w:ascii="Arial" w:hAnsi="Arial" w:cs="Arial"/>
          <w:sz w:val="22"/>
          <w:szCs w:val="22"/>
        </w:rPr>
        <w:t>]</w:t>
      </w:r>
      <w:r w:rsidRPr="00264008">
        <w:rPr>
          <w:rFonts w:ascii="Arial" w:hAnsi="Arial" w:cs="Arial"/>
          <w:sz w:val="22"/>
          <w:szCs w:val="22"/>
        </w:rPr>
        <w:tab/>
        <w:t xml:space="preserve">In the premises I deem it in the interests of justice to grant I-cat condonation for the late filing of the present application for review. </w:t>
      </w:r>
    </w:p>
    <w:p w14:paraId="4E0B5885" w14:textId="77777777" w:rsidR="00681CD8" w:rsidRPr="00264008" w:rsidRDefault="00576050" w:rsidP="00264008">
      <w:pPr>
        <w:spacing w:line="480" w:lineRule="auto"/>
        <w:ind w:left="567" w:hanging="567"/>
        <w:jc w:val="both"/>
        <w:rPr>
          <w:rFonts w:ascii="Arial" w:hAnsi="Arial" w:cs="Arial"/>
          <w:sz w:val="22"/>
          <w:szCs w:val="22"/>
        </w:rPr>
      </w:pPr>
      <w:r w:rsidRPr="00264008">
        <w:rPr>
          <w:rFonts w:ascii="Arial" w:hAnsi="Arial" w:cs="Arial"/>
          <w:sz w:val="22"/>
          <w:szCs w:val="22"/>
        </w:rPr>
        <w:t>[4</w:t>
      </w:r>
      <w:r w:rsidR="00264008">
        <w:rPr>
          <w:rFonts w:ascii="Arial" w:hAnsi="Arial" w:cs="Arial"/>
          <w:sz w:val="22"/>
          <w:szCs w:val="22"/>
        </w:rPr>
        <w:t>8</w:t>
      </w:r>
      <w:r w:rsidRPr="00264008">
        <w:rPr>
          <w:rFonts w:ascii="Arial" w:hAnsi="Arial" w:cs="Arial"/>
          <w:sz w:val="22"/>
          <w:szCs w:val="22"/>
        </w:rPr>
        <w:t>]</w:t>
      </w:r>
      <w:r w:rsidRPr="00264008">
        <w:rPr>
          <w:rFonts w:ascii="Arial" w:hAnsi="Arial" w:cs="Arial"/>
          <w:sz w:val="22"/>
          <w:szCs w:val="22"/>
        </w:rPr>
        <w:tab/>
        <w:t>The seeking of condonation is an indulgence. I do not think that SARS opposition of the application for review was unreasonable. In the premises I find that I-cat is liable to pay SARS costs in respect of the opposition of the application for condonation.</w:t>
      </w:r>
    </w:p>
    <w:p w14:paraId="244FB777" w14:textId="77777777" w:rsidR="00424FD5" w:rsidRPr="00264008" w:rsidRDefault="00424FD5" w:rsidP="00576050">
      <w:pPr>
        <w:spacing w:line="480" w:lineRule="auto"/>
        <w:ind w:left="567" w:hanging="567"/>
        <w:jc w:val="both"/>
        <w:rPr>
          <w:rFonts w:ascii="Arial" w:hAnsi="Arial" w:cs="Arial"/>
          <w:b/>
          <w:bCs/>
          <w:sz w:val="22"/>
          <w:szCs w:val="22"/>
        </w:rPr>
      </w:pPr>
      <w:r w:rsidRPr="00264008">
        <w:rPr>
          <w:rFonts w:ascii="Arial" w:hAnsi="Arial" w:cs="Arial"/>
          <w:b/>
          <w:bCs/>
          <w:sz w:val="22"/>
          <w:szCs w:val="22"/>
        </w:rPr>
        <w:t>AD MERITS:</w:t>
      </w:r>
    </w:p>
    <w:p w14:paraId="213E1F35" w14:textId="77777777" w:rsidR="00742313" w:rsidRPr="00264008" w:rsidRDefault="00742313" w:rsidP="00576050">
      <w:pPr>
        <w:spacing w:line="480" w:lineRule="auto"/>
        <w:ind w:left="567" w:hanging="567"/>
        <w:jc w:val="both"/>
        <w:rPr>
          <w:rFonts w:ascii="Arial" w:hAnsi="Arial" w:cs="Arial"/>
          <w:bCs/>
          <w:sz w:val="22"/>
          <w:szCs w:val="22"/>
        </w:rPr>
      </w:pPr>
      <w:r w:rsidRPr="00264008">
        <w:rPr>
          <w:rFonts w:ascii="Arial" w:hAnsi="Arial" w:cs="Arial"/>
          <w:b/>
          <w:bCs/>
          <w:sz w:val="22"/>
          <w:szCs w:val="22"/>
        </w:rPr>
        <w:t>[</w:t>
      </w:r>
      <w:r w:rsidRPr="00264008">
        <w:rPr>
          <w:rFonts w:ascii="Arial" w:hAnsi="Arial" w:cs="Arial"/>
          <w:bCs/>
          <w:sz w:val="22"/>
          <w:szCs w:val="22"/>
        </w:rPr>
        <w:t>4</w:t>
      </w:r>
      <w:r w:rsidR="00264008">
        <w:rPr>
          <w:rFonts w:ascii="Arial" w:hAnsi="Arial" w:cs="Arial"/>
          <w:bCs/>
          <w:sz w:val="22"/>
          <w:szCs w:val="22"/>
        </w:rPr>
        <w:t>9</w:t>
      </w:r>
      <w:r w:rsidRPr="00264008">
        <w:rPr>
          <w:rFonts w:ascii="Arial" w:hAnsi="Arial" w:cs="Arial"/>
          <w:bCs/>
          <w:sz w:val="22"/>
          <w:szCs w:val="22"/>
        </w:rPr>
        <w:t>]</w:t>
      </w:r>
      <w:r w:rsidRPr="00264008">
        <w:rPr>
          <w:rFonts w:ascii="Arial" w:hAnsi="Arial" w:cs="Arial"/>
          <w:bCs/>
          <w:sz w:val="22"/>
          <w:szCs w:val="22"/>
        </w:rPr>
        <w:tab/>
        <w:t xml:space="preserve">As I have indicated above, the present matter now comes before the court on the basis that a 3 year prescriptive period applies in respect of the 2015 </w:t>
      </w:r>
      <w:r w:rsidR="00863AAF" w:rsidRPr="00264008">
        <w:rPr>
          <w:rFonts w:ascii="Arial" w:hAnsi="Arial" w:cs="Arial"/>
          <w:bCs/>
          <w:sz w:val="22"/>
          <w:szCs w:val="22"/>
        </w:rPr>
        <w:t xml:space="preserve">income tax </w:t>
      </w:r>
      <w:r w:rsidRPr="00264008">
        <w:rPr>
          <w:rFonts w:ascii="Arial" w:hAnsi="Arial" w:cs="Arial"/>
          <w:bCs/>
          <w:sz w:val="22"/>
          <w:szCs w:val="22"/>
        </w:rPr>
        <w:t xml:space="preserve">assessment of I-cat. </w:t>
      </w:r>
    </w:p>
    <w:p w14:paraId="673FF8F6" w14:textId="77777777" w:rsidR="00742313" w:rsidRPr="00264008" w:rsidRDefault="00742313" w:rsidP="00576050">
      <w:pPr>
        <w:spacing w:line="480" w:lineRule="auto"/>
        <w:ind w:left="567" w:hanging="567"/>
        <w:jc w:val="both"/>
        <w:rPr>
          <w:rFonts w:ascii="Arial" w:hAnsi="Arial" w:cs="Arial"/>
          <w:bCs/>
          <w:sz w:val="22"/>
          <w:szCs w:val="22"/>
        </w:rPr>
      </w:pPr>
      <w:r w:rsidRPr="00264008">
        <w:rPr>
          <w:rFonts w:ascii="Arial" w:hAnsi="Arial" w:cs="Arial"/>
          <w:bCs/>
          <w:sz w:val="22"/>
          <w:szCs w:val="22"/>
        </w:rPr>
        <w:t>[</w:t>
      </w:r>
      <w:r w:rsidR="00264008">
        <w:rPr>
          <w:rFonts w:ascii="Arial" w:hAnsi="Arial" w:cs="Arial"/>
          <w:bCs/>
          <w:sz w:val="22"/>
          <w:szCs w:val="22"/>
        </w:rPr>
        <w:t>50</w:t>
      </w:r>
      <w:r w:rsidRPr="00264008">
        <w:rPr>
          <w:rFonts w:ascii="Arial" w:hAnsi="Arial" w:cs="Arial"/>
          <w:bCs/>
          <w:sz w:val="22"/>
          <w:szCs w:val="22"/>
        </w:rPr>
        <w:t>]</w:t>
      </w:r>
      <w:r w:rsidRPr="00264008">
        <w:rPr>
          <w:rFonts w:ascii="Arial" w:hAnsi="Arial" w:cs="Arial"/>
          <w:bCs/>
          <w:sz w:val="22"/>
          <w:szCs w:val="22"/>
        </w:rPr>
        <w:tab/>
        <w:t>In this respect Section 99(1) of the Tax Administration Act (Act 28 of 2011) provides as follows:</w:t>
      </w:r>
    </w:p>
    <w:p w14:paraId="1C3EE4DD" w14:textId="77777777" w:rsidR="00742313" w:rsidRPr="00264008" w:rsidRDefault="00742313" w:rsidP="00576050">
      <w:pPr>
        <w:spacing w:line="480" w:lineRule="auto"/>
        <w:ind w:left="567" w:hanging="567"/>
        <w:jc w:val="both"/>
        <w:rPr>
          <w:rFonts w:ascii="Arial" w:hAnsi="Arial" w:cs="Arial"/>
          <w:bCs/>
          <w:i/>
          <w:sz w:val="18"/>
          <w:szCs w:val="18"/>
        </w:rPr>
      </w:pPr>
      <w:r w:rsidRPr="00264008">
        <w:rPr>
          <w:rFonts w:ascii="Arial" w:hAnsi="Arial" w:cs="Arial"/>
          <w:b/>
          <w:bCs/>
          <w:sz w:val="18"/>
          <w:szCs w:val="18"/>
        </w:rPr>
        <w:tab/>
      </w:r>
      <w:r w:rsidRPr="00264008">
        <w:rPr>
          <w:rFonts w:ascii="Arial" w:hAnsi="Arial" w:cs="Arial"/>
          <w:b/>
          <w:bCs/>
          <w:sz w:val="18"/>
          <w:szCs w:val="18"/>
        </w:rPr>
        <w:tab/>
      </w:r>
      <w:r w:rsidRPr="00264008">
        <w:rPr>
          <w:rFonts w:ascii="Arial" w:hAnsi="Arial" w:cs="Arial"/>
          <w:b/>
          <w:bCs/>
          <w:sz w:val="18"/>
          <w:szCs w:val="18"/>
        </w:rPr>
        <w:tab/>
      </w:r>
      <w:r w:rsidRPr="00264008">
        <w:rPr>
          <w:rFonts w:ascii="Arial" w:hAnsi="Arial" w:cs="Arial"/>
          <w:bCs/>
          <w:sz w:val="18"/>
          <w:szCs w:val="18"/>
        </w:rPr>
        <w:t>“(</w:t>
      </w:r>
      <w:r w:rsidRPr="00264008">
        <w:rPr>
          <w:rFonts w:ascii="Arial" w:hAnsi="Arial" w:cs="Arial"/>
          <w:bCs/>
          <w:i/>
          <w:sz w:val="18"/>
          <w:szCs w:val="18"/>
        </w:rPr>
        <w:t>99.1)</w:t>
      </w:r>
      <w:r w:rsidRPr="00264008">
        <w:rPr>
          <w:rFonts w:ascii="Arial" w:hAnsi="Arial" w:cs="Arial"/>
          <w:bCs/>
          <w:i/>
          <w:sz w:val="18"/>
          <w:szCs w:val="18"/>
        </w:rPr>
        <w:tab/>
        <w:t xml:space="preserve">  An assessment may not be made in terms of this chapter –</w:t>
      </w:r>
    </w:p>
    <w:p w14:paraId="33DEB08D" w14:textId="77777777" w:rsidR="00742313" w:rsidRPr="00264008" w:rsidRDefault="00742313" w:rsidP="00742313">
      <w:pPr>
        <w:numPr>
          <w:ilvl w:val="0"/>
          <w:numId w:val="4"/>
        </w:numPr>
        <w:spacing w:line="480" w:lineRule="auto"/>
        <w:jc w:val="both"/>
        <w:rPr>
          <w:rFonts w:ascii="Arial" w:hAnsi="Arial" w:cs="Arial"/>
          <w:bCs/>
          <w:i/>
          <w:sz w:val="18"/>
          <w:szCs w:val="18"/>
        </w:rPr>
      </w:pPr>
      <w:r w:rsidRPr="00264008">
        <w:rPr>
          <w:rFonts w:ascii="Arial" w:hAnsi="Arial" w:cs="Arial"/>
          <w:bCs/>
          <w:i/>
          <w:sz w:val="18"/>
          <w:szCs w:val="18"/>
        </w:rPr>
        <w:t xml:space="preserve"> 3 years after the date of assessment of a regional assessment by SARS; …”</w:t>
      </w:r>
    </w:p>
    <w:p w14:paraId="0127E8E5" w14:textId="77777777" w:rsidR="00742313" w:rsidRPr="00264008" w:rsidRDefault="00742313" w:rsidP="00D12BEB">
      <w:pPr>
        <w:spacing w:line="480" w:lineRule="auto"/>
        <w:ind w:left="567" w:hanging="567"/>
        <w:jc w:val="both"/>
        <w:rPr>
          <w:rFonts w:ascii="Arial" w:hAnsi="Arial" w:cs="Arial"/>
          <w:bCs/>
          <w:sz w:val="22"/>
          <w:szCs w:val="22"/>
        </w:rPr>
      </w:pPr>
      <w:r w:rsidRPr="00264008">
        <w:rPr>
          <w:rFonts w:ascii="Arial" w:hAnsi="Arial" w:cs="Arial"/>
          <w:bCs/>
          <w:sz w:val="22"/>
          <w:szCs w:val="22"/>
        </w:rPr>
        <w:t>[</w:t>
      </w:r>
      <w:r w:rsidR="00264008">
        <w:rPr>
          <w:rFonts w:ascii="Arial" w:hAnsi="Arial" w:cs="Arial"/>
          <w:bCs/>
          <w:sz w:val="22"/>
          <w:szCs w:val="22"/>
        </w:rPr>
        <w:t>51</w:t>
      </w:r>
      <w:r w:rsidRPr="00264008">
        <w:rPr>
          <w:rFonts w:ascii="Arial" w:hAnsi="Arial" w:cs="Arial"/>
          <w:bCs/>
          <w:sz w:val="22"/>
          <w:szCs w:val="22"/>
        </w:rPr>
        <w:t>]</w:t>
      </w:r>
      <w:r w:rsidRPr="00264008">
        <w:rPr>
          <w:rFonts w:ascii="Arial" w:hAnsi="Arial" w:cs="Arial"/>
          <w:bCs/>
          <w:sz w:val="22"/>
          <w:szCs w:val="22"/>
        </w:rPr>
        <w:tab/>
      </w:r>
      <w:r w:rsidR="00863AAF" w:rsidRPr="00264008">
        <w:rPr>
          <w:rFonts w:ascii="Arial" w:hAnsi="Arial" w:cs="Arial"/>
          <w:bCs/>
          <w:sz w:val="22"/>
          <w:szCs w:val="22"/>
        </w:rPr>
        <w:t>T</w:t>
      </w:r>
      <w:r w:rsidRPr="00264008">
        <w:rPr>
          <w:rFonts w:ascii="Arial" w:hAnsi="Arial" w:cs="Arial"/>
          <w:bCs/>
          <w:sz w:val="22"/>
          <w:szCs w:val="22"/>
        </w:rPr>
        <w:t xml:space="preserve">he date of I-cat’s original </w:t>
      </w:r>
      <w:r w:rsidR="00863AAF" w:rsidRPr="00264008">
        <w:rPr>
          <w:rFonts w:ascii="Arial" w:hAnsi="Arial" w:cs="Arial"/>
          <w:bCs/>
          <w:sz w:val="22"/>
          <w:szCs w:val="22"/>
        </w:rPr>
        <w:t xml:space="preserve">2015 </w:t>
      </w:r>
      <w:r w:rsidRPr="00264008">
        <w:rPr>
          <w:rFonts w:ascii="Arial" w:hAnsi="Arial" w:cs="Arial"/>
          <w:bCs/>
          <w:sz w:val="22"/>
          <w:szCs w:val="22"/>
        </w:rPr>
        <w:t>assessment was 26</w:t>
      </w:r>
      <w:r w:rsidRPr="00264008">
        <w:rPr>
          <w:rFonts w:ascii="Arial" w:hAnsi="Arial" w:cs="Arial"/>
          <w:bCs/>
          <w:sz w:val="22"/>
          <w:szCs w:val="22"/>
          <w:vertAlign w:val="superscript"/>
        </w:rPr>
        <w:t>th</w:t>
      </w:r>
      <w:r w:rsidRPr="00264008">
        <w:rPr>
          <w:rFonts w:ascii="Arial" w:hAnsi="Arial" w:cs="Arial"/>
          <w:bCs/>
          <w:sz w:val="22"/>
          <w:szCs w:val="22"/>
        </w:rPr>
        <w:t xml:space="preserve"> of February 2016.</w:t>
      </w:r>
    </w:p>
    <w:p w14:paraId="731E3A3B" w14:textId="77777777" w:rsidR="00742313" w:rsidRPr="00264008" w:rsidRDefault="00742313" w:rsidP="00D12BEB">
      <w:pPr>
        <w:spacing w:line="480" w:lineRule="auto"/>
        <w:ind w:left="567" w:hanging="567"/>
        <w:jc w:val="both"/>
        <w:rPr>
          <w:rFonts w:ascii="Arial" w:hAnsi="Arial" w:cs="Arial"/>
          <w:bCs/>
          <w:sz w:val="22"/>
          <w:szCs w:val="22"/>
        </w:rPr>
      </w:pPr>
      <w:r w:rsidRPr="00264008">
        <w:rPr>
          <w:rFonts w:ascii="Arial" w:hAnsi="Arial" w:cs="Arial"/>
          <w:bCs/>
          <w:sz w:val="22"/>
          <w:szCs w:val="22"/>
        </w:rPr>
        <w:lastRenderedPageBreak/>
        <w:t>[5</w:t>
      </w:r>
      <w:r w:rsidR="00264008">
        <w:rPr>
          <w:rFonts w:ascii="Arial" w:hAnsi="Arial" w:cs="Arial"/>
          <w:bCs/>
          <w:sz w:val="22"/>
          <w:szCs w:val="22"/>
        </w:rPr>
        <w:t>2</w:t>
      </w:r>
      <w:r w:rsidRPr="00264008">
        <w:rPr>
          <w:rFonts w:ascii="Arial" w:hAnsi="Arial" w:cs="Arial"/>
          <w:bCs/>
          <w:sz w:val="22"/>
          <w:szCs w:val="22"/>
        </w:rPr>
        <w:t>]</w:t>
      </w:r>
      <w:r w:rsidRPr="00264008">
        <w:rPr>
          <w:rFonts w:ascii="Arial" w:hAnsi="Arial" w:cs="Arial"/>
          <w:bCs/>
          <w:sz w:val="22"/>
          <w:szCs w:val="22"/>
        </w:rPr>
        <w:tab/>
        <w:t>In the premises the 3 year period as provided for in Section 99(1)(a) of the Tax Administration Act in respect of I-cat’s 2015 tax assessment expired on the 25</w:t>
      </w:r>
      <w:r w:rsidRPr="00264008">
        <w:rPr>
          <w:rFonts w:ascii="Arial" w:hAnsi="Arial" w:cs="Arial"/>
          <w:bCs/>
          <w:sz w:val="22"/>
          <w:szCs w:val="22"/>
          <w:vertAlign w:val="superscript"/>
        </w:rPr>
        <w:t>th</w:t>
      </w:r>
      <w:r w:rsidRPr="00264008">
        <w:rPr>
          <w:rFonts w:ascii="Arial" w:hAnsi="Arial" w:cs="Arial"/>
          <w:bCs/>
          <w:sz w:val="22"/>
          <w:szCs w:val="22"/>
        </w:rPr>
        <w:t xml:space="preserve"> of February 2019.</w:t>
      </w:r>
      <w:r w:rsidRPr="00264008">
        <w:rPr>
          <w:rStyle w:val="FootnoteReference"/>
          <w:rFonts w:ascii="Arial" w:hAnsi="Arial" w:cs="Arial"/>
          <w:bCs/>
          <w:sz w:val="22"/>
          <w:szCs w:val="22"/>
        </w:rPr>
        <w:footnoteReference w:id="30"/>
      </w:r>
    </w:p>
    <w:p w14:paraId="69ACED9B" w14:textId="77777777" w:rsidR="00742313" w:rsidRPr="00264008" w:rsidRDefault="00742313" w:rsidP="00D12BEB">
      <w:pPr>
        <w:spacing w:line="480" w:lineRule="auto"/>
        <w:ind w:left="567" w:hanging="567"/>
        <w:jc w:val="both"/>
        <w:rPr>
          <w:rFonts w:ascii="Arial" w:hAnsi="Arial" w:cs="Arial"/>
          <w:bCs/>
          <w:sz w:val="22"/>
          <w:szCs w:val="22"/>
        </w:rPr>
      </w:pPr>
      <w:r w:rsidRPr="00264008">
        <w:rPr>
          <w:rFonts w:ascii="Arial" w:hAnsi="Arial" w:cs="Arial"/>
          <w:bCs/>
          <w:sz w:val="22"/>
          <w:szCs w:val="22"/>
        </w:rPr>
        <w:t>[5</w:t>
      </w:r>
      <w:r w:rsidR="00264008">
        <w:rPr>
          <w:rFonts w:ascii="Arial" w:hAnsi="Arial" w:cs="Arial"/>
          <w:bCs/>
          <w:sz w:val="22"/>
          <w:szCs w:val="22"/>
        </w:rPr>
        <w:t>3</w:t>
      </w:r>
      <w:r w:rsidRPr="00264008">
        <w:rPr>
          <w:rFonts w:ascii="Arial" w:hAnsi="Arial" w:cs="Arial"/>
          <w:bCs/>
          <w:sz w:val="22"/>
          <w:szCs w:val="22"/>
        </w:rPr>
        <w:t>]</w:t>
      </w:r>
      <w:r w:rsidRPr="00264008">
        <w:rPr>
          <w:rFonts w:ascii="Arial" w:hAnsi="Arial" w:cs="Arial"/>
          <w:bCs/>
          <w:sz w:val="22"/>
          <w:szCs w:val="22"/>
        </w:rPr>
        <w:tab/>
      </w:r>
      <w:r w:rsidR="00863AAF" w:rsidRPr="00264008">
        <w:rPr>
          <w:rFonts w:ascii="Arial" w:hAnsi="Arial" w:cs="Arial"/>
          <w:bCs/>
          <w:sz w:val="22"/>
          <w:szCs w:val="22"/>
        </w:rPr>
        <w:t xml:space="preserve">In the premises the right to assess in respect of I-cat’s 2015 assessment has become prescribed unless </w:t>
      </w:r>
      <w:r w:rsidRPr="00264008">
        <w:rPr>
          <w:rFonts w:ascii="Arial" w:hAnsi="Arial" w:cs="Arial"/>
          <w:bCs/>
          <w:sz w:val="22"/>
          <w:szCs w:val="22"/>
        </w:rPr>
        <w:t xml:space="preserve">any of the exclusions to the prescription period as provided for under Section 99(2) </w:t>
      </w:r>
      <w:r w:rsidR="00863AAF" w:rsidRPr="00264008">
        <w:rPr>
          <w:rFonts w:ascii="Arial" w:hAnsi="Arial" w:cs="Arial"/>
          <w:bCs/>
          <w:sz w:val="22"/>
          <w:szCs w:val="22"/>
        </w:rPr>
        <w:t xml:space="preserve">of the Tax Administration Act </w:t>
      </w:r>
      <w:r w:rsidRPr="00264008">
        <w:rPr>
          <w:rFonts w:ascii="Arial" w:hAnsi="Arial" w:cs="Arial"/>
          <w:bCs/>
          <w:sz w:val="22"/>
          <w:szCs w:val="22"/>
        </w:rPr>
        <w:t xml:space="preserve">apply to the facts in the present matter.  </w:t>
      </w:r>
    </w:p>
    <w:p w14:paraId="2A244893" w14:textId="77777777" w:rsidR="00742313" w:rsidRPr="00264008" w:rsidRDefault="00742313" w:rsidP="00D12BEB">
      <w:pPr>
        <w:spacing w:line="480" w:lineRule="auto"/>
        <w:ind w:left="567" w:hanging="567"/>
        <w:jc w:val="both"/>
        <w:rPr>
          <w:rFonts w:ascii="Arial" w:hAnsi="Arial" w:cs="Arial"/>
          <w:bCs/>
          <w:sz w:val="22"/>
          <w:szCs w:val="22"/>
        </w:rPr>
      </w:pPr>
      <w:r w:rsidRPr="00264008">
        <w:rPr>
          <w:rFonts w:ascii="Arial" w:hAnsi="Arial" w:cs="Arial"/>
          <w:bCs/>
          <w:sz w:val="22"/>
          <w:szCs w:val="22"/>
        </w:rPr>
        <w:t>[5</w:t>
      </w:r>
      <w:r w:rsidR="00264008">
        <w:rPr>
          <w:rFonts w:ascii="Arial" w:hAnsi="Arial" w:cs="Arial"/>
          <w:bCs/>
          <w:sz w:val="22"/>
          <w:szCs w:val="22"/>
        </w:rPr>
        <w:t>4</w:t>
      </w:r>
      <w:r w:rsidRPr="00264008">
        <w:rPr>
          <w:rFonts w:ascii="Arial" w:hAnsi="Arial" w:cs="Arial"/>
          <w:bCs/>
          <w:sz w:val="22"/>
          <w:szCs w:val="22"/>
        </w:rPr>
        <w:t>]</w:t>
      </w:r>
      <w:r w:rsidRPr="00264008">
        <w:rPr>
          <w:rFonts w:ascii="Arial" w:hAnsi="Arial" w:cs="Arial"/>
          <w:bCs/>
          <w:sz w:val="22"/>
          <w:szCs w:val="22"/>
        </w:rPr>
        <w:tab/>
        <w:t>It is common cause between the parties that the provisions of sub-section</w:t>
      </w:r>
      <w:r w:rsidR="00863AAF" w:rsidRPr="00264008">
        <w:rPr>
          <w:rFonts w:ascii="Arial" w:hAnsi="Arial" w:cs="Arial"/>
          <w:bCs/>
          <w:sz w:val="22"/>
          <w:szCs w:val="22"/>
        </w:rPr>
        <w:t>s</w:t>
      </w:r>
      <w:r w:rsidRPr="00264008">
        <w:rPr>
          <w:rFonts w:ascii="Arial" w:hAnsi="Arial" w:cs="Arial"/>
          <w:bCs/>
          <w:sz w:val="22"/>
          <w:szCs w:val="22"/>
        </w:rPr>
        <w:t xml:space="preserve"> 99(2)(a), 99(2)(b) and 99(2)(c) </w:t>
      </w:r>
      <w:r w:rsidR="00863AAF" w:rsidRPr="00264008">
        <w:rPr>
          <w:rFonts w:ascii="Arial" w:hAnsi="Arial" w:cs="Arial"/>
          <w:bCs/>
          <w:sz w:val="22"/>
          <w:szCs w:val="22"/>
        </w:rPr>
        <w:t xml:space="preserve">of the Tax Administration Act </w:t>
      </w:r>
      <w:r w:rsidRPr="00264008">
        <w:rPr>
          <w:rFonts w:ascii="Arial" w:hAnsi="Arial" w:cs="Arial"/>
          <w:bCs/>
          <w:sz w:val="22"/>
          <w:szCs w:val="22"/>
        </w:rPr>
        <w:t>are not applicable to the facts of the present matter.</w:t>
      </w:r>
    </w:p>
    <w:p w14:paraId="4D00ED25" w14:textId="77777777" w:rsidR="00742313" w:rsidRPr="00264008" w:rsidRDefault="00742313" w:rsidP="00D12BEB">
      <w:pPr>
        <w:spacing w:line="480" w:lineRule="auto"/>
        <w:ind w:left="567" w:hanging="567"/>
        <w:jc w:val="both"/>
        <w:rPr>
          <w:rFonts w:ascii="Arial" w:hAnsi="Arial" w:cs="Arial"/>
          <w:bCs/>
          <w:sz w:val="22"/>
          <w:szCs w:val="22"/>
        </w:rPr>
      </w:pPr>
      <w:r w:rsidRPr="00264008">
        <w:rPr>
          <w:rFonts w:ascii="Arial" w:hAnsi="Arial" w:cs="Arial"/>
          <w:bCs/>
          <w:sz w:val="22"/>
          <w:szCs w:val="22"/>
        </w:rPr>
        <w:t>[5</w:t>
      </w:r>
      <w:r w:rsidR="00264008">
        <w:rPr>
          <w:rFonts w:ascii="Arial" w:hAnsi="Arial" w:cs="Arial"/>
          <w:bCs/>
          <w:sz w:val="22"/>
          <w:szCs w:val="22"/>
        </w:rPr>
        <w:t>5</w:t>
      </w:r>
      <w:r w:rsidRPr="00264008">
        <w:rPr>
          <w:rFonts w:ascii="Arial" w:hAnsi="Arial" w:cs="Arial"/>
          <w:bCs/>
          <w:sz w:val="22"/>
          <w:szCs w:val="22"/>
        </w:rPr>
        <w:t>]</w:t>
      </w:r>
      <w:r w:rsidRPr="00264008">
        <w:rPr>
          <w:rFonts w:ascii="Arial" w:hAnsi="Arial" w:cs="Arial"/>
          <w:bCs/>
          <w:sz w:val="22"/>
          <w:szCs w:val="22"/>
        </w:rPr>
        <w:tab/>
        <w:t>Before me it was argued by I-cat that the provisions of Section 99</w:t>
      </w:r>
      <w:r w:rsidR="006572B1" w:rsidRPr="00264008">
        <w:rPr>
          <w:rFonts w:ascii="Arial" w:hAnsi="Arial" w:cs="Arial"/>
          <w:bCs/>
          <w:sz w:val="22"/>
          <w:szCs w:val="22"/>
        </w:rPr>
        <w:t>(2)</w:t>
      </w:r>
      <w:r w:rsidRPr="00264008">
        <w:rPr>
          <w:rFonts w:ascii="Arial" w:hAnsi="Arial" w:cs="Arial"/>
          <w:bCs/>
          <w:sz w:val="22"/>
          <w:szCs w:val="22"/>
        </w:rPr>
        <w:t>(d)(i) and 99</w:t>
      </w:r>
      <w:r w:rsidR="006572B1" w:rsidRPr="00264008">
        <w:rPr>
          <w:rFonts w:ascii="Arial" w:hAnsi="Arial" w:cs="Arial"/>
          <w:bCs/>
          <w:sz w:val="22"/>
          <w:szCs w:val="22"/>
        </w:rPr>
        <w:t>(2)</w:t>
      </w:r>
      <w:r w:rsidRPr="00264008">
        <w:rPr>
          <w:rFonts w:ascii="Arial" w:hAnsi="Arial" w:cs="Arial"/>
          <w:bCs/>
          <w:sz w:val="22"/>
          <w:szCs w:val="22"/>
        </w:rPr>
        <w:t xml:space="preserve">(d)(iii) are applicable to the facts </w:t>
      </w:r>
      <w:r w:rsidRPr="00264008">
        <w:rPr>
          <w:rFonts w:ascii="Arial" w:hAnsi="Arial" w:cs="Arial"/>
          <w:b/>
          <w:bCs/>
          <w:i/>
          <w:sz w:val="22"/>
          <w:szCs w:val="22"/>
        </w:rPr>
        <w:t>in casu</w:t>
      </w:r>
      <w:r w:rsidRPr="00264008">
        <w:rPr>
          <w:rFonts w:ascii="Arial" w:hAnsi="Arial" w:cs="Arial"/>
          <w:bCs/>
          <w:sz w:val="22"/>
          <w:szCs w:val="22"/>
        </w:rPr>
        <w:t>.</w:t>
      </w:r>
    </w:p>
    <w:p w14:paraId="379671B1" w14:textId="77777777" w:rsidR="00742313" w:rsidRPr="00264008" w:rsidRDefault="00742313" w:rsidP="00D12BEB">
      <w:pPr>
        <w:spacing w:line="480" w:lineRule="auto"/>
        <w:ind w:left="567" w:hanging="567"/>
        <w:jc w:val="both"/>
        <w:rPr>
          <w:rFonts w:ascii="Arial" w:hAnsi="Arial" w:cs="Arial"/>
          <w:bCs/>
          <w:sz w:val="22"/>
          <w:szCs w:val="22"/>
        </w:rPr>
      </w:pPr>
      <w:r w:rsidRPr="00264008">
        <w:rPr>
          <w:rFonts w:ascii="Arial" w:hAnsi="Arial" w:cs="Arial"/>
          <w:bCs/>
          <w:sz w:val="22"/>
          <w:szCs w:val="22"/>
        </w:rPr>
        <w:t>[5</w:t>
      </w:r>
      <w:r w:rsidR="00264008">
        <w:rPr>
          <w:rFonts w:ascii="Arial" w:hAnsi="Arial" w:cs="Arial"/>
          <w:bCs/>
          <w:sz w:val="22"/>
          <w:szCs w:val="22"/>
        </w:rPr>
        <w:t>6</w:t>
      </w:r>
      <w:r w:rsidRPr="00264008">
        <w:rPr>
          <w:rFonts w:ascii="Arial" w:hAnsi="Arial" w:cs="Arial"/>
          <w:bCs/>
          <w:sz w:val="22"/>
          <w:szCs w:val="22"/>
        </w:rPr>
        <w:t>]</w:t>
      </w:r>
      <w:r w:rsidRPr="00264008">
        <w:rPr>
          <w:rFonts w:ascii="Arial" w:hAnsi="Arial" w:cs="Arial"/>
          <w:bCs/>
          <w:sz w:val="22"/>
          <w:szCs w:val="22"/>
        </w:rPr>
        <w:tab/>
        <w:t>Section 99(2)(d) provides as follows:</w:t>
      </w:r>
    </w:p>
    <w:p w14:paraId="2194778F" w14:textId="77777777" w:rsidR="00742313" w:rsidRPr="00264008" w:rsidRDefault="00742313" w:rsidP="00742313">
      <w:pPr>
        <w:spacing w:line="480" w:lineRule="auto"/>
        <w:ind w:left="720" w:hanging="720"/>
        <w:jc w:val="both"/>
        <w:rPr>
          <w:rFonts w:ascii="Arial" w:hAnsi="Arial" w:cs="Arial"/>
          <w:bCs/>
          <w:i/>
          <w:sz w:val="18"/>
          <w:szCs w:val="18"/>
        </w:rPr>
      </w:pPr>
      <w:r>
        <w:rPr>
          <w:rFonts w:ascii="Arial" w:hAnsi="Arial" w:cs="Arial"/>
          <w:bCs/>
        </w:rPr>
        <w:tab/>
      </w:r>
      <w:r>
        <w:rPr>
          <w:rFonts w:ascii="Arial" w:hAnsi="Arial" w:cs="Arial"/>
          <w:bCs/>
        </w:rPr>
        <w:tab/>
      </w:r>
      <w:r w:rsidRPr="00264008">
        <w:rPr>
          <w:rFonts w:ascii="Arial" w:hAnsi="Arial" w:cs="Arial"/>
          <w:bCs/>
          <w:sz w:val="18"/>
          <w:szCs w:val="18"/>
        </w:rPr>
        <w:t>“</w:t>
      </w:r>
      <w:r w:rsidRPr="00264008">
        <w:rPr>
          <w:rFonts w:ascii="Arial" w:hAnsi="Arial" w:cs="Arial"/>
          <w:bCs/>
          <w:i/>
          <w:sz w:val="18"/>
          <w:szCs w:val="18"/>
        </w:rPr>
        <w:t>99(2)</w:t>
      </w:r>
      <w:r w:rsidRPr="00264008">
        <w:rPr>
          <w:rFonts w:ascii="Arial" w:hAnsi="Arial" w:cs="Arial"/>
          <w:bCs/>
          <w:i/>
          <w:sz w:val="18"/>
          <w:szCs w:val="18"/>
        </w:rPr>
        <w:tab/>
      </w:r>
      <w:r w:rsidRPr="00264008">
        <w:rPr>
          <w:rFonts w:ascii="Arial" w:hAnsi="Arial" w:cs="Arial"/>
          <w:bCs/>
          <w:i/>
          <w:sz w:val="18"/>
          <w:szCs w:val="18"/>
        </w:rPr>
        <w:tab/>
        <w:t>Sub-section (1) does not apply to the extent that-</w:t>
      </w:r>
    </w:p>
    <w:p w14:paraId="57BB5DC6" w14:textId="77777777" w:rsidR="00742313" w:rsidRPr="00264008" w:rsidRDefault="00742313" w:rsidP="00742313">
      <w:pPr>
        <w:numPr>
          <w:ilvl w:val="0"/>
          <w:numId w:val="5"/>
        </w:numPr>
        <w:spacing w:line="480" w:lineRule="auto"/>
        <w:jc w:val="both"/>
        <w:rPr>
          <w:rFonts w:ascii="Arial" w:hAnsi="Arial" w:cs="Arial"/>
          <w:bCs/>
          <w:i/>
          <w:sz w:val="18"/>
          <w:szCs w:val="18"/>
        </w:rPr>
      </w:pPr>
      <w:r w:rsidRPr="00264008">
        <w:rPr>
          <w:rFonts w:ascii="Arial" w:hAnsi="Arial" w:cs="Arial"/>
          <w:bCs/>
          <w:i/>
          <w:sz w:val="18"/>
          <w:szCs w:val="18"/>
        </w:rPr>
        <w:t>…</w:t>
      </w:r>
    </w:p>
    <w:p w14:paraId="4A0950F1" w14:textId="77777777" w:rsidR="00742313" w:rsidRPr="00264008" w:rsidRDefault="00742313" w:rsidP="00742313">
      <w:pPr>
        <w:numPr>
          <w:ilvl w:val="0"/>
          <w:numId w:val="5"/>
        </w:numPr>
        <w:spacing w:line="480" w:lineRule="auto"/>
        <w:jc w:val="both"/>
        <w:rPr>
          <w:rFonts w:ascii="Arial" w:hAnsi="Arial" w:cs="Arial"/>
          <w:bCs/>
          <w:i/>
          <w:sz w:val="18"/>
          <w:szCs w:val="18"/>
        </w:rPr>
      </w:pPr>
      <w:r w:rsidRPr="00264008">
        <w:rPr>
          <w:rFonts w:ascii="Arial" w:hAnsi="Arial" w:cs="Arial"/>
          <w:bCs/>
          <w:i/>
          <w:sz w:val="18"/>
          <w:szCs w:val="18"/>
        </w:rPr>
        <w:t>…</w:t>
      </w:r>
    </w:p>
    <w:p w14:paraId="6273097C" w14:textId="77777777" w:rsidR="00742313" w:rsidRPr="00264008" w:rsidRDefault="00742313" w:rsidP="00742313">
      <w:pPr>
        <w:numPr>
          <w:ilvl w:val="0"/>
          <w:numId w:val="5"/>
        </w:numPr>
        <w:spacing w:line="480" w:lineRule="auto"/>
        <w:jc w:val="both"/>
        <w:rPr>
          <w:rFonts w:ascii="Arial" w:hAnsi="Arial" w:cs="Arial"/>
          <w:bCs/>
          <w:i/>
          <w:sz w:val="18"/>
          <w:szCs w:val="18"/>
        </w:rPr>
      </w:pPr>
      <w:r w:rsidRPr="00264008">
        <w:rPr>
          <w:rFonts w:ascii="Arial" w:hAnsi="Arial" w:cs="Arial"/>
          <w:bCs/>
          <w:i/>
          <w:sz w:val="18"/>
          <w:szCs w:val="18"/>
        </w:rPr>
        <w:t>…</w:t>
      </w:r>
    </w:p>
    <w:p w14:paraId="723FD560" w14:textId="77777777" w:rsidR="00742313" w:rsidRPr="00264008" w:rsidRDefault="00742313" w:rsidP="00742313">
      <w:pPr>
        <w:numPr>
          <w:ilvl w:val="0"/>
          <w:numId w:val="5"/>
        </w:numPr>
        <w:spacing w:line="480" w:lineRule="auto"/>
        <w:jc w:val="both"/>
        <w:rPr>
          <w:rFonts w:ascii="Arial" w:hAnsi="Arial" w:cs="Arial"/>
          <w:bCs/>
          <w:i/>
          <w:sz w:val="18"/>
          <w:szCs w:val="18"/>
        </w:rPr>
      </w:pPr>
      <w:r w:rsidRPr="00264008">
        <w:rPr>
          <w:rFonts w:ascii="Arial" w:hAnsi="Arial" w:cs="Arial"/>
          <w:bCs/>
          <w:i/>
          <w:sz w:val="18"/>
          <w:szCs w:val="18"/>
        </w:rPr>
        <w:t>it is necessary to give effect to-</w:t>
      </w:r>
    </w:p>
    <w:p w14:paraId="15E9C355" w14:textId="77777777" w:rsidR="00742313" w:rsidRPr="00264008" w:rsidRDefault="00742313" w:rsidP="00742313">
      <w:pPr>
        <w:numPr>
          <w:ilvl w:val="0"/>
          <w:numId w:val="6"/>
        </w:numPr>
        <w:spacing w:line="480" w:lineRule="auto"/>
        <w:jc w:val="both"/>
        <w:rPr>
          <w:rFonts w:ascii="Arial" w:hAnsi="Arial" w:cs="Arial"/>
          <w:bCs/>
          <w:i/>
          <w:sz w:val="18"/>
          <w:szCs w:val="18"/>
        </w:rPr>
      </w:pPr>
      <w:r w:rsidRPr="00264008">
        <w:rPr>
          <w:rFonts w:ascii="Arial" w:hAnsi="Arial" w:cs="Arial"/>
          <w:bCs/>
          <w:i/>
          <w:sz w:val="18"/>
          <w:szCs w:val="18"/>
        </w:rPr>
        <w:t>the resolution of the dispute under chapter 9; or</w:t>
      </w:r>
    </w:p>
    <w:p w14:paraId="43F7464E" w14:textId="77777777" w:rsidR="00742313" w:rsidRPr="00264008" w:rsidRDefault="00742313" w:rsidP="00742313">
      <w:pPr>
        <w:numPr>
          <w:ilvl w:val="0"/>
          <w:numId w:val="6"/>
        </w:numPr>
        <w:spacing w:line="480" w:lineRule="auto"/>
        <w:jc w:val="both"/>
        <w:rPr>
          <w:rFonts w:ascii="Arial" w:hAnsi="Arial" w:cs="Arial"/>
          <w:bCs/>
          <w:i/>
          <w:sz w:val="18"/>
          <w:szCs w:val="18"/>
        </w:rPr>
      </w:pPr>
      <w:r w:rsidRPr="00264008">
        <w:rPr>
          <w:rFonts w:ascii="Arial" w:hAnsi="Arial" w:cs="Arial"/>
          <w:bCs/>
          <w:i/>
          <w:sz w:val="18"/>
          <w:szCs w:val="18"/>
        </w:rPr>
        <w:t>…</w:t>
      </w:r>
    </w:p>
    <w:p w14:paraId="0051018C" w14:textId="77777777" w:rsidR="00742313" w:rsidRPr="00264008" w:rsidRDefault="00742313" w:rsidP="00742313">
      <w:pPr>
        <w:numPr>
          <w:ilvl w:val="0"/>
          <w:numId w:val="6"/>
        </w:numPr>
        <w:spacing w:line="480" w:lineRule="auto"/>
        <w:ind w:left="3686" w:hanging="446"/>
        <w:jc w:val="both"/>
        <w:rPr>
          <w:rFonts w:ascii="Arial" w:hAnsi="Arial" w:cs="Arial"/>
          <w:bCs/>
          <w:i/>
          <w:sz w:val="18"/>
          <w:szCs w:val="18"/>
        </w:rPr>
      </w:pPr>
      <w:r w:rsidRPr="00264008">
        <w:rPr>
          <w:rFonts w:ascii="Arial" w:hAnsi="Arial" w:cs="Arial"/>
          <w:bCs/>
          <w:i/>
          <w:sz w:val="18"/>
          <w:szCs w:val="18"/>
        </w:rPr>
        <w:t xml:space="preserve"> an assessment referred to in section 93(1)(b) if SARS become aware of the error referred to in that sub-section before expiry of the period of assessment under sub-section (1);</w:t>
      </w:r>
    </w:p>
    <w:p w14:paraId="3EB4F7DB" w14:textId="77777777" w:rsidR="00742313" w:rsidRPr="00264008" w:rsidRDefault="00742313" w:rsidP="00742313">
      <w:pPr>
        <w:numPr>
          <w:ilvl w:val="0"/>
          <w:numId w:val="6"/>
        </w:numPr>
        <w:spacing w:line="480" w:lineRule="auto"/>
        <w:jc w:val="both"/>
        <w:rPr>
          <w:rFonts w:ascii="Arial" w:hAnsi="Arial" w:cs="Arial"/>
          <w:bCs/>
          <w:i/>
          <w:sz w:val="22"/>
          <w:szCs w:val="22"/>
        </w:rPr>
      </w:pPr>
      <w:r w:rsidRPr="00264008">
        <w:rPr>
          <w:rFonts w:ascii="Arial" w:hAnsi="Arial" w:cs="Arial"/>
          <w:bCs/>
          <w:i/>
          <w:sz w:val="22"/>
          <w:szCs w:val="22"/>
        </w:rPr>
        <w:t xml:space="preserve"> …”</w:t>
      </w:r>
    </w:p>
    <w:p w14:paraId="3F95558A" w14:textId="77777777" w:rsidR="006572B1" w:rsidRPr="00264008" w:rsidRDefault="006572B1" w:rsidP="00D12BEB">
      <w:pPr>
        <w:spacing w:line="480" w:lineRule="auto"/>
        <w:ind w:left="567" w:hanging="567"/>
        <w:jc w:val="both"/>
        <w:rPr>
          <w:rFonts w:ascii="Arial" w:hAnsi="Arial" w:cs="Arial"/>
          <w:bCs/>
          <w:sz w:val="22"/>
          <w:szCs w:val="22"/>
        </w:rPr>
      </w:pPr>
      <w:r w:rsidRPr="00264008">
        <w:rPr>
          <w:rFonts w:ascii="Arial" w:hAnsi="Arial" w:cs="Arial"/>
          <w:bCs/>
          <w:sz w:val="22"/>
          <w:szCs w:val="22"/>
        </w:rPr>
        <w:t>[5</w:t>
      </w:r>
      <w:r w:rsidR="00264008">
        <w:rPr>
          <w:rFonts w:ascii="Arial" w:hAnsi="Arial" w:cs="Arial"/>
          <w:bCs/>
          <w:sz w:val="22"/>
          <w:szCs w:val="22"/>
        </w:rPr>
        <w:t>7</w:t>
      </w:r>
      <w:r w:rsidRPr="00264008">
        <w:rPr>
          <w:rFonts w:ascii="Arial" w:hAnsi="Arial" w:cs="Arial"/>
          <w:bCs/>
          <w:sz w:val="22"/>
          <w:szCs w:val="22"/>
        </w:rPr>
        <w:t>]</w:t>
      </w:r>
      <w:r w:rsidRPr="00264008">
        <w:rPr>
          <w:rFonts w:ascii="Arial" w:hAnsi="Arial" w:cs="Arial"/>
          <w:bCs/>
          <w:sz w:val="22"/>
          <w:szCs w:val="22"/>
        </w:rPr>
        <w:tab/>
        <w:t xml:space="preserve">Both parties made submissions in respect of both grounds. I will </w:t>
      </w:r>
      <w:r w:rsidR="00C577BB">
        <w:rPr>
          <w:rFonts w:ascii="Arial" w:hAnsi="Arial" w:cs="Arial"/>
          <w:bCs/>
          <w:sz w:val="22"/>
          <w:szCs w:val="22"/>
        </w:rPr>
        <w:t xml:space="preserve">commence with </w:t>
      </w:r>
      <w:r w:rsidRPr="00264008">
        <w:rPr>
          <w:rFonts w:ascii="Arial" w:hAnsi="Arial" w:cs="Arial"/>
          <w:bCs/>
          <w:sz w:val="22"/>
          <w:szCs w:val="22"/>
        </w:rPr>
        <w:t>the submissions in respect of section 99(2)(d)(i).</w:t>
      </w:r>
    </w:p>
    <w:p w14:paraId="5EFF7436" w14:textId="77777777" w:rsidR="006572B1" w:rsidRPr="00264008" w:rsidRDefault="006572B1" w:rsidP="00D12BEB">
      <w:pPr>
        <w:spacing w:line="480" w:lineRule="auto"/>
        <w:ind w:left="567" w:hanging="567"/>
        <w:rPr>
          <w:rFonts w:ascii="Arial" w:hAnsi="Arial" w:cs="Arial"/>
          <w:b/>
          <w:sz w:val="22"/>
          <w:szCs w:val="22"/>
        </w:rPr>
      </w:pPr>
      <w:r w:rsidRPr="00264008">
        <w:rPr>
          <w:rFonts w:ascii="Arial" w:hAnsi="Arial" w:cs="Arial"/>
          <w:b/>
          <w:sz w:val="22"/>
          <w:szCs w:val="22"/>
        </w:rPr>
        <w:t>SECTION 99(2)(d)(i):</w:t>
      </w:r>
    </w:p>
    <w:p w14:paraId="091A16BC" w14:textId="77777777" w:rsidR="006572B1" w:rsidRPr="00264008" w:rsidRDefault="006572B1" w:rsidP="00D12BEB">
      <w:pPr>
        <w:spacing w:line="480" w:lineRule="auto"/>
        <w:ind w:left="567" w:hanging="567"/>
        <w:rPr>
          <w:rFonts w:ascii="Arial" w:hAnsi="Arial" w:cs="Arial"/>
          <w:sz w:val="22"/>
          <w:szCs w:val="22"/>
        </w:rPr>
      </w:pPr>
      <w:r w:rsidRPr="00264008">
        <w:rPr>
          <w:rFonts w:ascii="Arial" w:hAnsi="Arial" w:cs="Arial"/>
          <w:sz w:val="22"/>
          <w:szCs w:val="22"/>
        </w:rPr>
        <w:lastRenderedPageBreak/>
        <w:t>[5</w:t>
      </w:r>
      <w:r w:rsidR="00264008">
        <w:rPr>
          <w:rFonts w:ascii="Arial" w:hAnsi="Arial" w:cs="Arial"/>
          <w:sz w:val="22"/>
          <w:szCs w:val="22"/>
        </w:rPr>
        <w:t>8</w:t>
      </w:r>
      <w:r w:rsidRPr="00264008">
        <w:rPr>
          <w:rFonts w:ascii="Arial" w:hAnsi="Arial" w:cs="Arial"/>
          <w:sz w:val="22"/>
          <w:szCs w:val="22"/>
        </w:rPr>
        <w:t>]</w:t>
      </w:r>
      <w:r w:rsidRPr="00264008">
        <w:rPr>
          <w:rFonts w:ascii="Arial" w:hAnsi="Arial" w:cs="Arial"/>
          <w:sz w:val="22"/>
          <w:szCs w:val="22"/>
        </w:rPr>
        <w:tab/>
        <w:t>In answer to the Court’s question whether the provisions of Section 99(2)(d)(i) were applicable to the matter in question, Mr van Rensburg on behalf of I-cat argued that same were indeed applicable.</w:t>
      </w:r>
    </w:p>
    <w:p w14:paraId="48E6D8FA" w14:textId="77777777" w:rsidR="006572B1" w:rsidRPr="00264008" w:rsidRDefault="006572B1" w:rsidP="00D12BEB">
      <w:pPr>
        <w:spacing w:line="480" w:lineRule="auto"/>
        <w:ind w:left="567" w:hanging="567"/>
        <w:rPr>
          <w:rFonts w:ascii="Arial" w:hAnsi="Arial" w:cs="Arial"/>
          <w:sz w:val="22"/>
          <w:szCs w:val="22"/>
        </w:rPr>
      </w:pPr>
      <w:r w:rsidRPr="00264008">
        <w:rPr>
          <w:rFonts w:ascii="Arial" w:hAnsi="Arial" w:cs="Arial"/>
          <w:sz w:val="22"/>
          <w:szCs w:val="22"/>
        </w:rPr>
        <w:t>[5</w:t>
      </w:r>
      <w:r w:rsidR="00264008">
        <w:rPr>
          <w:rFonts w:ascii="Arial" w:hAnsi="Arial" w:cs="Arial"/>
          <w:sz w:val="22"/>
          <w:szCs w:val="22"/>
        </w:rPr>
        <w:t>9</w:t>
      </w:r>
      <w:r w:rsidRPr="00264008">
        <w:rPr>
          <w:rFonts w:ascii="Arial" w:hAnsi="Arial" w:cs="Arial"/>
          <w:sz w:val="22"/>
          <w:szCs w:val="22"/>
        </w:rPr>
        <w:t>]</w:t>
      </w:r>
      <w:r w:rsidRPr="00264008">
        <w:rPr>
          <w:rFonts w:ascii="Arial" w:hAnsi="Arial" w:cs="Arial"/>
          <w:sz w:val="22"/>
          <w:szCs w:val="22"/>
        </w:rPr>
        <w:tab/>
        <w:t>Mr van Rensburg argued as follows:</w:t>
      </w:r>
    </w:p>
    <w:p w14:paraId="5B1ECEE1" w14:textId="77777777" w:rsidR="006572B1" w:rsidRPr="00264008" w:rsidRDefault="006572B1" w:rsidP="00D12BEB">
      <w:pPr>
        <w:spacing w:line="480" w:lineRule="auto"/>
        <w:ind w:left="1418" w:hanging="851"/>
        <w:rPr>
          <w:rFonts w:ascii="Arial" w:hAnsi="Arial" w:cs="Arial"/>
          <w:sz w:val="22"/>
          <w:szCs w:val="22"/>
        </w:rPr>
      </w:pPr>
      <w:r w:rsidRPr="00264008">
        <w:rPr>
          <w:rFonts w:ascii="Arial" w:hAnsi="Arial" w:cs="Arial"/>
          <w:sz w:val="22"/>
          <w:szCs w:val="22"/>
        </w:rPr>
        <w:t>[</w:t>
      </w:r>
      <w:r w:rsidR="00240EEF">
        <w:rPr>
          <w:rFonts w:ascii="Arial" w:hAnsi="Arial" w:cs="Arial"/>
          <w:sz w:val="22"/>
          <w:szCs w:val="22"/>
        </w:rPr>
        <w:t>59</w:t>
      </w:r>
      <w:r w:rsidRPr="00264008">
        <w:rPr>
          <w:rFonts w:ascii="Arial" w:hAnsi="Arial" w:cs="Arial"/>
          <w:sz w:val="22"/>
          <w:szCs w:val="22"/>
        </w:rPr>
        <w:t>.1]</w:t>
      </w:r>
      <w:r w:rsidRPr="00264008">
        <w:rPr>
          <w:rFonts w:ascii="Arial" w:hAnsi="Arial" w:cs="Arial"/>
          <w:sz w:val="22"/>
          <w:szCs w:val="22"/>
        </w:rPr>
        <w:tab/>
        <w:t>I-cat was busy with a tax appeal before the Tax Court in terms of the provisions of Chapter 9 of the Tax Administration Act;</w:t>
      </w:r>
    </w:p>
    <w:p w14:paraId="47F36255" w14:textId="77777777" w:rsidR="006572B1" w:rsidRPr="00264008" w:rsidRDefault="006572B1" w:rsidP="00D12BEB">
      <w:pPr>
        <w:spacing w:line="480" w:lineRule="auto"/>
        <w:ind w:left="1418" w:hanging="851"/>
        <w:jc w:val="both"/>
        <w:rPr>
          <w:rFonts w:ascii="Arial" w:hAnsi="Arial" w:cs="Arial"/>
          <w:sz w:val="22"/>
          <w:szCs w:val="22"/>
        </w:rPr>
      </w:pPr>
      <w:r w:rsidRPr="00264008">
        <w:rPr>
          <w:rFonts w:ascii="Arial" w:hAnsi="Arial" w:cs="Arial"/>
          <w:sz w:val="22"/>
          <w:szCs w:val="22"/>
        </w:rPr>
        <w:t>[</w:t>
      </w:r>
      <w:r w:rsidR="00240EEF">
        <w:rPr>
          <w:rFonts w:ascii="Arial" w:hAnsi="Arial" w:cs="Arial"/>
          <w:sz w:val="22"/>
          <w:szCs w:val="22"/>
        </w:rPr>
        <w:t>59</w:t>
      </w:r>
      <w:r w:rsidRPr="00264008">
        <w:rPr>
          <w:rFonts w:ascii="Arial" w:hAnsi="Arial" w:cs="Arial"/>
          <w:sz w:val="22"/>
          <w:szCs w:val="22"/>
        </w:rPr>
        <w:t>.2]</w:t>
      </w:r>
      <w:r w:rsidRPr="00264008">
        <w:rPr>
          <w:rFonts w:ascii="Arial" w:hAnsi="Arial" w:cs="Arial"/>
          <w:sz w:val="22"/>
          <w:szCs w:val="22"/>
        </w:rPr>
        <w:tab/>
        <w:t>I-cat and SARS decided not to proceed with the formal hearing before the Tax Court but decided to enter into a compromise and settled the dispute between the parties;</w:t>
      </w:r>
    </w:p>
    <w:p w14:paraId="5F10337D" w14:textId="77777777" w:rsidR="006572B1" w:rsidRPr="00264008" w:rsidRDefault="006572B1" w:rsidP="00D12BEB">
      <w:pPr>
        <w:spacing w:line="480" w:lineRule="auto"/>
        <w:ind w:left="1418" w:hanging="851"/>
        <w:jc w:val="both"/>
        <w:rPr>
          <w:rFonts w:ascii="Arial" w:hAnsi="Arial" w:cs="Arial"/>
          <w:sz w:val="22"/>
          <w:szCs w:val="22"/>
        </w:rPr>
      </w:pPr>
      <w:r w:rsidRPr="00264008">
        <w:rPr>
          <w:rFonts w:ascii="Arial" w:hAnsi="Arial" w:cs="Arial"/>
          <w:sz w:val="22"/>
          <w:szCs w:val="22"/>
        </w:rPr>
        <w:t>[</w:t>
      </w:r>
      <w:r w:rsidR="00240EEF">
        <w:rPr>
          <w:rFonts w:ascii="Arial" w:hAnsi="Arial" w:cs="Arial"/>
          <w:sz w:val="22"/>
          <w:szCs w:val="22"/>
        </w:rPr>
        <w:t>59</w:t>
      </w:r>
      <w:r w:rsidRPr="00264008">
        <w:rPr>
          <w:rFonts w:ascii="Arial" w:hAnsi="Arial" w:cs="Arial"/>
          <w:sz w:val="22"/>
          <w:szCs w:val="22"/>
        </w:rPr>
        <w:t>.3]</w:t>
      </w:r>
      <w:r w:rsidRPr="00264008">
        <w:rPr>
          <w:rFonts w:ascii="Arial" w:hAnsi="Arial" w:cs="Arial"/>
          <w:sz w:val="22"/>
          <w:szCs w:val="22"/>
        </w:rPr>
        <w:tab/>
        <w:t>This compromise was thereafter made a consent order by the Tax Court that in essence resolved the 2014 tax appeal.  The compromise entered into between the parties and the subsequent consent order clearly and concisely set out the terms as well as in the manner on how the incorrect claim of the Applicant in the 2014 year of assessment was to be dealt with (in both years of assessment</w:t>
      </w:r>
      <w:r w:rsidR="00DC0A86" w:rsidRPr="00264008">
        <w:rPr>
          <w:rFonts w:ascii="Arial" w:hAnsi="Arial" w:cs="Arial"/>
          <w:sz w:val="22"/>
          <w:szCs w:val="22"/>
        </w:rPr>
        <w:t>)</w:t>
      </w:r>
      <w:r w:rsidRPr="00264008">
        <w:rPr>
          <w:rFonts w:ascii="Arial" w:hAnsi="Arial" w:cs="Arial"/>
          <w:sz w:val="22"/>
          <w:szCs w:val="22"/>
        </w:rPr>
        <w:t>;</w:t>
      </w:r>
    </w:p>
    <w:p w14:paraId="0B942FBC" w14:textId="77777777" w:rsidR="006572B1" w:rsidRPr="00264008" w:rsidRDefault="006572B1" w:rsidP="00D12BEB">
      <w:pPr>
        <w:spacing w:line="480" w:lineRule="auto"/>
        <w:ind w:left="1418" w:hanging="851"/>
        <w:jc w:val="both"/>
        <w:rPr>
          <w:rFonts w:ascii="Arial" w:hAnsi="Arial" w:cs="Arial"/>
          <w:sz w:val="22"/>
          <w:szCs w:val="22"/>
        </w:rPr>
      </w:pPr>
      <w:r w:rsidRPr="00264008">
        <w:rPr>
          <w:rFonts w:ascii="Arial" w:hAnsi="Arial" w:cs="Arial"/>
          <w:sz w:val="22"/>
          <w:szCs w:val="22"/>
        </w:rPr>
        <w:t>[</w:t>
      </w:r>
      <w:r w:rsidR="00240EEF">
        <w:rPr>
          <w:rFonts w:ascii="Arial" w:hAnsi="Arial" w:cs="Arial"/>
          <w:sz w:val="22"/>
          <w:szCs w:val="22"/>
        </w:rPr>
        <w:t>59</w:t>
      </w:r>
      <w:r w:rsidRPr="00264008">
        <w:rPr>
          <w:rFonts w:ascii="Arial" w:hAnsi="Arial" w:cs="Arial"/>
          <w:sz w:val="22"/>
          <w:szCs w:val="22"/>
        </w:rPr>
        <w:t>.4]</w:t>
      </w:r>
      <w:r w:rsidRPr="00264008">
        <w:rPr>
          <w:rFonts w:ascii="Arial" w:hAnsi="Arial" w:cs="Arial"/>
          <w:sz w:val="22"/>
          <w:szCs w:val="22"/>
        </w:rPr>
        <w:tab/>
        <w:t>At the time when the parties entered into the compromise, SARS not only knew of the error that affect</w:t>
      </w:r>
      <w:r w:rsidR="006B50F4" w:rsidRPr="00264008">
        <w:rPr>
          <w:rFonts w:ascii="Arial" w:hAnsi="Arial" w:cs="Arial"/>
          <w:sz w:val="22"/>
          <w:szCs w:val="22"/>
        </w:rPr>
        <w:t>ed</w:t>
      </w:r>
      <w:r w:rsidR="00DC0A86" w:rsidRPr="00264008">
        <w:rPr>
          <w:rFonts w:ascii="Arial" w:hAnsi="Arial" w:cs="Arial"/>
          <w:sz w:val="22"/>
          <w:szCs w:val="22"/>
        </w:rPr>
        <w:t xml:space="preserve"> </w:t>
      </w:r>
      <w:r w:rsidRPr="00264008">
        <w:rPr>
          <w:rFonts w:ascii="Arial" w:hAnsi="Arial" w:cs="Arial"/>
          <w:sz w:val="22"/>
          <w:szCs w:val="22"/>
        </w:rPr>
        <w:t>the 2014 year of assessment but also knew of the error affecting the 2015 year of assessment</w:t>
      </w:r>
      <w:r w:rsidR="00C77D2A" w:rsidRPr="00264008">
        <w:rPr>
          <w:rFonts w:ascii="Arial" w:hAnsi="Arial" w:cs="Arial"/>
          <w:sz w:val="22"/>
          <w:szCs w:val="22"/>
        </w:rPr>
        <w:t xml:space="preserve"> prior to the lapsing of the expiry of the 2015 assessment prescription period</w:t>
      </w:r>
      <w:r w:rsidRPr="00264008">
        <w:rPr>
          <w:rFonts w:ascii="Arial" w:hAnsi="Arial" w:cs="Arial"/>
          <w:sz w:val="22"/>
          <w:szCs w:val="22"/>
        </w:rPr>
        <w:t>.</w:t>
      </w:r>
      <w:r w:rsidR="00C77D2A" w:rsidRPr="00264008">
        <w:rPr>
          <w:rFonts w:ascii="Arial" w:hAnsi="Arial" w:cs="Arial"/>
          <w:sz w:val="22"/>
          <w:szCs w:val="22"/>
        </w:rPr>
        <w:t xml:space="preserve"> This is borne out by what was stated by Mr Bekker in the Rule 31 Statement of Sars.</w:t>
      </w:r>
    </w:p>
    <w:p w14:paraId="4EF7F34C" w14:textId="77777777" w:rsidR="00DC0A86" w:rsidRPr="00264008" w:rsidRDefault="00DC0A86" w:rsidP="00D12BEB">
      <w:pPr>
        <w:spacing w:line="480" w:lineRule="auto"/>
        <w:ind w:left="1418" w:hanging="851"/>
        <w:jc w:val="both"/>
        <w:rPr>
          <w:rFonts w:ascii="Arial" w:hAnsi="Arial" w:cs="Arial"/>
          <w:sz w:val="22"/>
          <w:szCs w:val="22"/>
        </w:rPr>
      </w:pPr>
      <w:r w:rsidRPr="00264008">
        <w:rPr>
          <w:rFonts w:ascii="Arial" w:hAnsi="Arial" w:cs="Arial"/>
          <w:sz w:val="22"/>
          <w:szCs w:val="22"/>
        </w:rPr>
        <w:t>[</w:t>
      </w:r>
      <w:r w:rsidR="00240EEF">
        <w:rPr>
          <w:rFonts w:ascii="Arial" w:hAnsi="Arial" w:cs="Arial"/>
          <w:sz w:val="22"/>
          <w:szCs w:val="22"/>
        </w:rPr>
        <w:t>59</w:t>
      </w:r>
      <w:r w:rsidRPr="00264008">
        <w:rPr>
          <w:rFonts w:ascii="Arial" w:hAnsi="Arial" w:cs="Arial"/>
          <w:sz w:val="22"/>
          <w:szCs w:val="22"/>
        </w:rPr>
        <w:t>.5]</w:t>
      </w:r>
      <w:r w:rsidRPr="00264008">
        <w:rPr>
          <w:rFonts w:ascii="Arial" w:hAnsi="Arial" w:cs="Arial"/>
          <w:sz w:val="22"/>
          <w:szCs w:val="22"/>
        </w:rPr>
        <w:tab/>
        <w:t>The provisions contained in the Tax court order that relates to both the 2014 and 2015 years of assessment cannot be ignored as the provisions relate to the resolution of the dispute between the parties. I</w:t>
      </w:r>
      <w:r w:rsidR="00FC4CAB" w:rsidRPr="00264008">
        <w:rPr>
          <w:rFonts w:ascii="Arial" w:hAnsi="Arial" w:cs="Arial"/>
          <w:sz w:val="22"/>
          <w:szCs w:val="22"/>
        </w:rPr>
        <w:t xml:space="preserve">n the </w:t>
      </w:r>
      <w:r w:rsidRPr="00264008">
        <w:rPr>
          <w:rFonts w:ascii="Arial" w:hAnsi="Arial" w:cs="Arial"/>
          <w:sz w:val="22"/>
          <w:szCs w:val="22"/>
        </w:rPr>
        <w:t>premises in order to give effect to the resolution of the dispute between the parties the provisions of section 99(1) does not apply.</w:t>
      </w:r>
    </w:p>
    <w:p w14:paraId="193D86B3" w14:textId="77777777" w:rsidR="00C77D2A" w:rsidRPr="00264008" w:rsidRDefault="00C77D2A" w:rsidP="00C77D2A">
      <w:pPr>
        <w:spacing w:line="480" w:lineRule="auto"/>
        <w:ind w:left="567" w:hanging="567"/>
        <w:jc w:val="both"/>
        <w:rPr>
          <w:rFonts w:ascii="Arial" w:hAnsi="Arial" w:cs="Arial"/>
          <w:sz w:val="22"/>
          <w:szCs w:val="22"/>
        </w:rPr>
      </w:pPr>
      <w:r w:rsidRPr="00264008">
        <w:rPr>
          <w:rFonts w:ascii="Arial" w:hAnsi="Arial" w:cs="Arial"/>
          <w:sz w:val="22"/>
          <w:szCs w:val="22"/>
        </w:rPr>
        <w:t>[</w:t>
      </w:r>
      <w:r w:rsidR="00264008">
        <w:rPr>
          <w:rFonts w:ascii="Arial" w:hAnsi="Arial" w:cs="Arial"/>
          <w:sz w:val="22"/>
          <w:szCs w:val="22"/>
        </w:rPr>
        <w:t>6</w:t>
      </w:r>
      <w:r w:rsidR="00240EEF">
        <w:rPr>
          <w:rFonts w:ascii="Arial" w:hAnsi="Arial" w:cs="Arial"/>
          <w:sz w:val="22"/>
          <w:szCs w:val="22"/>
        </w:rPr>
        <w:t>0</w:t>
      </w:r>
      <w:r w:rsidRPr="00264008">
        <w:rPr>
          <w:rFonts w:ascii="Arial" w:hAnsi="Arial" w:cs="Arial"/>
          <w:sz w:val="22"/>
          <w:szCs w:val="22"/>
        </w:rPr>
        <w:t>]</w:t>
      </w:r>
      <w:r w:rsidRPr="00264008">
        <w:rPr>
          <w:rFonts w:ascii="Arial" w:hAnsi="Arial" w:cs="Arial"/>
          <w:sz w:val="22"/>
          <w:szCs w:val="22"/>
        </w:rPr>
        <w:tab/>
        <w:t>In opposition to these submissions Mrs Dreyer</w:t>
      </w:r>
      <w:r w:rsidR="00616A66" w:rsidRPr="00264008">
        <w:rPr>
          <w:rFonts w:ascii="Arial" w:hAnsi="Arial" w:cs="Arial"/>
          <w:sz w:val="22"/>
          <w:szCs w:val="22"/>
        </w:rPr>
        <w:t xml:space="preserve"> argued that section 99(2)(d)</w:t>
      </w:r>
      <w:r w:rsidRPr="00264008">
        <w:rPr>
          <w:rFonts w:ascii="Arial" w:hAnsi="Arial" w:cs="Arial"/>
          <w:sz w:val="22"/>
          <w:szCs w:val="22"/>
        </w:rPr>
        <w:t>(i) were not applicable:</w:t>
      </w:r>
    </w:p>
    <w:p w14:paraId="68653D91" w14:textId="77777777" w:rsidR="00C77D2A" w:rsidRPr="00264008" w:rsidRDefault="00C77D2A" w:rsidP="00D12BEB">
      <w:pPr>
        <w:spacing w:line="480" w:lineRule="auto"/>
        <w:ind w:left="1440" w:hanging="873"/>
        <w:jc w:val="both"/>
        <w:rPr>
          <w:rFonts w:ascii="Arial" w:hAnsi="Arial" w:cs="Arial"/>
          <w:sz w:val="22"/>
          <w:szCs w:val="22"/>
        </w:rPr>
      </w:pPr>
      <w:r w:rsidRPr="00264008">
        <w:rPr>
          <w:rFonts w:ascii="Arial" w:hAnsi="Arial" w:cs="Arial"/>
          <w:sz w:val="22"/>
          <w:szCs w:val="22"/>
        </w:rPr>
        <w:lastRenderedPageBreak/>
        <w:t>[</w:t>
      </w:r>
      <w:r w:rsidR="00264008">
        <w:rPr>
          <w:rFonts w:ascii="Arial" w:hAnsi="Arial" w:cs="Arial"/>
          <w:sz w:val="22"/>
          <w:szCs w:val="22"/>
        </w:rPr>
        <w:t>6</w:t>
      </w:r>
      <w:r w:rsidR="00874E28">
        <w:rPr>
          <w:rFonts w:ascii="Arial" w:hAnsi="Arial" w:cs="Arial"/>
          <w:sz w:val="22"/>
          <w:szCs w:val="22"/>
        </w:rPr>
        <w:t>0</w:t>
      </w:r>
      <w:r w:rsidRPr="00264008">
        <w:rPr>
          <w:rFonts w:ascii="Arial" w:hAnsi="Arial" w:cs="Arial"/>
          <w:sz w:val="22"/>
          <w:szCs w:val="22"/>
        </w:rPr>
        <w:t>.1]</w:t>
      </w:r>
      <w:r w:rsidRPr="00264008">
        <w:rPr>
          <w:rFonts w:ascii="Arial" w:hAnsi="Arial" w:cs="Arial"/>
          <w:sz w:val="22"/>
          <w:szCs w:val="22"/>
        </w:rPr>
        <w:tab/>
      </w:r>
      <w:r w:rsidR="005C1E8F" w:rsidRPr="00264008">
        <w:rPr>
          <w:rFonts w:ascii="Arial" w:hAnsi="Arial" w:cs="Arial"/>
          <w:sz w:val="22"/>
          <w:szCs w:val="22"/>
        </w:rPr>
        <w:t>In the first instance Ms Dreyer argued it is necessary to distinguish between the factual and legal matrix of the issues which served before the Tax Court in 2019 and the factual and legal matrix of the issues which served before me;</w:t>
      </w:r>
    </w:p>
    <w:p w14:paraId="0EF7DAE4" w14:textId="77777777" w:rsidR="005C1E8F" w:rsidRPr="00264008" w:rsidRDefault="005C1E8F" w:rsidP="00D12BEB">
      <w:pPr>
        <w:spacing w:line="480" w:lineRule="auto"/>
        <w:ind w:left="1440" w:hanging="873"/>
        <w:jc w:val="both"/>
        <w:rPr>
          <w:rFonts w:ascii="Arial" w:hAnsi="Arial" w:cs="Arial"/>
          <w:sz w:val="22"/>
          <w:szCs w:val="22"/>
        </w:rPr>
      </w:pPr>
      <w:r w:rsidRPr="00264008">
        <w:rPr>
          <w:rFonts w:ascii="Arial" w:hAnsi="Arial" w:cs="Arial"/>
          <w:sz w:val="22"/>
          <w:szCs w:val="22"/>
        </w:rPr>
        <w:t>[</w:t>
      </w:r>
      <w:r w:rsidR="00264008">
        <w:rPr>
          <w:rFonts w:ascii="Arial" w:hAnsi="Arial" w:cs="Arial"/>
          <w:sz w:val="22"/>
          <w:szCs w:val="22"/>
        </w:rPr>
        <w:t>6</w:t>
      </w:r>
      <w:r w:rsidR="00874E28">
        <w:rPr>
          <w:rFonts w:ascii="Arial" w:hAnsi="Arial" w:cs="Arial"/>
          <w:sz w:val="22"/>
          <w:szCs w:val="22"/>
        </w:rPr>
        <w:t>0</w:t>
      </w:r>
      <w:r w:rsidRPr="00264008">
        <w:rPr>
          <w:rFonts w:ascii="Arial" w:hAnsi="Arial" w:cs="Arial"/>
          <w:sz w:val="22"/>
          <w:szCs w:val="22"/>
        </w:rPr>
        <w:t>.2]</w:t>
      </w:r>
      <w:r w:rsidRPr="00264008">
        <w:rPr>
          <w:rFonts w:ascii="Arial" w:hAnsi="Arial" w:cs="Arial"/>
          <w:sz w:val="22"/>
          <w:szCs w:val="22"/>
        </w:rPr>
        <w:tab/>
        <w:t xml:space="preserve">I-cat’s tax appeal before the Tax Court in 2019 solely related to the 2014 year of </w:t>
      </w:r>
      <w:r w:rsidR="00616A66" w:rsidRPr="00264008">
        <w:rPr>
          <w:rFonts w:ascii="Arial" w:hAnsi="Arial" w:cs="Arial"/>
          <w:sz w:val="22"/>
          <w:szCs w:val="22"/>
        </w:rPr>
        <w:t>assessment;</w:t>
      </w:r>
    </w:p>
    <w:p w14:paraId="55950FEE" w14:textId="77777777" w:rsidR="00616A66" w:rsidRPr="00264008" w:rsidRDefault="00616A66" w:rsidP="00A5537B">
      <w:pPr>
        <w:tabs>
          <w:tab w:val="left" w:pos="567"/>
        </w:tabs>
        <w:spacing w:line="480" w:lineRule="auto"/>
        <w:ind w:left="1440" w:hanging="873"/>
        <w:jc w:val="both"/>
        <w:rPr>
          <w:rFonts w:ascii="Arial" w:hAnsi="Arial" w:cs="Arial"/>
          <w:sz w:val="22"/>
          <w:szCs w:val="22"/>
        </w:rPr>
      </w:pPr>
      <w:r w:rsidRPr="00264008">
        <w:rPr>
          <w:rFonts w:ascii="Arial" w:hAnsi="Arial" w:cs="Arial"/>
          <w:sz w:val="22"/>
          <w:szCs w:val="22"/>
        </w:rPr>
        <w:t>[</w:t>
      </w:r>
      <w:r w:rsidR="00264008">
        <w:rPr>
          <w:rFonts w:ascii="Arial" w:hAnsi="Arial" w:cs="Arial"/>
          <w:sz w:val="22"/>
          <w:szCs w:val="22"/>
        </w:rPr>
        <w:t>6</w:t>
      </w:r>
      <w:r w:rsidR="00874E28">
        <w:rPr>
          <w:rFonts w:ascii="Arial" w:hAnsi="Arial" w:cs="Arial"/>
          <w:sz w:val="22"/>
          <w:szCs w:val="22"/>
        </w:rPr>
        <w:t>0</w:t>
      </w:r>
      <w:r w:rsidRPr="00264008">
        <w:rPr>
          <w:rFonts w:ascii="Arial" w:hAnsi="Arial" w:cs="Arial"/>
          <w:sz w:val="22"/>
          <w:szCs w:val="22"/>
        </w:rPr>
        <w:t>.3]</w:t>
      </w:r>
      <w:r w:rsidRPr="00264008">
        <w:rPr>
          <w:rFonts w:ascii="Arial" w:hAnsi="Arial" w:cs="Arial"/>
          <w:sz w:val="22"/>
          <w:szCs w:val="22"/>
        </w:rPr>
        <w:tab/>
        <w:t>The sole issue before me relates to whether the Commission was correct to refuse to make I-cat’s reduced assessment in respect of the 2015 year of assessment;</w:t>
      </w:r>
    </w:p>
    <w:p w14:paraId="5290F2A7" w14:textId="77777777" w:rsidR="00616A66" w:rsidRPr="00264008" w:rsidRDefault="00616A66" w:rsidP="00A5537B">
      <w:pPr>
        <w:tabs>
          <w:tab w:val="left" w:pos="567"/>
        </w:tabs>
        <w:spacing w:line="480" w:lineRule="auto"/>
        <w:ind w:left="1418" w:hanging="873"/>
        <w:jc w:val="both"/>
        <w:rPr>
          <w:rFonts w:ascii="Arial" w:hAnsi="Arial" w:cs="Arial"/>
          <w:sz w:val="22"/>
          <w:szCs w:val="22"/>
        </w:rPr>
      </w:pPr>
      <w:r w:rsidRPr="00264008">
        <w:rPr>
          <w:rFonts w:ascii="Arial" w:hAnsi="Arial" w:cs="Arial"/>
          <w:sz w:val="22"/>
          <w:szCs w:val="22"/>
        </w:rPr>
        <w:t>[</w:t>
      </w:r>
      <w:r w:rsidR="00264008">
        <w:rPr>
          <w:rFonts w:ascii="Arial" w:hAnsi="Arial" w:cs="Arial"/>
          <w:sz w:val="22"/>
          <w:szCs w:val="22"/>
        </w:rPr>
        <w:t>6</w:t>
      </w:r>
      <w:r w:rsidR="00874E28">
        <w:rPr>
          <w:rFonts w:ascii="Arial" w:hAnsi="Arial" w:cs="Arial"/>
          <w:sz w:val="22"/>
          <w:szCs w:val="22"/>
        </w:rPr>
        <w:t>0</w:t>
      </w:r>
      <w:r w:rsidR="004E7283" w:rsidRPr="00264008">
        <w:rPr>
          <w:rFonts w:ascii="Arial" w:hAnsi="Arial" w:cs="Arial"/>
          <w:sz w:val="22"/>
          <w:szCs w:val="22"/>
        </w:rPr>
        <w:t>.4</w:t>
      </w:r>
      <w:r w:rsidRPr="00264008">
        <w:rPr>
          <w:rFonts w:ascii="Arial" w:hAnsi="Arial" w:cs="Arial"/>
          <w:sz w:val="22"/>
          <w:szCs w:val="22"/>
        </w:rPr>
        <w:t>]</w:t>
      </w:r>
      <w:r w:rsidRPr="00264008">
        <w:rPr>
          <w:rFonts w:ascii="Arial" w:hAnsi="Arial" w:cs="Arial"/>
          <w:sz w:val="22"/>
          <w:szCs w:val="22"/>
        </w:rPr>
        <w:tab/>
        <w:t>Ms Dreyer reiterated that the limited jurisdiction in which the Tax Court, as a creature of statute ha</w:t>
      </w:r>
      <w:r w:rsidR="00313282" w:rsidRPr="00264008">
        <w:rPr>
          <w:rFonts w:ascii="Arial" w:hAnsi="Arial" w:cs="Arial"/>
          <w:sz w:val="22"/>
          <w:szCs w:val="22"/>
        </w:rPr>
        <w:t>s</w:t>
      </w:r>
      <w:r w:rsidRPr="00264008">
        <w:rPr>
          <w:rFonts w:ascii="Arial" w:hAnsi="Arial" w:cs="Arial"/>
          <w:sz w:val="22"/>
          <w:szCs w:val="22"/>
        </w:rPr>
        <w:t xml:space="preserve"> and that the </w:t>
      </w:r>
      <w:r w:rsidR="00525ED2" w:rsidRPr="00264008">
        <w:rPr>
          <w:rFonts w:ascii="Arial" w:hAnsi="Arial" w:cs="Arial"/>
          <w:sz w:val="22"/>
          <w:szCs w:val="22"/>
        </w:rPr>
        <w:t>jurisdiction</w:t>
      </w:r>
      <w:r w:rsidRPr="00264008">
        <w:rPr>
          <w:rFonts w:ascii="Arial" w:hAnsi="Arial" w:cs="Arial"/>
          <w:sz w:val="22"/>
          <w:szCs w:val="22"/>
        </w:rPr>
        <w:t xml:space="preserve"> of the Tax Court is limited to the tax appeal in respect of the specific year of assessment in issue. In this regard I-cat’s tax appeal which came before the Tax Court in October 2019, was in respect of a tax appeal which I-cat lodged against the disallowance of its objection in relation to the additional income tax assessment the Commissioner raised in respect of the 2014 year of assessment</w:t>
      </w:r>
      <w:r w:rsidR="00313282" w:rsidRPr="00264008">
        <w:rPr>
          <w:rFonts w:ascii="Arial" w:hAnsi="Arial" w:cs="Arial"/>
          <w:sz w:val="22"/>
          <w:szCs w:val="22"/>
        </w:rPr>
        <w:t xml:space="preserve"> and nothing more</w:t>
      </w:r>
      <w:r w:rsidRPr="00264008">
        <w:rPr>
          <w:rFonts w:ascii="Arial" w:hAnsi="Arial" w:cs="Arial"/>
          <w:sz w:val="22"/>
          <w:szCs w:val="22"/>
        </w:rPr>
        <w:t>.</w:t>
      </w:r>
    </w:p>
    <w:p w14:paraId="1DB9DEAA" w14:textId="77777777" w:rsidR="00616A66" w:rsidRPr="00264008" w:rsidRDefault="00616A66" w:rsidP="00A5537B">
      <w:pPr>
        <w:tabs>
          <w:tab w:val="left" w:pos="567"/>
        </w:tabs>
        <w:spacing w:line="480" w:lineRule="auto"/>
        <w:ind w:left="1418" w:hanging="851"/>
        <w:jc w:val="both"/>
        <w:rPr>
          <w:rFonts w:ascii="Arial" w:hAnsi="Arial" w:cs="Arial"/>
          <w:sz w:val="22"/>
          <w:szCs w:val="22"/>
        </w:rPr>
      </w:pPr>
      <w:r w:rsidRPr="00264008">
        <w:rPr>
          <w:rFonts w:ascii="Arial" w:hAnsi="Arial" w:cs="Arial"/>
          <w:sz w:val="22"/>
          <w:szCs w:val="22"/>
        </w:rPr>
        <w:t>[</w:t>
      </w:r>
      <w:r w:rsidR="00264008">
        <w:rPr>
          <w:rFonts w:ascii="Arial" w:hAnsi="Arial" w:cs="Arial"/>
          <w:sz w:val="22"/>
          <w:szCs w:val="22"/>
        </w:rPr>
        <w:t>6</w:t>
      </w:r>
      <w:r w:rsidR="00874E28">
        <w:rPr>
          <w:rFonts w:ascii="Arial" w:hAnsi="Arial" w:cs="Arial"/>
          <w:sz w:val="22"/>
          <w:szCs w:val="22"/>
        </w:rPr>
        <w:t>0</w:t>
      </w:r>
      <w:r w:rsidR="004E7283" w:rsidRPr="00264008">
        <w:rPr>
          <w:rFonts w:ascii="Arial" w:hAnsi="Arial" w:cs="Arial"/>
          <w:sz w:val="22"/>
          <w:szCs w:val="22"/>
        </w:rPr>
        <w:t>.5</w:t>
      </w:r>
      <w:r w:rsidRPr="00264008">
        <w:rPr>
          <w:rFonts w:ascii="Arial" w:hAnsi="Arial" w:cs="Arial"/>
          <w:sz w:val="22"/>
          <w:szCs w:val="22"/>
        </w:rPr>
        <w:t>]</w:t>
      </w:r>
      <w:r w:rsidRPr="00264008">
        <w:rPr>
          <w:rFonts w:ascii="Arial" w:hAnsi="Arial" w:cs="Arial"/>
          <w:sz w:val="22"/>
          <w:szCs w:val="22"/>
        </w:rPr>
        <w:tab/>
        <w:t>In this respect the order of the Tax Court on the 29</w:t>
      </w:r>
      <w:r w:rsidRPr="00264008">
        <w:rPr>
          <w:rFonts w:ascii="Arial" w:hAnsi="Arial" w:cs="Arial"/>
          <w:sz w:val="22"/>
          <w:szCs w:val="22"/>
          <w:vertAlign w:val="superscript"/>
        </w:rPr>
        <w:t>th</w:t>
      </w:r>
      <w:r w:rsidRPr="00264008">
        <w:rPr>
          <w:rFonts w:ascii="Arial" w:hAnsi="Arial" w:cs="Arial"/>
          <w:sz w:val="22"/>
          <w:szCs w:val="22"/>
        </w:rPr>
        <w:t xml:space="preserve"> of</w:t>
      </w:r>
      <w:r w:rsidR="00525ED2" w:rsidRPr="00264008">
        <w:rPr>
          <w:rFonts w:ascii="Arial" w:hAnsi="Arial" w:cs="Arial"/>
          <w:sz w:val="22"/>
          <w:szCs w:val="22"/>
        </w:rPr>
        <w:t xml:space="preserve"> </w:t>
      </w:r>
      <w:r w:rsidRPr="00264008">
        <w:rPr>
          <w:rFonts w:ascii="Arial" w:hAnsi="Arial" w:cs="Arial"/>
          <w:sz w:val="22"/>
          <w:szCs w:val="22"/>
        </w:rPr>
        <w:t>October 2019 related solely and only to the tax appeal before it and in particular provided:</w:t>
      </w:r>
    </w:p>
    <w:p w14:paraId="7E9FEC1B" w14:textId="77777777" w:rsidR="00616A66" w:rsidRPr="00264008" w:rsidRDefault="00616A66" w:rsidP="004E7283">
      <w:pPr>
        <w:spacing w:line="480" w:lineRule="auto"/>
        <w:ind w:left="2268" w:hanging="850"/>
        <w:jc w:val="both"/>
        <w:rPr>
          <w:rFonts w:ascii="Arial" w:hAnsi="Arial" w:cs="Arial"/>
          <w:sz w:val="22"/>
          <w:szCs w:val="22"/>
        </w:rPr>
      </w:pPr>
      <w:r w:rsidRPr="00264008">
        <w:rPr>
          <w:rFonts w:ascii="Arial" w:hAnsi="Arial" w:cs="Arial"/>
          <w:sz w:val="22"/>
          <w:szCs w:val="22"/>
        </w:rPr>
        <w:t>[</w:t>
      </w:r>
      <w:r w:rsidR="00264008">
        <w:rPr>
          <w:rFonts w:ascii="Arial" w:hAnsi="Arial" w:cs="Arial"/>
          <w:sz w:val="22"/>
          <w:szCs w:val="22"/>
        </w:rPr>
        <w:t>6</w:t>
      </w:r>
      <w:r w:rsidR="00874E28">
        <w:rPr>
          <w:rFonts w:ascii="Arial" w:hAnsi="Arial" w:cs="Arial"/>
          <w:sz w:val="22"/>
          <w:szCs w:val="22"/>
        </w:rPr>
        <w:t>0</w:t>
      </w:r>
      <w:r w:rsidR="004E7283" w:rsidRPr="00264008">
        <w:rPr>
          <w:rFonts w:ascii="Arial" w:hAnsi="Arial" w:cs="Arial"/>
          <w:sz w:val="22"/>
          <w:szCs w:val="22"/>
        </w:rPr>
        <w:t>.5</w:t>
      </w:r>
      <w:r w:rsidRPr="00264008">
        <w:rPr>
          <w:rFonts w:ascii="Arial" w:hAnsi="Arial" w:cs="Arial"/>
          <w:sz w:val="22"/>
          <w:szCs w:val="22"/>
        </w:rPr>
        <w:t>.1]</w:t>
      </w:r>
      <w:r w:rsidRPr="00264008">
        <w:rPr>
          <w:rFonts w:ascii="Arial" w:hAnsi="Arial" w:cs="Arial"/>
          <w:sz w:val="22"/>
          <w:szCs w:val="22"/>
        </w:rPr>
        <w:tab/>
        <w:t>How the I-cat claimed the deduction in the 2014 year of assessment;</w:t>
      </w:r>
    </w:p>
    <w:p w14:paraId="5831CB88" w14:textId="77777777" w:rsidR="00616A66" w:rsidRPr="00264008" w:rsidRDefault="00616A66" w:rsidP="004E7283">
      <w:pPr>
        <w:spacing w:line="480" w:lineRule="auto"/>
        <w:ind w:left="2268" w:hanging="850"/>
        <w:jc w:val="both"/>
        <w:rPr>
          <w:rFonts w:ascii="Arial" w:hAnsi="Arial" w:cs="Arial"/>
          <w:sz w:val="22"/>
          <w:szCs w:val="22"/>
        </w:rPr>
      </w:pPr>
      <w:r w:rsidRPr="00264008">
        <w:rPr>
          <w:rFonts w:ascii="Arial" w:hAnsi="Arial" w:cs="Arial"/>
          <w:sz w:val="22"/>
          <w:szCs w:val="22"/>
        </w:rPr>
        <w:t>[</w:t>
      </w:r>
      <w:r w:rsidR="00264008">
        <w:rPr>
          <w:rFonts w:ascii="Arial" w:hAnsi="Arial" w:cs="Arial"/>
          <w:sz w:val="22"/>
          <w:szCs w:val="22"/>
        </w:rPr>
        <w:t>6</w:t>
      </w:r>
      <w:r w:rsidR="00874E28">
        <w:rPr>
          <w:rFonts w:ascii="Arial" w:hAnsi="Arial" w:cs="Arial"/>
          <w:sz w:val="22"/>
          <w:szCs w:val="22"/>
        </w:rPr>
        <w:t>0</w:t>
      </w:r>
      <w:r w:rsidR="004E7283" w:rsidRPr="00264008">
        <w:rPr>
          <w:rFonts w:ascii="Arial" w:hAnsi="Arial" w:cs="Arial"/>
          <w:sz w:val="22"/>
          <w:szCs w:val="22"/>
        </w:rPr>
        <w:t>.5.2</w:t>
      </w:r>
      <w:r w:rsidRPr="00264008">
        <w:rPr>
          <w:rFonts w:ascii="Arial" w:hAnsi="Arial" w:cs="Arial"/>
          <w:sz w:val="22"/>
          <w:szCs w:val="22"/>
        </w:rPr>
        <w:t>]</w:t>
      </w:r>
      <w:r w:rsidR="004E7283" w:rsidRPr="00264008">
        <w:rPr>
          <w:rFonts w:ascii="Arial" w:hAnsi="Arial" w:cs="Arial"/>
          <w:sz w:val="22"/>
          <w:szCs w:val="22"/>
        </w:rPr>
        <w:tab/>
      </w:r>
      <w:r w:rsidRPr="00264008">
        <w:rPr>
          <w:rFonts w:ascii="Arial" w:hAnsi="Arial" w:cs="Arial"/>
          <w:sz w:val="22"/>
          <w:szCs w:val="22"/>
        </w:rPr>
        <w:t>How much of the deduction would be allowed as a deduction in the 2014 year of assessment;</w:t>
      </w:r>
    </w:p>
    <w:p w14:paraId="095A06D6" w14:textId="77777777" w:rsidR="00616A66" w:rsidRPr="00264008" w:rsidRDefault="00616A66" w:rsidP="004E7283">
      <w:pPr>
        <w:spacing w:line="480" w:lineRule="auto"/>
        <w:ind w:left="2268" w:hanging="850"/>
        <w:jc w:val="both"/>
        <w:rPr>
          <w:rFonts w:ascii="Arial" w:hAnsi="Arial" w:cs="Arial"/>
          <w:sz w:val="22"/>
          <w:szCs w:val="22"/>
        </w:rPr>
      </w:pPr>
      <w:r w:rsidRPr="00264008">
        <w:rPr>
          <w:rFonts w:ascii="Arial" w:hAnsi="Arial" w:cs="Arial"/>
          <w:sz w:val="22"/>
          <w:szCs w:val="22"/>
        </w:rPr>
        <w:t>[</w:t>
      </w:r>
      <w:r w:rsidR="00264008">
        <w:rPr>
          <w:rFonts w:ascii="Arial" w:hAnsi="Arial" w:cs="Arial"/>
          <w:sz w:val="22"/>
          <w:szCs w:val="22"/>
        </w:rPr>
        <w:t>6</w:t>
      </w:r>
      <w:r w:rsidR="00874E28">
        <w:rPr>
          <w:rFonts w:ascii="Arial" w:hAnsi="Arial" w:cs="Arial"/>
          <w:sz w:val="22"/>
          <w:szCs w:val="22"/>
        </w:rPr>
        <w:t>0</w:t>
      </w:r>
      <w:r w:rsidR="004E7283" w:rsidRPr="00264008">
        <w:rPr>
          <w:rFonts w:ascii="Arial" w:hAnsi="Arial" w:cs="Arial"/>
          <w:sz w:val="22"/>
          <w:szCs w:val="22"/>
        </w:rPr>
        <w:t>.5.3</w:t>
      </w:r>
      <w:r w:rsidRPr="00264008">
        <w:rPr>
          <w:rFonts w:ascii="Arial" w:hAnsi="Arial" w:cs="Arial"/>
          <w:sz w:val="22"/>
          <w:szCs w:val="22"/>
        </w:rPr>
        <w:t>]</w:t>
      </w:r>
      <w:r w:rsidRPr="00264008">
        <w:rPr>
          <w:rFonts w:ascii="Arial" w:hAnsi="Arial" w:cs="Arial"/>
          <w:sz w:val="22"/>
          <w:szCs w:val="22"/>
        </w:rPr>
        <w:tab/>
        <w:t xml:space="preserve">That the balance of the deduction would be </w:t>
      </w:r>
      <w:r w:rsidR="00525ED2" w:rsidRPr="00264008">
        <w:rPr>
          <w:rFonts w:ascii="Arial" w:hAnsi="Arial" w:cs="Arial"/>
          <w:sz w:val="22"/>
          <w:szCs w:val="22"/>
        </w:rPr>
        <w:t>disallowed as a deduction in th</w:t>
      </w:r>
      <w:r w:rsidRPr="00264008">
        <w:rPr>
          <w:rFonts w:ascii="Arial" w:hAnsi="Arial" w:cs="Arial"/>
          <w:sz w:val="22"/>
          <w:szCs w:val="22"/>
        </w:rPr>
        <w:t>e 2014 year of assessment.</w:t>
      </w:r>
    </w:p>
    <w:p w14:paraId="5DC4FED5" w14:textId="77777777" w:rsidR="00264008" w:rsidRPr="00264008" w:rsidRDefault="00616A66" w:rsidP="004E7283">
      <w:pPr>
        <w:spacing w:line="480" w:lineRule="auto"/>
        <w:ind w:left="2268" w:hanging="850"/>
        <w:jc w:val="both"/>
        <w:rPr>
          <w:rFonts w:ascii="Arial" w:hAnsi="Arial" w:cs="Arial"/>
          <w:sz w:val="22"/>
          <w:szCs w:val="22"/>
        </w:rPr>
      </w:pPr>
      <w:r w:rsidRPr="00264008">
        <w:rPr>
          <w:rFonts w:ascii="Arial" w:hAnsi="Arial" w:cs="Arial"/>
          <w:sz w:val="22"/>
          <w:szCs w:val="22"/>
        </w:rPr>
        <w:t>[</w:t>
      </w:r>
      <w:r w:rsidR="00264008">
        <w:rPr>
          <w:rFonts w:ascii="Arial" w:hAnsi="Arial" w:cs="Arial"/>
          <w:sz w:val="22"/>
          <w:szCs w:val="22"/>
        </w:rPr>
        <w:t>6</w:t>
      </w:r>
      <w:r w:rsidR="00874E28">
        <w:rPr>
          <w:rFonts w:ascii="Arial" w:hAnsi="Arial" w:cs="Arial"/>
          <w:sz w:val="22"/>
          <w:szCs w:val="22"/>
        </w:rPr>
        <w:t>0</w:t>
      </w:r>
      <w:r w:rsidR="004E7283" w:rsidRPr="00264008">
        <w:rPr>
          <w:rFonts w:ascii="Arial" w:hAnsi="Arial" w:cs="Arial"/>
          <w:sz w:val="22"/>
          <w:szCs w:val="22"/>
        </w:rPr>
        <w:t>.5.4</w:t>
      </w:r>
      <w:r w:rsidRPr="00264008">
        <w:rPr>
          <w:rFonts w:ascii="Arial" w:hAnsi="Arial" w:cs="Arial"/>
          <w:sz w:val="22"/>
          <w:szCs w:val="22"/>
        </w:rPr>
        <w:t>]</w:t>
      </w:r>
      <w:r w:rsidRPr="00264008">
        <w:rPr>
          <w:rFonts w:ascii="Arial" w:hAnsi="Arial" w:cs="Arial"/>
          <w:sz w:val="22"/>
          <w:szCs w:val="22"/>
        </w:rPr>
        <w:tab/>
        <w:t xml:space="preserve">In addition the order of the Tax Court specifically records </w:t>
      </w:r>
      <w:r w:rsidR="00264008" w:rsidRPr="00264008">
        <w:rPr>
          <w:rFonts w:ascii="Arial" w:hAnsi="Arial" w:cs="Arial"/>
          <w:sz w:val="22"/>
          <w:szCs w:val="22"/>
        </w:rPr>
        <w:t>in paragraph 6:</w:t>
      </w:r>
    </w:p>
    <w:p w14:paraId="697108F8" w14:textId="77777777" w:rsidR="00616A66" w:rsidRPr="00264008" w:rsidRDefault="00616A66" w:rsidP="00264008">
      <w:pPr>
        <w:spacing w:line="480" w:lineRule="auto"/>
        <w:ind w:left="2268" w:hanging="108"/>
        <w:jc w:val="both"/>
        <w:rPr>
          <w:rFonts w:ascii="Arial" w:hAnsi="Arial" w:cs="Arial"/>
          <w:i/>
          <w:sz w:val="18"/>
          <w:szCs w:val="18"/>
        </w:rPr>
      </w:pPr>
      <w:r w:rsidRPr="00264008">
        <w:rPr>
          <w:rFonts w:ascii="Arial" w:hAnsi="Arial" w:cs="Arial"/>
          <w:sz w:val="18"/>
          <w:szCs w:val="18"/>
        </w:rPr>
        <w:t>“</w:t>
      </w:r>
      <w:r w:rsidR="00264008">
        <w:rPr>
          <w:rFonts w:ascii="Arial" w:hAnsi="Arial" w:cs="Arial"/>
          <w:i/>
          <w:sz w:val="18"/>
          <w:szCs w:val="18"/>
        </w:rPr>
        <w:t>T</w:t>
      </w:r>
      <w:r w:rsidRPr="00264008">
        <w:rPr>
          <w:rFonts w:ascii="Arial" w:hAnsi="Arial" w:cs="Arial"/>
          <w:i/>
          <w:sz w:val="18"/>
          <w:szCs w:val="18"/>
        </w:rPr>
        <w:t xml:space="preserve">hat the issues </w:t>
      </w:r>
      <w:r w:rsidR="00094FF7" w:rsidRPr="00264008">
        <w:rPr>
          <w:rFonts w:ascii="Arial" w:hAnsi="Arial" w:cs="Arial"/>
          <w:i/>
          <w:sz w:val="18"/>
          <w:szCs w:val="18"/>
        </w:rPr>
        <w:t>pertaining to the deductibility of the amount referred to in paragraph 4 above, as it may relate to the 2015 year of assessment, being R10 154 940.00, f</w:t>
      </w:r>
      <w:r w:rsidR="004E7283" w:rsidRPr="00264008">
        <w:rPr>
          <w:rFonts w:ascii="Arial" w:hAnsi="Arial" w:cs="Arial"/>
          <w:i/>
          <w:sz w:val="18"/>
          <w:szCs w:val="18"/>
        </w:rPr>
        <w:t>all</w:t>
      </w:r>
      <w:r w:rsidR="00094FF7" w:rsidRPr="00264008">
        <w:rPr>
          <w:rFonts w:ascii="Arial" w:hAnsi="Arial" w:cs="Arial"/>
          <w:i/>
          <w:sz w:val="18"/>
          <w:szCs w:val="18"/>
        </w:rPr>
        <w:t xml:space="preserve"> outside of the issues in this tax appeal. The appellant may endeavour to address such issues in terms of section 93 of the ITA;”.</w:t>
      </w:r>
    </w:p>
    <w:p w14:paraId="3071F8E6" w14:textId="77777777" w:rsidR="00094FF7" w:rsidRPr="00264008" w:rsidRDefault="00094FF7" w:rsidP="00D12BEB">
      <w:pPr>
        <w:spacing w:line="480" w:lineRule="auto"/>
        <w:ind w:left="1418" w:hanging="851"/>
        <w:jc w:val="both"/>
        <w:rPr>
          <w:rFonts w:ascii="Arial" w:hAnsi="Arial" w:cs="Arial"/>
          <w:sz w:val="22"/>
          <w:szCs w:val="22"/>
        </w:rPr>
      </w:pPr>
      <w:r w:rsidRPr="00264008">
        <w:rPr>
          <w:rFonts w:ascii="Arial" w:hAnsi="Arial" w:cs="Arial"/>
          <w:sz w:val="22"/>
          <w:szCs w:val="22"/>
        </w:rPr>
        <w:lastRenderedPageBreak/>
        <w:t>[</w:t>
      </w:r>
      <w:r w:rsidR="00264008">
        <w:rPr>
          <w:rFonts w:ascii="Arial" w:hAnsi="Arial" w:cs="Arial"/>
          <w:sz w:val="22"/>
          <w:szCs w:val="22"/>
        </w:rPr>
        <w:t>6</w:t>
      </w:r>
      <w:r w:rsidR="00874E28">
        <w:rPr>
          <w:rFonts w:ascii="Arial" w:hAnsi="Arial" w:cs="Arial"/>
          <w:sz w:val="22"/>
          <w:szCs w:val="22"/>
        </w:rPr>
        <w:t>0</w:t>
      </w:r>
      <w:r w:rsidR="004E7283" w:rsidRPr="00264008">
        <w:rPr>
          <w:rFonts w:ascii="Arial" w:hAnsi="Arial" w:cs="Arial"/>
          <w:sz w:val="22"/>
          <w:szCs w:val="22"/>
        </w:rPr>
        <w:t>.6</w:t>
      </w:r>
      <w:r w:rsidRPr="00264008">
        <w:rPr>
          <w:rFonts w:ascii="Arial" w:hAnsi="Arial" w:cs="Arial"/>
          <w:sz w:val="22"/>
          <w:szCs w:val="22"/>
        </w:rPr>
        <w:t>]</w:t>
      </w:r>
      <w:r w:rsidRPr="00264008">
        <w:rPr>
          <w:rFonts w:ascii="Arial" w:hAnsi="Arial" w:cs="Arial"/>
          <w:sz w:val="22"/>
          <w:szCs w:val="22"/>
        </w:rPr>
        <w:tab/>
        <w:t xml:space="preserve">In the premises it was argued that in terms of the </w:t>
      </w:r>
      <w:r w:rsidR="00313282" w:rsidRPr="00264008">
        <w:rPr>
          <w:rFonts w:ascii="Arial" w:hAnsi="Arial" w:cs="Arial"/>
          <w:sz w:val="22"/>
          <w:szCs w:val="22"/>
        </w:rPr>
        <w:t xml:space="preserve">consent </w:t>
      </w:r>
      <w:r w:rsidRPr="00264008">
        <w:rPr>
          <w:rFonts w:ascii="Arial" w:hAnsi="Arial" w:cs="Arial"/>
          <w:sz w:val="22"/>
          <w:szCs w:val="22"/>
        </w:rPr>
        <w:t>order SARS was not bound to make a decision in I-cat’s favour in respect of the 2015 year of assessment nor did the parties reach any agreement in respect of the 2015 year of assessment.</w:t>
      </w:r>
    </w:p>
    <w:p w14:paraId="1F664B20" w14:textId="77777777" w:rsidR="00094FF7" w:rsidRPr="00264008" w:rsidRDefault="00094FF7" w:rsidP="00D12BEB">
      <w:pPr>
        <w:spacing w:line="480" w:lineRule="auto"/>
        <w:ind w:left="1418" w:hanging="851"/>
        <w:jc w:val="both"/>
        <w:rPr>
          <w:rFonts w:ascii="Arial" w:hAnsi="Arial" w:cs="Arial"/>
          <w:sz w:val="22"/>
          <w:szCs w:val="22"/>
        </w:rPr>
      </w:pPr>
      <w:r w:rsidRPr="00264008">
        <w:rPr>
          <w:rFonts w:ascii="Arial" w:hAnsi="Arial" w:cs="Arial"/>
          <w:sz w:val="22"/>
          <w:szCs w:val="22"/>
        </w:rPr>
        <w:t>[</w:t>
      </w:r>
      <w:r w:rsidR="00264008">
        <w:rPr>
          <w:rFonts w:ascii="Arial" w:hAnsi="Arial" w:cs="Arial"/>
          <w:sz w:val="22"/>
          <w:szCs w:val="22"/>
        </w:rPr>
        <w:t>6</w:t>
      </w:r>
      <w:r w:rsidR="00874E28">
        <w:rPr>
          <w:rFonts w:ascii="Arial" w:hAnsi="Arial" w:cs="Arial"/>
          <w:sz w:val="22"/>
          <w:szCs w:val="22"/>
        </w:rPr>
        <w:t>0</w:t>
      </w:r>
      <w:r w:rsidR="004E7283" w:rsidRPr="00264008">
        <w:rPr>
          <w:rFonts w:ascii="Arial" w:hAnsi="Arial" w:cs="Arial"/>
          <w:sz w:val="22"/>
          <w:szCs w:val="22"/>
        </w:rPr>
        <w:t>.7</w:t>
      </w:r>
      <w:r w:rsidRPr="00264008">
        <w:rPr>
          <w:rFonts w:ascii="Arial" w:hAnsi="Arial" w:cs="Arial"/>
          <w:sz w:val="22"/>
          <w:szCs w:val="22"/>
        </w:rPr>
        <w:t>]</w:t>
      </w:r>
      <w:r w:rsidRPr="00264008">
        <w:rPr>
          <w:rFonts w:ascii="Arial" w:hAnsi="Arial" w:cs="Arial"/>
          <w:sz w:val="22"/>
          <w:szCs w:val="22"/>
        </w:rPr>
        <w:tab/>
        <w:t>I-cat did not object against the original assessment in respect of the 2015 year of assessment. In the premises there is no dispute as defined in Chapter 9 of the Tax Administration Act between I-cat and the Commissioner in respect of the 2015 year of assessment. Further in the premises there was no and could not be any resolution of the dispute under Chapter 9 of the Tax Administration Act in relation</w:t>
      </w:r>
      <w:r w:rsidR="002860B3" w:rsidRPr="00264008">
        <w:rPr>
          <w:rFonts w:ascii="Arial" w:hAnsi="Arial" w:cs="Arial"/>
          <w:sz w:val="22"/>
          <w:szCs w:val="22"/>
        </w:rPr>
        <w:t xml:space="preserve"> to the 2015 year of assessment. Accordingly the provisions of Section 99(2)(i) of the Tax Administration Act do not apply.</w:t>
      </w:r>
    </w:p>
    <w:p w14:paraId="325CCD9D" w14:textId="77777777" w:rsidR="002860B3" w:rsidRPr="00264008" w:rsidRDefault="002860B3" w:rsidP="00D12BEB">
      <w:pPr>
        <w:spacing w:line="480" w:lineRule="auto"/>
        <w:ind w:left="1418" w:hanging="851"/>
        <w:jc w:val="both"/>
        <w:rPr>
          <w:rFonts w:ascii="Arial" w:hAnsi="Arial" w:cs="Arial"/>
          <w:sz w:val="22"/>
          <w:szCs w:val="22"/>
        </w:rPr>
      </w:pPr>
      <w:r w:rsidRPr="00264008">
        <w:rPr>
          <w:rFonts w:ascii="Arial" w:hAnsi="Arial" w:cs="Arial"/>
          <w:sz w:val="22"/>
          <w:szCs w:val="22"/>
        </w:rPr>
        <w:t>[</w:t>
      </w:r>
      <w:r w:rsidR="00264008">
        <w:rPr>
          <w:rFonts w:ascii="Arial" w:hAnsi="Arial" w:cs="Arial"/>
          <w:sz w:val="22"/>
          <w:szCs w:val="22"/>
        </w:rPr>
        <w:t>6</w:t>
      </w:r>
      <w:r w:rsidR="005A7F88">
        <w:rPr>
          <w:rFonts w:ascii="Arial" w:hAnsi="Arial" w:cs="Arial"/>
          <w:sz w:val="22"/>
          <w:szCs w:val="22"/>
        </w:rPr>
        <w:t>0</w:t>
      </w:r>
      <w:r w:rsidR="004E7283" w:rsidRPr="00264008">
        <w:rPr>
          <w:rFonts w:ascii="Arial" w:hAnsi="Arial" w:cs="Arial"/>
          <w:sz w:val="22"/>
          <w:szCs w:val="22"/>
        </w:rPr>
        <w:t>.8</w:t>
      </w:r>
      <w:r w:rsidRPr="00264008">
        <w:rPr>
          <w:rFonts w:ascii="Arial" w:hAnsi="Arial" w:cs="Arial"/>
          <w:sz w:val="22"/>
          <w:szCs w:val="22"/>
        </w:rPr>
        <w:t>]</w:t>
      </w:r>
      <w:r w:rsidRPr="00264008">
        <w:rPr>
          <w:rFonts w:ascii="Arial" w:hAnsi="Arial" w:cs="Arial"/>
          <w:sz w:val="22"/>
          <w:szCs w:val="22"/>
        </w:rPr>
        <w:tab/>
        <w:t>Further the consent order between I-cat and SARS on the 29</w:t>
      </w:r>
      <w:r w:rsidRPr="00264008">
        <w:rPr>
          <w:rFonts w:ascii="Arial" w:hAnsi="Arial" w:cs="Arial"/>
          <w:sz w:val="22"/>
          <w:szCs w:val="22"/>
          <w:vertAlign w:val="superscript"/>
        </w:rPr>
        <w:t>th</w:t>
      </w:r>
      <w:r w:rsidRPr="00264008">
        <w:rPr>
          <w:rFonts w:ascii="Arial" w:hAnsi="Arial" w:cs="Arial"/>
          <w:sz w:val="22"/>
          <w:szCs w:val="22"/>
        </w:rPr>
        <w:t xml:space="preserve"> of October 2019 resolved the tax dispute between the parties in respect of the 2014 year of assessment.  As such, the underlin</w:t>
      </w:r>
      <w:r w:rsidR="004E7283" w:rsidRPr="00264008">
        <w:rPr>
          <w:rFonts w:ascii="Arial" w:hAnsi="Arial" w:cs="Arial"/>
          <w:sz w:val="22"/>
          <w:szCs w:val="22"/>
        </w:rPr>
        <w:t>ing</w:t>
      </w:r>
      <w:r w:rsidRPr="00264008">
        <w:rPr>
          <w:rFonts w:ascii="Arial" w:hAnsi="Arial" w:cs="Arial"/>
          <w:sz w:val="22"/>
          <w:szCs w:val="22"/>
        </w:rPr>
        <w:t xml:space="preserve"> agreement of compromise has no bearing on the dispute between the parties in relation to the 2015 year of assessment. It is the question of the application for a reduced assessment in the 2015 year of assessment that is presently before this court for adjudication.</w:t>
      </w:r>
    </w:p>
    <w:p w14:paraId="2D48C259" w14:textId="77777777" w:rsidR="00C77D2A" w:rsidRPr="00264008" w:rsidRDefault="002860B3" w:rsidP="00D12BEB">
      <w:pPr>
        <w:spacing w:line="480" w:lineRule="auto"/>
        <w:ind w:left="567" w:hanging="567"/>
        <w:jc w:val="both"/>
        <w:rPr>
          <w:rFonts w:ascii="Arial" w:hAnsi="Arial" w:cs="Arial"/>
          <w:sz w:val="22"/>
          <w:szCs w:val="22"/>
        </w:rPr>
      </w:pPr>
      <w:r w:rsidRPr="00264008">
        <w:rPr>
          <w:rFonts w:ascii="Arial" w:hAnsi="Arial" w:cs="Arial"/>
          <w:sz w:val="22"/>
          <w:szCs w:val="22"/>
        </w:rPr>
        <w:t>[</w:t>
      </w:r>
      <w:r w:rsidR="00264008">
        <w:rPr>
          <w:rFonts w:ascii="Arial" w:hAnsi="Arial" w:cs="Arial"/>
          <w:sz w:val="22"/>
          <w:szCs w:val="22"/>
        </w:rPr>
        <w:t>6</w:t>
      </w:r>
      <w:r w:rsidR="005A7F88">
        <w:rPr>
          <w:rFonts w:ascii="Arial" w:hAnsi="Arial" w:cs="Arial"/>
          <w:sz w:val="22"/>
          <w:szCs w:val="22"/>
        </w:rPr>
        <w:t>1</w:t>
      </w:r>
      <w:r w:rsidRPr="00264008">
        <w:rPr>
          <w:rFonts w:ascii="Arial" w:hAnsi="Arial" w:cs="Arial"/>
          <w:sz w:val="22"/>
          <w:szCs w:val="22"/>
        </w:rPr>
        <w:t>]</w:t>
      </w:r>
      <w:r w:rsidRPr="00264008">
        <w:rPr>
          <w:rFonts w:ascii="Arial" w:hAnsi="Arial" w:cs="Arial"/>
          <w:sz w:val="22"/>
          <w:szCs w:val="22"/>
        </w:rPr>
        <w:tab/>
        <w:t xml:space="preserve">For the reasons as set out below, I am of the opinion that the provisions of Section 99(2)(d)(i) </w:t>
      </w:r>
      <w:r w:rsidR="004E7283" w:rsidRPr="00264008">
        <w:rPr>
          <w:rFonts w:ascii="Arial" w:hAnsi="Arial" w:cs="Arial"/>
          <w:sz w:val="22"/>
          <w:szCs w:val="22"/>
        </w:rPr>
        <w:t>are</w:t>
      </w:r>
      <w:r w:rsidRPr="00264008">
        <w:rPr>
          <w:rFonts w:ascii="Arial" w:hAnsi="Arial" w:cs="Arial"/>
          <w:sz w:val="22"/>
          <w:szCs w:val="22"/>
        </w:rPr>
        <w:t xml:space="preserve"> indeed applicable to the present matter as a consequence of which the prescription period of 3 years as provided for in Section 99(1) is not applicable:</w:t>
      </w:r>
    </w:p>
    <w:p w14:paraId="5B54A0A7" w14:textId="77777777" w:rsidR="005A7F88" w:rsidRDefault="006572B1" w:rsidP="00D12BEB">
      <w:pPr>
        <w:spacing w:line="480" w:lineRule="auto"/>
        <w:ind w:left="567" w:hanging="567"/>
        <w:jc w:val="both"/>
        <w:rPr>
          <w:rFonts w:ascii="Arial" w:hAnsi="Arial" w:cs="Arial"/>
          <w:bCs/>
          <w:sz w:val="22"/>
          <w:szCs w:val="22"/>
        </w:rPr>
      </w:pPr>
      <w:r w:rsidRPr="00264008">
        <w:rPr>
          <w:rFonts w:ascii="Arial" w:hAnsi="Arial" w:cs="Arial"/>
          <w:sz w:val="22"/>
          <w:szCs w:val="22"/>
        </w:rPr>
        <w:t>[</w:t>
      </w:r>
      <w:r w:rsidR="004E7283" w:rsidRPr="00264008">
        <w:rPr>
          <w:rFonts w:ascii="Arial" w:hAnsi="Arial" w:cs="Arial"/>
          <w:sz w:val="22"/>
          <w:szCs w:val="22"/>
        </w:rPr>
        <w:t>6</w:t>
      </w:r>
      <w:r w:rsidR="005A7F88">
        <w:rPr>
          <w:rFonts w:ascii="Arial" w:hAnsi="Arial" w:cs="Arial"/>
          <w:sz w:val="22"/>
          <w:szCs w:val="22"/>
        </w:rPr>
        <w:t>2</w:t>
      </w:r>
      <w:r w:rsidRPr="00264008">
        <w:rPr>
          <w:rFonts w:ascii="Arial" w:hAnsi="Arial" w:cs="Arial"/>
          <w:sz w:val="22"/>
          <w:szCs w:val="22"/>
        </w:rPr>
        <w:t>]</w:t>
      </w:r>
      <w:r w:rsidRPr="00264008">
        <w:rPr>
          <w:rFonts w:ascii="Arial" w:hAnsi="Arial" w:cs="Arial"/>
          <w:sz w:val="22"/>
          <w:szCs w:val="22"/>
        </w:rPr>
        <w:tab/>
      </w:r>
      <w:r w:rsidR="004E7283" w:rsidRPr="00264008">
        <w:rPr>
          <w:rFonts w:ascii="Arial" w:hAnsi="Arial" w:cs="Arial"/>
          <w:bCs/>
          <w:sz w:val="22"/>
          <w:szCs w:val="22"/>
        </w:rPr>
        <w:t xml:space="preserve">The main issue between SARS and I-cat in respect of the 2014 assessment was that I-cat claimed that </w:t>
      </w:r>
      <w:r w:rsidR="004C435D" w:rsidRPr="00264008">
        <w:rPr>
          <w:rFonts w:ascii="Arial" w:hAnsi="Arial" w:cs="Arial"/>
          <w:bCs/>
          <w:sz w:val="22"/>
          <w:szCs w:val="22"/>
        </w:rPr>
        <w:t xml:space="preserve">an amount of </w:t>
      </w:r>
      <w:r w:rsidR="004C435D" w:rsidRPr="00264008">
        <w:rPr>
          <w:rFonts w:ascii="Arial" w:hAnsi="Arial" w:cs="Arial"/>
          <w:bCs/>
          <w:iCs/>
          <w:sz w:val="22"/>
          <w:szCs w:val="22"/>
        </w:rPr>
        <w:t>R17 170 433.00</w:t>
      </w:r>
      <w:r w:rsidR="004C435D" w:rsidRPr="00264008">
        <w:rPr>
          <w:rFonts w:ascii="Arial" w:hAnsi="Arial" w:cs="Arial"/>
          <w:bCs/>
          <w:i/>
          <w:sz w:val="22"/>
          <w:szCs w:val="22"/>
        </w:rPr>
        <w:t xml:space="preserve"> </w:t>
      </w:r>
      <w:r w:rsidR="004E7283" w:rsidRPr="00264008">
        <w:rPr>
          <w:rFonts w:ascii="Arial" w:hAnsi="Arial" w:cs="Arial"/>
          <w:bCs/>
          <w:sz w:val="22"/>
          <w:szCs w:val="22"/>
        </w:rPr>
        <w:t>paid to a third party as compensation for royalties and accounted for by I-cat as cost of stock, could be claimed as a deduction against I-cat’s taxable income under Section 11(a) of the Income Tax Act.</w:t>
      </w:r>
    </w:p>
    <w:p w14:paraId="58A41C14" w14:textId="77777777" w:rsidR="004E7283" w:rsidRPr="00264008" w:rsidRDefault="004E7283" w:rsidP="00D12BEB">
      <w:pPr>
        <w:spacing w:line="480" w:lineRule="auto"/>
        <w:ind w:left="567" w:hanging="567"/>
        <w:jc w:val="both"/>
        <w:rPr>
          <w:rFonts w:ascii="Arial" w:hAnsi="Arial" w:cs="Arial"/>
          <w:sz w:val="22"/>
          <w:szCs w:val="22"/>
        </w:rPr>
      </w:pPr>
      <w:r w:rsidRPr="00264008">
        <w:rPr>
          <w:rFonts w:ascii="Arial" w:hAnsi="Arial" w:cs="Arial"/>
          <w:bCs/>
          <w:sz w:val="22"/>
          <w:szCs w:val="22"/>
        </w:rPr>
        <w:lastRenderedPageBreak/>
        <w:t xml:space="preserve"> </w:t>
      </w:r>
      <w:r w:rsidR="005A7F88" w:rsidRPr="00264008">
        <w:rPr>
          <w:rFonts w:ascii="Arial" w:hAnsi="Arial" w:cs="Arial"/>
          <w:sz w:val="22"/>
          <w:szCs w:val="22"/>
        </w:rPr>
        <w:t>[6</w:t>
      </w:r>
      <w:r w:rsidR="005A7F88">
        <w:rPr>
          <w:rFonts w:ascii="Arial" w:hAnsi="Arial" w:cs="Arial"/>
          <w:sz w:val="22"/>
          <w:szCs w:val="22"/>
        </w:rPr>
        <w:t>3</w:t>
      </w:r>
      <w:r w:rsidR="005A7F88" w:rsidRPr="00264008">
        <w:rPr>
          <w:rFonts w:ascii="Arial" w:hAnsi="Arial" w:cs="Arial"/>
          <w:sz w:val="22"/>
          <w:szCs w:val="22"/>
        </w:rPr>
        <w:t>]</w:t>
      </w:r>
      <w:r w:rsidRPr="00264008">
        <w:rPr>
          <w:rFonts w:ascii="Arial" w:hAnsi="Arial" w:cs="Arial"/>
          <w:bCs/>
          <w:sz w:val="22"/>
          <w:szCs w:val="22"/>
        </w:rPr>
        <w:t xml:space="preserve"> </w:t>
      </w:r>
      <w:r w:rsidR="005A7F88">
        <w:rPr>
          <w:rFonts w:ascii="Arial" w:hAnsi="Arial" w:cs="Arial"/>
          <w:bCs/>
          <w:sz w:val="22"/>
          <w:szCs w:val="22"/>
        </w:rPr>
        <w:tab/>
      </w:r>
      <w:r w:rsidRPr="00264008">
        <w:rPr>
          <w:rFonts w:ascii="Arial" w:hAnsi="Arial" w:cs="Arial"/>
          <w:bCs/>
          <w:sz w:val="22"/>
          <w:szCs w:val="22"/>
        </w:rPr>
        <w:t>I-cat, after receiving advice that it was entitled to do so (in the aforementioned legal opinion), acted on the advice received and accounted for the entire portion of the expense incurred and which flowed from the principal transaction in the 2014 year of assessment.</w:t>
      </w:r>
      <w:r w:rsidRPr="00264008">
        <w:rPr>
          <w:rStyle w:val="FootnoteReference"/>
          <w:rFonts w:ascii="Arial" w:hAnsi="Arial" w:cs="Arial"/>
          <w:bCs/>
          <w:sz w:val="22"/>
          <w:szCs w:val="22"/>
        </w:rPr>
        <w:footnoteReference w:id="31"/>
      </w:r>
    </w:p>
    <w:p w14:paraId="2AD61D4F" w14:textId="77777777" w:rsidR="004E7283" w:rsidRPr="00264008" w:rsidRDefault="004E7283" w:rsidP="00D12BEB">
      <w:pPr>
        <w:spacing w:line="480" w:lineRule="auto"/>
        <w:ind w:left="567" w:hanging="567"/>
        <w:jc w:val="both"/>
        <w:rPr>
          <w:rFonts w:ascii="Arial" w:hAnsi="Arial" w:cs="Arial"/>
          <w:bCs/>
          <w:sz w:val="22"/>
          <w:szCs w:val="22"/>
        </w:rPr>
      </w:pPr>
      <w:r w:rsidRPr="00264008">
        <w:rPr>
          <w:rFonts w:ascii="Arial" w:hAnsi="Arial" w:cs="Arial"/>
          <w:bCs/>
          <w:sz w:val="22"/>
          <w:szCs w:val="22"/>
        </w:rPr>
        <w:t>[6</w:t>
      </w:r>
      <w:r w:rsidR="00264008">
        <w:rPr>
          <w:rFonts w:ascii="Arial" w:hAnsi="Arial" w:cs="Arial"/>
          <w:bCs/>
          <w:sz w:val="22"/>
          <w:szCs w:val="22"/>
        </w:rPr>
        <w:t>4</w:t>
      </w:r>
      <w:r w:rsidRPr="00264008">
        <w:rPr>
          <w:rFonts w:ascii="Arial" w:hAnsi="Arial" w:cs="Arial"/>
          <w:bCs/>
          <w:sz w:val="22"/>
          <w:szCs w:val="22"/>
        </w:rPr>
        <w:t>]</w:t>
      </w:r>
      <w:r w:rsidRPr="00264008">
        <w:rPr>
          <w:rFonts w:ascii="Arial" w:hAnsi="Arial" w:cs="Arial"/>
          <w:bCs/>
          <w:sz w:val="22"/>
          <w:szCs w:val="22"/>
        </w:rPr>
        <w:tab/>
        <w:t>In the assessment of I-cat’s declaration, SARS however held a different view regarding the nature and the tax consequences of the transaction at issue and refused I-cat to account for the transaction as an allowable tax deduction under Section 11(a) of the Income Tax Act.</w:t>
      </w:r>
      <w:r w:rsidRPr="00264008">
        <w:rPr>
          <w:rStyle w:val="FootnoteReference"/>
          <w:rFonts w:ascii="Arial" w:hAnsi="Arial" w:cs="Arial"/>
          <w:bCs/>
          <w:sz w:val="22"/>
          <w:szCs w:val="22"/>
        </w:rPr>
        <w:footnoteReference w:id="32"/>
      </w:r>
    </w:p>
    <w:p w14:paraId="732F24B5" w14:textId="77777777" w:rsidR="004E7283" w:rsidRPr="00264008" w:rsidRDefault="004E7283" w:rsidP="00D12BEB">
      <w:pPr>
        <w:spacing w:line="480" w:lineRule="auto"/>
        <w:ind w:left="567" w:hanging="567"/>
        <w:jc w:val="both"/>
        <w:rPr>
          <w:rFonts w:ascii="Arial" w:hAnsi="Arial" w:cs="Arial"/>
          <w:bCs/>
          <w:sz w:val="22"/>
          <w:szCs w:val="22"/>
        </w:rPr>
      </w:pPr>
      <w:r w:rsidRPr="00264008">
        <w:rPr>
          <w:rFonts w:ascii="Arial" w:hAnsi="Arial" w:cs="Arial"/>
          <w:bCs/>
          <w:sz w:val="22"/>
          <w:szCs w:val="22"/>
        </w:rPr>
        <w:t>[6</w:t>
      </w:r>
      <w:r w:rsidR="00264008">
        <w:rPr>
          <w:rFonts w:ascii="Arial" w:hAnsi="Arial" w:cs="Arial"/>
          <w:bCs/>
          <w:sz w:val="22"/>
          <w:szCs w:val="22"/>
        </w:rPr>
        <w:t>5</w:t>
      </w:r>
      <w:r w:rsidRPr="00264008">
        <w:rPr>
          <w:rFonts w:ascii="Arial" w:hAnsi="Arial" w:cs="Arial"/>
          <w:bCs/>
          <w:sz w:val="22"/>
          <w:szCs w:val="22"/>
        </w:rPr>
        <w:t>]</w:t>
      </w:r>
      <w:r w:rsidRPr="00264008">
        <w:rPr>
          <w:rFonts w:ascii="Arial" w:hAnsi="Arial" w:cs="Arial"/>
          <w:bCs/>
          <w:sz w:val="22"/>
          <w:szCs w:val="22"/>
        </w:rPr>
        <w:tab/>
        <w:t xml:space="preserve">Subsequent to </w:t>
      </w:r>
      <w:r w:rsidR="004C435D" w:rsidRPr="00264008">
        <w:rPr>
          <w:rFonts w:ascii="Arial" w:hAnsi="Arial" w:cs="Arial"/>
          <w:bCs/>
          <w:sz w:val="22"/>
          <w:szCs w:val="22"/>
        </w:rPr>
        <w:t xml:space="preserve">I-cat </w:t>
      </w:r>
      <w:r w:rsidRPr="00264008">
        <w:rPr>
          <w:rFonts w:ascii="Arial" w:hAnsi="Arial" w:cs="Arial"/>
          <w:bCs/>
          <w:sz w:val="22"/>
          <w:szCs w:val="22"/>
        </w:rPr>
        <w:t xml:space="preserve">having submitted </w:t>
      </w:r>
      <w:r w:rsidR="004C435D" w:rsidRPr="00264008">
        <w:rPr>
          <w:rFonts w:ascii="Arial" w:hAnsi="Arial" w:cs="Arial"/>
          <w:bCs/>
          <w:sz w:val="22"/>
          <w:szCs w:val="22"/>
        </w:rPr>
        <w:t>its</w:t>
      </w:r>
      <w:r w:rsidRPr="00264008">
        <w:rPr>
          <w:rFonts w:ascii="Arial" w:hAnsi="Arial" w:cs="Arial"/>
          <w:bCs/>
          <w:sz w:val="22"/>
          <w:szCs w:val="22"/>
        </w:rPr>
        <w:t xml:space="preserve"> tax return</w:t>
      </w:r>
      <w:r w:rsidR="004C435D" w:rsidRPr="00264008">
        <w:rPr>
          <w:rFonts w:ascii="Arial" w:hAnsi="Arial" w:cs="Arial"/>
          <w:bCs/>
          <w:sz w:val="22"/>
          <w:szCs w:val="22"/>
        </w:rPr>
        <w:t xml:space="preserve">, </w:t>
      </w:r>
      <w:r w:rsidRPr="00264008">
        <w:rPr>
          <w:rFonts w:ascii="Arial" w:hAnsi="Arial" w:cs="Arial"/>
          <w:bCs/>
          <w:sz w:val="22"/>
          <w:szCs w:val="22"/>
        </w:rPr>
        <w:t>SARS from the 29</w:t>
      </w:r>
      <w:r w:rsidRPr="00264008">
        <w:rPr>
          <w:rFonts w:ascii="Arial" w:hAnsi="Arial" w:cs="Arial"/>
          <w:bCs/>
          <w:sz w:val="22"/>
          <w:szCs w:val="22"/>
          <w:vertAlign w:val="superscript"/>
        </w:rPr>
        <w:t>th</w:t>
      </w:r>
      <w:r w:rsidRPr="00264008">
        <w:rPr>
          <w:rFonts w:ascii="Arial" w:hAnsi="Arial" w:cs="Arial"/>
          <w:bCs/>
          <w:sz w:val="22"/>
          <w:szCs w:val="22"/>
        </w:rPr>
        <w:t xml:space="preserve"> of October 2014 engaged I-cat with a lengthy audit in respect of the 2014 year of assessment. This culminated in SARS having issued I-cat with an additional assessment on the 16</w:t>
      </w:r>
      <w:r w:rsidRPr="00264008">
        <w:rPr>
          <w:rFonts w:ascii="Arial" w:hAnsi="Arial" w:cs="Arial"/>
          <w:bCs/>
          <w:sz w:val="22"/>
          <w:szCs w:val="22"/>
          <w:vertAlign w:val="superscript"/>
        </w:rPr>
        <w:t>th</w:t>
      </w:r>
      <w:r w:rsidRPr="00264008">
        <w:rPr>
          <w:rFonts w:ascii="Arial" w:hAnsi="Arial" w:cs="Arial"/>
          <w:bCs/>
          <w:sz w:val="22"/>
          <w:szCs w:val="22"/>
        </w:rPr>
        <w:t xml:space="preserve"> of July 2015, from which assessment it appears that SARS disallowed I-cat’s claim that the above amount was an expense incurred in the production of its income and revenue of nature which allowed I-cat to claim the amount as a deduction under the provisions of Section 11(a) of the Income Tax Act, Act 58 of 1962.</w:t>
      </w:r>
    </w:p>
    <w:p w14:paraId="72A018C1" w14:textId="77777777" w:rsidR="004E7283" w:rsidRPr="00264008" w:rsidRDefault="004E7283" w:rsidP="004E7283">
      <w:pPr>
        <w:spacing w:line="480" w:lineRule="auto"/>
        <w:ind w:left="720" w:hanging="720"/>
        <w:jc w:val="both"/>
        <w:rPr>
          <w:rFonts w:ascii="Arial" w:hAnsi="Arial" w:cs="Arial"/>
          <w:bCs/>
          <w:sz w:val="22"/>
          <w:szCs w:val="22"/>
        </w:rPr>
      </w:pPr>
      <w:r w:rsidRPr="00264008">
        <w:rPr>
          <w:rFonts w:ascii="Arial" w:hAnsi="Arial" w:cs="Arial"/>
          <w:bCs/>
          <w:sz w:val="22"/>
          <w:szCs w:val="22"/>
        </w:rPr>
        <w:t>[6</w:t>
      </w:r>
      <w:r w:rsidR="00264008">
        <w:rPr>
          <w:rFonts w:ascii="Arial" w:hAnsi="Arial" w:cs="Arial"/>
          <w:bCs/>
          <w:sz w:val="22"/>
          <w:szCs w:val="22"/>
        </w:rPr>
        <w:t>6</w:t>
      </w:r>
      <w:r w:rsidRPr="00264008">
        <w:rPr>
          <w:rFonts w:ascii="Arial" w:hAnsi="Arial" w:cs="Arial"/>
          <w:bCs/>
          <w:sz w:val="22"/>
          <w:szCs w:val="22"/>
        </w:rPr>
        <w:t>]</w:t>
      </w:r>
      <w:r w:rsidRPr="00264008">
        <w:rPr>
          <w:rFonts w:ascii="Arial" w:hAnsi="Arial" w:cs="Arial"/>
          <w:bCs/>
          <w:sz w:val="22"/>
          <w:szCs w:val="22"/>
        </w:rPr>
        <w:tab/>
      </w:r>
    </w:p>
    <w:p w14:paraId="02E29EA0" w14:textId="77777777" w:rsidR="004E7283" w:rsidRPr="00264008" w:rsidRDefault="004E7283" w:rsidP="00D12BEB">
      <w:pPr>
        <w:spacing w:line="480" w:lineRule="auto"/>
        <w:ind w:left="1440" w:hanging="873"/>
        <w:jc w:val="both"/>
        <w:rPr>
          <w:rFonts w:ascii="Arial" w:hAnsi="Arial" w:cs="Arial"/>
          <w:bCs/>
          <w:sz w:val="22"/>
          <w:szCs w:val="22"/>
        </w:rPr>
      </w:pPr>
      <w:r w:rsidRPr="00264008">
        <w:rPr>
          <w:rFonts w:ascii="Arial" w:hAnsi="Arial" w:cs="Arial"/>
          <w:bCs/>
          <w:sz w:val="22"/>
          <w:szCs w:val="22"/>
        </w:rPr>
        <w:t>[</w:t>
      </w:r>
      <w:r w:rsidR="00264008">
        <w:rPr>
          <w:rFonts w:ascii="Arial" w:hAnsi="Arial" w:cs="Arial"/>
          <w:bCs/>
          <w:sz w:val="22"/>
          <w:szCs w:val="22"/>
        </w:rPr>
        <w:t>66</w:t>
      </w:r>
      <w:r w:rsidRPr="00264008">
        <w:rPr>
          <w:rFonts w:ascii="Arial" w:hAnsi="Arial" w:cs="Arial"/>
          <w:bCs/>
          <w:sz w:val="22"/>
          <w:szCs w:val="22"/>
        </w:rPr>
        <w:t>.1]</w:t>
      </w:r>
      <w:r w:rsidRPr="00264008">
        <w:rPr>
          <w:rFonts w:ascii="Arial" w:hAnsi="Arial" w:cs="Arial"/>
          <w:bCs/>
          <w:sz w:val="22"/>
          <w:szCs w:val="22"/>
        </w:rPr>
        <w:tab/>
        <w:t>In SARS’ letter containing its audit findings SARS informed I-cat as follows:</w:t>
      </w:r>
    </w:p>
    <w:p w14:paraId="4AEC1300" w14:textId="77777777" w:rsidR="004E7283" w:rsidRPr="00264008" w:rsidRDefault="004E7283" w:rsidP="00D12BEB">
      <w:pPr>
        <w:spacing w:line="480" w:lineRule="auto"/>
        <w:ind w:left="2160"/>
        <w:jc w:val="both"/>
        <w:rPr>
          <w:rFonts w:ascii="Arial" w:hAnsi="Arial" w:cs="Arial"/>
          <w:bCs/>
          <w:sz w:val="18"/>
          <w:szCs w:val="18"/>
        </w:rPr>
      </w:pPr>
      <w:r w:rsidRPr="00264008">
        <w:rPr>
          <w:rFonts w:ascii="Arial" w:hAnsi="Arial" w:cs="Arial"/>
          <w:bCs/>
          <w:sz w:val="18"/>
          <w:szCs w:val="18"/>
        </w:rPr>
        <w:t>“</w:t>
      </w:r>
      <w:r w:rsidRPr="00264008">
        <w:rPr>
          <w:rFonts w:ascii="Arial" w:hAnsi="Arial" w:cs="Arial"/>
          <w:bCs/>
          <w:i/>
          <w:sz w:val="18"/>
          <w:szCs w:val="18"/>
        </w:rPr>
        <w:t>An amount of R17 170 433.00 was claimed as a deduction under purchases this amount relates to the cancellation fee paid on a distribution agreement entered into. A distribution agreement usually confers a ‘right’ to an individual, the ‘right’ is linked to the income earnings structure and not income operations, hence it will be regarded as capital in nature</w:t>
      </w:r>
      <w:r w:rsidRPr="00264008">
        <w:rPr>
          <w:rFonts w:ascii="Arial" w:hAnsi="Arial" w:cs="Arial"/>
          <w:bCs/>
          <w:sz w:val="18"/>
          <w:szCs w:val="18"/>
        </w:rPr>
        <w:t xml:space="preserve">”. </w:t>
      </w:r>
    </w:p>
    <w:p w14:paraId="5DA1CDA7" w14:textId="77777777" w:rsidR="004C435D" w:rsidRPr="00264008" w:rsidRDefault="004E7283" w:rsidP="00D12BEB">
      <w:pPr>
        <w:spacing w:line="480" w:lineRule="auto"/>
        <w:ind w:left="1440" w:hanging="873"/>
        <w:jc w:val="both"/>
        <w:rPr>
          <w:rFonts w:ascii="Arial" w:hAnsi="Arial" w:cs="Arial"/>
          <w:bCs/>
          <w:sz w:val="22"/>
          <w:szCs w:val="22"/>
        </w:rPr>
      </w:pPr>
      <w:r w:rsidRPr="00264008">
        <w:rPr>
          <w:rFonts w:ascii="Arial" w:hAnsi="Arial" w:cs="Arial"/>
          <w:bCs/>
          <w:sz w:val="22"/>
          <w:szCs w:val="22"/>
        </w:rPr>
        <w:t>[6</w:t>
      </w:r>
      <w:r w:rsidR="00264008">
        <w:rPr>
          <w:rFonts w:ascii="Arial" w:hAnsi="Arial" w:cs="Arial"/>
          <w:bCs/>
          <w:sz w:val="22"/>
          <w:szCs w:val="22"/>
        </w:rPr>
        <w:t>6</w:t>
      </w:r>
      <w:r w:rsidRPr="00264008">
        <w:rPr>
          <w:rFonts w:ascii="Arial" w:hAnsi="Arial" w:cs="Arial"/>
          <w:bCs/>
          <w:sz w:val="22"/>
          <w:szCs w:val="22"/>
        </w:rPr>
        <w:t>.2]</w:t>
      </w:r>
      <w:r w:rsidRPr="00264008">
        <w:rPr>
          <w:rFonts w:ascii="Arial" w:hAnsi="Arial" w:cs="Arial"/>
          <w:bCs/>
          <w:sz w:val="22"/>
          <w:szCs w:val="22"/>
        </w:rPr>
        <w:tab/>
        <w:t>In addition with reference to Section 11(a) and (i) of the Income Tax Act SARS further informed I-cat that</w:t>
      </w:r>
      <w:r w:rsidR="004C435D" w:rsidRPr="00264008">
        <w:rPr>
          <w:rFonts w:ascii="Arial" w:hAnsi="Arial" w:cs="Arial"/>
          <w:bCs/>
          <w:sz w:val="22"/>
          <w:szCs w:val="22"/>
        </w:rPr>
        <w:t>:</w:t>
      </w:r>
    </w:p>
    <w:p w14:paraId="235B6AAB" w14:textId="77777777" w:rsidR="004E7283" w:rsidRPr="00264008" w:rsidRDefault="004E7283" w:rsidP="004C435D">
      <w:pPr>
        <w:spacing w:line="480" w:lineRule="auto"/>
        <w:ind w:left="2127" w:hanging="22"/>
        <w:jc w:val="both"/>
        <w:rPr>
          <w:rFonts w:ascii="Arial" w:hAnsi="Arial" w:cs="Arial"/>
          <w:bCs/>
          <w:sz w:val="18"/>
          <w:szCs w:val="18"/>
        </w:rPr>
      </w:pPr>
      <w:r w:rsidRPr="00264008">
        <w:rPr>
          <w:rFonts w:ascii="Arial" w:hAnsi="Arial" w:cs="Arial"/>
          <w:bCs/>
          <w:sz w:val="18"/>
          <w:szCs w:val="18"/>
        </w:rPr>
        <w:t xml:space="preserve"> “</w:t>
      </w:r>
      <w:r w:rsidR="00264008">
        <w:rPr>
          <w:rFonts w:ascii="Arial" w:hAnsi="Arial" w:cs="Arial"/>
          <w:bCs/>
          <w:i/>
          <w:sz w:val="18"/>
          <w:szCs w:val="18"/>
        </w:rPr>
        <w:t>I</w:t>
      </w:r>
      <w:r w:rsidRPr="00264008">
        <w:rPr>
          <w:rFonts w:ascii="Arial" w:hAnsi="Arial" w:cs="Arial"/>
          <w:bCs/>
          <w:i/>
          <w:sz w:val="18"/>
          <w:szCs w:val="18"/>
        </w:rPr>
        <w:t xml:space="preserve">n terms of Section 11(a) of the Income Tax Act for an amount to be allowed as deduction, the amount should be incurred in the production of income and not be capital in nature, as a distribution agreement it confers a ‘right’ this is capital in nature and thus not an allowable </w:t>
      </w:r>
      <w:r w:rsidRPr="00264008">
        <w:rPr>
          <w:rFonts w:ascii="Arial" w:hAnsi="Arial" w:cs="Arial"/>
          <w:bCs/>
          <w:i/>
          <w:sz w:val="18"/>
          <w:szCs w:val="18"/>
        </w:rPr>
        <w:lastRenderedPageBreak/>
        <w:t>deduction</w:t>
      </w:r>
      <w:r w:rsidR="00EC34D7" w:rsidRPr="00264008">
        <w:rPr>
          <w:rFonts w:ascii="Arial" w:hAnsi="Arial" w:cs="Arial"/>
          <w:bCs/>
          <w:i/>
          <w:sz w:val="18"/>
          <w:szCs w:val="18"/>
        </w:rPr>
        <w:t>.</w:t>
      </w:r>
      <w:r w:rsidRPr="00264008">
        <w:rPr>
          <w:rFonts w:ascii="Arial" w:hAnsi="Arial" w:cs="Arial"/>
          <w:bCs/>
          <w:i/>
          <w:sz w:val="18"/>
          <w:szCs w:val="18"/>
        </w:rPr>
        <w:t xml:space="preserve"> </w:t>
      </w:r>
      <w:r w:rsidR="00EC34D7" w:rsidRPr="00264008">
        <w:rPr>
          <w:rFonts w:ascii="Arial" w:hAnsi="Arial" w:cs="Arial"/>
          <w:bCs/>
          <w:i/>
          <w:sz w:val="18"/>
          <w:szCs w:val="18"/>
        </w:rPr>
        <w:t>R</w:t>
      </w:r>
      <w:r w:rsidRPr="00264008">
        <w:rPr>
          <w:rFonts w:ascii="Arial" w:hAnsi="Arial" w:cs="Arial"/>
          <w:bCs/>
          <w:i/>
          <w:sz w:val="18"/>
          <w:szCs w:val="18"/>
        </w:rPr>
        <w:t>eference can be made to Stellenbosch Farmers Winery v CSARS.  Therefore it SARS’s intention to disallow the amount</w:t>
      </w:r>
      <w:r w:rsidRPr="00264008">
        <w:rPr>
          <w:rFonts w:ascii="Arial" w:hAnsi="Arial" w:cs="Arial"/>
          <w:bCs/>
          <w:sz w:val="18"/>
          <w:szCs w:val="18"/>
        </w:rPr>
        <w:t xml:space="preserve">.” </w:t>
      </w:r>
    </w:p>
    <w:p w14:paraId="0517E449" w14:textId="77777777" w:rsidR="006572B1" w:rsidRPr="00264008" w:rsidRDefault="004E7283" w:rsidP="00D12BEB">
      <w:pPr>
        <w:spacing w:line="480" w:lineRule="auto"/>
        <w:ind w:left="567" w:hanging="567"/>
        <w:jc w:val="both"/>
        <w:rPr>
          <w:rFonts w:ascii="Arial" w:hAnsi="Arial" w:cs="Arial"/>
          <w:bCs/>
          <w:sz w:val="22"/>
          <w:szCs w:val="22"/>
        </w:rPr>
      </w:pPr>
      <w:r w:rsidRPr="00264008">
        <w:rPr>
          <w:rFonts w:ascii="Arial" w:hAnsi="Arial" w:cs="Arial"/>
          <w:bCs/>
          <w:sz w:val="22"/>
          <w:szCs w:val="22"/>
        </w:rPr>
        <w:t>[6</w:t>
      </w:r>
      <w:r w:rsidR="00264008">
        <w:rPr>
          <w:rFonts w:ascii="Arial" w:hAnsi="Arial" w:cs="Arial"/>
          <w:bCs/>
          <w:sz w:val="22"/>
          <w:szCs w:val="22"/>
        </w:rPr>
        <w:t>7</w:t>
      </w:r>
      <w:r w:rsidRPr="00264008">
        <w:rPr>
          <w:rFonts w:ascii="Arial" w:hAnsi="Arial" w:cs="Arial"/>
          <w:bCs/>
          <w:sz w:val="22"/>
          <w:szCs w:val="22"/>
        </w:rPr>
        <w:t>]</w:t>
      </w:r>
      <w:r w:rsidRPr="00264008">
        <w:rPr>
          <w:rFonts w:ascii="Arial" w:hAnsi="Arial" w:cs="Arial"/>
          <w:bCs/>
          <w:sz w:val="22"/>
          <w:szCs w:val="22"/>
        </w:rPr>
        <w:tab/>
        <w:t xml:space="preserve">It is important to note that SARS disallowed the whole amount as a deduction in view thereof that it was of the opinion that the </w:t>
      </w:r>
      <w:r w:rsidRPr="00264008">
        <w:rPr>
          <w:rFonts w:ascii="Arial" w:hAnsi="Arial" w:cs="Arial"/>
          <w:b/>
          <w:sz w:val="22"/>
          <w:szCs w:val="22"/>
        </w:rPr>
        <w:t>nature</w:t>
      </w:r>
      <w:r w:rsidRPr="00264008">
        <w:rPr>
          <w:rFonts w:ascii="Arial" w:hAnsi="Arial" w:cs="Arial"/>
          <w:bCs/>
          <w:sz w:val="22"/>
          <w:szCs w:val="22"/>
        </w:rPr>
        <w:t xml:space="preserve"> of the amount was capital and not a</w:t>
      </w:r>
      <w:r w:rsidR="004C435D" w:rsidRPr="00264008">
        <w:rPr>
          <w:rFonts w:ascii="Arial" w:hAnsi="Arial" w:cs="Arial"/>
          <w:bCs/>
          <w:sz w:val="22"/>
          <w:szCs w:val="22"/>
        </w:rPr>
        <w:t>n allowable deduction</w:t>
      </w:r>
      <w:r w:rsidRPr="00264008">
        <w:rPr>
          <w:rFonts w:ascii="Arial" w:hAnsi="Arial" w:cs="Arial"/>
          <w:bCs/>
          <w:sz w:val="22"/>
          <w:szCs w:val="22"/>
        </w:rPr>
        <w:t>. Nowhere in the audit findings did SARS have an issue with the amount or a portion thereof not being actually incurred in the 2014 year of assessment.</w:t>
      </w:r>
    </w:p>
    <w:p w14:paraId="009D86E9" w14:textId="77777777" w:rsidR="00EF7F7F" w:rsidRDefault="00EF7F7F" w:rsidP="00D12BEB">
      <w:pPr>
        <w:spacing w:line="480" w:lineRule="auto"/>
        <w:ind w:left="567" w:hanging="567"/>
        <w:jc w:val="both"/>
        <w:rPr>
          <w:rFonts w:ascii="Arial" w:hAnsi="Arial" w:cs="Arial"/>
          <w:bCs/>
        </w:rPr>
      </w:pPr>
      <w:r w:rsidRPr="00264008">
        <w:rPr>
          <w:rFonts w:ascii="Arial" w:hAnsi="Arial" w:cs="Arial"/>
          <w:bCs/>
          <w:sz w:val="22"/>
          <w:szCs w:val="22"/>
        </w:rPr>
        <w:t>[</w:t>
      </w:r>
      <w:r w:rsidR="004C435D" w:rsidRPr="00264008">
        <w:rPr>
          <w:rFonts w:ascii="Arial" w:hAnsi="Arial" w:cs="Arial"/>
          <w:bCs/>
          <w:sz w:val="22"/>
          <w:szCs w:val="22"/>
        </w:rPr>
        <w:t>6</w:t>
      </w:r>
      <w:r w:rsidR="00264008">
        <w:rPr>
          <w:rFonts w:ascii="Arial" w:hAnsi="Arial" w:cs="Arial"/>
          <w:bCs/>
          <w:sz w:val="22"/>
          <w:szCs w:val="22"/>
        </w:rPr>
        <w:t>8</w:t>
      </w:r>
      <w:r w:rsidRPr="00264008">
        <w:rPr>
          <w:rFonts w:ascii="Arial" w:hAnsi="Arial" w:cs="Arial"/>
          <w:bCs/>
          <w:sz w:val="22"/>
          <w:szCs w:val="22"/>
        </w:rPr>
        <w:t>]</w:t>
      </w:r>
      <w:r w:rsidRPr="00264008">
        <w:rPr>
          <w:rFonts w:ascii="Arial" w:hAnsi="Arial" w:cs="Arial"/>
          <w:bCs/>
          <w:sz w:val="22"/>
          <w:szCs w:val="22"/>
        </w:rPr>
        <w:tab/>
        <w:t xml:space="preserve">Section 104 of the Tax Administration Act which resorts under chapter 9 (dispute resolution) </w:t>
      </w:r>
      <w:r w:rsidRPr="00264008">
        <w:rPr>
          <w:rFonts w:ascii="Arial" w:hAnsi="Arial" w:cs="Arial"/>
          <w:b/>
          <w:bCs/>
          <w:i/>
          <w:sz w:val="22"/>
          <w:szCs w:val="22"/>
        </w:rPr>
        <w:t>inter alia</w:t>
      </w:r>
      <w:r w:rsidRPr="00264008">
        <w:rPr>
          <w:rFonts w:ascii="Arial" w:hAnsi="Arial" w:cs="Arial"/>
          <w:bCs/>
          <w:sz w:val="22"/>
          <w:szCs w:val="22"/>
        </w:rPr>
        <w:t xml:space="preserve"> provides in sub-paragraphs 1 and 2 as follows</w:t>
      </w:r>
      <w:r>
        <w:rPr>
          <w:rFonts w:ascii="Arial" w:hAnsi="Arial" w:cs="Arial"/>
          <w:bCs/>
        </w:rPr>
        <w:t>:</w:t>
      </w:r>
    </w:p>
    <w:p w14:paraId="364D4993" w14:textId="77777777" w:rsidR="009C69E5" w:rsidRPr="00264008" w:rsidRDefault="009C69E5" w:rsidP="009C69E5">
      <w:pPr>
        <w:spacing w:line="480" w:lineRule="auto"/>
        <w:ind w:left="1134"/>
        <w:rPr>
          <w:rFonts w:ascii="Arial" w:hAnsi="Arial" w:cs="Arial"/>
          <w:b/>
          <w:bCs/>
          <w:i/>
          <w:iCs/>
          <w:color w:val="000000"/>
          <w:sz w:val="18"/>
          <w:szCs w:val="18"/>
        </w:rPr>
      </w:pPr>
      <w:r w:rsidRPr="00264008">
        <w:rPr>
          <w:rFonts w:ascii="Arial" w:hAnsi="Arial" w:cs="Arial"/>
          <w:b/>
          <w:bCs/>
          <w:i/>
          <w:iCs/>
          <w:color w:val="000000"/>
          <w:sz w:val="18"/>
          <w:szCs w:val="18"/>
        </w:rPr>
        <w:t>“104  Objection against assessment or decision</w:t>
      </w:r>
    </w:p>
    <w:p w14:paraId="4E0C5755" w14:textId="77777777" w:rsidR="009C69E5" w:rsidRPr="009C69E5" w:rsidRDefault="009C69E5" w:rsidP="009C69E5">
      <w:pPr>
        <w:spacing w:line="480" w:lineRule="auto"/>
        <w:ind w:left="2127" w:hanging="426"/>
        <w:rPr>
          <w:rFonts w:ascii="Arial" w:hAnsi="Arial" w:cs="Arial"/>
          <w:i/>
          <w:iCs/>
          <w:color w:val="000000"/>
          <w:sz w:val="18"/>
          <w:szCs w:val="18"/>
        </w:rPr>
      </w:pPr>
      <w:bookmarkStart w:id="7" w:name="0-0-0-541421"/>
      <w:bookmarkEnd w:id="7"/>
      <w:r w:rsidRPr="009C69E5">
        <w:rPr>
          <w:rFonts w:ascii="Arial" w:hAnsi="Arial" w:cs="Arial"/>
          <w:i/>
          <w:iCs/>
          <w:color w:val="000000"/>
          <w:sz w:val="18"/>
          <w:szCs w:val="18"/>
        </w:rPr>
        <w:t>(1) A taxpayer who is aggrieved by an assessment made in respect of the taxpayer may object to the assessment.</w:t>
      </w:r>
    </w:p>
    <w:bookmarkStart w:id="8" w:name="0-0-0-541423"/>
    <w:bookmarkEnd w:id="8"/>
    <w:p w14:paraId="4A7F2F65" w14:textId="77777777" w:rsidR="009C69E5" w:rsidRPr="009C69E5" w:rsidRDefault="009C69E5" w:rsidP="009C69E5">
      <w:pPr>
        <w:spacing w:line="480" w:lineRule="auto"/>
        <w:ind w:left="2127" w:hanging="426"/>
        <w:rPr>
          <w:rFonts w:ascii="Arial" w:hAnsi="Arial" w:cs="Arial"/>
          <w:i/>
          <w:iCs/>
          <w:color w:val="000000"/>
          <w:sz w:val="18"/>
          <w:szCs w:val="18"/>
        </w:rPr>
      </w:pPr>
      <w:r w:rsidRPr="009C69E5">
        <w:rPr>
          <w:rFonts w:ascii="Arial" w:hAnsi="Arial" w:cs="Arial"/>
          <w:i/>
          <w:iCs/>
          <w:color w:val="000000"/>
          <w:sz w:val="18"/>
          <w:szCs w:val="18"/>
        </w:rPr>
        <w:fldChar w:fldCharType="begin"/>
      </w:r>
      <w:r w:rsidRPr="009C69E5">
        <w:rPr>
          <w:rFonts w:ascii="Arial" w:hAnsi="Arial" w:cs="Arial"/>
          <w:i/>
          <w:iCs/>
          <w:color w:val="000000"/>
          <w:sz w:val="18"/>
          <w:szCs w:val="18"/>
        </w:rPr>
        <w:instrText xml:space="preserve"> HYPERLINK "file:////nxt/foliolinks.asp%3ff=xhitlist&amp;xhitlist_x=Advanced&amp;xhitlist_vpc=first&amp;xhitlist_xsl=querylink.xsl&amp;xhitlist_sel=title;path;content-type;home-title&amp;xhitlist_d=%7bstatreg%7d&amp;xhitlist_q=%5bfield%20folio-destination-name:'LJC_a28y2011s104(2)'%5d&amp;xhitlist_md=target-id=0-0-0-541425" \t "main" </w:instrText>
      </w:r>
      <w:r w:rsidRPr="009C69E5">
        <w:rPr>
          <w:rFonts w:ascii="Arial" w:hAnsi="Arial" w:cs="Arial"/>
          <w:i/>
          <w:iCs/>
          <w:color w:val="000000"/>
          <w:sz w:val="18"/>
          <w:szCs w:val="18"/>
        </w:rPr>
        <w:fldChar w:fldCharType="separate"/>
      </w:r>
      <w:r w:rsidRPr="009C69E5">
        <w:rPr>
          <w:rFonts w:ascii="Arial" w:hAnsi="Arial" w:cs="Arial"/>
          <w:i/>
          <w:iCs/>
          <w:color w:val="0066FF"/>
          <w:sz w:val="18"/>
          <w:szCs w:val="18"/>
          <w:u w:val="single"/>
        </w:rPr>
        <w:t>(2)</w:t>
      </w:r>
      <w:r w:rsidRPr="009C69E5">
        <w:rPr>
          <w:rFonts w:ascii="Arial" w:hAnsi="Arial" w:cs="Arial"/>
          <w:i/>
          <w:iCs/>
          <w:color w:val="000000"/>
          <w:sz w:val="18"/>
          <w:szCs w:val="18"/>
        </w:rPr>
        <w:fldChar w:fldCharType="end"/>
      </w:r>
      <w:r w:rsidRPr="009C69E5">
        <w:rPr>
          <w:rFonts w:ascii="Arial" w:hAnsi="Arial" w:cs="Arial"/>
          <w:i/>
          <w:iCs/>
          <w:color w:val="000000"/>
          <w:sz w:val="18"/>
          <w:szCs w:val="18"/>
        </w:rPr>
        <w:t> The following decisions may be objected to and appealed against in the same manner as an assessment:</w:t>
      </w:r>
    </w:p>
    <w:p w14:paraId="0C4A1587" w14:textId="77777777" w:rsidR="009C69E5" w:rsidRPr="009C69E5" w:rsidRDefault="009C69E5" w:rsidP="009C69E5">
      <w:pPr>
        <w:spacing w:line="480" w:lineRule="auto"/>
        <w:ind w:left="2552" w:hanging="737"/>
        <w:rPr>
          <w:rFonts w:ascii="Arial" w:hAnsi="Arial" w:cs="Arial"/>
          <w:i/>
          <w:iCs/>
          <w:color w:val="000000"/>
          <w:sz w:val="18"/>
          <w:szCs w:val="18"/>
        </w:rPr>
      </w:pPr>
      <w:r w:rsidRPr="009C69E5">
        <w:rPr>
          <w:rFonts w:ascii="Arial" w:hAnsi="Arial" w:cs="Arial"/>
          <w:i/>
          <w:iCs/>
          <w:color w:val="000000"/>
          <w:sz w:val="18"/>
          <w:szCs w:val="18"/>
        </w:rPr>
        <w:t>   </w:t>
      </w:r>
      <w:bookmarkStart w:id="9" w:name="0-0-0-541427"/>
      <w:bookmarkEnd w:id="9"/>
      <w:r w:rsidRPr="009C69E5">
        <w:rPr>
          <w:rFonts w:ascii="Arial" w:hAnsi="Arial" w:cs="Arial"/>
          <w:i/>
          <w:iCs/>
          <w:color w:val="000000"/>
          <w:sz w:val="18"/>
          <w:szCs w:val="18"/>
        </w:rPr>
        <w:t>(a)   a decision under subsection (4) not to extend the period for lodging an objection;</w:t>
      </w:r>
    </w:p>
    <w:p w14:paraId="11289BBC" w14:textId="77777777" w:rsidR="009C69E5" w:rsidRPr="009C69E5" w:rsidRDefault="009C69E5" w:rsidP="009C69E5">
      <w:pPr>
        <w:spacing w:line="480" w:lineRule="auto"/>
        <w:ind w:left="2552" w:hanging="737"/>
        <w:rPr>
          <w:rFonts w:ascii="Arial" w:hAnsi="Arial" w:cs="Arial"/>
          <w:i/>
          <w:iCs/>
          <w:color w:val="000000"/>
          <w:sz w:val="18"/>
          <w:szCs w:val="18"/>
        </w:rPr>
      </w:pPr>
      <w:r w:rsidRPr="009C69E5">
        <w:rPr>
          <w:rFonts w:ascii="Arial" w:hAnsi="Arial" w:cs="Arial"/>
          <w:i/>
          <w:iCs/>
          <w:color w:val="000000"/>
          <w:sz w:val="22"/>
          <w:szCs w:val="22"/>
        </w:rPr>
        <w:t>   </w:t>
      </w:r>
      <w:bookmarkStart w:id="10" w:name="0-0-0-541429"/>
      <w:bookmarkEnd w:id="10"/>
      <w:r w:rsidRPr="009C69E5">
        <w:rPr>
          <w:rFonts w:ascii="Arial" w:hAnsi="Arial" w:cs="Arial"/>
          <w:i/>
          <w:iCs/>
          <w:color w:val="000000"/>
          <w:sz w:val="18"/>
          <w:szCs w:val="18"/>
        </w:rPr>
        <w:t>(b)   a decision under section 107 (2) not to extend the period for lodging an appeal; and</w:t>
      </w:r>
    </w:p>
    <w:p w14:paraId="5DEB3DE8" w14:textId="77777777" w:rsidR="009C69E5" w:rsidRPr="00264008" w:rsidRDefault="009C69E5" w:rsidP="009C69E5">
      <w:pPr>
        <w:numPr>
          <w:ilvl w:val="0"/>
          <w:numId w:val="4"/>
        </w:numPr>
        <w:spacing w:line="480" w:lineRule="auto"/>
        <w:rPr>
          <w:rFonts w:ascii="Arial" w:hAnsi="Arial" w:cs="Arial"/>
          <w:i/>
          <w:iCs/>
          <w:color w:val="000000"/>
          <w:sz w:val="18"/>
          <w:szCs w:val="18"/>
        </w:rPr>
      </w:pPr>
      <w:r w:rsidRPr="009C69E5">
        <w:rPr>
          <w:rFonts w:ascii="Arial" w:hAnsi="Arial" w:cs="Arial"/>
          <w:i/>
          <w:iCs/>
          <w:color w:val="000000"/>
          <w:sz w:val="18"/>
          <w:szCs w:val="18"/>
        </w:rPr>
        <w:t>any other decision that may be objected to or appealed against under a tax Act.</w:t>
      </w:r>
      <w:r w:rsidRPr="00264008">
        <w:rPr>
          <w:rFonts w:ascii="Arial" w:hAnsi="Arial" w:cs="Arial"/>
          <w:i/>
          <w:iCs/>
          <w:color w:val="000000"/>
          <w:sz w:val="18"/>
          <w:szCs w:val="18"/>
        </w:rPr>
        <w:t>”</w:t>
      </w:r>
    </w:p>
    <w:p w14:paraId="24B2D97B" w14:textId="77777777" w:rsidR="00EF7F7F" w:rsidRPr="00264008" w:rsidRDefault="00EF7F7F" w:rsidP="00D12BEB">
      <w:pPr>
        <w:spacing w:line="480" w:lineRule="auto"/>
        <w:ind w:left="567" w:hanging="567"/>
        <w:jc w:val="both"/>
        <w:rPr>
          <w:rFonts w:ascii="Arial" w:hAnsi="Arial" w:cs="Arial"/>
          <w:sz w:val="22"/>
          <w:szCs w:val="22"/>
        </w:rPr>
      </w:pPr>
      <w:bookmarkStart w:id="11" w:name="0-0-0-541433"/>
      <w:bookmarkEnd w:id="11"/>
      <w:r w:rsidRPr="00264008">
        <w:rPr>
          <w:rFonts w:ascii="Arial" w:hAnsi="Arial" w:cs="Arial"/>
          <w:sz w:val="22"/>
          <w:szCs w:val="22"/>
        </w:rPr>
        <w:t>[6</w:t>
      </w:r>
      <w:r w:rsidR="00264008">
        <w:rPr>
          <w:rFonts w:ascii="Arial" w:hAnsi="Arial" w:cs="Arial"/>
          <w:sz w:val="22"/>
          <w:szCs w:val="22"/>
        </w:rPr>
        <w:t>9</w:t>
      </w:r>
      <w:r w:rsidRPr="00264008">
        <w:rPr>
          <w:rFonts w:ascii="Arial" w:hAnsi="Arial" w:cs="Arial"/>
          <w:sz w:val="22"/>
          <w:szCs w:val="22"/>
        </w:rPr>
        <w:t>]</w:t>
      </w:r>
      <w:r w:rsidRPr="00264008">
        <w:rPr>
          <w:rFonts w:ascii="Arial" w:hAnsi="Arial" w:cs="Arial"/>
          <w:sz w:val="22"/>
          <w:szCs w:val="22"/>
        </w:rPr>
        <w:tab/>
        <w:t>Pursuant to this audit findings I-cat proceeded and on the 11</w:t>
      </w:r>
      <w:r w:rsidRPr="00264008">
        <w:rPr>
          <w:rFonts w:ascii="Arial" w:hAnsi="Arial" w:cs="Arial"/>
          <w:sz w:val="22"/>
          <w:szCs w:val="22"/>
          <w:vertAlign w:val="superscript"/>
        </w:rPr>
        <w:t>th</w:t>
      </w:r>
      <w:r w:rsidRPr="00264008">
        <w:rPr>
          <w:rFonts w:ascii="Arial" w:hAnsi="Arial" w:cs="Arial"/>
          <w:sz w:val="22"/>
          <w:szCs w:val="22"/>
        </w:rPr>
        <w:t xml:space="preserve"> of September 2015 submitted its objection</w:t>
      </w:r>
      <w:r w:rsidRPr="00264008">
        <w:rPr>
          <w:rStyle w:val="FootnoteReference"/>
          <w:rFonts w:ascii="Arial" w:hAnsi="Arial" w:cs="Arial"/>
          <w:sz w:val="22"/>
          <w:szCs w:val="22"/>
        </w:rPr>
        <w:footnoteReference w:id="33"/>
      </w:r>
      <w:r w:rsidRPr="00264008">
        <w:rPr>
          <w:rFonts w:ascii="Arial" w:hAnsi="Arial" w:cs="Arial"/>
          <w:sz w:val="22"/>
          <w:szCs w:val="22"/>
        </w:rPr>
        <w:t xml:space="preserve">.  In this objection the </w:t>
      </w:r>
      <w:r w:rsidRPr="00264008">
        <w:rPr>
          <w:rFonts w:ascii="Arial" w:hAnsi="Arial" w:cs="Arial"/>
          <w:b/>
          <w:bCs/>
          <w:sz w:val="22"/>
          <w:szCs w:val="22"/>
        </w:rPr>
        <w:t>nature</w:t>
      </w:r>
      <w:r w:rsidRPr="00264008">
        <w:rPr>
          <w:rFonts w:ascii="Arial" w:hAnsi="Arial" w:cs="Arial"/>
          <w:sz w:val="22"/>
          <w:szCs w:val="22"/>
        </w:rPr>
        <w:t xml:space="preserve"> of the amount claimed as a deduction was duly addressed by I-cat.  Nowhere within this objection is the issue addressed whether or not the amount claimed to be deducted was actually incurred within the 2014 year of assessment, as this was not an issue which was raised by SARS at that time, at all. </w:t>
      </w:r>
      <w:r w:rsidRPr="00264008">
        <w:rPr>
          <w:rFonts w:ascii="Arial" w:hAnsi="Arial" w:cs="Arial"/>
          <w:sz w:val="22"/>
          <w:szCs w:val="22"/>
        </w:rPr>
        <w:tab/>
        <w:t xml:space="preserve"> </w:t>
      </w:r>
    </w:p>
    <w:p w14:paraId="7C4E023F" w14:textId="77777777" w:rsidR="00EF7F7F" w:rsidRPr="00264008" w:rsidRDefault="00EF7F7F" w:rsidP="00D12BEB">
      <w:pPr>
        <w:spacing w:line="480" w:lineRule="auto"/>
        <w:ind w:left="567" w:hanging="567"/>
        <w:jc w:val="both"/>
        <w:rPr>
          <w:rFonts w:ascii="Arial" w:hAnsi="Arial" w:cs="Arial"/>
          <w:bCs/>
          <w:sz w:val="22"/>
          <w:szCs w:val="22"/>
        </w:rPr>
      </w:pPr>
      <w:r w:rsidRPr="00264008">
        <w:rPr>
          <w:rFonts w:ascii="Arial" w:hAnsi="Arial" w:cs="Arial"/>
          <w:bCs/>
          <w:sz w:val="22"/>
          <w:szCs w:val="22"/>
        </w:rPr>
        <w:t>[</w:t>
      </w:r>
      <w:r w:rsidR="00264008">
        <w:rPr>
          <w:rFonts w:ascii="Arial" w:hAnsi="Arial" w:cs="Arial"/>
          <w:bCs/>
          <w:sz w:val="22"/>
          <w:szCs w:val="22"/>
        </w:rPr>
        <w:t>70</w:t>
      </w:r>
      <w:r w:rsidRPr="00264008">
        <w:rPr>
          <w:rFonts w:ascii="Arial" w:hAnsi="Arial" w:cs="Arial"/>
          <w:bCs/>
          <w:sz w:val="22"/>
          <w:szCs w:val="22"/>
        </w:rPr>
        <w:t>]</w:t>
      </w:r>
      <w:r w:rsidRPr="00264008">
        <w:rPr>
          <w:rFonts w:ascii="Arial" w:hAnsi="Arial" w:cs="Arial"/>
          <w:bCs/>
          <w:sz w:val="22"/>
          <w:szCs w:val="22"/>
        </w:rPr>
        <w:tab/>
        <w:t>On the 20</w:t>
      </w:r>
      <w:r w:rsidRPr="00264008">
        <w:rPr>
          <w:rFonts w:ascii="Arial" w:hAnsi="Arial" w:cs="Arial"/>
          <w:bCs/>
          <w:sz w:val="22"/>
          <w:szCs w:val="22"/>
          <w:vertAlign w:val="superscript"/>
        </w:rPr>
        <w:t>th</w:t>
      </w:r>
      <w:r w:rsidRPr="00264008">
        <w:rPr>
          <w:rFonts w:ascii="Arial" w:hAnsi="Arial" w:cs="Arial"/>
          <w:bCs/>
          <w:sz w:val="22"/>
          <w:szCs w:val="22"/>
        </w:rPr>
        <w:t xml:space="preserve"> of January 2007, SARS issued its notice in terms of Section 106(2) wherein they notified I-cat that I-cat’s objection was disallowed.</w:t>
      </w:r>
      <w:r w:rsidRPr="00264008">
        <w:rPr>
          <w:rStyle w:val="FootnoteReference"/>
          <w:rFonts w:ascii="Arial" w:hAnsi="Arial" w:cs="Arial"/>
          <w:bCs/>
          <w:sz w:val="22"/>
          <w:szCs w:val="22"/>
        </w:rPr>
        <w:footnoteReference w:id="34"/>
      </w:r>
      <w:r w:rsidRPr="00264008">
        <w:rPr>
          <w:rFonts w:ascii="Arial" w:hAnsi="Arial" w:cs="Arial"/>
          <w:bCs/>
          <w:sz w:val="22"/>
          <w:szCs w:val="22"/>
        </w:rPr>
        <w:t xml:space="preserve">  The reason that was offered was merely formulated as follows:</w:t>
      </w:r>
    </w:p>
    <w:p w14:paraId="57B91E6D" w14:textId="77777777" w:rsidR="00EF7F7F" w:rsidRPr="00264008" w:rsidRDefault="00EF7F7F" w:rsidP="00EF7F7F">
      <w:pPr>
        <w:spacing w:line="480" w:lineRule="auto"/>
        <w:ind w:left="720" w:hanging="720"/>
        <w:jc w:val="both"/>
        <w:rPr>
          <w:rFonts w:ascii="Arial" w:hAnsi="Arial" w:cs="Arial"/>
          <w:bCs/>
          <w:i/>
          <w:sz w:val="18"/>
          <w:szCs w:val="18"/>
        </w:rPr>
      </w:pPr>
      <w:r>
        <w:rPr>
          <w:rFonts w:ascii="Arial" w:hAnsi="Arial" w:cs="Arial"/>
          <w:bCs/>
        </w:rPr>
        <w:tab/>
      </w:r>
      <w:r>
        <w:rPr>
          <w:rFonts w:ascii="Arial" w:hAnsi="Arial" w:cs="Arial"/>
          <w:bCs/>
        </w:rPr>
        <w:tab/>
      </w:r>
      <w:r w:rsidRPr="00264008">
        <w:rPr>
          <w:rFonts w:ascii="Arial" w:hAnsi="Arial" w:cs="Arial"/>
          <w:bCs/>
          <w:sz w:val="18"/>
          <w:szCs w:val="18"/>
        </w:rPr>
        <w:t>“</w:t>
      </w:r>
      <w:r w:rsidRPr="00264008">
        <w:rPr>
          <w:rFonts w:ascii="Arial" w:hAnsi="Arial" w:cs="Arial"/>
          <w:bCs/>
          <w:i/>
          <w:sz w:val="18"/>
          <w:szCs w:val="18"/>
        </w:rPr>
        <w:t>Tax period 2014</w:t>
      </w:r>
    </w:p>
    <w:p w14:paraId="73D11908" w14:textId="77777777" w:rsidR="00EF7F7F" w:rsidRPr="00264008" w:rsidRDefault="00EF7F7F" w:rsidP="00EF7F7F">
      <w:pPr>
        <w:spacing w:line="480" w:lineRule="auto"/>
        <w:ind w:left="1440" w:hanging="720"/>
        <w:jc w:val="both"/>
        <w:rPr>
          <w:rFonts w:ascii="Arial" w:hAnsi="Arial" w:cs="Arial"/>
          <w:bCs/>
          <w:i/>
          <w:sz w:val="18"/>
          <w:szCs w:val="18"/>
        </w:rPr>
      </w:pPr>
      <w:r w:rsidRPr="00264008">
        <w:rPr>
          <w:rFonts w:ascii="Arial" w:hAnsi="Arial" w:cs="Arial"/>
          <w:bCs/>
          <w:i/>
          <w:sz w:val="18"/>
          <w:szCs w:val="18"/>
        </w:rPr>
        <w:lastRenderedPageBreak/>
        <w:tab/>
        <w:t>- Objection disallowed in terms of Section 106(2) of the TA Act.  SARS’s is of the opinion that the amount relates to the acquiring of an income earning structure and is therefore capital in nature and not deductible in terms of section 11(a) of the IT Act.</w:t>
      </w:r>
    </w:p>
    <w:p w14:paraId="37BA3527" w14:textId="77777777" w:rsidR="00EF7F7F" w:rsidRPr="00264008" w:rsidRDefault="00EF7F7F" w:rsidP="00EF7F7F">
      <w:pPr>
        <w:spacing w:line="480" w:lineRule="auto"/>
        <w:ind w:left="1440"/>
        <w:jc w:val="both"/>
        <w:rPr>
          <w:rFonts w:ascii="Arial" w:hAnsi="Arial" w:cs="Arial"/>
          <w:bCs/>
          <w:i/>
          <w:sz w:val="18"/>
          <w:szCs w:val="18"/>
        </w:rPr>
      </w:pPr>
      <w:r w:rsidRPr="00264008">
        <w:rPr>
          <w:rFonts w:ascii="Arial" w:hAnsi="Arial" w:cs="Arial"/>
          <w:bCs/>
          <w:i/>
          <w:sz w:val="18"/>
          <w:szCs w:val="18"/>
        </w:rPr>
        <w:t>If you are not satisfied with the outcome of your objection you have the right to appeal against this decision by completing and submitting the prescribed notice of appeal (NOA) form within 30 business days from date of this letter.</w:t>
      </w:r>
    </w:p>
    <w:p w14:paraId="7D95ECB6" w14:textId="77777777" w:rsidR="00EF7F7F" w:rsidRPr="00264008" w:rsidRDefault="00EF7F7F" w:rsidP="00EF7F7F">
      <w:pPr>
        <w:spacing w:line="480" w:lineRule="auto"/>
        <w:ind w:left="1440"/>
        <w:jc w:val="both"/>
        <w:rPr>
          <w:rFonts w:ascii="Arial" w:hAnsi="Arial" w:cs="Arial"/>
          <w:bCs/>
          <w:i/>
          <w:sz w:val="18"/>
          <w:szCs w:val="18"/>
        </w:rPr>
      </w:pPr>
      <w:r w:rsidRPr="00264008">
        <w:rPr>
          <w:rFonts w:ascii="Arial" w:hAnsi="Arial" w:cs="Arial"/>
          <w:bCs/>
          <w:i/>
          <w:sz w:val="18"/>
          <w:szCs w:val="18"/>
        </w:rPr>
        <w:t>…”</w:t>
      </w:r>
    </w:p>
    <w:p w14:paraId="7BA6F042" w14:textId="77777777" w:rsidR="00EF7F7F" w:rsidRPr="00264008" w:rsidRDefault="009C69E5" w:rsidP="00D12BEB">
      <w:pPr>
        <w:tabs>
          <w:tab w:val="left" w:pos="567"/>
        </w:tabs>
        <w:spacing w:line="480" w:lineRule="auto"/>
        <w:jc w:val="both"/>
        <w:rPr>
          <w:rFonts w:ascii="Arial" w:hAnsi="Arial" w:cs="Arial"/>
          <w:bCs/>
          <w:i/>
          <w:sz w:val="22"/>
          <w:szCs w:val="22"/>
        </w:rPr>
      </w:pPr>
      <w:r w:rsidRPr="00264008">
        <w:rPr>
          <w:rFonts w:ascii="Arial" w:hAnsi="Arial" w:cs="Arial"/>
          <w:bCs/>
          <w:sz w:val="22"/>
          <w:szCs w:val="22"/>
        </w:rPr>
        <w:t>[</w:t>
      </w:r>
      <w:r w:rsidR="00264008">
        <w:rPr>
          <w:rFonts w:ascii="Arial" w:hAnsi="Arial" w:cs="Arial"/>
          <w:bCs/>
          <w:sz w:val="22"/>
          <w:szCs w:val="22"/>
        </w:rPr>
        <w:t>71</w:t>
      </w:r>
      <w:r w:rsidRPr="00264008">
        <w:rPr>
          <w:rFonts w:ascii="Arial" w:hAnsi="Arial" w:cs="Arial"/>
          <w:bCs/>
          <w:sz w:val="22"/>
          <w:szCs w:val="22"/>
        </w:rPr>
        <w:t>]</w:t>
      </w:r>
      <w:r w:rsidRPr="00264008">
        <w:rPr>
          <w:rFonts w:ascii="Arial" w:hAnsi="Arial" w:cs="Arial"/>
          <w:bCs/>
          <w:sz w:val="22"/>
          <w:szCs w:val="22"/>
        </w:rPr>
        <w:tab/>
        <w:t>Again SARS solely relies upon the nature of the amount deducted.</w:t>
      </w:r>
    </w:p>
    <w:p w14:paraId="4E5C14C7" w14:textId="77777777" w:rsidR="006572B1" w:rsidRPr="00264008" w:rsidRDefault="006572B1" w:rsidP="00D12BEB">
      <w:pPr>
        <w:tabs>
          <w:tab w:val="left" w:pos="567"/>
        </w:tabs>
        <w:spacing w:line="480" w:lineRule="auto"/>
        <w:ind w:left="567" w:hanging="567"/>
        <w:jc w:val="both"/>
        <w:rPr>
          <w:rFonts w:ascii="Arial" w:hAnsi="Arial" w:cs="Arial"/>
          <w:bCs/>
          <w:sz w:val="22"/>
          <w:szCs w:val="22"/>
        </w:rPr>
      </w:pPr>
      <w:r w:rsidRPr="00264008">
        <w:rPr>
          <w:rFonts w:ascii="Arial" w:hAnsi="Arial" w:cs="Arial"/>
          <w:bCs/>
          <w:sz w:val="22"/>
          <w:szCs w:val="22"/>
        </w:rPr>
        <w:t>[</w:t>
      </w:r>
      <w:r w:rsidR="00264008">
        <w:rPr>
          <w:rFonts w:ascii="Arial" w:hAnsi="Arial" w:cs="Arial"/>
          <w:bCs/>
          <w:sz w:val="22"/>
          <w:szCs w:val="22"/>
        </w:rPr>
        <w:t>72</w:t>
      </w:r>
      <w:r w:rsidRPr="00264008">
        <w:rPr>
          <w:rFonts w:ascii="Arial" w:hAnsi="Arial" w:cs="Arial"/>
          <w:bCs/>
          <w:sz w:val="22"/>
          <w:szCs w:val="22"/>
        </w:rPr>
        <w:t>]</w:t>
      </w:r>
      <w:r w:rsidRPr="00264008">
        <w:rPr>
          <w:rFonts w:ascii="Arial" w:hAnsi="Arial" w:cs="Arial"/>
          <w:bCs/>
          <w:sz w:val="22"/>
          <w:szCs w:val="22"/>
        </w:rPr>
        <w:tab/>
        <w:t>At the time when SARS con</w:t>
      </w:r>
      <w:r w:rsidR="004E7283" w:rsidRPr="00264008">
        <w:rPr>
          <w:rFonts w:ascii="Arial" w:hAnsi="Arial" w:cs="Arial"/>
          <w:bCs/>
          <w:sz w:val="22"/>
          <w:szCs w:val="22"/>
        </w:rPr>
        <w:t>duc</w:t>
      </w:r>
      <w:r w:rsidRPr="00264008">
        <w:rPr>
          <w:rFonts w:ascii="Arial" w:hAnsi="Arial" w:cs="Arial"/>
          <w:bCs/>
          <w:sz w:val="22"/>
          <w:szCs w:val="22"/>
        </w:rPr>
        <w:t>ted the audit and particularly at the time when SARS provided I-cat with its finding</w:t>
      </w:r>
      <w:r w:rsidR="004E7283" w:rsidRPr="00264008">
        <w:rPr>
          <w:rFonts w:ascii="Arial" w:hAnsi="Arial" w:cs="Arial"/>
          <w:bCs/>
          <w:sz w:val="22"/>
          <w:szCs w:val="22"/>
        </w:rPr>
        <w:t>s</w:t>
      </w:r>
      <w:r w:rsidRPr="00264008">
        <w:rPr>
          <w:rFonts w:ascii="Arial" w:hAnsi="Arial" w:cs="Arial"/>
          <w:bCs/>
          <w:sz w:val="22"/>
          <w:szCs w:val="22"/>
        </w:rPr>
        <w:t xml:space="preserve"> pursuant to the said audit, it not only knew about</w:t>
      </w:r>
      <w:r w:rsidR="004E7283" w:rsidRPr="00264008">
        <w:rPr>
          <w:rFonts w:ascii="Arial" w:hAnsi="Arial" w:cs="Arial"/>
          <w:bCs/>
          <w:sz w:val="22"/>
          <w:szCs w:val="22"/>
        </w:rPr>
        <w:t xml:space="preserve"> the entries in I-cat’s ledger account</w:t>
      </w:r>
      <w:r w:rsidR="006B50F4" w:rsidRPr="00264008">
        <w:rPr>
          <w:rFonts w:ascii="Arial" w:hAnsi="Arial" w:cs="Arial"/>
          <w:bCs/>
          <w:sz w:val="22"/>
          <w:szCs w:val="22"/>
        </w:rPr>
        <w:t>s</w:t>
      </w:r>
      <w:r w:rsidR="004E7283" w:rsidRPr="00264008">
        <w:rPr>
          <w:rFonts w:ascii="Arial" w:hAnsi="Arial" w:cs="Arial"/>
          <w:bCs/>
          <w:sz w:val="22"/>
          <w:szCs w:val="22"/>
        </w:rPr>
        <w:t xml:space="preserve"> indicating when </w:t>
      </w:r>
      <w:r w:rsidRPr="00264008">
        <w:rPr>
          <w:rFonts w:ascii="Arial" w:hAnsi="Arial" w:cs="Arial"/>
          <w:bCs/>
          <w:sz w:val="22"/>
          <w:szCs w:val="22"/>
        </w:rPr>
        <w:t xml:space="preserve"> </w:t>
      </w:r>
      <w:r w:rsidR="004E7283" w:rsidRPr="00264008">
        <w:rPr>
          <w:rFonts w:ascii="Arial" w:hAnsi="Arial" w:cs="Arial"/>
          <w:bCs/>
          <w:sz w:val="22"/>
          <w:szCs w:val="22"/>
        </w:rPr>
        <w:t xml:space="preserve">the amounts were actually incurred, </w:t>
      </w:r>
      <w:r w:rsidRPr="00264008">
        <w:rPr>
          <w:rFonts w:ascii="Arial" w:hAnsi="Arial" w:cs="Arial"/>
          <w:bCs/>
          <w:sz w:val="22"/>
          <w:szCs w:val="22"/>
        </w:rPr>
        <w:t xml:space="preserve">but was </w:t>
      </w:r>
      <w:r w:rsidR="004E7283" w:rsidRPr="00264008">
        <w:rPr>
          <w:rFonts w:ascii="Arial" w:hAnsi="Arial" w:cs="Arial"/>
          <w:bCs/>
          <w:sz w:val="22"/>
          <w:szCs w:val="22"/>
        </w:rPr>
        <w:t xml:space="preserve">also </w:t>
      </w:r>
      <w:r w:rsidRPr="00264008">
        <w:rPr>
          <w:rFonts w:ascii="Arial" w:hAnsi="Arial" w:cs="Arial"/>
          <w:bCs/>
          <w:sz w:val="22"/>
          <w:szCs w:val="22"/>
        </w:rPr>
        <w:t xml:space="preserve">in possession of the legal opinion upon which I-cat relied for including the whole of the relevant amount within its 2014 assessment. </w:t>
      </w:r>
      <w:r w:rsidR="004E7283" w:rsidRPr="00264008">
        <w:rPr>
          <w:rFonts w:ascii="Arial" w:hAnsi="Arial" w:cs="Arial"/>
          <w:bCs/>
          <w:sz w:val="22"/>
          <w:szCs w:val="22"/>
        </w:rPr>
        <w:t xml:space="preserve">Notwithstanding, </w:t>
      </w:r>
      <w:r w:rsidRPr="00264008">
        <w:rPr>
          <w:rFonts w:ascii="Arial" w:hAnsi="Arial" w:cs="Arial"/>
          <w:bCs/>
          <w:sz w:val="22"/>
          <w:szCs w:val="22"/>
        </w:rPr>
        <w:t>SARS in not allowing the said amount did not allow the amount premised thereon that the amount or portion thereof was not incurred within the 20</w:t>
      </w:r>
      <w:r w:rsidR="006B50F4" w:rsidRPr="00264008">
        <w:rPr>
          <w:rFonts w:ascii="Arial" w:hAnsi="Arial" w:cs="Arial"/>
          <w:bCs/>
          <w:sz w:val="22"/>
          <w:szCs w:val="22"/>
        </w:rPr>
        <w:t xml:space="preserve">14 </w:t>
      </w:r>
      <w:r w:rsidRPr="00264008">
        <w:rPr>
          <w:rFonts w:ascii="Arial" w:hAnsi="Arial" w:cs="Arial"/>
          <w:bCs/>
          <w:sz w:val="22"/>
          <w:szCs w:val="22"/>
        </w:rPr>
        <w:t>year of assessment, but disallowed the amount in that it was of the opinion that the amount was capital in nature and not an expense.</w:t>
      </w:r>
    </w:p>
    <w:p w14:paraId="3D95F96C" w14:textId="77777777" w:rsidR="00EF7F7F" w:rsidRPr="00264008" w:rsidRDefault="00EF7F7F" w:rsidP="00D12BEB">
      <w:pPr>
        <w:spacing w:line="480" w:lineRule="auto"/>
        <w:ind w:left="567" w:hanging="567"/>
        <w:jc w:val="both"/>
        <w:rPr>
          <w:rFonts w:ascii="Arial" w:hAnsi="Arial" w:cs="Arial"/>
          <w:bCs/>
          <w:sz w:val="22"/>
          <w:szCs w:val="22"/>
        </w:rPr>
      </w:pPr>
      <w:r w:rsidRPr="00264008">
        <w:rPr>
          <w:rFonts w:ascii="Arial" w:hAnsi="Arial" w:cs="Arial"/>
          <w:bCs/>
          <w:sz w:val="22"/>
          <w:szCs w:val="22"/>
        </w:rPr>
        <w:t>[</w:t>
      </w:r>
      <w:r w:rsidR="009C69E5" w:rsidRPr="00264008">
        <w:rPr>
          <w:rFonts w:ascii="Arial" w:hAnsi="Arial" w:cs="Arial"/>
          <w:bCs/>
          <w:sz w:val="22"/>
          <w:szCs w:val="22"/>
        </w:rPr>
        <w:t>7</w:t>
      </w:r>
      <w:r w:rsidR="00264008">
        <w:rPr>
          <w:rFonts w:ascii="Arial" w:hAnsi="Arial" w:cs="Arial"/>
          <w:bCs/>
          <w:sz w:val="22"/>
          <w:szCs w:val="22"/>
        </w:rPr>
        <w:t>3</w:t>
      </w:r>
      <w:r w:rsidRPr="00264008">
        <w:rPr>
          <w:rFonts w:ascii="Arial" w:hAnsi="Arial" w:cs="Arial"/>
          <w:bCs/>
          <w:sz w:val="22"/>
          <w:szCs w:val="22"/>
        </w:rPr>
        <w:t>]</w:t>
      </w:r>
      <w:r w:rsidRPr="00264008">
        <w:rPr>
          <w:rFonts w:ascii="Arial" w:hAnsi="Arial" w:cs="Arial"/>
          <w:bCs/>
          <w:sz w:val="22"/>
          <w:szCs w:val="22"/>
        </w:rPr>
        <w:tab/>
        <w:t>It was also pursuant to this ground which I-cat proceeded to formulate its grounds of appeal.</w:t>
      </w:r>
      <w:r w:rsidRPr="00264008">
        <w:rPr>
          <w:rStyle w:val="FootnoteReference"/>
          <w:rFonts w:ascii="Arial" w:hAnsi="Arial" w:cs="Arial"/>
          <w:bCs/>
          <w:sz w:val="22"/>
          <w:szCs w:val="22"/>
        </w:rPr>
        <w:footnoteReference w:id="35"/>
      </w:r>
      <w:r w:rsidRPr="00264008">
        <w:rPr>
          <w:rFonts w:ascii="Arial" w:hAnsi="Arial" w:cs="Arial"/>
          <w:bCs/>
          <w:sz w:val="22"/>
          <w:szCs w:val="22"/>
        </w:rPr>
        <w:t xml:space="preserve">  </w:t>
      </w:r>
    </w:p>
    <w:p w14:paraId="3D8E89FD" w14:textId="77777777" w:rsidR="004E7283" w:rsidRPr="00264008" w:rsidRDefault="004E7283" w:rsidP="00D12BEB">
      <w:pPr>
        <w:spacing w:line="480" w:lineRule="auto"/>
        <w:ind w:left="567" w:hanging="567"/>
        <w:jc w:val="both"/>
        <w:rPr>
          <w:rFonts w:ascii="Arial" w:hAnsi="Arial" w:cs="Arial"/>
          <w:bCs/>
          <w:sz w:val="22"/>
          <w:szCs w:val="22"/>
        </w:rPr>
      </w:pPr>
      <w:r w:rsidRPr="00264008">
        <w:rPr>
          <w:rFonts w:ascii="Arial" w:hAnsi="Arial" w:cs="Arial"/>
          <w:bCs/>
          <w:sz w:val="22"/>
          <w:szCs w:val="22"/>
        </w:rPr>
        <w:t>[</w:t>
      </w:r>
      <w:r w:rsidR="009C69E5" w:rsidRPr="00264008">
        <w:rPr>
          <w:rFonts w:ascii="Arial" w:hAnsi="Arial" w:cs="Arial"/>
          <w:bCs/>
          <w:sz w:val="22"/>
          <w:szCs w:val="22"/>
        </w:rPr>
        <w:t>7</w:t>
      </w:r>
      <w:r w:rsidR="00264008">
        <w:rPr>
          <w:rFonts w:ascii="Arial" w:hAnsi="Arial" w:cs="Arial"/>
          <w:bCs/>
          <w:sz w:val="22"/>
          <w:szCs w:val="22"/>
        </w:rPr>
        <w:t>4</w:t>
      </w:r>
      <w:r w:rsidRPr="00264008">
        <w:rPr>
          <w:rFonts w:ascii="Arial" w:hAnsi="Arial" w:cs="Arial"/>
          <w:bCs/>
          <w:sz w:val="22"/>
          <w:szCs w:val="22"/>
        </w:rPr>
        <w:t>]</w:t>
      </w:r>
      <w:r w:rsidRPr="00264008">
        <w:rPr>
          <w:rFonts w:ascii="Arial" w:hAnsi="Arial" w:cs="Arial"/>
          <w:bCs/>
          <w:sz w:val="22"/>
          <w:szCs w:val="22"/>
        </w:rPr>
        <w:tab/>
        <w:t>The issue in respect of when the amount, or a portion thereof was actually incurred came to the fore for the first time when Mr Bekker on behalf of SARS filed the Rule 31 declaration in the TAX appeal proceedings aforementioned.</w:t>
      </w:r>
    </w:p>
    <w:p w14:paraId="20507C03" w14:textId="77777777" w:rsidR="004E7283" w:rsidRPr="00264008" w:rsidRDefault="004E7283" w:rsidP="00D12BEB">
      <w:pPr>
        <w:spacing w:line="480" w:lineRule="auto"/>
        <w:ind w:left="567" w:hanging="567"/>
        <w:jc w:val="both"/>
        <w:rPr>
          <w:rFonts w:ascii="Arial" w:hAnsi="Arial" w:cs="Arial"/>
          <w:bCs/>
          <w:sz w:val="22"/>
          <w:szCs w:val="22"/>
        </w:rPr>
      </w:pPr>
      <w:r w:rsidRPr="00264008">
        <w:rPr>
          <w:rFonts w:ascii="Arial" w:hAnsi="Arial" w:cs="Arial"/>
          <w:bCs/>
          <w:sz w:val="22"/>
          <w:szCs w:val="22"/>
        </w:rPr>
        <w:t>[</w:t>
      </w:r>
      <w:r w:rsidR="009C69E5" w:rsidRPr="00264008">
        <w:rPr>
          <w:rFonts w:ascii="Arial" w:hAnsi="Arial" w:cs="Arial"/>
          <w:bCs/>
          <w:sz w:val="22"/>
          <w:szCs w:val="22"/>
        </w:rPr>
        <w:t>7</w:t>
      </w:r>
      <w:r w:rsidR="00264008">
        <w:rPr>
          <w:rFonts w:ascii="Arial" w:hAnsi="Arial" w:cs="Arial"/>
          <w:bCs/>
          <w:sz w:val="22"/>
          <w:szCs w:val="22"/>
        </w:rPr>
        <w:t>5</w:t>
      </w:r>
      <w:r w:rsidRPr="00264008">
        <w:rPr>
          <w:rFonts w:ascii="Arial" w:hAnsi="Arial" w:cs="Arial"/>
          <w:bCs/>
          <w:sz w:val="22"/>
          <w:szCs w:val="22"/>
        </w:rPr>
        <w:t>]</w:t>
      </w:r>
      <w:r w:rsidRPr="00264008">
        <w:rPr>
          <w:rFonts w:ascii="Arial" w:hAnsi="Arial" w:cs="Arial"/>
          <w:bCs/>
          <w:sz w:val="22"/>
          <w:szCs w:val="22"/>
        </w:rPr>
        <w:tab/>
        <w:t>Mr</w:t>
      </w:r>
      <w:r w:rsidR="009C69E5" w:rsidRPr="00264008">
        <w:rPr>
          <w:rFonts w:ascii="Arial" w:hAnsi="Arial" w:cs="Arial"/>
          <w:bCs/>
          <w:sz w:val="22"/>
          <w:szCs w:val="22"/>
        </w:rPr>
        <w:t xml:space="preserve">s </w:t>
      </w:r>
      <w:r w:rsidRPr="00264008">
        <w:rPr>
          <w:rFonts w:ascii="Arial" w:hAnsi="Arial" w:cs="Arial"/>
          <w:bCs/>
          <w:sz w:val="22"/>
          <w:szCs w:val="22"/>
        </w:rPr>
        <w:t xml:space="preserve">Dreyer argues that at this time, at the latest, I-cat should have realised their potential mistake and </w:t>
      </w:r>
      <w:r w:rsidRPr="00264008">
        <w:rPr>
          <w:rFonts w:ascii="Arial" w:hAnsi="Arial" w:cs="Arial"/>
          <w:b/>
          <w:i/>
          <w:iCs/>
          <w:sz w:val="22"/>
          <w:szCs w:val="22"/>
        </w:rPr>
        <w:t>ex abudanti cautela</w:t>
      </w:r>
      <w:r w:rsidRPr="00264008">
        <w:rPr>
          <w:rFonts w:ascii="Arial" w:hAnsi="Arial" w:cs="Arial"/>
          <w:bCs/>
          <w:sz w:val="22"/>
          <w:szCs w:val="22"/>
        </w:rPr>
        <w:t xml:space="preserve"> objected to the 2015 assessment. This may have been an option but I do not deem it that I-cat acted unreasonably in not commencing those procedures at that time. SARS never before raised this issue and only now raised it as an </w:t>
      </w:r>
      <w:r w:rsidRPr="00264008">
        <w:rPr>
          <w:rFonts w:ascii="Arial" w:hAnsi="Arial" w:cs="Arial"/>
          <w:bCs/>
          <w:i/>
          <w:iCs/>
          <w:sz w:val="22"/>
          <w:szCs w:val="22"/>
        </w:rPr>
        <w:lastRenderedPageBreak/>
        <w:t>alternative defence</w:t>
      </w:r>
      <w:r w:rsidRPr="00264008">
        <w:rPr>
          <w:rFonts w:ascii="Arial" w:hAnsi="Arial" w:cs="Arial"/>
          <w:bCs/>
          <w:sz w:val="22"/>
          <w:szCs w:val="22"/>
        </w:rPr>
        <w:t xml:space="preserve">. I-cat was acting on the strength of a legal memorandum obtained in deducting the whole amount in the 2014 year of assessment and in all probabilities believed in </w:t>
      </w:r>
      <w:r w:rsidR="009C69E5" w:rsidRPr="00264008">
        <w:rPr>
          <w:rFonts w:ascii="Arial" w:hAnsi="Arial" w:cs="Arial"/>
          <w:bCs/>
          <w:sz w:val="22"/>
          <w:szCs w:val="22"/>
        </w:rPr>
        <w:t>its</w:t>
      </w:r>
      <w:r w:rsidRPr="00264008">
        <w:rPr>
          <w:rFonts w:ascii="Arial" w:hAnsi="Arial" w:cs="Arial"/>
          <w:bCs/>
          <w:sz w:val="22"/>
          <w:szCs w:val="22"/>
        </w:rPr>
        <w:t xml:space="preserve"> case.</w:t>
      </w:r>
    </w:p>
    <w:p w14:paraId="4AB25568" w14:textId="77777777" w:rsidR="00B51FDF" w:rsidRPr="00B51FDF" w:rsidRDefault="004E7283" w:rsidP="00D12BEB">
      <w:pPr>
        <w:spacing w:line="480" w:lineRule="auto"/>
        <w:ind w:left="567" w:hanging="567"/>
        <w:jc w:val="both"/>
        <w:rPr>
          <w:rFonts w:ascii="Arial" w:hAnsi="Arial" w:cs="Arial"/>
          <w:bCs/>
          <w:sz w:val="22"/>
          <w:szCs w:val="22"/>
        </w:rPr>
      </w:pPr>
      <w:r w:rsidRPr="00264008">
        <w:rPr>
          <w:rFonts w:ascii="Arial" w:hAnsi="Arial" w:cs="Arial"/>
          <w:bCs/>
          <w:sz w:val="22"/>
          <w:szCs w:val="22"/>
        </w:rPr>
        <w:t>[</w:t>
      </w:r>
      <w:r w:rsidR="009C69E5" w:rsidRPr="00264008">
        <w:rPr>
          <w:rFonts w:ascii="Arial" w:hAnsi="Arial" w:cs="Arial"/>
          <w:bCs/>
          <w:sz w:val="22"/>
          <w:szCs w:val="22"/>
        </w:rPr>
        <w:t>7</w:t>
      </w:r>
      <w:r w:rsidR="00264008">
        <w:rPr>
          <w:rFonts w:ascii="Arial" w:hAnsi="Arial" w:cs="Arial"/>
          <w:bCs/>
          <w:sz w:val="22"/>
          <w:szCs w:val="22"/>
        </w:rPr>
        <w:t>6</w:t>
      </w:r>
      <w:r w:rsidRPr="00264008">
        <w:rPr>
          <w:rFonts w:ascii="Arial" w:hAnsi="Arial" w:cs="Arial"/>
          <w:bCs/>
          <w:sz w:val="22"/>
          <w:szCs w:val="22"/>
        </w:rPr>
        <w:t>]</w:t>
      </w:r>
      <w:r w:rsidRPr="00264008">
        <w:rPr>
          <w:rFonts w:ascii="Arial" w:hAnsi="Arial" w:cs="Arial"/>
          <w:bCs/>
          <w:sz w:val="22"/>
          <w:szCs w:val="22"/>
        </w:rPr>
        <w:tab/>
      </w:r>
      <w:r w:rsidRPr="00B51FDF">
        <w:rPr>
          <w:rFonts w:ascii="Arial" w:hAnsi="Arial" w:cs="Arial"/>
          <w:bCs/>
          <w:sz w:val="22"/>
          <w:szCs w:val="22"/>
        </w:rPr>
        <w:t>Mrs Dreyer also argued that the issue now before this court in respect of the 2015 year of assessment did not serve before the Tax court.</w:t>
      </w:r>
      <w:r w:rsidR="00B51FDF" w:rsidRPr="00B51FDF">
        <w:rPr>
          <w:rFonts w:ascii="Arial" w:hAnsi="Arial" w:cs="Arial"/>
          <w:bCs/>
          <w:sz w:val="22"/>
          <w:szCs w:val="22"/>
        </w:rPr>
        <w:t xml:space="preserve"> Ms Dreyer argued that the Tax Court is a court of revision and reconsideration. It is not a Court of Appeal in the ordinary sense.  The Court is established in terms of the provisions of the Tax Administration Act and has jurisdiction of appeals lodged and is a Court of record.  </w:t>
      </w:r>
    </w:p>
    <w:p w14:paraId="36835A36" w14:textId="77777777" w:rsidR="00B51FDF" w:rsidRPr="00B51FDF" w:rsidRDefault="00B51FDF" w:rsidP="00D12BEB">
      <w:pPr>
        <w:spacing w:line="480" w:lineRule="auto"/>
        <w:ind w:left="567" w:hanging="567"/>
        <w:jc w:val="both"/>
        <w:rPr>
          <w:rFonts w:ascii="Arial" w:hAnsi="Arial" w:cs="Arial"/>
          <w:bCs/>
          <w:sz w:val="22"/>
          <w:szCs w:val="22"/>
        </w:rPr>
      </w:pPr>
      <w:r w:rsidRPr="00B51FDF">
        <w:rPr>
          <w:rFonts w:ascii="Arial" w:hAnsi="Arial" w:cs="Arial"/>
          <w:bCs/>
          <w:sz w:val="22"/>
          <w:szCs w:val="22"/>
        </w:rPr>
        <w:t>[</w:t>
      </w:r>
      <w:r w:rsidR="00537939">
        <w:rPr>
          <w:rFonts w:ascii="Arial" w:hAnsi="Arial" w:cs="Arial"/>
          <w:bCs/>
          <w:sz w:val="22"/>
          <w:szCs w:val="22"/>
        </w:rPr>
        <w:t>7</w:t>
      </w:r>
      <w:r w:rsidRPr="00B51FDF">
        <w:rPr>
          <w:rFonts w:ascii="Arial" w:hAnsi="Arial" w:cs="Arial"/>
          <w:bCs/>
          <w:sz w:val="22"/>
          <w:szCs w:val="22"/>
        </w:rPr>
        <w:t>7]</w:t>
      </w:r>
      <w:r w:rsidRPr="00B51FDF">
        <w:rPr>
          <w:rFonts w:ascii="Arial" w:hAnsi="Arial" w:cs="Arial"/>
          <w:bCs/>
          <w:sz w:val="22"/>
          <w:szCs w:val="22"/>
        </w:rPr>
        <w:tab/>
        <w:t>Premised upon the aforementioned Ms Dreyer argued that the issue before the Tax Court on the 28</w:t>
      </w:r>
      <w:r w:rsidRPr="00B51FDF">
        <w:rPr>
          <w:rFonts w:ascii="Arial" w:hAnsi="Arial" w:cs="Arial"/>
          <w:bCs/>
          <w:sz w:val="22"/>
          <w:szCs w:val="22"/>
          <w:vertAlign w:val="superscript"/>
        </w:rPr>
        <w:t>th</w:t>
      </w:r>
      <w:r w:rsidRPr="00B51FDF">
        <w:rPr>
          <w:rFonts w:ascii="Arial" w:hAnsi="Arial" w:cs="Arial"/>
          <w:bCs/>
          <w:sz w:val="22"/>
          <w:szCs w:val="22"/>
        </w:rPr>
        <w:t xml:space="preserve"> of October 2019 related solely and only to the income tax appeal of the I-cat in respect of the I-cat’s 2014 year of assessment. I-cat did not object and appeal against its income assessment for the 2015 year of assessment.   </w:t>
      </w:r>
      <w:r w:rsidRPr="00537939">
        <w:rPr>
          <w:rFonts w:ascii="Arial" w:hAnsi="Arial" w:cs="Arial"/>
          <w:sz w:val="22"/>
          <w:szCs w:val="22"/>
        </w:rPr>
        <w:t xml:space="preserve">The Tax Court did not have the jurisdiction to enquire into any issues relating to the 2015 year of assessment. </w:t>
      </w:r>
      <w:r w:rsidRPr="00B51FDF">
        <w:rPr>
          <w:rFonts w:ascii="Arial" w:hAnsi="Arial" w:cs="Arial"/>
          <w:bCs/>
          <w:sz w:val="22"/>
          <w:szCs w:val="22"/>
        </w:rPr>
        <w:t>As such the ruling of the Tax Court on the 28</w:t>
      </w:r>
      <w:r w:rsidRPr="00B51FDF">
        <w:rPr>
          <w:rFonts w:ascii="Arial" w:hAnsi="Arial" w:cs="Arial"/>
          <w:bCs/>
          <w:sz w:val="22"/>
          <w:szCs w:val="22"/>
          <w:vertAlign w:val="superscript"/>
        </w:rPr>
        <w:t>th</w:t>
      </w:r>
      <w:r w:rsidRPr="00B51FDF">
        <w:rPr>
          <w:rFonts w:ascii="Arial" w:hAnsi="Arial" w:cs="Arial"/>
          <w:bCs/>
          <w:sz w:val="22"/>
          <w:szCs w:val="22"/>
        </w:rPr>
        <w:t xml:space="preserve"> of October 2019 did not and could not bind the Commissioner to make a decision relating to the 2015 income tax assessment.  All that the Tax Court Order recorded was that I-cat could approach the Commissioner in terms of Section 93 to issue a recused assessment.</w:t>
      </w:r>
    </w:p>
    <w:p w14:paraId="6828A4E1" w14:textId="77777777" w:rsidR="00B51FDF" w:rsidRPr="00537939" w:rsidRDefault="00B51FDF" w:rsidP="00D12BEB">
      <w:pPr>
        <w:spacing w:line="480" w:lineRule="auto"/>
        <w:ind w:left="567" w:hanging="567"/>
        <w:jc w:val="both"/>
        <w:rPr>
          <w:rFonts w:ascii="Arial" w:hAnsi="Arial" w:cs="Arial"/>
          <w:bCs/>
          <w:sz w:val="22"/>
          <w:szCs w:val="22"/>
        </w:rPr>
      </w:pPr>
      <w:r w:rsidRPr="00537939">
        <w:rPr>
          <w:rFonts w:ascii="Arial" w:hAnsi="Arial" w:cs="Arial"/>
          <w:bCs/>
          <w:sz w:val="22"/>
          <w:szCs w:val="22"/>
        </w:rPr>
        <w:t>[</w:t>
      </w:r>
      <w:r w:rsidR="00537939">
        <w:rPr>
          <w:rFonts w:ascii="Arial" w:hAnsi="Arial" w:cs="Arial"/>
          <w:bCs/>
          <w:sz w:val="22"/>
          <w:szCs w:val="22"/>
        </w:rPr>
        <w:t>7</w:t>
      </w:r>
      <w:r w:rsidRPr="00537939">
        <w:rPr>
          <w:rFonts w:ascii="Arial" w:hAnsi="Arial" w:cs="Arial"/>
          <w:bCs/>
          <w:sz w:val="22"/>
          <w:szCs w:val="22"/>
        </w:rPr>
        <w:t>8]</w:t>
      </w:r>
      <w:r w:rsidRPr="00537939">
        <w:rPr>
          <w:rFonts w:ascii="Arial" w:hAnsi="Arial" w:cs="Arial"/>
          <w:bCs/>
          <w:sz w:val="22"/>
          <w:szCs w:val="22"/>
        </w:rPr>
        <w:tab/>
        <w:t xml:space="preserve">Ms Dreyer argued once regard is had to the correct interpretation and application of the Tax Administration Act, it is clear that I-cat’s review proceeding are ill-founded. The Commissioner’s decision to refuse to make a reduced assessment for the 2015 income tax year of assessment was correct. The assessment had become prescribed. The Commissioner, as a creature of statute, is bound by the empowering provisions of legislation, which preclude the issuance of a reduced assessment after a period of 3 years after the original assessment is made. I-cat’s application falls to be dismissed with costs. </w:t>
      </w:r>
    </w:p>
    <w:p w14:paraId="7A4A2EB7" w14:textId="77777777" w:rsidR="00537939" w:rsidRDefault="00537939" w:rsidP="00D12BEB">
      <w:pPr>
        <w:spacing w:line="480" w:lineRule="auto"/>
        <w:ind w:left="567" w:hanging="567"/>
        <w:jc w:val="both"/>
        <w:rPr>
          <w:rFonts w:ascii="Arial" w:hAnsi="Arial" w:cs="Arial"/>
          <w:bCs/>
          <w:sz w:val="22"/>
          <w:szCs w:val="22"/>
        </w:rPr>
      </w:pPr>
      <w:r w:rsidRPr="00537939">
        <w:rPr>
          <w:rFonts w:ascii="Arial" w:hAnsi="Arial" w:cs="Arial"/>
          <w:bCs/>
          <w:sz w:val="22"/>
          <w:szCs w:val="22"/>
        </w:rPr>
        <w:lastRenderedPageBreak/>
        <w:t>[</w:t>
      </w:r>
      <w:r>
        <w:rPr>
          <w:rFonts w:ascii="Arial" w:hAnsi="Arial" w:cs="Arial"/>
          <w:bCs/>
          <w:sz w:val="22"/>
          <w:szCs w:val="22"/>
        </w:rPr>
        <w:t>79</w:t>
      </w:r>
      <w:r w:rsidRPr="00537939">
        <w:rPr>
          <w:rFonts w:ascii="Arial" w:hAnsi="Arial" w:cs="Arial"/>
          <w:bCs/>
          <w:sz w:val="22"/>
          <w:szCs w:val="22"/>
        </w:rPr>
        <w:t>]</w:t>
      </w:r>
      <w:r w:rsidR="004E7283" w:rsidRPr="00264008">
        <w:rPr>
          <w:rFonts w:ascii="Arial" w:hAnsi="Arial" w:cs="Arial"/>
          <w:bCs/>
          <w:sz w:val="22"/>
          <w:szCs w:val="22"/>
        </w:rPr>
        <w:t xml:space="preserve"> </w:t>
      </w:r>
      <w:r w:rsidR="00C577BB">
        <w:rPr>
          <w:rFonts w:ascii="Arial" w:hAnsi="Arial" w:cs="Arial"/>
          <w:bCs/>
          <w:sz w:val="22"/>
          <w:szCs w:val="22"/>
        </w:rPr>
        <w:tab/>
      </w:r>
      <w:r>
        <w:rPr>
          <w:rFonts w:ascii="Arial" w:hAnsi="Arial" w:cs="Arial"/>
          <w:bCs/>
          <w:sz w:val="22"/>
          <w:szCs w:val="22"/>
        </w:rPr>
        <w:t xml:space="preserve">Although I agree with Mrs Dreyer’s submissions that the </w:t>
      </w:r>
      <w:r w:rsidRPr="00B51FDF">
        <w:rPr>
          <w:rFonts w:ascii="Arial" w:hAnsi="Arial" w:cs="Arial"/>
          <w:bCs/>
          <w:sz w:val="22"/>
          <w:szCs w:val="22"/>
        </w:rPr>
        <w:t>Tax Court is a court of revision and reconsideration</w:t>
      </w:r>
      <w:r>
        <w:rPr>
          <w:rFonts w:ascii="Arial" w:hAnsi="Arial" w:cs="Arial"/>
          <w:bCs/>
          <w:sz w:val="22"/>
          <w:szCs w:val="22"/>
        </w:rPr>
        <w:t xml:space="preserve"> and i</w:t>
      </w:r>
      <w:r w:rsidRPr="00B51FDF">
        <w:rPr>
          <w:rFonts w:ascii="Arial" w:hAnsi="Arial" w:cs="Arial"/>
          <w:bCs/>
          <w:sz w:val="22"/>
          <w:szCs w:val="22"/>
        </w:rPr>
        <w:t>t is not a Court of Appeal in the ordinary sense</w:t>
      </w:r>
      <w:r>
        <w:rPr>
          <w:rFonts w:ascii="Arial" w:hAnsi="Arial" w:cs="Arial"/>
          <w:bCs/>
          <w:sz w:val="22"/>
          <w:szCs w:val="22"/>
        </w:rPr>
        <w:t xml:space="preserve">, </w:t>
      </w:r>
      <w:r w:rsidR="004E7283" w:rsidRPr="00264008">
        <w:rPr>
          <w:rFonts w:ascii="Arial" w:hAnsi="Arial" w:cs="Arial"/>
          <w:bCs/>
          <w:sz w:val="22"/>
          <w:szCs w:val="22"/>
        </w:rPr>
        <w:t>I do not agree with Mrs Dreyer</w:t>
      </w:r>
      <w:r>
        <w:rPr>
          <w:rFonts w:ascii="Arial" w:hAnsi="Arial" w:cs="Arial"/>
          <w:bCs/>
          <w:sz w:val="22"/>
          <w:szCs w:val="22"/>
        </w:rPr>
        <w:t xml:space="preserve"> conclusions</w:t>
      </w:r>
      <w:r w:rsidR="004E7283" w:rsidRPr="00264008">
        <w:rPr>
          <w:rFonts w:ascii="Arial" w:hAnsi="Arial" w:cs="Arial"/>
          <w:bCs/>
          <w:sz w:val="22"/>
          <w:szCs w:val="22"/>
        </w:rPr>
        <w:t xml:space="preserve">. </w:t>
      </w:r>
    </w:p>
    <w:p w14:paraId="0AEF20AA" w14:textId="77777777" w:rsidR="004E7283" w:rsidRPr="00264008" w:rsidRDefault="00537939" w:rsidP="00D12BEB">
      <w:pPr>
        <w:spacing w:line="480" w:lineRule="auto"/>
        <w:ind w:left="567" w:hanging="567"/>
        <w:jc w:val="both"/>
        <w:rPr>
          <w:rFonts w:ascii="Arial" w:hAnsi="Arial" w:cs="Arial"/>
          <w:bCs/>
          <w:sz w:val="22"/>
          <w:szCs w:val="22"/>
        </w:rPr>
      </w:pPr>
      <w:r w:rsidRPr="00537939">
        <w:rPr>
          <w:rFonts w:ascii="Arial" w:hAnsi="Arial" w:cs="Arial"/>
          <w:bCs/>
          <w:sz w:val="22"/>
          <w:szCs w:val="22"/>
        </w:rPr>
        <w:t>[</w:t>
      </w:r>
      <w:r>
        <w:rPr>
          <w:rFonts w:ascii="Arial" w:hAnsi="Arial" w:cs="Arial"/>
          <w:bCs/>
          <w:sz w:val="22"/>
          <w:szCs w:val="22"/>
        </w:rPr>
        <w:t>80</w:t>
      </w:r>
      <w:r w:rsidRPr="00537939">
        <w:rPr>
          <w:rFonts w:ascii="Arial" w:hAnsi="Arial" w:cs="Arial"/>
          <w:bCs/>
          <w:sz w:val="22"/>
          <w:szCs w:val="22"/>
        </w:rPr>
        <w:t>]</w:t>
      </w:r>
      <w:r w:rsidRPr="00264008">
        <w:rPr>
          <w:rFonts w:ascii="Arial" w:hAnsi="Arial" w:cs="Arial"/>
          <w:bCs/>
          <w:sz w:val="22"/>
          <w:szCs w:val="22"/>
        </w:rPr>
        <w:t xml:space="preserve"> </w:t>
      </w:r>
      <w:r w:rsidR="00C577BB">
        <w:rPr>
          <w:rFonts w:ascii="Arial" w:hAnsi="Arial" w:cs="Arial"/>
          <w:bCs/>
          <w:sz w:val="22"/>
          <w:szCs w:val="22"/>
        </w:rPr>
        <w:tab/>
      </w:r>
      <w:r w:rsidR="004E7283" w:rsidRPr="00264008">
        <w:rPr>
          <w:rFonts w:ascii="Arial" w:hAnsi="Arial" w:cs="Arial"/>
          <w:bCs/>
          <w:sz w:val="22"/>
          <w:szCs w:val="22"/>
        </w:rPr>
        <w:t xml:space="preserve">SARS </w:t>
      </w:r>
      <w:r w:rsidR="009C69E5" w:rsidRPr="00264008">
        <w:rPr>
          <w:rFonts w:ascii="Arial" w:hAnsi="Arial" w:cs="Arial"/>
          <w:bCs/>
          <w:sz w:val="22"/>
          <w:szCs w:val="22"/>
        </w:rPr>
        <w:t xml:space="preserve">in </w:t>
      </w:r>
      <w:r w:rsidR="004E7283" w:rsidRPr="00264008">
        <w:rPr>
          <w:rFonts w:ascii="Arial" w:hAnsi="Arial" w:cs="Arial"/>
          <w:bCs/>
          <w:sz w:val="22"/>
          <w:szCs w:val="22"/>
        </w:rPr>
        <w:t>particular</w:t>
      </w:r>
      <w:r>
        <w:rPr>
          <w:rFonts w:ascii="Arial" w:hAnsi="Arial" w:cs="Arial"/>
          <w:bCs/>
          <w:sz w:val="22"/>
          <w:szCs w:val="22"/>
        </w:rPr>
        <w:t>,</w:t>
      </w:r>
      <w:r w:rsidR="004E7283" w:rsidRPr="00264008">
        <w:rPr>
          <w:rFonts w:ascii="Arial" w:hAnsi="Arial" w:cs="Arial"/>
          <w:bCs/>
          <w:sz w:val="22"/>
          <w:szCs w:val="22"/>
        </w:rPr>
        <w:t xml:space="preserve"> </w:t>
      </w:r>
      <w:r w:rsidR="009C69E5" w:rsidRPr="00264008">
        <w:rPr>
          <w:rFonts w:ascii="Arial" w:hAnsi="Arial" w:cs="Arial"/>
          <w:bCs/>
          <w:sz w:val="22"/>
          <w:szCs w:val="22"/>
        </w:rPr>
        <w:t>in respect of its</w:t>
      </w:r>
      <w:r w:rsidR="004E7283" w:rsidRPr="00264008">
        <w:rPr>
          <w:rFonts w:ascii="Arial" w:hAnsi="Arial" w:cs="Arial"/>
          <w:bCs/>
          <w:sz w:val="22"/>
          <w:szCs w:val="22"/>
        </w:rPr>
        <w:t xml:space="preserve"> alternative defense</w:t>
      </w:r>
      <w:r w:rsidR="009C69E5" w:rsidRPr="00264008">
        <w:rPr>
          <w:rFonts w:ascii="Arial" w:hAnsi="Arial" w:cs="Arial"/>
          <w:bCs/>
          <w:sz w:val="22"/>
          <w:szCs w:val="22"/>
        </w:rPr>
        <w:t xml:space="preserve"> </w:t>
      </w:r>
      <w:r w:rsidR="004E7283" w:rsidRPr="00264008">
        <w:rPr>
          <w:rFonts w:ascii="Arial" w:hAnsi="Arial" w:cs="Arial"/>
          <w:bCs/>
          <w:sz w:val="22"/>
          <w:szCs w:val="22"/>
        </w:rPr>
        <w:t>in the tax appeal</w:t>
      </w:r>
      <w:r>
        <w:rPr>
          <w:rFonts w:ascii="Arial" w:hAnsi="Arial" w:cs="Arial"/>
          <w:bCs/>
          <w:sz w:val="22"/>
          <w:szCs w:val="22"/>
        </w:rPr>
        <w:t>,</w:t>
      </w:r>
      <w:r w:rsidR="004E7283" w:rsidRPr="00264008">
        <w:rPr>
          <w:rFonts w:ascii="Arial" w:hAnsi="Arial" w:cs="Arial"/>
          <w:bCs/>
          <w:sz w:val="22"/>
          <w:szCs w:val="22"/>
        </w:rPr>
        <w:t xml:space="preserve"> stated as follows in the Rule 31 statement dated the 28</w:t>
      </w:r>
      <w:r w:rsidR="004E7283" w:rsidRPr="00264008">
        <w:rPr>
          <w:rFonts w:ascii="Arial" w:hAnsi="Arial" w:cs="Arial"/>
          <w:bCs/>
          <w:sz w:val="22"/>
          <w:szCs w:val="22"/>
          <w:vertAlign w:val="superscript"/>
        </w:rPr>
        <w:t>th</w:t>
      </w:r>
      <w:r w:rsidR="004E7283" w:rsidRPr="00264008">
        <w:rPr>
          <w:rFonts w:ascii="Arial" w:hAnsi="Arial" w:cs="Arial"/>
          <w:bCs/>
          <w:sz w:val="22"/>
          <w:szCs w:val="22"/>
        </w:rPr>
        <w:t xml:space="preserve"> of September 2018:</w:t>
      </w:r>
      <w:r w:rsidR="004E7283" w:rsidRPr="00264008">
        <w:rPr>
          <w:rStyle w:val="FootnoteReference"/>
          <w:rFonts w:ascii="Arial" w:hAnsi="Arial" w:cs="Arial"/>
          <w:bCs/>
          <w:sz w:val="22"/>
          <w:szCs w:val="22"/>
        </w:rPr>
        <w:footnoteReference w:id="36"/>
      </w:r>
    </w:p>
    <w:p w14:paraId="12C4C8BE" w14:textId="77777777" w:rsidR="004E7283" w:rsidRPr="00264008" w:rsidRDefault="004E7283" w:rsidP="004E7283">
      <w:pPr>
        <w:spacing w:line="480" w:lineRule="auto"/>
        <w:ind w:left="2160" w:hanging="720"/>
        <w:jc w:val="both"/>
        <w:rPr>
          <w:rFonts w:ascii="Arial" w:hAnsi="Arial" w:cs="Arial"/>
          <w:bCs/>
          <w:i/>
          <w:sz w:val="18"/>
          <w:szCs w:val="18"/>
        </w:rPr>
      </w:pPr>
      <w:r w:rsidRPr="00264008">
        <w:rPr>
          <w:rFonts w:ascii="Arial" w:hAnsi="Arial" w:cs="Arial"/>
          <w:bCs/>
          <w:sz w:val="18"/>
          <w:szCs w:val="18"/>
        </w:rPr>
        <w:t>“</w:t>
      </w:r>
      <w:r w:rsidRPr="00264008">
        <w:rPr>
          <w:rFonts w:ascii="Arial" w:hAnsi="Arial" w:cs="Arial"/>
          <w:bCs/>
          <w:i/>
          <w:sz w:val="18"/>
          <w:szCs w:val="18"/>
        </w:rPr>
        <w:t>21.</w:t>
      </w:r>
      <w:r w:rsidRPr="00264008">
        <w:rPr>
          <w:rFonts w:ascii="Arial" w:hAnsi="Arial" w:cs="Arial"/>
          <w:bCs/>
          <w:i/>
          <w:sz w:val="18"/>
          <w:szCs w:val="18"/>
        </w:rPr>
        <w:tab/>
        <w:t xml:space="preserve">The ledger accounts provided by the Appellant reflected that it paid an amount of R7 997 633.05 only during the 2014 year and the </w:t>
      </w:r>
      <w:r w:rsidRPr="00264008">
        <w:rPr>
          <w:rFonts w:ascii="Arial" w:hAnsi="Arial" w:cs="Arial"/>
          <w:b/>
          <w:i/>
          <w:sz w:val="18"/>
          <w:szCs w:val="18"/>
          <w:u w:val="single"/>
        </w:rPr>
        <w:t>balance thereof was paid in the 2015 year of assessment”.</w:t>
      </w:r>
    </w:p>
    <w:p w14:paraId="2255D03B" w14:textId="77777777" w:rsidR="004E7283" w:rsidRDefault="004E7283" w:rsidP="00681CD8">
      <w:pPr>
        <w:spacing w:line="480" w:lineRule="auto"/>
        <w:ind w:left="2160" w:hanging="720"/>
        <w:jc w:val="both"/>
        <w:rPr>
          <w:rFonts w:ascii="Arial" w:hAnsi="Arial" w:cs="Arial"/>
          <w:bCs/>
        </w:rPr>
      </w:pPr>
      <w:r w:rsidRPr="00264008">
        <w:rPr>
          <w:rFonts w:ascii="Arial" w:hAnsi="Arial" w:cs="Arial"/>
          <w:bCs/>
          <w:i/>
          <w:sz w:val="18"/>
          <w:szCs w:val="18"/>
        </w:rPr>
        <w:t>“57.</w:t>
      </w:r>
      <w:r w:rsidRPr="00264008">
        <w:rPr>
          <w:rFonts w:ascii="Arial" w:hAnsi="Arial" w:cs="Arial"/>
          <w:bCs/>
          <w:i/>
          <w:sz w:val="18"/>
          <w:szCs w:val="18"/>
        </w:rPr>
        <w:tab/>
        <w:t>Alternatively, if the (tax) court accepts the Appellant’s version that the amount of R17 171 433.00 qualifies as a deduction in terms of Section 11(a) of the Income Tax Act, which the Respondent denies, then the Respondent pleads that the Appellant would only be entitled to claim an amount of R7 997 663.05, which was actually incurred in the 2014 year</w:t>
      </w:r>
      <w:r w:rsidRPr="00264008">
        <w:rPr>
          <w:rFonts w:ascii="Arial" w:hAnsi="Arial" w:cs="Arial"/>
          <w:bCs/>
          <w:sz w:val="18"/>
          <w:szCs w:val="18"/>
        </w:rPr>
        <w:t xml:space="preserve">”. </w:t>
      </w:r>
    </w:p>
    <w:p w14:paraId="51222B8B" w14:textId="77777777" w:rsidR="004E7283" w:rsidRPr="00264008" w:rsidRDefault="004E7283" w:rsidP="00D12BEB">
      <w:pPr>
        <w:spacing w:line="480" w:lineRule="auto"/>
        <w:ind w:left="567" w:hanging="567"/>
        <w:jc w:val="both"/>
        <w:rPr>
          <w:rFonts w:ascii="Arial" w:hAnsi="Arial" w:cs="Arial"/>
          <w:bCs/>
          <w:sz w:val="22"/>
          <w:szCs w:val="22"/>
        </w:rPr>
      </w:pPr>
      <w:r w:rsidRPr="00264008">
        <w:rPr>
          <w:rFonts w:ascii="Arial" w:hAnsi="Arial" w:cs="Arial"/>
          <w:bCs/>
          <w:sz w:val="22"/>
          <w:szCs w:val="22"/>
        </w:rPr>
        <w:t>[</w:t>
      </w:r>
      <w:r w:rsidR="00537939">
        <w:rPr>
          <w:rFonts w:ascii="Arial" w:hAnsi="Arial" w:cs="Arial"/>
          <w:bCs/>
          <w:sz w:val="22"/>
          <w:szCs w:val="22"/>
        </w:rPr>
        <w:t>81</w:t>
      </w:r>
      <w:r w:rsidRPr="00264008">
        <w:rPr>
          <w:rFonts w:ascii="Arial" w:hAnsi="Arial" w:cs="Arial"/>
          <w:bCs/>
          <w:sz w:val="22"/>
          <w:szCs w:val="22"/>
        </w:rPr>
        <w:t>]</w:t>
      </w:r>
      <w:r w:rsidRPr="00264008">
        <w:rPr>
          <w:rFonts w:ascii="Arial" w:hAnsi="Arial" w:cs="Arial"/>
          <w:bCs/>
          <w:sz w:val="22"/>
          <w:szCs w:val="22"/>
        </w:rPr>
        <w:tab/>
      </w:r>
      <w:r w:rsidR="00537939">
        <w:rPr>
          <w:rFonts w:ascii="Arial" w:hAnsi="Arial" w:cs="Arial"/>
          <w:bCs/>
          <w:sz w:val="22"/>
          <w:szCs w:val="22"/>
        </w:rPr>
        <w:t>This was the case SARS brough before the Tax Court. I</w:t>
      </w:r>
      <w:r w:rsidRPr="00264008">
        <w:rPr>
          <w:rFonts w:ascii="Arial" w:hAnsi="Arial" w:cs="Arial"/>
          <w:bCs/>
          <w:sz w:val="22"/>
          <w:szCs w:val="22"/>
        </w:rPr>
        <w:t xml:space="preserve">n order to arrive at a decision in respect of the alternative </w:t>
      </w:r>
      <w:r w:rsidR="00EC34D7" w:rsidRPr="00264008">
        <w:rPr>
          <w:rFonts w:ascii="Arial" w:hAnsi="Arial" w:cs="Arial"/>
          <w:bCs/>
          <w:sz w:val="22"/>
          <w:szCs w:val="22"/>
        </w:rPr>
        <w:t>defence</w:t>
      </w:r>
      <w:r w:rsidRPr="00264008">
        <w:rPr>
          <w:rFonts w:ascii="Arial" w:hAnsi="Arial" w:cs="Arial"/>
          <w:bCs/>
          <w:sz w:val="22"/>
          <w:szCs w:val="22"/>
        </w:rPr>
        <w:t>, part of the issue</w:t>
      </w:r>
      <w:r w:rsidR="00264008">
        <w:rPr>
          <w:rFonts w:ascii="Arial" w:hAnsi="Arial" w:cs="Arial"/>
          <w:bCs/>
          <w:sz w:val="22"/>
          <w:szCs w:val="22"/>
        </w:rPr>
        <w:t>s</w:t>
      </w:r>
      <w:r w:rsidRPr="00264008">
        <w:rPr>
          <w:rFonts w:ascii="Arial" w:hAnsi="Arial" w:cs="Arial"/>
          <w:bCs/>
          <w:sz w:val="22"/>
          <w:szCs w:val="22"/>
        </w:rPr>
        <w:t xml:space="preserve"> before the Tax court was which portion of the amount, if any</w:t>
      </w:r>
      <w:r w:rsidR="009C69E5" w:rsidRPr="00264008">
        <w:rPr>
          <w:rFonts w:ascii="Arial" w:hAnsi="Arial" w:cs="Arial"/>
          <w:bCs/>
          <w:sz w:val="22"/>
          <w:szCs w:val="22"/>
        </w:rPr>
        <w:t>,</w:t>
      </w:r>
      <w:r w:rsidRPr="00264008">
        <w:rPr>
          <w:rFonts w:ascii="Arial" w:hAnsi="Arial" w:cs="Arial"/>
          <w:bCs/>
          <w:sz w:val="22"/>
          <w:szCs w:val="22"/>
        </w:rPr>
        <w:t xml:space="preserve"> was  incurred in 201</w:t>
      </w:r>
      <w:r w:rsidR="009C69E5" w:rsidRPr="00264008">
        <w:rPr>
          <w:rFonts w:ascii="Arial" w:hAnsi="Arial" w:cs="Arial"/>
          <w:bCs/>
          <w:sz w:val="22"/>
          <w:szCs w:val="22"/>
        </w:rPr>
        <w:t>5</w:t>
      </w:r>
      <w:r w:rsidRPr="00264008">
        <w:rPr>
          <w:rFonts w:ascii="Arial" w:hAnsi="Arial" w:cs="Arial"/>
          <w:bCs/>
          <w:sz w:val="22"/>
          <w:szCs w:val="22"/>
        </w:rPr>
        <w:t xml:space="preserve"> and not 201</w:t>
      </w:r>
      <w:r w:rsidR="009C69E5" w:rsidRPr="00264008">
        <w:rPr>
          <w:rFonts w:ascii="Arial" w:hAnsi="Arial" w:cs="Arial"/>
          <w:bCs/>
          <w:sz w:val="22"/>
          <w:szCs w:val="22"/>
        </w:rPr>
        <w:t>4</w:t>
      </w:r>
      <w:r w:rsidRPr="00264008">
        <w:rPr>
          <w:rFonts w:ascii="Arial" w:hAnsi="Arial" w:cs="Arial"/>
          <w:bCs/>
          <w:sz w:val="22"/>
          <w:szCs w:val="22"/>
        </w:rPr>
        <w:t>.</w:t>
      </w:r>
      <w:r w:rsidR="00EC34D7" w:rsidRPr="00264008">
        <w:rPr>
          <w:rFonts w:ascii="Arial" w:hAnsi="Arial" w:cs="Arial"/>
          <w:bCs/>
          <w:sz w:val="22"/>
          <w:szCs w:val="22"/>
        </w:rPr>
        <w:t xml:space="preserve"> At least </w:t>
      </w:r>
      <w:r w:rsidR="00264008">
        <w:rPr>
          <w:rFonts w:ascii="Arial" w:hAnsi="Arial" w:cs="Arial"/>
          <w:bCs/>
          <w:sz w:val="22"/>
          <w:szCs w:val="22"/>
        </w:rPr>
        <w:t xml:space="preserve">indirectly </w:t>
      </w:r>
      <w:r w:rsidR="00EC34D7" w:rsidRPr="00264008">
        <w:rPr>
          <w:rFonts w:ascii="Arial" w:hAnsi="Arial" w:cs="Arial"/>
          <w:bCs/>
          <w:sz w:val="22"/>
          <w:szCs w:val="22"/>
        </w:rPr>
        <w:t xml:space="preserve">the court would have </w:t>
      </w:r>
      <w:r w:rsidR="00264008">
        <w:rPr>
          <w:rFonts w:ascii="Arial" w:hAnsi="Arial" w:cs="Arial"/>
          <w:bCs/>
          <w:sz w:val="22"/>
          <w:szCs w:val="22"/>
        </w:rPr>
        <w:t xml:space="preserve">had </w:t>
      </w:r>
      <w:r w:rsidR="00EC34D7" w:rsidRPr="00264008">
        <w:rPr>
          <w:rFonts w:ascii="Arial" w:hAnsi="Arial" w:cs="Arial"/>
          <w:bCs/>
          <w:sz w:val="22"/>
          <w:szCs w:val="22"/>
        </w:rPr>
        <w:t>to make a finding on this issue.  If the court agreed with SARS</w:t>
      </w:r>
      <w:r w:rsidR="006B50F4" w:rsidRPr="00264008">
        <w:rPr>
          <w:rFonts w:ascii="Arial" w:hAnsi="Arial" w:cs="Arial"/>
          <w:bCs/>
          <w:sz w:val="22"/>
          <w:szCs w:val="22"/>
        </w:rPr>
        <w:t>’</w:t>
      </w:r>
      <w:r w:rsidR="00EC34D7" w:rsidRPr="00264008">
        <w:rPr>
          <w:rFonts w:ascii="Arial" w:hAnsi="Arial" w:cs="Arial"/>
          <w:bCs/>
          <w:sz w:val="22"/>
          <w:szCs w:val="22"/>
        </w:rPr>
        <w:t xml:space="preserve"> alternative defense, an inevitable result of the Tax court’s finding would be that the balance </w:t>
      </w:r>
      <w:r w:rsidR="00537939">
        <w:rPr>
          <w:rFonts w:ascii="Arial" w:hAnsi="Arial" w:cs="Arial"/>
          <w:bCs/>
          <w:sz w:val="22"/>
          <w:szCs w:val="22"/>
        </w:rPr>
        <w:t xml:space="preserve">of the amount </w:t>
      </w:r>
      <w:r w:rsidR="00EC34D7" w:rsidRPr="00264008">
        <w:rPr>
          <w:rFonts w:ascii="Arial" w:hAnsi="Arial" w:cs="Arial"/>
          <w:bCs/>
          <w:sz w:val="22"/>
          <w:szCs w:val="22"/>
        </w:rPr>
        <w:t>was actually incurred in the 2015 year of assessment.</w:t>
      </w:r>
    </w:p>
    <w:p w14:paraId="26ED519C" w14:textId="77777777" w:rsidR="00EC34D7" w:rsidRPr="00264008" w:rsidRDefault="00EC34D7" w:rsidP="00D12BEB">
      <w:pPr>
        <w:spacing w:line="480" w:lineRule="auto"/>
        <w:ind w:left="567" w:hanging="567"/>
        <w:jc w:val="both"/>
        <w:rPr>
          <w:rFonts w:ascii="Arial" w:hAnsi="Arial" w:cs="Arial"/>
          <w:bCs/>
          <w:sz w:val="22"/>
          <w:szCs w:val="22"/>
        </w:rPr>
      </w:pPr>
      <w:r w:rsidRPr="00264008">
        <w:rPr>
          <w:rFonts w:ascii="Arial" w:hAnsi="Arial" w:cs="Arial"/>
          <w:bCs/>
          <w:sz w:val="22"/>
          <w:szCs w:val="22"/>
        </w:rPr>
        <w:t>[</w:t>
      </w:r>
      <w:r w:rsidR="00537939">
        <w:rPr>
          <w:rFonts w:ascii="Arial" w:hAnsi="Arial" w:cs="Arial"/>
          <w:bCs/>
          <w:sz w:val="22"/>
          <w:szCs w:val="22"/>
        </w:rPr>
        <w:t>82</w:t>
      </w:r>
      <w:r w:rsidRPr="00264008">
        <w:rPr>
          <w:rFonts w:ascii="Arial" w:hAnsi="Arial" w:cs="Arial"/>
          <w:bCs/>
          <w:sz w:val="22"/>
          <w:szCs w:val="22"/>
        </w:rPr>
        <w:t>]</w:t>
      </w:r>
      <w:r w:rsidRPr="00264008">
        <w:rPr>
          <w:rFonts w:ascii="Arial" w:hAnsi="Arial" w:cs="Arial"/>
          <w:bCs/>
          <w:sz w:val="22"/>
          <w:szCs w:val="22"/>
        </w:rPr>
        <w:tab/>
        <w:t>The same reasoning applies to the nature of the amount</w:t>
      </w:r>
      <w:r w:rsidR="00264008">
        <w:rPr>
          <w:rFonts w:ascii="Arial" w:hAnsi="Arial" w:cs="Arial"/>
          <w:bCs/>
          <w:sz w:val="22"/>
          <w:szCs w:val="22"/>
        </w:rPr>
        <w:t xml:space="preserve"> in the main defence</w:t>
      </w:r>
      <w:r w:rsidRPr="00264008">
        <w:rPr>
          <w:rFonts w:ascii="Arial" w:hAnsi="Arial" w:cs="Arial"/>
          <w:bCs/>
          <w:sz w:val="22"/>
          <w:szCs w:val="22"/>
        </w:rPr>
        <w:t xml:space="preserve">.  It was not SARS case that a portion of the amount was deductible </w:t>
      </w:r>
      <w:r w:rsidRPr="00264008">
        <w:rPr>
          <w:rFonts w:ascii="Arial" w:hAnsi="Arial" w:cs="Arial"/>
          <w:bCs/>
          <w:i/>
          <w:sz w:val="22"/>
          <w:szCs w:val="22"/>
        </w:rPr>
        <w:t xml:space="preserve">as having been incurred in the production of income </w:t>
      </w:r>
      <w:r w:rsidRPr="00264008">
        <w:rPr>
          <w:rFonts w:ascii="Arial" w:hAnsi="Arial" w:cs="Arial"/>
          <w:bCs/>
          <w:sz w:val="22"/>
          <w:szCs w:val="22"/>
        </w:rPr>
        <w:t xml:space="preserve">and a portion was not deductible as being </w:t>
      </w:r>
      <w:r w:rsidRPr="00264008">
        <w:rPr>
          <w:rFonts w:ascii="Arial" w:hAnsi="Arial" w:cs="Arial"/>
          <w:bCs/>
          <w:i/>
          <w:iCs/>
          <w:sz w:val="22"/>
          <w:szCs w:val="22"/>
        </w:rPr>
        <w:t>capital in nature</w:t>
      </w:r>
      <w:r w:rsidRPr="00264008">
        <w:rPr>
          <w:rFonts w:ascii="Arial" w:hAnsi="Arial" w:cs="Arial"/>
          <w:bCs/>
          <w:sz w:val="22"/>
          <w:szCs w:val="22"/>
        </w:rPr>
        <w:t>. It was either the one or the other.</w:t>
      </w:r>
      <w:r w:rsidR="001F159C" w:rsidRPr="00264008">
        <w:rPr>
          <w:rFonts w:ascii="Arial" w:hAnsi="Arial" w:cs="Arial"/>
          <w:bCs/>
          <w:sz w:val="22"/>
          <w:szCs w:val="22"/>
        </w:rPr>
        <w:t xml:space="preserve">  If</w:t>
      </w:r>
      <w:r w:rsidRPr="00264008">
        <w:rPr>
          <w:rFonts w:ascii="Arial" w:hAnsi="Arial" w:cs="Arial"/>
          <w:bCs/>
          <w:sz w:val="22"/>
          <w:szCs w:val="22"/>
        </w:rPr>
        <w:t xml:space="preserve"> the Tax court would have found that the amount was indeed deductible as having been incurred in the production of income</w:t>
      </w:r>
      <w:r w:rsidR="001F159C" w:rsidRPr="00264008">
        <w:rPr>
          <w:rFonts w:ascii="Arial" w:hAnsi="Arial" w:cs="Arial"/>
          <w:bCs/>
          <w:sz w:val="22"/>
          <w:szCs w:val="22"/>
        </w:rPr>
        <w:t xml:space="preserve"> such a finding would affect the nature of the hole amount, not only a portion thereof. The converse is also applicable. Thus a finding that </w:t>
      </w:r>
      <w:r w:rsidRPr="00264008">
        <w:rPr>
          <w:rFonts w:ascii="Arial" w:hAnsi="Arial" w:cs="Arial"/>
          <w:bCs/>
          <w:sz w:val="22"/>
          <w:szCs w:val="22"/>
        </w:rPr>
        <w:t xml:space="preserve">only the amount of R7 997 663.05 was actually incurred in the 2014 year </w:t>
      </w:r>
      <w:r w:rsidRPr="00264008">
        <w:rPr>
          <w:rFonts w:ascii="Arial" w:hAnsi="Arial" w:cs="Arial"/>
          <w:bCs/>
          <w:sz w:val="22"/>
          <w:szCs w:val="22"/>
        </w:rPr>
        <w:lastRenderedPageBreak/>
        <w:t>of assessment</w:t>
      </w:r>
      <w:r w:rsidR="001F159C" w:rsidRPr="00264008">
        <w:rPr>
          <w:rFonts w:ascii="Arial" w:hAnsi="Arial" w:cs="Arial"/>
          <w:bCs/>
          <w:sz w:val="22"/>
          <w:szCs w:val="22"/>
        </w:rPr>
        <w:t xml:space="preserve"> as having been incurred in the production of income</w:t>
      </w:r>
      <w:r w:rsidRPr="00264008">
        <w:rPr>
          <w:rFonts w:ascii="Arial" w:hAnsi="Arial" w:cs="Arial"/>
          <w:bCs/>
          <w:sz w:val="22"/>
          <w:szCs w:val="22"/>
        </w:rPr>
        <w:t xml:space="preserve">, by implication would have </w:t>
      </w:r>
      <w:r w:rsidR="001F159C" w:rsidRPr="00264008">
        <w:rPr>
          <w:rFonts w:ascii="Arial" w:hAnsi="Arial" w:cs="Arial"/>
          <w:bCs/>
          <w:sz w:val="22"/>
          <w:szCs w:val="22"/>
        </w:rPr>
        <w:t>resulted in a finding</w:t>
      </w:r>
      <w:r w:rsidRPr="00264008">
        <w:rPr>
          <w:rFonts w:ascii="Arial" w:hAnsi="Arial" w:cs="Arial"/>
          <w:bCs/>
          <w:sz w:val="22"/>
          <w:szCs w:val="22"/>
        </w:rPr>
        <w:t xml:space="preserve"> that the balance of </w:t>
      </w:r>
      <w:r w:rsidRPr="00264008">
        <w:rPr>
          <w:rFonts w:ascii="Arial" w:hAnsi="Arial" w:cs="Arial"/>
          <w:iCs/>
          <w:sz w:val="22"/>
          <w:szCs w:val="22"/>
        </w:rPr>
        <w:t xml:space="preserve">R10 154 940.00 had also been </w:t>
      </w:r>
      <w:r w:rsidRPr="00264008">
        <w:rPr>
          <w:rFonts w:ascii="Arial" w:hAnsi="Arial" w:cs="Arial"/>
          <w:bCs/>
          <w:sz w:val="22"/>
          <w:szCs w:val="22"/>
        </w:rPr>
        <w:t>incurred in the production of income, albeit during the 2015 year of assessment. This would have been an inevitable result of the Tax court finding</w:t>
      </w:r>
      <w:r w:rsidR="001F159C" w:rsidRPr="00264008">
        <w:rPr>
          <w:rFonts w:ascii="Arial" w:hAnsi="Arial" w:cs="Arial"/>
          <w:bCs/>
          <w:sz w:val="22"/>
          <w:szCs w:val="22"/>
        </w:rPr>
        <w:t>s on SARS defences</w:t>
      </w:r>
      <w:r w:rsidRPr="00264008">
        <w:rPr>
          <w:rFonts w:ascii="Arial" w:hAnsi="Arial" w:cs="Arial"/>
          <w:bCs/>
          <w:sz w:val="22"/>
          <w:szCs w:val="22"/>
        </w:rPr>
        <w:t>.</w:t>
      </w:r>
    </w:p>
    <w:p w14:paraId="7960868A" w14:textId="77777777" w:rsidR="00EC34D7" w:rsidRPr="00264008" w:rsidRDefault="004E7283" w:rsidP="00D12BEB">
      <w:pPr>
        <w:spacing w:line="480" w:lineRule="auto"/>
        <w:ind w:left="567" w:hanging="567"/>
        <w:jc w:val="both"/>
        <w:rPr>
          <w:rFonts w:ascii="Arial" w:hAnsi="Arial" w:cs="Arial"/>
          <w:bCs/>
          <w:sz w:val="22"/>
          <w:szCs w:val="22"/>
        </w:rPr>
      </w:pPr>
      <w:r w:rsidRPr="00264008">
        <w:rPr>
          <w:rFonts w:ascii="Arial" w:hAnsi="Arial" w:cs="Arial"/>
          <w:bCs/>
          <w:sz w:val="22"/>
          <w:szCs w:val="22"/>
        </w:rPr>
        <w:t>[</w:t>
      </w:r>
      <w:r w:rsidR="00537939">
        <w:rPr>
          <w:rFonts w:ascii="Arial" w:hAnsi="Arial" w:cs="Arial"/>
          <w:bCs/>
          <w:sz w:val="22"/>
          <w:szCs w:val="22"/>
        </w:rPr>
        <w:t>83</w:t>
      </w:r>
      <w:r w:rsidRPr="00264008">
        <w:rPr>
          <w:rFonts w:ascii="Arial" w:hAnsi="Arial" w:cs="Arial"/>
          <w:bCs/>
          <w:sz w:val="22"/>
          <w:szCs w:val="22"/>
        </w:rPr>
        <w:t>]</w:t>
      </w:r>
      <w:r w:rsidRPr="00264008">
        <w:rPr>
          <w:rFonts w:ascii="Arial" w:hAnsi="Arial" w:cs="Arial"/>
          <w:bCs/>
          <w:sz w:val="22"/>
          <w:szCs w:val="22"/>
        </w:rPr>
        <w:tab/>
      </w:r>
      <w:r w:rsidR="00EC34D7" w:rsidRPr="00264008">
        <w:rPr>
          <w:rFonts w:ascii="Arial" w:hAnsi="Arial" w:cs="Arial"/>
          <w:bCs/>
          <w:sz w:val="22"/>
          <w:szCs w:val="22"/>
        </w:rPr>
        <w:t xml:space="preserve">In the premises although the Tax court would only be seized with the dispute relating to the 2014 year of assessment, in arriving at its findings it would also provide certainty, albeit </w:t>
      </w:r>
      <w:r w:rsidR="00264008">
        <w:rPr>
          <w:rFonts w:ascii="Arial" w:hAnsi="Arial" w:cs="Arial"/>
          <w:bCs/>
          <w:sz w:val="22"/>
          <w:szCs w:val="22"/>
        </w:rPr>
        <w:t>indirectly</w:t>
      </w:r>
      <w:r w:rsidR="00EC34D7" w:rsidRPr="00264008">
        <w:rPr>
          <w:rFonts w:ascii="Arial" w:hAnsi="Arial" w:cs="Arial"/>
          <w:bCs/>
          <w:sz w:val="22"/>
          <w:szCs w:val="22"/>
        </w:rPr>
        <w:t>,  in respect of the said deduction for the 2015 year of assessment</w:t>
      </w:r>
      <w:r w:rsidR="006B50F4" w:rsidRPr="00264008">
        <w:rPr>
          <w:rFonts w:ascii="Arial" w:hAnsi="Arial" w:cs="Arial"/>
          <w:bCs/>
          <w:sz w:val="22"/>
          <w:szCs w:val="22"/>
        </w:rPr>
        <w:t>, both in respect of the nature of the deduction and the amount</w:t>
      </w:r>
      <w:r w:rsidR="00EC34D7" w:rsidRPr="00264008">
        <w:rPr>
          <w:rFonts w:ascii="Arial" w:hAnsi="Arial" w:cs="Arial"/>
          <w:bCs/>
          <w:sz w:val="22"/>
          <w:szCs w:val="22"/>
        </w:rPr>
        <w:t>.</w:t>
      </w:r>
    </w:p>
    <w:p w14:paraId="0716572B" w14:textId="77777777" w:rsidR="00020193" w:rsidRPr="00264008" w:rsidRDefault="00EC34D7" w:rsidP="00D12BEB">
      <w:pPr>
        <w:spacing w:line="480" w:lineRule="auto"/>
        <w:ind w:left="567" w:hanging="567"/>
        <w:jc w:val="both"/>
        <w:rPr>
          <w:rFonts w:ascii="Arial" w:hAnsi="Arial" w:cs="Arial"/>
          <w:bCs/>
          <w:sz w:val="22"/>
          <w:szCs w:val="22"/>
        </w:rPr>
      </w:pPr>
      <w:r w:rsidRPr="00264008">
        <w:rPr>
          <w:rFonts w:ascii="Arial" w:hAnsi="Arial" w:cs="Arial"/>
          <w:bCs/>
          <w:sz w:val="22"/>
          <w:szCs w:val="22"/>
        </w:rPr>
        <w:t>[</w:t>
      </w:r>
      <w:r w:rsidR="00264008">
        <w:rPr>
          <w:rFonts w:ascii="Arial" w:hAnsi="Arial" w:cs="Arial"/>
          <w:bCs/>
          <w:sz w:val="22"/>
          <w:szCs w:val="22"/>
        </w:rPr>
        <w:t>8</w:t>
      </w:r>
      <w:r w:rsidR="00537939">
        <w:rPr>
          <w:rFonts w:ascii="Arial" w:hAnsi="Arial" w:cs="Arial"/>
          <w:bCs/>
          <w:sz w:val="22"/>
          <w:szCs w:val="22"/>
        </w:rPr>
        <w:t>4</w:t>
      </w:r>
      <w:r w:rsidRPr="00264008">
        <w:rPr>
          <w:rFonts w:ascii="Arial" w:hAnsi="Arial" w:cs="Arial"/>
          <w:bCs/>
          <w:sz w:val="22"/>
          <w:szCs w:val="22"/>
        </w:rPr>
        <w:t>]</w:t>
      </w:r>
      <w:r w:rsidRPr="00264008">
        <w:rPr>
          <w:rFonts w:ascii="Arial" w:hAnsi="Arial" w:cs="Arial"/>
          <w:bCs/>
          <w:sz w:val="22"/>
          <w:szCs w:val="22"/>
        </w:rPr>
        <w:tab/>
      </w:r>
      <w:r w:rsidR="004E7283" w:rsidRPr="00264008">
        <w:rPr>
          <w:rFonts w:ascii="Arial" w:hAnsi="Arial" w:cs="Arial"/>
          <w:bCs/>
          <w:sz w:val="22"/>
          <w:szCs w:val="22"/>
        </w:rPr>
        <w:t>For reasons unbeknown to this court, both parties decided to compromise their dispute before the Tax court and not to have the proceedings run their course</w:t>
      </w:r>
      <w:r w:rsidR="001F159C" w:rsidRPr="00264008">
        <w:rPr>
          <w:rFonts w:ascii="Arial" w:hAnsi="Arial" w:cs="Arial"/>
          <w:bCs/>
          <w:sz w:val="22"/>
          <w:szCs w:val="22"/>
        </w:rPr>
        <w:t xml:space="preserve"> before the Tax Court</w:t>
      </w:r>
      <w:r w:rsidR="004E7283" w:rsidRPr="00264008">
        <w:rPr>
          <w:rFonts w:ascii="Arial" w:hAnsi="Arial" w:cs="Arial"/>
          <w:bCs/>
          <w:sz w:val="22"/>
          <w:szCs w:val="22"/>
        </w:rPr>
        <w:t>.</w:t>
      </w:r>
      <w:r w:rsidR="00020193" w:rsidRPr="00264008">
        <w:rPr>
          <w:rFonts w:ascii="Arial" w:hAnsi="Arial" w:cs="Arial"/>
          <w:bCs/>
          <w:sz w:val="22"/>
          <w:szCs w:val="22"/>
        </w:rPr>
        <w:t xml:space="preserve"> SARS was able and competent to enter into such a compromise.</w:t>
      </w:r>
      <w:r w:rsidR="00020193" w:rsidRPr="00264008">
        <w:rPr>
          <w:rStyle w:val="FootnoteReference"/>
          <w:rFonts w:ascii="Arial" w:hAnsi="Arial" w:cs="Arial"/>
          <w:bCs/>
          <w:sz w:val="22"/>
          <w:szCs w:val="22"/>
        </w:rPr>
        <w:footnoteReference w:id="37"/>
      </w:r>
    </w:p>
    <w:p w14:paraId="7F1AC9FC" w14:textId="77777777" w:rsidR="00830C41" w:rsidRPr="00264008" w:rsidRDefault="00830C41" w:rsidP="00D12BEB">
      <w:pPr>
        <w:spacing w:line="480" w:lineRule="auto"/>
        <w:ind w:left="567" w:hanging="567"/>
        <w:jc w:val="both"/>
        <w:rPr>
          <w:rFonts w:ascii="Verdana" w:hAnsi="Verdana"/>
          <w:color w:val="000000"/>
          <w:sz w:val="22"/>
          <w:szCs w:val="22"/>
        </w:rPr>
      </w:pPr>
      <w:r w:rsidRPr="00264008">
        <w:rPr>
          <w:rFonts w:ascii="Arial" w:hAnsi="Arial" w:cs="Arial"/>
          <w:bCs/>
          <w:sz w:val="22"/>
          <w:szCs w:val="22"/>
        </w:rPr>
        <w:t>[</w:t>
      </w:r>
      <w:r w:rsidR="00264008">
        <w:rPr>
          <w:rFonts w:ascii="Arial" w:hAnsi="Arial" w:cs="Arial"/>
          <w:bCs/>
          <w:sz w:val="22"/>
          <w:szCs w:val="22"/>
        </w:rPr>
        <w:t>8</w:t>
      </w:r>
      <w:r w:rsidR="00537939">
        <w:rPr>
          <w:rFonts w:ascii="Arial" w:hAnsi="Arial" w:cs="Arial"/>
          <w:bCs/>
          <w:sz w:val="22"/>
          <w:szCs w:val="22"/>
        </w:rPr>
        <w:t>5</w:t>
      </w:r>
      <w:r w:rsidRPr="00264008">
        <w:rPr>
          <w:rFonts w:ascii="Arial" w:hAnsi="Arial" w:cs="Arial"/>
          <w:bCs/>
          <w:sz w:val="22"/>
          <w:szCs w:val="22"/>
        </w:rPr>
        <w:t>]</w:t>
      </w:r>
      <w:r w:rsidRPr="00264008">
        <w:rPr>
          <w:rFonts w:ascii="Arial" w:hAnsi="Arial" w:cs="Arial"/>
          <w:bCs/>
          <w:sz w:val="22"/>
          <w:szCs w:val="22"/>
        </w:rPr>
        <w:tab/>
      </w:r>
      <w:r w:rsidRPr="00264008">
        <w:rPr>
          <w:rFonts w:ascii="Arial" w:hAnsi="Arial" w:cs="Arial"/>
          <w:color w:val="000000"/>
          <w:sz w:val="22"/>
          <w:szCs w:val="22"/>
        </w:rPr>
        <w:t>The practice of   making settlement agreements is well established and has existed for a long time in South Africa. In </w:t>
      </w:r>
      <w:r w:rsidRPr="00804E55">
        <w:rPr>
          <w:rFonts w:ascii="Arial" w:hAnsi="Arial" w:cs="Arial"/>
          <w:b/>
          <w:bCs/>
          <w:i/>
          <w:iCs/>
          <w:color w:val="000000"/>
          <w:sz w:val="22"/>
          <w:szCs w:val="22"/>
        </w:rPr>
        <w:t xml:space="preserve">Van Schalkwyk </w:t>
      </w:r>
      <w:r w:rsidR="00264008" w:rsidRPr="00804E55">
        <w:rPr>
          <w:rFonts w:ascii="Arial" w:hAnsi="Arial" w:cs="Arial"/>
          <w:b/>
          <w:bCs/>
          <w:i/>
          <w:iCs/>
          <w:color w:val="000000"/>
          <w:sz w:val="22"/>
          <w:szCs w:val="22"/>
        </w:rPr>
        <w:t xml:space="preserve">v Van Schalkwyk </w:t>
      </w:r>
      <w:r w:rsidRPr="00264008">
        <w:rPr>
          <w:rFonts w:ascii="Arial" w:hAnsi="Arial" w:cs="Arial"/>
          <w:color w:val="000000"/>
          <w:sz w:val="22"/>
          <w:szCs w:val="22"/>
        </w:rPr>
        <w:t>the court said '</w:t>
      </w:r>
      <w:r w:rsidRPr="00264008">
        <w:rPr>
          <w:rFonts w:ascii="Arial" w:hAnsi="Arial" w:cs="Arial"/>
          <w:i/>
          <w:iCs/>
          <w:color w:val="000000"/>
          <w:sz w:val="22"/>
          <w:szCs w:val="22"/>
        </w:rPr>
        <w:t>(t)he tradition of such orders is very strong in our legal system</w:t>
      </w:r>
      <w:r w:rsidRPr="00535060">
        <w:rPr>
          <w:rFonts w:ascii="Arial" w:hAnsi="Arial" w:cs="Arial"/>
          <w:i/>
          <w:iCs/>
          <w:color w:val="000000"/>
          <w:sz w:val="22"/>
          <w:szCs w:val="22"/>
        </w:rPr>
        <w:t>'.</w:t>
      </w:r>
      <w:bookmarkStart w:id="12" w:name="0-0-0-171801"/>
      <w:bookmarkEnd w:id="12"/>
      <w:r w:rsidRPr="00535060">
        <w:rPr>
          <w:rStyle w:val="FootnoteReference"/>
          <w:rFonts w:ascii="Arial" w:hAnsi="Arial" w:cs="Arial"/>
          <w:color w:val="000000"/>
          <w:sz w:val="22"/>
          <w:szCs w:val="22"/>
        </w:rPr>
        <w:footnoteReference w:id="38"/>
      </w:r>
    </w:p>
    <w:p w14:paraId="41C3BFAF" w14:textId="77777777" w:rsidR="00681CD8" w:rsidRPr="00264008" w:rsidRDefault="004E7283" w:rsidP="00D12BEB">
      <w:pPr>
        <w:spacing w:line="480" w:lineRule="auto"/>
        <w:ind w:left="567" w:hanging="567"/>
        <w:jc w:val="both"/>
        <w:rPr>
          <w:rFonts w:ascii="Arial" w:hAnsi="Arial" w:cs="Arial"/>
          <w:sz w:val="22"/>
          <w:szCs w:val="22"/>
        </w:rPr>
      </w:pPr>
      <w:r w:rsidRPr="00264008">
        <w:rPr>
          <w:rFonts w:ascii="Arial" w:hAnsi="Arial" w:cs="Arial"/>
          <w:bCs/>
          <w:sz w:val="22"/>
          <w:szCs w:val="22"/>
        </w:rPr>
        <w:t>[</w:t>
      </w:r>
      <w:r w:rsidR="00264008">
        <w:rPr>
          <w:rFonts w:ascii="Arial" w:hAnsi="Arial" w:cs="Arial"/>
          <w:bCs/>
          <w:sz w:val="22"/>
          <w:szCs w:val="22"/>
        </w:rPr>
        <w:t>8</w:t>
      </w:r>
      <w:r w:rsidR="00537939">
        <w:rPr>
          <w:rFonts w:ascii="Arial" w:hAnsi="Arial" w:cs="Arial"/>
          <w:bCs/>
          <w:sz w:val="22"/>
          <w:szCs w:val="22"/>
        </w:rPr>
        <w:t>6</w:t>
      </w:r>
      <w:r w:rsidRPr="00264008">
        <w:rPr>
          <w:rFonts w:ascii="Arial" w:hAnsi="Arial" w:cs="Arial"/>
          <w:bCs/>
          <w:sz w:val="22"/>
          <w:szCs w:val="22"/>
        </w:rPr>
        <w:t>]</w:t>
      </w:r>
      <w:r w:rsidR="00EC34D7" w:rsidRPr="00264008">
        <w:rPr>
          <w:rFonts w:ascii="Arial" w:hAnsi="Arial" w:cs="Arial"/>
          <w:bCs/>
          <w:sz w:val="22"/>
          <w:szCs w:val="22"/>
        </w:rPr>
        <w:tab/>
      </w:r>
      <w:r w:rsidR="00681CD8" w:rsidRPr="00264008">
        <w:rPr>
          <w:rFonts w:ascii="Arial" w:hAnsi="Arial" w:cs="Arial"/>
          <w:sz w:val="22"/>
          <w:szCs w:val="22"/>
        </w:rPr>
        <w:t>It is apparent that</w:t>
      </w:r>
      <w:r w:rsidR="00463E15" w:rsidRPr="00264008">
        <w:rPr>
          <w:rFonts w:ascii="Arial" w:hAnsi="Arial" w:cs="Arial"/>
          <w:sz w:val="22"/>
          <w:szCs w:val="22"/>
        </w:rPr>
        <w:t xml:space="preserve"> t</w:t>
      </w:r>
      <w:r w:rsidR="00681CD8" w:rsidRPr="00264008">
        <w:rPr>
          <w:rFonts w:ascii="Arial" w:hAnsi="Arial" w:cs="Arial"/>
          <w:sz w:val="22"/>
          <w:szCs w:val="22"/>
        </w:rPr>
        <w:t>he parties reached a settlement, which settlement was t</w:t>
      </w:r>
      <w:r w:rsidR="00020193" w:rsidRPr="00264008">
        <w:rPr>
          <w:rFonts w:ascii="Arial" w:hAnsi="Arial" w:cs="Arial"/>
          <w:sz w:val="22"/>
          <w:szCs w:val="22"/>
        </w:rPr>
        <w:t>h</w:t>
      </w:r>
      <w:r w:rsidR="00681CD8" w:rsidRPr="00264008">
        <w:rPr>
          <w:rFonts w:ascii="Arial" w:hAnsi="Arial" w:cs="Arial"/>
          <w:sz w:val="22"/>
          <w:szCs w:val="22"/>
        </w:rPr>
        <w:t>er</w:t>
      </w:r>
      <w:r w:rsidR="00020193" w:rsidRPr="00264008">
        <w:rPr>
          <w:rFonts w:ascii="Arial" w:hAnsi="Arial" w:cs="Arial"/>
          <w:sz w:val="22"/>
          <w:szCs w:val="22"/>
        </w:rPr>
        <w:t>e</w:t>
      </w:r>
      <w:r w:rsidR="00681CD8" w:rsidRPr="00264008">
        <w:rPr>
          <w:rFonts w:ascii="Arial" w:hAnsi="Arial" w:cs="Arial"/>
          <w:sz w:val="22"/>
          <w:szCs w:val="22"/>
        </w:rPr>
        <w:t>after incorporated in a consent order by the Tax Court</w:t>
      </w:r>
      <w:r w:rsidR="00681CD8" w:rsidRPr="00264008">
        <w:rPr>
          <w:rStyle w:val="FootnoteReference"/>
          <w:rFonts w:ascii="Arial" w:hAnsi="Arial" w:cs="Arial"/>
          <w:sz w:val="22"/>
          <w:szCs w:val="22"/>
        </w:rPr>
        <w:footnoteReference w:id="39"/>
      </w:r>
      <w:r w:rsidR="00681CD8" w:rsidRPr="00264008">
        <w:rPr>
          <w:rFonts w:ascii="Arial" w:hAnsi="Arial" w:cs="Arial"/>
          <w:sz w:val="22"/>
          <w:szCs w:val="22"/>
        </w:rPr>
        <w:t xml:space="preserve">. Part of the settlement </w:t>
      </w:r>
      <w:r w:rsidR="00EC34D7" w:rsidRPr="00264008">
        <w:rPr>
          <w:rFonts w:ascii="Arial" w:hAnsi="Arial" w:cs="Arial"/>
          <w:sz w:val="22"/>
          <w:szCs w:val="22"/>
        </w:rPr>
        <w:t>agreement</w:t>
      </w:r>
      <w:r w:rsidR="00681CD8" w:rsidRPr="00264008">
        <w:rPr>
          <w:rFonts w:ascii="Arial" w:hAnsi="Arial" w:cs="Arial"/>
          <w:sz w:val="22"/>
          <w:szCs w:val="22"/>
        </w:rPr>
        <w:t>, as contained in paragraph 6 of the consent order,</w:t>
      </w:r>
      <w:r w:rsidR="00EC34D7" w:rsidRPr="00264008">
        <w:rPr>
          <w:rFonts w:ascii="Arial" w:hAnsi="Arial" w:cs="Arial"/>
          <w:sz w:val="22"/>
          <w:szCs w:val="22"/>
        </w:rPr>
        <w:t xml:space="preserve"> provided</w:t>
      </w:r>
      <w:r w:rsidR="00681CD8" w:rsidRPr="00264008">
        <w:rPr>
          <w:rFonts w:ascii="Arial" w:hAnsi="Arial" w:cs="Arial"/>
          <w:sz w:val="22"/>
          <w:szCs w:val="22"/>
        </w:rPr>
        <w:t>:</w:t>
      </w:r>
    </w:p>
    <w:p w14:paraId="0D9D6F39" w14:textId="77777777" w:rsidR="00EC34D7" w:rsidRPr="00264008" w:rsidRDefault="00EC34D7" w:rsidP="00681CD8">
      <w:pPr>
        <w:spacing w:line="480" w:lineRule="auto"/>
        <w:ind w:left="1560" w:hanging="426"/>
        <w:jc w:val="both"/>
        <w:rPr>
          <w:rFonts w:ascii="Arial" w:hAnsi="Arial" w:cs="Arial"/>
          <w:i/>
          <w:sz w:val="18"/>
          <w:szCs w:val="18"/>
        </w:rPr>
      </w:pPr>
      <w:r w:rsidRPr="00264008">
        <w:rPr>
          <w:rFonts w:ascii="Arial" w:hAnsi="Arial" w:cs="Arial"/>
          <w:i/>
          <w:iCs/>
          <w:sz w:val="18"/>
          <w:szCs w:val="18"/>
        </w:rPr>
        <w:t>“</w:t>
      </w:r>
      <w:r w:rsidR="00681CD8" w:rsidRPr="00264008">
        <w:rPr>
          <w:rFonts w:ascii="Arial" w:hAnsi="Arial" w:cs="Arial"/>
          <w:i/>
          <w:iCs/>
          <w:sz w:val="18"/>
          <w:szCs w:val="18"/>
        </w:rPr>
        <w:t>6.</w:t>
      </w:r>
      <w:r w:rsidR="00681CD8" w:rsidRPr="00264008">
        <w:rPr>
          <w:rFonts w:ascii="Arial" w:hAnsi="Arial" w:cs="Arial"/>
          <w:i/>
          <w:iCs/>
          <w:sz w:val="18"/>
          <w:szCs w:val="18"/>
        </w:rPr>
        <w:tab/>
      </w:r>
      <w:r w:rsidR="00681CD8" w:rsidRPr="00264008">
        <w:rPr>
          <w:rFonts w:ascii="Arial" w:hAnsi="Arial" w:cs="Arial"/>
          <w:i/>
          <w:sz w:val="18"/>
          <w:szCs w:val="18"/>
        </w:rPr>
        <w:t>T</w:t>
      </w:r>
      <w:r w:rsidRPr="00264008">
        <w:rPr>
          <w:rFonts w:ascii="Arial" w:hAnsi="Arial" w:cs="Arial"/>
          <w:i/>
          <w:sz w:val="18"/>
          <w:szCs w:val="18"/>
        </w:rPr>
        <w:t>hat the issues pertaining to the deductibility of the amount referred to in paragraph 4 above, as it may relate to the 2015 year of assessment, being R10 154 940.00, fall outside of the issues in this tax appeal. The appellant may endeavour to address such issues in terms of section 93 of the ITA;”.</w:t>
      </w:r>
    </w:p>
    <w:p w14:paraId="6BC09E98" w14:textId="77777777" w:rsidR="00463E15" w:rsidRPr="00264008" w:rsidRDefault="00EC34D7" w:rsidP="00D12BEB">
      <w:pPr>
        <w:spacing w:line="480" w:lineRule="auto"/>
        <w:ind w:left="567" w:hanging="567"/>
        <w:jc w:val="both"/>
        <w:rPr>
          <w:rFonts w:ascii="Arial" w:hAnsi="Arial" w:cs="Arial"/>
          <w:bCs/>
          <w:sz w:val="22"/>
          <w:szCs w:val="22"/>
        </w:rPr>
      </w:pPr>
      <w:r w:rsidRPr="00264008">
        <w:rPr>
          <w:rFonts w:ascii="Arial" w:hAnsi="Arial" w:cs="Arial"/>
          <w:bCs/>
          <w:sz w:val="22"/>
          <w:szCs w:val="22"/>
        </w:rPr>
        <w:t>[</w:t>
      </w:r>
      <w:r w:rsidR="00264008">
        <w:rPr>
          <w:rFonts w:ascii="Arial" w:hAnsi="Arial" w:cs="Arial"/>
          <w:bCs/>
          <w:sz w:val="22"/>
          <w:szCs w:val="22"/>
        </w:rPr>
        <w:t>8</w:t>
      </w:r>
      <w:r w:rsidR="00537939">
        <w:rPr>
          <w:rFonts w:ascii="Arial" w:hAnsi="Arial" w:cs="Arial"/>
          <w:bCs/>
          <w:sz w:val="22"/>
          <w:szCs w:val="22"/>
        </w:rPr>
        <w:t>7</w:t>
      </w:r>
      <w:r w:rsidRPr="00264008">
        <w:rPr>
          <w:rFonts w:ascii="Arial" w:hAnsi="Arial" w:cs="Arial"/>
          <w:bCs/>
          <w:sz w:val="22"/>
          <w:szCs w:val="22"/>
        </w:rPr>
        <w:t>]</w:t>
      </w:r>
      <w:r w:rsidRPr="00264008">
        <w:rPr>
          <w:rFonts w:ascii="Arial" w:hAnsi="Arial" w:cs="Arial"/>
          <w:bCs/>
          <w:sz w:val="22"/>
          <w:szCs w:val="22"/>
        </w:rPr>
        <w:tab/>
        <w:t xml:space="preserve">Having regard to what I have stated above one can understand that this paragraph was included. </w:t>
      </w:r>
      <w:r w:rsidR="006B50F4" w:rsidRPr="00264008">
        <w:rPr>
          <w:rFonts w:ascii="Arial" w:hAnsi="Arial" w:cs="Arial"/>
          <w:bCs/>
          <w:sz w:val="22"/>
          <w:szCs w:val="22"/>
        </w:rPr>
        <w:t xml:space="preserve">In reaching their compromise the parties at the very least </w:t>
      </w:r>
      <w:r w:rsidR="00264008">
        <w:rPr>
          <w:rFonts w:ascii="Arial" w:hAnsi="Arial" w:cs="Arial"/>
          <w:bCs/>
          <w:sz w:val="22"/>
          <w:szCs w:val="22"/>
        </w:rPr>
        <w:t xml:space="preserve">indirectly </w:t>
      </w:r>
      <w:r w:rsidR="006B50F4" w:rsidRPr="00264008">
        <w:rPr>
          <w:rFonts w:ascii="Arial" w:hAnsi="Arial" w:cs="Arial"/>
          <w:bCs/>
          <w:sz w:val="22"/>
          <w:szCs w:val="22"/>
        </w:rPr>
        <w:t>resolved the nature of the deduction, the amount of the deduction and that the said amount</w:t>
      </w:r>
      <w:r w:rsidR="00681CD8" w:rsidRPr="00264008">
        <w:rPr>
          <w:rFonts w:ascii="Arial" w:hAnsi="Arial" w:cs="Arial"/>
          <w:bCs/>
          <w:sz w:val="22"/>
          <w:szCs w:val="22"/>
        </w:rPr>
        <w:t xml:space="preserve"> (as the </w:t>
      </w:r>
      <w:r w:rsidR="00681CD8" w:rsidRPr="00264008">
        <w:rPr>
          <w:rFonts w:ascii="Arial" w:hAnsi="Arial" w:cs="Arial"/>
          <w:bCs/>
          <w:sz w:val="22"/>
          <w:szCs w:val="22"/>
        </w:rPr>
        <w:lastRenderedPageBreak/>
        <w:t>balance)</w:t>
      </w:r>
      <w:r w:rsidR="006B50F4" w:rsidRPr="00264008">
        <w:rPr>
          <w:rFonts w:ascii="Arial" w:hAnsi="Arial" w:cs="Arial"/>
          <w:bCs/>
          <w:sz w:val="22"/>
          <w:szCs w:val="22"/>
        </w:rPr>
        <w:t xml:space="preserve"> was incurred in 2015</w:t>
      </w:r>
      <w:r w:rsidR="00463E15" w:rsidRPr="00264008">
        <w:rPr>
          <w:rFonts w:ascii="Arial" w:hAnsi="Arial" w:cs="Arial"/>
          <w:bCs/>
          <w:sz w:val="22"/>
          <w:szCs w:val="22"/>
        </w:rPr>
        <w:t>, which issues were directly linked to the same issues between the parties in respect of I-cat’s 2014 year of assessment</w:t>
      </w:r>
      <w:r w:rsidR="006B50F4" w:rsidRPr="00264008">
        <w:rPr>
          <w:rFonts w:ascii="Arial" w:hAnsi="Arial" w:cs="Arial"/>
          <w:bCs/>
          <w:sz w:val="22"/>
          <w:szCs w:val="22"/>
        </w:rPr>
        <w:t xml:space="preserve">. The same reasoning as referred to in paragraphs </w:t>
      </w:r>
      <w:r w:rsidR="00264008">
        <w:rPr>
          <w:rFonts w:ascii="Arial" w:hAnsi="Arial" w:cs="Arial"/>
          <w:bCs/>
          <w:sz w:val="22"/>
          <w:szCs w:val="22"/>
        </w:rPr>
        <w:t>77</w:t>
      </w:r>
      <w:r w:rsidR="006B50F4" w:rsidRPr="00264008">
        <w:rPr>
          <w:rFonts w:ascii="Arial" w:hAnsi="Arial" w:cs="Arial"/>
          <w:bCs/>
          <w:sz w:val="22"/>
          <w:szCs w:val="22"/>
        </w:rPr>
        <w:t xml:space="preserve"> to 7</w:t>
      </w:r>
      <w:r w:rsidR="00264008">
        <w:rPr>
          <w:rFonts w:ascii="Arial" w:hAnsi="Arial" w:cs="Arial"/>
          <w:bCs/>
          <w:sz w:val="22"/>
          <w:szCs w:val="22"/>
        </w:rPr>
        <w:t>9</w:t>
      </w:r>
      <w:r w:rsidR="006B50F4" w:rsidRPr="00264008">
        <w:rPr>
          <w:rFonts w:ascii="Arial" w:hAnsi="Arial" w:cs="Arial"/>
          <w:bCs/>
          <w:sz w:val="22"/>
          <w:szCs w:val="22"/>
        </w:rPr>
        <w:t xml:space="preserve"> above applies. </w:t>
      </w:r>
    </w:p>
    <w:p w14:paraId="57911298" w14:textId="77777777" w:rsidR="00EC34D7" w:rsidRPr="00264008" w:rsidRDefault="00463E15" w:rsidP="00D12BEB">
      <w:pPr>
        <w:spacing w:line="480" w:lineRule="auto"/>
        <w:ind w:left="567" w:hanging="567"/>
        <w:jc w:val="both"/>
        <w:rPr>
          <w:rFonts w:ascii="Arial" w:hAnsi="Arial" w:cs="Arial"/>
          <w:bCs/>
          <w:sz w:val="22"/>
          <w:szCs w:val="22"/>
        </w:rPr>
      </w:pPr>
      <w:r w:rsidRPr="00264008">
        <w:rPr>
          <w:rFonts w:ascii="Arial" w:hAnsi="Arial" w:cs="Arial"/>
          <w:bCs/>
          <w:sz w:val="22"/>
          <w:szCs w:val="22"/>
        </w:rPr>
        <w:t>[8</w:t>
      </w:r>
      <w:r w:rsidR="00537939">
        <w:rPr>
          <w:rFonts w:ascii="Arial" w:hAnsi="Arial" w:cs="Arial"/>
          <w:bCs/>
          <w:sz w:val="22"/>
          <w:szCs w:val="22"/>
        </w:rPr>
        <w:t>8</w:t>
      </w:r>
      <w:r w:rsidRPr="00264008">
        <w:rPr>
          <w:rFonts w:ascii="Arial" w:hAnsi="Arial" w:cs="Arial"/>
          <w:bCs/>
          <w:sz w:val="22"/>
          <w:szCs w:val="22"/>
        </w:rPr>
        <w:t>]</w:t>
      </w:r>
      <w:r w:rsidRPr="00264008">
        <w:rPr>
          <w:rFonts w:ascii="Arial" w:hAnsi="Arial" w:cs="Arial"/>
          <w:bCs/>
          <w:sz w:val="22"/>
          <w:szCs w:val="22"/>
        </w:rPr>
        <w:tab/>
      </w:r>
      <w:r w:rsidR="001F159C" w:rsidRPr="00264008">
        <w:rPr>
          <w:rFonts w:ascii="Arial" w:hAnsi="Arial" w:cs="Arial"/>
          <w:bCs/>
          <w:sz w:val="22"/>
          <w:szCs w:val="22"/>
        </w:rPr>
        <w:t xml:space="preserve">In view of the fact that the Tax </w:t>
      </w:r>
      <w:r w:rsidR="00681CD8" w:rsidRPr="00264008">
        <w:rPr>
          <w:rFonts w:ascii="Arial" w:hAnsi="Arial" w:cs="Arial"/>
          <w:bCs/>
          <w:sz w:val="22"/>
          <w:szCs w:val="22"/>
        </w:rPr>
        <w:t>C</w:t>
      </w:r>
      <w:r w:rsidR="001F159C" w:rsidRPr="00264008">
        <w:rPr>
          <w:rFonts w:ascii="Arial" w:hAnsi="Arial" w:cs="Arial"/>
          <w:bCs/>
          <w:sz w:val="22"/>
          <w:szCs w:val="22"/>
        </w:rPr>
        <w:t xml:space="preserve">ourt was only seized with I-cat’s 2014 year of assessment and in view thereof that </w:t>
      </w:r>
      <w:r w:rsidR="00EC34D7" w:rsidRPr="00264008">
        <w:rPr>
          <w:rFonts w:ascii="Arial" w:hAnsi="Arial" w:cs="Arial"/>
          <w:bCs/>
          <w:sz w:val="22"/>
          <w:szCs w:val="22"/>
        </w:rPr>
        <w:t xml:space="preserve">the Tax court could not formally make any finding in respect of </w:t>
      </w:r>
      <w:r w:rsidR="001F159C" w:rsidRPr="00264008">
        <w:rPr>
          <w:rFonts w:ascii="Arial" w:hAnsi="Arial" w:cs="Arial"/>
          <w:bCs/>
          <w:sz w:val="22"/>
          <w:szCs w:val="22"/>
        </w:rPr>
        <w:t xml:space="preserve">I-cat’s 2015 year of assessment, </w:t>
      </w:r>
      <w:r w:rsidR="00681CD8" w:rsidRPr="00264008">
        <w:rPr>
          <w:rFonts w:ascii="Arial" w:hAnsi="Arial" w:cs="Arial"/>
          <w:bCs/>
          <w:sz w:val="22"/>
          <w:szCs w:val="22"/>
        </w:rPr>
        <w:t xml:space="preserve">I can understand why </w:t>
      </w:r>
      <w:r w:rsidR="001F159C" w:rsidRPr="00264008">
        <w:rPr>
          <w:rFonts w:ascii="Arial" w:hAnsi="Arial" w:cs="Arial"/>
          <w:bCs/>
          <w:sz w:val="22"/>
          <w:szCs w:val="22"/>
        </w:rPr>
        <w:t xml:space="preserve">the parties as part and parcel of their compromise agreed that </w:t>
      </w:r>
      <w:r w:rsidR="00FF521C" w:rsidRPr="00264008">
        <w:rPr>
          <w:rFonts w:ascii="Arial" w:hAnsi="Arial" w:cs="Arial"/>
          <w:bCs/>
          <w:sz w:val="22"/>
          <w:szCs w:val="22"/>
        </w:rPr>
        <w:t xml:space="preserve">the door </w:t>
      </w:r>
      <w:r w:rsidR="001F159C" w:rsidRPr="00264008">
        <w:rPr>
          <w:rFonts w:ascii="Arial" w:hAnsi="Arial" w:cs="Arial"/>
          <w:bCs/>
          <w:sz w:val="22"/>
          <w:szCs w:val="22"/>
        </w:rPr>
        <w:t>remained</w:t>
      </w:r>
      <w:r w:rsidR="00FF521C" w:rsidRPr="00264008">
        <w:rPr>
          <w:rFonts w:ascii="Arial" w:hAnsi="Arial" w:cs="Arial"/>
          <w:bCs/>
          <w:sz w:val="22"/>
          <w:szCs w:val="22"/>
        </w:rPr>
        <w:t xml:space="preserve"> open for I-cat to approach SARS in </w:t>
      </w:r>
      <w:r w:rsidR="001F159C" w:rsidRPr="00264008">
        <w:rPr>
          <w:rFonts w:ascii="Arial" w:hAnsi="Arial" w:cs="Arial"/>
          <w:bCs/>
          <w:sz w:val="22"/>
          <w:szCs w:val="22"/>
        </w:rPr>
        <w:t xml:space="preserve">respect of his 2015 year of assessment </w:t>
      </w:r>
      <w:r w:rsidR="00264008">
        <w:rPr>
          <w:rFonts w:ascii="Arial" w:hAnsi="Arial" w:cs="Arial"/>
          <w:bCs/>
          <w:sz w:val="22"/>
          <w:szCs w:val="22"/>
        </w:rPr>
        <w:t>for a reduced assessment</w:t>
      </w:r>
      <w:r w:rsidR="00181272" w:rsidRPr="00264008">
        <w:rPr>
          <w:rFonts w:ascii="Arial" w:hAnsi="Arial" w:cs="Arial"/>
          <w:bCs/>
          <w:sz w:val="22"/>
          <w:szCs w:val="22"/>
        </w:rPr>
        <w:t xml:space="preserve"> in terms of section 93 of the Tax Administration Act</w:t>
      </w:r>
      <w:r w:rsidR="00681CD8" w:rsidRPr="00264008">
        <w:rPr>
          <w:rFonts w:ascii="Arial" w:hAnsi="Arial" w:cs="Arial"/>
          <w:bCs/>
          <w:sz w:val="22"/>
          <w:szCs w:val="22"/>
        </w:rPr>
        <w:t xml:space="preserve"> and formulated the paragraph as they did</w:t>
      </w:r>
      <w:r w:rsidR="00EC34D7" w:rsidRPr="00264008">
        <w:rPr>
          <w:rFonts w:ascii="Arial" w:hAnsi="Arial" w:cs="Arial"/>
          <w:bCs/>
          <w:sz w:val="22"/>
          <w:szCs w:val="22"/>
        </w:rPr>
        <w:t xml:space="preserve">. </w:t>
      </w:r>
      <w:r w:rsidRPr="00264008">
        <w:rPr>
          <w:rFonts w:ascii="Arial" w:hAnsi="Arial" w:cs="Arial"/>
          <w:bCs/>
          <w:sz w:val="22"/>
          <w:szCs w:val="22"/>
        </w:rPr>
        <w:t>As I have indicated these issues were directly or indirectly linked to what served before the Tax Court.</w:t>
      </w:r>
    </w:p>
    <w:p w14:paraId="73834847" w14:textId="77777777" w:rsidR="00595CFE" w:rsidRPr="00264008" w:rsidRDefault="00463E15" w:rsidP="00D12BEB">
      <w:pPr>
        <w:spacing w:line="480" w:lineRule="auto"/>
        <w:ind w:left="567" w:hanging="567"/>
        <w:jc w:val="both"/>
        <w:rPr>
          <w:rFonts w:ascii="Arial" w:hAnsi="Arial" w:cs="Arial"/>
          <w:color w:val="000000"/>
          <w:sz w:val="22"/>
          <w:szCs w:val="22"/>
        </w:rPr>
      </w:pPr>
      <w:r w:rsidRPr="00264008">
        <w:rPr>
          <w:rFonts w:ascii="Arial" w:hAnsi="Arial" w:cs="Arial"/>
          <w:bCs/>
          <w:sz w:val="22"/>
          <w:szCs w:val="22"/>
        </w:rPr>
        <w:t>[8</w:t>
      </w:r>
      <w:r w:rsidR="00537939">
        <w:rPr>
          <w:rFonts w:ascii="Arial" w:hAnsi="Arial" w:cs="Arial"/>
          <w:bCs/>
          <w:sz w:val="22"/>
          <w:szCs w:val="22"/>
        </w:rPr>
        <w:t>9</w:t>
      </w:r>
      <w:r w:rsidRPr="00264008">
        <w:rPr>
          <w:rFonts w:ascii="Arial" w:hAnsi="Arial" w:cs="Arial"/>
          <w:bCs/>
          <w:sz w:val="22"/>
          <w:szCs w:val="22"/>
        </w:rPr>
        <w:t xml:space="preserve">] </w:t>
      </w:r>
      <w:r w:rsidR="00595CFE" w:rsidRPr="00264008">
        <w:rPr>
          <w:rFonts w:ascii="Arial" w:hAnsi="Arial" w:cs="Arial"/>
          <w:bCs/>
          <w:sz w:val="22"/>
          <w:szCs w:val="22"/>
        </w:rPr>
        <w:tab/>
        <w:t xml:space="preserve">It is also not a strange occurrence that parties agree to include something in a settlement and consent order that is only indirectly linked to the issues. In </w:t>
      </w:r>
      <w:r w:rsidR="00595CFE" w:rsidRPr="00264008">
        <w:rPr>
          <w:rFonts w:ascii="Arial" w:hAnsi="Arial" w:cs="Arial"/>
          <w:b/>
          <w:bCs/>
          <w:color w:val="000000"/>
          <w:sz w:val="22"/>
          <w:szCs w:val="22"/>
        </w:rPr>
        <w:t>EKE v Parsons supra</w:t>
      </w:r>
      <w:r w:rsidR="00595CFE" w:rsidRPr="00264008">
        <w:rPr>
          <w:rFonts w:ascii="Arial" w:hAnsi="Arial" w:cs="Arial"/>
          <w:color w:val="000000"/>
          <w:sz w:val="22"/>
          <w:szCs w:val="22"/>
          <w:highlight w:val="yellow"/>
        </w:rPr>
        <w:t xml:space="preserve"> </w:t>
      </w:r>
      <w:r w:rsidR="00595CFE" w:rsidRPr="00264008">
        <w:rPr>
          <w:rFonts w:ascii="Arial" w:hAnsi="Arial" w:cs="Arial"/>
          <w:color w:val="000000"/>
          <w:sz w:val="22"/>
          <w:szCs w:val="22"/>
        </w:rPr>
        <w:t>the Constitutional Court inter alia stated as follows:</w:t>
      </w:r>
    </w:p>
    <w:p w14:paraId="0E78BDB0" w14:textId="77777777" w:rsidR="00463E15" w:rsidRPr="00264008" w:rsidRDefault="00595CFE" w:rsidP="00804E55">
      <w:pPr>
        <w:spacing w:line="480" w:lineRule="auto"/>
        <w:ind w:left="1418" w:hanging="567"/>
        <w:jc w:val="both"/>
        <w:rPr>
          <w:rFonts w:ascii="Arial" w:hAnsi="Arial" w:cs="Arial"/>
          <w:i/>
          <w:iCs/>
          <w:color w:val="000000"/>
          <w:sz w:val="18"/>
          <w:szCs w:val="18"/>
        </w:rPr>
      </w:pPr>
      <w:r w:rsidRPr="00264008">
        <w:rPr>
          <w:rFonts w:ascii="Arial" w:hAnsi="Arial" w:cs="Arial"/>
          <w:i/>
          <w:iCs/>
          <w:color w:val="000000"/>
          <w:sz w:val="18"/>
          <w:szCs w:val="18"/>
        </w:rPr>
        <w:t>“[19]</w:t>
      </w:r>
      <w:r w:rsidRPr="00264008">
        <w:rPr>
          <w:rFonts w:ascii="Arial" w:hAnsi="Arial" w:cs="Arial"/>
          <w:i/>
          <w:iCs/>
          <w:color w:val="000000"/>
          <w:sz w:val="18"/>
          <w:szCs w:val="18"/>
        </w:rPr>
        <w:tab/>
        <w:t>..I</w:t>
      </w:r>
      <w:r w:rsidR="00463E15" w:rsidRPr="00264008">
        <w:rPr>
          <w:rFonts w:ascii="Arial" w:hAnsi="Arial" w:cs="Arial"/>
          <w:i/>
          <w:iCs/>
          <w:color w:val="000000"/>
          <w:sz w:val="18"/>
          <w:szCs w:val="18"/>
        </w:rPr>
        <w:t>n certain instances, agreement — or lack of it — on certain   </w:t>
      </w:r>
      <w:r w:rsidR="00463E15" w:rsidRPr="00264008">
        <w:rPr>
          <w:rFonts w:ascii="Arial" w:hAnsi="Arial" w:cs="Arial"/>
          <w:i/>
          <w:iCs/>
          <w:color w:val="000000"/>
          <w:sz w:val="18"/>
          <w:szCs w:val="18"/>
          <w:shd w:val="clear" w:color="auto" w:fill="C0C0C0"/>
        </w:rPr>
        <w:t>B </w:t>
      </w:r>
      <w:r w:rsidR="00463E15" w:rsidRPr="00264008">
        <w:rPr>
          <w:rFonts w:ascii="Arial" w:hAnsi="Arial" w:cs="Arial"/>
          <w:i/>
          <w:iCs/>
          <w:color w:val="000000"/>
          <w:sz w:val="18"/>
          <w:szCs w:val="18"/>
        </w:rPr>
        <w:t>terms may mean the difference between an end to litigation and a protracted trial. Negotiations with a view to settlement may be so wide-ranging as to deal with issues that, although not strictly at issue in the suit, are related to it — whether directly or indirectly — and are of importance to the litigants and require resolution. Short of mere formalism, it does not seem to serve any practical purpose to suggest that   </w:t>
      </w:r>
      <w:r w:rsidR="00463E15" w:rsidRPr="00264008">
        <w:rPr>
          <w:rFonts w:ascii="Arial" w:hAnsi="Arial" w:cs="Arial"/>
          <w:i/>
          <w:iCs/>
          <w:color w:val="000000"/>
          <w:sz w:val="18"/>
          <w:szCs w:val="18"/>
          <w:shd w:val="clear" w:color="auto" w:fill="C0C0C0"/>
        </w:rPr>
        <w:t>C </w:t>
      </w:r>
      <w:r w:rsidR="00463E15" w:rsidRPr="00264008">
        <w:rPr>
          <w:rFonts w:ascii="Arial" w:hAnsi="Arial" w:cs="Arial"/>
          <w:i/>
          <w:iCs/>
          <w:color w:val="000000"/>
          <w:sz w:val="18"/>
          <w:szCs w:val="18"/>
        </w:rPr>
        <w:t>these issues should be excised from an agreement that a court sanctions as an order of court.</w:t>
      </w:r>
    </w:p>
    <w:p w14:paraId="4911C002" w14:textId="77777777" w:rsidR="00463E15" w:rsidRPr="00264008" w:rsidRDefault="00463E15" w:rsidP="00595CFE">
      <w:pPr>
        <w:spacing w:line="480" w:lineRule="auto"/>
        <w:ind w:left="1418" w:hanging="567"/>
        <w:jc w:val="both"/>
        <w:rPr>
          <w:rFonts w:ascii="Arial" w:hAnsi="Arial" w:cs="Arial"/>
          <w:i/>
          <w:iCs/>
          <w:color w:val="000000"/>
          <w:sz w:val="18"/>
          <w:szCs w:val="18"/>
        </w:rPr>
      </w:pPr>
      <w:r w:rsidRPr="00264008">
        <w:rPr>
          <w:rFonts w:ascii="Arial" w:hAnsi="Arial" w:cs="Arial"/>
          <w:i/>
          <w:iCs/>
          <w:color w:val="000000"/>
          <w:sz w:val="18"/>
          <w:szCs w:val="18"/>
        </w:rPr>
        <w:t>[20]</w:t>
      </w:r>
      <w:r w:rsidR="00804E55">
        <w:rPr>
          <w:rFonts w:ascii="Arial" w:hAnsi="Arial" w:cs="Arial"/>
          <w:i/>
          <w:iCs/>
          <w:color w:val="000000"/>
          <w:sz w:val="18"/>
          <w:szCs w:val="18"/>
        </w:rPr>
        <w:tab/>
      </w:r>
      <w:r w:rsidRPr="00264008">
        <w:rPr>
          <w:rFonts w:ascii="Arial" w:hAnsi="Arial" w:cs="Arial"/>
          <w:i/>
          <w:iCs/>
          <w:color w:val="000000"/>
          <w:sz w:val="18"/>
          <w:szCs w:val="18"/>
        </w:rPr>
        <w:t>That formalistic approach may have at least two consequences. The parties may be forced to have a separate agreement containing the   </w:t>
      </w:r>
      <w:r w:rsidRPr="00264008">
        <w:rPr>
          <w:rFonts w:ascii="Arial" w:hAnsi="Arial" w:cs="Arial"/>
          <w:i/>
          <w:iCs/>
          <w:color w:val="000000"/>
          <w:sz w:val="18"/>
          <w:szCs w:val="18"/>
          <w:shd w:val="clear" w:color="auto" w:fill="C0C0C0"/>
        </w:rPr>
        <w:t>D </w:t>
      </w:r>
      <w:r w:rsidRPr="00264008">
        <w:rPr>
          <w:rFonts w:ascii="Arial" w:hAnsi="Arial" w:cs="Arial"/>
          <w:i/>
          <w:iCs/>
          <w:color w:val="000000"/>
          <w:sz w:val="18"/>
          <w:szCs w:val="18"/>
        </w:rPr>
        <w:t>rejected terms, which is not part of the court order. </w:t>
      </w:r>
      <w:bookmarkStart w:id="13" w:name="0-0-0-171881"/>
      <w:bookmarkEnd w:id="13"/>
      <w:r w:rsidRPr="00264008">
        <w:rPr>
          <w:rFonts w:ascii="Arial" w:hAnsi="Arial" w:cs="Arial"/>
          <w:i/>
          <w:iCs/>
          <w:color w:val="000000"/>
          <w:sz w:val="18"/>
          <w:szCs w:val="18"/>
        </w:rPr>
        <w:t>  Worse still, the settlement agreement may have been conditional upon being made an order of court. Upon the rejection of some of its terms by the court, the entire agreement may crumble. The result may well be the resumption of contested litigation. Does that benefit anybody? Not the parties and not the court.   </w:t>
      </w:r>
      <w:r w:rsidRPr="00264008">
        <w:rPr>
          <w:rFonts w:ascii="Arial" w:hAnsi="Arial" w:cs="Arial"/>
          <w:i/>
          <w:iCs/>
          <w:color w:val="000000"/>
          <w:sz w:val="18"/>
          <w:szCs w:val="18"/>
          <w:shd w:val="clear" w:color="auto" w:fill="C0C0C0"/>
        </w:rPr>
        <w:t>E </w:t>
      </w:r>
    </w:p>
    <w:p w14:paraId="48FFF9F9" w14:textId="77777777" w:rsidR="00463E15" w:rsidRPr="00264008" w:rsidRDefault="00463E15" w:rsidP="00595CFE">
      <w:pPr>
        <w:spacing w:line="480" w:lineRule="auto"/>
        <w:ind w:left="1418" w:hanging="567"/>
        <w:jc w:val="both"/>
        <w:rPr>
          <w:rFonts w:ascii="Arial" w:hAnsi="Arial" w:cs="Arial"/>
          <w:i/>
          <w:iCs/>
          <w:color w:val="000000"/>
          <w:sz w:val="18"/>
          <w:szCs w:val="18"/>
        </w:rPr>
      </w:pPr>
      <w:r w:rsidRPr="00264008">
        <w:rPr>
          <w:rFonts w:ascii="Arial" w:hAnsi="Arial" w:cs="Arial"/>
          <w:i/>
          <w:iCs/>
          <w:color w:val="000000"/>
          <w:sz w:val="18"/>
          <w:szCs w:val="18"/>
        </w:rPr>
        <w:t>[21] </w:t>
      </w:r>
      <w:r w:rsidR="00804E55">
        <w:rPr>
          <w:rFonts w:ascii="Arial" w:hAnsi="Arial" w:cs="Arial"/>
          <w:i/>
          <w:iCs/>
          <w:color w:val="000000"/>
          <w:sz w:val="18"/>
          <w:szCs w:val="18"/>
        </w:rPr>
        <w:tab/>
        <w:t>C</w:t>
      </w:r>
      <w:r w:rsidRPr="00264008">
        <w:rPr>
          <w:rFonts w:ascii="Arial" w:hAnsi="Arial" w:cs="Arial"/>
          <w:i/>
          <w:iCs/>
          <w:color w:val="000000"/>
          <w:sz w:val="18"/>
          <w:szCs w:val="18"/>
        </w:rPr>
        <w:t>laassens</w:t>
      </w:r>
      <w:bookmarkStart w:id="14" w:name="0-0-0-171885"/>
      <w:bookmarkEnd w:id="14"/>
      <w:r w:rsidRPr="00264008">
        <w:rPr>
          <w:rFonts w:ascii="Arial" w:hAnsi="Arial" w:cs="Arial"/>
          <w:i/>
          <w:iCs/>
          <w:color w:val="000000"/>
          <w:sz w:val="18"/>
          <w:szCs w:val="18"/>
        </w:rPr>
        <w:t xml:space="preserve"> captures the essence of a settlement and what may inform it well:</w:t>
      </w:r>
    </w:p>
    <w:p w14:paraId="1F2598DB" w14:textId="77777777" w:rsidR="00463E15" w:rsidRPr="00264008" w:rsidRDefault="00463E15" w:rsidP="00804E55">
      <w:pPr>
        <w:spacing w:line="480" w:lineRule="auto"/>
        <w:ind w:left="1843" w:hanging="142"/>
        <w:jc w:val="both"/>
        <w:rPr>
          <w:rFonts w:ascii="Arial" w:hAnsi="Arial" w:cs="Arial"/>
          <w:i/>
          <w:iCs/>
          <w:color w:val="000000"/>
          <w:sz w:val="18"/>
          <w:szCs w:val="18"/>
        </w:rPr>
      </w:pPr>
      <w:r w:rsidRPr="00264008">
        <w:rPr>
          <w:rFonts w:ascii="Arial" w:hAnsi="Arial" w:cs="Arial"/>
          <w:i/>
          <w:iCs/>
          <w:color w:val="000000"/>
          <w:sz w:val="18"/>
          <w:szCs w:val="18"/>
        </w:rPr>
        <w:t>  'Agreements governing maintenance often cover other topics too. They are frequently compromises over hotly contested issues of all sorts, and   </w:t>
      </w:r>
      <w:r w:rsidRPr="00264008">
        <w:rPr>
          <w:rFonts w:ascii="Arial" w:hAnsi="Arial" w:cs="Arial"/>
          <w:i/>
          <w:iCs/>
          <w:color w:val="000000"/>
          <w:sz w:val="18"/>
          <w:szCs w:val="18"/>
          <w:shd w:val="clear" w:color="auto" w:fill="C0C0C0"/>
        </w:rPr>
        <w:t>F </w:t>
      </w:r>
      <w:r w:rsidRPr="00264008">
        <w:rPr>
          <w:rFonts w:ascii="Arial" w:hAnsi="Arial" w:cs="Arial"/>
          <w:i/>
          <w:iCs/>
          <w:color w:val="000000"/>
          <w:sz w:val="18"/>
          <w:szCs w:val="18"/>
        </w:rPr>
        <w:t xml:space="preserve">the product of hard and protracted </w:t>
      </w:r>
      <w:r w:rsidRPr="00264008">
        <w:rPr>
          <w:rFonts w:ascii="Arial" w:hAnsi="Arial" w:cs="Arial"/>
          <w:i/>
          <w:iCs/>
          <w:color w:val="000000"/>
          <w:sz w:val="18"/>
          <w:szCs w:val="18"/>
        </w:rPr>
        <w:lastRenderedPageBreak/>
        <w:t>bargaining. Everyone with experience of negotiations in matrimonial cases is well aware of that. Questions of guilt and innocence, fundamental to the wife's claim for alimony while the 1953 Act lasted and not entirely irrelevant to it since then, may have been disputed. So may the amount she needed, and how much of that the husband could afford. Property had perhaps   </w:t>
      </w:r>
      <w:r w:rsidRPr="00264008">
        <w:rPr>
          <w:rFonts w:ascii="Arial" w:hAnsi="Arial" w:cs="Arial"/>
          <w:i/>
          <w:iCs/>
          <w:color w:val="000000"/>
          <w:sz w:val="18"/>
          <w:szCs w:val="18"/>
          <w:shd w:val="clear" w:color="auto" w:fill="C0C0C0"/>
        </w:rPr>
        <w:t>G </w:t>
      </w:r>
      <w:r w:rsidRPr="00264008">
        <w:rPr>
          <w:rFonts w:ascii="Arial" w:hAnsi="Arial" w:cs="Arial"/>
          <w:i/>
          <w:iCs/>
          <w:color w:val="000000"/>
          <w:sz w:val="18"/>
          <w:szCs w:val="18"/>
        </w:rPr>
        <w:t>to be settled or divided, maintenance for children to be resolved. The alimony eventually agreed can seldom be isolated from such surroundings. Like the rest of the compromise, it is the result of give and take. Sometimes it is more than the court is likely to have awarded the wife had there been none and, in return for a concession elsewhere, she has won by contract what she could not have expected from the litigation. On other occasions it is less, but some contractual benefit the   </w:t>
      </w:r>
      <w:r w:rsidRPr="00264008">
        <w:rPr>
          <w:rFonts w:ascii="Arial" w:hAnsi="Arial" w:cs="Arial"/>
          <w:i/>
          <w:iCs/>
          <w:color w:val="000000"/>
          <w:sz w:val="18"/>
          <w:szCs w:val="18"/>
          <w:shd w:val="clear" w:color="auto" w:fill="C0C0C0"/>
        </w:rPr>
        <w:t>H </w:t>
      </w:r>
      <w:r w:rsidRPr="00264008">
        <w:rPr>
          <w:rFonts w:ascii="Arial" w:hAnsi="Arial" w:cs="Arial"/>
          <w:i/>
          <w:iCs/>
          <w:color w:val="000000"/>
          <w:sz w:val="18"/>
          <w:szCs w:val="18"/>
        </w:rPr>
        <w:t>court would never have decreed has compensated her for the difference.' </w:t>
      </w:r>
      <w:bookmarkStart w:id="15" w:name="0-0-0-171889"/>
      <w:bookmarkEnd w:id="15"/>
    </w:p>
    <w:p w14:paraId="0065C368" w14:textId="77777777" w:rsidR="00463E15" w:rsidRPr="00264008" w:rsidRDefault="00463E15" w:rsidP="00595CFE">
      <w:pPr>
        <w:spacing w:line="480" w:lineRule="auto"/>
        <w:ind w:left="1418"/>
        <w:jc w:val="both"/>
        <w:rPr>
          <w:rFonts w:ascii="Arial" w:hAnsi="Arial" w:cs="Arial"/>
          <w:i/>
          <w:iCs/>
          <w:color w:val="000000"/>
          <w:sz w:val="18"/>
          <w:szCs w:val="18"/>
        </w:rPr>
      </w:pPr>
      <w:r w:rsidRPr="00264008">
        <w:rPr>
          <w:rFonts w:ascii="Arial" w:hAnsi="Arial" w:cs="Arial"/>
          <w:i/>
          <w:iCs/>
          <w:color w:val="000000"/>
          <w:sz w:val="18"/>
          <w:szCs w:val="18"/>
        </w:rPr>
        <w:t>Although this was said in the context of maintenance in matrimonial disputes, it applies with equal force to other types of suits.   </w:t>
      </w:r>
      <w:r w:rsidRPr="00264008">
        <w:rPr>
          <w:rFonts w:ascii="Arial" w:hAnsi="Arial" w:cs="Arial"/>
          <w:i/>
          <w:iCs/>
          <w:color w:val="000000"/>
          <w:sz w:val="18"/>
          <w:szCs w:val="18"/>
          <w:shd w:val="clear" w:color="auto" w:fill="C0C0C0"/>
        </w:rPr>
        <w:t>I </w:t>
      </w:r>
    </w:p>
    <w:p w14:paraId="5B0628F3" w14:textId="77777777" w:rsidR="00463E15" w:rsidRPr="00264008" w:rsidRDefault="00463E15" w:rsidP="00595CFE">
      <w:pPr>
        <w:spacing w:line="480" w:lineRule="auto"/>
        <w:ind w:left="1418" w:hanging="567"/>
        <w:jc w:val="both"/>
        <w:rPr>
          <w:rFonts w:ascii="Arial" w:hAnsi="Arial" w:cs="Arial"/>
          <w:i/>
          <w:iCs/>
          <w:color w:val="000000"/>
          <w:sz w:val="18"/>
          <w:szCs w:val="18"/>
        </w:rPr>
      </w:pPr>
      <w:r w:rsidRPr="00264008">
        <w:rPr>
          <w:rFonts w:ascii="Arial" w:hAnsi="Arial" w:cs="Arial"/>
          <w:i/>
          <w:iCs/>
          <w:color w:val="000000"/>
          <w:sz w:val="18"/>
          <w:szCs w:val="18"/>
        </w:rPr>
        <w:t>[22]</w:t>
      </w:r>
      <w:r w:rsidR="00804E55">
        <w:rPr>
          <w:rFonts w:ascii="Arial" w:hAnsi="Arial" w:cs="Arial"/>
          <w:i/>
          <w:iCs/>
          <w:color w:val="000000"/>
          <w:sz w:val="18"/>
          <w:szCs w:val="18"/>
        </w:rPr>
        <w:tab/>
      </w:r>
      <w:r w:rsidRPr="00264008">
        <w:rPr>
          <w:rFonts w:ascii="Arial" w:hAnsi="Arial" w:cs="Arial"/>
          <w:i/>
          <w:iCs/>
          <w:color w:val="000000"/>
          <w:sz w:val="18"/>
          <w:szCs w:val="18"/>
        </w:rPr>
        <w:t>Surely then, an expedited end to litigation may not only be in the parties' interest, it may also serve the interests of the administration of justice. This finds support at common law. Le Grange quotes Huber with approval:</w:t>
      </w:r>
    </w:p>
    <w:p w14:paraId="165DC6A7" w14:textId="77777777" w:rsidR="00463E15" w:rsidRPr="00264008" w:rsidRDefault="00463E15" w:rsidP="00804E55">
      <w:pPr>
        <w:spacing w:line="480" w:lineRule="auto"/>
        <w:ind w:left="1843" w:hanging="142"/>
        <w:jc w:val="both"/>
        <w:rPr>
          <w:rFonts w:ascii="Arial" w:hAnsi="Arial" w:cs="Arial"/>
          <w:i/>
          <w:iCs/>
          <w:color w:val="000000"/>
          <w:sz w:val="18"/>
          <w:szCs w:val="18"/>
        </w:rPr>
      </w:pPr>
      <w:r w:rsidRPr="00264008">
        <w:rPr>
          <w:rFonts w:ascii="Arial" w:hAnsi="Arial" w:cs="Arial"/>
          <w:i/>
          <w:iCs/>
          <w:color w:val="000000"/>
          <w:sz w:val="18"/>
          <w:szCs w:val="18"/>
        </w:rPr>
        <w:t> '</w:t>
      </w:r>
      <w:r w:rsidR="00595CFE" w:rsidRPr="00264008">
        <w:rPr>
          <w:rFonts w:ascii="Arial" w:hAnsi="Arial" w:cs="Arial"/>
          <w:i/>
          <w:iCs/>
          <w:color w:val="000000"/>
          <w:sz w:val="18"/>
          <w:szCs w:val="18"/>
        </w:rPr>
        <w:tab/>
      </w:r>
      <w:r w:rsidRPr="00264008">
        <w:rPr>
          <w:rFonts w:ascii="Arial" w:hAnsi="Arial" w:cs="Arial"/>
          <w:i/>
          <w:iCs/>
          <w:color w:val="000000"/>
          <w:sz w:val="18"/>
          <w:szCs w:val="18"/>
        </w:rPr>
        <w:t>A compromise once lawfully struck is very powerfully supported by the   </w:t>
      </w:r>
      <w:r w:rsidRPr="00264008">
        <w:rPr>
          <w:rFonts w:ascii="Arial" w:hAnsi="Arial" w:cs="Arial"/>
          <w:i/>
          <w:iCs/>
          <w:color w:val="000000"/>
          <w:sz w:val="18"/>
          <w:szCs w:val="18"/>
          <w:shd w:val="clear" w:color="auto" w:fill="C0C0C0"/>
        </w:rPr>
        <w:t>B </w:t>
      </w:r>
      <w:r w:rsidRPr="00264008">
        <w:rPr>
          <w:rFonts w:ascii="Arial" w:hAnsi="Arial" w:cs="Arial"/>
          <w:i/>
          <w:iCs/>
          <w:color w:val="000000"/>
          <w:sz w:val="18"/>
          <w:szCs w:val="18"/>
        </w:rPr>
        <w:t>law, since nothing is more salutary than the settlement of lawsuits.' </w:t>
      </w:r>
      <w:bookmarkStart w:id="16" w:name="0-0-0-171893"/>
      <w:bookmarkEnd w:id="16"/>
      <w:r w:rsidRPr="00264008">
        <w:rPr>
          <w:rFonts w:ascii="Arial" w:hAnsi="Arial" w:cs="Arial"/>
          <w:i/>
          <w:iCs/>
          <w:color w:val="808080"/>
          <w:sz w:val="18"/>
          <w:szCs w:val="18"/>
          <w:u w:val="single"/>
        </w:rPr>
        <w:fldChar w:fldCharType="begin"/>
      </w:r>
      <w:r w:rsidRPr="00264008">
        <w:rPr>
          <w:rFonts w:ascii="Arial" w:hAnsi="Arial" w:cs="Arial"/>
          <w:i/>
          <w:iCs/>
          <w:color w:val="808080"/>
          <w:sz w:val="18"/>
          <w:szCs w:val="18"/>
          <w:u w:val="single"/>
        </w:rPr>
        <w:instrText xml:space="preserve"> HYPERLINK "https://jutastat.juta.co.za/nxt/gateway.dll/salr/3/1320/1401/1404?f=templates&amp;fn=document-frameset.htm&amp;q=&amp;uq=&amp;x=&amp;up=1&amp;force=8752" \l "end_0-0-0-171895" </w:instrText>
      </w:r>
      <w:r w:rsidRPr="00264008">
        <w:rPr>
          <w:rFonts w:ascii="Arial" w:hAnsi="Arial" w:cs="Arial"/>
          <w:i/>
          <w:iCs/>
          <w:color w:val="808080"/>
          <w:sz w:val="18"/>
          <w:szCs w:val="18"/>
          <w:u w:val="single"/>
        </w:rPr>
        <w:fldChar w:fldCharType="separate"/>
      </w:r>
      <w:r w:rsidRPr="00264008">
        <w:rPr>
          <w:rFonts w:ascii="Arial" w:hAnsi="Arial" w:cs="Arial"/>
          <w:i/>
          <w:iCs/>
          <w:color w:val="808080"/>
          <w:sz w:val="18"/>
          <w:szCs w:val="18"/>
          <w:u w:val="single"/>
        </w:rPr>
        <w:t>31</w:t>
      </w:r>
      <w:r w:rsidRPr="00264008">
        <w:rPr>
          <w:rFonts w:ascii="Arial" w:hAnsi="Arial" w:cs="Arial"/>
          <w:i/>
          <w:iCs/>
          <w:color w:val="808080"/>
          <w:sz w:val="18"/>
          <w:szCs w:val="18"/>
          <w:u w:val="single"/>
        </w:rPr>
        <w:fldChar w:fldCharType="end"/>
      </w:r>
    </w:p>
    <w:p w14:paraId="269AA466" w14:textId="77777777" w:rsidR="00463E15" w:rsidRPr="00264008" w:rsidRDefault="00463E15" w:rsidP="00595CFE">
      <w:pPr>
        <w:spacing w:line="480" w:lineRule="auto"/>
        <w:ind w:left="1418" w:hanging="567"/>
        <w:jc w:val="both"/>
        <w:rPr>
          <w:rFonts w:ascii="Arial" w:hAnsi="Arial" w:cs="Arial"/>
          <w:i/>
          <w:iCs/>
          <w:color w:val="000000"/>
          <w:sz w:val="18"/>
          <w:szCs w:val="18"/>
        </w:rPr>
      </w:pPr>
      <w:r w:rsidRPr="00264008">
        <w:rPr>
          <w:rFonts w:ascii="Arial" w:hAnsi="Arial" w:cs="Arial"/>
          <w:i/>
          <w:iCs/>
          <w:color w:val="000000"/>
          <w:sz w:val="18"/>
          <w:szCs w:val="18"/>
        </w:rPr>
        <w:t>[23]</w:t>
      </w:r>
      <w:r w:rsidR="00804E55">
        <w:rPr>
          <w:rFonts w:ascii="Arial" w:hAnsi="Arial" w:cs="Arial"/>
          <w:i/>
          <w:iCs/>
          <w:color w:val="000000"/>
          <w:sz w:val="18"/>
          <w:szCs w:val="18"/>
        </w:rPr>
        <w:tab/>
      </w:r>
      <w:r w:rsidRPr="00264008">
        <w:rPr>
          <w:rFonts w:ascii="Arial" w:hAnsi="Arial" w:cs="Arial"/>
          <w:i/>
          <w:iCs/>
          <w:color w:val="000000"/>
          <w:sz w:val="18"/>
          <w:szCs w:val="18"/>
        </w:rPr>
        <w:t>Le Grange says:</w:t>
      </w:r>
    </w:p>
    <w:p w14:paraId="15A1AB95" w14:textId="77777777" w:rsidR="00463E15" w:rsidRPr="00264008" w:rsidRDefault="00463E15" w:rsidP="00804E55">
      <w:pPr>
        <w:spacing w:line="480" w:lineRule="auto"/>
        <w:ind w:left="1843" w:hanging="142"/>
        <w:jc w:val="both"/>
        <w:rPr>
          <w:rFonts w:ascii="Arial" w:hAnsi="Arial" w:cs="Arial"/>
          <w:i/>
          <w:iCs/>
          <w:color w:val="000000"/>
          <w:sz w:val="18"/>
          <w:szCs w:val="18"/>
        </w:rPr>
      </w:pPr>
      <w:r w:rsidRPr="00264008">
        <w:rPr>
          <w:rFonts w:ascii="Arial" w:hAnsi="Arial" w:cs="Arial"/>
          <w:i/>
          <w:iCs/>
          <w:color w:val="000000"/>
          <w:sz w:val="18"/>
          <w:szCs w:val="18"/>
        </w:rPr>
        <w:t>  '(T)he policy underlying the favouring of settlement has as its underlying foundation the benefits it provides to the orderly and effective administration of justice. It not only has the benefit to the litigants of   </w:t>
      </w:r>
      <w:r w:rsidRPr="00264008">
        <w:rPr>
          <w:rFonts w:ascii="Arial" w:hAnsi="Arial" w:cs="Arial"/>
          <w:i/>
          <w:iCs/>
          <w:color w:val="000000"/>
          <w:sz w:val="18"/>
          <w:szCs w:val="18"/>
          <w:shd w:val="clear" w:color="auto" w:fill="C0C0C0"/>
        </w:rPr>
        <w:t>C </w:t>
      </w:r>
      <w:r w:rsidRPr="00264008">
        <w:rPr>
          <w:rFonts w:ascii="Arial" w:hAnsi="Arial" w:cs="Arial"/>
          <w:i/>
          <w:iCs/>
          <w:color w:val="000000"/>
          <w:sz w:val="18"/>
          <w:szCs w:val="18"/>
        </w:rPr>
        <w:t>avoiding a costly and acrimonious trial, but it also serves to benefit the judicial administration by reducing overcrowded court rolls, thereby decreasing the burden on the judicial system. By disposing of cases without the need for a trial, the case load is reduced. This gives the court capacity to conserve its limited judicial resources and allows it to function more smoothly and efficiently.</w:t>
      </w:r>
    </w:p>
    <w:p w14:paraId="76403463" w14:textId="77777777" w:rsidR="00463E15" w:rsidRPr="00264008" w:rsidRDefault="00463E15" w:rsidP="00595CFE">
      <w:pPr>
        <w:spacing w:line="480" w:lineRule="auto"/>
        <w:ind w:left="1985"/>
        <w:jc w:val="both"/>
        <w:rPr>
          <w:rFonts w:ascii="Arial" w:hAnsi="Arial" w:cs="Arial"/>
          <w:i/>
          <w:iCs/>
          <w:color w:val="000000"/>
          <w:sz w:val="18"/>
          <w:szCs w:val="18"/>
        </w:rPr>
      </w:pPr>
      <w:r w:rsidRPr="00264008">
        <w:rPr>
          <w:rFonts w:ascii="Arial" w:hAnsi="Arial" w:cs="Arial"/>
          <w:i/>
          <w:iCs/>
          <w:color w:val="000000"/>
          <w:sz w:val="18"/>
          <w:szCs w:val="18"/>
        </w:rPr>
        <w:t>  </w:t>
      </w:r>
      <w:r w:rsidRPr="00264008">
        <w:rPr>
          <w:rFonts w:ascii="Arial" w:hAnsi="Arial" w:cs="Arial"/>
          <w:i/>
          <w:iCs/>
          <w:color w:val="000000"/>
          <w:sz w:val="18"/>
          <w:szCs w:val="18"/>
          <w:shd w:val="clear" w:color="auto" w:fill="C0C0C0"/>
        </w:rPr>
        <w:t>D </w:t>
      </w:r>
      <w:r w:rsidRPr="00264008">
        <w:rPr>
          <w:rFonts w:ascii="Arial" w:hAnsi="Arial" w:cs="Arial"/>
          <w:i/>
          <w:iCs/>
          <w:color w:val="000000"/>
          <w:sz w:val="18"/>
          <w:szCs w:val="18"/>
        </w:rPr>
        <w:t>   . . .</w:t>
      </w:r>
    </w:p>
    <w:p w14:paraId="1826C230" w14:textId="77777777" w:rsidR="00463E15" w:rsidRPr="00264008" w:rsidRDefault="00463E15" w:rsidP="00804E55">
      <w:pPr>
        <w:spacing w:line="480" w:lineRule="auto"/>
        <w:ind w:left="1843"/>
        <w:jc w:val="both"/>
        <w:rPr>
          <w:rFonts w:ascii="Arial" w:hAnsi="Arial" w:cs="Arial"/>
          <w:i/>
          <w:iCs/>
          <w:color w:val="000000"/>
          <w:sz w:val="18"/>
          <w:szCs w:val="18"/>
        </w:rPr>
      </w:pPr>
      <w:r w:rsidRPr="00264008">
        <w:rPr>
          <w:rFonts w:ascii="Arial" w:hAnsi="Arial" w:cs="Arial"/>
          <w:i/>
          <w:iCs/>
          <w:color w:val="000000"/>
          <w:sz w:val="18"/>
          <w:szCs w:val="18"/>
        </w:rPr>
        <w:t> If one is then to proceed from the premise that the wider interests under consideration [are those] of the administration of justice, then the court is required, when exercising its discretion whether to make a settlement agreement an order of the court, to give consideration not only to the need to make orders that are readily enforceable, but also to assess the   </w:t>
      </w:r>
      <w:r w:rsidRPr="00264008">
        <w:rPr>
          <w:rFonts w:ascii="Arial" w:hAnsi="Arial" w:cs="Arial"/>
          <w:i/>
          <w:iCs/>
          <w:color w:val="000000"/>
          <w:sz w:val="18"/>
          <w:szCs w:val="18"/>
          <w:shd w:val="clear" w:color="auto" w:fill="C0C0C0"/>
        </w:rPr>
        <w:t>E </w:t>
      </w:r>
      <w:r w:rsidRPr="00264008">
        <w:rPr>
          <w:rFonts w:ascii="Arial" w:hAnsi="Arial" w:cs="Arial"/>
          <w:i/>
          <w:iCs/>
          <w:color w:val="000000"/>
          <w:sz w:val="18"/>
          <w:szCs w:val="18"/>
        </w:rPr>
        <w:t>wider impact which its order may potentially have.' </w:t>
      </w:r>
      <w:bookmarkStart w:id="17" w:name="0-0-0-171897"/>
      <w:bookmarkEnd w:id="17"/>
      <w:r w:rsidR="00804E55">
        <w:rPr>
          <w:rFonts w:ascii="Arial" w:hAnsi="Arial" w:cs="Arial"/>
          <w:i/>
          <w:iCs/>
          <w:color w:val="808080"/>
          <w:sz w:val="18"/>
          <w:szCs w:val="18"/>
          <w:u w:val="single"/>
        </w:rPr>
        <w:t>“</w:t>
      </w:r>
    </w:p>
    <w:p w14:paraId="21F4679B" w14:textId="77777777" w:rsidR="00181272" w:rsidRPr="00264008" w:rsidRDefault="00181272" w:rsidP="004274BE">
      <w:pPr>
        <w:spacing w:line="480" w:lineRule="auto"/>
        <w:jc w:val="both"/>
        <w:rPr>
          <w:rFonts w:ascii="Arial" w:hAnsi="Arial" w:cs="Arial"/>
          <w:bCs/>
          <w:sz w:val="18"/>
          <w:szCs w:val="18"/>
        </w:rPr>
      </w:pPr>
    </w:p>
    <w:p w14:paraId="383779AE" w14:textId="77777777" w:rsidR="00DC0A86" w:rsidRPr="00804E55" w:rsidRDefault="00181272" w:rsidP="00D12BEB">
      <w:pPr>
        <w:spacing w:line="480" w:lineRule="auto"/>
        <w:ind w:left="567" w:hanging="567"/>
        <w:jc w:val="both"/>
        <w:rPr>
          <w:rFonts w:ascii="Arial" w:hAnsi="Arial" w:cs="Arial"/>
          <w:bCs/>
          <w:sz w:val="22"/>
          <w:szCs w:val="22"/>
        </w:rPr>
      </w:pPr>
      <w:r w:rsidRPr="00804E55">
        <w:rPr>
          <w:rFonts w:ascii="Arial" w:hAnsi="Arial" w:cs="Arial"/>
          <w:bCs/>
          <w:sz w:val="22"/>
          <w:szCs w:val="22"/>
        </w:rPr>
        <w:t>[</w:t>
      </w:r>
      <w:r w:rsidR="00537939">
        <w:rPr>
          <w:rFonts w:ascii="Arial" w:hAnsi="Arial" w:cs="Arial"/>
          <w:bCs/>
          <w:sz w:val="22"/>
          <w:szCs w:val="22"/>
        </w:rPr>
        <w:t>90</w:t>
      </w:r>
      <w:r w:rsidRPr="00804E55">
        <w:rPr>
          <w:rFonts w:ascii="Arial" w:hAnsi="Arial" w:cs="Arial"/>
          <w:bCs/>
          <w:sz w:val="22"/>
          <w:szCs w:val="22"/>
        </w:rPr>
        <w:t>]</w:t>
      </w:r>
      <w:r w:rsidRPr="00804E55">
        <w:rPr>
          <w:rFonts w:ascii="Arial" w:hAnsi="Arial" w:cs="Arial"/>
          <w:bCs/>
          <w:sz w:val="22"/>
          <w:szCs w:val="22"/>
        </w:rPr>
        <w:tab/>
        <w:t>This court cannot merely ignore the provisions of</w:t>
      </w:r>
      <w:r w:rsidR="004274BE" w:rsidRPr="00804E55">
        <w:rPr>
          <w:rFonts w:ascii="Arial" w:hAnsi="Arial" w:cs="Arial"/>
          <w:bCs/>
          <w:sz w:val="22"/>
          <w:szCs w:val="22"/>
        </w:rPr>
        <w:t xml:space="preserve"> par 6 of the consent order </w:t>
      </w:r>
      <w:r w:rsidRPr="00804E55">
        <w:rPr>
          <w:rFonts w:ascii="Arial" w:hAnsi="Arial" w:cs="Arial"/>
          <w:bCs/>
          <w:sz w:val="22"/>
          <w:szCs w:val="22"/>
        </w:rPr>
        <w:t xml:space="preserve">referred to in paragraph </w:t>
      </w:r>
      <w:r w:rsidR="00537939">
        <w:rPr>
          <w:rFonts w:ascii="Arial" w:hAnsi="Arial" w:cs="Arial"/>
          <w:bCs/>
          <w:sz w:val="22"/>
          <w:szCs w:val="22"/>
        </w:rPr>
        <w:t>86</w:t>
      </w:r>
      <w:r w:rsidRPr="00804E55">
        <w:rPr>
          <w:rFonts w:ascii="Arial" w:hAnsi="Arial" w:cs="Arial"/>
          <w:bCs/>
          <w:sz w:val="22"/>
          <w:szCs w:val="22"/>
        </w:rPr>
        <w:t xml:space="preserve"> above. </w:t>
      </w:r>
      <w:r w:rsidR="004274BE" w:rsidRPr="00804E55">
        <w:rPr>
          <w:rFonts w:ascii="Arial" w:hAnsi="Arial" w:cs="Arial"/>
          <w:bCs/>
          <w:sz w:val="22"/>
          <w:szCs w:val="22"/>
        </w:rPr>
        <w:t xml:space="preserve"> In the premises this court need to attach an interpretation to this paragraph. In </w:t>
      </w:r>
      <w:r w:rsidR="004274BE" w:rsidRPr="00537939">
        <w:rPr>
          <w:rFonts w:ascii="Arial" w:hAnsi="Arial" w:cs="Arial"/>
          <w:b/>
          <w:i/>
          <w:iCs/>
          <w:sz w:val="22"/>
          <w:szCs w:val="22"/>
        </w:rPr>
        <w:t>Eke v Parsons</w:t>
      </w:r>
      <w:r w:rsidR="004274BE" w:rsidRPr="00804E55">
        <w:rPr>
          <w:rFonts w:ascii="Arial" w:hAnsi="Arial" w:cs="Arial"/>
          <w:bCs/>
          <w:sz w:val="22"/>
          <w:szCs w:val="22"/>
        </w:rPr>
        <w:t xml:space="preserve"> supra the following was held in respect of the interpretation of </w:t>
      </w:r>
      <w:r w:rsidR="00915978" w:rsidRPr="00804E55">
        <w:rPr>
          <w:rFonts w:ascii="Arial" w:hAnsi="Arial" w:cs="Arial"/>
          <w:bCs/>
          <w:sz w:val="22"/>
          <w:szCs w:val="22"/>
        </w:rPr>
        <w:t xml:space="preserve">a </w:t>
      </w:r>
      <w:r w:rsidR="004274BE" w:rsidRPr="00804E55">
        <w:rPr>
          <w:rFonts w:ascii="Arial" w:hAnsi="Arial" w:cs="Arial"/>
          <w:bCs/>
          <w:sz w:val="22"/>
          <w:szCs w:val="22"/>
        </w:rPr>
        <w:t>consent order;</w:t>
      </w:r>
    </w:p>
    <w:p w14:paraId="4343CFEB" w14:textId="77777777" w:rsidR="00595CFE" w:rsidRPr="00804E55" w:rsidRDefault="004274BE" w:rsidP="004274BE">
      <w:pPr>
        <w:spacing w:line="480" w:lineRule="auto"/>
        <w:ind w:left="1418" w:hanging="567"/>
        <w:jc w:val="both"/>
        <w:rPr>
          <w:rFonts w:ascii="Arial" w:hAnsi="Arial" w:cs="Arial"/>
          <w:i/>
          <w:iCs/>
          <w:color w:val="000000"/>
          <w:sz w:val="18"/>
          <w:szCs w:val="18"/>
        </w:rPr>
      </w:pPr>
      <w:r w:rsidRPr="00804E55">
        <w:rPr>
          <w:rFonts w:ascii="Arial" w:hAnsi="Arial" w:cs="Arial"/>
          <w:i/>
          <w:iCs/>
          <w:color w:val="000000"/>
          <w:sz w:val="18"/>
          <w:szCs w:val="18"/>
        </w:rPr>
        <w:t>“</w:t>
      </w:r>
      <w:r w:rsidR="00595CFE" w:rsidRPr="00804E55">
        <w:rPr>
          <w:rFonts w:ascii="Arial" w:hAnsi="Arial" w:cs="Arial"/>
          <w:i/>
          <w:iCs/>
          <w:color w:val="000000"/>
          <w:sz w:val="18"/>
          <w:szCs w:val="18"/>
        </w:rPr>
        <w:t>[29]</w:t>
      </w:r>
      <w:r w:rsidRPr="00804E55">
        <w:rPr>
          <w:rFonts w:ascii="Arial" w:hAnsi="Arial" w:cs="Arial"/>
          <w:i/>
          <w:iCs/>
          <w:color w:val="000000"/>
          <w:sz w:val="18"/>
          <w:szCs w:val="18"/>
        </w:rPr>
        <w:tab/>
      </w:r>
      <w:r w:rsidR="00595CFE" w:rsidRPr="00804E55">
        <w:rPr>
          <w:rFonts w:ascii="Arial" w:hAnsi="Arial" w:cs="Arial"/>
          <w:i/>
          <w:iCs/>
          <w:color w:val="000000"/>
          <w:sz w:val="18"/>
          <w:szCs w:val="18"/>
        </w:rPr>
        <w:t>Once a settlement agreement has been made an order of court, it is   </w:t>
      </w:r>
      <w:r w:rsidR="00595CFE" w:rsidRPr="00804E55">
        <w:rPr>
          <w:rFonts w:ascii="Arial" w:hAnsi="Arial" w:cs="Arial"/>
          <w:i/>
          <w:iCs/>
          <w:color w:val="000000"/>
          <w:sz w:val="18"/>
          <w:szCs w:val="18"/>
          <w:shd w:val="clear" w:color="auto" w:fill="C0C0C0"/>
        </w:rPr>
        <w:t>B </w:t>
      </w:r>
      <w:r w:rsidR="00595CFE" w:rsidRPr="00804E55">
        <w:rPr>
          <w:rFonts w:ascii="Arial" w:hAnsi="Arial" w:cs="Arial"/>
          <w:i/>
          <w:iCs/>
          <w:color w:val="000000"/>
          <w:sz w:val="18"/>
          <w:szCs w:val="18"/>
        </w:rPr>
        <w:t>an order like any other.</w:t>
      </w:r>
      <w:r w:rsidRPr="00804E55">
        <w:rPr>
          <w:rFonts w:ascii="Arial" w:hAnsi="Arial" w:cs="Arial"/>
          <w:i/>
          <w:iCs/>
          <w:color w:val="000000"/>
          <w:sz w:val="18"/>
          <w:szCs w:val="18"/>
        </w:rPr>
        <w:t>”</w:t>
      </w:r>
      <w:r w:rsidR="00595CFE" w:rsidRPr="00804E55">
        <w:rPr>
          <w:rFonts w:ascii="Arial" w:hAnsi="Arial" w:cs="Arial"/>
          <w:i/>
          <w:iCs/>
          <w:color w:val="000000"/>
          <w:sz w:val="18"/>
          <w:szCs w:val="18"/>
        </w:rPr>
        <w:t xml:space="preserve"> It will be interpreted like all court orders. Here is the well-established test on the interpretation of court orders:</w:t>
      </w:r>
    </w:p>
    <w:p w14:paraId="1B8C3DB2" w14:textId="77777777" w:rsidR="00595CFE" w:rsidRPr="00804E55" w:rsidRDefault="00595CFE" w:rsidP="004274BE">
      <w:pPr>
        <w:spacing w:line="480" w:lineRule="auto"/>
        <w:ind w:left="1701" w:hanging="141"/>
        <w:jc w:val="both"/>
        <w:rPr>
          <w:rFonts w:ascii="Arial" w:hAnsi="Arial" w:cs="Arial"/>
          <w:i/>
          <w:iCs/>
          <w:color w:val="000000"/>
          <w:sz w:val="18"/>
          <w:szCs w:val="18"/>
        </w:rPr>
      </w:pPr>
      <w:r w:rsidRPr="00804E55">
        <w:rPr>
          <w:rFonts w:ascii="Arial" w:hAnsi="Arial" w:cs="Arial"/>
          <w:i/>
          <w:iCs/>
          <w:color w:val="000000"/>
          <w:sz w:val="18"/>
          <w:szCs w:val="18"/>
        </w:rPr>
        <w:t>   'The starting point is to determine the manifest purpose of the order. In interpreting a judgment or order, the court's intention is to be ascertained primarily from the language of the judgment or order in accordance with the usual well-known rules relating to the interpretation   </w:t>
      </w:r>
      <w:r w:rsidRPr="00804E55">
        <w:rPr>
          <w:rFonts w:ascii="Arial" w:hAnsi="Arial" w:cs="Arial"/>
          <w:i/>
          <w:iCs/>
          <w:color w:val="000000"/>
          <w:sz w:val="18"/>
          <w:szCs w:val="18"/>
          <w:shd w:val="clear" w:color="auto" w:fill="C0C0C0"/>
        </w:rPr>
        <w:t>C </w:t>
      </w:r>
      <w:r w:rsidRPr="00804E55">
        <w:rPr>
          <w:rFonts w:ascii="Arial" w:hAnsi="Arial" w:cs="Arial"/>
          <w:i/>
          <w:iCs/>
          <w:color w:val="000000"/>
          <w:sz w:val="18"/>
          <w:szCs w:val="18"/>
        </w:rPr>
        <w:t>of documents. As in the case of a document, the judgment or order and the court's reasons for giving it must be read as a whole in order to ascertain its intention.' </w:t>
      </w:r>
      <w:bookmarkStart w:id="18" w:name="0-0-0-171945"/>
      <w:bookmarkEnd w:id="18"/>
      <w:r w:rsidRPr="00804E55">
        <w:rPr>
          <w:rFonts w:ascii="Arial" w:hAnsi="Arial" w:cs="Arial"/>
          <w:i/>
          <w:iCs/>
          <w:color w:val="808080"/>
          <w:sz w:val="18"/>
          <w:szCs w:val="18"/>
          <w:u w:val="single"/>
        </w:rPr>
        <w:fldChar w:fldCharType="begin"/>
      </w:r>
      <w:r w:rsidRPr="00804E55">
        <w:rPr>
          <w:rFonts w:ascii="Arial" w:hAnsi="Arial" w:cs="Arial"/>
          <w:i/>
          <w:iCs/>
          <w:color w:val="808080"/>
          <w:sz w:val="18"/>
          <w:szCs w:val="18"/>
          <w:u w:val="single"/>
        </w:rPr>
        <w:instrText xml:space="preserve"> HYPERLINK "https://jutastat.juta.co.za/nxt/gateway.dll/salr/3/1320/1401/1404?f=templates&amp;fn=document-frameset.htm&amp;q=&amp;uq=&amp;x=&amp;up=1&amp;force=8752" \l "end_0-0-0-171947" </w:instrText>
      </w:r>
      <w:r w:rsidRPr="00804E55">
        <w:rPr>
          <w:rFonts w:ascii="Arial" w:hAnsi="Arial" w:cs="Arial"/>
          <w:i/>
          <w:iCs/>
          <w:color w:val="808080"/>
          <w:sz w:val="18"/>
          <w:szCs w:val="18"/>
          <w:u w:val="single"/>
        </w:rPr>
        <w:fldChar w:fldCharType="separate"/>
      </w:r>
      <w:r w:rsidRPr="00804E55">
        <w:rPr>
          <w:rFonts w:ascii="Arial" w:hAnsi="Arial" w:cs="Arial"/>
          <w:i/>
          <w:iCs/>
          <w:color w:val="808080"/>
          <w:sz w:val="18"/>
          <w:szCs w:val="18"/>
          <w:u w:val="single"/>
        </w:rPr>
        <w:t>44</w:t>
      </w:r>
      <w:r w:rsidRPr="00804E55">
        <w:rPr>
          <w:rFonts w:ascii="Arial" w:hAnsi="Arial" w:cs="Arial"/>
          <w:i/>
          <w:iCs/>
          <w:color w:val="808080"/>
          <w:sz w:val="18"/>
          <w:szCs w:val="18"/>
          <w:u w:val="single"/>
        </w:rPr>
        <w:fldChar w:fldCharType="end"/>
      </w:r>
    </w:p>
    <w:p w14:paraId="6E27888A" w14:textId="77777777" w:rsidR="00595CFE" w:rsidRPr="00804E55" w:rsidRDefault="00595CFE" w:rsidP="004274BE">
      <w:pPr>
        <w:spacing w:line="480" w:lineRule="auto"/>
        <w:ind w:left="1418" w:hanging="425"/>
        <w:jc w:val="both"/>
        <w:rPr>
          <w:rFonts w:ascii="Arial" w:hAnsi="Arial" w:cs="Arial"/>
          <w:i/>
          <w:iCs/>
          <w:color w:val="000000"/>
          <w:sz w:val="18"/>
          <w:szCs w:val="18"/>
        </w:rPr>
      </w:pPr>
      <w:r w:rsidRPr="00804E55">
        <w:rPr>
          <w:rFonts w:ascii="Arial" w:hAnsi="Arial" w:cs="Arial"/>
          <w:i/>
          <w:iCs/>
          <w:color w:val="000000"/>
          <w:sz w:val="18"/>
          <w:szCs w:val="18"/>
        </w:rPr>
        <w:t>[30]</w:t>
      </w:r>
      <w:r w:rsidR="00804E55">
        <w:rPr>
          <w:rFonts w:ascii="Arial" w:hAnsi="Arial" w:cs="Arial"/>
          <w:i/>
          <w:iCs/>
          <w:color w:val="000000"/>
          <w:sz w:val="18"/>
          <w:szCs w:val="18"/>
        </w:rPr>
        <w:tab/>
      </w:r>
      <w:r w:rsidRPr="00804E55">
        <w:rPr>
          <w:rFonts w:ascii="Arial" w:hAnsi="Arial" w:cs="Arial"/>
          <w:i/>
          <w:iCs/>
          <w:color w:val="000000"/>
          <w:sz w:val="18"/>
          <w:szCs w:val="18"/>
        </w:rPr>
        <w:t>This is equally true of court orders following on settlement agreements, of course with a slant that is specific to orders of this nature:</w:t>
      </w:r>
    </w:p>
    <w:p w14:paraId="7DADFCC8" w14:textId="77777777" w:rsidR="00595CFE" w:rsidRPr="00804E55" w:rsidRDefault="00595CFE" w:rsidP="004274BE">
      <w:pPr>
        <w:spacing w:line="480" w:lineRule="auto"/>
        <w:ind w:left="1701"/>
        <w:jc w:val="both"/>
        <w:rPr>
          <w:rFonts w:ascii="Arial" w:hAnsi="Arial" w:cs="Arial"/>
          <w:i/>
          <w:iCs/>
          <w:color w:val="000000"/>
          <w:sz w:val="18"/>
          <w:szCs w:val="18"/>
        </w:rPr>
      </w:pPr>
      <w:r w:rsidRPr="00804E55">
        <w:rPr>
          <w:rFonts w:ascii="Arial" w:hAnsi="Arial" w:cs="Arial"/>
          <w:i/>
          <w:iCs/>
          <w:color w:val="000000"/>
          <w:sz w:val="18"/>
          <w:szCs w:val="18"/>
        </w:rPr>
        <w:t> </w:t>
      </w:r>
      <w:r w:rsidR="004274BE" w:rsidRPr="00804E55">
        <w:rPr>
          <w:rFonts w:ascii="Arial" w:hAnsi="Arial" w:cs="Arial"/>
          <w:i/>
          <w:iCs/>
          <w:color w:val="000000"/>
          <w:sz w:val="18"/>
          <w:szCs w:val="18"/>
        </w:rPr>
        <w:t>‘</w:t>
      </w:r>
      <w:r w:rsidRPr="00804E55">
        <w:rPr>
          <w:rFonts w:ascii="Arial" w:hAnsi="Arial" w:cs="Arial"/>
          <w:i/>
          <w:iCs/>
          <w:color w:val="000000"/>
          <w:sz w:val="18"/>
          <w:szCs w:val="18"/>
        </w:rPr>
        <w:t>The court order in this case records an agreement of settlement and the basic principles of the interpretation of contracts need therefore be applied to ascertain the meaning of the agreement. . . .</w:t>
      </w:r>
    </w:p>
    <w:p w14:paraId="16C77F2B" w14:textId="77777777" w:rsidR="00595CFE" w:rsidRPr="00804E55" w:rsidRDefault="00595CFE" w:rsidP="004274BE">
      <w:pPr>
        <w:spacing w:line="480" w:lineRule="auto"/>
        <w:ind w:left="1701"/>
        <w:jc w:val="both"/>
        <w:rPr>
          <w:rFonts w:ascii="Arial" w:hAnsi="Arial" w:cs="Arial"/>
          <w:i/>
          <w:iCs/>
          <w:color w:val="000000"/>
          <w:sz w:val="18"/>
          <w:szCs w:val="18"/>
        </w:rPr>
      </w:pPr>
      <w:r w:rsidRPr="00804E55">
        <w:rPr>
          <w:rFonts w:ascii="Arial" w:hAnsi="Arial" w:cs="Arial"/>
          <w:i/>
          <w:iCs/>
          <w:color w:val="000000"/>
          <w:sz w:val="18"/>
          <w:szCs w:val="18"/>
        </w:rPr>
        <w:t> The intention of the parties is ascertained from the language used read in its contextual setting and in the light of admissible evidence. There   </w:t>
      </w:r>
      <w:r w:rsidRPr="00804E55">
        <w:rPr>
          <w:rFonts w:ascii="Arial" w:hAnsi="Arial" w:cs="Arial"/>
          <w:i/>
          <w:iCs/>
          <w:color w:val="000000"/>
          <w:sz w:val="18"/>
          <w:szCs w:val="18"/>
          <w:shd w:val="clear" w:color="auto" w:fill="C0C0C0"/>
        </w:rPr>
        <w:t>E </w:t>
      </w:r>
      <w:r w:rsidRPr="00804E55">
        <w:rPr>
          <w:rFonts w:ascii="Arial" w:hAnsi="Arial" w:cs="Arial"/>
          <w:i/>
          <w:iCs/>
          <w:color w:val="000000"/>
          <w:sz w:val="18"/>
          <w:szCs w:val="18"/>
        </w:rPr>
        <w:t>are three classes of admissible evidence. Evidence of background facts is always admissible. These facts, matters probably present in the mind of the parties when they contracted, are part of the context and explain the genesis of the transaction or its factual matrix. Its aim is to put the court in the armchair of the author(s) of the document. Evidence of surrounding circumstances is admissible only if a contextual   </w:t>
      </w:r>
      <w:r w:rsidRPr="00804E55">
        <w:rPr>
          <w:rFonts w:ascii="Arial" w:hAnsi="Arial" w:cs="Arial"/>
          <w:i/>
          <w:iCs/>
          <w:color w:val="000000"/>
          <w:sz w:val="18"/>
          <w:szCs w:val="18"/>
          <w:shd w:val="clear" w:color="auto" w:fill="C0C0C0"/>
        </w:rPr>
        <w:t>F </w:t>
      </w:r>
      <w:r w:rsidRPr="00804E55">
        <w:rPr>
          <w:rFonts w:ascii="Arial" w:hAnsi="Arial" w:cs="Arial"/>
          <w:i/>
          <w:iCs/>
          <w:color w:val="000000"/>
          <w:sz w:val="18"/>
          <w:szCs w:val="18"/>
        </w:rPr>
        <w:t>interpretation fails to clear up an ambiguity or uncertainty. Evidence of what passed between the parties during the negotiations that preceded the conclusion of the agreement is admissible only in the case where evidence of the surrounding circumstances does not provide sufficient certainty.' </w:t>
      </w:r>
      <w:bookmarkStart w:id="19" w:name="0-0-0-171949"/>
      <w:bookmarkEnd w:id="19"/>
      <w:r w:rsidRPr="00804E55">
        <w:rPr>
          <w:rFonts w:ascii="Arial" w:hAnsi="Arial" w:cs="Arial"/>
          <w:i/>
          <w:iCs/>
          <w:color w:val="808080"/>
          <w:sz w:val="18"/>
          <w:szCs w:val="18"/>
          <w:u w:val="single"/>
        </w:rPr>
        <w:fldChar w:fldCharType="begin"/>
      </w:r>
      <w:r w:rsidRPr="00804E55">
        <w:rPr>
          <w:rFonts w:ascii="Arial" w:hAnsi="Arial" w:cs="Arial"/>
          <w:i/>
          <w:iCs/>
          <w:color w:val="808080"/>
          <w:sz w:val="18"/>
          <w:szCs w:val="18"/>
          <w:u w:val="single"/>
        </w:rPr>
        <w:instrText xml:space="preserve"> HYPERLINK "https://jutastat.juta.co.za/nxt/gateway.dll/salr/3/1320/1401/1404?f=templates&amp;fn=document-frameset.htm&amp;q=&amp;uq=&amp;x=&amp;up=1&amp;force=8752" \l "end_0-0-0-171951" </w:instrText>
      </w:r>
      <w:r w:rsidRPr="00804E55">
        <w:rPr>
          <w:rFonts w:ascii="Arial" w:hAnsi="Arial" w:cs="Arial"/>
          <w:i/>
          <w:iCs/>
          <w:color w:val="808080"/>
          <w:sz w:val="18"/>
          <w:szCs w:val="18"/>
          <w:u w:val="single"/>
        </w:rPr>
        <w:fldChar w:fldCharType="separate"/>
      </w:r>
      <w:r w:rsidRPr="00804E55">
        <w:rPr>
          <w:rFonts w:ascii="Arial" w:hAnsi="Arial" w:cs="Arial"/>
          <w:i/>
          <w:iCs/>
          <w:color w:val="808080"/>
          <w:sz w:val="18"/>
          <w:szCs w:val="18"/>
          <w:u w:val="single"/>
        </w:rPr>
        <w:t>45</w:t>
      </w:r>
      <w:r w:rsidRPr="00804E55">
        <w:rPr>
          <w:rFonts w:ascii="Arial" w:hAnsi="Arial" w:cs="Arial"/>
          <w:i/>
          <w:iCs/>
          <w:color w:val="808080"/>
          <w:sz w:val="18"/>
          <w:szCs w:val="18"/>
          <w:u w:val="single"/>
        </w:rPr>
        <w:fldChar w:fldCharType="end"/>
      </w:r>
      <w:r w:rsidRPr="00804E55">
        <w:rPr>
          <w:rFonts w:ascii="Arial" w:hAnsi="Arial" w:cs="Arial"/>
          <w:i/>
          <w:iCs/>
          <w:color w:val="000000"/>
          <w:sz w:val="18"/>
          <w:szCs w:val="18"/>
        </w:rPr>
        <w:t>  [Footnotes omitted.]</w:t>
      </w:r>
    </w:p>
    <w:p w14:paraId="7E66477E" w14:textId="77777777" w:rsidR="00595CFE" w:rsidRPr="00804E55" w:rsidRDefault="00595CFE" w:rsidP="004274BE">
      <w:pPr>
        <w:spacing w:line="480" w:lineRule="auto"/>
        <w:ind w:left="1843" w:hanging="850"/>
        <w:jc w:val="both"/>
        <w:rPr>
          <w:rFonts w:ascii="Arial" w:hAnsi="Arial" w:cs="Arial"/>
          <w:bCs/>
          <w:i/>
          <w:iCs/>
          <w:sz w:val="18"/>
          <w:szCs w:val="18"/>
        </w:rPr>
      </w:pPr>
      <w:r w:rsidRPr="00804E55">
        <w:rPr>
          <w:rFonts w:ascii="Arial" w:hAnsi="Arial" w:cs="Arial"/>
          <w:i/>
          <w:iCs/>
          <w:color w:val="000000"/>
          <w:sz w:val="18"/>
          <w:szCs w:val="18"/>
        </w:rPr>
        <w:t xml:space="preserve">  [31] The effect of a settlement order is to change the status of the rights and obligations between the parties. Save for litigation that may be consequent upon the nature of the particular order, the </w:t>
      </w:r>
      <w:r w:rsidRPr="00804E55">
        <w:rPr>
          <w:rFonts w:ascii="Arial" w:hAnsi="Arial" w:cs="Arial"/>
          <w:i/>
          <w:iCs/>
          <w:color w:val="000000"/>
          <w:sz w:val="18"/>
          <w:szCs w:val="18"/>
        </w:rPr>
        <w:lastRenderedPageBreak/>
        <w:t>order brings finality to the lis between the parties; the lis becomes res judicata (literally, 'a matter judged'). </w:t>
      </w:r>
      <w:bookmarkStart w:id="20" w:name="0-0-0-171953"/>
      <w:bookmarkEnd w:id="20"/>
      <w:r w:rsidRPr="00804E55">
        <w:rPr>
          <w:rFonts w:ascii="Arial" w:hAnsi="Arial" w:cs="Arial"/>
          <w:i/>
          <w:iCs/>
          <w:color w:val="808080"/>
          <w:sz w:val="18"/>
          <w:szCs w:val="18"/>
          <w:u w:val="single"/>
        </w:rPr>
        <w:fldChar w:fldCharType="begin"/>
      </w:r>
      <w:r w:rsidRPr="00804E55">
        <w:rPr>
          <w:rFonts w:ascii="Arial" w:hAnsi="Arial" w:cs="Arial"/>
          <w:i/>
          <w:iCs/>
          <w:color w:val="808080"/>
          <w:sz w:val="18"/>
          <w:szCs w:val="18"/>
          <w:u w:val="single"/>
        </w:rPr>
        <w:instrText xml:space="preserve"> HYPERLINK "https://jutastat.juta.co.za/nxt/gateway.dll/salr/3/1320/1401/1404?f=templates&amp;fn=document-frameset.htm&amp;q=&amp;uq=&amp;x=&amp;up=1&amp;force=8752" \l "end_0-0-0-171955" </w:instrText>
      </w:r>
      <w:r w:rsidRPr="00804E55">
        <w:rPr>
          <w:rFonts w:ascii="Arial" w:hAnsi="Arial" w:cs="Arial"/>
          <w:i/>
          <w:iCs/>
          <w:color w:val="808080"/>
          <w:sz w:val="18"/>
          <w:szCs w:val="18"/>
          <w:u w:val="single"/>
        </w:rPr>
        <w:fldChar w:fldCharType="separate"/>
      </w:r>
      <w:r w:rsidRPr="00804E55">
        <w:rPr>
          <w:rFonts w:ascii="Arial" w:hAnsi="Arial" w:cs="Arial"/>
          <w:i/>
          <w:iCs/>
          <w:color w:val="808080"/>
          <w:sz w:val="18"/>
          <w:szCs w:val="18"/>
          <w:u w:val="single"/>
        </w:rPr>
        <w:t>46</w:t>
      </w:r>
      <w:r w:rsidRPr="00804E55">
        <w:rPr>
          <w:rFonts w:ascii="Arial" w:hAnsi="Arial" w:cs="Arial"/>
          <w:i/>
          <w:iCs/>
          <w:color w:val="808080"/>
          <w:sz w:val="18"/>
          <w:szCs w:val="18"/>
          <w:u w:val="single"/>
        </w:rPr>
        <w:fldChar w:fldCharType="end"/>
      </w:r>
      <w:r w:rsidRPr="00804E55">
        <w:rPr>
          <w:rFonts w:ascii="Arial" w:hAnsi="Arial" w:cs="Arial"/>
          <w:i/>
          <w:iCs/>
          <w:color w:val="000000"/>
          <w:sz w:val="18"/>
          <w:szCs w:val="18"/>
        </w:rPr>
        <w:t>  It changes the terms of a settlement agreement to an enforceable court order.</w:t>
      </w:r>
    </w:p>
    <w:p w14:paraId="34D1B9CA" w14:textId="77777777" w:rsidR="00181272" w:rsidRPr="00804E55" w:rsidRDefault="00181272" w:rsidP="00181272">
      <w:pPr>
        <w:spacing w:line="480" w:lineRule="auto"/>
        <w:ind w:left="567" w:hanging="567"/>
        <w:jc w:val="both"/>
        <w:rPr>
          <w:rFonts w:ascii="Arial" w:hAnsi="Arial" w:cs="Arial"/>
          <w:color w:val="000000"/>
          <w:sz w:val="22"/>
          <w:szCs w:val="22"/>
        </w:rPr>
      </w:pPr>
      <w:r w:rsidRPr="00804E55">
        <w:rPr>
          <w:rFonts w:ascii="Arial" w:hAnsi="Arial" w:cs="Arial"/>
          <w:bCs/>
          <w:sz w:val="22"/>
          <w:szCs w:val="22"/>
        </w:rPr>
        <w:t>[</w:t>
      </w:r>
      <w:r w:rsidR="00537939">
        <w:rPr>
          <w:rFonts w:ascii="Arial" w:hAnsi="Arial" w:cs="Arial"/>
          <w:bCs/>
          <w:sz w:val="22"/>
          <w:szCs w:val="22"/>
        </w:rPr>
        <w:t>91</w:t>
      </w:r>
      <w:r w:rsidRPr="00804E55">
        <w:rPr>
          <w:rFonts w:ascii="Arial" w:hAnsi="Arial" w:cs="Arial"/>
          <w:bCs/>
          <w:sz w:val="22"/>
          <w:szCs w:val="22"/>
        </w:rPr>
        <w:t>]</w:t>
      </w:r>
      <w:r w:rsidRPr="00181272">
        <w:rPr>
          <w:rFonts w:ascii="Arial" w:hAnsi="Arial" w:cs="Arial"/>
          <w:color w:val="000000"/>
        </w:rPr>
        <w:tab/>
      </w:r>
      <w:r w:rsidRPr="00804E55">
        <w:rPr>
          <w:rFonts w:ascii="Arial" w:hAnsi="Arial" w:cs="Arial"/>
          <w:color w:val="000000"/>
          <w:sz w:val="22"/>
          <w:szCs w:val="22"/>
        </w:rPr>
        <w:t xml:space="preserve">In </w:t>
      </w:r>
      <w:r w:rsidR="00264008" w:rsidRPr="00804E55">
        <w:rPr>
          <w:rFonts w:ascii="Arial" w:hAnsi="Arial" w:cs="Arial"/>
          <w:color w:val="000000"/>
          <w:sz w:val="22"/>
          <w:szCs w:val="22"/>
        </w:rPr>
        <w:t>addition</w:t>
      </w:r>
      <w:r w:rsidR="004274BE" w:rsidRPr="00804E55">
        <w:rPr>
          <w:rFonts w:ascii="Arial" w:hAnsi="Arial" w:cs="Arial"/>
          <w:color w:val="000000"/>
          <w:sz w:val="22"/>
          <w:szCs w:val="22"/>
        </w:rPr>
        <w:t xml:space="preserve"> in </w:t>
      </w:r>
      <w:r w:rsidRPr="00537939">
        <w:rPr>
          <w:rFonts w:ascii="Arial" w:hAnsi="Arial" w:cs="Arial"/>
          <w:b/>
          <w:bCs/>
          <w:i/>
          <w:iCs/>
          <w:color w:val="000000"/>
          <w:sz w:val="22"/>
          <w:szCs w:val="22"/>
        </w:rPr>
        <w:t>Natal Joint Municipal Pension Fund v Endumeni Municipality</w:t>
      </w:r>
      <w:r w:rsidRPr="00804E55">
        <w:rPr>
          <w:rStyle w:val="FootnoteReference"/>
          <w:rFonts w:ascii="Arial" w:hAnsi="Arial" w:cs="Arial"/>
          <w:b/>
          <w:bCs/>
          <w:color w:val="000000"/>
          <w:sz w:val="22"/>
          <w:szCs w:val="22"/>
        </w:rPr>
        <w:footnoteReference w:id="40"/>
      </w:r>
      <w:r w:rsidRPr="00804E55">
        <w:rPr>
          <w:rFonts w:ascii="Arial" w:hAnsi="Arial" w:cs="Arial"/>
          <w:b/>
          <w:bCs/>
          <w:color w:val="000000"/>
          <w:sz w:val="22"/>
          <w:szCs w:val="22"/>
        </w:rPr>
        <w:t xml:space="preserve"> </w:t>
      </w:r>
      <w:r w:rsidRPr="00804E55">
        <w:rPr>
          <w:rFonts w:ascii="Arial" w:hAnsi="Arial" w:cs="Arial"/>
          <w:color w:val="000000"/>
          <w:sz w:val="22"/>
          <w:szCs w:val="22"/>
        </w:rPr>
        <w:t>the Supreme Court of Appeal again reiterated the correct approach to be followed in the interpretation of documents:</w:t>
      </w:r>
    </w:p>
    <w:p w14:paraId="6CD14E86" w14:textId="77777777" w:rsidR="00181272" w:rsidRPr="00804E55" w:rsidRDefault="00804E55" w:rsidP="00181272">
      <w:pPr>
        <w:pStyle w:val="western"/>
        <w:spacing w:before="144" w:beforeAutospacing="0" w:after="288" w:afterAutospacing="0" w:line="480" w:lineRule="auto"/>
        <w:ind w:left="1701" w:hanging="567"/>
        <w:jc w:val="both"/>
        <w:rPr>
          <w:rFonts w:ascii="Arial" w:hAnsi="Arial" w:cs="Arial"/>
          <w:b/>
          <w:bCs/>
          <w:i/>
          <w:iCs/>
          <w:color w:val="242121"/>
          <w:sz w:val="18"/>
          <w:szCs w:val="18"/>
          <w:u w:val="single"/>
          <w:lang w:val="en-ZA"/>
        </w:rPr>
      </w:pPr>
      <w:r w:rsidRPr="00804E55">
        <w:rPr>
          <w:rFonts w:ascii="Arial" w:hAnsi="Arial" w:cs="Arial"/>
          <w:i/>
          <w:iCs/>
          <w:color w:val="242121"/>
          <w:sz w:val="18"/>
          <w:szCs w:val="18"/>
        </w:rPr>
        <w:t>“</w:t>
      </w:r>
      <w:r w:rsidR="00181272" w:rsidRPr="00804E55">
        <w:rPr>
          <w:rFonts w:ascii="Arial" w:hAnsi="Arial" w:cs="Arial"/>
          <w:i/>
          <w:iCs/>
          <w:color w:val="242121"/>
          <w:sz w:val="18"/>
          <w:szCs w:val="18"/>
        </w:rPr>
        <w:t>[18] ………..The present state of the law can be expressed as follows. Interpretation is the process of attributing meaning to the words used in a document, be it legislation, some other statutory instrument, or contract, having regard to the context provided by reading the particular provision or provisions in the light of the document as a whole and the circumstances attendant upon its coming into existence. Whatever the nature of the document, consideration must be given to the language used in the light of the ordinary rules of grammar and syntax; the context in which the provision appears; the apparent purpose to which it is directed and the material known to those responsible for its production. Where more than one meaning is possible each possibility must be weighed in the light of all these factors.</w:t>
      </w:r>
      <w:bookmarkStart w:id="21" w:name="sdfootnote15anc"/>
      <w:r w:rsidR="00181272" w:rsidRPr="00804E55">
        <w:rPr>
          <w:rFonts w:ascii="Arial" w:hAnsi="Arial" w:cs="Arial"/>
          <w:i/>
          <w:iCs/>
          <w:color w:val="242121"/>
          <w:sz w:val="18"/>
          <w:szCs w:val="18"/>
          <w:vertAlign w:val="superscript"/>
        </w:rPr>
        <w:fldChar w:fldCharType="begin"/>
      </w:r>
      <w:r w:rsidR="00181272" w:rsidRPr="00804E55">
        <w:rPr>
          <w:rFonts w:ascii="Arial" w:hAnsi="Arial" w:cs="Arial"/>
          <w:i/>
          <w:iCs/>
          <w:color w:val="242121"/>
          <w:sz w:val="18"/>
          <w:szCs w:val="18"/>
          <w:vertAlign w:val="superscript"/>
        </w:rPr>
        <w:instrText xml:space="preserve"> HYPERLINK "http://www.saflii.org/za/cases/ZASCA/2012/13.html" \l "sdfootnote15sym" </w:instrText>
      </w:r>
      <w:r w:rsidR="00181272" w:rsidRPr="00804E55">
        <w:rPr>
          <w:rFonts w:ascii="Arial" w:hAnsi="Arial" w:cs="Arial"/>
          <w:i/>
          <w:iCs/>
          <w:color w:val="242121"/>
          <w:sz w:val="18"/>
          <w:szCs w:val="18"/>
          <w:vertAlign w:val="superscript"/>
        </w:rPr>
        <w:fldChar w:fldCharType="separate"/>
      </w:r>
      <w:r w:rsidR="00181272" w:rsidRPr="00804E55">
        <w:rPr>
          <w:rStyle w:val="Hyperlink"/>
          <w:rFonts w:ascii="Arial" w:hAnsi="Arial" w:cs="Arial"/>
          <w:b/>
          <w:bCs/>
          <w:i/>
          <w:iCs/>
          <w:color w:val="0B4B0B"/>
          <w:sz w:val="18"/>
          <w:szCs w:val="18"/>
          <w:vertAlign w:val="superscript"/>
        </w:rPr>
        <w:t>15</w:t>
      </w:r>
      <w:r w:rsidR="00181272" w:rsidRPr="00804E55">
        <w:rPr>
          <w:rFonts w:ascii="Arial" w:hAnsi="Arial" w:cs="Arial"/>
          <w:i/>
          <w:iCs/>
          <w:color w:val="242121"/>
          <w:sz w:val="18"/>
          <w:szCs w:val="18"/>
          <w:vertAlign w:val="superscript"/>
        </w:rPr>
        <w:fldChar w:fldCharType="end"/>
      </w:r>
      <w:bookmarkEnd w:id="21"/>
      <w:r w:rsidR="00181272" w:rsidRPr="00804E55">
        <w:rPr>
          <w:rStyle w:val="apple-converted-space"/>
          <w:rFonts w:ascii="Arial" w:hAnsi="Arial" w:cs="Arial"/>
          <w:i/>
          <w:iCs/>
          <w:color w:val="242121"/>
          <w:sz w:val="18"/>
          <w:szCs w:val="18"/>
        </w:rPr>
        <w:t> </w:t>
      </w:r>
      <w:r w:rsidR="00181272" w:rsidRPr="00804E55">
        <w:rPr>
          <w:rFonts w:ascii="Arial" w:hAnsi="Arial" w:cs="Arial"/>
          <w:i/>
          <w:iCs/>
          <w:color w:val="242121"/>
          <w:sz w:val="18"/>
          <w:szCs w:val="18"/>
        </w:rPr>
        <w:t xml:space="preserve">The process is objective not subjective. </w:t>
      </w:r>
      <w:r w:rsidR="00181272" w:rsidRPr="00804E55">
        <w:rPr>
          <w:rFonts w:ascii="Arial" w:hAnsi="Arial" w:cs="Arial"/>
          <w:b/>
          <w:bCs/>
          <w:i/>
          <w:iCs/>
          <w:color w:val="242121"/>
          <w:sz w:val="18"/>
          <w:szCs w:val="18"/>
          <w:u w:val="single"/>
        </w:rPr>
        <w:t>A sensible meaning is to be preferred to one that leads to insensible or unbusinesslike results or undermines the apparent purpose of the document.</w:t>
      </w:r>
      <w:r w:rsidR="00181272" w:rsidRPr="00804E55">
        <w:rPr>
          <w:rFonts w:ascii="Arial" w:hAnsi="Arial" w:cs="Arial"/>
          <w:i/>
          <w:iCs/>
          <w:color w:val="242121"/>
          <w:sz w:val="18"/>
          <w:szCs w:val="18"/>
        </w:rPr>
        <w:t xml:space="preserve"> Judges must be alert to, and guard against, the temptation to substitute what they regard as reasonable, sensible or businesslike for the words actually used. To do so in regard to a statute or statutory instrument is to cross the divide between interpretation and legislation. In a contractual context it is to make a contract for the parties other than the one they in fact made. </w:t>
      </w:r>
      <w:r w:rsidR="00181272" w:rsidRPr="00804E55">
        <w:rPr>
          <w:rFonts w:ascii="Arial" w:hAnsi="Arial" w:cs="Arial"/>
          <w:b/>
          <w:bCs/>
          <w:i/>
          <w:iCs/>
          <w:color w:val="242121"/>
          <w:sz w:val="18"/>
          <w:szCs w:val="18"/>
          <w:u w:val="single"/>
        </w:rPr>
        <w:t>The ‘inevitable point of departure is the language of the provision itself’,</w:t>
      </w:r>
      <w:bookmarkStart w:id="22" w:name="sdfootnote16anc"/>
      <w:r w:rsidR="00181272" w:rsidRPr="00804E55">
        <w:rPr>
          <w:rFonts w:ascii="Arial" w:hAnsi="Arial" w:cs="Arial"/>
          <w:b/>
          <w:bCs/>
          <w:i/>
          <w:iCs/>
          <w:color w:val="242121"/>
          <w:sz w:val="18"/>
          <w:szCs w:val="18"/>
          <w:u w:val="single"/>
          <w:vertAlign w:val="superscript"/>
        </w:rPr>
        <w:fldChar w:fldCharType="begin"/>
      </w:r>
      <w:r w:rsidR="00181272" w:rsidRPr="00804E55">
        <w:rPr>
          <w:rFonts w:ascii="Arial" w:hAnsi="Arial" w:cs="Arial"/>
          <w:b/>
          <w:bCs/>
          <w:i/>
          <w:iCs/>
          <w:color w:val="242121"/>
          <w:sz w:val="18"/>
          <w:szCs w:val="18"/>
          <w:u w:val="single"/>
          <w:vertAlign w:val="superscript"/>
        </w:rPr>
        <w:instrText xml:space="preserve"> HYPERLINK "http://www.saflii.org/za/cases/ZASCA/2012/13.html" \l "sdfootnote16sym" </w:instrText>
      </w:r>
      <w:r w:rsidR="00181272" w:rsidRPr="00804E55">
        <w:rPr>
          <w:rFonts w:ascii="Arial" w:hAnsi="Arial" w:cs="Arial"/>
          <w:b/>
          <w:bCs/>
          <w:i/>
          <w:iCs/>
          <w:color w:val="242121"/>
          <w:sz w:val="18"/>
          <w:szCs w:val="18"/>
          <w:u w:val="single"/>
          <w:vertAlign w:val="superscript"/>
        </w:rPr>
        <w:fldChar w:fldCharType="separate"/>
      </w:r>
      <w:r w:rsidR="00181272" w:rsidRPr="00804E55">
        <w:rPr>
          <w:rStyle w:val="Hyperlink"/>
          <w:rFonts w:ascii="Arial" w:hAnsi="Arial" w:cs="Arial"/>
          <w:b/>
          <w:bCs/>
          <w:i/>
          <w:iCs/>
          <w:color w:val="0B4B0B"/>
          <w:sz w:val="18"/>
          <w:szCs w:val="18"/>
          <w:vertAlign w:val="superscript"/>
        </w:rPr>
        <w:t>16</w:t>
      </w:r>
      <w:r w:rsidR="00181272" w:rsidRPr="00804E55">
        <w:rPr>
          <w:rFonts w:ascii="Arial" w:hAnsi="Arial" w:cs="Arial"/>
          <w:b/>
          <w:bCs/>
          <w:i/>
          <w:iCs/>
          <w:color w:val="242121"/>
          <w:sz w:val="18"/>
          <w:szCs w:val="18"/>
          <w:u w:val="single"/>
          <w:vertAlign w:val="superscript"/>
        </w:rPr>
        <w:fldChar w:fldCharType="end"/>
      </w:r>
      <w:bookmarkEnd w:id="22"/>
      <w:r w:rsidR="00181272" w:rsidRPr="00804E55">
        <w:rPr>
          <w:rStyle w:val="apple-converted-space"/>
          <w:rFonts w:ascii="Arial" w:hAnsi="Arial" w:cs="Arial"/>
          <w:b/>
          <w:bCs/>
          <w:i/>
          <w:iCs/>
          <w:color w:val="242121"/>
          <w:sz w:val="18"/>
          <w:szCs w:val="18"/>
          <w:u w:val="single"/>
        </w:rPr>
        <w:t> </w:t>
      </w:r>
      <w:r w:rsidR="00181272" w:rsidRPr="00804E55">
        <w:rPr>
          <w:rFonts w:ascii="Arial" w:hAnsi="Arial" w:cs="Arial"/>
          <w:b/>
          <w:bCs/>
          <w:i/>
          <w:iCs/>
          <w:color w:val="242121"/>
          <w:sz w:val="18"/>
          <w:szCs w:val="18"/>
          <w:u w:val="single"/>
        </w:rPr>
        <w:t>read in context and having regard to the purpose of the provision and the background to the preparation and production of the document.</w:t>
      </w:r>
    </w:p>
    <w:p w14:paraId="34BE6A35" w14:textId="77777777" w:rsidR="00D96A8C" w:rsidRDefault="00181272" w:rsidP="00D96A8C">
      <w:pPr>
        <w:pStyle w:val="western"/>
        <w:spacing w:before="0" w:beforeAutospacing="0" w:after="0" w:afterAutospacing="0" w:line="480" w:lineRule="auto"/>
        <w:ind w:left="1701" w:hanging="567"/>
        <w:jc w:val="both"/>
        <w:rPr>
          <w:rFonts w:ascii="Arial" w:hAnsi="Arial" w:cs="Arial"/>
          <w:i/>
          <w:iCs/>
          <w:color w:val="242121"/>
          <w:sz w:val="18"/>
          <w:szCs w:val="18"/>
        </w:rPr>
      </w:pPr>
      <w:r w:rsidRPr="00804E55">
        <w:rPr>
          <w:rFonts w:ascii="Arial" w:hAnsi="Arial" w:cs="Arial"/>
          <w:i/>
          <w:iCs/>
          <w:color w:val="242121"/>
          <w:sz w:val="18"/>
          <w:szCs w:val="18"/>
        </w:rPr>
        <w:t>[19] All this is consistent with the ‘emerging trend in statutory construction’.</w:t>
      </w:r>
      <w:bookmarkStart w:id="23" w:name="sdfootnote17anc"/>
      <w:r w:rsidRPr="00804E55">
        <w:rPr>
          <w:rFonts w:ascii="Arial" w:hAnsi="Arial" w:cs="Arial"/>
          <w:i/>
          <w:iCs/>
          <w:color w:val="242121"/>
          <w:sz w:val="18"/>
          <w:szCs w:val="18"/>
          <w:vertAlign w:val="superscript"/>
        </w:rPr>
        <w:fldChar w:fldCharType="begin"/>
      </w:r>
      <w:r w:rsidRPr="00804E55">
        <w:rPr>
          <w:rFonts w:ascii="Arial" w:hAnsi="Arial" w:cs="Arial"/>
          <w:i/>
          <w:iCs/>
          <w:color w:val="242121"/>
          <w:sz w:val="18"/>
          <w:szCs w:val="18"/>
          <w:vertAlign w:val="superscript"/>
        </w:rPr>
        <w:instrText xml:space="preserve"> HYPERLINK "http://www.saflii.org/za/cases/ZASCA/2012/13.html" \l "sdfootnote17sym" </w:instrText>
      </w:r>
      <w:r w:rsidRPr="00804E55">
        <w:rPr>
          <w:rFonts w:ascii="Arial" w:hAnsi="Arial" w:cs="Arial"/>
          <w:i/>
          <w:iCs/>
          <w:color w:val="242121"/>
          <w:sz w:val="18"/>
          <w:szCs w:val="18"/>
          <w:vertAlign w:val="superscript"/>
        </w:rPr>
        <w:fldChar w:fldCharType="separate"/>
      </w:r>
      <w:r w:rsidRPr="00804E55">
        <w:rPr>
          <w:rStyle w:val="Hyperlink"/>
          <w:rFonts w:ascii="Arial" w:hAnsi="Arial" w:cs="Arial"/>
          <w:b/>
          <w:bCs/>
          <w:i/>
          <w:iCs/>
          <w:color w:val="0B4B0B"/>
          <w:sz w:val="18"/>
          <w:szCs w:val="18"/>
          <w:vertAlign w:val="superscript"/>
        </w:rPr>
        <w:t>17</w:t>
      </w:r>
      <w:r w:rsidRPr="00804E55">
        <w:rPr>
          <w:rFonts w:ascii="Arial" w:hAnsi="Arial" w:cs="Arial"/>
          <w:i/>
          <w:iCs/>
          <w:color w:val="242121"/>
          <w:sz w:val="18"/>
          <w:szCs w:val="18"/>
          <w:vertAlign w:val="superscript"/>
        </w:rPr>
        <w:fldChar w:fldCharType="end"/>
      </w:r>
      <w:bookmarkEnd w:id="23"/>
      <w:r w:rsidRPr="00804E55">
        <w:rPr>
          <w:rStyle w:val="apple-converted-space"/>
          <w:rFonts w:ascii="Arial" w:hAnsi="Arial" w:cs="Arial"/>
          <w:i/>
          <w:iCs/>
          <w:color w:val="242121"/>
          <w:sz w:val="18"/>
          <w:szCs w:val="18"/>
        </w:rPr>
        <w:t> </w:t>
      </w:r>
      <w:r w:rsidRPr="00804E55">
        <w:rPr>
          <w:rFonts w:ascii="Arial" w:hAnsi="Arial" w:cs="Arial"/>
          <w:i/>
          <w:iCs/>
          <w:color w:val="242121"/>
          <w:sz w:val="18"/>
          <w:szCs w:val="18"/>
        </w:rPr>
        <w:t>It clearly adopts as the proper approach to the interpretation of documents the second of the two possible approaches mentioned by Schreiner JA in</w:t>
      </w:r>
      <w:r w:rsidRPr="00804E55">
        <w:rPr>
          <w:rStyle w:val="apple-converted-space"/>
          <w:rFonts w:ascii="Arial" w:hAnsi="Arial" w:cs="Arial"/>
          <w:i/>
          <w:iCs/>
          <w:color w:val="242121"/>
          <w:sz w:val="18"/>
          <w:szCs w:val="18"/>
        </w:rPr>
        <w:t> </w:t>
      </w:r>
      <w:r w:rsidRPr="00804E55">
        <w:rPr>
          <w:rFonts w:ascii="Arial" w:hAnsi="Arial" w:cs="Arial"/>
          <w:i/>
          <w:iCs/>
          <w:color w:val="242121"/>
          <w:sz w:val="18"/>
          <w:szCs w:val="18"/>
        </w:rPr>
        <w:t>Jaga v Dönges NO and another,</w:t>
      </w:r>
      <w:bookmarkStart w:id="24" w:name="sdfootnote18anc"/>
      <w:r w:rsidRPr="00804E55">
        <w:rPr>
          <w:rFonts w:ascii="Arial" w:hAnsi="Arial" w:cs="Arial"/>
          <w:i/>
          <w:iCs/>
          <w:color w:val="242121"/>
          <w:sz w:val="18"/>
          <w:szCs w:val="18"/>
          <w:vertAlign w:val="superscript"/>
        </w:rPr>
        <w:fldChar w:fldCharType="begin"/>
      </w:r>
      <w:r w:rsidRPr="00804E55">
        <w:rPr>
          <w:rFonts w:ascii="Arial" w:hAnsi="Arial" w:cs="Arial"/>
          <w:i/>
          <w:iCs/>
          <w:color w:val="242121"/>
          <w:sz w:val="18"/>
          <w:szCs w:val="18"/>
          <w:vertAlign w:val="superscript"/>
        </w:rPr>
        <w:instrText xml:space="preserve"> HYPERLINK "http://www.saflii.org/za/cases/ZASCA/2012/13.html" \l "sdfootnote18sym" </w:instrText>
      </w:r>
      <w:r w:rsidRPr="00804E55">
        <w:rPr>
          <w:rFonts w:ascii="Arial" w:hAnsi="Arial" w:cs="Arial"/>
          <w:i/>
          <w:iCs/>
          <w:color w:val="242121"/>
          <w:sz w:val="18"/>
          <w:szCs w:val="18"/>
          <w:vertAlign w:val="superscript"/>
        </w:rPr>
        <w:fldChar w:fldCharType="separate"/>
      </w:r>
      <w:r w:rsidRPr="00804E55">
        <w:rPr>
          <w:rStyle w:val="Hyperlink"/>
          <w:rFonts w:ascii="Arial" w:hAnsi="Arial" w:cs="Arial"/>
          <w:b/>
          <w:bCs/>
          <w:i/>
          <w:iCs/>
          <w:color w:val="0B4B0B"/>
          <w:sz w:val="18"/>
          <w:szCs w:val="18"/>
          <w:vertAlign w:val="superscript"/>
        </w:rPr>
        <w:t>18</w:t>
      </w:r>
      <w:r w:rsidRPr="00804E55">
        <w:rPr>
          <w:rFonts w:ascii="Arial" w:hAnsi="Arial" w:cs="Arial"/>
          <w:i/>
          <w:iCs/>
          <w:color w:val="242121"/>
          <w:sz w:val="18"/>
          <w:szCs w:val="18"/>
          <w:vertAlign w:val="superscript"/>
        </w:rPr>
        <w:fldChar w:fldCharType="end"/>
      </w:r>
      <w:bookmarkEnd w:id="24"/>
      <w:r w:rsidRPr="00804E55">
        <w:rPr>
          <w:rStyle w:val="apple-converted-space"/>
          <w:rFonts w:ascii="Arial" w:hAnsi="Arial" w:cs="Arial"/>
          <w:i/>
          <w:iCs/>
          <w:color w:val="242121"/>
          <w:sz w:val="18"/>
          <w:szCs w:val="18"/>
        </w:rPr>
        <w:t> </w:t>
      </w:r>
      <w:r w:rsidRPr="00804E55">
        <w:rPr>
          <w:rFonts w:ascii="Arial" w:hAnsi="Arial" w:cs="Arial"/>
          <w:i/>
          <w:iCs/>
          <w:color w:val="242121"/>
          <w:sz w:val="18"/>
          <w:szCs w:val="18"/>
        </w:rPr>
        <w:t xml:space="preserve">namely that from the outset one considers the context and the language together, with neither predominating over the other. This is the approach that courts in South Africa should now follow, without the need to cite authorities </w:t>
      </w:r>
      <w:r w:rsidRPr="00804E55">
        <w:rPr>
          <w:rFonts w:ascii="Arial" w:hAnsi="Arial" w:cs="Arial"/>
          <w:i/>
          <w:iCs/>
          <w:color w:val="242121"/>
          <w:sz w:val="18"/>
          <w:szCs w:val="18"/>
        </w:rPr>
        <w:lastRenderedPageBreak/>
        <w:t>from an earlier era that are not necessarily consistent and frequently reflect an approach to interpretation that is no longer appropriate.”</w:t>
      </w:r>
    </w:p>
    <w:p w14:paraId="07FD5317" w14:textId="77777777" w:rsidR="00F511F5" w:rsidRPr="00D96A8C" w:rsidRDefault="00F511F5" w:rsidP="00D96A8C">
      <w:pPr>
        <w:pStyle w:val="western"/>
        <w:spacing w:before="0" w:beforeAutospacing="0" w:after="0" w:afterAutospacing="0" w:line="480" w:lineRule="auto"/>
        <w:ind w:left="1701" w:hanging="567"/>
        <w:jc w:val="both"/>
        <w:rPr>
          <w:rFonts w:ascii="Arial" w:hAnsi="Arial" w:cs="Arial"/>
          <w:color w:val="242121"/>
          <w:sz w:val="16"/>
          <w:szCs w:val="16"/>
        </w:rPr>
      </w:pPr>
      <w:r w:rsidRPr="00804E55">
        <w:rPr>
          <w:rFonts w:ascii="Arial" w:hAnsi="Arial" w:cs="Arial"/>
          <w:color w:val="242121"/>
          <w:sz w:val="22"/>
          <w:szCs w:val="22"/>
        </w:rPr>
        <w:tab/>
      </w:r>
      <w:r w:rsidRPr="00D96A8C">
        <w:rPr>
          <w:rFonts w:ascii="Arial" w:hAnsi="Arial" w:cs="Arial"/>
          <w:color w:val="242121"/>
          <w:sz w:val="16"/>
          <w:szCs w:val="16"/>
        </w:rPr>
        <w:t>(own emphasis)</w:t>
      </w:r>
    </w:p>
    <w:p w14:paraId="1C69590C" w14:textId="77777777" w:rsidR="00AB7BA6" w:rsidRDefault="00783D78" w:rsidP="00D12BEB">
      <w:pPr>
        <w:spacing w:line="480" w:lineRule="auto"/>
        <w:ind w:left="567" w:hanging="567"/>
        <w:jc w:val="both"/>
        <w:rPr>
          <w:rFonts w:ascii="Arial" w:hAnsi="Arial" w:cs="Arial"/>
          <w:bCs/>
          <w:sz w:val="22"/>
          <w:szCs w:val="22"/>
        </w:rPr>
      </w:pPr>
      <w:r w:rsidRPr="00804E55">
        <w:rPr>
          <w:rFonts w:ascii="Arial" w:hAnsi="Arial" w:cs="Arial"/>
          <w:bCs/>
          <w:sz w:val="22"/>
          <w:szCs w:val="22"/>
        </w:rPr>
        <w:t>[</w:t>
      </w:r>
      <w:r w:rsidR="00537939">
        <w:rPr>
          <w:rFonts w:ascii="Arial" w:hAnsi="Arial" w:cs="Arial"/>
          <w:bCs/>
          <w:sz w:val="22"/>
          <w:szCs w:val="22"/>
        </w:rPr>
        <w:t>92</w:t>
      </w:r>
      <w:r w:rsidRPr="00804E55">
        <w:rPr>
          <w:rFonts w:ascii="Arial" w:hAnsi="Arial" w:cs="Arial"/>
          <w:bCs/>
          <w:sz w:val="22"/>
          <w:szCs w:val="22"/>
        </w:rPr>
        <w:t>]</w:t>
      </w:r>
      <w:r w:rsidRPr="00804E55">
        <w:rPr>
          <w:rFonts w:ascii="Arial" w:hAnsi="Arial" w:cs="Arial"/>
          <w:bCs/>
          <w:sz w:val="22"/>
          <w:szCs w:val="22"/>
        </w:rPr>
        <w:tab/>
        <w:t xml:space="preserve">At the time the compromise was entered between the parties SARS knew that the balance of the amount was incurred in 2015. On the contrary this was their alternative </w:t>
      </w:r>
      <w:r w:rsidR="00D12BEB" w:rsidRPr="00804E55">
        <w:rPr>
          <w:rFonts w:ascii="Arial" w:hAnsi="Arial" w:cs="Arial"/>
          <w:bCs/>
          <w:sz w:val="22"/>
          <w:szCs w:val="22"/>
        </w:rPr>
        <w:t>defence</w:t>
      </w:r>
      <w:r w:rsidRPr="00804E55">
        <w:rPr>
          <w:rFonts w:ascii="Arial" w:hAnsi="Arial" w:cs="Arial"/>
          <w:bCs/>
          <w:sz w:val="22"/>
          <w:szCs w:val="22"/>
        </w:rPr>
        <w:t xml:space="preserve">. </w:t>
      </w:r>
      <w:r w:rsidR="00AB7BA6">
        <w:rPr>
          <w:rFonts w:ascii="Arial" w:hAnsi="Arial" w:cs="Arial"/>
          <w:bCs/>
          <w:sz w:val="22"/>
          <w:szCs w:val="22"/>
        </w:rPr>
        <w:t>What is clear from the last sentence of paragraph 6 of the consent order is that both parties agreed that I-cat will have the right to approach SARS again in respect of the 2015 year of assessment.</w:t>
      </w:r>
      <w:r w:rsidR="00AB7BA6" w:rsidRPr="00264008">
        <w:rPr>
          <w:rFonts w:ascii="Arial" w:hAnsi="Arial" w:cs="Arial"/>
          <w:bCs/>
          <w:sz w:val="22"/>
          <w:szCs w:val="22"/>
        </w:rPr>
        <w:t xml:space="preserve"> </w:t>
      </w:r>
      <w:r w:rsidR="00AB7BA6">
        <w:rPr>
          <w:rFonts w:ascii="Arial" w:hAnsi="Arial" w:cs="Arial"/>
          <w:bCs/>
          <w:sz w:val="22"/>
          <w:szCs w:val="22"/>
        </w:rPr>
        <w:t xml:space="preserve">Although the parties made it clear that SARS could not bind itself as to the outcome of such approach, by using the term “endeavour”, at least I-cat </w:t>
      </w:r>
      <w:r w:rsidR="00E961C4">
        <w:rPr>
          <w:rFonts w:ascii="Arial" w:hAnsi="Arial" w:cs="Arial"/>
          <w:bCs/>
          <w:sz w:val="22"/>
          <w:szCs w:val="22"/>
        </w:rPr>
        <w:t xml:space="preserve">had the right to apply. </w:t>
      </w:r>
      <w:r w:rsidR="00AB7BA6">
        <w:rPr>
          <w:rFonts w:ascii="Arial" w:hAnsi="Arial" w:cs="Arial"/>
          <w:bCs/>
          <w:sz w:val="22"/>
          <w:szCs w:val="22"/>
        </w:rPr>
        <w:t xml:space="preserve">I </w:t>
      </w:r>
      <w:r w:rsidR="00AB7BA6" w:rsidRPr="00264008">
        <w:rPr>
          <w:rFonts w:ascii="Arial" w:hAnsi="Arial" w:cs="Arial"/>
          <w:bCs/>
          <w:sz w:val="22"/>
          <w:szCs w:val="22"/>
        </w:rPr>
        <w:t xml:space="preserve">can hardly imagine that SARS would be able to successfully raise the aforementioned defences again in respect of </w:t>
      </w:r>
      <w:r w:rsidR="00AB7BA6">
        <w:rPr>
          <w:rFonts w:ascii="Arial" w:hAnsi="Arial" w:cs="Arial"/>
          <w:bCs/>
          <w:sz w:val="22"/>
          <w:szCs w:val="22"/>
        </w:rPr>
        <w:t>the</w:t>
      </w:r>
      <w:r w:rsidR="00AB7BA6" w:rsidRPr="00264008">
        <w:rPr>
          <w:rFonts w:ascii="Arial" w:hAnsi="Arial" w:cs="Arial"/>
          <w:bCs/>
          <w:sz w:val="22"/>
          <w:szCs w:val="22"/>
        </w:rPr>
        <w:t xml:space="preserve"> 2015 assessment, but I make no finding to this effect as this is something that SARS will need to decide upon when it adjudicates upon I-cat’s application for a reduce assessment in respect of 2015.</w:t>
      </w:r>
    </w:p>
    <w:p w14:paraId="1089E3F9" w14:textId="77777777" w:rsidR="00783D78" w:rsidRPr="00804E55" w:rsidRDefault="00E961C4" w:rsidP="00D12BEB">
      <w:pPr>
        <w:pStyle w:val="western"/>
        <w:spacing w:before="144" w:beforeAutospacing="0" w:after="288" w:afterAutospacing="0" w:line="480" w:lineRule="auto"/>
        <w:ind w:left="567" w:hanging="567"/>
        <w:jc w:val="both"/>
        <w:rPr>
          <w:rFonts w:ascii="Arial" w:hAnsi="Arial" w:cs="Arial"/>
          <w:bCs/>
          <w:sz w:val="22"/>
          <w:szCs w:val="22"/>
        </w:rPr>
      </w:pPr>
      <w:r w:rsidRPr="00804E55">
        <w:rPr>
          <w:rFonts w:ascii="Arial" w:hAnsi="Arial" w:cs="Arial"/>
          <w:bCs/>
          <w:sz w:val="22"/>
          <w:szCs w:val="22"/>
        </w:rPr>
        <w:t>[</w:t>
      </w:r>
      <w:r w:rsidR="00537939">
        <w:rPr>
          <w:rFonts w:ascii="Arial" w:hAnsi="Arial" w:cs="Arial"/>
          <w:bCs/>
          <w:sz w:val="22"/>
          <w:szCs w:val="22"/>
        </w:rPr>
        <w:t>93</w:t>
      </w:r>
      <w:r w:rsidRPr="00804E55">
        <w:rPr>
          <w:rFonts w:ascii="Arial" w:hAnsi="Arial" w:cs="Arial"/>
          <w:bCs/>
          <w:sz w:val="22"/>
          <w:szCs w:val="22"/>
        </w:rPr>
        <w:t>]</w:t>
      </w:r>
      <w:r>
        <w:rPr>
          <w:rFonts w:ascii="Arial" w:hAnsi="Arial" w:cs="Arial"/>
          <w:bCs/>
          <w:sz w:val="22"/>
          <w:szCs w:val="22"/>
        </w:rPr>
        <w:tab/>
      </w:r>
      <w:r w:rsidR="00783D78" w:rsidRPr="00804E55">
        <w:rPr>
          <w:rFonts w:ascii="Arial" w:hAnsi="Arial" w:cs="Arial"/>
          <w:bCs/>
          <w:sz w:val="22"/>
          <w:szCs w:val="22"/>
        </w:rPr>
        <w:t>If SARS</w:t>
      </w:r>
      <w:r w:rsidR="00F511F5" w:rsidRPr="00804E55">
        <w:rPr>
          <w:rFonts w:ascii="Arial" w:hAnsi="Arial" w:cs="Arial"/>
          <w:bCs/>
          <w:sz w:val="22"/>
          <w:szCs w:val="22"/>
        </w:rPr>
        <w:t>’</w:t>
      </w:r>
      <w:r w:rsidR="00783D78" w:rsidRPr="00804E55">
        <w:rPr>
          <w:rFonts w:ascii="Arial" w:hAnsi="Arial" w:cs="Arial"/>
          <w:bCs/>
          <w:sz w:val="22"/>
          <w:szCs w:val="22"/>
        </w:rPr>
        <w:t xml:space="preserve"> submissions are to stand, it follows that at the time they </w:t>
      </w:r>
      <w:r w:rsidR="00F511F5" w:rsidRPr="00804E55">
        <w:rPr>
          <w:rFonts w:ascii="Arial" w:hAnsi="Arial" w:cs="Arial"/>
          <w:bCs/>
          <w:sz w:val="22"/>
          <w:szCs w:val="22"/>
        </w:rPr>
        <w:t>entered</w:t>
      </w:r>
      <w:r w:rsidR="00783D78" w:rsidRPr="00804E55">
        <w:rPr>
          <w:rFonts w:ascii="Arial" w:hAnsi="Arial" w:cs="Arial"/>
          <w:bCs/>
          <w:sz w:val="22"/>
          <w:szCs w:val="22"/>
        </w:rPr>
        <w:t xml:space="preserve"> the compromise with I-cat, which compromise was made a consent order, SARS knew that I-cat’s right to apply for a reduce assessment </w:t>
      </w:r>
      <w:r w:rsidR="00681CD8" w:rsidRPr="00804E55">
        <w:rPr>
          <w:rFonts w:ascii="Arial" w:hAnsi="Arial" w:cs="Arial"/>
          <w:bCs/>
          <w:sz w:val="22"/>
          <w:szCs w:val="22"/>
        </w:rPr>
        <w:t xml:space="preserve">in respect of this balance amount </w:t>
      </w:r>
      <w:r w:rsidR="00783D78" w:rsidRPr="00804E55">
        <w:rPr>
          <w:rFonts w:ascii="Arial" w:hAnsi="Arial" w:cs="Arial"/>
          <w:bCs/>
          <w:sz w:val="22"/>
          <w:szCs w:val="22"/>
        </w:rPr>
        <w:t xml:space="preserve">in terms of Section 93 of the Tax Administration Act had already prescribed. </w:t>
      </w:r>
      <w:r>
        <w:rPr>
          <w:rFonts w:ascii="Arial" w:hAnsi="Arial" w:cs="Arial"/>
          <w:bCs/>
          <w:sz w:val="22"/>
          <w:szCs w:val="22"/>
        </w:rPr>
        <w:t>In the premise</w:t>
      </w:r>
      <w:r w:rsidR="00537939">
        <w:rPr>
          <w:rFonts w:ascii="Arial" w:hAnsi="Arial" w:cs="Arial"/>
          <w:bCs/>
          <w:sz w:val="22"/>
          <w:szCs w:val="22"/>
        </w:rPr>
        <w:t>s</w:t>
      </w:r>
      <w:r>
        <w:rPr>
          <w:rFonts w:ascii="Arial" w:hAnsi="Arial" w:cs="Arial"/>
          <w:bCs/>
          <w:sz w:val="22"/>
          <w:szCs w:val="22"/>
        </w:rPr>
        <w:t xml:space="preserve"> SARS knew that I-cat would no longer possess any right to approach SARS. </w:t>
      </w:r>
      <w:r w:rsidR="00783D78" w:rsidRPr="00804E55">
        <w:rPr>
          <w:rFonts w:ascii="Arial" w:hAnsi="Arial" w:cs="Arial"/>
          <w:bCs/>
          <w:sz w:val="22"/>
          <w:szCs w:val="22"/>
        </w:rPr>
        <w:t xml:space="preserve">Notwithstanding </w:t>
      </w:r>
      <w:r w:rsidR="00681CD8" w:rsidRPr="00804E55">
        <w:rPr>
          <w:rFonts w:ascii="Arial" w:hAnsi="Arial" w:cs="Arial"/>
          <w:bCs/>
          <w:sz w:val="22"/>
          <w:szCs w:val="22"/>
        </w:rPr>
        <w:t>SARS</w:t>
      </w:r>
      <w:r w:rsidR="00783D78" w:rsidRPr="00804E55">
        <w:rPr>
          <w:rFonts w:ascii="Arial" w:hAnsi="Arial" w:cs="Arial"/>
          <w:bCs/>
          <w:sz w:val="22"/>
          <w:szCs w:val="22"/>
        </w:rPr>
        <w:t xml:space="preserve"> agreed to include such a clause in their compromise and consent order full well knowing that such provision </w:t>
      </w:r>
      <w:r w:rsidR="00F511F5" w:rsidRPr="00804E55">
        <w:rPr>
          <w:rFonts w:ascii="Arial" w:hAnsi="Arial" w:cs="Arial"/>
          <w:bCs/>
          <w:sz w:val="22"/>
          <w:szCs w:val="22"/>
        </w:rPr>
        <w:t>served no purpose, was superfluous and insignificant.</w:t>
      </w:r>
      <w:r w:rsidR="00783D78" w:rsidRPr="00804E55">
        <w:rPr>
          <w:rFonts w:ascii="Arial" w:hAnsi="Arial" w:cs="Arial"/>
          <w:bCs/>
          <w:sz w:val="22"/>
          <w:szCs w:val="22"/>
        </w:rPr>
        <w:t xml:space="preserve"> </w:t>
      </w:r>
    </w:p>
    <w:p w14:paraId="14FB8D4B" w14:textId="77777777" w:rsidR="00174D4B" w:rsidRPr="00804E55" w:rsidRDefault="00A00A7D" w:rsidP="00181272">
      <w:pPr>
        <w:pStyle w:val="western"/>
        <w:spacing w:before="144" w:beforeAutospacing="0" w:after="288" w:afterAutospacing="0" w:line="480" w:lineRule="auto"/>
        <w:ind w:left="567" w:hanging="567"/>
        <w:jc w:val="both"/>
        <w:rPr>
          <w:rFonts w:ascii="Arial" w:hAnsi="Arial" w:cs="Arial"/>
          <w:bCs/>
          <w:sz w:val="22"/>
          <w:szCs w:val="22"/>
        </w:rPr>
      </w:pPr>
      <w:r w:rsidRPr="00804E55">
        <w:rPr>
          <w:rFonts w:ascii="Arial" w:hAnsi="Arial" w:cs="Arial"/>
          <w:bCs/>
          <w:sz w:val="22"/>
          <w:szCs w:val="22"/>
        </w:rPr>
        <w:t>[</w:t>
      </w:r>
      <w:r w:rsidR="00E961C4">
        <w:rPr>
          <w:rFonts w:ascii="Arial" w:hAnsi="Arial" w:cs="Arial"/>
          <w:bCs/>
          <w:sz w:val="22"/>
          <w:szCs w:val="22"/>
        </w:rPr>
        <w:t>9</w:t>
      </w:r>
      <w:r w:rsidR="00537939">
        <w:rPr>
          <w:rFonts w:ascii="Arial" w:hAnsi="Arial" w:cs="Arial"/>
          <w:bCs/>
          <w:sz w:val="22"/>
          <w:szCs w:val="22"/>
        </w:rPr>
        <w:t>4</w:t>
      </w:r>
      <w:r w:rsidRPr="00804E55">
        <w:rPr>
          <w:rFonts w:ascii="Arial" w:hAnsi="Arial" w:cs="Arial"/>
          <w:bCs/>
          <w:sz w:val="22"/>
          <w:szCs w:val="22"/>
        </w:rPr>
        <w:t>]</w:t>
      </w:r>
      <w:r w:rsidRPr="00804E55">
        <w:rPr>
          <w:rFonts w:ascii="Arial" w:hAnsi="Arial" w:cs="Arial"/>
          <w:bCs/>
          <w:sz w:val="22"/>
          <w:szCs w:val="22"/>
        </w:rPr>
        <w:tab/>
      </w:r>
      <w:r w:rsidR="00F868E7" w:rsidRPr="00804E55">
        <w:rPr>
          <w:rFonts w:ascii="Arial" w:hAnsi="Arial" w:cs="Arial"/>
          <w:bCs/>
          <w:sz w:val="22"/>
          <w:szCs w:val="22"/>
        </w:rPr>
        <w:t xml:space="preserve">In </w:t>
      </w:r>
      <w:r w:rsidRPr="00537939">
        <w:rPr>
          <w:rFonts w:ascii="Arial" w:hAnsi="Arial" w:cs="Arial"/>
          <w:b/>
          <w:bCs/>
          <w:i/>
          <w:iCs/>
          <w:color w:val="000000"/>
          <w:sz w:val="22"/>
          <w:szCs w:val="22"/>
        </w:rPr>
        <w:t>C</w:t>
      </w:r>
      <w:r w:rsidR="00A862AD" w:rsidRPr="00537939">
        <w:rPr>
          <w:rFonts w:ascii="Arial" w:hAnsi="Arial" w:cs="Arial"/>
          <w:b/>
          <w:bCs/>
          <w:i/>
          <w:iCs/>
          <w:color w:val="000000"/>
          <w:sz w:val="22"/>
          <w:szCs w:val="22"/>
        </w:rPr>
        <w:t xml:space="preserve">ommissioner </w:t>
      </w:r>
      <w:r w:rsidRPr="00537939">
        <w:rPr>
          <w:rFonts w:ascii="Arial" w:hAnsi="Arial" w:cs="Arial"/>
          <w:b/>
          <w:bCs/>
          <w:i/>
          <w:iCs/>
          <w:color w:val="000000"/>
          <w:sz w:val="22"/>
          <w:szCs w:val="22"/>
        </w:rPr>
        <w:t>F</w:t>
      </w:r>
      <w:r w:rsidR="00A862AD" w:rsidRPr="00537939">
        <w:rPr>
          <w:rFonts w:ascii="Arial" w:hAnsi="Arial" w:cs="Arial"/>
          <w:b/>
          <w:bCs/>
          <w:i/>
          <w:iCs/>
          <w:color w:val="000000"/>
          <w:sz w:val="22"/>
          <w:szCs w:val="22"/>
        </w:rPr>
        <w:t>or</w:t>
      </w:r>
      <w:r w:rsidRPr="00537939">
        <w:rPr>
          <w:rFonts w:ascii="Arial" w:hAnsi="Arial" w:cs="Arial"/>
          <w:b/>
          <w:bCs/>
          <w:i/>
          <w:iCs/>
          <w:color w:val="000000"/>
          <w:sz w:val="22"/>
          <w:szCs w:val="22"/>
        </w:rPr>
        <w:t xml:space="preserve"> I</w:t>
      </w:r>
      <w:r w:rsidR="00A862AD" w:rsidRPr="00537939">
        <w:rPr>
          <w:rFonts w:ascii="Arial" w:hAnsi="Arial" w:cs="Arial"/>
          <w:b/>
          <w:bCs/>
          <w:i/>
          <w:iCs/>
          <w:color w:val="000000"/>
          <w:sz w:val="22"/>
          <w:szCs w:val="22"/>
        </w:rPr>
        <w:t xml:space="preserve">nland </w:t>
      </w:r>
      <w:r w:rsidRPr="00537939">
        <w:rPr>
          <w:rFonts w:ascii="Arial" w:hAnsi="Arial" w:cs="Arial"/>
          <w:b/>
          <w:bCs/>
          <w:i/>
          <w:iCs/>
          <w:color w:val="000000"/>
          <w:sz w:val="22"/>
          <w:szCs w:val="22"/>
        </w:rPr>
        <w:t>R</w:t>
      </w:r>
      <w:r w:rsidR="00A862AD" w:rsidRPr="00537939">
        <w:rPr>
          <w:rFonts w:ascii="Arial" w:hAnsi="Arial" w:cs="Arial"/>
          <w:b/>
          <w:bCs/>
          <w:i/>
          <w:iCs/>
          <w:color w:val="000000"/>
          <w:sz w:val="22"/>
          <w:szCs w:val="22"/>
        </w:rPr>
        <w:t xml:space="preserve">evenue </w:t>
      </w:r>
      <w:r w:rsidRPr="00537939">
        <w:rPr>
          <w:rFonts w:ascii="Arial" w:hAnsi="Arial" w:cs="Arial"/>
          <w:b/>
          <w:bCs/>
          <w:i/>
          <w:iCs/>
          <w:color w:val="000000"/>
          <w:sz w:val="22"/>
          <w:szCs w:val="22"/>
        </w:rPr>
        <w:t>v G</w:t>
      </w:r>
      <w:r w:rsidR="00A862AD" w:rsidRPr="00537939">
        <w:rPr>
          <w:rFonts w:ascii="Arial" w:hAnsi="Arial" w:cs="Arial"/>
          <w:b/>
          <w:bCs/>
          <w:i/>
          <w:iCs/>
          <w:color w:val="000000"/>
          <w:sz w:val="22"/>
          <w:szCs w:val="22"/>
        </w:rPr>
        <w:t xml:space="preserve">olden </w:t>
      </w:r>
      <w:r w:rsidRPr="00537939">
        <w:rPr>
          <w:rFonts w:ascii="Arial" w:hAnsi="Arial" w:cs="Arial"/>
          <w:b/>
          <w:bCs/>
          <w:i/>
          <w:iCs/>
          <w:color w:val="000000"/>
          <w:sz w:val="22"/>
          <w:szCs w:val="22"/>
        </w:rPr>
        <w:t>D</w:t>
      </w:r>
      <w:r w:rsidR="00A862AD" w:rsidRPr="00537939">
        <w:rPr>
          <w:rFonts w:ascii="Arial" w:hAnsi="Arial" w:cs="Arial"/>
          <w:b/>
          <w:bCs/>
          <w:i/>
          <w:iCs/>
          <w:color w:val="000000"/>
          <w:sz w:val="22"/>
          <w:szCs w:val="22"/>
        </w:rPr>
        <w:t xml:space="preserve">umps </w:t>
      </w:r>
      <w:r w:rsidRPr="00537939">
        <w:rPr>
          <w:rFonts w:ascii="Arial" w:hAnsi="Arial" w:cs="Arial"/>
          <w:b/>
          <w:bCs/>
          <w:i/>
          <w:iCs/>
          <w:color w:val="000000"/>
          <w:sz w:val="22"/>
          <w:szCs w:val="22"/>
        </w:rPr>
        <w:t>(P</w:t>
      </w:r>
      <w:r w:rsidR="00A862AD" w:rsidRPr="00537939">
        <w:rPr>
          <w:rFonts w:ascii="Arial" w:hAnsi="Arial" w:cs="Arial"/>
          <w:b/>
          <w:bCs/>
          <w:i/>
          <w:iCs/>
          <w:color w:val="000000"/>
          <w:sz w:val="22"/>
          <w:szCs w:val="22"/>
        </w:rPr>
        <w:t>ty</w:t>
      </w:r>
      <w:r w:rsidRPr="00537939">
        <w:rPr>
          <w:rFonts w:ascii="Arial" w:hAnsi="Arial" w:cs="Arial"/>
          <w:b/>
          <w:bCs/>
          <w:i/>
          <w:iCs/>
          <w:color w:val="000000"/>
          <w:sz w:val="22"/>
          <w:szCs w:val="22"/>
        </w:rPr>
        <w:t>) L</w:t>
      </w:r>
      <w:r w:rsidR="00A862AD" w:rsidRPr="00537939">
        <w:rPr>
          <w:rFonts w:ascii="Arial" w:hAnsi="Arial" w:cs="Arial"/>
          <w:b/>
          <w:bCs/>
          <w:i/>
          <w:iCs/>
          <w:color w:val="000000"/>
          <w:sz w:val="22"/>
          <w:szCs w:val="22"/>
        </w:rPr>
        <w:t>td</w:t>
      </w:r>
      <w:r w:rsidR="00F868E7" w:rsidRPr="00804E55">
        <w:rPr>
          <w:rStyle w:val="FootnoteReference"/>
          <w:rFonts w:ascii="Arial" w:hAnsi="Arial" w:cs="Arial"/>
          <w:b/>
          <w:bCs/>
          <w:color w:val="000000"/>
          <w:sz w:val="22"/>
          <w:szCs w:val="22"/>
        </w:rPr>
        <w:footnoteReference w:id="41"/>
      </w:r>
      <w:r w:rsidRPr="00804E55">
        <w:rPr>
          <w:rFonts w:ascii="Arial" w:hAnsi="Arial" w:cs="Arial"/>
          <w:b/>
          <w:bCs/>
          <w:color w:val="000000"/>
          <w:sz w:val="22"/>
          <w:szCs w:val="22"/>
        </w:rPr>
        <w:t xml:space="preserve"> </w:t>
      </w:r>
      <w:r w:rsidR="00F868E7" w:rsidRPr="00804E55">
        <w:rPr>
          <w:rFonts w:ascii="Arial" w:hAnsi="Arial" w:cs="Arial"/>
          <w:color w:val="000000"/>
          <w:sz w:val="22"/>
          <w:szCs w:val="22"/>
        </w:rPr>
        <w:t xml:space="preserve">the Appellate Division reiterated that words inserted in a statute </w:t>
      </w:r>
      <w:r w:rsidR="00F868E7" w:rsidRPr="00804E55">
        <w:rPr>
          <w:rFonts w:ascii="Arial" w:hAnsi="Arial" w:cs="Arial"/>
          <w:i/>
          <w:iCs/>
          <w:color w:val="000000"/>
          <w:sz w:val="22"/>
          <w:szCs w:val="22"/>
        </w:rPr>
        <w:t>per incuriam</w:t>
      </w:r>
      <w:r w:rsidR="00F868E7" w:rsidRPr="00804E55">
        <w:rPr>
          <w:rStyle w:val="apple-converted-space"/>
          <w:rFonts w:ascii="Arial" w:hAnsi="Arial" w:cs="Arial"/>
          <w:color w:val="000000"/>
          <w:sz w:val="22"/>
          <w:szCs w:val="22"/>
        </w:rPr>
        <w:t> </w:t>
      </w:r>
      <w:r w:rsidR="00F868E7" w:rsidRPr="00804E55">
        <w:rPr>
          <w:rFonts w:ascii="Arial" w:hAnsi="Arial" w:cs="Arial"/>
          <w:color w:val="000000"/>
          <w:sz w:val="22"/>
          <w:szCs w:val="22"/>
        </w:rPr>
        <w:t xml:space="preserve">is contrary to the well-approved </w:t>
      </w:r>
      <w:r w:rsidR="00F868E7" w:rsidRPr="00804E55">
        <w:rPr>
          <w:rFonts w:ascii="Arial" w:hAnsi="Arial" w:cs="Arial"/>
          <w:color w:val="000000"/>
          <w:sz w:val="22"/>
          <w:szCs w:val="22"/>
        </w:rPr>
        <w:lastRenderedPageBreak/>
        <w:t>canon of construction. The court referred with approval to Craies on</w:t>
      </w:r>
      <w:r w:rsidR="00F868E7" w:rsidRPr="00804E55">
        <w:rPr>
          <w:rStyle w:val="apple-converted-space"/>
          <w:rFonts w:ascii="Arial" w:hAnsi="Arial" w:cs="Arial"/>
          <w:color w:val="000000"/>
          <w:sz w:val="22"/>
          <w:szCs w:val="22"/>
        </w:rPr>
        <w:t> </w:t>
      </w:r>
      <w:r w:rsidR="00F868E7" w:rsidRPr="00804E55">
        <w:rPr>
          <w:rFonts w:ascii="Arial" w:hAnsi="Arial" w:cs="Arial"/>
          <w:i/>
          <w:iCs/>
          <w:color w:val="000000"/>
          <w:sz w:val="22"/>
          <w:szCs w:val="22"/>
        </w:rPr>
        <w:t>Statute Law</w:t>
      </w:r>
      <w:r w:rsidR="00F868E7" w:rsidRPr="00804E55">
        <w:rPr>
          <w:rStyle w:val="apple-converted-space"/>
          <w:rFonts w:ascii="Arial" w:hAnsi="Arial" w:cs="Arial"/>
          <w:color w:val="000000"/>
          <w:sz w:val="22"/>
          <w:szCs w:val="22"/>
        </w:rPr>
        <w:t> </w:t>
      </w:r>
      <w:r w:rsidR="00F868E7" w:rsidRPr="00804E55">
        <w:rPr>
          <w:rFonts w:ascii="Arial" w:hAnsi="Arial" w:cs="Arial"/>
          <w:color w:val="000000"/>
          <w:sz w:val="22"/>
          <w:szCs w:val="22"/>
        </w:rPr>
        <w:t>that made the principle applicable on private documents as well:</w:t>
      </w:r>
    </w:p>
    <w:p w14:paraId="116834D0" w14:textId="77777777" w:rsidR="00174D4B" w:rsidRPr="00804E55" w:rsidRDefault="00174D4B" w:rsidP="00F511F5">
      <w:pPr>
        <w:spacing w:line="480" w:lineRule="auto"/>
        <w:ind w:left="993" w:hanging="142"/>
        <w:jc w:val="both"/>
        <w:rPr>
          <w:rFonts w:ascii="Arial" w:hAnsi="Arial" w:cs="Arial"/>
          <w:i/>
          <w:iCs/>
          <w:color w:val="000000"/>
          <w:sz w:val="18"/>
          <w:szCs w:val="18"/>
        </w:rPr>
      </w:pPr>
      <w:r w:rsidRPr="00804E55">
        <w:rPr>
          <w:rFonts w:ascii="Arial" w:hAnsi="Arial" w:cs="Arial"/>
          <w:i/>
          <w:iCs/>
          <w:color w:val="000000"/>
          <w:sz w:val="18"/>
          <w:szCs w:val="18"/>
        </w:rPr>
        <w:t> </w:t>
      </w:r>
      <w:r w:rsidR="00F868E7" w:rsidRPr="00804E55">
        <w:rPr>
          <w:rFonts w:ascii="Arial" w:hAnsi="Arial" w:cs="Arial"/>
          <w:i/>
          <w:iCs/>
          <w:color w:val="000000"/>
          <w:sz w:val="18"/>
          <w:szCs w:val="18"/>
        </w:rPr>
        <w:t>“</w:t>
      </w:r>
      <w:r w:rsidRPr="00804E55">
        <w:rPr>
          <w:rFonts w:ascii="Arial" w:hAnsi="Arial" w:cs="Arial"/>
          <w:i/>
          <w:iCs/>
          <w:color w:val="000000"/>
          <w:sz w:val="18"/>
          <w:szCs w:val="18"/>
        </w:rPr>
        <w:t>If the implication is that the word 'actually' is mere surplusage and can be ignored, that would be contrary to the firmly established rule of statutory construction that a meaning must be given to every word. See Steyn</w:t>
      </w:r>
      <w:r w:rsidRPr="00804E55">
        <w:rPr>
          <w:rStyle w:val="apple-converted-space"/>
          <w:rFonts w:ascii="Arial" w:hAnsi="Arial" w:cs="Arial"/>
          <w:i/>
          <w:iCs/>
          <w:color w:val="000000"/>
          <w:sz w:val="18"/>
          <w:szCs w:val="18"/>
        </w:rPr>
        <w:t> </w:t>
      </w:r>
      <w:r w:rsidRPr="00804E55">
        <w:rPr>
          <w:rFonts w:ascii="Arial" w:hAnsi="Arial" w:cs="Arial"/>
          <w:i/>
          <w:iCs/>
          <w:color w:val="000000"/>
          <w:sz w:val="18"/>
          <w:szCs w:val="18"/>
        </w:rPr>
        <w:t>Die Uitleg van Wette</w:t>
      </w:r>
      <w:r w:rsidRPr="00804E55">
        <w:rPr>
          <w:rStyle w:val="apple-converted-space"/>
          <w:rFonts w:ascii="Arial" w:hAnsi="Arial" w:cs="Arial"/>
          <w:i/>
          <w:iCs/>
          <w:color w:val="000000"/>
          <w:sz w:val="18"/>
          <w:szCs w:val="18"/>
        </w:rPr>
        <w:t> </w:t>
      </w:r>
      <w:r w:rsidRPr="00804E55">
        <w:rPr>
          <w:rFonts w:ascii="Arial" w:hAnsi="Arial" w:cs="Arial"/>
          <w:i/>
          <w:iCs/>
          <w:color w:val="000000"/>
          <w:sz w:val="18"/>
          <w:szCs w:val="18"/>
        </w:rPr>
        <w:t>5th ed at 17-19. In</w:t>
      </w:r>
      <w:r w:rsidRPr="00804E55">
        <w:rPr>
          <w:rStyle w:val="apple-converted-space"/>
          <w:rFonts w:ascii="Arial" w:hAnsi="Arial" w:cs="Arial"/>
          <w:i/>
          <w:iCs/>
          <w:color w:val="000000"/>
          <w:sz w:val="18"/>
          <w:szCs w:val="18"/>
        </w:rPr>
        <w:t> </w:t>
      </w:r>
      <w:r w:rsidRPr="00804E55">
        <w:rPr>
          <w:rFonts w:ascii="Arial" w:hAnsi="Arial" w:cs="Arial"/>
          <w:i/>
          <w:iCs/>
          <w:color w:val="000000"/>
          <w:sz w:val="18"/>
          <w:szCs w:val="18"/>
        </w:rPr>
        <w:t>Attorney-General, Transvaal v Additional Magistrate for Johannesburg1924 AD 421 Kotze JA said at 436 </w:t>
      </w:r>
      <w:r w:rsidRPr="00804E55">
        <w:rPr>
          <w:rStyle w:val="apple-converted-space"/>
          <w:rFonts w:ascii="Arial" w:hAnsi="Arial" w:cs="Arial"/>
          <w:i/>
          <w:iCs/>
          <w:color w:val="000000"/>
          <w:sz w:val="18"/>
          <w:szCs w:val="18"/>
        </w:rPr>
        <w:t> </w:t>
      </w:r>
      <w:r w:rsidRPr="00804E55">
        <w:rPr>
          <w:rStyle w:val="mc"/>
          <w:rFonts w:ascii="Arial" w:hAnsi="Arial" w:cs="Arial"/>
          <w:i/>
          <w:iCs/>
          <w:color w:val="000000"/>
          <w:sz w:val="18"/>
          <w:szCs w:val="18"/>
          <w:highlight w:val="lightGray"/>
        </w:rPr>
        <w:t>G</w:t>
      </w:r>
      <w:r w:rsidRPr="00804E55">
        <w:rPr>
          <w:rStyle w:val="apple-converted-space"/>
          <w:rFonts w:ascii="Arial" w:hAnsi="Arial" w:cs="Arial"/>
          <w:i/>
          <w:iCs/>
          <w:color w:val="000000"/>
          <w:sz w:val="18"/>
          <w:szCs w:val="18"/>
          <w:highlight w:val="lightGray"/>
        </w:rPr>
        <w:t> </w:t>
      </w:r>
      <w:r w:rsidRPr="00804E55">
        <w:rPr>
          <w:rFonts w:ascii="Arial" w:hAnsi="Arial" w:cs="Arial"/>
          <w:i/>
          <w:iCs/>
          <w:color w:val="000000"/>
          <w:sz w:val="18"/>
          <w:szCs w:val="18"/>
        </w:rPr>
        <w:t>that to regard words occurring in a section as having been inserted</w:t>
      </w:r>
      <w:r w:rsidRPr="00804E55">
        <w:rPr>
          <w:rStyle w:val="apple-converted-space"/>
          <w:rFonts w:ascii="Arial" w:hAnsi="Arial" w:cs="Arial"/>
          <w:i/>
          <w:iCs/>
          <w:color w:val="000000"/>
          <w:sz w:val="18"/>
          <w:szCs w:val="18"/>
        </w:rPr>
        <w:t> </w:t>
      </w:r>
      <w:r w:rsidRPr="00804E55">
        <w:rPr>
          <w:rFonts w:ascii="Arial" w:hAnsi="Arial" w:cs="Arial"/>
          <w:i/>
          <w:iCs/>
          <w:color w:val="000000"/>
          <w:sz w:val="18"/>
          <w:szCs w:val="18"/>
        </w:rPr>
        <w:t>per incuriam</w:t>
      </w:r>
      <w:r w:rsidRPr="00804E55">
        <w:rPr>
          <w:rStyle w:val="apple-converted-space"/>
          <w:rFonts w:ascii="Arial" w:hAnsi="Arial" w:cs="Arial"/>
          <w:i/>
          <w:iCs/>
          <w:color w:val="000000"/>
          <w:sz w:val="18"/>
          <w:szCs w:val="18"/>
        </w:rPr>
        <w:t> </w:t>
      </w:r>
      <w:r w:rsidRPr="00804E55">
        <w:rPr>
          <w:rFonts w:ascii="Arial" w:hAnsi="Arial" w:cs="Arial"/>
          <w:i/>
          <w:iCs/>
          <w:color w:val="000000"/>
          <w:sz w:val="18"/>
          <w:szCs w:val="18"/>
        </w:rPr>
        <w:t>is contrary to the well-approved canon of construction:</w:t>
      </w:r>
    </w:p>
    <w:p w14:paraId="65BEDCBD" w14:textId="77777777" w:rsidR="00174D4B" w:rsidRPr="00804E55" w:rsidRDefault="00174D4B" w:rsidP="00F511F5">
      <w:pPr>
        <w:spacing w:line="480" w:lineRule="auto"/>
        <w:ind w:left="1418" w:hanging="284"/>
        <w:jc w:val="both"/>
        <w:rPr>
          <w:rFonts w:ascii="Arial" w:hAnsi="Arial" w:cs="Arial"/>
          <w:i/>
          <w:iCs/>
          <w:color w:val="000000"/>
          <w:sz w:val="18"/>
          <w:szCs w:val="18"/>
        </w:rPr>
      </w:pPr>
      <w:r w:rsidRPr="00804E55">
        <w:rPr>
          <w:rFonts w:ascii="Arial" w:hAnsi="Arial" w:cs="Arial"/>
          <w:i/>
          <w:iCs/>
          <w:color w:val="000000"/>
          <w:sz w:val="18"/>
          <w:szCs w:val="18"/>
        </w:rPr>
        <w:t>   '"A statute", says Cockburn CJ, "should be so construed that, if it can be prevented, no clause, sentence or word shall be superfluous, void or insignificant."</w:t>
      </w:r>
      <w:r w:rsidRPr="00804E55">
        <w:rPr>
          <w:rStyle w:val="apple-converted-space"/>
          <w:rFonts w:ascii="Arial" w:hAnsi="Arial" w:cs="Arial"/>
          <w:i/>
          <w:iCs/>
          <w:color w:val="000000"/>
          <w:sz w:val="18"/>
          <w:szCs w:val="18"/>
        </w:rPr>
        <w:t> </w:t>
      </w:r>
      <w:r w:rsidRPr="00804E55">
        <w:rPr>
          <w:rFonts w:ascii="Arial" w:hAnsi="Arial" w:cs="Arial"/>
          <w:i/>
          <w:iCs/>
          <w:color w:val="000000"/>
          <w:sz w:val="18"/>
          <w:szCs w:val="18"/>
        </w:rPr>
        <w:t>The Queen v Bishop of Oxford</w:t>
      </w:r>
      <w:r w:rsidRPr="00804E55">
        <w:rPr>
          <w:rStyle w:val="apple-converted-space"/>
          <w:rFonts w:ascii="Arial" w:hAnsi="Arial" w:cs="Arial"/>
          <w:i/>
          <w:iCs/>
          <w:color w:val="000000"/>
          <w:sz w:val="18"/>
          <w:szCs w:val="18"/>
        </w:rPr>
        <w:t> </w:t>
      </w:r>
      <w:r w:rsidRPr="00804E55">
        <w:rPr>
          <w:rFonts w:ascii="Arial" w:hAnsi="Arial" w:cs="Arial"/>
          <w:i/>
          <w:iCs/>
          <w:color w:val="000000"/>
          <w:sz w:val="18"/>
          <w:szCs w:val="18"/>
        </w:rPr>
        <w:t>(4 QBD at 261). To hold certain words occurring in a section of an Act of Parliament as </w:t>
      </w:r>
      <w:r w:rsidRPr="00804E55">
        <w:rPr>
          <w:rStyle w:val="apple-converted-space"/>
          <w:rFonts w:ascii="Arial" w:hAnsi="Arial" w:cs="Arial"/>
          <w:i/>
          <w:iCs/>
          <w:color w:val="000000"/>
          <w:sz w:val="18"/>
          <w:szCs w:val="18"/>
        </w:rPr>
        <w:t> </w:t>
      </w:r>
      <w:r w:rsidRPr="00804E55">
        <w:rPr>
          <w:rStyle w:val="mc"/>
          <w:rFonts w:ascii="Arial" w:hAnsi="Arial" w:cs="Arial"/>
          <w:i/>
          <w:iCs/>
          <w:color w:val="000000"/>
          <w:sz w:val="18"/>
          <w:szCs w:val="18"/>
          <w:highlight w:val="lightGray"/>
        </w:rPr>
        <w:t>H</w:t>
      </w:r>
      <w:r w:rsidRPr="00804E55">
        <w:rPr>
          <w:rStyle w:val="apple-converted-space"/>
          <w:rFonts w:ascii="Arial" w:hAnsi="Arial" w:cs="Arial"/>
          <w:i/>
          <w:iCs/>
          <w:color w:val="000000"/>
          <w:sz w:val="18"/>
          <w:szCs w:val="18"/>
          <w:highlight w:val="lightGray"/>
        </w:rPr>
        <w:t> </w:t>
      </w:r>
      <w:r w:rsidRPr="00804E55">
        <w:rPr>
          <w:rFonts w:ascii="Arial" w:hAnsi="Arial" w:cs="Arial"/>
          <w:i/>
          <w:iCs/>
          <w:color w:val="000000"/>
          <w:sz w:val="18"/>
          <w:szCs w:val="18"/>
        </w:rPr>
        <w:t>insensible, and as having been inserted through inadvertence or error, is only permissible as a last resort. It is, in the language of Erle CJ: "the</w:t>
      </w:r>
      <w:r w:rsidRPr="00804E55">
        <w:rPr>
          <w:rStyle w:val="apple-converted-space"/>
          <w:rFonts w:ascii="Arial" w:hAnsi="Arial" w:cs="Arial"/>
          <w:i/>
          <w:iCs/>
          <w:color w:val="000000"/>
          <w:sz w:val="18"/>
          <w:szCs w:val="18"/>
        </w:rPr>
        <w:t> </w:t>
      </w:r>
      <w:r w:rsidRPr="00804E55">
        <w:rPr>
          <w:rFonts w:ascii="Arial" w:hAnsi="Arial" w:cs="Arial"/>
          <w:i/>
          <w:iCs/>
          <w:color w:val="000000"/>
          <w:sz w:val="18"/>
          <w:szCs w:val="18"/>
        </w:rPr>
        <w:t>ultima ratio, when an absurdity would follow from giving effect to the words as they stand."</w:t>
      </w:r>
      <w:r w:rsidRPr="00804E55">
        <w:rPr>
          <w:rStyle w:val="apple-converted-space"/>
          <w:rFonts w:ascii="Arial" w:hAnsi="Arial" w:cs="Arial"/>
          <w:i/>
          <w:iCs/>
          <w:color w:val="000000"/>
          <w:sz w:val="18"/>
          <w:szCs w:val="18"/>
        </w:rPr>
        <w:t> </w:t>
      </w:r>
      <w:r w:rsidRPr="00804E55">
        <w:rPr>
          <w:rFonts w:ascii="Arial" w:hAnsi="Arial" w:cs="Arial"/>
          <w:i/>
          <w:iCs/>
          <w:color w:val="000000"/>
          <w:sz w:val="18"/>
          <w:szCs w:val="18"/>
        </w:rPr>
        <w:t>R v St John</w:t>
      </w:r>
      <w:r w:rsidRPr="00804E55">
        <w:rPr>
          <w:rStyle w:val="apple-converted-space"/>
          <w:rFonts w:ascii="Arial" w:hAnsi="Arial" w:cs="Arial"/>
          <w:i/>
          <w:iCs/>
          <w:color w:val="000000"/>
          <w:sz w:val="18"/>
          <w:szCs w:val="18"/>
        </w:rPr>
        <w:t> </w:t>
      </w:r>
      <w:r w:rsidRPr="00804E55">
        <w:rPr>
          <w:rFonts w:ascii="Arial" w:hAnsi="Arial" w:cs="Arial"/>
          <w:i/>
          <w:iCs/>
          <w:color w:val="000000"/>
          <w:sz w:val="18"/>
          <w:szCs w:val="18"/>
        </w:rPr>
        <w:t>(2 B and S 706), in the Exchequer Chamber affirming the judgment of the Queen's Bench.'</w:t>
      </w:r>
    </w:p>
    <w:p w14:paraId="66271BF2" w14:textId="77777777" w:rsidR="00174D4B" w:rsidRPr="00804E55" w:rsidRDefault="00174D4B" w:rsidP="00F868E7">
      <w:pPr>
        <w:spacing w:line="480" w:lineRule="auto"/>
        <w:ind w:left="851"/>
        <w:jc w:val="both"/>
        <w:rPr>
          <w:rFonts w:ascii="Arial" w:hAnsi="Arial" w:cs="Arial"/>
          <w:i/>
          <w:iCs/>
          <w:color w:val="000000"/>
          <w:sz w:val="18"/>
          <w:szCs w:val="18"/>
        </w:rPr>
      </w:pPr>
      <w:r w:rsidRPr="00804E55">
        <w:rPr>
          <w:rFonts w:ascii="Arial" w:hAnsi="Arial" w:cs="Arial"/>
          <w:i/>
          <w:iCs/>
          <w:color w:val="000000"/>
          <w:sz w:val="18"/>
          <w:szCs w:val="18"/>
        </w:rPr>
        <w:t>See also Craies on</w:t>
      </w:r>
      <w:r w:rsidRPr="00804E55">
        <w:rPr>
          <w:rStyle w:val="apple-converted-space"/>
          <w:rFonts w:ascii="Arial" w:hAnsi="Arial" w:cs="Arial"/>
          <w:i/>
          <w:iCs/>
          <w:color w:val="000000"/>
          <w:sz w:val="18"/>
          <w:szCs w:val="18"/>
        </w:rPr>
        <w:t> </w:t>
      </w:r>
      <w:r w:rsidRPr="00804E55">
        <w:rPr>
          <w:rFonts w:ascii="Arial" w:hAnsi="Arial" w:cs="Arial"/>
          <w:i/>
          <w:iCs/>
          <w:color w:val="000000"/>
          <w:sz w:val="18"/>
          <w:szCs w:val="18"/>
        </w:rPr>
        <w:t>Statute Law</w:t>
      </w:r>
      <w:r w:rsidRPr="00804E55">
        <w:rPr>
          <w:rStyle w:val="apple-converted-space"/>
          <w:rFonts w:ascii="Arial" w:hAnsi="Arial" w:cs="Arial"/>
          <w:i/>
          <w:iCs/>
          <w:color w:val="000000"/>
          <w:sz w:val="18"/>
          <w:szCs w:val="18"/>
        </w:rPr>
        <w:t> </w:t>
      </w:r>
      <w:r w:rsidRPr="00804E55">
        <w:rPr>
          <w:rFonts w:ascii="Arial" w:hAnsi="Arial" w:cs="Arial"/>
          <w:i/>
          <w:iCs/>
          <w:color w:val="000000"/>
          <w:sz w:val="18"/>
          <w:szCs w:val="18"/>
        </w:rPr>
        <w:t>7th ed at 103-4:</w:t>
      </w:r>
    </w:p>
    <w:p w14:paraId="0567F23A" w14:textId="77777777" w:rsidR="00174D4B" w:rsidRPr="00804E55" w:rsidRDefault="00174D4B" w:rsidP="00F511F5">
      <w:pPr>
        <w:tabs>
          <w:tab w:val="left" w:pos="1134"/>
        </w:tabs>
        <w:spacing w:line="480" w:lineRule="auto"/>
        <w:ind w:left="1418" w:hanging="284"/>
        <w:jc w:val="both"/>
        <w:rPr>
          <w:rFonts w:ascii="Arial" w:hAnsi="Arial" w:cs="Arial"/>
          <w:i/>
          <w:iCs/>
          <w:color w:val="000000"/>
          <w:sz w:val="18"/>
          <w:szCs w:val="18"/>
        </w:rPr>
      </w:pPr>
      <w:r w:rsidRPr="00804E55">
        <w:rPr>
          <w:rFonts w:ascii="Arial" w:hAnsi="Arial" w:cs="Arial"/>
          <w:i/>
          <w:iCs/>
          <w:color w:val="000000"/>
          <w:sz w:val="18"/>
          <w:szCs w:val="18"/>
        </w:rPr>
        <w:t>   </w:t>
      </w:r>
      <w:r w:rsidRPr="00804E55">
        <w:rPr>
          <w:rStyle w:val="apple-converted-space"/>
          <w:rFonts w:ascii="Arial" w:hAnsi="Arial" w:cs="Arial"/>
          <w:i/>
          <w:iCs/>
          <w:color w:val="000000"/>
          <w:sz w:val="18"/>
          <w:szCs w:val="18"/>
          <w:highlight w:val="lightGray"/>
        </w:rPr>
        <w:t> </w:t>
      </w:r>
      <w:r w:rsidRPr="00804E55">
        <w:rPr>
          <w:rStyle w:val="mc"/>
          <w:rFonts w:ascii="Arial" w:hAnsi="Arial" w:cs="Arial"/>
          <w:i/>
          <w:iCs/>
          <w:color w:val="000000"/>
          <w:sz w:val="18"/>
          <w:szCs w:val="18"/>
          <w:highlight w:val="lightGray"/>
        </w:rPr>
        <w:t>I</w:t>
      </w:r>
      <w:r w:rsidRPr="00804E55">
        <w:rPr>
          <w:rStyle w:val="apple-converted-space"/>
          <w:rFonts w:ascii="Arial" w:hAnsi="Arial" w:cs="Arial"/>
          <w:i/>
          <w:iCs/>
          <w:color w:val="000000"/>
          <w:sz w:val="18"/>
          <w:szCs w:val="18"/>
          <w:highlight w:val="lightGray"/>
        </w:rPr>
        <w:t> </w:t>
      </w:r>
      <w:r w:rsidRPr="00804E55">
        <w:rPr>
          <w:rFonts w:ascii="Arial" w:hAnsi="Arial" w:cs="Arial"/>
          <w:i/>
          <w:iCs/>
          <w:color w:val="000000"/>
          <w:sz w:val="18"/>
          <w:szCs w:val="18"/>
        </w:rPr>
        <w:t>'"It is a good general rule in jurisprudence," said the Judicial Committee in</w:t>
      </w:r>
      <w:r w:rsidRPr="00804E55">
        <w:rPr>
          <w:rStyle w:val="apple-converted-space"/>
          <w:rFonts w:ascii="Arial" w:hAnsi="Arial" w:cs="Arial"/>
          <w:i/>
          <w:iCs/>
          <w:color w:val="000000"/>
          <w:sz w:val="18"/>
          <w:szCs w:val="18"/>
        </w:rPr>
        <w:t> </w:t>
      </w:r>
      <w:r w:rsidRPr="00804E55">
        <w:rPr>
          <w:rFonts w:ascii="Arial" w:hAnsi="Arial" w:cs="Arial"/>
          <w:i/>
          <w:iCs/>
          <w:color w:val="000000"/>
          <w:sz w:val="18"/>
          <w:szCs w:val="18"/>
        </w:rPr>
        <w:t>Ditcher v Denison, "that one who reads a legal document whether public or private, should not be prompt to ascribe - should not, without necessity or some sound reason, impute - to its language tautology or superfluity, and should be rather at the outset inclined to suppose every word intended to have some effect or be of some use." And this is as justly and even more tersely put by Lord Bramwell, who said in</w:t>
      </w:r>
      <w:r w:rsidRPr="00804E55">
        <w:rPr>
          <w:rStyle w:val="apple-converted-space"/>
          <w:rFonts w:ascii="Arial" w:hAnsi="Arial" w:cs="Arial"/>
          <w:i/>
          <w:iCs/>
          <w:color w:val="000000"/>
          <w:sz w:val="18"/>
          <w:szCs w:val="18"/>
        </w:rPr>
        <w:t> </w:t>
      </w:r>
      <w:r w:rsidRPr="00804E55">
        <w:rPr>
          <w:rFonts w:ascii="Arial" w:hAnsi="Arial" w:cs="Arial"/>
          <w:i/>
          <w:iCs/>
          <w:color w:val="000000"/>
          <w:sz w:val="18"/>
          <w:szCs w:val="18"/>
        </w:rPr>
        <w:t>Cowper-Essex v Acton L B:</w:t>
      </w:r>
      <w:r w:rsidRPr="00804E55">
        <w:rPr>
          <w:rStyle w:val="apple-converted-space"/>
          <w:rFonts w:ascii="Arial" w:hAnsi="Arial" w:cs="Arial"/>
          <w:i/>
          <w:iCs/>
          <w:color w:val="000000"/>
          <w:sz w:val="18"/>
          <w:szCs w:val="18"/>
        </w:rPr>
        <w:t> </w:t>
      </w:r>
      <w:r w:rsidRPr="00804E55">
        <w:rPr>
          <w:rFonts w:ascii="Arial" w:hAnsi="Arial" w:cs="Arial"/>
          <w:i/>
          <w:iCs/>
          <w:color w:val="000000"/>
          <w:sz w:val="18"/>
          <w:szCs w:val="18"/>
        </w:rPr>
        <w:t>"The words of a statute never should in interpretation be added to or subtracted from, without almost a </w:t>
      </w:r>
      <w:r w:rsidRPr="00804E55">
        <w:rPr>
          <w:rStyle w:val="apple-converted-space"/>
          <w:rFonts w:ascii="Arial" w:hAnsi="Arial" w:cs="Arial"/>
          <w:i/>
          <w:iCs/>
          <w:color w:val="000000"/>
          <w:sz w:val="18"/>
          <w:szCs w:val="18"/>
        </w:rPr>
        <w:t> </w:t>
      </w:r>
      <w:r w:rsidRPr="00804E55">
        <w:rPr>
          <w:rStyle w:val="mc"/>
          <w:rFonts w:ascii="Arial" w:hAnsi="Arial" w:cs="Arial"/>
          <w:i/>
          <w:iCs/>
          <w:color w:val="000000"/>
          <w:sz w:val="18"/>
          <w:szCs w:val="18"/>
          <w:highlight w:val="lightGray"/>
        </w:rPr>
        <w:t>J</w:t>
      </w:r>
      <w:r w:rsidRPr="00804E55">
        <w:rPr>
          <w:rStyle w:val="apple-converted-space"/>
          <w:rFonts w:ascii="Arial" w:hAnsi="Arial" w:cs="Arial"/>
          <w:i/>
          <w:iCs/>
          <w:color w:val="000000"/>
          <w:sz w:val="18"/>
          <w:szCs w:val="18"/>
          <w:highlight w:val="lightGray"/>
        </w:rPr>
        <w:t> </w:t>
      </w:r>
      <w:r w:rsidRPr="00804E55">
        <w:rPr>
          <w:rFonts w:ascii="Arial" w:hAnsi="Arial" w:cs="Arial"/>
          <w:i/>
          <w:iCs/>
          <w:color w:val="000000"/>
          <w:sz w:val="18"/>
          <w:szCs w:val="18"/>
        </w:rPr>
        <w:t>necessity."'</w:t>
      </w:r>
    </w:p>
    <w:p w14:paraId="7FC45057" w14:textId="77777777" w:rsidR="00174D4B" w:rsidRPr="00804E55" w:rsidRDefault="00174D4B" w:rsidP="00F511F5">
      <w:pPr>
        <w:spacing w:line="480" w:lineRule="auto"/>
        <w:ind w:left="1134" w:hanging="283"/>
        <w:jc w:val="both"/>
        <w:rPr>
          <w:rFonts w:ascii="Arial" w:hAnsi="Arial" w:cs="Arial"/>
          <w:i/>
          <w:iCs/>
          <w:color w:val="000000"/>
          <w:sz w:val="18"/>
          <w:szCs w:val="18"/>
        </w:rPr>
      </w:pPr>
      <w:r w:rsidRPr="00804E55">
        <w:rPr>
          <w:rFonts w:ascii="Arial" w:hAnsi="Arial" w:cs="Arial"/>
          <w:i/>
          <w:iCs/>
          <w:color w:val="000000"/>
          <w:sz w:val="18"/>
          <w:szCs w:val="18"/>
        </w:rPr>
        <w:t> </w:t>
      </w:r>
      <w:r w:rsidRPr="00804E55">
        <w:rPr>
          <w:rStyle w:val="apple-converted-space"/>
          <w:rFonts w:ascii="Arial" w:hAnsi="Arial" w:cs="Arial"/>
          <w:i/>
          <w:iCs/>
          <w:color w:val="000000"/>
          <w:sz w:val="18"/>
          <w:szCs w:val="18"/>
        </w:rPr>
        <w:t> </w:t>
      </w:r>
      <w:r w:rsidRPr="00804E55">
        <w:rPr>
          <w:rStyle w:val="mc"/>
          <w:rFonts w:ascii="Arial" w:hAnsi="Arial" w:cs="Arial"/>
          <w:i/>
          <w:iCs/>
          <w:color w:val="000000"/>
          <w:sz w:val="18"/>
          <w:szCs w:val="18"/>
          <w:highlight w:val="lightGray"/>
        </w:rPr>
        <w:t>A</w:t>
      </w:r>
      <w:r w:rsidRPr="00804E55">
        <w:rPr>
          <w:rStyle w:val="apple-converted-space"/>
          <w:rFonts w:ascii="Arial" w:hAnsi="Arial" w:cs="Arial"/>
          <w:i/>
          <w:iCs/>
          <w:color w:val="000000"/>
          <w:sz w:val="18"/>
          <w:szCs w:val="18"/>
          <w:highlight w:val="lightGray"/>
        </w:rPr>
        <w:t> </w:t>
      </w:r>
      <w:r w:rsidRPr="00804E55">
        <w:rPr>
          <w:rFonts w:ascii="Arial" w:hAnsi="Arial" w:cs="Arial"/>
          <w:i/>
          <w:iCs/>
          <w:color w:val="000000"/>
          <w:sz w:val="18"/>
          <w:szCs w:val="18"/>
        </w:rPr>
        <w:t>The learned author acknowledges that surplusage, or even tautology, is not wholly unknown in the language of the Legislature, but continues:</w:t>
      </w:r>
    </w:p>
    <w:p w14:paraId="294B1F6E" w14:textId="77777777" w:rsidR="00174D4B" w:rsidRPr="00804E55" w:rsidRDefault="00174D4B" w:rsidP="00F511F5">
      <w:pPr>
        <w:spacing w:line="480" w:lineRule="auto"/>
        <w:ind w:left="1418" w:hanging="142"/>
        <w:jc w:val="both"/>
        <w:rPr>
          <w:rFonts w:ascii="Arial" w:hAnsi="Arial" w:cs="Arial"/>
          <w:i/>
          <w:iCs/>
          <w:color w:val="000000"/>
          <w:sz w:val="18"/>
          <w:szCs w:val="18"/>
        </w:rPr>
      </w:pPr>
      <w:r w:rsidRPr="00804E55">
        <w:rPr>
          <w:rFonts w:ascii="Arial" w:hAnsi="Arial" w:cs="Arial"/>
          <w:i/>
          <w:iCs/>
          <w:color w:val="000000"/>
          <w:sz w:val="18"/>
          <w:szCs w:val="18"/>
        </w:rPr>
        <w:t>   'Nevertheless, as Lord Brougham said in</w:t>
      </w:r>
      <w:r w:rsidRPr="00804E55">
        <w:rPr>
          <w:rStyle w:val="apple-converted-space"/>
          <w:rFonts w:ascii="Arial" w:hAnsi="Arial" w:cs="Arial"/>
          <w:i/>
          <w:iCs/>
          <w:color w:val="000000"/>
          <w:sz w:val="18"/>
          <w:szCs w:val="18"/>
        </w:rPr>
        <w:t> </w:t>
      </w:r>
      <w:r w:rsidRPr="00804E55">
        <w:rPr>
          <w:rFonts w:ascii="Arial" w:hAnsi="Arial" w:cs="Arial"/>
          <w:i/>
          <w:iCs/>
          <w:color w:val="000000"/>
          <w:sz w:val="18"/>
          <w:szCs w:val="18"/>
        </w:rPr>
        <w:t>Auchterarder Presbytery v Lord Kinnoull, "a statute is never supposed to use words without a meaning".'</w:t>
      </w:r>
      <w:r w:rsidR="00F868E7" w:rsidRPr="00804E55">
        <w:rPr>
          <w:rFonts w:ascii="Arial" w:hAnsi="Arial" w:cs="Arial"/>
          <w:i/>
          <w:iCs/>
          <w:color w:val="000000"/>
          <w:sz w:val="18"/>
          <w:szCs w:val="18"/>
        </w:rPr>
        <w:t>”</w:t>
      </w:r>
    </w:p>
    <w:p w14:paraId="42018252" w14:textId="77777777" w:rsidR="00D84DD7" w:rsidRPr="00804E55" w:rsidRDefault="00F868E7" w:rsidP="007E4740">
      <w:pPr>
        <w:spacing w:line="480" w:lineRule="auto"/>
        <w:ind w:left="567" w:hanging="567"/>
        <w:rPr>
          <w:rFonts w:ascii="Arial" w:hAnsi="Arial" w:cs="Arial"/>
          <w:color w:val="000000"/>
          <w:sz w:val="22"/>
          <w:szCs w:val="22"/>
        </w:rPr>
      </w:pPr>
      <w:r w:rsidRPr="00181272">
        <w:rPr>
          <w:rFonts w:ascii="Arial" w:hAnsi="Arial" w:cs="Arial"/>
          <w:bCs/>
        </w:rPr>
        <w:t>[</w:t>
      </w:r>
      <w:r w:rsidR="00264008" w:rsidRPr="00804E55">
        <w:rPr>
          <w:rFonts w:ascii="Arial" w:hAnsi="Arial" w:cs="Arial"/>
          <w:bCs/>
          <w:sz w:val="22"/>
          <w:szCs w:val="22"/>
        </w:rPr>
        <w:t>9</w:t>
      </w:r>
      <w:r w:rsidR="00537939">
        <w:rPr>
          <w:rFonts w:ascii="Arial" w:hAnsi="Arial" w:cs="Arial"/>
          <w:bCs/>
          <w:sz w:val="22"/>
          <w:szCs w:val="22"/>
        </w:rPr>
        <w:t>5</w:t>
      </w:r>
      <w:r w:rsidRPr="00804E55">
        <w:rPr>
          <w:rFonts w:ascii="Arial" w:hAnsi="Arial" w:cs="Arial"/>
          <w:bCs/>
          <w:sz w:val="22"/>
          <w:szCs w:val="22"/>
        </w:rPr>
        <w:t>]</w:t>
      </w:r>
      <w:r w:rsidRPr="00804E55">
        <w:rPr>
          <w:rFonts w:ascii="Arial" w:hAnsi="Arial" w:cs="Arial"/>
          <w:bCs/>
          <w:sz w:val="22"/>
          <w:szCs w:val="22"/>
        </w:rPr>
        <w:tab/>
      </w:r>
      <w:r w:rsidR="00D84DD7" w:rsidRPr="00804E55">
        <w:rPr>
          <w:rFonts w:ascii="Arial" w:hAnsi="Arial" w:cs="Arial"/>
          <w:bCs/>
          <w:sz w:val="22"/>
          <w:szCs w:val="22"/>
        </w:rPr>
        <w:t xml:space="preserve">In </w:t>
      </w:r>
      <w:r w:rsidR="00D84DD7" w:rsidRPr="00537939">
        <w:rPr>
          <w:rFonts w:ascii="Arial" w:hAnsi="Arial" w:cs="Arial"/>
          <w:b/>
          <w:bCs/>
          <w:i/>
          <w:iCs/>
          <w:color w:val="000000"/>
          <w:sz w:val="22"/>
          <w:szCs w:val="22"/>
        </w:rPr>
        <w:t>Wellworths Bazaars Ltd v Chandler's Ltd and Another</w:t>
      </w:r>
      <w:r w:rsidR="00D84DD7" w:rsidRPr="00804E55">
        <w:rPr>
          <w:rStyle w:val="FootnoteReference"/>
          <w:rFonts w:ascii="Arial" w:hAnsi="Arial" w:cs="Arial"/>
          <w:b/>
          <w:bCs/>
          <w:color w:val="000000"/>
          <w:sz w:val="22"/>
          <w:szCs w:val="22"/>
        </w:rPr>
        <w:footnoteReference w:id="42"/>
      </w:r>
      <w:r w:rsidR="00D84DD7" w:rsidRPr="00804E55">
        <w:rPr>
          <w:rFonts w:ascii="Arial" w:hAnsi="Arial" w:cs="Arial"/>
          <w:b/>
          <w:bCs/>
          <w:color w:val="000000"/>
          <w:sz w:val="22"/>
          <w:szCs w:val="22"/>
        </w:rPr>
        <w:t xml:space="preserve"> </w:t>
      </w:r>
      <w:r w:rsidR="00D84DD7" w:rsidRPr="00804E55">
        <w:rPr>
          <w:rFonts w:ascii="Arial" w:hAnsi="Arial" w:cs="Arial"/>
          <w:color w:val="000000"/>
          <w:sz w:val="22"/>
          <w:szCs w:val="22"/>
        </w:rPr>
        <w:t>the Appellate Division dealt with the presumption against superfluous words in an agreement and held as follows:</w:t>
      </w:r>
    </w:p>
    <w:p w14:paraId="4EF168F1" w14:textId="77777777" w:rsidR="00D84DD7" w:rsidRPr="00804E55" w:rsidRDefault="00D84DD7" w:rsidP="00D84DD7">
      <w:pPr>
        <w:spacing w:line="480" w:lineRule="auto"/>
        <w:ind w:left="1276" w:hanging="142"/>
        <w:jc w:val="both"/>
        <w:rPr>
          <w:rFonts w:ascii="Arial" w:hAnsi="Arial" w:cs="Arial"/>
          <w:i/>
          <w:iCs/>
          <w:color w:val="000000"/>
          <w:sz w:val="18"/>
          <w:szCs w:val="18"/>
        </w:rPr>
      </w:pPr>
      <w:r w:rsidRPr="00804E55">
        <w:rPr>
          <w:rFonts w:ascii="Arial" w:hAnsi="Arial" w:cs="Arial"/>
          <w:i/>
          <w:iCs/>
          <w:color w:val="000000"/>
          <w:sz w:val="18"/>
          <w:szCs w:val="18"/>
        </w:rPr>
        <w:lastRenderedPageBreak/>
        <w:t>“But a Court should be slow to come to the conclusion that the words are tautologous or superfluous. It was said by the Privy Council in</w:t>
      </w:r>
      <w:r w:rsidRPr="00804E55">
        <w:rPr>
          <w:rStyle w:val="apple-converted-space"/>
          <w:rFonts w:ascii="Arial" w:hAnsi="Arial" w:cs="Arial"/>
          <w:i/>
          <w:iCs/>
          <w:color w:val="000000"/>
          <w:sz w:val="18"/>
          <w:szCs w:val="18"/>
        </w:rPr>
        <w:t> </w:t>
      </w:r>
      <w:r w:rsidRPr="00804E55">
        <w:rPr>
          <w:rFonts w:ascii="Arial" w:hAnsi="Arial" w:cs="Arial"/>
          <w:i/>
          <w:iCs/>
          <w:color w:val="000000"/>
          <w:sz w:val="18"/>
          <w:szCs w:val="18"/>
        </w:rPr>
        <w:t>Ditcher v Denison</w:t>
      </w:r>
      <w:r w:rsidRPr="00804E55">
        <w:rPr>
          <w:rStyle w:val="apple-converted-space"/>
          <w:rFonts w:ascii="Arial" w:hAnsi="Arial" w:cs="Arial"/>
          <w:i/>
          <w:iCs/>
          <w:color w:val="000000"/>
          <w:sz w:val="18"/>
          <w:szCs w:val="18"/>
        </w:rPr>
        <w:t> </w:t>
      </w:r>
      <w:r w:rsidRPr="00804E55">
        <w:rPr>
          <w:rFonts w:ascii="Arial" w:hAnsi="Arial" w:cs="Arial"/>
          <w:i/>
          <w:iCs/>
          <w:color w:val="000000"/>
          <w:sz w:val="18"/>
          <w:szCs w:val="18"/>
        </w:rPr>
        <w:t xml:space="preserve">(11 </w:t>
      </w:r>
      <w:r w:rsidR="00681CD8" w:rsidRPr="00804E55">
        <w:rPr>
          <w:rFonts w:ascii="Arial" w:hAnsi="Arial" w:cs="Arial"/>
          <w:i/>
          <w:iCs/>
          <w:color w:val="000000"/>
          <w:sz w:val="18"/>
          <w:szCs w:val="18"/>
        </w:rPr>
        <w:t>Moore</w:t>
      </w:r>
      <w:r w:rsidRPr="00804E55">
        <w:rPr>
          <w:rFonts w:ascii="Arial" w:hAnsi="Arial" w:cs="Arial"/>
          <w:i/>
          <w:iCs/>
          <w:color w:val="000000"/>
          <w:sz w:val="18"/>
          <w:szCs w:val="18"/>
        </w:rPr>
        <w:t xml:space="preserve"> P.C. 325, at p. 357): -</w:t>
      </w:r>
    </w:p>
    <w:p w14:paraId="1E53C7A2" w14:textId="77777777" w:rsidR="00D84DD7" w:rsidRPr="00804E55" w:rsidRDefault="00D84DD7" w:rsidP="00D84DD7">
      <w:pPr>
        <w:spacing w:line="480" w:lineRule="auto"/>
        <w:ind w:left="1701" w:hanging="283"/>
        <w:jc w:val="both"/>
        <w:rPr>
          <w:rFonts w:ascii="Arial" w:hAnsi="Arial" w:cs="Arial"/>
          <w:i/>
          <w:iCs/>
          <w:color w:val="000000"/>
          <w:sz w:val="18"/>
          <w:szCs w:val="18"/>
        </w:rPr>
      </w:pPr>
      <w:r w:rsidRPr="00804E55">
        <w:rPr>
          <w:rFonts w:ascii="Arial" w:hAnsi="Arial" w:cs="Arial"/>
          <w:i/>
          <w:iCs/>
          <w:color w:val="000000"/>
          <w:sz w:val="18"/>
          <w:szCs w:val="18"/>
        </w:rPr>
        <w:t>   'It is a good general rule in jurisprudence that one who reads a legal document whether public or private, should not be prompt to ascribe - should not, without necessity or some sound reason, impute - to its language tautology or superfluity, and should be rather at the outset inclined to suppose every word intended to have some effect or be of some use.'</w:t>
      </w:r>
    </w:p>
    <w:p w14:paraId="0F1E62C7" w14:textId="77777777" w:rsidR="00D84DD7" w:rsidRPr="00804E55" w:rsidRDefault="00D84DD7" w:rsidP="00D84DD7">
      <w:pPr>
        <w:spacing w:line="480" w:lineRule="auto"/>
        <w:ind w:left="1276"/>
        <w:jc w:val="both"/>
        <w:rPr>
          <w:rFonts w:ascii="Arial" w:hAnsi="Arial" w:cs="Arial"/>
          <w:i/>
          <w:iCs/>
          <w:color w:val="000000"/>
          <w:sz w:val="18"/>
          <w:szCs w:val="18"/>
        </w:rPr>
      </w:pPr>
      <w:r w:rsidRPr="00804E55">
        <w:rPr>
          <w:rFonts w:ascii="Arial" w:hAnsi="Arial" w:cs="Arial"/>
          <w:i/>
          <w:iCs/>
          <w:color w:val="000000"/>
          <w:sz w:val="18"/>
          <w:szCs w:val="18"/>
        </w:rPr>
        <w:t>Cf. also</w:t>
      </w:r>
      <w:r w:rsidRPr="00804E55">
        <w:rPr>
          <w:rStyle w:val="apple-converted-space"/>
          <w:rFonts w:ascii="Arial" w:hAnsi="Arial" w:cs="Arial"/>
          <w:i/>
          <w:iCs/>
          <w:color w:val="000000"/>
          <w:sz w:val="18"/>
          <w:szCs w:val="18"/>
        </w:rPr>
        <w:t> </w:t>
      </w:r>
      <w:r w:rsidRPr="00804E55">
        <w:rPr>
          <w:rFonts w:ascii="Arial" w:hAnsi="Arial" w:cs="Arial"/>
          <w:i/>
          <w:iCs/>
          <w:color w:val="000000"/>
          <w:sz w:val="18"/>
          <w:szCs w:val="18"/>
        </w:rPr>
        <w:t>per</w:t>
      </w:r>
      <w:r w:rsidRPr="00804E55">
        <w:rPr>
          <w:rStyle w:val="apple-converted-space"/>
          <w:rFonts w:ascii="Arial" w:hAnsi="Arial" w:cs="Arial"/>
          <w:i/>
          <w:iCs/>
          <w:color w:val="000000"/>
          <w:sz w:val="18"/>
          <w:szCs w:val="18"/>
        </w:rPr>
        <w:t> </w:t>
      </w:r>
      <w:r w:rsidRPr="00804E55">
        <w:rPr>
          <w:rFonts w:ascii="Arial" w:hAnsi="Arial" w:cs="Arial"/>
          <w:i/>
          <w:iCs/>
          <w:color w:val="000000"/>
          <w:sz w:val="18"/>
          <w:szCs w:val="18"/>
        </w:rPr>
        <w:t>KOTZE, J.A., in</w:t>
      </w:r>
      <w:r w:rsidRPr="00804E55">
        <w:rPr>
          <w:rStyle w:val="apple-converted-space"/>
          <w:rFonts w:ascii="Arial" w:hAnsi="Arial" w:cs="Arial"/>
          <w:i/>
          <w:iCs/>
          <w:color w:val="000000"/>
          <w:sz w:val="18"/>
          <w:szCs w:val="18"/>
        </w:rPr>
        <w:t> </w:t>
      </w:r>
      <w:r w:rsidRPr="00804E55">
        <w:rPr>
          <w:rFonts w:ascii="Arial" w:hAnsi="Arial" w:cs="Arial"/>
          <w:i/>
          <w:iCs/>
          <w:color w:val="000000"/>
          <w:sz w:val="18"/>
          <w:szCs w:val="18"/>
        </w:rPr>
        <w:t>Attorney-General, Transvaal v Additional Magistrate</w:t>
      </w:r>
      <w:r w:rsidRPr="00804E55">
        <w:rPr>
          <w:rStyle w:val="apple-converted-space"/>
          <w:rFonts w:ascii="Arial" w:hAnsi="Arial" w:cs="Arial"/>
          <w:i/>
          <w:iCs/>
          <w:color w:val="000000"/>
          <w:sz w:val="18"/>
          <w:szCs w:val="18"/>
        </w:rPr>
        <w:t> </w:t>
      </w:r>
      <w:r w:rsidRPr="00804E55">
        <w:rPr>
          <w:rFonts w:ascii="Arial" w:hAnsi="Arial" w:cs="Arial"/>
          <w:i/>
          <w:iCs/>
          <w:color w:val="000000"/>
          <w:sz w:val="18"/>
          <w:szCs w:val="18"/>
        </w:rPr>
        <w:t>(1924 AD 421, at p. 436);</w:t>
      </w:r>
      <w:r w:rsidRPr="00804E55">
        <w:rPr>
          <w:rStyle w:val="apple-converted-space"/>
          <w:rFonts w:ascii="Arial" w:hAnsi="Arial" w:cs="Arial"/>
          <w:i/>
          <w:iCs/>
          <w:color w:val="000000"/>
          <w:sz w:val="18"/>
          <w:szCs w:val="18"/>
        </w:rPr>
        <w:t> </w:t>
      </w:r>
      <w:r w:rsidRPr="00804E55">
        <w:rPr>
          <w:rFonts w:ascii="Arial" w:hAnsi="Arial" w:cs="Arial"/>
          <w:i/>
          <w:iCs/>
          <w:color w:val="000000"/>
          <w:sz w:val="18"/>
          <w:szCs w:val="18"/>
        </w:rPr>
        <w:t>Minister of Justice and Another v Breytenbach</w:t>
      </w:r>
      <w:r w:rsidRPr="00804E55">
        <w:rPr>
          <w:rStyle w:val="apple-converted-space"/>
          <w:rFonts w:ascii="Arial" w:hAnsi="Arial" w:cs="Arial"/>
          <w:i/>
          <w:iCs/>
          <w:color w:val="000000"/>
          <w:sz w:val="18"/>
          <w:szCs w:val="18"/>
        </w:rPr>
        <w:t> </w:t>
      </w:r>
      <w:r w:rsidRPr="00804E55">
        <w:rPr>
          <w:rFonts w:ascii="Arial" w:hAnsi="Arial" w:cs="Arial"/>
          <w:i/>
          <w:iCs/>
          <w:color w:val="000000"/>
          <w:sz w:val="18"/>
          <w:szCs w:val="18"/>
        </w:rPr>
        <w:t>(1942 AD 175, at p. 183); Craies,</w:t>
      </w:r>
      <w:r w:rsidRPr="00804E55">
        <w:rPr>
          <w:rStyle w:val="apple-converted-space"/>
          <w:rFonts w:ascii="Arial" w:hAnsi="Arial" w:cs="Arial"/>
          <w:i/>
          <w:iCs/>
          <w:color w:val="000000"/>
          <w:sz w:val="18"/>
          <w:szCs w:val="18"/>
        </w:rPr>
        <w:t> </w:t>
      </w:r>
      <w:r w:rsidRPr="00804E55">
        <w:rPr>
          <w:rFonts w:ascii="Arial" w:hAnsi="Arial" w:cs="Arial"/>
          <w:i/>
          <w:iCs/>
          <w:color w:val="000000"/>
          <w:sz w:val="18"/>
          <w:szCs w:val="18"/>
        </w:rPr>
        <w:t>Statute Law</w:t>
      </w:r>
      <w:r w:rsidRPr="00804E55">
        <w:rPr>
          <w:rStyle w:val="apple-converted-space"/>
          <w:rFonts w:ascii="Arial" w:hAnsi="Arial" w:cs="Arial"/>
          <w:i/>
          <w:iCs/>
          <w:color w:val="000000"/>
          <w:sz w:val="18"/>
          <w:szCs w:val="18"/>
        </w:rPr>
        <w:t> </w:t>
      </w:r>
      <w:r w:rsidRPr="00804E55">
        <w:rPr>
          <w:rFonts w:ascii="Arial" w:hAnsi="Arial" w:cs="Arial"/>
          <w:i/>
          <w:iCs/>
          <w:color w:val="000000"/>
          <w:sz w:val="18"/>
          <w:szCs w:val="18"/>
        </w:rPr>
        <w:t>(4th ed. pp. 99, 100). Here I can find no reason cogent enough to lead me to do so.”</w:t>
      </w:r>
    </w:p>
    <w:p w14:paraId="1BC0265D" w14:textId="77777777" w:rsidR="008432D9" w:rsidRDefault="00D84DD7" w:rsidP="00D84DD7">
      <w:pPr>
        <w:spacing w:line="480" w:lineRule="auto"/>
        <w:ind w:left="567" w:hanging="567"/>
        <w:jc w:val="both"/>
        <w:rPr>
          <w:rFonts w:ascii="Arial" w:hAnsi="Arial" w:cs="Arial"/>
          <w:bCs/>
          <w:sz w:val="22"/>
          <w:szCs w:val="22"/>
        </w:rPr>
      </w:pPr>
      <w:r w:rsidRPr="00804E55">
        <w:rPr>
          <w:rFonts w:ascii="Arial" w:hAnsi="Arial" w:cs="Arial"/>
          <w:bCs/>
          <w:sz w:val="22"/>
          <w:szCs w:val="22"/>
        </w:rPr>
        <w:t>[</w:t>
      </w:r>
      <w:r w:rsidR="00264008" w:rsidRPr="00804E55">
        <w:rPr>
          <w:rFonts w:ascii="Arial" w:hAnsi="Arial" w:cs="Arial"/>
          <w:bCs/>
          <w:sz w:val="22"/>
          <w:szCs w:val="22"/>
        </w:rPr>
        <w:t>9</w:t>
      </w:r>
      <w:r w:rsidR="00537939">
        <w:rPr>
          <w:rFonts w:ascii="Arial" w:hAnsi="Arial" w:cs="Arial"/>
          <w:bCs/>
          <w:sz w:val="22"/>
          <w:szCs w:val="22"/>
        </w:rPr>
        <w:t>6</w:t>
      </w:r>
      <w:r w:rsidRPr="00804E55">
        <w:rPr>
          <w:rFonts w:ascii="Arial" w:hAnsi="Arial" w:cs="Arial"/>
          <w:bCs/>
          <w:sz w:val="22"/>
          <w:szCs w:val="22"/>
        </w:rPr>
        <w:t>]</w:t>
      </w:r>
      <w:r w:rsidRPr="00804E55">
        <w:rPr>
          <w:rFonts w:ascii="Arial" w:hAnsi="Arial" w:cs="Arial"/>
          <w:bCs/>
          <w:sz w:val="22"/>
          <w:szCs w:val="22"/>
        </w:rPr>
        <w:tab/>
      </w:r>
      <w:r w:rsidR="00F868E7" w:rsidRPr="00804E55">
        <w:rPr>
          <w:rFonts w:ascii="Arial" w:hAnsi="Arial" w:cs="Arial"/>
          <w:bCs/>
          <w:sz w:val="22"/>
          <w:szCs w:val="22"/>
        </w:rPr>
        <w:t>I agree with this principle.</w:t>
      </w:r>
      <w:r w:rsidR="00F511F5" w:rsidRPr="00804E55">
        <w:rPr>
          <w:rFonts w:ascii="Arial" w:hAnsi="Arial" w:cs="Arial"/>
          <w:bCs/>
          <w:sz w:val="22"/>
          <w:szCs w:val="22"/>
        </w:rPr>
        <w:t xml:space="preserve"> </w:t>
      </w:r>
      <w:r w:rsidR="00877431" w:rsidRPr="00804E55">
        <w:rPr>
          <w:rFonts w:ascii="Arial" w:hAnsi="Arial" w:cs="Arial"/>
          <w:bCs/>
          <w:sz w:val="22"/>
          <w:szCs w:val="22"/>
        </w:rPr>
        <w:t xml:space="preserve">In particular I agree that there is no reason why the said principle should not be applied to </w:t>
      </w:r>
      <w:r w:rsidRPr="00804E55">
        <w:rPr>
          <w:rFonts w:ascii="Arial" w:hAnsi="Arial" w:cs="Arial"/>
          <w:bCs/>
          <w:sz w:val="22"/>
          <w:szCs w:val="22"/>
        </w:rPr>
        <w:t>the</w:t>
      </w:r>
      <w:r w:rsidR="00877431" w:rsidRPr="00804E55">
        <w:rPr>
          <w:rFonts w:ascii="Arial" w:hAnsi="Arial" w:cs="Arial"/>
          <w:bCs/>
          <w:sz w:val="22"/>
          <w:szCs w:val="22"/>
        </w:rPr>
        <w:t xml:space="preserve"> agreement entered into between the parties </w:t>
      </w:r>
      <w:r w:rsidR="00804E55">
        <w:rPr>
          <w:rFonts w:ascii="Arial" w:hAnsi="Arial" w:cs="Arial"/>
          <w:bCs/>
          <w:sz w:val="22"/>
          <w:szCs w:val="22"/>
        </w:rPr>
        <w:t xml:space="preserve">in the present matter </w:t>
      </w:r>
      <w:r w:rsidR="00877431" w:rsidRPr="00804E55">
        <w:rPr>
          <w:rFonts w:ascii="Arial" w:hAnsi="Arial" w:cs="Arial"/>
          <w:bCs/>
          <w:sz w:val="22"/>
          <w:szCs w:val="22"/>
        </w:rPr>
        <w:t xml:space="preserve">and </w:t>
      </w:r>
      <w:r w:rsidRPr="00804E55">
        <w:rPr>
          <w:rFonts w:ascii="Arial" w:hAnsi="Arial" w:cs="Arial"/>
          <w:bCs/>
          <w:sz w:val="22"/>
          <w:szCs w:val="22"/>
        </w:rPr>
        <w:t>the</w:t>
      </w:r>
      <w:r w:rsidR="00877431" w:rsidRPr="00804E55">
        <w:rPr>
          <w:rFonts w:ascii="Arial" w:hAnsi="Arial" w:cs="Arial"/>
          <w:bCs/>
          <w:sz w:val="22"/>
          <w:szCs w:val="22"/>
        </w:rPr>
        <w:t xml:space="preserve"> </w:t>
      </w:r>
      <w:r w:rsidR="00804E55">
        <w:rPr>
          <w:rFonts w:ascii="Arial" w:hAnsi="Arial" w:cs="Arial"/>
          <w:bCs/>
          <w:sz w:val="22"/>
          <w:szCs w:val="22"/>
        </w:rPr>
        <w:t xml:space="preserve">subsequent </w:t>
      </w:r>
      <w:r w:rsidR="00877431" w:rsidRPr="00804E55">
        <w:rPr>
          <w:rFonts w:ascii="Arial" w:hAnsi="Arial" w:cs="Arial"/>
          <w:bCs/>
          <w:sz w:val="22"/>
          <w:szCs w:val="22"/>
        </w:rPr>
        <w:t>consent order.</w:t>
      </w:r>
    </w:p>
    <w:p w14:paraId="358C8EDC" w14:textId="77777777" w:rsidR="00F511F5" w:rsidRPr="008432D9" w:rsidRDefault="008432D9" w:rsidP="008432D9">
      <w:pPr>
        <w:spacing w:line="480" w:lineRule="auto"/>
        <w:ind w:left="567" w:hanging="567"/>
        <w:jc w:val="both"/>
        <w:rPr>
          <w:rFonts w:ascii="Arial" w:hAnsi="Arial" w:cs="Arial"/>
          <w:bCs/>
          <w:sz w:val="22"/>
          <w:szCs w:val="22"/>
        </w:rPr>
      </w:pPr>
      <w:r w:rsidRPr="00804E55">
        <w:rPr>
          <w:rFonts w:ascii="Arial" w:hAnsi="Arial" w:cs="Arial"/>
          <w:bCs/>
          <w:sz w:val="22"/>
          <w:szCs w:val="22"/>
        </w:rPr>
        <w:t>[9</w:t>
      </w:r>
      <w:r w:rsidR="00537939">
        <w:rPr>
          <w:rFonts w:ascii="Arial" w:hAnsi="Arial" w:cs="Arial"/>
          <w:bCs/>
          <w:sz w:val="22"/>
          <w:szCs w:val="22"/>
        </w:rPr>
        <w:t>7</w:t>
      </w:r>
      <w:r w:rsidRPr="00804E55">
        <w:rPr>
          <w:rFonts w:ascii="Arial" w:hAnsi="Arial" w:cs="Arial"/>
          <w:bCs/>
          <w:sz w:val="22"/>
          <w:szCs w:val="22"/>
        </w:rPr>
        <w:t>]</w:t>
      </w:r>
      <w:r>
        <w:rPr>
          <w:rFonts w:ascii="Arial" w:hAnsi="Arial" w:cs="Arial"/>
          <w:bCs/>
          <w:sz w:val="22"/>
          <w:szCs w:val="22"/>
        </w:rPr>
        <w:tab/>
      </w:r>
      <w:r w:rsidR="00F511F5" w:rsidRPr="00804E55">
        <w:rPr>
          <w:rFonts w:ascii="Arial" w:hAnsi="Arial" w:cs="Arial"/>
          <w:bCs/>
          <w:sz w:val="22"/>
          <w:szCs w:val="22"/>
        </w:rPr>
        <w:t>I am satisfied that the</w:t>
      </w:r>
      <w:r w:rsidR="007F720C" w:rsidRPr="00804E55">
        <w:rPr>
          <w:rFonts w:ascii="Arial" w:hAnsi="Arial" w:cs="Arial"/>
          <w:bCs/>
          <w:sz w:val="22"/>
          <w:szCs w:val="22"/>
        </w:rPr>
        <w:t xml:space="preserve"> parties did not include the said paragraph </w:t>
      </w:r>
      <w:r w:rsidR="0056705C" w:rsidRPr="00804E55">
        <w:rPr>
          <w:rFonts w:ascii="Arial" w:hAnsi="Arial" w:cs="Arial"/>
          <w:bCs/>
          <w:sz w:val="22"/>
          <w:szCs w:val="22"/>
        </w:rPr>
        <w:t xml:space="preserve">6 </w:t>
      </w:r>
      <w:r w:rsidR="007F720C" w:rsidRPr="00804E55">
        <w:rPr>
          <w:rFonts w:ascii="Arial" w:hAnsi="Arial" w:cs="Arial"/>
          <w:bCs/>
          <w:sz w:val="22"/>
          <w:szCs w:val="22"/>
        </w:rPr>
        <w:t xml:space="preserve">in </w:t>
      </w:r>
      <w:r w:rsidR="0056705C" w:rsidRPr="00804E55">
        <w:rPr>
          <w:rFonts w:ascii="Arial" w:hAnsi="Arial" w:cs="Arial"/>
          <w:bCs/>
          <w:sz w:val="22"/>
          <w:szCs w:val="22"/>
        </w:rPr>
        <w:t>their agreement and subsequent consent order of the 28</w:t>
      </w:r>
      <w:r w:rsidR="0056705C" w:rsidRPr="00804E55">
        <w:rPr>
          <w:rFonts w:ascii="Arial" w:hAnsi="Arial" w:cs="Arial"/>
          <w:bCs/>
          <w:sz w:val="22"/>
          <w:szCs w:val="22"/>
          <w:vertAlign w:val="superscript"/>
        </w:rPr>
        <w:t>th</w:t>
      </w:r>
      <w:r w:rsidR="0056705C" w:rsidRPr="00804E55">
        <w:rPr>
          <w:rFonts w:ascii="Arial" w:hAnsi="Arial" w:cs="Arial"/>
          <w:bCs/>
          <w:sz w:val="22"/>
          <w:szCs w:val="22"/>
        </w:rPr>
        <w:t xml:space="preserve"> October 2019</w:t>
      </w:r>
      <w:r w:rsidR="00681CD8" w:rsidRPr="00804E55">
        <w:rPr>
          <w:rFonts w:ascii="Arial" w:hAnsi="Arial" w:cs="Arial"/>
          <w:bCs/>
          <w:sz w:val="22"/>
          <w:szCs w:val="22"/>
        </w:rPr>
        <w:t xml:space="preserve"> </w:t>
      </w:r>
      <w:r w:rsidR="0056705C" w:rsidRPr="00804E55">
        <w:rPr>
          <w:rStyle w:val="FootnoteReference"/>
          <w:rFonts w:ascii="Arial" w:hAnsi="Arial" w:cs="Arial"/>
          <w:bCs/>
          <w:sz w:val="22"/>
          <w:szCs w:val="22"/>
        </w:rPr>
        <w:footnoteReference w:id="43"/>
      </w:r>
      <w:r>
        <w:rPr>
          <w:rFonts w:ascii="Arial" w:hAnsi="Arial" w:cs="Arial"/>
          <w:bCs/>
          <w:sz w:val="22"/>
          <w:szCs w:val="22"/>
        </w:rPr>
        <w:t xml:space="preserve"> in </w:t>
      </w:r>
      <w:r w:rsidR="007F720C" w:rsidRPr="00804E55">
        <w:rPr>
          <w:rFonts w:ascii="Arial" w:hAnsi="Arial" w:cs="Arial"/>
          <w:bCs/>
          <w:sz w:val="22"/>
          <w:szCs w:val="22"/>
        </w:rPr>
        <w:t xml:space="preserve">error  </w:t>
      </w:r>
      <w:r w:rsidR="0056705C" w:rsidRPr="00804E55">
        <w:rPr>
          <w:rFonts w:ascii="Arial" w:hAnsi="Arial" w:cs="Arial"/>
          <w:bCs/>
          <w:sz w:val="22"/>
          <w:szCs w:val="22"/>
        </w:rPr>
        <w:t xml:space="preserve">or </w:t>
      </w:r>
      <w:r w:rsidR="007F720C" w:rsidRPr="00804E55">
        <w:rPr>
          <w:rFonts w:ascii="Arial" w:hAnsi="Arial" w:cs="Arial"/>
          <w:bCs/>
          <w:sz w:val="22"/>
          <w:szCs w:val="22"/>
        </w:rPr>
        <w:t xml:space="preserve">to serve no purpose.  </w:t>
      </w:r>
    </w:p>
    <w:p w14:paraId="6C5155ED" w14:textId="77777777" w:rsidR="0056705C" w:rsidRPr="00804E55" w:rsidRDefault="00F511F5" w:rsidP="00455361">
      <w:pPr>
        <w:pStyle w:val="western"/>
        <w:spacing w:before="144" w:beforeAutospacing="0" w:after="288" w:afterAutospacing="0" w:line="480" w:lineRule="auto"/>
        <w:ind w:left="567" w:hanging="567"/>
        <w:jc w:val="both"/>
        <w:rPr>
          <w:rFonts w:ascii="Arial" w:hAnsi="Arial" w:cs="Arial"/>
          <w:bCs/>
          <w:sz w:val="22"/>
          <w:szCs w:val="22"/>
        </w:rPr>
      </w:pPr>
      <w:r w:rsidRPr="00804E55">
        <w:rPr>
          <w:rFonts w:ascii="Arial" w:hAnsi="Arial" w:cs="Arial"/>
          <w:bCs/>
          <w:sz w:val="22"/>
          <w:szCs w:val="22"/>
        </w:rPr>
        <w:t>[</w:t>
      </w:r>
      <w:r w:rsidR="00264008" w:rsidRPr="00804E55">
        <w:rPr>
          <w:rFonts w:ascii="Arial" w:hAnsi="Arial" w:cs="Arial"/>
          <w:bCs/>
          <w:sz w:val="22"/>
          <w:szCs w:val="22"/>
        </w:rPr>
        <w:t>9</w:t>
      </w:r>
      <w:r w:rsidR="00537939">
        <w:rPr>
          <w:rFonts w:ascii="Arial" w:hAnsi="Arial" w:cs="Arial"/>
          <w:bCs/>
          <w:sz w:val="22"/>
          <w:szCs w:val="22"/>
        </w:rPr>
        <w:t>8</w:t>
      </w:r>
      <w:r w:rsidRPr="00804E55">
        <w:rPr>
          <w:rFonts w:ascii="Arial" w:hAnsi="Arial" w:cs="Arial"/>
          <w:bCs/>
          <w:sz w:val="22"/>
          <w:szCs w:val="22"/>
        </w:rPr>
        <w:t>]</w:t>
      </w:r>
      <w:r w:rsidRPr="00804E55">
        <w:rPr>
          <w:rFonts w:ascii="Arial" w:hAnsi="Arial" w:cs="Arial"/>
          <w:bCs/>
          <w:sz w:val="22"/>
          <w:szCs w:val="22"/>
        </w:rPr>
        <w:tab/>
      </w:r>
      <w:r w:rsidR="007F720C" w:rsidRPr="00804E55">
        <w:rPr>
          <w:rFonts w:ascii="Arial" w:hAnsi="Arial" w:cs="Arial"/>
          <w:bCs/>
          <w:sz w:val="22"/>
          <w:szCs w:val="22"/>
        </w:rPr>
        <w:t>I therefor find that it was in the parties</w:t>
      </w:r>
      <w:r w:rsidR="00D84DD7" w:rsidRPr="00804E55">
        <w:rPr>
          <w:rFonts w:ascii="Arial" w:hAnsi="Arial" w:cs="Arial"/>
          <w:bCs/>
          <w:sz w:val="22"/>
          <w:szCs w:val="22"/>
        </w:rPr>
        <w:t>’</w:t>
      </w:r>
      <w:r w:rsidR="007F720C" w:rsidRPr="00804E55">
        <w:rPr>
          <w:rFonts w:ascii="Arial" w:hAnsi="Arial" w:cs="Arial"/>
          <w:bCs/>
          <w:sz w:val="22"/>
          <w:szCs w:val="22"/>
        </w:rPr>
        <w:t xml:space="preserve"> contemplation </w:t>
      </w:r>
      <w:r w:rsidR="008432D9">
        <w:rPr>
          <w:rFonts w:ascii="Arial" w:hAnsi="Arial" w:cs="Arial"/>
          <w:bCs/>
          <w:sz w:val="22"/>
          <w:szCs w:val="22"/>
        </w:rPr>
        <w:t xml:space="preserve">with paragraph 6 of the consent order </w:t>
      </w:r>
      <w:r w:rsidR="007F720C" w:rsidRPr="00804E55">
        <w:rPr>
          <w:rFonts w:ascii="Arial" w:hAnsi="Arial" w:cs="Arial"/>
          <w:bCs/>
          <w:sz w:val="22"/>
          <w:szCs w:val="22"/>
        </w:rPr>
        <w:t>that  as part of their compromise</w:t>
      </w:r>
      <w:r w:rsidR="008432D9">
        <w:rPr>
          <w:rFonts w:ascii="Arial" w:hAnsi="Arial" w:cs="Arial"/>
          <w:bCs/>
          <w:sz w:val="22"/>
          <w:szCs w:val="22"/>
        </w:rPr>
        <w:t>,</w:t>
      </w:r>
      <w:r w:rsidR="007F720C" w:rsidRPr="00804E55">
        <w:rPr>
          <w:rFonts w:ascii="Arial" w:hAnsi="Arial" w:cs="Arial"/>
          <w:bCs/>
          <w:sz w:val="22"/>
          <w:szCs w:val="22"/>
        </w:rPr>
        <w:t xml:space="preserve"> I-cat could approach SARS in terms of section 93 of the Tax Administration Act in respect of the 2015 year of assessment</w:t>
      </w:r>
      <w:r w:rsidR="008432D9">
        <w:rPr>
          <w:rFonts w:ascii="Arial" w:hAnsi="Arial" w:cs="Arial"/>
          <w:bCs/>
          <w:sz w:val="22"/>
          <w:szCs w:val="22"/>
        </w:rPr>
        <w:t xml:space="preserve"> with an application for a reduce assessment</w:t>
      </w:r>
      <w:r w:rsidR="007F720C" w:rsidRPr="00804E55">
        <w:rPr>
          <w:rFonts w:ascii="Arial" w:hAnsi="Arial" w:cs="Arial"/>
          <w:bCs/>
          <w:sz w:val="22"/>
          <w:szCs w:val="22"/>
        </w:rPr>
        <w:t xml:space="preserve">. </w:t>
      </w:r>
      <w:r w:rsidR="0056705C" w:rsidRPr="00804E55">
        <w:rPr>
          <w:rFonts w:ascii="Arial" w:hAnsi="Arial" w:cs="Arial"/>
          <w:bCs/>
          <w:sz w:val="22"/>
          <w:szCs w:val="22"/>
        </w:rPr>
        <w:t>It was part and parcel of their resolution of the dispute which they dealt with under chapter 9.</w:t>
      </w:r>
      <w:r w:rsidR="00455361" w:rsidRPr="00804E55">
        <w:rPr>
          <w:rFonts w:ascii="Arial" w:hAnsi="Arial" w:cs="Arial"/>
          <w:bCs/>
          <w:sz w:val="22"/>
          <w:szCs w:val="22"/>
        </w:rPr>
        <w:t xml:space="preserve"> This would</w:t>
      </w:r>
      <w:r w:rsidR="008432D9">
        <w:rPr>
          <w:rFonts w:ascii="Arial" w:hAnsi="Arial" w:cs="Arial"/>
          <w:bCs/>
          <w:sz w:val="22"/>
          <w:szCs w:val="22"/>
        </w:rPr>
        <w:t xml:space="preserve">, however, </w:t>
      </w:r>
      <w:r w:rsidR="00455361" w:rsidRPr="00804E55">
        <w:rPr>
          <w:rFonts w:ascii="Arial" w:hAnsi="Arial" w:cs="Arial"/>
          <w:bCs/>
          <w:sz w:val="22"/>
          <w:szCs w:val="22"/>
        </w:rPr>
        <w:t xml:space="preserve"> only be possible if the </w:t>
      </w:r>
      <w:r w:rsidR="008432D9" w:rsidRPr="00804E55">
        <w:rPr>
          <w:rFonts w:ascii="Arial" w:hAnsi="Arial" w:cs="Arial"/>
          <w:bCs/>
          <w:sz w:val="22"/>
          <w:szCs w:val="22"/>
        </w:rPr>
        <w:t>3-year</w:t>
      </w:r>
      <w:r w:rsidR="00455361" w:rsidRPr="00804E55">
        <w:rPr>
          <w:rFonts w:ascii="Arial" w:hAnsi="Arial" w:cs="Arial"/>
          <w:bCs/>
          <w:sz w:val="22"/>
          <w:szCs w:val="22"/>
        </w:rPr>
        <w:t xml:space="preserve"> prescription period as provided for in section 99(1) was not applicable.</w:t>
      </w:r>
    </w:p>
    <w:p w14:paraId="075A544C" w14:textId="77777777" w:rsidR="0056705C" w:rsidRPr="00804E55" w:rsidRDefault="0056705C" w:rsidP="008432D9">
      <w:pPr>
        <w:spacing w:line="480" w:lineRule="auto"/>
        <w:ind w:left="567" w:hanging="567"/>
        <w:jc w:val="both"/>
        <w:rPr>
          <w:rFonts w:ascii="Arial" w:hAnsi="Arial" w:cs="Arial"/>
          <w:bCs/>
          <w:sz w:val="22"/>
          <w:szCs w:val="22"/>
        </w:rPr>
      </w:pPr>
      <w:r w:rsidRPr="00804E55">
        <w:rPr>
          <w:rFonts w:ascii="Arial" w:hAnsi="Arial" w:cs="Arial"/>
          <w:bCs/>
          <w:sz w:val="22"/>
          <w:szCs w:val="22"/>
        </w:rPr>
        <w:t>[</w:t>
      </w:r>
      <w:r w:rsidR="00264008" w:rsidRPr="00804E55">
        <w:rPr>
          <w:rFonts w:ascii="Arial" w:hAnsi="Arial" w:cs="Arial"/>
          <w:bCs/>
          <w:sz w:val="22"/>
          <w:szCs w:val="22"/>
        </w:rPr>
        <w:t>9</w:t>
      </w:r>
      <w:r w:rsidR="00537939">
        <w:rPr>
          <w:rFonts w:ascii="Arial" w:hAnsi="Arial" w:cs="Arial"/>
          <w:bCs/>
          <w:sz w:val="22"/>
          <w:szCs w:val="22"/>
        </w:rPr>
        <w:t>9</w:t>
      </w:r>
      <w:r w:rsidRPr="00804E55">
        <w:rPr>
          <w:rFonts w:ascii="Arial" w:hAnsi="Arial" w:cs="Arial"/>
          <w:bCs/>
          <w:sz w:val="22"/>
          <w:szCs w:val="22"/>
        </w:rPr>
        <w:t>]</w:t>
      </w:r>
      <w:r w:rsidRPr="00804E55">
        <w:rPr>
          <w:rFonts w:ascii="Arial" w:hAnsi="Arial" w:cs="Arial"/>
          <w:bCs/>
          <w:sz w:val="22"/>
          <w:szCs w:val="22"/>
        </w:rPr>
        <w:tab/>
      </w:r>
      <w:r w:rsidR="008432D9">
        <w:rPr>
          <w:rFonts w:ascii="Arial" w:hAnsi="Arial" w:cs="Arial"/>
          <w:bCs/>
          <w:sz w:val="22"/>
          <w:szCs w:val="22"/>
        </w:rPr>
        <w:t>I</w:t>
      </w:r>
      <w:r w:rsidRPr="00804E55">
        <w:rPr>
          <w:rFonts w:ascii="Arial" w:hAnsi="Arial" w:cs="Arial"/>
          <w:bCs/>
          <w:sz w:val="22"/>
          <w:szCs w:val="22"/>
        </w:rPr>
        <w:t>n view thereof that it is necessary  to give effect to the resolution of the dispute under chapter 9</w:t>
      </w:r>
      <w:r w:rsidR="008432D9">
        <w:rPr>
          <w:rFonts w:ascii="Arial" w:hAnsi="Arial" w:cs="Arial"/>
          <w:bCs/>
          <w:sz w:val="22"/>
          <w:szCs w:val="22"/>
        </w:rPr>
        <w:t xml:space="preserve"> as contained in the consent order</w:t>
      </w:r>
      <w:r w:rsidRPr="00804E55">
        <w:rPr>
          <w:rFonts w:ascii="Arial" w:hAnsi="Arial" w:cs="Arial"/>
          <w:bCs/>
          <w:sz w:val="22"/>
          <w:szCs w:val="22"/>
        </w:rPr>
        <w:t xml:space="preserve">, the </w:t>
      </w:r>
      <w:r w:rsidR="008432D9">
        <w:rPr>
          <w:rFonts w:ascii="Arial" w:hAnsi="Arial" w:cs="Arial"/>
          <w:bCs/>
          <w:sz w:val="22"/>
          <w:szCs w:val="22"/>
        </w:rPr>
        <w:t xml:space="preserve">3 year </w:t>
      </w:r>
      <w:r w:rsidRPr="00804E55">
        <w:rPr>
          <w:rFonts w:ascii="Arial" w:hAnsi="Arial" w:cs="Arial"/>
          <w:bCs/>
          <w:sz w:val="22"/>
          <w:szCs w:val="22"/>
        </w:rPr>
        <w:t>prescription period as provided in section 99(1) cannot not apply.</w:t>
      </w:r>
    </w:p>
    <w:p w14:paraId="2F608A01" w14:textId="77777777" w:rsidR="00264008" w:rsidRPr="008432D9" w:rsidRDefault="00455361" w:rsidP="007203B9">
      <w:pPr>
        <w:pStyle w:val="western"/>
        <w:spacing w:before="0" w:beforeAutospacing="0" w:after="0" w:afterAutospacing="0" w:line="480" w:lineRule="auto"/>
        <w:ind w:left="567" w:hanging="567"/>
        <w:jc w:val="both"/>
        <w:rPr>
          <w:rFonts w:ascii="Arial" w:hAnsi="Arial" w:cs="Arial"/>
          <w:color w:val="242121"/>
          <w:sz w:val="22"/>
          <w:szCs w:val="22"/>
        </w:rPr>
      </w:pPr>
      <w:r w:rsidRPr="00804E55">
        <w:rPr>
          <w:rFonts w:ascii="Arial" w:hAnsi="Arial" w:cs="Arial"/>
          <w:bCs/>
          <w:sz w:val="22"/>
          <w:szCs w:val="22"/>
        </w:rPr>
        <w:t>[</w:t>
      </w:r>
      <w:r w:rsidR="00537939">
        <w:rPr>
          <w:rFonts w:ascii="Arial" w:hAnsi="Arial" w:cs="Arial"/>
          <w:bCs/>
          <w:sz w:val="22"/>
          <w:szCs w:val="22"/>
        </w:rPr>
        <w:t>100</w:t>
      </w:r>
      <w:r w:rsidRPr="00804E55">
        <w:rPr>
          <w:rFonts w:ascii="Arial" w:hAnsi="Arial" w:cs="Arial"/>
          <w:bCs/>
          <w:sz w:val="22"/>
          <w:szCs w:val="22"/>
        </w:rPr>
        <w:t>]</w:t>
      </w:r>
      <w:r w:rsidRPr="00804E55">
        <w:rPr>
          <w:rFonts w:ascii="Arial" w:hAnsi="Arial" w:cs="Arial"/>
          <w:bCs/>
          <w:sz w:val="22"/>
          <w:szCs w:val="22"/>
        </w:rPr>
        <w:tab/>
        <w:t xml:space="preserve">In arriving at this finding this court had due regard to the </w:t>
      </w:r>
      <w:r w:rsidRPr="00804E55">
        <w:rPr>
          <w:rFonts w:ascii="Arial" w:hAnsi="Arial" w:cs="Arial"/>
          <w:color w:val="242121"/>
          <w:sz w:val="22"/>
          <w:szCs w:val="22"/>
        </w:rPr>
        <w:t>language of paragraph 6 of the consent order itself’,</w:t>
      </w:r>
      <w:hyperlink r:id="rId9" w:anchor="sdfootnote16sym" w:history="1">
        <w:r w:rsidRPr="00804E55">
          <w:rPr>
            <w:rStyle w:val="Hyperlink"/>
            <w:rFonts w:ascii="Arial" w:hAnsi="Arial" w:cs="Arial"/>
            <w:color w:val="0B4B0B"/>
            <w:sz w:val="22"/>
            <w:szCs w:val="22"/>
            <w:u w:val="none"/>
            <w:vertAlign w:val="superscript"/>
          </w:rPr>
          <w:t>16</w:t>
        </w:r>
      </w:hyperlink>
      <w:r w:rsidRPr="00804E55">
        <w:rPr>
          <w:rStyle w:val="apple-converted-space"/>
          <w:rFonts w:ascii="Arial" w:hAnsi="Arial" w:cs="Arial"/>
          <w:color w:val="242121"/>
          <w:sz w:val="22"/>
          <w:szCs w:val="22"/>
        </w:rPr>
        <w:t> </w:t>
      </w:r>
      <w:r w:rsidRPr="00804E55">
        <w:rPr>
          <w:rFonts w:ascii="Arial" w:hAnsi="Arial" w:cs="Arial"/>
          <w:color w:val="242121"/>
          <w:sz w:val="22"/>
          <w:szCs w:val="22"/>
        </w:rPr>
        <w:t xml:space="preserve">read in context and having had regard to the purpose of the provision </w:t>
      </w:r>
      <w:r w:rsidR="008432D9">
        <w:rPr>
          <w:rFonts w:ascii="Arial" w:hAnsi="Arial" w:cs="Arial"/>
          <w:color w:val="242121"/>
          <w:sz w:val="22"/>
          <w:szCs w:val="22"/>
        </w:rPr>
        <w:lastRenderedPageBreak/>
        <w:t xml:space="preserve">and consent order </w:t>
      </w:r>
      <w:r w:rsidRPr="00804E55">
        <w:rPr>
          <w:rFonts w:ascii="Arial" w:hAnsi="Arial" w:cs="Arial"/>
          <w:color w:val="242121"/>
          <w:sz w:val="22"/>
          <w:szCs w:val="22"/>
        </w:rPr>
        <w:t xml:space="preserve">and the background to the preparation and production of the document as referred to above. </w:t>
      </w:r>
      <w:r w:rsidR="008432D9">
        <w:rPr>
          <w:rFonts w:ascii="Arial" w:hAnsi="Arial" w:cs="Arial"/>
          <w:color w:val="242121"/>
          <w:sz w:val="22"/>
          <w:szCs w:val="22"/>
        </w:rPr>
        <w:t>I also had regard to the issues that served before the Tax court whether directly and indirectly as discussed above.</w:t>
      </w:r>
    </w:p>
    <w:p w14:paraId="259B0A27" w14:textId="77777777" w:rsidR="00455361" w:rsidRPr="008432D9" w:rsidRDefault="00455361" w:rsidP="007203B9">
      <w:pPr>
        <w:pStyle w:val="western"/>
        <w:spacing w:before="0" w:beforeAutospacing="0" w:after="0" w:afterAutospacing="0" w:line="480" w:lineRule="auto"/>
        <w:ind w:left="567" w:hanging="567"/>
        <w:jc w:val="both"/>
        <w:rPr>
          <w:rFonts w:ascii="Arial" w:hAnsi="Arial" w:cs="Arial"/>
          <w:color w:val="242121"/>
          <w:sz w:val="22"/>
          <w:szCs w:val="22"/>
        </w:rPr>
      </w:pPr>
      <w:r w:rsidRPr="008432D9">
        <w:rPr>
          <w:rFonts w:ascii="Arial" w:hAnsi="Arial" w:cs="Arial"/>
          <w:bCs/>
          <w:sz w:val="22"/>
          <w:szCs w:val="22"/>
        </w:rPr>
        <w:t>[</w:t>
      </w:r>
      <w:r w:rsidR="00537939">
        <w:rPr>
          <w:rFonts w:ascii="Arial" w:hAnsi="Arial" w:cs="Arial"/>
          <w:bCs/>
          <w:sz w:val="22"/>
          <w:szCs w:val="22"/>
        </w:rPr>
        <w:t>101</w:t>
      </w:r>
      <w:r w:rsidRPr="008432D9">
        <w:rPr>
          <w:rFonts w:ascii="Arial" w:hAnsi="Arial" w:cs="Arial"/>
          <w:bCs/>
          <w:sz w:val="22"/>
          <w:szCs w:val="22"/>
        </w:rPr>
        <w:t>]</w:t>
      </w:r>
      <w:r w:rsidRPr="008432D9">
        <w:rPr>
          <w:rFonts w:ascii="Arial" w:hAnsi="Arial" w:cs="Arial"/>
          <w:bCs/>
          <w:sz w:val="22"/>
          <w:szCs w:val="22"/>
        </w:rPr>
        <w:tab/>
        <w:t>In addition</w:t>
      </w:r>
      <w:r w:rsidR="008432D9">
        <w:rPr>
          <w:rFonts w:ascii="Arial" w:hAnsi="Arial" w:cs="Arial"/>
          <w:bCs/>
          <w:sz w:val="22"/>
          <w:szCs w:val="22"/>
        </w:rPr>
        <w:t>,</w:t>
      </w:r>
      <w:r w:rsidRPr="008432D9">
        <w:rPr>
          <w:rFonts w:ascii="Arial" w:hAnsi="Arial" w:cs="Arial"/>
          <w:bCs/>
          <w:sz w:val="22"/>
          <w:szCs w:val="22"/>
        </w:rPr>
        <w:t xml:space="preserve"> the interpretation which this court ascribes to the relevant clause provides </w:t>
      </w:r>
      <w:r w:rsidRPr="008432D9">
        <w:rPr>
          <w:rFonts w:ascii="Arial" w:hAnsi="Arial" w:cs="Arial"/>
          <w:color w:val="242121"/>
          <w:sz w:val="22"/>
          <w:szCs w:val="22"/>
        </w:rPr>
        <w:t>a sensible and business-like meaning. The interpretation contended for by SARS  leads  to  an insensible or unbusinesslike result.</w:t>
      </w:r>
    </w:p>
    <w:p w14:paraId="47E14013" w14:textId="77777777" w:rsidR="00181272" w:rsidRDefault="0056705C" w:rsidP="007203B9">
      <w:pPr>
        <w:pStyle w:val="western"/>
        <w:spacing w:before="0" w:beforeAutospacing="0" w:after="0" w:afterAutospacing="0" w:line="480" w:lineRule="auto"/>
        <w:ind w:left="567" w:hanging="567"/>
        <w:jc w:val="both"/>
        <w:rPr>
          <w:rFonts w:ascii="Arial" w:hAnsi="Arial" w:cs="Arial"/>
          <w:bCs/>
          <w:sz w:val="22"/>
          <w:szCs w:val="22"/>
        </w:rPr>
      </w:pPr>
      <w:r w:rsidRPr="008432D9">
        <w:rPr>
          <w:rFonts w:ascii="Arial" w:hAnsi="Arial" w:cs="Arial"/>
          <w:bCs/>
          <w:sz w:val="22"/>
          <w:szCs w:val="22"/>
        </w:rPr>
        <w:t>[</w:t>
      </w:r>
      <w:r w:rsidR="00537939">
        <w:rPr>
          <w:rFonts w:ascii="Arial" w:hAnsi="Arial" w:cs="Arial"/>
          <w:bCs/>
          <w:sz w:val="22"/>
          <w:szCs w:val="22"/>
        </w:rPr>
        <w:t>102</w:t>
      </w:r>
      <w:r w:rsidRPr="008432D9">
        <w:rPr>
          <w:rFonts w:ascii="Arial" w:hAnsi="Arial" w:cs="Arial"/>
          <w:bCs/>
          <w:sz w:val="22"/>
          <w:szCs w:val="22"/>
        </w:rPr>
        <w:t>]</w:t>
      </w:r>
      <w:r w:rsidRPr="008432D9">
        <w:rPr>
          <w:rFonts w:ascii="Arial" w:hAnsi="Arial" w:cs="Arial"/>
          <w:bCs/>
          <w:sz w:val="22"/>
          <w:szCs w:val="22"/>
        </w:rPr>
        <w:tab/>
        <w:t>In the premises</w:t>
      </w:r>
      <w:r w:rsidR="00455361" w:rsidRPr="008432D9">
        <w:rPr>
          <w:rFonts w:ascii="Arial" w:hAnsi="Arial" w:cs="Arial"/>
          <w:bCs/>
          <w:sz w:val="22"/>
          <w:szCs w:val="22"/>
        </w:rPr>
        <w:t xml:space="preserve"> SARS</w:t>
      </w:r>
      <w:r w:rsidR="008432D9">
        <w:rPr>
          <w:rFonts w:ascii="Arial" w:hAnsi="Arial" w:cs="Arial"/>
          <w:bCs/>
          <w:sz w:val="22"/>
          <w:szCs w:val="22"/>
        </w:rPr>
        <w:t>’</w:t>
      </w:r>
      <w:r w:rsidR="00455361" w:rsidRPr="008432D9">
        <w:rPr>
          <w:rFonts w:ascii="Arial" w:hAnsi="Arial" w:cs="Arial"/>
          <w:bCs/>
          <w:sz w:val="22"/>
          <w:szCs w:val="22"/>
        </w:rPr>
        <w:t xml:space="preserve"> finding that the 2015 assessment had prescribed in terms of Section 99 of the Tax Administration Act</w:t>
      </w:r>
      <w:r w:rsidRPr="008432D9">
        <w:rPr>
          <w:rFonts w:ascii="Arial" w:hAnsi="Arial" w:cs="Arial"/>
          <w:bCs/>
          <w:sz w:val="22"/>
          <w:szCs w:val="22"/>
        </w:rPr>
        <w:t xml:space="preserve"> </w:t>
      </w:r>
      <w:r w:rsidR="00455361" w:rsidRPr="008432D9">
        <w:rPr>
          <w:rFonts w:ascii="Arial" w:hAnsi="Arial" w:cs="Arial"/>
          <w:bCs/>
          <w:sz w:val="22"/>
          <w:szCs w:val="22"/>
        </w:rPr>
        <w:t>and therefor that I-cat’s application for a reduced assessment had been declined in terms of section 99(3) of the Tax Administration Act read with section 99(2) of the Tax Administration Act</w:t>
      </w:r>
      <w:r w:rsidR="00455361" w:rsidRPr="008432D9">
        <w:rPr>
          <w:rStyle w:val="FootnoteReference"/>
          <w:rFonts w:ascii="Arial" w:hAnsi="Arial" w:cs="Arial"/>
          <w:bCs/>
          <w:sz w:val="22"/>
          <w:szCs w:val="22"/>
        </w:rPr>
        <w:footnoteReference w:id="44"/>
      </w:r>
      <w:r w:rsidR="00455361" w:rsidRPr="008432D9">
        <w:rPr>
          <w:rFonts w:ascii="Arial" w:hAnsi="Arial" w:cs="Arial"/>
          <w:bCs/>
          <w:sz w:val="22"/>
          <w:szCs w:val="22"/>
        </w:rPr>
        <w:t xml:space="preserve">, should be reviewed and set aside. </w:t>
      </w:r>
    </w:p>
    <w:p w14:paraId="276404CD" w14:textId="77777777" w:rsidR="005E6275" w:rsidRDefault="005E6275" w:rsidP="007203B9">
      <w:pPr>
        <w:pStyle w:val="western"/>
        <w:spacing w:before="144" w:beforeAutospacing="0" w:after="0" w:afterAutospacing="0" w:line="480" w:lineRule="auto"/>
        <w:ind w:left="567" w:hanging="567"/>
        <w:jc w:val="both"/>
        <w:rPr>
          <w:rFonts w:ascii="Arial" w:hAnsi="Arial" w:cs="Arial"/>
          <w:bCs/>
          <w:sz w:val="22"/>
          <w:szCs w:val="22"/>
        </w:rPr>
      </w:pPr>
      <w:r w:rsidRPr="00537939">
        <w:rPr>
          <w:rFonts w:ascii="Arial" w:hAnsi="Arial" w:cs="Arial"/>
          <w:bCs/>
          <w:sz w:val="22"/>
          <w:szCs w:val="22"/>
        </w:rPr>
        <w:t>[</w:t>
      </w:r>
      <w:r>
        <w:rPr>
          <w:rFonts w:ascii="Arial" w:hAnsi="Arial" w:cs="Arial"/>
          <w:bCs/>
          <w:sz w:val="22"/>
          <w:szCs w:val="22"/>
        </w:rPr>
        <w:t>103</w:t>
      </w:r>
      <w:r w:rsidRPr="00537939">
        <w:rPr>
          <w:rFonts w:ascii="Arial" w:hAnsi="Arial" w:cs="Arial"/>
          <w:bCs/>
          <w:sz w:val="22"/>
          <w:szCs w:val="22"/>
        </w:rPr>
        <w:t>]</w:t>
      </w:r>
      <w:r w:rsidR="00555F78">
        <w:rPr>
          <w:rFonts w:ascii="Arial" w:hAnsi="Arial" w:cs="Arial"/>
          <w:bCs/>
          <w:sz w:val="22"/>
          <w:szCs w:val="22"/>
        </w:rPr>
        <w:t xml:space="preserve"> </w:t>
      </w:r>
      <w:r w:rsidR="00C577BB">
        <w:rPr>
          <w:rFonts w:ascii="Arial" w:hAnsi="Arial" w:cs="Arial"/>
          <w:bCs/>
          <w:sz w:val="22"/>
          <w:szCs w:val="22"/>
        </w:rPr>
        <w:t xml:space="preserve">In view of the court’s finding, it is not necessary to deal with the other grounds that were argued before this court. </w:t>
      </w:r>
    </w:p>
    <w:p w14:paraId="4318F587" w14:textId="77777777" w:rsidR="00C577BB" w:rsidRDefault="00C577BB" w:rsidP="007203B9">
      <w:pPr>
        <w:pStyle w:val="western"/>
        <w:spacing w:before="0" w:beforeAutospacing="0" w:after="0" w:afterAutospacing="0" w:line="480" w:lineRule="auto"/>
        <w:ind w:left="567" w:hanging="567"/>
        <w:jc w:val="both"/>
        <w:rPr>
          <w:rFonts w:ascii="Arial" w:hAnsi="Arial" w:cs="Arial"/>
          <w:bCs/>
          <w:sz w:val="22"/>
          <w:szCs w:val="22"/>
        </w:rPr>
      </w:pPr>
      <w:r w:rsidRPr="00537939">
        <w:rPr>
          <w:rFonts w:ascii="Arial" w:hAnsi="Arial" w:cs="Arial"/>
          <w:bCs/>
          <w:sz w:val="22"/>
          <w:szCs w:val="22"/>
        </w:rPr>
        <w:t>[</w:t>
      </w:r>
      <w:r>
        <w:rPr>
          <w:rFonts w:ascii="Arial" w:hAnsi="Arial" w:cs="Arial"/>
          <w:bCs/>
          <w:sz w:val="22"/>
          <w:szCs w:val="22"/>
        </w:rPr>
        <w:t>104</w:t>
      </w:r>
      <w:r w:rsidRPr="00537939">
        <w:rPr>
          <w:rFonts w:ascii="Arial" w:hAnsi="Arial" w:cs="Arial"/>
          <w:bCs/>
          <w:sz w:val="22"/>
          <w:szCs w:val="22"/>
        </w:rPr>
        <w:t>]</w:t>
      </w:r>
      <w:r>
        <w:rPr>
          <w:rFonts w:ascii="Arial" w:hAnsi="Arial" w:cs="Arial"/>
          <w:bCs/>
          <w:sz w:val="22"/>
          <w:szCs w:val="22"/>
        </w:rPr>
        <w:tab/>
        <w:t xml:space="preserve">The issues argued before the court were complicated. I am satisfied that the application justified </w:t>
      </w:r>
      <w:r w:rsidR="002E6E51">
        <w:rPr>
          <w:rFonts w:ascii="Arial" w:hAnsi="Arial" w:cs="Arial"/>
          <w:bCs/>
          <w:sz w:val="22"/>
          <w:szCs w:val="22"/>
        </w:rPr>
        <w:t>the appointment of both Senior and Junior counsel.</w:t>
      </w:r>
    </w:p>
    <w:p w14:paraId="2F9019B4" w14:textId="77777777" w:rsidR="002553D8" w:rsidRDefault="00C577BB" w:rsidP="007203B9">
      <w:pPr>
        <w:pStyle w:val="western"/>
        <w:spacing w:before="0" w:beforeAutospacing="0" w:after="0" w:afterAutospacing="0" w:line="480" w:lineRule="auto"/>
        <w:ind w:left="567" w:hanging="567"/>
        <w:jc w:val="both"/>
        <w:rPr>
          <w:rFonts w:ascii="Arial" w:hAnsi="Arial" w:cs="Arial"/>
          <w:bCs/>
          <w:sz w:val="22"/>
          <w:szCs w:val="22"/>
        </w:rPr>
      </w:pPr>
      <w:r>
        <w:rPr>
          <w:rFonts w:ascii="Arial" w:hAnsi="Arial" w:cs="Arial"/>
          <w:bCs/>
          <w:sz w:val="22"/>
          <w:szCs w:val="22"/>
        </w:rPr>
        <w:t>The following order is made:</w:t>
      </w:r>
    </w:p>
    <w:p w14:paraId="4636EA2D" w14:textId="77777777" w:rsidR="00AC0B85" w:rsidRDefault="00AC0B85" w:rsidP="007203B9">
      <w:pPr>
        <w:pStyle w:val="western"/>
        <w:spacing w:before="144" w:beforeAutospacing="0" w:after="0" w:afterAutospacing="0" w:line="480" w:lineRule="auto"/>
        <w:ind w:left="567" w:hanging="567"/>
        <w:jc w:val="both"/>
        <w:rPr>
          <w:rFonts w:ascii="Arial" w:hAnsi="Arial" w:cs="Arial"/>
          <w:bCs/>
          <w:sz w:val="22"/>
          <w:szCs w:val="22"/>
        </w:rPr>
      </w:pPr>
      <w:r>
        <w:rPr>
          <w:rFonts w:ascii="Arial" w:hAnsi="Arial" w:cs="Arial"/>
          <w:bCs/>
          <w:sz w:val="22"/>
          <w:szCs w:val="22"/>
        </w:rPr>
        <w:t>[1]</w:t>
      </w:r>
      <w:r>
        <w:rPr>
          <w:rFonts w:ascii="Arial" w:hAnsi="Arial" w:cs="Arial"/>
          <w:bCs/>
          <w:sz w:val="22"/>
          <w:szCs w:val="22"/>
        </w:rPr>
        <w:tab/>
        <w:t>Condonation is granted to the Applicant for the late filing of this application for review;</w:t>
      </w:r>
    </w:p>
    <w:p w14:paraId="43C2ADBE" w14:textId="77777777" w:rsidR="00AC0B85" w:rsidRDefault="00AC0B85" w:rsidP="007203B9">
      <w:pPr>
        <w:pStyle w:val="western"/>
        <w:spacing w:before="144" w:beforeAutospacing="0" w:after="0" w:afterAutospacing="0" w:line="480" w:lineRule="auto"/>
        <w:ind w:left="567" w:hanging="567"/>
        <w:jc w:val="both"/>
        <w:rPr>
          <w:rFonts w:ascii="Arial" w:hAnsi="Arial" w:cs="Arial"/>
          <w:bCs/>
          <w:sz w:val="22"/>
          <w:szCs w:val="22"/>
        </w:rPr>
      </w:pPr>
      <w:r>
        <w:rPr>
          <w:rFonts w:ascii="Arial" w:hAnsi="Arial" w:cs="Arial"/>
          <w:bCs/>
          <w:sz w:val="22"/>
          <w:szCs w:val="22"/>
        </w:rPr>
        <w:t>[2]</w:t>
      </w:r>
      <w:r>
        <w:rPr>
          <w:rFonts w:ascii="Arial" w:hAnsi="Arial" w:cs="Arial"/>
          <w:bCs/>
          <w:sz w:val="22"/>
          <w:szCs w:val="22"/>
        </w:rPr>
        <w:tab/>
        <w:t>The Respondent’s decision dated 26 January 2021, the subject of the present application, is herewith reviewed and set aside;</w:t>
      </w:r>
    </w:p>
    <w:p w14:paraId="1E90335C" w14:textId="32445E0C" w:rsidR="00D12BEB" w:rsidRDefault="00AC0B85" w:rsidP="007203B9">
      <w:pPr>
        <w:pStyle w:val="western"/>
        <w:spacing w:before="144" w:beforeAutospacing="0" w:after="0" w:afterAutospacing="0" w:line="480" w:lineRule="auto"/>
        <w:ind w:left="567" w:hanging="567"/>
        <w:jc w:val="both"/>
        <w:rPr>
          <w:rFonts w:ascii="Arial" w:hAnsi="Arial" w:cs="Arial"/>
          <w:bCs/>
          <w:sz w:val="22"/>
          <w:szCs w:val="22"/>
        </w:rPr>
      </w:pPr>
      <w:r>
        <w:rPr>
          <w:rFonts w:ascii="Arial" w:hAnsi="Arial" w:cs="Arial"/>
          <w:bCs/>
          <w:sz w:val="22"/>
          <w:szCs w:val="22"/>
        </w:rPr>
        <w:t>[3]</w:t>
      </w:r>
      <w:r>
        <w:rPr>
          <w:rFonts w:ascii="Arial" w:hAnsi="Arial" w:cs="Arial"/>
          <w:bCs/>
          <w:sz w:val="22"/>
          <w:szCs w:val="22"/>
        </w:rPr>
        <w:tab/>
        <w:t>The Applicant’s request for a re-assessment dated the 13</w:t>
      </w:r>
      <w:r w:rsidRPr="00AC0B85">
        <w:rPr>
          <w:rFonts w:ascii="Arial" w:hAnsi="Arial" w:cs="Arial"/>
          <w:bCs/>
          <w:sz w:val="22"/>
          <w:szCs w:val="22"/>
          <w:vertAlign w:val="superscript"/>
        </w:rPr>
        <w:t>th</w:t>
      </w:r>
      <w:r>
        <w:rPr>
          <w:rFonts w:ascii="Arial" w:hAnsi="Arial" w:cs="Arial"/>
          <w:bCs/>
          <w:sz w:val="22"/>
          <w:szCs w:val="22"/>
        </w:rPr>
        <w:t xml:space="preserve"> of December 2015 in respect of</w:t>
      </w:r>
      <w:r w:rsidR="0098146E">
        <w:rPr>
          <w:rFonts w:ascii="Arial" w:hAnsi="Arial" w:cs="Arial"/>
          <w:bCs/>
          <w:sz w:val="22"/>
          <w:szCs w:val="22"/>
        </w:rPr>
        <w:t xml:space="preserve"> its</w:t>
      </w:r>
      <w:r>
        <w:rPr>
          <w:rFonts w:ascii="Arial" w:hAnsi="Arial" w:cs="Arial"/>
          <w:bCs/>
          <w:sz w:val="22"/>
          <w:szCs w:val="22"/>
        </w:rPr>
        <w:t xml:space="preserve"> 2015 year of assessment is remitted </w:t>
      </w:r>
      <w:r w:rsidR="0098146E">
        <w:rPr>
          <w:rFonts w:ascii="Arial" w:hAnsi="Arial" w:cs="Arial"/>
          <w:bCs/>
          <w:sz w:val="22"/>
          <w:szCs w:val="22"/>
        </w:rPr>
        <w:t xml:space="preserve">back </w:t>
      </w:r>
      <w:r>
        <w:rPr>
          <w:rFonts w:ascii="Arial" w:hAnsi="Arial" w:cs="Arial"/>
          <w:bCs/>
          <w:sz w:val="22"/>
          <w:szCs w:val="22"/>
        </w:rPr>
        <w:t>to the Respondent for reconsideration on the merits of the</w:t>
      </w:r>
      <w:r w:rsidR="0098146E">
        <w:rPr>
          <w:rFonts w:ascii="Arial" w:hAnsi="Arial" w:cs="Arial"/>
          <w:bCs/>
          <w:sz w:val="22"/>
          <w:szCs w:val="22"/>
        </w:rPr>
        <w:t xml:space="preserve"> request</w:t>
      </w:r>
      <w:r>
        <w:rPr>
          <w:rFonts w:ascii="Arial" w:hAnsi="Arial" w:cs="Arial"/>
          <w:bCs/>
          <w:sz w:val="22"/>
          <w:szCs w:val="22"/>
        </w:rPr>
        <w:t>, with the Respondent to give the Applicant notice of its decision and outcome of the request within 30 (thirty) days from date of this order;</w:t>
      </w:r>
    </w:p>
    <w:p w14:paraId="63CD8375" w14:textId="7347D756" w:rsidR="00D61D5B" w:rsidRPr="0049576D" w:rsidRDefault="00AC0B85" w:rsidP="0049576D">
      <w:pPr>
        <w:pStyle w:val="western"/>
        <w:spacing w:before="144" w:beforeAutospacing="0" w:after="288" w:afterAutospacing="0" w:line="480" w:lineRule="auto"/>
        <w:ind w:left="567" w:hanging="567"/>
        <w:jc w:val="both"/>
        <w:rPr>
          <w:rFonts w:ascii="Arial" w:hAnsi="Arial" w:cs="Arial"/>
          <w:bCs/>
          <w:sz w:val="22"/>
          <w:szCs w:val="22"/>
        </w:rPr>
      </w:pPr>
      <w:r>
        <w:rPr>
          <w:rFonts w:ascii="Arial" w:hAnsi="Arial" w:cs="Arial"/>
          <w:bCs/>
          <w:sz w:val="22"/>
          <w:szCs w:val="22"/>
        </w:rPr>
        <w:lastRenderedPageBreak/>
        <w:t>[4]</w:t>
      </w:r>
      <w:r>
        <w:rPr>
          <w:rFonts w:ascii="Arial" w:hAnsi="Arial" w:cs="Arial"/>
          <w:bCs/>
          <w:sz w:val="22"/>
          <w:szCs w:val="22"/>
        </w:rPr>
        <w:tab/>
        <w:t xml:space="preserve">The Respondent is to pay the costs of this application on a party and party scale which costs shall include the costs incumbent upon the appointment of </w:t>
      </w:r>
      <w:r w:rsidR="0098146E">
        <w:rPr>
          <w:rFonts w:ascii="Arial" w:hAnsi="Arial" w:cs="Arial"/>
          <w:bCs/>
          <w:sz w:val="22"/>
          <w:szCs w:val="22"/>
        </w:rPr>
        <w:t xml:space="preserve">both </w:t>
      </w:r>
      <w:r>
        <w:rPr>
          <w:rFonts w:ascii="Arial" w:hAnsi="Arial" w:cs="Arial"/>
          <w:bCs/>
          <w:sz w:val="22"/>
          <w:szCs w:val="22"/>
        </w:rPr>
        <w:t xml:space="preserve">Senior and Junior Counsel. </w:t>
      </w:r>
    </w:p>
    <w:p w14:paraId="5E391331" w14:textId="77777777" w:rsidR="00D61D5B" w:rsidRDefault="00D61D5B" w:rsidP="00D61D5B">
      <w:pPr>
        <w:ind w:left="1440" w:hanging="720"/>
        <w:jc w:val="right"/>
        <w:rPr>
          <w:rFonts w:ascii="Arial" w:hAnsi="Arial" w:cs="Arial"/>
          <w:b/>
        </w:rPr>
      </w:pPr>
      <w:r>
        <w:rPr>
          <w:rFonts w:ascii="Arial" w:hAnsi="Arial" w:cs="Arial"/>
          <w:b/>
        </w:rPr>
        <w:t>_________________________</w:t>
      </w:r>
    </w:p>
    <w:p w14:paraId="4EA22A06" w14:textId="77777777" w:rsidR="00D61D5B" w:rsidRPr="00B12377" w:rsidRDefault="00D61D5B" w:rsidP="00D61D5B">
      <w:pPr>
        <w:ind w:left="6480" w:firstLine="720"/>
        <w:jc w:val="both"/>
        <w:rPr>
          <w:rFonts w:ascii="Arial" w:hAnsi="Arial" w:cs="Arial"/>
          <w:b/>
        </w:rPr>
      </w:pPr>
      <w:r>
        <w:rPr>
          <w:rFonts w:ascii="Arial" w:hAnsi="Arial" w:cs="Arial"/>
          <w:b/>
        </w:rPr>
        <w:t xml:space="preserve"> </w:t>
      </w:r>
      <w:r w:rsidRPr="00B12377">
        <w:rPr>
          <w:rFonts w:ascii="Arial" w:hAnsi="Arial" w:cs="Arial"/>
          <w:b/>
        </w:rPr>
        <w:t xml:space="preserve"> P J VERMEULEN</w:t>
      </w:r>
    </w:p>
    <w:p w14:paraId="3E32FF3F" w14:textId="77777777" w:rsidR="00D61D5B" w:rsidRPr="00B12377" w:rsidRDefault="00D61D5B" w:rsidP="00D61D5B">
      <w:pPr>
        <w:ind w:left="1440" w:hanging="720"/>
        <w:jc w:val="both"/>
        <w:rPr>
          <w:rFonts w:ascii="Arial" w:hAnsi="Arial" w:cs="Arial"/>
        </w:rPr>
      </w:pPr>
      <w:r w:rsidRPr="00B12377">
        <w:rPr>
          <w:rFonts w:ascii="Arial" w:hAnsi="Arial" w:cs="Arial"/>
        </w:rPr>
        <w:t xml:space="preserve">                                                  </w:t>
      </w:r>
      <w:r>
        <w:rPr>
          <w:rFonts w:ascii="Arial" w:hAnsi="Arial" w:cs="Arial"/>
        </w:rPr>
        <w:t xml:space="preserve">                              Acting</w:t>
      </w:r>
      <w:r w:rsidRPr="00B12377">
        <w:rPr>
          <w:rFonts w:ascii="Arial" w:hAnsi="Arial" w:cs="Arial"/>
        </w:rPr>
        <w:t xml:space="preserve"> Judge of the High Court</w:t>
      </w:r>
    </w:p>
    <w:p w14:paraId="4576F046" w14:textId="77777777" w:rsidR="00D61D5B" w:rsidRPr="00B12377" w:rsidRDefault="00D61D5B" w:rsidP="00D61D5B">
      <w:pPr>
        <w:ind w:left="1440" w:hanging="720"/>
        <w:jc w:val="both"/>
        <w:rPr>
          <w:rFonts w:ascii="Arial" w:hAnsi="Arial" w:cs="Arial"/>
        </w:rPr>
      </w:pPr>
      <w:r w:rsidRPr="00B12377">
        <w:rPr>
          <w:rFonts w:ascii="Arial" w:hAnsi="Arial" w:cs="Arial"/>
        </w:rPr>
        <w:tab/>
      </w:r>
      <w:r w:rsidRPr="00B12377">
        <w:rPr>
          <w:rFonts w:ascii="Arial" w:hAnsi="Arial" w:cs="Arial"/>
        </w:rPr>
        <w:tab/>
      </w:r>
      <w:r w:rsidRPr="00B12377">
        <w:rPr>
          <w:rFonts w:ascii="Arial" w:hAnsi="Arial" w:cs="Arial"/>
        </w:rPr>
        <w:tab/>
      </w:r>
      <w:r w:rsidRPr="00B12377">
        <w:rPr>
          <w:rFonts w:ascii="Arial" w:hAnsi="Arial" w:cs="Arial"/>
        </w:rPr>
        <w:tab/>
      </w:r>
      <w:r w:rsidRPr="00B12377">
        <w:rPr>
          <w:rFonts w:ascii="Arial" w:hAnsi="Arial" w:cs="Arial"/>
        </w:rPr>
        <w:tab/>
      </w:r>
      <w:r w:rsidRPr="00B12377">
        <w:rPr>
          <w:rFonts w:ascii="Arial" w:hAnsi="Arial" w:cs="Arial"/>
        </w:rPr>
        <w:tab/>
      </w:r>
      <w:r w:rsidRPr="00B12377">
        <w:rPr>
          <w:rFonts w:ascii="Arial" w:hAnsi="Arial" w:cs="Arial"/>
        </w:rPr>
        <w:tab/>
      </w:r>
      <w:r w:rsidRPr="00B12377">
        <w:rPr>
          <w:rFonts w:ascii="Arial" w:hAnsi="Arial" w:cs="Arial"/>
        </w:rPr>
        <w:tab/>
        <w:t xml:space="preserve"> Gauteng Division, Pretoria</w:t>
      </w:r>
    </w:p>
    <w:p w14:paraId="7EEC85D7" w14:textId="77777777" w:rsidR="00D61D5B" w:rsidRDefault="00D61D5B" w:rsidP="00D61D5B">
      <w:pPr>
        <w:spacing w:line="480" w:lineRule="auto"/>
        <w:ind w:left="1440" w:hanging="720"/>
        <w:jc w:val="both"/>
        <w:rPr>
          <w:rFonts w:ascii="Arial" w:hAnsi="Arial" w:cs="Arial"/>
        </w:rPr>
      </w:pPr>
    </w:p>
    <w:p w14:paraId="52D79632" w14:textId="77777777" w:rsidR="00D61D5B" w:rsidRPr="00D96A8C" w:rsidRDefault="00D61D5B" w:rsidP="002553D8">
      <w:pPr>
        <w:spacing w:line="480" w:lineRule="auto"/>
        <w:ind w:left="1440" w:hanging="1440"/>
        <w:jc w:val="both"/>
        <w:rPr>
          <w:rFonts w:ascii="Arial" w:hAnsi="Arial" w:cs="Arial"/>
          <w:sz w:val="22"/>
          <w:szCs w:val="22"/>
        </w:rPr>
      </w:pPr>
      <w:r w:rsidRPr="00D96A8C">
        <w:rPr>
          <w:rFonts w:ascii="Arial" w:hAnsi="Arial" w:cs="Arial"/>
          <w:sz w:val="22"/>
          <w:szCs w:val="22"/>
        </w:rPr>
        <w:t>Date of Hearing: 2</w:t>
      </w:r>
      <w:r w:rsidRPr="00D96A8C">
        <w:rPr>
          <w:rFonts w:ascii="Arial" w:hAnsi="Arial" w:cs="Arial"/>
          <w:sz w:val="22"/>
          <w:szCs w:val="22"/>
          <w:vertAlign w:val="superscript"/>
        </w:rPr>
        <w:t>nd</w:t>
      </w:r>
      <w:r w:rsidRPr="00D96A8C">
        <w:rPr>
          <w:rFonts w:ascii="Arial" w:hAnsi="Arial" w:cs="Arial"/>
          <w:sz w:val="22"/>
          <w:szCs w:val="22"/>
        </w:rPr>
        <w:t xml:space="preserve"> of March 2023</w:t>
      </w:r>
      <w:r w:rsidRPr="00D96A8C">
        <w:rPr>
          <w:rFonts w:ascii="Arial" w:hAnsi="Arial" w:cs="Arial"/>
          <w:sz w:val="22"/>
          <w:szCs w:val="22"/>
        </w:rPr>
        <w:tab/>
      </w:r>
    </w:p>
    <w:p w14:paraId="15B1B3F8" w14:textId="6039940B" w:rsidR="00D61D5B" w:rsidRPr="00D96A8C" w:rsidRDefault="00D61D5B" w:rsidP="0049576D">
      <w:pPr>
        <w:spacing w:line="480" w:lineRule="auto"/>
        <w:ind w:left="1440" w:hanging="1440"/>
        <w:jc w:val="both"/>
        <w:rPr>
          <w:rFonts w:ascii="Arial" w:hAnsi="Arial" w:cs="Arial"/>
          <w:sz w:val="22"/>
          <w:szCs w:val="22"/>
        </w:rPr>
      </w:pPr>
      <w:r w:rsidRPr="00D96A8C">
        <w:rPr>
          <w:rFonts w:ascii="Arial" w:hAnsi="Arial" w:cs="Arial"/>
          <w:sz w:val="22"/>
          <w:szCs w:val="22"/>
        </w:rPr>
        <w:t>J</w:t>
      </w:r>
      <w:r w:rsidR="006C60A3">
        <w:rPr>
          <w:rFonts w:ascii="Arial" w:hAnsi="Arial" w:cs="Arial"/>
          <w:sz w:val="22"/>
          <w:szCs w:val="22"/>
        </w:rPr>
        <w:t xml:space="preserve">udgment delivered: </w:t>
      </w:r>
    </w:p>
    <w:p w14:paraId="5D51EEE8" w14:textId="77777777" w:rsidR="00D61D5B" w:rsidRPr="00D96A8C" w:rsidRDefault="00D61D5B" w:rsidP="00D61D5B">
      <w:pPr>
        <w:spacing w:line="480" w:lineRule="auto"/>
        <w:jc w:val="both"/>
        <w:rPr>
          <w:rFonts w:ascii="Arial" w:hAnsi="Arial" w:cs="Arial"/>
          <w:sz w:val="22"/>
          <w:szCs w:val="22"/>
        </w:rPr>
      </w:pPr>
      <w:r w:rsidRPr="00D96A8C">
        <w:rPr>
          <w:rFonts w:ascii="Arial" w:hAnsi="Arial" w:cs="Arial"/>
          <w:b/>
          <w:sz w:val="22"/>
          <w:szCs w:val="22"/>
        </w:rPr>
        <w:t>Counsel appearing on behalf of Applicant</w:t>
      </w:r>
      <w:r w:rsidRPr="00D96A8C">
        <w:rPr>
          <w:rFonts w:ascii="Arial" w:hAnsi="Arial" w:cs="Arial"/>
          <w:sz w:val="22"/>
          <w:szCs w:val="22"/>
        </w:rPr>
        <w:t xml:space="preserve">:  </w:t>
      </w:r>
    </w:p>
    <w:p w14:paraId="2B4734DE" w14:textId="77777777" w:rsidR="00D61D5B" w:rsidRPr="00D96A8C" w:rsidRDefault="00D61D5B" w:rsidP="00D61D5B">
      <w:pPr>
        <w:spacing w:line="480" w:lineRule="auto"/>
        <w:jc w:val="both"/>
        <w:rPr>
          <w:rFonts w:ascii="Arial" w:hAnsi="Arial" w:cs="Arial"/>
          <w:sz w:val="22"/>
          <w:szCs w:val="22"/>
        </w:rPr>
      </w:pPr>
      <w:r w:rsidRPr="00D96A8C">
        <w:rPr>
          <w:rFonts w:ascii="Arial" w:hAnsi="Arial" w:cs="Arial"/>
          <w:sz w:val="22"/>
          <w:szCs w:val="22"/>
        </w:rPr>
        <w:t xml:space="preserve">Adv. S J van Rensburg SC assisted by Adv. H Coetzee  </w:t>
      </w:r>
    </w:p>
    <w:p w14:paraId="65C3E26B" w14:textId="77777777" w:rsidR="00D61D5B" w:rsidRPr="00D96A8C" w:rsidRDefault="00D61D5B" w:rsidP="00D61D5B">
      <w:pPr>
        <w:spacing w:line="360" w:lineRule="auto"/>
        <w:jc w:val="both"/>
        <w:rPr>
          <w:rFonts w:ascii="Arial" w:hAnsi="Arial" w:cs="Arial"/>
          <w:sz w:val="22"/>
          <w:szCs w:val="22"/>
        </w:rPr>
      </w:pPr>
      <w:r w:rsidRPr="00D96A8C">
        <w:rPr>
          <w:rFonts w:ascii="Arial" w:hAnsi="Arial" w:cs="Arial"/>
          <w:b/>
          <w:sz w:val="22"/>
          <w:szCs w:val="22"/>
        </w:rPr>
        <w:t>Counsel appearing on behalf of Respondent</w:t>
      </w:r>
      <w:r w:rsidRPr="00D96A8C">
        <w:rPr>
          <w:rFonts w:ascii="Arial" w:hAnsi="Arial" w:cs="Arial"/>
          <w:sz w:val="22"/>
          <w:szCs w:val="22"/>
        </w:rPr>
        <w:t xml:space="preserve">:  </w:t>
      </w:r>
    </w:p>
    <w:p w14:paraId="26D1FE6F" w14:textId="77777777" w:rsidR="00E2675E" w:rsidRPr="00D96A8C" w:rsidRDefault="00D61D5B" w:rsidP="002553D8">
      <w:pPr>
        <w:spacing w:line="360" w:lineRule="auto"/>
        <w:jc w:val="both"/>
        <w:rPr>
          <w:sz w:val="22"/>
          <w:szCs w:val="22"/>
        </w:rPr>
      </w:pPr>
      <w:r w:rsidRPr="00D96A8C">
        <w:rPr>
          <w:rFonts w:ascii="Arial" w:hAnsi="Arial" w:cs="Arial"/>
          <w:sz w:val="22"/>
          <w:szCs w:val="22"/>
        </w:rPr>
        <w:t xml:space="preserve">Adv. C J Dreyer </w:t>
      </w:r>
    </w:p>
    <w:sectPr w:rsidR="00E2675E" w:rsidRPr="00D96A8C" w:rsidSect="00F33EC5">
      <w:headerReference w:type="default" r:id="rId10"/>
      <w:pgSz w:w="12240" w:h="15840"/>
      <w:pgMar w:top="1418"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CFACB3" w14:textId="77777777" w:rsidR="000D318C" w:rsidRDefault="000D318C" w:rsidP="006B43AA">
      <w:r>
        <w:separator/>
      </w:r>
    </w:p>
  </w:endnote>
  <w:endnote w:type="continuationSeparator" w:id="0">
    <w:p w14:paraId="088FE940" w14:textId="77777777" w:rsidR="000D318C" w:rsidRDefault="000D318C" w:rsidP="006B43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0675D7" w14:textId="77777777" w:rsidR="000D318C" w:rsidRDefault="000D318C" w:rsidP="006B43AA">
      <w:r>
        <w:separator/>
      </w:r>
    </w:p>
  </w:footnote>
  <w:footnote w:type="continuationSeparator" w:id="0">
    <w:p w14:paraId="3B025CAF" w14:textId="77777777" w:rsidR="000D318C" w:rsidRDefault="000D318C" w:rsidP="006B43AA">
      <w:r>
        <w:continuationSeparator/>
      </w:r>
    </w:p>
  </w:footnote>
  <w:footnote w:id="1">
    <w:p w14:paraId="349EA5AF" w14:textId="77777777" w:rsidR="009C59B5" w:rsidRPr="009C59B5" w:rsidRDefault="009C59B5" w:rsidP="009C59B5">
      <w:pPr>
        <w:pStyle w:val="FootnoteText"/>
        <w:ind w:left="142" w:hanging="142"/>
        <w:rPr>
          <w:sz w:val="16"/>
          <w:szCs w:val="16"/>
        </w:rPr>
      </w:pPr>
      <w:r>
        <w:rPr>
          <w:rStyle w:val="FootnoteReference"/>
        </w:rPr>
        <w:footnoteRef/>
      </w:r>
      <w:r>
        <w:t xml:space="preserve">  </w:t>
      </w:r>
      <w:r w:rsidRPr="009C59B5">
        <w:rPr>
          <w:b/>
          <w:i/>
          <w:sz w:val="16"/>
          <w:szCs w:val="16"/>
        </w:rPr>
        <w:t>Also see: MEC for Health, Eastern Cape and Khumbulela Melane &amp; Special Investigating Unit, unreported judgement with case no. 2017/2015 reported in  the High Court of South Africa (Eastern Cape Local Division, Mthatha in par. 23;  and Fischer &amp; Another v Ramahlele &amp; Others 2014 (4) SA 614 (SCA) at para. 13 – 14</w:t>
      </w:r>
      <w:r w:rsidRPr="009C59B5">
        <w:rPr>
          <w:sz w:val="16"/>
          <w:szCs w:val="16"/>
        </w:rPr>
        <w:t xml:space="preserve"> </w:t>
      </w:r>
    </w:p>
  </w:footnote>
  <w:footnote w:id="2">
    <w:p w14:paraId="4546F068" w14:textId="77777777" w:rsidR="00DB4BBE" w:rsidRPr="003D5A57" w:rsidRDefault="00DB4BBE" w:rsidP="00DB4BBE">
      <w:pPr>
        <w:pStyle w:val="FootnoteText"/>
        <w:rPr>
          <w:b/>
          <w:i/>
          <w:sz w:val="16"/>
          <w:szCs w:val="16"/>
        </w:rPr>
      </w:pPr>
    </w:p>
  </w:footnote>
  <w:footnote w:id="3">
    <w:p w14:paraId="4D81AAB6" w14:textId="77777777" w:rsidR="00DB4BBE" w:rsidRDefault="00DB4BBE" w:rsidP="00DB4BBE">
      <w:pPr>
        <w:pStyle w:val="FootnoteText"/>
      </w:pPr>
      <w:r>
        <w:rPr>
          <w:rStyle w:val="FootnoteReference"/>
        </w:rPr>
        <w:footnoteRef/>
      </w:r>
      <w:r>
        <w:t xml:space="preserve"> </w:t>
      </w:r>
      <w:r w:rsidRPr="003D5A57">
        <w:rPr>
          <w:b/>
          <w:i/>
          <w:sz w:val="16"/>
          <w:szCs w:val="16"/>
        </w:rPr>
        <w:t>See: case line, p. 007 – 114 to 007 – 118;</w:t>
      </w:r>
    </w:p>
  </w:footnote>
  <w:footnote w:id="4">
    <w:p w14:paraId="027ED54C" w14:textId="77777777" w:rsidR="00C2095D" w:rsidRPr="00C2095D" w:rsidRDefault="00C2095D" w:rsidP="00C2095D">
      <w:pPr>
        <w:pStyle w:val="FootnoteText"/>
        <w:rPr>
          <w:b/>
          <w:i/>
          <w:sz w:val="16"/>
          <w:szCs w:val="16"/>
        </w:rPr>
      </w:pPr>
      <w:r>
        <w:rPr>
          <w:rStyle w:val="FootnoteReference"/>
        </w:rPr>
        <w:footnoteRef/>
      </w:r>
      <w:r>
        <w:t xml:space="preserve">  </w:t>
      </w:r>
      <w:r w:rsidRPr="00C2095D">
        <w:rPr>
          <w:b/>
          <w:i/>
          <w:sz w:val="16"/>
          <w:szCs w:val="16"/>
        </w:rPr>
        <w:t>par. 46 of founding affidavit on case line, p. 003 – 46 read with 003 – 167 to 003 – 175;</w:t>
      </w:r>
    </w:p>
  </w:footnote>
  <w:footnote w:id="5">
    <w:p w14:paraId="56C97B88" w14:textId="77777777" w:rsidR="00C2095D" w:rsidRPr="00C2095D" w:rsidRDefault="00C2095D" w:rsidP="00C2095D">
      <w:pPr>
        <w:pStyle w:val="FootnoteText"/>
        <w:rPr>
          <w:b/>
          <w:i/>
          <w:sz w:val="16"/>
          <w:szCs w:val="16"/>
        </w:rPr>
      </w:pPr>
      <w:r>
        <w:rPr>
          <w:rStyle w:val="FootnoteReference"/>
        </w:rPr>
        <w:footnoteRef/>
      </w:r>
      <w:r>
        <w:t xml:space="preserve">  </w:t>
      </w:r>
      <w:r w:rsidRPr="00C2095D">
        <w:rPr>
          <w:b/>
          <w:i/>
          <w:sz w:val="16"/>
          <w:szCs w:val="16"/>
        </w:rPr>
        <w:t>FA162, Case line, p. 002 – 36;</w:t>
      </w:r>
    </w:p>
  </w:footnote>
  <w:footnote w:id="6">
    <w:p w14:paraId="0A94EFB9" w14:textId="77777777" w:rsidR="00C2095D" w:rsidRPr="00C2095D" w:rsidRDefault="00C2095D" w:rsidP="0050430C">
      <w:pPr>
        <w:pStyle w:val="FootnoteText"/>
        <w:rPr>
          <w:b/>
          <w:i/>
          <w:sz w:val="16"/>
          <w:szCs w:val="16"/>
        </w:rPr>
      </w:pPr>
      <w:r>
        <w:rPr>
          <w:rStyle w:val="FootnoteReference"/>
        </w:rPr>
        <w:footnoteRef/>
      </w:r>
      <w:r>
        <w:t xml:space="preserve">  </w:t>
      </w:r>
      <w:r w:rsidRPr="00C2095D">
        <w:rPr>
          <w:b/>
          <w:i/>
          <w:sz w:val="16"/>
          <w:szCs w:val="16"/>
        </w:rPr>
        <w:t>Answering affidavit, par. 14 on Case line, p. 008 – 5;</w:t>
      </w:r>
    </w:p>
  </w:footnote>
  <w:footnote w:id="7">
    <w:p w14:paraId="0EBD3220" w14:textId="77777777" w:rsidR="00C2095D" w:rsidRPr="00C2095D" w:rsidRDefault="00C2095D" w:rsidP="0050430C">
      <w:pPr>
        <w:pStyle w:val="FootnoteText"/>
        <w:rPr>
          <w:b/>
          <w:i/>
          <w:sz w:val="16"/>
          <w:szCs w:val="16"/>
        </w:rPr>
      </w:pPr>
      <w:r w:rsidRPr="00C2095D">
        <w:rPr>
          <w:rStyle w:val="FootnoteReference"/>
          <w:b/>
          <w:i/>
          <w:sz w:val="16"/>
          <w:szCs w:val="16"/>
        </w:rPr>
        <w:footnoteRef/>
      </w:r>
      <w:r w:rsidRPr="00C2095D">
        <w:rPr>
          <w:b/>
          <w:i/>
          <w:sz w:val="16"/>
          <w:szCs w:val="16"/>
        </w:rPr>
        <w:t xml:space="preserve">  </w:t>
      </w:r>
      <w:r>
        <w:rPr>
          <w:b/>
          <w:i/>
          <w:sz w:val="16"/>
          <w:szCs w:val="16"/>
        </w:rPr>
        <w:t xml:space="preserve"> </w:t>
      </w:r>
      <w:r w:rsidRPr="00C2095D">
        <w:rPr>
          <w:b/>
          <w:i/>
          <w:sz w:val="16"/>
          <w:szCs w:val="16"/>
        </w:rPr>
        <w:t>See: SARS2, Case line, p. 008 – 32 to 008 - 34</w:t>
      </w:r>
    </w:p>
  </w:footnote>
  <w:footnote w:id="8">
    <w:p w14:paraId="0B38A5A8" w14:textId="77777777" w:rsidR="00C2095D" w:rsidRPr="00C2095D" w:rsidRDefault="00C2095D" w:rsidP="0050430C">
      <w:pPr>
        <w:pStyle w:val="FootnoteText"/>
        <w:rPr>
          <w:b/>
          <w:i/>
          <w:sz w:val="16"/>
          <w:szCs w:val="16"/>
        </w:rPr>
      </w:pPr>
      <w:r>
        <w:rPr>
          <w:rStyle w:val="FootnoteReference"/>
        </w:rPr>
        <w:footnoteRef/>
      </w:r>
      <w:r>
        <w:t xml:space="preserve">  </w:t>
      </w:r>
      <w:r w:rsidRPr="00C2095D">
        <w:rPr>
          <w:b/>
          <w:i/>
          <w:sz w:val="16"/>
          <w:szCs w:val="16"/>
        </w:rPr>
        <w:t>See: FA162 on case line, p. 002 – 47;</w:t>
      </w:r>
    </w:p>
  </w:footnote>
  <w:footnote w:id="9">
    <w:p w14:paraId="1737E212" w14:textId="77777777" w:rsidR="00C2095D" w:rsidRPr="00C2095D" w:rsidRDefault="00C2095D" w:rsidP="0050430C">
      <w:pPr>
        <w:pStyle w:val="FootnoteText"/>
        <w:rPr>
          <w:b/>
          <w:i/>
          <w:sz w:val="16"/>
          <w:szCs w:val="16"/>
        </w:rPr>
      </w:pPr>
      <w:r w:rsidRPr="00C2095D">
        <w:rPr>
          <w:rStyle w:val="FootnoteReference"/>
          <w:b/>
          <w:i/>
          <w:sz w:val="16"/>
          <w:szCs w:val="16"/>
        </w:rPr>
        <w:footnoteRef/>
      </w:r>
      <w:r w:rsidRPr="00C2095D">
        <w:rPr>
          <w:b/>
          <w:i/>
          <w:sz w:val="16"/>
          <w:szCs w:val="16"/>
        </w:rPr>
        <w:t xml:space="preserve">  </w:t>
      </w:r>
      <w:r w:rsidR="00A5537B">
        <w:rPr>
          <w:b/>
          <w:i/>
          <w:sz w:val="16"/>
          <w:szCs w:val="16"/>
        </w:rPr>
        <w:t xml:space="preserve"> </w:t>
      </w:r>
      <w:r w:rsidRPr="00C2095D">
        <w:rPr>
          <w:b/>
          <w:i/>
          <w:sz w:val="16"/>
          <w:szCs w:val="16"/>
        </w:rPr>
        <w:t>See: FA162 on case line, p. 002 – 47;</w:t>
      </w:r>
    </w:p>
  </w:footnote>
  <w:footnote w:id="10">
    <w:p w14:paraId="55E87D51" w14:textId="77777777" w:rsidR="00C2095D" w:rsidRPr="00C2095D" w:rsidRDefault="00C2095D" w:rsidP="0050430C">
      <w:pPr>
        <w:pStyle w:val="FootnoteText"/>
        <w:rPr>
          <w:b/>
          <w:i/>
          <w:sz w:val="16"/>
          <w:szCs w:val="16"/>
        </w:rPr>
      </w:pPr>
      <w:r w:rsidRPr="00C2095D">
        <w:rPr>
          <w:rStyle w:val="FootnoteReference"/>
          <w:b/>
          <w:i/>
          <w:sz w:val="16"/>
          <w:szCs w:val="16"/>
        </w:rPr>
        <w:footnoteRef/>
      </w:r>
      <w:r w:rsidRPr="00C2095D">
        <w:rPr>
          <w:b/>
          <w:i/>
          <w:sz w:val="16"/>
          <w:szCs w:val="16"/>
        </w:rPr>
        <w:t xml:space="preserve">  See: FA162 on case line, p. 002 – 47;</w:t>
      </w:r>
    </w:p>
  </w:footnote>
  <w:footnote w:id="11">
    <w:p w14:paraId="531C6FC8" w14:textId="77777777" w:rsidR="00C2095D" w:rsidRPr="00C2095D" w:rsidRDefault="00C2095D" w:rsidP="0050430C">
      <w:pPr>
        <w:pStyle w:val="FootnoteText"/>
        <w:rPr>
          <w:b/>
          <w:i/>
          <w:sz w:val="16"/>
          <w:szCs w:val="16"/>
        </w:rPr>
      </w:pPr>
      <w:r w:rsidRPr="00C2095D">
        <w:rPr>
          <w:rStyle w:val="FootnoteReference"/>
          <w:b/>
          <w:i/>
          <w:sz w:val="16"/>
          <w:szCs w:val="16"/>
        </w:rPr>
        <w:footnoteRef/>
      </w:r>
      <w:r w:rsidRPr="00C2095D">
        <w:rPr>
          <w:b/>
          <w:i/>
          <w:sz w:val="16"/>
          <w:szCs w:val="16"/>
        </w:rPr>
        <w:t xml:space="preserve">  See: FA162 on case line, p. 002 – 47 </w:t>
      </w:r>
    </w:p>
  </w:footnote>
  <w:footnote w:id="12">
    <w:p w14:paraId="04F91FF4" w14:textId="77777777" w:rsidR="00C2095D" w:rsidRPr="009E054F" w:rsidRDefault="00C2095D" w:rsidP="0050430C">
      <w:pPr>
        <w:pStyle w:val="FootnoteText"/>
        <w:rPr>
          <w:b/>
          <w:i/>
          <w:sz w:val="16"/>
          <w:szCs w:val="16"/>
        </w:rPr>
      </w:pPr>
      <w:r>
        <w:rPr>
          <w:rStyle w:val="FootnoteReference"/>
        </w:rPr>
        <w:footnoteRef/>
      </w:r>
      <w:r>
        <w:t xml:space="preserve"> </w:t>
      </w:r>
      <w:r w:rsidRPr="009E054F">
        <w:rPr>
          <w:b/>
          <w:i/>
          <w:sz w:val="16"/>
          <w:szCs w:val="16"/>
        </w:rPr>
        <w:t>See: FA162 on case line, p. 002 – 47 read with annexure PH1 to the replying affidavit on case line, p. 006 – 12 to 006 – 34;</w:t>
      </w:r>
    </w:p>
  </w:footnote>
  <w:footnote w:id="13">
    <w:p w14:paraId="644B9460" w14:textId="77777777" w:rsidR="00C2095D" w:rsidRPr="00C2095D" w:rsidRDefault="00C2095D" w:rsidP="0050430C">
      <w:pPr>
        <w:pStyle w:val="FootnoteText"/>
        <w:rPr>
          <w:b/>
          <w:i/>
          <w:sz w:val="16"/>
          <w:szCs w:val="16"/>
        </w:rPr>
      </w:pPr>
      <w:r>
        <w:rPr>
          <w:rStyle w:val="FootnoteReference"/>
        </w:rPr>
        <w:footnoteRef/>
      </w:r>
      <w:r>
        <w:t xml:space="preserve"> </w:t>
      </w:r>
      <w:r w:rsidRPr="00C2095D">
        <w:rPr>
          <w:b/>
          <w:i/>
          <w:sz w:val="16"/>
          <w:szCs w:val="16"/>
        </w:rPr>
        <w:t>See: FA162 on case line, p. 002 – 47;</w:t>
      </w:r>
    </w:p>
  </w:footnote>
  <w:footnote w:id="14">
    <w:p w14:paraId="428824AE" w14:textId="77777777" w:rsidR="005A33F0" w:rsidRPr="00C2095D" w:rsidRDefault="005A33F0" w:rsidP="0050430C">
      <w:pPr>
        <w:pStyle w:val="FootnoteText"/>
        <w:rPr>
          <w:b/>
          <w:i/>
          <w:sz w:val="16"/>
          <w:szCs w:val="16"/>
        </w:rPr>
      </w:pPr>
      <w:r w:rsidRPr="00C2095D">
        <w:rPr>
          <w:rStyle w:val="FootnoteReference"/>
          <w:b/>
          <w:i/>
          <w:sz w:val="16"/>
          <w:szCs w:val="16"/>
        </w:rPr>
        <w:footnoteRef/>
      </w:r>
      <w:r w:rsidRPr="00C2095D">
        <w:rPr>
          <w:b/>
          <w:i/>
          <w:sz w:val="16"/>
          <w:szCs w:val="16"/>
        </w:rPr>
        <w:t xml:space="preserve">  See: AA15 on case line, p. 008 – 5;</w:t>
      </w:r>
    </w:p>
  </w:footnote>
  <w:footnote w:id="15">
    <w:p w14:paraId="7BF40013" w14:textId="77777777" w:rsidR="00C2095D" w:rsidRPr="00C2095D" w:rsidRDefault="00C2095D" w:rsidP="0050430C">
      <w:pPr>
        <w:pStyle w:val="FootnoteText"/>
        <w:rPr>
          <w:b/>
          <w:i/>
          <w:sz w:val="16"/>
          <w:szCs w:val="16"/>
        </w:rPr>
      </w:pPr>
      <w:r w:rsidRPr="00C2095D">
        <w:rPr>
          <w:rStyle w:val="FootnoteReference"/>
          <w:b/>
          <w:i/>
          <w:sz w:val="16"/>
          <w:szCs w:val="16"/>
        </w:rPr>
        <w:footnoteRef/>
      </w:r>
      <w:r w:rsidRPr="00C2095D">
        <w:rPr>
          <w:b/>
          <w:i/>
          <w:sz w:val="16"/>
          <w:szCs w:val="16"/>
        </w:rPr>
        <w:t xml:space="preserve">  See: FA162 on case line, p. 002 – 47;</w:t>
      </w:r>
    </w:p>
  </w:footnote>
  <w:footnote w:id="16">
    <w:p w14:paraId="5AB3C313" w14:textId="77777777" w:rsidR="00C2095D" w:rsidRPr="00C2095D" w:rsidRDefault="00C2095D" w:rsidP="0050430C">
      <w:pPr>
        <w:pStyle w:val="FootnoteText"/>
        <w:rPr>
          <w:b/>
          <w:i/>
          <w:sz w:val="16"/>
          <w:szCs w:val="16"/>
        </w:rPr>
      </w:pPr>
      <w:r w:rsidRPr="00C2095D">
        <w:rPr>
          <w:rStyle w:val="FootnoteReference"/>
          <w:b/>
          <w:i/>
          <w:sz w:val="16"/>
          <w:szCs w:val="16"/>
        </w:rPr>
        <w:footnoteRef/>
      </w:r>
      <w:r w:rsidRPr="00C2095D">
        <w:rPr>
          <w:b/>
          <w:i/>
          <w:sz w:val="16"/>
          <w:szCs w:val="16"/>
        </w:rPr>
        <w:t xml:space="preserve">  See: W5 to found</w:t>
      </w:r>
      <w:r>
        <w:rPr>
          <w:b/>
          <w:i/>
          <w:sz w:val="16"/>
          <w:szCs w:val="16"/>
        </w:rPr>
        <w:t>ing affidavit, case line, p. 003</w:t>
      </w:r>
      <w:r w:rsidRPr="00C2095D">
        <w:rPr>
          <w:b/>
          <w:i/>
          <w:sz w:val="16"/>
          <w:szCs w:val="16"/>
        </w:rPr>
        <w:t xml:space="preserve"> – 101 to 003 –</w:t>
      </w:r>
      <w:r>
        <w:rPr>
          <w:b/>
          <w:i/>
          <w:sz w:val="16"/>
          <w:szCs w:val="16"/>
        </w:rPr>
        <w:t xml:space="preserve"> 10</w:t>
      </w:r>
      <w:r w:rsidRPr="00C2095D">
        <w:rPr>
          <w:b/>
          <w:i/>
          <w:sz w:val="16"/>
          <w:szCs w:val="16"/>
        </w:rPr>
        <w:t>3</w:t>
      </w:r>
      <w:r>
        <w:rPr>
          <w:b/>
          <w:i/>
          <w:sz w:val="16"/>
          <w:szCs w:val="16"/>
        </w:rPr>
        <w:t>;</w:t>
      </w:r>
    </w:p>
  </w:footnote>
  <w:footnote w:id="17">
    <w:p w14:paraId="3D4F9894" w14:textId="77777777" w:rsidR="00C2095D" w:rsidRPr="003D298C" w:rsidRDefault="00C2095D" w:rsidP="0050430C">
      <w:pPr>
        <w:pStyle w:val="FootnoteText"/>
        <w:rPr>
          <w:b/>
          <w:i/>
          <w:sz w:val="16"/>
          <w:szCs w:val="16"/>
        </w:rPr>
      </w:pPr>
      <w:r>
        <w:rPr>
          <w:rStyle w:val="FootnoteReference"/>
        </w:rPr>
        <w:footnoteRef/>
      </w:r>
      <w:r>
        <w:t xml:space="preserve"> </w:t>
      </w:r>
      <w:r w:rsidRPr="003D298C">
        <w:rPr>
          <w:b/>
          <w:i/>
          <w:sz w:val="16"/>
          <w:szCs w:val="16"/>
        </w:rPr>
        <w:t>See: annexure W4 to founding affidavit, case line, p. 003 – 77 to 003 – 100;</w:t>
      </w:r>
    </w:p>
  </w:footnote>
  <w:footnote w:id="18">
    <w:p w14:paraId="319D3617" w14:textId="77777777" w:rsidR="003D298C" w:rsidRPr="003D298C" w:rsidRDefault="003D298C" w:rsidP="003D298C">
      <w:pPr>
        <w:pStyle w:val="FootnoteText"/>
        <w:rPr>
          <w:b/>
          <w:i/>
          <w:sz w:val="16"/>
          <w:szCs w:val="16"/>
        </w:rPr>
      </w:pPr>
      <w:r w:rsidRPr="003D298C">
        <w:rPr>
          <w:rStyle w:val="FootnoteReference"/>
          <w:b/>
          <w:i/>
          <w:sz w:val="16"/>
          <w:szCs w:val="16"/>
        </w:rPr>
        <w:footnoteRef/>
      </w:r>
      <w:r w:rsidRPr="003D298C">
        <w:rPr>
          <w:b/>
          <w:i/>
          <w:sz w:val="16"/>
          <w:szCs w:val="16"/>
        </w:rPr>
        <w:t xml:space="preserve"> See: annexure W2 to founding affidavit, case line, p. 003 – 2 to 003 – 14;</w:t>
      </w:r>
    </w:p>
  </w:footnote>
  <w:footnote w:id="19">
    <w:p w14:paraId="7730DF67" w14:textId="77777777" w:rsidR="003D298C" w:rsidRPr="003D298C" w:rsidRDefault="003D298C" w:rsidP="003D298C">
      <w:pPr>
        <w:pStyle w:val="FootnoteText"/>
        <w:rPr>
          <w:b/>
          <w:i/>
          <w:sz w:val="16"/>
          <w:szCs w:val="16"/>
        </w:rPr>
      </w:pPr>
      <w:r w:rsidRPr="003D298C">
        <w:rPr>
          <w:rStyle w:val="FootnoteReference"/>
          <w:b/>
          <w:i/>
          <w:sz w:val="16"/>
          <w:szCs w:val="16"/>
        </w:rPr>
        <w:footnoteRef/>
      </w:r>
      <w:r w:rsidRPr="003D298C">
        <w:rPr>
          <w:b/>
          <w:i/>
          <w:sz w:val="16"/>
          <w:szCs w:val="16"/>
        </w:rPr>
        <w:t xml:space="preserve"> See: founding affidavit, par. 13, case line, p. 002 – 04;</w:t>
      </w:r>
    </w:p>
  </w:footnote>
  <w:footnote w:id="20">
    <w:p w14:paraId="28F76476" w14:textId="77777777" w:rsidR="003D298C" w:rsidRPr="003D298C" w:rsidRDefault="003D298C" w:rsidP="003D298C">
      <w:pPr>
        <w:pStyle w:val="FootnoteText"/>
        <w:rPr>
          <w:b/>
          <w:i/>
          <w:sz w:val="16"/>
          <w:szCs w:val="16"/>
        </w:rPr>
      </w:pPr>
      <w:r w:rsidRPr="003D298C">
        <w:rPr>
          <w:rStyle w:val="FootnoteReference"/>
          <w:b/>
          <w:i/>
          <w:sz w:val="16"/>
          <w:szCs w:val="16"/>
        </w:rPr>
        <w:footnoteRef/>
      </w:r>
      <w:r w:rsidRPr="003D298C">
        <w:rPr>
          <w:b/>
          <w:i/>
          <w:sz w:val="16"/>
          <w:szCs w:val="16"/>
        </w:rPr>
        <w:t xml:space="preserve"> See: decision annexed as annexure W6 to founding affidavit, case line, p. 003 – 104; </w:t>
      </w:r>
    </w:p>
  </w:footnote>
  <w:footnote w:id="21">
    <w:p w14:paraId="35D5C807" w14:textId="77777777" w:rsidR="003A48BF" w:rsidRPr="003A48BF" w:rsidRDefault="003A48BF" w:rsidP="006051D2">
      <w:pPr>
        <w:pStyle w:val="FootnoteText"/>
        <w:rPr>
          <w:b/>
          <w:i/>
          <w:sz w:val="16"/>
          <w:szCs w:val="16"/>
        </w:rPr>
      </w:pPr>
      <w:r>
        <w:rPr>
          <w:rStyle w:val="FootnoteReference"/>
        </w:rPr>
        <w:footnoteRef/>
      </w:r>
      <w:r>
        <w:t xml:space="preserve"> </w:t>
      </w:r>
      <w:r w:rsidRPr="003A48BF">
        <w:rPr>
          <w:b/>
          <w:i/>
          <w:sz w:val="16"/>
          <w:szCs w:val="16"/>
        </w:rPr>
        <w:t>See: annexure W15 to founding affidavit, case line, p. 003 – 215;</w:t>
      </w:r>
    </w:p>
  </w:footnote>
  <w:footnote w:id="22">
    <w:p w14:paraId="6567811E" w14:textId="77777777" w:rsidR="003A48BF" w:rsidRPr="006051D2" w:rsidRDefault="003A48BF" w:rsidP="006051D2">
      <w:pPr>
        <w:pStyle w:val="FootnoteText"/>
        <w:rPr>
          <w:b/>
          <w:i/>
          <w:sz w:val="16"/>
          <w:szCs w:val="16"/>
        </w:rPr>
      </w:pPr>
      <w:r>
        <w:rPr>
          <w:rStyle w:val="FootnoteReference"/>
        </w:rPr>
        <w:footnoteRef/>
      </w:r>
      <w:r>
        <w:t xml:space="preserve"> </w:t>
      </w:r>
      <w:r w:rsidRPr="006051D2">
        <w:rPr>
          <w:b/>
          <w:i/>
          <w:sz w:val="16"/>
          <w:szCs w:val="16"/>
        </w:rPr>
        <w:t>See: annexure W3 to founding affidavit, case line, p. 003 – 15 to 003 – 76;</w:t>
      </w:r>
    </w:p>
  </w:footnote>
  <w:footnote w:id="23">
    <w:p w14:paraId="4ED14E2A" w14:textId="77777777" w:rsidR="002B1203" w:rsidRPr="006051D2" w:rsidRDefault="002B1203">
      <w:pPr>
        <w:pStyle w:val="FootnoteText"/>
        <w:rPr>
          <w:b/>
          <w:i/>
          <w:sz w:val="16"/>
          <w:szCs w:val="16"/>
        </w:rPr>
      </w:pPr>
      <w:r>
        <w:rPr>
          <w:rStyle w:val="FootnoteReference"/>
        </w:rPr>
        <w:footnoteRef/>
      </w:r>
      <w:r>
        <w:t xml:space="preserve">  </w:t>
      </w:r>
      <w:r w:rsidRPr="006051D2">
        <w:rPr>
          <w:b/>
          <w:i/>
          <w:sz w:val="16"/>
          <w:szCs w:val="16"/>
        </w:rPr>
        <w:t>City of Cape Town v Aur</w:t>
      </w:r>
      <w:r w:rsidR="006051D2" w:rsidRPr="006051D2">
        <w:rPr>
          <w:b/>
          <w:i/>
          <w:sz w:val="16"/>
          <w:szCs w:val="16"/>
        </w:rPr>
        <w:t xml:space="preserve">econ South Africa (Pty) Ltd 2017 (4) SA 223 (CC); </w:t>
      </w:r>
    </w:p>
  </w:footnote>
  <w:footnote w:id="24">
    <w:p w14:paraId="4EB07B2C" w14:textId="77777777" w:rsidR="006051D2" w:rsidRPr="006051D2" w:rsidRDefault="006051D2" w:rsidP="006051D2">
      <w:pPr>
        <w:pStyle w:val="FootnoteText"/>
        <w:rPr>
          <w:b/>
          <w:i/>
          <w:sz w:val="16"/>
          <w:szCs w:val="16"/>
        </w:rPr>
      </w:pPr>
      <w:r>
        <w:rPr>
          <w:rStyle w:val="FootnoteReference"/>
        </w:rPr>
        <w:footnoteRef/>
      </w:r>
      <w:r>
        <w:t xml:space="preserve">  </w:t>
      </w:r>
      <w:r w:rsidRPr="006051D2">
        <w:rPr>
          <w:b/>
          <w:i/>
          <w:sz w:val="16"/>
          <w:szCs w:val="16"/>
        </w:rPr>
        <w:t>Id at par. 26;</w:t>
      </w:r>
    </w:p>
  </w:footnote>
  <w:footnote w:id="25">
    <w:p w14:paraId="63721F9F" w14:textId="77777777" w:rsidR="006051D2" w:rsidRPr="006051D2" w:rsidRDefault="006051D2" w:rsidP="006051D2">
      <w:pPr>
        <w:pStyle w:val="FootnoteText"/>
        <w:rPr>
          <w:b/>
          <w:i/>
          <w:sz w:val="16"/>
          <w:szCs w:val="16"/>
        </w:rPr>
      </w:pPr>
      <w:r w:rsidRPr="006051D2">
        <w:rPr>
          <w:rStyle w:val="FootnoteReference"/>
          <w:b/>
          <w:i/>
          <w:sz w:val="16"/>
          <w:szCs w:val="16"/>
        </w:rPr>
        <w:footnoteRef/>
      </w:r>
      <w:r w:rsidRPr="006051D2">
        <w:rPr>
          <w:b/>
          <w:i/>
          <w:sz w:val="16"/>
          <w:szCs w:val="16"/>
        </w:rPr>
        <w:t xml:space="preserve">  2017 (1) SA 468 (SCA) (Sanral);</w:t>
      </w:r>
    </w:p>
  </w:footnote>
  <w:footnote w:id="26">
    <w:p w14:paraId="2C341265" w14:textId="77777777" w:rsidR="006051D2" w:rsidRPr="0050430C" w:rsidRDefault="006051D2" w:rsidP="0050430C">
      <w:pPr>
        <w:pStyle w:val="FootnoteText"/>
        <w:rPr>
          <w:rFonts w:cs="Arial"/>
          <w:b/>
          <w:bCs/>
          <w:i/>
          <w:sz w:val="16"/>
          <w:szCs w:val="16"/>
        </w:rPr>
      </w:pPr>
      <w:r w:rsidRPr="001435AD">
        <w:rPr>
          <w:rStyle w:val="FootnoteReference"/>
          <w:rFonts w:ascii="Arial" w:hAnsi="Arial" w:cs="Arial"/>
          <w:b/>
          <w:bCs/>
          <w:sz w:val="16"/>
          <w:szCs w:val="16"/>
        </w:rPr>
        <w:footnoteRef/>
      </w:r>
      <w:r w:rsidR="0050430C">
        <w:rPr>
          <w:rFonts w:ascii="Arial" w:hAnsi="Arial" w:cs="Arial"/>
          <w:b/>
          <w:bCs/>
          <w:sz w:val="16"/>
          <w:szCs w:val="16"/>
        </w:rPr>
        <w:t xml:space="preserve"> </w:t>
      </w:r>
      <w:r w:rsidR="00A5537B">
        <w:rPr>
          <w:rFonts w:ascii="Arial" w:hAnsi="Arial" w:cs="Arial"/>
          <w:b/>
          <w:bCs/>
          <w:sz w:val="16"/>
          <w:szCs w:val="16"/>
        </w:rPr>
        <w:t xml:space="preserve"> </w:t>
      </w:r>
      <w:r w:rsidRPr="0050430C">
        <w:rPr>
          <w:rFonts w:cs="Arial"/>
          <w:b/>
          <w:bCs/>
          <w:i/>
          <w:sz w:val="16"/>
          <w:szCs w:val="16"/>
        </w:rPr>
        <w:t>Sanral judgement (supra) at par. 81;</w:t>
      </w:r>
    </w:p>
  </w:footnote>
  <w:footnote w:id="27">
    <w:p w14:paraId="64B27B4A" w14:textId="77777777" w:rsidR="001435AD" w:rsidRPr="0050430C" w:rsidRDefault="001435AD" w:rsidP="0050430C">
      <w:pPr>
        <w:pStyle w:val="FootnoteText"/>
        <w:rPr>
          <w:rFonts w:cs="Arial"/>
          <w:b/>
          <w:bCs/>
          <w:sz w:val="16"/>
          <w:szCs w:val="16"/>
          <w:lang w:val="en-US"/>
        </w:rPr>
      </w:pPr>
      <w:r w:rsidRPr="0050430C">
        <w:rPr>
          <w:rStyle w:val="FootnoteReference"/>
          <w:rFonts w:cs="Arial"/>
          <w:b/>
          <w:bCs/>
          <w:sz w:val="16"/>
          <w:szCs w:val="16"/>
        </w:rPr>
        <w:footnoteRef/>
      </w:r>
      <w:r w:rsidRPr="0050430C">
        <w:rPr>
          <w:rFonts w:cs="Arial"/>
          <w:b/>
          <w:bCs/>
          <w:sz w:val="16"/>
          <w:szCs w:val="16"/>
        </w:rPr>
        <w:t xml:space="preserve"> </w:t>
      </w:r>
      <w:r w:rsidR="00A5537B">
        <w:rPr>
          <w:rFonts w:cs="Arial"/>
          <w:b/>
          <w:bCs/>
          <w:sz w:val="16"/>
          <w:szCs w:val="16"/>
        </w:rPr>
        <w:t xml:space="preserve"> </w:t>
      </w:r>
      <w:r w:rsidRPr="0050430C">
        <w:rPr>
          <w:rFonts w:cs="Arial"/>
          <w:b/>
          <w:bCs/>
          <w:sz w:val="16"/>
          <w:szCs w:val="16"/>
          <w:lang w:val="en-US"/>
        </w:rPr>
        <w:t>footnote 21 ibid par 46 on page 239</w:t>
      </w:r>
    </w:p>
  </w:footnote>
  <w:footnote w:id="28">
    <w:p w14:paraId="2E30B47A" w14:textId="77777777" w:rsidR="001435AD" w:rsidRPr="00D12BEB" w:rsidRDefault="001435AD" w:rsidP="0050430C">
      <w:pPr>
        <w:pStyle w:val="FootnoteText"/>
        <w:ind w:left="142" w:hanging="142"/>
        <w:rPr>
          <w:rFonts w:cs="Arial"/>
          <w:b/>
          <w:bCs/>
          <w:i/>
          <w:sz w:val="16"/>
          <w:szCs w:val="16"/>
          <w:lang w:val="en-US"/>
        </w:rPr>
      </w:pPr>
      <w:r w:rsidRPr="0050430C">
        <w:rPr>
          <w:rStyle w:val="FootnoteReference"/>
          <w:rFonts w:cs="Arial"/>
          <w:b/>
          <w:bCs/>
          <w:sz w:val="16"/>
          <w:szCs w:val="16"/>
        </w:rPr>
        <w:footnoteRef/>
      </w:r>
      <w:r w:rsidRPr="0050430C">
        <w:rPr>
          <w:rFonts w:cs="Arial"/>
          <w:b/>
          <w:bCs/>
          <w:sz w:val="16"/>
          <w:szCs w:val="16"/>
        </w:rPr>
        <w:t xml:space="preserve"> </w:t>
      </w:r>
      <w:r w:rsidRPr="0050430C">
        <w:rPr>
          <w:rFonts w:cs="Arial"/>
          <w:b/>
          <w:bCs/>
          <w:i/>
          <w:iCs/>
          <w:color w:val="000000"/>
          <w:sz w:val="16"/>
          <w:szCs w:val="16"/>
        </w:rPr>
        <w:t>Van Wyk v Unitas Hospital and Another (Open Democratic Advice Centre as Amicus Curiae)</w:t>
      </w:r>
      <w:r w:rsidRPr="0050430C">
        <w:rPr>
          <w:rFonts w:cs="Arial"/>
          <w:b/>
          <w:bCs/>
          <w:color w:val="000000"/>
          <w:sz w:val="16"/>
          <w:szCs w:val="16"/>
        </w:rPr>
        <w:t> </w:t>
      </w:r>
      <w:hyperlink r:id="rId1" w:tgtFrame="main" w:history="1">
        <w:r w:rsidRPr="00D12BEB">
          <w:rPr>
            <w:rStyle w:val="Hyperlink"/>
            <w:rFonts w:cs="Arial"/>
            <w:b/>
            <w:bCs/>
            <w:i/>
            <w:color w:val="0066FF"/>
            <w:sz w:val="16"/>
            <w:szCs w:val="16"/>
          </w:rPr>
          <w:t>2008 (2) SA 472 (CC)</w:t>
        </w:r>
      </w:hyperlink>
      <w:r w:rsidRPr="00D12BEB">
        <w:rPr>
          <w:rStyle w:val="apple-converted-space"/>
          <w:rFonts w:cs="Arial"/>
          <w:b/>
          <w:bCs/>
          <w:i/>
          <w:color w:val="000000"/>
          <w:sz w:val="16"/>
          <w:szCs w:val="16"/>
        </w:rPr>
        <w:t> </w:t>
      </w:r>
      <w:r w:rsidRPr="00D12BEB">
        <w:rPr>
          <w:rFonts w:cs="Arial"/>
          <w:b/>
          <w:bCs/>
          <w:i/>
          <w:color w:val="000000"/>
          <w:sz w:val="16"/>
          <w:szCs w:val="16"/>
        </w:rPr>
        <w:t>(2008 (4) BCLR 442;</w:t>
      </w:r>
      <w:r w:rsidRPr="0050430C">
        <w:rPr>
          <w:rFonts w:cs="Arial"/>
          <w:b/>
          <w:bCs/>
          <w:color w:val="000000"/>
          <w:sz w:val="16"/>
          <w:szCs w:val="16"/>
        </w:rPr>
        <w:t xml:space="preserve"> </w:t>
      </w:r>
      <w:r w:rsidRPr="00D12BEB">
        <w:rPr>
          <w:rFonts w:cs="Arial"/>
          <w:b/>
          <w:bCs/>
          <w:i/>
          <w:color w:val="000000"/>
          <w:sz w:val="16"/>
          <w:szCs w:val="16"/>
        </w:rPr>
        <w:t>[2007] ZACC 24) para 20</w:t>
      </w:r>
    </w:p>
  </w:footnote>
  <w:footnote w:id="29">
    <w:p w14:paraId="1D888A0F" w14:textId="77777777" w:rsidR="001435AD" w:rsidRPr="0050430C" w:rsidRDefault="001435AD" w:rsidP="0050430C">
      <w:pPr>
        <w:pStyle w:val="FootnoteText"/>
        <w:rPr>
          <w:rFonts w:cs="Arial"/>
          <w:b/>
          <w:bCs/>
          <w:sz w:val="16"/>
          <w:szCs w:val="16"/>
          <w:lang w:val="en-US"/>
        </w:rPr>
      </w:pPr>
      <w:r w:rsidRPr="0050430C">
        <w:rPr>
          <w:rStyle w:val="FootnoteReference"/>
          <w:rFonts w:cs="Arial"/>
          <w:b/>
          <w:bCs/>
          <w:sz w:val="16"/>
          <w:szCs w:val="16"/>
        </w:rPr>
        <w:footnoteRef/>
      </w:r>
      <w:r w:rsidRPr="0050430C">
        <w:rPr>
          <w:rFonts w:cs="Arial"/>
          <w:b/>
          <w:bCs/>
          <w:sz w:val="16"/>
          <w:szCs w:val="16"/>
        </w:rPr>
        <w:t xml:space="preserve"> </w:t>
      </w:r>
      <w:r w:rsidRPr="0050430C">
        <w:rPr>
          <w:rFonts w:cs="Arial"/>
          <w:b/>
          <w:bCs/>
          <w:i/>
          <w:iCs/>
          <w:color w:val="000000"/>
          <w:sz w:val="16"/>
          <w:szCs w:val="16"/>
        </w:rPr>
        <w:t>eThekwini Municipality v Ingonyama Trust</w:t>
      </w:r>
      <w:r w:rsidRPr="0050430C">
        <w:rPr>
          <w:rFonts w:cs="Arial"/>
          <w:b/>
          <w:bCs/>
          <w:color w:val="000000"/>
          <w:sz w:val="16"/>
          <w:szCs w:val="16"/>
        </w:rPr>
        <w:t> </w:t>
      </w:r>
      <w:hyperlink r:id="rId2" w:tgtFrame="main" w:history="1">
        <w:r w:rsidRPr="0050430C">
          <w:rPr>
            <w:rStyle w:val="Hyperlink"/>
            <w:rFonts w:cs="Arial"/>
            <w:b/>
            <w:bCs/>
            <w:color w:val="0066FF"/>
            <w:sz w:val="16"/>
            <w:szCs w:val="16"/>
          </w:rPr>
          <w:t>2014 (3) SA 240 (CC)</w:t>
        </w:r>
      </w:hyperlink>
      <w:r w:rsidRPr="0050430C">
        <w:rPr>
          <w:rStyle w:val="apple-converted-space"/>
          <w:rFonts w:cs="Arial"/>
          <w:b/>
          <w:bCs/>
          <w:color w:val="000000"/>
          <w:sz w:val="16"/>
          <w:szCs w:val="16"/>
        </w:rPr>
        <w:t> </w:t>
      </w:r>
      <w:r w:rsidRPr="0050430C">
        <w:rPr>
          <w:rFonts w:cs="Arial"/>
          <w:b/>
          <w:bCs/>
          <w:color w:val="000000"/>
          <w:sz w:val="16"/>
          <w:szCs w:val="16"/>
        </w:rPr>
        <w:t>(2013 (5) BCLR 497; [2013] ZACC 7) para 28.</w:t>
      </w:r>
    </w:p>
  </w:footnote>
  <w:footnote w:id="30">
    <w:p w14:paraId="1A251DD8" w14:textId="77777777" w:rsidR="00742313" w:rsidRDefault="00742313">
      <w:pPr>
        <w:pStyle w:val="FootnoteText"/>
      </w:pPr>
      <w:r>
        <w:rPr>
          <w:rStyle w:val="FootnoteReference"/>
        </w:rPr>
        <w:footnoteRef/>
      </w:r>
      <w:r>
        <w:t xml:space="preserve">  </w:t>
      </w:r>
      <w:r w:rsidRPr="00742313">
        <w:rPr>
          <w:b/>
          <w:i/>
          <w:sz w:val="16"/>
          <w:szCs w:val="16"/>
        </w:rPr>
        <w:t>See: par. 21 of judgement above</w:t>
      </w:r>
    </w:p>
  </w:footnote>
  <w:footnote w:id="31">
    <w:p w14:paraId="1CF6AA62" w14:textId="77777777" w:rsidR="004E7283" w:rsidRPr="00D82B82" w:rsidRDefault="004E7283" w:rsidP="004E7283">
      <w:pPr>
        <w:pStyle w:val="FootnoteText"/>
        <w:rPr>
          <w:b/>
          <w:i/>
          <w:sz w:val="16"/>
          <w:szCs w:val="16"/>
        </w:rPr>
      </w:pPr>
      <w:r>
        <w:rPr>
          <w:rStyle w:val="FootnoteReference"/>
        </w:rPr>
        <w:footnoteRef/>
      </w:r>
      <w:r>
        <w:t xml:space="preserve">  </w:t>
      </w:r>
      <w:r w:rsidRPr="00D82B82">
        <w:rPr>
          <w:b/>
          <w:i/>
          <w:sz w:val="16"/>
          <w:szCs w:val="16"/>
        </w:rPr>
        <w:t>See: para. 143 and 144 of Founding Affidavit, Case line, p. 002 – 41;</w:t>
      </w:r>
    </w:p>
  </w:footnote>
  <w:footnote w:id="32">
    <w:p w14:paraId="3DF32CF2" w14:textId="77777777" w:rsidR="004E7283" w:rsidRDefault="004E7283" w:rsidP="004E7283">
      <w:pPr>
        <w:pStyle w:val="FootnoteText"/>
      </w:pPr>
      <w:r>
        <w:rPr>
          <w:rStyle w:val="FootnoteReference"/>
        </w:rPr>
        <w:footnoteRef/>
      </w:r>
      <w:r>
        <w:t xml:space="preserve"> </w:t>
      </w:r>
      <w:r w:rsidRPr="000A0F4F">
        <w:rPr>
          <w:b/>
          <w:i/>
          <w:sz w:val="16"/>
          <w:szCs w:val="16"/>
        </w:rPr>
        <w:t>See: Tax opinion annexed as Annexure “W14” to Founding Affidavit, Case line, p. 003 – 210 to 003 – 214;</w:t>
      </w:r>
    </w:p>
  </w:footnote>
  <w:footnote w:id="33">
    <w:p w14:paraId="3510145C" w14:textId="77777777" w:rsidR="00EF7F7F" w:rsidRPr="00093343" w:rsidRDefault="00EF7F7F" w:rsidP="00EF7F7F">
      <w:pPr>
        <w:pStyle w:val="FootnoteText"/>
        <w:rPr>
          <w:b/>
          <w:i/>
          <w:sz w:val="16"/>
          <w:szCs w:val="16"/>
        </w:rPr>
      </w:pPr>
      <w:r>
        <w:rPr>
          <w:rStyle w:val="FootnoteReference"/>
        </w:rPr>
        <w:footnoteRef/>
      </w:r>
      <w:r>
        <w:t xml:space="preserve">  </w:t>
      </w:r>
      <w:r w:rsidRPr="00093343">
        <w:rPr>
          <w:b/>
          <w:i/>
          <w:sz w:val="16"/>
          <w:szCs w:val="16"/>
        </w:rPr>
        <w:t>Uploaded onto case line, p. 007 - 9</w:t>
      </w:r>
    </w:p>
  </w:footnote>
  <w:footnote w:id="34">
    <w:p w14:paraId="44E9DC19" w14:textId="77777777" w:rsidR="00EF7F7F" w:rsidRPr="00D75FC4" w:rsidRDefault="00EF7F7F" w:rsidP="00EF7F7F">
      <w:pPr>
        <w:pStyle w:val="FootnoteText"/>
        <w:rPr>
          <w:b/>
          <w:i/>
          <w:sz w:val="16"/>
          <w:szCs w:val="16"/>
        </w:rPr>
      </w:pPr>
      <w:r>
        <w:rPr>
          <w:rStyle w:val="FootnoteReference"/>
        </w:rPr>
        <w:footnoteRef/>
      </w:r>
      <w:r>
        <w:t xml:space="preserve">  </w:t>
      </w:r>
      <w:r w:rsidRPr="00D75FC4">
        <w:rPr>
          <w:b/>
          <w:i/>
          <w:sz w:val="16"/>
          <w:szCs w:val="16"/>
        </w:rPr>
        <w:t>See: Section 106(2) letter of disallowance by SARS on Case line, p. 007 - 168</w:t>
      </w:r>
    </w:p>
  </w:footnote>
  <w:footnote w:id="35">
    <w:p w14:paraId="5AAD7A48" w14:textId="77777777" w:rsidR="00EF7F7F" w:rsidRPr="00D75FC4" w:rsidRDefault="00EF7F7F" w:rsidP="00EF7F7F">
      <w:pPr>
        <w:pStyle w:val="FootnoteText"/>
        <w:rPr>
          <w:b/>
          <w:i/>
          <w:sz w:val="16"/>
          <w:szCs w:val="16"/>
        </w:rPr>
      </w:pPr>
      <w:r>
        <w:rPr>
          <w:rStyle w:val="FootnoteReference"/>
        </w:rPr>
        <w:footnoteRef/>
      </w:r>
      <w:r>
        <w:t xml:space="preserve">  </w:t>
      </w:r>
      <w:r w:rsidRPr="00D75FC4">
        <w:rPr>
          <w:b/>
          <w:i/>
          <w:sz w:val="16"/>
          <w:szCs w:val="16"/>
        </w:rPr>
        <w:t>See: grounds of appeal on Case line, p. 007 - 164</w:t>
      </w:r>
    </w:p>
  </w:footnote>
  <w:footnote w:id="36">
    <w:p w14:paraId="4C38F5C5" w14:textId="77777777" w:rsidR="004E7283" w:rsidRPr="0051195D" w:rsidRDefault="004E7283" w:rsidP="004E7283">
      <w:pPr>
        <w:pStyle w:val="FootnoteText"/>
        <w:rPr>
          <w:b/>
          <w:i/>
          <w:sz w:val="16"/>
          <w:szCs w:val="16"/>
        </w:rPr>
      </w:pPr>
      <w:r>
        <w:rPr>
          <w:rStyle w:val="FootnoteReference"/>
        </w:rPr>
        <w:footnoteRef/>
      </w:r>
      <w:r>
        <w:t xml:space="preserve">  </w:t>
      </w:r>
      <w:r w:rsidRPr="0051195D">
        <w:rPr>
          <w:b/>
          <w:i/>
          <w:sz w:val="16"/>
          <w:szCs w:val="16"/>
        </w:rPr>
        <w:t xml:space="preserve">See: para. 21 and 57 of statement on Case line, p. 006 – 028; </w:t>
      </w:r>
    </w:p>
  </w:footnote>
  <w:footnote w:id="37">
    <w:p w14:paraId="403969B2" w14:textId="77777777" w:rsidR="00020193" w:rsidRPr="00D12BEB" w:rsidRDefault="00020193" w:rsidP="00020193">
      <w:pPr>
        <w:pStyle w:val="FootnoteText"/>
        <w:ind w:left="142" w:hanging="142"/>
        <w:rPr>
          <w:b/>
          <w:bCs/>
          <w:i/>
          <w:color w:val="000000"/>
          <w:sz w:val="16"/>
          <w:szCs w:val="16"/>
          <w:lang w:val="en-US"/>
        </w:rPr>
      </w:pPr>
      <w:r w:rsidRPr="00535060">
        <w:rPr>
          <w:rStyle w:val="FootnoteReference"/>
          <w:rFonts w:ascii="Arial" w:hAnsi="Arial" w:cs="Arial"/>
          <w:b/>
          <w:bCs/>
          <w:color w:val="000000"/>
          <w:sz w:val="16"/>
          <w:szCs w:val="16"/>
        </w:rPr>
        <w:footnoteRef/>
      </w:r>
      <w:r w:rsidRPr="00535060">
        <w:rPr>
          <w:rFonts w:ascii="Arial" w:hAnsi="Arial" w:cs="Arial"/>
          <w:b/>
          <w:bCs/>
          <w:color w:val="000000"/>
          <w:sz w:val="16"/>
          <w:szCs w:val="16"/>
        </w:rPr>
        <w:t xml:space="preserve"> </w:t>
      </w:r>
      <w:r w:rsidRPr="00D12BEB">
        <w:rPr>
          <w:b/>
          <w:bCs/>
          <w:i/>
          <w:color w:val="000000"/>
          <w:sz w:val="16"/>
          <w:szCs w:val="16"/>
        </w:rPr>
        <w:t>Namex (Edms) Bpk v Kommissaris van Binnelandse Inkomste (314/1992) [1993] ZASCA 181; 1994 (2) SA 265 (AD); [1994] 2 All SA 111 (A) (26 November 1993).</w:t>
      </w:r>
    </w:p>
  </w:footnote>
  <w:footnote w:id="38">
    <w:p w14:paraId="7598B76A" w14:textId="77777777" w:rsidR="00830C41" w:rsidRPr="00D12BEB" w:rsidRDefault="00830C41" w:rsidP="00830C41">
      <w:pPr>
        <w:ind w:left="142" w:hanging="142"/>
        <w:jc w:val="both"/>
        <w:rPr>
          <w:b/>
          <w:bCs/>
          <w:i/>
          <w:color w:val="000000"/>
          <w:sz w:val="16"/>
          <w:szCs w:val="16"/>
        </w:rPr>
      </w:pPr>
      <w:r w:rsidRPr="00D12BEB">
        <w:rPr>
          <w:rStyle w:val="FootnoteReference"/>
          <w:b/>
          <w:bCs/>
          <w:i/>
          <w:color w:val="000000"/>
          <w:sz w:val="16"/>
          <w:szCs w:val="16"/>
        </w:rPr>
        <w:footnoteRef/>
      </w:r>
      <w:r w:rsidRPr="00D12BEB">
        <w:rPr>
          <w:b/>
          <w:bCs/>
          <w:i/>
          <w:color w:val="000000"/>
          <w:sz w:val="16"/>
          <w:szCs w:val="16"/>
        </w:rPr>
        <w:t xml:space="preserve"> </w:t>
      </w:r>
      <w:r w:rsidRPr="00D12BEB">
        <w:rPr>
          <w:b/>
          <w:bCs/>
          <w:i/>
          <w:iCs/>
          <w:color w:val="000000"/>
          <w:sz w:val="16"/>
          <w:szCs w:val="16"/>
        </w:rPr>
        <w:t>Van Schalkwyk v Van Schalkwyk</w:t>
      </w:r>
      <w:r w:rsidRPr="00D12BEB">
        <w:rPr>
          <w:b/>
          <w:bCs/>
          <w:i/>
          <w:color w:val="000000"/>
          <w:sz w:val="16"/>
          <w:szCs w:val="16"/>
        </w:rPr>
        <w:t> </w:t>
      </w:r>
      <w:hyperlink r:id="rId3" w:tgtFrame="main" w:history="1">
        <w:r w:rsidRPr="00D12BEB">
          <w:rPr>
            <w:b/>
            <w:bCs/>
            <w:i/>
            <w:color w:val="000000"/>
            <w:sz w:val="16"/>
            <w:szCs w:val="16"/>
            <w:u w:val="single"/>
          </w:rPr>
          <w:t>1947 (4) SA 86 (O)</w:t>
        </w:r>
      </w:hyperlink>
      <w:r w:rsidRPr="00D12BEB">
        <w:rPr>
          <w:b/>
          <w:bCs/>
          <w:i/>
          <w:color w:val="000000"/>
          <w:sz w:val="16"/>
          <w:szCs w:val="16"/>
        </w:rPr>
        <w:t> at 95 referred to with approval by the Constitutional Court in EKE v PARSONS 2016 (3) SA 37 (CC) par 8</w:t>
      </w:r>
    </w:p>
  </w:footnote>
  <w:footnote w:id="39">
    <w:p w14:paraId="7EC150F8" w14:textId="77777777" w:rsidR="00681CD8" w:rsidRPr="00D12BEB" w:rsidRDefault="00681CD8">
      <w:pPr>
        <w:pStyle w:val="FootnoteText"/>
        <w:rPr>
          <w:b/>
          <w:bCs/>
          <w:i/>
          <w:color w:val="000000"/>
          <w:sz w:val="16"/>
          <w:szCs w:val="16"/>
          <w:lang w:val="en-US"/>
        </w:rPr>
      </w:pPr>
      <w:r w:rsidRPr="00D12BEB">
        <w:rPr>
          <w:rStyle w:val="FootnoteReference"/>
          <w:b/>
          <w:bCs/>
          <w:i/>
          <w:color w:val="000000"/>
          <w:sz w:val="16"/>
          <w:szCs w:val="16"/>
        </w:rPr>
        <w:footnoteRef/>
      </w:r>
      <w:r w:rsidRPr="00D12BEB">
        <w:rPr>
          <w:b/>
          <w:bCs/>
          <w:i/>
          <w:color w:val="000000"/>
          <w:sz w:val="16"/>
          <w:szCs w:val="16"/>
        </w:rPr>
        <w:t xml:space="preserve"> </w:t>
      </w:r>
      <w:r w:rsidRPr="00D12BEB">
        <w:rPr>
          <w:b/>
          <w:bCs/>
          <w:i/>
          <w:color w:val="000000"/>
          <w:sz w:val="16"/>
          <w:szCs w:val="16"/>
          <w:lang w:val="en-US"/>
        </w:rPr>
        <w:t>Consent order on page 003-101</w:t>
      </w:r>
    </w:p>
  </w:footnote>
  <w:footnote w:id="40">
    <w:p w14:paraId="594C36D9" w14:textId="77777777" w:rsidR="00181272" w:rsidRPr="00D12BEB" w:rsidRDefault="00181272" w:rsidP="00181272">
      <w:pPr>
        <w:spacing w:line="480" w:lineRule="auto"/>
        <w:ind w:left="567" w:hanging="567"/>
        <w:jc w:val="both"/>
        <w:rPr>
          <w:i/>
          <w:color w:val="000000"/>
          <w:sz w:val="16"/>
          <w:szCs w:val="16"/>
        </w:rPr>
      </w:pPr>
      <w:r>
        <w:rPr>
          <w:rStyle w:val="FootnoteReference"/>
        </w:rPr>
        <w:footnoteRef/>
      </w:r>
      <w:r>
        <w:t xml:space="preserve"> </w:t>
      </w:r>
      <w:r w:rsidRPr="00D12BEB">
        <w:rPr>
          <w:b/>
          <w:bCs/>
          <w:i/>
          <w:color w:val="000000"/>
          <w:sz w:val="16"/>
          <w:szCs w:val="16"/>
        </w:rPr>
        <w:t>(920/2010) [2012] ZASCA 13; [2012] 2 All SA 262 (SCA); 2012 (4) SA 593 (SCA) (16 March 2012)</w:t>
      </w:r>
    </w:p>
    <w:p w14:paraId="5BE10D4E" w14:textId="77777777" w:rsidR="00181272" w:rsidRPr="00D12BEB" w:rsidRDefault="00181272" w:rsidP="00181272">
      <w:pPr>
        <w:pStyle w:val="FootnoteText"/>
        <w:rPr>
          <w:i/>
          <w:lang w:val="en-US"/>
        </w:rPr>
      </w:pPr>
    </w:p>
  </w:footnote>
  <w:footnote w:id="41">
    <w:p w14:paraId="63C84772" w14:textId="77777777" w:rsidR="00F868E7" w:rsidRPr="00D12BEB" w:rsidRDefault="00F868E7" w:rsidP="00F868E7">
      <w:pPr>
        <w:pStyle w:val="western"/>
        <w:spacing w:before="144" w:beforeAutospacing="0" w:after="288" w:afterAutospacing="0" w:line="480" w:lineRule="auto"/>
        <w:ind w:left="567" w:hanging="567"/>
        <w:jc w:val="both"/>
        <w:rPr>
          <w:b/>
          <w:bCs/>
          <w:i/>
          <w:sz w:val="16"/>
          <w:szCs w:val="16"/>
        </w:rPr>
      </w:pPr>
      <w:r w:rsidRPr="00F868E7">
        <w:rPr>
          <w:rStyle w:val="FootnoteReference"/>
          <w:rFonts w:ascii="Arial" w:hAnsi="Arial" w:cs="Arial"/>
          <w:b/>
          <w:bCs/>
          <w:sz w:val="16"/>
          <w:szCs w:val="16"/>
        </w:rPr>
        <w:footnoteRef/>
      </w:r>
      <w:r w:rsidRPr="00F868E7">
        <w:rPr>
          <w:rFonts w:ascii="Arial" w:hAnsi="Arial" w:cs="Arial"/>
          <w:b/>
          <w:bCs/>
          <w:sz w:val="16"/>
          <w:szCs w:val="16"/>
        </w:rPr>
        <w:t xml:space="preserve"> </w:t>
      </w:r>
      <w:r w:rsidRPr="00D12BEB">
        <w:rPr>
          <w:b/>
          <w:bCs/>
          <w:i/>
          <w:color w:val="000000"/>
          <w:sz w:val="16"/>
          <w:szCs w:val="16"/>
        </w:rPr>
        <w:t>1993 (4) SA 110 (A) from page 116 to 117</w:t>
      </w:r>
    </w:p>
    <w:p w14:paraId="1569BFA7" w14:textId="77777777" w:rsidR="00F868E7" w:rsidRPr="00F868E7" w:rsidRDefault="00F868E7">
      <w:pPr>
        <w:pStyle w:val="FootnoteText"/>
        <w:rPr>
          <w:lang w:val="en-US"/>
        </w:rPr>
      </w:pPr>
    </w:p>
  </w:footnote>
  <w:footnote w:id="42">
    <w:p w14:paraId="14EA17FA" w14:textId="77777777" w:rsidR="00D84DD7" w:rsidRPr="00D12BEB" w:rsidRDefault="00D84DD7">
      <w:pPr>
        <w:pStyle w:val="FootnoteText"/>
        <w:rPr>
          <w:i/>
          <w:sz w:val="16"/>
          <w:szCs w:val="16"/>
          <w:lang w:val="en-US"/>
        </w:rPr>
      </w:pPr>
      <w:r w:rsidRPr="00D84DD7">
        <w:rPr>
          <w:rStyle w:val="FootnoteReference"/>
          <w:rFonts w:ascii="Arial" w:hAnsi="Arial" w:cs="Arial"/>
          <w:sz w:val="16"/>
          <w:szCs w:val="16"/>
        </w:rPr>
        <w:footnoteRef/>
      </w:r>
      <w:r w:rsidRPr="00D84DD7">
        <w:rPr>
          <w:rFonts w:ascii="Arial" w:hAnsi="Arial" w:cs="Arial"/>
          <w:sz w:val="16"/>
          <w:szCs w:val="16"/>
        </w:rPr>
        <w:t xml:space="preserve"> </w:t>
      </w:r>
      <w:r w:rsidRPr="00D12BEB">
        <w:rPr>
          <w:b/>
          <w:bCs/>
          <w:i/>
          <w:color w:val="000000"/>
          <w:sz w:val="16"/>
          <w:szCs w:val="16"/>
        </w:rPr>
        <w:t>1947 (2) SA 37 (A) on page 43</w:t>
      </w:r>
    </w:p>
  </w:footnote>
  <w:footnote w:id="43">
    <w:p w14:paraId="73A68F09" w14:textId="77777777" w:rsidR="0056705C" w:rsidRPr="00D12BEB" w:rsidRDefault="0056705C">
      <w:pPr>
        <w:pStyle w:val="FootnoteText"/>
        <w:rPr>
          <w:i/>
          <w:sz w:val="16"/>
          <w:szCs w:val="16"/>
          <w:lang w:val="en-US"/>
        </w:rPr>
      </w:pPr>
      <w:r w:rsidRPr="00D12BEB">
        <w:rPr>
          <w:rStyle w:val="FootnoteReference"/>
          <w:i/>
          <w:sz w:val="16"/>
          <w:szCs w:val="16"/>
        </w:rPr>
        <w:footnoteRef/>
      </w:r>
      <w:r w:rsidRPr="00D12BEB">
        <w:rPr>
          <w:i/>
          <w:sz w:val="16"/>
          <w:szCs w:val="16"/>
        </w:rPr>
        <w:t xml:space="preserve"> </w:t>
      </w:r>
      <w:r w:rsidR="00681CD8" w:rsidRPr="002553D8">
        <w:rPr>
          <w:b/>
          <w:i/>
          <w:sz w:val="16"/>
          <w:szCs w:val="16"/>
          <w:lang w:val="en-US"/>
        </w:rPr>
        <w:t>Consent order on page 003-101</w:t>
      </w:r>
    </w:p>
  </w:footnote>
  <w:footnote w:id="44">
    <w:p w14:paraId="57CA3578" w14:textId="77777777" w:rsidR="00455361" w:rsidRPr="00D12BEB" w:rsidRDefault="00455361">
      <w:pPr>
        <w:pStyle w:val="FootnoteText"/>
        <w:rPr>
          <w:b/>
          <w:bCs/>
          <w:i/>
          <w:sz w:val="16"/>
          <w:szCs w:val="16"/>
          <w:lang w:val="en-US"/>
        </w:rPr>
      </w:pPr>
      <w:r w:rsidRPr="002E6E51">
        <w:rPr>
          <w:rStyle w:val="FootnoteReference"/>
          <w:b/>
          <w:bCs/>
        </w:rPr>
        <w:footnoteRef/>
      </w:r>
      <w:r w:rsidRPr="002E6E51">
        <w:rPr>
          <w:b/>
          <w:bCs/>
        </w:rPr>
        <w:t xml:space="preserve"> </w:t>
      </w:r>
      <w:r w:rsidRPr="00D12BEB">
        <w:rPr>
          <w:b/>
          <w:bCs/>
          <w:i/>
          <w:sz w:val="16"/>
          <w:szCs w:val="16"/>
        </w:rPr>
        <w:t>SARS decision dated 26 January 2021 presently under review</w:t>
      </w:r>
      <w:r w:rsidRPr="00D12BEB">
        <w:rPr>
          <w:b/>
          <w:bCs/>
          <w:i/>
          <w:sz w:val="16"/>
          <w:szCs w:val="16"/>
          <w:lang w:val="en-US"/>
        </w:rPr>
        <w:t>Page 003-104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8ADA3B" w14:textId="41A1F415" w:rsidR="006B43AA" w:rsidRDefault="006B43AA">
    <w:pPr>
      <w:pStyle w:val="Header"/>
      <w:jc w:val="right"/>
    </w:pPr>
    <w:r>
      <w:fldChar w:fldCharType="begin"/>
    </w:r>
    <w:r>
      <w:instrText xml:space="preserve"> PAGE   \* MERGEFORMAT </w:instrText>
    </w:r>
    <w:r>
      <w:fldChar w:fldCharType="separate"/>
    </w:r>
    <w:r w:rsidR="00E11C81">
      <w:rPr>
        <w:noProof/>
      </w:rPr>
      <w:t>2</w:t>
    </w:r>
    <w:r>
      <w:rPr>
        <w:noProof/>
      </w:rPr>
      <w:fldChar w:fldCharType="end"/>
    </w:r>
  </w:p>
  <w:p w14:paraId="14E2E0F4" w14:textId="77777777" w:rsidR="006B43AA" w:rsidRDefault="006B43A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57F55"/>
    <w:multiLevelType w:val="multilevel"/>
    <w:tmpl w:val="70EA42CC"/>
    <w:lvl w:ilvl="0">
      <w:start w:val="20"/>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1">
    <w:nsid w:val="04235947"/>
    <w:multiLevelType w:val="hybridMultilevel"/>
    <w:tmpl w:val="AF7CC206"/>
    <w:lvl w:ilvl="0" w:tplc="8774F52E">
      <w:start w:val="1"/>
      <w:numFmt w:val="lowerRoman"/>
      <w:lvlText w:val="(%1)"/>
      <w:lvlJc w:val="left"/>
      <w:pPr>
        <w:ind w:left="3960" w:hanging="72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
    <w:nsid w:val="09570312"/>
    <w:multiLevelType w:val="multilevel"/>
    <w:tmpl w:val="0DEA129A"/>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95A7A26"/>
    <w:multiLevelType w:val="hybridMultilevel"/>
    <w:tmpl w:val="99A6E560"/>
    <w:lvl w:ilvl="0" w:tplc="3DC4DBC4">
      <w:start w:val="1"/>
      <w:numFmt w:val="decimal"/>
      <w:pStyle w:val="MEMONUMBERED"/>
      <w:lvlText w:val="[%1]"/>
      <w:lvlJc w:val="left"/>
      <w:rPr>
        <w:rFonts w:ascii="Arial" w:hAnsi="Arial" w:cs="Arial" w:hint="default"/>
        <w:b w:val="0"/>
        <w:i w:val="0"/>
        <w:caps w:val="0"/>
        <w:strike w:val="0"/>
        <w:dstrike w:val="0"/>
        <w:vanish w:val="0"/>
        <w:color w:val="auto"/>
        <w:sz w:val="24"/>
        <w:szCs w:val="24"/>
        <w:vertAlign w:val="baseline"/>
      </w:rPr>
    </w:lvl>
    <w:lvl w:ilvl="1" w:tplc="27B0D4B0">
      <w:start w:val="1"/>
      <w:numFmt w:val="lowerLetter"/>
      <w:lvlText w:val="%2."/>
      <w:lvlJc w:val="left"/>
      <w:pPr>
        <w:ind w:left="2215" w:hanging="360"/>
      </w:pPr>
      <w:rPr>
        <w:rFonts w:cs="Times New Roman"/>
      </w:rPr>
    </w:lvl>
    <w:lvl w:ilvl="2" w:tplc="0409001B">
      <w:start w:val="1"/>
      <w:numFmt w:val="lowerRoman"/>
      <w:lvlText w:val="%3."/>
      <w:lvlJc w:val="right"/>
      <w:pPr>
        <w:ind w:left="2880" w:hanging="180"/>
      </w:pPr>
      <w:rPr>
        <w:rFonts w:cs="Times New Roman"/>
      </w:rPr>
    </w:lvl>
    <w:lvl w:ilvl="3" w:tplc="4B2A1C24">
      <w:start w:val="1"/>
      <w:numFmt w:val="decimal"/>
      <w:lvlText w:val="%4."/>
      <w:lvlJc w:val="left"/>
      <w:pPr>
        <w:ind w:left="1080" w:hanging="360"/>
      </w:pPr>
      <w:rPr>
        <w:rFonts w:ascii="Arial" w:hAnsi="Arial" w:cs="Arial" w:hint="default"/>
        <w:b w:val="0"/>
        <w:i w:val="0"/>
        <w:strike w:val="0"/>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
    <w:nsid w:val="0ED93BF3"/>
    <w:multiLevelType w:val="hybridMultilevel"/>
    <w:tmpl w:val="A426D3A2"/>
    <w:lvl w:ilvl="0" w:tplc="F716C6BC">
      <w:start w:val="1"/>
      <w:numFmt w:val="lowerLetter"/>
      <w:lvlText w:val="(%1)"/>
      <w:lvlJc w:val="left"/>
      <w:pPr>
        <w:ind w:left="2520" w:hanging="360"/>
      </w:pPr>
      <w:rPr>
        <w:rFonts w:ascii="Arial" w:hAnsi="Arial" w:cs="Arial" w:hint="default"/>
        <w:sz w:val="24"/>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nsid w:val="10EA0E00"/>
    <w:multiLevelType w:val="hybridMultilevel"/>
    <w:tmpl w:val="A0CE736C"/>
    <w:lvl w:ilvl="0" w:tplc="70BAEBA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nsid w:val="20E24782"/>
    <w:multiLevelType w:val="multilevel"/>
    <w:tmpl w:val="1C903F6A"/>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0E2167D"/>
    <w:multiLevelType w:val="multilevel"/>
    <w:tmpl w:val="BF8C0CF4"/>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9523569"/>
    <w:multiLevelType w:val="hybridMultilevel"/>
    <w:tmpl w:val="CFEE9BE8"/>
    <w:lvl w:ilvl="0" w:tplc="E5C0A718">
      <w:start w:val="1"/>
      <w:numFmt w:val="lowerRoman"/>
      <w:lvlText w:val="(%1)"/>
      <w:lvlJc w:val="left"/>
      <w:pPr>
        <w:ind w:left="3960" w:hanging="72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9">
    <w:nsid w:val="397324ED"/>
    <w:multiLevelType w:val="hybridMultilevel"/>
    <w:tmpl w:val="E22C4A88"/>
    <w:lvl w:ilvl="0" w:tplc="0A20D8C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nsid w:val="404F640D"/>
    <w:multiLevelType w:val="hybridMultilevel"/>
    <w:tmpl w:val="284EBDC0"/>
    <w:lvl w:ilvl="0" w:tplc="FFFFFFFF">
      <w:start w:val="1"/>
      <w:numFmt w:val="lowerRoman"/>
      <w:lvlText w:val="(%1)"/>
      <w:lvlJc w:val="left"/>
      <w:pPr>
        <w:ind w:left="2880" w:hanging="720"/>
      </w:pPr>
      <w:rPr>
        <w:rFonts w:hint="default"/>
      </w:rPr>
    </w:lvl>
    <w:lvl w:ilvl="1" w:tplc="FFFFFFFF" w:tentative="1">
      <w:start w:val="1"/>
      <w:numFmt w:val="lowerLetter"/>
      <w:lvlText w:val="%2."/>
      <w:lvlJc w:val="left"/>
      <w:pPr>
        <w:ind w:left="3240" w:hanging="360"/>
      </w:pPr>
    </w:lvl>
    <w:lvl w:ilvl="2" w:tplc="FFFFFFFF" w:tentative="1">
      <w:start w:val="1"/>
      <w:numFmt w:val="lowerRoman"/>
      <w:lvlText w:val="%3."/>
      <w:lvlJc w:val="right"/>
      <w:pPr>
        <w:ind w:left="3960" w:hanging="180"/>
      </w:pPr>
    </w:lvl>
    <w:lvl w:ilvl="3" w:tplc="FFFFFFFF" w:tentative="1">
      <w:start w:val="1"/>
      <w:numFmt w:val="decimal"/>
      <w:lvlText w:val="%4."/>
      <w:lvlJc w:val="left"/>
      <w:pPr>
        <w:ind w:left="4680" w:hanging="360"/>
      </w:pPr>
    </w:lvl>
    <w:lvl w:ilvl="4" w:tplc="FFFFFFFF" w:tentative="1">
      <w:start w:val="1"/>
      <w:numFmt w:val="lowerLetter"/>
      <w:lvlText w:val="%5."/>
      <w:lvlJc w:val="left"/>
      <w:pPr>
        <w:ind w:left="5400" w:hanging="360"/>
      </w:pPr>
    </w:lvl>
    <w:lvl w:ilvl="5" w:tplc="FFFFFFFF" w:tentative="1">
      <w:start w:val="1"/>
      <w:numFmt w:val="lowerRoman"/>
      <w:lvlText w:val="%6."/>
      <w:lvlJc w:val="right"/>
      <w:pPr>
        <w:ind w:left="6120" w:hanging="180"/>
      </w:pPr>
    </w:lvl>
    <w:lvl w:ilvl="6" w:tplc="FFFFFFFF" w:tentative="1">
      <w:start w:val="1"/>
      <w:numFmt w:val="decimal"/>
      <w:lvlText w:val="%7."/>
      <w:lvlJc w:val="left"/>
      <w:pPr>
        <w:ind w:left="6840" w:hanging="360"/>
      </w:pPr>
    </w:lvl>
    <w:lvl w:ilvl="7" w:tplc="FFFFFFFF" w:tentative="1">
      <w:start w:val="1"/>
      <w:numFmt w:val="lowerLetter"/>
      <w:lvlText w:val="%8."/>
      <w:lvlJc w:val="left"/>
      <w:pPr>
        <w:ind w:left="7560" w:hanging="360"/>
      </w:pPr>
    </w:lvl>
    <w:lvl w:ilvl="8" w:tplc="FFFFFFFF" w:tentative="1">
      <w:start w:val="1"/>
      <w:numFmt w:val="lowerRoman"/>
      <w:lvlText w:val="%9."/>
      <w:lvlJc w:val="right"/>
      <w:pPr>
        <w:ind w:left="8280" w:hanging="180"/>
      </w:pPr>
    </w:lvl>
  </w:abstractNum>
  <w:abstractNum w:abstractNumId="11">
    <w:nsid w:val="43EE4F5E"/>
    <w:multiLevelType w:val="hybridMultilevel"/>
    <w:tmpl w:val="8CBC9A28"/>
    <w:lvl w:ilvl="0" w:tplc="0902CCDC">
      <w:start w:val="1"/>
      <w:numFmt w:val="lowerLetter"/>
      <w:lvlText w:val="(%1)"/>
      <w:lvlJc w:val="left"/>
      <w:pPr>
        <w:ind w:left="3942" w:hanging="360"/>
      </w:pPr>
      <w:rPr>
        <w:rFonts w:ascii="Arial" w:hAnsi="Arial" w:cs="Arial" w:hint="default"/>
        <w:sz w:val="24"/>
      </w:rPr>
    </w:lvl>
    <w:lvl w:ilvl="1" w:tplc="04090019" w:tentative="1">
      <w:start w:val="1"/>
      <w:numFmt w:val="lowerLetter"/>
      <w:lvlText w:val="%2."/>
      <w:lvlJc w:val="left"/>
      <w:pPr>
        <w:ind w:left="4662" w:hanging="360"/>
      </w:pPr>
    </w:lvl>
    <w:lvl w:ilvl="2" w:tplc="0409001B" w:tentative="1">
      <w:start w:val="1"/>
      <w:numFmt w:val="lowerRoman"/>
      <w:lvlText w:val="%3."/>
      <w:lvlJc w:val="right"/>
      <w:pPr>
        <w:ind w:left="5382" w:hanging="180"/>
      </w:pPr>
    </w:lvl>
    <w:lvl w:ilvl="3" w:tplc="0409000F" w:tentative="1">
      <w:start w:val="1"/>
      <w:numFmt w:val="decimal"/>
      <w:lvlText w:val="%4."/>
      <w:lvlJc w:val="left"/>
      <w:pPr>
        <w:ind w:left="6102" w:hanging="360"/>
      </w:pPr>
    </w:lvl>
    <w:lvl w:ilvl="4" w:tplc="04090019" w:tentative="1">
      <w:start w:val="1"/>
      <w:numFmt w:val="lowerLetter"/>
      <w:lvlText w:val="%5."/>
      <w:lvlJc w:val="left"/>
      <w:pPr>
        <w:ind w:left="6822" w:hanging="360"/>
      </w:pPr>
    </w:lvl>
    <w:lvl w:ilvl="5" w:tplc="0409001B" w:tentative="1">
      <w:start w:val="1"/>
      <w:numFmt w:val="lowerRoman"/>
      <w:lvlText w:val="%6."/>
      <w:lvlJc w:val="right"/>
      <w:pPr>
        <w:ind w:left="7542" w:hanging="180"/>
      </w:pPr>
    </w:lvl>
    <w:lvl w:ilvl="6" w:tplc="0409000F" w:tentative="1">
      <w:start w:val="1"/>
      <w:numFmt w:val="decimal"/>
      <w:lvlText w:val="%7."/>
      <w:lvlJc w:val="left"/>
      <w:pPr>
        <w:ind w:left="8262" w:hanging="360"/>
      </w:pPr>
    </w:lvl>
    <w:lvl w:ilvl="7" w:tplc="04090019" w:tentative="1">
      <w:start w:val="1"/>
      <w:numFmt w:val="lowerLetter"/>
      <w:lvlText w:val="%8."/>
      <w:lvlJc w:val="left"/>
      <w:pPr>
        <w:ind w:left="8982" w:hanging="360"/>
      </w:pPr>
    </w:lvl>
    <w:lvl w:ilvl="8" w:tplc="0409001B" w:tentative="1">
      <w:start w:val="1"/>
      <w:numFmt w:val="lowerRoman"/>
      <w:lvlText w:val="%9."/>
      <w:lvlJc w:val="right"/>
      <w:pPr>
        <w:ind w:left="9702" w:hanging="180"/>
      </w:pPr>
    </w:lvl>
  </w:abstractNum>
  <w:abstractNum w:abstractNumId="12">
    <w:nsid w:val="48470237"/>
    <w:multiLevelType w:val="multilevel"/>
    <w:tmpl w:val="30A81272"/>
    <w:lvl w:ilvl="0">
      <w:start w:val="3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51F3E4C"/>
    <w:multiLevelType w:val="hybridMultilevel"/>
    <w:tmpl w:val="284EBDC0"/>
    <w:lvl w:ilvl="0" w:tplc="8548B8E2">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nsid w:val="55876DA6"/>
    <w:multiLevelType w:val="hybridMultilevel"/>
    <w:tmpl w:val="85C077C8"/>
    <w:lvl w:ilvl="0" w:tplc="3264B670">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5">
    <w:nsid w:val="794B04C9"/>
    <w:multiLevelType w:val="hybridMultilevel"/>
    <w:tmpl w:val="AE0687B4"/>
    <w:lvl w:ilvl="0" w:tplc="121C1812">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nsid w:val="7FD60CDA"/>
    <w:multiLevelType w:val="hybridMultilevel"/>
    <w:tmpl w:val="C37A9BF6"/>
    <w:lvl w:ilvl="0" w:tplc="C3065650">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abstractNumId w:val="3"/>
  </w:num>
  <w:num w:numId="2">
    <w:abstractNumId w:val="11"/>
  </w:num>
  <w:num w:numId="3">
    <w:abstractNumId w:val="5"/>
  </w:num>
  <w:num w:numId="4">
    <w:abstractNumId w:val="4"/>
  </w:num>
  <w:num w:numId="5">
    <w:abstractNumId w:val="14"/>
  </w:num>
  <w:num w:numId="6">
    <w:abstractNumId w:val="1"/>
  </w:num>
  <w:num w:numId="7">
    <w:abstractNumId w:val="16"/>
  </w:num>
  <w:num w:numId="8">
    <w:abstractNumId w:val="8"/>
  </w:num>
  <w:num w:numId="9">
    <w:abstractNumId w:val="15"/>
  </w:num>
  <w:num w:numId="10">
    <w:abstractNumId w:val="13"/>
  </w:num>
  <w:num w:numId="11">
    <w:abstractNumId w:val="9"/>
  </w:num>
  <w:num w:numId="12">
    <w:abstractNumId w:val="10"/>
  </w:num>
  <w:num w:numId="13">
    <w:abstractNumId w:val="7"/>
  </w:num>
  <w:num w:numId="14">
    <w:abstractNumId w:val="0"/>
  </w:num>
  <w:num w:numId="15">
    <w:abstractNumId w:val="6"/>
  </w:num>
  <w:num w:numId="16">
    <w:abstractNumId w:val="2"/>
  </w:num>
  <w:num w:numId="17">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D69"/>
    <w:rsid w:val="00001407"/>
    <w:rsid w:val="00002D72"/>
    <w:rsid w:val="000119BB"/>
    <w:rsid w:val="000136F2"/>
    <w:rsid w:val="00015882"/>
    <w:rsid w:val="00020193"/>
    <w:rsid w:val="000230E0"/>
    <w:rsid w:val="00035EFC"/>
    <w:rsid w:val="000379EB"/>
    <w:rsid w:val="00047968"/>
    <w:rsid w:val="00050C7E"/>
    <w:rsid w:val="00063FEA"/>
    <w:rsid w:val="00073C5A"/>
    <w:rsid w:val="00082150"/>
    <w:rsid w:val="0008650F"/>
    <w:rsid w:val="0008674C"/>
    <w:rsid w:val="000868CB"/>
    <w:rsid w:val="00086CE4"/>
    <w:rsid w:val="00094FF7"/>
    <w:rsid w:val="000A0F4F"/>
    <w:rsid w:val="000A13B3"/>
    <w:rsid w:val="000B029F"/>
    <w:rsid w:val="000D318C"/>
    <w:rsid w:val="000E313E"/>
    <w:rsid w:val="000F7A25"/>
    <w:rsid w:val="001071AD"/>
    <w:rsid w:val="001117D1"/>
    <w:rsid w:val="00120584"/>
    <w:rsid w:val="0012346E"/>
    <w:rsid w:val="00126FFB"/>
    <w:rsid w:val="00127226"/>
    <w:rsid w:val="00131B71"/>
    <w:rsid w:val="001329BE"/>
    <w:rsid w:val="00135B40"/>
    <w:rsid w:val="00136477"/>
    <w:rsid w:val="00140405"/>
    <w:rsid w:val="001427FB"/>
    <w:rsid w:val="00143488"/>
    <w:rsid w:val="001435AD"/>
    <w:rsid w:val="00144A32"/>
    <w:rsid w:val="0014783A"/>
    <w:rsid w:val="00151EA1"/>
    <w:rsid w:val="001626E7"/>
    <w:rsid w:val="00163B0E"/>
    <w:rsid w:val="001643DC"/>
    <w:rsid w:val="00170B33"/>
    <w:rsid w:val="00173595"/>
    <w:rsid w:val="00174215"/>
    <w:rsid w:val="00174D4B"/>
    <w:rsid w:val="00175001"/>
    <w:rsid w:val="00181272"/>
    <w:rsid w:val="00181AEA"/>
    <w:rsid w:val="001915B9"/>
    <w:rsid w:val="0019249A"/>
    <w:rsid w:val="001930AF"/>
    <w:rsid w:val="00197CFF"/>
    <w:rsid w:val="001A7AED"/>
    <w:rsid w:val="001B2707"/>
    <w:rsid w:val="001B76DB"/>
    <w:rsid w:val="001C1B65"/>
    <w:rsid w:val="001C22BF"/>
    <w:rsid w:val="001C31D7"/>
    <w:rsid w:val="001D0550"/>
    <w:rsid w:val="001E0B4C"/>
    <w:rsid w:val="001E5C58"/>
    <w:rsid w:val="001E78D2"/>
    <w:rsid w:val="001F1249"/>
    <w:rsid w:val="001F159C"/>
    <w:rsid w:val="001F1DC4"/>
    <w:rsid w:val="001F2742"/>
    <w:rsid w:val="00202AE1"/>
    <w:rsid w:val="00215401"/>
    <w:rsid w:val="00215F60"/>
    <w:rsid w:val="002224AB"/>
    <w:rsid w:val="0022453C"/>
    <w:rsid w:val="00226B44"/>
    <w:rsid w:val="002313A6"/>
    <w:rsid w:val="002313FC"/>
    <w:rsid w:val="002333A0"/>
    <w:rsid w:val="002345B0"/>
    <w:rsid w:val="00240EEF"/>
    <w:rsid w:val="00241DEB"/>
    <w:rsid w:val="002553D8"/>
    <w:rsid w:val="00264008"/>
    <w:rsid w:val="00265A53"/>
    <w:rsid w:val="00265B13"/>
    <w:rsid w:val="00280F8C"/>
    <w:rsid w:val="002825B8"/>
    <w:rsid w:val="002860B3"/>
    <w:rsid w:val="002963AF"/>
    <w:rsid w:val="002A42DC"/>
    <w:rsid w:val="002A5F15"/>
    <w:rsid w:val="002B1203"/>
    <w:rsid w:val="002B2045"/>
    <w:rsid w:val="002C1485"/>
    <w:rsid w:val="002E6E51"/>
    <w:rsid w:val="002F69C4"/>
    <w:rsid w:val="002F7321"/>
    <w:rsid w:val="00312FF8"/>
    <w:rsid w:val="00313282"/>
    <w:rsid w:val="00320283"/>
    <w:rsid w:val="00322370"/>
    <w:rsid w:val="00324F79"/>
    <w:rsid w:val="00325898"/>
    <w:rsid w:val="00332748"/>
    <w:rsid w:val="00332CC7"/>
    <w:rsid w:val="00374E89"/>
    <w:rsid w:val="00385EC6"/>
    <w:rsid w:val="00392C18"/>
    <w:rsid w:val="003947FC"/>
    <w:rsid w:val="003A168E"/>
    <w:rsid w:val="003A3139"/>
    <w:rsid w:val="003A457B"/>
    <w:rsid w:val="003A48BF"/>
    <w:rsid w:val="003B59AC"/>
    <w:rsid w:val="003C2A92"/>
    <w:rsid w:val="003C4F0D"/>
    <w:rsid w:val="003D298C"/>
    <w:rsid w:val="003D5A57"/>
    <w:rsid w:val="003E3FAE"/>
    <w:rsid w:val="003E4F67"/>
    <w:rsid w:val="003F16EC"/>
    <w:rsid w:val="0040039C"/>
    <w:rsid w:val="004156BD"/>
    <w:rsid w:val="004220D7"/>
    <w:rsid w:val="00424FD5"/>
    <w:rsid w:val="004274BE"/>
    <w:rsid w:val="00437761"/>
    <w:rsid w:val="00443575"/>
    <w:rsid w:val="00445E56"/>
    <w:rsid w:val="00455361"/>
    <w:rsid w:val="00461162"/>
    <w:rsid w:val="00463E15"/>
    <w:rsid w:val="0046435F"/>
    <w:rsid w:val="0047029B"/>
    <w:rsid w:val="004863A2"/>
    <w:rsid w:val="0049193F"/>
    <w:rsid w:val="0049576D"/>
    <w:rsid w:val="004A48D5"/>
    <w:rsid w:val="004A7B15"/>
    <w:rsid w:val="004C2675"/>
    <w:rsid w:val="004C435D"/>
    <w:rsid w:val="004C6671"/>
    <w:rsid w:val="004D23C1"/>
    <w:rsid w:val="004D451A"/>
    <w:rsid w:val="004E1817"/>
    <w:rsid w:val="004E3187"/>
    <w:rsid w:val="004E7283"/>
    <w:rsid w:val="004F36D5"/>
    <w:rsid w:val="004F3C41"/>
    <w:rsid w:val="00504249"/>
    <w:rsid w:val="0050430C"/>
    <w:rsid w:val="00504C5C"/>
    <w:rsid w:val="0051195D"/>
    <w:rsid w:val="00516435"/>
    <w:rsid w:val="00521826"/>
    <w:rsid w:val="00525D3F"/>
    <w:rsid w:val="00525ED2"/>
    <w:rsid w:val="00535060"/>
    <w:rsid w:val="00537939"/>
    <w:rsid w:val="00541FCF"/>
    <w:rsid w:val="005509C6"/>
    <w:rsid w:val="00555F78"/>
    <w:rsid w:val="0056705C"/>
    <w:rsid w:val="00576050"/>
    <w:rsid w:val="00581169"/>
    <w:rsid w:val="00582C2C"/>
    <w:rsid w:val="00591CB2"/>
    <w:rsid w:val="00595CFE"/>
    <w:rsid w:val="005A33F0"/>
    <w:rsid w:val="005A7AFE"/>
    <w:rsid w:val="005A7F88"/>
    <w:rsid w:val="005C1E8F"/>
    <w:rsid w:val="005E604B"/>
    <w:rsid w:val="005E6275"/>
    <w:rsid w:val="005E7A17"/>
    <w:rsid w:val="005F3122"/>
    <w:rsid w:val="005F35AF"/>
    <w:rsid w:val="005F39E7"/>
    <w:rsid w:val="005F4949"/>
    <w:rsid w:val="005F7C45"/>
    <w:rsid w:val="00600C07"/>
    <w:rsid w:val="006051D2"/>
    <w:rsid w:val="0061103D"/>
    <w:rsid w:val="00616A66"/>
    <w:rsid w:val="00630B66"/>
    <w:rsid w:val="0064704F"/>
    <w:rsid w:val="00647D9A"/>
    <w:rsid w:val="006542B4"/>
    <w:rsid w:val="006572B1"/>
    <w:rsid w:val="006671BE"/>
    <w:rsid w:val="00675525"/>
    <w:rsid w:val="00676046"/>
    <w:rsid w:val="00681CD8"/>
    <w:rsid w:val="006846CC"/>
    <w:rsid w:val="006900D7"/>
    <w:rsid w:val="006B43AA"/>
    <w:rsid w:val="006B50F4"/>
    <w:rsid w:val="006B53D1"/>
    <w:rsid w:val="006C60A3"/>
    <w:rsid w:val="006D5830"/>
    <w:rsid w:val="006E1B9A"/>
    <w:rsid w:val="006E50F3"/>
    <w:rsid w:val="006F5C6F"/>
    <w:rsid w:val="00711483"/>
    <w:rsid w:val="00717AC5"/>
    <w:rsid w:val="007203B9"/>
    <w:rsid w:val="00724B1B"/>
    <w:rsid w:val="00732A2D"/>
    <w:rsid w:val="00742313"/>
    <w:rsid w:val="00747B0E"/>
    <w:rsid w:val="00747FDF"/>
    <w:rsid w:val="00763AFC"/>
    <w:rsid w:val="0077422F"/>
    <w:rsid w:val="00783D78"/>
    <w:rsid w:val="007936C2"/>
    <w:rsid w:val="007C40D2"/>
    <w:rsid w:val="007D1DAA"/>
    <w:rsid w:val="007E4740"/>
    <w:rsid w:val="007E66B0"/>
    <w:rsid w:val="007E77EB"/>
    <w:rsid w:val="007F3B91"/>
    <w:rsid w:val="007F5C24"/>
    <w:rsid w:val="007F720C"/>
    <w:rsid w:val="008037C2"/>
    <w:rsid w:val="00803CA4"/>
    <w:rsid w:val="00804E55"/>
    <w:rsid w:val="008139CE"/>
    <w:rsid w:val="00823014"/>
    <w:rsid w:val="008277FE"/>
    <w:rsid w:val="00830C41"/>
    <w:rsid w:val="00832B7A"/>
    <w:rsid w:val="008410C5"/>
    <w:rsid w:val="008432D9"/>
    <w:rsid w:val="00845B98"/>
    <w:rsid w:val="00857981"/>
    <w:rsid w:val="00863AAF"/>
    <w:rsid w:val="00874E28"/>
    <w:rsid w:val="008752F6"/>
    <w:rsid w:val="00877431"/>
    <w:rsid w:val="008857A5"/>
    <w:rsid w:val="00894FE4"/>
    <w:rsid w:val="008A1831"/>
    <w:rsid w:val="008B1230"/>
    <w:rsid w:val="008B5940"/>
    <w:rsid w:val="008C5EA4"/>
    <w:rsid w:val="008D0B44"/>
    <w:rsid w:val="008D7D20"/>
    <w:rsid w:val="008E01AD"/>
    <w:rsid w:val="008E2976"/>
    <w:rsid w:val="008E748E"/>
    <w:rsid w:val="00905E13"/>
    <w:rsid w:val="00915978"/>
    <w:rsid w:val="00920A3F"/>
    <w:rsid w:val="00924A62"/>
    <w:rsid w:val="00926A24"/>
    <w:rsid w:val="00926D78"/>
    <w:rsid w:val="0092775F"/>
    <w:rsid w:val="00940342"/>
    <w:rsid w:val="00944FAB"/>
    <w:rsid w:val="00946EAD"/>
    <w:rsid w:val="009531EF"/>
    <w:rsid w:val="009544FD"/>
    <w:rsid w:val="00961E92"/>
    <w:rsid w:val="00974933"/>
    <w:rsid w:val="0098146E"/>
    <w:rsid w:val="00982F13"/>
    <w:rsid w:val="00987B45"/>
    <w:rsid w:val="0099641E"/>
    <w:rsid w:val="009A7275"/>
    <w:rsid w:val="009A7FCA"/>
    <w:rsid w:val="009B2AB3"/>
    <w:rsid w:val="009C0A30"/>
    <w:rsid w:val="009C59B5"/>
    <w:rsid w:val="009C69E5"/>
    <w:rsid w:val="009E054F"/>
    <w:rsid w:val="009E3F4A"/>
    <w:rsid w:val="009E6335"/>
    <w:rsid w:val="009F1C78"/>
    <w:rsid w:val="009F2808"/>
    <w:rsid w:val="009F7A24"/>
    <w:rsid w:val="00A00A7D"/>
    <w:rsid w:val="00A043FB"/>
    <w:rsid w:val="00A145F8"/>
    <w:rsid w:val="00A16695"/>
    <w:rsid w:val="00A24E22"/>
    <w:rsid w:val="00A25DA6"/>
    <w:rsid w:val="00A313A2"/>
    <w:rsid w:val="00A31FA2"/>
    <w:rsid w:val="00A373CC"/>
    <w:rsid w:val="00A428FC"/>
    <w:rsid w:val="00A42A90"/>
    <w:rsid w:val="00A53902"/>
    <w:rsid w:val="00A5537B"/>
    <w:rsid w:val="00A56A97"/>
    <w:rsid w:val="00A57C5F"/>
    <w:rsid w:val="00A7353A"/>
    <w:rsid w:val="00A76C19"/>
    <w:rsid w:val="00A778A7"/>
    <w:rsid w:val="00A82B89"/>
    <w:rsid w:val="00A862AD"/>
    <w:rsid w:val="00A86334"/>
    <w:rsid w:val="00A95814"/>
    <w:rsid w:val="00AB1CDE"/>
    <w:rsid w:val="00AB7BA6"/>
    <w:rsid w:val="00AC0B85"/>
    <w:rsid w:val="00AC29EB"/>
    <w:rsid w:val="00AC7113"/>
    <w:rsid w:val="00AD0A49"/>
    <w:rsid w:val="00AD6DBE"/>
    <w:rsid w:val="00AE05E0"/>
    <w:rsid w:val="00AE18DB"/>
    <w:rsid w:val="00AE37F9"/>
    <w:rsid w:val="00AE5A75"/>
    <w:rsid w:val="00AF106E"/>
    <w:rsid w:val="00AF14F4"/>
    <w:rsid w:val="00AF15DF"/>
    <w:rsid w:val="00AF5247"/>
    <w:rsid w:val="00B00C96"/>
    <w:rsid w:val="00B03B45"/>
    <w:rsid w:val="00B079AD"/>
    <w:rsid w:val="00B11672"/>
    <w:rsid w:val="00B16532"/>
    <w:rsid w:val="00B21C9F"/>
    <w:rsid w:val="00B22485"/>
    <w:rsid w:val="00B26135"/>
    <w:rsid w:val="00B309D5"/>
    <w:rsid w:val="00B35C26"/>
    <w:rsid w:val="00B41835"/>
    <w:rsid w:val="00B51FDF"/>
    <w:rsid w:val="00B650CE"/>
    <w:rsid w:val="00B76247"/>
    <w:rsid w:val="00BA1D8A"/>
    <w:rsid w:val="00BA44C5"/>
    <w:rsid w:val="00BB58D9"/>
    <w:rsid w:val="00BD05D2"/>
    <w:rsid w:val="00BD229F"/>
    <w:rsid w:val="00BD45AA"/>
    <w:rsid w:val="00BE77C7"/>
    <w:rsid w:val="00BF3586"/>
    <w:rsid w:val="00C06971"/>
    <w:rsid w:val="00C11473"/>
    <w:rsid w:val="00C145E6"/>
    <w:rsid w:val="00C2095D"/>
    <w:rsid w:val="00C243BB"/>
    <w:rsid w:val="00C26615"/>
    <w:rsid w:val="00C42962"/>
    <w:rsid w:val="00C577BB"/>
    <w:rsid w:val="00C63D96"/>
    <w:rsid w:val="00C640AE"/>
    <w:rsid w:val="00C71BD5"/>
    <w:rsid w:val="00C774BC"/>
    <w:rsid w:val="00C77D2A"/>
    <w:rsid w:val="00C85D7E"/>
    <w:rsid w:val="00C90072"/>
    <w:rsid w:val="00C941F0"/>
    <w:rsid w:val="00C9692F"/>
    <w:rsid w:val="00C97E70"/>
    <w:rsid w:val="00CA5D72"/>
    <w:rsid w:val="00CB719C"/>
    <w:rsid w:val="00CC0A04"/>
    <w:rsid w:val="00CC503B"/>
    <w:rsid w:val="00CC509B"/>
    <w:rsid w:val="00CD1301"/>
    <w:rsid w:val="00CF372D"/>
    <w:rsid w:val="00D05AEF"/>
    <w:rsid w:val="00D12BEB"/>
    <w:rsid w:val="00D14E2F"/>
    <w:rsid w:val="00D16393"/>
    <w:rsid w:val="00D16E86"/>
    <w:rsid w:val="00D1777F"/>
    <w:rsid w:val="00D35586"/>
    <w:rsid w:val="00D36567"/>
    <w:rsid w:val="00D41BBC"/>
    <w:rsid w:val="00D4308A"/>
    <w:rsid w:val="00D43F08"/>
    <w:rsid w:val="00D45A2C"/>
    <w:rsid w:val="00D5342E"/>
    <w:rsid w:val="00D55E36"/>
    <w:rsid w:val="00D55F42"/>
    <w:rsid w:val="00D61D5B"/>
    <w:rsid w:val="00D678BE"/>
    <w:rsid w:val="00D70493"/>
    <w:rsid w:val="00D722FC"/>
    <w:rsid w:val="00D75FC4"/>
    <w:rsid w:val="00D82B82"/>
    <w:rsid w:val="00D84DD7"/>
    <w:rsid w:val="00D87320"/>
    <w:rsid w:val="00D94853"/>
    <w:rsid w:val="00D94D27"/>
    <w:rsid w:val="00D95727"/>
    <w:rsid w:val="00D96A8C"/>
    <w:rsid w:val="00DA0579"/>
    <w:rsid w:val="00DB4BBE"/>
    <w:rsid w:val="00DB5392"/>
    <w:rsid w:val="00DB6634"/>
    <w:rsid w:val="00DC033D"/>
    <w:rsid w:val="00DC0A86"/>
    <w:rsid w:val="00DE3288"/>
    <w:rsid w:val="00DE5B83"/>
    <w:rsid w:val="00DE5E0B"/>
    <w:rsid w:val="00DE75B9"/>
    <w:rsid w:val="00DF0A49"/>
    <w:rsid w:val="00DF37E3"/>
    <w:rsid w:val="00DF3929"/>
    <w:rsid w:val="00DF497E"/>
    <w:rsid w:val="00E11C81"/>
    <w:rsid w:val="00E158C9"/>
    <w:rsid w:val="00E216EF"/>
    <w:rsid w:val="00E2369C"/>
    <w:rsid w:val="00E2675E"/>
    <w:rsid w:val="00E43D53"/>
    <w:rsid w:val="00E66F6E"/>
    <w:rsid w:val="00E673F1"/>
    <w:rsid w:val="00E961C4"/>
    <w:rsid w:val="00E9670A"/>
    <w:rsid w:val="00E97E27"/>
    <w:rsid w:val="00EA6E89"/>
    <w:rsid w:val="00EB62E8"/>
    <w:rsid w:val="00EC34D7"/>
    <w:rsid w:val="00ED616A"/>
    <w:rsid w:val="00EF075F"/>
    <w:rsid w:val="00EF1ECC"/>
    <w:rsid w:val="00EF7F7F"/>
    <w:rsid w:val="00F06EBE"/>
    <w:rsid w:val="00F102D7"/>
    <w:rsid w:val="00F1798A"/>
    <w:rsid w:val="00F21813"/>
    <w:rsid w:val="00F21A70"/>
    <w:rsid w:val="00F23C75"/>
    <w:rsid w:val="00F31D69"/>
    <w:rsid w:val="00F335A9"/>
    <w:rsid w:val="00F33EC5"/>
    <w:rsid w:val="00F511F5"/>
    <w:rsid w:val="00F62862"/>
    <w:rsid w:val="00F6292D"/>
    <w:rsid w:val="00F720F1"/>
    <w:rsid w:val="00F82C6E"/>
    <w:rsid w:val="00F868E7"/>
    <w:rsid w:val="00FA5748"/>
    <w:rsid w:val="00FB3B85"/>
    <w:rsid w:val="00FC4CAB"/>
    <w:rsid w:val="00FD741B"/>
    <w:rsid w:val="00FE66A3"/>
    <w:rsid w:val="00FF521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613B7"/>
  <w15:docId w15:val="{F6888872-946F-2C45-9D59-0679F0EB8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ZA"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4DD7"/>
    <w:rPr>
      <w:rFonts w:ascii="Times New Roman" w:eastAsia="Times New Roman" w:hAnsi="Times New Roman"/>
      <w:sz w:val="24"/>
      <w:szCs w:val="24"/>
    </w:rPr>
  </w:style>
  <w:style w:type="paragraph" w:styleId="Heading2">
    <w:name w:val="heading 2"/>
    <w:basedOn w:val="Normal"/>
    <w:next w:val="Normal"/>
    <w:link w:val="Heading2Char"/>
    <w:unhideWhenUsed/>
    <w:qFormat/>
    <w:rsid w:val="003C2A92"/>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126FFB"/>
    <w:pPr>
      <w:keepNext/>
      <w:keepLines/>
      <w:spacing w:before="200"/>
      <w:outlineLvl w:val="2"/>
    </w:pPr>
    <w:rPr>
      <w:rFonts w:ascii="Calibri Light" w:hAnsi="Calibri Light"/>
      <w:b/>
      <w:bCs/>
      <w:color w:val="4472C4"/>
    </w:rPr>
  </w:style>
  <w:style w:type="paragraph" w:styleId="Heading4">
    <w:name w:val="heading 4"/>
    <w:basedOn w:val="Normal"/>
    <w:next w:val="Normal"/>
    <w:link w:val="Heading4Char"/>
    <w:uiPriority w:val="9"/>
    <w:semiHidden/>
    <w:unhideWhenUsed/>
    <w:qFormat/>
    <w:rsid w:val="00126FFB"/>
    <w:pPr>
      <w:keepNext/>
      <w:keepLines/>
      <w:spacing w:before="200"/>
      <w:outlineLvl w:val="3"/>
    </w:pPr>
    <w:rPr>
      <w:rFonts w:ascii="Calibri Light" w:hAnsi="Calibri Light"/>
      <w:b/>
      <w:bCs/>
      <w:i/>
      <w:iCs/>
      <w:color w:val="4472C4"/>
    </w:rPr>
  </w:style>
  <w:style w:type="paragraph" w:styleId="Heading7">
    <w:name w:val="heading 7"/>
    <w:basedOn w:val="Normal"/>
    <w:next w:val="Normal"/>
    <w:link w:val="Heading7Char"/>
    <w:qFormat/>
    <w:rsid w:val="00215401"/>
    <w:pPr>
      <w:keepNext/>
      <w:jc w:val="both"/>
      <w:outlineLvl w:val="6"/>
    </w:pPr>
    <w:rPr>
      <w:rFonts w:ascii="Arial" w:hAnsi="Arial"/>
      <w:b/>
      <w:bCs/>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31D6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link w:val="NoSpacingChar"/>
    <w:uiPriority w:val="1"/>
    <w:qFormat/>
    <w:rsid w:val="001C1B65"/>
    <w:rPr>
      <w:rFonts w:eastAsia="Times New Roman"/>
      <w:sz w:val="22"/>
      <w:szCs w:val="22"/>
      <w:lang w:val="en-US" w:eastAsia="en-US"/>
    </w:rPr>
  </w:style>
  <w:style w:type="character" w:customStyle="1" w:styleId="NoSpacingChar">
    <w:name w:val="No Spacing Char"/>
    <w:link w:val="NoSpacing"/>
    <w:uiPriority w:val="1"/>
    <w:rsid w:val="001C1B65"/>
    <w:rPr>
      <w:rFonts w:eastAsia="Times New Roman"/>
      <w:sz w:val="22"/>
      <w:szCs w:val="22"/>
      <w:lang w:val="en-US" w:eastAsia="en-US" w:bidi="ar-SA"/>
    </w:rPr>
  </w:style>
  <w:style w:type="paragraph" w:styleId="BalloonText">
    <w:name w:val="Balloon Text"/>
    <w:basedOn w:val="Normal"/>
    <w:link w:val="BalloonTextChar"/>
    <w:uiPriority w:val="99"/>
    <w:semiHidden/>
    <w:unhideWhenUsed/>
    <w:rsid w:val="001C1B65"/>
    <w:rPr>
      <w:rFonts w:ascii="Tahoma" w:hAnsi="Tahoma" w:cs="Tahoma"/>
      <w:sz w:val="16"/>
      <w:szCs w:val="16"/>
    </w:rPr>
  </w:style>
  <w:style w:type="character" w:customStyle="1" w:styleId="BalloonTextChar">
    <w:name w:val="Balloon Text Char"/>
    <w:link w:val="BalloonText"/>
    <w:uiPriority w:val="99"/>
    <w:semiHidden/>
    <w:rsid w:val="001C1B65"/>
    <w:rPr>
      <w:rFonts w:ascii="Tahoma" w:hAnsi="Tahoma" w:cs="Tahoma"/>
      <w:sz w:val="16"/>
      <w:szCs w:val="16"/>
      <w:lang w:val="af-ZA" w:eastAsia="en-US"/>
    </w:rPr>
  </w:style>
  <w:style w:type="paragraph" w:styleId="ListParagraph">
    <w:name w:val="List Paragraph"/>
    <w:basedOn w:val="Normal"/>
    <w:link w:val="ListParagraphChar"/>
    <w:uiPriority w:val="34"/>
    <w:qFormat/>
    <w:rsid w:val="00974933"/>
    <w:pPr>
      <w:ind w:left="720"/>
      <w:contextualSpacing/>
    </w:pPr>
    <w:rPr>
      <w:rFonts w:ascii="Calibri" w:eastAsia="Calibri" w:hAnsi="Calibri"/>
    </w:rPr>
  </w:style>
  <w:style w:type="character" w:styleId="Hyperlink">
    <w:name w:val="Hyperlink"/>
    <w:uiPriority w:val="99"/>
    <w:unhideWhenUsed/>
    <w:rsid w:val="001B76DB"/>
    <w:rPr>
      <w:color w:val="0000FF"/>
      <w:u w:val="single"/>
    </w:rPr>
  </w:style>
  <w:style w:type="paragraph" w:styleId="Header">
    <w:name w:val="header"/>
    <w:basedOn w:val="Normal"/>
    <w:link w:val="HeaderChar"/>
    <w:uiPriority w:val="99"/>
    <w:unhideWhenUsed/>
    <w:rsid w:val="006B43AA"/>
    <w:pPr>
      <w:tabs>
        <w:tab w:val="center" w:pos="4680"/>
        <w:tab w:val="right" w:pos="9360"/>
      </w:tabs>
    </w:pPr>
  </w:style>
  <w:style w:type="character" w:customStyle="1" w:styleId="HeaderChar">
    <w:name w:val="Header Char"/>
    <w:link w:val="Header"/>
    <w:uiPriority w:val="99"/>
    <w:rsid w:val="006B43AA"/>
    <w:rPr>
      <w:sz w:val="22"/>
      <w:szCs w:val="22"/>
    </w:rPr>
  </w:style>
  <w:style w:type="paragraph" w:styleId="Footer">
    <w:name w:val="footer"/>
    <w:basedOn w:val="Normal"/>
    <w:link w:val="FooterChar"/>
    <w:uiPriority w:val="99"/>
    <w:unhideWhenUsed/>
    <w:rsid w:val="006B43AA"/>
    <w:pPr>
      <w:tabs>
        <w:tab w:val="center" w:pos="4680"/>
        <w:tab w:val="right" w:pos="9360"/>
      </w:tabs>
    </w:pPr>
  </w:style>
  <w:style w:type="character" w:customStyle="1" w:styleId="FooterChar">
    <w:name w:val="Footer Char"/>
    <w:link w:val="Footer"/>
    <w:uiPriority w:val="99"/>
    <w:rsid w:val="006B43AA"/>
    <w:rPr>
      <w:sz w:val="22"/>
      <w:szCs w:val="22"/>
    </w:rPr>
  </w:style>
  <w:style w:type="character" w:customStyle="1" w:styleId="Heading7Char">
    <w:name w:val="Heading 7 Char"/>
    <w:link w:val="Heading7"/>
    <w:rsid w:val="00215401"/>
    <w:rPr>
      <w:rFonts w:ascii="Arial" w:eastAsia="Times New Roman" w:hAnsi="Arial"/>
      <w:b/>
      <w:bCs/>
      <w:sz w:val="24"/>
      <w:lang w:val="en-GB"/>
    </w:rPr>
  </w:style>
  <w:style w:type="paragraph" w:styleId="BodyTextIndent2">
    <w:name w:val="Body Text Indent 2"/>
    <w:basedOn w:val="Normal"/>
    <w:link w:val="BodyTextIndent2Char"/>
    <w:rsid w:val="00215401"/>
    <w:pPr>
      <w:spacing w:line="480" w:lineRule="auto"/>
      <w:ind w:left="851"/>
      <w:jc w:val="both"/>
    </w:pPr>
    <w:rPr>
      <w:rFonts w:ascii="Arial" w:hAnsi="Arial"/>
      <w:sz w:val="25"/>
      <w:szCs w:val="20"/>
      <w:lang w:val="en-AU"/>
    </w:rPr>
  </w:style>
  <w:style w:type="character" w:customStyle="1" w:styleId="BodyTextIndent2Char">
    <w:name w:val="Body Text Indent 2 Char"/>
    <w:link w:val="BodyTextIndent2"/>
    <w:rsid w:val="00215401"/>
    <w:rPr>
      <w:rFonts w:ascii="Arial" w:eastAsia="Times New Roman" w:hAnsi="Arial"/>
      <w:sz w:val="25"/>
      <w:lang w:val="en-AU"/>
    </w:rPr>
  </w:style>
  <w:style w:type="character" w:customStyle="1" w:styleId="Heading2Char">
    <w:name w:val="Heading 2 Char"/>
    <w:link w:val="Heading2"/>
    <w:rsid w:val="003C2A92"/>
    <w:rPr>
      <w:rFonts w:ascii="Cambria" w:eastAsia="Times New Roman" w:hAnsi="Cambria"/>
      <w:b/>
      <w:bCs/>
      <w:i/>
      <w:iCs/>
      <w:sz w:val="28"/>
      <w:szCs w:val="28"/>
      <w:lang w:val="en-ZA"/>
    </w:rPr>
  </w:style>
  <w:style w:type="paragraph" w:styleId="BodyText">
    <w:name w:val="Body Text"/>
    <w:basedOn w:val="Normal"/>
    <w:link w:val="BodyTextChar"/>
    <w:unhideWhenUsed/>
    <w:rsid w:val="00126FFB"/>
    <w:pPr>
      <w:spacing w:after="120"/>
    </w:pPr>
  </w:style>
  <w:style w:type="character" w:customStyle="1" w:styleId="BodyTextChar">
    <w:name w:val="Body Text Char"/>
    <w:link w:val="BodyText"/>
    <w:rsid w:val="00126FFB"/>
    <w:rPr>
      <w:sz w:val="22"/>
      <w:szCs w:val="22"/>
      <w:lang w:val="en-ZA"/>
    </w:rPr>
  </w:style>
  <w:style w:type="character" w:customStyle="1" w:styleId="Heading3Char">
    <w:name w:val="Heading 3 Char"/>
    <w:link w:val="Heading3"/>
    <w:uiPriority w:val="9"/>
    <w:semiHidden/>
    <w:rsid w:val="00126FFB"/>
    <w:rPr>
      <w:rFonts w:ascii="Calibri Light" w:eastAsia="Times New Roman" w:hAnsi="Calibri Light"/>
      <w:b/>
      <w:bCs/>
      <w:color w:val="4472C4"/>
      <w:sz w:val="24"/>
      <w:szCs w:val="24"/>
      <w:lang w:val="en-ZA"/>
    </w:rPr>
  </w:style>
  <w:style w:type="character" w:customStyle="1" w:styleId="Heading4Char">
    <w:name w:val="Heading 4 Char"/>
    <w:link w:val="Heading4"/>
    <w:uiPriority w:val="9"/>
    <w:semiHidden/>
    <w:rsid w:val="00126FFB"/>
    <w:rPr>
      <w:rFonts w:ascii="Calibri Light" w:eastAsia="Times New Roman" w:hAnsi="Calibri Light"/>
      <w:b/>
      <w:bCs/>
      <w:i/>
      <w:iCs/>
      <w:color w:val="4472C4"/>
      <w:sz w:val="24"/>
      <w:szCs w:val="24"/>
      <w:lang w:val="en-ZA"/>
    </w:rPr>
  </w:style>
  <w:style w:type="character" w:customStyle="1" w:styleId="ListParagraphChar">
    <w:name w:val="List Paragraph Char"/>
    <w:link w:val="ListParagraph"/>
    <w:rsid w:val="00126FFB"/>
    <w:rPr>
      <w:sz w:val="22"/>
      <w:szCs w:val="22"/>
      <w:lang w:val="en-ZA"/>
    </w:rPr>
  </w:style>
  <w:style w:type="character" w:styleId="Strong">
    <w:name w:val="Strong"/>
    <w:qFormat/>
    <w:rsid w:val="00126FFB"/>
    <w:rPr>
      <w:b/>
      <w:bCs/>
    </w:rPr>
  </w:style>
  <w:style w:type="character" w:customStyle="1" w:styleId="apple-converted-space">
    <w:name w:val="apple-converted-space"/>
    <w:rsid w:val="00126FFB"/>
  </w:style>
  <w:style w:type="paragraph" w:styleId="NormalWeb">
    <w:name w:val="Normal (Web)"/>
    <w:basedOn w:val="Normal"/>
    <w:uiPriority w:val="99"/>
    <w:unhideWhenUsed/>
    <w:rsid w:val="00126FFB"/>
    <w:pPr>
      <w:spacing w:before="100" w:beforeAutospacing="1" w:after="100" w:afterAutospacing="1"/>
    </w:pPr>
    <w:rPr>
      <w:lang w:val="en-GB"/>
    </w:rPr>
  </w:style>
  <w:style w:type="paragraph" w:styleId="Caption">
    <w:name w:val="caption"/>
    <w:basedOn w:val="Normal"/>
    <w:next w:val="Normal"/>
    <w:unhideWhenUsed/>
    <w:qFormat/>
    <w:rsid w:val="00126FFB"/>
    <w:pPr>
      <w:spacing w:before="120" w:after="120"/>
    </w:pPr>
    <w:rPr>
      <w:rFonts w:ascii="Arial" w:hAnsi="Arial"/>
      <w:b/>
      <w:bCs/>
      <w:szCs w:val="18"/>
    </w:rPr>
  </w:style>
  <w:style w:type="paragraph" w:customStyle="1" w:styleId="western">
    <w:name w:val="western"/>
    <w:basedOn w:val="Normal"/>
    <w:rsid w:val="00126FFB"/>
    <w:pPr>
      <w:spacing w:before="100" w:beforeAutospacing="1" w:after="100" w:afterAutospacing="1"/>
    </w:pPr>
    <w:rPr>
      <w:lang w:val="en-GB"/>
    </w:rPr>
  </w:style>
  <w:style w:type="paragraph" w:customStyle="1" w:styleId="MEMONUMBERED">
    <w:name w:val="MEMO NUMBERED"/>
    <w:basedOn w:val="Normal"/>
    <w:link w:val="MEMONUMBEREDChar"/>
    <w:qFormat/>
    <w:rsid w:val="00BF3586"/>
    <w:pPr>
      <w:numPr>
        <w:numId w:val="1"/>
      </w:numPr>
      <w:spacing w:line="480" w:lineRule="auto"/>
      <w:jc w:val="both"/>
    </w:pPr>
    <w:rPr>
      <w:lang w:val="en-US" w:eastAsia="en-ZA"/>
    </w:rPr>
  </w:style>
  <w:style w:type="character" w:customStyle="1" w:styleId="MEMONUMBEREDChar">
    <w:name w:val="MEMO NUMBERED Char"/>
    <w:link w:val="MEMONUMBERED"/>
    <w:locked/>
    <w:rsid w:val="00BF3586"/>
    <w:rPr>
      <w:rFonts w:ascii="Times New Roman" w:eastAsia="Times New Roman" w:hAnsi="Times New Roman"/>
      <w:sz w:val="24"/>
      <w:szCs w:val="24"/>
      <w:lang w:eastAsia="en-ZA"/>
    </w:rPr>
  </w:style>
  <w:style w:type="paragraph" w:styleId="FootnoteText">
    <w:name w:val="footnote text"/>
    <w:aliases w:val="Footnote Text Char1,Footnote Text Char Char,Footnote Text Char1 Char,Footnote Text Char Char Char,Footnote Text Char Char1,Char Char Char,Char Char,Char"/>
    <w:basedOn w:val="Normal"/>
    <w:link w:val="FootnoteTextChar"/>
    <w:uiPriority w:val="99"/>
    <w:unhideWhenUsed/>
    <w:qFormat/>
    <w:rsid w:val="009C59B5"/>
    <w:rPr>
      <w:sz w:val="20"/>
      <w:szCs w:val="20"/>
    </w:rPr>
  </w:style>
  <w:style w:type="character" w:customStyle="1" w:styleId="FootnoteTextChar">
    <w:name w:val="Footnote Text Char"/>
    <w:aliases w:val="Footnote Text Char1 Char1,Footnote Text Char Char Char1,Footnote Text Char1 Char Char,Footnote Text Char Char Char Char,Footnote Text Char Char1 Char,Char Char Char Char,Char Char Char1,Char Char1"/>
    <w:link w:val="FootnoteText"/>
    <w:uiPriority w:val="99"/>
    <w:rsid w:val="009C59B5"/>
    <w:rPr>
      <w:lang w:val="en-ZA"/>
    </w:rPr>
  </w:style>
  <w:style w:type="character" w:styleId="FootnoteReference">
    <w:name w:val="footnote reference"/>
    <w:uiPriority w:val="99"/>
    <w:unhideWhenUsed/>
    <w:qFormat/>
    <w:rsid w:val="009C59B5"/>
    <w:rPr>
      <w:vertAlign w:val="superscript"/>
    </w:rPr>
  </w:style>
  <w:style w:type="character" w:customStyle="1" w:styleId="mc">
    <w:name w:val="mc"/>
    <w:basedOn w:val="DefaultParagraphFont"/>
    <w:rsid w:val="00174D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5412672">
      <w:bodyDiv w:val="1"/>
      <w:marLeft w:val="0"/>
      <w:marRight w:val="0"/>
      <w:marTop w:val="0"/>
      <w:marBottom w:val="0"/>
      <w:divBdr>
        <w:top w:val="none" w:sz="0" w:space="0" w:color="auto"/>
        <w:left w:val="none" w:sz="0" w:space="0" w:color="auto"/>
        <w:bottom w:val="none" w:sz="0" w:space="0" w:color="auto"/>
        <w:right w:val="none" w:sz="0" w:space="0" w:color="auto"/>
      </w:divBdr>
      <w:divsChild>
        <w:div w:id="157888033">
          <w:marLeft w:val="0"/>
          <w:marRight w:val="0"/>
          <w:marTop w:val="0"/>
          <w:marBottom w:val="0"/>
          <w:divBdr>
            <w:top w:val="none" w:sz="0" w:space="0" w:color="auto"/>
            <w:left w:val="none" w:sz="0" w:space="0" w:color="auto"/>
            <w:bottom w:val="none" w:sz="0" w:space="0" w:color="auto"/>
            <w:right w:val="none" w:sz="0" w:space="0" w:color="auto"/>
          </w:divBdr>
          <w:divsChild>
            <w:div w:id="1477525962">
              <w:marLeft w:val="0"/>
              <w:marRight w:val="0"/>
              <w:marTop w:val="0"/>
              <w:marBottom w:val="0"/>
              <w:divBdr>
                <w:top w:val="none" w:sz="0" w:space="0" w:color="auto"/>
                <w:left w:val="none" w:sz="0" w:space="0" w:color="auto"/>
                <w:bottom w:val="none" w:sz="0" w:space="0" w:color="auto"/>
                <w:right w:val="none" w:sz="0" w:space="0" w:color="auto"/>
              </w:divBdr>
              <w:divsChild>
                <w:div w:id="109054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496">
          <w:marLeft w:val="0"/>
          <w:marRight w:val="0"/>
          <w:marTop w:val="0"/>
          <w:marBottom w:val="0"/>
          <w:divBdr>
            <w:top w:val="none" w:sz="0" w:space="0" w:color="auto"/>
            <w:left w:val="none" w:sz="0" w:space="0" w:color="auto"/>
            <w:bottom w:val="none" w:sz="0" w:space="0" w:color="auto"/>
            <w:right w:val="none" w:sz="0" w:space="0" w:color="auto"/>
          </w:divBdr>
          <w:divsChild>
            <w:div w:id="709651161">
              <w:marLeft w:val="0"/>
              <w:marRight w:val="0"/>
              <w:marTop w:val="0"/>
              <w:marBottom w:val="0"/>
              <w:divBdr>
                <w:top w:val="none" w:sz="0" w:space="0" w:color="auto"/>
                <w:left w:val="none" w:sz="0" w:space="0" w:color="auto"/>
                <w:bottom w:val="none" w:sz="0" w:space="0" w:color="auto"/>
                <w:right w:val="none" w:sz="0" w:space="0" w:color="auto"/>
              </w:divBdr>
              <w:divsChild>
                <w:div w:id="821852663">
                  <w:marLeft w:val="0"/>
                  <w:marRight w:val="0"/>
                  <w:marTop w:val="0"/>
                  <w:marBottom w:val="0"/>
                  <w:divBdr>
                    <w:top w:val="none" w:sz="0" w:space="0" w:color="auto"/>
                    <w:left w:val="none" w:sz="0" w:space="0" w:color="auto"/>
                    <w:bottom w:val="none" w:sz="0" w:space="0" w:color="auto"/>
                    <w:right w:val="none" w:sz="0" w:space="0" w:color="auto"/>
                  </w:divBdr>
                </w:div>
              </w:divsChild>
            </w:div>
            <w:div w:id="1928952504">
              <w:marLeft w:val="0"/>
              <w:marRight w:val="0"/>
              <w:marTop w:val="0"/>
              <w:marBottom w:val="0"/>
              <w:divBdr>
                <w:top w:val="none" w:sz="0" w:space="0" w:color="auto"/>
                <w:left w:val="none" w:sz="0" w:space="0" w:color="auto"/>
                <w:bottom w:val="none" w:sz="0" w:space="0" w:color="auto"/>
                <w:right w:val="none" w:sz="0" w:space="0" w:color="auto"/>
              </w:divBdr>
              <w:divsChild>
                <w:div w:id="699354440">
                  <w:marLeft w:val="0"/>
                  <w:marRight w:val="0"/>
                  <w:marTop w:val="0"/>
                  <w:marBottom w:val="0"/>
                  <w:divBdr>
                    <w:top w:val="none" w:sz="0" w:space="0" w:color="auto"/>
                    <w:left w:val="none" w:sz="0" w:space="0" w:color="auto"/>
                    <w:bottom w:val="none" w:sz="0" w:space="0" w:color="auto"/>
                    <w:right w:val="none" w:sz="0" w:space="0" w:color="auto"/>
                  </w:divBdr>
                </w:div>
              </w:divsChild>
            </w:div>
            <w:div w:id="605430429">
              <w:marLeft w:val="0"/>
              <w:marRight w:val="0"/>
              <w:marTop w:val="0"/>
              <w:marBottom w:val="0"/>
              <w:divBdr>
                <w:top w:val="none" w:sz="0" w:space="0" w:color="auto"/>
                <w:left w:val="none" w:sz="0" w:space="0" w:color="auto"/>
                <w:bottom w:val="none" w:sz="0" w:space="0" w:color="auto"/>
                <w:right w:val="none" w:sz="0" w:space="0" w:color="auto"/>
              </w:divBdr>
              <w:divsChild>
                <w:div w:id="431052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583560">
          <w:marLeft w:val="0"/>
          <w:marRight w:val="0"/>
          <w:marTop w:val="0"/>
          <w:marBottom w:val="0"/>
          <w:divBdr>
            <w:top w:val="none" w:sz="0" w:space="0" w:color="auto"/>
            <w:left w:val="none" w:sz="0" w:space="0" w:color="auto"/>
            <w:bottom w:val="none" w:sz="0" w:space="0" w:color="auto"/>
            <w:right w:val="none" w:sz="0" w:space="0" w:color="auto"/>
          </w:divBdr>
          <w:divsChild>
            <w:div w:id="1748455043">
              <w:marLeft w:val="0"/>
              <w:marRight w:val="0"/>
              <w:marTop w:val="0"/>
              <w:marBottom w:val="0"/>
              <w:divBdr>
                <w:top w:val="none" w:sz="0" w:space="0" w:color="auto"/>
                <w:left w:val="none" w:sz="0" w:space="0" w:color="auto"/>
                <w:bottom w:val="none" w:sz="0" w:space="0" w:color="auto"/>
                <w:right w:val="none" w:sz="0" w:space="0" w:color="auto"/>
              </w:divBdr>
              <w:divsChild>
                <w:div w:id="141000545">
                  <w:marLeft w:val="0"/>
                  <w:marRight w:val="0"/>
                  <w:marTop w:val="0"/>
                  <w:marBottom w:val="0"/>
                  <w:divBdr>
                    <w:top w:val="none" w:sz="0" w:space="0" w:color="auto"/>
                    <w:left w:val="none" w:sz="0" w:space="0" w:color="auto"/>
                    <w:bottom w:val="none" w:sz="0" w:space="0" w:color="auto"/>
                    <w:right w:val="none" w:sz="0" w:space="0" w:color="auto"/>
                  </w:divBdr>
                </w:div>
              </w:divsChild>
            </w:div>
            <w:div w:id="159735127">
              <w:marLeft w:val="0"/>
              <w:marRight w:val="0"/>
              <w:marTop w:val="0"/>
              <w:marBottom w:val="0"/>
              <w:divBdr>
                <w:top w:val="none" w:sz="0" w:space="0" w:color="auto"/>
                <w:left w:val="none" w:sz="0" w:space="0" w:color="auto"/>
                <w:bottom w:val="none" w:sz="0" w:space="0" w:color="auto"/>
                <w:right w:val="none" w:sz="0" w:space="0" w:color="auto"/>
              </w:divBdr>
              <w:divsChild>
                <w:div w:id="177808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547769">
          <w:marLeft w:val="0"/>
          <w:marRight w:val="0"/>
          <w:marTop w:val="0"/>
          <w:marBottom w:val="0"/>
          <w:divBdr>
            <w:top w:val="none" w:sz="0" w:space="0" w:color="auto"/>
            <w:left w:val="none" w:sz="0" w:space="0" w:color="auto"/>
            <w:bottom w:val="none" w:sz="0" w:space="0" w:color="auto"/>
            <w:right w:val="none" w:sz="0" w:space="0" w:color="auto"/>
          </w:divBdr>
          <w:divsChild>
            <w:div w:id="880359139">
              <w:marLeft w:val="0"/>
              <w:marRight w:val="0"/>
              <w:marTop w:val="0"/>
              <w:marBottom w:val="0"/>
              <w:divBdr>
                <w:top w:val="none" w:sz="0" w:space="0" w:color="auto"/>
                <w:left w:val="none" w:sz="0" w:space="0" w:color="auto"/>
                <w:bottom w:val="none" w:sz="0" w:space="0" w:color="auto"/>
                <w:right w:val="none" w:sz="0" w:space="0" w:color="auto"/>
              </w:divBdr>
              <w:divsChild>
                <w:div w:id="1172067836">
                  <w:marLeft w:val="0"/>
                  <w:marRight w:val="0"/>
                  <w:marTop w:val="0"/>
                  <w:marBottom w:val="0"/>
                  <w:divBdr>
                    <w:top w:val="none" w:sz="0" w:space="0" w:color="auto"/>
                    <w:left w:val="none" w:sz="0" w:space="0" w:color="auto"/>
                    <w:bottom w:val="none" w:sz="0" w:space="0" w:color="auto"/>
                    <w:right w:val="none" w:sz="0" w:space="0" w:color="auto"/>
                  </w:divBdr>
                </w:div>
              </w:divsChild>
            </w:div>
            <w:div w:id="1958482320">
              <w:marLeft w:val="0"/>
              <w:marRight w:val="0"/>
              <w:marTop w:val="0"/>
              <w:marBottom w:val="0"/>
              <w:divBdr>
                <w:top w:val="none" w:sz="0" w:space="0" w:color="auto"/>
                <w:left w:val="none" w:sz="0" w:space="0" w:color="auto"/>
                <w:bottom w:val="none" w:sz="0" w:space="0" w:color="auto"/>
                <w:right w:val="none" w:sz="0" w:space="0" w:color="auto"/>
              </w:divBdr>
              <w:divsChild>
                <w:div w:id="87963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337187">
          <w:marLeft w:val="0"/>
          <w:marRight w:val="0"/>
          <w:marTop w:val="0"/>
          <w:marBottom w:val="0"/>
          <w:divBdr>
            <w:top w:val="none" w:sz="0" w:space="0" w:color="auto"/>
            <w:left w:val="none" w:sz="0" w:space="0" w:color="auto"/>
            <w:bottom w:val="none" w:sz="0" w:space="0" w:color="auto"/>
            <w:right w:val="none" w:sz="0" w:space="0" w:color="auto"/>
          </w:divBdr>
          <w:divsChild>
            <w:div w:id="589855122">
              <w:marLeft w:val="0"/>
              <w:marRight w:val="0"/>
              <w:marTop w:val="0"/>
              <w:marBottom w:val="0"/>
              <w:divBdr>
                <w:top w:val="none" w:sz="0" w:space="0" w:color="auto"/>
                <w:left w:val="none" w:sz="0" w:space="0" w:color="auto"/>
                <w:bottom w:val="none" w:sz="0" w:space="0" w:color="auto"/>
                <w:right w:val="none" w:sz="0" w:space="0" w:color="auto"/>
              </w:divBdr>
              <w:divsChild>
                <w:div w:id="543519536">
                  <w:marLeft w:val="0"/>
                  <w:marRight w:val="0"/>
                  <w:marTop w:val="0"/>
                  <w:marBottom w:val="0"/>
                  <w:divBdr>
                    <w:top w:val="none" w:sz="0" w:space="0" w:color="auto"/>
                    <w:left w:val="none" w:sz="0" w:space="0" w:color="auto"/>
                    <w:bottom w:val="none" w:sz="0" w:space="0" w:color="auto"/>
                    <w:right w:val="none" w:sz="0" w:space="0" w:color="auto"/>
                  </w:divBdr>
                </w:div>
              </w:divsChild>
            </w:div>
            <w:div w:id="1430395816">
              <w:marLeft w:val="0"/>
              <w:marRight w:val="0"/>
              <w:marTop w:val="0"/>
              <w:marBottom w:val="0"/>
              <w:divBdr>
                <w:top w:val="none" w:sz="0" w:space="0" w:color="auto"/>
                <w:left w:val="none" w:sz="0" w:space="0" w:color="auto"/>
                <w:bottom w:val="none" w:sz="0" w:space="0" w:color="auto"/>
                <w:right w:val="none" w:sz="0" w:space="0" w:color="auto"/>
              </w:divBdr>
              <w:divsChild>
                <w:div w:id="265817478">
                  <w:marLeft w:val="0"/>
                  <w:marRight w:val="0"/>
                  <w:marTop w:val="0"/>
                  <w:marBottom w:val="0"/>
                  <w:divBdr>
                    <w:top w:val="none" w:sz="0" w:space="0" w:color="auto"/>
                    <w:left w:val="none" w:sz="0" w:space="0" w:color="auto"/>
                    <w:bottom w:val="none" w:sz="0" w:space="0" w:color="auto"/>
                    <w:right w:val="none" w:sz="0" w:space="0" w:color="auto"/>
                  </w:divBdr>
                </w:div>
              </w:divsChild>
            </w:div>
            <w:div w:id="2065174807">
              <w:marLeft w:val="0"/>
              <w:marRight w:val="0"/>
              <w:marTop w:val="0"/>
              <w:marBottom w:val="0"/>
              <w:divBdr>
                <w:top w:val="none" w:sz="0" w:space="0" w:color="auto"/>
                <w:left w:val="none" w:sz="0" w:space="0" w:color="auto"/>
                <w:bottom w:val="none" w:sz="0" w:space="0" w:color="auto"/>
                <w:right w:val="none" w:sz="0" w:space="0" w:color="auto"/>
              </w:divBdr>
              <w:divsChild>
                <w:div w:id="143825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103154">
          <w:marLeft w:val="0"/>
          <w:marRight w:val="0"/>
          <w:marTop w:val="0"/>
          <w:marBottom w:val="0"/>
          <w:divBdr>
            <w:top w:val="none" w:sz="0" w:space="0" w:color="auto"/>
            <w:left w:val="none" w:sz="0" w:space="0" w:color="auto"/>
            <w:bottom w:val="none" w:sz="0" w:space="0" w:color="auto"/>
            <w:right w:val="none" w:sz="0" w:space="0" w:color="auto"/>
          </w:divBdr>
          <w:divsChild>
            <w:div w:id="1438788156">
              <w:marLeft w:val="0"/>
              <w:marRight w:val="0"/>
              <w:marTop w:val="0"/>
              <w:marBottom w:val="0"/>
              <w:divBdr>
                <w:top w:val="none" w:sz="0" w:space="0" w:color="auto"/>
                <w:left w:val="none" w:sz="0" w:space="0" w:color="auto"/>
                <w:bottom w:val="none" w:sz="0" w:space="0" w:color="auto"/>
                <w:right w:val="none" w:sz="0" w:space="0" w:color="auto"/>
              </w:divBdr>
              <w:divsChild>
                <w:div w:id="751463701">
                  <w:marLeft w:val="0"/>
                  <w:marRight w:val="0"/>
                  <w:marTop w:val="0"/>
                  <w:marBottom w:val="0"/>
                  <w:divBdr>
                    <w:top w:val="none" w:sz="0" w:space="0" w:color="auto"/>
                    <w:left w:val="none" w:sz="0" w:space="0" w:color="auto"/>
                    <w:bottom w:val="none" w:sz="0" w:space="0" w:color="auto"/>
                    <w:right w:val="none" w:sz="0" w:space="0" w:color="auto"/>
                  </w:divBdr>
                </w:div>
              </w:divsChild>
            </w:div>
            <w:div w:id="1224677309">
              <w:marLeft w:val="0"/>
              <w:marRight w:val="0"/>
              <w:marTop w:val="0"/>
              <w:marBottom w:val="0"/>
              <w:divBdr>
                <w:top w:val="none" w:sz="0" w:space="0" w:color="auto"/>
                <w:left w:val="none" w:sz="0" w:space="0" w:color="auto"/>
                <w:bottom w:val="none" w:sz="0" w:space="0" w:color="auto"/>
                <w:right w:val="none" w:sz="0" w:space="0" w:color="auto"/>
              </w:divBdr>
              <w:divsChild>
                <w:div w:id="78029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933510">
          <w:marLeft w:val="0"/>
          <w:marRight w:val="0"/>
          <w:marTop w:val="0"/>
          <w:marBottom w:val="0"/>
          <w:divBdr>
            <w:top w:val="none" w:sz="0" w:space="0" w:color="auto"/>
            <w:left w:val="none" w:sz="0" w:space="0" w:color="auto"/>
            <w:bottom w:val="none" w:sz="0" w:space="0" w:color="auto"/>
            <w:right w:val="none" w:sz="0" w:space="0" w:color="auto"/>
          </w:divBdr>
          <w:divsChild>
            <w:div w:id="2027362831">
              <w:marLeft w:val="0"/>
              <w:marRight w:val="0"/>
              <w:marTop w:val="0"/>
              <w:marBottom w:val="0"/>
              <w:divBdr>
                <w:top w:val="none" w:sz="0" w:space="0" w:color="auto"/>
                <w:left w:val="none" w:sz="0" w:space="0" w:color="auto"/>
                <w:bottom w:val="none" w:sz="0" w:space="0" w:color="auto"/>
                <w:right w:val="none" w:sz="0" w:space="0" w:color="auto"/>
              </w:divBdr>
              <w:divsChild>
                <w:div w:id="177886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994437">
      <w:bodyDiv w:val="1"/>
      <w:marLeft w:val="0"/>
      <w:marRight w:val="0"/>
      <w:marTop w:val="0"/>
      <w:marBottom w:val="0"/>
      <w:divBdr>
        <w:top w:val="none" w:sz="0" w:space="0" w:color="auto"/>
        <w:left w:val="none" w:sz="0" w:space="0" w:color="auto"/>
        <w:bottom w:val="none" w:sz="0" w:space="0" w:color="auto"/>
        <w:right w:val="none" w:sz="0" w:space="0" w:color="auto"/>
      </w:divBdr>
    </w:div>
    <w:div w:id="1534269056">
      <w:bodyDiv w:val="1"/>
      <w:marLeft w:val="0"/>
      <w:marRight w:val="0"/>
      <w:marTop w:val="0"/>
      <w:marBottom w:val="0"/>
      <w:divBdr>
        <w:top w:val="none" w:sz="0" w:space="0" w:color="auto"/>
        <w:left w:val="none" w:sz="0" w:space="0" w:color="auto"/>
        <w:bottom w:val="none" w:sz="0" w:space="0" w:color="auto"/>
        <w:right w:val="none" w:sz="0" w:space="0" w:color="auto"/>
      </w:divBdr>
      <w:divsChild>
        <w:div w:id="1978366459">
          <w:marLeft w:val="0"/>
          <w:marRight w:val="0"/>
          <w:marTop w:val="0"/>
          <w:marBottom w:val="0"/>
          <w:divBdr>
            <w:top w:val="none" w:sz="0" w:space="0" w:color="auto"/>
            <w:left w:val="none" w:sz="0" w:space="0" w:color="auto"/>
            <w:bottom w:val="none" w:sz="0" w:space="0" w:color="auto"/>
            <w:right w:val="none" w:sz="0" w:space="0" w:color="auto"/>
          </w:divBdr>
          <w:divsChild>
            <w:div w:id="1206528856">
              <w:marLeft w:val="0"/>
              <w:marRight w:val="0"/>
              <w:marTop w:val="0"/>
              <w:marBottom w:val="0"/>
              <w:divBdr>
                <w:top w:val="none" w:sz="0" w:space="0" w:color="auto"/>
                <w:left w:val="none" w:sz="0" w:space="0" w:color="auto"/>
                <w:bottom w:val="none" w:sz="0" w:space="0" w:color="auto"/>
                <w:right w:val="none" w:sz="0" w:space="0" w:color="auto"/>
              </w:divBdr>
              <w:divsChild>
                <w:div w:id="82813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732434">
          <w:marLeft w:val="0"/>
          <w:marRight w:val="0"/>
          <w:marTop w:val="0"/>
          <w:marBottom w:val="0"/>
          <w:divBdr>
            <w:top w:val="none" w:sz="0" w:space="0" w:color="auto"/>
            <w:left w:val="none" w:sz="0" w:space="0" w:color="auto"/>
            <w:bottom w:val="none" w:sz="0" w:space="0" w:color="auto"/>
            <w:right w:val="none" w:sz="0" w:space="0" w:color="auto"/>
          </w:divBdr>
          <w:divsChild>
            <w:div w:id="1533809818">
              <w:marLeft w:val="0"/>
              <w:marRight w:val="0"/>
              <w:marTop w:val="0"/>
              <w:marBottom w:val="0"/>
              <w:divBdr>
                <w:top w:val="none" w:sz="0" w:space="0" w:color="auto"/>
                <w:left w:val="none" w:sz="0" w:space="0" w:color="auto"/>
                <w:bottom w:val="none" w:sz="0" w:space="0" w:color="auto"/>
                <w:right w:val="none" w:sz="0" w:space="0" w:color="auto"/>
              </w:divBdr>
              <w:divsChild>
                <w:div w:id="75655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506379">
      <w:bodyDiv w:val="1"/>
      <w:marLeft w:val="0"/>
      <w:marRight w:val="0"/>
      <w:marTop w:val="0"/>
      <w:marBottom w:val="0"/>
      <w:divBdr>
        <w:top w:val="none" w:sz="0" w:space="0" w:color="auto"/>
        <w:left w:val="none" w:sz="0" w:space="0" w:color="auto"/>
        <w:bottom w:val="none" w:sz="0" w:space="0" w:color="auto"/>
        <w:right w:val="none" w:sz="0" w:space="0" w:color="auto"/>
      </w:divBdr>
      <w:divsChild>
        <w:div w:id="1072699984">
          <w:marLeft w:val="0"/>
          <w:marRight w:val="0"/>
          <w:marTop w:val="240"/>
          <w:marBottom w:val="0"/>
          <w:divBdr>
            <w:top w:val="none" w:sz="0" w:space="0" w:color="auto"/>
            <w:left w:val="none" w:sz="0" w:space="0" w:color="auto"/>
            <w:bottom w:val="none" w:sz="0" w:space="0" w:color="auto"/>
            <w:right w:val="none" w:sz="0" w:space="0" w:color="auto"/>
          </w:divBdr>
        </w:div>
        <w:div w:id="1615743494">
          <w:marLeft w:val="567"/>
          <w:marRight w:val="567"/>
          <w:marTop w:val="20"/>
          <w:marBottom w:val="20"/>
          <w:divBdr>
            <w:top w:val="none" w:sz="0" w:space="0" w:color="auto"/>
            <w:left w:val="none" w:sz="0" w:space="0" w:color="auto"/>
            <w:bottom w:val="none" w:sz="0" w:space="0" w:color="auto"/>
            <w:right w:val="none" w:sz="0" w:space="0" w:color="auto"/>
          </w:divBdr>
        </w:div>
        <w:div w:id="2055959075">
          <w:marLeft w:val="0"/>
          <w:marRight w:val="0"/>
          <w:marTop w:val="120"/>
          <w:marBottom w:val="0"/>
          <w:divBdr>
            <w:top w:val="none" w:sz="0" w:space="0" w:color="auto"/>
            <w:left w:val="none" w:sz="0" w:space="0" w:color="auto"/>
            <w:bottom w:val="none" w:sz="0" w:space="0" w:color="auto"/>
            <w:right w:val="none" w:sz="0" w:space="0" w:color="auto"/>
          </w:divBdr>
        </w:div>
      </w:divsChild>
    </w:div>
    <w:div w:id="1835562008">
      <w:bodyDiv w:val="1"/>
      <w:marLeft w:val="0"/>
      <w:marRight w:val="0"/>
      <w:marTop w:val="0"/>
      <w:marBottom w:val="0"/>
      <w:divBdr>
        <w:top w:val="none" w:sz="0" w:space="0" w:color="auto"/>
        <w:left w:val="none" w:sz="0" w:space="0" w:color="auto"/>
        <w:bottom w:val="none" w:sz="0" w:space="0" w:color="auto"/>
        <w:right w:val="none" w:sz="0" w:space="0" w:color="auto"/>
      </w:divBdr>
      <w:divsChild>
        <w:div w:id="1144618466">
          <w:marLeft w:val="0"/>
          <w:marRight w:val="0"/>
          <w:marTop w:val="120"/>
          <w:marBottom w:val="0"/>
          <w:divBdr>
            <w:top w:val="none" w:sz="0" w:space="0" w:color="auto"/>
            <w:left w:val="none" w:sz="0" w:space="0" w:color="auto"/>
            <w:bottom w:val="none" w:sz="0" w:space="0" w:color="auto"/>
            <w:right w:val="none" w:sz="0" w:space="0" w:color="auto"/>
          </w:divBdr>
        </w:div>
        <w:div w:id="1977418058">
          <w:marLeft w:val="0"/>
          <w:marRight w:val="0"/>
          <w:marTop w:val="120"/>
          <w:marBottom w:val="0"/>
          <w:divBdr>
            <w:top w:val="none" w:sz="0" w:space="0" w:color="auto"/>
            <w:left w:val="none" w:sz="0" w:space="0" w:color="auto"/>
            <w:bottom w:val="none" w:sz="0" w:space="0" w:color="auto"/>
            <w:right w:val="none" w:sz="0" w:space="0" w:color="auto"/>
          </w:divBdr>
        </w:div>
        <w:div w:id="2017225610">
          <w:marLeft w:val="567"/>
          <w:marRight w:val="0"/>
          <w:marTop w:val="60"/>
          <w:marBottom w:val="0"/>
          <w:divBdr>
            <w:top w:val="none" w:sz="0" w:space="0" w:color="auto"/>
            <w:left w:val="none" w:sz="0" w:space="0" w:color="auto"/>
            <w:bottom w:val="none" w:sz="0" w:space="0" w:color="auto"/>
            <w:right w:val="none" w:sz="0" w:space="0" w:color="auto"/>
          </w:divBdr>
        </w:div>
      </w:divsChild>
    </w:div>
    <w:div w:id="1943493462">
      <w:bodyDiv w:val="1"/>
      <w:marLeft w:val="0"/>
      <w:marRight w:val="0"/>
      <w:marTop w:val="0"/>
      <w:marBottom w:val="0"/>
      <w:divBdr>
        <w:top w:val="none" w:sz="0" w:space="0" w:color="auto"/>
        <w:left w:val="none" w:sz="0" w:space="0" w:color="auto"/>
        <w:bottom w:val="none" w:sz="0" w:space="0" w:color="auto"/>
        <w:right w:val="none" w:sz="0" w:space="0" w:color="auto"/>
      </w:divBdr>
      <w:divsChild>
        <w:div w:id="295137680">
          <w:marLeft w:val="0"/>
          <w:marRight w:val="0"/>
          <w:marTop w:val="120"/>
          <w:marBottom w:val="0"/>
          <w:divBdr>
            <w:top w:val="none" w:sz="0" w:space="0" w:color="auto"/>
            <w:left w:val="none" w:sz="0" w:space="0" w:color="auto"/>
            <w:bottom w:val="none" w:sz="0" w:space="0" w:color="auto"/>
            <w:right w:val="none" w:sz="0" w:space="0" w:color="auto"/>
          </w:divBdr>
        </w:div>
        <w:div w:id="311368720">
          <w:marLeft w:val="0"/>
          <w:marRight w:val="0"/>
          <w:marTop w:val="120"/>
          <w:marBottom w:val="0"/>
          <w:divBdr>
            <w:top w:val="none" w:sz="0" w:space="0" w:color="auto"/>
            <w:left w:val="none" w:sz="0" w:space="0" w:color="auto"/>
            <w:bottom w:val="none" w:sz="0" w:space="0" w:color="auto"/>
            <w:right w:val="none" w:sz="0" w:space="0" w:color="auto"/>
          </w:divBdr>
        </w:div>
        <w:div w:id="638074109">
          <w:marLeft w:val="567"/>
          <w:marRight w:val="0"/>
          <w:marTop w:val="60"/>
          <w:marBottom w:val="0"/>
          <w:divBdr>
            <w:top w:val="none" w:sz="0" w:space="0" w:color="auto"/>
            <w:left w:val="none" w:sz="0" w:space="0" w:color="auto"/>
            <w:bottom w:val="none" w:sz="0" w:space="0" w:color="auto"/>
            <w:right w:val="none" w:sz="0" w:space="0" w:color="auto"/>
          </w:divBdr>
        </w:div>
        <w:div w:id="806510130">
          <w:marLeft w:val="0"/>
          <w:marRight w:val="0"/>
          <w:marTop w:val="120"/>
          <w:marBottom w:val="0"/>
          <w:divBdr>
            <w:top w:val="none" w:sz="0" w:space="0" w:color="auto"/>
            <w:left w:val="none" w:sz="0" w:space="0" w:color="auto"/>
            <w:bottom w:val="none" w:sz="0" w:space="0" w:color="auto"/>
            <w:right w:val="none" w:sz="0" w:space="0" w:color="auto"/>
          </w:divBdr>
        </w:div>
        <w:div w:id="982782463">
          <w:marLeft w:val="0"/>
          <w:marRight w:val="0"/>
          <w:marTop w:val="120"/>
          <w:marBottom w:val="0"/>
          <w:divBdr>
            <w:top w:val="none" w:sz="0" w:space="0" w:color="auto"/>
            <w:left w:val="none" w:sz="0" w:space="0" w:color="auto"/>
            <w:bottom w:val="none" w:sz="0" w:space="0" w:color="auto"/>
            <w:right w:val="none" w:sz="0" w:space="0" w:color="auto"/>
          </w:divBdr>
        </w:div>
        <w:div w:id="1208684369">
          <w:marLeft w:val="0"/>
          <w:marRight w:val="0"/>
          <w:marTop w:val="240"/>
          <w:marBottom w:val="24"/>
          <w:divBdr>
            <w:top w:val="single" w:sz="8" w:space="2" w:color="808080"/>
            <w:left w:val="none" w:sz="0" w:space="0" w:color="auto"/>
            <w:bottom w:val="none" w:sz="0" w:space="0" w:color="auto"/>
            <w:right w:val="none" w:sz="0" w:space="0" w:color="auto"/>
          </w:divBdr>
        </w:div>
        <w:div w:id="1579556720">
          <w:marLeft w:val="567"/>
          <w:marRight w:val="0"/>
          <w:marTop w:val="60"/>
          <w:marBottom w:val="0"/>
          <w:divBdr>
            <w:top w:val="none" w:sz="0" w:space="0" w:color="auto"/>
            <w:left w:val="none" w:sz="0" w:space="0" w:color="auto"/>
            <w:bottom w:val="none" w:sz="0" w:space="0" w:color="auto"/>
            <w:right w:val="none" w:sz="0" w:space="0" w:color="auto"/>
          </w:divBdr>
        </w:div>
        <w:div w:id="2132938079">
          <w:marLeft w:val="567"/>
          <w:marRight w:val="0"/>
          <w:marTop w:val="60"/>
          <w:marBottom w:val="0"/>
          <w:divBdr>
            <w:top w:val="none" w:sz="0" w:space="0" w:color="auto"/>
            <w:left w:val="none" w:sz="0" w:space="0" w:color="auto"/>
            <w:bottom w:val="none" w:sz="0" w:space="0" w:color="auto"/>
            <w:right w:val="none" w:sz="0" w:space="0" w:color="auto"/>
          </w:divBdr>
        </w:div>
      </w:divsChild>
    </w:div>
    <w:div w:id="2040081177">
      <w:bodyDiv w:val="1"/>
      <w:marLeft w:val="0"/>
      <w:marRight w:val="0"/>
      <w:marTop w:val="0"/>
      <w:marBottom w:val="0"/>
      <w:divBdr>
        <w:top w:val="none" w:sz="0" w:space="0" w:color="auto"/>
        <w:left w:val="none" w:sz="0" w:space="0" w:color="auto"/>
        <w:bottom w:val="none" w:sz="0" w:space="0" w:color="auto"/>
        <w:right w:val="none" w:sz="0" w:space="0" w:color="auto"/>
      </w:divBdr>
      <w:divsChild>
        <w:div w:id="40323344">
          <w:marLeft w:val="1134"/>
          <w:marRight w:val="0"/>
          <w:marTop w:val="60"/>
          <w:marBottom w:val="0"/>
          <w:divBdr>
            <w:top w:val="none" w:sz="0" w:space="0" w:color="auto"/>
            <w:left w:val="none" w:sz="0" w:space="0" w:color="auto"/>
            <w:bottom w:val="none" w:sz="0" w:space="0" w:color="auto"/>
            <w:right w:val="none" w:sz="0" w:space="0" w:color="auto"/>
          </w:divBdr>
        </w:div>
        <w:div w:id="213467321">
          <w:marLeft w:val="1134"/>
          <w:marRight w:val="0"/>
          <w:marTop w:val="60"/>
          <w:marBottom w:val="0"/>
          <w:divBdr>
            <w:top w:val="none" w:sz="0" w:space="0" w:color="auto"/>
            <w:left w:val="none" w:sz="0" w:space="0" w:color="auto"/>
            <w:bottom w:val="none" w:sz="0" w:space="0" w:color="auto"/>
            <w:right w:val="none" w:sz="0" w:space="0" w:color="auto"/>
          </w:divBdr>
        </w:div>
        <w:div w:id="222910216">
          <w:marLeft w:val="1134"/>
          <w:marRight w:val="0"/>
          <w:marTop w:val="60"/>
          <w:marBottom w:val="0"/>
          <w:divBdr>
            <w:top w:val="none" w:sz="0" w:space="0" w:color="auto"/>
            <w:left w:val="none" w:sz="0" w:space="0" w:color="auto"/>
            <w:bottom w:val="none" w:sz="0" w:space="0" w:color="auto"/>
            <w:right w:val="none" w:sz="0" w:space="0" w:color="auto"/>
          </w:divBdr>
        </w:div>
        <w:div w:id="433550894">
          <w:marLeft w:val="0"/>
          <w:marRight w:val="0"/>
          <w:marTop w:val="120"/>
          <w:marBottom w:val="0"/>
          <w:divBdr>
            <w:top w:val="none" w:sz="0" w:space="0" w:color="auto"/>
            <w:left w:val="none" w:sz="0" w:space="0" w:color="auto"/>
            <w:bottom w:val="none" w:sz="0" w:space="0" w:color="auto"/>
            <w:right w:val="none" w:sz="0" w:space="0" w:color="auto"/>
          </w:divBdr>
        </w:div>
        <w:div w:id="436827904">
          <w:marLeft w:val="1134"/>
          <w:marRight w:val="0"/>
          <w:marTop w:val="60"/>
          <w:marBottom w:val="0"/>
          <w:divBdr>
            <w:top w:val="none" w:sz="0" w:space="0" w:color="auto"/>
            <w:left w:val="none" w:sz="0" w:space="0" w:color="auto"/>
            <w:bottom w:val="none" w:sz="0" w:space="0" w:color="auto"/>
            <w:right w:val="none" w:sz="0" w:space="0" w:color="auto"/>
          </w:divBdr>
        </w:div>
        <w:div w:id="536964572">
          <w:marLeft w:val="0"/>
          <w:marRight w:val="0"/>
          <w:marTop w:val="120"/>
          <w:marBottom w:val="0"/>
          <w:divBdr>
            <w:top w:val="none" w:sz="0" w:space="0" w:color="auto"/>
            <w:left w:val="none" w:sz="0" w:space="0" w:color="auto"/>
            <w:bottom w:val="none" w:sz="0" w:space="0" w:color="auto"/>
            <w:right w:val="none" w:sz="0" w:space="0" w:color="auto"/>
          </w:divBdr>
        </w:div>
        <w:div w:id="717901937">
          <w:marLeft w:val="0"/>
          <w:marRight w:val="0"/>
          <w:marTop w:val="240"/>
          <w:marBottom w:val="0"/>
          <w:divBdr>
            <w:top w:val="none" w:sz="0" w:space="0" w:color="auto"/>
            <w:left w:val="none" w:sz="0" w:space="0" w:color="auto"/>
            <w:bottom w:val="none" w:sz="0" w:space="0" w:color="auto"/>
            <w:right w:val="none" w:sz="0" w:space="0" w:color="auto"/>
          </w:divBdr>
        </w:div>
        <w:div w:id="943417992">
          <w:marLeft w:val="1134"/>
          <w:marRight w:val="0"/>
          <w:marTop w:val="60"/>
          <w:marBottom w:val="0"/>
          <w:divBdr>
            <w:top w:val="none" w:sz="0" w:space="0" w:color="auto"/>
            <w:left w:val="none" w:sz="0" w:space="0" w:color="auto"/>
            <w:bottom w:val="none" w:sz="0" w:space="0" w:color="auto"/>
            <w:right w:val="none" w:sz="0" w:space="0" w:color="auto"/>
          </w:divBdr>
        </w:div>
        <w:div w:id="1026641503">
          <w:marLeft w:val="0"/>
          <w:marRight w:val="0"/>
          <w:marTop w:val="120"/>
          <w:marBottom w:val="0"/>
          <w:divBdr>
            <w:top w:val="none" w:sz="0" w:space="0" w:color="auto"/>
            <w:left w:val="none" w:sz="0" w:space="0" w:color="auto"/>
            <w:bottom w:val="none" w:sz="0" w:space="0" w:color="auto"/>
            <w:right w:val="none" w:sz="0" w:space="0" w:color="auto"/>
          </w:divBdr>
        </w:div>
        <w:div w:id="1138183239">
          <w:marLeft w:val="1134"/>
          <w:marRight w:val="0"/>
          <w:marTop w:val="60"/>
          <w:marBottom w:val="0"/>
          <w:divBdr>
            <w:top w:val="none" w:sz="0" w:space="0" w:color="auto"/>
            <w:left w:val="none" w:sz="0" w:space="0" w:color="auto"/>
            <w:bottom w:val="none" w:sz="0" w:space="0" w:color="auto"/>
            <w:right w:val="none" w:sz="0" w:space="0" w:color="auto"/>
          </w:divBdr>
        </w:div>
        <w:div w:id="1467744690">
          <w:marLeft w:val="0"/>
          <w:marRight w:val="0"/>
          <w:marTop w:val="120"/>
          <w:marBottom w:val="0"/>
          <w:divBdr>
            <w:top w:val="none" w:sz="0" w:space="0" w:color="auto"/>
            <w:left w:val="none" w:sz="0" w:space="0" w:color="auto"/>
            <w:bottom w:val="none" w:sz="0" w:space="0" w:color="auto"/>
            <w:right w:val="none" w:sz="0" w:space="0" w:color="auto"/>
          </w:divBdr>
        </w:div>
        <w:div w:id="1751848970">
          <w:marLeft w:val="0"/>
          <w:marRight w:val="0"/>
          <w:marTop w:val="120"/>
          <w:marBottom w:val="0"/>
          <w:divBdr>
            <w:top w:val="none" w:sz="0" w:space="0" w:color="auto"/>
            <w:left w:val="none" w:sz="0" w:space="0" w:color="auto"/>
            <w:bottom w:val="none" w:sz="0" w:space="0" w:color="auto"/>
            <w:right w:val="none" w:sz="0" w:space="0" w:color="auto"/>
          </w:divBdr>
        </w:div>
        <w:div w:id="1836140496">
          <w:marLeft w:val="567"/>
          <w:marRight w:val="567"/>
          <w:marTop w:val="20"/>
          <w:marBottom w:val="2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aflii.org/za/cases/ZASCA/2012/13.html"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file:////nxt/foliolinks.asp%3ff=xhitlist&amp;xhitlist_x=Advanced&amp;xhitlist_vpc=first&amp;xhitlist_xsl=querylink.xsl&amp;xhitlist_sel=title;path;content-type;home-title&amp;xhitlist_d=%7bsalr%7d&amp;xhitlist_q=%5bfield%20folio-destination-name:'47486'%5d&amp;xhitlist_md=target-id=0-0-0-104111" TargetMode="External"/><Relationship Id="rId2" Type="http://schemas.openxmlformats.org/officeDocument/2006/relationships/hyperlink" Target="file:////nxt/foliolinks.asp%3ff=xhitlist&amp;xhitlist_x=Advanced&amp;xhitlist_vpc=first&amp;xhitlist_xsl=querylink.xsl&amp;xhitlist_sel=title;path;content-type;home-title&amp;xhitlist_d=%7bsalr%7d&amp;xhitlist_q=%5bfield%20folio-destination-name:'20143240'%5d&amp;xhitlist_md=target-id=0-0-0-10665" TargetMode="External"/><Relationship Id="rId1" Type="http://schemas.openxmlformats.org/officeDocument/2006/relationships/hyperlink" Target="file:////nxt/foliolinks.asp%3ff=xhitlist&amp;xhitlist_x=Advanced&amp;xhitlist_vpc=first&amp;xhitlist_xsl=querylink.xsl&amp;xhitlist_sel=title;path;content-type;home-title&amp;xhitlist_d=%7bsalr%7d&amp;xhitlist_q=%5bfield%20folio-destination-name:'082472'%5d&amp;xhitlist_md=target-id=0-0-0-4033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0DD623-35EF-484B-8C36-5E0355F9A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8555</Words>
  <Characters>48769</Characters>
  <Application>Microsoft Office Word</Application>
  <DocSecurity>0</DocSecurity>
  <Lines>406</Lines>
  <Paragraphs>114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57210</CharactersWithSpaces>
  <SharedDoc>false</SharedDoc>
  <HLinks>
    <vt:vector size="78" baseType="variant">
      <vt:variant>
        <vt:i4>7208996</vt:i4>
      </vt:variant>
      <vt:variant>
        <vt:i4>27</vt:i4>
      </vt:variant>
      <vt:variant>
        <vt:i4>0</vt:i4>
      </vt:variant>
      <vt:variant>
        <vt:i4>5</vt:i4>
      </vt:variant>
      <vt:variant>
        <vt:lpwstr>http://www.saflii.org/za/cases/ZASCA/2012/13.html</vt:lpwstr>
      </vt:variant>
      <vt:variant>
        <vt:lpwstr>sdfootnote16sym</vt:lpwstr>
      </vt:variant>
      <vt:variant>
        <vt:i4>6291492</vt:i4>
      </vt:variant>
      <vt:variant>
        <vt:i4>24</vt:i4>
      </vt:variant>
      <vt:variant>
        <vt:i4>0</vt:i4>
      </vt:variant>
      <vt:variant>
        <vt:i4>5</vt:i4>
      </vt:variant>
      <vt:variant>
        <vt:lpwstr>http://www.saflii.org/za/cases/ZASCA/2012/13.html</vt:lpwstr>
      </vt:variant>
      <vt:variant>
        <vt:lpwstr>sdfootnote18sym</vt:lpwstr>
      </vt:variant>
      <vt:variant>
        <vt:i4>7274532</vt:i4>
      </vt:variant>
      <vt:variant>
        <vt:i4>21</vt:i4>
      </vt:variant>
      <vt:variant>
        <vt:i4>0</vt:i4>
      </vt:variant>
      <vt:variant>
        <vt:i4>5</vt:i4>
      </vt:variant>
      <vt:variant>
        <vt:lpwstr>http://www.saflii.org/za/cases/ZASCA/2012/13.html</vt:lpwstr>
      </vt:variant>
      <vt:variant>
        <vt:lpwstr>sdfootnote17sym</vt:lpwstr>
      </vt:variant>
      <vt:variant>
        <vt:i4>7208996</vt:i4>
      </vt:variant>
      <vt:variant>
        <vt:i4>18</vt:i4>
      </vt:variant>
      <vt:variant>
        <vt:i4>0</vt:i4>
      </vt:variant>
      <vt:variant>
        <vt:i4>5</vt:i4>
      </vt:variant>
      <vt:variant>
        <vt:lpwstr>http://www.saflii.org/za/cases/ZASCA/2012/13.html</vt:lpwstr>
      </vt:variant>
      <vt:variant>
        <vt:lpwstr>sdfootnote16sym</vt:lpwstr>
      </vt:variant>
      <vt:variant>
        <vt:i4>7143460</vt:i4>
      </vt:variant>
      <vt:variant>
        <vt:i4>15</vt:i4>
      </vt:variant>
      <vt:variant>
        <vt:i4>0</vt:i4>
      </vt:variant>
      <vt:variant>
        <vt:i4>5</vt:i4>
      </vt:variant>
      <vt:variant>
        <vt:lpwstr>http://www.saflii.org/za/cases/ZASCA/2012/13.html</vt:lpwstr>
      </vt:variant>
      <vt:variant>
        <vt:lpwstr>sdfootnote15sym</vt:lpwstr>
      </vt:variant>
      <vt:variant>
        <vt:i4>7798858</vt:i4>
      </vt:variant>
      <vt:variant>
        <vt:i4>12</vt:i4>
      </vt:variant>
      <vt:variant>
        <vt:i4>0</vt:i4>
      </vt:variant>
      <vt:variant>
        <vt:i4>5</vt:i4>
      </vt:variant>
      <vt:variant>
        <vt:lpwstr>https://jutastat.juta.co.za/nxt/gateway.dll/salr/3/1320/1401/1404?f=templates&amp;fn=document-frameset.htm&amp;q=&amp;uq=&amp;x=&amp;up=1&amp;force=8752</vt:lpwstr>
      </vt:variant>
      <vt:variant>
        <vt:lpwstr>end_0-0-0-171955</vt:lpwstr>
      </vt:variant>
      <vt:variant>
        <vt:i4>7536714</vt:i4>
      </vt:variant>
      <vt:variant>
        <vt:i4>9</vt:i4>
      </vt:variant>
      <vt:variant>
        <vt:i4>0</vt:i4>
      </vt:variant>
      <vt:variant>
        <vt:i4>5</vt:i4>
      </vt:variant>
      <vt:variant>
        <vt:lpwstr>https://jutastat.juta.co.za/nxt/gateway.dll/salr/3/1320/1401/1404?f=templates&amp;fn=document-frameset.htm&amp;q=&amp;uq=&amp;x=&amp;up=1&amp;force=8752</vt:lpwstr>
      </vt:variant>
      <vt:variant>
        <vt:lpwstr>end_0-0-0-171951</vt:lpwstr>
      </vt:variant>
      <vt:variant>
        <vt:i4>7667787</vt:i4>
      </vt:variant>
      <vt:variant>
        <vt:i4>6</vt:i4>
      </vt:variant>
      <vt:variant>
        <vt:i4>0</vt:i4>
      </vt:variant>
      <vt:variant>
        <vt:i4>5</vt:i4>
      </vt:variant>
      <vt:variant>
        <vt:lpwstr>https://jutastat.juta.co.za/nxt/gateway.dll/salr/3/1320/1401/1404?f=templates&amp;fn=document-frameset.htm&amp;q=&amp;uq=&amp;x=&amp;up=1&amp;force=8752</vt:lpwstr>
      </vt:variant>
      <vt:variant>
        <vt:lpwstr>end_0-0-0-171947</vt:lpwstr>
      </vt:variant>
      <vt:variant>
        <vt:i4>7733318</vt:i4>
      </vt:variant>
      <vt:variant>
        <vt:i4>3</vt:i4>
      </vt:variant>
      <vt:variant>
        <vt:i4>0</vt:i4>
      </vt:variant>
      <vt:variant>
        <vt:i4>5</vt:i4>
      </vt:variant>
      <vt:variant>
        <vt:lpwstr>https://jutastat.juta.co.za/nxt/gateway.dll/salr/3/1320/1401/1404?f=templates&amp;fn=document-frameset.htm&amp;q=&amp;uq=&amp;x=&amp;up=1&amp;force=8752</vt:lpwstr>
      </vt:variant>
      <vt:variant>
        <vt:lpwstr>end_0-0-0-171895</vt:lpwstr>
      </vt:variant>
      <vt:variant>
        <vt:i4>2162786</vt:i4>
      </vt:variant>
      <vt:variant>
        <vt:i4>0</vt:i4>
      </vt:variant>
      <vt:variant>
        <vt:i4>0</vt:i4>
      </vt:variant>
      <vt:variant>
        <vt:i4>5</vt:i4>
      </vt:variant>
      <vt:variant>
        <vt:lpwstr>//nxt/foliolinks.asp?f=xhitlist&amp;xhitlist_x=Advanced&amp;xhitlist_vpc=first&amp;xhitlist_xsl=querylink.xsl&amp;xhitlist_sel=title;path;content-type;home-title&amp;xhitlist_d={statreg}&amp;xhitlist_q=[field folio-destination-name:'LJC_a28y2011s104(2)']&amp;xhitlist_md=target-id=0-0-0-541425</vt:lpwstr>
      </vt:variant>
      <vt:variant>
        <vt:lpwstr/>
      </vt:variant>
      <vt:variant>
        <vt:i4>852079</vt:i4>
      </vt:variant>
      <vt:variant>
        <vt:i4>6</vt:i4>
      </vt:variant>
      <vt:variant>
        <vt:i4>0</vt:i4>
      </vt:variant>
      <vt:variant>
        <vt:i4>5</vt:i4>
      </vt:variant>
      <vt:variant>
        <vt:lpwstr>//nxt/foliolinks.asp?f=xhitlist&amp;xhitlist_x=Advanced&amp;xhitlist_vpc=first&amp;xhitlist_xsl=querylink.xsl&amp;xhitlist_sel=title;path;content-type;home-title&amp;xhitlist_d={salr}&amp;xhitlist_q=[field folio-destination-name:'47486']&amp;xhitlist_md=target-id=0-0-0-104111</vt:lpwstr>
      </vt:variant>
      <vt:variant>
        <vt:lpwstr/>
      </vt:variant>
      <vt:variant>
        <vt:i4>3080262</vt:i4>
      </vt:variant>
      <vt:variant>
        <vt:i4>3</vt:i4>
      </vt:variant>
      <vt:variant>
        <vt:i4>0</vt:i4>
      </vt:variant>
      <vt:variant>
        <vt:i4>5</vt:i4>
      </vt:variant>
      <vt:variant>
        <vt:lpwstr>//nxt/foliolinks.asp?f=xhitlist&amp;xhitlist_x=Advanced&amp;xhitlist_vpc=first&amp;xhitlist_xsl=querylink.xsl&amp;xhitlist_sel=title;path;content-type;home-title&amp;xhitlist_d={salr}&amp;xhitlist_q=[field folio-destination-name:'20143240']&amp;xhitlist_md=target-id=0-0-0-10665</vt:lpwstr>
      </vt:variant>
      <vt:variant>
        <vt:lpwstr/>
      </vt:variant>
      <vt:variant>
        <vt:i4>1114226</vt:i4>
      </vt:variant>
      <vt:variant>
        <vt:i4>0</vt:i4>
      </vt:variant>
      <vt:variant>
        <vt:i4>0</vt:i4>
      </vt:variant>
      <vt:variant>
        <vt:i4>5</vt:i4>
      </vt:variant>
      <vt:variant>
        <vt:lpwstr>//nxt/foliolinks.asp?f=xhitlist&amp;xhitlist_x=Advanced&amp;xhitlist_vpc=first&amp;xhitlist_xsl=querylink.xsl&amp;xhitlist_sel=title;path;content-type;home-title&amp;xhitlist_d={salr}&amp;xhitlist_q=[field folio-destination-name:'082472']&amp;xhitlist_md=target-id=0-0-0-40333</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yvette</dc:creator>
  <cp:lastModifiedBy>Mokone</cp:lastModifiedBy>
  <cp:revision>2</cp:revision>
  <cp:lastPrinted>2023-04-24T08:24:00Z</cp:lastPrinted>
  <dcterms:created xsi:type="dcterms:W3CDTF">2023-05-01T06:46:00Z</dcterms:created>
  <dcterms:modified xsi:type="dcterms:W3CDTF">2023-05-01T06:46:00Z</dcterms:modified>
</cp:coreProperties>
</file>