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7FE31" w14:textId="77777777" w:rsidR="00A96A33" w:rsidRPr="00E92DE2" w:rsidRDefault="00A96A33" w:rsidP="00A96A33">
      <w:pPr>
        <w:spacing w:line="360" w:lineRule="auto"/>
        <w:rPr>
          <w:rFonts w:ascii="Arial" w:hAnsi="Arial" w:cs="Arial"/>
          <w:b/>
        </w:rPr>
      </w:pPr>
    </w:p>
    <w:p w14:paraId="7B0F8D4A" w14:textId="77777777" w:rsidR="00A96A33" w:rsidRPr="00E92DE2" w:rsidRDefault="00A96A33" w:rsidP="00A96A33">
      <w:pPr>
        <w:spacing w:line="360" w:lineRule="auto"/>
        <w:jc w:val="center"/>
        <w:rPr>
          <w:rFonts w:ascii="Arial" w:hAnsi="Arial" w:cs="Arial"/>
          <w:b/>
        </w:rPr>
      </w:pPr>
      <w:r w:rsidRPr="00E92DE2">
        <w:rPr>
          <w:rFonts w:ascii="Arial" w:hAnsi="Arial" w:cs="Arial"/>
          <w:b/>
        </w:rPr>
        <w:t xml:space="preserve"> </w:t>
      </w:r>
    </w:p>
    <w:p w14:paraId="1EAC5AE1" w14:textId="77777777" w:rsidR="00A96A33" w:rsidRPr="009E60F5" w:rsidRDefault="00A96A33" w:rsidP="00A96A33">
      <w:pPr>
        <w:spacing w:line="360" w:lineRule="auto"/>
        <w:jc w:val="center"/>
        <w:rPr>
          <w:rFonts w:ascii="Arial" w:hAnsi="Arial" w:cs="Arial"/>
          <w:b/>
        </w:rPr>
      </w:pPr>
      <w:r w:rsidRPr="009E60F5">
        <w:rPr>
          <w:rFonts w:ascii="Arial" w:hAnsi="Arial" w:cs="Arial"/>
          <w:b/>
        </w:rPr>
        <w:t xml:space="preserve">    IN THE HIGH COURT OF SOUTH AFRICA</w:t>
      </w:r>
    </w:p>
    <w:p w14:paraId="55271B1D" w14:textId="77777777" w:rsidR="00A96A33" w:rsidRPr="009E60F5" w:rsidRDefault="00A96A33" w:rsidP="00A96A33">
      <w:pPr>
        <w:spacing w:line="360" w:lineRule="auto"/>
        <w:jc w:val="center"/>
        <w:rPr>
          <w:rFonts w:ascii="Arial" w:hAnsi="Arial" w:cs="Arial"/>
          <w:b/>
        </w:rPr>
      </w:pPr>
      <w:r w:rsidRPr="009E60F5">
        <w:rPr>
          <w:rFonts w:ascii="Arial" w:hAnsi="Arial" w:cs="Arial"/>
          <w:b/>
        </w:rPr>
        <w:t>GAUTENG DIVISION PRETORIA</w:t>
      </w:r>
    </w:p>
    <w:p w14:paraId="58481C46" w14:textId="77777777" w:rsidR="00A96A33" w:rsidRPr="009E60F5" w:rsidRDefault="00A96A33" w:rsidP="00A96A33">
      <w:pPr>
        <w:spacing w:line="360" w:lineRule="auto"/>
        <w:jc w:val="center"/>
        <w:rPr>
          <w:rFonts w:ascii="Arial" w:hAnsi="Arial" w:cs="Arial"/>
          <w:b/>
        </w:rPr>
      </w:pPr>
    </w:p>
    <w:p w14:paraId="6171831E" w14:textId="77777777" w:rsidR="00A96A33" w:rsidRPr="009E60F5" w:rsidRDefault="00A96A33" w:rsidP="00A96A33">
      <w:pPr>
        <w:spacing w:line="360" w:lineRule="auto"/>
        <w:jc w:val="right"/>
        <w:rPr>
          <w:rFonts w:ascii="Arial" w:hAnsi="Arial" w:cs="Arial"/>
          <w:b/>
          <w:i/>
        </w:rPr>
      </w:pPr>
      <w:r w:rsidRPr="009E60F5">
        <w:rPr>
          <w:rFonts w:ascii="Arial" w:hAnsi="Arial" w:cs="Arial"/>
          <w:b/>
          <w:noProof/>
          <w:lang w:val="en-US"/>
        </w:rPr>
        <mc:AlternateContent>
          <mc:Choice Requires="wps">
            <w:drawing>
              <wp:anchor distT="0" distB="0" distL="114300" distR="114300" simplePos="0" relativeHeight="251659264" behindDoc="0" locked="0" layoutInCell="1" allowOverlap="1" wp14:anchorId="4A6F374A" wp14:editId="27A8DF83">
                <wp:simplePos x="0" y="0"/>
                <wp:positionH relativeFrom="column">
                  <wp:posOffset>-2540</wp:posOffset>
                </wp:positionH>
                <wp:positionV relativeFrom="paragraph">
                  <wp:posOffset>7620</wp:posOffset>
                </wp:positionV>
                <wp:extent cx="3286760" cy="1344930"/>
                <wp:effectExtent l="0" t="0" r="2794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1344930"/>
                        </a:xfrm>
                        <a:prstGeom prst="rect">
                          <a:avLst/>
                        </a:prstGeom>
                        <a:solidFill>
                          <a:srgbClr val="FFFFFF"/>
                        </a:solidFill>
                        <a:ln w="9525">
                          <a:solidFill>
                            <a:srgbClr val="000000"/>
                          </a:solidFill>
                          <a:miter lim="800000"/>
                          <a:headEnd/>
                          <a:tailEnd/>
                        </a:ln>
                      </wps:spPr>
                      <wps:txbx>
                        <w:txbxContent>
                          <w:p w14:paraId="2D4BDE3A" w14:textId="7C017F55" w:rsidR="00A96A33" w:rsidRDefault="00096596" w:rsidP="00096596">
                            <w:pPr>
                              <w:tabs>
                                <w:tab w:val="left" w:pos="900"/>
                              </w:tabs>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A96A33">
                              <w:rPr>
                                <w:rFonts w:ascii="Century Gothic" w:hAnsi="Century Gothic"/>
                                <w:sz w:val="20"/>
                                <w:szCs w:val="20"/>
                              </w:rPr>
                              <w:t xml:space="preserve">REPORTABLE:  </w:t>
                            </w:r>
                            <w:r w:rsidR="002A1A3E">
                              <w:rPr>
                                <w:rFonts w:ascii="Century Gothic" w:hAnsi="Century Gothic"/>
                                <w:sz w:val="20"/>
                                <w:szCs w:val="20"/>
                              </w:rPr>
                              <w:t>NO</w:t>
                            </w:r>
                          </w:p>
                          <w:p w14:paraId="5299333B" w14:textId="17AA5166" w:rsidR="00A96A33" w:rsidRDefault="00096596" w:rsidP="00096596">
                            <w:pPr>
                              <w:tabs>
                                <w:tab w:val="left" w:pos="900"/>
                              </w:tabs>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A96A33">
                              <w:rPr>
                                <w:rFonts w:ascii="Century Gothic" w:hAnsi="Century Gothic"/>
                                <w:sz w:val="20"/>
                                <w:szCs w:val="20"/>
                              </w:rPr>
                              <w:t xml:space="preserve">OF INTEREST TO OTHER JUDGES: </w:t>
                            </w:r>
                            <w:r w:rsidR="002A1A3E">
                              <w:rPr>
                                <w:rFonts w:ascii="Century Gothic" w:hAnsi="Century Gothic"/>
                                <w:sz w:val="20"/>
                                <w:szCs w:val="20"/>
                              </w:rPr>
                              <w:t>NO</w:t>
                            </w:r>
                          </w:p>
                          <w:p w14:paraId="5A4F484E" w14:textId="423F764D" w:rsidR="00A96A33" w:rsidRDefault="00096596" w:rsidP="00096596">
                            <w:pPr>
                              <w:tabs>
                                <w:tab w:val="left" w:pos="900"/>
                              </w:tabs>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A96A33">
                              <w:rPr>
                                <w:rFonts w:ascii="Century Gothic" w:hAnsi="Century Gothic"/>
                                <w:sz w:val="20"/>
                                <w:szCs w:val="20"/>
                              </w:rPr>
                              <w:t>REVISED</w:t>
                            </w:r>
                          </w:p>
                          <w:p w14:paraId="2E95CB6D" w14:textId="77777777" w:rsidR="00A96A33" w:rsidRDefault="00A96A33" w:rsidP="00A96A33">
                            <w:pPr>
                              <w:rPr>
                                <w:rFonts w:ascii="Century Gothic" w:hAnsi="Century Gothic"/>
                                <w:b/>
                                <w:sz w:val="18"/>
                                <w:szCs w:val="18"/>
                              </w:rPr>
                            </w:pPr>
                          </w:p>
                          <w:p w14:paraId="43A9EE70" w14:textId="77777777" w:rsidR="00A96A33" w:rsidRDefault="00A96A33" w:rsidP="00A96A33">
                            <w:pPr>
                              <w:rPr>
                                <w:rFonts w:ascii="Century Gothic" w:hAnsi="Century Gothic"/>
                                <w:b/>
                                <w:sz w:val="18"/>
                                <w:szCs w:val="18"/>
                              </w:rPr>
                            </w:pPr>
                          </w:p>
                          <w:p w14:paraId="692D105B" w14:textId="60B5D4CB" w:rsidR="00A96A33" w:rsidRDefault="00D13750" w:rsidP="00A96A33">
                            <w:pPr>
                              <w:rPr>
                                <w:rFonts w:ascii="Century Gothic" w:hAnsi="Century Gothic"/>
                                <w:b/>
                                <w:sz w:val="18"/>
                                <w:szCs w:val="18"/>
                              </w:rPr>
                            </w:pPr>
                            <w:r>
                              <w:rPr>
                                <w:rFonts w:ascii="Century Gothic" w:hAnsi="Century Gothic"/>
                                <w:b/>
                                <w:sz w:val="18"/>
                                <w:szCs w:val="18"/>
                              </w:rPr>
                              <w:t xml:space="preserve">      </w:t>
                            </w:r>
                            <w:r w:rsidR="001721C3">
                              <w:rPr>
                                <w:rFonts w:ascii="Century Gothic" w:hAnsi="Century Gothic"/>
                                <w:b/>
                                <w:sz w:val="18"/>
                                <w:szCs w:val="18"/>
                              </w:rPr>
                              <w:t xml:space="preserve">14 </w:t>
                            </w:r>
                            <w:r w:rsidR="00804046">
                              <w:rPr>
                                <w:rFonts w:ascii="Century Gothic" w:hAnsi="Century Gothic"/>
                                <w:b/>
                                <w:sz w:val="18"/>
                                <w:szCs w:val="18"/>
                              </w:rPr>
                              <w:t>April</w:t>
                            </w:r>
                            <w:r>
                              <w:rPr>
                                <w:rFonts w:ascii="Century Gothic" w:hAnsi="Century Gothic"/>
                                <w:b/>
                                <w:sz w:val="18"/>
                                <w:szCs w:val="18"/>
                              </w:rPr>
                              <w:t xml:space="preserve"> </w:t>
                            </w:r>
                            <w:r w:rsidR="00960D9C">
                              <w:rPr>
                                <w:rFonts w:ascii="Century Gothic" w:hAnsi="Century Gothic"/>
                                <w:b/>
                                <w:sz w:val="18"/>
                                <w:szCs w:val="18"/>
                              </w:rPr>
                              <w:t>2023</w:t>
                            </w:r>
                          </w:p>
                          <w:p w14:paraId="00D972D1" w14:textId="77777777" w:rsidR="00A96A33" w:rsidRDefault="00A96A33" w:rsidP="00A96A33">
                            <w:pPr>
                              <w:rPr>
                                <w:rFonts w:ascii="Century Gothic" w:hAnsi="Century Gothic"/>
                                <w:b/>
                                <w:sz w:val="18"/>
                                <w:szCs w:val="18"/>
                              </w:rPr>
                            </w:pPr>
                            <w:r>
                              <w:rPr>
                                <w:rFonts w:ascii="Century Gothic" w:hAnsi="Century Gothic"/>
                                <w:b/>
                                <w:sz w:val="18"/>
                                <w:szCs w:val="18"/>
                              </w:rPr>
                              <w:t xml:space="preserve"> ………...............................         …………………………….</w:t>
                            </w:r>
                          </w:p>
                          <w:p w14:paraId="311663CA" w14:textId="77777777" w:rsidR="00A96A33" w:rsidRDefault="00A96A33" w:rsidP="00A96A33">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F374A" id="_x0000_t202" coordsize="21600,21600" o:spt="202" path="m,l,21600r21600,l21600,xe">
                <v:stroke joinstyle="miter"/>
                <v:path gradientshapeok="t" o:connecttype="rect"/>
              </v:shapetype>
              <v:shape id="Text Box 2" o:spid="_x0000_s1026" type="#_x0000_t202" style="position:absolute;left:0;text-align:left;margin-left:-.2pt;margin-top:.6pt;width:258.8pt;height:10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MPKw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mlOiWEa&#10;JXoSfSBvoSd5ZKezvsCgR4thocdjVDlV6u0D8G+eGNi2zOzFnXPQtYLVmN0k3syurg44PoJU3Ueo&#10;8Rl2CJCA+sbpSB2SQRAdVTpdlImpcDyc5svFzQJdHH2T6Wy2mibtMlY8X7fOh/cCNImbkjqUPsGz&#10;44MPMR1WPIfE1zwoWe+kUslw+2qrHDkybJNd+lIFL8KUIV1JV/N8PjDwV4hx+v4EoWXAfldSl3R5&#10;CWJF5O2dqVM3BibVsMeUlTkTGbkbWAx91Z+FqaA+IaUOhr7GOcRNC+4HJR32dEn99wNzghL1waAs&#10;q8lsFocgGbP5TY6Gu/ZU1x5mOEKVNFAybLdhGJyDdXLf4ktDIxi4QykbmUiOmg9ZnfPGvk3cn2cs&#10;Dsa1naJ+/Qk2PwEAAP//AwBQSwMEFAAGAAgAAAAhAEL2aCveAAAABwEAAA8AAABkcnMvZG93bnJl&#10;di54bWxMjsFOwzAQRO9I/IO1SFxQ6yQtbQlxKoQEojdoK7i68TaJiNfBdtPw9ywnuM3OjGZfsR5t&#10;Jwb0oXWkIJ0mIJAqZ1qqFex3T5MViBA1Gd05QgXfGGBdXl4UOjfuTG84bGMteIRCrhU0Mfa5lKFq&#10;0OowdT0SZ0fnrY58+loar888bjuZJclCWt0Sf2h0j48NVp/bk1Wwmr8MH2Eze32vFsfuLt4sh+cv&#10;r9T11fhwDyLiGP/K8IvP6FAy08GdyATRKZjMuch2BoLT23TJ4qAgS2cJyLKQ//nLHwAAAP//AwBQ&#10;SwECLQAUAAYACAAAACEAtoM4kv4AAADhAQAAEwAAAAAAAAAAAAAAAAAAAAAAW0NvbnRlbnRfVHlw&#10;ZXNdLnhtbFBLAQItABQABgAIAAAAIQA4/SH/1gAAAJQBAAALAAAAAAAAAAAAAAAAAC8BAABfcmVs&#10;cy8ucmVsc1BLAQItABQABgAIAAAAIQAnboMPKwIAAFEEAAAOAAAAAAAAAAAAAAAAAC4CAABkcnMv&#10;ZTJvRG9jLnhtbFBLAQItABQABgAIAAAAIQBC9mgr3gAAAAcBAAAPAAAAAAAAAAAAAAAAAIUEAABk&#10;cnMvZG93bnJldi54bWxQSwUGAAAAAAQABADzAAAAkAUAAAAA&#10;">
                <v:textbox>
                  <w:txbxContent>
                    <w:p w14:paraId="2D4BDE3A" w14:textId="7C017F55" w:rsidR="00A96A33" w:rsidRDefault="00096596" w:rsidP="00096596">
                      <w:pPr>
                        <w:tabs>
                          <w:tab w:val="left" w:pos="900"/>
                        </w:tabs>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A96A33">
                        <w:rPr>
                          <w:rFonts w:ascii="Century Gothic" w:hAnsi="Century Gothic"/>
                          <w:sz w:val="20"/>
                          <w:szCs w:val="20"/>
                        </w:rPr>
                        <w:t xml:space="preserve">REPORTABLE:  </w:t>
                      </w:r>
                      <w:r w:rsidR="002A1A3E">
                        <w:rPr>
                          <w:rFonts w:ascii="Century Gothic" w:hAnsi="Century Gothic"/>
                          <w:sz w:val="20"/>
                          <w:szCs w:val="20"/>
                        </w:rPr>
                        <w:t>NO</w:t>
                      </w:r>
                    </w:p>
                    <w:p w14:paraId="5299333B" w14:textId="17AA5166" w:rsidR="00A96A33" w:rsidRDefault="00096596" w:rsidP="00096596">
                      <w:pPr>
                        <w:tabs>
                          <w:tab w:val="left" w:pos="900"/>
                        </w:tabs>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A96A33">
                        <w:rPr>
                          <w:rFonts w:ascii="Century Gothic" w:hAnsi="Century Gothic"/>
                          <w:sz w:val="20"/>
                          <w:szCs w:val="20"/>
                        </w:rPr>
                        <w:t xml:space="preserve">OF INTEREST TO OTHER JUDGES: </w:t>
                      </w:r>
                      <w:r w:rsidR="002A1A3E">
                        <w:rPr>
                          <w:rFonts w:ascii="Century Gothic" w:hAnsi="Century Gothic"/>
                          <w:sz w:val="20"/>
                          <w:szCs w:val="20"/>
                        </w:rPr>
                        <w:t>NO</w:t>
                      </w:r>
                    </w:p>
                    <w:p w14:paraId="5A4F484E" w14:textId="423F764D" w:rsidR="00A96A33" w:rsidRDefault="00096596" w:rsidP="00096596">
                      <w:pPr>
                        <w:tabs>
                          <w:tab w:val="left" w:pos="900"/>
                        </w:tabs>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A96A33">
                        <w:rPr>
                          <w:rFonts w:ascii="Century Gothic" w:hAnsi="Century Gothic"/>
                          <w:sz w:val="20"/>
                          <w:szCs w:val="20"/>
                        </w:rPr>
                        <w:t>REVISED</w:t>
                      </w:r>
                    </w:p>
                    <w:p w14:paraId="2E95CB6D" w14:textId="77777777" w:rsidR="00A96A33" w:rsidRDefault="00A96A33" w:rsidP="00A96A33">
                      <w:pPr>
                        <w:rPr>
                          <w:rFonts w:ascii="Century Gothic" w:hAnsi="Century Gothic"/>
                          <w:b/>
                          <w:sz w:val="18"/>
                          <w:szCs w:val="18"/>
                        </w:rPr>
                      </w:pPr>
                    </w:p>
                    <w:p w14:paraId="43A9EE70" w14:textId="77777777" w:rsidR="00A96A33" w:rsidRDefault="00A96A33" w:rsidP="00A96A33">
                      <w:pPr>
                        <w:rPr>
                          <w:rFonts w:ascii="Century Gothic" w:hAnsi="Century Gothic"/>
                          <w:b/>
                          <w:sz w:val="18"/>
                          <w:szCs w:val="18"/>
                        </w:rPr>
                      </w:pPr>
                    </w:p>
                    <w:p w14:paraId="692D105B" w14:textId="60B5D4CB" w:rsidR="00A96A33" w:rsidRDefault="00D13750" w:rsidP="00A96A33">
                      <w:pPr>
                        <w:rPr>
                          <w:rFonts w:ascii="Century Gothic" w:hAnsi="Century Gothic"/>
                          <w:b/>
                          <w:sz w:val="18"/>
                          <w:szCs w:val="18"/>
                        </w:rPr>
                      </w:pPr>
                      <w:r>
                        <w:rPr>
                          <w:rFonts w:ascii="Century Gothic" w:hAnsi="Century Gothic"/>
                          <w:b/>
                          <w:sz w:val="18"/>
                          <w:szCs w:val="18"/>
                        </w:rPr>
                        <w:t xml:space="preserve">      </w:t>
                      </w:r>
                      <w:r w:rsidR="001721C3">
                        <w:rPr>
                          <w:rFonts w:ascii="Century Gothic" w:hAnsi="Century Gothic"/>
                          <w:b/>
                          <w:sz w:val="18"/>
                          <w:szCs w:val="18"/>
                        </w:rPr>
                        <w:t xml:space="preserve">14 </w:t>
                      </w:r>
                      <w:r w:rsidR="00804046">
                        <w:rPr>
                          <w:rFonts w:ascii="Century Gothic" w:hAnsi="Century Gothic"/>
                          <w:b/>
                          <w:sz w:val="18"/>
                          <w:szCs w:val="18"/>
                        </w:rPr>
                        <w:t>April</w:t>
                      </w:r>
                      <w:r>
                        <w:rPr>
                          <w:rFonts w:ascii="Century Gothic" w:hAnsi="Century Gothic"/>
                          <w:b/>
                          <w:sz w:val="18"/>
                          <w:szCs w:val="18"/>
                        </w:rPr>
                        <w:t xml:space="preserve"> </w:t>
                      </w:r>
                      <w:r w:rsidR="00960D9C">
                        <w:rPr>
                          <w:rFonts w:ascii="Century Gothic" w:hAnsi="Century Gothic"/>
                          <w:b/>
                          <w:sz w:val="18"/>
                          <w:szCs w:val="18"/>
                        </w:rPr>
                        <w:t>2023</w:t>
                      </w:r>
                    </w:p>
                    <w:p w14:paraId="00D972D1" w14:textId="77777777" w:rsidR="00A96A33" w:rsidRDefault="00A96A33" w:rsidP="00A96A33">
                      <w:pPr>
                        <w:rPr>
                          <w:rFonts w:ascii="Century Gothic" w:hAnsi="Century Gothic"/>
                          <w:b/>
                          <w:sz w:val="18"/>
                          <w:szCs w:val="18"/>
                        </w:rPr>
                      </w:pPr>
                      <w:r>
                        <w:rPr>
                          <w:rFonts w:ascii="Century Gothic" w:hAnsi="Century Gothic"/>
                          <w:b/>
                          <w:sz w:val="18"/>
                          <w:szCs w:val="18"/>
                        </w:rPr>
                        <w:t xml:space="preserve"> ………...............................         …………………………….</w:t>
                      </w:r>
                    </w:p>
                    <w:p w14:paraId="311663CA" w14:textId="77777777" w:rsidR="00A96A33" w:rsidRDefault="00A96A33" w:rsidP="00A96A33">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v:shape>
            </w:pict>
          </mc:Fallback>
        </mc:AlternateContent>
      </w:r>
    </w:p>
    <w:p w14:paraId="5ABFFFFF" w14:textId="77777777" w:rsidR="00A96A33" w:rsidRPr="009E60F5" w:rsidRDefault="00A96A33" w:rsidP="00A96A33">
      <w:pPr>
        <w:pStyle w:val="Heading1"/>
        <w:tabs>
          <w:tab w:val="clear" w:pos="540"/>
        </w:tabs>
        <w:ind w:right="-29"/>
        <w:jc w:val="right"/>
        <w:rPr>
          <w:rFonts w:ascii="Arial" w:hAnsi="Arial" w:cs="Arial"/>
        </w:rPr>
      </w:pPr>
    </w:p>
    <w:p w14:paraId="12CCBB45" w14:textId="77777777" w:rsidR="00A96A33" w:rsidRPr="009E60F5" w:rsidRDefault="00A96A33" w:rsidP="00A96A33">
      <w:pPr>
        <w:pStyle w:val="Heading1"/>
        <w:tabs>
          <w:tab w:val="clear" w:pos="540"/>
        </w:tabs>
        <w:ind w:right="-29"/>
        <w:jc w:val="right"/>
        <w:rPr>
          <w:rFonts w:ascii="Arial" w:hAnsi="Arial" w:cs="Arial"/>
        </w:rPr>
      </w:pPr>
    </w:p>
    <w:p w14:paraId="5339138B" w14:textId="77777777" w:rsidR="00A96A33" w:rsidRPr="009E60F5" w:rsidRDefault="00A96A33" w:rsidP="00A96A33">
      <w:pPr>
        <w:jc w:val="center"/>
        <w:rPr>
          <w:rFonts w:ascii="Arial" w:hAnsi="Arial" w:cs="Arial"/>
          <w:b/>
        </w:rPr>
      </w:pPr>
    </w:p>
    <w:p w14:paraId="4FAF8E4B" w14:textId="77777777" w:rsidR="00A96A33" w:rsidRPr="009E60F5" w:rsidRDefault="00A96A33" w:rsidP="00A96A33">
      <w:pPr>
        <w:jc w:val="center"/>
        <w:rPr>
          <w:rFonts w:ascii="Arial" w:hAnsi="Arial" w:cs="Arial"/>
          <w:b/>
        </w:rPr>
      </w:pPr>
    </w:p>
    <w:p w14:paraId="1CF2A213" w14:textId="77777777" w:rsidR="00A96A33" w:rsidRPr="009E60F5" w:rsidRDefault="00A96A33" w:rsidP="00A96A33">
      <w:pPr>
        <w:jc w:val="both"/>
        <w:rPr>
          <w:rFonts w:ascii="Arial" w:hAnsi="Arial" w:cs="Arial"/>
        </w:rPr>
      </w:pPr>
    </w:p>
    <w:p w14:paraId="234069AD" w14:textId="77777777" w:rsidR="00A96A33" w:rsidRPr="009E60F5" w:rsidRDefault="00A96A33" w:rsidP="00A96A33">
      <w:pPr>
        <w:jc w:val="both"/>
        <w:rPr>
          <w:rFonts w:ascii="Arial" w:hAnsi="Arial" w:cs="Arial"/>
        </w:rPr>
      </w:pPr>
    </w:p>
    <w:tbl>
      <w:tblPr>
        <w:tblW w:w="9073" w:type="dxa"/>
        <w:tblInd w:w="-142" w:type="dxa"/>
        <w:tblLook w:val="01E0" w:firstRow="1" w:lastRow="1" w:firstColumn="1" w:lastColumn="1" w:noHBand="0" w:noVBand="0"/>
      </w:tblPr>
      <w:tblGrid>
        <w:gridCol w:w="34"/>
        <w:gridCol w:w="5778"/>
        <w:gridCol w:w="3261"/>
      </w:tblGrid>
      <w:tr w:rsidR="00A96A33" w:rsidRPr="009E60F5" w14:paraId="557BCC7E" w14:textId="77777777" w:rsidTr="001E46C7">
        <w:tc>
          <w:tcPr>
            <w:tcW w:w="5812" w:type="dxa"/>
            <w:gridSpan w:val="2"/>
            <w:shd w:val="clear" w:color="auto" w:fill="auto"/>
          </w:tcPr>
          <w:p w14:paraId="7922E337" w14:textId="77777777" w:rsidR="00A96A33" w:rsidRPr="009E60F5" w:rsidRDefault="00A96A33" w:rsidP="001E46C7">
            <w:pPr>
              <w:widowControl w:val="0"/>
              <w:spacing w:line="360" w:lineRule="auto"/>
              <w:rPr>
                <w:rFonts w:ascii="Arial" w:hAnsi="Arial" w:cs="Arial"/>
              </w:rPr>
            </w:pPr>
          </w:p>
        </w:tc>
        <w:tc>
          <w:tcPr>
            <w:tcW w:w="3261" w:type="dxa"/>
            <w:shd w:val="clear" w:color="auto" w:fill="auto"/>
          </w:tcPr>
          <w:p w14:paraId="4A73BF39" w14:textId="569C9A1C" w:rsidR="00A96A33" w:rsidRPr="009E60F5" w:rsidRDefault="00A96A33" w:rsidP="001E46C7">
            <w:pPr>
              <w:widowControl w:val="0"/>
              <w:spacing w:line="360" w:lineRule="auto"/>
              <w:jc w:val="right"/>
              <w:rPr>
                <w:rFonts w:ascii="Arial" w:hAnsi="Arial" w:cs="Arial"/>
                <w:b/>
              </w:rPr>
            </w:pPr>
            <w:r w:rsidRPr="009E60F5">
              <w:rPr>
                <w:rFonts w:ascii="Arial" w:hAnsi="Arial" w:cs="Arial"/>
                <w:b/>
              </w:rPr>
              <w:t xml:space="preserve">Case Number: </w:t>
            </w:r>
            <w:r w:rsidR="00A90B49">
              <w:rPr>
                <w:rFonts w:ascii="Arial" w:hAnsi="Arial" w:cs="Arial"/>
                <w:b/>
                <w:bCs/>
              </w:rPr>
              <w:t>53241/2021</w:t>
            </w:r>
          </w:p>
        </w:tc>
      </w:tr>
      <w:tr w:rsidR="00A96A33" w:rsidRPr="009E60F5" w14:paraId="178E2EB8" w14:textId="77777777" w:rsidTr="001E46C7">
        <w:tc>
          <w:tcPr>
            <w:tcW w:w="5812" w:type="dxa"/>
            <w:gridSpan w:val="2"/>
            <w:shd w:val="clear" w:color="auto" w:fill="auto"/>
          </w:tcPr>
          <w:p w14:paraId="0960CF00" w14:textId="77777777" w:rsidR="00A96A33" w:rsidRPr="009E60F5" w:rsidRDefault="00A96A33" w:rsidP="001E46C7">
            <w:pPr>
              <w:widowControl w:val="0"/>
              <w:spacing w:line="360" w:lineRule="auto"/>
              <w:rPr>
                <w:rFonts w:ascii="Arial" w:hAnsi="Arial" w:cs="Arial"/>
              </w:rPr>
            </w:pPr>
          </w:p>
        </w:tc>
        <w:tc>
          <w:tcPr>
            <w:tcW w:w="3261" w:type="dxa"/>
            <w:shd w:val="clear" w:color="auto" w:fill="auto"/>
          </w:tcPr>
          <w:p w14:paraId="61F1E294" w14:textId="77777777" w:rsidR="00A96A33" w:rsidRPr="009E60F5" w:rsidRDefault="00A96A33" w:rsidP="001E46C7">
            <w:pPr>
              <w:widowControl w:val="0"/>
              <w:spacing w:line="360" w:lineRule="auto"/>
              <w:jc w:val="right"/>
              <w:rPr>
                <w:rFonts w:ascii="Arial" w:hAnsi="Arial" w:cs="Arial"/>
                <w:b/>
              </w:rPr>
            </w:pPr>
          </w:p>
        </w:tc>
      </w:tr>
      <w:tr w:rsidR="00A96A33" w:rsidRPr="009E60F5" w14:paraId="0E20CF1D" w14:textId="77777777" w:rsidTr="001E46C7">
        <w:tblPrEx>
          <w:tblLook w:val="0000" w:firstRow="0" w:lastRow="0" w:firstColumn="0" w:lastColumn="0" w:noHBand="0" w:noVBand="0"/>
        </w:tblPrEx>
        <w:trPr>
          <w:gridBefore w:val="1"/>
          <w:wBefore w:w="34" w:type="dxa"/>
        </w:trPr>
        <w:tc>
          <w:tcPr>
            <w:tcW w:w="5778" w:type="dxa"/>
            <w:tcBorders>
              <w:top w:val="nil"/>
              <w:left w:val="nil"/>
              <w:bottom w:val="nil"/>
              <w:right w:val="nil"/>
            </w:tcBorders>
          </w:tcPr>
          <w:p w14:paraId="41B4D4AD" w14:textId="1DE369AB" w:rsidR="00D53522" w:rsidRDefault="00A90B49" w:rsidP="001E46C7">
            <w:pPr>
              <w:widowControl w:val="0"/>
              <w:spacing w:line="360" w:lineRule="auto"/>
              <w:rPr>
                <w:rFonts w:ascii="Arial" w:hAnsi="Arial" w:cs="Arial"/>
                <w:b/>
                <w:bCs/>
              </w:rPr>
            </w:pPr>
            <w:r>
              <w:rPr>
                <w:rFonts w:ascii="Arial" w:hAnsi="Arial" w:cs="Arial"/>
                <w:b/>
                <w:bCs/>
              </w:rPr>
              <w:t>J</w:t>
            </w:r>
            <w:r w:rsidR="00EC0A01">
              <w:rPr>
                <w:rFonts w:ascii="Arial" w:hAnsi="Arial" w:cs="Arial"/>
                <w:b/>
                <w:bCs/>
              </w:rPr>
              <w:t xml:space="preserve">ACOBUS </w:t>
            </w:r>
            <w:r>
              <w:rPr>
                <w:rFonts w:ascii="Arial" w:hAnsi="Arial" w:cs="Arial"/>
                <w:b/>
                <w:bCs/>
              </w:rPr>
              <w:t>P</w:t>
            </w:r>
            <w:r w:rsidR="00EC0A01">
              <w:rPr>
                <w:rFonts w:ascii="Arial" w:hAnsi="Arial" w:cs="Arial"/>
                <w:b/>
                <w:bCs/>
              </w:rPr>
              <w:t>ETRUS</w:t>
            </w:r>
            <w:r>
              <w:rPr>
                <w:rFonts w:ascii="Arial" w:hAnsi="Arial" w:cs="Arial"/>
                <w:b/>
                <w:bCs/>
              </w:rPr>
              <w:t xml:space="preserve"> FOURIE N.O.</w:t>
            </w:r>
          </w:p>
          <w:p w14:paraId="44A31259" w14:textId="57CAC232" w:rsidR="00A90B49" w:rsidRPr="009E60F5" w:rsidRDefault="00A90B49" w:rsidP="001E46C7">
            <w:pPr>
              <w:widowControl w:val="0"/>
              <w:spacing w:line="360" w:lineRule="auto"/>
              <w:rPr>
                <w:rFonts w:ascii="Arial" w:hAnsi="Arial" w:cs="Arial"/>
                <w:b/>
                <w:bCs/>
              </w:rPr>
            </w:pPr>
            <w:r>
              <w:rPr>
                <w:rFonts w:ascii="Arial" w:hAnsi="Arial" w:cs="Arial"/>
                <w:b/>
                <w:bCs/>
              </w:rPr>
              <w:t>and two others</w:t>
            </w:r>
          </w:p>
        </w:tc>
        <w:tc>
          <w:tcPr>
            <w:tcW w:w="3261" w:type="dxa"/>
            <w:tcBorders>
              <w:top w:val="nil"/>
              <w:left w:val="nil"/>
              <w:bottom w:val="nil"/>
              <w:right w:val="nil"/>
            </w:tcBorders>
          </w:tcPr>
          <w:p w14:paraId="3F03C171" w14:textId="6783FC61" w:rsidR="00A96A33" w:rsidRPr="009E60F5" w:rsidRDefault="00A90B49" w:rsidP="000012D8">
            <w:pPr>
              <w:widowControl w:val="0"/>
              <w:spacing w:line="360" w:lineRule="auto"/>
              <w:jc w:val="right"/>
              <w:rPr>
                <w:rFonts w:ascii="Arial" w:hAnsi="Arial" w:cs="Arial"/>
              </w:rPr>
            </w:pPr>
            <w:r>
              <w:rPr>
                <w:rFonts w:ascii="Arial" w:hAnsi="Arial" w:cs="Arial"/>
              </w:rPr>
              <w:t xml:space="preserve">First </w:t>
            </w:r>
            <w:r w:rsidR="000012D8">
              <w:rPr>
                <w:rFonts w:ascii="Arial" w:hAnsi="Arial" w:cs="Arial"/>
              </w:rPr>
              <w:t>Applicant</w:t>
            </w:r>
          </w:p>
        </w:tc>
      </w:tr>
      <w:tr w:rsidR="00A96A33" w:rsidRPr="009E60F5" w14:paraId="10B89B6A" w14:textId="77777777" w:rsidTr="001E46C7">
        <w:tblPrEx>
          <w:tblLook w:val="0000" w:firstRow="0" w:lastRow="0" w:firstColumn="0" w:lastColumn="0" w:noHBand="0" w:noVBand="0"/>
        </w:tblPrEx>
        <w:trPr>
          <w:gridBefore w:val="1"/>
          <w:wBefore w:w="34" w:type="dxa"/>
        </w:trPr>
        <w:tc>
          <w:tcPr>
            <w:tcW w:w="5778" w:type="dxa"/>
            <w:tcBorders>
              <w:top w:val="nil"/>
              <w:left w:val="nil"/>
              <w:bottom w:val="nil"/>
              <w:right w:val="nil"/>
            </w:tcBorders>
          </w:tcPr>
          <w:p w14:paraId="1BB654D1" w14:textId="77777777" w:rsidR="00A96A33" w:rsidRPr="009E60F5" w:rsidRDefault="00A96A33" w:rsidP="001E46C7">
            <w:pPr>
              <w:widowControl w:val="0"/>
              <w:spacing w:line="360" w:lineRule="auto"/>
              <w:rPr>
                <w:rFonts w:ascii="Arial" w:hAnsi="Arial" w:cs="Arial"/>
                <w:b/>
              </w:rPr>
            </w:pPr>
          </w:p>
        </w:tc>
        <w:tc>
          <w:tcPr>
            <w:tcW w:w="3261" w:type="dxa"/>
            <w:tcBorders>
              <w:top w:val="nil"/>
              <w:left w:val="nil"/>
              <w:bottom w:val="nil"/>
              <w:right w:val="nil"/>
            </w:tcBorders>
          </w:tcPr>
          <w:p w14:paraId="3CE0A221" w14:textId="77777777" w:rsidR="00A96A33" w:rsidRPr="009E60F5" w:rsidRDefault="00A96A33" w:rsidP="001E46C7">
            <w:pPr>
              <w:widowControl w:val="0"/>
              <w:spacing w:line="360" w:lineRule="auto"/>
              <w:jc w:val="right"/>
              <w:rPr>
                <w:rFonts w:ascii="Arial" w:hAnsi="Arial" w:cs="Arial"/>
              </w:rPr>
            </w:pPr>
          </w:p>
        </w:tc>
      </w:tr>
      <w:tr w:rsidR="00A96A33" w:rsidRPr="009E60F5" w14:paraId="3EA28C8E" w14:textId="77777777" w:rsidTr="001E46C7">
        <w:tblPrEx>
          <w:tblLook w:val="0000" w:firstRow="0" w:lastRow="0" w:firstColumn="0" w:lastColumn="0" w:noHBand="0" w:noVBand="0"/>
        </w:tblPrEx>
        <w:trPr>
          <w:gridBefore w:val="1"/>
          <w:wBefore w:w="34" w:type="dxa"/>
        </w:trPr>
        <w:tc>
          <w:tcPr>
            <w:tcW w:w="5778" w:type="dxa"/>
            <w:tcBorders>
              <w:top w:val="nil"/>
              <w:left w:val="nil"/>
              <w:bottom w:val="nil"/>
              <w:right w:val="nil"/>
            </w:tcBorders>
          </w:tcPr>
          <w:p w14:paraId="152EF9AB" w14:textId="5454BD61" w:rsidR="00A96A33" w:rsidRPr="009E60F5" w:rsidRDefault="00A90B49" w:rsidP="001E46C7">
            <w:pPr>
              <w:widowControl w:val="0"/>
              <w:spacing w:line="360" w:lineRule="auto"/>
              <w:rPr>
                <w:rFonts w:ascii="Arial" w:hAnsi="Arial" w:cs="Arial"/>
              </w:rPr>
            </w:pPr>
            <w:r>
              <w:rPr>
                <w:rFonts w:ascii="Arial" w:hAnsi="Arial" w:cs="Arial"/>
              </w:rPr>
              <w:t>A</w:t>
            </w:r>
            <w:r w:rsidR="002A1A3E">
              <w:rPr>
                <w:rFonts w:ascii="Arial" w:hAnsi="Arial" w:cs="Arial"/>
              </w:rPr>
              <w:t>nd</w:t>
            </w:r>
          </w:p>
        </w:tc>
        <w:tc>
          <w:tcPr>
            <w:tcW w:w="3261" w:type="dxa"/>
            <w:tcBorders>
              <w:top w:val="nil"/>
              <w:left w:val="nil"/>
              <w:bottom w:val="nil"/>
              <w:right w:val="nil"/>
            </w:tcBorders>
          </w:tcPr>
          <w:p w14:paraId="462CC586" w14:textId="77777777" w:rsidR="00A96A33" w:rsidRPr="009E60F5" w:rsidRDefault="00A96A33" w:rsidP="001E46C7">
            <w:pPr>
              <w:widowControl w:val="0"/>
              <w:spacing w:line="360" w:lineRule="auto"/>
              <w:jc w:val="right"/>
              <w:rPr>
                <w:rFonts w:ascii="Arial" w:hAnsi="Arial" w:cs="Arial"/>
              </w:rPr>
            </w:pPr>
          </w:p>
        </w:tc>
      </w:tr>
      <w:tr w:rsidR="00A96A33" w:rsidRPr="009E60F5" w14:paraId="1777248F" w14:textId="77777777" w:rsidTr="001E46C7">
        <w:tblPrEx>
          <w:tblLook w:val="0000" w:firstRow="0" w:lastRow="0" w:firstColumn="0" w:lastColumn="0" w:noHBand="0" w:noVBand="0"/>
        </w:tblPrEx>
        <w:trPr>
          <w:gridBefore w:val="1"/>
          <w:wBefore w:w="34" w:type="dxa"/>
        </w:trPr>
        <w:tc>
          <w:tcPr>
            <w:tcW w:w="5778" w:type="dxa"/>
            <w:tcBorders>
              <w:top w:val="nil"/>
              <w:left w:val="nil"/>
              <w:bottom w:val="nil"/>
              <w:right w:val="nil"/>
            </w:tcBorders>
          </w:tcPr>
          <w:p w14:paraId="7CF70C7B" w14:textId="104BE88E" w:rsidR="00A96A33" w:rsidRPr="009E60F5" w:rsidRDefault="00A96A33" w:rsidP="001E46C7">
            <w:pPr>
              <w:widowControl w:val="0"/>
              <w:spacing w:line="360" w:lineRule="auto"/>
              <w:rPr>
                <w:rFonts w:ascii="Arial" w:hAnsi="Arial" w:cs="Arial"/>
              </w:rPr>
            </w:pPr>
          </w:p>
        </w:tc>
        <w:tc>
          <w:tcPr>
            <w:tcW w:w="3261" w:type="dxa"/>
            <w:tcBorders>
              <w:top w:val="nil"/>
              <w:left w:val="nil"/>
              <w:bottom w:val="nil"/>
              <w:right w:val="nil"/>
            </w:tcBorders>
          </w:tcPr>
          <w:p w14:paraId="2CA6D647" w14:textId="77777777" w:rsidR="00A96A33" w:rsidRPr="009E60F5" w:rsidRDefault="00A96A33" w:rsidP="001E46C7">
            <w:pPr>
              <w:widowControl w:val="0"/>
              <w:spacing w:line="360" w:lineRule="auto"/>
              <w:jc w:val="right"/>
              <w:rPr>
                <w:rFonts w:ascii="Arial" w:hAnsi="Arial" w:cs="Arial"/>
              </w:rPr>
            </w:pPr>
          </w:p>
        </w:tc>
      </w:tr>
      <w:tr w:rsidR="00A96A33" w:rsidRPr="009E60F5" w14:paraId="38CD7750" w14:textId="77777777" w:rsidTr="001E46C7">
        <w:tblPrEx>
          <w:tblLook w:val="0000" w:firstRow="0" w:lastRow="0" w:firstColumn="0" w:lastColumn="0" w:noHBand="0" w:noVBand="0"/>
        </w:tblPrEx>
        <w:trPr>
          <w:gridBefore w:val="1"/>
          <w:wBefore w:w="34" w:type="dxa"/>
        </w:trPr>
        <w:tc>
          <w:tcPr>
            <w:tcW w:w="5778" w:type="dxa"/>
            <w:tcBorders>
              <w:top w:val="nil"/>
              <w:left w:val="nil"/>
              <w:bottom w:val="nil"/>
              <w:right w:val="nil"/>
            </w:tcBorders>
          </w:tcPr>
          <w:p w14:paraId="2618D205" w14:textId="16EE378C" w:rsidR="00A96A33" w:rsidRDefault="00A90B49" w:rsidP="001E46C7">
            <w:pPr>
              <w:widowControl w:val="0"/>
              <w:spacing w:line="360" w:lineRule="auto"/>
              <w:rPr>
                <w:rFonts w:ascii="Arial" w:hAnsi="Arial" w:cs="Arial"/>
                <w:b/>
                <w:bCs/>
              </w:rPr>
            </w:pPr>
            <w:r>
              <w:rPr>
                <w:rFonts w:ascii="Arial" w:hAnsi="Arial" w:cs="Arial"/>
                <w:b/>
                <w:bCs/>
              </w:rPr>
              <w:t>HJ BOSCH &amp; SEUNS BELEGGINGS</w:t>
            </w:r>
            <w:r w:rsidR="009B43B4">
              <w:rPr>
                <w:rFonts w:ascii="Arial" w:hAnsi="Arial" w:cs="Arial"/>
                <w:b/>
                <w:bCs/>
              </w:rPr>
              <w:t xml:space="preserve"> (PTY) LTD</w:t>
            </w:r>
          </w:p>
          <w:p w14:paraId="50C22F5B" w14:textId="1EB964D8" w:rsidR="00A96A33" w:rsidRPr="009E60F5" w:rsidRDefault="00A96A33" w:rsidP="00960D9C">
            <w:pPr>
              <w:widowControl w:val="0"/>
              <w:spacing w:line="360" w:lineRule="auto"/>
              <w:rPr>
                <w:rFonts w:ascii="Arial" w:hAnsi="Arial" w:cs="Arial"/>
                <w:b/>
                <w:bCs/>
              </w:rPr>
            </w:pPr>
          </w:p>
        </w:tc>
        <w:tc>
          <w:tcPr>
            <w:tcW w:w="3261" w:type="dxa"/>
            <w:tcBorders>
              <w:top w:val="nil"/>
              <w:left w:val="nil"/>
              <w:bottom w:val="nil"/>
              <w:right w:val="nil"/>
            </w:tcBorders>
          </w:tcPr>
          <w:p w14:paraId="0609C42D" w14:textId="28472419" w:rsidR="00A96A33" w:rsidRDefault="009B43B4" w:rsidP="001E46C7">
            <w:pPr>
              <w:widowControl w:val="0"/>
              <w:spacing w:line="360" w:lineRule="auto"/>
              <w:jc w:val="right"/>
              <w:rPr>
                <w:rFonts w:ascii="Arial" w:hAnsi="Arial" w:cs="Arial"/>
              </w:rPr>
            </w:pPr>
            <w:r>
              <w:rPr>
                <w:rFonts w:ascii="Arial" w:hAnsi="Arial" w:cs="Arial"/>
              </w:rPr>
              <w:t xml:space="preserve"> </w:t>
            </w:r>
            <w:r w:rsidR="00A96A33">
              <w:rPr>
                <w:rFonts w:ascii="Arial" w:hAnsi="Arial" w:cs="Arial"/>
              </w:rPr>
              <w:t>Respondent</w:t>
            </w:r>
          </w:p>
          <w:p w14:paraId="193B91AB" w14:textId="77777777" w:rsidR="005C4521" w:rsidRDefault="005C4521" w:rsidP="001E46C7">
            <w:pPr>
              <w:widowControl w:val="0"/>
              <w:spacing w:line="360" w:lineRule="auto"/>
              <w:jc w:val="right"/>
              <w:rPr>
                <w:rFonts w:ascii="Arial" w:hAnsi="Arial" w:cs="Arial"/>
              </w:rPr>
            </w:pPr>
          </w:p>
          <w:p w14:paraId="449F92BF" w14:textId="0DF81702" w:rsidR="000012D8" w:rsidRPr="009E60F5" w:rsidRDefault="000012D8" w:rsidP="001E46C7">
            <w:pPr>
              <w:widowControl w:val="0"/>
              <w:spacing w:line="360" w:lineRule="auto"/>
              <w:jc w:val="right"/>
              <w:rPr>
                <w:rFonts w:ascii="Arial" w:hAnsi="Arial" w:cs="Arial"/>
              </w:rPr>
            </w:pPr>
          </w:p>
        </w:tc>
      </w:tr>
    </w:tbl>
    <w:p w14:paraId="359CA2CC" w14:textId="77777777" w:rsidR="00A96A33" w:rsidRPr="009E60F5" w:rsidRDefault="00A96A33" w:rsidP="00A96A33">
      <w:pPr>
        <w:rPr>
          <w:rFonts w:ascii="Arial" w:hAnsi="Arial" w:cs="Arial"/>
        </w:rPr>
      </w:pPr>
    </w:p>
    <w:tbl>
      <w:tblPr>
        <w:tblW w:w="8931" w:type="dxa"/>
        <w:tblBorders>
          <w:top w:val="single" w:sz="4" w:space="0" w:color="auto"/>
          <w:bottom w:val="single" w:sz="4" w:space="0" w:color="auto"/>
        </w:tblBorders>
        <w:tblLook w:val="01E0" w:firstRow="1" w:lastRow="1" w:firstColumn="1" w:lastColumn="1" w:noHBand="0" w:noVBand="0"/>
      </w:tblPr>
      <w:tblGrid>
        <w:gridCol w:w="8931"/>
      </w:tblGrid>
      <w:tr w:rsidR="00A96A33" w:rsidRPr="009E60F5" w14:paraId="25C2A05A" w14:textId="77777777" w:rsidTr="001E46C7">
        <w:tc>
          <w:tcPr>
            <w:tcW w:w="8931" w:type="dxa"/>
            <w:shd w:val="clear" w:color="auto" w:fill="auto"/>
          </w:tcPr>
          <w:p w14:paraId="551E4B7E" w14:textId="77777777" w:rsidR="00A96A33" w:rsidRPr="009E60F5" w:rsidRDefault="00A96A33" w:rsidP="001E46C7">
            <w:pPr>
              <w:rPr>
                <w:rFonts w:ascii="Arial" w:hAnsi="Arial" w:cs="Arial"/>
              </w:rPr>
            </w:pPr>
          </w:p>
          <w:p w14:paraId="06430362" w14:textId="559AB560" w:rsidR="00A96A33" w:rsidRPr="009E60F5" w:rsidRDefault="00D53522" w:rsidP="001E46C7">
            <w:pPr>
              <w:jc w:val="center"/>
              <w:rPr>
                <w:rFonts w:ascii="Arial" w:hAnsi="Arial" w:cs="Arial"/>
                <w:b/>
              </w:rPr>
            </w:pPr>
            <w:r>
              <w:rPr>
                <w:rFonts w:ascii="Arial" w:hAnsi="Arial" w:cs="Arial"/>
                <w:b/>
              </w:rPr>
              <w:t>JUDGMENT</w:t>
            </w:r>
          </w:p>
          <w:p w14:paraId="53E57B93" w14:textId="77777777" w:rsidR="00A96A33" w:rsidRPr="009E60F5" w:rsidRDefault="00A96A33" w:rsidP="001E46C7">
            <w:pPr>
              <w:jc w:val="center"/>
              <w:rPr>
                <w:rFonts w:ascii="Arial" w:hAnsi="Arial" w:cs="Arial"/>
              </w:rPr>
            </w:pPr>
          </w:p>
        </w:tc>
      </w:tr>
    </w:tbl>
    <w:p w14:paraId="368E7064" w14:textId="77777777" w:rsidR="00A96A33" w:rsidRPr="009E60F5" w:rsidRDefault="00A96A33" w:rsidP="00A96A33">
      <w:pPr>
        <w:widowControl w:val="0"/>
        <w:autoSpaceDE w:val="0"/>
        <w:autoSpaceDN w:val="0"/>
        <w:adjustRightInd w:val="0"/>
        <w:spacing w:line="480" w:lineRule="auto"/>
        <w:ind w:right="-455"/>
        <w:jc w:val="center"/>
        <w:rPr>
          <w:rFonts w:ascii="Arial" w:hAnsi="Arial" w:cs="Arial"/>
          <w:b/>
          <w:u w:val="single"/>
        </w:rPr>
      </w:pPr>
      <w:bookmarkStart w:id="0" w:name="QuickMark"/>
      <w:bookmarkEnd w:id="0"/>
    </w:p>
    <w:p w14:paraId="117A820D" w14:textId="3FC1396F" w:rsidR="00A96A33" w:rsidRPr="009E60F5" w:rsidRDefault="00A96A33" w:rsidP="00A96A33">
      <w:pPr>
        <w:widowControl w:val="0"/>
        <w:autoSpaceDE w:val="0"/>
        <w:autoSpaceDN w:val="0"/>
        <w:adjustRightInd w:val="0"/>
        <w:spacing w:line="480" w:lineRule="auto"/>
        <w:ind w:right="-455"/>
        <w:rPr>
          <w:rFonts w:ascii="Arial" w:hAnsi="Arial" w:cs="Arial"/>
          <w:bCs/>
        </w:rPr>
      </w:pPr>
      <w:r>
        <w:rPr>
          <w:rFonts w:ascii="Arial" w:hAnsi="Arial" w:cs="Arial"/>
          <w:b/>
          <w:u w:val="single"/>
        </w:rPr>
        <w:t>SC VIVIAN</w:t>
      </w:r>
      <w:r w:rsidRPr="009E60F5">
        <w:rPr>
          <w:rFonts w:ascii="Arial" w:hAnsi="Arial" w:cs="Arial"/>
          <w:b/>
          <w:u w:val="single"/>
        </w:rPr>
        <w:t xml:space="preserve"> AJ</w:t>
      </w:r>
    </w:p>
    <w:p w14:paraId="23DBD868" w14:textId="77777777" w:rsidR="00A96A33" w:rsidRPr="009E60F5" w:rsidRDefault="00A96A33" w:rsidP="00A96A33">
      <w:pPr>
        <w:widowControl w:val="0"/>
        <w:autoSpaceDE w:val="0"/>
        <w:autoSpaceDN w:val="0"/>
        <w:adjustRightInd w:val="0"/>
        <w:spacing w:line="480" w:lineRule="auto"/>
        <w:ind w:right="-455"/>
        <w:rPr>
          <w:rFonts w:ascii="Arial" w:hAnsi="Arial" w:cs="Arial"/>
          <w:bCs/>
        </w:rPr>
      </w:pPr>
    </w:p>
    <w:p w14:paraId="3D525537" w14:textId="0526F2DB" w:rsidR="00BE6E44" w:rsidRPr="00096596" w:rsidRDefault="00096596" w:rsidP="00096596">
      <w:pPr>
        <w:spacing w:line="480" w:lineRule="auto"/>
        <w:ind w:left="567" w:hanging="567"/>
        <w:jc w:val="both"/>
        <w:rPr>
          <w:rFonts w:ascii="Arial" w:hAnsi="Arial" w:cs="Arial"/>
        </w:rPr>
      </w:pPr>
      <w:bookmarkStart w:id="1" w:name="_Toc299712776"/>
      <w:bookmarkStart w:id="2" w:name="_Toc419271086"/>
      <w:bookmarkEnd w:id="1"/>
      <w:bookmarkEnd w:id="2"/>
      <w:r>
        <w:rPr>
          <w:rFonts w:ascii="Arial" w:hAnsi="Arial" w:cs="Arial"/>
        </w:rPr>
        <w:t>1.</w:t>
      </w:r>
      <w:r>
        <w:rPr>
          <w:rFonts w:ascii="Arial" w:hAnsi="Arial" w:cs="Arial"/>
        </w:rPr>
        <w:tab/>
      </w:r>
      <w:r w:rsidR="001721C3" w:rsidRPr="00096596">
        <w:rPr>
          <w:rFonts w:ascii="Arial" w:hAnsi="Arial" w:cs="Arial"/>
        </w:rPr>
        <w:t>On 7 February 2023, I dismissed an application brought by the Applicants for the wi</w:t>
      </w:r>
      <w:bookmarkStart w:id="3" w:name="_GoBack"/>
      <w:bookmarkEnd w:id="3"/>
      <w:r w:rsidR="001721C3" w:rsidRPr="00096596">
        <w:rPr>
          <w:rFonts w:ascii="Arial" w:hAnsi="Arial" w:cs="Arial"/>
        </w:rPr>
        <w:t>n</w:t>
      </w:r>
      <w:r w:rsidR="00804046" w:rsidRPr="00096596">
        <w:rPr>
          <w:rFonts w:ascii="Arial" w:hAnsi="Arial" w:cs="Arial"/>
        </w:rPr>
        <w:t>d</w:t>
      </w:r>
      <w:r w:rsidR="001721C3" w:rsidRPr="00096596">
        <w:rPr>
          <w:rFonts w:ascii="Arial" w:hAnsi="Arial" w:cs="Arial"/>
        </w:rPr>
        <w:t>ing up of the Respondent.</w:t>
      </w:r>
      <w:r w:rsidR="00862AB7" w:rsidRPr="00096596">
        <w:rPr>
          <w:rFonts w:ascii="Arial" w:hAnsi="Arial" w:cs="Arial"/>
        </w:rPr>
        <w:t xml:space="preserve"> </w:t>
      </w:r>
      <w:r w:rsidR="001721C3" w:rsidRPr="00096596">
        <w:rPr>
          <w:rFonts w:ascii="Arial" w:hAnsi="Arial" w:cs="Arial"/>
        </w:rPr>
        <w:t xml:space="preserve">The Applicants now seek leave to appeal against that order. </w:t>
      </w:r>
      <w:r w:rsidR="00A90B49" w:rsidRPr="00096596">
        <w:rPr>
          <w:rFonts w:ascii="Arial" w:hAnsi="Arial" w:cs="Arial"/>
        </w:rPr>
        <w:t xml:space="preserve">The Applicants are the liquidators of HJ Bosch &amp; Seuns Motors (Pty) </w:t>
      </w:r>
      <w:r w:rsidR="00A90B49" w:rsidRPr="00096596">
        <w:rPr>
          <w:rFonts w:ascii="Arial" w:hAnsi="Arial" w:cs="Arial"/>
        </w:rPr>
        <w:lastRenderedPageBreak/>
        <w:t xml:space="preserve">Ltd, which </w:t>
      </w:r>
      <w:r w:rsidR="00862AB7" w:rsidRPr="00096596">
        <w:rPr>
          <w:rFonts w:ascii="Arial" w:hAnsi="Arial" w:cs="Arial"/>
        </w:rPr>
        <w:t>is a related company to the Respondent.</w:t>
      </w:r>
      <w:r w:rsidR="00BE6E44" w:rsidRPr="00096596">
        <w:rPr>
          <w:rFonts w:ascii="Arial" w:hAnsi="Arial" w:cs="Arial"/>
        </w:rPr>
        <w:t xml:space="preserve"> </w:t>
      </w:r>
      <w:r w:rsidR="00862AB7" w:rsidRPr="00096596">
        <w:rPr>
          <w:rFonts w:ascii="Arial" w:hAnsi="Arial" w:cs="Arial"/>
        </w:rPr>
        <w:t>For ease of reference, I refer to the company in liquidation as “Motors” and to the Respondent as “Beleggings”.</w:t>
      </w:r>
    </w:p>
    <w:p w14:paraId="0F2E7867" w14:textId="77777777" w:rsidR="0073624D" w:rsidRDefault="0073624D" w:rsidP="0073624D">
      <w:pPr>
        <w:pStyle w:val="ListParagraph"/>
        <w:ind w:left="567"/>
        <w:jc w:val="both"/>
        <w:rPr>
          <w:rFonts w:ascii="Arial" w:hAnsi="Arial" w:cs="Arial"/>
        </w:rPr>
      </w:pPr>
    </w:p>
    <w:p w14:paraId="2FF43D64" w14:textId="7E6C63E0" w:rsidR="0073624D" w:rsidRPr="00096596" w:rsidRDefault="00096596" w:rsidP="00096596">
      <w:pPr>
        <w:spacing w:line="480" w:lineRule="auto"/>
        <w:ind w:left="567" w:hanging="567"/>
        <w:jc w:val="both"/>
        <w:rPr>
          <w:rFonts w:ascii="Arial" w:hAnsi="Arial" w:cs="Arial"/>
        </w:rPr>
      </w:pPr>
      <w:r>
        <w:rPr>
          <w:rFonts w:ascii="Arial" w:hAnsi="Arial" w:cs="Arial"/>
        </w:rPr>
        <w:t>2.</w:t>
      </w:r>
      <w:r>
        <w:rPr>
          <w:rFonts w:ascii="Arial" w:hAnsi="Arial" w:cs="Arial"/>
        </w:rPr>
        <w:tab/>
      </w:r>
      <w:r w:rsidR="0073624D" w:rsidRPr="00096596">
        <w:rPr>
          <w:rFonts w:ascii="Arial" w:hAnsi="Arial" w:cs="Arial"/>
        </w:rPr>
        <w:t xml:space="preserve">In my view, the </w:t>
      </w:r>
      <w:r w:rsidR="001721C3" w:rsidRPr="00096596">
        <w:rPr>
          <w:rFonts w:ascii="Arial" w:hAnsi="Arial" w:cs="Arial"/>
        </w:rPr>
        <w:t>appeal would not have reasonable prospects of success and there is no other compelling reason why the appeal should be heard. Accordingly, the requirements of Section 17(1)(a) of the Superior Courts Act (Act 10 of 2013) have not been met and leave to appeal must be refused.</w:t>
      </w:r>
    </w:p>
    <w:p w14:paraId="09C5B99C" w14:textId="77777777" w:rsidR="001721C3" w:rsidRPr="001721C3" w:rsidRDefault="001721C3" w:rsidP="001721C3">
      <w:pPr>
        <w:pStyle w:val="ListParagraph"/>
        <w:rPr>
          <w:rFonts w:ascii="Arial" w:hAnsi="Arial" w:cs="Arial"/>
        </w:rPr>
      </w:pPr>
    </w:p>
    <w:p w14:paraId="64A785D2" w14:textId="05E503C0" w:rsidR="001721C3" w:rsidRPr="00096596" w:rsidRDefault="00096596" w:rsidP="00096596">
      <w:pPr>
        <w:spacing w:line="480" w:lineRule="auto"/>
        <w:ind w:left="567" w:hanging="567"/>
        <w:jc w:val="both"/>
        <w:rPr>
          <w:rFonts w:ascii="Arial" w:hAnsi="Arial" w:cs="Arial"/>
        </w:rPr>
      </w:pPr>
      <w:r>
        <w:rPr>
          <w:rFonts w:ascii="Arial" w:hAnsi="Arial" w:cs="Arial"/>
        </w:rPr>
        <w:t>3.</w:t>
      </w:r>
      <w:r>
        <w:rPr>
          <w:rFonts w:ascii="Arial" w:hAnsi="Arial" w:cs="Arial"/>
        </w:rPr>
        <w:tab/>
      </w:r>
      <w:r w:rsidR="001721C3" w:rsidRPr="00096596">
        <w:rPr>
          <w:rFonts w:ascii="Arial" w:hAnsi="Arial" w:cs="Arial"/>
        </w:rPr>
        <w:t>The factual background is set out in my judgment and I will not repeat it.</w:t>
      </w:r>
    </w:p>
    <w:p w14:paraId="70120F36" w14:textId="77777777" w:rsidR="001721C3" w:rsidRPr="001721C3" w:rsidRDefault="001721C3" w:rsidP="001721C3">
      <w:pPr>
        <w:pStyle w:val="ListParagraph"/>
        <w:rPr>
          <w:rFonts w:ascii="Arial" w:hAnsi="Arial" w:cs="Arial"/>
        </w:rPr>
      </w:pPr>
    </w:p>
    <w:p w14:paraId="545C32B4" w14:textId="0F67B4FC" w:rsidR="001721C3" w:rsidRPr="001721C3" w:rsidRDefault="001721C3" w:rsidP="001721C3">
      <w:pPr>
        <w:spacing w:line="480" w:lineRule="auto"/>
        <w:jc w:val="both"/>
        <w:rPr>
          <w:rFonts w:ascii="Arial" w:hAnsi="Arial" w:cs="Arial"/>
          <w:b/>
          <w:bCs/>
        </w:rPr>
      </w:pPr>
      <w:r>
        <w:rPr>
          <w:rFonts w:ascii="Arial" w:hAnsi="Arial" w:cs="Arial"/>
          <w:b/>
          <w:bCs/>
        </w:rPr>
        <w:t>The test for leave to appeal</w:t>
      </w:r>
    </w:p>
    <w:p w14:paraId="3F4819DF" w14:textId="77777777" w:rsidR="001721C3" w:rsidRPr="001721C3" w:rsidRDefault="001721C3" w:rsidP="001721C3">
      <w:pPr>
        <w:pStyle w:val="ListParagraph"/>
        <w:rPr>
          <w:rFonts w:ascii="Arial" w:hAnsi="Arial" w:cs="Arial"/>
        </w:rPr>
      </w:pPr>
    </w:p>
    <w:p w14:paraId="604B2E9D" w14:textId="6583E693" w:rsidR="001721C3" w:rsidRPr="00096596" w:rsidRDefault="00096596" w:rsidP="00096596">
      <w:pPr>
        <w:spacing w:line="480" w:lineRule="auto"/>
        <w:ind w:left="567" w:hanging="567"/>
        <w:jc w:val="both"/>
        <w:rPr>
          <w:rFonts w:ascii="Arial" w:hAnsi="Arial" w:cs="Arial"/>
        </w:rPr>
      </w:pPr>
      <w:r>
        <w:rPr>
          <w:rFonts w:ascii="Arial" w:hAnsi="Arial" w:cs="Arial"/>
        </w:rPr>
        <w:t>4.</w:t>
      </w:r>
      <w:r>
        <w:rPr>
          <w:rFonts w:ascii="Arial" w:hAnsi="Arial" w:cs="Arial"/>
        </w:rPr>
        <w:tab/>
      </w:r>
      <w:r w:rsidR="001721C3" w:rsidRPr="00096596">
        <w:rPr>
          <w:rFonts w:ascii="Arial" w:hAnsi="Arial" w:cs="Arial"/>
        </w:rPr>
        <w:t xml:space="preserve">Section 17(1)(a) has been discussed in a number of judgments. Dlodlo JA recently summarised the law as follows: </w:t>
      </w:r>
    </w:p>
    <w:p w14:paraId="53BB515A" w14:textId="77777777" w:rsidR="001721C3" w:rsidRDefault="001721C3" w:rsidP="001721C3">
      <w:pPr>
        <w:pStyle w:val="ListParagraph"/>
        <w:ind w:left="567"/>
        <w:jc w:val="both"/>
        <w:rPr>
          <w:rFonts w:ascii="Arial" w:hAnsi="Arial" w:cs="Arial"/>
        </w:rPr>
      </w:pPr>
    </w:p>
    <w:p w14:paraId="54421159" w14:textId="5F3D243D" w:rsidR="001721C3" w:rsidRDefault="001721C3" w:rsidP="001721C3">
      <w:pPr>
        <w:pStyle w:val="ListParagraph"/>
        <w:spacing w:line="480" w:lineRule="auto"/>
        <w:ind w:left="567"/>
        <w:jc w:val="both"/>
        <w:rPr>
          <w:rFonts w:ascii="Arial" w:hAnsi="Arial" w:cs="Arial"/>
        </w:rPr>
      </w:pPr>
      <w:r>
        <w:rPr>
          <w:rFonts w:ascii="Arial" w:hAnsi="Arial" w:cs="Arial"/>
        </w:rPr>
        <w:t>“</w:t>
      </w:r>
      <w:r w:rsidRPr="001721C3">
        <w:rPr>
          <w:rFonts w:ascii="Arial" w:hAnsi="Arial" w:cs="Arial"/>
          <w:i/>
          <w:iCs/>
        </w:rPr>
        <w:t xml:space="preserve">Turning the focus to the relevant provisions of the Superior Courts Act[5] (the SC Act), leave to appeal may only be granted where the judges concerned are of the opinion that the appeal would have a reasonable prospect of success or there are compelling reasons which exist why the appeal should be heard such as the interests of justice. This Court in Caratco, concerning the provisions of s 17(1)(a)(ii) of the SC Act pointed out that if the court is unpersuaded that there are prospects of success, it must still enquire into whether there is a compelling reason to entertain the appeal. Compelling reason would of course include an important question of law or a discreet issue of public importance that will have an effect on future disputes. However, this Court correctly added that ‘but here too the merits remain vitally important and are often decisive’. I am mindful of the decisions at high court level debating whether the use of the word ‘would’ as opposed to ‘could’ possibly means that the threshold for granting the appeal has </w:t>
      </w:r>
      <w:r w:rsidRPr="001721C3">
        <w:rPr>
          <w:rFonts w:ascii="Arial" w:hAnsi="Arial" w:cs="Arial"/>
          <w:i/>
          <w:iCs/>
        </w:rPr>
        <w:lastRenderedPageBreak/>
        <w:t>been raised. If a reasonable prospect of success is established, leave to appeal should be granted. Similarly, if there are some other compelling reasons why the appeal should be heard, leave to appeal should be granted. The test of reasonable prospects of success postulates a dispassionate decision based on the facts and the law that a court of appeal could reasonably arrive at a conclusion different to that of the trial court. In other words, the appellants in this matter need to convince this Court on proper grounds that they have prospects of success on appeal. Those prospects of success must not be remote, but there must exist a reasonable chance of succeeding. A sound rational basis for the conclusion that there are prospects of success must be shown to exist</w:t>
      </w:r>
      <w:r w:rsidRPr="001721C3">
        <w:rPr>
          <w:rFonts w:ascii="Arial" w:hAnsi="Arial" w:cs="Arial"/>
        </w:rPr>
        <w:t>.</w:t>
      </w:r>
      <w:r>
        <w:rPr>
          <w:rFonts w:ascii="Arial" w:hAnsi="Arial" w:cs="Arial"/>
        </w:rPr>
        <w:t>”</w:t>
      </w:r>
      <w:r>
        <w:rPr>
          <w:rStyle w:val="FootnoteReference"/>
          <w:rFonts w:ascii="Arial" w:hAnsi="Arial" w:cs="Arial"/>
        </w:rPr>
        <w:footnoteReference w:id="1"/>
      </w:r>
    </w:p>
    <w:p w14:paraId="7F80D712" w14:textId="5BD84E03" w:rsidR="001721C3" w:rsidRDefault="001721C3" w:rsidP="001721C3">
      <w:pPr>
        <w:pStyle w:val="ListParagraph"/>
        <w:spacing w:line="480" w:lineRule="auto"/>
        <w:ind w:left="567"/>
        <w:jc w:val="both"/>
        <w:rPr>
          <w:rFonts w:ascii="Arial" w:hAnsi="Arial" w:cs="Arial"/>
        </w:rPr>
      </w:pPr>
      <w:r>
        <w:rPr>
          <w:rFonts w:ascii="Arial" w:hAnsi="Arial" w:cs="Arial"/>
        </w:rPr>
        <w:t>[footnotes omitted]</w:t>
      </w:r>
    </w:p>
    <w:p w14:paraId="6873593C" w14:textId="77777777" w:rsidR="001721C3" w:rsidRDefault="001721C3" w:rsidP="001721C3">
      <w:pPr>
        <w:pStyle w:val="ListParagraph"/>
        <w:ind w:left="567"/>
        <w:jc w:val="both"/>
        <w:rPr>
          <w:rFonts w:ascii="Arial" w:hAnsi="Arial" w:cs="Arial"/>
        </w:rPr>
      </w:pPr>
    </w:p>
    <w:p w14:paraId="23251E05" w14:textId="3BB12FF0" w:rsidR="001721C3" w:rsidRPr="00096596" w:rsidRDefault="00096596" w:rsidP="00096596">
      <w:pPr>
        <w:spacing w:line="480" w:lineRule="auto"/>
        <w:ind w:left="567" w:hanging="567"/>
        <w:jc w:val="both"/>
        <w:rPr>
          <w:rFonts w:ascii="Arial" w:hAnsi="Arial" w:cs="Arial"/>
        </w:rPr>
      </w:pPr>
      <w:r>
        <w:rPr>
          <w:rFonts w:ascii="Arial" w:hAnsi="Arial" w:cs="Arial"/>
        </w:rPr>
        <w:t>5.</w:t>
      </w:r>
      <w:r>
        <w:rPr>
          <w:rFonts w:ascii="Arial" w:hAnsi="Arial" w:cs="Arial"/>
        </w:rPr>
        <w:tab/>
      </w:r>
      <w:r w:rsidR="001721C3" w:rsidRPr="00096596">
        <w:rPr>
          <w:rFonts w:ascii="Arial" w:hAnsi="Arial" w:cs="Arial"/>
        </w:rPr>
        <w:t>Accordingly, I must consider whether based on the facts and the law a court of appeal could reasonably arrive at a conclusion different to the decision that I made.</w:t>
      </w:r>
    </w:p>
    <w:p w14:paraId="1B15F6F3" w14:textId="77777777" w:rsidR="001721C3" w:rsidRDefault="001721C3" w:rsidP="001721C3">
      <w:pPr>
        <w:pStyle w:val="ListParagraph"/>
        <w:ind w:left="567"/>
        <w:jc w:val="both"/>
        <w:rPr>
          <w:rFonts w:ascii="Arial" w:hAnsi="Arial" w:cs="Arial"/>
        </w:rPr>
      </w:pPr>
    </w:p>
    <w:p w14:paraId="6430C174" w14:textId="07A5B773" w:rsidR="001721C3" w:rsidRPr="00096596" w:rsidRDefault="00096596" w:rsidP="00096596">
      <w:pPr>
        <w:spacing w:line="480" w:lineRule="auto"/>
        <w:ind w:left="567" w:hanging="567"/>
        <w:jc w:val="both"/>
        <w:rPr>
          <w:rFonts w:ascii="Arial" w:hAnsi="Arial" w:cs="Arial"/>
        </w:rPr>
      </w:pPr>
      <w:r w:rsidRPr="001721C3">
        <w:rPr>
          <w:rFonts w:ascii="Arial" w:hAnsi="Arial" w:cs="Arial"/>
        </w:rPr>
        <w:t>6.</w:t>
      </w:r>
      <w:r w:rsidRPr="001721C3">
        <w:rPr>
          <w:rFonts w:ascii="Arial" w:hAnsi="Arial" w:cs="Arial"/>
        </w:rPr>
        <w:tab/>
      </w:r>
      <w:r w:rsidR="001721C3" w:rsidRPr="00096596">
        <w:rPr>
          <w:rFonts w:ascii="Arial" w:hAnsi="Arial" w:cs="Arial"/>
        </w:rPr>
        <w:t xml:space="preserve">The notice of application for leave to appeal trawls through almost every factual and legal finding in the judgment. However, Mr Lourens confined his argument to three issues. </w:t>
      </w:r>
    </w:p>
    <w:p w14:paraId="46F7AF82" w14:textId="77777777" w:rsidR="00AD340D" w:rsidRDefault="00AD340D" w:rsidP="00AD340D">
      <w:pPr>
        <w:pStyle w:val="ListParagraph"/>
        <w:ind w:left="567"/>
        <w:jc w:val="both"/>
        <w:rPr>
          <w:rFonts w:ascii="Arial" w:hAnsi="Arial" w:cs="Arial"/>
        </w:rPr>
      </w:pPr>
    </w:p>
    <w:p w14:paraId="22C9084E" w14:textId="371DFE6F" w:rsidR="002E0639" w:rsidRPr="001721C3" w:rsidRDefault="001721C3" w:rsidP="002E0639">
      <w:pPr>
        <w:spacing w:line="480" w:lineRule="auto"/>
        <w:jc w:val="both"/>
        <w:rPr>
          <w:rFonts w:ascii="Arial" w:hAnsi="Arial" w:cs="Arial"/>
          <w:b/>
          <w:bCs/>
        </w:rPr>
      </w:pPr>
      <w:r>
        <w:rPr>
          <w:rFonts w:ascii="Arial" w:hAnsi="Arial" w:cs="Arial"/>
          <w:b/>
          <w:bCs/>
        </w:rPr>
        <w:t>The first issue</w:t>
      </w:r>
    </w:p>
    <w:p w14:paraId="7445314F" w14:textId="77777777" w:rsidR="002A2533" w:rsidRPr="002E0639" w:rsidRDefault="002A2533" w:rsidP="002A2533">
      <w:pPr>
        <w:jc w:val="both"/>
        <w:rPr>
          <w:rFonts w:ascii="Arial" w:hAnsi="Arial" w:cs="Arial"/>
          <w:b/>
          <w:bCs/>
        </w:rPr>
      </w:pPr>
    </w:p>
    <w:p w14:paraId="079182C8" w14:textId="5F7D13EB" w:rsidR="001721C3" w:rsidRPr="00096596" w:rsidRDefault="00096596" w:rsidP="00096596">
      <w:pPr>
        <w:spacing w:line="480" w:lineRule="auto"/>
        <w:ind w:left="567" w:hanging="567"/>
        <w:jc w:val="both"/>
        <w:rPr>
          <w:rFonts w:ascii="Arial" w:hAnsi="Arial" w:cs="Arial"/>
        </w:rPr>
      </w:pPr>
      <w:r w:rsidRPr="001721C3">
        <w:rPr>
          <w:rFonts w:ascii="Arial" w:hAnsi="Arial" w:cs="Arial"/>
        </w:rPr>
        <w:t>7.</w:t>
      </w:r>
      <w:r w:rsidRPr="001721C3">
        <w:rPr>
          <w:rFonts w:ascii="Arial" w:hAnsi="Arial" w:cs="Arial"/>
        </w:rPr>
        <w:tab/>
      </w:r>
      <w:r w:rsidR="001721C3" w:rsidRPr="00096596">
        <w:rPr>
          <w:rFonts w:ascii="Arial" w:hAnsi="Arial" w:cs="Arial"/>
          <w:lang w:val="en-US"/>
        </w:rPr>
        <w:t>I held that the Applicants did not have standing to bring a winding up application</w:t>
      </w:r>
      <w:r w:rsidR="002E0639" w:rsidRPr="00096596">
        <w:rPr>
          <w:rFonts w:ascii="Arial" w:hAnsi="Arial" w:cs="Arial"/>
          <w:lang w:val="en-US"/>
        </w:rPr>
        <w:t>.</w:t>
      </w:r>
      <w:r w:rsidR="001721C3" w:rsidRPr="00096596">
        <w:rPr>
          <w:rFonts w:ascii="Arial" w:hAnsi="Arial" w:cs="Arial"/>
          <w:lang w:val="en-US"/>
        </w:rPr>
        <w:t xml:space="preserve"> It also follows from this finding that the debt relied upon by the Applicants is </w:t>
      </w:r>
      <w:r w:rsidR="001721C3" w:rsidRPr="00096596">
        <w:rPr>
          <w:rFonts w:ascii="Arial" w:hAnsi="Arial" w:cs="Arial"/>
          <w:i/>
          <w:iCs/>
          <w:lang w:val="en-US"/>
        </w:rPr>
        <w:t xml:space="preserve">bona </w:t>
      </w:r>
      <w:r w:rsidR="001721C3" w:rsidRPr="00096596">
        <w:rPr>
          <w:rFonts w:ascii="Arial" w:hAnsi="Arial" w:cs="Arial"/>
          <w:i/>
          <w:iCs/>
          <w:lang w:val="en-US"/>
        </w:rPr>
        <w:lastRenderedPageBreak/>
        <w:t>fide</w:t>
      </w:r>
      <w:r w:rsidR="001721C3" w:rsidRPr="00096596">
        <w:rPr>
          <w:rFonts w:ascii="Arial" w:hAnsi="Arial" w:cs="Arial"/>
          <w:lang w:val="en-US"/>
        </w:rPr>
        <w:t xml:space="preserve"> disputed on reasonable grounds. The Applicants submit that </w:t>
      </w:r>
      <w:r w:rsidR="001721C3" w:rsidRPr="00096596">
        <w:rPr>
          <w:rFonts w:ascii="Arial" w:hAnsi="Arial" w:cs="Arial"/>
        </w:rPr>
        <w:t>a court of appeal could reasonably arrive at a conclusion.</w:t>
      </w:r>
    </w:p>
    <w:p w14:paraId="2DF419C3" w14:textId="77777777" w:rsidR="001721C3" w:rsidRPr="001721C3" w:rsidRDefault="001721C3" w:rsidP="001721C3">
      <w:pPr>
        <w:pStyle w:val="ListParagraph"/>
        <w:ind w:left="567"/>
        <w:jc w:val="both"/>
        <w:rPr>
          <w:rFonts w:ascii="Arial" w:hAnsi="Arial" w:cs="Arial"/>
        </w:rPr>
      </w:pPr>
    </w:p>
    <w:p w14:paraId="25D80DE0" w14:textId="169B233C" w:rsidR="001721C3" w:rsidRPr="00096596" w:rsidRDefault="00096596" w:rsidP="00096596">
      <w:pPr>
        <w:spacing w:line="480" w:lineRule="auto"/>
        <w:ind w:left="567" w:hanging="567"/>
        <w:jc w:val="both"/>
        <w:rPr>
          <w:rFonts w:ascii="Arial" w:hAnsi="Arial" w:cs="Arial"/>
          <w:lang w:val="en-US"/>
        </w:rPr>
      </w:pPr>
      <w:r>
        <w:rPr>
          <w:rFonts w:ascii="Arial" w:hAnsi="Arial" w:cs="Arial"/>
          <w:lang w:val="en-US"/>
        </w:rPr>
        <w:t>8.</w:t>
      </w:r>
      <w:r>
        <w:rPr>
          <w:rFonts w:ascii="Arial" w:hAnsi="Arial" w:cs="Arial"/>
          <w:lang w:val="en-US"/>
        </w:rPr>
        <w:tab/>
      </w:r>
      <w:r w:rsidR="001721C3" w:rsidRPr="00096596">
        <w:rPr>
          <w:rFonts w:ascii="Arial" w:hAnsi="Arial" w:cs="Arial"/>
          <w:lang w:val="en-US"/>
        </w:rPr>
        <w:t xml:space="preserve">The factual existence of the loan from Motors to Beleggings was not disputed. However, Beleggings relied on a written cession </w:t>
      </w:r>
      <w:r w:rsidR="001721C3" w:rsidRPr="00096596">
        <w:rPr>
          <w:rFonts w:ascii="Arial" w:hAnsi="Arial" w:cs="Arial"/>
          <w:i/>
          <w:iCs/>
          <w:lang w:val="en-US"/>
        </w:rPr>
        <w:t xml:space="preserve">in </w:t>
      </w:r>
      <w:r w:rsidR="008E4AE4" w:rsidRPr="00096596">
        <w:rPr>
          <w:rFonts w:ascii="Arial" w:hAnsi="Arial" w:cs="Arial"/>
          <w:i/>
          <w:iCs/>
          <w:lang w:val="en-US"/>
        </w:rPr>
        <w:t>securitatem debiti</w:t>
      </w:r>
      <w:r w:rsidR="001721C3" w:rsidRPr="00096596">
        <w:rPr>
          <w:rFonts w:ascii="Arial" w:hAnsi="Arial" w:cs="Arial"/>
          <w:i/>
          <w:iCs/>
          <w:lang w:val="en-US"/>
        </w:rPr>
        <w:t xml:space="preserve"> </w:t>
      </w:r>
      <w:r w:rsidR="001721C3" w:rsidRPr="00096596">
        <w:rPr>
          <w:rFonts w:ascii="Arial" w:hAnsi="Arial" w:cs="Arial"/>
          <w:lang w:val="en-US"/>
        </w:rPr>
        <w:t xml:space="preserve">concluded before the date of liquidation of Motors in terms of which Motors ceded the loan to Beleggings as security for the </w:t>
      </w:r>
      <w:r w:rsidR="00804046" w:rsidRPr="00096596">
        <w:rPr>
          <w:rFonts w:ascii="Arial" w:hAnsi="Arial" w:cs="Arial"/>
          <w:lang w:val="en-US"/>
        </w:rPr>
        <w:t>contingent</w:t>
      </w:r>
      <w:r w:rsidR="001721C3" w:rsidRPr="00096596">
        <w:rPr>
          <w:rFonts w:ascii="Arial" w:hAnsi="Arial" w:cs="Arial"/>
          <w:lang w:val="en-US"/>
        </w:rPr>
        <w:t xml:space="preserve"> liability of Beleggings as surety for the debt of Motors to a bank. </w:t>
      </w:r>
    </w:p>
    <w:p w14:paraId="6C9921BD" w14:textId="77777777" w:rsidR="001721C3" w:rsidRPr="001721C3" w:rsidRDefault="001721C3" w:rsidP="001721C3">
      <w:pPr>
        <w:pStyle w:val="ListParagraph"/>
        <w:rPr>
          <w:rFonts w:ascii="Arial" w:hAnsi="Arial" w:cs="Arial"/>
          <w:lang w:val="en-US"/>
        </w:rPr>
      </w:pPr>
    </w:p>
    <w:p w14:paraId="6453D90A" w14:textId="062F3C8C" w:rsidR="001721C3" w:rsidRPr="00096596" w:rsidRDefault="00096596" w:rsidP="00096596">
      <w:pPr>
        <w:spacing w:line="480" w:lineRule="auto"/>
        <w:ind w:left="567" w:hanging="567"/>
        <w:jc w:val="both"/>
        <w:rPr>
          <w:rFonts w:ascii="Arial" w:hAnsi="Arial" w:cs="Arial"/>
          <w:lang w:val="en-US"/>
        </w:rPr>
      </w:pPr>
      <w:r w:rsidRPr="001721C3">
        <w:rPr>
          <w:rFonts w:ascii="Arial" w:hAnsi="Arial" w:cs="Arial"/>
          <w:lang w:val="en-US"/>
        </w:rPr>
        <w:t>9.</w:t>
      </w:r>
      <w:r w:rsidRPr="001721C3">
        <w:rPr>
          <w:rFonts w:ascii="Arial" w:hAnsi="Arial" w:cs="Arial"/>
          <w:lang w:val="en-US"/>
        </w:rPr>
        <w:tab/>
      </w:r>
      <w:r w:rsidR="001721C3" w:rsidRPr="00096596">
        <w:rPr>
          <w:rFonts w:ascii="Arial" w:hAnsi="Arial" w:cs="Arial"/>
          <w:lang w:val="en-US"/>
        </w:rPr>
        <w:t>The Applicants persist in the argument that I should have found that the cession was probably not signed before commencement of Motors’ liquidation proceedings. In my view, there is no prospect that a court of appeal will find differently. If the Applicants believe that the cession is not authentic, they should institute action proceedings to recover the loan. This will allow the authenticity of the cession to be properly tested.</w:t>
      </w:r>
    </w:p>
    <w:p w14:paraId="6CD77350" w14:textId="77777777" w:rsidR="001721C3" w:rsidRPr="001721C3" w:rsidRDefault="001721C3" w:rsidP="001721C3">
      <w:pPr>
        <w:pStyle w:val="ListParagraph"/>
        <w:rPr>
          <w:rFonts w:ascii="Arial" w:hAnsi="Arial" w:cs="Arial"/>
        </w:rPr>
      </w:pPr>
    </w:p>
    <w:p w14:paraId="7B07CAC7" w14:textId="7C6A39C8" w:rsidR="001721C3" w:rsidRPr="00096596" w:rsidRDefault="00096596" w:rsidP="00096596">
      <w:pPr>
        <w:spacing w:line="480" w:lineRule="auto"/>
        <w:ind w:left="567" w:hanging="567"/>
        <w:jc w:val="both"/>
        <w:rPr>
          <w:rFonts w:ascii="Arial" w:hAnsi="Arial" w:cs="Arial"/>
        </w:rPr>
      </w:pPr>
      <w:r>
        <w:rPr>
          <w:rFonts w:ascii="Arial" w:hAnsi="Arial" w:cs="Arial"/>
        </w:rPr>
        <w:t>10.</w:t>
      </w:r>
      <w:r>
        <w:rPr>
          <w:rFonts w:ascii="Arial" w:hAnsi="Arial" w:cs="Arial"/>
        </w:rPr>
        <w:tab/>
      </w:r>
      <w:r w:rsidR="001721C3" w:rsidRPr="00096596">
        <w:rPr>
          <w:rFonts w:ascii="Arial" w:hAnsi="Arial" w:cs="Arial"/>
        </w:rPr>
        <w:t xml:space="preserve">Mr Lourens submits that I erred in law in finding that, although the </w:t>
      </w:r>
      <w:r w:rsidR="001721C3" w:rsidRPr="00096596">
        <w:rPr>
          <w:rFonts w:ascii="Arial" w:hAnsi="Arial" w:cs="Arial"/>
          <w:i/>
          <w:iCs/>
        </w:rPr>
        <w:t xml:space="preserve">dominium </w:t>
      </w:r>
      <w:r w:rsidR="001721C3" w:rsidRPr="00096596">
        <w:rPr>
          <w:rFonts w:ascii="Arial" w:hAnsi="Arial" w:cs="Arial"/>
        </w:rPr>
        <w:t xml:space="preserve">in the debt remains with the liquidators, the liquidators cannot as part of administration of the insolvent estate collect the debt from the cessionary and then pay it back to the cessionary when it proves its claim. </w:t>
      </w:r>
    </w:p>
    <w:p w14:paraId="74FB2A9A" w14:textId="77777777" w:rsidR="001721C3" w:rsidRPr="001721C3" w:rsidRDefault="001721C3" w:rsidP="001721C3">
      <w:pPr>
        <w:pStyle w:val="ListParagraph"/>
        <w:rPr>
          <w:rFonts w:ascii="Arial" w:hAnsi="Arial" w:cs="Arial"/>
        </w:rPr>
      </w:pPr>
    </w:p>
    <w:p w14:paraId="4D218B4A" w14:textId="5B63DA8C" w:rsidR="001721C3" w:rsidRPr="00096596" w:rsidRDefault="00096596" w:rsidP="00096596">
      <w:pPr>
        <w:spacing w:line="480" w:lineRule="auto"/>
        <w:ind w:left="567" w:hanging="567"/>
        <w:jc w:val="both"/>
        <w:rPr>
          <w:rFonts w:ascii="Arial" w:hAnsi="Arial" w:cs="Arial"/>
        </w:rPr>
      </w:pPr>
      <w:r>
        <w:rPr>
          <w:rFonts w:ascii="Arial" w:hAnsi="Arial" w:cs="Arial"/>
        </w:rPr>
        <w:t>11.</w:t>
      </w:r>
      <w:r>
        <w:rPr>
          <w:rFonts w:ascii="Arial" w:hAnsi="Arial" w:cs="Arial"/>
        </w:rPr>
        <w:tab/>
      </w:r>
      <w:r w:rsidR="001721C3" w:rsidRPr="00096596">
        <w:rPr>
          <w:rFonts w:ascii="Arial" w:hAnsi="Arial" w:cs="Arial"/>
        </w:rPr>
        <w:t xml:space="preserve">Mr Lourens says that this finding undermines the </w:t>
      </w:r>
      <w:r w:rsidR="001721C3" w:rsidRPr="00096596">
        <w:rPr>
          <w:rFonts w:ascii="Arial" w:hAnsi="Arial" w:cs="Arial"/>
          <w:i/>
          <w:iCs/>
        </w:rPr>
        <w:t>concursus creditorem.</w:t>
      </w:r>
      <w:r w:rsidR="001721C3" w:rsidRPr="00096596">
        <w:rPr>
          <w:rFonts w:ascii="Arial" w:hAnsi="Arial" w:cs="Arial"/>
        </w:rPr>
        <w:t xml:space="preserve"> His submission is that, as at the date of liquidation, the loan was an asset in the estate of Motors. The effect of my decision is, he submits, to divest Motors of an asset.</w:t>
      </w:r>
    </w:p>
    <w:p w14:paraId="1AE9750B" w14:textId="77777777" w:rsidR="001721C3" w:rsidRPr="001721C3" w:rsidRDefault="001721C3" w:rsidP="001721C3">
      <w:pPr>
        <w:pStyle w:val="ListParagraph"/>
        <w:rPr>
          <w:rFonts w:ascii="Arial" w:hAnsi="Arial" w:cs="Arial"/>
        </w:rPr>
      </w:pPr>
    </w:p>
    <w:p w14:paraId="7579FA9D" w14:textId="5E1E2F30" w:rsidR="00804046" w:rsidRPr="00096596" w:rsidRDefault="00096596" w:rsidP="00096596">
      <w:pPr>
        <w:spacing w:line="480" w:lineRule="auto"/>
        <w:ind w:left="567" w:hanging="567"/>
        <w:jc w:val="both"/>
        <w:rPr>
          <w:rFonts w:ascii="Arial" w:hAnsi="Arial" w:cs="Arial"/>
        </w:rPr>
      </w:pPr>
      <w:r>
        <w:rPr>
          <w:rFonts w:ascii="Arial" w:hAnsi="Arial" w:cs="Arial"/>
        </w:rPr>
        <w:t>12.</w:t>
      </w:r>
      <w:r>
        <w:rPr>
          <w:rFonts w:ascii="Arial" w:hAnsi="Arial" w:cs="Arial"/>
        </w:rPr>
        <w:tab/>
      </w:r>
      <w:r w:rsidR="001721C3" w:rsidRPr="00096596">
        <w:rPr>
          <w:rFonts w:ascii="Arial" w:hAnsi="Arial" w:cs="Arial"/>
        </w:rPr>
        <w:t xml:space="preserve">These submissions are predicated on the argument that the cession is conditional and only </w:t>
      </w:r>
      <w:r w:rsidR="00804046" w:rsidRPr="00096596">
        <w:rPr>
          <w:rFonts w:ascii="Arial" w:hAnsi="Arial" w:cs="Arial"/>
        </w:rPr>
        <w:t xml:space="preserve">came into effect when Beleggings paid the bank. As this was </w:t>
      </w:r>
      <w:r w:rsidR="00804046" w:rsidRPr="00096596">
        <w:rPr>
          <w:rFonts w:ascii="Arial" w:hAnsi="Arial" w:cs="Arial"/>
        </w:rPr>
        <w:lastRenderedPageBreak/>
        <w:t>after the date of liquidation, the effect is to divest Motors of an asset that it held at the date of liquidation.</w:t>
      </w:r>
    </w:p>
    <w:p w14:paraId="6390478D" w14:textId="77777777" w:rsidR="00804046" w:rsidRPr="00804046" w:rsidRDefault="00804046" w:rsidP="00804046">
      <w:pPr>
        <w:pStyle w:val="ListParagraph"/>
        <w:rPr>
          <w:rFonts w:ascii="Arial" w:hAnsi="Arial" w:cs="Arial"/>
        </w:rPr>
      </w:pPr>
    </w:p>
    <w:p w14:paraId="22F585ED" w14:textId="5E45B636" w:rsidR="001721C3" w:rsidRPr="00096596" w:rsidRDefault="00096596" w:rsidP="00096596">
      <w:pPr>
        <w:spacing w:line="480" w:lineRule="auto"/>
        <w:ind w:left="567" w:hanging="567"/>
        <w:jc w:val="both"/>
        <w:rPr>
          <w:rFonts w:ascii="Arial" w:hAnsi="Arial" w:cs="Arial"/>
        </w:rPr>
      </w:pPr>
      <w:r>
        <w:rPr>
          <w:rFonts w:ascii="Arial" w:hAnsi="Arial" w:cs="Arial"/>
        </w:rPr>
        <w:t>13.</w:t>
      </w:r>
      <w:r>
        <w:rPr>
          <w:rFonts w:ascii="Arial" w:hAnsi="Arial" w:cs="Arial"/>
        </w:rPr>
        <w:tab/>
      </w:r>
      <w:r w:rsidR="001721C3" w:rsidRPr="00096596">
        <w:rPr>
          <w:rFonts w:ascii="Arial" w:hAnsi="Arial" w:cs="Arial"/>
        </w:rPr>
        <w:t>I held that this interpretation would be destructive of the purpose for which the cession was concluded. It would render the cession meaningless. The intention of the cession was plainly to give Beleggings security, particularly in the event that Motors was placed in liquidation. Accordingly, the cession took effect as soon as it was signed.</w:t>
      </w:r>
    </w:p>
    <w:p w14:paraId="401F9FA7" w14:textId="77777777" w:rsidR="001721C3" w:rsidRPr="001721C3" w:rsidRDefault="001721C3" w:rsidP="001721C3">
      <w:pPr>
        <w:pStyle w:val="ListParagraph"/>
        <w:rPr>
          <w:rFonts w:ascii="Arial" w:hAnsi="Arial" w:cs="Arial"/>
        </w:rPr>
      </w:pPr>
    </w:p>
    <w:p w14:paraId="19D1A671" w14:textId="28722D04" w:rsidR="001721C3" w:rsidRPr="00096596" w:rsidRDefault="00096596" w:rsidP="00096596">
      <w:pPr>
        <w:spacing w:line="480" w:lineRule="auto"/>
        <w:ind w:left="567" w:hanging="567"/>
        <w:jc w:val="both"/>
        <w:rPr>
          <w:rFonts w:ascii="Arial" w:hAnsi="Arial" w:cs="Arial"/>
        </w:rPr>
      </w:pPr>
      <w:r w:rsidRPr="001721C3">
        <w:rPr>
          <w:rFonts w:ascii="Arial" w:hAnsi="Arial" w:cs="Arial"/>
        </w:rPr>
        <w:t>14.</w:t>
      </w:r>
      <w:r w:rsidRPr="001721C3">
        <w:rPr>
          <w:rFonts w:ascii="Arial" w:hAnsi="Arial" w:cs="Arial"/>
        </w:rPr>
        <w:tab/>
      </w:r>
      <w:r w:rsidR="001721C3" w:rsidRPr="00096596">
        <w:rPr>
          <w:rFonts w:ascii="Arial" w:hAnsi="Arial" w:cs="Arial"/>
        </w:rPr>
        <w:t xml:space="preserve">The essence of the security afforded by the cession to the cessionary is that the cedent cannot claim payment of the debt. Usually, the effect of a cession </w:t>
      </w:r>
      <w:r w:rsidR="001721C3" w:rsidRPr="00096596">
        <w:rPr>
          <w:rFonts w:ascii="Arial" w:hAnsi="Arial" w:cs="Arial"/>
          <w:lang w:val="en-US"/>
        </w:rPr>
        <w:t xml:space="preserve">in </w:t>
      </w:r>
      <w:r w:rsidR="001721C3" w:rsidRPr="00096596">
        <w:rPr>
          <w:rFonts w:ascii="Arial" w:hAnsi="Arial" w:cs="Arial"/>
          <w:i/>
          <w:iCs/>
          <w:lang w:val="en-US"/>
        </w:rPr>
        <w:t>securitatem debiti</w:t>
      </w:r>
      <w:r w:rsidR="001721C3" w:rsidRPr="00096596">
        <w:rPr>
          <w:rFonts w:ascii="Arial" w:hAnsi="Arial" w:cs="Arial"/>
          <w:lang w:val="en-US"/>
        </w:rPr>
        <w:t xml:space="preserve"> is that the cedent transfers the right of action against a third party to the cessionary. But where the debt being ceded is owed by the cessionary to the cedent, it cannot be that the right of action against the cessionary is transferred to the cessionary. The cessionary cannot sue itself because, as a general proposition, a person cannot be both a plaintiff and a defendant.</w:t>
      </w:r>
    </w:p>
    <w:p w14:paraId="1054864F" w14:textId="77777777" w:rsidR="001721C3" w:rsidRPr="001721C3" w:rsidRDefault="001721C3" w:rsidP="001721C3">
      <w:pPr>
        <w:pStyle w:val="ListParagraph"/>
        <w:rPr>
          <w:rFonts w:ascii="Arial" w:hAnsi="Arial" w:cs="Arial"/>
        </w:rPr>
      </w:pPr>
    </w:p>
    <w:p w14:paraId="3FA74D7D" w14:textId="1393989C" w:rsidR="001721C3" w:rsidRPr="00096596" w:rsidRDefault="00096596" w:rsidP="00096596">
      <w:pPr>
        <w:spacing w:line="480" w:lineRule="auto"/>
        <w:ind w:left="567" w:hanging="567"/>
        <w:jc w:val="both"/>
        <w:rPr>
          <w:rFonts w:ascii="Arial" w:hAnsi="Arial" w:cs="Arial"/>
        </w:rPr>
      </w:pPr>
      <w:r>
        <w:rPr>
          <w:rFonts w:ascii="Arial" w:hAnsi="Arial" w:cs="Arial"/>
        </w:rPr>
        <w:t>15.</w:t>
      </w:r>
      <w:r>
        <w:rPr>
          <w:rFonts w:ascii="Arial" w:hAnsi="Arial" w:cs="Arial"/>
        </w:rPr>
        <w:tab/>
      </w:r>
      <w:r w:rsidR="001721C3" w:rsidRPr="00096596">
        <w:rPr>
          <w:rFonts w:ascii="Arial" w:hAnsi="Arial" w:cs="Arial"/>
        </w:rPr>
        <w:t xml:space="preserve">Accordingly, the security afforded by the cession must be something other than the transfer of the right of action. In my view, it is akin to a </w:t>
      </w:r>
      <w:r w:rsidR="001721C3" w:rsidRPr="00096596">
        <w:rPr>
          <w:rFonts w:ascii="Arial" w:hAnsi="Arial" w:cs="Arial"/>
          <w:i/>
          <w:iCs/>
        </w:rPr>
        <w:t>pactum de non petendo</w:t>
      </w:r>
      <w:r w:rsidR="001721C3" w:rsidRPr="00096596">
        <w:rPr>
          <w:rFonts w:ascii="Arial" w:hAnsi="Arial" w:cs="Arial"/>
        </w:rPr>
        <w:t xml:space="preserve">. What the parties to the cession sought to achieve was to remove the right to sue for recovery of the loan from the cedent for so long as the cessionary remained exposed in terms of the suretyship. This would not be effective unless it came into effect immediately on signature of the cession. </w:t>
      </w:r>
    </w:p>
    <w:p w14:paraId="3BE73EEB" w14:textId="77777777" w:rsidR="001721C3" w:rsidRPr="001721C3" w:rsidRDefault="001721C3" w:rsidP="001721C3">
      <w:pPr>
        <w:pStyle w:val="ListParagraph"/>
        <w:rPr>
          <w:rFonts w:ascii="Arial" w:hAnsi="Arial" w:cs="Arial"/>
        </w:rPr>
      </w:pPr>
    </w:p>
    <w:p w14:paraId="5130101E" w14:textId="7B4E7CC3" w:rsidR="001721C3" w:rsidRPr="00096596" w:rsidRDefault="00096596" w:rsidP="00096596">
      <w:pPr>
        <w:spacing w:line="480" w:lineRule="auto"/>
        <w:ind w:left="567" w:hanging="567"/>
        <w:jc w:val="both"/>
        <w:rPr>
          <w:rFonts w:ascii="Arial" w:hAnsi="Arial" w:cs="Arial"/>
        </w:rPr>
      </w:pPr>
      <w:r>
        <w:rPr>
          <w:rFonts w:ascii="Arial" w:hAnsi="Arial" w:cs="Arial"/>
        </w:rPr>
        <w:lastRenderedPageBreak/>
        <w:t>16.</w:t>
      </w:r>
      <w:r>
        <w:rPr>
          <w:rFonts w:ascii="Arial" w:hAnsi="Arial" w:cs="Arial"/>
        </w:rPr>
        <w:tab/>
      </w:r>
      <w:r w:rsidR="001721C3" w:rsidRPr="00096596">
        <w:rPr>
          <w:rFonts w:ascii="Arial" w:hAnsi="Arial" w:cs="Arial"/>
        </w:rPr>
        <w:t xml:space="preserve">If, as Mr Lourens submits, the principle in </w:t>
      </w:r>
      <w:r w:rsidR="001721C3" w:rsidRPr="00096596">
        <w:rPr>
          <w:rFonts w:ascii="Arial" w:hAnsi="Arial" w:cs="Arial"/>
          <w:b/>
          <w:bCs/>
        </w:rPr>
        <w:t>Millman</w:t>
      </w:r>
      <w:r w:rsidR="001721C3">
        <w:rPr>
          <w:rStyle w:val="FootnoteReference"/>
          <w:rFonts w:ascii="Arial" w:hAnsi="Arial" w:cs="Arial"/>
          <w:b/>
          <w:bCs/>
        </w:rPr>
        <w:footnoteReference w:id="2"/>
      </w:r>
      <w:r w:rsidR="001721C3" w:rsidRPr="00096596">
        <w:rPr>
          <w:rFonts w:ascii="Arial" w:hAnsi="Arial" w:cs="Arial"/>
        </w:rPr>
        <w:t xml:space="preserve"> applies equally to a cession of a debt owed by the cessionary to the cedent, then the security afforded by such cession is negated. Ordinarily, where the debt ceded </w:t>
      </w:r>
      <w:r w:rsidR="001721C3" w:rsidRPr="00096596">
        <w:rPr>
          <w:rFonts w:ascii="Arial" w:hAnsi="Arial" w:cs="Arial"/>
          <w:i/>
          <w:iCs/>
        </w:rPr>
        <w:t>in securitatem debiti</w:t>
      </w:r>
      <w:r w:rsidR="001721C3" w:rsidRPr="00096596">
        <w:rPr>
          <w:rFonts w:ascii="Arial" w:hAnsi="Arial" w:cs="Arial"/>
        </w:rPr>
        <w:t xml:space="preserve"> is owed by a third party, the administration of that debt by the liquidator or trustee does not undermine the security held by cessionary. The cessionary is a secured creditor to the extent of the debt. But where the debtor is also the cessionary, its security is in not being exposed to a claim for payment of the debt. This is undermined if the principle in </w:t>
      </w:r>
      <w:r w:rsidR="001721C3" w:rsidRPr="00096596">
        <w:rPr>
          <w:rFonts w:ascii="Arial" w:hAnsi="Arial" w:cs="Arial"/>
          <w:b/>
          <w:bCs/>
        </w:rPr>
        <w:t>Millman</w:t>
      </w:r>
      <w:r w:rsidR="001721C3" w:rsidRPr="00096596">
        <w:rPr>
          <w:rFonts w:ascii="Arial" w:hAnsi="Arial" w:cs="Arial"/>
        </w:rPr>
        <w:t xml:space="preserve"> is applied.</w:t>
      </w:r>
    </w:p>
    <w:p w14:paraId="62A1C411" w14:textId="77777777" w:rsidR="001721C3" w:rsidRPr="001721C3" w:rsidRDefault="001721C3" w:rsidP="001721C3">
      <w:pPr>
        <w:pStyle w:val="ListParagraph"/>
        <w:rPr>
          <w:rFonts w:ascii="Arial" w:hAnsi="Arial" w:cs="Arial"/>
        </w:rPr>
      </w:pPr>
    </w:p>
    <w:p w14:paraId="41332867" w14:textId="01EBE1AB" w:rsidR="001721C3" w:rsidRPr="00096596" w:rsidRDefault="00096596" w:rsidP="00096596">
      <w:pPr>
        <w:spacing w:line="480" w:lineRule="auto"/>
        <w:ind w:left="567" w:hanging="567"/>
        <w:jc w:val="both"/>
        <w:rPr>
          <w:rFonts w:ascii="Arial" w:hAnsi="Arial" w:cs="Arial"/>
        </w:rPr>
      </w:pPr>
      <w:r>
        <w:rPr>
          <w:rFonts w:ascii="Arial" w:hAnsi="Arial" w:cs="Arial"/>
        </w:rPr>
        <w:t>17.</w:t>
      </w:r>
      <w:r>
        <w:rPr>
          <w:rFonts w:ascii="Arial" w:hAnsi="Arial" w:cs="Arial"/>
        </w:rPr>
        <w:tab/>
      </w:r>
      <w:r w:rsidR="001721C3" w:rsidRPr="00096596">
        <w:rPr>
          <w:rFonts w:ascii="Arial" w:hAnsi="Arial" w:cs="Arial"/>
        </w:rPr>
        <w:t>Accordingly, I am of the view that, based on the facts and the law, there is no reasonable prospect that a court of appeal could arrive at a different conclusion on the first issue.</w:t>
      </w:r>
    </w:p>
    <w:p w14:paraId="491E3567" w14:textId="77777777" w:rsidR="001721C3" w:rsidRPr="001721C3" w:rsidRDefault="001721C3" w:rsidP="001721C3">
      <w:pPr>
        <w:pStyle w:val="ListParagraph"/>
        <w:rPr>
          <w:rFonts w:ascii="Arial" w:hAnsi="Arial" w:cs="Arial"/>
        </w:rPr>
      </w:pPr>
    </w:p>
    <w:p w14:paraId="03E6D24B" w14:textId="7D37BA99" w:rsidR="001721C3" w:rsidRDefault="001721C3" w:rsidP="001721C3">
      <w:pPr>
        <w:spacing w:line="480" w:lineRule="auto"/>
        <w:jc w:val="both"/>
        <w:rPr>
          <w:rFonts w:ascii="Arial" w:hAnsi="Arial" w:cs="Arial"/>
          <w:b/>
          <w:bCs/>
        </w:rPr>
      </w:pPr>
      <w:r>
        <w:rPr>
          <w:rFonts w:ascii="Arial" w:hAnsi="Arial" w:cs="Arial"/>
          <w:b/>
          <w:bCs/>
        </w:rPr>
        <w:t>The Second Issue</w:t>
      </w:r>
    </w:p>
    <w:p w14:paraId="04BE931F" w14:textId="77777777" w:rsidR="001721C3" w:rsidRPr="001721C3" w:rsidRDefault="001721C3" w:rsidP="001721C3">
      <w:pPr>
        <w:spacing w:line="480" w:lineRule="auto"/>
        <w:jc w:val="both"/>
        <w:rPr>
          <w:rFonts w:ascii="Arial" w:hAnsi="Arial" w:cs="Arial"/>
          <w:b/>
          <w:bCs/>
        </w:rPr>
      </w:pPr>
    </w:p>
    <w:p w14:paraId="01603361" w14:textId="0891964F" w:rsidR="006D0C85" w:rsidRPr="00096596" w:rsidRDefault="00096596" w:rsidP="00096596">
      <w:pPr>
        <w:spacing w:line="480" w:lineRule="auto"/>
        <w:ind w:left="567" w:hanging="567"/>
        <w:jc w:val="both"/>
        <w:rPr>
          <w:rFonts w:ascii="Arial" w:hAnsi="Arial" w:cs="Arial"/>
        </w:rPr>
      </w:pPr>
      <w:r>
        <w:rPr>
          <w:rFonts w:ascii="Arial" w:hAnsi="Arial" w:cs="Arial"/>
        </w:rPr>
        <w:t>18.</w:t>
      </w:r>
      <w:r>
        <w:rPr>
          <w:rFonts w:ascii="Arial" w:hAnsi="Arial" w:cs="Arial"/>
        </w:rPr>
        <w:tab/>
      </w:r>
      <w:r w:rsidR="001721C3" w:rsidRPr="00096596">
        <w:rPr>
          <w:rFonts w:ascii="Arial" w:hAnsi="Arial" w:cs="Arial"/>
        </w:rPr>
        <w:t xml:space="preserve">The second issue relates to my finding that it has not been shown that Beleggings is unable to pay its debts </w:t>
      </w:r>
      <w:r w:rsidR="001721C3" w:rsidRPr="00096596">
        <w:rPr>
          <w:rFonts w:ascii="Arial" w:hAnsi="Arial" w:cs="Arial"/>
          <w:lang w:val="en-US"/>
        </w:rPr>
        <w:t>as is required in terms of</w:t>
      </w:r>
      <w:r w:rsidR="001721C3" w:rsidRPr="00096596">
        <w:rPr>
          <w:rFonts w:ascii="Arial" w:hAnsi="Arial" w:cs="Arial"/>
          <w:i/>
          <w:iCs/>
          <w:lang w:val="en-US"/>
        </w:rPr>
        <w:t xml:space="preserve"> </w:t>
      </w:r>
      <w:r w:rsidR="006D0C85" w:rsidRPr="00096596">
        <w:rPr>
          <w:rFonts w:ascii="Arial" w:hAnsi="Arial" w:cs="Arial"/>
        </w:rPr>
        <w:t xml:space="preserve"> Section 345(1)</w:t>
      </w:r>
      <w:r w:rsidR="001721C3" w:rsidRPr="00096596">
        <w:rPr>
          <w:rFonts w:ascii="Arial" w:hAnsi="Arial" w:cs="Arial"/>
        </w:rPr>
        <w:t>(c) of the Companies Act (Act 71 of 2008).</w:t>
      </w:r>
    </w:p>
    <w:p w14:paraId="26BC6E4D" w14:textId="77777777" w:rsidR="006D0C85" w:rsidRDefault="006D0C85" w:rsidP="006D0C85">
      <w:pPr>
        <w:pStyle w:val="ListParagraph"/>
        <w:ind w:left="567"/>
        <w:jc w:val="both"/>
        <w:rPr>
          <w:rFonts w:ascii="Arial" w:hAnsi="Arial" w:cs="Arial"/>
        </w:rPr>
      </w:pPr>
    </w:p>
    <w:p w14:paraId="79D208E0" w14:textId="1D6F5107" w:rsidR="0050203C" w:rsidRPr="00096596" w:rsidRDefault="00096596" w:rsidP="00096596">
      <w:pPr>
        <w:spacing w:line="480" w:lineRule="auto"/>
        <w:ind w:left="567" w:hanging="567"/>
        <w:jc w:val="both"/>
        <w:rPr>
          <w:rFonts w:ascii="Arial" w:hAnsi="Arial" w:cs="Arial"/>
        </w:rPr>
      </w:pPr>
      <w:r>
        <w:rPr>
          <w:rFonts w:ascii="Arial" w:hAnsi="Arial" w:cs="Arial"/>
        </w:rPr>
        <w:t>19.</w:t>
      </w:r>
      <w:r>
        <w:rPr>
          <w:rFonts w:ascii="Arial" w:hAnsi="Arial" w:cs="Arial"/>
        </w:rPr>
        <w:tab/>
      </w:r>
      <w:r w:rsidR="001721C3" w:rsidRPr="00096596">
        <w:rPr>
          <w:rFonts w:ascii="Arial" w:hAnsi="Arial" w:cs="Arial"/>
        </w:rPr>
        <w:t>The submissions in respect of this issue were first that the usual inference from that the loan has not been repaid is that the respondent company is unable to pay its debts. Accordingly, I should not have found that Beleggings is a company that pays its debts as and when they fall due. What I found (and indeed, what is not disputed) is that Beleggings had limited commercial creditors, but those creditors that it does have are paid when the debts fall due.</w:t>
      </w:r>
    </w:p>
    <w:p w14:paraId="6DA54516" w14:textId="77777777" w:rsidR="001721C3" w:rsidRPr="001721C3" w:rsidRDefault="001721C3" w:rsidP="001721C3">
      <w:pPr>
        <w:pStyle w:val="ListParagraph"/>
        <w:rPr>
          <w:rFonts w:ascii="Arial" w:hAnsi="Arial" w:cs="Arial"/>
        </w:rPr>
      </w:pPr>
    </w:p>
    <w:p w14:paraId="429F2041" w14:textId="7D778F29" w:rsidR="001721C3" w:rsidRPr="00096596" w:rsidRDefault="00096596" w:rsidP="00096596">
      <w:pPr>
        <w:spacing w:line="480" w:lineRule="auto"/>
        <w:ind w:left="567" w:hanging="567"/>
        <w:jc w:val="both"/>
        <w:rPr>
          <w:rFonts w:ascii="Arial" w:hAnsi="Arial" w:cs="Arial"/>
        </w:rPr>
      </w:pPr>
      <w:r>
        <w:rPr>
          <w:rFonts w:ascii="Arial" w:hAnsi="Arial" w:cs="Arial"/>
        </w:rPr>
        <w:lastRenderedPageBreak/>
        <w:t>20.</w:t>
      </w:r>
      <w:r>
        <w:rPr>
          <w:rFonts w:ascii="Arial" w:hAnsi="Arial" w:cs="Arial"/>
        </w:rPr>
        <w:tab/>
      </w:r>
      <w:r w:rsidR="001721C3" w:rsidRPr="00096596">
        <w:rPr>
          <w:rFonts w:ascii="Arial" w:hAnsi="Arial" w:cs="Arial"/>
        </w:rPr>
        <w:t>The loan is different. The reason why it has not been paid is that it is disputed. Even if a court of appeal were to find that I am wrong on the first issue, that only means that Beleggings is wrong in saying that it is not obliged to pay the debt. The usual inference cannot be drawn on the facts.</w:t>
      </w:r>
    </w:p>
    <w:p w14:paraId="2A5CEB1F" w14:textId="77777777" w:rsidR="001721C3" w:rsidRPr="001721C3" w:rsidRDefault="001721C3" w:rsidP="001721C3">
      <w:pPr>
        <w:pStyle w:val="ListParagraph"/>
        <w:rPr>
          <w:rFonts w:ascii="Arial" w:hAnsi="Arial" w:cs="Arial"/>
        </w:rPr>
      </w:pPr>
    </w:p>
    <w:p w14:paraId="05B275C6" w14:textId="7A9BA3A7" w:rsidR="001721C3" w:rsidRPr="00096596" w:rsidRDefault="00096596" w:rsidP="00096596">
      <w:pPr>
        <w:spacing w:line="480" w:lineRule="auto"/>
        <w:ind w:left="567" w:hanging="567"/>
        <w:jc w:val="both"/>
        <w:rPr>
          <w:rFonts w:ascii="Arial" w:hAnsi="Arial" w:cs="Arial"/>
        </w:rPr>
      </w:pPr>
      <w:r>
        <w:rPr>
          <w:rFonts w:ascii="Arial" w:hAnsi="Arial" w:cs="Arial"/>
        </w:rPr>
        <w:t>21.</w:t>
      </w:r>
      <w:r>
        <w:rPr>
          <w:rFonts w:ascii="Arial" w:hAnsi="Arial" w:cs="Arial"/>
        </w:rPr>
        <w:tab/>
      </w:r>
      <w:r w:rsidR="001721C3" w:rsidRPr="00096596">
        <w:rPr>
          <w:rFonts w:ascii="Arial" w:hAnsi="Arial" w:cs="Arial"/>
        </w:rPr>
        <w:t xml:space="preserve">Mr Lourens focussed his oral submissions on </w:t>
      </w:r>
      <w:r w:rsidR="00804046" w:rsidRPr="00096596">
        <w:rPr>
          <w:rFonts w:ascii="Arial" w:hAnsi="Arial" w:cs="Arial"/>
        </w:rPr>
        <w:t>second submission which is based on the loan</w:t>
      </w:r>
      <w:r w:rsidR="001721C3" w:rsidRPr="00096596">
        <w:rPr>
          <w:rFonts w:ascii="Arial" w:hAnsi="Arial" w:cs="Arial"/>
        </w:rPr>
        <w:t xml:space="preserve"> that Beleggings has procured against the security of a mortgage bond over its immovable property. The Applicants do not dispute that there is a loan and that Beleggings has used some of the proceeds of the loan to place money in trust with its attorney to cover the capital claim by the Applicants. But Mr Lourens submits that this is “</w:t>
      </w:r>
      <w:r w:rsidR="001721C3" w:rsidRPr="00096596">
        <w:rPr>
          <w:rFonts w:ascii="Arial" w:hAnsi="Arial" w:cs="Arial"/>
          <w:i/>
          <w:iCs/>
        </w:rPr>
        <w:t>borrowing from Peter to pay Paul.</w:t>
      </w:r>
      <w:r w:rsidR="001721C3" w:rsidRPr="00096596">
        <w:rPr>
          <w:rFonts w:ascii="Arial" w:hAnsi="Arial" w:cs="Arial"/>
        </w:rPr>
        <w:t xml:space="preserve">” </w:t>
      </w:r>
    </w:p>
    <w:p w14:paraId="0E32748D" w14:textId="77777777" w:rsidR="001721C3" w:rsidRPr="001721C3" w:rsidRDefault="001721C3" w:rsidP="001721C3">
      <w:pPr>
        <w:pStyle w:val="ListParagraph"/>
        <w:rPr>
          <w:rFonts w:ascii="Arial" w:hAnsi="Arial" w:cs="Arial"/>
        </w:rPr>
      </w:pPr>
    </w:p>
    <w:p w14:paraId="3B360958" w14:textId="3DE96A43" w:rsidR="00722EE6" w:rsidRPr="00096596" w:rsidRDefault="00096596" w:rsidP="00096596">
      <w:pPr>
        <w:spacing w:line="480" w:lineRule="auto"/>
        <w:ind w:left="567" w:hanging="567"/>
        <w:jc w:val="both"/>
        <w:rPr>
          <w:rFonts w:ascii="Arial" w:hAnsi="Arial" w:cs="Arial"/>
        </w:rPr>
      </w:pPr>
      <w:r w:rsidRPr="001721C3">
        <w:rPr>
          <w:rFonts w:ascii="Arial" w:hAnsi="Arial" w:cs="Arial"/>
        </w:rPr>
        <w:t>22.</w:t>
      </w:r>
      <w:r w:rsidRPr="001721C3">
        <w:rPr>
          <w:rFonts w:ascii="Arial" w:hAnsi="Arial" w:cs="Arial"/>
        </w:rPr>
        <w:tab/>
      </w:r>
      <w:r w:rsidR="001721C3" w:rsidRPr="00096596">
        <w:rPr>
          <w:rFonts w:ascii="Arial" w:hAnsi="Arial" w:cs="Arial"/>
        </w:rPr>
        <w:t xml:space="preserve">The argument turns on paragraph 16 of Ponnan JA’s judgment in </w:t>
      </w:r>
      <w:r w:rsidR="001721C3" w:rsidRPr="00096596">
        <w:rPr>
          <w:rFonts w:ascii="Arial" w:hAnsi="Arial" w:cs="Arial"/>
          <w:b/>
          <w:bCs/>
        </w:rPr>
        <w:t>Dolphin Ridge</w:t>
      </w:r>
      <w:r w:rsidR="001721C3" w:rsidRPr="00096596">
        <w:rPr>
          <w:rFonts w:ascii="Arial" w:hAnsi="Arial" w:cs="Arial"/>
        </w:rPr>
        <w:t>.</w:t>
      </w:r>
      <w:r w:rsidR="00722EE6">
        <w:rPr>
          <w:rStyle w:val="FootnoteReference"/>
          <w:rFonts w:ascii="Arial" w:hAnsi="Arial" w:cs="Arial"/>
        </w:rPr>
        <w:footnoteReference w:id="3"/>
      </w:r>
      <w:r w:rsidR="00722EE6" w:rsidRPr="00096596">
        <w:rPr>
          <w:rFonts w:ascii="Arial" w:hAnsi="Arial" w:cs="Arial"/>
        </w:rPr>
        <w:t xml:space="preserve"> </w:t>
      </w:r>
      <w:r w:rsidR="001721C3" w:rsidRPr="00096596">
        <w:rPr>
          <w:rFonts w:ascii="Arial" w:hAnsi="Arial" w:cs="Arial"/>
        </w:rPr>
        <w:t xml:space="preserve">Mr Lourens submitted that the effect of this paragraph is that the </w:t>
      </w:r>
      <w:r w:rsidR="00804046" w:rsidRPr="00096596">
        <w:rPr>
          <w:rFonts w:ascii="Arial" w:hAnsi="Arial" w:cs="Arial"/>
        </w:rPr>
        <w:t>loan</w:t>
      </w:r>
      <w:r w:rsidR="001721C3" w:rsidRPr="00096596">
        <w:rPr>
          <w:rFonts w:ascii="Arial" w:hAnsi="Arial" w:cs="Arial"/>
        </w:rPr>
        <w:t xml:space="preserve"> is evidence of the commercial insolvency of Beleggings. I disagree.  Justice Ponnan was dealing with the question as to whether the Court could infer from the fact that the </w:t>
      </w:r>
      <w:r w:rsidR="00804046" w:rsidRPr="00096596">
        <w:rPr>
          <w:rFonts w:ascii="Arial" w:hAnsi="Arial" w:cs="Arial"/>
        </w:rPr>
        <w:t>entity</w:t>
      </w:r>
      <w:r w:rsidR="001721C3" w:rsidRPr="00096596">
        <w:rPr>
          <w:rFonts w:ascii="Arial" w:hAnsi="Arial" w:cs="Arial"/>
        </w:rPr>
        <w:t xml:space="preserve"> facing potential liquidation </w:t>
      </w:r>
      <w:r w:rsidR="00804046" w:rsidRPr="00096596">
        <w:rPr>
          <w:rFonts w:ascii="Arial" w:hAnsi="Arial" w:cs="Arial"/>
        </w:rPr>
        <w:t xml:space="preserve">(in that case, a close corporation) </w:t>
      </w:r>
      <w:r w:rsidR="001721C3" w:rsidRPr="00096596">
        <w:rPr>
          <w:rFonts w:ascii="Arial" w:hAnsi="Arial" w:cs="Arial"/>
        </w:rPr>
        <w:t>had been able to procure a debt that it was commercially solvent. He held that</w:t>
      </w:r>
      <w:r w:rsidR="00804046" w:rsidRPr="00096596">
        <w:rPr>
          <w:rFonts w:ascii="Arial" w:hAnsi="Arial" w:cs="Arial"/>
        </w:rPr>
        <w:t xml:space="preserve"> this</w:t>
      </w:r>
      <w:r w:rsidR="001721C3" w:rsidRPr="00096596">
        <w:rPr>
          <w:rFonts w:ascii="Arial" w:hAnsi="Arial" w:cs="Arial"/>
        </w:rPr>
        <w:t xml:space="preserve"> may very well be a demonstration of its creditworthiness, but it may demonstrate the converse when it amounts to “</w:t>
      </w:r>
      <w:r w:rsidR="001721C3" w:rsidRPr="00096596">
        <w:rPr>
          <w:rFonts w:ascii="Arial" w:hAnsi="Arial" w:cs="Arial"/>
          <w:i/>
          <w:iCs/>
        </w:rPr>
        <w:t>borrowing from Peter to pay Paul.</w:t>
      </w:r>
      <w:r w:rsidR="001721C3" w:rsidRPr="00096596">
        <w:rPr>
          <w:rFonts w:ascii="Arial" w:hAnsi="Arial" w:cs="Arial"/>
        </w:rPr>
        <w:t>” It all depends on the facts.</w:t>
      </w:r>
    </w:p>
    <w:p w14:paraId="23A95DAE" w14:textId="77777777" w:rsidR="00722EE6" w:rsidRPr="00722EE6" w:rsidRDefault="00722EE6" w:rsidP="00722EE6">
      <w:pPr>
        <w:pStyle w:val="ListParagraph"/>
        <w:rPr>
          <w:rFonts w:ascii="Arial" w:hAnsi="Arial" w:cs="Arial"/>
        </w:rPr>
      </w:pPr>
    </w:p>
    <w:p w14:paraId="77B63202" w14:textId="35F90FF0" w:rsidR="00722EE6" w:rsidRPr="00096596" w:rsidRDefault="00096596" w:rsidP="00096596">
      <w:pPr>
        <w:spacing w:line="480" w:lineRule="auto"/>
        <w:ind w:left="567" w:hanging="567"/>
        <w:jc w:val="both"/>
        <w:rPr>
          <w:rFonts w:ascii="Arial" w:hAnsi="Arial" w:cs="Arial"/>
        </w:rPr>
      </w:pPr>
      <w:r>
        <w:rPr>
          <w:rFonts w:ascii="Arial" w:hAnsi="Arial" w:cs="Arial"/>
        </w:rPr>
        <w:t>23.</w:t>
      </w:r>
      <w:r>
        <w:rPr>
          <w:rFonts w:ascii="Arial" w:hAnsi="Arial" w:cs="Arial"/>
        </w:rPr>
        <w:tab/>
      </w:r>
      <w:r w:rsidR="001721C3" w:rsidRPr="00096596">
        <w:rPr>
          <w:rFonts w:ascii="Arial" w:hAnsi="Arial" w:cs="Arial"/>
        </w:rPr>
        <w:t xml:space="preserve">In </w:t>
      </w:r>
      <w:r w:rsidR="001721C3" w:rsidRPr="00096596">
        <w:rPr>
          <w:rFonts w:ascii="Arial" w:hAnsi="Arial" w:cs="Arial"/>
          <w:b/>
          <w:bCs/>
        </w:rPr>
        <w:t>Dolphin Ridge</w:t>
      </w:r>
      <w:r w:rsidR="001721C3" w:rsidRPr="00096596">
        <w:rPr>
          <w:rFonts w:ascii="Arial" w:hAnsi="Arial" w:cs="Arial"/>
        </w:rPr>
        <w:t>, the loan was procured from a fraternal company. Ponnan JA concluded that no inferences favourable to the c</w:t>
      </w:r>
      <w:r w:rsidR="00804046" w:rsidRPr="00096596">
        <w:rPr>
          <w:rFonts w:ascii="Arial" w:hAnsi="Arial" w:cs="Arial"/>
        </w:rPr>
        <w:t>lose corporation</w:t>
      </w:r>
      <w:r w:rsidR="001721C3" w:rsidRPr="00096596">
        <w:rPr>
          <w:rFonts w:ascii="Arial" w:hAnsi="Arial" w:cs="Arial"/>
        </w:rPr>
        <w:t xml:space="preserve"> could </w:t>
      </w:r>
      <w:r w:rsidR="00460DEF" w:rsidRPr="00096596">
        <w:rPr>
          <w:rFonts w:ascii="Arial" w:hAnsi="Arial" w:cs="Arial"/>
        </w:rPr>
        <w:t xml:space="preserve">be drawn. The learned Judge had already shown in paragraph 15 that, on the facts of that </w:t>
      </w:r>
      <w:r w:rsidR="00460DEF" w:rsidRPr="00096596">
        <w:rPr>
          <w:rFonts w:ascii="Arial" w:hAnsi="Arial" w:cs="Arial"/>
        </w:rPr>
        <w:lastRenderedPageBreak/>
        <w:t xml:space="preserve">matter, the </w:t>
      </w:r>
      <w:r w:rsidR="00804046" w:rsidRPr="00096596">
        <w:rPr>
          <w:rFonts w:ascii="Arial" w:hAnsi="Arial" w:cs="Arial"/>
        </w:rPr>
        <w:t>close corporation</w:t>
      </w:r>
      <w:r w:rsidR="00460DEF" w:rsidRPr="00096596">
        <w:rPr>
          <w:rFonts w:ascii="Arial" w:hAnsi="Arial" w:cs="Arial"/>
        </w:rPr>
        <w:t>’s monthly expenses exceeded its monthly income and that it was unable to pay its debts when they fell due. He did not draw a negative inference from the loan. He drew no inference.</w:t>
      </w:r>
    </w:p>
    <w:p w14:paraId="4B25F27F" w14:textId="77777777" w:rsidR="00460DEF" w:rsidRPr="00460DEF" w:rsidRDefault="00460DEF" w:rsidP="00460DEF">
      <w:pPr>
        <w:pStyle w:val="ListParagraph"/>
        <w:rPr>
          <w:rFonts w:ascii="Arial" w:hAnsi="Arial" w:cs="Arial"/>
        </w:rPr>
      </w:pPr>
    </w:p>
    <w:p w14:paraId="40B71824" w14:textId="4AE868F0" w:rsidR="00460DEF" w:rsidRPr="00096596" w:rsidRDefault="00096596" w:rsidP="00096596">
      <w:pPr>
        <w:spacing w:line="480" w:lineRule="auto"/>
        <w:ind w:left="567" w:hanging="567"/>
        <w:jc w:val="both"/>
        <w:rPr>
          <w:rFonts w:ascii="Arial" w:hAnsi="Arial" w:cs="Arial"/>
        </w:rPr>
      </w:pPr>
      <w:r>
        <w:rPr>
          <w:rFonts w:ascii="Arial" w:hAnsi="Arial" w:cs="Arial"/>
        </w:rPr>
        <w:t>24.</w:t>
      </w:r>
      <w:r>
        <w:rPr>
          <w:rFonts w:ascii="Arial" w:hAnsi="Arial" w:cs="Arial"/>
        </w:rPr>
        <w:tab/>
      </w:r>
      <w:r w:rsidR="00460DEF" w:rsidRPr="00096596">
        <w:rPr>
          <w:rFonts w:ascii="Arial" w:hAnsi="Arial" w:cs="Arial"/>
        </w:rPr>
        <w:t>On the facts of this case, a loan was obtained from a company that is not a related company in terms of Section 2 of the Companies Act. The attorney for Beleggings is the controlling mind behind the investor. But that does not mean that the attorney would cause his company to advance monies to Beleggings if he did not believe that Beleggings would repay the monies. The investor took security to secure its position. It is in that context that I inferred that the attorney can be expected to have knowledge of the financial affairs of Beleggings.</w:t>
      </w:r>
    </w:p>
    <w:p w14:paraId="19E1ED48" w14:textId="77777777" w:rsidR="00460DEF" w:rsidRPr="00460DEF" w:rsidRDefault="00460DEF" w:rsidP="00460DEF">
      <w:pPr>
        <w:pStyle w:val="ListParagraph"/>
        <w:rPr>
          <w:rFonts w:ascii="Arial" w:hAnsi="Arial" w:cs="Arial"/>
        </w:rPr>
      </w:pPr>
    </w:p>
    <w:p w14:paraId="5EBD2930" w14:textId="70CC065A" w:rsidR="00460DEF" w:rsidRPr="00096596" w:rsidRDefault="00096596" w:rsidP="00096596">
      <w:pPr>
        <w:spacing w:line="480" w:lineRule="auto"/>
        <w:ind w:left="567" w:hanging="567"/>
        <w:jc w:val="both"/>
        <w:rPr>
          <w:rFonts w:ascii="Arial" w:hAnsi="Arial" w:cs="Arial"/>
        </w:rPr>
      </w:pPr>
      <w:r>
        <w:rPr>
          <w:rFonts w:ascii="Arial" w:hAnsi="Arial" w:cs="Arial"/>
        </w:rPr>
        <w:t>25.</w:t>
      </w:r>
      <w:r>
        <w:rPr>
          <w:rFonts w:ascii="Arial" w:hAnsi="Arial" w:cs="Arial"/>
        </w:rPr>
        <w:tab/>
      </w:r>
      <w:r w:rsidR="00460DEF" w:rsidRPr="00096596">
        <w:rPr>
          <w:rFonts w:ascii="Arial" w:hAnsi="Arial" w:cs="Arial"/>
        </w:rPr>
        <w:t xml:space="preserve">Even if this is not evidence of commercial solvency, another court is unlikely to find that it can infer commercial insolvency from the fact that the attorney was prepared to cause his company to advance monies to Beleggings. </w:t>
      </w:r>
    </w:p>
    <w:p w14:paraId="4B6B54E7" w14:textId="77777777" w:rsidR="00460DEF" w:rsidRPr="00460DEF" w:rsidRDefault="00460DEF" w:rsidP="00460DEF">
      <w:pPr>
        <w:pStyle w:val="ListParagraph"/>
        <w:rPr>
          <w:rFonts w:ascii="Arial" w:hAnsi="Arial" w:cs="Arial"/>
        </w:rPr>
      </w:pPr>
    </w:p>
    <w:p w14:paraId="34D9A517" w14:textId="77D351A2" w:rsidR="00460DEF" w:rsidRPr="00096596" w:rsidRDefault="00096596" w:rsidP="00096596">
      <w:pPr>
        <w:spacing w:line="480" w:lineRule="auto"/>
        <w:ind w:left="567" w:hanging="567"/>
        <w:jc w:val="both"/>
        <w:rPr>
          <w:rFonts w:ascii="Arial" w:hAnsi="Arial" w:cs="Arial"/>
        </w:rPr>
      </w:pPr>
      <w:r>
        <w:rPr>
          <w:rFonts w:ascii="Arial" w:hAnsi="Arial" w:cs="Arial"/>
        </w:rPr>
        <w:t>26.</w:t>
      </w:r>
      <w:r>
        <w:rPr>
          <w:rFonts w:ascii="Arial" w:hAnsi="Arial" w:cs="Arial"/>
        </w:rPr>
        <w:tab/>
      </w:r>
      <w:r w:rsidR="00804046" w:rsidRPr="00096596">
        <w:rPr>
          <w:rFonts w:ascii="Arial" w:hAnsi="Arial" w:cs="Arial"/>
        </w:rPr>
        <w:t>Mr Lourens points out that the</w:t>
      </w:r>
      <w:r w:rsidR="00460DEF" w:rsidRPr="00096596">
        <w:rPr>
          <w:rFonts w:ascii="Arial" w:hAnsi="Arial" w:cs="Arial"/>
        </w:rPr>
        <w:t xml:space="preserve"> investment has the result that there is an additional loan in the books of Beleggings. That is so, but there is no evidence to suggest that it needs to be repaid in the short term. In my view, this is improbabl</w:t>
      </w:r>
      <w:r w:rsidR="00804046" w:rsidRPr="00096596">
        <w:rPr>
          <w:rFonts w:ascii="Arial" w:hAnsi="Arial" w:cs="Arial"/>
        </w:rPr>
        <w:t>e</w:t>
      </w:r>
      <w:r w:rsidR="00460DEF" w:rsidRPr="00096596">
        <w:rPr>
          <w:rFonts w:ascii="Arial" w:hAnsi="Arial" w:cs="Arial"/>
        </w:rPr>
        <w:t xml:space="preserve"> given the nature of the security held by the investor, namely a mortgage bond. </w:t>
      </w:r>
    </w:p>
    <w:p w14:paraId="1C9F36C1" w14:textId="77777777" w:rsidR="00460DEF" w:rsidRPr="00460DEF" w:rsidRDefault="00460DEF" w:rsidP="00460DEF">
      <w:pPr>
        <w:pStyle w:val="ListParagraph"/>
        <w:rPr>
          <w:rFonts w:ascii="Arial" w:hAnsi="Arial" w:cs="Arial"/>
        </w:rPr>
      </w:pPr>
    </w:p>
    <w:p w14:paraId="03A0D07F" w14:textId="51DDAF91" w:rsidR="00460DEF" w:rsidRPr="00096596" w:rsidRDefault="00096596" w:rsidP="00096596">
      <w:pPr>
        <w:spacing w:line="480" w:lineRule="auto"/>
        <w:ind w:left="567" w:hanging="567"/>
        <w:jc w:val="both"/>
        <w:rPr>
          <w:rFonts w:ascii="Arial" w:hAnsi="Arial" w:cs="Arial"/>
        </w:rPr>
      </w:pPr>
      <w:r>
        <w:rPr>
          <w:rFonts w:ascii="Arial" w:hAnsi="Arial" w:cs="Arial"/>
        </w:rPr>
        <w:t>27.</w:t>
      </w:r>
      <w:r>
        <w:rPr>
          <w:rFonts w:ascii="Arial" w:hAnsi="Arial" w:cs="Arial"/>
        </w:rPr>
        <w:tab/>
      </w:r>
      <w:r w:rsidR="00460DEF" w:rsidRPr="00096596">
        <w:rPr>
          <w:rFonts w:ascii="Arial" w:hAnsi="Arial" w:cs="Arial"/>
        </w:rPr>
        <w:t>The onus is on the Applicants to show that Beleggings is unable to pay its debts. They have not discharged that onus. In my view, based on the facts and the law, there is no reasonable prospect that a court of appeal could arrive at a different conclusion on the second issue.</w:t>
      </w:r>
    </w:p>
    <w:p w14:paraId="2A9EE074" w14:textId="77777777" w:rsidR="006D0C85" w:rsidRPr="006D0C85" w:rsidRDefault="006D0C85" w:rsidP="006D0C85">
      <w:pPr>
        <w:pStyle w:val="ListParagraph"/>
        <w:rPr>
          <w:rFonts w:ascii="Arial" w:hAnsi="Arial" w:cs="Arial"/>
        </w:rPr>
      </w:pPr>
    </w:p>
    <w:p w14:paraId="287853C2" w14:textId="6333C163" w:rsidR="00840803" w:rsidRPr="00840803" w:rsidRDefault="00460DEF" w:rsidP="00804046">
      <w:pPr>
        <w:keepNext/>
        <w:jc w:val="both"/>
        <w:rPr>
          <w:rFonts w:ascii="Arial" w:hAnsi="Arial" w:cs="Arial"/>
          <w:b/>
          <w:bCs/>
        </w:rPr>
      </w:pPr>
      <w:r>
        <w:rPr>
          <w:rFonts w:ascii="Arial" w:hAnsi="Arial" w:cs="Arial"/>
          <w:b/>
          <w:bCs/>
        </w:rPr>
        <w:lastRenderedPageBreak/>
        <w:t>Third Issue</w:t>
      </w:r>
    </w:p>
    <w:p w14:paraId="5446BF69" w14:textId="77777777" w:rsidR="00840803" w:rsidRPr="00840803" w:rsidRDefault="00840803" w:rsidP="00804046">
      <w:pPr>
        <w:pStyle w:val="ListParagraph"/>
        <w:keepNext/>
        <w:spacing w:line="480" w:lineRule="auto"/>
        <w:rPr>
          <w:rFonts w:ascii="Arial" w:hAnsi="Arial" w:cs="Arial"/>
        </w:rPr>
      </w:pPr>
    </w:p>
    <w:p w14:paraId="4B5D45AC" w14:textId="1E69B1B1" w:rsidR="00840803" w:rsidRPr="00096596" w:rsidRDefault="00096596" w:rsidP="00096596">
      <w:pPr>
        <w:spacing w:line="480" w:lineRule="auto"/>
        <w:ind w:left="567" w:hanging="567"/>
        <w:jc w:val="both"/>
        <w:rPr>
          <w:rFonts w:ascii="Arial" w:hAnsi="Arial" w:cs="Arial"/>
        </w:rPr>
      </w:pPr>
      <w:r>
        <w:rPr>
          <w:rFonts w:ascii="Arial" w:hAnsi="Arial" w:cs="Arial"/>
        </w:rPr>
        <w:t>28.</w:t>
      </w:r>
      <w:r>
        <w:rPr>
          <w:rFonts w:ascii="Arial" w:hAnsi="Arial" w:cs="Arial"/>
        </w:rPr>
        <w:tab/>
      </w:r>
      <w:r w:rsidR="00460DEF" w:rsidRPr="00096596">
        <w:rPr>
          <w:rFonts w:ascii="Arial" w:hAnsi="Arial" w:cs="Arial"/>
        </w:rPr>
        <w:t xml:space="preserve">The third issue is whether I correctly exercised my narrow discretion to refuse the winding up order. </w:t>
      </w:r>
    </w:p>
    <w:p w14:paraId="060E23F2" w14:textId="77777777" w:rsidR="00460DEF" w:rsidRDefault="00460DEF" w:rsidP="00460DEF">
      <w:pPr>
        <w:pStyle w:val="ListParagraph"/>
        <w:ind w:left="567"/>
        <w:jc w:val="both"/>
        <w:rPr>
          <w:rFonts w:ascii="Arial" w:hAnsi="Arial" w:cs="Arial"/>
        </w:rPr>
      </w:pPr>
    </w:p>
    <w:p w14:paraId="409992CF" w14:textId="0C68A49B" w:rsidR="00460DEF" w:rsidRPr="00096596" w:rsidRDefault="00096596" w:rsidP="00096596">
      <w:pPr>
        <w:spacing w:line="480" w:lineRule="auto"/>
        <w:ind w:left="567" w:hanging="567"/>
        <w:jc w:val="both"/>
        <w:rPr>
          <w:rFonts w:ascii="Arial" w:hAnsi="Arial" w:cs="Arial"/>
        </w:rPr>
      </w:pPr>
      <w:r>
        <w:rPr>
          <w:rFonts w:ascii="Arial" w:hAnsi="Arial" w:cs="Arial"/>
        </w:rPr>
        <w:t>29.</w:t>
      </w:r>
      <w:r>
        <w:rPr>
          <w:rFonts w:ascii="Arial" w:hAnsi="Arial" w:cs="Arial"/>
        </w:rPr>
        <w:tab/>
      </w:r>
      <w:r w:rsidR="00460DEF" w:rsidRPr="00096596">
        <w:rPr>
          <w:rFonts w:ascii="Arial" w:hAnsi="Arial" w:cs="Arial"/>
        </w:rPr>
        <w:t>Mr Lourens does not contend that I failed to appreciate the nature of the discretion or applied it on wrong legal principles. But he contends that I erred in finding that the circumstances of the matter are special or unusual to the extent of sustaining the proper exercise of the narrow discretion. Accordingly, his argument is that another court may apply the discretion differently.</w:t>
      </w:r>
    </w:p>
    <w:p w14:paraId="38B7807D" w14:textId="77777777" w:rsidR="00460DEF" w:rsidRPr="00460DEF" w:rsidRDefault="00460DEF" w:rsidP="00460DEF">
      <w:pPr>
        <w:pStyle w:val="ListParagraph"/>
        <w:rPr>
          <w:rFonts w:ascii="Arial" w:hAnsi="Arial" w:cs="Arial"/>
        </w:rPr>
      </w:pPr>
    </w:p>
    <w:p w14:paraId="27AD26D5" w14:textId="4FAC5D6A" w:rsidR="00460DEF" w:rsidRPr="00096596" w:rsidRDefault="00096596" w:rsidP="00096596">
      <w:pPr>
        <w:spacing w:line="480" w:lineRule="auto"/>
        <w:ind w:left="567" w:hanging="567"/>
        <w:jc w:val="both"/>
        <w:rPr>
          <w:rFonts w:ascii="Arial" w:hAnsi="Arial" w:cs="Arial"/>
        </w:rPr>
      </w:pPr>
      <w:r>
        <w:rPr>
          <w:rFonts w:ascii="Arial" w:hAnsi="Arial" w:cs="Arial"/>
        </w:rPr>
        <w:t>30.</w:t>
      </w:r>
      <w:r>
        <w:rPr>
          <w:rFonts w:ascii="Arial" w:hAnsi="Arial" w:cs="Arial"/>
        </w:rPr>
        <w:tab/>
      </w:r>
      <w:r w:rsidR="00460DEF" w:rsidRPr="00096596">
        <w:rPr>
          <w:rFonts w:ascii="Arial" w:hAnsi="Arial" w:cs="Arial"/>
        </w:rPr>
        <w:t xml:space="preserve">Even though the discretion is a narrow one, the principle that an appeal court will not readily interfere without a lower court’s exercise of its discretion applies. As Willis </w:t>
      </w:r>
      <w:r w:rsidR="00804046" w:rsidRPr="00096596">
        <w:rPr>
          <w:rFonts w:ascii="Arial" w:hAnsi="Arial" w:cs="Arial"/>
        </w:rPr>
        <w:t xml:space="preserve">JA </w:t>
      </w:r>
      <w:r w:rsidR="00460DEF" w:rsidRPr="00096596">
        <w:rPr>
          <w:rFonts w:ascii="Arial" w:hAnsi="Arial" w:cs="Arial"/>
        </w:rPr>
        <w:t>explain</w:t>
      </w:r>
      <w:r w:rsidR="00804046" w:rsidRPr="00096596">
        <w:rPr>
          <w:rFonts w:ascii="Arial" w:hAnsi="Arial" w:cs="Arial"/>
        </w:rPr>
        <w:t>ed</w:t>
      </w:r>
      <w:r w:rsidR="00460DEF" w:rsidRPr="00096596">
        <w:rPr>
          <w:rFonts w:ascii="Arial" w:hAnsi="Arial" w:cs="Arial"/>
        </w:rPr>
        <w:t xml:space="preserve"> in </w:t>
      </w:r>
      <w:r w:rsidR="00460DEF" w:rsidRPr="00096596">
        <w:rPr>
          <w:rFonts w:ascii="Arial" w:hAnsi="Arial" w:cs="Arial"/>
          <w:b/>
          <w:bCs/>
        </w:rPr>
        <w:t>Afgri</w:t>
      </w:r>
      <w:r w:rsidR="00460DEF" w:rsidRPr="00096596">
        <w:rPr>
          <w:rFonts w:ascii="Arial" w:hAnsi="Arial" w:cs="Arial"/>
        </w:rPr>
        <w:t xml:space="preserve">: “… </w:t>
      </w:r>
      <w:r w:rsidR="00460DEF" w:rsidRPr="00096596">
        <w:rPr>
          <w:rFonts w:ascii="Arial" w:hAnsi="Arial" w:cs="Arial"/>
          <w:i/>
          <w:iCs/>
        </w:rPr>
        <w:t>an appeal court will not interfere with a lower court’s discretion unless that court was influenced by wrong principles or a misdirection of the facts or if that court reached a decision the result of which could not reasonably have been made by the court properly directing itself to all the relevant facts and principles.</w:t>
      </w:r>
      <w:r w:rsidR="00460DEF" w:rsidRPr="00096596">
        <w:rPr>
          <w:rFonts w:ascii="Arial" w:hAnsi="Arial" w:cs="Arial"/>
        </w:rPr>
        <w:t>”</w:t>
      </w:r>
      <w:r w:rsidR="00460DEF">
        <w:rPr>
          <w:rStyle w:val="FootnoteReference"/>
          <w:rFonts w:ascii="Arial" w:hAnsi="Arial" w:cs="Arial"/>
        </w:rPr>
        <w:footnoteReference w:id="4"/>
      </w:r>
      <w:r w:rsidR="00460DEF" w:rsidRPr="00096596">
        <w:rPr>
          <w:rFonts w:ascii="Arial" w:hAnsi="Arial" w:cs="Arial"/>
        </w:rPr>
        <w:t xml:space="preserve"> </w:t>
      </w:r>
    </w:p>
    <w:p w14:paraId="7FAD494B" w14:textId="77777777" w:rsidR="00460DEF" w:rsidRPr="00460DEF" w:rsidRDefault="00460DEF" w:rsidP="00460DEF">
      <w:pPr>
        <w:pStyle w:val="ListParagraph"/>
        <w:rPr>
          <w:rFonts w:ascii="Arial" w:hAnsi="Arial" w:cs="Arial"/>
        </w:rPr>
      </w:pPr>
    </w:p>
    <w:p w14:paraId="605181F8" w14:textId="32F1A5BC" w:rsidR="00840803" w:rsidRPr="00096596" w:rsidRDefault="00096596" w:rsidP="00096596">
      <w:pPr>
        <w:spacing w:line="480" w:lineRule="auto"/>
        <w:ind w:left="567" w:hanging="567"/>
        <w:jc w:val="both"/>
        <w:rPr>
          <w:rFonts w:ascii="Arial" w:hAnsi="Arial" w:cs="Arial"/>
        </w:rPr>
      </w:pPr>
      <w:r>
        <w:rPr>
          <w:rFonts w:ascii="Arial" w:hAnsi="Arial" w:cs="Arial"/>
        </w:rPr>
        <w:t>31.</w:t>
      </w:r>
      <w:r>
        <w:rPr>
          <w:rFonts w:ascii="Arial" w:hAnsi="Arial" w:cs="Arial"/>
        </w:rPr>
        <w:tab/>
      </w:r>
      <w:r w:rsidR="00460DEF" w:rsidRPr="00096596">
        <w:rPr>
          <w:rFonts w:ascii="Arial" w:hAnsi="Arial" w:cs="Arial"/>
        </w:rPr>
        <w:t xml:space="preserve">The reason why the SCA interfered in the exercise of the discretion in </w:t>
      </w:r>
      <w:r w:rsidR="00460DEF" w:rsidRPr="00096596">
        <w:rPr>
          <w:rFonts w:ascii="Arial" w:hAnsi="Arial" w:cs="Arial"/>
          <w:b/>
          <w:bCs/>
        </w:rPr>
        <w:t>Afgri</w:t>
      </w:r>
      <w:r w:rsidR="00460DEF" w:rsidRPr="00096596">
        <w:rPr>
          <w:rFonts w:ascii="Arial" w:hAnsi="Arial" w:cs="Arial"/>
        </w:rPr>
        <w:t xml:space="preserve"> is that the lower court did not keep in mind the principle that w</w:t>
      </w:r>
      <w:r w:rsidR="00840803" w:rsidRPr="00096596">
        <w:rPr>
          <w:rFonts w:ascii="Arial" w:hAnsi="Arial" w:cs="Arial"/>
        </w:rPr>
        <w:t xml:space="preserve">here the applicant for winding up is a creditor, it has a right, </w:t>
      </w:r>
      <w:r w:rsidR="00840803" w:rsidRPr="00096596">
        <w:rPr>
          <w:rFonts w:ascii="Arial" w:hAnsi="Arial" w:cs="Arial"/>
          <w:i/>
          <w:iCs/>
        </w:rPr>
        <w:t>ex debito justitiae</w:t>
      </w:r>
      <w:r w:rsidR="00840803" w:rsidRPr="00096596">
        <w:rPr>
          <w:rFonts w:ascii="Arial" w:hAnsi="Arial" w:cs="Arial"/>
        </w:rPr>
        <w:t>, to a winding up order. “</w:t>
      </w:r>
      <w:r w:rsidR="00840803" w:rsidRPr="00096596">
        <w:rPr>
          <w:rFonts w:ascii="Arial" w:hAnsi="Arial" w:cs="Arial"/>
          <w:i/>
          <w:iCs/>
        </w:rPr>
        <w:t>The discretion of a court to refuse such order is a ‘very narrow one’ that is rarely exercised and in special or unusual circumstances only</w:t>
      </w:r>
      <w:r w:rsidR="00840803" w:rsidRPr="00096596">
        <w:rPr>
          <w:rFonts w:ascii="Arial" w:hAnsi="Arial" w:cs="Arial"/>
        </w:rPr>
        <w:t>”.</w:t>
      </w:r>
      <w:r w:rsidR="00840803">
        <w:rPr>
          <w:rStyle w:val="FootnoteReference"/>
          <w:rFonts w:ascii="Arial" w:hAnsi="Arial" w:cs="Arial"/>
        </w:rPr>
        <w:footnoteReference w:id="5"/>
      </w:r>
      <w:r w:rsidR="00460DEF" w:rsidRPr="00096596">
        <w:rPr>
          <w:rFonts w:ascii="Arial" w:hAnsi="Arial" w:cs="Arial"/>
        </w:rPr>
        <w:t xml:space="preserve"> I did keep this principle in mind as is clear from paragraph 53 of my judgment.</w:t>
      </w:r>
    </w:p>
    <w:p w14:paraId="35A404D8" w14:textId="77777777" w:rsidR="00460DEF" w:rsidRPr="00460DEF" w:rsidRDefault="00460DEF" w:rsidP="00460DEF">
      <w:pPr>
        <w:pStyle w:val="ListParagraph"/>
        <w:rPr>
          <w:rFonts w:ascii="Arial" w:hAnsi="Arial" w:cs="Arial"/>
        </w:rPr>
      </w:pPr>
    </w:p>
    <w:p w14:paraId="010B9D73" w14:textId="4C4F8011" w:rsidR="00460DEF" w:rsidRPr="00096596" w:rsidRDefault="00096596" w:rsidP="00096596">
      <w:pPr>
        <w:spacing w:line="480" w:lineRule="auto"/>
        <w:ind w:left="567" w:hanging="567"/>
        <w:jc w:val="both"/>
        <w:rPr>
          <w:rFonts w:ascii="Arial" w:hAnsi="Arial" w:cs="Arial"/>
        </w:rPr>
      </w:pPr>
      <w:r>
        <w:rPr>
          <w:rFonts w:ascii="Arial" w:hAnsi="Arial" w:cs="Arial"/>
        </w:rPr>
        <w:lastRenderedPageBreak/>
        <w:t>32.</w:t>
      </w:r>
      <w:r>
        <w:rPr>
          <w:rFonts w:ascii="Arial" w:hAnsi="Arial" w:cs="Arial"/>
        </w:rPr>
        <w:tab/>
      </w:r>
      <w:r w:rsidR="00460DEF" w:rsidRPr="00096596">
        <w:rPr>
          <w:rFonts w:ascii="Arial" w:hAnsi="Arial" w:cs="Arial"/>
        </w:rPr>
        <w:t>One of the reasons why I would have exercised my discretion to refuse a winding-up order even if the required grounds were present is the fact that Beleggings has a liquidated counterclaim that exceeds the loan. But for the liquidation, the two debts would have been extinguished set-off. The Applicants did not suggest in their application for leave to appeal that this is not a ground upon which I could judicially exercise my narrow discretion.</w:t>
      </w:r>
    </w:p>
    <w:p w14:paraId="78310468" w14:textId="77777777" w:rsidR="00460DEF" w:rsidRPr="00460DEF" w:rsidRDefault="00460DEF" w:rsidP="00460DEF">
      <w:pPr>
        <w:pStyle w:val="ListParagraph"/>
        <w:rPr>
          <w:rFonts w:ascii="Arial" w:hAnsi="Arial" w:cs="Arial"/>
        </w:rPr>
      </w:pPr>
    </w:p>
    <w:p w14:paraId="56899BF6" w14:textId="27CF8D44" w:rsidR="00460DEF" w:rsidRPr="00096596" w:rsidRDefault="00096596" w:rsidP="00096596">
      <w:pPr>
        <w:spacing w:line="480" w:lineRule="auto"/>
        <w:ind w:left="567" w:hanging="567"/>
        <w:jc w:val="both"/>
        <w:rPr>
          <w:rFonts w:ascii="Arial" w:hAnsi="Arial" w:cs="Arial"/>
        </w:rPr>
      </w:pPr>
      <w:r>
        <w:rPr>
          <w:rFonts w:ascii="Arial" w:hAnsi="Arial" w:cs="Arial"/>
        </w:rPr>
        <w:t>33.</w:t>
      </w:r>
      <w:r>
        <w:rPr>
          <w:rFonts w:ascii="Arial" w:hAnsi="Arial" w:cs="Arial"/>
        </w:rPr>
        <w:tab/>
      </w:r>
      <w:r w:rsidR="00460DEF" w:rsidRPr="00096596">
        <w:rPr>
          <w:rFonts w:ascii="Arial" w:hAnsi="Arial" w:cs="Arial"/>
        </w:rPr>
        <w:t xml:space="preserve">In my view, based on the facts and the law, there is no reasonable prospect that a court of appeal </w:t>
      </w:r>
      <w:r w:rsidR="00804046" w:rsidRPr="00096596">
        <w:rPr>
          <w:rFonts w:ascii="Arial" w:hAnsi="Arial" w:cs="Arial"/>
        </w:rPr>
        <w:t>c</w:t>
      </w:r>
      <w:r w:rsidR="00460DEF" w:rsidRPr="00096596">
        <w:rPr>
          <w:rFonts w:ascii="Arial" w:hAnsi="Arial" w:cs="Arial"/>
        </w:rPr>
        <w:t xml:space="preserve">ould interfere in the exercise of my discretion on the third issue. </w:t>
      </w:r>
    </w:p>
    <w:p w14:paraId="41064974" w14:textId="77777777" w:rsidR="00450898" w:rsidRPr="00460DEF" w:rsidRDefault="00450898" w:rsidP="00460DEF">
      <w:pPr>
        <w:rPr>
          <w:rFonts w:ascii="Arial" w:hAnsi="Arial" w:cs="Arial"/>
        </w:rPr>
      </w:pPr>
    </w:p>
    <w:p w14:paraId="62AA798F" w14:textId="76370741" w:rsidR="00450898" w:rsidRDefault="00450898" w:rsidP="00FA2DF3">
      <w:pPr>
        <w:keepNext/>
        <w:jc w:val="both"/>
        <w:rPr>
          <w:rFonts w:ascii="Arial" w:hAnsi="Arial" w:cs="Arial"/>
          <w:b/>
          <w:bCs/>
        </w:rPr>
      </w:pPr>
      <w:r>
        <w:rPr>
          <w:rFonts w:ascii="Arial" w:hAnsi="Arial" w:cs="Arial"/>
          <w:b/>
          <w:bCs/>
        </w:rPr>
        <w:t>Conclusion</w:t>
      </w:r>
    </w:p>
    <w:p w14:paraId="381E3D47" w14:textId="77777777" w:rsidR="00450898" w:rsidRPr="00450898" w:rsidRDefault="00450898" w:rsidP="00FA2DF3">
      <w:pPr>
        <w:keepNext/>
        <w:spacing w:line="480" w:lineRule="auto"/>
        <w:jc w:val="both"/>
        <w:rPr>
          <w:rFonts w:ascii="Arial" w:hAnsi="Arial" w:cs="Arial"/>
          <w:b/>
          <w:bCs/>
        </w:rPr>
      </w:pPr>
    </w:p>
    <w:p w14:paraId="06CE3017" w14:textId="3E9DD147" w:rsidR="00804046" w:rsidRPr="00096596" w:rsidRDefault="00096596" w:rsidP="00096596">
      <w:pPr>
        <w:spacing w:line="480" w:lineRule="auto"/>
        <w:ind w:left="567" w:hanging="567"/>
        <w:jc w:val="both"/>
        <w:rPr>
          <w:rFonts w:ascii="Arial" w:hAnsi="Arial" w:cs="Arial"/>
        </w:rPr>
      </w:pPr>
      <w:r>
        <w:rPr>
          <w:rFonts w:ascii="Arial" w:hAnsi="Arial" w:cs="Arial"/>
        </w:rPr>
        <w:t>34.</w:t>
      </w:r>
      <w:r>
        <w:rPr>
          <w:rFonts w:ascii="Arial" w:hAnsi="Arial" w:cs="Arial"/>
        </w:rPr>
        <w:tab/>
      </w:r>
      <w:r w:rsidR="00460DEF" w:rsidRPr="00096596">
        <w:rPr>
          <w:rFonts w:ascii="Arial" w:hAnsi="Arial" w:cs="Arial"/>
        </w:rPr>
        <w:t xml:space="preserve">Accordingly, the Applicants have not satisfied the requirement of showing that there is a reasonable prospect that a court of appeal would come to a different conclusion. </w:t>
      </w:r>
      <w:r w:rsidR="00804046" w:rsidRPr="00096596">
        <w:rPr>
          <w:rFonts w:ascii="Arial" w:hAnsi="Arial" w:cs="Arial"/>
        </w:rPr>
        <w:t>The Applicants have not shown on proper grounds that they have prospects of success on appeal.</w:t>
      </w:r>
    </w:p>
    <w:p w14:paraId="35CACA56" w14:textId="77777777" w:rsidR="00804046" w:rsidRDefault="00804046" w:rsidP="00804046">
      <w:pPr>
        <w:pStyle w:val="ListParagraph"/>
        <w:ind w:left="567"/>
        <w:jc w:val="both"/>
        <w:rPr>
          <w:rFonts w:ascii="Arial" w:hAnsi="Arial" w:cs="Arial"/>
        </w:rPr>
      </w:pPr>
    </w:p>
    <w:p w14:paraId="4568F631" w14:textId="265201B5" w:rsidR="009B43B4" w:rsidRPr="00096596" w:rsidRDefault="00096596" w:rsidP="00096596">
      <w:pPr>
        <w:spacing w:line="480" w:lineRule="auto"/>
        <w:ind w:left="567" w:hanging="567"/>
        <w:jc w:val="both"/>
        <w:rPr>
          <w:rFonts w:ascii="Arial" w:hAnsi="Arial" w:cs="Arial"/>
        </w:rPr>
      </w:pPr>
      <w:r w:rsidRPr="00450898">
        <w:rPr>
          <w:rFonts w:ascii="Arial" w:hAnsi="Arial" w:cs="Arial"/>
        </w:rPr>
        <w:t>35.</w:t>
      </w:r>
      <w:r w:rsidRPr="00450898">
        <w:rPr>
          <w:rFonts w:ascii="Arial" w:hAnsi="Arial" w:cs="Arial"/>
        </w:rPr>
        <w:tab/>
      </w:r>
      <w:r w:rsidR="00460DEF" w:rsidRPr="00096596">
        <w:rPr>
          <w:rFonts w:ascii="Arial" w:hAnsi="Arial" w:cs="Arial"/>
        </w:rPr>
        <w:t>There are also no other compelling reasons why the appeal should be heard.</w:t>
      </w:r>
    </w:p>
    <w:p w14:paraId="1D93D559" w14:textId="77777777" w:rsidR="00450898" w:rsidRPr="00450898" w:rsidRDefault="00450898" w:rsidP="00450898">
      <w:pPr>
        <w:pStyle w:val="ListParagraph"/>
        <w:ind w:left="567"/>
        <w:jc w:val="both"/>
        <w:rPr>
          <w:rFonts w:ascii="Arial" w:hAnsi="Arial" w:cs="Arial"/>
        </w:rPr>
      </w:pPr>
    </w:p>
    <w:p w14:paraId="62E5B5CB" w14:textId="6C0FD1A2" w:rsidR="00A96A33" w:rsidRPr="00096596" w:rsidRDefault="00096596" w:rsidP="00096596">
      <w:pPr>
        <w:keepNext/>
        <w:keepLines/>
        <w:ind w:left="567" w:hanging="567"/>
        <w:jc w:val="both"/>
        <w:rPr>
          <w:rFonts w:ascii="Arial" w:hAnsi="Arial" w:cs="Arial"/>
        </w:rPr>
      </w:pPr>
      <w:r>
        <w:rPr>
          <w:rFonts w:ascii="Arial" w:hAnsi="Arial" w:cs="Arial"/>
        </w:rPr>
        <w:lastRenderedPageBreak/>
        <w:t>36.</w:t>
      </w:r>
      <w:r>
        <w:rPr>
          <w:rFonts w:ascii="Arial" w:hAnsi="Arial" w:cs="Arial"/>
        </w:rPr>
        <w:tab/>
      </w:r>
      <w:r w:rsidR="00F11F2C" w:rsidRPr="00096596">
        <w:rPr>
          <w:rFonts w:ascii="Arial" w:hAnsi="Arial" w:cs="Arial"/>
        </w:rPr>
        <w:t>I accordingly make the following order:</w:t>
      </w:r>
    </w:p>
    <w:p w14:paraId="2F50ACC1" w14:textId="3FEA370E" w:rsidR="00C42352" w:rsidRDefault="00C42352" w:rsidP="00B57F3E">
      <w:pPr>
        <w:keepNext/>
        <w:keepLines/>
        <w:jc w:val="both"/>
        <w:rPr>
          <w:rFonts w:ascii="Arial" w:hAnsi="Arial" w:cs="Arial"/>
        </w:rPr>
      </w:pPr>
    </w:p>
    <w:p w14:paraId="174EF6D8" w14:textId="77777777" w:rsidR="00B57F3E" w:rsidRPr="00D510A3" w:rsidRDefault="00B57F3E" w:rsidP="00B57F3E">
      <w:pPr>
        <w:keepNext/>
        <w:keepLines/>
        <w:jc w:val="both"/>
        <w:rPr>
          <w:rFonts w:ascii="Arial" w:hAnsi="Arial" w:cs="Arial"/>
        </w:rPr>
      </w:pPr>
    </w:p>
    <w:p w14:paraId="38CBF0BB" w14:textId="56FCF45B" w:rsidR="00512FBA" w:rsidRPr="00096596" w:rsidRDefault="00096596" w:rsidP="00096596">
      <w:pPr>
        <w:keepNext/>
        <w:keepLines/>
        <w:spacing w:line="480" w:lineRule="auto"/>
        <w:ind w:left="1418" w:hanging="851"/>
        <w:jc w:val="both"/>
        <w:rPr>
          <w:rFonts w:ascii="Arial" w:hAnsi="Arial" w:cs="Arial"/>
        </w:rPr>
      </w:pPr>
      <w:r>
        <w:rPr>
          <w:rFonts w:ascii="Arial" w:hAnsi="Arial" w:cs="Arial"/>
        </w:rPr>
        <w:t>36.1.</w:t>
      </w:r>
      <w:r>
        <w:rPr>
          <w:rFonts w:ascii="Arial" w:hAnsi="Arial" w:cs="Arial"/>
        </w:rPr>
        <w:tab/>
      </w:r>
      <w:r w:rsidR="00450898" w:rsidRPr="00096596">
        <w:rPr>
          <w:rFonts w:ascii="Arial" w:hAnsi="Arial" w:cs="Arial"/>
        </w:rPr>
        <w:t xml:space="preserve">The application </w:t>
      </w:r>
      <w:r w:rsidR="00460DEF" w:rsidRPr="00096596">
        <w:rPr>
          <w:rFonts w:ascii="Arial" w:hAnsi="Arial" w:cs="Arial"/>
        </w:rPr>
        <w:t xml:space="preserve">for leave to appeal </w:t>
      </w:r>
      <w:r w:rsidR="00450898" w:rsidRPr="00096596">
        <w:rPr>
          <w:rFonts w:ascii="Arial" w:hAnsi="Arial" w:cs="Arial"/>
        </w:rPr>
        <w:t xml:space="preserve">is dismissed with costs, </w:t>
      </w:r>
      <w:r w:rsidR="00450898" w:rsidRPr="00096596">
        <w:rPr>
          <w:rFonts w:ascii="Arial" w:hAnsi="Arial" w:cs="Arial"/>
          <w:lang w:val="en-US"/>
        </w:rPr>
        <w:t>including costs of two coun</w:t>
      </w:r>
      <w:r w:rsidR="00FA2DF3" w:rsidRPr="00096596">
        <w:rPr>
          <w:rFonts w:ascii="Arial" w:hAnsi="Arial" w:cs="Arial"/>
          <w:lang w:val="en-US"/>
        </w:rPr>
        <w:t>sel</w:t>
      </w:r>
      <w:r w:rsidR="00450898" w:rsidRPr="00096596">
        <w:rPr>
          <w:rFonts w:ascii="Arial" w:hAnsi="Arial" w:cs="Arial"/>
          <w:lang w:val="en-US"/>
        </w:rPr>
        <w:t xml:space="preserve"> where so engaged.</w:t>
      </w:r>
    </w:p>
    <w:p w14:paraId="67234D00" w14:textId="36FE55D3" w:rsidR="006C5368" w:rsidRPr="00450898" w:rsidRDefault="006C5368" w:rsidP="00B57F3E">
      <w:pPr>
        <w:keepNext/>
        <w:keepLines/>
        <w:jc w:val="both"/>
        <w:rPr>
          <w:rFonts w:ascii="Arial" w:hAnsi="Arial" w:cs="Arial"/>
        </w:rPr>
      </w:pPr>
      <w:r w:rsidRPr="00450898">
        <w:rPr>
          <w:rFonts w:ascii="Arial" w:hAnsi="Arial" w:cs="Arial"/>
        </w:rPr>
        <w:t xml:space="preserve"> </w:t>
      </w:r>
    </w:p>
    <w:p w14:paraId="02DF189E" w14:textId="77777777" w:rsidR="00512FBA" w:rsidRPr="00512FBA" w:rsidRDefault="00512FBA" w:rsidP="00B57F3E">
      <w:pPr>
        <w:pStyle w:val="ListParagraph"/>
        <w:keepNext/>
        <w:keepLines/>
        <w:ind w:left="1418"/>
        <w:jc w:val="both"/>
        <w:rPr>
          <w:rFonts w:ascii="Arial" w:hAnsi="Arial" w:cs="Arial"/>
        </w:rPr>
      </w:pPr>
    </w:p>
    <w:p w14:paraId="6D00F672" w14:textId="77777777" w:rsidR="00EC3264" w:rsidRPr="00EC3264" w:rsidRDefault="00EC3264" w:rsidP="00B57F3E">
      <w:pPr>
        <w:pStyle w:val="ListParagraph"/>
        <w:keepNext/>
        <w:keepLines/>
        <w:ind w:left="1418"/>
        <w:jc w:val="both"/>
        <w:rPr>
          <w:rFonts w:ascii="Arial" w:hAnsi="Arial" w:cs="Arial"/>
        </w:rPr>
      </w:pPr>
    </w:p>
    <w:p w14:paraId="7A3DE349" w14:textId="457B1746" w:rsidR="00A96A33" w:rsidRDefault="00A96A33" w:rsidP="00B57F3E">
      <w:pPr>
        <w:keepNext/>
        <w:keepLines/>
        <w:jc w:val="both"/>
        <w:rPr>
          <w:rFonts w:ascii="Arial" w:hAnsi="Arial" w:cs="Arial"/>
        </w:rPr>
      </w:pPr>
      <w:r>
        <w:rPr>
          <w:rFonts w:ascii="Arial" w:hAnsi="Arial" w:cs="Arial"/>
        </w:rPr>
        <w:t>__________________________</w:t>
      </w:r>
    </w:p>
    <w:p w14:paraId="1E38B412" w14:textId="7C427D26" w:rsidR="00A96A33" w:rsidRDefault="00A96A33" w:rsidP="00B57F3E">
      <w:pPr>
        <w:keepNext/>
        <w:keepLines/>
        <w:jc w:val="both"/>
        <w:rPr>
          <w:rFonts w:ascii="Arial" w:hAnsi="Arial" w:cs="Arial"/>
        </w:rPr>
      </w:pPr>
      <w:r>
        <w:rPr>
          <w:rFonts w:ascii="Arial" w:hAnsi="Arial" w:cs="Arial"/>
        </w:rPr>
        <w:t>Vivian, AJ</w:t>
      </w:r>
    </w:p>
    <w:p w14:paraId="1DC82773" w14:textId="77D0F061" w:rsidR="001E7284" w:rsidRDefault="001E7284" w:rsidP="00B57F3E">
      <w:pPr>
        <w:keepNext/>
        <w:keepLines/>
        <w:jc w:val="both"/>
        <w:rPr>
          <w:rFonts w:ascii="Arial" w:hAnsi="Arial" w:cs="Arial"/>
        </w:rPr>
      </w:pPr>
      <w:r>
        <w:rPr>
          <w:rFonts w:ascii="Arial" w:hAnsi="Arial" w:cs="Arial"/>
        </w:rPr>
        <w:t>Acting Judge of the Gauteng Division of the High Court of South Africa</w:t>
      </w:r>
    </w:p>
    <w:p w14:paraId="1EE258C9" w14:textId="6C74CB3E" w:rsidR="00A96A33" w:rsidRDefault="00A96A33" w:rsidP="00EC1508">
      <w:pPr>
        <w:keepNext/>
        <w:keepLines/>
        <w:spacing w:line="480" w:lineRule="auto"/>
        <w:jc w:val="both"/>
        <w:rPr>
          <w:rFonts w:ascii="Arial" w:hAnsi="Arial" w:cs="Arial"/>
        </w:rPr>
      </w:pPr>
    </w:p>
    <w:p w14:paraId="24FF5F53" w14:textId="7FECD477" w:rsidR="00851B6E" w:rsidRDefault="00851B6E" w:rsidP="00EC1508">
      <w:pPr>
        <w:keepNext/>
        <w:spacing w:line="480" w:lineRule="auto"/>
        <w:jc w:val="both"/>
        <w:rPr>
          <w:rFonts w:ascii="Arial" w:hAnsi="Arial" w:cs="Arial"/>
        </w:rPr>
      </w:pPr>
      <w:r>
        <w:rPr>
          <w:rFonts w:ascii="Arial" w:hAnsi="Arial" w:cs="Arial"/>
        </w:rPr>
        <w:t>APPEARANCES:</w:t>
      </w:r>
    </w:p>
    <w:p w14:paraId="3240815A" w14:textId="6FAF3554" w:rsidR="00851B6E" w:rsidRDefault="00851B6E" w:rsidP="00EC1508">
      <w:pPr>
        <w:keepNext/>
        <w:spacing w:line="480" w:lineRule="auto"/>
        <w:jc w:val="both"/>
        <w:rPr>
          <w:rFonts w:ascii="Arial" w:hAnsi="Arial" w:cs="Arial"/>
        </w:rPr>
      </w:pPr>
    </w:p>
    <w:p w14:paraId="1F9D648D" w14:textId="1745ED9C" w:rsidR="00B84C26" w:rsidRDefault="00851B6E" w:rsidP="006D5508">
      <w:pPr>
        <w:keepNext/>
        <w:spacing w:line="480" w:lineRule="auto"/>
        <w:ind w:left="4395" w:hanging="4395"/>
        <w:jc w:val="both"/>
        <w:rPr>
          <w:rFonts w:ascii="Arial" w:hAnsi="Arial" w:cs="Arial"/>
        </w:rPr>
      </w:pPr>
      <w:r>
        <w:rPr>
          <w:rFonts w:ascii="Arial" w:hAnsi="Arial" w:cs="Arial"/>
        </w:rPr>
        <w:t xml:space="preserve">FOR THE </w:t>
      </w:r>
      <w:r w:rsidR="000620AA">
        <w:rPr>
          <w:rFonts w:ascii="Arial" w:hAnsi="Arial" w:cs="Arial"/>
        </w:rPr>
        <w:t>APPLICANT</w:t>
      </w:r>
      <w:r>
        <w:rPr>
          <w:rFonts w:ascii="Arial" w:hAnsi="Arial" w:cs="Arial"/>
        </w:rPr>
        <w:t>:</w:t>
      </w:r>
      <w:r w:rsidR="005709FB">
        <w:rPr>
          <w:rFonts w:ascii="Arial" w:hAnsi="Arial" w:cs="Arial"/>
        </w:rPr>
        <w:tab/>
      </w:r>
      <w:r w:rsidR="00450898">
        <w:rPr>
          <w:rFonts w:ascii="Arial" w:hAnsi="Arial" w:cs="Arial"/>
        </w:rPr>
        <w:t>P Lourens, instructed by Tintingers Inc.</w:t>
      </w:r>
    </w:p>
    <w:p w14:paraId="1046D570" w14:textId="1CBD54A7" w:rsidR="00851B6E" w:rsidRPr="00A96A33" w:rsidRDefault="00851B6E" w:rsidP="006D5508">
      <w:pPr>
        <w:spacing w:line="480" w:lineRule="auto"/>
        <w:ind w:left="4395" w:hanging="4395"/>
        <w:jc w:val="both"/>
        <w:rPr>
          <w:rFonts w:ascii="Arial" w:hAnsi="Arial" w:cs="Arial"/>
        </w:rPr>
      </w:pPr>
      <w:r>
        <w:rPr>
          <w:rFonts w:ascii="Arial" w:hAnsi="Arial" w:cs="Arial"/>
        </w:rPr>
        <w:t xml:space="preserve">FOR THE </w:t>
      </w:r>
      <w:r w:rsidR="000620AA">
        <w:rPr>
          <w:rFonts w:ascii="Arial" w:hAnsi="Arial" w:cs="Arial"/>
        </w:rPr>
        <w:t xml:space="preserve">THIRD </w:t>
      </w:r>
      <w:r w:rsidR="00B84C26">
        <w:rPr>
          <w:rFonts w:ascii="Arial" w:hAnsi="Arial" w:cs="Arial"/>
        </w:rPr>
        <w:t>RESPONDENT</w:t>
      </w:r>
      <w:r>
        <w:rPr>
          <w:rFonts w:ascii="Arial" w:hAnsi="Arial" w:cs="Arial"/>
        </w:rPr>
        <w:t xml:space="preserve">: </w:t>
      </w:r>
      <w:r>
        <w:rPr>
          <w:rFonts w:ascii="Arial" w:hAnsi="Arial" w:cs="Arial"/>
        </w:rPr>
        <w:tab/>
      </w:r>
      <w:r w:rsidR="00450898">
        <w:rPr>
          <w:rFonts w:ascii="Arial" w:hAnsi="Arial" w:cs="Arial"/>
        </w:rPr>
        <w:t>S</w:t>
      </w:r>
      <w:r w:rsidR="003F2B54">
        <w:rPr>
          <w:rFonts w:ascii="Arial" w:hAnsi="Arial" w:cs="Arial"/>
        </w:rPr>
        <w:t>D</w:t>
      </w:r>
      <w:r w:rsidR="00450898">
        <w:rPr>
          <w:rFonts w:ascii="Arial" w:hAnsi="Arial" w:cs="Arial"/>
        </w:rPr>
        <w:t xml:space="preserve"> Wagenaar SC</w:t>
      </w:r>
      <w:r w:rsidR="003F2B54">
        <w:rPr>
          <w:rFonts w:ascii="Arial" w:hAnsi="Arial" w:cs="Arial"/>
        </w:rPr>
        <w:t xml:space="preserve"> and D Hewitt</w:t>
      </w:r>
      <w:r w:rsidR="006D5508">
        <w:rPr>
          <w:rFonts w:ascii="Arial" w:hAnsi="Arial" w:cs="Arial"/>
        </w:rPr>
        <w:t xml:space="preserve">, instructed by </w:t>
      </w:r>
      <w:r w:rsidR="00450898">
        <w:rPr>
          <w:rFonts w:ascii="Arial" w:hAnsi="Arial" w:cs="Arial"/>
        </w:rPr>
        <w:t>George Rautenbach Inc.</w:t>
      </w:r>
    </w:p>
    <w:sectPr w:rsidR="00851B6E" w:rsidRPr="00A96A33" w:rsidSect="004B6CE9">
      <w:headerReference w:type="even" r:id="rId8"/>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B47D5" w14:textId="77777777" w:rsidR="00241096" w:rsidRDefault="00241096" w:rsidP="00294AF2">
      <w:r>
        <w:separator/>
      </w:r>
    </w:p>
  </w:endnote>
  <w:endnote w:type="continuationSeparator" w:id="0">
    <w:p w14:paraId="4EE5BCF6" w14:textId="77777777" w:rsidR="00241096" w:rsidRDefault="00241096" w:rsidP="00294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D0AFC" w14:textId="77777777" w:rsidR="00241096" w:rsidRDefault="00241096" w:rsidP="00294AF2">
      <w:r>
        <w:separator/>
      </w:r>
    </w:p>
  </w:footnote>
  <w:footnote w:type="continuationSeparator" w:id="0">
    <w:p w14:paraId="1CD98EB9" w14:textId="77777777" w:rsidR="00241096" w:rsidRDefault="00241096" w:rsidP="00294AF2">
      <w:r>
        <w:continuationSeparator/>
      </w:r>
    </w:p>
  </w:footnote>
  <w:footnote w:id="1">
    <w:p w14:paraId="7E1BB036" w14:textId="1E0FE0C4" w:rsidR="001721C3" w:rsidRPr="001721C3" w:rsidRDefault="001721C3">
      <w:pPr>
        <w:pStyle w:val="FootnoteText"/>
        <w:rPr>
          <w:lang w:val="en-US"/>
        </w:rPr>
      </w:pPr>
      <w:r>
        <w:rPr>
          <w:rStyle w:val="FootnoteReference"/>
        </w:rPr>
        <w:footnoteRef/>
      </w:r>
      <w:r>
        <w:t xml:space="preserve"> </w:t>
      </w:r>
      <w:r w:rsidRPr="001721C3">
        <w:t>Ramakatsa and Others v African National Congress and Another (724/2019) [2021] ZASCA 31 (31 March 2021)</w:t>
      </w:r>
      <w:r>
        <w:t xml:space="preserve"> at para 10</w:t>
      </w:r>
    </w:p>
  </w:footnote>
  <w:footnote w:id="2">
    <w:p w14:paraId="361BBFEB" w14:textId="4D517AC4" w:rsidR="001721C3" w:rsidRPr="001721C3" w:rsidRDefault="001721C3">
      <w:pPr>
        <w:pStyle w:val="FootnoteText"/>
        <w:rPr>
          <w:lang w:val="en-US"/>
        </w:rPr>
      </w:pPr>
      <w:r>
        <w:rPr>
          <w:rStyle w:val="FootnoteReference"/>
        </w:rPr>
        <w:footnoteRef/>
      </w:r>
      <w:r>
        <w:t xml:space="preserve"> </w:t>
      </w:r>
      <w:r w:rsidRPr="003D54D5">
        <w:t>Millman NO v Twiggs and Another 1995 (3) SA 674 (A)</w:t>
      </w:r>
      <w:r>
        <w:t xml:space="preserve"> at 677 H</w:t>
      </w:r>
    </w:p>
  </w:footnote>
  <w:footnote w:id="3">
    <w:p w14:paraId="7926A17A" w14:textId="19D2FA35" w:rsidR="00722EE6" w:rsidRPr="00722EE6" w:rsidRDefault="00722EE6">
      <w:pPr>
        <w:pStyle w:val="FootnoteText"/>
        <w:rPr>
          <w:lang w:val="en-US"/>
        </w:rPr>
      </w:pPr>
      <w:r>
        <w:rPr>
          <w:rStyle w:val="FootnoteReference"/>
        </w:rPr>
        <w:footnoteRef/>
      </w:r>
      <w:r>
        <w:t xml:space="preserve"> </w:t>
      </w:r>
      <w:r w:rsidRPr="00722EE6">
        <w:t>Express Model Trading 289 CC v Dolphin Ridge Body Corporate 2015 (6) SA 224 (SCA)</w:t>
      </w:r>
    </w:p>
  </w:footnote>
  <w:footnote w:id="4">
    <w:p w14:paraId="345FF8C2" w14:textId="39F7157C" w:rsidR="00460DEF" w:rsidRPr="00460DEF" w:rsidRDefault="00460DEF">
      <w:pPr>
        <w:pStyle w:val="FootnoteText"/>
        <w:rPr>
          <w:lang w:val="en-US"/>
        </w:rPr>
      </w:pPr>
      <w:r>
        <w:rPr>
          <w:rStyle w:val="FootnoteReference"/>
        </w:rPr>
        <w:footnoteRef/>
      </w:r>
      <w:r>
        <w:t xml:space="preserve"> </w:t>
      </w:r>
      <w:r w:rsidRPr="00840803">
        <w:t>Afgri Operations Limited v Hamba Fleet (Pty) Limited 2022 (1) SA 91 (SCA)</w:t>
      </w:r>
      <w:r>
        <w:t xml:space="preserve"> at para 12</w:t>
      </w:r>
    </w:p>
  </w:footnote>
  <w:footnote w:id="5">
    <w:p w14:paraId="29F4C18A" w14:textId="277410D0" w:rsidR="00840803" w:rsidRPr="00840803" w:rsidRDefault="00840803">
      <w:pPr>
        <w:pStyle w:val="FootnoteText"/>
        <w:rPr>
          <w:lang w:val="en-US"/>
        </w:rPr>
      </w:pPr>
      <w:r>
        <w:rPr>
          <w:rStyle w:val="FootnoteReference"/>
        </w:rPr>
        <w:footnoteRef/>
      </w:r>
      <w:r>
        <w:t xml:space="preserve"> </w:t>
      </w:r>
      <w:r w:rsidR="00460DEF">
        <w:rPr>
          <w:lang w:val="en-US"/>
        </w:rPr>
        <w:t xml:space="preserve">Afgri Operations, </w:t>
      </w:r>
      <w:r w:rsidR="00460DEF">
        <w:rPr>
          <w:i/>
          <w:iCs/>
          <w:lang w:val="en-US"/>
        </w:rPr>
        <w:t>supra</w:t>
      </w:r>
      <w:r w:rsidR="00460DEF">
        <w:rPr>
          <w:lang w:val="en-US"/>
        </w:rPr>
        <w:t xml:space="preserve"> at para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52577224"/>
      <w:docPartObj>
        <w:docPartGallery w:val="Page Numbers (Top of Page)"/>
        <w:docPartUnique/>
      </w:docPartObj>
    </w:sdtPr>
    <w:sdtEndPr>
      <w:rPr>
        <w:rStyle w:val="PageNumber"/>
      </w:rPr>
    </w:sdtEndPr>
    <w:sdtContent>
      <w:p w14:paraId="4545A2FF" w14:textId="3C3AF184" w:rsidR="00DC32A6" w:rsidRDefault="00DC32A6" w:rsidP="00DC32A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48DCA6" w14:textId="77777777" w:rsidR="00DC32A6" w:rsidRDefault="00DC32A6" w:rsidP="00294AF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6951333"/>
      <w:docPartObj>
        <w:docPartGallery w:val="Page Numbers (Top of Page)"/>
        <w:docPartUnique/>
      </w:docPartObj>
    </w:sdtPr>
    <w:sdtEndPr>
      <w:rPr>
        <w:rStyle w:val="PageNumber"/>
      </w:rPr>
    </w:sdtEndPr>
    <w:sdtContent>
      <w:p w14:paraId="75339F53" w14:textId="06523A9E" w:rsidR="00DC32A6" w:rsidRDefault="00DC32A6" w:rsidP="00DC32A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96596">
          <w:rPr>
            <w:rStyle w:val="PageNumber"/>
            <w:noProof/>
          </w:rPr>
          <w:t>2</w:t>
        </w:r>
        <w:r>
          <w:rPr>
            <w:rStyle w:val="PageNumber"/>
          </w:rPr>
          <w:fldChar w:fldCharType="end"/>
        </w:r>
      </w:p>
    </w:sdtContent>
  </w:sdt>
  <w:p w14:paraId="1634732F" w14:textId="77777777" w:rsidR="00DC32A6" w:rsidRDefault="00DC32A6" w:rsidP="00294AF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nsid w:val="1B996723"/>
    <w:multiLevelType w:val="multilevel"/>
    <w:tmpl w:val="46E4EC8A"/>
    <w:lvl w:ilvl="0">
      <w:start w:val="1"/>
      <w:numFmt w:val="decimal"/>
      <w:lvlText w:val="%1."/>
      <w:lvlJc w:val="left"/>
      <w:pPr>
        <w:ind w:left="567" w:hanging="567"/>
      </w:pPr>
      <w:rPr>
        <w:rFonts w:hint="default"/>
      </w:rPr>
    </w:lvl>
    <w:lvl w:ilvl="1">
      <w:start w:val="1"/>
      <w:numFmt w:val="decimal"/>
      <w:lvlText w:val="%1.%2."/>
      <w:lvlJc w:val="left"/>
      <w:pPr>
        <w:ind w:left="1418"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EBC490A"/>
    <w:multiLevelType w:val="hybridMultilevel"/>
    <w:tmpl w:val="A2B46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0474BD"/>
    <w:multiLevelType w:val="multilevel"/>
    <w:tmpl w:val="324E306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nsid w:val="4ACF2A8F"/>
    <w:multiLevelType w:val="hybridMultilevel"/>
    <w:tmpl w:val="6CD47178"/>
    <w:lvl w:ilvl="0" w:tplc="7520EE0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5EE07CC2"/>
    <w:multiLevelType w:val="multilevel"/>
    <w:tmpl w:val="46E4EC8A"/>
    <w:lvl w:ilvl="0">
      <w:start w:val="1"/>
      <w:numFmt w:val="decimal"/>
      <w:lvlText w:val="%1."/>
      <w:lvlJc w:val="left"/>
      <w:pPr>
        <w:ind w:left="567" w:hanging="567"/>
      </w:pPr>
      <w:rPr>
        <w:rFonts w:hint="default"/>
      </w:rPr>
    </w:lvl>
    <w:lvl w:ilvl="1">
      <w:start w:val="1"/>
      <w:numFmt w:val="decimal"/>
      <w:lvlText w:val="%1.%2."/>
      <w:lvlJc w:val="left"/>
      <w:pPr>
        <w:ind w:left="1418"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BF11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6"/>
  </w:num>
  <w:num w:numId="3">
    <w:abstractNumId w:val="5"/>
  </w:num>
  <w:num w:numId="4">
    <w:abstractNumId w:val="4"/>
  </w:num>
  <w:num w:numId="5">
    <w:abstractNumId w:val="2"/>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9C8"/>
    <w:rsid w:val="00000AAC"/>
    <w:rsid w:val="000012D8"/>
    <w:rsid w:val="00007612"/>
    <w:rsid w:val="00023C23"/>
    <w:rsid w:val="00047064"/>
    <w:rsid w:val="00051321"/>
    <w:rsid w:val="000557A0"/>
    <w:rsid w:val="00057ECF"/>
    <w:rsid w:val="000620AA"/>
    <w:rsid w:val="00064983"/>
    <w:rsid w:val="00067D0F"/>
    <w:rsid w:val="00087EC2"/>
    <w:rsid w:val="00096596"/>
    <w:rsid w:val="000A0686"/>
    <w:rsid w:val="000B54BA"/>
    <w:rsid w:val="000C6D26"/>
    <w:rsid w:val="000E1D23"/>
    <w:rsid w:val="000F3904"/>
    <w:rsid w:val="000F626C"/>
    <w:rsid w:val="00106555"/>
    <w:rsid w:val="00134740"/>
    <w:rsid w:val="00135755"/>
    <w:rsid w:val="00135CAD"/>
    <w:rsid w:val="001573B5"/>
    <w:rsid w:val="001721C3"/>
    <w:rsid w:val="00191018"/>
    <w:rsid w:val="00192D45"/>
    <w:rsid w:val="001931D8"/>
    <w:rsid w:val="001A132C"/>
    <w:rsid w:val="001A3E35"/>
    <w:rsid w:val="001A71CB"/>
    <w:rsid w:val="001B2D73"/>
    <w:rsid w:val="001B69FD"/>
    <w:rsid w:val="001B7B61"/>
    <w:rsid w:val="001D070A"/>
    <w:rsid w:val="001D322A"/>
    <w:rsid w:val="001E2E6F"/>
    <w:rsid w:val="001E33A9"/>
    <w:rsid w:val="001E7284"/>
    <w:rsid w:val="001F4A6F"/>
    <w:rsid w:val="00211AE7"/>
    <w:rsid w:val="002212CB"/>
    <w:rsid w:val="0022631C"/>
    <w:rsid w:val="00230681"/>
    <w:rsid w:val="00236D59"/>
    <w:rsid w:val="00241096"/>
    <w:rsid w:val="0026785C"/>
    <w:rsid w:val="00271086"/>
    <w:rsid w:val="002845FB"/>
    <w:rsid w:val="00294AF2"/>
    <w:rsid w:val="00295BA0"/>
    <w:rsid w:val="002A1A3E"/>
    <w:rsid w:val="002A2533"/>
    <w:rsid w:val="002B3053"/>
    <w:rsid w:val="002D4ABF"/>
    <w:rsid w:val="002D62DC"/>
    <w:rsid w:val="002D7DC7"/>
    <w:rsid w:val="002E0639"/>
    <w:rsid w:val="002F4886"/>
    <w:rsid w:val="00307A3D"/>
    <w:rsid w:val="00313449"/>
    <w:rsid w:val="003175D1"/>
    <w:rsid w:val="00320F9D"/>
    <w:rsid w:val="00322741"/>
    <w:rsid w:val="003242BC"/>
    <w:rsid w:val="00325154"/>
    <w:rsid w:val="00327E94"/>
    <w:rsid w:val="00342194"/>
    <w:rsid w:val="003609B6"/>
    <w:rsid w:val="00367355"/>
    <w:rsid w:val="0037212A"/>
    <w:rsid w:val="00384A07"/>
    <w:rsid w:val="00387371"/>
    <w:rsid w:val="003A03B2"/>
    <w:rsid w:val="003A1833"/>
    <w:rsid w:val="003A7006"/>
    <w:rsid w:val="003B6198"/>
    <w:rsid w:val="003C3889"/>
    <w:rsid w:val="003D0715"/>
    <w:rsid w:val="003D542C"/>
    <w:rsid w:val="003D54D5"/>
    <w:rsid w:val="003F0481"/>
    <w:rsid w:val="003F2742"/>
    <w:rsid w:val="003F2AC0"/>
    <w:rsid w:val="003F2B1F"/>
    <w:rsid w:val="003F2B54"/>
    <w:rsid w:val="003F5D8C"/>
    <w:rsid w:val="00403EA9"/>
    <w:rsid w:val="00404C25"/>
    <w:rsid w:val="0040786C"/>
    <w:rsid w:val="00407E51"/>
    <w:rsid w:val="004129C8"/>
    <w:rsid w:val="0041688A"/>
    <w:rsid w:val="0042256D"/>
    <w:rsid w:val="0042667D"/>
    <w:rsid w:val="00426BA0"/>
    <w:rsid w:val="0044299D"/>
    <w:rsid w:val="00450898"/>
    <w:rsid w:val="00453FB9"/>
    <w:rsid w:val="00456EE7"/>
    <w:rsid w:val="00460DEF"/>
    <w:rsid w:val="00461CD3"/>
    <w:rsid w:val="00461E62"/>
    <w:rsid w:val="00466510"/>
    <w:rsid w:val="004758DD"/>
    <w:rsid w:val="00476B3B"/>
    <w:rsid w:val="004908A7"/>
    <w:rsid w:val="004923A8"/>
    <w:rsid w:val="004B0875"/>
    <w:rsid w:val="004B6CE9"/>
    <w:rsid w:val="004C14A1"/>
    <w:rsid w:val="004D1B19"/>
    <w:rsid w:val="004D6882"/>
    <w:rsid w:val="004F4A19"/>
    <w:rsid w:val="0050203C"/>
    <w:rsid w:val="00512FBA"/>
    <w:rsid w:val="00517C2C"/>
    <w:rsid w:val="005354A7"/>
    <w:rsid w:val="00536508"/>
    <w:rsid w:val="00536F2F"/>
    <w:rsid w:val="00553830"/>
    <w:rsid w:val="00560C3D"/>
    <w:rsid w:val="00561BE8"/>
    <w:rsid w:val="00567F08"/>
    <w:rsid w:val="005709FB"/>
    <w:rsid w:val="00584D68"/>
    <w:rsid w:val="00593E35"/>
    <w:rsid w:val="005968E0"/>
    <w:rsid w:val="005A2C0D"/>
    <w:rsid w:val="005A4274"/>
    <w:rsid w:val="005A7888"/>
    <w:rsid w:val="005B767B"/>
    <w:rsid w:val="005B799A"/>
    <w:rsid w:val="005C1F27"/>
    <w:rsid w:val="005C2E72"/>
    <w:rsid w:val="005C4521"/>
    <w:rsid w:val="005D1EAE"/>
    <w:rsid w:val="005D6256"/>
    <w:rsid w:val="005D6B8B"/>
    <w:rsid w:val="005E0926"/>
    <w:rsid w:val="006017CF"/>
    <w:rsid w:val="00602008"/>
    <w:rsid w:val="00604EF7"/>
    <w:rsid w:val="006157FB"/>
    <w:rsid w:val="0062038F"/>
    <w:rsid w:val="00625968"/>
    <w:rsid w:val="0063262E"/>
    <w:rsid w:val="00633E40"/>
    <w:rsid w:val="00637E33"/>
    <w:rsid w:val="00640BB1"/>
    <w:rsid w:val="006507BE"/>
    <w:rsid w:val="00650C83"/>
    <w:rsid w:val="0065128D"/>
    <w:rsid w:val="00651E18"/>
    <w:rsid w:val="0065508F"/>
    <w:rsid w:val="00656DE7"/>
    <w:rsid w:val="00666A25"/>
    <w:rsid w:val="00667F53"/>
    <w:rsid w:val="00694776"/>
    <w:rsid w:val="006A3B2E"/>
    <w:rsid w:val="006A5F82"/>
    <w:rsid w:val="006B3383"/>
    <w:rsid w:val="006B7DC1"/>
    <w:rsid w:val="006C4499"/>
    <w:rsid w:val="006C5368"/>
    <w:rsid w:val="006D0C85"/>
    <w:rsid w:val="006D5508"/>
    <w:rsid w:val="006E723A"/>
    <w:rsid w:val="006E7533"/>
    <w:rsid w:val="006F3D4B"/>
    <w:rsid w:val="00700AD5"/>
    <w:rsid w:val="00700F57"/>
    <w:rsid w:val="00711B6C"/>
    <w:rsid w:val="0071414D"/>
    <w:rsid w:val="00714204"/>
    <w:rsid w:val="00717DC4"/>
    <w:rsid w:val="00722E81"/>
    <w:rsid w:val="00722EE6"/>
    <w:rsid w:val="00723956"/>
    <w:rsid w:val="0072639D"/>
    <w:rsid w:val="007339EA"/>
    <w:rsid w:val="0073518F"/>
    <w:rsid w:val="0073624D"/>
    <w:rsid w:val="00740CFE"/>
    <w:rsid w:val="00746367"/>
    <w:rsid w:val="00754457"/>
    <w:rsid w:val="00756BF9"/>
    <w:rsid w:val="00767961"/>
    <w:rsid w:val="00774742"/>
    <w:rsid w:val="007D3B90"/>
    <w:rsid w:val="007E3D72"/>
    <w:rsid w:val="007E5F50"/>
    <w:rsid w:val="007F40A3"/>
    <w:rsid w:val="00800D9C"/>
    <w:rsid w:val="00804046"/>
    <w:rsid w:val="00804448"/>
    <w:rsid w:val="00824DB4"/>
    <w:rsid w:val="00834096"/>
    <w:rsid w:val="00840803"/>
    <w:rsid w:val="008464C5"/>
    <w:rsid w:val="00846EDC"/>
    <w:rsid w:val="00851B6E"/>
    <w:rsid w:val="00851F91"/>
    <w:rsid w:val="00853EC1"/>
    <w:rsid w:val="00857E6E"/>
    <w:rsid w:val="008608AD"/>
    <w:rsid w:val="00862AB7"/>
    <w:rsid w:val="008A5970"/>
    <w:rsid w:val="008A6C31"/>
    <w:rsid w:val="008B343C"/>
    <w:rsid w:val="008B4568"/>
    <w:rsid w:val="008B6E73"/>
    <w:rsid w:val="008C7CC5"/>
    <w:rsid w:val="008D4423"/>
    <w:rsid w:val="008D7725"/>
    <w:rsid w:val="008E4AE4"/>
    <w:rsid w:val="008F4073"/>
    <w:rsid w:val="009105EF"/>
    <w:rsid w:val="00916F89"/>
    <w:rsid w:val="0092057B"/>
    <w:rsid w:val="00924EA1"/>
    <w:rsid w:val="009404C2"/>
    <w:rsid w:val="00940A2B"/>
    <w:rsid w:val="00960D9C"/>
    <w:rsid w:val="00984AAA"/>
    <w:rsid w:val="00985801"/>
    <w:rsid w:val="00995CF9"/>
    <w:rsid w:val="009A0BE9"/>
    <w:rsid w:val="009A2DA9"/>
    <w:rsid w:val="009A2E32"/>
    <w:rsid w:val="009B43B4"/>
    <w:rsid w:val="009B6951"/>
    <w:rsid w:val="009C5AFA"/>
    <w:rsid w:val="009C6D3C"/>
    <w:rsid w:val="009C70D3"/>
    <w:rsid w:val="009D1016"/>
    <w:rsid w:val="009D19E2"/>
    <w:rsid w:val="009E1384"/>
    <w:rsid w:val="009E175A"/>
    <w:rsid w:val="009F03DF"/>
    <w:rsid w:val="009F1E08"/>
    <w:rsid w:val="00A0068E"/>
    <w:rsid w:val="00A06AB2"/>
    <w:rsid w:val="00A17A2E"/>
    <w:rsid w:val="00A342A3"/>
    <w:rsid w:val="00A41C0E"/>
    <w:rsid w:val="00A4510E"/>
    <w:rsid w:val="00A454AC"/>
    <w:rsid w:val="00A528A8"/>
    <w:rsid w:val="00A56F9B"/>
    <w:rsid w:val="00A66567"/>
    <w:rsid w:val="00A83E7B"/>
    <w:rsid w:val="00A86BD3"/>
    <w:rsid w:val="00A90B49"/>
    <w:rsid w:val="00A95CD0"/>
    <w:rsid w:val="00A96A33"/>
    <w:rsid w:val="00A976B3"/>
    <w:rsid w:val="00AA395D"/>
    <w:rsid w:val="00AB1F43"/>
    <w:rsid w:val="00AB2427"/>
    <w:rsid w:val="00AB2988"/>
    <w:rsid w:val="00AB4F00"/>
    <w:rsid w:val="00AB62A4"/>
    <w:rsid w:val="00AB6B87"/>
    <w:rsid w:val="00AD340D"/>
    <w:rsid w:val="00AD4FA0"/>
    <w:rsid w:val="00AE09EC"/>
    <w:rsid w:val="00AF0F11"/>
    <w:rsid w:val="00AF6954"/>
    <w:rsid w:val="00B0011F"/>
    <w:rsid w:val="00B01EB4"/>
    <w:rsid w:val="00B02535"/>
    <w:rsid w:val="00B02C96"/>
    <w:rsid w:val="00B2474A"/>
    <w:rsid w:val="00B26EC5"/>
    <w:rsid w:val="00B31EF8"/>
    <w:rsid w:val="00B34F15"/>
    <w:rsid w:val="00B458B8"/>
    <w:rsid w:val="00B57F3E"/>
    <w:rsid w:val="00B653A7"/>
    <w:rsid w:val="00B653E6"/>
    <w:rsid w:val="00B66DE0"/>
    <w:rsid w:val="00B707AE"/>
    <w:rsid w:val="00B70EE8"/>
    <w:rsid w:val="00B77C1A"/>
    <w:rsid w:val="00B818EE"/>
    <w:rsid w:val="00B81E60"/>
    <w:rsid w:val="00B84C26"/>
    <w:rsid w:val="00B85FA1"/>
    <w:rsid w:val="00B93E2D"/>
    <w:rsid w:val="00BB53C3"/>
    <w:rsid w:val="00BC1C77"/>
    <w:rsid w:val="00BD35EA"/>
    <w:rsid w:val="00BD4DC9"/>
    <w:rsid w:val="00BE6539"/>
    <w:rsid w:val="00BE6E44"/>
    <w:rsid w:val="00BF75C6"/>
    <w:rsid w:val="00BF795A"/>
    <w:rsid w:val="00C0366B"/>
    <w:rsid w:val="00C06F9F"/>
    <w:rsid w:val="00C0714F"/>
    <w:rsid w:val="00C10816"/>
    <w:rsid w:val="00C275B6"/>
    <w:rsid w:val="00C33A7B"/>
    <w:rsid w:val="00C42352"/>
    <w:rsid w:val="00C43592"/>
    <w:rsid w:val="00C5284A"/>
    <w:rsid w:val="00C5763E"/>
    <w:rsid w:val="00C64085"/>
    <w:rsid w:val="00C64D51"/>
    <w:rsid w:val="00C707DE"/>
    <w:rsid w:val="00C7292E"/>
    <w:rsid w:val="00C93FA2"/>
    <w:rsid w:val="00CA3DB7"/>
    <w:rsid w:val="00CA57CE"/>
    <w:rsid w:val="00CA5B13"/>
    <w:rsid w:val="00CA5B4A"/>
    <w:rsid w:val="00CC08B9"/>
    <w:rsid w:val="00CC1A9A"/>
    <w:rsid w:val="00CC746D"/>
    <w:rsid w:val="00CE3926"/>
    <w:rsid w:val="00CF175B"/>
    <w:rsid w:val="00CF7685"/>
    <w:rsid w:val="00D13750"/>
    <w:rsid w:val="00D17E50"/>
    <w:rsid w:val="00D20664"/>
    <w:rsid w:val="00D22836"/>
    <w:rsid w:val="00D323CF"/>
    <w:rsid w:val="00D334F8"/>
    <w:rsid w:val="00D33DB9"/>
    <w:rsid w:val="00D356DF"/>
    <w:rsid w:val="00D43DE7"/>
    <w:rsid w:val="00D510A3"/>
    <w:rsid w:val="00D53522"/>
    <w:rsid w:val="00D5485D"/>
    <w:rsid w:val="00D55D65"/>
    <w:rsid w:val="00D5603F"/>
    <w:rsid w:val="00D658AD"/>
    <w:rsid w:val="00D807B5"/>
    <w:rsid w:val="00D816AD"/>
    <w:rsid w:val="00D81D59"/>
    <w:rsid w:val="00D84AE0"/>
    <w:rsid w:val="00D8703D"/>
    <w:rsid w:val="00D915C3"/>
    <w:rsid w:val="00DA09CC"/>
    <w:rsid w:val="00DC32A6"/>
    <w:rsid w:val="00DD2D89"/>
    <w:rsid w:val="00DE085B"/>
    <w:rsid w:val="00DE4F7C"/>
    <w:rsid w:val="00DF124C"/>
    <w:rsid w:val="00DF2111"/>
    <w:rsid w:val="00DF772F"/>
    <w:rsid w:val="00E133F2"/>
    <w:rsid w:val="00E17A4E"/>
    <w:rsid w:val="00E2248C"/>
    <w:rsid w:val="00E406CC"/>
    <w:rsid w:val="00E53BB8"/>
    <w:rsid w:val="00E65A4A"/>
    <w:rsid w:val="00E67728"/>
    <w:rsid w:val="00E814A8"/>
    <w:rsid w:val="00E81642"/>
    <w:rsid w:val="00E81BC0"/>
    <w:rsid w:val="00E81C43"/>
    <w:rsid w:val="00E86713"/>
    <w:rsid w:val="00E871C2"/>
    <w:rsid w:val="00EA1B62"/>
    <w:rsid w:val="00EA28E0"/>
    <w:rsid w:val="00EB508E"/>
    <w:rsid w:val="00EC01BF"/>
    <w:rsid w:val="00EC0A01"/>
    <w:rsid w:val="00EC1508"/>
    <w:rsid w:val="00EC3264"/>
    <w:rsid w:val="00EE2749"/>
    <w:rsid w:val="00EE70FC"/>
    <w:rsid w:val="00F03CFC"/>
    <w:rsid w:val="00F11F2C"/>
    <w:rsid w:val="00F13F26"/>
    <w:rsid w:val="00F22011"/>
    <w:rsid w:val="00F30BDB"/>
    <w:rsid w:val="00F41781"/>
    <w:rsid w:val="00F5258F"/>
    <w:rsid w:val="00F54136"/>
    <w:rsid w:val="00F541DF"/>
    <w:rsid w:val="00F56CC2"/>
    <w:rsid w:val="00F65EF5"/>
    <w:rsid w:val="00F719D6"/>
    <w:rsid w:val="00F94301"/>
    <w:rsid w:val="00F96D97"/>
    <w:rsid w:val="00F97611"/>
    <w:rsid w:val="00F97A90"/>
    <w:rsid w:val="00FA26A6"/>
    <w:rsid w:val="00FA2DF3"/>
    <w:rsid w:val="00FA5E84"/>
    <w:rsid w:val="00FA656D"/>
    <w:rsid w:val="00FB24FD"/>
    <w:rsid w:val="00FB2C79"/>
    <w:rsid w:val="00FD6BD2"/>
    <w:rsid w:val="00FE2540"/>
    <w:rsid w:val="00FF33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EEF3E"/>
  <w15:chartTrackingRefBased/>
  <w15:docId w15:val="{BF32638A-D331-3A40-8DE9-DFD62E6B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96A33"/>
    <w:pPr>
      <w:keepNext/>
      <w:tabs>
        <w:tab w:val="left" w:pos="540"/>
      </w:tabs>
      <w:spacing w:line="480" w:lineRule="auto"/>
      <w:jc w:val="both"/>
      <w:outlineLvl w:val="0"/>
    </w:pPr>
    <w:rPr>
      <w:rFonts w:ascii="Times New Roman" w:eastAsia="Times New Roman" w:hAnsi="Times New Roman" w:cs="Times New Roman"/>
      <w:b/>
      <w:bCs/>
      <w:u w:val="single"/>
      <w:lang w:val="en-GB"/>
    </w:rPr>
  </w:style>
  <w:style w:type="paragraph" w:styleId="Heading2">
    <w:name w:val="heading 2"/>
    <w:basedOn w:val="Normal"/>
    <w:next w:val="Normal"/>
    <w:link w:val="Heading2Char"/>
    <w:uiPriority w:val="9"/>
    <w:semiHidden/>
    <w:unhideWhenUsed/>
    <w:qFormat/>
    <w:rsid w:val="0065508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9C8"/>
    <w:pPr>
      <w:ind w:left="720"/>
      <w:contextualSpacing/>
    </w:pPr>
  </w:style>
  <w:style w:type="paragraph" w:styleId="Header">
    <w:name w:val="header"/>
    <w:basedOn w:val="Normal"/>
    <w:link w:val="HeaderChar"/>
    <w:uiPriority w:val="99"/>
    <w:unhideWhenUsed/>
    <w:rsid w:val="00294AF2"/>
    <w:pPr>
      <w:tabs>
        <w:tab w:val="center" w:pos="4680"/>
        <w:tab w:val="right" w:pos="9360"/>
      </w:tabs>
    </w:pPr>
  </w:style>
  <w:style w:type="character" w:customStyle="1" w:styleId="HeaderChar">
    <w:name w:val="Header Char"/>
    <w:basedOn w:val="DefaultParagraphFont"/>
    <w:link w:val="Header"/>
    <w:uiPriority w:val="99"/>
    <w:rsid w:val="00294AF2"/>
  </w:style>
  <w:style w:type="character" w:styleId="PageNumber">
    <w:name w:val="page number"/>
    <w:basedOn w:val="DefaultParagraphFont"/>
    <w:uiPriority w:val="99"/>
    <w:semiHidden/>
    <w:unhideWhenUsed/>
    <w:rsid w:val="00294AF2"/>
  </w:style>
  <w:style w:type="paragraph" w:styleId="FootnoteText">
    <w:name w:val="footnote text"/>
    <w:basedOn w:val="Normal"/>
    <w:link w:val="FootnoteTextChar"/>
    <w:uiPriority w:val="99"/>
    <w:semiHidden/>
    <w:unhideWhenUsed/>
    <w:rsid w:val="005968E0"/>
    <w:rPr>
      <w:sz w:val="20"/>
      <w:szCs w:val="20"/>
    </w:rPr>
  </w:style>
  <w:style w:type="character" w:customStyle="1" w:styleId="FootnoteTextChar">
    <w:name w:val="Footnote Text Char"/>
    <w:basedOn w:val="DefaultParagraphFont"/>
    <w:link w:val="FootnoteText"/>
    <w:uiPriority w:val="99"/>
    <w:semiHidden/>
    <w:rsid w:val="005968E0"/>
    <w:rPr>
      <w:sz w:val="20"/>
      <w:szCs w:val="20"/>
    </w:rPr>
  </w:style>
  <w:style w:type="character" w:styleId="FootnoteReference">
    <w:name w:val="footnote reference"/>
    <w:basedOn w:val="DefaultParagraphFont"/>
    <w:uiPriority w:val="99"/>
    <w:semiHidden/>
    <w:unhideWhenUsed/>
    <w:rsid w:val="005968E0"/>
    <w:rPr>
      <w:vertAlign w:val="superscript"/>
    </w:rPr>
  </w:style>
  <w:style w:type="character" w:customStyle="1" w:styleId="Heading1Char">
    <w:name w:val="Heading 1 Char"/>
    <w:basedOn w:val="DefaultParagraphFont"/>
    <w:link w:val="Heading1"/>
    <w:rsid w:val="00A96A33"/>
    <w:rPr>
      <w:rFonts w:ascii="Times New Roman" w:eastAsia="Times New Roman" w:hAnsi="Times New Roman" w:cs="Times New Roman"/>
      <w:b/>
      <w:bCs/>
      <w:u w:val="single"/>
      <w:lang w:val="en-GB"/>
    </w:rPr>
  </w:style>
  <w:style w:type="character" w:customStyle="1" w:styleId="Heading2Char">
    <w:name w:val="Heading 2 Char"/>
    <w:basedOn w:val="DefaultParagraphFont"/>
    <w:link w:val="Heading2"/>
    <w:uiPriority w:val="9"/>
    <w:semiHidden/>
    <w:rsid w:val="0065508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37146">
      <w:bodyDiv w:val="1"/>
      <w:marLeft w:val="0"/>
      <w:marRight w:val="0"/>
      <w:marTop w:val="0"/>
      <w:marBottom w:val="0"/>
      <w:divBdr>
        <w:top w:val="none" w:sz="0" w:space="0" w:color="auto"/>
        <w:left w:val="none" w:sz="0" w:space="0" w:color="auto"/>
        <w:bottom w:val="none" w:sz="0" w:space="0" w:color="auto"/>
        <w:right w:val="none" w:sz="0" w:space="0" w:color="auto"/>
      </w:divBdr>
    </w:div>
    <w:div w:id="445663215">
      <w:bodyDiv w:val="1"/>
      <w:marLeft w:val="0"/>
      <w:marRight w:val="0"/>
      <w:marTop w:val="0"/>
      <w:marBottom w:val="0"/>
      <w:divBdr>
        <w:top w:val="none" w:sz="0" w:space="0" w:color="auto"/>
        <w:left w:val="none" w:sz="0" w:space="0" w:color="auto"/>
        <w:bottom w:val="none" w:sz="0" w:space="0" w:color="auto"/>
        <w:right w:val="none" w:sz="0" w:space="0" w:color="auto"/>
      </w:divBdr>
    </w:div>
    <w:div w:id="517933299">
      <w:bodyDiv w:val="1"/>
      <w:marLeft w:val="0"/>
      <w:marRight w:val="0"/>
      <w:marTop w:val="0"/>
      <w:marBottom w:val="0"/>
      <w:divBdr>
        <w:top w:val="none" w:sz="0" w:space="0" w:color="auto"/>
        <w:left w:val="none" w:sz="0" w:space="0" w:color="auto"/>
        <w:bottom w:val="none" w:sz="0" w:space="0" w:color="auto"/>
        <w:right w:val="none" w:sz="0" w:space="0" w:color="auto"/>
      </w:divBdr>
    </w:div>
    <w:div w:id="546065623">
      <w:bodyDiv w:val="1"/>
      <w:marLeft w:val="0"/>
      <w:marRight w:val="0"/>
      <w:marTop w:val="0"/>
      <w:marBottom w:val="0"/>
      <w:divBdr>
        <w:top w:val="none" w:sz="0" w:space="0" w:color="auto"/>
        <w:left w:val="none" w:sz="0" w:space="0" w:color="auto"/>
        <w:bottom w:val="none" w:sz="0" w:space="0" w:color="auto"/>
        <w:right w:val="none" w:sz="0" w:space="0" w:color="auto"/>
      </w:divBdr>
    </w:div>
    <w:div w:id="635110939">
      <w:bodyDiv w:val="1"/>
      <w:marLeft w:val="0"/>
      <w:marRight w:val="0"/>
      <w:marTop w:val="0"/>
      <w:marBottom w:val="0"/>
      <w:divBdr>
        <w:top w:val="none" w:sz="0" w:space="0" w:color="auto"/>
        <w:left w:val="none" w:sz="0" w:space="0" w:color="auto"/>
        <w:bottom w:val="none" w:sz="0" w:space="0" w:color="auto"/>
        <w:right w:val="none" w:sz="0" w:space="0" w:color="auto"/>
      </w:divBdr>
    </w:div>
    <w:div w:id="753936166">
      <w:bodyDiv w:val="1"/>
      <w:marLeft w:val="0"/>
      <w:marRight w:val="0"/>
      <w:marTop w:val="0"/>
      <w:marBottom w:val="0"/>
      <w:divBdr>
        <w:top w:val="none" w:sz="0" w:space="0" w:color="auto"/>
        <w:left w:val="none" w:sz="0" w:space="0" w:color="auto"/>
        <w:bottom w:val="none" w:sz="0" w:space="0" w:color="auto"/>
        <w:right w:val="none" w:sz="0" w:space="0" w:color="auto"/>
      </w:divBdr>
      <w:divsChild>
        <w:div w:id="1785268869">
          <w:marLeft w:val="0"/>
          <w:marRight w:val="0"/>
          <w:marTop w:val="0"/>
          <w:marBottom w:val="0"/>
          <w:divBdr>
            <w:top w:val="none" w:sz="0" w:space="0" w:color="auto"/>
            <w:left w:val="none" w:sz="0" w:space="0" w:color="auto"/>
            <w:bottom w:val="none" w:sz="0" w:space="0" w:color="auto"/>
            <w:right w:val="none" w:sz="0" w:space="0" w:color="auto"/>
          </w:divBdr>
          <w:divsChild>
            <w:div w:id="1104495710">
              <w:marLeft w:val="0"/>
              <w:marRight w:val="0"/>
              <w:marTop w:val="0"/>
              <w:marBottom w:val="0"/>
              <w:divBdr>
                <w:top w:val="none" w:sz="0" w:space="0" w:color="auto"/>
                <w:left w:val="none" w:sz="0" w:space="0" w:color="auto"/>
                <w:bottom w:val="none" w:sz="0" w:space="0" w:color="auto"/>
                <w:right w:val="none" w:sz="0" w:space="0" w:color="auto"/>
              </w:divBdr>
              <w:divsChild>
                <w:div w:id="7466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91254">
      <w:bodyDiv w:val="1"/>
      <w:marLeft w:val="0"/>
      <w:marRight w:val="0"/>
      <w:marTop w:val="0"/>
      <w:marBottom w:val="0"/>
      <w:divBdr>
        <w:top w:val="none" w:sz="0" w:space="0" w:color="auto"/>
        <w:left w:val="none" w:sz="0" w:space="0" w:color="auto"/>
        <w:bottom w:val="none" w:sz="0" w:space="0" w:color="auto"/>
        <w:right w:val="none" w:sz="0" w:space="0" w:color="auto"/>
      </w:divBdr>
    </w:div>
    <w:div w:id="870342353">
      <w:bodyDiv w:val="1"/>
      <w:marLeft w:val="0"/>
      <w:marRight w:val="0"/>
      <w:marTop w:val="0"/>
      <w:marBottom w:val="0"/>
      <w:divBdr>
        <w:top w:val="none" w:sz="0" w:space="0" w:color="auto"/>
        <w:left w:val="none" w:sz="0" w:space="0" w:color="auto"/>
        <w:bottom w:val="none" w:sz="0" w:space="0" w:color="auto"/>
        <w:right w:val="none" w:sz="0" w:space="0" w:color="auto"/>
      </w:divBdr>
    </w:div>
    <w:div w:id="1084228787">
      <w:bodyDiv w:val="1"/>
      <w:marLeft w:val="0"/>
      <w:marRight w:val="0"/>
      <w:marTop w:val="0"/>
      <w:marBottom w:val="0"/>
      <w:divBdr>
        <w:top w:val="none" w:sz="0" w:space="0" w:color="auto"/>
        <w:left w:val="none" w:sz="0" w:space="0" w:color="auto"/>
        <w:bottom w:val="none" w:sz="0" w:space="0" w:color="auto"/>
        <w:right w:val="none" w:sz="0" w:space="0" w:color="auto"/>
      </w:divBdr>
    </w:div>
    <w:div w:id="1168669943">
      <w:bodyDiv w:val="1"/>
      <w:marLeft w:val="0"/>
      <w:marRight w:val="0"/>
      <w:marTop w:val="0"/>
      <w:marBottom w:val="0"/>
      <w:divBdr>
        <w:top w:val="none" w:sz="0" w:space="0" w:color="auto"/>
        <w:left w:val="none" w:sz="0" w:space="0" w:color="auto"/>
        <w:bottom w:val="none" w:sz="0" w:space="0" w:color="auto"/>
        <w:right w:val="none" w:sz="0" w:space="0" w:color="auto"/>
      </w:divBdr>
    </w:div>
    <w:div w:id="1330986184">
      <w:bodyDiv w:val="1"/>
      <w:marLeft w:val="0"/>
      <w:marRight w:val="0"/>
      <w:marTop w:val="0"/>
      <w:marBottom w:val="0"/>
      <w:divBdr>
        <w:top w:val="none" w:sz="0" w:space="0" w:color="auto"/>
        <w:left w:val="none" w:sz="0" w:space="0" w:color="auto"/>
        <w:bottom w:val="none" w:sz="0" w:space="0" w:color="auto"/>
        <w:right w:val="none" w:sz="0" w:space="0" w:color="auto"/>
      </w:divBdr>
    </w:div>
    <w:div w:id="1398823914">
      <w:bodyDiv w:val="1"/>
      <w:marLeft w:val="0"/>
      <w:marRight w:val="0"/>
      <w:marTop w:val="0"/>
      <w:marBottom w:val="0"/>
      <w:divBdr>
        <w:top w:val="none" w:sz="0" w:space="0" w:color="auto"/>
        <w:left w:val="none" w:sz="0" w:space="0" w:color="auto"/>
        <w:bottom w:val="none" w:sz="0" w:space="0" w:color="auto"/>
        <w:right w:val="none" w:sz="0" w:space="0" w:color="auto"/>
      </w:divBdr>
    </w:div>
    <w:div w:id="1545867561">
      <w:bodyDiv w:val="1"/>
      <w:marLeft w:val="0"/>
      <w:marRight w:val="0"/>
      <w:marTop w:val="0"/>
      <w:marBottom w:val="0"/>
      <w:divBdr>
        <w:top w:val="none" w:sz="0" w:space="0" w:color="auto"/>
        <w:left w:val="none" w:sz="0" w:space="0" w:color="auto"/>
        <w:bottom w:val="none" w:sz="0" w:space="0" w:color="auto"/>
        <w:right w:val="none" w:sz="0" w:space="0" w:color="auto"/>
      </w:divBdr>
    </w:div>
    <w:div w:id="1609776956">
      <w:bodyDiv w:val="1"/>
      <w:marLeft w:val="0"/>
      <w:marRight w:val="0"/>
      <w:marTop w:val="0"/>
      <w:marBottom w:val="0"/>
      <w:divBdr>
        <w:top w:val="none" w:sz="0" w:space="0" w:color="auto"/>
        <w:left w:val="none" w:sz="0" w:space="0" w:color="auto"/>
        <w:bottom w:val="none" w:sz="0" w:space="0" w:color="auto"/>
        <w:right w:val="none" w:sz="0" w:space="0" w:color="auto"/>
      </w:divBdr>
      <w:divsChild>
        <w:div w:id="584918541">
          <w:marLeft w:val="0"/>
          <w:marRight w:val="0"/>
          <w:marTop w:val="0"/>
          <w:marBottom w:val="0"/>
          <w:divBdr>
            <w:top w:val="none" w:sz="0" w:space="0" w:color="auto"/>
            <w:left w:val="none" w:sz="0" w:space="0" w:color="auto"/>
            <w:bottom w:val="none" w:sz="0" w:space="0" w:color="auto"/>
            <w:right w:val="none" w:sz="0" w:space="0" w:color="auto"/>
          </w:divBdr>
          <w:divsChild>
            <w:div w:id="830484554">
              <w:marLeft w:val="0"/>
              <w:marRight w:val="0"/>
              <w:marTop w:val="0"/>
              <w:marBottom w:val="0"/>
              <w:divBdr>
                <w:top w:val="none" w:sz="0" w:space="0" w:color="auto"/>
                <w:left w:val="none" w:sz="0" w:space="0" w:color="auto"/>
                <w:bottom w:val="none" w:sz="0" w:space="0" w:color="auto"/>
                <w:right w:val="none" w:sz="0" w:space="0" w:color="auto"/>
              </w:divBdr>
              <w:divsChild>
                <w:div w:id="4631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373635">
      <w:bodyDiv w:val="1"/>
      <w:marLeft w:val="0"/>
      <w:marRight w:val="0"/>
      <w:marTop w:val="0"/>
      <w:marBottom w:val="0"/>
      <w:divBdr>
        <w:top w:val="none" w:sz="0" w:space="0" w:color="auto"/>
        <w:left w:val="none" w:sz="0" w:space="0" w:color="auto"/>
        <w:bottom w:val="none" w:sz="0" w:space="0" w:color="auto"/>
        <w:right w:val="none" w:sz="0" w:space="0" w:color="auto"/>
      </w:divBdr>
    </w:div>
    <w:div w:id="1671299196">
      <w:bodyDiv w:val="1"/>
      <w:marLeft w:val="0"/>
      <w:marRight w:val="0"/>
      <w:marTop w:val="0"/>
      <w:marBottom w:val="0"/>
      <w:divBdr>
        <w:top w:val="none" w:sz="0" w:space="0" w:color="auto"/>
        <w:left w:val="none" w:sz="0" w:space="0" w:color="auto"/>
        <w:bottom w:val="none" w:sz="0" w:space="0" w:color="auto"/>
        <w:right w:val="none" w:sz="0" w:space="0" w:color="auto"/>
      </w:divBdr>
    </w:div>
    <w:div w:id="1963615379">
      <w:bodyDiv w:val="1"/>
      <w:marLeft w:val="0"/>
      <w:marRight w:val="0"/>
      <w:marTop w:val="0"/>
      <w:marBottom w:val="0"/>
      <w:divBdr>
        <w:top w:val="none" w:sz="0" w:space="0" w:color="auto"/>
        <w:left w:val="none" w:sz="0" w:space="0" w:color="auto"/>
        <w:bottom w:val="none" w:sz="0" w:space="0" w:color="auto"/>
        <w:right w:val="none" w:sz="0" w:space="0" w:color="auto"/>
      </w:divBdr>
    </w:div>
    <w:div w:id="212202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C0D84-DD27-404A-84E5-6EE0E1603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2152</Words>
  <Characters>12268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Vivian</dc:creator>
  <cp:keywords/>
  <dc:description/>
  <cp:lastModifiedBy>Mokone</cp:lastModifiedBy>
  <cp:revision>3</cp:revision>
  <cp:lastPrinted>2023-04-14T09:54:00Z</cp:lastPrinted>
  <dcterms:created xsi:type="dcterms:W3CDTF">2023-05-01T07:32:00Z</dcterms:created>
  <dcterms:modified xsi:type="dcterms:W3CDTF">2023-05-01T07:36:00Z</dcterms:modified>
</cp:coreProperties>
</file>