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CE3E9" w14:textId="77777777"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5F95839B" wp14:editId="05E6B2CB">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14:paraId="584048AB" w14:textId="77777777"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3530BEF5" w14:textId="77777777" w:rsidR="00E85522" w:rsidRPr="000C7880" w:rsidRDefault="00E85522" w:rsidP="00E85522">
      <w:pPr>
        <w:spacing w:after="0"/>
        <w:rPr>
          <w:rFonts w:ascii="Times New Roman" w:hAnsi="Times New Roman" w:cs="Times New Roman"/>
          <w:color w:val="000000" w:themeColor="text1"/>
          <w:sz w:val="28"/>
          <w:szCs w:val="28"/>
        </w:rPr>
      </w:pPr>
    </w:p>
    <w:p w14:paraId="2A1A99FE" w14:textId="77777777"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14:paraId="599268B5" w14:textId="77777777"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14:paraId="60C7D3E0" w14:textId="44CF1E33"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0473D1">
        <w:rPr>
          <w:rFonts w:ascii="Times New Roman" w:hAnsi="Times New Roman" w:cs="Times New Roman"/>
          <w:b/>
          <w:color w:val="000000" w:themeColor="text1"/>
          <w:sz w:val="28"/>
          <w:szCs w:val="28"/>
        </w:rPr>
        <w:tab/>
      </w:r>
      <w:r w:rsidR="000473D1">
        <w:rPr>
          <w:rFonts w:ascii="Times New Roman" w:hAnsi="Times New Roman" w:cs="Times New Roman"/>
          <w:b/>
          <w:color w:val="000000" w:themeColor="text1"/>
          <w:sz w:val="28"/>
          <w:szCs w:val="28"/>
        </w:rPr>
        <w:tab/>
        <w:t xml:space="preserve">       </w:t>
      </w:r>
      <w:r w:rsidR="00E85522">
        <w:rPr>
          <w:rFonts w:ascii="Times New Roman" w:hAnsi="Times New Roman" w:cs="Times New Roman"/>
          <w:b/>
          <w:color w:val="000000" w:themeColor="text1"/>
          <w:sz w:val="28"/>
          <w:szCs w:val="28"/>
        </w:rPr>
        <w:t>CASE NO:</w:t>
      </w:r>
      <w:r w:rsidR="004E0A01">
        <w:rPr>
          <w:rFonts w:ascii="Times New Roman" w:hAnsi="Times New Roman" w:cs="Times New Roman"/>
          <w:b/>
          <w:color w:val="000000" w:themeColor="text1"/>
          <w:sz w:val="28"/>
          <w:szCs w:val="28"/>
        </w:rPr>
        <w:t xml:space="preserve"> </w:t>
      </w:r>
      <w:r w:rsidR="00EE1DF4">
        <w:rPr>
          <w:rFonts w:ascii="Times New Roman" w:hAnsi="Times New Roman" w:cs="Times New Roman"/>
          <w:b/>
          <w:color w:val="000000" w:themeColor="text1"/>
          <w:sz w:val="28"/>
          <w:szCs w:val="28"/>
        </w:rPr>
        <w:t xml:space="preserve">  </w:t>
      </w:r>
      <w:r w:rsidR="005B2433">
        <w:rPr>
          <w:rFonts w:ascii="Times New Roman" w:hAnsi="Times New Roman" w:cs="Times New Roman"/>
          <w:b/>
          <w:color w:val="000000" w:themeColor="text1"/>
          <w:sz w:val="28"/>
          <w:szCs w:val="28"/>
        </w:rPr>
        <w:t>22424/2019</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14:paraId="0DCD0EAC" w14:textId="77777777" w:rsidTr="00C53475">
        <w:tc>
          <w:tcPr>
            <w:tcW w:w="4428" w:type="dxa"/>
          </w:tcPr>
          <w:p w14:paraId="6D181655"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14:paraId="501DB28A" w14:textId="77777777"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14:paraId="1E57351F"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14:paraId="129DA9B3"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14:paraId="4583FDC9" w14:textId="5391FCD4"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337396">
              <w:rPr>
                <w:rFonts w:ascii="Times New Roman" w:eastAsia="Calibri" w:hAnsi="Times New Roman" w:cs="Arial"/>
                <w:b/>
                <w:spacing w:val="3"/>
                <w:w w:val="104"/>
                <w:kern w:val="24"/>
                <w:sz w:val="18"/>
                <w:szCs w:val="18"/>
                <w:lang w:val="en-GB"/>
              </w:rPr>
              <w:t xml:space="preserve"> 10</w:t>
            </w:r>
            <w:r w:rsidR="00F45158">
              <w:rPr>
                <w:rFonts w:ascii="Times New Roman" w:eastAsia="Calibri" w:hAnsi="Times New Roman" w:cs="Arial"/>
                <w:b/>
                <w:spacing w:val="3"/>
                <w:w w:val="104"/>
                <w:kern w:val="24"/>
                <w:sz w:val="18"/>
                <w:szCs w:val="18"/>
                <w:lang w:val="en-GB"/>
              </w:rPr>
              <w:t xml:space="preserve"> JANUARY 2023</w:t>
            </w:r>
          </w:p>
          <w:p w14:paraId="73ABE5FA"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14:paraId="24A29F7C" w14:textId="77777777"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14:paraId="0EB89FEC"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5BDBE67E"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1E264DBC" w14:textId="77777777" w:rsidR="00D72A63" w:rsidRDefault="00D72A63" w:rsidP="00E85522">
      <w:pPr>
        <w:spacing w:after="240"/>
        <w:ind w:right="-46"/>
        <w:rPr>
          <w:rFonts w:ascii="Times New Roman" w:hAnsi="Times New Roman" w:cs="Times New Roman"/>
          <w:b/>
          <w:color w:val="000000" w:themeColor="text1"/>
          <w:sz w:val="28"/>
          <w:szCs w:val="28"/>
        </w:rPr>
      </w:pPr>
    </w:p>
    <w:p w14:paraId="3E80F698" w14:textId="77777777" w:rsidR="00D72A63" w:rsidRPr="00D72A63" w:rsidRDefault="00D72A63" w:rsidP="00E85522">
      <w:pPr>
        <w:spacing w:after="240"/>
        <w:ind w:right="-46"/>
        <w:rPr>
          <w:rFonts w:ascii="Times New Roman" w:hAnsi="Times New Roman" w:cs="Times New Roman"/>
          <w:color w:val="000000" w:themeColor="text1"/>
          <w:sz w:val="28"/>
          <w:szCs w:val="28"/>
        </w:rPr>
      </w:pPr>
    </w:p>
    <w:p w14:paraId="74810220" w14:textId="77777777"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14:paraId="143B8ED2" w14:textId="0C30636C" w:rsidR="00EE1DF4" w:rsidRDefault="005B2433" w:rsidP="00FF214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ANOOSHKUMAR ROOPLAL N.O </w:t>
      </w:r>
      <w:r w:rsidR="00EE1DF4">
        <w:rPr>
          <w:rFonts w:ascii="Times New Roman" w:hAnsi="Times New Roman" w:cs="Times New Roman"/>
          <w:color w:val="000000" w:themeColor="text1"/>
          <w:sz w:val="28"/>
          <w:szCs w:val="28"/>
        </w:rPr>
        <w:t xml:space="preserve">            </w:t>
      </w:r>
      <w:r w:rsidR="000473D1">
        <w:rPr>
          <w:rFonts w:ascii="Times New Roman" w:hAnsi="Times New Roman" w:cs="Times New Roman"/>
          <w:color w:val="000000" w:themeColor="text1"/>
          <w:sz w:val="28"/>
          <w:szCs w:val="28"/>
        </w:rPr>
        <w:tab/>
      </w:r>
      <w:r w:rsidR="000473D1">
        <w:rPr>
          <w:rFonts w:ascii="Times New Roman" w:hAnsi="Times New Roman" w:cs="Times New Roman"/>
          <w:color w:val="000000" w:themeColor="text1"/>
          <w:sz w:val="28"/>
          <w:szCs w:val="28"/>
        </w:rPr>
        <w:tab/>
      </w:r>
      <w:r w:rsidR="000473D1">
        <w:rPr>
          <w:rFonts w:ascii="Times New Roman" w:hAnsi="Times New Roman" w:cs="Times New Roman"/>
          <w:color w:val="000000" w:themeColor="text1"/>
          <w:sz w:val="28"/>
          <w:szCs w:val="28"/>
        </w:rPr>
        <w:tab/>
        <w:t xml:space="preserve">  </w:t>
      </w:r>
      <w:r w:rsidR="00EE1D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App</w:t>
      </w:r>
      <w:r w:rsidR="000473D1">
        <w:rPr>
          <w:rFonts w:ascii="Times New Roman" w:hAnsi="Times New Roman" w:cs="Times New Roman"/>
          <w:color w:val="000000" w:themeColor="text1"/>
          <w:sz w:val="28"/>
          <w:szCs w:val="28"/>
        </w:rPr>
        <w:t>licant</w:t>
      </w:r>
    </w:p>
    <w:p w14:paraId="21282BE9" w14:textId="77777777" w:rsidR="00A3586D" w:rsidRDefault="00885474" w:rsidP="00885474">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14:paraId="566A6E45" w14:textId="72A16859" w:rsidR="00370E37" w:rsidRDefault="005B2433" w:rsidP="000473D1">
      <w:pPr>
        <w:spacing w:after="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MMUSO SOLOMON PELESA</w:t>
      </w:r>
      <w:r w:rsidR="00EE1DF4" w:rsidRPr="000473D1">
        <w:rPr>
          <w:rFonts w:ascii="Times New Roman" w:hAnsi="Times New Roman" w:cs="Times New Roman"/>
          <w:b/>
          <w:color w:val="000000" w:themeColor="text1"/>
          <w:sz w:val="28"/>
          <w:szCs w:val="28"/>
        </w:rPr>
        <w:tab/>
      </w:r>
      <w:r w:rsidR="00EE1DF4">
        <w:rPr>
          <w:rFonts w:ascii="Times New Roman" w:hAnsi="Times New Roman" w:cs="Times New Roman"/>
          <w:color w:val="000000" w:themeColor="text1"/>
          <w:sz w:val="28"/>
          <w:szCs w:val="28"/>
        </w:rPr>
        <w:t xml:space="preserve">                   </w:t>
      </w:r>
      <w:r w:rsidR="00DD64F6">
        <w:rPr>
          <w:rFonts w:ascii="Times New Roman" w:hAnsi="Times New Roman" w:cs="Times New Roman"/>
          <w:b/>
          <w:color w:val="000000" w:themeColor="text1"/>
          <w:sz w:val="28"/>
          <w:szCs w:val="28"/>
        </w:rPr>
        <w:t xml:space="preserve"> </w:t>
      </w:r>
      <w:r w:rsidR="000473D1">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t xml:space="preserve">       </w:t>
      </w:r>
      <w:r w:rsidR="00042FF2" w:rsidRPr="00042FF2">
        <w:rPr>
          <w:rFonts w:ascii="Times New Roman" w:hAnsi="Times New Roman" w:cs="Times New Roman"/>
          <w:color w:val="000000" w:themeColor="text1"/>
          <w:sz w:val="28"/>
          <w:szCs w:val="28"/>
        </w:rPr>
        <w:t>Respondent</w:t>
      </w:r>
    </w:p>
    <w:p w14:paraId="66C0F311" w14:textId="77777777" w:rsidR="00EE1DF4" w:rsidRPr="00FA6585" w:rsidRDefault="00DD64F6" w:rsidP="00EE1DF4">
      <w:pPr>
        <w:spacing w:after="120"/>
        <w:ind w:left="5760" w:right="-45" w:firstLine="72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p>
    <w:p w14:paraId="1339BBB4" w14:textId="0327D98A" w:rsidR="00FA6585" w:rsidRPr="00885474" w:rsidRDefault="005B1CBB" w:rsidP="00885474">
      <w:pPr>
        <w:pBdr>
          <w:bottom w:val="single" w:sz="12" w:space="1" w:color="auto"/>
        </w:pBdr>
        <w:spacing w:after="0"/>
        <w:ind w:left="1440" w:right="-45" w:hanging="1440"/>
        <w:rPr>
          <w:rFonts w:ascii="Times New Roman" w:hAnsi="Times New Roman" w:cs="Times New Roman"/>
          <w:color w:val="000000" w:themeColor="text1"/>
          <w:sz w:val="28"/>
          <w:szCs w:val="28"/>
        </w:rPr>
      </w:pPr>
      <w:r w:rsidRPr="00885474">
        <w:rPr>
          <w:rFonts w:ascii="Times New Roman" w:hAnsi="Times New Roman" w:cs="Times New Roman"/>
          <w:b/>
          <w:color w:val="000000" w:themeColor="text1"/>
          <w:sz w:val="28"/>
          <w:szCs w:val="28"/>
        </w:rPr>
        <w:t>Summary</w:t>
      </w:r>
      <w:r>
        <w:rPr>
          <w:rFonts w:ascii="Times New Roman" w:hAnsi="Times New Roman" w:cs="Times New Roman"/>
          <w:color w:val="000000" w:themeColor="text1"/>
          <w:sz w:val="28"/>
          <w:szCs w:val="28"/>
        </w:rPr>
        <w:t>:</w:t>
      </w:r>
      <w:r w:rsidR="00337396">
        <w:rPr>
          <w:rFonts w:ascii="Times New Roman" w:hAnsi="Times New Roman" w:cs="Times New Roman"/>
          <w:color w:val="000000" w:themeColor="text1"/>
          <w:sz w:val="28"/>
          <w:szCs w:val="28"/>
        </w:rPr>
        <w:tab/>
      </w:r>
      <w:r w:rsidR="00337396" w:rsidRPr="00337396">
        <w:rPr>
          <w:rFonts w:ascii="Times New Roman" w:hAnsi="Times New Roman" w:cs="Times New Roman"/>
          <w:i/>
          <w:color w:val="000000" w:themeColor="text1"/>
          <w:sz w:val="28"/>
          <w:szCs w:val="28"/>
        </w:rPr>
        <w:t>credit – l</w:t>
      </w:r>
      <w:r w:rsidR="00F45158" w:rsidRPr="00337396">
        <w:rPr>
          <w:rFonts w:ascii="Times New Roman" w:hAnsi="Times New Roman" w:cs="Times New Roman"/>
          <w:i/>
          <w:color w:val="000000" w:themeColor="text1"/>
          <w:sz w:val="28"/>
          <w:szCs w:val="28"/>
        </w:rPr>
        <w:t>iquidator of VBS Bank seeking to recover loans made to an individual – no real or bona fide disputes of fact – defence of having obtained credit without spousal consent rejected</w:t>
      </w:r>
      <w:r w:rsidR="00F4515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EE1DF4">
        <w:rPr>
          <w:rFonts w:ascii="Times New Roman" w:hAnsi="Times New Roman" w:cs="Times New Roman"/>
          <w:i/>
          <w:color w:val="000000" w:themeColor="text1"/>
          <w:sz w:val="28"/>
          <w:szCs w:val="28"/>
        </w:rPr>
        <w:t xml:space="preserve"> </w:t>
      </w:r>
    </w:p>
    <w:p w14:paraId="28E2AAC7" w14:textId="77777777" w:rsidR="00902205" w:rsidRDefault="00902205" w:rsidP="005B1CBB">
      <w:pPr>
        <w:pBdr>
          <w:bottom w:val="single" w:sz="12" w:space="1" w:color="auto"/>
        </w:pBdr>
        <w:spacing w:after="0"/>
        <w:ind w:left="1440" w:right="-45" w:hanging="1440"/>
        <w:rPr>
          <w:rFonts w:ascii="Times New Roman" w:hAnsi="Times New Roman" w:cs="Times New Roman"/>
          <w:color w:val="000000" w:themeColor="text1"/>
          <w:sz w:val="28"/>
          <w:szCs w:val="28"/>
        </w:rPr>
      </w:pPr>
    </w:p>
    <w:p w14:paraId="1ABE6B96" w14:textId="77777777"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14:paraId="1632246C" w14:textId="77777777"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14:paraId="1CAC0F4A" w14:textId="77809D7D" w:rsidR="00FA6585" w:rsidRDefault="00FA6585" w:rsidP="00F47A12">
      <w:pPr>
        <w:pStyle w:val="MEMONUMBERED"/>
        <w:numPr>
          <w:ilvl w:val="0"/>
          <w:numId w:val="0"/>
        </w:numPr>
        <w:spacing w:after="360" w:line="360" w:lineRule="auto"/>
        <w:rPr>
          <w:sz w:val="28"/>
          <w:szCs w:val="28"/>
        </w:rPr>
      </w:pPr>
    </w:p>
    <w:p w14:paraId="1C26C690" w14:textId="36A57ED6" w:rsidR="00337396" w:rsidRDefault="00337396" w:rsidP="00F47A12">
      <w:pPr>
        <w:pStyle w:val="MEMONUMBERED"/>
        <w:numPr>
          <w:ilvl w:val="0"/>
          <w:numId w:val="0"/>
        </w:numPr>
        <w:spacing w:after="360" w:line="360" w:lineRule="auto"/>
        <w:rPr>
          <w:sz w:val="28"/>
          <w:szCs w:val="28"/>
        </w:rPr>
      </w:pPr>
      <w:r>
        <w:rPr>
          <w:sz w:val="28"/>
          <w:szCs w:val="28"/>
        </w:rPr>
        <w:t>Judgment is granted against the respondent for the following:</w:t>
      </w:r>
    </w:p>
    <w:p w14:paraId="7AF8693D" w14:textId="78834657" w:rsidR="00F45158" w:rsidRDefault="00D078E4" w:rsidP="00D078E4">
      <w:pPr>
        <w:pStyle w:val="MEMONUMBERED"/>
        <w:numPr>
          <w:ilvl w:val="0"/>
          <w:numId w:val="0"/>
        </w:numPr>
        <w:spacing w:after="360" w:line="360" w:lineRule="auto"/>
        <w:ind w:left="720" w:hanging="360"/>
        <w:rPr>
          <w:sz w:val="28"/>
          <w:szCs w:val="28"/>
        </w:rPr>
      </w:pPr>
      <w:r>
        <w:rPr>
          <w:sz w:val="28"/>
          <w:szCs w:val="28"/>
        </w:rPr>
        <w:lastRenderedPageBreak/>
        <w:t>1.</w:t>
      </w:r>
      <w:r>
        <w:rPr>
          <w:sz w:val="28"/>
          <w:szCs w:val="28"/>
        </w:rPr>
        <w:tab/>
      </w:r>
      <w:r w:rsidR="00F45158">
        <w:rPr>
          <w:sz w:val="28"/>
          <w:szCs w:val="28"/>
        </w:rPr>
        <w:t>Payment of an amount of R200 722.61 plus interest at the agreed rate of 11.5%, calculated daily and compounded monthly in arears from 29 February 2020 until date of full payment.</w:t>
      </w:r>
    </w:p>
    <w:p w14:paraId="3741E57E" w14:textId="19695234" w:rsidR="00F45158" w:rsidRDefault="00D078E4" w:rsidP="00D078E4">
      <w:pPr>
        <w:pStyle w:val="MEMONUMBERED"/>
        <w:numPr>
          <w:ilvl w:val="0"/>
          <w:numId w:val="0"/>
        </w:numPr>
        <w:spacing w:after="360" w:line="360" w:lineRule="auto"/>
        <w:ind w:left="720" w:hanging="360"/>
        <w:rPr>
          <w:sz w:val="28"/>
          <w:szCs w:val="28"/>
        </w:rPr>
      </w:pPr>
      <w:r>
        <w:rPr>
          <w:sz w:val="28"/>
          <w:szCs w:val="28"/>
        </w:rPr>
        <w:t>2</w:t>
      </w:r>
      <w:bookmarkStart w:id="4" w:name="_GoBack"/>
      <w:bookmarkEnd w:id="4"/>
      <w:r>
        <w:rPr>
          <w:sz w:val="28"/>
          <w:szCs w:val="28"/>
        </w:rPr>
        <w:t>.</w:t>
      </w:r>
      <w:r>
        <w:rPr>
          <w:sz w:val="28"/>
          <w:szCs w:val="28"/>
        </w:rPr>
        <w:tab/>
      </w:r>
      <w:r w:rsidR="00F45158">
        <w:rPr>
          <w:sz w:val="28"/>
          <w:szCs w:val="28"/>
        </w:rPr>
        <w:t>Payment of the amount of R6 247 582.31, plus agreed interest at the rate of 10.50%, calculated daily and compounded monthly in arrears from 29 February 2020 until date of full</w:t>
      </w:r>
      <w:r w:rsidR="00337396">
        <w:rPr>
          <w:sz w:val="28"/>
          <w:szCs w:val="28"/>
        </w:rPr>
        <w:t xml:space="preserve"> payment (both dates inclusive).</w:t>
      </w:r>
    </w:p>
    <w:p w14:paraId="44973823" w14:textId="22B1C899" w:rsidR="00F45158" w:rsidRDefault="00D078E4" w:rsidP="00D078E4">
      <w:pPr>
        <w:pStyle w:val="MEMONUMBERED"/>
        <w:numPr>
          <w:ilvl w:val="0"/>
          <w:numId w:val="0"/>
        </w:numPr>
        <w:spacing w:after="360" w:line="360" w:lineRule="auto"/>
        <w:ind w:left="720" w:hanging="360"/>
        <w:rPr>
          <w:sz w:val="28"/>
          <w:szCs w:val="28"/>
        </w:rPr>
      </w:pPr>
      <w:r>
        <w:rPr>
          <w:sz w:val="28"/>
          <w:szCs w:val="28"/>
        </w:rPr>
        <w:t>3.</w:t>
      </w:r>
      <w:r>
        <w:rPr>
          <w:sz w:val="28"/>
          <w:szCs w:val="28"/>
        </w:rPr>
        <w:tab/>
      </w:r>
      <w:r w:rsidR="00337396">
        <w:rPr>
          <w:sz w:val="28"/>
          <w:szCs w:val="28"/>
        </w:rPr>
        <w:t>Payment of t</w:t>
      </w:r>
      <w:r w:rsidR="00F45158">
        <w:rPr>
          <w:sz w:val="28"/>
          <w:szCs w:val="28"/>
        </w:rPr>
        <w:t xml:space="preserve">he costs of this application, </w:t>
      </w:r>
      <w:r w:rsidR="00B67D97">
        <w:rPr>
          <w:sz w:val="28"/>
          <w:szCs w:val="28"/>
        </w:rPr>
        <w:t xml:space="preserve">on the scale </w:t>
      </w:r>
      <w:r w:rsidR="00337396">
        <w:rPr>
          <w:sz w:val="28"/>
          <w:szCs w:val="28"/>
        </w:rPr>
        <w:t>as between</w:t>
      </w:r>
      <w:r w:rsidR="00B67D97">
        <w:rPr>
          <w:sz w:val="28"/>
          <w:szCs w:val="28"/>
        </w:rPr>
        <w:t xml:space="preserve"> attorney and client.</w:t>
      </w:r>
    </w:p>
    <w:p w14:paraId="05760A85" w14:textId="77777777" w:rsidR="005B2433" w:rsidRDefault="005B2433" w:rsidP="00FF214C">
      <w:pPr>
        <w:spacing w:after="120"/>
        <w:ind w:right="-45"/>
        <w:rPr>
          <w:rFonts w:ascii="Times New Roman" w:hAnsi="Times New Roman" w:cs="Times New Roman"/>
          <w:b/>
          <w:color w:val="000000" w:themeColor="text1"/>
          <w:sz w:val="28"/>
          <w:szCs w:val="28"/>
        </w:rPr>
      </w:pPr>
    </w:p>
    <w:p w14:paraId="7133BE5A" w14:textId="26A43AF2"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14:paraId="691A77F5" w14:textId="77777777"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14:paraId="3778D62F" w14:textId="77777777"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14:paraId="31BD9D4B" w14:textId="77777777"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14:paraId="52482661" w14:textId="77777777"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14:paraId="34F532CD" w14:textId="77777777" w:rsidR="00D26624" w:rsidRPr="00D26624" w:rsidRDefault="00D26624" w:rsidP="00D26624">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14:paraId="074C2D64" w14:textId="586E8359" w:rsidR="00447E39" w:rsidRDefault="00D078E4" w:rsidP="00D078E4">
      <w:pPr>
        <w:pStyle w:val="MEMONUMBERED"/>
        <w:numPr>
          <w:ilvl w:val="0"/>
          <w:numId w:val="0"/>
        </w:numPr>
        <w:spacing w:after="360" w:line="360" w:lineRule="auto"/>
        <w:rPr>
          <w:color w:val="000000" w:themeColor="text1"/>
          <w:sz w:val="28"/>
          <w:szCs w:val="28"/>
        </w:rPr>
      </w:pPr>
      <w:r>
        <w:rPr>
          <w:color w:val="000000" w:themeColor="text1"/>
          <w:sz w:val="28"/>
          <w:szCs w:val="28"/>
        </w:rPr>
        <w:t>[1]</w:t>
      </w:r>
      <w:r>
        <w:rPr>
          <w:color w:val="000000" w:themeColor="text1"/>
          <w:sz w:val="28"/>
          <w:szCs w:val="28"/>
        </w:rPr>
        <w:tab/>
      </w:r>
      <w:r w:rsidR="00B67D97">
        <w:rPr>
          <w:color w:val="000000" w:themeColor="text1"/>
          <w:sz w:val="28"/>
          <w:szCs w:val="28"/>
        </w:rPr>
        <w:t>Around 2017 VBS Mutual Bank (VBS) “</w:t>
      </w:r>
      <w:r w:rsidR="00B67D97" w:rsidRPr="00B67D97">
        <w:rPr>
          <w:i/>
          <w:color w:val="000000" w:themeColor="text1"/>
          <w:sz w:val="28"/>
          <w:szCs w:val="28"/>
        </w:rPr>
        <w:t>fell prey to an elaborate, yet unsophisticated fraudulent scheme perpetrated on it by some members of its management and their related entities</w:t>
      </w:r>
      <w:r w:rsidR="00B67D97">
        <w:rPr>
          <w:color w:val="000000" w:themeColor="text1"/>
          <w:sz w:val="28"/>
          <w:szCs w:val="28"/>
        </w:rPr>
        <w:t>”.  These are the words of the applicant, who is the liquidator of VBS, appointed pursuant to a winding-up order of VBS, granted by this court on 13 November 2018.</w:t>
      </w:r>
    </w:p>
    <w:p w14:paraId="14A1A87C" w14:textId="4406EAE7" w:rsidR="00B67D97" w:rsidRDefault="00D078E4" w:rsidP="00D078E4">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[2]</w:t>
      </w:r>
      <w:r>
        <w:rPr>
          <w:color w:val="000000" w:themeColor="text1"/>
          <w:sz w:val="28"/>
          <w:szCs w:val="28"/>
        </w:rPr>
        <w:tab/>
      </w:r>
      <w:r w:rsidR="00B67D97">
        <w:rPr>
          <w:color w:val="000000" w:themeColor="text1"/>
          <w:sz w:val="28"/>
          <w:szCs w:val="28"/>
        </w:rPr>
        <w:t xml:space="preserve">The present application is one whereby the liquidator seeks to </w:t>
      </w:r>
      <w:r w:rsidR="00337396">
        <w:rPr>
          <w:color w:val="000000" w:themeColor="text1"/>
          <w:sz w:val="28"/>
          <w:szCs w:val="28"/>
        </w:rPr>
        <w:t>recover monies lent and advanced</w:t>
      </w:r>
      <w:r w:rsidR="00B67D97">
        <w:rPr>
          <w:color w:val="000000" w:themeColor="text1"/>
          <w:sz w:val="28"/>
          <w:szCs w:val="28"/>
        </w:rPr>
        <w:t xml:space="preserve"> by VBS to the respondent in his personal capacity</w:t>
      </w:r>
      <w:r w:rsidR="005F2DAE">
        <w:rPr>
          <w:color w:val="000000" w:themeColor="text1"/>
          <w:sz w:val="28"/>
          <w:szCs w:val="28"/>
        </w:rPr>
        <w:t>.  The monies were used to buy an upmarket residential property and a Porche Cayenne.  For purposes of recovery, the liquidator did not rely on any allegation of fraud and the respondent similarly sought to distance himself from the fraudulent scheme, yet he suggested that the scheme and subsequent recoveries of funds created factual dispute</w:t>
      </w:r>
      <w:r w:rsidR="00337396">
        <w:rPr>
          <w:color w:val="000000" w:themeColor="text1"/>
          <w:sz w:val="28"/>
          <w:szCs w:val="28"/>
        </w:rPr>
        <w:t>s.  The respondent also claimed that the loan agreements we</w:t>
      </w:r>
      <w:r w:rsidR="005F2DAE">
        <w:rPr>
          <w:color w:val="000000" w:themeColor="text1"/>
          <w:sz w:val="28"/>
          <w:szCs w:val="28"/>
        </w:rPr>
        <w:t>re invalid as he</w:t>
      </w:r>
      <w:r w:rsidR="00337396">
        <w:rPr>
          <w:color w:val="000000" w:themeColor="text1"/>
          <w:sz w:val="28"/>
          <w:szCs w:val="28"/>
        </w:rPr>
        <w:t xml:space="preserve"> had</w:t>
      </w:r>
      <w:r w:rsidR="005F2DAE">
        <w:rPr>
          <w:color w:val="000000" w:themeColor="text1"/>
          <w:sz w:val="28"/>
          <w:szCs w:val="28"/>
        </w:rPr>
        <w:t xml:space="preserve"> obtained credit without spousal consent as required by the Matrimonial Property Act 88 of 1984 (the MPA).</w:t>
      </w:r>
    </w:p>
    <w:p w14:paraId="1695C1CB" w14:textId="30427BE1" w:rsidR="005F2DAE" w:rsidRPr="005F2DAE" w:rsidRDefault="005F2DAE" w:rsidP="005F2DAE">
      <w:pPr>
        <w:pStyle w:val="MEMONUMBERED"/>
        <w:numPr>
          <w:ilvl w:val="0"/>
          <w:numId w:val="0"/>
        </w:numPr>
        <w:spacing w:after="120" w:line="360" w:lineRule="auto"/>
        <w:rPr>
          <w:b/>
          <w:color w:val="000000" w:themeColor="text1"/>
          <w:sz w:val="28"/>
          <w:szCs w:val="28"/>
        </w:rPr>
      </w:pPr>
      <w:r w:rsidRPr="005F2DAE">
        <w:rPr>
          <w:b/>
          <w:color w:val="000000" w:themeColor="text1"/>
          <w:sz w:val="28"/>
          <w:szCs w:val="28"/>
        </w:rPr>
        <w:t>The credit agreements</w:t>
      </w:r>
    </w:p>
    <w:p w14:paraId="0B215544" w14:textId="54F1318E" w:rsidR="001B18A1" w:rsidRDefault="00D078E4" w:rsidP="00D078E4">
      <w:pPr>
        <w:pStyle w:val="MEMONUMBERED"/>
        <w:numPr>
          <w:ilvl w:val="0"/>
          <w:numId w:val="0"/>
        </w:numPr>
        <w:spacing w:after="360" w:line="360" w:lineRule="auto"/>
        <w:rPr>
          <w:color w:val="000000" w:themeColor="text1"/>
          <w:sz w:val="28"/>
          <w:szCs w:val="28"/>
        </w:rPr>
      </w:pPr>
      <w:r>
        <w:rPr>
          <w:color w:val="000000" w:themeColor="text1"/>
          <w:sz w:val="28"/>
          <w:szCs w:val="28"/>
        </w:rPr>
        <w:t>[3]</w:t>
      </w:r>
      <w:r>
        <w:rPr>
          <w:color w:val="000000" w:themeColor="text1"/>
          <w:sz w:val="28"/>
          <w:szCs w:val="28"/>
        </w:rPr>
        <w:tab/>
      </w:r>
      <w:r w:rsidR="005F2DAE">
        <w:rPr>
          <w:color w:val="000000" w:themeColor="text1"/>
          <w:sz w:val="28"/>
          <w:szCs w:val="28"/>
        </w:rPr>
        <w:t xml:space="preserve">The first credit agreement in question, is one for the purchase of a luxury vehicle, a Porch Cayenne GTS.  The agreement was entered into on 6 April </w:t>
      </w:r>
      <w:r w:rsidR="001B18A1">
        <w:rPr>
          <w:color w:val="000000" w:themeColor="text1"/>
          <w:sz w:val="28"/>
          <w:szCs w:val="28"/>
        </w:rPr>
        <w:t>2017.  The purchase price of the vehicle was R1 550 760.00.  After some initial instalments had been paid by the respondent, the vehicle was “written off” in an accident, causing the insurance company to make payment of R1 319 000.00 to VBS on 4 October 2014.  After this, the respondent paid only one further partial instalment.  The liquidator is now claiming the balance outstanding of R200 722.61 (plus interest).</w:t>
      </w:r>
    </w:p>
    <w:p w14:paraId="7D09EF0E" w14:textId="4CF4586D" w:rsidR="005F2DAE" w:rsidRDefault="00D078E4" w:rsidP="00D078E4">
      <w:pPr>
        <w:pStyle w:val="MEMONUMBERED"/>
        <w:numPr>
          <w:ilvl w:val="0"/>
          <w:numId w:val="0"/>
        </w:numPr>
        <w:spacing w:after="360" w:line="360" w:lineRule="auto"/>
        <w:rPr>
          <w:color w:val="000000" w:themeColor="text1"/>
          <w:sz w:val="28"/>
          <w:szCs w:val="28"/>
        </w:rPr>
      </w:pPr>
      <w:r>
        <w:rPr>
          <w:color w:val="000000" w:themeColor="text1"/>
          <w:sz w:val="28"/>
          <w:szCs w:val="28"/>
        </w:rPr>
        <w:t>[4]</w:t>
      </w:r>
      <w:r>
        <w:rPr>
          <w:color w:val="000000" w:themeColor="text1"/>
          <w:sz w:val="28"/>
          <w:szCs w:val="28"/>
        </w:rPr>
        <w:tab/>
      </w:r>
      <w:r w:rsidR="00337396">
        <w:rPr>
          <w:color w:val="000000" w:themeColor="text1"/>
          <w:sz w:val="28"/>
          <w:szCs w:val="28"/>
        </w:rPr>
        <w:t>The second credit agreement i</w:t>
      </w:r>
      <w:r w:rsidR="001B18A1">
        <w:rPr>
          <w:color w:val="000000" w:themeColor="text1"/>
          <w:sz w:val="28"/>
          <w:szCs w:val="28"/>
        </w:rPr>
        <w:t>s a Mortgage Credit Agreement dated 18 April 2017.  In terms hereo</w:t>
      </w:r>
      <w:r w:rsidR="00907F6C">
        <w:rPr>
          <w:color w:val="000000" w:themeColor="text1"/>
          <w:sz w:val="28"/>
          <w:szCs w:val="28"/>
        </w:rPr>
        <w:t>f, the respondent borrowed R5 05</w:t>
      </w:r>
      <w:r w:rsidR="001B18A1">
        <w:rPr>
          <w:color w:val="000000" w:themeColor="text1"/>
          <w:sz w:val="28"/>
          <w:szCs w:val="28"/>
        </w:rPr>
        <w:t>5 240.00 for the purpose of purchasing an immovable property in Midstream Estate, Ekurhuleni and constructing a luxury dwelling thereon.  Initially the amounts would have been paid to Bu</w:t>
      </w:r>
      <w:r w:rsidR="00337396">
        <w:rPr>
          <w:color w:val="000000" w:themeColor="text1"/>
          <w:sz w:val="28"/>
          <w:szCs w:val="28"/>
        </w:rPr>
        <w:t>i</w:t>
      </w:r>
      <w:r w:rsidR="001B18A1">
        <w:rPr>
          <w:color w:val="000000" w:themeColor="text1"/>
          <w:sz w:val="28"/>
          <w:szCs w:val="28"/>
        </w:rPr>
        <w:t>ldesigns (Pty) Ltd and to an attorneys firm, but in the end, the amounts were paid out as follow</w:t>
      </w:r>
      <w:r w:rsidR="00907F6C">
        <w:rPr>
          <w:color w:val="000000" w:themeColor="text1"/>
          <w:sz w:val="28"/>
          <w:szCs w:val="28"/>
        </w:rPr>
        <w:t>s: R5 million to Wikus Strydom A</w:t>
      </w:r>
      <w:r w:rsidR="001B18A1">
        <w:rPr>
          <w:color w:val="000000" w:themeColor="text1"/>
          <w:sz w:val="28"/>
          <w:szCs w:val="28"/>
        </w:rPr>
        <w:t>ttorneys, R49 540 to Munonde Attorneys and R5 700.00 as an “initiation fee”.  The respondent called this agreement “his” home loan and his (now estranged) wife lives in the property.</w:t>
      </w:r>
    </w:p>
    <w:p w14:paraId="0D09E467" w14:textId="02A34756" w:rsidR="001B18A1" w:rsidRDefault="00D078E4" w:rsidP="00D078E4">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[5]</w:t>
      </w:r>
      <w:r>
        <w:rPr>
          <w:color w:val="000000" w:themeColor="text1"/>
          <w:sz w:val="28"/>
          <w:szCs w:val="28"/>
        </w:rPr>
        <w:tab/>
      </w:r>
      <w:r w:rsidR="001B18A1">
        <w:rPr>
          <w:color w:val="000000" w:themeColor="text1"/>
          <w:sz w:val="28"/>
          <w:szCs w:val="28"/>
        </w:rPr>
        <w:t>There can be no doubt that the agreements had been entered into and that the amounts mentioned therein had been advanced.  This is not denied and in fact forms</w:t>
      </w:r>
      <w:r w:rsidR="00F77E79">
        <w:rPr>
          <w:color w:val="000000" w:themeColor="text1"/>
          <w:sz w:val="28"/>
          <w:szCs w:val="28"/>
        </w:rPr>
        <w:t xml:space="preserve"> the basis of </w:t>
      </w:r>
      <w:r w:rsidR="00337396">
        <w:rPr>
          <w:color w:val="000000" w:themeColor="text1"/>
          <w:sz w:val="28"/>
          <w:szCs w:val="28"/>
        </w:rPr>
        <w:t>the respondent’s</w:t>
      </w:r>
      <w:r w:rsidR="00F77E79">
        <w:rPr>
          <w:color w:val="000000" w:themeColor="text1"/>
          <w:sz w:val="28"/>
          <w:szCs w:val="28"/>
        </w:rPr>
        <w:t xml:space="preserve"> counter-</w:t>
      </w:r>
      <w:r w:rsidR="001B18A1">
        <w:rPr>
          <w:color w:val="000000" w:themeColor="text1"/>
          <w:sz w:val="28"/>
          <w:szCs w:val="28"/>
        </w:rPr>
        <w:t>application</w:t>
      </w:r>
      <w:r w:rsidR="00F77E79">
        <w:rPr>
          <w:color w:val="000000" w:themeColor="text1"/>
          <w:sz w:val="28"/>
          <w:szCs w:val="28"/>
        </w:rPr>
        <w:t xml:space="preserve"> </w:t>
      </w:r>
      <w:r w:rsidR="00337396">
        <w:rPr>
          <w:color w:val="000000" w:themeColor="text1"/>
          <w:sz w:val="28"/>
          <w:szCs w:val="28"/>
        </w:rPr>
        <w:t xml:space="preserve">based on </w:t>
      </w:r>
      <w:r w:rsidR="00907F6C">
        <w:rPr>
          <w:color w:val="000000" w:themeColor="text1"/>
          <w:sz w:val="28"/>
          <w:szCs w:val="28"/>
        </w:rPr>
        <w:t>alleged</w:t>
      </w:r>
      <w:r w:rsidR="00F77E79">
        <w:rPr>
          <w:color w:val="000000" w:themeColor="text1"/>
          <w:sz w:val="28"/>
          <w:szCs w:val="28"/>
        </w:rPr>
        <w:t xml:space="preserve"> reckless credit and his resultant alleged over-indebtedness (with which I shall deal later).</w:t>
      </w:r>
    </w:p>
    <w:p w14:paraId="52D55398" w14:textId="05C57196" w:rsidR="00F77E79" w:rsidRPr="00447E39" w:rsidRDefault="00D078E4" w:rsidP="00D078E4">
      <w:pPr>
        <w:pStyle w:val="MEMONUMBERED"/>
        <w:numPr>
          <w:ilvl w:val="0"/>
          <w:numId w:val="0"/>
        </w:numPr>
        <w:spacing w:after="360" w:line="360" w:lineRule="auto"/>
        <w:rPr>
          <w:color w:val="000000" w:themeColor="text1"/>
          <w:sz w:val="28"/>
          <w:szCs w:val="28"/>
        </w:rPr>
      </w:pPr>
      <w:r w:rsidRPr="00447E39">
        <w:rPr>
          <w:color w:val="000000" w:themeColor="text1"/>
          <w:sz w:val="28"/>
          <w:szCs w:val="28"/>
        </w:rPr>
        <w:t>[6]</w:t>
      </w:r>
      <w:r w:rsidRPr="00447E39">
        <w:rPr>
          <w:color w:val="000000" w:themeColor="text1"/>
          <w:sz w:val="28"/>
          <w:szCs w:val="28"/>
        </w:rPr>
        <w:tab/>
      </w:r>
      <w:r w:rsidR="00F77E79">
        <w:rPr>
          <w:color w:val="000000" w:themeColor="text1"/>
          <w:sz w:val="28"/>
          <w:szCs w:val="28"/>
        </w:rPr>
        <w:t xml:space="preserve">The liquidator only relied on the terms of the agreements themselves, while the respondent, on the other hand, made extensive reference to the fraudulent schemes perpetrated on VBS bank by its directors and managers, public disclosures of these schemes in the media and a resultant report compiled by Adv Terry Motau SC regarding these wrongdoings and the beneficiaries thereof, entitled “The Great Bank Heist”.  After raising these </w:t>
      </w:r>
      <w:r w:rsidR="00337396">
        <w:rPr>
          <w:color w:val="000000" w:themeColor="text1"/>
          <w:sz w:val="28"/>
          <w:szCs w:val="28"/>
        </w:rPr>
        <w:t>issues himself, the respondent referred</w:t>
      </w:r>
      <w:r w:rsidR="0070376A">
        <w:rPr>
          <w:color w:val="000000" w:themeColor="text1"/>
          <w:sz w:val="28"/>
          <w:szCs w:val="28"/>
        </w:rPr>
        <w:t xml:space="preserve"> to his co-operation with </w:t>
      </w:r>
      <w:r w:rsidR="00F77E79">
        <w:rPr>
          <w:color w:val="000000" w:themeColor="text1"/>
          <w:sz w:val="28"/>
          <w:szCs w:val="28"/>
        </w:rPr>
        <w:t>criminal investigation</w:t>
      </w:r>
      <w:r w:rsidR="00337396">
        <w:rPr>
          <w:color w:val="000000" w:themeColor="text1"/>
          <w:sz w:val="28"/>
          <w:szCs w:val="28"/>
        </w:rPr>
        <w:t>s</w:t>
      </w:r>
      <w:r w:rsidR="00F77E79">
        <w:rPr>
          <w:color w:val="000000" w:themeColor="text1"/>
          <w:sz w:val="28"/>
          <w:szCs w:val="28"/>
        </w:rPr>
        <w:t xml:space="preserve"> conduct</w:t>
      </w:r>
      <w:r w:rsidR="00907F6C">
        <w:rPr>
          <w:color w:val="000000" w:themeColor="text1"/>
          <w:sz w:val="28"/>
          <w:szCs w:val="28"/>
        </w:rPr>
        <w:t>ed</w:t>
      </w:r>
      <w:r w:rsidR="00F77E79">
        <w:rPr>
          <w:color w:val="000000" w:themeColor="text1"/>
          <w:sz w:val="28"/>
          <w:szCs w:val="28"/>
        </w:rPr>
        <w:t xml:space="preserve"> by</w:t>
      </w:r>
      <w:r w:rsidR="0070376A">
        <w:rPr>
          <w:color w:val="000000" w:themeColor="text1"/>
          <w:sz w:val="28"/>
          <w:szCs w:val="28"/>
        </w:rPr>
        <w:t xml:space="preserve"> </w:t>
      </w:r>
      <w:r w:rsidR="00F77E79">
        <w:rPr>
          <w:color w:val="000000" w:themeColor="text1"/>
          <w:sz w:val="28"/>
          <w:szCs w:val="28"/>
        </w:rPr>
        <w:t>th</w:t>
      </w:r>
      <w:r w:rsidR="0070376A">
        <w:rPr>
          <w:color w:val="000000" w:themeColor="text1"/>
          <w:sz w:val="28"/>
          <w:szCs w:val="28"/>
        </w:rPr>
        <w:t>e</w:t>
      </w:r>
      <w:r w:rsidR="00F77E79">
        <w:rPr>
          <w:color w:val="000000" w:themeColor="text1"/>
          <w:sz w:val="28"/>
          <w:szCs w:val="28"/>
        </w:rPr>
        <w:t xml:space="preserve"> Hawks and con</w:t>
      </w:r>
      <w:r w:rsidR="00337396">
        <w:rPr>
          <w:color w:val="000000" w:themeColor="text1"/>
          <w:sz w:val="28"/>
          <w:szCs w:val="28"/>
        </w:rPr>
        <w:t>cluded</w:t>
      </w:r>
      <w:r w:rsidR="00F77E79">
        <w:rPr>
          <w:color w:val="000000" w:themeColor="text1"/>
          <w:sz w:val="28"/>
          <w:szCs w:val="28"/>
        </w:rPr>
        <w:t xml:space="preserve"> thereafter that he was blameless of any wrong-doing and that these were arm’s length transactions.  This was also the </w:t>
      </w:r>
      <w:r w:rsidR="0070376A">
        <w:rPr>
          <w:color w:val="000000" w:themeColor="text1"/>
          <w:sz w:val="28"/>
          <w:szCs w:val="28"/>
        </w:rPr>
        <w:t>basis on which the liquidator f</w:t>
      </w:r>
      <w:r w:rsidR="00F77E79">
        <w:rPr>
          <w:color w:val="000000" w:themeColor="text1"/>
          <w:sz w:val="28"/>
          <w:szCs w:val="28"/>
        </w:rPr>
        <w:t>ramed his</w:t>
      </w:r>
      <w:r w:rsidR="0070376A">
        <w:rPr>
          <w:color w:val="000000" w:themeColor="text1"/>
          <w:sz w:val="28"/>
          <w:szCs w:val="28"/>
        </w:rPr>
        <w:t xml:space="preserve"> causes of action and that will then be the basis on which this court will approach the matter.</w:t>
      </w:r>
      <w:r w:rsidR="00F77E79">
        <w:rPr>
          <w:color w:val="000000" w:themeColor="text1"/>
          <w:sz w:val="28"/>
          <w:szCs w:val="28"/>
        </w:rPr>
        <w:t xml:space="preserve">  </w:t>
      </w:r>
    </w:p>
    <w:p w14:paraId="2833C584" w14:textId="3B1A51C1" w:rsidR="00AD030F" w:rsidRDefault="0070376A" w:rsidP="00447E39">
      <w:pPr>
        <w:pStyle w:val="MEMONUMBERED"/>
        <w:numPr>
          <w:ilvl w:val="0"/>
          <w:numId w:val="0"/>
        </w:numPr>
        <w:spacing w:after="120" w:line="360" w:lineRule="auto"/>
        <w:rPr>
          <w:color w:val="000000" w:themeColor="text1"/>
          <w:sz w:val="28"/>
          <w:szCs w:val="28"/>
          <w:lang w:val="en-ZA"/>
        </w:rPr>
      </w:pPr>
      <w:r>
        <w:rPr>
          <w:b/>
          <w:color w:val="000000" w:themeColor="text1"/>
          <w:sz w:val="28"/>
          <w:szCs w:val="28"/>
          <w:lang w:val="en-ZA"/>
        </w:rPr>
        <w:t>Defences</w:t>
      </w:r>
      <w:r w:rsidR="005B2433">
        <w:rPr>
          <w:b/>
          <w:color w:val="000000" w:themeColor="text1"/>
          <w:sz w:val="28"/>
          <w:szCs w:val="28"/>
          <w:lang w:val="en-ZA"/>
        </w:rPr>
        <w:t xml:space="preserve"> </w:t>
      </w:r>
      <w:r w:rsidR="00447E39">
        <w:rPr>
          <w:b/>
          <w:color w:val="000000" w:themeColor="text1"/>
          <w:sz w:val="28"/>
          <w:szCs w:val="28"/>
          <w:lang w:val="en-ZA"/>
        </w:rPr>
        <w:t xml:space="preserve"> </w:t>
      </w:r>
    </w:p>
    <w:p w14:paraId="652D175E" w14:textId="188A1E9F" w:rsidR="007211EC" w:rsidRDefault="00D078E4" w:rsidP="00D078E4">
      <w:pPr>
        <w:pStyle w:val="MEMONUMBERED"/>
        <w:numPr>
          <w:ilvl w:val="0"/>
          <w:numId w:val="0"/>
        </w:numPr>
        <w:spacing w:after="360" w:line="360" w:lineRule="auto"/>
        <w:rPr>
          <w:color w:val="000000" w:themeColor="text1"/>
          <w:sz w:val="28"/>
          <w:szCs w:val="28"/>
        </w:rPr>
      </w:pPr>
      <w:r>
        <w:rPr>
          <w:color w:val="000000" w:themeColor="text1"/>
          <w:sz w:val="28"/>
          <w:szCs w:val="28"/>
        </w:rPr>
        <w:t>[7]</w:t>
      </w:r>
      <w:r>
        <w:rPr>
          <w:color w:val="000000" w:themeColor="text1"/>
          <w:sz w:val="28"/>
          <w:szCs w:val="28"/>
        </w:rPr>
        <w:tab/>
      </w:r>
      <w:r w:rsidR="0070376A">
        <w:rPr>
          <w:color w:val="000000" w:themeColor="text1"/>
          <w:sz w:val="28"/>
          <w:szCs w:val="28"/>
        </w:rPr>
        <w:t xml:space="preserve">Having established that neither the agreements nor the amounts in question are in dispute, what are the defences raised by the respondent?  In his answering affidavit, he listed five.  These are 1) a dispute of fact, 2) reckless lending, 3) contravention of section 80 of the National Credit Act 34 of 2005 (the NCA) resulting in the respondent becoming over-indebted, 4) the fact that the agreements were entered into in contravention of section 15 (2) of the </w:t>
      </w:r>
      <w:r w:rsidR="00337396">
        <w:rPr>
          <w:color w:val="000000" w:themeColor="text1"/>
          <w:sz w:val="28"/>
          <w:szCs w:val="28"/>
        </w:rPr>
        <w:t>MPA</w:t>
      </w:r>
      <w:r w:rsidR="0070376A">
        <w:rPr>
          <w:color w:val="000000" w:themeColor="text1"/>
          <w:sz w:val="28"/>
          <w:szCs w:val="28"/>
        </w:rPr>
        <w:t xml:space="preserve"> and 5) a failure to make out a case. </w:t>
      </w:r>
    </w:p>
    <w:p w14:paraId="0D868990" w14:textId="69DA3A4F" w:rsidR="00337396" w:rsidRPr="00337396" w:rsidRDefault="00337396" w:rsidP="00337396">
      <w:pPr>
        <w:pStyle w:val="MEMONUMBERED"/>
        <w:numPr>
          <w:ilvl w:val="0"/>
          <w:numId w:val="0"/>
        </w:numPr>
        <w:spacing w:after="120" w:line="360" w:lineRule="auto"/>
        <w:rPr>
          <w:b/>
          <w:color w:val="000000" w:themeColor="text1"/>
          <w:sz w:val="28"/>
          <w:szCs w:val="28"/>
        </w:rPr>
      </w:pPr>
      <w:r w:rsidRPr="00337396">
        <w:rPr>
          <w:b/>
          <w:color w:val="000000" w:themeColor="text1"/>
          <w:sz w:val="28"/>
          <w:szCs w:val="28"/>
        </w:rPr>
        <w:t>Dispute of fact</w:t>
      </w:r>
    </w:p>
    <w:p w14:paraId="5B6F1BFA" w14:textId="2585C959" w:rsidR="0070376A" w:rsidRDefault="00D078E4" w:rsidP="00D078E4">
      <w:pPr>
        <w:pStyle w:val="MEMONUMBERED"/>
        <w:numPr>
          <w:ilvl w:val="0"/>
          <w:numId w:val="0"/>
        </w:numPr>
        <w:spacing w:after="360" w:line="360" w:lineRule="auto"/>
        <w:rPr>
          <w:color w:val="000000" w:themeColor="text1"/>
          <w:sz w:val="28"/>
          <w:szCs w:val="28"/>
        </w:rPr>
      </w:pPr>
      <w:r>
        <w:rPr>
          <w:color w:val="000000" w:themeColor="text1"/>
          <w:sz w:val="28"/>
          <w:szCs w:val="28"/>
        </w:rPr>
        <w:t>[8]</w:t>
      </w:r>
      <w:r>
        <w:rPr>
          <w:color w:val="000000" w:themeColor="text1"/>
          <w:sz w:val="28"/>
          <w:szCs w:val="28"/>
        </w:rPr>
        <w:tab/>
      </w:r>
      <w:r w:rsidR="0070376A">
        <w:rPr>
          <w:color w:val="000000" w:themeColor="text1"/>
          <w:sz w:val="28"/>
          <w:szCs w:val="28"/>
        </w:rPr>
        <w:t xml:space="preserve">In </w:t>
      </w:r>
      <w:r w:rsidR="00825A09">
        <w:rPr>
          <w:color w:val="000000" w:themeColor="text1"/>
          <w:sz w:val="28"/>
          <w:szCs w:val="28"/>
        </w:rPr>
        <w:t>respect</w:t>
      </w:r>
      <w:r w:rsidR="0070376A">
        <w:rPr>
          <w:color w:val="000000" w:themeColor="text1"/>
          <w:sz w:val="28"/>
          <w:szCs w:val="28"/>
        </w:rPr>
        <w:t xml:space="preserve"> of the alleged dispute of fact, the respondent referenced a City Press Article of one Dewald van Rensburg dated 29 April 2018 claiming that the </w:t>
      </w:r>
      <w:r w:rsidR="0070376A">
        <w:rPr>
          <w:color w:val="000000" w:themeColor="text1"/>
          <w:sz w:val="28"/>
          <w:szCs w:val="28"/>
        </w:rPr>
        <w:lastRenderedPageBreak/>
        <w:t>liquidator withdrew or withheld VBS’ financial statements for 2017 “because they could not be trusted”.  He also referenced the report by Adv Motau</w:t>
      </w:r>
      <w:r w:rsidR="00337396">
        <w:rPr>
          <w:color w:val="000000" w:themeColor="text1"/>
          <w:sz w:val="28"/>
          <w:szCs w:val="28"/>
        </w:rPr>
        <w:t xml:space="preserve"> SC</w:t>
      </w:r>
      <w:r w:rsidR="0070376A">
        <w:rPr>
          <w:color w:val="000000" w:themeColor="text1"/>
          <w:sz w:val="28"/>
          <w:szCs w:val="28"/>
        </w:rPr>
        <w:t xml:space="preserve"> and a book by Van Rensburg titled “</w:t>
      </w:r>
      <w:r w:rsidR="0070376A" w:rsidRPr="00337396">
        <w:rPr>
          <w:i/>
          <w:color w:val="000000" w:themeColor="text1"/>
          <w:sz w:val="28"/>
          <w:szCs w:val="28"/>
        </w:rPr>
        <w:t>VBS-a dream deferred</w:t>
      </w:r>
      <w:r w:rsidR="0070376A">
        <w:rPr>
          <w:color w:val="000000" w:themeColor="text1"/>
          <w:sz w:val="28"/>
          <w:szCs w:val="28"/>
        </w:rPr>
        <w:t>”.</w:t>
      </w:r>
    </w:p>
    <w:p w14:paraId="20BD16A8" w14:textId="344DBE2E" w:rsidR="00825A09" w:rsidRDefault="00D078E4" w:rsidP="00D078E4">
      <w:pPr>
        <w:pStyle w:val="MEMONUMBERED"/>
        <w:numPr>
          <w:ilvl w:val="0"/>
          <w:numId w:val="0"/>
        </w:numPr>
        <w:spacing w:after="360" w:line="360" w:lineRule="auto"/>
        <w:rPr>
          <w:color w:val="000000" w:themeColor="text1"/>
          <w:sz w:val="28"/>
          <w:szCs w:val="28"/>
        </w:rPr>
      </w:pPr>
      <w:r>
        <w:rPr>
          <w:color w:val="000000" w:themeColor="text1"/>
          <w:sz w:val="28"/>
          <w:szCs w:val="28"/>
        </w:rPr>
        <w:t>[9]</w:t>
      </w:r>
      <w:r>
        <w:rPr>
          <w:color w:val="000000" w:themeColor="text1"/>
          <w:sz w:val="28"/>
          <w:szCs w:val="28"/>
        </w:rPr>
        <w:tab/>
      </w:r>
      <w:r w:rsidR="00825A09">
        <w:rPr>
          <w:color w:val="000000" w:themeColor="text1"/>
          <w:sz w:val="28"/>
          <w:szCs w:val="28"/>
        </w:rPr>
        <w:t xml:space="preserve">Based on this, the respondent attacked the application lodged for the vehicle finance, alleging that some parts of </w:t>
      </w:r>
      <w:r w:rsidR="00337396">
        <w:rPr>
          <w:color w:val="000000" w:themeColor="text1"/>
          <w:sz w:val="28"/>
          <w:szCs w:val="28"/>
        </w:rPr>
        <w:t>it had no</w:t>
      </w:r>
      <w:r w:rsidR="00825A09">
        <w:rPr>
          <w:color w:val="000000" w:themeColor="text1"/>
          <w:sz w:val="28"/>
          <w:szCs w:val="28"/>
        </w:rPr>
        <w:t>t been completed by him, but by some other bank official.  Significantly however, the respondent did not deny his signature on the application nor deny the subsequent agreement, in respect of which the parties had performed as already mentioned in paragraph 3 above.</w:t>
      </w:r>
    </w:p>
    <w:p w14:paraId="04C61F4A" w14:textId="590873C2" w:rsidR="0070376A" w:rsidRDefault="00D078E4" w:rsidP="00D078E4">
      <w:pPr>
        <w:pStyle w:val="MEMONUMBERED"/>
        <w:numPr>
          <w:ilvl w:val="0"/>
          <w:numId w:val="0"/>
        </w:numPr>
        <w:spacing w:after="360" w:line="360" w:lineRule="auto"/>
        <w:rPr>
          <w:color w:val="000000" w:themeColor="text1"/>
          <w:sz w:val="28"/>
          <w:szCs w:val="28"/>
        </w:rPr>
      </w:pPr>
      <w:r>
        <w:rPr>
          <w:color w:val="000000" w:themeColor="text1"/>
          <w:sz w:val="28"/>
          <w:szCs w:val="28"/>
        </w:rPr>
        <w:t>[10]</w:t>
      </w:r>
      <w:r>
        <w:rPr>
          <w:color w:val="000000" w:themeColor="text1"/>
          <w:sz w:val="28"/>
          <w:szCs w:val="28"/>
        </w:rPr>
        <w:tab/>
      </w:r>
      <w:r w:rsidR="00337396">
        <w:rPr>
          <w:color w:val="000000" w:themeColor="text1"/>
          <w:sz w:val="28"/>
          <w:szCs w:val="28"/>
        </w:rPr>
        <w:t xml:space="preserve">The fact that VBS’ financial statements may have been manipulated does not mean all individual agreements are automatically implicated.  </w:t>
      </w:r>
      <w:r w:rsidR="00825A09">
        <w:rPr>
          <w:color w:val="000000" w:themeColor="text1"/>
          <w:sz w:val="28"/>
          <w:szCs w:val="28"/>
        </w:rPr>
        <w:t>Insofar as the respondent claims that there is a factual dispute regarding “the authenticity” (as he calls it) of the agreements, I find that no real or bona fide dispute of fact has been established which cannot be resolved on the papers</w:t>
      </w:r>
      <w:r w:rsidR="00825A09">
        <w:rPr>
          <w:rStyle w:val="FootnoteReference"/>
          <w:color w:val="000000" w:themeColor="text1"/>
          <w:sz w:val="28"/>
          <w:szCs w:val="28"/>
        </w:rPr>
        <w:footnoteReference w:id="1"/>
      </w:r>
      <w:r w:rsidR="00825A09">
        <w:rPr>
          <w:color w:val="000000" w:themeColor="text1"/>
          <w:sz w:val="28"/>
          <w:szCs w:val="28"/>
        </w:rPr>
        <w:t xml:space="preserve">. </w:t>
      </w:r>
    </w:p>
    <w:p w14:paraId="4960B2AC" w14:textId="18F1C481" w:rsidR="00337396" w:rsidRPr="00337396" w:rsidRDefault="00337396" w:rsidP="00337396">
      <w:pPr>
        <w:pStyle w:val="MEMONUMBERED"/>
        <w:numPr>
          <w:ilvl w:val="0"/>
          <w:numId w:val="0"/>
        </w:numPr>
        <w:spacing w:after="120" w:line="360" w:lineRule="auto"/>
        <w:rPr>
          <w:b/>
          <w:color w:val="000000" w:themeColor="text1"/>
          <w:sz w:val="28"/>
          <w:szCs w:val="28"/>
        </w:rPr>
      </w:pPr>
      <w:r w:rsidRPr="00337396">
        <w:rPr>
          <w:b/>
          <w:color w:val="000000" w:themeColor="text1"/>
          <w:sz w:val="28"/>
          <w:szCs w:val="28"/>
        </w:rPr>
        <w:t>Reckless lending</w:t>
      </w:r>
    </w:p>
    <w:p w14:paraId="4FA97D8D" w14:textId="61D23A03" w:rsidR="00825A09" w:rsidRDefault="00D078E4" w:rsidP="00D078E4">
      <w:pPr>
        <w:pStyle w:val="MEMONUMBERED"/>
        <w:numPr>
          <w:ilvl w:val="0"/>
          <w:numId w:val="0"/>
        </w:numPr>
        <w:spacing w:after="360" w:line="360" w:lineRule="auto"/>
        <w:rPr>
          <w:color w:val="000000" w:themeColor="text1"/>
          <w:sz w:val="28"/>
          <w:szCs w:val="28"/>
        </w:rPr>
      </w:pPr>
      <w:r>
        <w:rPr>
          <w:color w:val="000000" w:themeColor="text1"/>
          <w:sz w:val="28"/>
          <w:szCs w:val="28"/>
        </w:rPr>
        <w:t>[11]</w:t>
      </w:r>
      <w:r>
        <w:rPr>
          <w:color w:val="000000" w:themeColor="text1"/>
          <w:sz w:val="28"/>
          <w:szCs w:val="28"/>
        </w:rPr>
        <w:tab/>
      </w:r>
      <w:r w:rsidR="00825A09">
        <w:rPr>
          <w:color w:val="000000" w:themeColor="text1"/>
          <w:sz w:val="28"/>
          <w:szCs w:val="28"/>
        </w:rPr>
        <w:t xml:space="preserve">In respect of the issue of reckless lending, the NCA provides that a court </w:t>
      </w:r>
      <w:r w:rsidR="00337396">
        <w:rPr>
          <w:color w:val="000000" w:themeColor="text1"/>
          <w:sz w:val="28"/>
          <w:szCs w:val="28"/>
        </w:rPr>
        <w:t>may</w:t>
      </w:r>
      <w:r w:rsidR="00825A09">
        <w:rPr>
          <w:color w:val="000000" w:themeColor="text1"/>
          <w:sz w:val="28"/>
          <w:szCs w:val="28"/>
        </w:rPr>
        <w:t xml:space="preserve"> set aside a credit agreement in circumstances where the credit provider has not conducted a proper assessment of the lender’s ability to meet his prospective obligations under the proposed agreement</w:t>
      </w:r>
      <w:r w:rsidR="00825A09">
        <w:rPr>
          <w:rStyle w:val="FootnoteReference"/>
          <w:color w:val="000000" w:themeColor="text1"/>
          <w:sz w:val="28"/>
          <w:szCs w:val="28"/>
        </w:rPr>
        <w:footnoteReference w:id="2"/>
      </w:r>
      <w:r w:rsidR="00825A09">
        <w:rPr>
          <w:color w:val="000000" w:themeColor="text1"/>
          <w:sz w:val="28"/>
          <w:szCs w:val="28"/>
        </w:rPr>
        <w:t>.  Although the respondent has made submissions in this regard in his answering affidavi</w:t>
      </w:r>
      <w:r w:rsidR="00337396">
        <w:rPr>
          <w:color w:val="000000" w:themeColor="text1"/>
          <w:sz w:val="28"/>
          <w:szCs w:val="28"/>
        </w:rPr>
        <w:t>t, his counsel, in my view</w:t>
      </w:r>
      <w:r w:rsidR="00825A09">
        <w:rPr>
          <w:color w:val="000000" w:themeColor="text1"/>
          <w:sz w:val="28"/>
          <w:szCs w:val="28"/>
        </w:rPr>
        <w:t xml:space="preserve"> correctly so, did not proceed with this point in argument.  There is no merit in it, particularly w</w:t>
      </w:r>
      <w:r w:rsidR="00337396">
        <w:rPr>
          <w:color w:val="000000" w:themeColor="text1"/>
          <w:sz w:val="28"/>
          <w:szCs w:val="28"/>
        </w:rPr>
        <w:t>hen</w:t>
      </w:r>
      <w:r w:rsidR="00C3214D">
        <w:rPr>
          <w:color w:val="000000" w:themeColor="text1"/>
          <w:sz w:val="28"/>
          <w:szCs w:val="28"/>
        </w:rPr>
        <w:t xml:space="preserve"> viewed against the respondent’s contention that the credits were not extended to him in the same fashion as to other “related parties” to the VBS fraudsters, but on proper arm’s length considerations.  This was also </w:t>
      </w:r>
      <w:r w:rsidR="00337396">
        <w:rPr>
          <w:color w:val="000000" w:themeColor="text1"/>
          <w:sz w:val="28"/>
          <w:szCs w:val="28"/>
        </w:rPr>
        <w:t>confirmed</w:t>
      </w:r>
      <w:r w:rsidR="00C3214D">
        <w:rPr>
          <w:color w:val="000000" w:themeColor="text1"/>
          <w:sz w:val="28"/>
          <w:szCs w:val="28"/>
        </w:rPr>
        <w:t xml:space="preserve"> by way of reference in the replying affidavit to the payslips the </w:t>
      </w:r>
      <w:r w:rsidR="00C3214D">
        <w:rPr>
          <w:color w:val="000000" w:themeColor="text1"/>
          <w:sz w:val="28"/>
          <w:szCs w:val="28"/>
        </w:rPr>
        <w:lastRenderedPageBreak/>
        <w:t>respondent had produced at the time as well as the credit assessment</w:t>
      </w:r>
      <w:r w:rsidR="00337396">
        <w:rPr>
          <w:color w:val="000000" w:themeColor="text1"/>
          <w:sz w:val="28"/>
          <w:szCs w:val="28"/>
        </w:rPr>
        <w:t>s</w:t>
      </w:r>
      <w:r w:rsidR="00C3214D">
        <w:rPr>
          <w:color w:val="000000" w:themeColor="text1"/>
          <w:sz w:val="28"/>
          <w:szCs w:val="28"/>
        </w:rPr>
        <w:t xml:space="preserve"> done by VBS.</w:t>
      </w:r>
    </w:p>
    <w:p w14:paraId="7A058F3C" w14:textId="53F476BB" w:rsidR="00337396" w:rsidRPr="00337396" w:rsidRDefault="00337396" w:rsidP="00337396">
      <w:pPr>
        <w:pStyle w:val="MEMONUMBERED"/>
        <w:numPr>
          <w:ilvl w:val="0"/>
          <w:numId w:val="0"/>
        </w:numPr>
        <w:spacing w:after="120" w:line="360" w:lineRule="auto"/>
        <w:rPr>
          <w:b/>
          <w:color w:val="000000" w:themeColor="text1"/>
          <w:sz w:val="28"/>
          <w:szCs w:val="28"/>
        </w:rPr>
      </w:pPr>
      <w:r w:rsidRPr="00337396">
        <w:rPr>
          <w:b/>
          <w:color w:val="000000" w:themeColor="text1"/>
          <w:sz w:val="28"/>
          <w:szCs w:val="28"/>
        </w:rPr>
        <w:t>Over-indebtedness</w:t>
      </w:r>
    </w:p>
    <w:p w14:paraId="32E95A6C" w14:textId="11FE3F61" w:rsidR="00C3214D" w:rsidRDefault="00D078E4" w:rsidP="00D078E4">
      <w:pPr>
        <w:pStyle w:val="MEMONUMBERED"/>
        <w:numPr>
          <w:ilvl w:val="0"/>
          <w:numId w:val="0"/>
        </w:numPr>
        <w:spacing w:after="360" w:line="360" w:lineRule="auto"/>
        <w:rPr>
          <w:color w:val="000000" w:themeColor="text1"/>
          <w:sz w:val="28"/>
          <w:szCs w:val="28"/>
        </w:rPr>
      </w:pPr>
      <w:r>
        <w:rPr>
          <w:color w:val="000000" w:themeColor="text1"/>
          <w:sz w:val="28"/>
          <w:szCs w:val="28"/>
        </w:rPr>
        <w:t>[12]</w:t>
      </w:r>
      <w:r>
        <w:rPr>
          <w:color w:val="000000" w:themeColor="text1"/>
          <w:sz w:val="28"/>
          <w:szCs w:val="28"/>
        </w:rPr>
        <w:tab/>
      </w:r>
      <w:r w:rsidR="00C3214D">
        <w:rPr>
          <w:color w:val="000000" w:themeColor="text1"/>
          <w:sz w:val="28"/>
          <w:szCs w:val="28"/>
        </w:rPr>
        <w:t>Regarding the issue of over-indebtedness, the respondent claims to have fallen on hard times now that the income stream on which he had relied from a company called Gorogo Projects (Pty) Ltd, which had don</w:t>
      </w:r>
      <w:r w:rsidR="000A05BB">
        <w:rPr>
          <w:color w:val="000000" w:themeColor="text1"/>
          <w:sz w:val="28"/>
          <w:szCs w:val="28"/>
        </w:rPr>
        <w:t>e “good work” for the Venda King</w:t>
      </w:r>
      <w:r w:rsidR="00C3214D">
        <w:rPr>
          <w:color w:val="000000" w:themeColor="text1"/>
          <w:sz w:val="28"/>
          <w:szCs w:val="28"/>
        </w:rPr>
        <w:t xml:space="preserve"> and VBS bank, had dried up.  Based on this, he claimed in his counter-application, that his debt under these agreements should be restructured and payments postponed for three years.</w:t>
      </w:r>
      <w:r w:rsidR="00337396">
        <w:rPr>
          <w:color w:val="000000" w:themeColor="text1"/>
          <w:sz w:val="28"/>
          <w:szCs w:val="28"/>
        </w:rPr>
        <w:t xml:space="preserve">  He also claims that a referral</w:t>
      </w:r>
      <w:r w:rsidR="00C3214D">
        <w:rPr>
          <w:color w:val="000000" w:themeColor="text1"/>
          <w:sz w:val="28"/>
          <w:szCs w:val="28"/>
        </w:rPr>
        <w:t xml:space="preserve"> to a debt counsellor would be of no assistance.  The respondent has however, prior to his counter-application, failed to react to the notices sent to him in terms of section 129 of the NCA which, inter alia provides for referral to a debt counsellor in order that an arrangement could be made to bring payment</w:t>
      </w:r>
      <w:r w:rsidR="000A05BB">
        <w:rPr>
          <w:color w:val="000000" w:themeColor="text1"/>
          <w:sz w:val="28"/>
          <w:szCs w:val="28"/>
        </w:rPr>
        <w:t>s</w:t>
      </w:r>
      <w:r w:rsidR="00C3214D">
        <w:rPr>
          <w:color w:val="000000" w:themeColor="text1"/>
          <w:sz w:val="28"/>
          <w:szCs w:val="28"/>
        </w:rPr>
        <w:t xml:space="preserve"> </w:t>
      </w:r>
      <w:r w:rsidR="00220555">
        <w:rPr>
          <w:color w:val="000000" w:themeColor="text1"/>
          <w:sz w:val="28"/>
          <w:szCs w:val="28"/>
        </w:rPr>
        <w:t>up to date.</w:t>
      </w:r>
      <w:r w:rsidR="00337396">
        <w:rPr>
          <w:color w:val="000000" w:themeColor="text1"/>
          <w:sz w:val="28"/>
          <w:szCs w:val="28"/>
        </w:rPr>
        <w:t xml:space="preserve">  T</w:t>
      </w:r>
      <w:r w:rsidR="00220555">
        <w:rPr>
          <w:color w:val="000000" w:themeColor="text1"/>
          <w:sz w:val="28"/>
          <w:szCs w:val="28"/>
        </w:rPr>
        <w:t xml:space="preserve">he respondent has also not made any proposals regarding the basis upon which his debt should be postponed and how repayments should be </w:t>
      </w:r>
      <w:r w:rsidR="00337396">
        <w:rPr>
          <w:color w:val="000000" w:themeColor="text1"/>
          <w:sz w:val="28"/>
          <w:szCs w:val="28"/>
        </w:rPr>
        <w:t>restructured</w:t>
      </w:r>
      <w:r w:rsidR="00220555">
        <w:rPr>
          <w:color w:val="000000" w:themeColor="text1"/>
          <w:sz w:val="28"/>
          <w:szCs w:val="28"/>
        </w:rPr>
        <w:t>.  He had been reminded in prior correspondence that courts have found that a defaulting debtor, seeking relief</w:t>
      </w:r>
      <w:r w:rsidR="00337396">
        <w:rPr>
          <w:color w:val="000000" w:themeColor="text1"/>
          <w:sz w:val="28"/>
          <w:szCs w:val="28"/>
        </w:rPr>
        <w:t xml:space="preserve"> by way</w:t>
      </w:r>
      <w:r w:rsidR="00220555">
        <w:rPr>
          <w:color w:val="000000" w:themeColor="text1"/>
          <w:sz w:val="28"/>
          <w:szCs w:val="28"/>
        </w:rPr>
        <w:t xml:space="preserve"> of restructuring, should not seek to retain the purchased property while failing to make payment, but should consider </w:t>
      </w:r>
      <w:r w:rsidR="00337396">
        <w:rPr>
          <w:color w:val="000000" w:themeColor="text1"/>
          <w:sz w:val="28"/>
          <w:szCs w:val="28"/>
        </w:rPr>
        <w:t>avenues</w:t>
      </w:r>
      <w:r w:rsidR="00220555">
        <w:rPr>
          <w:color w:val="000000" w:themeColor="text1"/>
          <w:sz w:val="28"/>
          <w:szCs w:val="28"/>
        </w:rPr>
        <w:t xml:space="preserve"> by which their debt could be liquidated.  This would include the sale of the immovable property</w:t>
      </w:r>
      <w:r w:rsidR="00220555">
        <w:rPr>
          <w:rStyle w:val="FootnoteReference"/>
          <w:color w:val="000000" w:themeColor="text1"/>
          <w:sz w:val="28"/>
          <w:szCs w:val="28"/>
        </w:rPr>
        <w:footnoteReference w:id="3"/>
      </w:r>
      <w:r w:rsidR="00220555">
        <w:rPr>
          <w:color w:val="000000" w:themeColor="text1"/>
          <w:sz w:val="28"/>
          <w:szCs w:val="28"/>
        </w:rPr>
        <w:t xml:space="preserve">.  The respondent refused to </w:t>
      </w:r>
      <w:r w:rsidR="00337396">
        <w:rPr>
          <w:color w:val="000000" w:themeColor="text1"/>
          <w:sz w:val="28"/>
          <w:szCs w:val="28"/>
        </w:rPr>
        <w:t xml:space="preserve">even </w:t>
      </w:r>
      <w:r w:rsidR="00220555">
        <w:rPr>
          <w:color w:val="000000" w:themeColor="text1"/>
          <w:sz w:val="28"/>
          <w:szCs w:val="28"/>
        </w:rPr>
        <w:t>con</w:t>
      </w:r>
      <w:r w:rsidR="000A05BB">
        <w:rPr>
          <w:color w:val="000000" w:themeColor="text1"/>
          <w:sz w:val="28"/>
          <w:szCs w:val="28"/>
        </w:rPr>
        <w:t>sider this option</w:t>
      </w:r>
      <w:r w:rsidR="00220555">
        <w:rPr>
          <w:color w:val="000000" w:themeColor="text1"/>
          <w:sz w:val="28"/>
          <w:szCs w:val="28"/>
        </w:rPr>
        <w:t>.</w:t>
      </w:r>
      <w:r w:rsidR="00C3214D">
        <w:rPr>
          <w:color w:val="000000" w:themeColor="text1"/>
          <w:sz w:val="28"/>
          <w:szCs w:val="28"/>
        </w:rPr>
        <w:t xml:space="preserve"> </w:t>
      </w:r>
    </w:p>
    <w:p w14:paraId="2AEC65E4" w14:textId="11735E88" w:rsidR="00220555" w:rsidRDefault="00D078E4" w:rsidP="00D078E4">
      <w:pPr>
        <w:pStyle w:val="MEMONUMBERED"/>
        <w:numPr>
          <w:ilvl w:val="0"/>
          <w:numId w:val="0"/>
        </w:numPr>
        <w:spacing w:after="360" w:line="360" w:lineRule="auto"/>
        <w:rPr>
          <w:color w:val="000000" w:themeColor="text1"/>
          <w:sz w:val="28"/>
          <w:szCs w:val="28"/>
        </w:rPr>
      </w:pPr>
      <w:r>
        <w:rPr>
          <w:color w:val="000000" w:themeColor="text1"/>
          <w:sz w:val="28"/>
          <w:szCs w:val="28"/>
        </w:rPr>
        <w:t>[13]</w:t>
      </w:r>
      <w:r>
        <w:rPr>
          <w:color w:val="000000" w:themeColor="text1"/>
          <w:sz w:val="28"/>
          <w:szCs w:val="28"/>
        </w:rPr>
        <w:tab/>
      </w:r>
      <w:r w:rsidR="00220555">
        <w:rPr>
          <w:color w:val="000000" w:themeColor="text1"/>
          <w:sz w:val="28"/>
          <w:szCs w:val="28"/>
        </w:rPr>
        <w:t xml:space="preserve">The respondent appears to simply throw himself at the mercy of the court, claiming over-indebtedness and a postponement of his liability.  This he does by relying on section 85(b) of the NCA.  This section provides the court with a discretion, </w:t>
      </w:r>
      <w:r w:rsidR="00337396">
        <w:rPr>
          <w:color w:val="000000" w:themeColor="text1"/>
          <w:sz w:val="28"/>
          <w:szCs w:val="28"/>
        </w:rPr>
        <w:t xml:space="preserve">to be </w:t>
      </w:r>
      <w:r w:rsidR="00220555">
        <w:rPr>
          <w:color w:val="000000" w:themeColor="text1"/>
          <w:sz w:val="28"/>
          <w:szCs w:val="28"/>
        </w:rPr>
        <w:t xml:space="preserve">judicially exercised, to declare a consumer over-indebted and to make an order “to relieve the consumer’s over-indebtedness”.  Where the consumer, the respondent in this case, has elected not to avail himself of the </w:t>
      </w:r>
      <w:r w:rsidR="00220555">
        <w:rPr>
          <w:color w:val="000000" w:themeColor="text1"/>
          <w:sz w:val="28"/>
          <w:szCs w:val="28"/>
        </w:rPr>
        <w:lastRenderedPageBreak/>
        <w:t>services of a debt counsel</w:t>
      </w:r>
      <w:r w:rsidR="00274600">
        <w:rPr>
          <w:color w:val="000000" w:themeColor="text1"/>
          <w:sz w:val="28"/>
          <w:szCs w:val="28"/>
        </w:rPr>
        <w:t>l</w:t>
      </w:r>
      <w:r w:rsidR="00220555">
        <w:rPr>
          <w:color w:val="000000" w:themeColor="text1"/>
          <w:sz w:val="28"/>
          <w:szCs w:val="28"/>
        </w:rPr>
        <w:t>or to report to and assist the court, as provided for in section</w:t>
      </w:r>
      <w:r w:rsidR="000A05BB">
        <w:rPr>
          <w:color w:val="000000" w:themeColor="text1"/>
          <w:sz w:val="28"/>
          <w:szCs w:val="28"/>
        </w:rPr>
        <w:t>s</w:t>
      </w:r>
      <w:r w:rsidR="00220555">
        <w:rPr>
          <w:color w:val="000000" w:themeColor="text1"/>
          <w:sz w:val="28"/>
          <w:szCs w:val="28"/>
        </w:rPr>
        <w:t xml:space="preserve"> 85(a) or 86 and has not utilized the procedure provided for in section</w:t>
      </w:r>
      <w:r w:rsidR="00274600">
        <w:rPr>
          <w:color w:val="000000" w:themeColor="text1"/>
          <w:sz w:val="28"/>
          <w:szCs w:val="28"/>
        </w:rPr>
        <w:t xml:space="preserve"> 87, dealing with restructuring of his obligations by a Magistrates Court</w:t>
      </w:r>
      <w:r w:rsidR="000A05BB">
        <w:rPr>
          <w:color w:val="000000" w:themeColor="text1"/>
          <w:sz w:val="28"/>
          <w:szCs w:val="28"/>
        </w:rPr>
        <w:t>,</w:t>
      </w:r>
      <w:r w:rsidR="00D427B6">
        <w:rPr>
          <w:color w:val="000000" w:themeColor="text1"/>
          <w:sz w:val="28"/>
          <w:szCs w:val="28"/>
        </w:rPr>
        <w:t xml:space="preserve"> the exercise of the discretion becomes more strained</w:t>
      </w:r>
      <w:r w:rsidR="00274600">
        <w:rPr>
          <w:rStyle w:val="FootnoteReference"/>
          <w:color w:val="000000" w:themeColor="text1"/>
          <w:sz w:val="28"/>
          <w:szCs w:val="28"/>
        </w:rPr>
        <w:footnoteReference w:id="4"/>
      </w:r>
      <w:r w:rsidR="00274600">
        <w:rPr>
          <w:color w:val="000000" w:themeColor="text1"/>
          <w:sz w:val="28"/>
          <w:szCs w:val="28"/>
        </w:rPr>
        <w:t xml:space="preserve">.  In </w:t>
      </w:r>
      <w:r w:rsidR="00D427B6">
        <w:rPr>
          <w:i/>
          <w:color w:val="000000" w:themeColor="text1"/>
          <w:sz w:val="28"/>
          <w:szCs w:val="28"/>
        </w:rPr>
        <w:t>S</w:t>
      </w:r>
      <w:r w:rsidR="00274600" w:rsidRPr="00D427B6">
        <w:rPr>
          <w:i/>
          <w:color w:val="000000" w:themeColor="text1"/>
          <w:sz w:val="28"/>
          <w:szCs w:val="28"/>
        </w:rPr>
        <w:t>tandard Bank</w:t>
      </w:r>
      <w:r w:rsidR="00274600">
        <w:rPr>
          <w:color w:val="000000" w:themeColor="text1"/>
          <w:sz w:val="28"/>
          <w:szCs w:val="28"/>
        </w:rPr>
        <w:t xml:space="preserve"> (above at footnote 3, at par 81) the following findi</w:t>
      </w:r>
      <w:r w:rsidR="00D427B6">
        <w:rPr>
          <w:color w:val="000000" w:themeColor="text1"/>
          <w:sz w:val="28"/>
          <w:szCs w:val="28"/>
        </w:rPr>
        <w:t>ng has been made which is also apposite to this ca</w:t>
      </w:r>
      <w:r w:rsidR="00274600">
        <w:rPr>
          <w:color w:val="000000" w:themeColor="text1"/>
          <w:sz w:val="28"/>
          <w:szCs w:val="28"/>
        </w:rPr>
        <w:t>se: “</w:t>
      </w:r>
      <w:r w:rsidR="00274600" w:rsidRPr="00E62982">
        <w:rPr>
          <w:i/>
          <w:color w:val="000000" w:themeColor="text1"/>
          <w:sz w:val="28"/>
          <w:szCs w:val="28"/>
        </w:rPr>
        <w:t>The Purpose of the NCA is, inter alia, to</w:t>
      </w:r>
      <w:r w:rsidR="00D427B6">
        <w:rPr>
          <w:i/>
          <w:color w:val="000000" w:themeColor="text1"/>
          <w:sz w:val="28"/>
          <w:szCs w:val="28"/>
        </w:rPr>
        <w:t xml:space="preserve"> provide for the debt re-organisation of a</w:t>
      </w:r>
      <w:r w:rsidR="00274600" w:rsidRPr="00E62982">
        <w:rPr>
          <w:i/>
          <w:color w:val="000000" w:themeColor="text1"/>
          <w:sz w:val="28"/>
          <w:szCs w:val="28"/>
        </w:rPr>
        <w:t xml:space="preserve"> consumer who is over-indebted, thereby affording such consumer the opportunity to survive the immediate consequences of his fi</w:t>
      </w:r>
      <w:r w:rsidR="00E62982" w:rsidRPr="00E62982">
        <w:rPr>
          <w:i/>
          <w:color w:val="000000" w:themeColor="text1"/>
          <w:sz w:val="28"/>
          <w:szCs w:val="28"/>
        </w:rPr>
        <w:t>nancial distress and to achieve a manageable financial position</w:t>
      </w:r>
      <w:r w:rsidR="00E62982">
        <w:rPr>
          <w:color w:val="000000" w:themeColor="text1"/>
          <w:sz w:val="28"/>
          <w:szCs w:val="28"/>
        </w:rPr>
        <w:t>”.  No evidence has been placed before the court indicating that the</w:t>
      </w:r>
      <w:r w:rsidR="00D427B6">
        <w:rPr>
          <w:color w:val="000000" w:themeColor="text1"/>
          <w:sz w:val="28"/>
          <w:szCs w:val="28"/>
        </w:rPr>
        <w:t xml:space="preserve"> respondent’s</w:t>
      </w:r>
      <w:r w:rsidR="00E62982">
        <w:rPr>
          <w:color w:val="000000" w:themeColor="text1"/>
          <w:sz w:val="28"/>
          <w:szCs w:val="28"/>
        </w:rPr>
        <w:t xml:space="preserve"> “financial position” would be </w:t>
      </w:r>
      <w:r w:rsidR="00D427B6">
        <w:rPr>
          <w:color w:val="000000" w:themeColor="text1"/>
          <w:sz w:val="28"/>
          <w:szCs w:val="28"/>
        </w:rPr>
        <w:t>“</w:t>
      </w:r>
      <w:r w:rsidR="00E62982">
        <w:rPr>
          <w:color w:val="000000" w:themeColor="text1"/>
          <w:sz w:val="28"/>
          <w:szCs w:val="28"/>
        </w:rPr>
        <w:t>manageable</w:t>
      </w:r>
      <w:r w:rsidR="00D427B6">
        <w:rPr>
          <w:color w:val="000000" w:themeColor="text1"/>
          <w:sz w:val="28"/>
          <w:szCs w:val="28"/>
        </w:rPr>
        <w:t>”</w:t>
      </w:r>
      <w:r w:rsidR="00E62982">
        <w:rPr>
          <w:color w:val="000000" w:themeColor="text1"/>
          <w:sz w:val="28"/>
          <w:szCs w:val="28"/>
        </w:rPr>
        <w:t xml:space="preserve"> at any time in the future</w:t>
      </w:r>
      <w:r w:rsidR="00E62982">
        <w:rPr>
          <w:rStyle w:val="FootnoteReference"/>
          <w:color w:val="000000" w:themeColor="text1"/>
          <w:sz w:val="28"/>
          <w:szCs w:val="28"/>
        </w:rPr>
        <w:footnoteReference w:id="5"/>
      </w:r>
      <w:r w:rsidR="00E62982">
        <w:rPr>
          <w:color w:val="000000" w:themeColor="text1"/>
          <w:sz w:val="28"/>
          <w:szCs w:val="28"/>
        </w:rPr>
        <w:t>.  The respondent vaguely claims that this court should assist him by “</w:t>
      </w:r>
      <w:r w:rsidR="00E62982" w:rsidRPr="00E62982">
        <w:rPr>
          <w:i/>
          <w:color w:val="000000" w:themeColor="text1"/>
          <w:sz w:val="28"/>
          <w:szCs w:val="28"/>
        </w:rPr>
        <w:t>… reducing the amounts payable under the agreement payable after three (3) years from the date of the Court’s order</w:t>
      </w:r>
      <w:r w:rsidR="00E62982">
        <w:rPr>
          <w:color w:val="000000" w:themeColor="text1"/>
          <w:sz w:val="28"/>
          <w:szCs w:val="28"/>
        </w:rPr>
        <w:t>”</w:t>
      </w:r>
      <w:r w:rsidR="00E62982">
        <w:rPr>
          <w:rStyle w:val="FootnoteReference"/>
          <w:color w:val="000000" w:themeColor="text1"/>
          <w:sz w:val="28"/>
          <w:szCs w:val="28"/>
        </w:rPr>
        <w:footnoteReference w:id="6"/>
      </w:r>
      <w:r w:rsidR="00E62982">
        <w:rPr>
          <w:color w:val="000000" w:themeColor="text1"/>
          <w:sz w:val="28"/>
          <w:szCs w:val="28"/>
        </w:rPr>
        <w:t>.  This</w:t>
      </w:r>
      <w:r w:rsidR="00D427B6">
        <w:rPr>
          <w:color w:val="000000" w:themeColor="text1"/>
          <w:sz w:val="28"/>
          <w:szCs w:val="28"/>
        </w:rPr>
        <w:t xml:space="preserve"> generalized approach</w:t>
      </w:r>
      <w:r w:rsidR="00E62982">
        <w:rPr>
          <w:color w:val="000000" w:themeColor="text1"/>
          <w:sz w:val="28"/>
          <w:szCs w:val="28"/>
        </w:rPr>
        <w:t xml:space="preserve"> is simply not good enough and understandably this part of the counter-application was not pursued with much vigour during argument. The</w:t>
      </w:r>
      <w:r w:rsidR="00D427B6">
        <w:rPr>
          <w:color w:val="000000" w:themeColor="text1"/>
          <w:sz w:val="28"/>
          <w:szCs w:val="28"/>
        </w:rPr>
        <w:t xml:space="preserve"> conclusion is that</w:t>
      </w:r>
      <w:r w:rsidR="00E62982">
        <w:rPr>
          <w:color w:val="000000" w:themeColor="text1"/>
          <w:sz w:val="28"/>
          <w:szCs w:val="28"/>
        </w:rPr>
        <w:t xml:space="preserve"> respondent has failed to provide sufficient detail and particularity to enable this court to exercise its discretion to come to his assistance.</w:t>
      </w:r>
    </w:p>
    <w:p w14:paraId="10C1D481" w14:textId="4FA70B21" w:rsidR="00D427B6" w:rsidRPr="00D427B6" w:rsidRDefault="00D427B6" w:rsidP="00D427B6">
      <w:pPr>
        <w:pStyle w:val="MEMONUMBERED"/>
        <w:numPr>
          <w:ilvl w:val="0"/>
          <w:numId w:val="0"/>
        </w:numPr>
        <w:spacing w:after="120" w:line="360" w:lineRule="auto"/>
        <w:rPr>
          <w:b/>
          <w:color w:val="000000" w:themeColor="text1"/>
          <w:sz w:val="28"/>
          <w:szCs w:val="28"/>
        </w:rPr>
      </w:pPr>
      <w:r w:rsidRPr="00D427B6">
        <w:rPr>
          <w:b/>
          <w:color w:val="000000" w:themeColor="text1"/>
          <w:sz w:val="28"/>
          <w:szCs w:val="28"/>
        </w:rPr>
        <w:t>The MPA defence</w:t>
      </w:r>
    </w:p>
    <w:p w14:paraId="196CD7A5" w14:textId="3608FA34" w:rsidR="00E62982" w:rsidRDefault="00D078E4" w:rsidP="00D078E4">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[14]</w:t>
      </w:r>
      <w:r>
        <w:rPr>
          <w:color w:val="000000" w:themeColor="text1"/>
          <w:sz w:val="28"/>
          <w:szCs w:val="28"/>
        </w:rPr>
        <w:tab/>
      </w:r>
      <w:r w:rsidR="00D427B6">
        <w:rPr>
          <w:color w:val="000000" w:themeColor="text1"/>
          <w:sz w:val="28"/>
          <w:szCs w:val="28"/>
        </w:rPr>
        <w:t>By fa</w:t>
      </w:r>
      <w:r w:rsidR="00E62982">
        <w:rPr>
          <w:color w:val="000000" w:themeColor="text1"/>
          <w:sz w:val="28"/>
          <w:szCs w:val="28"/>
        </w:rPr>
        <w:t xml:space="preserve">r the strongest point advanced on behalf of the respondent, was the issue of contravention of Section 15(2)(f) of the MPA.  This section provides that a spouse </w:t>
      </w:r>
      <w:r w:rsidR="00E62982" w:rsidRPr="0049785C">
        <w:rPr>
          <w:i/>
          <w:color w:val="000000" w:themeColor="text1"/>
          <w:sz w:val="28"/>
          <w:szCs w:val="28"/>
        </w:rPr>
        <w:t>“… shall not, without the written consent of the other spouse, … enter, as a consumer, into a credit agreement …</w:t>
      </w:r>
      <w:r w:rsidR="00E62982">
        <w:rPr>
          <w:color w:val="000000" w:themeColor="text1"/>
          <w:sz w:val="28"/>
          <w:szCs w:val="28"/>
        </w:rPr>
        <w:t>” to which the NCA applies.  An agreement en</w:t>
      </w:r>
      <w:r w:rsidR="0049785C">
        <w:rPr>
          <w:color w:val="000000" w:themeColor="text1"/>
          <w:sz w:val="28"/>
          <w:szCs w:val="28"/>
        </w:rPr>
        <w:t>ter</w:t>
      </w:r>
      <w:r w:rsidR="00E62982">
        <w:rPr>
          <w:color w:val="000000" w:themeColor="text1"/>
          <w:sz w:val="28"/>
          <w:szCs w:val="28"/>
        </w:rPr>
        <w:t>ed into in contravention of this statutory prohibition is unlawful, void and unenforceable</w:t>
      </w:r>
      <w:r w:rsidR="0049785C">
        <w:rPr>
          <w:rStyle w:val="FootnoteReference"/>
          <w:color w:val="000000" w:themeColor="text1"/>
          <w:sz w:val="28"/>
          <w:szCs w:val="28"/>
        </w:rPr>
        <w:footnoteReference w:id="7"/>
      </w:r>
      <w:r w:rsidR="00E62982">
        <w:rPr>
          <w:color w:val="000000" w:themeColor="text1"/>
          <w:sz w:val="28"/>
          <w:szCs w:val="28"/>
        </w:rPr>
        <w:t>.</w:t>
      </w:r>
    </w:p>
    <w:p w14:paraId="017B7FF2" w14:textId="2EE8DA3C" w:rsidR="006B1ED4" w:rsidRDefault="00D078E4" w:rsidP="00D078E4">
      <w:pPr>
        <w:pStyle w:val="MEMONUMBERED"/>
        <w:numPr>
          <w:ilvl w:val="0"/>
          <w:numId w:val="0"/>
        </w:numPr>
        <w:spacing w:after="360" w:line="360" w:lineRule="auto"/>
        <w:rPr>
          <w:color w:val="000000" w:themeColor="text1"/>
          <w:sz w:val="28"/>
          <w:szCs w:val="28"/>
        </w:rPr>
      </w:pPr>
      <w:r>
        <w:rPr>
          <w:color w:val="000000" w:themeColor="text1"/>
          <w:sz w:val="28"/>
          <w:szCs w:val="28"/>
        </w:rPr>
        <w:t>[15]</w:t>
      </w:r>
      <w:r>
        <w:rPr>
          <w:color w:val="000000" w:themeColor="text1"/>
          <w:sz w:val="28"/>
          <w:szCs w:val="28"/>
        </w:rPr>
        <w:tab/>
      </w:r>
      <w:r w:rsidR="00D4353C">
        <w:rPr>
          <w:color w:val="000000" w:themeColor="text1"/>
          <w:sz w:val="28"/>
          <w:szCs w:val="28"/>
        </w:rPr>
        <w:t xml:space="preserve">The </w:t>
      </w:r>
      <w:r w:rsidR="006B1ED4">
        <w:rPr>
          <w:color w:val="000000" w:themeColor="text1"/>
          <w:sz w:val="28"/>
          <w:szCs w:val="28"/>
        </w:rPr>
        <w:t xml:space="preserve">required consent by the non-contracting spouse is deemed to have taken place when the other contracting party </w:t>
      </w:r>
      <w:r w:rsidR="006B1ED4" w:rsidRPr="006B1ED4">
        <w:rPr>
          <w:color w:val="000000" w:themeColor="text1"/>
          <w:sz w:val="28"/>
          <w:szCs w:val="28"/>
        </w:rPr>
        <w:t>“</w:t>
      </w:r>
      <w:r w:rsidR="000A05BB">
        <w:rPr>
          <w:i/>
          <w:color w:val="000000" w:themeColor="text1"/>
          <w:sz w:val="28"/>
          <w:szCs w:val="28"/>
        </w:rPr>
        <w:t>… does not know</w:t>
      </w:r>
      <w:r w:rsidR="006B1ED4" w:rsidRPr="006B1ED4">
        <w:rPr>
          <w:i/>
          <w:color w:val="000000" w:themeColor="text1"/>
          <w:sz w:val="28"/>
          <w:szCs w:val="28"/>
        </w:rPr>
        <w:t xml:space="preserve"> and cannot reasonably know that the contract is being entered into contrary to these provisions …</w:t>
      </w:r>
      <w:r w:rsidR="006B1ED4">
        <w:rPr>
          <w:color w:val="000000" w:themeColor="text1"/>
          <w:sz w:val="28"/>
          <w:szCs w:val="28"/>
        </w:rPr>
        <w:t xml:space="preserve">” </w:t>
      </w:r>
      <w:r w:rsidR="006B1ED4">
        <w:rPr>
          <w:rStyle w:val="FootnoteReference"/>
          <w:color w:val="000000" w:themeColor="text1"/>
          <w:sz w:val="28"/>
          <w:szCs w:val="28"/>
        </w:rPr>
        <w:footnoteReference w:id="8"/>
      </w:r>
      <w:r w:rsidR="006B1ED4">
        <w:rPr>
          <w:color w:val="000000" w:themeColor="text1"/>
          <w:sz w:val="28"/>
          <w:szCs w:val="28"/>
        </w:rPr>
        <w:t xml:space="preserve">.  In such an event, the contract would be valid and enforceable.  The onus is on such other contracting party to show that it has satisfied the duty placed on it by the MPA </w:t>
      </w:r>
      <w:r w:rsidR="006B1ED4" w:rsidRPr="006B1ED4">
        <w:rPr>
          <w:i/>
          <w:color w:val="000000" w:themeColor="text1"/>
          <w:sz w:val="28"/>
          <w:szCs w:val="28"/>
        </w:rPr>
        <w:t>“… to make the enquiries that a reasonable person would make in the circumstances as to whether the other contracting party is married and, if so, in terms of which marriage regime</w:t>
      </w:r>
      <w:r w:rsidR="006B1ED4">
        <w:rPr>
          <w:color w:val="000000" w:themeColor="text1"/>
          <w:sz w:val="28"/>
          <w:szCs w:val="28"/>
        </w:rPr>
        <w:t>”</w:t>
      </w:r>
      <w:r w:rsidR="006B1ED4">
        <w:rPr>
          <w:rStyle w:val="FootnoteReference"/>
          <w:color w:val="000000" w:themeColor="text1"/>
          <w:sz w:val="28"/>
          <w:szCs w:val="28"/>
        </w:rPr>
        <w:footnoteReference w:id="9"/>
      </w:r>
      <w:r w:rsidR="006B1ED4">
        <w:rPr>
          <w:color w:val="000000" w:themeColor="text1"/>
          <w:sz w:val="28"/>
          <w:szCs w:val="28"/>
        </w:rPr>
        <w:t xml:space="preserve">. </w:t>
      </w:r>
    </w:p>
    <w:p w14:paraId="2EC61CF8" w14:textId="32C4471C" w:rsidR="0011779C" w:rsidRDefault="00D078E4" w:rsidP="00D078E4">
      <w:pPr>
        <w:pStyle w:val="MEMONUMBERED"/>
        <w:numPr>
          <w:ilvl w:val="0"/>
          <w:numId w:val="0"/>
        </w:numPr>
        <w:spacing w:after="360" w:line="360" w:lineRule="auto"/>
        <w:rPr>
          <w:color w:val="000000" w:themeColor="text1"/>
          <w:sz w:val="28"/>
          <w:szCs w:val="28"/>
        </w:rPr>
      </w:pPr>
      <w:r>
        <w:rPr>
          <w:color w:val="000000" w:themeColor="text1"/>
          <w:sz w:val="28"/>
          <w:szCs w:val="28"/>
        </w:rPr>
        <w:t>[16]</w:t>
      </w:r>
      <w:r>
        <w:rPr>
          <w:color w:val="000000" w:themeColor="text1"/>
          <w:sz w:val="28"/>
          <w:szCs w:val="28"/>
        </w:rPr>
        <w:tab/>
      </w:r>
      <w:r w:rsidR="006B1ED4">
        <w:rPr>
          <w:color w:val="000000" w:themeColor="text1"/>
          <w:sz w:val="28"/>
          <w:szCs w:val="28"/>
        </w:rPr>
        <w:t>In his applications for credit, the respondent ticked the boxes “single” in respect of his marital status.  Apart from the respondent’</w:t>
      </w:r>
      <w:r w:rsidR="00EF76D9">
        <w:rPr>
          <w:color w:val="000000" w:themeColor="text1"/>
          <w:sz w:val="28"/>
          <w:szCs w:val="28"/>
        </w:rPr>
        <w:t xml:space="preserve">s say-so, VBS bank </w:t>
      </w:r>
      <w:r w:rsidR="00D427B6">
        <w:rPr>
          <w:color w:val="000000" w:themeColor="text1"/>
          <w:sz w:val="28"/>
          <w:szCs w:val="28"/>
        </w:rPr>
        <w:t>relied on a “Personal Affidavit</w:t>
      </w:r>
      <w:r w:rsidR="00EF76D9">
        <w:rPr>
          <w:color w:val="000000" w:themeColor="text1"/>
          <w:sz w:val="28"/>
          <w:szCs w:val="28"/>
        </w:rPr>
        <w:t>” by the respondent wherein he confirmed, on oath, a number of facts.  These related to his full names and identity number, that he was in possession of an identity document contemplated in Regulation 18(1) o</w:t>
      </w:r>
      <w:r w:rsidR="00D427B6">
        <w:rPr>
          <w:color w:val="000000" w:themeColor="text1"/>
          <w:sz w:val="28"/>
          <w:szCs w:val="28"/>
        </w:rPr>
        <w:t>f the Deeds Registries Act 47 o</w:t>
      </w:r>
      <w:r w:rsidR="00EF76D9">
        <w:rPr>
          <w:color w:val="000000" w:themeColor="text1"/>
          <w:sz w:val="28"/>
          <w:szCs w:val="28"/>
        </w:rPr>
        <w:t xml:space="preserve">f 1937, that he is not insolvent and that his estate has never been sequestrated and that </w:t>
      </w:r>
      <w:r w:rsidR="00D427B6">
        <w:rPr>
          <w:color w:val="000000" w:themeColor="text1"/>
          <w:sz w:val="28"/>
          <w:szCs w:val="28"/>
        </w:rPr>
        <w:t>his marital status is unmarried.  T</w:t>
      </w:r>
      <w:r w:rsidR="00EF76D9">
        <w:rPr>
          <w:color w:val="000000" w:themeColor="text1"/>
          <w:sz w:val="28"/>
          <w:szCs w:val="28"/>
        </w:rPr>
        <w:t xml:space="preserve">he extensive credit check done by VBS indicated some risk due to previous judgments or unpaid accounts (which had been old and which risk had been assessed and resolved) but did not indicate any “joint loan participants” in respect of any of the </w:t>
      </w:r>
      <w:r w:rsidR="00EF76D9">
        <w:rPr>
          <w:color w:val="000000" w:themeColor="text1"/>
          <w:sz w:val="28"/>
          <w:szCs w:val="28"/>
        </w:rPr>
        <w:lastRenderedPageBreak/>
        <w:t>accounts or loans, including a previous vehicle finance agreement.  The offer to purchase the immovable property in question, made to Buildesigns (Pty) Ltd (referred to in paragraph 4 above</w:t>
      </w:r>
      <w:r w:rsidR="00D427B6">
        <w:rPr>
          <w:color w:val="000000" w:themeColor="text1"/>
          <w:sz w:val="28"/>
          <w:szCs w:val="28"/>
        </w:rPr>
        <w:t>)</w:t>
      </w:r>
      <w:r w:rsidR="00EF76D9">
        <w:rPr>
          <w:color w:val="000000" w:themeColor="text1"/>
          <w:sz w:val="28"/>
          <w:szCs w:val="28"/>
        </w:rPr>
        <w:t xml:space="preserve">, was also only made by the respondent, again indicating himself to be single.  The only indication of a marriage, is the handwritten certificate produced by the respondent in his answering affidavit, issued by </w:t>
      </w:r>
      <w:r w:rsidR="00D427B6">
        <w:rPr>
          <w:color w:val="000000" w:themeColor="text1"/>
          <w:sz w:val="28"/>
          <w:szCs w:val="28"/>
        </w:rPr>
        <w:t>a</w:t>
      </w:r>
      <w:r w:rsidR="00EF76D9">
        <w:rPr>
          <w:color w:val="000000" w:themeColor="text1"/>
          <w:sz w:val="28"/>
          <w:szCs w:val="28"/>
        </w:rPr>
        <w:t xml:space="preserve"> </w:t>
      </w:r>
      <w:r w:rsidR="0011779C">
        <w:rPr>
          <w:color w:val="000000" w:themeColor="text1"/>
          <w:sz w:val="28"/>
          <w:szCs w:val="28"/>
        </w:rPr>
        <w:t>marriage</w:t>
      </w:r>
      <w:r w:rsidR="00EF76D9">
        <w:rPr>
          <w:color w:val="000000" w:themeColor="text1"/>
          <w:sz w:val="28"/>
          <w:szCs w:val="28"/>
        </w:rPr>
        <w:t xml:space="preserve"> officer, indicating </w:t>
      </w:r>
      <w:r w:rsidR="0011779C">
        <w:rPr>
          <w:color w:val="000000" w:themeColor="text1"/>
          <w:sz w:val="28"/>
          <w:szCs w:val="28"/>
        </w:rPr>
        <w:t>a fairly recent marriage on 30 January 2017 (Some 10 days before the offer to purchase and some</w:t>
      </w:r>
      <w:r w:rsidR="00D427B6">
        <w:rPr>
          <w:color w:val="000000" w:themeColor="text1"/>
          <w:sz w:val="28"/>
          <w:szCs w:val="28"/>
        </w:rPr>
        <w:t xml:space="preserve"> three months</w:t>
      </w:r>
      <w:r w:rsidR="0011779C">
        <w:rPr>
          <w:color w:val="000000" w:themeColor="text1"/>
          <w:sz w:val="28"/>
          <w:szCs w:val="28"/>
        </w:rPr>
        <w:t xml:space="preserve"> prior to the agreement</w:t>
      </w:r>
      <w:r w:rsidR="00D427B6">
        <w:rPr>
          <w:color w:val="000000" w:themeColor="text1"/>
          <w:sz w:val="28"/>
          <w:szCs w:val="28"/>
        </w:rPr>
        <w:t>s</w:t>
      </w:r>
      <w:r w:rsidR="0011779C">
        <w:rPr>
          <w:color w:val="000000" w:themeColor="text1"/>
          <w:sz w:val="28"/>
          <w:szCs w:val="28"/>
        </w:rPr>
        <w:t>).  No indication is given in the certificate as to the marital property regime applicable.  The extracts from the marriage register</w:t>
      </w:r>
      <w:r w:rsidR="00D427B6">
        <w:rPr>
          <w:color w:val="000000" w:themeColor="text1"/>
          <w:sz w:val="28"/>
          <w:szCs w:val="28"/>
        </w:rPr>
        <w:t xml:space="preserve"> produced by the respondent</w:t>
      </w:r>
      <w:r w:rsidR="0011779C">
        <w:rPr>
          <w:color w:val="000000" w:themeColor="text1"/>
          <w:sz w:val="28"/>
          <w:szCs w:val="28"/>
        </w:rPr>
        <w:t xml:space="preserve"> are also incomplete, both in this regard and in regard to supporting documents.  No indication has been given whether this marriage has been registered at the Department of H</w:t>
      </w:r>
      <w:r w:rsidR="00D427B6">
        <w:rPr>
          <w:color w:val="000000" w:themeColor="text1"/>
          <w:sz w:val="28"/>
          <w:szCs w:val="28"/>
        </w:rPr>
        <w:t>ome A</w:t>
      </w:r>
      <w:r w:rsidR="0011779C">
        <w:rPr>
          <w:color w:val="000000" w:themeColor="text1"/>
          <w:sz w:val="28"/>
          <w:szCs w:val="28"/>
        </w:rPr>
        <w:t>ffairs at the time of the agreements</w:t>
      </w:r>
      <w:r w:rsidR="00D427B6">
        <w:rPr>
          <w:color w:val="000000" w:themeColor="text1"/>
          <w:sz w:val="28"/>
          <w:szCs w:val="28"/>
        </w:rPr>
        <w:t xml:space="preserve"> (or at all)</w:t>
      </w:r>
      <w:r w:rsidR="0011779C">
        <w:rPr>
          <w:color w:val="000000" w:themeColor="text1"/>
          <w:sz w:val="28"/>
          <w:szCs w:val="28"/>
        </w:rPr>
        <w:t>.</w:t>
      </w:r>
    </w:p>
    <w:p w14:paraId="3751935D" w14:textId="556C31ED" w:rsidR="0049785C" w:rsidRDefault="00D078E4" w:rsidP="00D078E4">
      <w:pPr>
        <w:pStyle w:val="MEMONUMBERED"/>
        <w:numPr>
          <w:ilvl w:val="0"/>
          <w:numId w:val="0"/>
        </w:numPr>
        <w:spacing w:after="360" w:line="360" w:lineRule="auto"/>
        <w:rPr>
          <w:color w:val="000000" w:themeColor="text1"/>
          <w:sz w:val="28"/>
          <w:szCs w:val="28"/>
        </w:rPr>
      </w:pPr>
      <w:r>
        <w:rPr>
          <w:color w:val="000000" w:themeColor="text1"/>
          <w:sz w:val="28"/>
          <w:szCs w:val="28"/>
        </w:rPr>
        <w:t>[17]</w:t>
      </w:r>
      <w:r>
        <w:rPr>
          <w:color w:val="000000" w:themeColor="text1"/>
          <w:sz w:val="28"/>
          <w:szCs w:val="28"/>
        </w:rPr>
        <w:tab/>
      </w:r>
      <w:r w:rsidR="0011779C">
        <w:rPr>
          <w:color w:val="000000" w:themeColor="text1"/>
          <w:sz w:val="28"/>
          <w:szCs w:val="28"/>
        </w:rPr>
        <w:t>Accepting that a credit provider is “put on enquiry” by section 15(9)(a) and cannot rely on the “bold assurance” of a consumer</w:t>
      </w:r>
      <w:r w:rsidR="0011779C">
        <w:rPr>
          <w:rStyle w:val="FootnoteReference"/>
          <w:color w:val="000000" w:themeColor="text1"/>
          <w:sz w:val="28"/>
          <w:szCs w:val="28"/>
        </w:rPr>
        <w:footnoteReference w:id="10"/>
      </w:r>
      <w:r w:rsidR="0011779C">
        <w:rPr>
          <w:color w:val="000000" w:themeColor="text1"/>
          <w:sz w:val="28"/>
          <w:szCs w:val="28"/>
        </w:rPr>
        <w:t>,</w:t>
      </w:r>
      <w:r w:rsidR="006B1ED4">
        <w:rPr>
          <w:color w:val="000000" w:themeColor="text1"/>
          <w:sz w:val="28"/>
          <w:szCs w:val="28"/>
        </w:rPr>
        <w:t xml:space="preserve"> </w:t>
      </w:r>
      <w:r w:rsidR="002D159C">
        <w:rPr>
          <w:color w:val="000000" w:themeColor="text1"/>
          <w:sz w:val="28"/>
          <w:szCs w:val="28"/>
        </w:rPr>
        <w:t>no allegation has been made as to what exactly VBS should have done</w:t>
      </w:r>
      <w:r w:rsidR="00D427B6">
        <w:rPr>
          <w:color w:val="000000" w:themeColor="text1"/>
          <w:sz w:val="28"/>
          <w:szCs w:val="28"/>
        </w:rPr>
        <w:t xml:space="preserve"> in this particular case</w:t>
      </w:r>
      <w:r w:rsidR="002D159C">
        <w:rPr>
          <w:color w:val="000000" w:themeColor="text1"/>
          <w:sz w:val="28"/>
          <w:szCs w:val="28"/>
        </w:rPr>
        <w:t>.  Apart from general submissions, no particularity has been furnished.  To all intents and purposes all that has happened</w:t>
      </w:r>
      <w:r w:rsidR="00D427B6">
        <w:rPr>
          <w:color w:val="000000" w:themeColor="text1"/>
          <w:sz w:val="28"/>
          <w:szCs w:val="28"/>
        </w:rPr>
        <w:t xml:space="preserve"> in this case</w:t>
      </w:r>
      <w:r w:rsidR="000A05BB">
        <w:rPr>
          <w:color w:val="000000" w:themeColor="text1"/>
          <w:sz w:val="28"/>
          <w:szCs w:val="28"/>
        </w:rPr>
        <w:t>, was that the respondent  and his wife</w:t>
      </w:r>
      <w:r w:rsidR="00D427B6">
        <w:rPr>
          <w:color w:val="000000" w:themeColor="text1"/>
          <w:sz w:val="28"/>
          <w:szCs w:val="28"/>
        </w:rPr>
        <w:t xml:space="preserve"> had gone and</w:t>
      </w:r>
      <w:r w:rsidR="002D159C">
        <w:rPr>
          <w:color w:val="000000" w:themeColor="text1"/>
          <w:sz w:val="28"/>
          <w:szCs w:val="28"/>
        </w:rPr>
        <w:t xml:space="preserve"> married at the offices of the Department of Home Affairs and only </w:t>
      </w:r>
      <w:r w:rsidR="00D427B6">
        <w:rPr>
          <w:color w:val="000000" w:themeColor="text1"/>
          <w:sz w:val="28"/>
          <w:szCs w:val="28"/>
        </w:rPr>
        <w:t>the respondent</w:t>
      </w:r>
      <w:r w:rsidR="002D159C">
        <w:rPr>
          <w:color w:val="000000" w:themeColor="text1"/>
          <w:sz w:val="28"/>
          <w:szCs w:val="28"/>
        </w:rPr>
        <w:t>, his wife, the marriage officer and the two unidentified witnesses knew about this.  It is difficult to fathom what enquiries made by VBS would have unearthed this fact in view of all the other</w:t>
      </w:r>
      <w:r w:rsidR="00D427B6">
        <w:rPr>
          <w:color w:val="000000" w:themeColor="text1"/>
          <w:sz w:val="28"/>
          <w:szCs w:val="28"/>
        </w:rPr>
        <w:t xml:space="preserve"> contrary</w:t>
      </w:r>
      <w:r w:rsidR="002D159C">
        <w:rPr>
          <w:color w:val="000000" w:themeColor="text1"/>
          <w:sz w:val="28"/>
          <w:szCs w:val="28"/>
        </w:rPr>
        <w:t xml:space="preserve"> indicia available, listed in paragraph 16 above.</w:t>
      </w:r>
    </w:p>
    <w:p w14:paraId="59EC2DA3" w14:textId="437B0656" w:rsidR="002D159C" w:rsidRDefault="00D078E4" w:rsidP="00D078E4">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[18]</w:t>
      </w:r>
      <w:r>
        <w:rPr>
          <w:color w:val="000000" w:themeColor="text1"/>
          <w:sz w:val="28"/>
          <w:szCs w:val="28"/>
        </w:rPr>
        <w:tab/>
      </w:r>
      <w:r w:rsidR="002D159C">
        <w:rPr>
          <w:color w:val="000000" w:themeColor="text1"/>
          <w:sz w:val="28"/>
          <w:szCs w:val="28"/>
        </w:rPr>
        <w:t>In these premises, I find that VBS could not reasonable have known about the respondent’s marriage and that it should be deemed that the agreements had been entered into with consent as contemplated in section 15(9)(a)</w:t>
      </w:r>
      <w:r w:rsidR="00830274">
        <w:rPr>
          <w:color w:val="000000" w:themeColor="text1"/>
          <w:sz w:val="28"/>
          <w:szCs w:val="28"/>
        </w:rPr>
        <w:t xml:space="preserve"> </w:t>
      </w:r>
      <w:r w:rsidR="002D159C">
        <w:rPr>
          <w:color w:val="000000" w:themeColor="text1"/>
          <w:sz w:val="28"/>
          <w:szCs w:val="28"/>
        </w:rPr>
        <w:t>of the MPA.</w:t>
      </w:r>
    </w:p>
    <w:p w14:paraId="7F5AAB68" w14:textId="478E91C5" w:rsidR="002D159C" w:rsidRDefault="00D078E4" w:rsidP="00D078E4">
      <w:pPr>
        <w:pStyle w:val="MEMONUMBERED"/>
        <w:numPr>
          <w:ilvl w:val="0"/>
          <w:numId w:val="0"/>
        </w:numPr>
        <w:spacing w:after="360" w:line="360" w:lineRule="auto"/>
        <w:rPr>
          <w:color w:val="000000" w:themeColor="text1"/>
          <w:sz w:val="28"/>
          <w:szCs w:val="28"/>
        </w:rPr>
      </w:pPr>
      <w:r>
        <w:rPr>
          <w:color w:val="000000" w:themeColor="text1"/>
          <w:sz w:val="28"/>
          <w:szCs w:val="28"/>
        </w:rPr>
        <w:t>[19]</w:t>
      </w:r>
      <w:r>
        <w:rPr>
          <w:color w:val="000000" w:themeColor="text1"/>
          <w:sz w:val="28"/>
          <w:szCs w:val="28"/>
        </w:rPr>
        <w:tab/>
      </w:r>
      <w:r w:rsidR="002D159C">
        <w:rPr>
          <w:color w:val="000000" w:themeColor="text1"/>
          <w:sz w:val="28"/>
          <w:szCs w:val="28"/>
        </w:rPr>
        <w:t>It follows further that the contention that the liquidator had not made out a case, should fail</w:t>
      </w:r>
      <w:r w:rsidR="00830274">
        <w:rPr>
          <w:color w:val="000000" w:themeColor="text1"/>
          <w:sz w:val="28"/>
          <w:szCs w:val="28"/>
        </w:rPr>
        <w:t>.</w:t>
      </w:r>
    </w:p>
    <w:p w14:paraId="715BB19C" w14:textId="385A343A" w:rsidR="00830274" w:rsidRPr="00830274" w:rsidRDefault="00830274" w:rsidP="00830274">
      <w:pPr>
        <w:pStyle w:val="MEMONUMBERED"/>
        <w:numPr>
          <w:ilvl w:val="0"/>
          <w:numId w:val="0"/>
        </w:numPr>
        <w:spacing w:after="120" w:line="360" w:lineRule="auto"/>
        <w:rPr>
          <w:b/>
          <w:color w:val="000000" w:themeColor="text1"/>
          <w:sz w:val="28"/>
          <w:szCs w:val="28"/>
        </w:rPr>
      </w:pPr>
      <w:r w:rsidRPr="00830274">
        <w:rPr>
          <w:b/>
          <w:color w:val="000000" w:themeColor="text1"/>
          <w:sz w:val="28"/>
          <w:szCs w:val="28"/>
        </w:rPr>
        <w:t xml:space="preserve">Costs </w:t>
      </w:r>
    </w:p>
    <w:p w14:paraId="7EC86565" w14:textId="3EB1D6EA" w:rsidR="00447E39" w:rsidRDefault="00D078E4" w:rsidP="00D078E4">
      <w:pPr>
        <w:pStyle w:val="MEMONUMBERED"/>
        <w:numPr>
          <w:ilvl w:val="0"/>
          <w:numId w:val="0"/>
        </w:numPr>
        <w:spacing w:after="360" w:line="360" w:lineRule="auto"/>
        <w:rPr>
          <w:color w:val="000000" w:themeColor="text1"/>
          <w:sz w:val="28"/>
          <w:szCs w:val="28"/>
        </w:rPr>
      </w:pPr>
      <w:r>
        <w:rPr>
          <w:color w:val="000000" w:themeColor="text1"/>
          <w:sz w:val="28"/>
          <w:szCs w:val="28"/>
        </w:rPr>
        <w:t>[20]</w:t>
      </w:r>
      <w:r>
        <w:rPr>
          <w:color w:val="000000" w:themeColor="text1"/>
          <w:sz w:val="28"/>
          <w:szCs w:val="28"/>
        </w:rPr>
        <w:tab/>
      </w:r>
      <w:r w:rsidR="00830274">
        <w:rPr>
          <w:color w:val="000000" w:themeColor="text1"/>
          <w:sz w:val="28"/>
          <w:szCs w:val="28"/>
        </w:rPr>
        <w:t>I find no reason why costs should not follow the event, on the scale as provided for in the agreements.</w:t>
      </w:r>
    </w:p>
    <w:p w14:paraId="54902DEA" w14:textId="77777777" w:rsidR="004A4374" w:rsidRDefault="004A4374" w:rsidP="00885474">
      <w:pPr>
        <w:pStyle w:val="MEMONUMBERED"/>
        <w:numPr>
          <w:ilvl w:val="0"/>
          <w:numId w:val="0"/>
        </w:numPr>
        <w:spacing w:after="120" w:line="360" w:lineRule="auto"/>
        <w:ind w:left="720" w:hanging="720"/>
        <w:rPr>
          <w:color w:val="000000" w:themeColor="text1"/>
          <w:sz w:val="28"/>
          <w:szCs w:val="28"/>
        </w:rPr>
      </w:pPr>
      <w:r w:rsidRPr="004A4374">
        <w:rPr>
          <w:b/>
          <w:color w:val="000000" w:themeColor="text1"/>
          <w:sz w:val="28"/>
          <w:szCs w:val="28"/>
        </w:rPr>
        <w:t>Order</w:t>
      </w:r>
    </w:p>
    <w:p w14:paraId="3A3E5E72" w14:textId="4C78506A" w:rsidR="004A4374" w:rsidRDefault="00D078E4" w:rsidP="00D078E4">
      <w:pPr>
        <w:pStyle w:val="MEMONUMBERED"/>
        <w:numPr>
          <w:ilvl w:val="0"/>
          <w:numId w:val="0"/>
        </w:numPr>
        <w:spacing w:after="360" w:line="360" w:lineRule="auto"/>
        <w:rPr>
          <w:color w:val="000000" w:themeColor="text1"/>
          <w:sz w:val="28"/>
          <w:szCs w:val="28"/>
        </w:rPr>
      </w:pPr>
      <w:r>
        <w:rPr>
          <w:color w:val="000000" w:themeColor="text1"/>
          <w:sz w:val="28"/>
          <w:szCs w:val="28"/>
        </w:rPr>
        <w:t>[21]</w:t>
      </w:r>
      <w:r>
        <w:rPr>
          <w:color w:val="000000" w:themeColor="text1"/>
          <w:sz w:val="28"/>
          <w:szCs w:val="28"/>
        </w:rPr>
        <w:tab/>
      </w:r>
      <w:r w:rsidR="004A4374">
        <w:rPr>
          <w:color w:val="000000" w:themeColor="text1"/>
          <w:sz w:val="28"/>
          <w:szCs w:val="28"/>
        </w:rPr>
        <w:t xml:space="preserve">In the premises the following </w:t>
      </w:r>
      <w:r w:rsidR="00D427B6">
        <w:rPr>
          <w:color w:val="000000" w:themeColor="text1"/>
          <w:sz w:val="28"/>
          <w:szCs w:val="28"/>
        </w:rPr>
        <w:t>order is granted against the respondent</w:t>
      </w:r>
      <w:r w:rsidR="004A4374">
        <w:rPr>
          <w:color w:val="000000" w:themeColor="text1"/>
          <w:sz w:val="28"/>
          <w:szCs w:val="28"/>
        </w:rPr>
        <w:t>:</w:t>
      </w:r>
    </w:p>
    <w:p w14:paraId="1A4F1D8A" w14:textId="485DAB10" w:rsidR="00830274" w:rsidRDefault="00D078E4" w:rsidP="00D078E4">
      <w:pPr>
        <w:pStyle w:val="MEMONUMBERED"/>
        <w:numPr>
          <w:ilvl w:val="0"/>
          <w:numId w:val="0"/>
        </w:numPr>
        <w:spacing w:after="360" w:line="360" w:lineRule="auto"/>
        <w:ind w:left="1441" w:hanging="590"/>
        <w:rPr>
          <w:color w:val="000000" w:themeColor="text1"/>
          <w:sz w:val="28"/>
          <w:szCs w:val="28"/>
        </w:rPr>
      </w:pPr>
      <w:r>
        <w:rPr>
          <w:color w:val="000000" w:themeColor="text1"/>
          <w:sz w:val="28"/>
          <w:szCs w:val="28"/>
        </w:rPr>
        <w:t>1.</w:t>
      </w:r>
      <w:r>
        <w:rPr>
          <w:color w:val="000000" w:themeColor="text1"/>
          <w:sz w:val="28"/>
          <w:szCs w:val="28"/>
        </w:rPr>
        <w:tab/>
      </w:r>
      <w:r w:rsidR="00830274" w:rsidRPr="00830274">
        <w:rPr>
          <w:color w:val="000000" w:themeColor="text1"/>
          <w:sz w:val="28"/>
          <w:szCs w:val="28"/>
        </w:rPr>
        <w:t>Payment of an amount of R200 722.61 plus interest at the agreed rate of 11.5%, calculated daily and compounded monthly in arears from 29 February 2020 until date of full payment.</w:t>
      </w:r>
    </w:p>
    <w:p w14:paraId="390AE3D5" w14:textId="60CA34EF" w:rsidR="00830274" w:rsidRDefault="00D078E4" w:rsidP="00D078E4">
      <w:pPr>
        <w:pStyle w:val="MEMONUMBERED"/>
        <w:numPr>
          <w:ilvl w:val="0"/>
          <w:numId w:val="0"/>
        </w:numPr>
        <w:spacing w:after="360" w:line="360" w:lineRule="auto"/>
        <w:ind w:left="1441" w:hanging="590"/>
        <w:rPr>
          <w:color w:val="000000" w:themeColor="text1"/>
          <w:sz w:val="28"/>
          <w:szCs w:val="28"/>
        </w:rPr>
      </w:pPr>
      <w:r>
        <w:rPr>
          <w:color w:val="000000" w:themeColor="text1"/>
          <w:sz w:val="28"/>
          <w:szCs w:val="28"/>
        </w:rPr>
        <w:t>2.</w:t>
      </w:r>
      <w:r>
        <w:rPr>
          <w:color w:val="000000" w:themeColor="text1"/>
          <w:sz w:val="28"/>
          <w:szCs w:val="28"/>
        </w:rPr>
        <w:tab/>
      </w:r>
      <w:r w:rsidR="00830274" w:rsidRPr="00830274">
        <w:rPr>
          <w:color w:val="000000" w:themeColor="text1"/>
          <w:sz w:val="28"/>
          <w:szCs w:val="28"/>
        </w:rPr>
        <w:t>Payment of the</w:t>
      </w:r>
      <w:r w:rsidR="00D427B6">
        <w:rPr>
          <w:color w:val="000000" w:themeColor="text1"/>
          <w:sz w:val="28"/>
          <w:szCs w:val="28"/>
        </w:rPr>
        <w:t xml:space="preserve"> amount of R6 247 582.31,</w:t>
      </w:r>
      <w:r w:rsidR="00830274" w:rsidRPr="00830274">
        <w:rPr>
          <w:color w:val="000000" w:themeColor="text1"/>
          <w:sz w:val="28"/>
          <w:szCs w:val="28"/>
        </w:rPr>
        <w:t xml:space="preserve"> plus agreed interest at the rate of 10.50%, calculated daily and compounded monthly in arrears from 29 February 2020 until date of full</w:t>
      </w:r>
      <w:r w:rsidR="00D427B6">
        <w:rPr>
          <w:color w:val="000000" w:themeColor="text1"/>
          <w:sz w:val="28"/>
          <w:szCs w:val="28"/>
        </w:rPr>
        <w:t xml:space="preserve"> payment (both dates inclusive).</w:t>
      </w:r>
      <w:r w:rsidR="00830274" w:rsidRPr="00830274">
        <w:rPr>
          <w:color w:val="000000" w:themeColor="text1"/>
          <w:sz w:val="28"/>
          <w:szCs w:val="28"/>
        </w:rPr>
        <w:t xml:space="preserve"> </w:t>
      </w:r>
    </w:p>
    <w:p w14:paraId="442ABEDF" w14:textId="15E72D86" w:rsidR="00830274" w:rsidRPr="00830274" w:rsidRDefault="00D078E4" w:rsidP="00D078E4">
      <w:pPr>
        <w:pStyle w:val="MEMONUMBERED"/>
        <w:numPr>
          <w:ilvl w:val="0"/>
          <w:numId w:val="0"/>
        </w:numPr>
        <w:spacing w:after="360" w:line="360" w:lineRule="auto"/>
        <w:ind w:left="1441" w:hanging="590"/>
        <w:rPr>
          <w:color w:val="000000" w:themeColor="text1"/>
          <w:sz w:val="28"/>
          <w:szCs w:val="28"/>
        </w:rPr>
      </w:pPr>
      <w:r w:rsidRPr="00830274">
        <w:rPr>
          <w:color w:val="000000" w:themeColor="text1"/>
          <w:sz w:val="28"/>
          <w:szCs w:val="28"/>
        </w:rPr>
        <w:t>3.</w:t>
      </w:r>
      <w:r w:rsidRPr="00830274">
        <w:rPr>
          <w:color w:val="000000" w:themeColor="text1"/>
          <w:sz w:val="28"/>
          <w:szCs w:val="28"/>
        </w:rPr>
        <w:tab/>
      </w:r>
      <w:r w:rsidR="00D427B6">
        <w:rPr>
          <w:color w:val="000000" w:themeColor="text1"/>
          <w:sz w:val="28"/>
          <w:szCs w:val="28"/>
        </w:rPr>
        <w:t>Payment of t</w:t>
      </w:r>
      <w:r w:rsidR="00830274" w:rsidRPr="00830274">
        <w:rPr>
          <w:color w:val="000000" w:themeColor="text1"/>
          <w:sz w:val="28"/>
          <w:szCs w:val="28"/>
        </w:rPr>
        <w:t xml:space="preserve">he costs of this application, on the scale </w:t>
      </w:r>
      <w:r w:rsidR="00D427B6">
        <w:rPr>
          <w:color w:val="000000" w:themeColor="text1"/>
          <w:sz w:val="28"/>
          <w:szCs w:val="28"/>
        </w:rPr>
        <w:t>as between</w:t>
      </w:r>
      <w:r w:rsidR="00830274" w:rsidRPr="00830274">
        <w:rPr>
          <w:color w:val="000000" w:themeColor="text1"/>
          <w:sz w:val="28"/>
          <w:szCs w:val="28"/>
        </w:rPr>
        <w:t xml:space="preserve"> attorney and client.</w:t>
      </w:r>
    </w:p>
    <w:p w14:paraId="10AC1038" w14:textId="7E791F16" w:rsidR="00BE2200" w:rsidRDefault="00BE2200" w:rsidP="007103CD">
      <w:pPr>
        <w:pStyle w:val="MEMONUMBERED"/>
        <w:numPr>
          <w:ilvl w:val="0"/>
          <w:numId w:val="0"/>
        </w:numPr>
        <w:spacing w:line="240" w:lineRule="auto"/>
        <w:jc w:val="right"/>
      </w:pPr>
    </w:p>
    <w:p w14:paraId="1426741D" w14:textId="77777777" w:rsidR="00D427B6" w:rsidRDefault="00D427B6" w:rsidP="007103CD">
      <w:pPr>
        <w:pStyle w:val="MEMONUMBERED"/>
        <w:numPr>
          <w:ilvl w:val="0"/>
          <w:numId w:val="0"/>
        </w:numPr>
        <w:spacing w:line="240" w:lineRule="auto"/>
        <w:jc w:val="right"/>
      </w:pPr>
    </w:p>
    <w:p w14:paraId="1C3880E9" w14:textId="04CB07CA"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14:paraId="3EB63220" w14:textId="77777777"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14:paraId="6EADDA67" w14:textId="77777777"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14:paraId="1EA08706" w14:textId="77777777"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14:paraId="0F68B059" w14:textId="77777777" w:rsidR="007D5375" w:rsidRDefault="007D5375" w:rsidP="007D5375">
      <w:pPr>
        <w:pStyle w:val="MEMONUMBERED"/>
        <w:numPr>
          <w:ilvl w:val="0"/>
          <w:numId w:val="0"/>
        </w:numPr>
        <w:spacing w:line="240" w:lineRule="auto"/>
        <w:rPr>
          <w:sz w:val="28"/>
          <w:szCs w:val="28"/>
        </w:rPr>
      </w:pPr>
    </w:p>
    <w:p w14:paraId="010A1134" w14:textId="3C565424" w:rsidR="007103CD" w:rsidRDefault="007103CD" w:rsidP="007103CD">
      <w:pPr>
        <w:pStyle w:val="MEMONUMBERED"/>
        <w:numPr>
          <w:ilvl w:val="0"/>
          <w:numId w:val="0"/>
        </w:numPr>
        <w:rPr>
          <w:sz w:val="28"/>
          <w:szCs w:val="28"/>
        </w:rPr>
      </w:pPr>
      <w:r>
        <w:rPr>
          <w:sz w:val="28"/>
          <w:szCs w:val="28"/>
        </w:rPr>
        <w:t>Date of Hearing:</w:t>
      </w:r>
      <w:r w:rsidR="007D5375">
        <w:rPr>
          <w:sz w:val="28"/>
          <w:szCs w:val="28"/>
        </w:rPr>
        <w:t xml:space="preserve"> </w:t>
      </w:r>
      <w:r w:rsidR="00337E14">
        <w:rPr>
          <w:sz w:val="28"/>
          <w:szCs w:val="28"/>
        </w:rPr>
        <w:t>8 November</w:t>
      </w:r>
      <w:r w:rsidR="00D553BE">
        <w:rPr>
          <w:sz w:val="28"/>
          <w:szCs w:val="28"/>
        </w:rPr>
        <w:t xml:space="preserve"> 2022</w:t>
      </w:r>
      <w:r w:rsidR="00D553BE">
        <w:rPr>
          <w:sz w:val="28"/>
          <w:szCs w:val="28"/>
        </w:rPr>
        <w:tab/>
      </w:r>
    </w:p>
    <w:p w14:paraId="7A42A418" w14:textId="6064E027" w:rsidR="007103CD" w:rsidRDefault="007103CD" w:rsidP="007103CD">
      <w:pPr>
        <w:pStyle w:val="MEMONUMBERED"/>
        <w:numPr>
          <w:ilvl w:val="0"/>
          <w:numId w:val="0"/>
        </w:numPr>
        <w:rPr>
          <w:sz w:val="28"/>
          <w:szCs w:val="28"/>
        </w:rPr>
      </w:pPr>
      <w:r>
        <w:rPr>
          <w:sz w:val="28"/>
          <w:szCs w:val="28"/>
        </w:rPr>
        <w:t>Judgment delivered</w:t>
      </w:r>
      <w:r w:rsidR="00447E39">
        <w:rPr>
          <w:sz w:val="28"/>
          <w:szCs w:val="28"/>
        </w:rPr>
        <w:t xml:space="preserve">: </w:t>
      </w:r>
      <w:r w:rsidR="00D427B6">
        <w:rPr>
          <w:sz w:val="28"/>
          <w:szCs w:val="28"/>
        </w:rPr>
        <w:t xml:space="preserve">10 </w:t>
      </w:r>
      <w:r w:rsidR="00830274">
        <w:rPr>
          <w:sz w:val="28"/>
          <w:szCs w:val="28"/>
        </w:rPr>
        <w:t>January 2023</w:t>
      </w:r>
      <w:r w:rsidR="000A6F67">
        <w:rPr>
          <w:sz w:val="28"/>
          <w:szCs w:val="28"/>
        </w:rPr>
        <w:t xml:space="preserve">  </w:t>
      </w:r>
    </w:p>
    <w:p w14:paraId="37A92CB9" w14:textId="12A007B2" w:rsidR="00310383" w:rsidRDefault="00310383" w:rsidP="00BD05D0">
      <w:pPr>
        <w:pStyle w:val="MEMONUMBERED"/>
        <w:numPr>
          <w:ilvl w:val="0"/>
          <w:numId w:val="0"/>
        </w:numPr>
        <w:rPr>
          <w:sz w:val="28"/>
          <w:szCs w:val="28"/>
        </w:rPr>
      </w:pPr>
    </w:p>
    <w:p w14:paraId="6B4C9845" w14:textId="70176D6C" w:rsidR="00917AA6" w:rsidRDefault="00BD05D0" w:rsidP="00DE7196">
      <w:pPr>
        <w:pStyle w:val="MEMONUMBERED"/>
        <w:numPr>
          <w:ilvl w:val="0"/>
          <w:numId w:val="0"/>
        </w:numPr>
        <w:rPr>
          <w:sz w:val="28"/>
          <w:szCs w:val="28"/>
        </w:rPr>
      </w:pPr>
      <w:r w:rsidRPr="003E4489">
        <w:rPr>
          <w:sz w:val="28"/>
          <w:szCs w:val="28"/>
        </w:rPr>
        <w:t>APPEARANCES:</w:t>
      </w:r>
    </w:p>
    <w:p w14:paraId="747A8F91" w14:textId="6489CE39" w:rsidR="00BD05D0" w:rsidRDefault="00337E14" w:rsidP="00BD05D0">
      <w:pPr>
        <w:spacing w:after="0"/>
        <w:rPr>
          <w:rFonts w:ascii="Times New Roman" w:hAnsi="Times New Roman" w:cs="Times New Roman"/>
          <w:sz w:val="28"/>
          <w:szCs w:val="28"/>
        </w:rPr>
      </w:pPr>
      <w:r>
        <w:rPr>
          <w:rFonts w:ascii="Times New Roman" w:hAnsi="Times New Roman" w:cs="Times New Roman"/>
          <w:sz w:val="28"/>
          <w:szCs w:val="28"/>
        </w:rPr>
        <w:t>For the Applicants: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Adv </w:t>
      </w:r>
      <w:r w:rsidR="005B2433">
        <w:rPr>
          <w:rFonts w:ascii="Times New Roman" w:hAnsi="Times New Roman" w:cs="Times New Roman"/>
          <w:sz w:val="28"/>
          <w:szCs w:val="28"/>
        </w:rPr>
        <w:t>S Mohapi</w:t>
      </w:r>
    </w:p>
    <w:p w14:paraId="2DFF295C" w14:textId="6D9E8D6D" w:rsidR="005B2433" w:rsidRDefault="00337E14" w:rsidP="00337E14">
      <w:pPr>
        <w:spacing w:after="0"/>
        <w:rPr>
          <w:rFonts w:ascii="Times New Roman" w:hAnsi="Times New Roman" w:cs="Times New Roman"/>
          <w:sz w:val="28"/>
          <w:szCs w:val="28"/>
        </w:rPr>
      </w:pPr>
      <w:r>
        <w:rPr>
          <w:rFonts w:ascii="Times New Roman" w:hAnsi="Times New Roman" w:cs="Times New Roman"/>
          <w:sz w:val="28"/>
          <w:szCs w:val="28"/>
        </w:rPr>
        <w:t>Attorney for the Applicants</w:t>
      </w:r>
      <w:r w:rsidR="00BD05D0">
        <w:rPr>
          <w:rFonts w:ascii="Times New Roman" w:hAnsi="Times New Roman" w:cs="Times New Roman"/>
          <w:sz w:val="28"/>
          <w:szCs w:val="28"/>
        </w:rPr>
        <w:t>:</w:t>
      </w:r>
      <w:r>
        <w:rPr>
          <w:rFonts w:ascii="Times New Roman" w:hAnsi="Times New Roman" w:cs="Times New Roman"/>
          <w:sz w:val="28"/>
          <w:szCs w:val="28"/>
        </w:rPr>
        <w:tab/>
      </w:r>
      <w:r w:rsidR="00BD05D0">
        <w:rPr>
          <w:rFonts w:ascii="Times New Roman" w:hAnsi="Times New Roman" w:cs="Times New Roman"/>
          <w:sz w:val="28"/>
          <w:szCs w:val="28"/>
        </w:rPr>
        <w:tab/>
      </w:r>
      <w:r w:rsidR="005B2433">
        <w:rPr>
          <w:rFonts w:ascii="Times New Roman" w:hAnsi="Times New Roman" w:cs="Times New Roman"/>
          <w:sz w:val="28"/>
          <w:szCs w:val="28"/>
        </w:rPr>
        <w:t xml:space="preserve">Werksmans </w:t>
      </w:r>
      <w:r>
        <w:rPr>
          <w:rFonts w:ascii="Times New Roman" w:hAnsi="Times New Roman" w:cs="Times New Roman"/>
          <w:sz w:val="28"/>
          <w:szCs w:val="28"/>
        </w:rPr>
        <w:t xml:space="preserve">Attorneys, </w:t>
      </w:r>
      <w:r w:rsidR="005B2433">
        <w:rPr>
          <w:rFonts w:ascii="Times New Roman" w:hAnsi="Times New Roman" w:cs="Times New Roman"/>
          <w:sz w:val="28"/>
          <w:szCs w:val="28"/>
        </w:rPr>
        <w:t>Johannesburg</w:t>
      </w:r>
    </w:p>
    <w:p w14:paraId="3C6C828F" w14:textId="380FAEB1" w:rsidR="00BD05D0" w:rsidRDefault="005B2433" w:rsidP="005B2433">
      <w:pPr>
        <w:spacing w:after="0"/>
        <w:ind w:left="3600" w:firstLine="720"/>
        <w:rPr>
          <w:rFonts w:ascii="Times New Roman" w:hAnsi="Times New Roman" w:cs="Times New Roman"/>
          <w:sz w:val="28"/>
          <w:szCs w:val="28"/>
        </w:rPr>
      </w:pPr>
      <w:r>
        <w:rPr>
          <w:rFonts w:ascii="Times New Roman" w:hAnsi="Times New Roman" w:cs="Times New Roman"/>
          <w:sz w:val="28"/>
          <w:szCs w:val="28"/>
        </w:rPr>
        <w:t xml:space="preserve">c/o Cassim Inc Attorney, </w:t>
      </w:r>
      <w:r w:rsidR="00BD05D0">
        <w:rPr>
          <w:rFonts w:ascii="Times New Roman" w:hAnsi="Times New Roman" w:cs="Times New Roman"/>
          <w:sz w:val="28"/>
          <w:szCs w:val="28"/>
        </w:rPr>
        <w:t>Pretoria</w:t>
      </w:r>
    </w:p>
    <w:p w14:paraId="3E9A05FD" w14:textId="5CC5EA68" w:rsidR="00BD05D0" w:rsidRDefault="00BD05D0" w:rsidP="00BD05D0">
      <w:pPr>
        <w:pStyle w:val="MEMONUMBERED"/>
        <w:numPr>
          <w:ilvl w:val="0"/>
          <w:numId w:val="0"/>
        </w:numPr>
        <w:rPr>
          <w:sz w:val="28"/>
          <w:szCs w:val="28"/>
        </w:rPr>
      </w:pPr>
    </w:p>
    <w:p w14:paraId="1F5EC214" w14:textId="1FA6EAD7" w:rsidR="00BD05D0" w:rsidRDefault="00337E14" w:rsidP="00337E14">
      <w:pPr>
        <w:spacing w:after="0"/>
        <w:rPr>
          <w:rFonts w:ascii="Times New Roman" w:hAnsi="Times New Roman" w:cs="Times New Roman"/>
          <w:sz w:val="28"/>
          <w:szCs w:val="28"/>
        </w:rPr>
      </w:pPr>
      <w:r>
        <w:rPr>
          <w:rFonts w:ascii="Times New Roman" w:hAnsi="Times New Roman" w:cs="Times New Roman"/>
          <w:sz w:val="28"/>
          <w:szCs w:val="28"/>
        </w:rPr>
        <w:t>For the</w:t>
      </w:r>
      <w:r w:rsidR="00BD05D0">
        <w:rPr>
          <w:rFonts w:ascii="Times New Roman" w:hAnsi="Times New Roman" w:cs="Times New Roman"/>
          <w:sz w:val="28"/>
          <w:szCs w:val="28"/>
        </w:rPr>
        <w:t xml:space="preserve"> Respondent:</w:t>
      </w:r>
      <w:r w:rsidR="00BD05D0">
        <w:rPr>
          <w:rFonts w:ascii="Times New Roman" w:hAnsi="Times New Roman" w:cs="Times New Roman"/>
          <w:sz w:val="28"/>
          <w:szCs w:val="28"/>
        </w:rPr>
        <w:tab/>
      </w:r>
      <w:r w:rsidR="00BD05D0">
        <w:rPr>
          <w:rFonts w:ascii="Times New Roman" w:hAnsi="Times New Roman" w:cs="Times New Roman"/>
          <w:sz w:val="28"/>
          <w:szCs w:val="28"/>
        </w:rPr>
        <w:tab/>
      </w:r>
      <w:r w:rsidR="00BD05D0">
        <w:rPr>
          <w:rFonts w:ascii="Times New Roman" w:hAnsi="Times New Roman" w:cs="Times New Roman"/>
          <w:sz w:val="28"/>
          <w:szCs w:val="28"/>
        </w:rPr>
        <w:tab/>
        <w:t xml:space="preserve">Adv </w:t>
      </w:r>
      <w:r w:rsidR="005B2433">
        <w:rPr>
          <w:rFonts w:ascii="Times New Roman" w:hAnsi="Times New Roman" w:cs="Times New Roman"/>
          <w:sz w:val="28"/>
          <w:szCs w:val="28"/>
        </w:rPr>
        <w:t>E De Bruin</w:t>
      </w:r>
    </w:p>
    <w:p w14:paraId="18878B18" w14:textId="54C9A104" w:rsidR="00310383" w:rsidRDefault="00310383" w:rsidP="005B2433">
      <w:pPr>
        <w:spacing w:after="0"/>
        <w:ind w:left="3686" w:hanging="3686"/>
        <w:rPr>
          <w:rFonts w:ascii="Times New Roman" w:hAnsi="Times New Roman" w:cs="Times New Roman"/>
          <w:sz w:val="28"/>
          <w:szCs w:val="28"/>
        </w:rPr>
      </w:pPr>
      <w:r>
        <w:rPr>
          <w:rFonts w:ascii="Times New Roman" w:hAnsi="Times New Roman" w:cs="Times New Roman"/>
          <w:sz w:val="28"/>
          <w:szCs w:val="28"/>
        </w:rPr>
        <w:t>Attorney</w:t>
      </w:r>
      <w:r w:rsidR="00337E14">
        <w:rPr>
          <w:rFonts w:ascii="Times New Roman" w:hAnsi="Times New Roman" w:cs="Times New Roman"/>
          <w:sz w:val="28"/>
          <w:szCs w:val="28"/>
        </w:rPr>
        <w:t xml:space="preserve"> for the</w:t>
      </w:r>
      <w:r w:rsidR="00BD05D0">
        <w:rPr>
          <w:rFonts w:ascii="Times New Roman" w:hAnsi="Times New Roman" w:cs="Times New Roman"/>
          <w:sz w:val="28"/>
          <w:szCs w:val="28"/>
        </w:rPr>
        <w:t xml:space="preserve"> Respondent:</w:t>
      </w:r>
      <w:r w:rsidR="00BD05D0">
        <w:rPr>
          <w:rFonts w:ascii="Times New Roman" w:hAnsi="Times New Roman" w:cs="Times New Roman"/>
          <w:sz w:val="28"/>
          <w:szCs w:val="28"/>
        </w:rPr>
        <w:tab/>
      </w:r>
      <w:r>
        <w:rPr>
          <w:rFonts w:ascii="Times New Roman" w:hAnsi="Times New Roman" w:cs="Times New Roman"/>
          <w:sz w:val="28"/>
          <w:szCs w:val="28"/>
        </w:rPr>
        <w:tab/>
      </w:r>
      <w:r w:rsidR="005B2433">
        <w:rPr>
          <w:rFonts w:ascii="Times New Roman" w:hAnsi="Times New Roman" w:cs="Times New Roman"/>
          <w:sz w:val="28"/>
          <w:szCs w:val="28"/>
        </w:rPr>
        <w:t xml:space="preserve">Modise Matlou Thipe Inc, </w:t>
      </w:r>
      <w:r>
        <w:rPr>
          <w:rFonts w:ascii="Times New Roman" w:hAnsi="Times New Roman" w:cs="Times New Roman"/>
          <w:sz w:val="28"/>
          <w:szCs w:val="28"/>
        </w:rPr>
        <w:t>Johannesburg</w:t>
      </w:r>
    </w:p>
    <w:p w14:paraId="4E2E418C" w14:textId="439F3216" w:rsidR="00033FCE" w:rsidRDefault="00310383" w:rsidP="00337E14">
      <w:pPr>
        <w:spacing w:after="0"/>
        <w:ind w:left="3600" w:firstLine="720"/>
        <w:rPr>
          <w:sz w:val="28"/>
          <w:szCs w:val="28"/>
        </w:rPr>
      </w:pPr>
      <w:r>
        <w:rPr>
          <w:rFonts w:ascii="Times New Roman" w:hAnsi="Times New Roman" w:cs="Times New Roman"/>
          <w:sz w:val="28"/>
          <w:szCs w:val="28"/>
        </w:rPr>
        <w:t xml:space="preserve">c/o </w:t>
      </w:r>
      <w:r w:rsidR="005B2433">
        <w:rPr>
          <w:rFonts w:ascii="Times New Roman" w:hAnsi="Times New Roman" w:cs="Times New Roman"/>
          <w:sz w:val="28"/>
          <w:szCs w:val="28"/>
        </w:rPr>
        <w:t>NP Mukwevho</w:t>
      </w:r>
      <w:r>
        <w:rPr>
          <w:rFonts w:ascii="Times New Roman" w:hAnsi="Times New Roman" w:cs="Times New Roman"/>
          <w:sz w:val="28"/>
          <w:szCs w:val="28"/>
        </w:rPr>
        <w:t xml:space="preserve"> Attorneys, </w:t>
      </w:r>
      <w:r w:rsidR="00BD05D0">
        <w:rPr>
          <w:rFonts w:ascii="Times New Roman" w:hAnsi="Times New Roman" w:cs="Times New Roman"/>
          <w:sz w:val="28"/>
          <w:szCs w:val="28"/>
        </w:rPr>
        <w:t>Pretoria</w:t>
      </w:r>
    </w:p>
    <w:sectPr w:rsidR="00033FCE" w:rsidSect="00EE1DF4">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18825" w14:textId="77777777" w:rsidR="003E3122" w:rsidRDefault="003E3122" w:rsidP="00AA0559">
      <w:pPr>
        <w:spacing w:after="0" w:line="240" w:lineRule="auto"/>
      </w:pPr>
      <w:r>
        <w:separator/>
      </w:r>
    </w:p>
  </w:endnote>
  <w:endnote w:type="continuationSeparator" w:id="0">
    <w:p w14:paraId="66DCA806" w14:textId="77777777" w:rsidR="003E3122" w:rsidRDefault="003E3122"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CC6F9" w14:textId="77777777" w:rsidR="003E3122" w:rsidRDefault="003E3122" w:rsidP="00AA0559">
      <w:pPr>
        <w:spacing w:after="0" w:line="240" w:lineRule="auto"/>
      </w:pPr>
      <w:r>
        <w:separator/>
      </w:r>
    </w:p>
  </w:footnote>
  <w:footnote w:type="continuationSeparator" w:id="0">
    <w:p w14:paraId="7FE4C9FD" w14:textId="77777777" w:rsidR="003E3122" w:rsidRDefault="003E3122" w:rsidP="00AA0559">
      <w:pPr>
        <w:spacing w:after="0" w:line="240" w:lineRule="auto"/>
      </w:pPr>
      <w:r>
        <w:continuationSeparator/>
      </w:r>
    </w:p>
  </w:footnote>
  <w:footnote w:id="1">
    <w:p w14:paraId="2C28A02A" w14:textId="3841010A" w:rsidR="002D159C" w:rsidRPr="00825A09" w:rsidRDefault="002D159C">
      <w:pPr>
        <w:pStyle w:val="FootnoteText"/>
        <w:rPr>
          <w:lang w:val="en-US"/>
        </w:rPr>
      </w:pPr>
      <w:r>
        <w:rPr>
          <w:rStyle w:val="FootnoteReference"/>
        </w:rPr>
        <w:footnoteRef/>
      </w:r>
      <w:r>
        <w:t xml:space="preserve"> </w:t>
      </w:r>
      <w:r w:rsidRPr="00825A09">
        <w:rPr>
          <w:i/>
          <w:lang w:val="en-US"/>
        </w:rPr>
        <w:t>Trust Bank of Africa v Western Bank Ltd</w:t>
      </w:r>
      <w:r>
        <w:rPr>
          <w:lang w:val="en-US"/>
        </w:rPr>
        <w:t xml:space="preserve"> 1978 (4) SA 281 (A) at 293H – 294E and </w:t>
      </w:r>
      <w:r w:rsidRPr="00825A09">
        <w:rPr>
          <w:i/>
          <w:lang w:val="en-US"/>
        </w:rPr>
        <w:t>Ripoll-Dausa v Middleton NO</w:t>
      </w:r>
      <w:r>
        <w:rPr>
          <w:lang w:val="en-US"/>
        </w:rPr>
        <w:t xml:space="preserve"> </w:t>
      </w:r>
      <w:r w:rsidRPr="00825A09">
        <w:rPr>
          <w:i/>
          <w:lang w:val="en-US"/>
        </w:rPr>
        <w:t>and Others</w:t>
      </w:r>
      <w:r>
        <w:rPr>
          <w:lang w:val="en-US"/>
        </w:rPr>
        <w:t xml:space="preserve"> 2005 (3) SA 141 (C) at 151A – 153C.</w:t>
      </w:r>
    </w:p>
  </w:footnote>
  <w:footnote w:id="2">
    <w:p w14:paraId="6C9B2F0C" w14:textId="29CB6653" w:rsidR="002D159C" w:rsidRPr="00825A09" w:rsidRDefault="002D159C">
      <w:pPr>
        <w:pStyle w:val="FootnoteText"/>
        <w:rPr>
          <w:lang w:val="en-US"/>
        </w:rPr>
      </w:pPr>
      <w:r>
        <w:rPr>
          <w:rStyle w:val="FootnoteReference"/>
        </w:rPr>
        <w:footnoteRef/>
      </w:r>
      <w:r>
        <w:t xml:space="preserve"> </w:t>
      </w:r>
      <w:r>
        <w:rPr>
          <w:lang w:val="en-US"/>
        </w:rPr>
        <w:t>Section 80 of the NCA.</w:t>
      </w:r>
    </w:p>
  </w:footnote>
  <w:footnote w:id="3">
    <w:p w14:paraId="420D1555" w14:textId="0E2FAC05" w:rsidR="002D159C" w:rsidRPr="00220555" w:rsidRDefault="002D159C">
      <w:pPr>
        <w:pStyle w:val="FootnoteText"/>
        <w:rPr>
          <w:lang w:val="en-US"/>
        </w:rPr>
      </w:pPr>
      <w:r>
        <w:rPr>
          <w:rStyle w:val="FootnoteReference"/>
        </w:rPr>
        <w:footnoteRef/>
      </w:r>
      <w:r>
        <w:t xml:space="preserve"> </w:t>
      </w:r>
      <w:r w:rsidRPr="00220555">
        <w:rPr>
          <w:i/>
          <w:lang w:val="en-US"/>
        </w:rPr>
        <w:t>Standard Bank of SA Ltd v Panayottis</w:t>
      </w:r>
      <w:r>
        <w:rPr>
          <w:lang w:val="en-US"/>
        </w:rPr>
        <w:t xml:space="preserve"> 2009 (3) SA 363 (W) at para 77. (</w:t>
      </w:r>
      <w:r w:rsidRPr="00220555">
        <w:rPr>
          <w:i/>
          <w:lang w:val="en-US"/>
        </w:rPr>
        <w:t>Standard Bank</w:t>
      </w:r>
      <w:r>
        <w:rPr>
          <w:lang w:val="en-US"/>
        </w:rPr>
        <w:t>)</w:t>
      </w:r>
    </w:p>
  </w:footnote>
  <w:footnote w:id="4">
    <w:p w14:paraId="55B1B1B4" w14:textId="458E3426" w:rsidR="002D159C" w:rsidRDefault="002D159C">
      <w:pPr>
        <w:pStyle w:val="FootnoteText"/>
        <w:rPr>
          <w:lang w:val="en-US"/>
        </w:rPr>
      </w:pPr>
      <w:r>
        <w:rPr>
          <w:rStyle w:val="FootnoteReference"/>
        </w:rPr>
        <w:footnoteRef/>
      </w:r>
      <w:r>
        <w:t xml:space="preserve"> </w:t>
      </w:r>
      <w:r>
        <w:rPr>
          <w:lang w:val="en-US"/>
        </w:rPr>
        <w:t>Section 87 of the NCA provides as follow:</w:t>
      </w:r>
    </w:p>
    <w:p w14:paraId="7B73618E" w14:textId="7D04B01F" w:rsidR="002D159C" w:rsidRDefault="002D159C">
      <w:pPr>
        <w:pStyle w:val="FootnoteText"/>
        <w:rPr>
          <w:lang w:val="en-US"/>
        </w:rPr>
      </w:pPr>
      <w:r>
        <w:rPr>
          <w:lang w:val="en-US"/>
        </w:rPr>
        <w:tab/>
        <w:t>87 Magistrates’ Court may re-arrange consumer’s obligations.</w:t>
      </w:r>
    </w:p>
    <w:p w14:paraId="37E592B1" w14:textId="27BAEC7F" w:rsidR="002D159C" w:rsidRDefault="00D078E4" w:rsidP="00D078E4">
      <w:pPr>
        <w:pStyle w:val="FootnoteText"/>
        <w:ind w:left="1080" w:hanging="360"/>
        <w:rPr>
          <w:lang w:val="en-US"/>
        </w:rPr>
      </w:pPr>
      <w:r>
        <w:rPr>
          <w:lang w:val="en-US"/>
        </w:rPr>
        <w:t>(1)</w:t>
      </w:r>
      <w:r>
        <w:rPr>
          <w:lang w:val="en-US"/>
        </w:rPr>
        <w:tab/>
      </w:r>
      <w:r w:rsidR="002D159C">
        <w:rPr>
          <w:lang w:val="en-US"/>
        </w:rPr>
        <w:t xml:space="preserve">If a debt counsellor makes a proposal to the magistrates’ court in terms of section 86(8)(b), or a consumer applies to the magistrates’ court in terms of section 86(9), the magistrates’ court must conduct a hearing and, having regard to the proposal and information before it and the consumer’s financial means, prospect and obligations, may – </w:t>
      </w:r>
    </w:p>
    <w:p w14:paraId="00C09411" w14:textId="46723DD5" w:rsidR="002D159C" w:rsidRDefault="00D078E4" w:rsidP="00D078E4">
      <w:pPr>
        <w:pStyle w:val="FootnoteText"/>
        <w:ind w:left="1440" w:hanging="360"/>
        <w:rPr>
          <w:lang w:val="en-US"/>
        </w:rPr>
      </w:pPr>
      <w:r>
        <w:rPr>
          <w:lang w:val="en-US"/>
        </w:rPr>
        <w:t>(a)</w:t>
      </w:r>
      <w:r>
        <w:rPr>
          <w:lang w:val="en-US"/>
        </w:rPr>
        <w:tab/>
      </w:r>
      <w:r w:rsidR="002D159C">
        <w:rPr>
          <w:lang w:val="en-US"/>
        </w:rPr>
        <w:t xml:space="preserve">Reject the recommendation or application as the case may be or; </w:t>
      </w:r>
    </w:p>
    <w:p w14:paraId="2F37CBE6" w14:textId="1BAFE85F" w:rsidR="002D159C" w:rsidRDefault="00D078E4" w:rsidP="00D078E4">
      <w:pPr>
        <w:pStyle w:val="FootnoteText"/>
        <w:ind w:left="1440" w:hanging="360"/>
        <w:rPr>
          <w:lang w:val="en-US"/>
        </w:rPr>
      </w:pPr>
      <w:r>
        <w:rPr>
          <w:lang w:val="en-US"/>
        </w:rPr>
        <w:t>(b)</w:t>
      </w:r>
      <w:r>
        <w:rPr>
          <w:lang w:val="en-US"/>
        </w:rPr>
        <w:tab/>
      </w:r>
      <w:r w:rsidR="002D159C">
        <w:rPr>
          <w:lang w:val="en-US"/>
        </w:rPr>
        <w:t xml:space="preserve">Make – </w:t>
      </w:r>
    </w:p>
    <w:p w14:paraId="5B3E2086" w14:textId="75B77FD4" w:rsidR="002D159C" w:rsidRDefault="00D078E4" w:rsidP="00D078E4">
      <w:pPr>
        <w:pStyle w:val="FootnoteText"/>
        <w:ind w:left="2160" w:hanging="720"/>
        <w:rPr>
          <w:lang w:val="en-US"/>
        </w:rPr>
      </w:pPr>
      <w:r>
        <w:rPr>
          <w:lang w:val="en-US"/>
        </w:rPr>
        <w:t>(i)</w:t>
      </w:r>
      <w:r>
        <w:rPr>
          <w:lang w:val="en-US"/>
        </w:rPr>
        <w:tab/>
      </w:r>
      <w:r w:rsidR="002D159C">
        <w:rPr>
          <w:lang w:val="en-US"/>
        </w:rPr>
        <w:t>An order declaring any credit agreement to be reckless, and an order contemplated in section 83(2) Or 3, if the magistrates’ court concludes that the agreement is reckless;</w:t>
      </w:r>
    </w:p>
    <w:p w14:paraId="5987CC91" w14:textId="140A99B5" w:rsidR="002D159C" w:rsidRDefault="00D078E4" w:rsidP="00D078E4">
      <w:pPr>
        <w:pStyle w:val="FootnoteText"/>
        <w:ind w:left="2160" w:hanging="720"/>
        <w:rPr>
          <w:lang w:val="en-US"/>
        </w:rPr>
      </w:pPr>
      <w:r>
        <w:rPr>
          <w:lang w:val="en-US"/>
        </w:rPr>
        <w:t>(ii)</w:t>
      </w:r>
      <w:r>
        <w:rPr>
          <w:lang w:val="en-US"/>
        </w:rPr>
        <w:tab/>
      </w:r>
      <w:r w:rsidR="002D159C">
        <w:rPr>
          <w:lang w:val="en-US"/>
        </w:rPr>
        <w:t>An order re-arranging the consumer’s obligations in any manner contemplated in section 86(7)(c)(ii); or</w:t>
      </w:r>
    </w:p>
    <w:p w14:paraId="54D07D09" w14:textId="5F2E734F" w:rsidR="002D159C" w:rsidRPr="00274600" w:rsidRDefault="00D078E4" w:rsidP="00D078E4">
      <w:pPr>
        <w:pStyle w:val="FootnoteText"/>
        <w:ind w:left="2160" w:hanging="720"/>
        <w:rPr>
          <w:lang w:val="en-US"/>
        </w:rPr>
      </w:pPr>
      <w:r w:rsidRPr="00274600">
        <w:rPr>
          <w:lang w:val="en-US"/>
        </w:rPr>
        <w:t>(iii)</w:t>
      </w:r>
      <w:r w:rsidRPr="00274600">
        <w:rPr>
          <w:lang w:val="en-US"/>
        </w:rPr>
        <w:tab/>
      </w:r>
      <w:r w:rsidR="002D159C">
        <w:rPr>
          <w:lang w:val="en-US"/>
        </w:rPr>
        <w:t>Both orders contemplated in subparagraph (i) and (ii).</w:t>
      </w:r>
    </w:p>
  </w:footnote>
  <w:footnote w:id="5">
    <w:p w14:paraId="054E56A1" w14:textId="2E17C8C0" w:rsidR="002D159C" w:rsidRPr="00E62982" w:rsidRDefault="002D159C">
      <w:pPr>
        <w:pStyle w:val="FootnoteText"/>
        <w:rPr>
          <w:lang w:val="en-US"/>
        </w:rPr>
      </w:pPr>
      <w:r>
        <w:rPr>
          <w:rStyle w:val="FootnoteReference"/>
        </w:rPr>
        <w:footnoteRef/>
      </w:r>
      <w:r>
        <w:t xml:space="preserve"> </w:t>
      </w:r>
      <w:r>
        <w:rPr>
          <w:lang w:val="en-US"/>
        </w:rPr>
        <w:t>See</w:t>
      </w:r>
      <w:r w:rsidR="00D427B6">
        <w:rPr>
          <w:lang w:val="en-US"/>
        </w:rPr>
        <w:t xml:space="preserve"> also</w:t>
      </w:r>
      <w:r>
        <w:rPr>
          <w:lang w:val="en-US"/>
        </w:rPr>
        <w:t xml:space="preserve"> </w:t>
      </w:r>
      <w:r w:rsidRPr="00E62982">
        <w:rPr>
          <w:i/>
          <w:lang w:val="en-US"/>
        </w:rPr>
        <w:t>FirstRand Bank Ltd v Olivier</w:t>
      </w:r>
      <w:r>
        <w:rPr>
          <w:lang w:val="en-US"/>
        </w:rPr>
        <w:t xml:space="preserve"> 2009 (3) SA 353 (SE)</w:t>
      </w:r>
      <w:r w:rsidR="00D427B6">
        <w:rPr>
          <w:lang w:val="en-US"/>
        </w:rPr>
        <w:t xml:space="preserve"> in this regard.</w:t>
      </w:r>
    </w:p>
  </w:footnote>
  <w:footnote w:id="6">
    <w:p w14:paraId="62175F51" w14:textId="6B63A999" w:rsidR="002D159C" w:rsidRPr="00E62982" w:rsidRDefault="002D159C">
      <w:pPr>
        <w:pStyle w:val="FootnoteText"/>
        <w:rPr>
          <w:lang w:val="en-US"/>
        </w:rPr>
      </w:pPr>
      <w:r>
        <w:rPr>
          <w:rStyle w:val="FootnoteReference"/>
        </w:rPr>
        <w:footnoteRef/>
      </w:r>
      <w:r>
        <w:t xml:space="preserve"> </w:t>
      </w:r>
      <w:r>
        <w:rPr>
          <w:lang w:val="en-US"/>
        </w:rPr>
        <w:t>Para 1.79 of the affidavit in support of the counter-application.</w:t>
      </w:r>
    </w:p>
  </w:footnote>
  <w:footnote w:id="7">
    <w:p w14:paraId="6EB2B6F6" w14:textId="521E1E5A" w:rsidR="002D159C" w:rsidRPr="0049785C" w:rsidRDefault="002D159C">
      <w:pPr>
        <w:pStyle w:val="FootnoteText"/>
        <w:rPr>
          <w:lang w:val="en-US"/>
        </w:rPr>
      </w:pPr>
      <w:r>
        <w:rPr>
          <w:rStyle w:val="FootnoteReference"/>
        </w:rPr>
        <w:footnoteRef/>
      </w:r>
      <w:r>
        <w:t xml:space="preserve"> </w:t>
      </w:r>
      <w:r w:rsidRPr="0049785C">
        <w:rPr>
          <w:i/>
          <w:lang w:val="en-US"/>
        </w:rPr>
        <w:t>Schierhout v Minister of Justice 1926</w:t>
      </w:r>
      <w:r>
        <w:rPr>
          <w:lang w:val="en-US"/>
        </w:rPr>
        <w:t xml:space="preserve"> AD 99 at 109, </w:t>
      </w:r>
      <w:r w:rsidRPr="0049785C">
        <w:rPr>
          <w:i/>
          <w:lang w:val="en-US"/>
        </w:rPr>
        <w:t>Bopape v Moloto</w:t>
      </w:r>
      <w:r>
        <w:rPr>
          <w:lang w:val="en-US"/>
        </w:rPr>
        <w:t xml:space="preserve"> 2000 (1) SA 383 (T) at 386J – 387A and </w:t>
      </w:r>
      <w:r w:rsidRPr="0049785C">
        <w:rPr>
          <w:i/>
          <w:lang w:val="en-US"/>
        </w:rPr>
        <w:t>Marais v Maposa</w:t>
      </w:r>
      <w:r>
        <w:rPr>
          <w:lang w:val="en-US"/>
        </w:rPr>
        <w:t xml:space="preserve"> 2020 (5) SA 111 (SCA)- at para 26. (</w:t>
      </w:r>
      <w:r w:rsidRPr="0049785C">
        <w:rPr>
          <w:i/>
          <w:lang w:val="en-US"/>
        </w:rPr>
        <w:t>Marais</w:t>
      </w:r>
      <w:r>
        <w:rPr>
          <w:lang w:val="en-US"/>
        </w:rPr>
        <w:t>)</w:t>
      </w:r>
    </w:p>
  </w:footnote>
  <w:footnote w:id="8">
    <w:p w14:paraId="4F3ACB82" w14:textId="00125590" w:rsidR="002D159C" w:rsidRPr="006B1ED4" w:rsidRDefault="002D159C">
      <w:pPr>
        <w:pStyle w:val="FootnoteText"/>
        <w:rPr>
          <w:lang w:val="en-US"/>
        </w:rPr>
      </w:pPr>
      <w:r>
        <w:rPr>
          <w:rStyle w:val="FootnoteReference"/>
        </w:rPr>
        <w:footnoteRef/>
      </w:r>
      <w:r>
        <w:t xml:space="preserve"> </w:t>
      </w:r>
      <w:r>
        <w:rPr>
          <w:lang w:val="en-US"/>
        </w:rPr>
        <w:t>Section 15(9)(a) of the MPA.</w:t>
      </w:r>
    </w:p>
  </w:footnote>
  <w:footnote w:id="9">
    <w:p w14:paraId="162EFDEB" w14:textId="09C9BC39" w:rsidR="002D159C" w:rsidRPr="006B1ED4" w:rsidRDefault="002D159C">
      <w:pPr>
        <w:pStyle w:val="FootnoteText"/>
        <w:rPr>
          <w:lang w:val="en-US"/>
        </w:rPr>
      </w:pPr>
      <w:r>
        <w:rPr>
          <w:rStyle w:val="FootnoteReference"/>
        </w:rPr>
        <w:footnoteRef/>
      </w:r>
      <w:r>
        <w:t xml:space="preserve"> </w:t>
      </w:r>
      <w:r w:rsidRPr="006B1ED4">
        <w:rPr>
          <w:i/>
          <w:lang w:val="en-US"/>
        </w:rPr>
        <w:t>Marais</w:t>
      </w:r>
      <w:r>
        <w:rPr>
          <w:lang w:val="en-US"/>
        </w:rPr>
        <w:t xml:space="preserve"> at para 32.</w:t>
      </w:r>
    </w:p>
  </w:footnote>
  <w:footnote w:id="10">
    <w:p w14:paraId="1512B579" w14:textId="15FFBF70" w:rsidR="002D159C" w:rsidRPr="0011779C" w:rsidRDefault="002D159C">
      <w:pPr>
        <w:pStyle w:val="FootnoteText"/>
        <w:rPr>
          <w:lang w:val="en-US"/>
        </w:rPr>
      </w:pPr>
      <w:r>
        <w:rPr>
          <w:rStyle w:val="FootnoteReference"/>
        </w:rPr>
        <w:footnoteRef/>
      </w:r>
      <w:r>
        <w:t xml:space="preserve"> </w:t>
      </w:r>
      <w:r w:rsidRPr="002D159C">
        <w:rPr>
          <w:i/>
          <w:lang w:val="en-US"/>
        </w:rPr>
        <w:t>Visser v Hull</w:t>
      </w:r>
      <w:r>
        <w:rPr>
          <w:lang w:val="en-US"/>
        </w:rPr>
        <w:t xml:space="preserve"> 2010 (1) SA 521 (WCC) at para 8 and </w:t>
      </w:r>
      <w:r w:rsidRPr="002D159C">
        <w:rPr>
          <w:i/>
          <w:lang w:val="en-US"/>
        </w:rPr>
        <w:t>Sishaba v Skweyiya</w:t>
      </w:r>
      <w:r>
        <w:rPr>
          <w:lang w:val="en-US"/>
        </w:rPr>
        <w:t xml:space="preserve"> [2008] ZAECHC 25, referred to in </w:t>
      </w:r>
      <w:r w:rsidRPr="002D159C">
        <w:rPr>
          <w:i/>
          <w:lang w:val="en-US"/>
        </w:rPr>
        <w:t>Marais</w:t>
      </w:r>
      <w:r>
        <w:rPr>
          <w:lang w:val="en-US"/>
        </w:rPr>
        <w:t xml:space="preserve"> at para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205627"/>
      <w:docPartObj>
        <w:docPartGallery w:val="Page Numbers (Top of Page)"/>
        <w:docPartUnique/>
      </w:docPartObj>
    </w:sdtPr>
    <w:sdtEndPr>
      <w:rPr>
        <w:noProof/>
      </w:rPr>
    </w:sdtEndPr>
    <w:sdtContent>
      <w:p w14:paraId="68BB68F8" w14:textId="0CF313B8" w:rsidR="002D159C" w:rsidRDefault="002D159C">
        <w:pPr>
          <w:pStyle w:val="Header"/>
          <w:jc w:val="right"/>
        </w:pPr>
        <w:r>
          <w:fldChar w:fldCharType="begin"/>
        </w:r>
        <w:r>
          <w:instrText xml:space="preserve"> PAGE   \* MERGEFORMAT </w:instrText>
        </w:r>
        <w:r>
          <w:fldChar w:fldCharType="separate"/>
        </w:r>
        <w:r w:rsidR="00D078E4">
          <w:rPr>
            <w:noProof/>
          </w:rPr>
          <w:t>2</w:t>
        </w:r>
        <w:r>
          <w:rPr>
            <w:noProof/>
          </w:rPr>
          <w:fldChar w:fldCharType="end"/>
        </w:r>
      </w:p>
    </w:sdtContent>
  </w:sdt>
  <w:p w14:paraId="78B6DA8A" w14:textId="77777777" w:rsidR="002D159C" w:rsidRDefault="002D1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83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843F7D"/>
    <w:multiLevelType w:val="hybridMultilevel"/>
    <w:tmpl w:val="9526747E"/>
    <w:lvl w:ilvl="0" w:tplc="47EA42C2">
      <w:start w:val="1"/>
      <w:numFmt w:val="decimal"/>
      <w:lvlText w:val="%1."/>
      <w:lvlJc w:val="left"/>
      <w:pPr>
        <w:ind w:left="1441" w:hanging="59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8C53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905778"/>
    <w:multiLevelType w:val="multilevel"/>
    <w:tmpl w:val="A70885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14524D09"/>
    <w:multiLevelType w:val="multilevel"/>
    <w:tmpl w:val="27C62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0">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D46938"/>
    <w:multiLevelType w:val="multilevel"/>
    <w:tmpl w:val="978AFA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D8053B"/>
    <w:multiLevelType w:val="hybridMultilevel"/>
    <w:tmpl w:val="D430D300"/>
    <w:lvl w:ilvl="0" w:tplc="8DF6B08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220E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095F4E"/>
    <w:multiLevelType w:val="hybridMultilevel"/>
    <w:tmpl w:val="15DC216A"/>
    <w:lvl w:ilvl="0" w:tplc="AC967E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82939AD"/>
    <w:multiLevelType w:val="hybridMultilevel"/>
    <w:tmpl w:val="EA28AB60"/>
    <w:lvl w:ilvl="0" w:tplc="FD08B2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86C5451"/>
    <w:multiLevelType w:val="hybridMultilevel"/>
    <w:tmpl w:val="BF9C62E4"/>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3">
    <w:nsid w:val="44FC469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25">
    <w:nsid w:val="4AEA3C5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BEE26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236418"/>
    <w:multiLevelType w:val="multilevel"/>
    <w:tmpl w:val="7DA6B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6D60C7"/>
    <w:multiLevelType w:val="hybridMultilevel"/>
    <w:tmpl w:val="A09CEC36"/>
    <w:lvl w:ilvl="0" w:tplc="D30E7D8C">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31">
    <w:nsid w:val="5D402252"/>
    <w:multiLevelType w:val="hybridMultilevel"/>
    <w:tmpl w:val="A19ED0A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EA76DDB"/>
    <w:multiLevelType w:val="hybridMultilevel"/>
    <w:tmpl w:val="593A8BA4"/>
    <w:lvl w:ilvl="0" w:tplc="6F2C641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4">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A6E599C"/>
    <w:multiLevelType w:val="multilevel"/>
    <w:tmpl w:val="FF085C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B10040D"/>
    <w:multiLevelType w:val="hybridMultilevel"/>
    <w:tmpl w:val="074654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DF2228F"/>
    <w:multiLevelType w:val="multilevel"/>
    <w:tmpl w:val="75387EF0"/>
    <w:lvl w:ilvl="0">
      <w:start w:val="1"/>
      <w:numFmt w:val="decimal"/>
      <w:lvlText w:val="%1."/>
      <w:lvlJc w:val="left"/>
      <w:pPr>
        <w:ind w:left="1429" w:hanging="360"/>
      </w:pPr>
    </w:lvl>
    <w:lvl w:ilvl="1">
      <w:start w:val="1"/>
      <w:numFmt w:val="decimal"/>
      <w:isLgl/>
      <w:lvlText w:val="%1.%2"/>
      <w:lvlJc w:val="left"/>
      <w:pPr>
        <w:ind w:left="1440" w:hanging="360"/>
      </w:pPr>
      <w:rPr>
        <w:rFonts w:hint="default"/>
        <w:sz w:val="28"/>
        <w:szCs w:val="28"/>
      </w:rPr>
    </w:lvl>
    <w:lvl w:ilvl="2">
      <w:start w:val="1"/>
      <w:numFmt w:val="decimal"/>
      <w:isLgl/>
      <w:lvlText w:val="%1.%2.%3"/>
      <w:lvlJc w:val="left"/>
      <w:pPr>
        <w:ind w:left="181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39">
    <w:nsid w:val="6EA465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171925"/>
    <w:multiLevelType w:val="multilevel"/>
    <w:tmpl w:val="B9081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7BD5C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0"/>
  </w:num>
  <w:num w:numId="3">
    <w:abstractNumId w:val="33"/>
  </w:num>
  <w:num w:numId="4">
    <w:abstractNumId w:val="24"/>
  </w:num>
  <w:num w:numId="5">
    <w:abstractNumId w:val="42"/>
  </w:num>
  <w:num w:numId="6">
    <w:abstractNumId w:val="10"/>
  </w:num>
  <w:num w:numId="7">
    <w:abstractNumId w:val="16"/>
  </w:num>
  <w:num w:numId="8">
    <w:abstractNumId w:val="4"/>
  </w:num>
  <w:num w:numId="9">
    <w:abstractNumId w:val="28"/>
  </w:num>
  <w:num w:numId="10">
    <w:abstractNumId w:val="14"/>
  </w:num>
  <w:num w:numId="11">
    <w:abstractNumId w:val="34"/>
  </w:num>
  <w:num w:numId="12">
    <w:abstractNumId w:val="17"/>
  </w:num>
  <w:num w:numId="13">
    <w:abstractNumId w:val="2"/>
  </w:num>
  <w:num w:numId="14">
    <w:abstractNumId w:val="22"/>
  </w:num>
  <w:num w:numId="15">
    <w:abstractNumId w:val="36"/>
  </w:num>
  <w:num w:numId="16">
    <w:abstractNumId w:val="21"/>
  </w:num>
  <w:num w:numId="17">
    <w:abstractNumId w:val="9"/>
  </w:num>
  <w:num w:numId="18">
    <w:abstractNumId w:val="38"/>
  </w:num>
  <w:num w:numId="19">
    <w:abstractNumId w:val="29"/>
  </w:num>
  <w:num w:numId="20">
    <w:abstractNumId w:val="0"/>
  </w:num>
  <w:num w:numId="21">
    <w:abstractNumId w:val="26"/>
  </w:num>
  <w:num w:numId="22">
    <w:abstractNumId w:val="27"/>
  </w:num>
  <w:num w:numId="23">
    <w:abstractNumId w:val="7"/>
  </w:num>
  <w:num w:numId="24">
    <w:abstractNumId w:val="23"/>
  </w:num>
  <w:num w:numId="25">
    <w:abstractNumId w:val="8"/>
  </w:num>
  <w:num w:numId="26">
    <w:abstractNumId w:val="25"/>
  </w:num>
  <w:num w:numId="27">
    <w:abstractNumId w:val="11"/>
  </w:num>
  <w:num w:numId="28">
    <w:abstractNumId w:val="5"/>
  </w:num>
  <w:num w:numId="29">
    <w:abstractNumId w:val="39"/>
  </w:num>
  <w:num w:numId="30">
    <w:abstractNumId w:val="40"/>
  </w:num>
  <w:num w:numId="31">
    <w:abstractNumId w:val="13"/>
  </w:num>
  <w:num w:numId="32">
    <w:abstractNumId w:val="41"/>
  </w:num>
  <w:num w:numId="33">
    <w:abstractNumId w:val="6"/>
  </w:num>
  <w:num w:numId="34">
    <w:abstractNumId w:val="30"/>
  </w:num>
  <w:num w:numId="35">
    <w:abstractNumId w:val="18"/>
  </w:num>
  <w:num w:numId="36">
    <w:abstractNumId w:val="35"/>
  </w:num>
  <w:num w:numId="37">
    <w:abstractNumId w:val="19"/>
  </w:num>
  <w:num w:numId="38">
    <w:abstractNumId w:val="31"/>
  </w:num>
  <w:num w:numId="39">
    <w:abstractNumId w:val="37"/>
  </w:num>
  <w:num w:numId="40">
    <w:abstractNumId w:val="15"/>
  </w:num>
  <w:num w:numId="41">
    <w:abstractNumId w:val="12"/>
  </w:num>
  <w:num w:numId="42">
    <w:abstractNumId w:val="32"/>
  </w:num>
  <w:num w:numId="4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9E1"/>
    <w:rsid w:val="000305A5"/>
    <w:rsid w:val="00030A67"/>
    <w:rsid w:val="000317C6"/>
    <w:rsid w:val="00033FCE"/>
    <w:rsid w:val="00034412"/>
    <w:rsid w:val="00035B9F"/>
    <w:rsid w:val="0003669C"/>
    <w:rsid w:val="00037F5C"/>
    <w:rsid w:val="00041065"/>
    <w:rsid w:val="00042AEE"/>
    <w:rsid w:val="00042C2E"/>
    <w:rsid w:val="00042FF2"/>
    <w:rsid w:val="00043182"/>
    <w:rsid w:val="000434D3"/>
    <w:rsid w:val="00045BD7"/>
    <w:rsid w:val="00045D96"/>
    <w:rsid w:val="00046C79"/>
    <w:rsid w:val="000473D1"/>
    <w:rsid w:val="00047933"/>
    <w:rsid w:val="00047E03"/>
    <w:rsid w:val="000516D4"/>
    <w:rsid w:val="000532CD"/>
    <w:rsid w:val="000542FF"/>
    <w:rsid w:val="00055BE0"/>
    <w:rsid w:val="000566E3"/>
    <w:rsid w:val="00057A72"/>
    <w:rsid w:val="00057E9E"/>
    <w:rsid w:val="00060A8C"/>
    <w:rsid w:val="00061EFE"/>
    <w:rsid w:val="000624C5"/>
    <w:rsid w:val="0006355E"/>
    <w:rsid w:val="000639A7"/>
    <w:rsid w:val="0006707B"/>
    <w:rsid w:val="000703AC"/>
    <w:rsid w:val="00072BFD"/>
    <w:rsid w:val="00072CBF"/>
    <w:rsid w:val="0007523E"/>
    <w:rsid w:val="00075525"/>
    <w:rsid w:val="0007620F"/>
    <w:rsid w:val="000770ED"/>
    <w:rsid w:val="000806F6"/>
    <w:rsid w:val="00080C2F"/>
    <w:rsid w:val="000825E2"/>
    <w:rsid w:val="00083384"/>
    <w:rsid w:val="00083FBA"/>
    <w:rsid w:val="00084CCD"/>
    <w:rsid w:val="00086D93"/>
    <w:rsid w:val="00087699"/>
    <w:rsid w:val="000917D0"/>
    <w:rsid w:val="00091D60"/>
    <w:rsid w:val="0009582C"/>
    <w:rsid w:val="000963FB"/>
    <w:rsid w:val="00097E48"/>
    <w:rsid w:val="000A05BB"/>
    <w:rsid w:val="000A0CAC"/>
    <w:rsid w:val="000A0EDC"/>
    <w:rsid w:val="000A17D7"/>
    <w:rsid w:val="000A1D68"/>
    <w:rsid w:val="000A2ECD"/>
    <w:rsid w:val="000A36D5"/>
    <w:rsid w:val="000A4C26"/>
    <w:rsid w:val="000A51AA"/>
    <w:rsid w:val="000A58D6"/>
    <w:rsid w:val="000A6C85"/>
    <w:rsid w:val="000A6F67"/>
    <w:rsid w:val="000A7AF5"/>
    <w:rsid w:val="000B1F53"/>
    <w:rsid w:val="000B4277"/>
    <w:rsid w:val="000B4EAB"/>
    <w:rsid w:val="000B5D09"/>
    <w:rsid w:val="000B6EA0"/>
    <w:rsid w:val="000B710E"/>
    <w:rsid w:val="000B7286"/>
    <w:rsid w:val="000B72C9"/>
    <w:rsid w:val="000C0769"/>
    <w:rsid w:val="000C2192"/>
    <w:rsid w:val="000C39B9"/>
    <w:rsid w:val="000C4B4E"/>
    <w:rsid w:val="000C6D5D"/>
    <w:rsid w:val="000C70D0"/>
    <w:rsid w:val="000D280A"/>
    <w:rsid w:val="000D2DFB"/>
    <w:rsid w:val="000D4E82"/>
    <w:rsid w:val="000D53E7"/>
    <w:rsid w:val="000D697B"/>
    <w:rsid w:val="000D6B2B"/>
    <w:rsid w:val="000E145E"/>
    <w:rsid w:val="000E289C"/>
    <w:rsid w:val="000E2BB2"/>
    <w:rsid w:val="000E2E36"/>
    <w:rsid w:val="000E3B71"/>
    <w:rsid w:val="000E3C72"/>
    <w:rsid w:val="000E4D8F"/>
    <w:rsid w:val="000E671B"/>
    <w:rsid w:val="000F2E64"/>
    <w:rsid w:val="000F35C1"/>
    <w:rsid w:val="000F3B5F"/>
    <w:rsid w:val="000F5981"/>
    <w:rsid w:val="000F5CFF"/>
    <w:rsid w:val="000F6ADD"/>
    <w:rsid w:val="000F6F0B"/>
    <w:rsid w:val="000F72F9"/>
    <w:rsid w:val="00100B4D"/>
    <w:rsid w:val="001026BF"/>
    <w:rsid w:val="001029BE"/>
    <w:rsid w:val="00105745"/>
    <w:rsid w:val="00111541"/>
    <w:rsid w:val="00112C06"/>
    <w:rsid w:val="00113BAA"/>
    <w:rsid w:val="00114297"/>
    <w:rsid w:val="001154F7"/>
    <w:rsid w:val="00115843"/>
    <w:rsid w:val="00115A7D"/>
    <w:rsid w:val="0011779C"/>
    <w:rsid w:val="00120752"/>
    <w:rsid w:val="0012123B"/>
    <w:rsid w:val="00122F2A"/>
    <w:rsid w:val="00125D4D"/>
    <w:rsid w:val="00126BE3"/>
    <w:rsid w:val="00127156"/>
    <w:rsid w:val="00127979"/>
    <w:rsid w:val="00127BE5"/>
    <w:rsid w:val="00130162"/>
    <w:rsid w:val="001328BC"/>
    <w:rsid w:val="00132E4B"/>
    <w:rsid w:val="00133B51"/>
    <w:rsid w:val="00133E05"/>
    <w:rsid w:val="00134102"/>
    <w:rsid w:val="00134508"/>
    <w:rsid w:val="001348C0"/>
    <w:rsid w:val="001379F2"/>
    <w:rsid w:val="00140000"/>
    <w:rsid w:val="00141A99"/>
    <w:rsid w:val="00142AB8"/>
    <w:rsid w:val="001430D2"/>
    <w:rsid w:val="0014349A"/>
    <w:rsid w:val="001451A4"/>
    <w:rsid w:val="00145921"/>
    <w:rsid w:val="00145B15"/>
    <w:rsid w:val="00145E2C"/>
    <w:rsid w:val="00146336"/>
    <w:rsid w:val="00147D17"/>
    <w:rsid w:val="0015347A"/>
    <w:rsid w:val="001555BF"/>
    <w:rsid w:val="001611A4"/>
    <w:rsid w:val="00163CCE"/>
    <w:rsid w:val="00167EC4"/>
    <w:rsid w:val="001710E5"/>
    <w:rsid w:val="00172A0C"/>
    <w:rsid w:val="0017796A"/>
    <w:rsid w:val="0018055B"/>
    <w:rsid w:val="00182869"/>
    <w:rsid w:val="00182A50"/>
    <w:rsid w:val="001835BA"/>
    <w:rsid w:val="00184B1E"/>
    <w:rsid w:val="00184CA2"/>
    <w:rsid w:val="00185350"/>
    <w:rsid w:val="00185667"/>
    <w:rsid w:val="00185A2C"/>
    <w:rsid w:val="00190131"/>
    <w:rsid w:val="00193794"/>
    <w:rsid w:val="00193798"/>
    <w:rsid w:val="0019651B"/>
    <w:rsid w:val="00197D01"/>
    <w:rsid w:val="001A0E70"/>
    <w:rsid w:val="001A22E2"/>
    <w:rsid w:val="001A4F3D"/>
    <w:rsid w:val="001A587F"/>
    <w:rsid w:val="001A5B15"/>
    <w:rsid w:val="001A5E10"/>
    <w:rsid w:val="001A6F9C"/>
    <w:rsid w:val="001B0218"/>
    <w:rsid w:val="001B0C22"/>
    <w:rsid w:val="001B1570"/>
    <w:rsid w:val="001B18A1"/>
    <w:rsid w:val="001B1C76"/>
    <w:rsid w:val="001B1CE7"/>
    <w:rsid w:val="001B2F0C"/>
    <w:rsid w:val="001B322B"/>
    <w:rsid w:val="001B5257"/>
    <w:rsid w:val="001B7AF5"/>
    <w:rsid w:val="001C11DE"/>
    <w:rsid w:val="001C25C0"/>
    <w:rsid w:val="001C2F6E"/>
    <w:rsid w:val="001C3B85"/>
    <w:rsid w:val="001C470D"/>
    <w:rsid w:val="001C5BC2"/>
    <w:rsid w:val="001C6A75"/>
    <w:rsid w:val="001C7785"/>
    <w:rsid w:val="001D0E42"/>
    <w:rsid w:val="001D173A"/>
    <w:rsid w:val="001D621F"/>
    <w:rsid w:val="001D6D2E"/>
    <w:rsid w:val="001D7D46"/>
    <w:rsid w:val="001E0669"/>
    <w:rsid w:val="001E0CE1"/>
    <w:rsid w:val="001E0F19"/>
    <w:rsid w:val="001E1A55"/>
    <w:rsid w:val="001E3ED7"/>
    <w:rsid w:val="001E5486"/>
    <w:rsid w:val="001E5656"/>
    <w:rsid w:val="001F127F"/>
    <w:rsid w:val="001F2EFB"/>
    <w:rsid w:val="001F4F2B"/>
    <w:rsid w:val="001F56C4"/>
    <w:rsid w:val="001F6A2A"/>
    <w:rsid w:val="001F7DA3"/>
    <w:rsid w:val="00200552"/>
    <w:rsid w:val="002008BB"/>
    <w:rsid w:val="00200E99"/>
    <w:rsid w:val="00204FE1"/>
    <w:rsid w:val="002100DA"/>
    <w:rsid w:val="00210ABE"/>
    <w:rsid w:val="002116B4"/>
    <w:rsid w:val="0021291E"/>
    <w:rsid w:val="00212E7A"/>
    <w:rsid w:val="00213148"/>
    <w:rsid w:val="00213674"/>
    <w:rsid w:val="00213C67"/>
    <w:rsid w:val="00214CD5"/>
    <w:rsid w:val="002162B8"/>
    <w:rsid w:val="00216D5F"/>
    <w:rsid w:val="00216E77"/>
    <w:rsid w:val="00217DD9"/>
    <w:rsid w:val="00220555"/>
    <w:rsid w:val="00220D0C"/>
    <w:rsid w:val="00222B7F"/>
    <w:rsid w:val="00222C8D"/>
    <w:rsid w:val="002239A2"/>
    <w:rsid w:val="00223DCD"/>
    <w:rsid w:val="0023155E"/>
    <w:rsid w:val="00240B2C"/>
    <w:rsid w:val="002434A7"/>
    <w:rsid w:val="002438D1"/>
    <w:rsid w:val="00245618"/>
    <w:rsid w:val="002465F4"/>
    <w:rsid w:val="002537BA"/>
    <w:rsid w:val="00253FFE"/>
    <w:rsid w:val="00254203"/>
    <w:rsid w:val="00255C64"/>
    <w:rsid w:val="00257018"/>
    <w:rsid w:val="002577E4"/>
    <w:rsid w:val="00267BED"/>
    <w:rsid w:val="00270A14"/>
    <w:rsid w:val="0027160E"/>
    <w:rsid w:val="00272C77"/>
    <w:rsid w:val="00273A27"/>
    <w:rsid w:val="00274600"/>
    <w:rsid w:val="00274C56"/>
    <w:rsid w:val="00274CED"/>
    <w:rsid w:val="00276F39"/>
    <w:rsid w:val="0028003E"/>
    <w:rsid w:val="00282FE1"/>
    <w:rsid w:val="002856D3"/>
    <w:rsid w:val="00286AD5"/>
    <w:rsid w:val="0029581B"/>
    <w:rsid w:val="002A09A1"/>
    <w:rsid w:val="002A3FB2"/>
    <w:rsid w:val="002A546E"/>
    <w:rsid w:val="002A63A5"/>
    <w:rsid w:val="002A6D98"/>
    <w:rsid w:val="002A7021"/>
    <w:rsid w:val="002B0B14"/>
    <w:rsid w:val="002B3C88"/>
    <w:rsid w:val="002B5A11"/>
    <w:rsid w:val="002B5F01"/>
    <w:rsid w:val="002B692B"/>
    <w:rsid w:val="002C0DDC"/>
    <w:rsid w:val="002C322C"/>
    <w:rsid w:val="002C33A2"/>
    <w:rsid w:val="002C379B"/>
    <w:rsid w:val="002C45C1"/>
    <w:rsid w:val="002C5CFD"/>
    <w:rsid w:val="002C5F49"/>
    <w:rsid w:val="002C7C07"/>
    <w:rsid w:val="002D159C"/>
    <w:rsid w:val="002D1B78"/>
    <w:rsid w:val="002D2FD8"/>
    <w:rsid w:val="002D3433"/>
    <w:rsid w:val="002D5469"/>
    <w:rsid w:val="002E0F9C"/>
    <w:rsid w:val="002E2287"/>
    <w:rsid w:val="002E3D6A"/>
    <w:rsid w:val="002E3E99"/>
    <w:rsid w:val="002E546D"/>
    <w:rsid w:val="002E62F6"/>
    <w:rsid w:val="002E791C"/>
    <w:rsid w:val="002F11D4"/>
    <w:rsid w:val="002F55F6"/>
    <w:rsid w:val="002F63E1"/>
    <w:rsid w:val="002F6F7E"/>
    <w:rsid w:val="002F7FC9"/>
    <w:rsid w:val="00301D68"/>
    <w:rsid w:val="003037F4"/>
    <w:rsid w:val="003043A5"/>
    <w:rsid w:val="003100A9"/>
    <w:rsid w:val="003102DE"/>
    <w:rsid w:val="00310383"/>
    <w:rsid w:val="0031116C"/>
    <w:rsid w:val="00311426"/>
    <w:rsid w:val="00312DD5"/>
    <w:rsid w:val="00315DF2"/>
    <w:rsid w:val="00316280"/>
    <w:rsid w:val="003177A0"/>
    <w:rsid w:val="00320E7B"/>
    <w:rsid w:val="003259BF"/>
    <w:rsid w:val="00326058"/>
    <w:rsid w:val="0032722B"/>
    <w:rsid w:val="003311A3"/>
    <w:rsid w:val="00331307"/>
    <w:rsid w:val="00331946"/>
    <w:rsid w:val="00333616"/>
    <w:rsid w:val="0033543A"/>
    <w:rsid w:val="00335F0B"/>
    <w:rsid w:val="00336CFE"/>
    <w:rsid w:val="00337396"/>
    <w:rsid w:val="003378DF"/>
    <w:rsid w:val="00337E14"/>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5D25"/>
    <w:rsid w:val="00390D1B"/>
    <w:rsid w:val="00391CA3"/>
    <w:rsid w:val="00393057"/>
    <w:rsid w:val="00393112"/>
    <w:rsid w:val="00397C42"/>
    <w:rsid w:val="003A0859"/>
    <w:rsid w:val="003A1568"/>
    <w:rsid w:val="003A4D7A"/>
    <w:rsid w:val="003A75D0"/>
    <w:rsid w:val="003A7831"/>
    <w:rsid w:val="003A7990"/>
    <w:rsid w:val="003B0968"/>
    <w:rsid w:val="003B1932"/>
    <w:rsid w:val="003B2C23"/>
    <w:rsid w:val="003B4628"/>
    <w:rsid w:val="003B663E"/>
    <w:rsid w:val="003B78D9"/>
    <w:rsid w:val="003C026D"/>
    <w:rsid w:val="003C419C"/>
    <w:rsid w:val="003C50B4"/>
    <w:rsid w:val="003D0F00"/>
    <w:rsid w:val="003D4011"/>
    <w:rsid w:val="003D46D7"/>
    <w:rsid w:val="003D4E22"/>
    <w:rsid w:val="003D77CC"/>
    <w:rsid w:val="003E1931"/>
    <w:rsid w:val="003E26DA"/>
    <w:rsid w:val="003E3122"/>
    <w:rsid w:val="003E3B9F"/>
    <w:rsid w:val="003E4489"/>
    <w:rsid w:val="003E4EC2"/>
    <w:rsid w:val="003E5AFA"/>
    <w:rsid w:val="003E6E23"/>
    <w:rsid w:val="003F239E"/>
    <w:rsid w:val="003F3B5A"/>
    <w:rsid w:val="003F4598"/>
    <w:rsid w:val="003F5C30"/>
    <w:rsid w:val="003F6612"/>
    <w:rsid w:val="003F6F3F"/>
    <w:rsid w:val="0040206E"/>
    <w:rsid w:val="004033C6"/>
    <w:rsid w:val="00403849"/>
    <w:rsid w:val="004040BB"/>
    <w:rsid w:val="00404DEE"/>
    <w:rsid w:val="00410EB3"/>
    <w:rsid w:val="00412736"/>
    <w:rsid w:val="004135FD"/>
    <w:rsid w:val="00413917"/>
    <w:rsid w:val="00413F27"/>
    <w:rsid w:val="00415832"/>
    <w:rsid w:val="00415CEE"/>
    <w:rsid w:val="004160C3"/>
    <w:rsid w:val="00423311"/>
    <w:rsid w:val="004238BC"/>
    <w:rsid w:val="004276AC"/>
    <w:rsid w:val="00430743"/>
    <w:rsid w:val="004321F6"/>
    <w:rsid w:val="0043243C"/>
    <w:rsid w:val="00432496"/>
    <w:rsid w:val="0043287B"/>
    <w:rsid w:val="00435B17"/>
    <w:rsid w:val="00435E00"/>
    <w:rsid w:val="004402F6"/>
    <w:rsid w:val="0044155F"/>
    <w:rsid w:val="0044208E"/>
    <w:rsid w:val="004425E6"/>
    <w:rsid w:val="0044324A"/>
    <w:rsid w:val="00443C72"/>
    <w:rsid w:val="00443E13"/>
    <w:rsid w:val="00443F15"/>
    <w:rsid w:val="00447E39"/>
    <w:rsid w:val="00451AFA"/>
    <w:rsid w:val="00451FD9"/>
    <w:rsid w:val="00451FE6"/>
    <w:rsid w:val="0045437C"/>
    <w:rsid w:val="00454D02"/>
    <w:rsid w:val="004559E9"/>
    <w:rsid w:val="00457350"/>
    <w:rsid w:val="004573C2"/>
    <w:rsid w:val="00457C74"/>
    <w:rsid w:val="00460D57"/>
    <w:rsid w:val="00461C12"/>
    <w:rsid w:val="0046244D"/>
    <w:rsid w:val="004631C6"/>
    <w:rsid w:val="00463533"/>
    <w:rsid w:val="004635B0"/>
    <w:rsid w:val="0046655B"/>
    <w:rsid w:val="00466C22"/>
    <w:rsid w:val="00470A69"/>
    <w:rsid w:val="00470DDD"/>
    <w:rsid w:val="004744DE"/>
    <w:rsid w:val="00474BB5"/>
    <w:rsid w:val="00475438"/>
    <w:rsid w:val="004754F5"/>
    <w:rsid w:val="00475E75"/>
    <w:rsid w:val="004762A0"/>
    <w:rsid w:val="00477416"/>
    <w:rsid w:val="004812FC"/>
    <w:rsid w:val="00481794"/>
    <w:rsid w:val="00481BF7"/>
    <w:rsid w:val="004821A0"/>
    <w:rsid w:val="00482B26"/>
    <w:rsid w:val="004846FD"/>
    <w:rsid w:val="00484DFC"/>
    <w:rsid w:val="004864B6"/>
    <w:rsid w:val="00486E9D"/>
    <w:rsid w:val="0048784B"/>
    <w:rsid w:val="00490F69"/>
    <w:rsid w:val="0049411B"/>
    <w:rsid w:val="00495527"/>
    <w:rsid w:val="00496968"/>
    <w:rsid w:val="0049785C"/>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D24EE"/>
    <w:rsid w:val="004E0A01"/>
    <w:rsid w:val="004E1905"/>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3010"/>
    <w:rsid w:val="00516383"/>
    <w:rsid w:val="00516F7E"/>
    <w:rsid w:val="0051793E"/>
    <w:rsid w:val="0052100E"/>
    <w:rsid w:val="00524020"/>
    <w:rsid w:val="00527336"/>
    <w:rsid w:val="00527BC0"/>
    <w:rsid w:val="005320DF"/>
    <w:rsid w:val="00532CFD"/>
    <w:rsid w:val="0053517D"/>
    <w:rsid w:val="00541570"/>
    <w:rsid w:val="00541D87"/>
    <w:rsid w:val="00541E26"/>
    <w:rsid w:val="005431B6"/>
    <w:rsid w:val="00543216"/>
    <w:rsid w:val="005534FA"/>
    <w:rsid w:val="00553D63"/>
    <w:rsid w:val="00556A9F"/>
    <w:rsid w:val="005624F2"/>
    <w:rsid w:val="00563DDA"/>
    <w:rsid w:val="0056465B"/>
    <w:rsid w:val="00564E18"/>
    <w:rsid w:val="00571327"/>
    <w:rsid w:val="00571602"/>
    <w:rsid w:val="00571944"/>
    <w:rsid w:val="0057232F"/>
    <w:rsid w:val="00576695"/>
    <w:rsid w:val="00576B66"/>
    <w:rsid w:val="005775D4"/>
    <w:rsid w:val="00577E87"/>
    <w:rsid w:val="0058101D"/>
    <w:rsid w:val="00582084"/>
    <w:rsid w:val="00582786"/>
    <w:rsid w:val="00583D93"/>
    <w:rsid w:val="0058433C"/>
    <w:rsid w:val="005845AF"/>
    <w:rsid w:val="005857F0"/>
    <w:rsid w:val="005910C8"/>
    <w:rsid w:val="0059193B"/>
    <w:rsid w:val="00592725"/>
    <w:rsid w:val="00593F39"/>
    <w:rsid w:val="00594B4F"/>
    <w:rsid w:val="00595AC8"/>
    <w:rsid w:val="0059602E"/>
    <w:rsid w:val="00596461"/>
    <w:rsid w:val="005A081F"/>
    <w:rsid w:val="005A0B18"/>
    <w:rsid w:val="005A0BB0"/>
    <w:rsid w:val="005A0C31"/>
    <w:rsid w:val="005A0C53"/>
    <w:rsid w:val="005A1ED7"/>
    <w:rsid w:val="005A20F3"/>
    <w:rsid w:val="005A59D5"/>
    <w:rsid w:val="005A650C"/>
    <w:rsid w:val="005B1CBB"/>
    <w:rsid w:val="005B2433"/>
    <w:rsid w:val="005B3393"/>
    <w:rsid w:val="005B3CDD"/>
    <w:rsid w:val="005B4583"/>
    <w:rsid w:val="005B4907"/>
    <w:rsid w:val="005B4921"/>
    <w:rsid w:val="005B49C2"/>
    <w:rsid w:val="005B758D"/>
    <w:rsid w:val="005B78D3"/>
    <w:rsid w:val="005C1C1A"/>
    <w:rsid w:val="005C617D"/>
    <w:rsid w:val="005C62B8"/>
    <w:rsid w:val="005D3618"/>
    <w:rsid w:val="005D3C81"/>
    <w:rsid w:val="005D47F9"/>
    <w:rsid w:val="005D5321"/>
    <w:rsid w:val="005E03BD"/>
    <w:rsid w:val="005E0A5F"/>
    <w:rsid w:val="005E1627"/>
    <w:rsid w:val="005E2A9F"/>
    <w:rsid w:val="005E2E4D"/>
    <w:rsid w:val="005E31F1"/>
    <w:rsid w:val="005E5538"/>
    <w:rsid w:val="005E55EF"/>
    <w:rsid w:val="005E7C0D"/>
    <w:rsid w:val="005F0D9B"/>
    <w:rsid w:val="005F1FA1"/>
    <w:rsid w:val="005F291D"/>
    <w:rsid w:val="005F2A87"/>
    <w:rsid w:val="005F2DAE"/>
    <w:rsid w:val="005F326D"/>
    <w:rsid w:val="005F3FF1"/>
    <w:rsid w:val="005F4190"/>
    <w:rsid w:val="005F5E51"/>
    <w:rsid w:val="005F65D2"/>
    <w:rsid w:val="005F662B"/>
    <w:rsid w:val="00600038"/>
    <w:rsid w:val="00601FF5"/>
    <w:rsid w:val="0060200B"/>
    <w:rsid w:val="00602A9C"/>
    <w:rsid w:val="00603219"/>
    <w:rsid w:val="0060399B"/>
    <w:rsid w:val="006044DD"/>
    <w:rsid w:val="00611CEE"/>
    <w:rsid w:val="006122C4"/>
    <w:rsid w:val="00613321"/>
    <w:rsid w:val="006144C0"/>
    <w:rsid w:val="00615545"/>
    <w:rsid w:val="00617015"/>
    <w:rsid w:val="00620477"/>
    <w:rsid w:val="006205B7"/>
    <w:rsid w:val="00621099"/>
    <w:rsid w:val="00621442"/>
    <w:rsid w:val="006221BC"/>
    <w:rsid w:val="006228B9"/>
    <w:rsid w:val="00624082"/>
    <w:rsid w:val="00624317"/>
    <w:rsid w:val="00624A32"/>
    <w:rsid w:val="00624B64"/>
    <w:rsid w:val="00624D2B"/>
    <w:rsid w:val="0063155B"/>
    <w:rsid w:val="00631B34"/>
    <w:rsid w:val="006329ED"/>
    <w:rsid w:val="00634114"/>
    <w:rsid w:val="006352A2"/>
    <w:rsid w:val="006356BF"/>
    <w:rsid w:val="006366BA"/>
    <w:rsid w:val="006376F2"/>
    <w:rsid w:val="00637EFE"/>
    <w:rsid w:val="0064001F"/>
    <w:rsid w:val="006422CF"/>
    <w:rsid w:val="00642757"/>
    <w:rsid w:val="00642CA8"/>
    <w:rsid w:val="00645580"/>
    <w:rsid w:val="00645B7E"/>
    <w:rsid w:val="006471D9"/>
    <w:rsid w:val="00647E02"/>
    <w:rsid w:val="00650540"/>
    <w:rsid w:val="0065057E"/>
    <w:rsid w:val="00650F70"/>
    <w:rsid w:val="006520BB"/>
    <w:rsid w:val="00652C41"/>
    <w:rsid w:val="00655242"/>
    <w:rsid w:val="0065570B"/>
    <w:rsid w:val="00655737"/>
    <w:rsid w:val="006559C3"/>
    <w:rsid w:val="00661C05"/>
    <w:rsid w:val="00661E0F"/>
    <w:rsid w:val="00663010"/>
    <w:rsid w:val="00664F68"/>
    <w:rsid w:val="00666982"/>
    <w:rsid w:val="00667864"/>
    <w:rsid w:val="00671123"/>
    <w:rsid w:val="00672C28"/>
    <w:rsid w:val="0067340E"/>
    <w:rsid w:val="006755EC"/>
    <w:rsid w:val="00675A37"/>
    <w:rsid w:val="00675F16"/>
    <w:rsid w:val="00676904"/>
    <w:rsid w:val="006834B7"/>
    <w:rsid w:val="00684668"/>
    <w:rsid w:val="00684BAC"/>
    <w:rsid w:val="00686976"/>
    <w:rsid w:val="00687A2C"/>
    <w:rsid w:val="00693F97"/>
    <w:rsid w:val="006941C5"/>
    <w:rsid w:val="00694E64"/>
    <w:rsid w:val="006955BB"/>
    <w:rsid w:val="00695A24"/>
    <w:rsid w:val="00697479"/>
    <w:rsid w:val="00697626"/>
    <w:rsid w:val="00697A20"/>
    <w:rsid w:val="006A00DA"/>
    <w:rsid w:val="006A2CC6"/>
    <w:rsid w:val="006A3265"/>
    <w:rsid w:val="006A4872"/>
    <w:rsid w:val="006A5A6B"/>
    <w:rsid w:val="006A5FC3"/>
    <w:rsid w:val="006A6D3D"/>
    <w:rsid w:val="006A7C65"/>
    <w:rsid w:val="006B0512"/>
    <w:rsid w:val="006B06C6"/>
    <w:rsid w:val="006B1503"/>
    <w:rsid w:val="006B1ED4"/>
    <w:rsid w:val="006B29BF"/>
    <w:rsid w:val="006B2DDD"/>
    <w:rsid w:val="006B3AD7"/>
    <w:rsid w:val="006B43C8"/>
    <w:rsid w:val="006B4BDA"/>
    <w:rsid w:val="006B54E3"/>
    <w:rsid w:val="006B5EE2"/>
    <w:rsid w:val="006B5FB3"/>
    <w:rsid w:val="006B65D6"/>
    <w:rsid w:val="006C003B"/>
    <w:rsid w:val="006C198E"/>
    <w:rsid w:val="006C1EA5"/>
    <w:rsid w:val="006C21A9"/>
    <w:rsid w:val="006C2A6E"/>
    <w:rsid w:val="006C2B85"/>
    <w:rsid w:val="006C3C8A"/>
    <w:rsid w:val="006C4C03"/>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5FB6"/>
    <w:rsid w:val="006F786F"/>
    <w:rsid w:val="00702CA0"/>
    <w:rsid w:val="0070376A"/>
    <w:rsid w:val="00704D51"/>
    <w:rsid w:val="00705887"/>
    <w:rsid w:val="00707250"/>
    <w:rsid w:val="00710267"/>
    <w:rsid w:val="007103CD"/>
    <w:rsid w:val="0071098A"/>
    <w:rsid w:val="007154EC"/>
    <w:rsid w:val="007154FB"/>
    <w:rsid w:val="00716E6B"/>
    <w:rsid w:val="007206A6"/>
    <w:rsid w:val="00720D1F"/>
    <w:rsid w:val="007211EC"/>
    <w:rsid w:val="00722C56"/>
    <w:rsid w:val="00723559"/>
    <w:rsid w:val="00724AF6"/>
    <w:rsid w:val="00725A3F"/>
    <w:rsid w:val="00725D66"/>
    <w:rsid w:val="0072611F"/>
    <w:rsid w:val="00730616"/>
    <w:rsid w:val="00731C27"/>
    <w:rsid w:val="007334E6"/>
    <w:rsid w:val="00733F7B"/>
    <w:rsid w:val="00737B36"/>
    <w:rsid w:val="00737C90"/>
    <w:rsid w:val="007415E2"/>
    <w:rsid w:val="007416B9"/>
    <w:rsid w:val="007443C3"/>
    <w:rsid w:val="00744576"/>
    <w:rsid w:val="0074692B"/>
    <w:rsid w:val="00747504"/>
    <w:rsid w:val="00754B9F"/>
    <w:rsid w:val="00754E8E"/>
    <w:rsid w:val="00755A19"/>
    <w:rsid w:val="00756317"/>
    <w:rsid w:val="007608FA"/>
    <w:rsid w:val="007620DD"/>
    <w:rsid w:val="00767B3F"/>
    <w:rsid w:val="00767DF0"/>
    <w:rsid w:val="0077050B"/>
    <w:rsid w:val="0077059C"/>
    <w:rsid w:val="007736F3"/>
    <w:rsid w:val="007806DB"/>
    <w:rsid w:val="0078115B"/>
    <w:rsid w:val="00782356"/>
    <w:rsid w:val="00782E80"/>
    <w:rsid w:val="0078533D"/>
    <w:rsid w:val="007910C0"/>
    <w:rsid w:val="0079202F"/>
    <w:rsid w:val="00792C07"/>
    <w:rsid w:val="00792D3B"/>
    <w:rsid w:val="007933F3"/>
    <w:rsid w:val="00793861"/>
    <w:rsid w:val="00794BAC"/>
    <w:rsid w:val="007A1708"/>
    <w:rsid w:val="007A3FE8"/>
    <w:rsid w:val="007A4DE1"/>
    <w:rsid w:val="007A60C4"/>
    <w:rsid w:val="007B141A"/>
    <w:rsid w:val="007B2A66"/>
    <w:rsid w:val="007B5D39"/>
    <w:rsid w:val="007B626F"/>
    <w:rsid w:val="007B6AE7"/>
    <w:rsid w:val="007C472A"/>
    <w:rsid w:val="007C5A85"/>
    <w:rsid w:val="007C6197"/>
    <w:rsid w:val="007D10D4"/>
    <w:rsid w:val="007D16EB"/>
    <w:rsid w:val="007D175C"/>
    <w:rsid w:val="007D294C"/>
    <w:rsid w:val="007D447F"/>
    <w:rsid w:val="007D5363"/>
    <w:rsid w:val="007D5375"/>
    <w:rsid w:val="007D7A41"/>
    <w:rsid w:val="007E09BC"/>
    <w:rsid w:val="007E129E"/>
    <w:rsid w:val="007E1B93"/>
    <w:rsid w:val="007E3256"/>
    <w:rsid w:val="007E3281"/>
    <w:rsid w:val="007E3B5C"/>
    <w:rsid w:val="007E4882"/>
    <w:rsid w:val="007E5210"/>
    <w:rsid w:val="007E606A"/>
    <w:rsid w:val="007E67CB"/>
    <w:rsid w:val="007E68FC"/>
    <w:rsid w:val="007E7BE6"/>
    <w:rsid w:val="007F2210"/>
    <w:rsid w:val="007F3385"/>
    <w:rsid w:val="007F5305"/>
    <w:rsid w:val="007F7544"/>
    <w:rsid w:val="007F7FD5"/>
    <w:rsid w:val="00801C5E"/>
    <w:rsid w:val="0080320E"/>
    <w:rsid w:val="00803FE0"/>
    <w:rsid w:val="0081050C"/>
    <w:rsid w:val="00812F4A"/>
    <w:rsid w:val="00814577"/>
    <w:rsid w:val="008157DE"/>
    <w:rsid w:val="0081698E"/>
    <w:rsid w:val="00821A52"/>
    <w:rsid w:val="00821DFB"/>
    <w:rsid w:val="00822F4D"/>
    <w:rsid w:val="008230AA"/>
    <w:rsid w:val="008238F7"/>
    <w:rsid w:val="008246F1"/>
    <w:rsid w:val="00825A09"/>
    <w:rsid w:val="00825FE7"/>
    <w:rsid w:val="00826B94"/>
    <w:rsid w:val="00827631"/>
    <w:rsid w:val="008277EB"/>
    <w:rsid w:val="00830274"/>
    <w:rsid w:val="00833B1F"/>
    <w:rsid w:val="008340F4"/>
    <w:rsid w:val="00834376"/>
    <w:rsid w:val="0083445C"/>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5363B"/>
    <w:rsid w:val="008537CB"/>
    <w:rsid w:val="00856277"/>
    <w:rsid w:val="00860860"/>
    <w:rsid w:val="00862EB3"/>
    <w:rsid w:val="00864292"/>
    <w:rsid w:val="00871517"/>
    <w:rsid w:val="00871B8B"/>
    <w:rsid w:val="00873BAE"/>
    <w:rsid w:val="00874429"/>
    <w:rsid w:val="008762D7"/>
    <w:rsid w:val="00881749"/>
    <w:rsid w:val="00882ED1"/>
    <w:rsid w:val="008846D2"/>
    <w:rsid w:val="008850E8"/>
    <w:rsid w:val="00885474"/>
    <w:rsid w:val="0088679D"/>
    <w:rsid w:val="00893DEC"/>
    <w:rsid w:val="008968E0"/>
    <w:rsid w:val="008A268F"/>
    <w:rsid w:val="008A4A6E"/>
    <w:rsid w:val="008A6176"/>
    <w:rsid w:val="008A70AD"/>
    <w:rsid w:val="008B09F7"/>
    <w:rsid w:val="008B1518"/>
    <w:rsid w:val="008B4813"/>
    <w:rsid w:val="008B4FFA"/>
    <w:rsid w:val="008B6BB8"/>
    <w:rsid w:val="008C01A9"/>
    <w:rsid w:val="008C2808"/>
    <w:rsid w:val="008C36A7"/>
    <w:rsid w:val="008C6377"/>
    <w:rsid w:val="008C6430"/>
    <w:rsid w:val="008D1B8A"/>
    <w:rsid w:val="008D2F44"/>
    <w:rsid w:val="008D56CD"/>
    <w:rsid w:val="008E02C4"/>
    <w:rsid w:val="008E113C"/>
    <w:rsid w:val="008E1471"/>
    <w:rsid w:val="008E2623"/>
    <w:rsid w:val="008E313D"/>
    <w:rsid w:val="008E71A4"/>
    <w:rsid w:val="008F105D"/>
    <w:rsid w:val="008F2E39"/>
    <w:rsid w:val="008F34DA"/>
    <w:rsid w:val="008F38C2"/>
    <w:rsid w:val="008F3DF9"/>
    <w:rsid w:val="008F65C5"/>
    <w:rsid w:val="00901630"/>
    <w:rsid w:val="00902205"/>
    <w:rsid w:val="0090310E"/>
    <w:rsid w:val="00903DD2"/>
    <w:rsid w:val="00904CCE"/>
    <w:rsid w:val="00906593"/>
    <w:rsid w:val="00907F6C"/>
    <w:rsid w:val="00911651"/>
    <w:rsid w:val="00911D24"/>
    <w:rsid w:val="00912E21"/>
    <w:rsid w:val="009167B6"/>
    <w:rsid w:val="00916E47"/>
    <w:rsid w:val="00917AA6"/>
    <w:rsid w:val="00922C62"/>
    <w:rsid w:val="00922EDD"/>
    <w:rsid w:val="00926111"/>
    <w:rsid w:val="00926C60"/>
    <w:rsid w:val="00930C3D"/>
    <w:rsid w:val="00933262"/>
    <w:rsid w:val="00933531"/>
    <w:rsid w:val="00934827"/>
    <w:rsid w:val="00935055"/>
    <w:rsid w:val="00935763"/>
    <w:rsid w:val="00937EC6"/>
    <w:rsid w:val="009416F9"/>
    <w:rsid w:val="0094226B"/>
    <w:rsid w:val="0094387D"/>
    <w:rsid w:val="009461F2"/>
    <w:rsid w:val="009466EB"/>
    <w:rsid w:val="009467EC"/>
    <w:rsid w:val="00950726"/>
    <w:rsid w:val="00953D3F"/>
    <w:rsid w:val="00954143"/>
    <w:rsid w:val="00954A64"/>
    <w:rsid w:val="00960982"/>
    <w:rsid w:val="00964BF5"/>
    <w:rsid w:val="00965F81"/>
    <w:rsid w:val="009670E0"/>
    <w:rsid w:val="00967207"/>
    <w:rsid w:val="00967890"/>
    <w:rsid w:val="009722E6"/>
    <w:rsid w:val="00972E4E"/>
    <w:rsid w:val="0097388E"/>
    <w:rsid w:val="00973D5C"/>
    <w:rsid w:val="00974FA5"/>
    <w:rsid w:val="009752EA"/>
    <w:rsid w:val="0097666D"/>
    <w:rsid w:val="009776A0"/>
    <w:rsid w:val="0098171D"/>
    <w:rsid w:val="0098237E"/>
    <w:rsid w:val="00982B0C"/>
    <w:rsid w:val="00983D3F"/>
    <w:rsid w:val="00983F5A"/>
    <w:rsid w:val="00984A6D"/>
    <w:rsid w:val="00985155"/>
    <w:rsid w:val="00993C5D"/>
    <w:rsid w:val="00995360"/>
    <w:rsid w:val="009978BD"/>
    <w:rsid w:val="009A2315"/>
    <w:rsid w:val="009A4B95"/>
    <w:rsid w:val="009A6E57"/>
    <w:rsid w:val="009A726C"/>
    <w:rsid w:val="009A7525"/>
    <w:rsid w:val="009A784D"/>
    <w:rsid w:val="009B176A"/>
    <w:rsid w:val="009B232C"/>
    <w:rsid w:val="009B2B24"/>
    <w:rsid w:val="009B3852"/>
    <w:rsid w:val="009B3EEF"/>
    <w:rsid w:val="009B3FD7"/>
    <w:rsid w:val="009B5FBE"/>
    <w:rsid w:val="009B775C"/>
    <w:rsid w:val="009C30CF"/>
    <w:rsid w:val="009C5EE7"/>
    <w:rsid w:val="009C61C7"/>
    <w:rsid w:val="009C642D"/>
    <w:rsid w:val="009C6D08"/>
    <w:rsid w:val="009D0225"/>
    <w:rsid w:val="009D0AE0"/>
    <w:rsid w:val="009D45F9"/>
    <w:rsid w:val="009E0409"/>
    <w:rsid w:val="009E1D39"/>
    <w:rsid w:val="009E1FA6"/>
    <w:rsid w:val="009E3346"/>
    <w:rsid w:val="009E3E04"/>
    <w:rsid w:val="009E41E9"/>
    <w:rsid w:val="009E6B1B"/>
    <w:rsid w:val="009F0F1A"/>
    <w:rsid w:val="009F1EFB"/>
    <w:rsid w:val="009F5C05"/>
    <w:rsid w:val="009F62B6"/>
    <w:rsid w:val="00A00CB5"/>
    <w:rsid w:val="00A02601"/>
    <w:rsid w:val="00A02E02"/>
    <w:rsid w:val="00A10B48"/>
    <w:rsid w:val="00A10E93"/>
    <w:rsid w:val="00A12DCC"/>
    <w:rsid w:val="00A12EBA"/>
    <w:rsid w:val="00A12FC7"/>
    <w:rsid w:val="00A1422D"/>
    <w:rsid w:val="00A142C0"/>
    <w:rsid w:val="00A15758"/>
    <w:rsid w:val="00A20301"/>
    <w:rsid w:val="00A20CD1"/>
    <w:rsid w:val="00A22BAF"/>
    <w:rsid w:val="00A23A35"/>
    <w:rsid w:val="00A24BDD"/>
    <w:rsid w:val="00A257CF"/>
    <w:rsid w:val="00A2671A"/>
    <w:rsid w:val="00A3226D"/>
    <w:rsid w:val="00A33C3B"/>
    <w:rsid w:val="00A3586D"/>
    <w:rsid w:val="00A35ECA"/>
    <w:rsid w:val="00A3648F"/>
    <w:rsid w:val="00A36FCB"/>
    <w:rsid w:val="00A370E6"/>
    <w:rsid w:val="00A37CEF"/>
    <w:rsid w:val="00A43DC7"/>
    <w:rsid w:val="00A4455E"/>
    <w:rsid w:val="00A47F76"/>
    <w:rsid w:val="00A57E36"/>
    <w:rsid w:val="00A60206"/>
    <w:rsid w:val="00A6023F"/>
    <w:rsid w:val="00A631BF"/>
    <w:rsid w:val="00A6561C"/>
    <w:rsid w:val="00A67273"/>
    <w:rsid w:val="00A679BA"/>
    <w:rsid w:val="00A717B4"/>
    <w:rsid w:val="00A74921"/>
    <w:rsid w:val="00A75402"/>
    <w:rsid w:val="00A75A28"/>
    <w:rsid w:val="00A75BB6"/>
    <w:rsid w:val="00A778AE"/>
    <w:rsid w:val="00A8356E"/>
    <w:rsid w:val="00A84249"/>
    <w:rsid w:val="00A8495E"/>
    <w:rsid w:val="00A85F66"/>
    <w:rsid w:val="00A87B7B"/>
    <w:rsid w:val="00A90BC8"/>
    <w:rsid w:val="00A91788"/>
    <w:rsid w:val="00A92C38"/>
    <w:rsid w:val="00A946CE"/>
    <w:rsid w:val="00A9484B"/>
    <w:rsid w:val="00A95C57"/>
    <w:rsid w:val="00A966A7"/>
    <w:rsid w:val="00A97AF9"/>
    <w:rsid w:val="00A97CCB"/>
    <w:rsid w:val="00A97E57"/>
    <w:rsid w:val="00AA015B"/>
    <w:rsid w:val="00AA0559"/>
    <w:rsid w:val="00AA1AA0"/>
    <w:rsid w:val="00AA228B"/>
    <w:rsid w:val="00AA2619"/>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030F"/>
    <w:rsid w:val="00AD3C72"/>
    <w:rsid w:val="00AD4457"/>
    <w:rsid w:val="00AD6B7F"/>
    <w:rsid w:val="00AD79AE"/>
    <w:rsid w:val="00AE0EC5"/>
    <w:rsid w:val="00AE13E3"/>
    <w:rsid w:val="00AE352C"/>
    <w:rsid w:val="00AE382F"/>
    <w:rsid w:val="00AE3F41"/>
    <w:rsid w:val="00AE405A"/>
    <w:rsid w:val="00AE4C81"/>
    <w:rsid w:val="00AE57BB"/>
    <w:rsid w:val="00AE7ACB"/>
    <w:rsid w:val="00AF052F"/>
    <w:rsid w:val="00AF1A6F"/>
    <w:rsid w:val="00AF1DCE"/>
    <w:rsid w:val="00AF3545"/>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07D"/>
    <w:rsid w:val="00B2316D"/>
    <w:rsid w:val="00B255AC"/>
    <w:rsid w:val="00B26737"/>
    <w:rsid w:val="00B276B2"/>
    <w:rsid w:val="00B27F6B"/>
    <w:rsid w:val="00B30175"/>
    <w:rsid w:val="00B30B66"/>
    <w:rsid w:val="00B3311D"/>
    <w:rsid w:val="00B33342"/>
    <w:rsid w:val="00B34822"/>
    <w:rsid w:val="00B3593D"/>
    <w:rsid w:val="00B36FBC"/>
    <w:rsid w:val="00B40FFB"/>
    <w:rsid w:val="00B4211D"/>
    <w:rsid w:val="00B43373"/>
    <w:rsid w:val="00B44056"/>
    <w:rsid w:val="00B44844"/>
    <w:rsid w:val="00B45DF0"/>
    <w:rsid w:val="00B474AB"/>
    <w:rsid w:val="00B47AEE"/>
    <w:rsid w:val="00B47CBF"/>
    <w:rsid w:val="00B50DF8"/>
    <w:rsid w:val="00B52559"/>
    <w:rsid w:val="00B53DDF"/>
    <w:rsid w:val="00B54D60"/>
    <w:rsid w:val="00B54F07"/>
    <w:rsid w:val="00B55399"/>
    <w:rsid w:val="00B55F36"/>
    <w:rsid w:val="00B567F1"/>
    <w:rsid w:val="00B579F7"/>
    <w:rsid w:val="00B643DF"/>
    <w:rsid w:val="00B65A5F"/>
    <w:rsid w:val="00B6750C"/>
    <w:rsid w:val="00B67671"/>
    <w:rsid w:val="00B67D97"/>
    <w:rsid w:val="00B70A17"/>
    <w:rsid w:val="00B7194C"/>
    <w:rsid w:val="00B71BC8"/>
    <w:rsid w:val="00B722D8"/>
    <w:rsid w:val="00B7257E"/>
    <w:rsid w:val="00B726AE"/>
    <w:rsid w:val="00B72ABC"/>
    <w:rsid w:val="00B74BEF"/>
    <w:rsid w:val="00B74D56"/>
    <w:rsid w:val="00B74FD2"/>
    <w:rsid w:val="00B776F5"/>
    <w:rsid w:val="00B819B0"/>
    <w:rsid w:val="00B81E1B"/>
    <w:rsid w:val="00B82F3F"/>
    <w:rsid w:val="00B835A1"/>
    <w:rsid w:val="00B859A9"/>
    <w:rsid w:val="00B85DB8"/>
    <w:rsid w:val="00B875CA"/>
    <w:rsid w:val="00B91DB1"/>
    <w:rsid w:val="00B92E13"/>
    <w:rsid w:val="00B93D38"/>
    <w:rsid w:val="00B94221"/>
    <w:rsid w:val="00B95B68"/>
    <w:rsid w:val="00B96472"/>
    <w:rsid w:val="00B97090"/>
    <w:rsid w:val="00BA05AE"/>
    <w:rsid w:val="00BA07EE"/>
    <w:rsid w:val="00BA082F"/>
    <w:rsid w:val="00BA13B6"/>
    <w:rsid w:val="00BA1F01"/>
    <w:rsid w:val="00BA291C"/>
    <w:rsid w:val="00BA589A"/>
    <w:rsid w:val="00BA7CCC"/>
    <w:rsid w:val="00BB14BB"/>
    <w:rsid w:val="00BB1E97"/>
    <w:rsid w:val="00BB27BF"/>
    <w:rsid w:val="00BB2951"/>
    <w:rsid w:val="00BB5F95"/>
    <w:rsid w:val="00BB7231"/>
    <w:rsid w:val="00BB7E63"/>
    <w:rsid w:val="00BC04AB"/>
    <w:rsid w:val="00BC127E"/>
    <w:rsid w:val="00BC143E"/>
    <w:rsid w:val="00BC7A42"/>
    <w:rsid w:val="00BD05D0"/>
    <w:rsid w:val="00BD6842"/>
    <w:rsid w:val="00BD7AAA"/>
    <w:rsid w:val="00BE0958"/>
    <w:rsid w:val="00BE18B8"/>
    <w:rsid w:val="00BE19D7"/>
    <w:rsid w:val="00BE2200"/>
    <w:rsid w:val="00BE22C7"/>
    <w:rsid w:val="00BE6AE6"/>
    <w:rsid w:val="00BE7391"/>
    <w:rsid w:val="00BE766F"/>
    <w:rsid w:val="00BF06BB"/>
    <w:rsid w:val="00BF06C8"/>
    <w:rsid w:val="00BF0B85"/>
    <w:rsid w:val="00BF1BC5"/>
    <w:rsid w:val="00BF1EB4"/>
    <w:rsid w:val="00BF3208"/>
    <w:rsid w:val="00BF3F42"/>
    <w:rsid w:val="00BF456E"/>
    <w:rsid w:val="00BF4F0B"/>
    <w:rsid w:val="00BF5F62"/>
    <w:rsid w:val="00BF6E4D"/>
    <w:rsid w:val="00BF7949"/>
    <w:rsid w:val="00BF7B5F"/>
    <w:rsid w:val="00BF7CF9"/>
    <w:rsid w:val="00C001AB"/>
    <w:rsid w:val="00C00E37"/>
    <w:rsid w:val="00C01B2B"/>
    <w:rsid w:val="00C02EAC"/>
    <w:rsid w:val="00C05BEF"/>
    <w:rsid w:val="00C06D63"/>
    <w:rsid w:val="00C07A60"/>
    <w:rsid w:val="00C105F1"/>
    <w:rsid w:val="00C11962"/>
    <w:rsid w:val="00C15E96"/>
    <w:rsid w:val="00C16161"/>
    <w:rsid w:val="00C1743B"/>
    <w:rsid w:val="00C21AA9"/>
    <w:rsid w:val="00C23D0E"/>
    <w:rsid w:val="00C2554A"/>
    <w:rsid w:val="00C2619E"/>
    <w:rsid w:val="00C27F69"/>
    <w:rsid w:val="00C30B0C"/>
    <w:rsid w:val="00C310A3"/>
    <w:rsid w:val="00C3214D"/>
    <w:rsid w:val="00C33606"/>
    <w:rsid w:val="00C40059"/>
    <w:rsid w:val="00C4125E"/>
    <w:rsid w:val="00C42D54"/>
    <w:rsid w:val="00C43ABF"/>
    <w:rsid w:val="00C456B2"/>
    <w:rsid w:val="00C51113"/>
    <w:rsid w:val="00C51738"/>
    <w:rsid w:val="00C5223D"/>
    <w:rsid w:val="00C53475"/>
    <w:rsid w:val="00C537FA"/>
    <w:rsid w:val="00C53A51"/>
    <w:rsid w:val="00C53DD0"/>
    <w:rsid w:val="00C5443F"/>
    <w:rsid w:val="00C57563"/>
    <w:rsid w:val="00C57846"/>
    <w:rsid w:val="00C60F5C"/>
    <w:rsid w:val="00C61354"/>
    <w:rsid w:val="00C65FF7"/>
    <w:rsid w:val="00C66C36"/>
    <w:rsid w:val="00C6743A"/>
    <w:rsid w:val="00C7030D"/>
    <w:rsid w:val="00C718F6"/>
    <w:rsid w:val="00C723D2"/>
    <w:rsid w:val="00C73A3C"/>
    <w:rsid w:val="00C748F8"/>
    <w:rsid w:val="00C77190"/>
    <w:rsid w:val="00C80CA6"/>
    <w:rsid w:val="00C826AA"/>
    <w:rsid w:val="00C82ACB"/>
    <w:rsid w:val="00C83F01"/>
    <w:rsid w:val="00C8458B"/>
    <w:rsid w:val="00C8528D"/>
    <w:rsid w:val="00C90495"/>
    <w:rsid w:val="00C91C9D"/>
    <w:rsid w:val="00C92888"/>
    <w:rsid w:val="00C9312F"/>
    <w:rsid w:val="00C93741"/>
    <w:rsid w:val="00C93E3D"/>
    <w:rsid w:val="00C93E5D"/>
    <w:rsid w:val="00C9537B"/>
    <w:rsid w:val="00C9543C"/>
    <w:rsid w:val="00C974BE"/>
    <w:rsid w:val="00CA3540"/>
    <w:rsid w:val="00CA3576"/>
    <w:rsid w:val="00CA7114"/>
    <w:rsid w:val="00CA7435"/>
    <w:rsid w:val="00CA7894"/>
    <w:rsid w:val="00CB0BD7"/>
    <w:rsid w:val="00CB0E90"/>
    <w:rsid w:val="00CB166A"/>
    <w:rsid w:val="00CB34C0"/>
    <w:rsid w:val="00CB75CB"/>
    <w:rsid w:val="00CC04AA"/>
    <w:rsid w:val="00CC1EF2"/>
    <w:rsid w:val="00CC3EF4"/>
    <w:rsid w:val="00CC487F"/>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552B"/>
    <w:rsid w:val="00CF56FB"/>
    <w:rsid w:val="00CF665B"/>
    <w:rsid w:val="00D02E71"/>
    <w:rsid w:val="00D04140"/>
    <w:rsid w:val="00D06637"/>
    <w:rsid w:val="00D0674B"/>
    <w:rsid w:val="00D07341"/>
    <w:rsid w:val="00D078E4"/>
    <w:rsid w:val="00D07F44"/>
    <w:rsid w:val="00D115A1"/>
    <w:rsid w:val="00D12DF1"/>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6D6"/>
    <w:rsid w:val="00D27B96"/>
    <w:rsid w:val="00D3108F"/>
    <w:rsid w:val="00D3476D"/>
    <w:rsid w:val="00D34EF4"/>
    <w:rsid w:val="00D358E6"/>
    <w:rsid w:val="00D368E4"/>
    <w:rsid w:val="00D37D75"/>
    <w:rsid w:val="00D40DCF"/>
    <w:rsid w:val="00D427B6"/>
    <w:rsid w:val="00D432A3"/>
    <w:rsid w:val="00D4353C"/>
    <w:rsid w:val="00D45154"/>
    <w:rsid w:val="00D45B38"/>
    <w:rsid w:val="00D46FFA"/>
    <w:rsid w:val="00D47AF2"/>
    <w:rsid w:val="00D47D8D"/>
    <w:rsid w:val="00D5014A"/>
    <w:rsid w:val="00D51C65"/>
    <w:rsid w:val="00D51FF9"/>
    <w:rsid w:val="00D52CE2"/>
    <w:rsid w:val="00D553BE"/>
    <w:rsid w:val="00D55417"/>
    <w:rsid w:val="00D55B6B"/>
    <w:rsid w:val="00D5700A"/>
    <w:rsid w:val="00D64554"/>
    <w:rsid w:val="00D65295"/>
    <w:rsid w:val="00D66FC9"/>
    <w:rsid w:val="00D67576"/>
    <w:rsid w:val="00D71047"/>
    <w:rsid w:val="00D719C3"/>
    <w:rsid w:val="00D72A63"/>
    <w:rsid w:val="00D73449"/>
    <w:rsid w:val="00D777AC"/>
    <w:rsid w:val="00D8007B"/>
    <w:rsid w:val="00D80E4C"/>
    <w:rsid w:val="00D81ED7"/>
    <w:rsid w:val="00D82582"/>
    <w:rsid w:val="00D85127"/>
    <w:rsid w:val="00D8592A"/>
    <w:rsid w:val="00D85E77"/>
    <w:rsid w:val="00D8600B"/>
    <w:rsid w:val="00D8685E"/>
    <w:rsid w:val="00D90E83"/>
    <w:rsid w:val="00D9285E"/>
    <w:rsid w:val="00D97E96"/>
    <w:rsid w:val="00DA1421"/>
    <w:rsid w:val="00DA15EF"/>
    <w:rsid w:val="00DA68D0"/>
    <w:rsid w:val="00DA6CDA"/>
    <w:rsid w:val="00DB06CA"/>
    <w:rsid w:val="00DB077A"/>
    <w:rsid w:val="00DB0C5D"/>
    <w:rsid w:val="00DB1B4A"/>
    <w:rsid w:val="00DB275E"/>
    <w:rsid w:val="00DB68D2"/>
    <w:rsid w:val="00DB6A87"/>
    <w:rsid w:val="00DC012F"/>
    <w:rsid w:val="00DC04A9"/>
    <w:rsid w:val="00DC1BC6"/>
    <w:rsid w:val="00DC30A1"/>
    <w:rsid w:val="00DC371F"/>
    <w:rsid w:val="00DC64D7"/>
    <w:rsid w:val="00DC7462"/>
    <w:rsid w:val="00DD0B11"/>
    <w:rsid w:val="00DD140D"/>
    <w:rsid w:val="00DD256C"/>
    <w:rsid w:val="00DD3A56"/>
    <w:rsid w:val="00DD64F6"/>
    <w:rsid w:val="00DD6629"/>
    <w:rsid w:val="00DD6E33"/>
    <w:rsid w:val="00DE42EE"/>
    <w:rsid w:val="00DE510D"/>
    <w:rsid w:val="00DE64E0"/>
    <w:rsid w:val="00DE67FD"/>
    <w:rsid w:val="00DE7196"/>
    <w:rsid w:val="00DE7640"/>
    <w:rsid w:val="00DE7A19"/>
    <w:rsid w:val="00DF2676"/>
    <w:rsid w:val="00DF4942"/>
    <w:rsid w:val="00DF73EC"/>
    <w:rsid w:val="00DF7577"/>
    <w:rsid w:val="00E00182"/>
    <w:rsid w:val="00E004F6"/>
    <w:rsid w:val="00E00E11"/>
    <w:rsid w:val="00E00E50"/>
    <w:rsid w:val="00E01BD7"/>
    <w:rsid w:val="00E032CB"/>
    <w:rsid w:val="00E03404"/>
    <w:rsid w:val="00E03760"/>
    <w:rsid w:val="00E044FC"/>
    <w:rsid w:val="00E0506A"/>
    <w:rsid w:val="00E073A6"/>
    <w:rsid w:val="00E13409"/>
    <w:rsid w:val="00E1390E"/>
    <w:rsid w:val="00E1415E"/>
    <w:rsid w:val="00E1655E"/>
    <w:rsid w:val="00E20D9A"/>
    <w:rsid w:val="00E219CD"/>
    <w:rsid w:val="00E21DD7"/>
    <w:rsid w:val="00E235E3"/>
    <w:rsid w:val="00E26752"/>
    <w:rsid w:val="00E27C7D"/>
    <w:rsid w:val="00E30B41"/>
    <w:rsid w:val="00E3174A"/>
    <w:rsid w:val="00E3276D"/>
    <w:rsid w:val="00E36302"/>
    <w:rsid w:val="00E36B5F"/>
    <w:rsid w:val="00E36E4B"/>
    <w:rsid w:val="00E4044E"/>
    <w:rsid w:val="00E42572"/>
    <w:rsid w:val="00E429CE"/>
    <w:rsid w:val="00E42AF7"/>
    <w:rsid w:val="00E42D8A"/>
    <w:rsid w:val="00E4348F"/>
    <w:rsid w:val="00E56499"/>
    <w:rsid w:val="00E565BA"/>
    <w:rsid w:val="00E56C70"/>
    <w:rsid w:val="00E56D10"/>
    <w:rsid w:val="00E56D52"/>
    <w:rsid w:val="00E625CF"/>
    <w:rsid w:val="00E62710"/>
    <w:rsid w:val="00E62982"/>
    <w:rsid w:val="00E64B23"/>
    <w:rsid w:val="00E664B6"/>
    <w:rsid w:val="00E71E4E"/>
    <w:rsid w:val="00E72A74"/>
    <w:rsid w:val="00E73E0D"/>
    <w:rsid w:val="00E7500D"/>
    <w:rsid w:val="00E8084C"/>
    <w:rsid w:val="00E81FD6"/>
    <w:rsid w:val="00E82404"/>
    <w:rsid w:val="00E82EE6"/>
    <w:rsid w:val="00E85522"/>
    <w:rsid w:val="00E86598"/>
    <w:rsid w:val="00E9076A"/>
    <w:rsid w:val="00E90D2B"/>
    <w:rsid w:val="00E96708"/>
    <w:rsid w:val="00E97637"/>
    <w:rsid w:val="00EA0606"/>
    <w:rsid w:val="00EA0C3D"/>
    <w:rsid w:val="00EA6364"/>
    <w:rsid w:val="00EA7043"/>
    <w:rsid w:val="00EA7FC1"/>
    <w:rsid w:val="00EB04F8"/>
    <w:rsid w:val="00EB053B"/>
    <w:rsid w:val="00EB4942"/>
    <w:rsid w:val="00EB6090"/>
    <w:rsid w:val="00EB6608"/>
    <w:rsid w:val="00EB67B0"/>
    <w:rsid w:val="00EC32BC"/>
    <w:rsid w:val="00EC465F"/>
    <w:rsid w:val="00EC530E"/>
    <w:rsid w:val="00EC5C57"/>
    <w:rsid w:val="00EC636D"/>
    <w:rsid w:val="00ED16E0"/>
    <w:rsid w:val="00ED1FB6"/>
    <w:rsid w:val="00ED26C1"/>
    <w:rsid w:val="00ED3032"/>
    <w:rsid w:val="00ED5A1C"/>
    <w:rsid w:val="00EE1DF4"/>
    <w:rsid w:val="00EE3695"/>
    <w:rsid w:val="00EE638D"/>
    <w:rsid w:val="00EF0085"/>
    <w:rsid w:val="00EF07A9"/>
    <w:rsid w:val="00EF3352"/>
    <w:rsid w:val="00EF43A6"/>
    <w:rsid w:val="00EF69A4"/>
    <w:rsid w:val="00EF7534"/>
    <w:rsid w:val="00EF76D9"/>
    <w:rsid w:val="00EF7B5E"/>
    <w:rsid w:val="00F001A8"/>
    <w:rsid w:val="00F00B67"/>
    <w:rsid w:val="00F01785"/>
    <w:rsid w:val="00F01BD2"/>
    <w:rsid w:val="00F0411A"/>
    <w:rsid w:val="00F04A41"/>
    <w:rsid w:val="00F05406"/>
    <w:rsid w:val="00F054C0"/>
    <w:rsid w:val="00F06636"/>
    <w:rsid w:val="00F06D13"/>
    <w:rsid w:val="00F07DC5"/>
    <w:rsid w:val="00F117A7"/>
    <w:rsid w:val="00F11ED4"/>
    <w:rsid w:val="00F12012"/>
    <w:rsid w:val="00F12533"/>
    <w:rsid w:val="00F12910"/>
    <w:rsid w:val="00F1628D"/>
    <w:rsid w:val="00F16595"/>
    <w:rsid w:val="00F17C8A"/>
    <w:rsid w:val="00F20CC2"/>
    <w:rsid w:val="00F20FC4"/>
    <w:rsid w:val="00F21E76"/>
    <w:rsid w:val="00F23343"/>
    <w:rsid w:val="00F24969"/>
    <w:rsid w:val="00F265D9"/>
    <w:rsid w:val="00F267DE"/>
    <w:rsid w:val="00F30EAA"/>
    <w:rsid w:val="00F33886"/>
    <w:rsid w:val="00F35FAF"/>
    <w:rsid w:val="00F37065"/>
    <w:rsid w:val="00F3722B"/>
    <w:rsid w:val="00F400EC"/>
    <w:rsid w:val="00F43E31"/>
    <w:rsid w:val="00F44AC2"/>
    <w:rsid w:val="00F45158"/>
    <w:rsid w:val="00F45779"/>
    <w:rsid w:val="00F45993"/>
    <w:rsid w:val="00F47A12"/>
    <w:rsid w:val="00F50AAB"/>
    <w:rsid w:val="00F51241"/>
    <w:rsid w:val="00F51D5A"/>
    <w:rsid w:val="00F527BB"/>
    <w:rsid w:val="00F527D0"/>
    <w:rsid w:val="00F53956"/>
    <w:rsid w:val="00F53D99"/>
    <w:rsid w:val="00F5524D"/>
    <w:rsid w:val="00F600AB"/>
    <w:rsid w:val="00F603DE"/>
    <w:rsid w:val="00F60F6F"/>
    <w:rsid w:val="00F61D8D"/>
    <w:rsid w:val="00F62027"/>
    <w:rsid w:val="00F64F8A"/>
    <w:rsid w:val="00F65D15"/>
    <w:rsid w:val="00F66D1F"/>
    <w:rsid w:val="00F676B1"/>
    <w:rsid w:val="00F70072"/>
    <w:rsid w:val="00F72A05"/>
    <w:rsid w:val="00F7350F"/>
    <w:rsid w:val="00F740B9"/>
    <w:rsid w:val="00F7640A"/>
    <w:rsid w:val="00F76B6F"/>
    <w:rsid w:val="00F76FD8"/>
    <w:rsid w:val="00F77E79"/>
    <w:rsid w:val="00F77F51"/>
    <w:rsid w:val="00F803C2"/>
    <w:rsid w:val="00F81A93"/>
    <w:rsid w:val="00F824F5"/>
    <w:rsid w:val="00F84263"/>
    <w:rsid w:val="00F862FE"/>
    <w:rsid w:val="00F90EBE"/>
    <w:rsid w:val="00F916BF"/>
    <w:rsid w:val="00F91762"/>
    <w:rsid w:val="00F91CDB"/>
    <w:rsid w:val="00F9222D"/>
    <w:rsid w:val="00F932D2"/>
    <w:rsid w:val="00F9437C"/>
    <w:rsid w:val="00F945D5"/>
    <w:rsid w:val="00F95F12"/>
    <w:rsid w:val="00F96DF1"/>
    <w:rsid w:val="00FA061A"/>
    <w:rsid w:val="00FA43A3"/>
    <w:rsid w:val="00FA4C73"/>
    <w:rsid w:val="00FA5129"/>
    <w:rsid w:val="00FA6585"/>
    <w:rsid w:val="00FA6A49"/>
    <w:rsid w:val="00FA6C6B"/>
    <w:rsid w:val="00FB1C48"/>
    <w:rsid w:val="00FB2835"/>
    <w:rsid w:val="00FB6142"/>
    <w:rsid w:val="00FC44DB"/>
    <w:rsid w:val="00FC56B9"/>
    <w:rsid w:val="00FC5F75"/>
    <w:rsid w:val="00FC71FF"/>
    <w:rsid w:val="00FD04B5"/>
    <w:rsid w:val="00FD27C0"/>
    <w:rsid w:val="00FD2F39"/>
    <w:rsid w:val="00FD61A3"/>
    <w:rsid w:val="00FD61DB"/>
    <w:rsid w:val="00FD64E6"/>
    <w:rsid w:val="00FE4571"/>
    <w:rsid w:val="00FE4EDA"/>
    <w:rsid w:val="00FE5DFC"/>
    <w:rsid w:val="00FE7ED6"/>
    <w:rsid w:val="00FF01D9"/>
    <w:rsid w:val="00FF1D4A"/>
    <w:rsid w:val="00FF214C"/>
    <w:rsid w:val="00FF2B3F"/>
    <w:rsid w:val="00FF3DB4"/>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C447"/>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81749"/>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DE841-A5DB-45C4-BB18-9669C1F5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Mokone</cp:lastModifiedBy>
  <cp:revision>3</cp:revision>
  <cp:lastPrinted>2023-01-10T12:10:00Z</cp:lastPrinted>
  <dcterms:created xsi:type="dcterms:W3CDTF">2023-01-18T09:05:00Z</dcterms:created>
  <dcterms:modified xsi:type="dcterms:W3CDTF">2023-01-18T09:06:00Z</dcterms:modified>
</cp:coreProperties>
</file>