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r>
        <w:rPr>
          <w:noProof/>
        </w:rPr>
        <w:drawing>
          <wp:inline distT="0" distB="0" distL="0" distR="0" wp14:anchorId="6B5B6C71" wp14:editId="7C72EDB2">
            <wp:extent cx="1604620" cy="1575307"/>
            <wp:effectExtent l="0" t="0" r="0" b="63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619877" cy="1590285"/>
                    </a:xfrm>
                    <a:prstGeom prst="rect">
                      <a:avLst/>
                    </a:prstGeom>
                    <a:ln w="12700" cap="flat">
                      <a:noFill/>
                      <a:miter lim="400000"/>
                    </a:ln>
                    <a:effectLst/>
                  </pic:spPr>
                </pic:pic>
              </a:graphicData>
            </a:graphic>
          </wp:inline>
        </w:drawing>
      </w:r>
    </w:p>
    <w:p w14:paraId="1D01E514" w14:textId="2FB9206C"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 xml:space="preserve">IN THE HIGH </w:t>
      </w:r>
      <w:r w:rsidR="00E87C23">
        <w:rPr>
          <w:rFonts w:cs="Arial"/>
          <w:b/>
          <w:bCs/>
          <w:sz w:val="24"/>
          <w:szCs w:val="24"/>
          <w:u w:val="single"/>
        </w:rPr>
        <w:t>COURT</w:t>
      </w:r>
      <w:r w:rsidRPr="0031449E">
        <w:rPr>
          <w:rFonts w:cs="Arial"/>
          <w:b/>
          <w:bCs/>
          <w:sz w:val="24"/>
          <w:szCs w:val="24"/>
          <w:u w:val="single"/>
        </w:rPr>
        <w:t xml:space="preserve"> OF SOUTH AFRICA</w:t>
      </w:r>
    </w:p>
    <w:p w14:paraId="350B431D" w14:textId="2423D79F" w:rsidR="00C519B2" w:rsidRPr="00E12A80" w:rsidRDefault="00B50E11" w:rsidP="00E12A80">
      <w:pPr>
        <w:pStyle w:val="Body"/>
        <w:jc w:val="center"/>
        <w:rPr>
          <w:rFonts w:cs="Arial"/>
          <w:b/>
          <w:bCs/>
          <w:sz w:val="24"/>
          <w:szCs w:val="24"/>
          <w:u w:val="single"/>
        </w:rPr>
      </w:pPr>
      <w:r w:rsidRPr="0031449E">
        <w:rPr>
          <w:rFonts w:cs="Arial"/>
          <w:b/>
          <w:bCs/>
          <w:sz w:val="24"/>
          <w:szCs w:val="24"/>
          <w:u w:val="single"/>
          <w:lang w:val="de-DE"/>
        </w:rPr>
        <w:t>(GAUTENG DIVISION, PRETORIA)</w:t>
      </w:r>
      <w:r w:rsidR="00E331B6">
        <w:rPr>
          <w:rFonts w:cs="Arial"/>
          <w:b/>
          <w:bCs/>
          <w:sz w:val="24"/>
          <w:szCs w:val="24"/>
          <w:u w:val="single"/>
          <w:lang w:val="de-D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tblGrid>
      <w:tr w:rsidR="00C519B2" w:rsidRPr="004164F3" w14:paraId="7564B942" w14:textId="77777777" w:rsidTr="002263F3">
        <w:trPr>
          <w:trHeight w:val="1670"/>
        </w:trPr>
        <w:tc>
          <w:tcPr>
            <w:tcW w:w="3998" w:type="dxa"/>
          </w:tcPr>
          <w:p w14:paraId="0C1A8C99" w14:textId="77777777" w:rsidR="00C519B2" w:rsidRPr="00585466" w:rsidRDefault="00C519B2" w:rsidP="00C64B6A">
            <w:pPr>
              <w:rPr>
                <w:rFonts w:ascii="Arial" w:eastAsia="Arial Unicode MS" w:hAnsi="Arial" w:cs="Arial"/>
                <w:b/>
                <w:sz w:val="16"/>
                <w:szCs w:val="16"/>
              </w:rPr>
            </w:pPr>
            <w:r w:rsidRPr="00585466">
              <w:rPr>
                <w:rFonts w:ascii="Arial" w:eastAsia="Arial Unicode MS" w:hAnsi="Arial" w:cs="Arial"/>
                <w:b/>
                <w:sz w:val="16"/>
                <w:szCs w:val="16"/>
              </w:rPr>
              <w:t>DELETE WHICHEVER IS NOT APPLICABLE</w:t>
            </w:r>
          </w:p>
          <w:p w14:paraId="719093FC" w14:textId="1E9C5970" w:rsidR="00C519B2" w:rsidRPr="00585466" w:rsidRDefault="00C519B2" w:rsidP="00C64B6A">
            <w:pPr>
              <w:rPr>
                <w:rFonts w:ascii="Arial" w:eastAsia="Arial Unicode MS" w:hAnsi="Arial" w:cs="Arial"/>
                <w:sz w:val="16"/>
                <w:szCs w:val="16"/>
              </w:rPr>
            </w:pPr>
            <w:r w:rsidRPr="00585466">
              <w:rPr>
                <w:rFonts w:ascii="Arial" w:eastAsia="Arial Unicode MS" w:hAnsi="Arial" w:cs="Arial"/>
                <w:sz w:val="16"/>
                <w:szCs w:val="16"/>
              </w:rPr>
              <w:t>(1)</w:t>
            </w:r>
            <w:r w:rsidR="00E87C23" w:rsidRPr="00585466">
              <w:rPr>
                <w:rFonts w:ascii="Arial" w:eastAsia="Arial Unicode MS" w:hAnsi="Arial" w:cs="Arial"/>
                <w:sz w:val="16"/>
                <w:szCs w:val="16"/>
              </w:rPr>
              <w:t xml:space="preserve">  </w:t>
            </w:r>
            <w:r w:rsidRPr="00585466">
              <w:rPr>
                <w:rFonts w:ascii="Arial" w:eastAsia="Arial Unicode MS" w:hAnsi="Arial" w:cs="Arial"/>
                <w:sz w:val="16"/>
                <w:szCs w:val="16"/>
              </w:rPr>
              <w:t>REPORTABLE:</w:t>
            </w:r>
            <w:r w:rsidRPr="00585466">
              <w:rPr>
                <w:rFonts w:ascii="Arial" w:eastAsia="Arial Unicode MS" w:hAnsi="Arial" w:cs="Arial"/>
                <w:sz w:val="16"/>
                <w:szCs w:val="16"/>
              </w:rPr>
              <w:tab/>
            </w:r>
            <w:r w:rsidRPr="00585466">
              <w:rPr>
                <w:rFonts w:ascii="Arial" w:eastAsia="Arial Unicode MS" w:hAnsi="Arial" w:cs="Arial"/>
                <w:strike/>
                <w:sz w:val="16"/>
                <w:szCs w:val="16"/>
              </w:rPr>
              <w:t>YE</w:t>
            </w:r>
            <w:r w:rsidR="009B3D4B" w:rsidRPr="00585466">
              <w:rPr>
                <w:rFonts w:ascii="Arial" w:eastAsia="Arial Unicode MS" w:hAnsi="Arial" w:cs="Arial"/>
                <w:strike/>
                <w:sz w:val="16"/>
                <w:szCs w:val="16"/>
              </w:rPr>
              <w:t>S</w:t>
            </w:r>
            <w:r w:rsidRPr="00585466">
              <w:rPr>
                <w:rFonts w:ascii="Arial" w:eastAsia="Arial Unicode MS" w:hAnsi="Arial" w:cs="Arial"/>
                <w:sz w:val="16"/>
                <w:szCs w:val="16"/>
              </w:rPr>
              <w:t>/</w:t>
            </w:r>
            <w:r w:rsidRPr="00585466">
              <w:rPr>
                <w:rFonts w:ascii="Arial" w:eastAsia="Arial Unicode MS" w:hAnsi="Arial" w:cs="Arial"/>
                <w:b/>
                <w:bCs/>
                <w:sz w:val="16"/>
                <w:szCs w:val="16"/>
              </w:rPr>
              <w:t>NO</w:t>
            </w:r>
          </w:p>
          <w:p w14:paraId="528A128C" w14:textId="7CB85296" w:rsidR="00C519B2" w:rsidRPr="00585466" w:rsidRDefault="00C519B2" w:rsidP="00C64B6A">
            <w:pPr>
              <w:rPr>
                <w:rFonts w:ascii="Arial" w:eastAsia="Arial Unicode MS" w:hAnsi="Arial" w:cs="Arial"/>
                <w:sz w:val="16"/>
                <w:szCs w:val="16"/>
              </w:rPr>
            </w:pPr>
            <w:r w:rsidRPr="00585466">
              <w:rPr>
                <w:rFonts w:ascii="Arial" w:eastAsia="Arial Unicode MS" w:hAnsi="Arial" w:cs="Arial"/>
                <w:sz w:val="16"/>
                <w:szCs w:val="16"/>
              </w:rPr>
              <w:t>(2)</w:t>
            </w:r>
            <w:r w:rsidR="00E87C23" w:rsidRPr="00585466">
              <w:rPr>
                <w:rFonts w:ascii="Arial" w:eastAsia="Arial Unicode MS" w:hAnsi="Arial" w:cs="Arial"/>
                <w:sz w:val="16"/>
                <w:szCs w:val="16"/>
              </w:rPr>
              <w:t xml:space="preserve">  </w:t>
            </w:r>
            <w:r w:rsidRPr="00585466">
              <w:rPr>
                <w:rFonts w:ascii="Arial" w:eastAsia="Arial Unicode MS" w:hAnsi="Arial" w:cs="Arial"/>
                <w:sz w:val="16"/>
                <w:szCs w:val="16"/>
              </w:rPr>
              <w:t xml:space="preserve">OF INTEREST TO OTHER JUDGES: </w:t>
            </w:r>
            <w:r w:rsidR="00E87C23" w:rsidRPr="00585466">
              <w:rPr>
                <w:rFonts w:ascii="Arial" w:eastAsia="Arial Unicode MS" w:hAnsi="Arial" w:cs="Arial"/>
                <w:b/>
                <w:bCs/>
                <w:sz w:val="16"/>
                <w:szCs w:val="16"/>
              </w:rPr>
              <w:t xml:space="preserve"> </w:t>
            </w:r>
            <w:r w:rsidRPr="00585466">
              <w:rPr>
                <w:rFonts w:ascii="Arial" w:eastAsia="Arial Unicode MS" w:hAnsi="Arial" w:cs="Arial"/>
                <w:strike/>
                <w:sz w:val="16"/>
                <w:szCs w:val="16"/>
              </w:rPr>
              <w:t>YES</w:t>
            </w:r>
            <w:r w:rsidRPr="00585466">
              <w:rPr>
                <w:rFonts w:ascii="Arial" w:eastAsia="Arial Unicode MS" w:hAnsi="Arial" w:cs="Arial"/>
                <w:sz w:val="16"/>
                <w:szCs w:val="16"/>
              </w:rPr>
              <w:t>/</w:t>
            </w:r>
            <w:r w:rsidRPr="00585466">
              <w:rPr>
                <w:rFonts w:ascii="Arial" w:eastAsia="Arial Unicode MS" w:hAnsi="Arial" w:cs="Arial"/>
                <w:b/>
                <w:bCs/>
                <w:sz w:val="16"/>
                <w:szCs w:val="16"/>
              </w:rPr>
              <w:t>NO</w:t>
            </w:r>
          </w:p>
          <w:p w14:paraId="15F66332" w14:textId="1D86D62C" w:rsidR="00C519B2" w:rsidRPr="00585466" w:rsidRDefault="00C519B2" w:rsidP="00C64B6A">
            <w:pPr>
              <w:rPr>
                <w:rFonts w:ascii="Arial" w:eastAsia="Arial Unicode MS" w:hAnsi="Arial" w:cs="Arial"/>
                <w:sz w:val="16"/>
                <w:szCs w:val="16"/>
              </w:rPr>
            </w:pPr>
            <w:r w:rsidRPr="00585466">
              <w:rPr>
                <w:rFonts w:ascii="Arial" w:eastAsia="Arial Unicode MS" w:hAnsi="Arial" w:cs="Arial"/>
                <w:sz w:val="16"/>
                <w:szCs w:val="16"/>
              </w:rPr>
              <w:t>(3)</w:t>
            </w:r>
            <w:r w:rsidR="00E87C23" w:rsidRPr="00585466">
              <w:rPr>
                <w:rFonts w:ascii="Arial" w:eastAsia="Arial Unicode MS" w:hAnsi="Arial" w:cs="Arial"/>
                <w:sz w:val="16"/>
                <w:szCs w:val="16"/>
              </w:rPr>
              <w:t xml:space="preserve">  </w:t>
            </w:r>
            <w:r w:rsidRPr="00585466">
              <w:rPr>
                <w:rFonts w:ascii="Arial" w:eastAsia="Arial Unicode MS" w:hAnsi="Arial" w:cs="Arial"/>
                <w:sz w:val="16"/>
                <w:szCs w:val="16"/>
              </w:rPr>
              <w:t>REVISED</w:t>
            </w:r>
            <w:r w:rsidR="000E55BD" w:rsidRPr="00585466">
              <w:rPr>
                <w:rFonts w:ascii="Arial" w:eastAsia="Arial Unicode MS" w:hAnsi="Arial" w:cs="Arial"/>
                <w:sz w:val="16"/>
                <w:szCs w:val="16"/>
              </w:rPr>
              <w:t xml:space="preserve">: </w:t>
            </w:r>
            <w:r w:rsidR="00080330" w:rsidRPr="00585466">
              <w:rPr>
                <w:rFonts w:ascii="Arial" w:eastAsia="Arial Unicode MS" w:hAnsi="Arial" w:cs="Arial"/>
                <w:b/>
                <w:bCs/>
                <w:sz w:val="16"/>
                <w:szCs w:val="16"/>
              </w:rPr>
              <w:t>NO</w:t>
            </w:r>
          </w:p>
          <w:p w14:paraId="284842F1" w14:textId="6BF293EC" w:rsidR="00C519B2" w:rsidRPr="00585466" w:rsidRDefault="00C519B2" w:rsidP="00C64B6A">
            <w:pPr>
              <w:spacing w:before="120"/>
              <w:rPr>
                <w:rFonts w:ascii="Arial" w:eastAsia="Arial Unicode MS" w:hAnsi="Arial" w:cs="Arial"/>
                <w:sz w:val="16"/>
                <w:szCs w:val="16"/>
              </w:rPr>
            </w:pPr>
            <w:r w:rsidRPr="00585466">
              <w:rPr>
                <w:rFonts w:ascii="Arial" w:eastAsia="Arial Unicode MS" w:hAnsi="Arial" w:cs="Arial"/>
                <w:sz w:val="16"/>
                <w:szCs w:val="16"/>
              </w:rPr>
              <w:t>DATE:</w:t>
            </w:r>
            <w:r w:rsidRPr="00585466">
              <w:rPr>
                <w:rFonts w:ascii="Arial" w:eastAsia="Arial Unicode MS" w:hAnsi="Arial" w:cs="Arial"/>
                <w:sz w:val="16"/>
                <w:szCs w:val="16"/>
              </w:rPr>
              <w:tab/>
            </w:r>
            <w:r w:rsidR="00DB5128" w:rsidRPr="00585466">
              <w:rPr>
                <w:rFonts w:ascii="Arial" w:eastAsia="Arial Unicode MS" w:hAnsi="Arial" w:cs="Arial"/>
                <w:sz w:val="16"/>
                <w:szCs w:val="16"/>
                <w:u w:val="single"/>
              </w:rPr>
              <w:t>3 February</w:t>
            </w:r>
            <w:r w:rsidR="007E1AF2" w:rsidRPr="00585466">
              <w:rPr>
                <w:rFonts w:ascii="Arial" w:eastAsia="Arial Unicode MS" w:hAnsi="Arial" w:cs="Arial"/>
                <w:sz w:val="16"/>
                <w:szCs w:val="16"/>
                <w:u w:val="single"/>
              </w:rPr>
              <w:t xml:space="preserve"> 2023</w:t>
            </w:r>
          </w:p>
          <w:p w14:paraId="0499F4D1" w14:textId="77777777" w:rsidR="00E965B7" w:rsidRPr="00585466" w:rsidRDefault="00E965B7" w:rsidP="00C64B6A">
            <w:pPr>
              <w:rPr>
                <w:rFonts w:ascii="Arial" w:eastAsia="Arial Unicode MS" w:hAnsi="Arial" w:cs="Arial"/>
                <w:sz w:val="16"/>
                <w:szCs w:val="16"/>
              </w:rPr>
            </w:pPr>
          </w:p>
          <w:p w14:paraId="773CDFDB" w14:textId="47C0A774" w:rsidR="00C519B2" w:rsidRPr="004164F3" w:rsidRDefault="00C519B2" w:rsidP="00C64B6A">
            <w:pPr>
              <w:rPr>
                <w:rFonts w:ascii="Arial Unicode MS" w:eastAsia="Arial Unicode MS" w:hAnsi="Arial Unicode MS" w:cs="Arial Unicode MS"/>
                <w:sz w:val="16"/>
                <w:szCs w:val="16"/>
              </w:rPr>
            </w:pPr>
            <w:r w:rsidRPr="00585466">
              <w:rPr>
                <w:rFonts w:ascii="Arial" w:eastAsia="Arial Unicode MS" w:hAnsi="Arial" w:cs="Arial"/>
                <w:sz w:val="16"/>
                <w:szCs w:val="16"/>
              </w:rPr>
              <w:t>SIGNATURE:</w:t>
            </w:r>
            <w:r w:rsidR="00585466">
              <w:rPr>
                <w:rFonts w:ascii="Arial" w:eastAsia="Arial Unicode MS" w:hAnsi="Arial" w:cs="Arial"/>
                <w:sz w:val="16"/>
                <w:szCs w:val="16"/>
              </w:rPr>
              <w:t>______________________</w:t>
            </w:r>
            <w:r w:rsidRPr="00585466">
              <w:rPr>
                <w:rFonts w:ascii="Arial" w:eastAsia="Arial Unicode MS" w:hAnsi="Arial" w:cs="Arial"/>
                <w:sz w:val="16"/>
                <w:szCs w:val="16"/>
              </w:rPr>
              <w:tab/>
            </w:r>
          </w:p>
        </w:tc>
      </w:tr>
    </w:tbl>
    <w:p w14:paraId="36888862" w14:textId="0AC03C30" w:rsidR="0052011D" w:rsidRDefault="0052011D" w:rsidP="002263F3">
      <w:pPr>
        <w:pStyle w:val="Body"/>
        <w:outlineLvl w:val="0"/>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76"/>
      </w:tblGrid>
      <w:tr w:rsidR="00585466" w14:paraId="557015B0" w14:textId="77777777" w:rsidTr="00064E4F">
        <w:tc>
          <w:tcPr>
            <w:tcW w:w="6374" w:type="dxa"/>
          </w:tcPr>
          <w:p w14:paraId="2AD11074" w14:textId="77777777" w:rsid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cs="Arial"/>
                <w:sz w:val="24"/>
                <w:szCs w:val="24"/>
              </w:rPr>
            </w:pPr>
          </w:p>
        </w:tc>
        <w:tc>
          <w:tcPr>
            <w:tcW w:w="2976" w:type="dxa"/>
          </w:tcPr>
          <w:p w14:paraId="3170F4E7" w14:textId="0235A711" w:rsidR="00585466" w:rsidRPr="00064E4F"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outlineLvl w:val="0"/>
              <w:rPr>
                <w:rFonts w:cs="Arial"/>
                <w:b/>
                <w:bCs/>
                <w:sz w:val="24"/>
                <w:szCs w:val="24"/>
              </w:rPr>
            </w:pPr>
            <w:r w:rsidRPr="00064E4F">
              <w:rPr>
                <w:rFonts w:cs="Arial"/>
                <w:b/>
                <w:bCs/>
                <w:sz w:val="24"/>
                <w:szCs w:val="24"/>
              </w:rPr>
              <w:t>Case No: 10531/2022</w:t>
            </w:r>
          </w:p>
        </w:tc>
      </w:tr>
      <w:tr w:rsidR="00585466" w14:paraId="04CDF5F8" w14:textId="77777777" w:rsidTr="00064E4F">
        <w:tc>
          <w:tcPr>
            <w:tcW w:w="6374" w:type="dxa"/>
          </w:tcPr>
          <w:p w14:paraId="47FCDDA0" w14:textId="42700122" w:rsid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cs="Arial"/>
                <w:sz w:val="24"/>
                <w:szCs w:val="24"/>
              </w:rPr>
            </w:pPr>
            <w:r>
              <w:rPr>
                <w:rFonts w:cs="Arial"/>
                <w:sz w:val="24"/>
                <w:szCs w:val="24"/>
              </w:rPr>
              <w:t>In the application between:</w:t>
            </w:r>
          </w:p>
        </w:tc>
        <w:tc>
          <w:tcPr>
            <w:tcW w:w="2976" w:type="dxa"/>
          </w:tcPr>
          <w:p w14:paraId="4ACF110D" w14:textId="77777777" w:rsid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cs="Arial"/>
                <w:sz w:val="24"/>
                <w:szCs w:val="24"/>
              </w:rPr>
            </w:pPr>
          </w:p>
        </w:tc>
      </w:tr>
      <w:tr w:rsidR="00585466" w14:paraId="2C8C91C2" w14:textId="77777777" w:rsidTr="00064E4F">
        <w:tc>
          <w:tcPr>
            <w:tcW w:w="6374" w:type="dxa"/>
          </w:tcPr>
          <w:p w14:paraId="6C61E131" w14:textId="5F9AFF46" w:rsidR="00585466" w:rsidRP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cs="Arial"/>
                <w:b/>
                <w:bCs/>
                <w:sz w:val="24"/>
                <w:szCs w:val="24"/>
              </w:rPr>
            </w:pPr>
            <w:r w:rsidRPr="00585466">
              <w:rPr>
                <w:rFonts w:cs="Arial"/>
                <w:b/>
                <w:bCs/>
                <w:sz w:val="24"/>
                <w:szCs w:val="24"/>
              </w:rPr>
              <w:t>TRANSASIA 444 (PTY) LTD</w:t>
            </w:r>
          </w:p>
        </w:tc>
        <w:tc>
          <w:tcPr>
            <w:tcW w:w="2976" w:type="dxa"/>
          </w:tcPr>
          <w:p w14:paraId="0208F430" w14:textId="251BE549" w:rsid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outlineLvl w:val="0"/>
              <w:rPr>
                <w:rFonts w:cs="Arial"/>
                <w:sz w:val="24"/>
                <w:szCs w:val="24"/>
              </w:rPr>
            </w:pPr>
            <w:r>
              <w:rPr>
                <w:rFonts w:cs="Arial"/>
                <w:sz w:val="24"/>
                <w:szCs w:val="24"/>
              </w:rPr>
              <w:t>Applicant</w:t>
            </w:r>
          </w:p>
        </w:tc>
      </w:tr>
      <w:tr w:rsidR="00585466" w14:paraId="59602865" w14:textId="77777777" w:rsidTr="00064E4F">
        <w:tc>
          <w:tcPr>
            <w:tcW w:w="6374" w:type="dxa"/>
          </w:tcPr>
          <w:p w14:paraId="27C07B6C" w14:textId="5E2018A1" w:rsidR="00585466" w:rsidRP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cs="Arial"/>
                <w:b/>
                <w:bCs/>
                <w:sz w:val="24"/>
                <w:szCs w:val="24"/>
              </w:rPr>
            </w:pPr>
            <w:r w:rsidRPr="00585466">
              <w:rPr>
                <w:rFonts w:cs="Arial"/>
                <w:b/>
                <w:bCs/>
                <w:sz w:val="24"/>
                <w:szCs w:val="24"/>
              </w:rPr>
              <w:t>TRANSASIA MINERALS (PTY) LTD</w:t>
            </w:r>
          </w:p>
        </w:tc>
        <w:tc>
          <w:tcPr>
            <w:tcW w:w="2976" w:type="dxa"/>
          </w:tcPr>
          <w:p w14:paraId="1E4BB4B4" w14:textId="7D9ED540" w:rsid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outlineLvl w:val="0"/>
              <w:rPr>
                <w:rFonts w:cs="Arial"/>
                <w:sz w:val="24"/>
                <w:szCs w:val="24"/>
              </w:rPr>
            </w:pPr>
            <w:r>
              <w:rPr>
                <w:rFonts w:cs="Arial"/>
                <w:sz w:val="24"/>
                <w:szCs w:val="24"/>
              </w:rPr>
              <w:t>Intervening Applicant</w:t>
            </w:r>
          </w:p>
        </w:tc>
      </w:tr>
      <w:tr w:rsidR="00585466" w14:paraId="7CCF5F9A" w14:textId="77777777" w:rsidTr="00064E4F">
        <w:tc>
          <w:tcPr>
            <w:tcW w:w="6374" w:type="dxa"/>
          </w:tcPr>
          <w:p w14:paraId="58FA7DB6" w14:textId="5A93ED7F" w:rsidR="00585466" w:rsidRP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cs="Arial"/>
                <w:i/>
                <w:iCs/>
                <w:sz w:val="24"/>
                <w:szCs w:val="24"/>
              </w:rPr>
            </w:pPr>
            <w:r w:rsidRPr="00585466">
              <w:rPr>
                <w:rFonts w:cs="Arial"/>
                <w:i/>
                <w:iCs/>
                <w:sz w:val="24"/>
                <w:szCs w:val="24"/>
              </w:rPr>
              <w:t>And</w:t>
            </w:r>
          </w:p>
        </w:tc>
        <w:tc>
          <w:tcPr>
            <w:tcW w:w="2976" w:type="dxa"/>
          </w:tcPr>
          <w:p w14:paraId="1CB592D9" w14:textId="77777777" w:rsid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outlineLvl w:val="0"/>
              <w:rPr>
                <w:rFonts w:cs="Arial"/>
                <w:sz w:val="24"/>
                <w:szCs w:val="24"/>
              </w:rPr>
            </w:pPr>
          </w:p>
        </w:tc>
      </w:tr>
      <w:tr w:rsidR="00585466" w14:paraId="16B59E4C" w14:textId="77777777" w:rsidTr="00064E4F">
        <w:tc>
          <w:tcPr>
            <w:tcW w:w="6374" w:type="dxa"/>
          </w:tcPr>
          <w:p w14:paraId="3A938FCE" w14:textId="7748A0A4" w:rsidR="00585466" w:rsidRP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cs="Arial"/>
                <w:b/>
                <w:bCs/>
                <w:sz w:val="24"/>
                <w:szCs w:val="24"/>
              </w:rPr>
            </w:pPr>
            <w:r w:rsidRPr="00585466">
              <w:rPr>
                <w:rFonts w:cs="Arial"/>
                <w:b/>
                <w:bCs/>
                <w:sz w:val="24"/>
                <w:szCs w:val="24"/>
              </w:rPr>
              <w:t>THE MINISTER OF MINERAL RESOURCES</w:t>
            </w:r>
          </w:p>
        </w:tc>
        <w:tc>
          <w:tcPr>
            <w:tcW w:w="2976" w:type="dxa"/>
          </w:tcPr>
          <w:p w14:paraId="4A00AB3A" w14:textId="7ACA7152" w:rsid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outlineLvl w:val="0"/>
              <w:rPr>
                <w:rFonts w:cs="Arial"/>
                <w:sz w:val="24"/>
                <w:szCs w:val="24"/>
              </w:rPr>
            </w:pPr>
            <w:r>
              <w:rPr>
                <w:rFonts w:cs="Arial"/>
                <w:sz w:val="24"/>
                <w:szCs w:val="24"/>
              </w:rPr>
              <w:t>First Respondent</w:t>
            </w:r>
          </w:p>
        </w:tc>
      </w:tr>
      <w:tr w:rsidR="00585466" w14:paraId="2C4E05B9" w14:textId="77777777" w:rsidTr="00064E4F">
        <w:tc>
          <w:tcPr>
            <w:tcW w:w="6374" w:type="dxa"/>
          </w:tcPr>
          <w:p w14:paraId="5086955C" w14:textId="6A84A08E" w:rsidR="00585466" w:rsidRP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cs="Arial"/>
                <w:b/>
                <w:bCs/>
                <w:sz w:val="24"/>
                <w:szCs w:val="24"/>
              </w:rPr>
            </w:pPr>
            <w:r w:rsidRPr="00585466">
              <w:rPr>
                <w:rFonts w:cs="Arial"/>
                <w:b/>
                <w:bCs/>
                <w:sz w:val="24"/>
                <w:szCs w:val="24"/>
              </w:rPr>
              <w:t>THE DIRECTOR – GENERAL: DEPT OF MINERALS AND ENERGY</w:t>
            </w:r>
          </w:p>
        </w:tc>
        <w:tc>
          <w:tcPr>
            <w:tcW w:w="2976" w:type="dxa"/>
          </w:tcPr>
          <w:p w14:paraId="561CDCC3" w14:textId="0D24A8F2" w:rsid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outlineLvl w:val="0"/>
              <w:rPr>
                <w:rFonts w:cs="Arial"/>
                <w:sz w:val="24"/>
                <w:szCs w:val="24"/>
              </w:rPr>
            </w:pPr>
            <w:r>
              <w:rPr>
                <w:rFonts w:cs="Arial"/>
                <w:sz w:val="24"/>
                <w:szCs w:val="24"/>
              </w:rPr>
              <w:t>Second Respondent</w:t>
            </w:r>
          </w:p>
        </w:tc>
      </w:tr>
      <w:tr w:rsidR="00585466" w14:paraId="6A1A980E" w14:textId="77777777" w:rsidTr="00064E4F">
        <w:tc>
          <w:tcPr>
            <w:tcW w:w="6374" w:type="dxa"/>
          </w:tcPr>
          <w:p w14:paraId="483E5EBA" w14:textId="3DB69882" w:rsidR="00585466" w:rsidRP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cs="Arial"/>
                <w:b/>
                <w:bCs/>
                <w:sz w:val="24"/>
                <w:szCs w:val="24"/>
              </w:rPr>
            </w:pPr>
            <w:r w:rsidRPr="00585466">
              <w:rPr>
                <w:rFonts w:cs="Arial"/>
                <w:b/>
                <w:bCs/>
                <w:sz w:val="24"/>
                <w:szCs w:val="24"/>
              </w:rPr>
              <w:t>THE REGIONAL MANAGER: KZN REGION</w:t>
            </w:r>
          </w:p>
        </w:tc>
        <w:tc>
          <w:tcPr>
            <w:tcW w:w="2976" w:type="dxa"/>
          </w:tcPr>
          <w:p w14:paraId="1BC4DB37" w14:textId="2B4983D4" w:rsid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outlineLvl w:val="0"/>
              <w:rPr>
                <w:rFonts w:cs="Arial"/>
                <w:sz w:val="24"/>
                <w:szCs w:val="24"/>
              </w:rPr>
            </w:pPr>
            <w:r>
              <w:rPr>
                <w:rFonts w:cs="Arial"/>
                <w:sz w:val="24"/>
                <w:szCs w:val="24"/>
              </w:rPr>
              <w:t>Third Respondent</w:t>
            </w:r>
          </w:p>
        </w:tc>
      </w:tr>
      <w:tr w:rsidR="00585466" w14:paraId="0FD77224" w14:textId="77777777" w:rsidTr="00064E4F">
        <w:tc>
          <w:tcPr>
            <w:tcW w:w="6374" w:type="dxa"/>
          </w:tcPr>
          <w:p w14:paraId="780611A9" w14:textId="18FD68D4" w:rsidR="00585466" w:rsidRP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cs="Arial"/>
                <w:b/>
                <w:bCs/>
                <w:sz w:val="24"/>
                <w:szCs w:val="24"/>
              </w:rPr>
            </w:pPr>
            <w:r w:rsidRPr="00585466">
              <w:rPr>
                <w:rFonts w:cs="Arial"/>
                <w:b/>
                <w:bCs/>
                <w:sz w:val="24"/>
                <w:szCs w:val="24"/>
              </w:rPr>
              <w:t>UMSOMBOVU COAL (PTY) LTD</w:t>
            </w:r>
          </w:p>
        </w:tc>
        <w:tc>
          <w:tcPr>
            <w:tcW w:w="2976" w:type="dxa"/>
          </w:tcPr>
          <w:p w14:paraId="1BE0883E" w14:textId="4AF9B79B" w:rsid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outlineLvl w:val="0"/>
              <w:rPr>
                <w:rFonts w:cs="Arial"/>
                <w:sz w:val="24"/>
                <w:szCs w:val="24"/>
              </w:rPr>
            </w:pPr>
            <w:r>
              <w:rPr>
                <w:rFonts w:cs="Arial"/>
                <w:sz w:val="24"/>
                <w:szCs w:val="24"/>
              </w:rPr>
              <w:t>Fourth Respondent</w:t>
            </w:r>
          </w:p>
        </w:tc>
      </w:tr>
      <w:tr w:rsidR="00585466" w14:paraId="304C73D5" w14:textId="77777777" w:rsidTr="00064E4F">
        <w:tc>
          <w:tcPr>
            <w:tcW w:w="6374" w:type="dxa"/>
          </w:tcPr>
          <w:p w14:paraId="035B55AD" w14:textId="52C9BA00" w:rsidR="00585466" w:rsidRP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cs="Arial"/>
                <w:i/>
                <w:iCs/>
                <w:sz w:val="24"/>
                <w:szCs w:val="24"/>
              </w:rPr>
            </w:pPr>
            <w:r w:rsidRPr="00585466">
              <w:rPr>
                <w:rFonts w:cs="Arial"/>
                <w:i/>
                <w:iCs/>
                <w:sz w:val="24"/>
                <w:szCs w:val="24"/>
              </w:rPr>
              <w:t>In re:</w:t>
            </w:r>
          </w:p>
        </w:tc>
        <w:tc>
          <w:tcPr>
            <w:tcW w:w="2976" w:type="dxa"/>
          </w:tcPr>
          <w:p w14:paraId="61F287B1" w14:textId="77777777" w:rsid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outlineLvl w:val="0"/>
              <w:rPr>
                <w:rFonts w:cs="Arial"/>
                <w:sz w:val="24"/>
                <w:szCs w:val="24"/>
              </w:rPr>
            </w:pPr>
          </w:p>
        </w:tc>
      </w:tr>
      <w:tr w:rsidR="00585466" w14:paraId="5B63B9D9" w14:textId="77777777" w:rsidTr="00064E4F">
        <w:tc>
          <w:tcPr>
            <w:tcW w:w="6374" w:type="dxa"/>
          </w:tcPr>
          <w:p w14:paraId="155CFA74" w14:textId="7FC6EBD6" w:rsidR="00585466" w:rsidRP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cs="Arial"/>
                <w:b/>
                <w:bCs/>
                <w:sz w:val="24"/>
                <w:szCs w:val="24"/>
              </w:rPr>
            </w:pPr>
            <w:r w:rsidRPr="00585466">
              <w:rPr>
                <w:rFonts w:cs="Arial"/>
                <w:b/>
                <w:bCs/>
                <w:sz w:val="24"/>
                <w:szCs w:val="24"/>
              </w:rPr>
              <w:t>UMSOMBOVU (PTY) LTD</w:t>
            </w:r>
          </w:p>
        </w:tc>
        <w:tc>
          <w:tcPr>
            <w:tcW w:w="2976" w:type="dxa"/>
          </w:tcPr>
          <w:p w14:paraId="2B00DE7A" w14:textId="4AFF5C81" w:rsid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outlineLvl w:val="0"/>
              <w:rPr>
                <w:rFonts w:cs="Arial"/>
                <w:sz w:val="24"/>
                <w:szCs w:val="24"/>
              </w:rPr>
            </w:pPr>
            <w:r>
              <w:rPr>
                <w:rFonts w:cs="Arial"/>
                <w:sz w:val="24"/>
                <w:szCs w:val="24"/>
              </w:rPr>
              <w:t>Applicant</w:t>
            </w:r>
          </w:p>
        </w:tc>
      </w:tr>
      <w:tr w:rsidR="00585466" w14:paraId="394E8288" w14:textId="77777777" w:rsidTr="00064E4F">
        <w:tc>
          <w:tcPr>
            <w:tcW w:w="6374" w:type="dxa"/>
          </w:tcPr>
          <w:p w14:paraId="4E39E6FA" w14:textId="170C1D76" w:rsidR="00585466" w:rsidRP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cs="Arial"/>
                <w:i/>
                <w:iCs/>
                <w:sz w:val="24"/>
                <w:szCs w:val="24"/>
              </w:rPr>
            </w:pPr>
            <w:r w:rsidRPr="00585466">
              <w:rPr>
                <w:rFonts w:cs="Arial"/>
                <w:i/>
                <w:iCs/>
                <w:sz w:val="24"/>
                <w:szCs w:val="24"/>
              </w:rPr>
              <w:t>And</w:t>
            </w:r>
          </w:p>
        </w:tc>
        <w:tc>
          <w:tcPr>
            <w:tcW w:w="2976" w:type="dxa"/>
          </w:tcPr>
          <w:p w14:paraId="1E5EE39B" w14:textId="77777777" w:rsid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outlineLvl w:val="0"/>
              <w:rPr>
                <w:rFonts w:cs="Arial"/>
                <w:sz w:val="24"/>
                <w:szCs w:val="24"/>
              </w:rPr>
            </w:pPr>
          </w:p>
        </w:tc>
      </w:tr>
      <w:tr w:rsidR="00585466" w14:paraId="186E73B8" w14:textId="77777777" w:rsidTr="00064E4F">
        <w:tc>
          <w:tcPr>
            <w:tcW w:w="6374" w:type="dxa"/>
          </w:tcPr>
          <w:p w14:paraId="46531C93" w14:textId="137561AC" w:rsidR="00585466" w:rsidRP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cs="Arial"/>
                <w:b/>
                <w:bCs/>
                <w:sz w:val="24"/>
                <w:szCs w:val="24"/>
              </w:rPr>
            </w:pPr>
            <w:r w:rsidRPr="00585466">
              <w:rPr>
                <w:rFonts w:cs="Arial"/>
                <w:b/>
                <w:bCs/>
                <w:sz w:val="24"/>
                <w:szCs w:val="24"/>
              </w:rPr>
              <w:t>THE MINISTER OF MINERAL RESOURCES</w:t>
            </w:r>
          </w:p>
        </w:tc>
        <w:tc>
          <w:tcPr>
            <w:tcW w:w="2976" w:type="dxa"/>
          </w:tcPr>
          <w:p w14:paraId="7D7BFB8E" w14:textId="37D84E6F" w:rsid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outlineLvl w:val="0"/>
              <w:rPr>
                <w:rFonts w:cs="Arial"/>
                <w:sz w:val="24"/>
                <w:szCs w:val="24"/>
              </w:rPr>
            </w:pPr>
            <w:r>
              <w:rPr>
                <w:rFonts w:cs="Arial"/>
                <w:sz w:val="24"/>
                <w:szCs w:val="24"/>
              </w:rPr>
              <w:t>First Respondent</w:t>
            </w:r>
          </w:p>
        </w:tc>
      </w:tr>
      <w:tr w:rsidR="00585466" w14:paraId="4D26A0F1" w14:textId="77777777" w:rsidTr="00064E4F">
        <w:tc>
          <w:tcPr>
            <w:tcW w:w="6374" w:type="dxa"/>
          </w:tcPr>
          <w:p w14:paraId="4E759C06" w14:textId="32C05B3F" w:rsidR="00585466" w:rsidRP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cs="Arial"/>
                <w:b/>
                <w:bCs/>
                <w:sz w:val="24"/>
                <w:szCs w:val="24"/>
              </w:rPr>
            </w:pPr>
            <w:r w:rsidRPr="00585466">
              <w:rPr>
                <w:rFonts w:cs="Arial"/>
                <w:b/>
                <w:bCs/>
                <w:sz w:val="24"/>
                <w:szCs w:val="24"/>
              </w:rPr>
              <w:lastRenderedPageBreak/>
              <w:t>THE DIRECTOR – GENERAL: DEPT OF MINERALS AND ENERGY</w:t>
            </w:r>
          </w:p>
        </w:tc>
        <w:tc>
          <w:tcPr>
            <w:tcW w:w="2976" w:type="dxa"/>
          </w:tcPr>
          <w:p w14:paraId="10EF734A" w14:textId="6B9DD02D" w:rsid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outlineLvl w:val="0"/>
              <w:rPr>
                <w:rFonts w:cs="Arial"/>
                <w:sz w:val="24"/>
                <w:szCs w:val="24"/>
              </w:rPr>
            </w:pPr>
            <w:r>
              <w:rPr>
                <w:rFonts w:cs="Arial"/>
                <w:sz w:val="24"/>
                <w:szCs w:val="24"/>
              </w:rPr>
              <w:t>Second Respondent</w:t>
            </w:r>
          </w:p>
        </w:tc>
      </w:tr>
      <w:tr w:rsidR="00585466" w14:paraId="4974B4AA" w14:textId="77777777" w:rsidTr="00064E4F">
        <w:tc>
          <w:tcPr>
            <w:tcW w:w="6374" w:type="dxa"/>
            <w:tcBorders>
              <w:bottom w:val="single" w:sz="4" w:space="0" w:color="auto"/>
            </w:tcBorders>
          </w:tcPr>
          <w:p w14:paraId="34803E3A" w14:textId="77A38A79" w:rsidR="00585466" w:rsidRP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outlineLvl w:val="0"/>
              <w:rPr>
                <w:rFonts w:cs="Arial"/>
                <w:b/>
                <w:bCs/>
                <w:sz w:val="24"/>
                <w:szCs w:val="24"/>
              </w:rPr>
            </w:pPr>
            <w:r w:rsidRPr="00585466">
              <w:rPr>
                <w:rFonts w:cs="Arial"/>
                <w:b/>
                <w:bCs/>
                <w:sz w:val="24"/>
                <w:szCs w:val="24"/>
              </w:rPr>
              <w:t>THE REGIONAL MANAGER: KZN REGION</w:t>
            </w:r>
          </w:p>
        </w:tc>
        <w:tc>
          <w:tcPr>
            <w:tcW w:w="2976" w:type="dxa"/>
            <w:tcBorders>
              <w:bottom w:val="single" w:sz="4" w:space="0" w:color="auto"/>
            </w:tcBorders>
          </w:tcPr>
          <w:p w14:paraId="36DFF988" w14:textId="32A41FFA" w:rsidR="00585466" w:rsidRDefault="00585466"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outlineLvl w:val="0"/>
              <w:rPr>
                <w:rFonts w:cs="Arial"/>
                <w:sz w:val="24"/>
                <w:szCs w:val="24"/>
              </w:rPr>
            </w:pPr>
            <w:r>
              <w:rPr>
                <w:rFonts w:cs="Arial"/>
                <w:sz w:val="24"/>
                <w:szCs w:val="24"/>
              </w:rPr>
              <w:t>Third Respondent</w:t>
            </w:r>
          </w:p>
        </w:tc>
      </w:tr>
    </w:tbl>
    <w:p w14:paraId="59F9D02B" w14:textId="5FB3DAEF" w:rsidR="00585466" w:rsidRDefault="00585466" w:rsidP="00585466">
      <w:pPr>
        <w:pStyle w:val="Body"/>
        <w:outlineLvl w:val="0"/>
        <w:rPr>
          <w:rFonts w:cs="Arial"/>
          <w:sz w:val="24"/>
          <w:szCs w:val="24"/>
        </w:rPr>
      </w:pPr>
    </w:p>
    <w:tbl>
      <w:tblPr>
        <w:tblStyle w:val="TableGrid"/>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260F2D" w:rsidRPr="00665EC9" w14:paraId="58735F72" w14:textId="77777777" w:rsidTr="00064E4F">
        <w:trPr>
          <w:trHeight w:val="1045"/>
        </w:trPr>
        <w:tc>
          <w:tcPr>
            <w:tcW w:w="9487" w:type="dxa"/>
          </w:tcPr>
          <w:p w14:paraId="3DC19059" w14:textId="2362CAA6" w:rsidR="00260F2D" w:rsidRPr="00665EC9" w:rsidRDefault="00260F2D" w:rsidP="00520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7482"/>
            </w:tblGrid>
            <w:tr w:rsidR="00260F2D" w:rsidRPr="00665EC9" w14:paraId="1B2970AA" w14:textId="77777777" w:rsidTr="0063569A">
              <w:tc>
                <w:tcPr>
                  <w:tcW w:w="1790" w:type="dxa"/>
                </w:tcPr>
                <w:p w14:paraId="45CB6FFD" w14:textId="77777777" w:rsidR="00260F2D" w:rsidRPr="005D1D30" w:rsidRDefault="00260F2D"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Arial"/>
                      <w:b/>
                      <w:bCs/>
                      <w:sz w:val="24"/>
                      <w:szCs w:val="24"/>
                    </w:rPr>
                  </w:pPr>
                  <w:r w:rsidRPr="005D1D30">
                    <w:rPr>
                      <w:rFonts w:eastAsia="Times New Roman" w:cs="Arial"/>
                      <w:b/>
                      <w:bCs/>
                      <w:sz w:val="24"/>
                      <w:szCs w:val="24"/>
                      <w:lang w:val="en-ZA"/>
                    </w:rPr>
                    <w:t>Coram:</w:t>
                  </w:r>
                  <w:r w:rsidRPr="005D1D30">
                    <w:rPr>
                      <w:rFonts w:eastAsia="Times New Roman" w:cs="Arial"/>
                      <w:sz w:val="24"/>
                      <w:szCs w:val="24"/>
                      <w:lang w:val="en-ZA"/>
                    </w:rPr>
                    <w:t>          </w:t>
                  </w:r>
                </w:p>
              </w:tc>
              <w:tc>
                <w:tcPr>
                  <w:tcW w:w="7513" w:type="dxa"/>
                </w:tcPr>
                <w:p w14:paraId="28940598" w14:textId="68144A2E" w:rsidR="00260F2D" w:rsidRPr="005D1D30" w:rsidRDefault="00260F2D" w:rsidP="00064E4F">
                  <w:pPr>
                    <w:tabs>
                      <w:tab w:val="left" w:pos="1417"/>
                    </w:tabs>
                    <w:spacing w:after="120"/>
                    <w:ind w:left="2268" w:hanging="2268"/>
                    <w:rPr>
                      <w:rFonts w:ascii="Arial" w:eastAsia="Times New Roman" w:hAnsi="Arial" w:cs="Arial"/>
                      <w:color w:val="000000"/>
                      <w:sz w:val="24"/>
                      <w:szCs w:val="24"/>
                    </w:rPr>
                  </w:pPr>
                  <w:r w:rsidRPr="005D1D30">
                    <w:rPr>
                      <w:rFonts w:ascii="Arial" w:eastAsia="Times New Roman" w:hAnsi="Arial" w:cs="Arial"/>
                      <w:color w:val="000000"/>
                      <w:sz w:val="24"/>
                      <w:szCs w:val="24"/>
                      <w:lang w:val="en-ZA"/>
                    </w:rPr>
                    <w:t xml:space="preserve">Millar </w:t>
                  </w:r>
                  <w:r>
                    <w:rPr>
                      <w:rFonts w:ascii="Arial" w:eastAsia="Times New Roman" w:hAnsi="Arial" w:cs="Arial"/>
                      <w:color w:val="000000"/>
                      <w:sz w:val="24"/>
                      <w:szCs w:val="24"/>
                      <w:lang w:val="en-ZA"/>
                    </w:rPr>
                    <w:t>J</w:t>
                  </w:r>
                </w:p>
                <w:p w14:paraId="51A75309" w14:textId="77777777" w:rsidR="00260F2D" w:rsidRPr="005D1D30" w:rsidRDefault="00260F2D"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Arial"/>
                      <w:b/>
                      <w:bCs/>
                      <w:sz w:val="24"/>
                      <w:szCs w:val="24"/>
                    </w:rPr>
                  </w:pPr>
                </w:p>
              </w:tc>
            </w:tr>
            <w:tr w:rsidR="00260F2D" w:rsidRPr="00665EC9" w14:paraId="2CF55DA0" w14:textId="77777777" w:rsidTr="0063569A">
              <w:tc>
                <w:tcPr>
                  <w:tcW w:w="1790" w:type="dxa"/>
                </w:tcPr>
                <w:p w14:paraId="1FD3EEEB" w14:textId="77777777" w:rsidR="00260F2D" w:rsidRPr="005D1D30" w:rsidRDefault="00260F2D"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Arial"/>
                      <w:b/>
                      <w:bCs/>
                      <w:sz w:val="24"/>
                      <w:szCs w:val="24"/>
                    </w:rPr>
                  </w:pPr>
                  <w:r w:rsidRPr="005D1D30">
                    <w:rPr>
                      <w:rFonts w:eastAsia="Times New Roman" w:cs="Arial"/>
                      <w:b/>
                      <w:bCs/>
                      <w:sz w:val="24"/>
                      <w:szCs w:val="24"/>
                      <w:lang w:val="en-ZA"/>
                    </w:rPr>
                    <w:t>Heard on</w:t>
                  </w:r>
                  <w:r w:rsidRPr="005D1D30">
                    <w:rPr>
                      <w:rFonts w:eastAsia="Times New Roman" w:cs="Arial"/>
                      <w:sz w:val="24"/>
                      <w:szCs w:val="24"/>
                      <w:lang w:val="en-ZA"/>
                    </w:rPr>
                    <w:t>:      </w:t>
                  </w:r>
                </w:p>
              </w:tc>
              <w:tc>
                <w:tcPr>
                  <w:tcW w:w="7513" w:type="dxa"/>
                </w:tcPr>
                <w:p w14:paraId="208179F3" w14:textId="09D6EAF7" w:rsidR="00260F2D" w:rsidRPr="005D1D30" w:rsidRDefault="00D02E78" w:rsidP="00064E4F">
                  <w:pPr>
                    <w:spacing w:after="120"/>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DB5128">
                    <w:rPr>
                      <w:rFonts w:ascii="Arial" w:eastAsia="Times New Roman" w:hAnsi="Arial" w:cs="Arial"/>
                      <w:color w:val="000000"/>
                      <w:sz w:val="24"/>
                      <w:szCs w:val="24"/>
                    </w:rPr>
                    <w:t xml:space="preserve">20 </w:t>
                  </w:r>
                  <w:r w:rsidR="007E1AF2">
                    <w:rPr>
                      <w:rFonts w:ascii="Arial" w:eastAsia="Times New Roman" w:hAnsi="Arial" w:cs="Arial"/>
                      <w:color w:val="000000"/>
                      <w:sz w:val="24"/>
                      <w:szCs w:val="24"/>
                    </w:rPr>
                    <w:t>January 2023</w:t>
                  </w:r>
                </w:p>
                <w:p w14:paraId="22302B2F" w14:textId="77777777" w:rsidR="00260F2D" w:rsidRPr="005D1D30" w:rsidRDefault="00260F2D"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Arial"/>
                      <w:b/>
                      <w:bCs/>
                      <w:sz w:val="24"/>
                      <w:szCs w:val="24"/>
                    </w:rPr>
                  </w:pPr>
                </w:p>
              </w:tc>
            </w:tr>
            <w:tr w:rsidR="00260F2D" w:rsidRPr="00665EC9" w14:paraId="2291878F" w14:textId="77777777" w:rsidTr="0063569A">
              <w:trPr>
                <w:trHeight w:val="60"/>
              </w:trPr>
              <w:tc>
                <w:tcPr>
                  <w:tcW w:w="1790" w:type="dxa"/>
                </w:tcPr>
                <w:p w14:paraId="5C159BC4" w14:textId="77777777" w:rsidR="00260F2D" w:rsidRPr="005D1D30" w:rsidRDefault="00260F2D"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Arial"/>
                      <w:b/>
                      <w:bCs/>
                      <w:sz w:val="24"/>
                      <w:szCs w:val="24"/>
                    </w:rPr>
                  </w:pPr>
                  <w:r w:rsidRPr="005D1D30">
                    <w:rPr>
                      <w:rFonts w:eastAsia="Times New Roman" w:cs="Arial"/>
                      <w:b/>
                      <w:bCs/>
                      <w:sz w:val="24"/>
                      <w:szCs w:val="24"/>
                      <w:lang w:val="en-ZA"/>
                    </w:rPr>
                    <w:t xml:space="preserve">Delivered:   </w:t>
                  </w:r>
                </w:p>
              </w:tc>
              <w:tc>
                <w:tcPr>
                  <w:tcW w:w="7513" w:type="dxa"/>
                </w:tcPr>
                <w:p w14:paraId="44058379" w14:textId="41EE2286" w:rsidR="00260F2D" w:rsidRPr="00385E64" w:rsidRDefault="00DB5128" w:rsidP="00064E4F">
                  <w:pPr>
                    <w:tabs>
                      <w:tab w:val="left" w:pos="0"/>
                    </w:tabs>
                    <w:spacing w:after="120"/>
                    <w:ind w:right="37" w:hanging="21"/>
                    <w:jc w:val="both"/>
                    <w:rPr>
                      <w:rFonts w:ascii="Arial" w:eastAsia="Times New Roman" w:hAnsi="Arial" w:cs="Arial"/>
                      <w:color w:val="000000"/>
                      <w:sz w:val="24"/>
                      <w:szCs w:val="24"/>
                      <w:lang w:val="en-ZA"/>
                    </w:rPr>
                  </w:pPr>
                  <w:r>
                    <w:rPr>
                      <w:rFonts w:ascii="Arial" w:eastAsia="Times New Roman" w:hAnsi="Arial" w:cs="Arial"/>
                      <w:color w:val="000000"/>
                      <w:sz w:val="24"/>
                      <w:szCs w:val="24"/>
                      <w:lang w:val="en-ZA"/>
                    </w:rPr>
                    <w:t xml:space="preserve">3 February </w:t>
                  </w:r>
                  <w:r w:rsidR="007E1AF2">
                    <w:rPr>
                      <w:rFonts w:ascii="Arial" w:eastAsia="Times New Roman" w:hAnsi="Arial" w:cs="Arial"/>
                      <w:color w:val="000000"/>
                      <w:sz w:val="24"/>
                      <w:szCs w:val="24"/>
                      <w:lang w:val="en-ZA"/>
                    </w:rPr>
                    <w:t>2023</w:t>
                  </w:r>
                  <w:r w:rsidR="00260F2D" w:rsidRPr="005D1D30">
                    <w:rPr>
                      <w:rFonts w:ascii="Arial" w:eastAsia="Times New Roman" w:hAnsi="Arial" w:cs="Arial"/>
                      <w:color w:val="000000"/>
                      <w:sz w:val="24"/>
                      <w:szCs w:val="24"/>
                      <w:lang w:val="en-ZA"/>
                    </w:rPr>
                    <w:t xml:space="preserve"> - This judgment was handed down electronically by circulation to the parties' representatives by email, by being uploaded to the </w:t>
                  </w:r>
                  <w:r w:rsidR="00260F2D" w:rsidRPr="005D1D30">
                    <w:rPr>
                      <w:rFonts w:ascii="Arial" w:eastAsia="Times New Roman" w:hAnsi="Arial" w:cs="Arial"/>
                      <w:i/>
                      <w:iCs/>
                      <w:color w:val="000000"/>
                      <w:sz w:val="24"/>
                      <w:szCs w:val="24"/>
                      <w:lang w:val="en-ZA"/>
                    </w:rPr>
                    <w:t>CaseLines</w:t>
                  </w:r>
                  <w:r w:rsidR="00260F2D" w:rsidRPr="005D1D30">
                    <w:rPr>
                      <w:rFonts w:ascii="Arial" w:eastAsia="Times New Roman" w:hAnsi="Arial" w:cs="Arial"/>
                      <w:color w:val="000000"/>
                      <w:sz w:val="24"/>
                      <w:szCs w:val="24"/>
                      <w:lang w:val="en-ZA"/>
                    </w:rPr>
                    <w:t xml:space="preserve"> system of the GD and by release to SAFLII. The date and time for hand-down is deemed to be </w:t>
                  </w:r>
                  <w:r w:rsidR="00D02E78">
                    <w:rPr>
                      <w:rFonts w:ascii="Arial" w:eastAsia="Times New Roman" w:hAnsi="Arial" w:cs="Arial"/>
                      <w:color w:val="000000"/>
                      <w:sz w:val="24"/>
                      <w:szCs w:val="24"/>
                      <w:lang w:val="en-ZA"/>
                    </w:rPr>
                    <w:t>1</w:t>
                  </w:r>
                  <w:r w:rsidR="008732CF">
                    <w:rPr>
                      <w:rFonts w:ascii="Arial" w:eastAsia="Times New Roman" w:hAnsi="Arial" w:cs="Arial"/>
                      <w:color w:val="000000"/>
                      <w:sz w:val="24"/>
                      <w:szCs w:val="24"/>
                      <w:lang w:val="en-ZA"/>
                    </w:rPr>
                    <w:t>2</w:t>
                  </w:r>
                  <w:r w:rsidR="00260F2D" w:rsidRPr="005D1D30">
                    <w:rPr>
                      <w:rFonts w:ascii="Arial" w:eastAsia="Times New Roman" w:hAnsi="Arial" w:cs="Arial"/>
                      <w:color w:val="000000"/>
                      <w:sz w:val="24"/>
                      <w:szCs w:val="24"/>
                      <w:lang w:val="en-ZA"/>
                    </w:rPr>
                    <w:t>H</w:t>
                  </w:r>
                  <w:r w:rsidR="008732CF">
                    <w:rPr>
                      <w:rFonts w:ascii="Arial" w:eastAsia="Times New Roman" w:hAnsi="Arial" w:cs="Arial"/>
                      <w:color w:val="000000"/>
                      <w:sz w:val="24"/>
                      <w:szCs w:val="24"/>
                      <w:lang w:val="en-ZA"/>
                    </w:rPr>
                    <w:t>45</w:t>
                  </w:r>
                  <w:r w:rsidR="00260F2D" w:rsidRPr="005D1D30">
                    <w:rPr>
                      <w:rFonts w:ascii="Arial" w:eastAsia="Times New Roman" w:hAnsi="Arial" w:cs="Arial"/>
                      <w:color w:val="000000"/>
                      <w:sz w:val="24"/>
                      <w:szCs w:val="24"/>
                      <w:lang w:val="en-ZA"/>
                    </w:rPr>
                    <w:t xml:space="preserve"> on </w:t>
                  </w:r>
                  <w:r>
                    <w:rPr>
                      <w:rFonts w:ascii="Arial" w:eastAsia="Times New Roman" w:hAnsi="Arial" w:cs="Arial"/>
                      <w:color w:val="000000"/>
                      <w:sz w:val="24"/>
                      <w:szCs w:val="24"/>
                      <w:lang w:val="en-ZA"/>
                    </w:rPr>
                    <w:t>3 February</w:t>
                  </w:r>
                  <w:r w:rsidR="007E1AF2">
                    <w:rPr>
                      <w:rFonts w:ascii="Arial" w:eastAsia="Times New Roman" w:hAnsi="Arial" w:cs="Arial"/>
                      <w:color w:val="000000"/>
                      <w:sz w:val="24"/>
                      <w:szCs w:val="24"/>
                      <w:lang w:val="en-ZA"/>
                    </w:rPr>
                    <w:t xml:space="preserve"> 2023</w:t>
                  </w:r>
                </w:p>
              </w:tc>
            </w:tr>
          </w:tbl>
          <w:p w14:paraId="440A412E" w14:textId="77777777" w:rsidR="00260F2D" w:rsidRPr="00665EC9"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bl>
    <w:tbl>
      <w:tblPr>
        <w:tblStyle w:val="TableGrid"/>
        <w:tblpPr w:leftFromText="180" w:rightFromText="180" w:vertAnchor="text" w:horzAnchor="margin" w:tblpY="127"/>
        <w:tblW w:w="935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64E4F" w:rsidRPr="0031449E" w14:paraId="34BF1F1C" w14:textId="77777777" w:rsidTr="00064E4F">
        <w:tc>
          <w:tcPr>
            <w:tcW w:w="9350" w:type="dxa"/>
          </w:tcPr>
          <w:p w14:paraId="4B0D5961" w14:textId="77777777" w:rsidR="00064E4F" w:rsidRDefault="00064E4F"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ahoma" w:cs="Arial"/>
                <w:b/>
                <w:bCs/>
                <w:sz w:val="32"/>
                <w:szCs w:val="24"/>
                <w:lang w:val="de-DE"/>
              </w:rPr>
            </w:pPr>
          </w:p>
          <w:p w14:paraId="5A2ABDC5" w14:textId="77777777" w:rsidR="00064E4F" w:rsidRPr="00E965B7" w:rsidRDefault="00064E4F" w:rsidP="00064E4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eastAsia="Tahoma" w:cs="Arial"/>
                <w:b/>
                <w:bCs/>
                <w:sz w:val="24"/>
                <w:szCs w:val="24"/>
                <w:lang w:val="de-DE"/>
              </w:rPr>
            </w:pPr>
            <w:r w:rsidRPr="0050250E">
              <w:rPr>
                <w:rFonts w:eastAsia="Tahoma" w:cs="Arial"/>
                <w:b/>
                <w:bCs/>
                <w:sz w:val="28"/>
                <w:szCs w:val="28"/>
                <w:lang w:val="de-DE"/>
              </w:rPr>
              <w:t xml:space="preserve">JUDGMENT </w:t>
            </w:r>
          </w:p>
        </w:tc>
      </w:tr>
    </w:tbl>
    <w:p w14:paraId="02BCB5D5" w14:textId="77777777" w:rsidR="00E87C23" w:rsidRDefault="00E87C23" w:rsidP="00E87C23">
      <w:pPr>
        <w:pStyle w:val="Body"/>
        <w:jc w:val="both"/>
        <w:rPr>
          <w:b/>
          <w:sz w:val="22"/>
          <w:szCs w:val="22"/>
        </w:rPr>
      </w:pPr>
    </w:p>
    <w:p w14:paraId="1C98549E" w14:textId="77777777" w:rsidR="00E87C23" w:rsidRDefault="00E87C23" w:rsidP="00E87C23">
      <w:pPr>
        <w:pStyle w:val="Body"/>
        <w:jc w:val="both"/>
        <w:rPr>
          <w:b/>
          <w:sz w:val="22"/>
          <w:szCs w:val="22"/>
          <w:u w:val="single"/>
        </w:rPr>
      </w:pPr>
      <w:r w:rsidRPr="00C519B2">
        <w:rPr>
          <w:b/>
          <w:sz w:val="22"/>
          <w:szCs w:val="22"/>
          <w:u w:val="single"/>
        </w:rPr>
        <w:t>MILLAR J</w:t>
      </w:r>
    </w:p>
    <w:p w14:paraId="614F38BC" w14:textId="77777777" w:rsidR="00765BC3" w:rsidRDefault="00765BC3" w:rsidP="00765BC3"/>
    <w:p w14:paraId="1B5B5239" w14:textId="049C7992" w:rsidR="000B2542" w:rsidRPr="001B203D" w:rsidRDefault="001B203D" w:rsidP="001B203D">
      <w:pPr>
        <w:spacing w:line="360" w:lineRule="auto"/>
        <w:ind w:left="851" w:hanging="851"/>
        <w:jc w:val="both"/>
        <w:rPr>
          <w:rFonts w:ascii="Arial" w:hAnsi="Arial" w:cs="Arial"/>
          <w:color w:val="000000" w:themeColor="text1"/>
        </w:rPr>
      </w:pPr>
      <w:r w:rsidRPr="00A120EC">
        <w:rPr>
          <w:rFonts w:ascii="Arial" w:hAnsi="Arial" w:cs="Arial"/>
          <w:color w:val="000000" w:themeColor="text1"/>
          <w:sz w:val="22"/>
        </w:rPr>
        <w:t>1</w:t>
      </w:r>
      <w:bookmarkStart w:id="0" w:name="_GoBack"/>
      <w:bookmarkEnd w:id="0"/>
      <w:r w:rsidRPr="00A120EC">
        <w:rPr>
          <w:rFonts w:ascii="Arial" w:hAnsi="Arial" w:cs="Arial"/>
          <w:color w:val="000000" w:themeColor="text1"/>
          <w:sz w:val="22"/>
        </w:rPr>
        <w:t>.</w:t>
      </w:r>
      <w:r w:rsidRPr="00A120EC">
        <w:rPr>
          <w:rFonts w:ascii="Arial" w:hAnsi="Arial" w:cs="Arial"/>
          <w:color w:val="000000" w:themeColor="text1"/>
          <w:sz w:val="22"/>
        </w:rPr>
        <w:tab/>
      </w:r>
      <w:r w:rsidR="00A120EC" w:rsidRPr="001B203D">
        <w:rPr>
          <w:rFonts w:ascii="Arial" w:hAnsi="Arial" w:cs="Arial"/>
        </w:rPr>
        <w:t>On 28 February 2022 Umsobomvu Coal (Pty) Ltd (“Umsobomvu”) brought an application in which an order was sought against the respondents for:</w:t>
      </w:r>
    </w:p>
    <w:p w14:paraId="39D91FAE" w14:textId="59A11B72" w:rsidR="00A120EC" w:rsidRPr="00064E4F" w:rsidRDefault="00A120EC" w:rsidP="00064E4F">
      <w:pPr>
        <w:pStyle w:val="ListParagraph"/>
        <w:spacing w:line="360" w:lineRule="auto"/>
        <w:ind w:left="2268" w:hanging="850"/>
        <w:jc w:val="both"/>
        <w:rPr>
          <w:rFonts w:ascii="Arial" w:hAnsi="Arial" w:cs="Arial"/>
          <w:sz w:val="22"/>
          <w:szCs w:val="22"/>
        </w:rPr>
      </w:pPr>
    </w:p>
    <w:p w14:paraId="01AE3E79" w14:textId="77777777" w:rsidR="00064E4F" w:rsidRPr="00A304C7" w:rsidRDefault="00A120EC" w:rsidP="00064E4F">
      <w:pPr>
        <w:pStyle w:val="ListParagraph"/>
        <w:spacing w:line="360" w:lineRule="auto"/>
        <w:ind w:left="2268" w:hanging="850"/>
        <w:jc w:val="both"/>
        <w:rPr>
          <w:rFonts w:ascii="Arial" w:hAnsi="Arial" w:cs="Arial"/>
          <w:i/>
          <w:iCs/>
          <w:sz w:val="22"/>
          <w:szCs w:val="22"/>
        </w:rPr>
      </w:pPr>
      <w:r w:rsidRPr="00A304C7">
        <w:rPr>
          <w:rFonts w:ascii="Arial" w:hAnsi="Arial" w:cs="Arial"/>
          <w:i/>
          <w:iCs/>
          <w:sz w:val="22"/>
          <w:szCs w:val="22"/>
        </w:rPr>
        <w:t>“</w:t>
      </w:r>
      <w:r w:rsidR="00064E4F" w:rsidRPr="00A304C7">
        <w:rPr>
          <w:rFonts w:ascii="Arial" w:hAnsi="Arial" w:cs="Arial"/>
          <w:i/>
          <w:iCs/>
          <w:sz w:val="22"/>
          <w:szCs w:val="22"/>
        </w:rPr>
        <w:t>1.</w:t>
      </w:r>
      <w:r w:rsidR="00064E4F" w:rsidRPr="00A304C7">
        <w:rPr>
          <w:rFonts w:ascii="Arial" w:hAnsi="Arial" w:cs="Arial"/>
          <w:i/>
          <w:iCs/>
          <w:sz w:val="22"/>
          <w:szCs w:val="22"/>
        </w:rPr>
        <w:tab/>
        <w:t>Directing the Respondents to deliver all the records required in terms of the Applicant’s notice of appeal in terms of Section 96 read with Regulation 74 of the Mineral and Petroleum Resources Development Act, 2002 (‘</w:t>
      </w:r>
      <w:r w:rsidR="00064E4F" w:rsidRPr="00A304C7">
        <w:rPr>
          <w:rFonts w:ascii="Arial" w:hAnsi="Arial" w:cs="Arial"/>
          <w:b/>
          <w:bCs/>
          <w:i/>
          <w:iCs/>
          <w:sz w:val="22"/>
          <w:szCs w:val="22"/>
        </w:rPr>
        <w:t>MPDRA’</w:t>
      </w:r>
      <w:r w:rsidR="00064E4F" w:rsidRPr="00A304C7">
        <w:rPr>
          <w:rFonts w:ascii="Arial" w:hAnsi="Arial" w:cs="Arial"/>
          <w:i/>
          <w:iCs/>
          <w:sz w:val="22"/>
          <w:szCs w:val="22"/>
        </w:rPr>
        <w:t xml:space="preserve">) and Application for withdrawal of the decision in terms of Section 103(4)(b) and Application for suspension of the decision in terms of Section 96(2)(a) in respect of the decision made by the Director-General concerning the application made by Transasia Minerals 444 (Pty) Ltd (registration number 2011/003954/07) (Transasia 444) for Ministerial consent in terms of Section 11 of the MPRDA for the transfer of the mineral right with reference number KZN30/5/1/2/2/10021MR in respect of the property Farm terrace 3707 Portion 8 of the Farm Winkel no 5054, Remainder of Portion 1 of the Farm Eastkeal no 5138 of the Farm Lot W </w:t>
      </w:r>
      <w:r w:rsidR="00064E4F" w:rsidRPr="00A304C7">
        <w:rPr>
          <w:rFonts w:ascii="Arial" w:hAnsi="Arial" w:cs="Arial"/>
          <w:i/>
          <w:iCs/>
          <w:sz w:val="22"/>
          <w:szCs w:val="22"/>
        </w:rPr>
        <w:lastRenderedPageBreak/>
        <w:t>no. 8610, the Farm Cosby Rock no 11509, Remainder of Portion 3, Remainder of Portion 4 and Portions 12 and 15 of the Farm Hazeldene no 12649 (‘</w:t>
      </w:r>
      <w:r w:rsidR="00064E4F" w:rsidRPr="00A304C7">
        <w:rPr>
          <w:rFonts w:ascii="Arial" w:hAnsi="Arial" w:cs="Arial"/>
          <w:b/>
          <w:bCs/>
          <w:i/>
          <w:iCs/>
          <w:sz w:val="22"/>
          <w:szCs w:val="22"/>
        </w:rPr>
        <w:t>Appeal’</w:t>
      </w:r>
      <w:r w:rsidR="00064E4F" w:rsidRPr="00A304C7">
        <w:rPr>
          <w:rFonts w:ascii="Arial" w:hAnsi="Arial" w:cs="Arial"/>
          <w:i/>
          <w:iCs/>
          <w:sz w:val="22"/>
          <w:szCs w:val="22"/>
        </w:rPr>
        <w:t>) in compliance with Regulation 74(8) of the MPRDA within 5 days of the granting of the Order.</w:t>
      </w:r>
    </w:p>
    <w:p w14:paraId="402D46E1" w14:textId="77777777" w:rsidR="00064E4F" w:rsidRPr="00A304C7" w:rsidRDefault="00064E4F" w:rsidP="00064E4F">
      <w:pPr>
        <w:pStyle w:val="ListParagraph"/>
        <w:spacing w:line="360" w:lineRule="auto"/>
        <w:ind w:left="2268" w:hanging="850"/>
        <w:jc w:val="both"/>
        <w:rPr>
          <w:rFonts w:ascii="Arial" w:hAnsi="Arial" w:cs="Arial"/>
          <w:i/>
          <w:iCs/>
          <w:sz w:val="22"/>
          <w:szCs w:val="22"/>
        </w:rPr>
      </w:pPr>
    </w:p>
    <w:p w14:paraId="615F2838" w14:textId="0F5FBDF8" w:rsidR="00064E4F" w:rsidRPr="001B203D" w:rsidRDefault="001B203D" w:rsidP="001B203D">
      <w:pPr>
        <w:spacing w:line="360" w:lineRule="auto"/>
        <w:ind w:left="2268" w:hanging="850"/>
        <w:jc w:val="both"/>
        <w:rPr>
          <w:rFonts w:ascii="Arial" w:hAnsi="Arial" w:cs="Arial"/>
          <w:i/>
          <w:iCs/>
          <w:sz w:val="22"/>
          <w:szCs w:val="22"/>
        </w:rPr>
      </w:pPr>
      <w:r w:rsidRPr="00A304C7">
        <w:rPr>
          <w:rFonts w:ascii="Arial" w:hAnsi="Arial" w:cs="Arial"/>
          <w:sz w:val="22"/>
        </w:rPr>
        <w:t>2.</w:t>
      </w:r>
      <w:r w:rsidRPr="00A304C7">
        <w:rPr>
          <w:rFonts w:ascii="Arial" w:hAnsi="Arial" w:cs="Arial"/>
          <w:sz w:val="22"/>
        </w:rPr>
        <w:tab/>
      </w:r>
      <w:r w:rsidR="00064E4F" w:rsidRPr="001B203D">
        <w:rPr>
          <w:rFonts w:ascii="Arial" w:hAnsi="Arial" w:cs="Arial"/>
          <w:i/>
          <w:iCs/>
          <w:sz w:val="22"/>
          <w:szCs w:val="22"/>
        </w:rPr>
        <w:t>…</w:t>
      </w:r>
    </w:p>
    <w:p w14:paraId="196E1586" w14:textId="57427109" w:rsidR="000B2542" w:rsidRPr="001B203D" w:rsidRDefault="001B203D" w:rsidP="001B203D">
      <w:pPr>
        <w:spacing w:line="360" w:lineRule="auto"/>
        <w:ind w:left="2268" w:hanging="850"/>
        <w:jc w:val="both"/>
        <w:rPr>
          <w:rFonts w:ascii="Arial" w:hAnsi="Arial" w:cs="Arial"/>
          <w:i/>
          <w:iCs/>
          <w:color w:val="000000" w:themeColor="text1"/>
          <w:sz w:val="22"/>
          <w:szCs w:val="22"/>
        </w:rPr>
      </w:pPr>
      <w:r w:rsidRPr="00A304C7">
        <w:rPr>
          <w:rFonts w:ascii="Arial" w:hAnsi="Arial" w:cs="Arial"/>
          <w:color w:val="000000" w:themeColor="text1"/>
          <w:sz w:val="22"/>
        </w:rPr>
        <w:t>3.</w:t>
      </w:r>
      <w:r w:rsidRPr="00A304C7">
        <w:rPr>
          <w:rFonts w:ascii="Arial" w:hAnsi="Arial" w:cs="Arial"/>
          <w:color w:val="000000" w:themeColor="text1"/>
          <w:sz w:val="22"/>
        </w:rPr>
        <w:tab/>
      </w:r>
      <w:r w:rsidR="00064E4F" w:rsidRPr="001B203D">
        <w:rPr>
          <w:rFonts w:ascii="Arial" w:hAnsi="Arial" w:cs="Arial"/>
          <w:i/>
          <w:iCs/>
          <w:sz w:val="22"/>
          <w:szCs w:val="22"/>
        </w:rPr>
        <w:t>…”</w:t>
      </w:r>
    </w:p>
    <w:p w14:paraId="0EF8D474" w14:textId="77777777" w:rsidR="00064E4F" w:rsidRPr="00C40249" w:rsidRDefault="00064E4F" w:rsidP="00064E4F">
      <w:pPr>
        <w:pStyle w:val="ListParagraph"/>
        <w:spacing w:line="360" w:lineRule="auto"/>
        <w:jc w:val="both"/>
        <w:rPr>
          <w:rFonts w:ascii="Arial" w:hAnsi="Arial" w:cs="Arial"/>
          <w:color w:val="000000" w:themeColor="text1"/>
        </w:rPr>
      </w:pPr>
    </w:p>
    <w:p w14:paraId="0F529373" w14:textId="2F6A7B29" w:rsidR="006C5C2B" w:rsidRPr="001B203D" w:rsidRDefault="001B203D" w:rsidP="001B203D">
      <w:pPr>
        <w:spacing w:line="360" w:lineRule="auto"/>
        <w:ind w:left="851" w:hanging="851"/>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000B2542" w:rsidRPr="001B203D">
        <w:rPr>
          <w:rFonts w:ascii="Arial" w:hAnsi="Arial" w:cs="Arial"/>
          <w:color w:val="000000" w:themeColor="text1"/>
        </w:rPr>
        <w:t xml:space="preserve">The </w:t>
      </w:r>
      <w:r w:rsidR="00A120EC" w:rsidRPr="001B203D">
        <w:rPr>
          <w:rFonts w:ascii="Arial" w:hAnsi="Arial" w:cs="Arial"/>
          <w:color w:val="000000" w:themeColor="text1"/>
        </w:rPr>
        <w:t xml:space="preserve">order sought was granted on 28 June 2022.  Thereafter, Transasia 444 (Pty) Ltd (“Transasia 444”) brought an application for recission of that order.  The application for recission was premised upon the fact that it was an interested party in the appeal that Umsobomvu sought to prosecute.  </w:t>
      </w:r>
    </w:p>
    <w:p w14:paraId="1364FAED" w14:textId="77777777" w:rsidR="006C5C2B" w:rsidRDefault="006C5C2B" w:rsidP="006C5C2B">
      <w:pPr>
        <w:pStyle w:val="ListParagraph"/>
        <w:spacing w:line="360" w:lineRule="auto"/>
        <w:ind w:left="851"/>
        <w:jc w:val="both"/>
        <w:rPr>
          <w:rFonts w:ascii="Arial" w:hAnsi="Arial" w:cs="Arial"/>
          <w:color w:val="000000" w:themeColor="text1"/>
        </w:rPr>
      </w:pPr>
    </w:p>
    <w:p w14:paraId="398D6EB8" w14:textId="7EC939A5" w:rsidR="00A06BF9" w:rsidRPr="001B203D" w:rsidRDefault="001B203D" w:rsidP="001B203D">
      <w:pPr>
        <w:spacing w:line="360" w:lineRule="auto"/>
        <w:ind w:left="851" w:hanging="851"/>
        <w:jc w:val="both"/>
        <w:rPr>
          <w:rFonts w:ascii="Arial" w:hAnsi="Arial" w:cs="Arial"/>
          <w:color w:val="000000" w:themeColor="text1"/>
        </w:rPr>
      </w:pPr>
      <w:r w:rsidRPr="00876181">
        <w:rPr>
          <w:rFonts w:ascii="Arial" w:hAnsi="Arial" w:cs="Arial"/>
          <w:color w:val="000000" w:themeColor="text1"/>
        </w:rPr>
        <w:t>3.</w:t>
      </w:r>
      <w:r w:rsidRPr="00876181">
        <w:rPr>
          <w:rFonts w:ascii="Arial" w:hAnsi="Arial" w:cs="Arial"/>
          <w:color w:val="000000" w:themeColor="text1"/>
        </w:rPr>
        <w:tab/>
      </w:r>
      <w:r w:rsidR="00A120EC" w:rsidRPr="001B203D">
        <w:rPr>
          <w:rFonts w:ascii="Arial" w:hAnsi="Arial" w:cs="Arial"/>
          <w:color w:val="000000" w:themeColor="text1"/>
        </w:rPr>
        <w:t>The appeal was against the grant of a consent for the transfer of a mineral right and it was contended on behalf of Transasia 444 that besides the fact that they ought in the first place to have been cited in the application</w:t>
      </w:r>
      <w:r w:rsidR="004F001C" w:rsidRPr="001B203D">
        <w:rPr>
          <w:rFonts w:ascii="Arial" w:hAnsi="Arial" w:cs="Arial"/>
          <w:color w:val="000000" w:themeColor="text1"/>
        </w:rPr>
        <w:t>, its interest went beyond this because the documents in respect of which the order of 28 June 2022 had been granted included confidential and proprietary information which had been submitted to the respondents which was not relevant to the prosecution of the appeal.</w:t>
      </w:r>
    </w:p>
    <w:p w14:paraId="593ED7D2" w14:textId="77777777" w:rsidR="004F001C" w:rsidRDefault="004F001C" w:rsidP="004F001C">
      <w:pPr>
        <w:pStyle w:val="ListParagraph"/>
        <w:spacing w:line="360" w:lineRule="auto"/>
        <w:ind w:left="851"/>
        <w:jc w:val="both"/>
        <w:rPr>
          <w:rFonts w:ascii="Arial" w:hAnsi="Arial" w:cs="Arial"/>
          <w:color w:val="000000" w:themeColor="text1"/>
        </w:rPr>
      </w:pPr>
    </w:p>
    <w:p w14:paraId="62049DF5" w14:textId="5D3A93D4" w:rsidR="004F001C" w:rsidRPr="001B203D" w:rsidRDefault="001B203D" w:rsidP="001B203D">
      <w:pPr>
        <w:spacing w:line="360" w:lineRule="auto"/>
        <w:ind w:left="851" w:hanging="851"/>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sidR="008B677D" w:rsidRPr="001B203D">
        <w:rPr>
          <w:rFonts w:ascii="Arial" w:hAnsi="Arial" w:cs="Arial"/>
          <w:color w:val="000000" w:themeColor="text1"/>
        </w:rPr>
        <w:t xml:space="preserve">I considered the application and had regard to the provisions of </w:t>
      </w:r>
      <w:r w:rsidR="008B677D" w:rsidRPr="001B203D">
        <w:rPr>
          <w:rFonts w:ascii="Arial" w:hAnsi="Arial" w:cs="Arial"/>
          <w:i/>
          <w:iCs/>
          <w:color w:val="000000" w:themeColor="text1"/>
        </w:rPr>
        <w:t>inter alia</w:t>
      </w:r>
      <w:r w:rsidR="008B677D" w:rsidRPr="001B203D">
        <w:rPr>
          <w:rFonts w:ascii="Arial" w:hAnsi="Arial" w:cs="Arial"/>
          <w:color w:val="000000" w:themeColor="text1"/>
        </w:rPr>
        <w:t xml:space="preserve"> s 96 of the Mineral and Petroleum Resources Development Act</w:t>
      </w:r>
      <w:r w:rsidR="008B677D">
        <w:rPr>
          <w:rStyle w:val="FootnoteReference"/>
          <w:rFonts w:ascii="Arial" w:hAnsi="Arial" w:cs="Arial"/>
          <w:color w:val="000000" w:themeColor="text1"/>
        </w:rPr>
        <w:footnoteReference w:id="1"/>
      </w:r>
      <w:r w:rsidR="008B677D" w:rsidRPr="001B203D">
        <w:rPr>
          <w:rFonts w:ascii="Arial" w:hAnsi="Arial" w:cs="Arial"/>
          <w:color w:val="000000" w:themeColor="text1"/>
        </w:rPr>
        <w:t xml:space="preserve"> read together with regulation 74(8)</w:t>
      </w:r>
      <w:r w:rsidR="006C5C2B" w:rsidRPr="001B203D">
        <w:rPr>
          <w:rFonts w:ascii="Arial" w:hAnsi="Arial" w:cs="Arial"/>
          <w:color w:val="000000" w:themeColor="text1"/>
        </w:rPr>
        <w:t xml:space="preserve"> in regard to appeals</w:t>
      </w:r>
      <w:r w:rsidR="008B677D" w:rsidRPr="001B203D">
        <w:rPr>
          <w:rFonts w:ascii="Arial" w:hAnsi="Arial" w:cs="Arial"/>
          <w:color w:val="000000" w:themeColor="text1"/>
        </w:rPr>
        <w:t>.  The regulation provides:</w:t>
      </w:r>
    </w:p>
    <w:p w14:paraId="25EA643B" w14:textId="77777777" w:rsidR="008B677D" w:rsidRPr="008B677D" w:rsidRDefault="008B677D" w:rsidP="008B677D">
      <w:pPr>
        <w:pStyle w:val="ListParagraph"/>
        <w:rPr>
          <w:rFonts w:ascii="Arial" w:hAnsi="Arial" w:cs="Arial"/>
          <w:color w:val="000000" w:themeColor="text1"/>
        </w:rPr>
      </w:pPr>
    </w:p>
    <w:p w14:paraId="4794FCC3" w14:textId="19296489" w:rsidR="008B677D" w:rsidRPr="00A304C7" w:rsidRDefault="008B677D" w:rsidP="008B677D">
      <w:pPr>
        <w:pStyle w:val="ListParagraph"/>
        <w:spacing w:line="360" w:lineRule="auto"/>
        <w:ind w:left="2268" w:hanging="850"/>
        <w:jc w:val="both"/>
        <w:rPr>
          <w:rFonts w:ascii="Arial" w:hAnsi="Arial" w:cs="Arial"/>
          <w:i/>
          <w:iCs/>
          <w:color w:val="000000" w:themeColor="text1"/>
          <w:sz w:val="22"/>
          <w:szCs w:val="22"/>
        </w:rPr>
      </w:pPr>
      <w:r w:rsidRPr="00A304C7">
        <w:rPr>
          <w:rFonts w:ascii="Arial" w:hAnsi="Arial" w:cs="Arial"/>
          <w:i/>
          <w:iCs/>
          <w:color w:val="000000" w:themeColor="text1"/>
          <w:sz w:val="22"/>
          <w:szCs w:val="22"/>
        </w:rPr>
        <w:t>“(8)</w:t>
      </w:r>
      <w:r w:rsidRPr="00A304C7">
        <w:rPr>
          <w:rFonts w:ascii="Arial" w:hAnsi="Arial" w:cs="Arial"/>
          <w:i/>
          <w:iCs/>
          <w:color w:val="000000" w:themeColor="text1"/>
          <w:sz w:val="22"/>
          <w:szCs w:val="22"/>
        </w:rPr>
        <w:tab/>
        <w:t>Upon receipt of the notice of appeal referred to in sub regulation (1), but no later than 10 days thereafter, the Regional Manager must send copies of all records pertaining to the decision or decisions which are the subject of the appeal of the appellant, to all identified affected persons, and to the Director-General or to the Minister, as the case may be.”</w:t>
      </w:r>
    </w:p>
    <w:p w14:paraId="082744CE" w14:textId="479E1DDC" w:rsidR="00A120EC" w:rsidRDefault="00A120EC" w:rsidP="00A120EC">
      <w:pPr>
        <w:pStyle w:val="ListParagraph"/>
        <w:spacing w:line="360" w:lineRule="auto"/>
        <w:ind w:left="851"/>
        <w:jc w:val="both"/>
        <w:rPr>
          <w:rFonts w:ascii="Arial" w:hAnsi="Arial" w:cs="Arial"/>
          <w:color w:val="000000" w:themeColor="text1"/>
        </w:rPr>
      </w:pPr>
    </w:p>
    <w:p w14:paraId="17EC6DCC" w14:textId="643CDBA9" w:rsidR="006C5C2B" w:rsidRDefault="006C5C2B" w:rsidP="00A120EC">
      <w:pPr>
        <w:pStyle w:val="ListParagraph"/>
        <w:spacing w:line="360" w:lineRule="auto"/>
        <w:ind w:left="851"/>
        <w:jc w:val="both"/>
        <w:rPr>
          <w:rFonts w:ascii="Arial" w:hAnsi="Arial" w:cs="Arial"/>
          <w:color w:val="000000" w:themeColor="text1"/>
        </w:rPr>
      </w:pPr>
    </w:p>
    <w:p w14:paraId="0DC3D736" w14:textId="2D23ECEA" w:rsidR="006C5C2B" w:rsidRDefault="006C5C2B" w:rsidP="00A120EC">
      <w:pPr>
        <w:pStyle w:val="ListParagraph"/>
        <w:spacing w:line="360" w:lineRule="auto"/>
        <w:ind w:left="851"/>
        <w:jc w:val="both"/>
        <w:rPr>
          <w:rFonts w:ascii="Arial" w:hAnsi="Arial" w:cs="Arial"/>
          <w:color w:val="000000" w:themeColor="text1"/>
        </w:rPr>
      </w:pPr>
    </w:p>
    <w:p w14:paraId="56448C9F" w14:textId="77777777" w:rsidR="006C5C2B" w:rsidRPr="00A120EC" w:rsidRDefault="006C5C2B" w:rsidP="00A120EC">
      <w:pPr>
        <w:pStyle w:val="ListParagraph"/>
        <w:spacing w:line="360" w:lineRule="auto"/>
        <w:ind w:left="851"/>
        <w:jc w:val="both"/>
        <w:rPr>
          <w:rFonts w:ascii="Arial" w:hAnsi="Arial" w:cs="Arial"/>
          <w:color w:val="000000" w:themeColor="text1"/>
        </w:rPr>
      </w:pPr>
    </w:p>
    <w:p w14:paraId="557CDBAD" w14:textId="6B32C224" w:rsidR="008B677D" w:rsidRPr="001B203D" w:rsidRDefault="001B203D" w:rsidP="001B203D">
      <w:pPr>
        <w:spacing w:line="360" w:lineRule="auto"/>
        <w:ind w:left="851" w:hanging="851"/>
        <w:jc w:val="both"/>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sidR="008B677D" w:rsidRPr="001B203D">
        <w:rPr>
          <w:rFonts w:ascii="Arial" w:hAnsi="Arial" w:cs="Arial"/>
          <w:color w:val="000000" w:themeColor="text1"/>
        </w:rPr>
        <w:t>In its terms, the regulation is clear and unequivocal that “all records” “must” be sent to the parties referred to in the regulation.  Umsobomvu is such a party.</w:t>
      </w:r>
    </w:p>
    <w:p w14:paraId="6F63C7F3" w14:textId="77777777" w:rsidR="008B677D" w:rsidRDefault="008B677D" w:rsidP="008B677D">
      <w:pPr>
        <w:pStyle w:val="ListParagraph"/>
        <w:spacing w:line="360" w:lineRule="auto"/>
        <w:ind w:left="851"/>
        <w:jc w:val="both"/>
        <w:rPr>
          <w:rFonts w:ascii="Arial" w:hAnsi="Arial" w:cs="Arial"/>
          <w:color w:val="000000" w:themeColor="text1"/>
        </w:rPr>
      </w:pPr>
    </w:p>
    <w:p w14:paraId="358BFC86" w14:textId="6DF2AF6D" w:rsidR="006C5C2B" w:rsidRPr="001B203D" w:rsidRDefault="001B203D" w:rsidP="001B203D">
      <w:pPr>
        <w:spacing w:line="360" w:lineRule="auto"/>
        <w:ind w:left="851" w:hanging="851"/>
        <w:jc w:val="both"/>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sidR="008B677D" w:rsidRPr="001B203D">
        <w:rPr>
          <w:rFonts w:ascii="Arial" w:hAnsi="Arial" w:cs="Arial"/>
          <w:color w:val="000000" w:themeColor="text1"/>
        </w:rPr>
        <w:t>In my view however, this was not the end of the matter</w:t>
      </w:r>
      <w:r w:rsidR="00D65034" w:rsidRPr="001B203D">
        <w:rPr>
          <w:rFonts w:ascii="Arial" w:hAnsi="Arial" w:cs="Arial"/>
          <w:color w:val="000000" w:themeColor="text1"/>
        </w:rPr>
        <w:t xml:space="preserve">.  Notwithstanding the obligation on the part of the respondents to furnish all the documents to Umsobomvu for the </w:t>
      </w:r>
      <w:r w:rsidR="00010363" w:rsidRPr="001B203D">
        <w:rPr>
          <w:rFonts w:ascii="Arial" w:hAnsi="Arial" w:cs="Arial"/>
          <w:color w:val="000000" w:themeColor="text1"/>
        </w:rPr>
        <w:t>prosecution</w:t>
      </w:r>
      <w:r w:rsidR="00D65034" w:rsidRPr="001B203D">
        <w:rPr>
          <w:rFonts w:ascii="Arial" w:hAnsi="Arial" w:cs="Arial"/>
          <w:color w:val="000000" w:themeColor="text1"/>
        </w:rPr>
        <w:t xml:space="preserve"> of its appeal, I was of the view that there was merit to the contention that confidential proprietary information, not relevant to the appeal, may have formed part of the record.  </w:t>
      </w:r>
    </w:p>
    <w:p w14:paraId="56635EDE" w14:textId="77777777" w:rsidR="006C5C2B" w:rsidRPr="006C5C2B" w:rsidRDefault="006C5C2B" w:rsidP="006C5C2B">
      <w:pPr>
        <w:pStyle w:val="ListParagraph"/>
        <w:rPr>
          <w:rFonts w:ascii="Arial" w:hAnsi="Arial" w:cs="Arial"/>
          <w:color w:val="000000" w:themeColor="text1"/>
        </w:rPr>
      </w:pPr>
    </w:p>
    <w:p w14:paraId="3797E1A5" w14:textId="7C3B4BD7" w:rsidR="008B677D" w:rsidRPr="001B203D" w:rsidRDefault="001B203D" w:rsidP="001B203D">
      <w:pPr>
        <w:spacing w:line="360" w:lineRule="auto"/>
        <w:ind w:left="851" w:hanging="851"/>
        <w:jc w:val="both"/>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sidR="00D65034" w:rsidRPr="001B203D">
        <w:rPr>
          <w:rFonts w:ascii="Arial" w:hAnsi="Arial" w:cs="Arial"/>
          <w:color w:val="000000" w:themeColor="text1"/>
        </w:rPr>
        <w:t xml:space="preserve">The approach adopted by Umsobomvu when it was argued on its behalf </w:t>
      </w:r>
      <w:r w:rsidR="008203FB" w:rsidRPr="001B203D">
        <w:rPr>
          <w:rFonts w:ascii="Arial" w:hAnsi="Arial" w:cs="Arial"/>
          <w:color w:val="000000" w:themeColor="text1"/>
        </w:rPr>
        <w:t xml:space="preserve">was </w:t>
      </w:r>
      <w:r w:rsidR="00D65034" w:rsidRPr="001B203D">
        <w:rPr>
          <w:rFonts w:ascii="Arial" w:hAnsi="Arial" w:cs="Arial"/>
          <w:color w:val="000000" w:themeColor="text1"/>
        </w:rPr>
        <w:t>that in principle it had no objection to the exclusion from the appeal record of confidential</w:t>
      </w:r>
      <w:r w:rsidR="008203FB" w:rsidRPr="001B203D">
        <w:rPr>
          <w:rFonts w:ascii="Arial" w:hAnsi="Arial" w:cs="Arial"/>
          <w:color w:val="000000" w:themeColor="text1"/>
        </w:rPr>
        <w:t xml:space="preserve"> </w:t>
      </w:r>
      <w:r w:rsidR="00D65034" w:rsidRPr="001B203D">
        <w:rPr>
          <w:rFonts w:ascii="Arial" w:hAnsi="Arial" w:cs="Arial"/>
          <w:color w:val="000000" w:themeColor="text1"/>
        </w:rPr>
        <w:t xml:space="preserve">proprietary and irrelevant information.  </w:t>
      </w:r>
      <w:r w:rsidR="001C36AC" w:rsidRPr="001B203D">
        <w:rPr>
          <w:rFonts w:ascii="Arial" w:hAnsi="Arial" w:cs="Arial"/>
          <w:color w:val="000000" w:themeColor="text1"/>
        </w:rPr>
        <w:t>An approach in accord with that adopted in Crown Cork &amp; Seal Inc and Another v Rheem South Africa (Pty) Ltd and Others</w:t>
      </w:r>
      <w:r w:rsidR="001C36AC">
        <w:rPr>
          <w:rStyle w:val="FootnoteReference"/>
          <w:rFonts w:ascii="Arial" w:hAnsi="Arial" w:cs="Arial"/>
          <w:color w:val="000000" w:themeColor="text1"/>
        </w:rPr>
        <w:footnoteReference w:id="2"/>
      </w:r>
      <w:r w:rsidR="00D65034" w:rsidRPr="001B203D">
        <w:rPr>
          <w:rFonts w:ascii="Arial" w:hAnsi="Arial" w:cs="Arial"/>
          <w:color w:val="000000" w:themeColor="text1"/>
        </w:rPr>
        <w:t xml:space="preserve"> </w:t>
      </w:r>
      <w:r w:rsidR="00F666F9" w:rsidRPr="001B203D">
        <w:rPr>
          <w:rFonts w:ascii="Arial" w:hAnsi="Arial" w:cs="Arial"/>
          <w:color w:val="000000" w:themeColor="text1"/>
        </w:rPr>
        <w:t xml:space="preserve"> which is on point to the present matter </w:t>
      </w:r>
      <w:r w:rsidR="001C36AC" w:rsidRPr="001B203D">
        <w:rPr>
          <w:rFonts w:ascii="Arial" w:hAnsi="Arial" w:cs="Arial"/>
          <w:color w:val="000000" w:themeColor="text1"/>
        </w:rPr>
        <w:t>was considered appropriate.</w:t>
      </w:r>
    </w:p>
    <w:p w14:paraId="59C7746F" w14:textId="77777777" w:rsidR="00D65034" w:rsidRPr="00D65034" w:rsidRDefault="00D65034" w:rsidP="00D65034">
      <w:pPr>
        <w:spacing w:line="360" w:lineRule="auto"/>
        <w:jc w:val="both"/>
        <w:rPr>
          <w:rFonts w:ascii="Arial" w:hAnsi="Arial" w:cs="Arial"/>
          <w:color w:val="000000" w:themeColor="text1"/>
        </w:rPr>
      </w:pPr>
    </w:p>
    <w:p w14:paraId="3D298169" w14:textId="70855410" w:rsidR="00D65034" w:rsidRPr="001B203D" w:rsidRDefault="001B203D" w:rsidP="001B203D">
      <w:pPr>
        <w:spacing w:line="360" w:lineRule="auto"/>
        <w:ind w:left="851" w:hanging="851"/>
        <w:jc w:val="both"/>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sidR="00D65034" w:rsidRPr="001B203D">
        <w:rPr>
          <w:rFonts w:ascii="Arial" w:hAnsi="Arial" w:cs="Arial"/>
          <w:color w:val="000000" w:themeColor="text1"/>
        </w:rPr>
        <w:t xml:space="preserve">In consequence, </w:t>
      </w:r>
      <w:r w:rsidR="00487112" w:rsidRPr="001B203D">
        <w:rPr>
          <w:rFonts w:ascii="Arial" w:hAnsi="Arial" w:cs="Arial"/>
          <w:color w:val="000000" w:themeColor="text1"/>
        </w:rPr>
        <w:t>I then granted an order on 29 August 2022 in the following terms:</w:t>
      </w:r>
    </w:p>
    <w:p w14:paraId="33AF608F" w14:textId="77777777" w:rsidR="00487112" w:rsidRPr="00487112" w:rsidRDefault="00487112" w:rsidP="00487112">
      <w:pPr>
        <w:pStyle w:val="ListParagraph"/>
        <w:rPr>
          <w:rFonts w:ascii="Arial" w:hAnsi="Arial" w:cs="Arial"/>
          <w:color w:val="000000" w:themeColor="text1"/>
        </w:rPr>
      </w:pPr>
    </w:p>
    <w:p w14:paraId="590DD67D" w14:textId="3A1020C5" w:rsidR="00E015AF" w:rsidRPr="00A304C7" w:rsidRDefault="00487112" w:rsidP="00B07221">
      <w:pPr>
        <w:pStyle w:val="ListParagraph"/>
        <w:spacing w:line="360" w:lineRule="auto"/>
        <w:ind w:left="2268" w:hanging="850"/>
        <w:jc w:val="both"/>
        <w:rPr>
          <w:rFonts w:ascii="Arial" w:hAnsi="Arial" w:cs="Arial"/>
          <w:i/>
          <w:iCs/>
          <w:color w:val="000000" w:themeColor="text1"/>
          <w:sz w:val="22"/>
          <w:szCs w:val="22"/>
        </w:rPr>
      </w:pPr>
      <w:r w:rsidRPr="00A304C7">
        <w:rPr>
          <w:rFonts w:ascii="Arial" w:hAnsi="Arial" w:cs="Arial"/>
          <w:i/>
          <w:iCs/>
          <w:color w:val="000000" w:themeColor="text1"/>
          <w:sz w:val="22"/>
          <w:szCs w:val="22"/>
        </w:rPr>
        <w:t>“</w:t>
      </w:r>
      <w:r w:rsidR="00E015AF" w:rsidRPr="00A304C7">
        <w:rPr>
          <w:rFonts w:ascii="Arial" w:hAnsi="Arial" w:cs="Arial"/>
          <w:i/>
          <w:iCs/>
          <w:color w:val="000000" w:themeColor="text1"/>
          <w:sz w:val="22"/>
          <w:szCs w:val="22"/>
        </w:rPr>
        <w:t>1.</w:t>
      </w:r>
      <w:r w:rsidR="00E015AF" w:rsidRPr="00A304C7">
        <w:rPr>
          <w:rFonts w:ascii="Arial" w:hAnsi="Arial" w:cs="Arial"/>
          <w:i/>
          <w:iCs/>
          <w:color w:val="000000" w:themeColor="text1"/>
          <w:sz w:val="22"/>
          <w:szCs w:val="22"/>
        </w:rPr>
        <w:tab/>
        <w:t>By 5 September 2022 Third Respondent will deliver to the Applicant and the Fourth Respondent a complete index of all copies of all documents pertaining to the Record of Decision concerning the application made by the Applicant in terms of section 11 of the Minerals and Petroleum Resources Development Act, 2002 (“MPRDA”)(“the Index”).</w:t>
      </w:r>
    </w:p>
    <w:p w14:paraId="727D1070" w14:textId="77777777" w:rsidR="00E015AF" w:rsidRPr="00A304C7" w:rsidRDefault="00E015AF" w:rsidP="00B07221">
      <w:pPr>
        <w:pStyle w:val="ListParagraph"/>
        <w:spacing w:line="360" w:lineRule="auto"/>
        <w:ind w:left="2268" w:hanging="850"/>
        <w:jc w:val="both"/>
        <w:rPr>
          <w:rFonts w:ascii="Arial" w:hAnsi="Arial" w:cs="Arial"/>
          <w:i/>
          <w:iCs/>
          <w:color w:val="000000" w:themeColor="text1"/>
          <w:sz w:val="22"/>
          <w:szCs w:val="22"/>
        </w:rPr>
      </w:pPr>
    </w:p>
    <w:p w14:paraId="63A141D8" w14:textId="77777777" w:rsidR="00E015AF" w:rsidRPr="00A304C7" w:rsidRDefault="00E015AF" w:rsidP="00B07221">
      <w:pPr>
        <w:pStyle w:val="ListParagraph"/>
        <w:spacing w:line="360" w:lineRule="auto"/>
        <w:ind w:left="2268" w:hanging="850"/>
        <w:jc w:val="both"/>
        <w:rPr>
          <w:rFonts w:ascii="Arial" w:hAnsi="Arial" w:cs="Arial"/>
          <w:i/>
          <w:iCs/>
          <w:color w:val="000000" w:themeColor="text1"/>
          <w:sz w:val="22"/>
          <w:szCs w:val="22"/>
        </w:rPr>
      </w:pPr>
      <w:r w:rsidRPr="00A304C7">
        <w:rPr>
          <w:rFonts w:ascii="Arial" w:hAnsi="Arial" w:cs="Arial"/>
          <w:i/>
          <w:iCs/>
          <w:color w:val="000000" w:themeColor="text1"/>
          <w:sz w:val="22"/>
          <w:szCs w:val="22"/>
        </w:rPr>
        <w:t xml:space="preserve"> 2.</w:t>
      </w:r>
      <w:r w:rsidRPr="00A304C7">
        <w:rPr>
          <w:rFonts w:ascii="Arial" w:hAnsi="Arial" w:cs="Arial"/>
          <w:i/>
          <w:iCs/>
          <w:color w:val="000000" w:themeColor="text1"/>
          <w:sz w:val="22"/>
          <w:szCs w:val="22"/>
        </w:rPr>
        <w:tab/>
        <w:t>By no later than 12 September 2022, the Applicant will instruct the Third Respondent regarding which documents contained in the Index and the Record is / are confidential.</w:t>
      </w:r>
    </w:p>
    <w:p w14:paraId="79EA2147" w14:textId="77777777" w:rsidR="00E015AF" w:rsidRPr="00A304C7" w:rsidRDefault="00E015AF" w:rsidP="00E015AF">
      <w:pPr>
        <w:pStyle w:val="ListParagraph"/>
        <w:spacing w:line="360" w:lineRule="auto"/>
        <w:ind w:left="851"/>
        <w:jc w:val="both"/>
        <w:rPr>
          <w:rFonts w:ascii="Arial" w:hAnsi="Arial" w:cs="Arial"/>
          <w:i/>
          <w:iCs/>
          <w:color w:val="000000" w:themeColor="text1"/>
          <w:sz w:val="22"/>
          <w:szCs w:val="22"/>
        </w:rPr>
      </w:pPr>
    </w:p>
    <w:p w14:paraId="7989CCA2" w14:textId="7309E8A8" w:rsidR="00E015AF" w:rsidRPr="001B203D" w:rsidRDefault="001B203D" w:rsidP="001B203D">
      <w:pPr>
        <w:spacing w:line="360" w:lineRule="auto"/>
        <w:ind w:left="2268" w:hanging="850"/>
        <w:jc w:val="both"/>
        <w:rPr>
          <w:rFonts w:ascii="Arial" w:hAnsi="Arial" w:cs="Arial"/>
          <w:i/>
          <w:iCs/>
          <w:color w:val="000000" w:themeColor="text1"/>
          <w:sz w:val="22"/>
          <w:szCs w:val="22"/>
        </w:rPr>
      </w:pPr>
      <w:r w:rsidRPr="00A304C7">
        <w:rPr>
          <w:rFonts w:ascii="Arial" w:hAnsi="Arial" w:cs="Arial"/>
          <w:i/>
          <w:iCs/>
          <w:color w:val="000000" w:themeColor="text1"/>
          <w:sz w:val="22"/>
          <w:szCs w:val="22"/>
        </w:rPr>
        <w:t>3.</w:t>
      </w:r>
      <w:r w:rsidRPr="00A304C7">
        <w:rPr>
          <w:rFonts w:ascii="Arial" w:hAnsi="Arial" w:cs="Arial"/>
          <w:i/>
          <w:iCs/>
          <w:color w:val="000000" w:themeColor="text1"/>
          <w:sz w:val="22"/>
          <w:szCs w:val="22"/>
        </w:rPr>
        <w:tab/>
      </w:r>
      <w:r w:rsidR="00E015AF" w:rsidRPr="001B203D">
        <w:rPr>
          <w:rFonts w:ascii="Arial" w:hAnsi="Arial" w:cs="Arial"/>
          <w:i/>
          <w:iCs/>
          <w:color w:val="000000" w:themeColor="text1"/>
          <w:sz w:val="22"/>
          <w:szCs w:val="22"/>
        </w:rPr>
        <w:t xml:space="preserve"> The documents so identified by the Applicant shall be produced by the Third Respondent as part of the Record, but under a separate folder to be </w:t>
      </w:r>
      <w:r w:rsidR="00E015AF" w:rsidRPr="001B203D">
        <w:rPr>
          <w:rFonts w:ascii="Arial" w:hAnsi="Arial" w:cs="Arial"/>
          <w:i/>
          <w:iCs/>
          <w:color w:val="000000" w:themeColor="text1"/>
          <w:sz w:val="22"/>
          <w:szCs w:val="22"/>
        </w:rPr>
        <w:lastRenderedPageBreak/>
        <w:t xml:space="preserve">titled “Confidential Portion of the Record”, by no later than close of business on 23 </w:t>
      </w:r>
      <w:r w:rsidR="00B07221" w:rsidRPr="001B203D">
        <w:rPr>
          <w:rFonts w:ascii="Arial" w:hAnsi="Arial" w:cs="Arial"/>
          <w:i/>
          <w:iCs/>
          <w:color w:val="000000" w:themeColor="text1"/>
          <w:sz w:val="22"/>
          <w:szCs w:val="22"/>
        </w:rPr>
        <w:t>September</w:t>
      </w:r>
      <w:r w:rsidR="00E015AF" w:rsidRPr="001B203D">
        <w:rPr>
          <w:rFonts w:ascii="Arial" w:hAnsi="Arial" w:cs="Arial"/>
          <w:i/>
          <w:iCs/>
          <w:color w:val="000000" w:themeColor="text1"/>
          <w:sz w:val="22"/>
          <w:szCs w:val="22"/>
        </w:rPr>
        <w:t xml:space="preserve"> 2022.</w:t>
      </w:r>
    </w:p>
    <w:p w14:paraId="6441545B" w14:textId="77777777" w:rsidR="00B07221" w:rsidRPr="00A304C7" w:rsidRDefault="00B07221" w:rsidP="00B07221">
      <w:pPr>
        <w:pStyle w:val="ListParagraph"/>
        <w:spacing w:line="360" w:lineRule="auto"/>
        <w:ind w:left="2268"/>
        <w:jc w:val="both"/>
        <w:rPr>
          <w:rFonts w:ascii="Arial" w:hAnsi="Arial" w:cs="Arial"/>
          <w:i/>
          <w:iCs/>
          <w:color w:val="000000" w:themeColor="text1"/>
          <w:sz w:val="22"/>
          <w:szCs w:val="22"/>
        </w:rPr>
      </w:pPr>
    </w:p>
    <w:p w14:paraId="213341D5" w14:textId="0DCAF88C" w:rsidR="00E015AF" w:rsidRPr="001B203D" w:rsidRDefault="001B203D" w:rsidP="001B203D">
      <w:pPr>
        <w:spacing w:line="360" w:lineRule="auto"/>
        <w:ind w:left="2268" w:hanging="850"/>
        <w:jc w:val="both"/>
        <w:rPr>
          <w:rFonts w:ascii="Arial" w:hAnsi="Arial" w:cs="Arial"/>
          <w:i/>
          <w:iCs/>
          <w:color w:val="000000" w:themeColor="text1"/>
          <w:sz w:val="22"/>
          <w:szCs w:val="22"/>
        </w:rPr>
      </w:pPr>
      <w:r w:rsidRPr="00A304C7">
        <w:rPr>
          <w:rFonts w:ascii="Arial" w:hAnsi="Arial" w:cs="Arial"/>
          <w:i/>
          <w:iCs/>
          <w:color w:val="000000" w:themeColor="text1"/>
          <w:sz w:val="22"/>
          <w:szCs w:val="22"/>
        </w:rPr>
        <w:t>4.</w:t>
      </w:r>
      <w:r w:rsidRPr="00A304C7">
        <w:rPr>
          <w:rFonts w:ascii="Arial" w:hAnsi="Arial" w:cs="Arial"/>
          <w:i/>
          <w:iCs/>
          <w:color w:val="000000" w:themeColor="text1"/>
          <w:sz w:val="22"/>
          <w:szCs w:val="22"/>
        </w:rPr>
        <w:tab/>
      </w:r>
      <w:r w:rsidR="00E015AF" w:rsidRPr="001B203D">
        <w:rPr>
          <w:rFonts w:ascii="Arial" w:hAnsi="Arial" w:cs="Arial"/>
          <w:i/>
          <w:iCs/>
          <w:color w:val="000000" w:themeColor="text1"/>
          <w:sz w:val="22"/>
          <w:szCs w:val="22"/>
        </w:rPr>
        <w:t xml:space="preserve">For </w:t>
      </w:r>
      <w:r w:rsidR="00B07221" w:rsidRPr="001B203D">
        <w:rPr>
          <w:rFonts w:ascii="Arial" w:hAnsi="Arial" w:cs="Arial"/>
          <w:i/>
          <w:iCs/>
          <w:color w:val="000000" w:themeColor="text1"/>
          <w:sz w:val="22"/>
          <w:szCs w:val="22"/>
        </w:rPr>
        <w:t>avoidance</w:t>
      </w:r>
      <w:r w:rsidR="00E015AF" w:rsidRPr="001B203D">
        <w:rPr>
          <w:rFonts w:ascii="Arial" w:hAnsi="Arial" w:cs="Arial"/>
          <w:i/>
          <w:iCs/>
          <w:color w:val="000000" w:themeColor="text1"/>
          <w:sz w:val="22"/>
          <w:szCs w:val="22"/>
        </w:rPr>
        <w:t xml:space="preserve"> of doubt, the confidential and non-confidential parts so complied must contain a copy of each and every document in the Record in its original format (and may not be redacted).</w:t>
      </w:r>
    </w:p>
    <w:p w14:paraId="0A1DD3A6" w14:textId="77777777" w:rsidR="00B07221" w:rsidRPr="00B07221" w:rsidRDefault="00B07221" w:rsidP="00B07221">
      <w:pPr>
        <w:pStyle w:val="ListParagraph"/>
        <w:rPr>
          <w:rFonts w:ascii="Arial" w:hAnsi="Arial" w:cs="Arial"/>
          <w:color w:val="000000" w:themeColor="text1"/>
          <w:sz w:val="22"/>
          <w:szCs w:val="22"/>
        </w:rPr>
      </w:pPr>
    </w:p>
    <w:p w14:paraId="1F1BD742" w14:textId="77777777" w:rsidR="00B07221" w:rsidRPr="00B07221" w:rsidRDefault="00B07221" w:rsidP="00B07221">
      <w:pPr>
        <w:pStyle w:val="ListParagraph"/>
        <w:spacing w:line="360" w:lineRule="auto"/>
        <w:ind w:left="2268"/>
        <w:jc w:val="both"/>
        <w:rPr>
          <w:rFonts w:ascii="Arial" w:hAnsi="Arial" w:cs="Arial"/>
          <w:color w:val="000000" w:themeColor="text1"/>
          <w:sz w:val="22"/>
          <w:szCs w:val="22"/>
        </w:rPr>
      </w:pPr>
    </w:p>
    <w:p w14:paraId="3A1C73A5" w14:textId="351F7FE5" w:rsidR="00E015AF" w:rsidRPr="001B203D" w:rsidRDefault="001B203D" w:rsidP="001B203D">
      <w:pPr>
        <w:spacing w:line="360" w:lineRule="auto"/>
        <w:ind w:left="2268" w:hanging="850"/>
        <w:jc w:val="both"/>
        <w:rPr>
          <w:rFonts w:ascii="Arial" w:hAnsi="Arial" w:cs="Arial"/>
          <w:i/>
          <w:iCs/>
          <w:color w:val="000000" w:themeColor="text1"/>
          <w:sz w:val="22"/>
          <w:szCs w:val="22"/>
        </w:rPr>
      </w:pPr>
      <w:r w:rsidRPr="00A304C7">
        <w:rPr>
          <w:rFonts w:ascii="Arial" w:hAnsi="Arial" w:cs="Arial"/>
          <w:i/>
          <w:iCs/>
          <w:color w:val="000000" w:themeColor="text1"/>
          <w:sz w:val="22"/>
          <w:szCs w:val="22"/>
        </w:rPr>
        <w:t>5.</w:t>
      </w:r>
      <w:r w:rsidRPr="00A304C7">
        <w:rPr>
          <w:rFonts w:ascii="Arial" w:hAnsi="Arial" w:cs="Arial"/>
          <w:i/>
          <w:iCs/>
          <w:color w:val="000000" w:themeColor="text1"/>
          <w:sz w:val="22"/>
          <w:szCs w:val="22"/>
        </w:rPr>
        <w:tab/>
      </w:r>
      <w:r w:rsidR="00E015AF" w:rsidRPr="001B203D">
        <w:rPr>
          <w:rFonts w:ascii="Arial" w:hAnsi="Arial" w:cs="Arial"/>
          <w:i/>
          <w:iCs/>
          <w:color w:val="000000" w:themeColor="text1"/>
          <w:sz w:val="22"/>
          <w:szCs w:val="22"/>
        </w:rPr>
        <w:t>Only the legal representatives of the Fourth Respondent and the experts employed by the Fourth Respondent who sign the confidentiality undertaking attached as Annexure “A” (“the Confidentiality Undertaking”) hereto and submit the Confidentiality Undertaking to the Applicant’s attorneys, shall be entitled to receive and inspect the Confidential Portion of the Record.</w:t>
      </w:r>
    </w:p>
    <w:p w14:paraId="7C2493F2" w14:textId="77777777" w:rsidR="00B07221" w:rsidRPr="00A304C7" w:rsidRDefault="00B07221" w:rsidP="00B07221">
      <w:pPr>
        <w:pStyle w:val="ListParagraph"/>
        <w:spacing w:line="360" w:lineRule="auto"/>
        <w:ind w:left="2268"/>
        <w:jc w:val="both"/>
        <w:rPr>
          <w:rFonts w:ascii="Arial" w:hAnsi="Arial" w:cs="Arial"/>
          <w:i/>
          <w:iCs/>
          <w:color w:val="000000" w:themeColor="text1"/>
          <w:sz w:val="22"/>
          <w:szCs w:val="22"/>
        </w:rPr>
      </w:pPr>
    </w:p>
    <w:p w14:paraId="2E122F93" w14:textId="747CDB8C" w:rsidR="00E015AF" w:rsidRPr="001B203D" w:rsidRDefault="001B203D" w:rsidP="001B203D">
      <w:pPr>
        <w:spacing w:line="360" w:lineRule="auto"/>
        <w:ind w:left="2268" w:hanging="850"/>
        <w:jc w:val="both"/>
        <w:rPr>
          <w:rFonts w:ascii="Arial" w:hAnsi="Arial" w:cs="Arial"/>
          <w:i/>
          <w:iCs/>
          <w:color w:val="000000" w:themeColor="text1"/>
          <w:sz w:val="22"/>
          <w:szCs w:val="22"/>
        </w:rPr>
      </w:pPr>
      <w:r w:rsidRPr="00A304C7">
        <w:rPr>
          <w:rFonts w:ascii="Arial" w:hAnsi="Arial" w:cs="Arial"/>
          <w:i/>
          <w:iCs/>
          <w:color w:val="000000" w:themeColor="text1"/>
          <w:sz w:val="22"/>
          <w:szCs w:val="22"/>
        </w:rPr>
        <w:t>6.</w:t>
      </w:r>
      <w:r w:rsidRPr="00A304C7">
        <w:rPr>
          <w:rFonts w:ascii="Arial" w:hAnsi="Arial" w:cs="Arial"/>
          <w:i/>
          <w:iCs/>
          <w:color w:val="000000" w:themeColor="text1"/>
          <w:sz w:val="22"/>
          <w:szCs w:val="22"/>
        </w:rPr>
        <w:tab/>
      </w:r>
      <w:r w:rsidR="00E015AF" w:rsidRPr="001B203D">
        <w:rPr>
          <w:rFonts w:ascii="Arial" w:hAnsi="Arial" w:cs="Arial"/>
          <w:i/>
          <w:iCs/>
          <w:color w:val="000000" w:themeColor="text1"/>
          <w:sz w:val="22"/>
          <w:szCs w:val="22"/>
        </w:rPr>
        <w:t>For avoidance of all doubt, the Fourth Respondent and its directors and shareholders and employees shall not be entitled to receive or inspect the contents of the Confidential Portion of the Record.</w:t>
      </w:r>
    </w:p>
    <w:p w14:paraId="72F14832" w14:textId="77777777" w:rsidR="00B07221" w:rsidRPr="00A304C7" w:rsidRDefault="00B07221" w:rsidP="00B07221">
      <w:pPr>
        <w:spacing w:line="360" w:lineRule="auto"/>
        <w:jc w:val="both"/>
        <w:rPr>
          <w:rFonts w:ascii="Arial" w:hAnsi="Arial" w:cs="Arial"/>
          <w:i/>
          <w:iCs/>
          <w:color w:val="000000" w:themeColor="text1"/>
          <w:sz w:val="22"/>
          <w:szCs w:val="22"/>
        </w:rPr>
      </w:pPr>
    </w:p>
    <w:p w14:paraId="5188A61C" w14:textId="43A32A87" w:rsidR="00C06176" w:rsidRPr="001B203D" w:rsidRDefault="001B203D" w:rsidP="001B203D">
      <w:pPr>
        <w:spacing w:line="360" w:lineRule="auto"/>
        <w:ind w:left="2268" w:hanging="850"/>
        <w:jc w:val="both"/>
        <w:rPr>
          <w:rFonts w:ascii="Arial" w:hAnsi="Arial" w:cs="Arial"/>
          <w:i/>
          <w:iCs/>
          <w:color w:val="000000" w:themeColor="text1"/>
          <w:sz w:val="22"/>
          <w:szCs w:val="22"/>
        </w:rPr>
      </w:pPr>
      <w:r w:rsidRPr="00A304C7">
        <w:rPr>
          <w:rFonts w:ascii="Arial" w:hAnsi="Arial" w:cs="Arial"/>
          <w:i/>
          <w:iCs/>
          <w:color w:val="000000" w:themeColor="text1"/>
          <w:sz w:val="22"/>
          <w:szCs w:val="22"/>
        </w:rPr>
        <w:t>7.</w:t>
      </w:r>
      <w:r w:rsidRPr="00A304C7">
        <w:rPr>
          <w:rFonts w:ascii="Arial" w:hAnsi="Arial" w:cs="Arial"/>
          <w:i/>
          <w:iCs/>
          <w:color w:val="000000" w:themeColor="text1"/>
          <w:sz w:val="22"/>
          <w:szCs w:val="22"/>
        </w:rPr>
        <w:tab/>
      </w:r>
      <w:r w:rsidR="00E015AF" w:rsidRPr="001B203D">
        <w:rPr>
          <w:rFonts w:ascii="Arial" w:hAnsi="Arial" w:cs="Arial"/>
          <w:i/>
          <w:iCs/>
          <w:color w:val="000000" w:themeColor="text1"/>
          <w:sz w:val="22"/>
          <w:szCs w:val="22"/>
        </w:rPr>
        <w:t>Insofar as the Fourth Respondent (acting on advice received from its legal representatives and / or experts who have signed the Confidentiality Undertaking), wish to challenge the classification of a particular document as a confidential document, the dispute in this regard will be referred to by the Fourth Respondent and the Applicant to a retired judge who will be appointed</w:t>
      </w:r>
      <w:r w:rsidR="00C06176" w:rsidRPr="001B203D">
        <w:rPr>
          <w:rFonts w:ascii="Arial" w:hAnsi="Arial" w:cs="Arial"/>
          <w:i/>
          <w:iCs/>
          <w:color w:val="000000" w:themeColor="text1"/>
          <w:sz w:val="22"/>
          <w:szCs w:val="22"/>
        </w:rPr>
        <w:t xml:space="preserve"> by the parties within 24 hours of a dispute being declared.  The retired judge so appointed will act as an expert and not as an arbitrator; and will decide his / her own procedure, and whether or not evidence and argument is required and if so how it is to be presented.  His / her decision on either of these issues will be final and binding on the parties.  If the parties cannot agree to the identity of the retired judge to be appointed within 24 hours, the Chairperson of the Johannesburg Bar shall be required to make such an appointment and shall be requested to do so on an urgent basis.  The determination of the dispute will be treated by the </w:t>
      </w:r>
      <w:r w:rsidR="00A304C7" w:rsidRPr="001B203D">
        <w:rPr>
          <w:rFonts w:ascii="Arial" w:hAnsi="Arial" w:cs="Arial"/>
          <w:i/>
          <w:iCs/>
          <w:color w:val="000000" w:themeColor="text1"/>
          <w:sz w:val="22"/>
          <w:szCs w:val="22"/>
        </w:rPr>
        <w:t>parties</w:t>
      </w:r>
      <w:r w:rsidR="00C06176" w:rsidRPr="001B203D">
        <w:rPr>
          <w:rFonts w:ascii="Arial" w:hAnsi="Arial" w:cs="Arial"/>
          <w:i/>
          <w:iCs/>
          <w:color w:val="000000" w:themeColor="text1"/>
          <w:sz w:val="22"/>
          <w:szCs w:val="22"/>
        </w:rPr>
        <w:t xml:space="preserve"> and the expert as an urgent matter.  Any issues concerning the interpretation and</w:t>
      </w:r>
      <w:r w:rsidR="00A304C7" w:rsidRPr="001B203D">
        <w:rPr>
          <w:rFonts w:ascii="Arial" w:hAnsi="Arial" w:cs="Arial"/>
          <w:i/>
          <w:iCs/>
          <w:color w:val="000000" w:themeColor="text1"/>
          <w:sz w:val="22"/>
          <w:szCs w:val="22"/>
        </w:rPr>
        <w:t xml:space="preserve"> </w:t>
      </w:r>
      <w:r w:rsidR="00C06176" w:rsidRPr="001B203D">
        <w:rPr>
          <w:rFonts w:ascii="Arial" w:hAnsi="Arial" w:cs="Arial"/>
          <w:i/>
          <w:iCs/>
          <w:color w:val="000000" w:themeColor="text1"/>
          <w:sz w:val="22"/>
          <w:szCs w:val="22"/>
        </w:rPr>
        <w:t xml:space="preserve"> /  or application of the Confidentiality Undertaking which may arise shall be referred to the retired judge on the same basis.</w:t>
      </w:r>
    </w:p>
    <w:p w14:paraId="3A951330" w14:textId="77777777" w:rsidR="00B07221" w:rsidRPr="00A304C7" w:rsidRDefault="00B07221" w:rsidP="00B07221">
      <w:pPr>
        <w:pStyle w:val="ListParagraph"/>
        <w:spacing w:line="360" w:lineRule="auto"/>
        <w:ind w:left="2268"/>
        <w:jc w:val="both"/>
        <w:rPr>
          <w:rFonts w:ascii="Arial" w:hAnsi="Arial" w:cs="Arial"/>
          <w:i/>
          <w:iCs/>
          <w:color w:val="000000" w:themeColor="text1"/>
          <w:sz w:val="22"/>
          <w:szCs w:val="22"/>
        </w:rPr>
      </w:pPr>
    </w:p>
    <w:p w14:paraId="4FD9A081" w14:textId="5D5FDA2E" w:rsidR="00C06176" w:rsidRPr="001B203D" w:rsidRDefault="001B203D" w:rsidP="001B203D">
      <w:pPr>
        <w:spacing w:line="360" w:lineRule="auto"/>
        <w:ind w:left="2268" w:hanging="850"/>
        <w:jc w:val="both"/>
        <w:rPr>
          <w:rFonts w:ascii="Arial" w:hAnsi="Arial" w:cs="Arial"/>
          <w:i/>
          <w:iCs/>
          <w:color w:val="000000" w:themeColor="text1"/>
          <w:sz w:val="22"/>
          <w:szCs w:val="22"/>
        </w:rPr>
      </w:pPr>
      <w:r w:rsidRPr="00A304C7">
        <w:rPr>
          <w:rFonts w:ascii="Arial" w:hAnsi="Arial" w:cs="Arial"/>
          <w:i/>
          <w:iCs/>
          <w:color w:val="000000" w:themeColor="text1"/>
          <w:sz w:val="22"/>
          <w:szCs w:val="22"/>
        </w:rPr>
        <w:t>8.</w:t>
      </w:r>
      <w:r w:rsidRPr="00A304C7">
        <w:rPr>
          <w:rFonts w:ascii="Arial" w:hAnsi="Arial" w:cs="Arial"/>
          <w:i/>
          <w:iCs/>
          <w:color w:val="000000" w:themeColor="text1"/>
          <w:sz w:val="22"/>
          <w:szCs w:val="22"/>
        </w:rPr>
        <w:tab/>
      </w:r>
      <w:r w:rsidR="00C06176" w:rsidRPr="001B203D">
        <w:rPr>
          <w:rFonts w:ascii="Arial" w:hAnsi="Arial" w:cs="Arial"/>
          <w:i/>
          <w:iCs/>
          <w:color w:val="000000" w:themeColor="text1"/>
          <w:sz w:val="22"/>
          <w:szCs w:val="22"/>
        </w:rPr>
        <w:t>All submissions to the Minister making reference to the Confidential Portio</w:t>
      </w:r>
      <w:r w:rsidR="00A304C7" w:rsidRPr="001B203D">
        <w:rPr>
          <w:rFonts w:ascii="Arial" w:hAnsi="Arial" w:cs="Arial"/>
          <w:i/>
          <w:iCs/>
          <w:color w:val="000000" w:themeColor="text1"/>
          <w:sz w:val="22"/>
          <w:szCs w:val="22"/>
        </w:rPr>
        <w:t>n</w:t>
      </w:r>
      <w:r w:rsidR="00C06176" w:rsidRPr="001B203D">
        <w:rPr>
          <w:rFonts w:ascii="Arial" w:hAnsi="Arial" w:cs="Arial"/>
          <w:i/>
          <w:iCs/>
          <w:color w:val="000000" w:themeColor="text1"/>
          <w:sz w:val="22"/>
          <w:szCs w:val="22"/>
        </w:rPr>
        <w:t xml:space="preserve"> of the Record will be treated confidentially by the Fourth Respondent and submissions will be treated in the same vein as the Confidential Portion of the Record.</w:t>
      </w:r>
    </w:p>
    <w:p w14:paraId="261A1F35" w14:textId="77777777" w:rsidR="00B07221" w:rsidRPr="00A304C7" w:rsidRDefault="00B07221" w:rsidP="00B07221">
      <w:pPr>
        <w:spacing w:line="360" w:lineRule="auto"/>
        <w:jc w:val="both"/>
        <w:rPr>
          <w:rFonts w:ascii="Arial" w:hAnsi="Arial" w:cs="Arial"/>
          <w:i/>
          <w:iCs/>
          <w:color w:val="000000" w:themeColor="text1"/>
          <w:sz w:val="22"/>
          <w:szCs w:val="22"/>
        </w:rPr>
      </w:pPr>
    </w:p>
    <w:p w14:paraId="5FB4A3DF" w14:textId="1D624802" w:rsidR="00C06176" w:rsidRPr="001B203D" w:rsidRDefault="001B203D" w:rsidP="001B203D">
      <w:pPr>
        <w:spacing w:line="360" w:lineRule="auto"/>
        <w:ind w:left="2268" w:hanging="850"/>
        <w:jc w:val="both"/>
        <w:rPr>
          <w:rFonts w:ascii="Arial" w:hAnsi="Arial" w:cs="Arial"/>
          <w:i/>
          <w:iCs/>
          <w:color w:val="000000" w:themeColor="text1"/>
          <w:sz w:val="22"/>
          <w:szCs w:val="22"/>
        </w:rPr>
      </w:pPr>
      <w:r w:rsidRPr="00A304C7">
        <w:rPr>
          <w:rFonts w:ascii="Arial" w:hAnsi="Arial" w:cs="Arial"/>
          <w:i/>
          <w:iCs/>
          <w:color w:val="000000" w:themeColor="text1"/>
          <w:sz w:val="22"/>
          <w:szCs w:val="22"/>
        </w:rPr>
        <w:t>9.</w:t>
      </w:r>
      <w:r w:rsidRPr="00A304C7">
        <w:rPr>
          <w:rFonts w:ascii="Arial" w:hAnsi="Arial" w:cs="Arial"/>
          <w:i/>
          <w:iCs/>
          <w:color w:val="000000" w:themeColor="text1"/>
          <w:sz w:val="22"/>
          <w:szCs w:val="22"/>
        </w:rPr>
        <w:tab/>
      </w:r>
      <w:r w:rsidR="00C06176" w:rsidRPr="001B203D">
        <w:rPr>
          <w:rFonts w:ascii="Arial" w:hAnsi="Arial" w:cs="Arial"/>
          <w:i/>
          <w:iCs/>
          <w:color w:val="000000" w:themeColor="text1"/>
          <w:sz w:val="22"/>
          <w:szCs w:val="22"/>
        </w:rPr>
        <w:t>Costs of two counsel from 15 July 2022 to the date of hearing (including the date of hearing) are to be paid by the Applicant to the Fourth Respondent on a party and party scale”</w:t>
      </w:r>
    </w:p>
    <w:p w14:paraId="7858DF31" w14:textId="77777777" w:rsidR="00C06176" w:rsidRPr="00B07221" w:rsidRDefault="00C06176" w:rsidP="00C06176">
      <w:pPr>
        <w:pStyle w:val="ListParagraph"/>
        <w:spacing w:line="360" w:lineRule="auto"/>
        <w:ind w:left="862"/>
        <w:jc w:val="both"/>
        <w:rPr>
          <w:rFonts w:ascii="Arial" w:hAnsi="Arial" w:cs="Arial"/>
          <w:color w:val="000000" w:themeColor="text1"/>
          <w:sz w:val="22"/>
          <w:szCs w:val="22"/>
        </w:rPr>
      </w:pPr>
    </w:p>
    <w:p w14:paraId="22553C7A" w14:textId="477A9989" w:rsidR="00C06176" w:rsidRPr="00B07221" w:rsidRDefault="00C06176" w:rsidP="00C06176">
      <w:pPr>
        <w:pStyle w:val="ListParagraph"/>
        <w:spacing w:line="360" w:lineRule="auto"/>
        <w:ind w:left="862"/>
        <w:jc w:val="both"/>
        <w:rPr>
          <w:rFonts w:ascii="Arial" w:hAnsi="Arial" w:cs="Arial"/>
          <w:color w:val="000000" w:themeColor="text1"/>
        </w:rPr>
      </w:pPr>
      <w:r w:rsidRPr="00B07221">
        <w:rPr>
          <w:rFonts w:ascii="Arial" w:hAnsi="Arial" w:cs="Arial"/>
          <w:color w:val="000000" w:themeColor="text1"/>
        </w:rPr>
        <w:t xml:space="preserve">And the attached Confidentiality Undertaking referred to in paragraph </w:t>
      </w:r>
      <w:r w:rsidR="00B07221" w:rsidRPr="00B07221">
        <w:rPr>
          <w:rFonts w:ascii="Arial" w:hAnsi="Arial" w:cs="Arial"/>
          <w:color w:val="000000" w:themeColor="text1"/>
        </w:rPr>
        <w:t>5</w:t>
      </w:r>
      <w:r w:rsidRPr="00B07221">
        <w:rPr>
          <w:rFonts w:ascii="Arial" w:hAnsi="Arial" w:cs="Arial"/>
          <w:color w:val="000000" w:themeColor="text1"/>
        </w:rPr>
        <w:t>.</w:t>
      </w:r>
    </w:p>
    <w:p w14:paraId="35202C32" w14:textId="77777777" w:rsidR="00C06176" w:rsidRPr="00B07221" w:rsidRDefault="00C06176" w:rsidP="00C06176">
      <w:pPr>
        <w:pStyle w:val="ListParagraph"/>
        <w:spacing w:line="360" w:lineRule="auto"/>
        <w:ind w:left="862"/>
        <w:jc w:val="both"/>
        <w:rPr>
          <w:rFonts w:ascii="Arial" w:hAnsi="Arial" w:cs="Arial"/>
          <w:color w:val="000000" w:themeColor="text1"/>
          <w:sz w:val="22"/>
          <w:szCs w:val="22"/>
        </w:rPr>
      </w:pPr>
    </w:p>
    <w:p w14:paraId="680DB27B" w14:textId="77777777" w:rsidR="00C06176" w:rsidRPr="00A304C7" w:rsidRDefault="00C06176" w:rsidP="00B07221">
      <w:pPr>
        <w:pStyle w:val="ListParagraph"/>
        <w:spacing w:line="360" w:lineRule="auto"/>
        <w:ind w:left="1418"/>
        <w:jc w:val="both"/>
        <w:rPr>
          <w:rFonts w:ascii="Arial" w:hAnsi="Arial" w:cs="Arial"/>
          <w:i/>
          <w:iCs/>
          <w:color w:val="000000" w:themeColor="text1"/>
          <w:sz w:val="22"/>
          <w:szCs w:val="22"/>
        </w:rPr>
      </w:pPr>
      <w:r w:rsidRPr="00A304C7">
        <w:rPr>
          <w:rFonts w:ascii="Arial" w:hAnsi="Arial" w:cs="Arial"/>
          <w:i/>
          <w:iCs/>
          <w:color w:val="000000" w:themeColor="text1"/>
          <w:sz w:val="22"/>
          <w:szCs w:val="22"/>
        </w:rPr>
        <w:t>“In terms of the Court Order under the above case number dated 29 August 2022 (“the Order”):</w:t>
      </w:r>
    </w:p>
    <w:p w14:paraId="389AC1DE" w14:textId="77777777" w:rsidR="00C06176" w:rsidRPr="00A304C7" w:rsidRDefault="00C06176" w:rsidP="00C06176">
      <w:pPr>
        <w:pStyle w:val="ListParagraph"/>
        <w:spacing w:line="360" w:lineRule="auto"/>
        <w:ind w:left="862"/>
        <w:jc w:val="both"/>
        <w:rPr>
          <w:rFonts w:ascii="Arial" w:hAnsi="Arial" w:cs="Arial"/>
          <w:i/>
          <w:iCs/>
          <w:color w:val="000000" w:themeColor="text1"/>
          <w:sz w:val="22"/>
          <w:szCs w:val="22"/>
        </w:rPr>
      </w:pPr>
    </w:p>
    <w:p w14:paraId="74CA9B17" w14:textId="5EBB5F41" w:rsidR="00C06176" w:rsidRPr="001B203D" w:rsidRDefault="001B203D" w:rsidP="001B203D">
      <w:pPr>
        <w:tabs>
          <w:tab w:val="left" w:pos="1418"/>
        </w:tabs>
        <w:spacing w:line="360" w:lineRule="auto"/>
        <w:ind w:left="2268" w:hanging="850"/>
        <w:jc w:val="both"/>
        <w:rPr>
          <w:rFonts w:ascii="Arial" w:hAnsi="Arial" w:cs="Arial"/>
          <w:i/>
          <w:iCs/>
          <w:color w:val="000000" w:themeColor="text1"/>
          <w:sz w:val="22"/>
          <w:szCs w:val="22"/>
        </w:rPr>
      </w:pPr>
      <w:r w:rsidRPr="00A304C7">
        <w:rPr>
          <w:rFonts w:ascii="Arial" w:hAnsi="Arial" w:cs="Arial"/>
          <w:i/>
          <w:iCs/>
          <w:color w:val="000000" w:themeColor="text1"/>
          <w:sz w:val="22"/>
          <w:szCs w:val="22"/>
        </w:rPr>
        <w:t>1.</w:t>
      </w:r>
      <w:r w:rsidRPr="00A304C7">
        <w:rPr>
          <w:rFonts w:ascii="Arial" w:hAnsi="Arial" w:cs="Arial"/>
          <w:i/>
          <w:iCs/>
          <w:color w:val="000000" w:themeColor="text1"/>
          <w:sz w:val="22"/>
          <w:szCs w:val="22"/>
        </w:rPr>
        <w:tab/>
      </w:r>
      <w:r w:rsidR="00C06176" w:rsidRPr="001B203D">
        <w:rPr>
          <w:rFonts w:ascii="Arial" w:hAnsi="Arial" w:cs="Arial"/>
          <w:i/>
          <w:iCs/>
          <w:color w:val="000000" w:themeColor="text1"/>
          <w:sz w:val="22"/>
          <w:szCs w:val="22"/>
        </w:rPr>
        <w:t>I, the undersigned _______________ hereby confirm that I am a ______________ engaged by the Fourth Respondent in the proceedings instituted by the Applicant in the High Court of South Africa, Gauteng Division, Pretoria under case No: 10531/2022.</w:t>
      </w:r>
    </w:p>
    <w:p w14:paraId="1D6A15E3" w14:textId="77777777" w:rsidR="00B07221" w:rsidRPr="00A304C7" w:rsidRDefault="00B07221" w:rsidP="00B07221">
      <w:pPr>
        <w:pStyle w:val="ListParagraph"/>
        <w:tabs>
          <w:tab w:val="left" w:pos="1418"/>
        </w:tabs>
        <w:spacing w:line="360" w:lineRule="auto"/>
        <w:ind w:left="2268"/>
        <w:jc w:val="both"/>
        <w:rPr>
          <w:rFonts w:ascii="Arial" w:hAnsi="Arial" w:cs="Arial"/>
          <w:i/>
          <w:iCs/>
          <w:color w:val="000000" w:themeColor="text1"/>
          <w:sz w:val="22"/>
          <w:szCs w:val="22"/>
        </w:rPr>
      </w:pPr>
    </w:p>
    <w:p w14:paraId="12B1C679" w14:textId="5B7B51E1" w:rsidR="00C06176" w:rsidRPr="001B203D" w:rsidRDefault="001B203D" w:rsidP="001B203D">
      <w:pPr>
        <w:tabs>
          <w:tab w:val="left" w:pos="1418"/>
        </w:tabs>
        <w:spacing w:line="360" w:lineRule="auto"/>
        <w:ind w:left="2268" w:hanging="850"/>
        <w:jc w:val="both"/>
        <w:rPr>
          <w:rFonts w:ascii="Arial" w:hAnsi="Arial" w:cs="Arial"/>
          <w:i/>
          <w:iCs/>
          <w:color w:val="000000" w:themeColor="text1"/>
          <w:sz w:val="22"/>
          <w:szCs w:val="22"/>
        </w:rPr>
      </w:pPr>
      <w:r w:rsidRPr="00A304C7">
        <w:rPr>
          <w:rFonts w:ascii="Arial" w:hAnsi="Arial" w:cs="Arial"/>
          <w:i/>
          <w:iCs/>
          <w:color w:val="000000" w:themeColor="text1"/>
          <w:sz w:val="22"/>
          <w:szCs w:val="22"/>
        </w:rPr>
        <w:t>2.</w:t>
      </w:r>
      <w:r w:rsidRPr="00A304C7">
        <w:rPr>
          <w:rFonts w:ascii="Arial" w:hAnsi="Arial" w:cs="Arial"/>
          <w:i/>
          <w:iCs/>
          <w:color w:val="000000" w:themeColor="text1"/>
          <w:sz w:val="22"/>
          <w:szCs w:val="22"/>
        </w:rPr>
        <w:tab/>
      </w:r>
      <w:r w:rsidR="00C06176" w:rsidRPr="001B203D">
        <w:rPr>
          <w:rFonts w:ascii="Arial" w:hAnsi="Arial" w:cs="Arial"/>
          <w:i/>
          <w:iCs/>
          <w:color w:val="000000" w:themeColor="text1"/>
          <w:sz w:val="22"/>
          <w:szCs w:val="22"/>
        </w:rPr>
        <w:t>Accordingly, in dealing with the Confidential Portion of the Record (as defined in the Order) I undertake:</w:t>
      </w:r>
    </w:p>
    <w:p w14:paraId="038E5425" w14:textId="77777777" w:rsidR="00B07221" w:rsidRPr="00A304C7" w:rsidRDefault="00B07221" w:rsidP="00B07221">
      <w:pPr>
        <w:tabs>
          <w:tab w:val="left" w:pos="1418"/>
        </w:tabs>
        <w:spacing w:line="360" w:lineRule="auto"/>
        <w:jc w:val="both"/>
        <w:rPr>
          <w:rFonts w:ascii="Arial" w:hAnsi="Arial" w:cs="Arial"/>
          <w:i/>
          <w:iCs/>
          <w:color w:val="000000" w:themeColor="text1"/>
          <w:sz w:val="22"/>
          <w:szCs w:val="22"/>
        </w:rPr>
      </w:pPr>
    </w:p>
    <w:p w14:paraId="2F8DD848" w14:textId="21842DA8" w:rsidR="00C06176" w:rsidRPr="001B203D" w:rsidRDefault="001B203D" w:rsidP="001B203D">
      <w:pPr>
        <w:spacing w:line="360" w:lineRule="auto"/>
        <w:ind w:left="3119" w:hanging="851"/>
        <w:jc w:val="both"/>
        <w:rPr>
          <w:rFonts w:ascii="Arial" w:hAnsi="Arial" w:cs="Arial"/>
          <w:i/>
          <w:iCs/>
          <w:color w:val="000000" w:themeColor="text1"/>
          <w:sz w:val="22"/>
          <w:szCs w:val="22"/>
        </w:rPr>
      </w:pPr>
      <w:r w:rsidRPr="00A304C7">
        <w:rPr>
          <w:rFonts w:ascii="Arial" w:hAnsi="Arial" w:cs="Arial"/>
          <w:i/>
          <w:iCs/>
          <w:color w:val="000000" w:themeColor="text1"/>
          <w:sz w:val="22"/>
          <w:szCs w:val="22"/>
        </w:rPr>
        <w:t>2.1</w:t>
      </w:r>
      <w:r w:rsidRPr="00A304C7">
        <w:rPr>
          <w:rFonts w:ascii="Arial" w:hAnsi="Arial" w:cs="Arial"/>
          <w:i/>
          <w:iCs/>
          <w:color w:val="000000" w:themeColor="text1"/>
          <w:sz w:val="22"/>
          <w:szCs w:val="22"/>
        </w:rPr>
        <w:tab/>
      </w:r>
      <w:r w:rsidR="00C06176" w:rsidRPr="001B203D">
        <w:rPr>
          <w:rFonts w:ascii="Arial" w:hAnsi="Arial" w:cs="Arial"/>
          <w:i/>
          <w:iCs/>
          <w:color w:val="000000" w:themeColor="text1"/>
          <w:sz w:val="22"/>
          <w:szCs w:val="22"/>
        </w:rPr>
        <w:t>To keep the Confidential information provided to me strictly confidential, as it is not generally available or known to others;</w:t>
      </w:r>
    </w:p>
    <w:p w14:paraId="3855223E" w14:textId="77777777" w:rsidR="00B07221" w:rsidRPr="00A304C7" w:rsidRDefault="00B07221" w:rsidP="00B07221">
      <w:pPr>
        <w:pStyle w:val="ListParagraph"/>
        <w:spacing w:line="360" w:lineRule="auto"/>
        <w:ind w:left="3119"/>
        <w:jc w:val="both"/>
        <w:rPr>
          <w:rFonts w:ascii="Arial" w:hAnsi="Arial" w:cs="Arial"/>
          <w:i/>
          <w:iCs/>
          <w:color w:val="000000" w:themeColor="text1"/>
          <w:sz w:val="22"/>
          <w:szCs w:val="22"/>
        </w:rPr>
      </w:pPr>
    </w:p>
    <w:p w14:paraId="3610CEBA" w14:textId="512780D5" w:rsidR="00C06176" w:rsidRPr="001B203D" w:rsidRDefault="001B203D" w:rsidP="001B203D">
      <w:pPr>
        <w:spacing w:line="360" w:lineRule="auto"/>
        <w:ind w:left="3119" w:hanging="851"/>
        <w:jc w:val="both"/>
        <w:rPr>
          <w:rFonts w:ascii="Arial" w:hAnsi="Arial" w:cs="Arial"/>
          <w:i/>
          <w:iCs/>
          <w:color w:val="000000" w:themeColor="text1"/>
          <w:sz w:val="22"/>
          <w:szCs w:val="22"/>
        </w:rPr>
      </w:pPr>
      <w:r>
        <w:rPr>
          <w:rFonts w:ascii="Arial" w:hAnsi="Arial" w:cs="Arial"/>
          <w:i/>
          <w:iCs/>
          <w:color w:val="000000" w:themeColor="text1"/>
          <w:sz w:val="22"/>
          <w:szCs w:val="22"/>
        </w:rPr>
        <w:t>2.2</w:t>
      </w:r>
      <w:r>
        <w:rPr>
          <w:rFonts w:ascii="Arial" w:hAnsi="Arial" w:cs="Arial"/>
          <w:i/>
          <w:iCs/>
          <w:color w:val="000000" w:themeColor="text1"/>
          <w:sz w:val="22"/>
          <w:szCs w:val="22"/>
        </w:rPr>
        <w:tab/>
      </w:r>
      <w:r w:rsidR="00C06176" w:rsidRPr="001B203D">
        <w:rPr>
          <w:rFonts w:ascii="Arial" w:hAnsi="Arial" w:cs="Arial"/>
          <w:i/>
          <w:iCs/>
          <w:color w:val="000000" w:themeColor="text1"/>
          <w:sz w:val="22"/>
          <w:szCs w:val="22"/>
        </w:rPr>
        <w:t>Not to use, exploit, permit the use of, in any manner whatsoever, or apply, the Confidential Portion of the Record disclosed to me pursuant to the provisions of this undertaking for any purpose whatsoever other than for the purpose for which it was disclosed, being these proceedings (including any litigation which may be brought in relation thereto);</w:t>
      </w:r>
    </w:p>
    <w:p w14:paraId="1B8D32DF" w14:textId="77777777" w:rsidR="00A304C7" w:rsidRPr="00A304C7" w:rsidRDefault="00A304C7" w:rsidP="00A304C7">
      <w:pPr>
        <w:spacing w:line="360" w:lineRule="auto"/>
        <w:jc w:val="both"/>
        <w:rPr>
          <w:rFonts w:ascii="Arial" w:hAnsi="Arial" w:cs="Arial"/>
          <w:i/>
          <w:iCs/>
          <w:color w:val="000000" w:themeColor="text1"/>
          <w:sz w:val="22"/>
          <w:szCs w:val="22"/>
        </w:rPr>
      </w:pPr>
    </w:p>
    <w:p w14:paraId="4A5A1DAF" w14:textId="071522BD" w:rsidR="00C06176" w:rsidRPr="001B203D" w:rsidRDefault="001B203D" w:rsidP="001B203D">
      <w:pPr>
        <w:spacing w:line="360" w:lineRule="auto"/>
        <w:ind w:left="3119" w:hanging="851"/>
        <w:jc w:val="both"/>
        <w:rPr>
          <w:rFonts w:ascii="Arial" w:hAnsi="Arial" w:cs="Arial"/>
          <w:i/>
          <w:iCs/>
          <w:color w:val="000000" w:themeColor="text1"/>
          <w:sz w:val="22"/>
          <w:szCs w:val="22"/>
        </w:rPr>
      </w:pPr>
      <w:r w:rsidRPr="00A304C7">
        <w:rPr>
          <w:rFonts w:ascii="Arial" w:hAnsi="Arial" w:cs="Arial"/>
          <w:i/>
          <w:iCs/>
          <w:color w:val="000000" w:themeColor="text1"/>
          <w:sz w:val="22"/>
          <w:szCs w:val="22"/>
        </w:rPr>
        <w:t>2.3</w:t>
      </w:r>
      <w:r w:rsidRPr="00A304C7">
        <w:rPr>
          <w:rFonts w:ascii="Arial" w:hAnsi="Arial" w:cs="Arial"/>
          <w:i/>
          <w:iCs/>
          <w:color w:val="000000" w:themeColor="text1"/>
          <w:sz w:val="22"/>
          <w:szCs w:val="22"/>
        </w:rPr>
        <w:tab/>
      </w:r>
      <w:r w:rsidR="00C06176" w:rsidRPr="001B203D">
        <w:rPr>
          <w:rFonts w:ascii="Arial" w:hAnsi="Arial" w:cs="Arial"/>
          <w:i/>
          <w:iCs/>
          <w:color w:val="000000" w:themeColor="text1"/>
          <w:sz w:val="22"/>
          <w:szCs w:val="22"/>
        </w:rPr>
        <w:t xml:space="preserve">Not to (in any manner or form, or to any extent whatsoever) divulge, or cause the Confidential Portion of the Record to be divulged to any person, including the Fourth Respondent or any </w:t>
      </w:r>
      <w:r w:rsidR="00C06176" w:rsidRPr="001B203D">
        <w:rPr>
          <w:rFonts w:ascii="Arial" w:hAnsi="Arial" w:cs="Arial"/>
          <w:i/>
          <w:iCs/>
          <w:color w:val="000000" w:themeColor="text1"/>
          <w:sz w:val="22"/>
          <w:szCs w:val="22"/>
        </w:rPr>
        <w:lastRenderedPageBreak/>
        <w:t>of its employees; office bearers or officials or directors and/or other participants in these proceedings.</w:t>
      </w:r>
    </w:p>
    <w:p w14:paraId="2ABDD202" w14:textId="77777777" w:rsidR="00B07221" w:rsidRPr="00A304C7" w:rsidRDefault="00B07221" w:rsidP="00B07221">
      <w:pPr>
        <w:pStyle w:val="ListParagraph"/>
        <w:spacing w:line="360" w:lineRule="auto"/>
        <w:ind w:left="3119"/>
        <w:jc w:val="both"/>
        <w:rPr>
          <w:rFonts w:ascii="Arial" w:hAnsi="Arial" w:cs="Arial"/>
          <w:i/>
          <w:iCs/>
          <w:color w:val="000000" w:themeColor="text1"/>
          <w:sz w:val="22"/>
          <w:szCs w:val="22"/>
        </w:rPr>
      </w:pPr>
    </w:p>
    <w:p w14:paraId="5416166B" w14:textId="6912A793" w:rsidR="00B07221" w:rsidRPr="001B203D" w:rsidRDefault="001B203D" w:rsidP="001B203D">
      <w:pPr>
        <w:spacing w:line="360" w:lineRule="auto"/>
        <w:ind w:left="3119" w:hanging="851"/>
        <w:jc w:val="both"/>
        <w:rPr>
          <w:rFonts w:ascii="Arial" w:hAnsi="Arial" w:cs="Arial"/>
          <w:i/>
          <w:iCs/>
          <w:color w:val="000000" w:themeColor="text1"/>
          <w:sz w:val="22"/>
          <w:szCs w:val="22"/>
        </w:rPr>
      </w:pPr>
      <w:r w:rsidRPr="00A304C7">
        <w:rPr>
          <w:rFonts w:ascii="Arial" w:hAnsi="Arial" w:cs="Arial"/>
          <w:i/>
          <w:iCs/>
          <w:color w:val="000000" w:themeColor="text1"/>
          <w:sz w:val="22"/>
          <w:szCs w:val="22"/>
        </w:rPr>
        <w:t>2.4</w:t>
      </w:r>
      <w:r w:rsidRPr="00A304C7">
        <w:rPr>
          <w:rFonts w:ascii="Arial" w:hAnsi="Arial" w:cs="Arial"/>
          <w:i/>
          <w:iCs/>
          <w:color w:val="000000" w:themeColor="text1"/>
          <w:sz w:val="22"/>
          <w:szCs w:val="22"/>
        </w:rPr>
        <w:tab/>
      </w:r>
      <w:r w:rsidR="00C06176" w:rsidRPr="001B203D">
        <w:rPr>
          <w:rFonts w:ascii="Arial" w:hAnsi="Arial" w:cs="Arial"/>
          <w:i/>
          <w:iCs/>
          <w:color w:val="000000" w:themeColor="text1"/>
          <w:sz w:val="22"/>
          <w:szCs w:val="22"/>
        </w:rPr>
        <w:t>To at all times keep the Confidential Portion of the Record, together with all notes, summaries and/or annotations thereon for purposes of these proceedings (including any appeal), in a safe place and to ensure that it is not available or accessible to any unauthorized persons; and</w:t>
      </w:r>
    </w:p>
    <w:p w14:paraId="6E66F071" w14:textId="77777777" w:rsidR="00B07221" w:rsidRPr="00A304C7" w:rsidRDefault="00B07221" w:rsidP="00B07221">
      <w:pPr>
        <w:pStyle w:val="ListParagraph"/>
        <w:rPr>
          <w:rFonts w:ascii="Arial" w:hAnsi="Arial" w:cs="Arial"/>
          <w:i/>
          <w:iCs/>
          <w:color w:val="000000" w:themeColor="text1"/>
          <w:sz w:val="22"/>
          <w:szCs w:val="22"/>
        </w:rPr>
      </w:pPr>
    </w:p>
    <w:p w14:paraId="18CAB5DB" w14:textId="319C29F6" w:rsidR="00487112" w:rsidRPr="001B203D" w:rsidRDefault="001B203D" w:rsidP="001B203D">
      <w:pPr>
        <w:spacing w:line="360" w:lineRule="auto"/>
        <w:ind w:left="3119" w:hanging="851"/>
        <w:jc w:val="both"/>
        <w:rPr>
          <w:rFonts w:ascii="Arial" w:hAnsi="Arial" w:cs="Arial"/>
          <w:i/>
          <w:iCs/>
          <w:color w:val="000000" w:themeColor="text1"/>
          <w:sz w:val="22"/>
          <w:szCs w:val="22"/>
        </w:rPr>
      </w:pPr>
      <w:r w:rsidRPr="00A304C7">
        <w:rPr>
          <w:rFonts w:ascii="Arial" w:hAnsi="Arial" w:cs="Arial"/>
          <w:i/>
          <w:iCs/>
          <w:color w:val="000000" w:themeColor="text1"/>
          <w:sz w:val="22"/>
          <w:szCs w:val="22"/>
        </w:rPr>
        <w:t>2.5</w:t>
      </w:r>
      <w:r w:rsidRPr="00A304C7">
        <w:rPr>
          <w:rFonts w:ascii="Arial" w:hAnsi="Arial" w:cs="Arial"/>
          <w:i/>
          <w:iCs/>
          <w:color w:val="000000" w:themeColor="text1"/>
          <w:sz w:val="22"/>
          <w:szCs w:val="22"/>
        </w:rPr>
        <w:tab/>
      </w:r>
      <w:r w:rsidR="00C06176" w:rsidRPr="001B203D">
        <w:rPr>
          <w:rFonts w:ascii="Arial" w:hAnsi="Arial" w:cs="Arial"/>
          <w:i/>
          <w:iCs/>
          <w:color w:val="000000" w:themeColor="text1"/>
          <w:sz w:val="22"/>
          <w:szCs w:val="22"/>
        </w:rPr>
        <w:t>At the conclusion of these proceedings (and any related appeal or review), to destroy all documentation, including without limitation, copies, notes, CDs or other electronic formats, containing the Confidential Portion of the Record, in my possession and thereafter notify the Applicant’s attorneys accordingly.</w:t>
      </w:r>
      <w:r w:rsidR="00487112" w:rsidRPr="001B203D">
        <w:rPr>
          <w:rFonts w:ascii="Arial" w:hAnsi="Arial" w:cs="Arial"/>
          <w:i/>
          <w:iCs/>
          <w:color w:val="000000" w:themeColor="text1"/>
          <w:sz w:val="22"/>
          <w:szCs w:val="22"/>
        </w:rPr>
        <w:t>”</w:t>
      </w:r>
    </w:p>
    <w:p w14:paraId="7C56639F" w14:textId="77777777" w:rsidR="00D65034" w:rsidRPr="00D65034" w:rsidRDefault="00D65034" w:rsidP="00D65034">
      <w:pPr>
        <w:pStyle w:val="ListParagraph"/>
        <w:rPr>
          <w:rFonts w:ascii="Arial" w:hAnsi="Arial" w:cs="Arial"/>
          <w:color w:val="000000" w:themeColor="text1"/>
        </w:rPr>
      </w:pPr>
    </w:p>
    <w:p w14:paraId="615C2B6E" w14:textId="60562F43" w:rsidR="00487112" w:rsidRPr="001B203D" w:rsidRDefault="001B203D" w:rsidP="001B203D">
      <w:pPr>
        <w:spacing w:line="360" w:lineRule="auto"/>
        <w:ind w:left="851" w:hanging="851"/>
        <w:jc w:val="both"/>
        <w:rPr>
          <w:rFonts w:ascii="Arial" w:hAnsi="Arial" w:cs="Arial"/>
          <w:color w:val="000000" w:themeColor="text1"/>
        </w:rPr>
      </w:pPr>
      <w:r>
        <w:rPr>
          <w:rFonts w:ascii="Arial" w:hAnsi="Arial" w:cs="Arial"/>
          <w:color w:val="000000" w:themeColor="text1"/>
        </w:rPr>
        <w:t>10.</w:t>
      </w:r>
      <w:r>
        <w:rPr>
          <w:rFonts w:ascii="Arial" w:hAnsi="Arial" w:cs="Arial"/>
          <w:color w:val="000000" w:themeColor="text1"/>
        </w:rPr>
        <w:tab/>
      </w:r>
      <w:r w:rsidR="00487112" w:rsidRPr="001B203D">
        <w:rPr>
          <w:rFonts w:ascii="Arial" w:hAnsi="Arial" w:cs="Arial"/>
          <w:color w:val="000000" w:themeColor="text1"/>
        </w:rPr>
        <w:t>Transasia 444, dissatisfied that the recission of the order of 28 June 2022 had not been granted</w:t>
      </w:r>
      <w:r w:rsidR="006C5C2B" w:rsidRPr="001B203D">
        <w:rPr>
          <w:rFonts w:ascii="Arial" w:hAnsi="Arial" w:cs="Arial"/>
          <w:color w:val="000000" w:themeColor="text1"/>
        </w:rPr>
        <w:t>,</w:t>
      </w:r>
      <w:r w:rsidR="00487112" w:rsidRPr="001B203D">
        <w:rPr>
          <w:rFonts w:ascii="Arial" w:hAnsi="Arial" w:cs="Arial"/>
          <w:color w:val="000000" w:themeColor="text1"/>
        </w:rPr>
        <w:t xml:space="preserve"> then lodged an application for leave to appeal the granting of the order on 29 August 2022.</w:t>
      </w:r>
    </w:p>
    <w:p w14:paraId="1D337D7F" w14:textId="77777777" w:rsidR="00487112" w:rsidRDefault="00487112" w:rsidP="00487112">
      <w:pPr>
        <w:pStyle w:val="ListParagraph"/>
        <w:spacing w:line="360" w:lineRule="auto"/>
        <w:ind w:left="851"/>
        <w:jc w:val="both"/>
        <w:rPr>
          <w:rFonts w:ascii="Arial" w:hAnsi="Arial" w:cs="Arial"/>
          <w:color w:val="000000" w:themeColor="text1"/>
        </w:rPr>
      </w:pPr>
    </w:p>
    <w:p w14:paraId="62AFC3D7" w14:textId="4FACCF38" w:rsidR="00487112" w:rsidRPr="001B203D" w:rsidRDefault="001B203D" w:rsidP="001B203D">
      <w:pPr>
        <w:spacing w:line="360" w:lineRule="auto"/>
        <w:ind w:left="851" w:hanging="851"/>
        <w:jc w:val="both"/>
        <w:rPr>
          <w:rFonts w:ascii="Arial" w:hAnsi="Arial" w:cs="Arial"/>
          <w:color w:val="000000" w:themeColor="text1"/>
        </w:rPr>
      </w:pPr>
      <w:r>
        <w:rPr>
          <w:rFonts w:ascii="Arial" w:hAnsi="Arial" w:cs="Arial"/>
          <w:color w:val="000000" w:themeColor="text1"/>
        </w:rPr>
        <w:t>11.</w:t>
      </w:r>
      <w:r>
        <w:rPr>
          <w:rFonts w:ascii="Arial" w:hAnsi="Arial" w:cs="Arial"/>
          <w:color w:val="000000" w:themeColor="text1"/>
        </w:rPr>
        <w:tab/>
      </w:r>
      <w:r w:rsidR="00487112" w:rsidRPr="001B203D">
        <w:rPr>
          <w:rFonts w:ascii="Arial" w:hAnsi="Arial" w:cs="Arial"/>
          <w:color w:val="000000" w:themeColor="text1"/>
        </w:rPr>
        <w:t>The application was followed by a number of further applications – on the part of Umsobomvu an application in terms of s 18(3) of the Superior Courts Act and in the alternative an application to hold the respondents in contempt for failure to comply with the order of 28 June 2022.  An application was also brought by Transasia Minerals (Pty) Ltd (“Transasia Minerals”) to intervene in the present proceedings.</w:t>
      </w:r>
    </w:p>
    <w:p w14:paraId="6425BE10" w14:textId="77777777" w:rsidR="00487112" w:rsidRPr="00487112" w:rsidRDefault="00487112" w:rsidP="00487112">
      <w:pPr>
        <w:pStyle w:val="ListParagraph"/>
        <w:rPr>
          <w:rFonts w:ascii="Arial" w:hAnsi="Arial" w:cs="Arial"/>
          <w:color w:val="000000" w:themeColor="text1"/>
        </w:rPr>
      </w:pPr>
    </w:p>
    <w:p w14:paraId="55A63400" w14:textId="2B95BEEF" w:rsidR="00487112" w:rsidRPr="001B203D" w:rsidRDefault="001B203D" w:rsidP="001B203D">
      <w:pPr>
        <w:spacing w:line="360" w:lineRule="auto"/>
        <w:ind w:left="851" w:hanging="851"/>
        <w:jc w:val="both"/>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r>
      <w:r w:rsidR="00487112" w:rsidRPr="001B203D">
        <w:rPr>
          <w:rFonts w:ascii="Arial" w:hAnsi="Arial" w:cs="Arial"/>
          <w:color w:val="000000" w:themeColor="text1"/>
        </w:rPr>
        <w:t>For expedience I indicated that I would hear the application for intervention and the application for leave to appeal and it is these two applications that are the subject matter of this judgment.</w:t>
      </w:r>
    </w:p>
    <w:p w14:paraId="2EEC1A5A" w14:textId="77777777" w:rsidR="00487112" w:rsidRPr="00487112" w:rsidRDefault="00487112" w:rsidP="00487112">
      <w:pPr>
        <w:pStyle w:val="ListParagraph"/>
        <w:rPr>
          <w:rFonts w:ascii="Arial" w:hAnsi="Arial" w:cs="Arial"/>
          <w:color w:val="000000" w:themeColor="text1"/>
        </w:rPr>
      </w:pPr>
    </w:p>
    <w:p w14:paraId="69F31EA9" w14:textId="56483C62" w:rsidR="00487112" w:rsidRPr="001B203D" w:rsidRDefault="001B203D" w:rsidP="001B203D">
      <w:pPr>
        <w:spacing w:line="360" w:lineRule="auto"/>
        <w:ind w:left="851" w:hanging="851"/>
        <w:jc w:val="both"/>
        <w:rPr>
          <w:rFonts w:ascii="Arial" w:hAnsi="Arial" w:cs="Arial"/>
          <w:color w:val="000000" w:themeColor="text1"/>
        </w:rPr>
      </w:pPr>
      <w:r>
        <w:rPr>
          <w:rFonts w:ascii="Arial" w:hAnsi="Arial" w:cs="Arial"/>
          <w:color w:val="000000" w:themeColor="text1"/>
        </w:rPr>
        <w:t>13.</w:t>
      </w:r>
      <w:r>
        <w:rPr>
          <w:rFonts w:ascii="Arial" w:hAnsi="Arial" w:cs="Arial"/>
          <w:color w:val="000000" w:themeColor="text1"/>
        </w:rPr>
        <w:tab/>
      </w:r>
      <w:r w:rsidR="00404590" w:rsidRPr="001B203D">
        <w:rPr>
          <w:rFonts w:ascii="Arial" w:hAnsi="Arial" w:cs="Arial"/>
          <w:color w:val="000000" w:themeColor="text1"/>
        </w:rPr>
        <w:t xml:space="preserve">Insofar as any of the other applications may require hearing in due course, these must be set down in accordance with the usual practice. </w:t>
      </w:r>
    </w:p>
    <w:p w14:paraId="3A6CCDD3" w14:textId="77777777" w:rsidR="00404590" w:rsidRPr="00404590" w:rsidRDefault="00404590" w:rsidP="00404590">
      <w:pPr>
        <w:pStyle w:val="ListParagraph"/>
        <w:rPr>
          <w:rFonts w:ascii="Arial" w:hAnsi="Arial" w:cs="Arial"/>
          <w:color w:val="000000" w:themeColor="text1"/>
        </w:rPr>
      </w:pPr>
    </w:p>
    <w:p w14:paraId="12073AF0" w14:textId="334EE5A9" w:rsidR="00404590" w:rsidRPr="001B203D" w:rsidRDefault="001B203D" w:rsidP="001B203D">
      <w:pPr>
        <w:spacing w:line="360" w:lineRule="auto"/>
        <w:ind w:left="851" w:hanging="851"/>
        <w:jc w:val="both"/>
        <w:rPr>
          <w:rFonts w:ascii="Arial" w:hAnsi="Arial" w:cs="Arial"/>
          <w:color w:val="000000" w:themeColor="text1"/>
        </w:rPr>
      </w:pPr>
      <w:r>
        <w:rPr>
          <w:rFonts w:ascii="Arial" w:hAnsi="Arial" w:cs="Arial"/>
          <w:color w:val="000000" w:themeColor="text1"/>
        </w:rPr>
        <w:lastRenderedPageBreak/>
        <w:t>14.</w:t>
      </w:r>
      <w:r>
        <w:rPr>
          <w:rFonts w:ascii="Arial" w:hAnsi="Arial" w:cs="Arial"/>
          <w:color w:val="000000" w:themeColor="text1"/>
        </w:rPr>
        <w:tab/>
      </w:r>
      <w:r w:rsidR="00404590" w:rsidRPr="001B203D">
        <w:rPr>
          <w:rFonts w:ascii="Arial" w:hAnsi="Arial" w:cs="Arial"/>
          <w:color w:val="000000" w:themeColor="text1"/>
        </w:rPr>
        <w:t xml:space="preserve">It is the case for Transasia Minerals that it has a </w:t>
      </w:r>
      <w:r w:rsidR="00404590" w:rsidRPr="001B203D">
        <w:rPr>
          <w:rFonts w:ascii="Arial" w:hAnsi="Arial" w:cs="Arial"/>
          <w:i/>
          <w:iCs/>
          <w:color w:val="000000" w:themeColor="text1"/>
          <w:sz w:val="22"/>
          <w:szCs w:val="22"/>
        </w:rPr>
        <w:t>“. . . direct and substantial interest in the outcome of the litigation, whether in the court of first instance or on appeal”.</w:t>
      </w:r>
      <w:r w:rsidR="00404590" w:rsidRPr="00A304C7">
        <w:rPr>
          <w:rStyle w:val="FootnoteReference"/>
          <w:rFonts w:ascii="Arial" w:hAnsi="Arial" w:cs="Arial"/>
          <w:i/>
          <w:iCs/>
          <w:color w:val="000000" w:themeColor="text1"/>
        </w:rPr>
        <w:footnoteReference w:id="3"/>
      </w:r>
      <w:r w:rsidR="00610A36" w:rsidRPr="001B203D">
        <w:rPr>
          <w:rFonts w:ascii="Arial" w:hAnsi="Arial" w:cs="Arial"/>
          <w:color w:val="000000" w:themeColor="text1"/>
          <w:sz w:val="22"/>
          <w:szCs w:val="22"/>
        </w:rPr>
        <w:t xml:space="preserve">  </w:t>
      </w:r>
      <w:r w:rsidR="0076474D" w:rsidRPr="001B203D">
        <w:rPr>
          <w:rFonts w:ascii="Arial" w:hAnsi="Arial" w:cs="Arial"/>
          <w:color w:val="000000" w:themeColor="text1"/>
        </w:rPr>
        <w:t>It was argued that Transasia Minerals interest was both historical and present and that it also, has a direct material and substantial interest in the same confidential and proprietary information which forms part of the appeal record.</w:t>
      </w:r>
      <w:r w:rsidR="00B91727" w:rsidRPr="001B203D">
        <w:rPr>
          <w:rFonts w:ascii="Arial" w:hAnsi="Arial" w:cs="Arial"/>
          <w:color w:val="000000" w:themeColor="text1"/>
        </w:rPr>
        <w:t xml:space="preserve">  Given the nature of this information, it inapposite to deal with the</w:t>
      </w:r>
      <w:r w:rsidR="00A304C7" w:rsidRPr="001B203D">
        <w:rPr>
          <w:rFonts w:ascii="Arial" w:hAnsi="Arial" w:cs="Arial"/>
          <w:color w:val="000000" w:themeColor="text1"/>
        </w:rPr>
        <w:t xml:space="preserve"> specific</w:t>
      </w:r>
      <w:r w:rsidR="00B91727" w:rsidRPr="001B203D">
        <w:rPr>
          <w:rFonts w:ascii="Arial" w:hAnsi="Arial" w:cs="Arial"/>
          <w:color w:val="000000" w:themeColor="text1"/>
        </w:rPr>
        <w:t xml:space="preserve"> type and content of the information</w:t>
      </w:r>
      <w:r w:rsidR="00A304C7" w:rsidRPr="001B203D">
        <w:rPr>
          <w:rFonts w:ascii="Arial" w:hAnsi="Arial" w:cs="Arial"/>
          <w:color w:val="000000" w:themeColor="text1"/>
        </w:rPr>
        <w:t xml:space="preserve">.  </w:t>
      </w:r>
      <w:r w:rsidR="00B91727" w:rsidRPr="001B203D">
        <w:rPr>
          <w:rFonts w:ascii="Arial" w:hAnsi="Arial" w:cs="Arial"/>
          <w:color w:val="000000" w:themeColor="text1"/>
        </w:rPr>
        <w:t>It suffices for me to say that I am satisfied that for the same reasons that I took the view that I did in respect of Transasia 444, this is equally of application to Transasia Minerals</w:t>
      </w:r>
      <w:r w:rsidR="00A304C7" w:rsidRPr="001B203D">
        <w:rPr>
          <w:rFonts w:ascii="Arial" w:hAnsi="Arial" w:cs="Arial"/>
          <w:color w:val="000000" w:themeColor="text1"/>
        </w:rPr>
        <w:t xml:space="preserve"> and on the same basis that Umsobomvu did not quibble with the protection afforded by the order to be given to Transasia 444, it did not behoove it to place this in issue for Transasia Minerals</w:t>
      </w:r>
      <w:r w:rsidR="00B91727" w:rsidRPr="001B203D">
        <w:rPr>
          <w:rFonts w:ascii="Arial" w:hAnsi="Arial" w:cs="Arial"/>
          <w:color w:val="000000" w:themeColor="text1"/>
        </w:rPr>
        <w:t>.</w:t>
      </w:r>
    </w:p>
    <w:p w14:paraId="0BF8EA99" w14:textId="77777777" w:rsidR="00487112" w:rsidRPr="00487112" w:rsidRDefault="00487112" w:rsidP="00487112">
      <w:pPr>
        <w:pStyle w:val="ListParagraph"/>
        <w:rPr>
          <w:rFonts w:ascii="Arial" w:hAnsi="Arial" w:cs="Arial"/>
          <w:color w:val="000000" w:themeColor="text1"/>
        </w:rPr>
      </w:pPr>
    </w:p>
    <w:p w14:paraId="1A0E5770" w14:textId="63C2F45D" w:rsidR="00A43111" w:rsidRPr="001B203D" w:rsidRDefault="001B203D" w:rsidP="001B203D">
      <w:pPr>
        <w:spacing w:line="360" w:lineRule="auto"/>
        <w:ind w:left="851" w:hanging="851"/>
        <w:jc w:val="both"/>
        <w:rPr>
          <w:rFonts w:ascii="Arial" w:hAnsi="Arial" w:cs="Arial"/>
          <w:color w:val="000000" w:themeColor="text1"/>
        </w:rPr>
      </w:pPr>
      <w:r>
        <w:rPr>
          <w:rFonts w:ascii="Arial" w:hAnsi="Arial" w:cs="Arial"/>
          <w:color w:val="000000" w:themeColor="text1"/>
        </w:rPr>
        <w:t>15.</w:t>
      </w:r>
      <w:r>
        <w:rPr>
          <w:rFonts w:ascii="Arial" w:hAnsi="Arial" w:cs="Arial"/>
          <w:color w:val="000000" w:themeColor="text1"/>
        </w:rPr>
        <w:tab/>
      </w:r>
      <w:r w:rsidR="005047AD" w:rsidRPr="001B203D">
        <w:rPr>
          <w:rFonts w:ascii="Arial" w:hAnsi="Arial" w:cs="Arial"/>
          <w:color w:val="000000" w:themeColor="text1"/>
        </w:rPr>
        <w:t xml:space="preserve">In my view, Transasia Minerals should be given leave to intervene in this matter as an applicant and having regard to the order of 29 August 2022, to be in a position at the very least, to exercise its rights together with Transasia 444 </w:t>
      </w:r>
      <w:r w:rsidR="005047AD" w:rsidRPr="001B203D">
        <w:rPr>
          <w:rFonts w:ascii="Arial" w:hAnsi="Arial" w:cs="Arial"/>
          <w:i/>
          <w:iCs/>
          <w:color w:val="000000" w:themeColor="text1"/>
        </w:rPr>
        <w:t>inter alia</w:t>
      </w:r>
      <w:r w:rsidR="005047AD" w:rsidRPr="001B203D">
        <w:rPr>
          <w:rFonts w:ascii="Arial" w:hAnsi="Arial" w:cs="Arial"/>
          <w:color w:val="000000" w:themeColor="text1"/>
        </w:rPr>
        <w:t xml:space="preserve"> in terms of paragraphs 2 and 7 of that order.</w:t>
      </w:r>
    </w:p>
    <w:p w14:paraId="014212D7" w14:textId="77777777" w:rsidR="005047AD" w:rsidRPr="005047AD" w:rsidRDefault="005047AD" w:rsidP="005047AD">
      <w:pPr>
        <w:pStyle w:val="ListParagraph"/>
        <w:rPr>
          <w:rFonts w:ascii="Arial" w:hAnsi="Arial" w:cs="Arial"/>
          <w:color w:val="000000" w:themeColor="text1"/>
        </w:rPr>
      </w:pPr>
    </w:p>
    <w:p w14:paraId="36D6D5FD" w14:textId="7E7D626C" w:rsidR="004F4249" w:rsidRPr="001B203D" w:rsidRDefault="001B203D" w:rsidP="001B203D">
      <w:pPr>
        <w:spacing w:line="360" w:lineRule="auto"/>
        <w:ind w:left="851" w:hanging="851"/>
        <w:jc w:val="both"/>
        <w:rPr>
          <w:rFonts w:ascii="Arial" w:hAnsi="Arial" w:cs="Arial"/>
          <w:color w:val="000000" w:themeColor="text1"/>
        </w:rPr>
      </w:pPr>
      <w:r w:rsidRPr="003A342C">
        <w:rPr>
          <w:rFonts w:ascii="Arial" w:hAnsi="Arial" w:cs="Arial"/>
          <w:color w:val="000000" w:themeColor="text1"/>
        </w:rPr>
        <w:t>16.</w:t>
      </w:r>
      <w:r w:rsidRPr="003A342C">
        <w:rPr>
          <w:rFonts w:ascii="Arial" w:hAnsi="Arial" w:cs="Arial"/>
          <w:color w:val="000000" w:themeColor="text1"/>
        </w:rPr>
        <w:tab/>
      </w:r>
      <w:r w:rsidR="005047AD" w:rsidRPr="001B203D">
        <w:rPr>
          <w:rFonts w:ascii="Arial" w:hAnsi="Arial" w:cs="Arial"/>
          <w:color w:val="000000" w:themeColor="text1"/>
        </w:rPr>
        <w:t>After the application for leave to appeal was brought, I raised with the parties whether the order granted on 29 August 2022 was an order that was capable of appeal</w:t>
      </w:r>
      <w:r w:rsidR="003E37B6" w:rsidRPr="001B203D">
        <w:rPr>
          <w:rFonts w:ascii="Arial" w:hAnsi="Arial" w:cs="Arial"/>
          <w:color w:val="000000" w:themeColor="text1"/>
        </w:rPr>
        <w:t xml:space="preserve"> and whether or not the recission of the order of 28 June 2022 had been refused or not.  On this aspect, both Transasia 444 and Umsobomvu were ad idem – both took the view that properly construed, the order granted by me on 28 June 2022 was a final order and that notwithstanding that it did not expressly contain a provision refusing the recission of the order of 28 June 2022, this was its effect.</w:t>
      </w:r>
    </w:p>
    <w:p w14:paraId="44C0E325" w14:textId="77777777" w:rsidR="004F4249" w:rsidRPr="004F4249" w:rsidRDefault="004F4249" w:rsidP="004F4249">
      <w:pPr>
        <w:pStyle w:val="ListParagraph"/>
        <w:spacing w:line="360" w:lineRule="auto"/>
        <w:jc w:val="both"/>
        <w:rPr>
          <w:rFonts w:ascii="Arial" w:eastAsia="Calibri" w:hAnsi="Arial" w:cs="Arial"/>
          <w:iCs/>
          <w:lang w:val="en-GB"/>
        </w:rPr>
      </w:pPr>
    </w:p>
    <w:p w14:paraId="29D136DB" w14:textId="6A72E448" w:rsidR="00A304C7" w:rsidRPr="001B203D" w:rsidRDefault="001B203D" w:rsidP="001B203D">
      <w:pPr>
        <w:spacing w:line="360" w:lineRule="auto"/>
        <w:ind w:left="851" w:hanging="851"/>
        <w:jc w:val="both"/>
        <w:rPr>
          <w:rFonts w:ascii="Arial" w:eastAsia="Calibri" w:hAnsi="Arial" w:cs="Arial"/>
          <w:iCs/>
          <w:lang w:val="en-GB"/>
        </w:rPr>
      </w:pPr>
      <w:r>
        <w:rPr>
          <w:rFonts w:ascii="Arial" w:eastAsia="Calibri" w:hAnsi="Arial" w:cs="Arial"/>
          <w:iCs/>
          <w:lang w:val="en-GB"/>
        </w:rPr>
        <w:t>17.</w:t>
      </w:r>
      <w:r>
        <w:rPr>
          <w:rFonts w:ascii="Arial" w:eastAsia="Calibri" w:hAnsi="Arial" w:cs="Arial"/>
          <w:iCs/>
          <w:lang w:val="en-GB"/>
        </w:rPr>
        <w:tab/>
      </w:r>
      <w:r w:rsidR="003A342C" w:rsidRPr="001B203D">
        <w:rPr>
          <w:rFonts w:ascii="Arial" w:eastAsia="Calibri" w:hAnsi="Arial" w:cs="Arial"/>
          <w:iCs/>
          <w:lang w:val="en-GB"/>
        </w:rPr>
        <w:t xml:space="preserve">It was argued on behalf of Transasia Minerals that the order granted on 29 August 2022, in its terms, was not a final order and was in fact a nullity.  This was predicated on the basis that the first paragraph of the order of 29 August 2022 purported to be a repetition of paragraph 1 of the order of 28 June 2022. </w:t>
      </w:r>
    </w:p>
    <w:p w14:paraId="5A323996" w14:textId="77777777" w:rsidR="00A304C7" w:rsidRPr="00A304C7" w:rsidRDefault="00A304C7" w:rsidP="00A304C7">
      <w:pPr>
        <w:pStyle w:val="ListParagraph"/>
        <w:rPr>
          <w:rFonts w:ascii="Arial" w:eastAsia="Calibri" w:hAnsi="Arial" w:cs="Arial"/>
          <w:iCs/>
          <w:lang w:val="en-GB"/>
        </w:rPr>
      </w:pPr>
    </w:p>
    <w:p w14:paraId="24517273" w14:textId="32DB3C09" w:rsidR="003A342C" w:rsidRPr="001B203D" w:rsidRDefault="001B203D" w:rsidP="001B203D">
      <w:pPr>
        <w:spacing w:line="360" w:lineRule="auto"/>
        <w:ind w:left="851" w:hanging="851"/>
        <w:jc w:val="both"/>
        <w:rPr>
          <w:rFonts w:ascii="Arial" w:eastAsia="Calibri" w:hAnsi="Arial" w:cs="Arial"/>
          <w:iCs/>
          <w:lang w:val="en-GB"/>
        </w:rPr>
      </w:pPr>
      <w:r>
        <w:rPr>
          <w:rFonts w:ascii="Arial" w:eastAsia="Calibri" w:hAnsi="Arial" w:cs="Arial"/>
          <w:iCs/>
          <w:lang w:val="en-GB"/>
        </w:rPr>
        <w:lastRenderedPageBreak/>
        <w:t>18.</w:t>
      </w:r>
      <w:r>
        <w:rPr>
          <w:rFonts w:ascii="Arial" w:eastAsia="Calibri" w:hAnsi="Arial" w:cs="Arial"/>
          <w:iCs/>
          <w:lang w:val="en-GB"/>
        </w:rPr>
        <w:tab/>
      </w:r>
      <w:r w:rsidR="003A342C" w:rsidRPr="001B203D">
        <w:rPr>
          <w:rFonts w:ascii="Arial" w:eastAsia="Calibri" w:hAnsi="Arial" w:cs="Arial"/>
          <w:iCs/>
          <w:lang w:val="en-GB"/>
        </w:rPr>
        <w:t xml:space="preserve">I was referred to </w:t>
      </w:r>
      <w:r w:rsidR="003A342C" w:rsidRPr="001B203D">
        <w:rPr>
          <w:rFonts w:ascii="Arial" w:eastAsia="Calibri" w:hAnsi="Arial" w:cs="Arial"/>
          <w:i/>
          <w:lang w:val="en-GB"/>
        </w:rPr>
        <w:t>Thobejane &amp; Others v Premier of the Limpopo Province &amp; Another</w:t>
      </w:r>
      <w:r w:rsidR="003A342C">
        <w:rPr>
          <w:rStyle w:val="FootnoteReference"/>
          <w:rFonts w:ascii="Arial" w:eastAsia="Calibri" w:hAnsi="Arial" w:cs="Arial"/>
          <w:iCs/>
          <w:lang w:val="en-GB"/>
        </w:rPr>
        <w:footnoteReference w:id="4"/>
      </w:r>
      <w:r w:rsidR="003A342C" w:rsidRPr="001B203D">
        <w:rPr>
          <w:rFonts w:ascii="Arial" w:eastAsia="Calibri" w:hAnsi="Arial" w:cs="Arial"/>
          <w:iCs/>
          <w:lang w:val="en-GB"/>
        </w:rPr>
        <w:t xml:space="preserve"> in support of this.  I disagree.  The first order compels the delivery of “all records”.  The second order compels the delivery of “</w:t>
      </w:r>
      <w:r w:rsidR="003A342C" w:rsidRPr="001B203D">
        <w:rPr>
          <w:rFonts w:ascii="Arial" w:eastAsia="Calibri" w:hAnsi="Arial" w:cs="Arial"/>
          <w:iCs/>
          <w:sz w:val="22"/>
          <w:szCs w:val="22"/>
          <w:lang w:val="en-GB"/>
        </w:rPr>
        <w:t>complete index of all copies of all documents pertaining to the Record of Decision”</w:t>
      </w:r>
      <w:r w:rsidR="003A342C" w:rsidRPr="001B203D">
        <w:rPr>
          <w:rFonts w:ascii="Arial" w:eastAsia="Calibri" w:hAnsi="Arial" w:cs="Arial"/>
          <w:iCs/>
          <w:lang w:val="en-GB"/>
        </w:rPr>
        <w:t>.  They differ – the first requires an unqualified delivery of all documents, the second in paragraph 1, the delivery of an index as a precursor to the succeeding orders.</w:t>
      </w:r>
    </w:p>
    <w:p w14:paraId="63F57C93" w14:textId="77777777" w:rsidR="00A304C7" w:rsidRPr="00A304C7" w:rsidRDefault="00A304C7" w:rsidP="00A304C7">
      <w:pPr>
        <w:pStyle w:val="ListParagraph"/>
        <w:rPr>
          <w:rFonts w:ascii="Arial" w:eastAsia="Calibri" w:hAnsi="Arial" w:cs="Arial"/>
          <w:iCs/>
          <w:lang w:val="en-GB"/>
        </w:rPr>
      </w:pPr>
    </w:p>
    <w:p w14:paraId="70075284" w14:textId="77777777" w:rsidR="00A304C7" w:rsidRDefault="00A304C7" w:rsidP="00A304C7">
      <w:pPr>
        <w:pStyle w:val="ListParagraph"/>
        <w:spacing w:line="360" w:lineRule="auto"/>
        <w:ind w:left="851"/>
        <w:jc w:val="both"/>
        <w:rPr>
          <w:rFonts w:ascii="Arial" w:eastAsia="Calibri" w:hAnsi="Arial" w:cs="Arial"/>
          <w:iCs/>
          <w:lang w:val="en-GB"/>
        </w:rPr>
      </w:pPr>
    </w:p>
    <w:p w14:paraId="63A07713" w14:textId="77777777" w:rsidR="003A342C" w:rsidRPr="003A342C" w:rsidRDefault="003A342C" w:rsidP="003A342C">
      <w:pPr>
        <w:pStyle w:val="ListParagraph"/>
        <w:rPr>
          <w:rFonts w:ascii="Arial" w:eastAsia="Calibri" w:hAnsi="Arial" w:cs="Arial"/>
          <w:iCs/>
          <w:lang w:val="en-GB"/>
        </w:rPr>
      </w:pPr>
    </w:p>
    <w:p w14:paraId="2D8C5392" w14:textId="5699C08F" w:rsidR="00E5582B" w:rsidRPr="001B203D" w:rsidRDefault="001B203D" w:rsidP="001B203D">
      <w:pPr>
        <w:spacing w:line="360" w:lineRule="auto"/>
        <w:ind w:left="851" w:hanging="851"/>
        <w:jc w:val="both"/>
        <w:rPr>
          <w:rFonts w:ascii="Arial" w:eastAsia="Calibri" w:hAnsi="Arial" w:cs="Arial"/>
          <w:iCs/>
          <w:lang w:val="en-GB"/>
        </w:rPr>
      </w:pPr>
      <w:r>
        <w:rPr>
          <w:rFonts w:ascii="Arial" w:eastAsia="Calibri" w:hAnsi="Arial" w:cs="Arial"/>
          <w:iCs/>
          <w:lang w:val="en-GB"/>
        </w:rPr>
        <w:t>19.</w:t>
      </w:r>
      <w:r>
        <w:rPr>
          <w:rFonts w:ascii="Arial" w:eastAsia="Calibri" w:hAnsi="Arial" w:cs="Arial"/>
          <w:iCs/>
          <w:lang w:val="en-GB"/>
        </w:rPr>
        <w:tab/>
      </w:r>
      <w:r w:rsidR="00E5582B" w:rsidRPr="001B203D">
        <w:rPr>
          <w:rFonts w:ascii="Arial" w:eastAsia="Calibri" w:hAnsi="Arial" w:cs="Arial"/>
          <w:iCs/>
          <w:lang w:val="en-GB"/>
        </w:rPr>
        <w:t xml:space="preserve">It was also argued on behalf of Transasia Minerals that the order of 29 August 2022 was not a variation of the order of 28 June 2022, specifically in its terms.  It was also argued that the substance of the order was changed.  I disagree.  The second order does not vary the first order but serves, in conjunction with the first order, to impose a regime in terms whereof the interests of Transasia 444 (and also Transasia Minerals) </w:t>
      </w:r>
      <w:r w:rsidR="00976470" w:rsidRPr="001B203D">
        <w:rPr>
          <w:rFonts w:ascii="Arial" w:eastAsia="Calibri" w:hAnsi="Arial" w:cs="Arial"/>
          <w:iCs/>
          <w:lang w:val="en-GB"/>
        </w:rPr>
        <w:t>could be represented and protected – in the way that they would have been had either been before the court on 28 June 2022.</w:t>
      </w:r>
    </w:p>
    <w:p w14:paraId="0429C5BE" w14:textId="77777777" w:rsidR="00B33A5C" w:rsidRDefault="00B33A5C" w:rsidP="00B33A5C">
      <w:pPr>
        <w:pStyle w:val="ListParagraph"/>
        <w:spacing w:line="360" w:lineRule="auto"/>
        <w:ind w:left="851"/>
        <w:jc w:val="both"/>
        <w:rPr>
          <w:rFonts w:ascii="Arial" w:eastAsia="Calibri" w:hAnsi="Arial" w:cs="Arial"/>
          <w:iCs/>
          <w:lang w:val="en-GB"/>
        </w:rPr>
      </w:pPr>
    </w:p>
    <w:p w14:paraId="575ADF17" w14:textId="6E2125AC" w:rsidR="00882421" w:rsidRPr="001B203D" w:rsidRDefault="001B203D" w:rsidP="001B203D">
      <w:pPr>
        <w:spacing w:line="360" w:lineRule="auto"/>
        <w:ind w:left="851" w:hanging="851"/>
        <w:jc w:val="both"/>
        <w:rPr>
          <w:rFonts w:ascii="Arial" w:eastAsia="Calibri" w:hAnsi="Arial" w:cs="Arial"/>
          <w:iCs/>
          <w:lang w:val="en-GB"/>
        </w:rPr>
      </w:pPr>
      <w:r>
        <w:rPr>
          <w:rFonts w:ascii="Arial" w:eastAsia="Calibri" w:hAnsi="Arial" w:cs="Arial"/>
          <w:iCs/>
          <w:lang w:val="en-GB"/>
        </w:rPr>
        <w:t>20.</w:t>
      </w:r>
      <w:r>
        <w:rPr>
          <w:rFonts w:ascii="Arial" w:eastAsia="Calibri" w:hAnsi="Arial" w:cs="Arial"/>
          <w:iCs/>
          <w:lang w:val="en-GB"/>
        </w:rPr>
        <w:tab/>
      </w:r>
      <w:r w:rsidR="00B33A5C" w:rsidRPr="001B203D">
        <w:rPr>
          <w:rFonts w:ascii="Arial" w:eastAsia="Calibri" w:hAnsi="Arial" w:cs="Arial"/>
          <w:iCs/>
          <w:lang w:val="en-GB"/>
        </w:rPr>
        <w:t xml:space="preserve">In this regard, the contention by Transasia Minerals that the order if 29 August 2022 had ‘interposed’ Umsobomvu’s attorney into the matter in a way that they had not been before is similarly without merit. </w:t>
      </w:r>
    </w:p>
    <w:p w14:paraId="542D5616" w14:textId="77777777" w:rsidR="00882421" w:rsidRPr="00882421" w:rsidRDefault="00882421" w:rsidP="00882421">
      <w:pPr>
        <w:pStyle w:val="ListParagraph"/>
        <w:rPr>
          <w:rFonts w:ascii="Arial" w:eastAsia="Calibri" w:hAnsi="Arial" w:cs="Arial"/>
          <w:iCs/>
          <w:lang w:val="en-GB"/>
        </w:rPr>
      </w:pPr>
    </w:p>
    <w:p w14:paraId="50A41688" w14:textId="33DD79CF" w:rsidR="00B33A5C" w:rsidRPr="001B203D" w:rsidRDefault="001B203D" w:rsidP="001B203D">
      <w:pPr>
        <w:spacing w:line="360" w:lineRule="auto"/>
        <w:ind w:left="851" w:hanging="851"/>
        <w:jc w:val="both"/>
        <w:rPr>
          <w:rFonts w:ascii="Arial" w:eastAsia="Calibri" w:hAnsi="Arial" w:cs="Arial"/>
          <w:iCs/>
          <w:lang w:val="en-GB"/>
        </w:rPr>
      </w:pPr>
      <w:r>
        <w:rPr>
          <w:rFonts w:ascii="Arial" w:eastAsia="Calibri" w:hAnsi="Arial" w:cs="Arial"/>
          <w:iCs/>
          <w:lang w:val="en-GB"/>
        </w:rPr>
        <w:t>21.</w:t>
      </w:r>
      <w:r>
        <w:rPr>
          <w:rFonts w:ascii="Arial" w:eastAsia="Calibri" w:hAnsi="Arial" w:cs="Arial"/>
          <w:iCs/>
          <w:lang w:val="en-GB"/>
        </w:rPr>
        <w:tab/>
      </w:r>
      <w:r w:rsidR="00B33A5C" w:rsidRPr="001B203D">
        <w:rPr>
          <w:rFonts w:ascii="Arial" w:eastAsia="Calibri" w:hAnsi="Arial" w:cs="Arial"/>
          <w:iCs/>
          <w:lang w:val="en-GB"/>
        </w:rPr>
        <w:t>What is made plain from the papers filed in this matter is that the litigation between the parties is acrimonious. It has reached the point where the line between the litigants and their repres</w:t>
      </w:r>
      <w:r w:rsidR="00882421" w:rsidRPr="001B203D">
        <w:rPr>
          <w:rFonts w:ascii="Arial" w:eastAsia="Calibri" w:hAnsi="Arial" w:cs="Arial"/>
          <w:iCs/>
          <w:lang w:val="en-GB"/>
        </w:rPr>
        <w:t>e</w:t>
      </w:r>
      <w:r w:rsidR="00B33A5C" w:rsidRPr="001B203D">
        <w:rPr>
          <w:rFonts w:ascii="Arial" w:eastAsia="Calibri" w:hAnsi="Arial" w:cs="Arial"/>
          <w:iCs/>
          <w:lang w:val="en-GB"/>
        </w:rPr>
        <w:t xml:space="preserve">ntatives has become blurred. The order of 29 August 2022 is not law firm specific and was formulated to address what I regarded as legitimate concerns </w:t>
      </w:r>
      <w:r w:rsidR="00B33A5C" w:rsidRPr="001B203D">
        <w:rPr>
          <w:rFonts w:ascii="Arial" w:eastAsia="Calibri" w:hAnsi="Arial" w:cs="Arial"/>
          <w:i/>
          <w:lang w:val="en-GB"/>
        </w:rPr>
        <w:t>inter partes</w:t>
      </w:r>
      <w:r w:rsidR="00B33A5C" w:rsidRPr="001B203D">
        <w:rPr>
          <w:rFonts w:ascii="Arial" w:eastAsia="Calibri" w:hAnsi="Arial" w:cs="Arial"/>
          <w:iCs/>
          <w:lang w:val="en-GB"/>
        </w:rPr>
        <w:t xml:space="preserve">. </w:t>
      </w:r>
    </w:p>
    <w:p w14:paraId="63CDA03C" w14:textId="77777777" w:rsidR="004F4249" w:rsidRPr="004F4249" w:rsidRDefault="004F4249" w:rsidP="004F4249">
      <w:pPr>
        <w:spacing w:line="360" w:lineRule="auto"/>
        <w:jc w:val="both"/>
        <w:rPr>
          <w:rFonts w:ascii="Arial" w:eastAsia="Calibri" w:hAnsi="Arial" w:cs="Arial"/>
          <w:iCs/>
          <w:lang w:val="en-GB"/>
        </w:rPr>
      </w:pPr>
    </w:p>
    <w:p w14:paraId="62890BCA" w14:textId="00EE3BF5" w:rsidR="004F4249" w:rsidRPr="001B203D" w:rsidRDefault="001B203D" w:rsidP="001B203D">
      <w:pPr>
        <w:spacing w:line="360" w:lineRule="auto"/>
        <w:ind w:left="862" w:hanging="720"/>
        <w:jc w:val="both"/>
        <w:rPr>
          <w:rFonts w:ascii="Arial" w:eastAsia="Calibri" w:hAnsi="Arial" w:cs="Arial"/>
          <w:lang w:val="en-GB"/>
        </w:rPr>
      </w:pPr>
      <w:r w:rsidRPr="004F4249">
        <w:rPr>
          <w:rFonts w:ascii="Arial" w:eastAsia="Calibri" w:hAnsi="Arial" w:cs="Arial"/>
          <w:lang w:val="en-GB"/>
        </w:rPr>
        <w:t>22.</w:t>
      </w:r>
      <w:r w:rsidRPr="004F4249">
        <w:rPr>
          <w:rFonts w:ascii="Arial" w:eastAsia="Calibri" w:hAnsi="Arial" w:cs="Arial"/>
          <w:lang w:val="en-GB"/>
        </w:rPr>
        <w:tab/>
      </w:r>
      <w:r w:rsidR="004F4249" w:rsidRPr="001B203D">
        <w:rPr>
          <w:rFonts w:ascii="Arial" w:eastAsia="Calibri" w:hAnsi="Arial" w:cs="Arial"/>
          <w:iCs/>
          <w:lang w:val="en-GB"/>
        </w:rPr>
        <w:t>In deciding whether a judgment is appealable or not</w:t>
      </w:r>
      <w:r w:rsidR="00A304C7" w:rsidRPr="001B203D">
        <w:rPr>
          <w:rFonts w:ascii="Arial" w:eastAsia="Calibri" w:hAnsi="Arial" w:cs="Arial"/>
          <w:iCs/>
          <w:lang w:val="en-GB"/>
        </w:rPr>
        <w:t xml:space="preserve">, in </w:t>
      </w:r>
      <w:r w:rsidR="004F4249" w:rsidRPr="001B203D">
        <w:rPr>
          <w:rFonts w:ascii="Arial" w:eastAsia="Calibri" w:hAnsi="Arial" w:cs="Arial"/>
          <w:i/>
          <w:iCs/>
          <w:lang w:val="en-GB"/>
        </w:rPr>
        <w:t>Zweni v Minister of Law and Order </w:t>
      </w:r>
      <w:r w:rsidR="004F4249" w:rsidRPr="00ED5C98">
        <w:rPr>
          <w:i/>
          <w:vertAlign w:val="superscript"/>
          <w:lang w:val="en-GB"/>
        </w:rPr>
        <w:footnoteReference w:id="5"/>
      </w:r>
      <w:r w:rsidR="004F4249" w:rsidRPr="001B203D">
        <w:rPr>
          <w:rFonts w:ascii="Arial" w:eastAsia="Calibri" w:hAnsi="Arial" w:cs="Arial"/>
          <w:lang w:val="en-GB"/>
        </w:rPr>
        <w:t xml:space="preserve">, </w:t>
      </w:r>
      <w:r w:rsidR="00A70455" w:rsidRPr="001B203D">
        <w:rPr>
          <w:rFonts w:ascii="Arial" w:eastAsia="Calibri" w:hAnsi="Arial" w:cs="Arial"/>
          <w:lang w:val="en-GB"/>
        </w:rPr>
        <w:t xml:space="preserve">it was </w:t>
      </w:r>
      <w:r w:rsidR="004F4249" w:rsidRPr="001B203D">
        <w:rPr>
          <w:rFonts w:ascii="Arial" w:eastAsia="Calibri" w:hAnsi="Arial" w:cs="Arial"/>
          <w:lang w:val="en-GB"/>
        </w:rPr>
        <w:t>stated:</w:t>
      </w:r>
    </w:p>
    <w:p w14:paraId="60A5AF0B" w14:textId="77777777" w:rsidR="004F4249" w:rsidRDefault="004F4249" w:rsidP="004F4249">
      <w:pPr>
        <w:pStyle w:val="ListParagraph"/>
        <w:spacing w:line="360" w:lineRule="auto"/>
        <w:jc w:val="both"/>
        <w:rPr>
          <w:rFonts w:ascii="Arial" w:eastAsia="Calibri" w:hAnsi="Arial" w:cs="Arial"/>
          <w:i/>
          <w:sz w:val="22"/>
          <w:lang w:val="en-GB"/>
        </w:rPr>
      </w:pPr>
    </w:p>
    <w:p w14:paraId="3E963719" w14:textId="5EECBE6D" w:rsidR="004F4249" w:rsidRPr="00A304C7" w:rsidRDefault="004F4249" w:rsidP="004F4249">
      <w:pPr>
        <w:pStyle w:val="ListParagraph"/>
        <w:spacing w:line="360" w:lineRule="auto"/>
        <w:ind w:left="1418"/>
        <w:jc w:val="both"/>
        <w:rPr>
          <w:rFonts w:ascii="Arial" w:eastAsia="Calibri" w:hAnsi="Arial" w:cs="Arial"/>
          <w:i/>
          <w:sz w:val="22"/>
          <w:lang w:val="en-GB"/>
        </w:rPr>
      </w:pPr>
      <w:r w:rsidRPr="00A304C7">
        <w:rPr>
          <w:rFonts w:ascii="Arial" w:eastAsia="Calibri" w:hAnsi="Arial" w:cs="Arial"/>
          <w:i/>
          <w:sz w:val="22"/>
          <w:lang w:val="en-GB"/>
        </w:rPr>
        <w:t xml:space="preserve">“A ‘judgment or order’ is a decision which, as a general principle has three attributes, first, the decision must be final in effect and not susceptible of alteration </w:t>
      </w:r>
      <w:r w:rsidRPr="00A304C7">
        <w:rPr>
          <w:rFonts w:ascii="Arial" w:eastAsia="Calibri" w:hAnsi="Arial" w:cs="Arial"/>
          <w:i/>
          <w:sz w:val="22"/>
          <w:lang w:val="en-GB"/>
        </w:rPr>
        <w:lastRenderedPageBreak/>
        <w:t>by the Court of first instance; second, it must be definitive of the rights of the parties; and, third, it must have the effect of disposing of at least a substantial portion of the relief claimed in the main proceedings.”</w:t>
      </w:r>
    </w:p>
    <w:p w14:paraId="3B5253C9" w14:textId="77777777" w:rsidR="004F4249" w:rsidRPr="004F4249" w:rsidRDefault="004F4249" w:rsidP="004F4249">
      <w:pPr>
        <w:pStyle w:val="ListParagraph"/>
        <w:spacing w:line="360" w:lineRule="auto"/>
        <w:jc w:val="both"/>
        <w:rPr>
          <w:rFonts w:ascii="Arial" w:eastAsia="Calibri" w:hAnsi="Arial" w:cs="Arial"/>
          <w:i/>
          <w:lang w:val="en-GB"/>
        </w:rPr>
      </w:pPr>
    </w:p>
    <w:p w14:paraId="7ADAB053" w14:textId="64E17886" w:rsidR="004F4249" w:rsidRPr="001B203D" w:rsidRDefault="001B203D" w:rsidP="001B203D">
      <w:pPr>
        <w:spacing w:line="360" w:lineRule="auto"/>
        <w:ind w:left="862" w:hanging="720"/>
        <w:jc w:val="both"/>
        <w:rPr>
          <w:rFonts w:ascii="Arial" w:eastAsia="Calibri" w:hAnsi="Arial" w:cs="Arial"/>
          <w:i/>
          <w:lang w:val="en-GB"/>
        </w:rPr>
      </w:pPr>
      <w:r w:rsidRPr="004F4249">
        <w:rPr>
          <w:rFonts w:ascii="Arial" w:eastAsia="Calibri" w:hAnsi="Arial" w:cs="Arial"/>
          <w:i/>
          <w:lang w:val="en-GB"/>
        </w:rPr>
        <w:t>23.</w:t>
      </w:r>
      <w:r w:rsidRPr="004F4249">
        <w:rPr>
          <w:rFonts w:ascii="Arial" w:eastAsia="Calibri" w:hAnsi="Arial" w:cs="Arial"/>
          <w:i/>
          <w:lang w:val="en-GB"/>
        </w:rPr>
        <w:tab/>
      </w:r>
      <w:r w:rsidR="004F4249" w:rsidRPr="001B203D">
        <w:rPr>
          <w:rFonts w:ascii="Arial" w:eastAsia="Calibri" w:hAnsi="Arial" w:cs="Arial"/>
          <w:lang w:val="en-GB"/>
        </w:rPr>
        <w:t>It is apparent from the attributes set out in</w:t>
      </w:r>
      <w:r w:rsidR="004F4249" w:rsidRPr="001B203D">
        <w:rPr>
          <w:rFonts w:ascii="Arial" w:eastAsia="Calibri" w:hAnsi="Arial" w:cs="Arial"/>
          <w:i/>
          <w:lang w:val="en-GB"/>
        </w:rPr>
        <w:t xml:space="preserve"> Zweni</w:t>
      </w:r>
      <w:r w:rsidR="004F4249" w:rsidRPr="001B203D">
        <w:rPr>
          <w:rFonts w:ascii="Arial" w:eastAsia="Calibri" w:hAnsi="Arial" w:cs="Arial"/>
          <w:lang w:val="en-GB"/>
        </w:rPr>
        <w:t xml:space="preserve"> that a court’s mere ruling or an interlocutory order is not appealable. However, these three attributes are not immutable and exhaustive as pointed out in </w:t>
      </w:r>
      <w:r w:rsidR="004F4249" w:rsidRPr="001B203D">
        <w:rPr>
          <w:rFonts w:ascii="Arial" w:eastAsia="Calibri" w:hAnsi="Arial" w:cs="Arial"/>
          <w:i/>
          <w:lang w:val="en-GB"/>
        </w:rPr>
        <w:t>Moch v Nedtravel (Pty) Ltd</w:t>
      </w:r>
      <w:r w:rsidR="004F4249" w:rsidRPr="00ED5C98">
        <w:rPr>
          <w:vertAlign w:val="superscript"/>
          <w:lang w:val="en-GB"/>
        </w:rPr>
        <w:footnoteReference w:id="6"/>
      </w:r>
      <w:r w:rsidR="004F4249" w:rsidRPr="001B203D">
        <w:rPr>
          <w:rFonts w:ascii="Arial" w:eastAsia="Calibri" w:hAnsi="Arial" w:cs="Arial"/>
          <w:lang w:val="en-GB"/>
        </w:rPr>
        <w:t xml:space="preserve">. </w:t>
      </w:r>
    </w:p>
    <w:p w14:paraId="32AB5E08" w14:textId="77777777" w:rsidR="004F4249" w:rsidRPr="004F4249" w:rsidRDefault="004F4249" w:rsidP="004F4249">
      <w:pPr>
        <w:pStyle w:val="ListParagraph"/>
        <w:spacing w:line="360" w:lineRule="auto"/>
        <w:jc w:val="both"/>
        <w:rPr>
          <w:rFonts w:ascii="Arial" w:eastAsia="Calibri" w:hAnsi="Arial" w:cs="Arial"/>
          <w:lang w:val="en-GB"/>
        </w:rPr>
      </w:pPr>
    </w:p>
    <w:p w14:paraId="734338BD" w14:textId="28DFF679" w:rsidR="004F4249" w:rsidRPr="001B203D" w:rsidRDefault="001B203D" w:rsidP="001B203D">
      <w:pPr>
        <w:spacing w:line="360" w:lineRule="auto"/>
        <w:ind w:left="851" w:hanging="851"/>
        <w:jc w:val="both"/>
        <w:rPr>
          <w:rFonts w:ascii="Arial" w:eastAsia="Calibri" w:hAnsi="Arial" w:cs="Arial"/>
          <w:lang w:val="en-GB"/>
        </w:rPr>
      </w:pPr>
      <w:r>
        <w:rPr>
          <w:rFonts w:ascii="Arial" w:eastAsia="Calibri" w:hAnsi="Arial" w:cs="Arial"/>
          <w:lang w:val="en-GB"/>
        </w:rPr>
        <w:t>24.</w:t>
      </w:r>
      <w:r>
        <w:rPr>
          <w:rFonts w:ascii="Arial" w:eastAsia="Calibri" w:hAnsi="Arial" w:cs="Arial"/>
          <w:lang w:val="en-GB"/>
        </w:rPr>
        <w:tab/>
      </w:r>
      <w:r w:rsidR="004F4249" w:rsidRPr="001B203D">
        <w:rPr>
          <w:rFonts w:ascii="Arial" w:eastAsia="Calibri" w:hAnsi="Arial" w:cs="Arial"/>
          <w:lang w:val="en-GB"/>
        </w:rPr>
        <w:t xml:space="preserve">In </w:t>
      </w:r>
      <w:r w:rsidR="004F4249" w:rsidRPr="001B203D">
        <w:rPr>
          <w:rFonts w:ascii="Arial" w:eastAsia="Calibri" w:hAnsi="Arial" w:cs="Arial"/>
          <w:i/>
          <w:lang w:val="en-GB"/>
        </w:rPr>
        <w:t>Liberty Life Association of Africa Ltd Niselow</w:t>
      </w:r>
      <w:r w:rsidR="004F4249" w:rsidRPr="00ED5C98">
        <w:rPr>
          <w:vertAlign w:val="superscript"/>
          <w:lang w:val="en-GB"/>
        </w:rPr>
        <w:footnoteReference w:id="7"/>
      </w:r>
      <w:r w:rsidR="004F4249" w:rsidRPr="001B203D">
        <w:rPr>
          <w:rFonts w:ascii="Arial" w:eastAsia="Calibri" w:hAnsi="Arial" w:cs="Arial"/>
          <w:lang w:val="en-GB"/>
        </w:rPr>
        <w:t xml:space="preserve"> the Nugent J held; </w:t>
      </w:r>
    </w:p>
    <w:p w14:paraId="1EC9B788" w14:textId="77777777" w:rsidR="004F4249" w:rsidRPr="004F4249" w:rsidRDefault="004F4249" w:rsidP="004F4249">
      <w:pPr>
        <w:spacing w:line="360" w:lineRule="auto"/>
        <w:jc w:val="both"/>
        <w:rPr>
          <w:rFonts w:ascii="Arial" w:eastAsia="Calibri" w:hAnsi="Arial" w:cs="Arial"/>
          <w:lang w:val="en-GB"/>
        </w:rPr>
      </w:pPr>
    </w:p>
    <w:p w14:paraId="74E490B6" w14:textId="77777777" w:rsidR="004F4249" w:rsidRPr="00A70455" w:rsidRDefault="004F4249" w:rsidP="004F4249">
      <w:pPr>
        <w:pStyle w:val="ListParagraph"/>
        <w:spacing w:line="360" w:lineRule="auto"/>
        <w:ind w:left="1418"/>
        <w:jc w:val="both"/>
        <w:rPr>
          <w:rFonts w:ascii="Arial" w:eastAsia="Calibri" w:hAnsi="Arial" w:cs="Arial"/>
          <w:i/>
          <w:sz w:val="22"/>
          <w:szCs w:val="22"/>
          <w:lang w:val="en-GB"/>
        </w:rPr>
      </w:pPr>
      <w:r w:rsidRPr="00A70455">
        <w:rPr>
          <w:rFonts w:ascii="Arial" w:eastAsia="Calibri" w:hAnsi="Arial" w:cs="Arial"/>
          <w:i/>
          <w:sz w:val="22"/>
          <w:szCs w:val="22"/>
          <w:lang w:val="en-GB"/>
        </w:rPr>
        <w:t>“</w:t>
      </w:r>
      <w:r w:rsidRPr="00A70455">
        <w:rPr>
          <w:rFonts w:ascii="Arial" w:eastAsia="Calibri" w:hAnsi="Arial" w:cs="Arial"/>
          <w:i/>
          <w:sz w:val="22"/>
          <w:szCs w:val="22"/>
        </w:rPr>
        <w:t>In effect the question is whether the particular decision may be placed before a court of appeal in isolation, and before the proceedings have run their full course.</w:t>
      </w:r>
      <w:r w:rsidRPr="00A70455">
        <w:rPr>
          <w:rFonts w:ascii="Arial" w:eastAsia="Calibri" w:hAnsi="Arial" w:cs="Arial"/>
          <w:i/>
          <w:sz w:val="22"/>
          <w:szCs w:val="22"/>
          <w:lang w:val="en-GB"/>
        </w:rPr>
        <w:t>”</w:t>
      </w:r>
    </w:p>
    <w:p w14:paraId="7F907F3D" w14:textId="77777777" w:rsidR="004F4249" w:rsidRPr="00A70455" w:rsidRDefault="004F4249" w:rsidP="004F4249">
      <w:pPr>
        <w:pStyle w:val="ListParagraph"/>
        <w:spacing w:line="360" w:lineRule="auto"/>
        <w:ind w:left="851" w:hanging="851"/>
        <w:jc w:val="both"/>
        <w:rPr>
          <w:rFonts w:ascii="Arial" w:eastAsia="Calibri" w:hAnsi="Arial" w:cs="Arial"/>
          <w:b/>
          <w:i/>
          <w:lang w:val="en-GB"/>
        </w:rPr>
      </w:pPr>
    </w:p>
    <w:p w14:paraId="50FCC18B" w14:textId="5F0A4DA9" w:rsidR="004F4249" w:rsidRPr="001B203D" w:rsidRDefault="001B203D" w:rsidP="001B203D">
      <w:pPr>
        <w:spacing w:line="360" w:lineRule="auto"/>
        <w:ind w:left="851" w:hanging="851"/>
        <w:jc w:val="both"/>
        <w:rPr>
          <w:rFonts w:ascii="Arial" w:eastAsia="Calibri" w:hAnsi="Arial" w:cs="Arial"/>
          <w:lang w:val="en-GB"/>
        </w:rPr>
      </w:pPr>
      <w:r w:rsidRPr="004F4249">
        <w:rPr>
          <w:rFonts w:ascii="Arial" w:eastAsia="Calibri" w:hAnsi="Arial" w:cs="Arial"/>
          <w:lang w:val="en-GB"/>
        </w:rPr>
        <w:t>25.</w:t>
      </w:r>
      <w:r w:rsidRPr="004F4249">
        <w:rPr>
          <w:rFonts w:ascii="Arial" w:eastAsia="Calibri" w:hAnsi="Arial" w:cs="Arial"/>
          <w:lang w:val="en-GB"/>
        </w:rPr>
        <w:tab/>
      </w:r>
      <w:r w:rsidR="004F4249" w:rsidRPr="001B203D">
        <w:rPr>
          <w:rFonts w:ascii="Arial" w:eastAsia="Calibri" w:hAnsi="Arial" w:cs="Arial"/>
          <w:lang w:val="en-GB"/>
        </w:rPr>
        <w:t xml:space="preserve">In </w:t>
      </w:r>
      <w:r w:rsidR="004F4249" w:rsidRPr="001B203D">
        <w:rPr>
          <w:rFonts w:ascii="Arial" w:eastAsia="Calibri" w:hAnsi="Arial" w:cs="Arial"/>
          <w:i/>
          <w:lang w:val="en-GB"/>
        </w:rPr>
        <w:t>Nova Property Group Holdings v Cobbett</w:t>
      </w:r>
      <w:r w:rsidR="004F4249" w:rsidRPr="00ED5C98">
        <w:rPr>
          <w:vertAlign w:val="superscript"/>
          <w:lang w:val="en-GB"/>
        </w:rPr>
        <w:footnoteReference w:id="8"/>
      </w:r>
      <w:r w:rsidR="004F4249" w:rsidRPr="001B203D">
        <w:rPr>
          <w:rFonts w:ascii="Arial" w:eastAsia="Calibri" w:hAnsi="Arial" w:cs="Arial"/>
          <w:lang w:val="en-GB"/>
        </w:rPr>
        <w:t xml:space="preserve"> the court was of the view that ultimately in deciding whether a decision is appealable, the interest of justice is of paramount importance:</w:t>
      </w:r>
    </w:p>
    <w:p w14:paraId="0008A3CA" w14:textId="77777777" w:rsidR="004F4249" w:rsidRDefault="004F4249" w:rsidP="004F4249">
      <w:pPr>
        <w:pStyle w:val="ListParagraph"/>
        <w:spacing w:line="360" w:lineRule="auto"/>
        <w:jc w:val="both"/>
        <w:rPr>
          <w:rFonts w:ascii="Arial" w:eastAsia="Calibri" w:hAnsi="Arial" w:cs="Arial"/>
          <w:bCs/>
          <w:lang w:val="en-GB"/>
        </w:rPr>
      </w:pPr>
    </w:p>
    <w:p w14:paraId="0B99D262" w14:textId="6377A52D" w:rsidR="004F4249" w:rsidRPr="004F4249" w:rsidRDefault="004F4249" w:rsidP="004F4249">
      <w:pPr>
        <w:pStyle w:val="ListParagraph"/>
        <w:spacing w:line="360" w:lineRule="auto"/>
        <w:ind w:left="1418"/>
        <w:jc w:val="both"/>
        <w:rPr>
          <w:rFonts w:ascii="Arial" w:eastAsia="Calibri" w:hAnsi="Arial" w:cs="Arial"/>
          <w:i/>
          <w:iCs/>
          <w:sz w:val="22"/>
          <w:szCs w:val="22"/>
          <w:lang w:val="en-GB"/>
        </w:rPr>
      </w:pPr>
      <w:r w:rsidRPr="004F4249">
        <w:rPr>
          <w:rFonts w:ascii="Arial" w:eastAsia="Calibri" w:hAnsi="Arial" w:cs="Arial"/>
          <w:bCs/>
          <w:i/>
          <w:iCs/>
          <w:sz w:val="22"/>
          <w:szCs w:val="22"/>
          <w:lang w:val="en-GB"/>
        </w:rPr>
        <w:t>“It is well established that in deciding what is in the interests of justice, each case has to be considered in light of its own facts. The considerations that serve the interests of justice, such as that the appeal will traverse matters of significant importance which pit the rights of privacy and dignity on the one hand, against those of access to information and freedom of expression on the other hand, certainly loom large before us.”</w:t>
      </w:r>
    </w:p>
    <w:p w14:paraId="2728A7C2" w14:textId="77777777" w:rsidR="004F4249" w:rsidRPr="004F4249" w:rsidRDefault="004F4249" w:rsidP="004F4249">
      <w:pPr>
        <w:pStyle w:val="ListParagraph"/>
        <w:spacing w:line="360" w:lineRule="auto"/>
        <w:jc w:val="both"/>
        <w:rPr>
          <w:rFonts w:ascii="Arial" w:eastAsia="Calibri" w:hAnsi="Arial" w:cs="Arial"/>
          <w:b/>
          <w:lang w:val="en-GB"/>
        </w:rPr>
      </w:pPr>
    </w:p>
    <w:p w14:paraId="5DB8931E" w14:textId="0CB48C46" w:rsidR="004F4249" w:rsidRPr="001B203D" w:rsidRDefault="001B203D" w:rsidP="001B203D">
      <w:pPr>
        <w:spacing w:line="360" w:lineRule="auto"/>
        <w:ind w:left="851" w:hanging="851"/>
        <w:jc w:val="both"/>
        <w:rPr>
          <w:rFonts w:ascii="Arial" w:eastAsia="Calibri" w:hAnsi="Arial" w:cs="Arial"/>
          <w:lang w:val="en-GB"/>
        </w:rPr>
      </w:pPr>
      <w:r w:rsidRPr="00B33A5C">
        <w:rPr>
          <w:rFonts w:ascii="Arial" w:eastAsia="Calibri" w:hAnsi="Arial" w:cs="Arial"/>
          <w:lang w:val="en-GB"/>
        </w:rPr>
        <w:t>26.</w:t>
      </w:r>
      <w:r w:rsidRPr="00B33A5C">
        <w:rPr>
          <w:rFonts w:ascii="Arial" w:eastAsia="Calibri" w:hAnsi="Arial" w:cs="Arial"/>
          <w:lang w:val="en-GB"/>
        </w:rPr>
        <w:tab/>
      </w:r>
      <w:r w:rsidR="004F4249" w:rsidRPr="001B203D">
        <w:rPr>
          <w:rFonts w:ascii="Arial" w:eastAsia="Calibri" w:hAnsi="Arial" w:cs="Arial"/>
          <w:lang w:val="en-GB"/>
        </w:rPr>
        <w:t>The approach that has been taken by the courts recently h</w:t>
      </w:r>
      <w:r w:rsidR="00B33A5C" w:rsidRPr="001B203D">
        <w:rPr>
          <w:rFonts w:ascii="Arial" w:eastAsia="Calibri" w:hAnsi="Arial" w:cs="Arial"/>
          <w:lang w:val="en-GB"/>
        </w:rPr>
        <w:t>as</w:t>
      </w:r>
      <w:r w:rsidR="004F4249" w:rsidRPr="001B203D">
        <w:rPr>
          <w:rFonts w:ascii="Arial" w:eastAsia="Calibri" w:hAnsi="Arial" w:cs="Arial"/>
          <w:lang w:val="en-GB"/>
        </w:rPr>
        <w:t xml:space="preserve"> been </w:t>
      </w:r>
      <w:r w:rsidR="00F001B5" w:rsidRPr="001B203D">
        <w:rPr>
          <w:rFonts w:ascii="Arial" w:eastAsia="Calibri" w:hAnsi="Arial" w:cs="Arial"/>
          <w:lang w:val="en-GB"/>
        </w:rPr>
        <w:t xml:space="preserve"> </w:t>
      </w:r>
      <w:r w:rsidR="004F4249" w:rsidRPr="001B203D">
        <w:rPr>
          <w:rFonts w:ascii="Arial" w:eastAsia="Calibri" w:hAnsi="Arial" w:cs="Arial"/>
          <w:lang w:val="en-GB"/>
        </w:rPr>
        <w:t>flexible and pragmatic.</w:t>
      </w:r>
      <w:r w:rsidR="004F4249" w:rsidRPr="00B33A5C">
        <w:rPr>
          <w:vertAlign w:val="superscript"/>
          <w:lang w:val="en-GB"/>
        </w:rPr>
        <w:footnoteReference w:id="9"/>
      </w:r>
      <w:r w:rsidR="004F4249" w:rsidRPr="001B203D">
        <w:rPr>
          <w:rFonts w:ascii="Arial" w:eastAsia="Calibri" w:hAnsi="Arial" w:cs="Arial"/>
          <w:lang w:val="en-GB"/>
        </w:rPr>
        <w:t xml:space="preserve"> The courts have directed more to doing what is appropriate in the </w:t>
      </w:r>
      <w:r w:rsidR="00B33A5C" w:rsidRPr="001B203D">
        <w:rPr>
          <w:rFonts w:ascii="Arial" w:eastAsia="Calibri" w:hAnsi="Arial" w:cs="Arial"/>
          <w:lang w:val="en-GB"/>
        </w:rPr>
        <w:t>circumstances</w:t>
      </w:r>
      <w:r w:rsidR="004F4249" w:rsidRPr="001B203D">
        <w:rPr>
          <w:rFonts w:ascii="Arial" w:eastAsia="Calibri" w:hAnsi="Arial" w:cs="Arial"/>
          <w:lang w:val="en-GB"/>
        </w:rPr>
        <w:t xml:space="preserve"> than to elevating the distinction between orders that are appealable and those that are not to one of the </w:t>
      </w:r>
      <w:r w:rsidR="00B33A5C" w:rsidRPr="001B203D">
        <w:rPr>
          <w:rFonts w:ascii="Arial" w:eastAsia="Calibri" w:hAnsi="Arial" w:cs="Arial"/>
          <w:lang w:val="en-GB"/>
        </w:rPr>
        <w:t>principles</w:t>
      </w:r>
      <w:r w:rsidR="004F4249" w:rsidRPr="001B203D">
        <w:rPr>
          <w:rFonts w:ascii="Arial" w:eastAsia="Calibri" w:hAnsi="Arial" w:cs="Arial"/>
          <w:lang w:val="en-GB"/>
        </w:rPr>
        <w:t xml:space="preserve">, as was the case in </w:t>
      </w:r>
      <w:r w:rsidR="004F4249" w:rsidRPr="001B203D">
        <w:rPr>
          <w:rFonts w:ascii="Arial" w:eastAsia="Calibri" w:hAnsi="Arial" w:cs="Arial"/>
          <w:i/>
          <w:lang w:val="en-GB"/>
        </w:rPr>
        <w:t>Phillips v National Director of Public Prosecutions</w:t>
      </w:r>
      <w:r w:rsidR="004F4249" w:rsidRPr="00B33A5C">
        <w:rPr>
          <w:vertAlign w:val="superscript"/>
          <w:lang w:val="en-GB"/>
        </w:rPr>
        <w:footnoteReference w:id="10"/>
      </w:r>
      <w:r w:rsidR="004F4249" w:rsidRPr="001B203D">
        <w:rPr>
          <w:rFonts w:ascii="Arial" w:eastAsia="Calibri" w:hAnsi="Arial" w:cs="Arial"/>
          <w:lang w:val="en-GB"/>
        </w:rPr>
        <w:t xml:space="preserve"> </w:t>
      </w:r>
    </w:p>
    <w:p w14:paraId="205A522A" w14:textId="77777777" w:rsidR="004F4249" w:rsidRPr="00A70455" w:rsidRDefault="004F4249" w:rsidP="00F001B5">
      <w:pPr>
        <w:spacing w:line="360" w:lineRule="auto"/>
        <w:jc w:val="both"/>
        <w:rPr>
          <w:rFonts w:ascii="Arial" w:eastAsia="Calibri" w:hAnsi="Arial" w:cs="Arial"/>
          <w:b/>
          <w:bCs/>
          <w:lang w:val="en-GB"/>
        </w:rPr>
      </w:pPr>
    </w:p>
    <w:p w14:paraId="22BA4F69" w14:textId="0EE5F14C" w:rsidR="00F001B5" w:rsidRPr="001B203D" w:rsidRDefault="001B203D" w:rsidP="001B203D">
      <w:pPr>
        <w:spacing w:line="360" w:lineRule="auto"/>
        <w:ind w:left="851" w:hanging="851"/>
        <w:jc w:val="both"/>
        <w:rPr>
          <w:rFonts w:ascii="Arial" w:hAnsi="Arial" w:cs="Arial"/>
          <w:color w:val="000000" w:themeColor="text1"/>
        </w:rPr>
      </w:pPr>
      <w:r w:rsidRPr="00B33A5C">
        <w:rPr>
          <w:rFonts w:ascii="Arial" w:hAnsi="Arial" w:cs="Arial"/>
          <w:color w:val="000000" w:themeColor="text1"/>
        </w:rPr>
        <w:t>27.</w:t>
      </w:r>
      <w:r w:rsidRPr="00B33A5C">
        <w:rPr>
          <w:rFonts w:ascii="Arial" w:hAnsi="Arial" w:cs="Arial"/>
          <w:color w:val="000000" w:themeColor="text1"/>
        </w:rPr>
        <w:tab/>
      </w:r>
      <w:r w:rsidR="00F001B5" w:rsidRPr="001B203D">
        <w:rPr>
          <w:rFonts w:ascii="Arial" w:eastAsia="Calibri" w:hAnsi="Arial" w:cs="Arial"/>
          <w:lang w:val="en-GB"/>
        </w:rPr>
        <w:t>On consideration of the order of 29 August 2022, I am satisfied that it is final in effect.  Having come to this finding, I now turn to the application for leave to appeal.</w:t>
      </w:r>
    </w:p>
    <w:p w14:paraId="6085350D" w14:textId="77777777" w:rsidR="00F001B5" w:rsidRPr="00F001B5" w:rsidRDefault="00F001B5" w:rsidP="00F001B5">
      <w:pPr>
        <w:pStyle w:val="ListParagraph"/>
        <w:rPr>
          <w:rFonts w:ascii="Arial" w:eastAsia="Calibri" w:hAnsi="Arial" w:cs="Arial"/>
          <w:bCs/>
          <w:lang w:val="en-GB"/>
        </w:rPr>
      </w:pPr>
    </w:p>
    <w:p w14:paraId="0984E09D" w14:textId="2FB7C2D7" w:rsidR="000B2542" w:rsidRPr="001B203D" w:rsidRDefault="001B203D" w:rsidP="001B203D">
      <w:pPr>
        <w:spacing w:line="360" w:lineRule="auto"/>
        <w:ind w:left="851" w:hanging="851"/>
        <w:jc w:val="both"/>
        <w:rPr>
          <w:rFonts w:ascii="Arial" w:hAnsi="Arial" w:cs="Arial"/>
          <w:color w:val="000000" w:themeColor="text1"/>
        </w:rPr>
      </w:pPr>
      <w:r w:rsidRPr="00C40249">
        <w:rPr>
          <w:rFonts w:ascii="Arial" w:hAnsi="Arial" w:cs="Arial"/>
          <w:color w:val="000000" w:themeColor="text1"/>
        </w:rPr>
        <w:t>28.</w:t>
      </w:r>
      <w:r w:rsidRPr="00C40249">
        <w:rPr>
          <w:rFonts w:ascii="Arial" w:hAnsi="Arial" w:cs="Arial"/>
          <w:color w:val="000000" w:themeColor="text1"/>
        </w:rPr>
        <w:tab/>
      </w:r>
      <w:r w:rsidR="000B2542" w:rsidRPr="001B203D">
        <w:rPr>
          <w:rFonts w:ascii="Arial" w:hAnsi="Arial" w:cs="Arial"/>
          <w:color w:val="000000" w:themeColor="text1"/>
        </w:rPr>
        <w:t>The test for the granting of leave to appeal pertinent to the present matter is set out in section 17(1) of the Superior Courts Act</w:t>
      </w:r>
      <w:r w:rsidR="000B2542" w:rsidRPr="00C40249">
        <w:rPr>
          <w:rStyle w:val="FootnoteReference"/>
          <w:rFonts w:ascii="Arial" w:hAnsi="Arial" w:cs="Arial"/>
          <w:color w:val="000000" w:themeColor="text1"/>
        </w:rPr>
        <w:footnoteReference w:id="11"/>
      </w:r>
      <w:r w:rsidR="000B2542" w:rsidRPr="001B203D">
        <w:rPr>
          <w:rFonts w:ascii="Arial" w:hAnsi="Arial" w:cs="Arial"/>
          <w:color w:val="000000" w:themeColor="text1"/>
        </w:rPr>
        <w:t xml:space="preserve"> as follows:</w:t>
      </w:r>
    </w:p>
    <w:p w14:paraId="49A9A5C0" w14:textId="77777777" w:rsidR="000B2542" w:rsidRPr="00C40249" w:rsidRDefault="000B2542" w:rsidP="000B2542">
      <w:pPr>
        <w:pStyle w:val="ListParagraph"/>
        <w:rPr>
          <w:rFonts w:ascii="Arial" w:hAnsi="Arial" w:cs="Arial"/>
          <w:color w:val="000000" w:themeColor="text1"/>
        </w:rPr>
      </w:pPr>
    </w:p>
    <w:p w14:paraId="0C4891DE" w14:textId="77777777" w:rsidR="000B2542" w:rsidRDefault="000B2542" w:rsidP="000B2542">
      <w:pPr>
        <w:ind w:left="1260" w:right="13" w:hanging="360"/>
        <w:rPr>
          <w:rFonts w:ascii="Arial" w:hAnsi="Arial" w:cs="Arial"/>
          <w:color w:val="000000" w:themeColor="text1"/>
          <w:sz w:val="22"/>
          <w:szCs w:val="22"/>
        </w:rPr>
      </w:pPr>
    </w:p>
    <w:p w14:paraId="5710A054" w14:textId="3ECC8FF9" w:rsidR="000B2542" w:rsidRPr="002263F3" w:rsidRDefault="000B2542" w:rsidP="000B2542">
      <w:pPr>
        <w:ind w:left="1260" w:right="13" w:hanging="360"/>
        <w:rPr>
          <w:rFonts w:ascii="Arial" w:hAnsi="Arial" w:cs="Arial"/>
          <w:i/>
          <w:iCs/>
          <w:sz w:val="22"/>
          <w:szCs w:val="22"/>
        </w:rPr>
      </w:pPr>
      <w:r w:rsidRPr="002263F3">
        <w:rPr>
          <w:rFonts w:ascii="Arial" w:hAnsi="Arial" w:cs="Arial"/>
          <w:i/>
          <w:iCs/>
          <w:color w:val="000000" w:themeColor="text1"/>
          <w:sz w:val="22"/>
          <w:szCs w:val="22"/>
        </w:rPr>
        <w:t>“(</w:t>
      </w:r>
      <w:r w:rsidRPr="002263F3">
        <w:rPr>
          <w:rFonts w:ascii="Arial" w:hAnsi="Arial" w:cs="Arial"/>
          <w:i/>
          <w:iCs/>
          <w:sz w:val="22"/>
          <w:szCs w:val="22"/>
        </w:rPr>
        <w:t>1) Leave to appeal may only be given where the judge or judges concerned are of the opinion that</w:t>
      </w:r>
    </w:p>
    <w:p w14:paraId="33E39693" w14:textId="77777777" w:rsidR="000B2542" w:rsidRPr="002263F3" w:rsidRDefault="000B2542" w:rsidP="000B2542">
      <w:pPr>
        <w:ind w:left="900" w:right="13"/>
        <w:rPr>
          <w:rFonts w:ascii="Arial" w:hAnsi="Arial" w:cs="Arial"/>
          <w:i/>
          <w:iCs/>
          <w:sz w:val="22"/>
          <w:szCs w:val="22"/>
        </w:rPr>
      </w:pPr>
    </w:p>
    <w:p w14:paraId="3D1459FF" w14:textId="17C7E180" w:rsidR="000B2542" w:rsidRPr="001B203D" w:rsidRDefault="001B203D" w:rsidP="001B203D">
      <w:pPr>
        <w:spacing w:after="41" w:line="253" w:lineRule="auto"/>
        <w:ind w:left="1260" w:right="13"/>
        <w:rPr>
          <w:rFonts w:ascii="Arial" w:hAnsi="Arial" w:cs="Arial"/>
          <w:i/>
          <w:iCs/>
          <w:sz w:val="22"/>
          <w:szCs w:val="22"/>
        </w:rPr>
      </w:pPr>
      <w:r w:rsidRPr="002263F3">
        <w:rPr>
          <w:rFonts w:ascii="Arial" w:hAnsi="Arial" w:cs="Arial"/>
          <w:i/>
          <w:iCs/>
          <w:sz w:val="22"/>
          <w:szCs w:val="22"/>
        </w:rPr>
        <w:t>(a)</w:t>
      </w:r>
      <w:r w:rsidRPr="002263F3">
        <w:rPr>
          <w:rFonts w:ascii="Arial" w:hAnsi="Arial" w:cs="Arial"/>
          <w:i/>
          <w:iCs/>
          <w:sz w:val="22"/>
          <w:szCs w:val="22"/>
        </w:rPr>
        <w:tab/>
      </w:r>
      <w:r w:rsidR="000B2542" w:rsidRPr="001B203D">
        <w:rPr>
          <w:rFonts w:ascii="Arial" w:hAnsi="Arial" w:cs="Arial"/>
          <w:i/>
          <w:iCs/>
          <w:sz w:val="22"/>
          <w:szCs w:val="22"/>
        </w:rPr>
        <w:t>(i)   the appeal would have a reasonable prospect of success or</w:t>
      </w:r>
    </w:p>
    <w:p w14:paraId="50CD683F" w14:textId="77777777" w:rsidR="000B2542" w:rsidRPr="002263F3" w:rsidRDefault="000B2542" w:rsidP="000B2542">
      <w:pPr>
        <w:pStyle w:val="ListParagraph"/>
        <w:spacing w:line="360" w:lineRule="auto"/>
        <w:ind w:left="1800" w:hanging="360"/>
        <w:jc w:val="both"/>
        <w:rPr>
          <w:rFonts w:ascii="Arial" w:hAnsi="Arial" w:cs="Arial"/>
          <w:i/>
          <w:iCs/>
          <w:sz w:val="22"/>
          <w:szCs w:val="22"/>
        </w:rPr>
      </w:pPr>
    </w:p>
    <w:p w14:paraId="73252634" w14:textId="72EDC797" w:rsidR="000B2542" w:rsidRPr="002263F3" w:rsidRDefault="000B2542" w:rsidP="000B2542">
      <w:pPr>
        <w:pStyle w:val="ListParagraph"/>
        <w:spacing w:line="360" w:lineRule="auto"/>
        <w:ind w:left="2520" w:hanging="360"/>
        <w:jc w:val="both"/>
        <w:rPr>
          <w:rFonts w:ascii="Arial" w:hAnsi="Arial" w:cs="Arial"/>
          <w:i/>
          <w:iCs/>
          <w:sz w:val="22"/>
          <w:szCs w:val="22"/>
        </w:rPr>
      </w:pPr>
      <w:r w:rsidRPr="002263F3">
        <w:rPr>
          <w:rFonts w:ascii="Arial" w:hAnsi="Arial" w:cs="Arial"/>
          <w:i/>
          <w:iCs/>
          <w:sz w:val="22"/>
          <w:szCs w:val="22"/>
        </w:rPr>
        <w:t>(ii)  there is some other compelling reason why the appeal should be heard, including conflicting judgments on the matter under consideration”</w:t>
      </w:r>
    </w:p>
    <w:p w14:paraId="7337999D" w14:textId="77777777" w:rsidR="000B2542" w:rsidRDefault="000B2542" w:rsidP="000B2542">
      <w:pPr>
        <w:spacing w:line="360" w:lineRule="auto"/>
        <w:jc w:val="both"/>
        <w:rPr>
          <w:rFonts w:ascii="Arial" w:hAnsi="Arial" w:cs="Arial"/>
          <w:color w:val="000000" w:themeColor="text1"/>
        </w:rPr>
      </w:pPr>
    </w:p>
    <w:p w14:paraId="484BDE24" w14:textId="77777777" w:rsidR="000B2542" w:rsidRPr="000B2542" w:rsidRDefault="000B2542" w:rsidP="000B2542">
      <w:pPr>
        <w:spacing w:line="360" w:lineRule="auto"/>
        <w:jc w:val="both"/>
        <w:rPr>
          <w:rFonts w:ascii="Arial" w:hAnsi="Arial" w:cs="Arial"/>
          <w:color w:val="000000" w:themeColor="text1"/>
          <w:sz w:val="22"/>
          <w:szCs w:val="22"/>
        </w:rPr>
      </w:pPr>
    </w:p>
    <w:p w14:paraId="445FD2D1" w14:textId="69BE52D6" w:rsidR="00A304C7" w:rsidRPr="001B203D" w:rsidRDefault="001B203D" w:rsidP="001B203D">
      <w:pPr>
        <w:spacing w:line="360" w:lineRule="auto"/>
        <w:ind w:left="862" w:hanging="720"/>
        <w:jc w:val="both"/>
        <w:rPr>
          <w:rFonts w:ascii="Arial" w:hAnsi="Arial" w:cs="Arial"/>
          <w:color w:val="000000" w:themeColor="text1"/>
          <w:sz w:val="22"/>
          <w:szCs w:val="22"/>
        </w:rPr>
      </w:pPr>
      <w:r w:rsidRPr="00A304C7">
        <w:rPr>
          <w:rFonts w:ascii="Arial" w:hAnsi="Arial" w:cs="Arial"/>
          <w:color w:val="000000" w:themeColor="text1"/>
          <w:sz w:val="22"/>
          <w:szCs w:val="22"/>
        </w:rPr>
        <w:t>29.</w:t>
      </w:r>
      <w:r w:rsidRPr="00A304C7">
        <w:rPr>
          <w:rFonts w:ascii="Arial" w:hAnsi="Arial" w:cs="Arial"/>
          <w:color w:val="000000" w:themeColor="text1"/>
          <w:sz w:val="22"/>
          <w:szCs w:val="22"/>
        </w:rPr>
        <w:tab/>
      </w:r>
      <w:r w:rsidR="000B2542" w:rsidRPr="001B203D">
        <w:rPr>
          <w:rFonts w:ascii="Arial" w:hAnsi="Arial" w:cs="Arial"/>
          <w:color w:val="000000" w:themeColor="text1"/>
        </w:rPr>
        <w:t xml:space="preserve">I </w:t>
      </w:r>
      <w:r w:rsidR="00F001B5" w:rsidRPr="001B203D">
        <w:rPr>
          <w:rFonts w:ascii="Arial" w:hAnsi="Arial" w:cs="Arial"/>
          <w:color w:val="000000" w:themeColor="text1"/>
        </w:rPr>
        <w:t xml:space="preserve">have considered the grounds of appeal </w:t>
      </w:r>
      <w:r w:rsidR="004C2472" w:rsidRPr="001B203D">
        <w:rPr>
          <w:rFonts w:ascii="Arial" w:hAnsi="Arial" w:cs="Arial"/>
          <w:color w:val="000000" w:themeColor="text1"/>
        </w:rPr>
        <w:t xml:space="preserve">and the respective arguments advanced in support of the granting of leave to appeal and for refusing leave to appeal.  </w:t>
      </w:r>
      <w:r w:rsidR="00D20211" w:rsidRPr="001B203D">
        <w:rPr>
          <w:rFonts w:ascii="Arial" w:hAnsi="Arial" w:cs="Arial"/>
          <w:color w:val="000000" w:themeColor="text1"/>
        </w:rPr>
        <w:t xml:space="preserve">The crisp issue is whether another court would come to a different conclusion.  The provisions of the MPDRA Act and regulations are clear and unequivocal.  For an appeal in terms of s 96 to proceed, a record must be furnished.  </w:t>
      </w:r>
    </w:p>
    <w:p w14:paraId="23F4B0D8" w14:textId="77777777" w:rsidR="00A304C7" w:rsidRPr="00A304C7" w:rsidRDefault="00A304C7" w:rsidP="00A304C7">
      <w:pPr>
        <w:pStyle w:val="ListParagraph"/>
        <w:spacing w:line="360" w:lineRule="auto"/>
        <w:ind w:left="862"/>
        <w:jc w:val="both"/>
        <w:rPr>
          <w:rFonts w:ascii="Arial" w:hAnsi="Arial" w:cs="Arial"/>
          <w:color w:val="000000" w:themeColor="text1"/>
          <w:sz w:val="22"/>
          <w:szCs w:val="22"/>
        </w:rPr>
      </w:pPr>
    </w:p>
    <w:p w14:paraId="0E5ED483" w14:textId="50814D44" w:rsidR="00882421" w:rsidRPr="001B203D" w:rsidRDefault="001B203D" w:rsidP="001B203D">
      <w:pPr>
        <w:spacing w:line="360" w:lineRule="auto"/>
        <w:ind w:left="862" w:hanging="720"/>
        <w:jc w:val="both"/>
        <w:rPr>
          <w:rFonts w:ascii="Arial" w:hAnsi="Arial" w:cs="Arial"/>
          <w:color w:val="000000" w:themeColor="text1"/>
          <w:sz w:val="22"/>
          <w:szCs w:val="22"/>
        </w:rPr>
      </w:pPr>
      <w:r w:rsidRPr="00882421">
        <w:rPr>
          <w:rFonts w:ascii="Arial" w:hAnsi="Arial" w:cs="Arial"/>
          <w:color w:val="000000" w:themeColor="text1"/>
          <w:sz w:val="22"/>
          <w:szCs w:val="22"/>
        </w:rPr>
        <w:t>30.</w:t>
      </w:r>
      <w:r w:rsidRPr="00882421">
        <w:rPr>
          <w:rFonts w:ascii="Arial" w:hAnsi="Arial" w:cs="Arial"/>
          <w:color w:val="000000" w:themeColor="text1"/>
          <w:sz w:val="22"/>
          <w:szCs w:val="22"/>
        </w:rPr>
        <w:tab/>
      </w:r>
      <w:r w:rsidR="00D20211" w:rsidRPr="001B203D">
        <w:rPr>
          <w:rFonts w:ascii="Arial" w:hAnsi="Arial" w:cs="Arial"/>
          <w:color w:val="000000" w:themeColor="text1"/>
        </w:rPr>
        <w:t>The order made on 29 August 2022, insofar as the recission of the order of 28 June 2022 was refused, accommodated, without objection by Umsob</w:t>
      </w:r>
      <w:r w:rsidR="00A304C7" w:rsidRPr="001B203D">
        <w:rPr>
          <w:rFonts w:ascii="Arial" w:hAnsi="Arial" w:cs="Arial"/>
          <w:color w:val="000000" w:themeColor="text1"/>
        </w:rPr>
        <w:t>o</w:t>
      </w:r>
      <w:r w:rsidR="00D20211" w:rsidRPr="001B203D">
        <w:rPr>
          <w:rFonts w:ascii="Arial" w:hAnsi="Arial" w:cs="Arial"/>
          <w:color w:val="000000" w:themeColor="text1"/>
        </w:rPr>
        <w:t xml:space="preserve">mvu, the rights and interests of Transasia 444 (and now Transasia Minerals also). </w:t>
      </w:r>
    </w:p>
    <w:p w14:paraId="670B5F48" w14:textId="77777777" w:rsidR="00882421" w:rsidRPr="00882421" w:rsidRDefault="00882421" w:rsidP="00882421">
      <w:pPr>
        <w:pStyle w:val="ListParagraph"/>
        <w:rPr>
          <w:rFonts w:ascii="Arial" w:hAnsi="Arial" w:cs="Arial"/>
          <w:color w:val="000000" w:themeColor="text1"/>
        </w:rPr>
      </w:pPr>
    </w:p>
    <w:p w14:paraId="0DEC2383" w14:textId="62E15FD6" w:rsidR="000B2542" w:rsidRPr="001B203D" w:rsidRDefault="001B203D" w:rsidP="001B203D">
      <w:pPr>
        <w:spacing w:line="360" w:lineRule="auto"/>
        <w:ind w:left="862" w:hanging="720"/>
        <w:jc w:val="both"/>
        <w:rPr>
          <w:rFonts w:ascii="Arial" w:hAnsi="Arial" w:cs="Arial"/>
          <w:color w:val="000000" w:themeColor="text1"/>
          <w:sz w:val="22"/>
          <w:szCs w:val="22"/>
        </w:rPr>
      </w:pPr>
      <w:r w:rsidRPr="00D20211">
        <w:rPr>
          <w:rFonts w:ascii="Arial" w:hAnsi="Arial" w:cs="Arial"/>
          <w:color w:val="000000" w:themeColor="text1"/>
          <w:sz w:val="22"/>
          <w:szCs w:val="22"/>
        </w:rPr>
        <w:t>31.</w:t>
      </w:r>
      <w:r w:rsidRPr="00D20211">
        <w:rPr>
          <w:rFonts w:ascii="Arial" w:hAnsi="Arial" w:cs="Arial"/>
          <w:color w:val="000000" w:themeColor="text1"/>
          <w:sz w:val="22"/>
          <w:szCs w:val="22"/>
        </w:rPr>
        <w:tab/>
      </w:r>
      <w:r w:rsidR="00D20211" w:rsidRPr="001B203D">
        <w:rPr>
          <w:rFonts w:ascii="Arial" w:hAnsi="Arial" w:cs="Arial"/>
          <w:color w:val="000000" w:themeColor="text1"/>
        </w:rPr>
        <w:t xml:space="preserve"> I am of the view that no other court would come to a different conclusion and</w:t>
      </w:r>
      <w:r w:rsidR="006C5C2B" w:rsidRPr="001B203D">
        <w:rPr>
          <w:rFonts w:ascii="Arial" w:hAnsi="Arial" w:cs="Arial"/>
          <w:color w:val="000000" w:themeColor="text1"/>
        </w:rPr>
        <w:t xml:space="preserve"> additionally that there is no other compelling reason for the granting of leave to appeal.  It</w:t>
      </w:r>
      <w:r w:rsidR="00D20211" w:rsidRPr="001B203D">
        <w:rPr>
          <w:rFonts w:ascii="Arial" w:hAnsi="Arial" w:cs="Arial"/>
          <w:color w:val="000000" w:themeColor="text1"/>
        </w:rPr>
        <w:t xml:space="preserve"> is for th</w:t>
      </w:r>
      <w:r w:rsidR="006C5C2B" w:rsidRPr="001B203D">
        <w:rPr>
          <w:rFonts w:ascii="Arial" w:hAnsi="Arial" w:cs="Arial"/>
          <w:color w:val="000000" w:themeColor="text1"/>
        </w:rPr>
        <w:t>ese</w:t>
      </w:r>
      <w:r w:rsidR="00D20211" w:rsidRPr="001B203D">
        <w:rPr>
          <w:rFonts w:ascii="Arial" w:hAnsi="Arial" w:cs="Arial"/>
          <w:color w:val="000000" w:themeColor="text1"/>
        </w:rPr>
        <w:t xml:space="preserve"> reason</w:t>
      </w:r>
      <w:r w:rsidR="006C5C2B" w:rsidRPr="001B203D">
        <w:rPr>
          <w:rFonts w:ascii="Arial" w:hAnsi="Arial" w:cs="Arial"/>
          <w:color w:val="000000" w:themeColor="text1"/>
        </w:rPr>
        <w:t>s</w:t>
      </w:r>
      <w:r w:rsidR="00D20211" w:rsidRPr="001B203D">
        <w:rPr>
          <w:rFonts w:ascii="Arial" w:hAnsi="Arial" w:cs="Arial"/>
          <w:color w:val="000000" w:themeColor="text1"/>
        </w:rPr>
        <w:t xml:space="preserve"> that I intend to make the order that I do.</w:t>
      </w:r>
    </w:p>
    <w:p w14:paraId="46CEF11E" w14:textId="77777777" w:rsidR="00D20211" w:rsidRPr="00D20211" w:rsidRDefault="00D20211" w:rsidP="00D20211">
      <w:pPr>
        <w:pStyle w:val="ListParagraph"/>
        <w:spacing w:line="360" w:lineRule="auto"/>
        <w:jc w:val="both"/>
        <w:rPr>
          <w:rFonts w:ascii="Arial" w:hAnsi="Arial" w:cs="Arial"/>
          <w:color w:val="000000" w:themeColor="text1"/>
        </w:rPr>
      </w:pPr>
    </w:p>
    <w:p w14:paraId="4A492997" w14:textId="6C572DD1" w:rsidR="006C5C2B" w:rsidRPr="001B203D" w:rsidRDefault="001B203D" w:rsidP="001B203D">
      <w:pPr>
        <w:spacing w:line="360" w:lineRule="auto"/>
        <w:ind w:left="862" w:hanging="720"/>
        <w:jc w:val="both"/>
        <w:rPr>
          <w:rFonts w:ascii="Arial" w:hAnsi="Arial" w:cs="Arial"/>
          <w:color w:val="000000" w:themeColor="text1"/>
        </w:rPr>
      </w:pPr>
      <w:r>
        <w:rPr>
          <w:rFonts w:ascii="Arial" w:hAnsi="Arial" w:cs="Arial"/>
          <w:color w:val="000000" w:themeColor="text1"/>
        </w:rPr>
        <w:lastRenderedPageBreak/>
        <w:t>32.</w:t>
      </w:r>
      <w:r>
        <w:rPr>
          <w:rFonts w:ascii="Arial" w:hAnsi="Arial" w:cs="Arial"/>
          <w:color w:val="000000" w:themeColor="text1"/>
        </w:rPr>
        <w:tab/>
      </w:r>
      <w:r w:rsidR="00D20211" w:rsidRPr="001B203D">
        <w:rPr>
          <w:rFonts w:ascii="Arial" w:hAnsi="Arial" w:cs="Arial"/>
          <w:color w:val="000000" w:themeColor="text1"/>
        </w:rPr>
        <w:t xml:space="preserve">The last aspect that I need to deal with is the question of costs.  The parties in the present matter, including Transasia Minerals, have a history of litigating against each other.  They are all professionally represented.  </w:t>
      </w:r>
    </w:p>
    <w:p w14:paraId="73CD75A5" w14:textId="77777777" w:rsidR="006C5C2B" w:rsidRPr="006C5C2B" w:rsidRDefault="006C5C2B" w:rsidP="006C5C2B">
      <w:pPr>
        <w:pStyle w:val="ListParagraph"/>
        <w:rPr>
          <w:rFonts w:ascii="Arial" w:hAnsi="Arial" w:cs="Arial"/>
          <w:color w:val="000000" w:themeColor="text1"/>
        </w:rPr>
      </w:pPr>
    </w:p>
    <w:p w14:paraId="4D40C2CA" w14:textId="7DA45DAD" w:rsidR="006C5C2B" w:rsidRPr="001B203D" w:rsidRDefault="001B203D" w:rsidP="001B203D">
      <w:pPr>
        <w:spacing w:line="360" w:lineRule="auto"/>
        <w:ind w:left="862" w:hanging="720"/>
        <w:jc w:val="both"/>
        <w:rPr>
          <w:rFonts w:ascii="Arial" w:hAnsi="Arial" w:cs="Arial"/>
          <w:color w:val="000000" w:themeColor="text1"/>
        </w:rPr>
      </w:pPr>
      <w:r>
        <w:rPr>
          <w:rFonts w:ascii="Arial" w:hAnsi="Arial" w:cs="Arial"/>
          <w:color w:val="000000" w:themeColor="text1"/>
        </w:rPr>
        <w:t>33.</w:t>
      </w:r>
      <w:r>
        <w:rPr>
          <w:rFonts w:ascii="Arial" w:hAnsi="Arial" w:cs="Arial"/>
          <w:color w:val="000000" w:themeColor="text1"/>
        </w:rPr>
        <w:tab/>
      </w:r>
      <w:r w:rsidR="00D20211" w:rsidRPr="001B203D">
        <w:rPr>
          <w:rFonts w:ascii="Arial" w:hAnsi="Arial" w:cs="Arial"/>
          <w:color w:val="000000" w:themeColor="text1"/>
        </w:rPr>
        <w:t xml:space="preserve">The delay in the hearing of this application was brought about in consequence of the accommodation at different times of each of the </w:t>
      </w:r>
      <w:r w:rsidR="00A304C7" w:rsidRPr="001B203D">
        <w:rPr>
          <w:rFonts w:ascii="Arial" w:hAnsi="Arial" w:cs="Arial"/>
          <w:color w:val="000000" w:themeColor="text1"/>
        </w:rPr>
        <w:t>parties’</w:t>
      </w:r>
      <w:r w:rsidR="00052A90" w:rsidRPr="001B203D">
        <w:rPr>
          <w:rFonts w:ascii="Arial" w:hAnsi="Arial" w:cs="Arial"/>
          <w:color w:val="000000" w:themeColor="text1"/>
        </w:rPr>
        <w:t xml:space="preserve"> representatives and in part so that the intervention application would be ripe for hearing.  </w:t>
      </w:r>
    </w:p>
    <w:p w14:paraId="487DAC07" w14:textId="77777777" w:rsidR="006C5C2B" w:rsidRPr="006C5C2B" w:rsidRDefault="006C5C2B" w:rsidP="006C5C2B">
      <w:pPr>
        <w:pStyle w:val="ListParagraph"/>
        <w:rPr>
          <w:rFonts w:ascii="Arial" w:hAnsi="Arial" w:cs="Arial"/>
          <w:color w:val="000000" w:themeColor="text1"/>
        </w:rPr>
      </w:pPr>
    </w:p>
    <w:p w14:paraId="1BF71182" w14:textId="3105867D" w:rsidR="00052A90" w:rsidRPr="001B203D" w:rsidRDefault="001B203D" w:rsidP="001B203D">
      <w:pPr>
        <w:spacing w:line="360" w:lineRule="auto"/>
        <w:ind w:left="862" w:hanging="720"/>
        <w:jc w:val="both"/>
        <w:rPr>
          <w:rFonts w:ascii="Arial" w:hAnsi="Arial" w:cs="Arial"/>
          <w:color w:val="000000" w:themeColor="text1"/>
        </w:rPr>
      </w:pPr>
      <w:r>
        <w:rPr>
          <w:rFonts w:ascii="Arial" w:hAnsi="Arial" w:cs="Arial"/>
          <w:color w:val="000000" w:themeColor="text1"/>
        </w:rPr>
        <w:t>34.</w:t>
      </w:r>
      <w:r>
        <w:rPr>
          <w:rFonts w:ascii="Arial" w:hAnsi="Arial" w:cs="Arial"/>
          <w:color w:val="000000" w:themeColor="text1"/>
        </w:rPr>
        <w:tab/>
      </w:r>
      <w:r w:rsidR="00052A90" w:rsidRPr="001B203D">
        <w:rPr>
          <w:rFonts w:ascii="Arial" w:hAnsi="Arial" w:cs="Arial"/>
          <w:color w:val="000000" w:themeColor="text1"/>
        </w:rPr>
        <w:t>It is trite that costs are eminently a matter that falls within the discretion of the court.  On consideration of the applications before me, I am of the view that there should be no order for costs.</w:t>
      </w:r>
    </w:p>
    <w:p w14:paraId="7386F81F" w14:textId="77777777" w:rsidR="00052A90" w:rsidRPr="00052A90" w:rsidRDefault="00052A90" w:rsidP="00052A90">
      <w:pPr>
        <w:pStyle w:val="ListParagraph"/>
        <w:rPr>
          <w:rFonts w:ascii="Arial" w:hAnsi="Arial" w:cs="Arial"/>
          <w:color w:val="000000" w:themeColor="text1"/>
        </w:rPr>
      </w:pPr>
    </w:p>
    <w:p w14:paraId="7AC623B3" w14:textId="326818AD" w:rsidR="000B2542" w:rsidRPr="001B203D" w:rsidRDefault="001B203D" w:rsidP="001B203D">
      <w:pPr>
        <w:spacing w:line="360" w:lineRule="auto"/>
        <w:ind w:left="862" w:hanging="720"/>
        <w:jc w:val="both"/>
        <w:rPr>
          <w:rFonts w:ascii="Arial" w:hAnsi="Arial" w:cs="Arial"/>
          <w:color w:val="000000" w:themeColor="text1"/>
        </w:rPr>
      </w:pPr>
      <w:r w:rsidRPr="00052A90">
        <w:rPr>
          <w:rFonts w:ascii="Arial" w:hAnsi="Arial" w:cs="Arial"/>
          <w:color w:val="000000" w:themeColor="text1"/>
        </w:rPr>
        <w:t>35.</w:t>
      </w:r>
      <w:r w:rsidRPr="00052A90">
        <w:rPr>
          <w:rFonts w:ascii="Arial" w:hAnsi="Arial" w:cs="Arial"/>
          <w:color w:val="000000" w:themeColor="text1"/>
        </w:rPr>
        <w:tab/>
      </w:r>
      <w:r w:rsidR="000B2542" w:rsidRPr="001B203D">
        <w:rPr>
          <w:rFonts w:ascii="Arial" w:hAnsi="Arial" w:cs="Arial"/>
          <w:color w:val="000000" w:themeColor="text1"/>
        </w:rPr>
        <w:t>In the circumstances it is ordered:</w:t>
      </w:r>
    </w:p>
    <w:p w14:paraId="1E547314" w14:textId="77777777" w:rsidR="000B2542" w:rsidRDefault="000B2542" w:rsidP="000B2542">
      <w:pPr>
        <w:pStyle w:val="ListParagraph"/>
        <w:spacing w:line="360" w:lineRule="auto"/>
        <w:ind w:left="851"/>
        <w:jc w:val="both"/>
        <w:rPr>
          <w:rFonts w:ascii="Arial" w:hAnsi="Arial" w:cs="Arial"/>
          <w:iCs/>
          <w:color w:val="000000" w:themeColor="text1"/>
        </w:rPr>
      </w:pPr>
    </w:p>
    <w:p w14:paraId="2F024986" w14:textId="00C699C3" w:rsidR="00052A90" w:rsidRDefault="006C5C2B" w:rsidP="006C5C2B">
      <w:pPr>
        <w:pStyle w:val="ListParagraph"/>
        <w:spacing w:line="360" w:lineRule="auto"/>
        <w:ind w:left="1418" w:hanging="567"/>
        <w:jc w:val="both"/>
        <w:rPr>
          <w:rFonts w:ascii="Arial" w:hAnsi="Arial" w:cs="Arial"/>
          <w:iCs/>
          <w:color w:val="000000" w:themeColor="text1"/>
        </w:rPr>
      </w:pPr>
      <w:r>
        <w:rPr>
          <w:rFonts w:ascii="Arial" w:hAnsi="Arial" w:cs="Arial"/>
          <w:iCs/>
          <w:color w:val="000000" w:themeColor="text1"/>
        </w:rPr>
        <w:t>3</w:t>
      </w:r>
      <w:r w:rsidR="002263F3">
        <w:rPr>
          <w:rFonts w:ascii="Arial" w:hAnsi="Arial" w:cs="Arial"/>
          <w:iCs/>
          <w:color w:val="000000" w:themeColor="text1"/>
        </w:rPr>
        <w:t>2</w:t>
      </w:r>
      <w:r w:rsidR="000B2542">
        <w:rPr>
          <w:rFonts w:ascii="Arial" w:hAnsi="Arial" w:cs="Arial"/>
          <w:iCs/>
          <w:color w:val="000000" w:themeColor="text1"/>
        </w:rPr>
        <w:t xml:space="preserve">.1 </w:t>
      </w:r>
      <w:r w:rsidR="00052A90">
        <w:rPr>
          <w:rFonts w:ascii="Arial" w:hAnsi="Arial" w:cs="Arial"/>
          <w:iCs/>
          <w:color w:val="000000" w:themeColor="text1"/>
        </w:rPr>
        <w:tab/>
      </w:r>
      <w:r w:rsidR="00052A90">
        <w:rPr>
          <w:rFonts w:ascii="Arial" w:hAnsi="Arial" w:cs="Arial"/>
          <w:iCs/>
          <w:color w:val="000000" w:themeColor="text1"/>
        </w:rPr>
        <w:tab/>
        <w:t>Transasia Minerals (Pty) Ltd is granted leave to intervene.</w:t>
      </w:r>
    </w:p>
    <w:p w14:paraId="64CBB8A6" w14:textId="77777777" w:rsidR="00052A90" w:rsidRDefault="00052A90" w:rsidP="006C5C2B">
      <w:pPr>
        <w:pStyle w:val="ListParagraph"/>
        <w:spacing w:line="360" w:lineRule="auto"/>
        <w:ind w:left="1418" w:hanging="567"/>
        <w:jc w:val="both"/>
        <w:rPr>
          <w:rFonts w:ascii="Arial" w:hAnsi="Arial" w:cs="Arial"/>
          <w:iCs/>
          <w:color w:val="000000" w:themeColor="text1"/>
        </w:rPr>
      </w:pPr>
    </w:p>
    <w:p w14:paraId="6FC7603D" w14:textId="16A036AF" w:rsidR="000B2542" w:rsidRPr="00052A90" w:rsidRDefault="006C5C2B" w:rsidP="006C5C2B">
      <w:pPr>
        <w:pStyle w:val="ListParagraph"/>
        <w:spacing w:line="360" w:lineRule="auto"/>
        <w:ind w:left="1418" w:hanging="567"/>
        <w:jc w:val="both"/>
        <w:rPr>
          <w:rFonts w:ascii="Arial" w:hAnsi="Arial" w:cs="Arial"/>
          <w:iCs/>
          <w:color w:val="000000" w:themeColor="text1"/>
        </w:rPr>
      </w:pPr>
      <w:r>
        <w:rPr>
          <w:rFonts w:ascii="Arial" w:hAnsi="Arial" w:cs="Arial"/>
          <w:iCs/>
          <w:color w:val="000000" w:themeColor="text1"/>
        </w:rPr>
        <w:t>3</w:t>
      </w:r>
      <w:r w:rsidR="002263F3">
        <w:rPr>
          <w:rFonts w:ascii="Arial" w:hAnsi="Arial" w:cs="Arial"/>
          <w:iCs/>
          <w:color w:val="000000" w:themeColor="text1"/>
        </w:rPr>
        <w:t>2</w:t>
      </w:r>
      <w:r w:rsidR="00052A90">
        <w:rPr>
          <w:rFonts w:ascii="Arial" w:hAnsi="Arial" w:cs="Arial"/>
          <w:iCs/>
          <w:color w:val="000000" w:themeColor="text1"/>
        </w:rPr>
        <w:t>.2</w:t>
      </w:r>
      <w:r w:rsidR="00052A90">
        <w:rPr>
          <w:rFonts w:ascii="Arial" w:hAnsi="Arial" w:cs="Arial"/>
          <w:iCs/>
          <w:color w:val="000000" w:themeColor="text1"/>
        </w:rPr>
        <w:tab/>
      </w:r>
      <w:r w:rsidR="00052A90">
        <w:rPr>
          <w:rFonts w:ascii="Arial" w:hAnsi="Arial" w:cs="Arial"/>
          <w:iCs/>
          <w:color w:val="000000" w:themeColor="text1"/>
        </w:rPr>
        <w:tab/>
        <w:t xml:space="preserve">The application for leave to </w:t>
      </w:r>
      <w:r w:rsidR="000B2542" w:rsidRPr="00052A90">
        <w:rPr>
          <w:rFonts w:ascii="Arial" w:hAnsi="Arial" w:cs="Arial"/>
          <w:iCs/>
          <w:color w:val="000000" w:themeColor="text1"/>
        </w:rPr>
        <w:t xml:space="preserve">appeal is </w:t>
      </w:r>
      <w:r w:rsidR="00052A90">
        <w:rPr>
          <w:rFonts w:ascii="Arial" w:hAnsi="Arial" w:cs="Arial"/>
          <w:iCs/>
          <w:color w:val="000000" w:themeColor="text1"/>
        </w:rPr>
        <w:t>refused</w:t>
      </w:r>
      <w:r w:rsidR="000B2542" w:rsidRPr="00052A90">
        <w:rPr>
          <w:rFonts w:ascii="Arial" w:hAnsi="Arial" w:cs="Arial"/>
          <w:iCs/>
          <w:color w:val="000000" w:themeColor="text1"/>
        </w:rPr>
        <w:t>.</w:t>
      </w:r>
    </w:p>
    <w:p w14:paraId="4D6A3DAD" w14:textId="77777777" w:rsidR="000B2542" w:rsidRDefault="000B2542" w:rsidP="006C5C2B">
      <w:pPr>
        <w:pStyle w:val="ListParagraph"/>
        <w:spacing w:line="360" w:lineRule="auto"/>
        <w:ind w:left="1418" w:hanging="567"/>
        <w:jc w:val="both"/>
        <w:rPr>
          <w:rFonts w:ascii="Arial" w:hAnsi="Arial" w:cs="Arial"/>
          <w:iCs/>
          <w:color w:val="000000" w:themeColor="text1"/>
        </w:rPr>
      </w:pPr>
    </w:p>
    <w:p w14:paraId="1ED25E49" w14:textId="17FD4162" w:rsidR="00052A90" w:rsidRDefault="006C5C2B" w:rsidP="006C5C2B">
      <w:pPr>
        <w:pStyle w:val="ListParagraph"/>
        <w:spacing w:line="360" w:lineRule="auto"/>
        <w:ind w:left="1418" w:hanging="567"/>
        <w:jc w:val="both"/>
        <w:rPr>
          <w:rFonts w:ascii="Arial" w:hAnsi="Arial" w:cs="Arial"/>
          <w:iCs/>
          <w:color w:val="000000" w:themeColor="text1"/>
        </w:rPr>
      </w:pPr>
      <w:r>
        <w:rPr>
          <w:rFonts w:ascii="Arial" w:hAnsi="Arial" w:cs="Arial"/>
          <w:iCs/>
          <w:color w:val="000000" w:themeColor="text1"/>
        </w:rPr>
        <w:t>3</w:t>
      </w:r>
      <w:r w:rsidR="002263F3">
        <w:rPr>
          <w:rFonts w:ascii="Arial" w:hAnsi="Arial" w:cs="Arial"/>
          <w:iCs/>
          <w:color w:val="000000" w:themeColor="text1"/>
        </w:rPr>
        <w:t>2</w:t>
      </w:r>
      <w:r w:rsidR="000B2542">
        <w:rPr>
          <w:rFonts w:ascii="Arial" w:hAnsi="Arial" w:cs="Arial"/>
          <w:iCs/>
          <w:color w:val="000000" w:themeColor="text1"/>
        </w:rPr>
        <w:t>.</w:t>
      </w:r>
      <w:r w:rsidR="00052A90">
        <w:rPr>
          <w:rFonts w:ascii="Arial" w:hAnsi="Arial" w:cs="Arial"/>
          <w:iCs/>
          <w:color w:val="000000" w:themeColor="text1"/>
        </w:rPr>
        <w:t>3</w:t>
      </w:r>
      <w:r w:rsidR="000B2542">
        <w:rPr>
          <w:rFonts w:ascii="Arial" w:hAnsi="Arial" w:cs="Arial"/>
          <w:iCs/>
          <w:color w:val="000000" w:themeColor="text1"/>
        </w:rPr>
        <w:tab/>
      </w:r>
      <w:r w:rsidR="00052A90">
        <w:rPr>
          <w:rFonts w:ascii="Arial" w:hAnsi="Arial" w:cs="Arial"/>
          <w:iCs/>
          <w:color w:val="000000" w:themeColor="text1"/>
        </w:rPr>
        <w:tab/>
        <w:t>There is no order as to costs.</w:t>
      </w:r>
    </w:p>
    <w:p w14:paraId="3E4F93BA" w14:textId="77777777" w:rsidR="000B2542" w:rsidRDefault="000B2542" w:rsidP="000B2542">
      <w:pPr>
        <w:pStyle w:val="ListParagraph"/>
        <w:spacing w:line="360" w:lineRule="auto"/>
        <w:ind w:left="851"/>
        <w:jc w:val="both"/>
        <w:rPr>
          <w:rFonts w:ascii="Arial" w:hAnsi="Arial" w:cs="Arial"/>
          <w:iCs/>
          <w:color w:val="000000" w:themeColor="text1"/>
        </w:rPr>
      </w:pPr>
    </w:p>
    <w:p w14:paraId="0DE30BE2" w14:textId="12F85A9C" w:rsidR="000B2542" w:rsidRPr="00DD2757" w:rsidRDefault="000B2542" w:rsidP="000B2542">
      <w:pPr>
        <w:pStyle w:val="ListParagraph"/>
        <w:spacing w:line="360" w:lineRule="auto"/>
        <w:ind w:left="851"/>
        <w:jc w:val="both"/>
        <w:rPr>
          <w:rFonts w:ascii="Arial" w:hAnsi="Arial" w:cs="Arial"/>
          <w:i/>
          <w:color w:val="000000" w:themeColor="text1"/>
        </w:rPr>
      </w:pPr>
    </w:p>
    <w:p w14:paraId="425624CA" w14:textId="5A4B9140" w:rsidR="00231953" w:rsidRPr="000B2542" w:rsidRDefault="00231953" w:rsidP="000B2542">
      <w:pPr>
        <w:spacing w:after="160" w:line="360" w:lineRule="auto"/>
        <w:jc w:val="both"/>
        <w:rPr>
          <w:rFonts w:ascii="Arial" w:hAnsi="Arial" w:cs="Arial"/>
        </w:rPr>
      </w:pPr>
    </w:p>
    <w:p w14:paraId="48748E3E" w14:textId="77777777" w:rsidR="00D3705F" w:rsidRDefault="00D3705F" w:rsidP="00D3705F">
      <w:pPr>
        <w:pStyle w:val="Body"/>
        <w:rPr>
          <w:rFonts w:cs="Arial"/>
          <w:b/>
          <w:bCs/>
          <w:sz w:val="24"/>
          <w:szCs w:val="24"/>
        </w:rPr>
      </w:pPr>
    </w:p>
    <w:p w14:paraId="3A81ACF3" w14:textId="77777777" w:rsidR="00D3705F" w:rsidRDefault="00D3705F" w:rsidP="00A304C7">
      <w:pPr>
        <w:pStyle w:val="Body"/>
        <w:spacing w:line="240" w:lineRule="auto"/>
        <w:rPr>
          <w:rFonts w:cs="Arial"/>
          <w:b/>
          <w:bCs/>
          <w:sz w:val="24"/>
          <w:szCs w:val="24"/>
        </w:rPr>
      </w:pPr>
    </w:p>
    <w:p w14:paraId="1BD4CA9C" w14:textId="77777777" w:rsidR="00D3705F" w:rsidRPr="00DB4BAE" w:rsidRDefault="00D3705F" w:rsidP="00A304C7">
      <w:pPr>
        <w:pStyle w:val="Body"/>
        <w:spacing w:line="240" w:lineRule="auto"/>
        <w:ind w:left="720"/>
        <w:jc w:val="right"/>
        <w:rPr>
          <w:rFonts w:cs="Arial"/>
          <w:sz w:val="24"/>
          <w:szCs w:val="24"/>
        </w:rPr>
      </w:pPr>
      <w:r w:rsidRPr="00DB4BAE">
        <w:rPr>
          <w:rFonts w:cs="Arial"/>
          <w:b/>
          <w:bCs/>
          <w:sz w:val="24"/>
          <w:szCs w:val="24"/>
        </w:rPr>
        <w:t>_____________________________</w:t>
      </w:r>
    </w:p>
    <w:p w14:paraId="4D6D7E77" w14:textId="77777777" w:rsidR="00D3705F" w:rsidRPr="00DB4BAE" w:rsidRDefault="00D3705F" w:rsidP="00A304C7">
      <w:pPr>
        <w:pStyle w:val="BodyA"/>
        <w:ind w:left="7920"/>
        <w:jc w:val="right"/>
        <w:rPr>
          <w:rFonts w:ascii="Arial" w:hAnsi="Arial" w:cs="Arial"/>
          <w:b/>
          <w:bCs/>
          <w:sz w:val="24"/>
          <w:szCs w:val="24"/>
        </w:rPr>
      </w:pPr>
      <w:r w:rsidRPr="00DB4BAE">
        <w:rPr>
          <w:rFonts w:ascii="Arial" w:hAnsi="Arial" w:cs="Arial"/>
          <w:b/>
          <w:bCs/>
          <w:sz w:val="24"/>
          <w:szCs w:val="24"/>
        </w:rPr>
        <w:t>A MILLAR</w:t>
      </w:r>
    </w:p>
    <w:p w14:paraId="7C99731E" w14:textId="77777777" w:rsidR="00D3705F" w:rsidRPr="00DB4BAE" w:rsidRDefault="00D3705F" w:rsidP="00A304C7">
      <w:pPr>
        <w:pStyle w:val="BodyA"/>
        <w:spacing w:before="120"/>
        <w:ind w:left="720"/>
        <w:jc w:val="right"/>
        <w:rPr>
          <w:rFonts w:ascii="Arial" w:hAnsi="Arial" w:cs="Arial"/>
          <w:b/>
          <w:bCs/>
          <w:sz w:val="24"/>
          <w:szCs w:val="24"/>
        </w:rPr>
      </w:pPr>
      <w:r w:rsidRPr="00DB4BAE">
        <w:rPr>
          <w:rFonts w:ascii="Arial" w:hAnsi="Arial" w:cs="Arial"/>
          <w:b/>
          <w:bCs/>
          <w:sz w:val="24"/>
          <w:szCs w:val="24"/>
        </w:rPr>
        <w:t xml:space="preserve"> JUDGE OF THE HIGH COURT</w:t>
      </w:r>
    </w:p>
    <w:p w14:paraId="25E24893" w14:textId="77777777" w:rsidR="00D3705F" w:rsidRPr="00DB4BAE" w:rsidRDefault="00D3705F" w:rsidP="00A304C7">
      <w:pPr>
        <w:spacing w:before="120"/>
        <w:ind w:left="720"/>
        <w:jc w:val="right"/>
        <w:rPr>
          <w:rFonts w:ascii="Arial" w:eastAsia="Arial Unicode MS" w:hAnsi="Arial" w:cs="Arial"/>
          <w:b/>
        </w:rPr>
      </w:pPr>
      <w:r w:rsidRPr="00DB4BAE">
        <w:rPr>
          <w:rFonts w:ascii="Arial" w:eastAsia="Arial Unicode MS" w:hAnsi="Arial" w:cs="Arial"/>
          <w:b/>
        </w:rPr>
        <w:t>GAUTENG DIVISION, PRETORIA</w:t>
      </w:r>
    </w:p>
    <w:p w14:paraId="750700D9" w14:textId="77777777" w:rsidR="00D3705F" w:rsidRPr="00077E92" w:rsidRDefault="00D3705F" w:rsidP="00A304C7">
      <w:pPr>
        <w:pStyle w:val="BodyA"/>
        <w:ind w:left="720"/>
        <w:jc w:val="right"/>
        <w:rPr>
          <w:rFonts w:ascii="Arial" w:eastAsia="Tahoma" w:hAnsi="Arial" w:cs="Arial"/>
          <w:b/>
          <w:bCs/>
        </w:rPr>
      </w:pPr>
    </w:p>
    <w:p w14:paraId="28B86FAE" w14:textId="77777777" w:rsidR="00D3705F" w:rsidRDefault="00D3705F" w:rsidP="00A304C7">
      <w:pPr>
        <w:ind w:left="567" w:hanging="567"/>
        <w:jc w:val="both"/>
        <w:rPr>
          <w:rFonts w:ascii="Arial" w:hAnsi="Arial" w:cs="Arial"/>
        </w:rPr>
      </w:pPr>
    </w:p>
    <w:p w14:paraId="467EE8BA" w14:textId="77777777" w:rsidR="00D3705F" w:rsidRDefault="00D3705F" w:rsidP="00A304C7">
      <w:pPr>
        <w:ind w:left="567" w:hanging="567"/>
        <w:jc w:val="both"/>
        <w:rPr>
          <w:rFonts w:ascii="Arial" w:hAnsi="Arial" w:cs="Arial"/>
        </w:rPr>
      </w:pPr>
    </w:p>
    <w:p w14:paraId="0DB3133F" w14:textId="71CC7058" w:rsidR="00D3705F" w:rsidRPr="00DC2897" w:rsidRDefault="00D3705F" w:rsidP="00A304C7">
      <w:pPr>
        <w:ind w:left="567" w:hanging="567"/>
        <w:jc w:val="both"/>
        <w:rPr>
          <w:rFonts w:ascii="Arial" w:hAnsi="Arial" w:cs="Arial"/>
        </w:rPr>
      </w:pPr>
      <w:r w:rsidRPr="00DC2897">
        <w:rPr>
          <w:rFonts w:ascii="Arial" w:hAnsi="Arial" w:cs="Arial"/>
        </w:rPr>
        <w:tab/>
      </w:r>
      <w:r w:rsidRPr="00DC2897">
        <w:rPr>
          <w:rFonts w:ascii="Arial" w:hAnsi="Arial" w:cs="Arial"/>
        </w:rPr>
        <w:tab/>
      </w:r>
      <w:r w:rsidRPr="00DC2897">
        <w:rPr>
          <w:rFonts w:ascii="Arial" w:hAnsi="Arial" w:cs="Arial"/>
        </w:rPr>
        <w:tab/>
      </w:r>
      <w:r w:rsidRPr="00DC2897">
        <w:rPr>
          <w:rFonts w:ascii="Arial" w:hAnsi="Arial" w:cs="Arial"/>
        </w:rPr>
        <w:tab/>
      </w:r>
      <w:r w:rsidRPr="00DC2897">
        <w:rPr>
          <w:rFonts w:ascii="Arial" w:hAnsi="Arial" w:cs="Arial"/>
        </w:rPr>
        <w:tab/>
      </w:r>
    </w:p>
    <w:p w14:paraId="56DD2C72" w14:textId="5C8A005E" w:rsidR="00765BC3" w:rsidRPr="00D3705F" w:rsidRDefault="00D3705F" w:rsidP="00A304C7">
      <w:pPr>
        <w:ind w:left="567" w:hanging="567"/>
        <w:jc w:val="both"/>
        <w:rPr>
          <w:rFonts w:ascii="Arial" w:hAnsi="Arial" w:cs="Arial"/>
        </w:rPr>
      </w:pPr>
      <w:r w:rsidRPr="00DC2897">
        <w:rPr>
          <w:rFonts w:ascii="Arial" w:hAnsi="Arial" w:cs="Arial"/>
        </w:rPr>
        <w:tab/>
      </w:r>
      <w:r w:rsidRPr="00DC2897">
        <w:rPr>
          <w:rFonts w:ascii="Arial" w:hAnsi="Arial" w:cs="Arial"/>
        </w:rPr>
        <w:tab/>
      </w:r>
      <w:r w:rsidRPr="00DC2897">
        <w:rPr>
          <w:rFonts w:ascii="Arial" w:hAnsi="Arial" w:cs="Arial"/>
        </w:rPr>
        <w:tab/>
      </w:r>
    </w:p>
    <w:p w14:paraId="7DFF070C" w14:textId="77777777" w:rsidR="00765BC3" w:rsidRDefault="00765BC3" w:rsidP="00A304C7">
      <w:pPr>
        <w:pStyle w:val="ListParagraph"/>
        <w:ind w:left="1440"/>
        <w:jc w:val="both"/>
        <w:rPr>
          <w:rFonts w:ascii="Arial" w:hAnsi="Arial" w:cs="Arial"/>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705F" w14:paraId="204F9602" w14:textId="77777777" w:rsidTr="000F535B">
        <w:tc>
          <w:tcPr>
            <w:tcW w:w="4675" w:type="dxa"/>
          </w:tcPr>
          <w:p w14:paraId="1F870FB8" w14:textId="629932DD" w:rsidR="00D3705F" w:rsidRPr="00D3705F" w:rsidRDefault="00D3705F" w:rsidP="00A304C7">
            <w:pPr>
              <w:spacing w:after="160"/>
              <w:jc w:val="both"/>
              <w:rPr>
                <w:rFonts w:ascii="Arial" w:hAnsi="Arial" w:cs="Arial"/>
                <w:bCs/>
                <w:sz w:val="24"/>
                <w:szCs w:val="24"/>
              </w:rPr>
            </w:pPr>
            <w:r w:rsidRPr="00D3705F">
              <w:rPr>
                <w:rFonts w:ascii="Arial" w:hAnsi="Arial" w:cs="Arial"/>
                <w:sz w:val="24"/>
                <w:szCs w:val="24"/>
              </w:rPr>
              <w:t>HEARD ON:</w:t>
            </w:r>
            <w:r w:rsidRPr="00D3705F">
              <w:rPr>
                <w:rFonts w:ascii="Arial" w:hAnsi="Arial" w:cs="Arial"/>
                <w:sz w:val="24"/>
                <w:szCs w:val="24"/>
              </w:rPr>
              <w:tab/>
            </w:r>
          </w:p>
        </w:tc>
        <w:tc>
          <w:tcPr>
            <w:tcW w:w="4675" w:type="dxa"/>
          </w:tcPr>
          <w:p w14:paraId="1B72DB31" w14:textId="4E3B7F96" w:rsidR="00D3705F" w:rsidRPr="00D3705F" w:rsidRDefault="00A06BF9" w:rsidP="00A304C7">
            <w:pPr>
              <w:spacing w:after="160"/>
              <w:jc w:val="both"/>
              <w:rPr>
                <w:rFonts w:ascii="Arial" w:hAnsi="Arial" w:cs="Arial"/>
                <w:bCs/>
                <w:sz w:val="24"/>
                <w:szCs w:val="24"/>
              </w:rPr>
            </w:pPr>
            <w:r>
              <w:rPr>
                <w:rFonts w:ascii="Arial" w:hAnsi="Arial" w:cs="Arial"/>
                <w:bCs/>
                <w:sz w:val="24"/>
                <w:szCs w:val="24"/>
              </w:rPr>
              <w:t>2</w:t>
            </w:r>
            <w:r w:rsidR="00DB5128">
              <w:rPr>
                <w:rFonts w:ascii="Arial" w:hAnsi="Arial" w:cs="Arial"/>
                <w:bCs/>
                <w:sz w:val="24"/>
                <w:szCs w:val="24"/>
              </w:rPr>
              <w:t xml:space="preserve">0 </w:t>
            </w:r>
            <w:r w:rsidR="00C477DE">
              <w:rPr>
                <w:rFonts w:ascii="Arial" w:hAnsi="Arial" w:cs="Arial"/>
                <w:bCs/>
                <w:sz w:val="24"/>
                <w:szCs w:val="24"/>
              </w:rPr>
              <w:t>JANUARY 2023</w:t>
            </w:r>
          </w:p>
        </w:tc>
      </w:tr>
      <w:tr w:rsidR="00D3705F" w14:paraId="3C2CCCCE" w14:textId="77777777" w:rsidTr="000F535B">
        <w:tc>
          <w:tcPr>
            <w:tcW w:w="4675" w:type="dxa"/>
          </w:tcPr>
          <w:p w14:paraId="40B5417C" w14:textId="698948E5" w:rsidR="00D3705F" w:rsidRPr="00D3705F" w:rsidRDefault="00D3705F" w:rsidP="00A304C7">
            <w:pPr>
              <w:spacing w:after="160"/>
              <w:jc w:val="both"/>
              <w:rPr>
                <w:rFonts w:ascii="Arial" w:hAnsi="Arial" w:cs="Arial"/>
                <w:bCs/>
                <w:sz w:val="24"/>
                <w:szCs w:val="24"/>
              </w:rPr>
            </w:pPr>
            <w:r w:rsidRPr="00D3705F">
              <w:rPr>
                <w:rFonts w:ascii="Arial" w:hAnsi="Arial" w:cs="Arial"/>
                <w:sz w:val="24"/>
                <w:szCs w:val="24"/>
              </w:rPr>
              <w:t>JUDGMENT DELIVERED ON:</w:t>
            </w:r>
          </w:p>
        </w:tc>
        <w:tc>
          <w:tcPr>
            <w:tcW w:w="4675" w:type="dxa"/>
          </w:tcPr>
          <w:p w14:paraId="049DFE2E" w14:textId="018D5632" w:rsidR="00D3705F" w:rsidRPr="00D3705F" w:rsidRDefault="00A06BF9" w:rsidP="00A304C7">
            <w:pPr>
              <w:spacing w:after="160"/>
              <w:jc w:val="both"/>
              <w:rPr>
                <w:rFonts w:ascii="Arial" w:hAnsi="Arial" w:cs="Arial"/>
                <w:bCs/>
                <w:sz w:val="24"/>
                <w:szCs w:val="24"/>
              </w:rPr>
            </w:pPr>
            <w:r>
              <w:rPr>
                <w:rFonts w:ascii="Arial" w:hAnsi="Arial" w:cs="Arial"/>
                <w:bCs/>
                <w:sz w:val="24"/>
                <w:szCs w:val="24"/>
              </w:rPr>
              <w:t>3</w:t>
            </w:r>
            <w:r w:rsidR="00DB5128">
              <w:rPr>
                <w:rFonts w:ascii="Arial" w:hAnsi="Arial" w:cs="Arial"/>
                <w:bCs/>
                <w:sz w:val="24"/>
                <w:szCs w:val="24"/>
              </w:rPr>
              <w:t xml:space="preserve"> FEBRUARY</w:t>
            </w:r>
            <w:r w:rsidR="00C477DE">
              <w:rPr>
                <w:rFonts w:ascii="Arial" w:hAnsi="Arial" w:cs="Arial"/>
                <w:bCs/>
                <w:sz w:val="24"/>
                <w:szCs w:val="24"/>
              </w:rPr>
              <w:t xml:space="preserve"> 2023</w:t>
            </w:r>
          </w:p>
        </w:tc>
      </w:tr>
      <w:tr w:rsidR="00E9478D" w14:paraId="3BB1318D" w14:textId="77777777" w:rsidTr="000F535B">
        <w:tc>
          <w:tcPr>
            <w:tcW w:w="4675" w:type="dxa"/>
          </w:tcPr>
          <w:p w14:paraId="0A562A10" w14:textId="0712D4F1" w:rsidR="00E9478D" w:rsidRPr="00E9478D" w:rsidRDefault="00E9478D" w:rsidP="00A304C7">
            <w:pPr>
              <w:spacing w:after="160"/>
              <w:jc w:val="both"/>
              <w:rPr>
                <w:rFonts w:ascii="Arial" w:hAnsi="Arial" w:cs="Arial"/>
                <w:bCs/>
                <w:sz w:val="24"/>
                <w:szCs w:val="24"/>
              </w:rPr>
            </w:pPr>
          </w:p>
        </w:tc>
        <w:tc>
          <w:tcPr>
            <w:tcW w:w="4675" w:type="dxa"/>
          </w:tcPr>
          <w:p w14:paraId="26984C3B" w14:textId="77777777" w:rsidR="00E9478D" w:rsidRPr="00E9478D" w:rsidRDefault="00E9478D" w:rsidP="00A304C7">
            <w:pPr>
              <w:spacing w:after="160"/>
              <w:jc w:val="both"/>
              <w:rPr>
                <w:rFonts w:ascii="Arial" w:hAnsi="Arial" w:cs="Arial"/>
                <w:bCs/>
                <w:sz w:val="24"/>
                <w:szCs w:val="24"/>
              </w:rPr>
            </w:pPr>
          </w:p>
        </w:tc>
      </w:tr>
      <w:tr w:rsidR="00E9478D" w14:paraId="396882F2" w14:textId="77777777" w:rsidTr="000F535B">
        <w:tc>
          <w:tcPr>
            <w:tcW w:w="4675" w:type="dxa"/>
          </w:tcPr>
          <w:p w14:paraId="17C6B7F4" w14:textId="04D30D3B" w:rsidR="00E9478D" w:rsidRPr="00C16DB2" w:rsidRDefault="00E9478D" w:rsidP="00A304C7">
            <w:pPr>
              <w:spacing w:after="160"/>
              <w:jc w:val="both"/>
              <w:rPr>
                <w:rFonts w:ascii="Arial" w:hAnsi="Arial" w:cs="Arial"/>
                <w:b/>
                <w:sz w:val="24"/>
                <w:szCs w:val="24"/>
              </w:rPr>
            </w:pPr>
            <w:r w:rsidRPr="00C16DB2">
              <w:rPr>
                <w:rFonts w:ascii="Arial" w:eastAsia="Courier New" w:hAnsi="Arial" w:cs="Arial"/>
                <w:b/>
                <w:color w:val="000000"/>
                <w:sz w:val="24"/>
                <w:szCs w:val="24"/>
              </w:rPr>
              <w:t>FOR THE AP</w:t>
            </w:r>
            <w:r w:rsidR="00C16DB2" w:rsidRPr="00C16DB2">
              <w:rPr>
                <w:rFonts w:ascii="Arial" w:eastAsia="Courier New" w:hAnsi="Arial" w:cs="Arial"/>
                <w:b/>
                <w:color w:val="000000"/>
                <w:sz w:val="24"/>
                <w:szCs w:val="24"/>
              </w:rPr>
              <w:t>P</w:t>
            </w:r>
            <w:r w:rsidRPr="00C16DB2">
              <w:rPr>
                <w:rFonts w:ascii="Arial" w:eastAsia="Courier New" w:hAnsi="Arial" w:cs="Arial"/>
                <w:b/>
                <w:color w:val="000000"/>
                <w:sz w:val="24"/>
                <w:szCs w:val="24"/>
              </w:rPr>
              <w:t>LICANT:</w:t>
            </w:r>
          </w:p>
        </w:tc>
        <w:tc>
          <w:tcPr>
            <w:tcW w:w="4675" w:type="dxa"/>
          </w:tcPr>
          <w:p w14:paraId="3D8BDB4A" w14:textId="4119A747" w:rsidR="00E9478D" w:rsidRPr="00E9478D" w:rsidRDefault="00E9478D" w:rsidP="00A304C7">
            <w:pPr>
              <w:spacing w:after="160"/>
              <w:rPr>
                <w:rFonts w:ascii="Arial" w:hAnsi="Arial" w:cs="Arial"/>
                <w:bCs/>
                <w:sz w:val="24"/>
                <w:szCs w:val="24"/>
              </w:rPr>
            </w:pPr>
            <w:r w:rsidRPr="00E9478D">
              <w:rPr>
                <w:rFonts w:ascii="Arial" w:eastAsia="Courier New" w:hAnsi="Arial" w:cs="Arial"/>
                <w:bCs/>
                <w:color w:val="000000"/>
                <w:sz w:val="24"/>
                <w:szCs w:val="24"/>
              </w:rPr>
              <w:t xml:space="preserve">ADV </w:t>
            </w:r>
            <w:r w:rsidR="00196260">
              <w:rPr>
                <w:rFonts w:ascii="Arial" w:eastAsia="Courier New" w:hAnsi="Arial" w:cs="Arial"/>
                <w:bCs/>
                <w:color w:val="000000"/>
                <w:sz w:val="24"/>
                <w:szCs w:val="24"/>
              </w:rPr>
              <w:t>B STOOP</w:t>
            </w:r>
            <w:r w:rsidRPr="00E9478D">
              <w:rPr>
                <w:rFonts w:ascii="Arial" w:eastAsia="Courier New" w:hAnsi="Arial" w:cs="Arial"/>
                <w:bCs/>
                <w:color w:val="000000"/>
                <w:sz w:val="24"/>
                <w:szCs w:val="24"/>
              </w:rPr>
              <w:t xml:space="preserve"> SC</w:t>
            </w:r>
          </w:p>
        </w:tc>
      </w:tr>
      <w:tr w:rsidR="00E9478D" w14:paraId="10AD81D9" w14:textId="77777777" w:rsidTr="005F4BFF">
        <w:trPr>
          <w:trHeight w:val="821"/>
        </w:trPr>
        <w:tc>
          <w:tcPr>
            <w:tcW w:w="4675" w:type="dxa"/>
          </w:tcPr>
          <w:p w14:paraId="52AC30AD" w14:textId="00FBF5EC" w:rsidR="00E9478D" w:rsidRPr="00E9478D" w:rsidRDefault="00E9478D" w:rsidP="00A304C7">
            <w:pPr>
              <w:spacing w:after="160"/>
              <w:jc w:val="both"/>
              <w:rPr>
                <w:rFonts w:ascii="Arial" w:hAnsi="Arial" w:cs="Arial"/>
                <w:bCs/>
                <w:sz w:val="24"/>
                <w:szCs w:val="24"/>
              </w:rPr>
            </w:pPr>
            <w:r w:rsidRPr="00E9478D">
              <w:rPr>
                <w:rFonts w:ascii="Arial" w:eastAsia="Courier New" w:hAnsi="Arial" w:cs="Arial"/>
                <w:bCs/>
                <w:color w:val="000000"/>
                <w:sz w:val="24"/>
                <w:szCs w:val="24"/>
              </w:rPr>
              <w:t>INSTRUCTED BY:</w:t>
            </w:r>
          </w:p>
        </w:tc>
        <w:tc>
          <w:tcPr>
            <w:tcW w:w="4675" w:type="dxa"/>
          </w:tcPr>
          <w:p w14:paraId="552A7EF7" w14:textId="7FC0F839" w:rsidR="00E9478D" w:rsidRPr="00E9478D" w:rsidRDefault="00196260" w:rsidP="00A304C7">
            <w:pPr>
              <w:rPr>
                <w:rFonts w:ascii="Arial" w:eastAsia="Courier New" w:hAnsi="Arial" w:cs="Arial"/>
                <w:bCs/>
                <w:color w:val="000000"/>
                <w:sz w:val="24"/>
                <w:szCs w:val="24"/>
              </w:rPr>
            </w:pPr>
            <w:r>
              <w:rPr>
                <w:rFonts w:ascii="Arial" w:eastAsia="Courier New" w:hAnsi="Arial" w:cs="Arial"/>
                <w:bCs/>
                <w:color w:val="000000"/>
                <w:sz w:val="24"/>
                <w:szCs w:val="24"/>
              </w:rPr>
              <w:t>HAMMOND</w:t>
            </w:r>
            <w:r w:rsidR="00E56FAD">
              <w:rPr>
                <w:rFonts w:ascii="Arial" w:eastAsia="Courier New" w:hAnsi="Arial" w:cs="Arial"/>
                <w:bCs/>
                <w:color w:val="000000"/>
                <w:sz w:val="24"/>
                <w:szCs w:val="24"/>
              </w:rPr>
              <w:t>-</w:t>
            </w:r>
            <w:r>
              <w:rPr>
                <w:rFonts w:ascii="Arial" w:eastAsia="Courier New" w:hAnsi="Arial" w:cs="Arial"/>
                <w:bCs/>
                <w:color w:val="000000"/>
                <w:sz w:val="24"/>
                <w:szCs w:val="24"/>
              </w:rPr>
              <w:t>SMITH</w:t>
            </w:r>
            <w:r w:rsidR="000F535B">
              <w:rPr>
                <w:rFonts w:ascii="Arial" w:eastAsia="Courier New" w:hAnsi="Arial" w:cs="Arial"/>
                <w:bCs/>
                <w:color w:val="000000"/>
                <w:sz w:val="24"/>
                <w:szCs w:val="24"/>
              </w:rPr>
              <w:t xml:space="preserve"> ATTORNEYS</w:t>
            </w:r>
          </w:p>
          <w:p w14:paraId="32D42C1F" w14:textId="77777777" w:rsidR="00E9478D" w:rsidRPr="00E9478D" w:rsidRDefault="00E9478D" w:rsidP="00A304C7">
            <w:pPr>
              <w:spacing w:after="160"/>
              <w:rPr>
                <w:rFonts w:ascii="Arial" w:hAnsi="Arial" w:cs="Arial"/>
                <w:bCs/>
                <w:sz w:val="24"/>
                <w:szCs w:val="24"/>
              </w:rPr>
            </w:pPr>
          </w:p>
        </w:tc>
      </w:tr>
      <w:tr w:rsidR="00E9478D" w14:paraId="08FF256F" w14:textId="77777777" w:rsidTr="000F535B">
        <w:tc>
          <w:tcPr>
            <w:tcW w:w="4675" w:type="dxa"/>
          </w:tcPr>
          <w:p w14:paraId="6B5B1A7A" w14:textId="46EB18DA" w:rsidR="00E9478D" w:rsidRPr="00E9478D" w:rsidRDefault="00E9478D" w:rsidP="00A304C7">
            <w:pPr>
              <w:spacing w:after="160"/>
              <w:jc w:val="both"/>
              <w:rPr>
                <w:rFonts w:ascii="Arial" w:hAnsi="Arial" w:cs="Arial"/>
                <w:bCs/>
                <w:sz w:val="24"/>
                <w:szCs w:val="24"/>
              </w:rPr>
            </w:pPr>
            <w:r w:rsidRPr="00E9478D">
              <w:rPr>
                <w:rFonts w:ascii="Arial" w:hAnsi="Arial" w:cs="Arial"/>
                <w:bCs/>
                <w:sz w:val="24"/>
                <w:szCs w:val="24"/>
              </w:rPr>
              <w:t>REFERENCE:</w:t>
            </w:r>
          </w:p>
        </w:tc>
        <w:tc>
          <w:tcPr>
            <w:tcW w:w="4675" w:type="dxa"/>
          </w:tcPr>
          <w:p w14:paraId="2113A073" w14:textId="53907D94" w:rsidR="00E9478D" w:rsidRPr="00E9478D" w:rsidRDefault="00E56FAD" w:rsidP="00A304C7">
            <w:pPr>
              <w:spacing w:after="160"/>
              <w:rPr>
                <w:rFonts w:ascii="Arial" w:hAnsi="Arial" w:cs="Arial"/>
                <w:bCs/>
                <w:sz w:val="24"/>
                <w:szCs w:val="24"/>
              </w:rPr>
            </w:pPr>
            <w:r>
              <w:rPr>
                <w:rFonts w:ascii="Arial" w:hAnsi="Arial" w:cs="Arial"/>
                <w:bCs/>
                <w:sz w:val="24"/>
                <w:szCs w:val="24"/>
              </w:rPr>
              <w:t>MS U HAMMOND</w:t>
            </w:r>
          </w:p>
        </w:tc>
      </w:tr>
      <w:tr w:rsidR="00E9478D" w14:paraId="719A67BA" w14:textId="77777777" w:rsidTr="000F535B">
        <w:tc>
          <w:tcPr>
            <w:tcW w:w="4675" w:type="dxa"/>
          </w:tcPr>
          <w:p w14:paraId="54A01CF7" w14:textId="4D789AAF" w:rsidR="00E9478D" w:rsidRPr="00C16DB2" w:rsidRDefault="00E9478D" w:rsidP="00A304C7">
            <w:pPr>
              <w:spacing w:after="160"/>
              <w:jc w:val="both"/>
              <w:rPr>
                <w:rFonts w:ascii="Arial" w:hAnsi="Arial" w:cs="Arial"/>
                <w:b/>
                <w:sz w:val="24"/>
                <w:szCs w:val="24"/>
              </w:rPr>
            </w:pPr>
            <w:r w:rsidRPr="00C16DB2">
              <w:rPr>
                <w:rFonts w:ascii="Arial" w:hAnsi="Arial" w:cs="Arial"/>
                <w:b/>
                <w:sz w:val="24"/>
                <w:szCs w:val="24"/>
              </w:rPr>
              <w:t xml:space="preserve">FOR THE </w:t>
            </w:r>
            <w:r w:rsidR="00C16DB2" w:rsidRPr="00C16DB2">
              <w:rPr>
                <w:rFonts w:ascii="Arial" w:hAnsi="Arial" w:cs="Arial"/>
                <w:b/>
                <w:sz w:val="24"/>
                <w:szCs w:val="24"/>
              </w:rPr>
              <w:t>F</w:t>
            </w:r>
            <w:r w:rsidR="00067C9A">
              <w:rPr>
                <w:rFonts w:ascii="Arial" w:hAnsi="Arial" w:cs="Arial"/>
                <w:b/>
                <w:sz w:val="24"/>
                <w:szCs w:val="24"/>
              </w:rPr>
              <w:t>OURTH</w:t>
            </w:r>
            <w:r w:rsidRPr="00C16DB2">
              <w:rPr>
                <w:rFonts w:ascii="Arial" w:hAnsi="Arial" w:cs="Arial"/>
                <w:b/>
                <w:sz w:val="24"/>
                <w:szCs w:val="24"/>
              </w:rPr>
              <w:t xml:space="preserve"> RESPONDENT:</w:t>
            </w:r>
          </w:p>
        </w:tc>
        <w:tc>
          <w:tcPr>
            <w:tcW w:w="4675" w:type="dxa"/>
          </w:tcPr>
          <w:p w14:paraId="4EE01F55" w14:textId="77777777" w:rsidR="00715D2A" w:rsidRDefault="00715D2A" w:rsidP="00A304C7">
            <w:pPr>
              <w:spacing w:after="160"/>
              <w:rPr>
                <w:rFonts w:ascii="Arial" w:eastAsia="Courier New" w:hAnsi="Arial" w:cs="Arial"/>
                <w:bCs/>
                <w:color w:val="000000"/>
                <w:sz w:val="24"/>
                <w:szCs w:val="24"/>
                <w:lang w:eastAsia="en-ZA"/>
              </w:rPr>
            </w:pPr>
          </w:p>
          <w:p w14:paraId="1D84255F" w14:textId="055242BE" w:rsidR="00E9478D" w:rsidRPr="00E9478D" w:rsidRDefault="00E9478D" w:rsidP="00A304C7">
            <w:pPr>
              <w:spacing w:after="160"/>
              <w:rPr>
                <w:rFonts w:ascii="Arial" w:hAnsi="Arial" w:cs="Arial"/>
                <w:bCs/>
                <w:sz w:val="24"/>
                <w:szCs w:val="24"/>
              </w:rPr>
            </w:pPr>
            <w:r w:rsidRPr="00E9478D">
              <w:rPr>
                <w:rFonts w:ascii="Arial" w:eastAsia="Courier New" w:hAnsi="Arial" w:cs="Arial"/>
                <w:bCs/>
                <w:color w:val="000000"/>
                <w:sz w:val="24"/>
                <w:szCs w:val="24"/>
                <w:lang w:eastAsia="en-ZA"/>
              </w:rPr>
              <w:t xml:space="preserve">ADV </w:t>
            </w:r>
            <w:r w:rsidR="00067C9A">
              <w:rPr>
                <w:rFonts w:ascii="Arial" w:eastAsia="Courier New" w:hAnsi="Arial" w:cs="Arial"/>
                <w:bCs/>
                <w:color w:val="000000"/>
                <w:sz w:val="24"/>
                <w:szCs w:val="24"/>
                <w:lang w:eastAsia="en-ZA"/>
              </w:rPr>
              <w:t>D FINE</w:t>
            </w:r>
            <w:r w:rsidRPr="00E9478D">
              <w:rPr>
                <w:rFonts w:ascii="Arial" w:eastAsia="Courier New" w:hAnsi="Arial" w:cs="Arial"/>
                <w:bCs/>
                <w:color w:val="000000"/>
                <w:sz w:val="24"/>
                <w:szCs w:val="24"/>
                <w:lang w:eastAsia="en-ZA"/>
              </w:rPr>
              <w:t xml:space="preserve"> SC</w:t>
            </w:r>
          </w:p>
        </w:tc>
      </w:tr>
      <w:tr w:rsidR="00E9478D" w14:paraId="056B10D0" w14:textId="77777777" w:rsidTr="000F535B">
        <w:tc>
          <w:tcPr>
            <w:tcW w:w="4675" w:type="dxa"/>
          </w:tcPr>
          <w:p w14:paraId="1F51FACB" w14:textId="77777777" w:rsidR="00E9478D" w:rsidRPr="00E9478D" w:rsidRDefault="00E9478D" w:rsidP="00A304C7">
            <w:pPr>
              <w:spacing w:after="160"/>
              <w:jc w:val="both"/>
              <w:rPr>
                <w:rFonts w:ascii="Arial" w:hAnsi="Arial" w:cs="Arial"/>
                <w:bCs/>
                <w:sz w:val="24"/>
                <w:szCs w:val="24"/>
              </w:rPr>
            </w:pPr>
          </w:p>
        </w:tc>
        <w:tc>
          <w:tcPr>
            <w:tcW w:w="4675" w:type="dxa"/>
          </w:tcPr>
          <w:p w14:paraId="270EFF76" w14:textId="1BB7B70E" w:rsidR="00E9478D" w:rsidRPr="00E9478D" w:rsidRDefault="00E9478D" w:rsidP="00A304C7">
            <w:pPr>
              <w:spacing w:after="160"/>
              <w:rPr>
                <w:rFonts w:ascii="Arial" w:hAnsi="Arial" w:cs="Arial"/>
                <w:bCs/>
                <w:sz w:val="24"/>
                <w:szCs w:val="24"/>
              </w:rPr>
            </w:pPr>
            <w:r w:rsidRPr="00E9478D">
              <w:rPr>
                <w:rFonts w:ascii="Arial" w:eastAsia="Courier New" w:hAnsi="Arial" w:cs="Arial"/>
                <w:bCs/>
                <w:color w:val="000000"/>
                <w:sz w:val="24"/>
                <w:szCs w:val="24"/>
                <w:lang w:eastAsia="en-ZA"/>
              </w:rPr>
              <w:t xml:space="preserve">ADV </w:t>
            </w:r>
            <w:r w:rsidR="00067C9A">
              <w:rPr>
                <w:rFonts w:ascii="Arial" w:eastAsia="Courier New" w:hAnsi="Arial" w:cs="Arial"/>
                <w:bCs/>
                <w:color w:val="000000"/>
                <w:sz w:val="24"/>
                <w:szCs w:val="24"/>
                <w:lang w:eastAsia="en-ZA"/>
              </w:rPr>
              <w:t>A MILANOVIC-BITTER</w:t>
            </w:r>
          </w:p>
        </w:tc>
      </w:tr>
      <w:tr w:rsidR="00E9478D" w14:paraId="14D757F1" w14:textId="77777777" w:rsidTr="000F535B">
        <w:tc>
          <w:tcPr>
            <w:tcW w:w="4675" w:type="dxa"/>
          </w:tcPr>
          <w:p w14:paraId="0D95057F" w14:textId="02D03F28" w:rsidR="00E9478D" w:rsidRPr="00E9478D" w:rsidRDefault="00E9478D" w:rsidP="00A304C7">
            <w:pPr>
              <w:spacing w:after="160"/>
              <w:jc w:val="both"/>
              <w:rPr>
                <w:rFonts w:ascii="Arial" w:hAnsi="Arial" w:cs="Arial"/>
                <w:bCs/>
                <w:sz w:val="24"/>
                <w:szCs w:val="24"/>
              </w:rPr>
            </w:pPr>
            <w:r w:rsidRPr="00E9478D">
              <w:rPr>
                <w:rFonts w:ascii="Arial" w:hAnsi="Arial" w:cs="Arial"/>
                <w:bCs/>
                <w:sz w:val="24"/>
                <w:szCs w:val="24"/>
              </w:rPr>
              <w:t>INSTRUCTED BY:</w:t>
            </w:r>
          </w:p>
        </w:tc>
        <w:tc>
          <w:tcPr>
            <w:tcW w:w="4675" w:type="dxa"/>
          </w:tcPr>
          <w:p w14:paraId="29008ABE" w14:textId="52D1CB15" w:rsidR="00E9478D" w:rsidRPr="00E9478D" w:rsidRDefault="00067C9A" w:rsidP="00A304C7">
            <w:pPr>
              <w:spacing w:after="160"/>
              <w:rPr>
                <w:rFonts w:ascii="Arial" w:hAnsi="Arial" w:cs="Arial"/>
                <w:bCs/>
                <w:sz w:val="24"/>
                <w:szCs w:val="24"/>
              </w:rPr>
            </w:pPr>
            <w:r>
              <w:rPr>
                <w:rFonts w:ascii="Arial" w:eastAsia="Courier New" w:hAnsi="Arial" w:cs="Arial"/>
                <w:bCs/>
                <w:color w:val="000000"/>
                <w:sz w:val="24"/>
                <w:szCs w:val="24"/>
                <w:lang w:eastAsia="en-ZA"/>
              </w:rPr>
              <w:t>EDWARD NATHAN SONNENBURGS INC</w:t>
            </w:r>
          </w:p>
        </w:tc>
      </w:tr>
      <w:tr w:rsidR="00E9478D" w14:paraId="43B04F75" w14:textId="77777777" w:rsidTr="000F535B">
        <w:tc>
          <w:tcPr>
            <w:tcW w:w="4675" w:type="dxa"/>
          </w:tcPr>
          <w:p w14:paraId="46C53DA6" w14:textId="3ED8D5ED" w:rsidR="00E9478D" w:rsidRPr="00E9478D" w:rsidRDefault="00E9478D" w:rsidP="00A304C7">
            <w:pPr>
              <w:spacing w:after="160"/>
              <w:jc w:val="both"/>
              <w:rPr>
                <w:rFonts w:ascii="Arial" w:hAnsi="Arial" w:cs="Arial"/>
                <w:bCs/>
                <w:sz w:val="24"/>
                <w:szCs w:val="24"/>
              </w:rPr>
            </w:pPr>
            <w:r w:rsidRPr="00E9478D">
              <w:rPr>
                <w:rFonts w:ascii="Arial" w:hAnsi="Arial" w:cs="Arial"/>
                <w:bCs/>
                <w:sz w:val="24"/>
                <w:szCs w:val="24"/>
              </w:rPr>
              <w:t>REFERENCE:</w:t>
            </w:r>
          </w:p>
        </w:tc>
        <w:tc>
          <w:tcPr>
            <w:tcW w:w="4675" w:type="dxa"/>
          </w:tcPr>
          <w:p w14:paraId="17DAE5D8" w14:textId="4CE40C79" w:rsidR="00E9478D" w:rsidRPr="00E9478D" w:rsidRDefault="00067C9A" w:rsidP="00A304C7">
            <w:pPr>
              <w:spacing w:after="160"/>
              <w:rPr>
                <w:rFonts w:ascii="Arial" w:hAnsi="Arial" w:cs="Arial"/>
                <w:bCs/>
                <w:sz w:val="24"/>
                <w:szCs w:val="24"/>
              </w:rPr>
            </w:pPr>
            <w:r>
              <w:rPr>
                <w:rFonts w:ascii="Arial" w:hAnsi="Arial" w:cs="Arial"/>
                <w:bCs/>
                <w:sz w:val="24"/>
                <w:szCs w:val="24"/>
              </w:rPr>
              <w:t>MR S MBATHA</w:t>
            </w:r>
          </w:p>
        </w:tc>
      </w:tr>
      <w:tr w:rsidR="00C16DB2" w14:paraId="1142F40E" w14:textId="77777777" w:rsidTr="000F535B">
        <w:tc>
          <w:tcPr>
            <w:tcW w:w="4675" w:type="dxa"/>
          </w:tcPr>
          <w:p w14:paraId="4208BF98" w14:textId="77777777" w:rsidR="00C16DB2" w:rsidRPr="00E9478D" w:rsidRDefault="00C16DB2" w:rsidP="00A304C7">
            <w:pPr>
              <w:spacing w:after="160"/>
              <w:jc w:val="both"/>
              <w:rPr>
                <w:rFonts w:ascii="Arial" w:hAnsi="Arial" w:cs="Arial"/>
                <w:bCs/>
              </w:rPr>
            </w:pPr>
          </w:p>
        </w:tc>
        <w:tc>
          <w:tcPr>
            <w:tcW w:w="4675" w:type="dxa"/>
          </w:tcPr>
          <w:p w14:paraId="64AB0DF2" w14:textId="77777777" w:rsidR="00C16DB2" w:rsidRPr="00E9478D" w:rsidRDefault="00C16DB2" w:rsidP="00A304C7">
            <w:pPr>
              <w:spacing w:after="160"/>
              <w:rPr>
                <w:rFonts w:ascii="Arial" w:eastAsia="Courier New" w:hAnsi="Arial" w:cs="Arial"/>
                <w:bCs/>
                <w:color w:val="000000"/>
                <w:lang w:eastAsia="en-ZA"/>
              </w:rPr>
            </w:pPr>
          </w:p>
        </w:tc>
      </w:tr>
      <w:tr w:rsidR="00E9478D" w14:paraId="25E54C6C" w14:textId="77777777" w:rsidTr="000F535B">
        <w:tc>
          <w:tcPr>
            <w:tcW w:w="4675" w:type="dxa"/>
          </w:tcPr>
          <w:p w14:paraId="0929EC31" w14:textId="5CD85728" w:rsidR="00E9478D" w:rsidRPr="00C16DB2" w:rsidRDefault="00E9478D" w:rsidP="00A304C7">
            <w:pPr>
              <w:spacing w:after="160"/>
              <w:jc w:val="both"/>
              <w:rPr>
                <w:rFonts w:ascii="Arial" w:hAnsi="Arial" w:cs="Arial"/>
                <w:b/>
                <w:sz w:val="24"/>
                <w:szCs w:val="24"/>
              </w:rPr>
            </w:pPr>
            <w:r w:rsidRPr="00C16DB2">
              <w:rPr>
                <w:rFonts w:ascii="Arial" w:hAnsi="Arial" w:cs="Arial"/>
                <w:b/>
                <w:sz w:val="24"/>
                <w:szCs w:val="24"/>
              </w:rPr>
              <w:t>FOR THE</w:t>
            </w:r>
            <w:r w:rsidR="00C16DB2" w:rsidRPr="00C16DB2">
              <w:rPr>
                <w:rFonts w:ascii="Arial" w:hAnsi="Arial" w:cs="Arial"/>
                <w:b/>
                <w:sz w:val="24"/>
                <w:szCs w:val="24"/>
              </w:rPr>
              <w:t xml:space="preserve"> </w:t>
            </w:r>
            <w:r w:rsidR="00067C9A">
              <w:rPr>
                <w:rFonts w:ascii="Arial" w:hAnsi="Arial" w:cs="Arial"/>
                <w:b/>
                <w:sz w:val="24"/>
                <w:szCs w:val="24"/>
              </w:rPr>
              <w:t>INTERVENING APPLICANT</w:t>
            </w:r>
            <w:r w:rsidRPr="00C16DB2">
              <w:rPr>
                <w:rFonts w:ascii="Arial" w:hAnsi="Arial" w:cs="Arial"/>
                <w:b/>
                <w:sz w:val="24"/>
                <w:szCs w:val="24"/>
              </w:rPr>
              <w:t>:</w:t>
            </w:r>
          </w:p>
        </w:tc>
        <w:tc>
          <w:tcPr>
            <w:tcW w:w="4675" w:type="dxa"/>
          </w:tcPr>
          <w:p w14:paraId="2856D2E4" w14:textId="1C38DC1A" w:rsidR="00E9478D" w:rsidRPr="00E9478D" w:rsidRDefault="00E9478D" w:rsidP="00A304C7">
            <w:pPr>
              <w:spacing w:after="160"/>
              <w:rPr>
                <w:rFonts w:ascii="Arial" w:hAnsi="Arial" w:cs="Arial"/>
                <w:bCs/>
                <w:sz w:val="24"/>
                <w:szCs w:val="24"/>
              </w:rPr>
            </w:pPr>
            <w:r w:rsidRPr="00E9478D">
              <w:rPr>
                <w:rFonts w:ascii="Arial" w:eastAsia="Courier New" w:hAnsi="Arial" w:cs="Arial"/>
                <w:bCs/>
                <w:color w:val="000000"/>
                <w:sz w:val="24"/>
                <w:szCs w:val="24"/>
                <w:lang w:eastAsia="en-ZA"/>
              </w:rPr>
              <w:t xml:space="preserve">ADV </w:t>
            </w:r>
            <w:r w:rsidR="00067C9A">
              <w:rPr>
                <w:rFonts w:ascii="Arial" w:eastAsia="Courier New" w:hAnsi="Arial" w:cs="Arial"/>
                <w:bCs/>
                <w:color w:val="000000"/>
                <w:sz w:val="24"/>
                <w:szCs w:val="24"/>
                <w:lang w:eastAsia="en-ZA"/>
              </w:rPr>
              <w:t xml:space="preserve">T NGCUKAITOBI </w:t>
            </w:r>
            <w:r w:rsidRPr="00E9478D">
              <w:rPr>
                <w:rFonts w:ascii="Arial" w:eastAsia="Courier New" w:hAnsi="Arial" w:cs="Arial"/>
                <w:bCs/>
                <w:color w:val="000000"/>
                <w:sz w:val="24"/>
                <w:szCs w:val="24"/>
                <w:lang w:eastAsia="en-ZA"/>
              </w:rPr>
              <w:t>SC</w:t>
            </w:r>
          </w:p>
        </w:tc>
      </w:tr>
      <w:tr w:rsidR="00E9478D" w14:paraId="6209F23F" w14:textId="77777777" w:rsidTr="000F535B">
        <w:tc>
          <w:tcPr>
            <w:tcW w:w="4675" w:type="dxa"/>
          </w:tcPr>
          <w:p w14:paraId="7E7346C4" w14:textId="79FD1084" w:rsidR="00E9478D" w:rsidRPr="00E9478D" w:rsidRDefault="00E9478D" w:rsidP="00A304C7">
            <w:pPr>
              <w:spacing w:after="160"/>
              <w:jc w:val="both"/>
              <w:rPr>
                <w:rFonts w:ascii="Arial" w:hAnsi="Arial" w:cs="Arial"/>
                <w:bCs/>
                <w:sz w:val="24"/>
                <w:szCs w:val="24"/>
              </w:rPr>
            </w:pPr>
            <w:r w:rsidRPr="00E9478D">
              <w:rPr>
                <w:rFonts w:ascii="Arial" w:hAnsi="Arial" w:cs="Arial"/>
                <w:bCs/>
                <w:sz w:val="24"/>
                <w:szCs w:val="24"/>
              </w:rPr>
              <w:t>INSTRUCTED BY:</w:t>
            </w:r>
          </w:p>
        </w:tc>
        <w:tc>
          <w:tcPr>
            <w:tcW w:w="4675" w:type="dxa"/>
          </w:tcPr>
          <w:p w14:paraId="276ED5B9" w14:textId="5900D456" w:rsidR="00E9478D" w:rsidRPr="00E9478D" w:rsidRDefault="00067C9A" w:rsidP="00A304C7">
            <w:pPr>
              <w:spacing w:after="160"/>
              <w:rPr>
                <w:rFonts w:ascii="Arial" w:hAnsi="Arial" w:cs="Arial"/>
                <w:bCs/>
                <w:sz w:val="24"/>
                <w:szCs w:val="24"/>
              </w:rPr>
            </w:pPr>
            <w:r>
              <w:rPr>
                <w:rFonts w:ascii="Arial" w:eastAsia="Courier New" w:hAnsi="Arial" w:cs="Arial"/>
                <w:bCs/>
                <w:color w:val="000000"/>
                <w:sz w:val="24"/>
                <w:szCs w:val="24"/>
                <w:lang w:eastAsia="en-ZA"/>
              </w:rPr>
              <w:t>E MABUZA ATTORNEYS</w:t>
            </w:r>
          </w:p>
        </w:tc>
      </w:tr>
      <w:tr w:rsidR="00E9478D" w14:paraId="125D6E70" w14:textId="77777777" w:rsidTr="000F535B">
        <w:tc>
          <w:tcPr>
            <w:tcW w:w="4675" w:type="dxa"/>
          </w:tcPr>
          <w:p w14:paraId="6DC4DAF7" w14:textId="452D0BC3" w:rsidR="00E9478D" w:rsidRPr="00E9478D" w:rsidRDefault="00E9478D" w:rsidP="00A304C7">
            <w:pPr>
              <w:spacing w:after="160"/>
              <w:jc w:val="both"/>
              <w:rPr>
                <w:rFonts w:ascii="Arial" w:hAnsi="Arial" w:cs="Arial"/>
                <w:bCs/>
                <w:sz w:val="24"/>
                <w:szCs w:val="24"/>
              </w:rPr>
            </w:pPr>
            <w:r w:rsidRPr="00E9478D">
              <w:rPr>
                <w:rFonts w:ascii="Arial" w:hAnsi="Arial" w:cs="Arial"/>
                <w:bCs/>
                <w:sz w:val="24"/>
                <w:szCs w:val="24"/>
              </w:rPr>
              <w:t>REFERENCE</w:t>
            </w:r>
            <w:r w:rsidR="000F535B">
              <w:rPr>
                <w:rFonts w:ascii="Arial" w:hAnsi="Arial" w:cs="Arial"/>
                <w:bCs/>
                <w:sz w:val="24"/>
                <w:szCs w:val="24"/>
              </w:rPr>
              <w:t>:</w:t>
            </w:r>
          </w:p>
        </w:tc>
        <w:tc>
          <w:tcPr>
            <w:tcW w:w="4675" w:type="dxa"/>
          </w:tcPr>
          <w:p w14:paraId="34112FA4" w14:textId="3390FE87" w:rsidR="00E9478D" w:rsidRPr="00E9478D" w:rsidRDefault="000F535B" w:rsidP="00A304C7">
            <w:pPr>
              <w:spacing w:after="160"/>
              <w:rPr>
                <w:rFonts w:ascii="Arial" w:hAnsi="Arial" w:cs="Arial"/>
                <w:bCs/>
                <w:sz w:val="24"/>
                <w:szCs w:val="24"/>
              </w:rPr>
            </w:pPr>
            <w:r>
              <w:rPr>
                <w:rFonts w:ascii="Arial" w:hAnsi="Arial" w:cs="Arial"/>
                <w:bCs/>
                <w:sz w:val="24"/>
                <w:szCs w:val="24"/>
              </w:rPr>
              <w:t xml:space="preserve">MR </w:t>
            </w:r>
            <w:r w:rsidR="00067C9A">
              <w:rPr>
                <w:rFonts w:ascii="Arial" w:hAnsi="Arial" w:cs="Arial"/>
                <w:bCs/>
                <w:sz w:val="24"/>
                <w:szCs w:val="24"/>
              </w:rPr>
              <w:t>E MABUZA</w:t>
            </w:r>
          </w:p>
        </w:tc>
      </w:tr>
      <w:tr w:rsidR="00C16DB2" w14:paraId="7A50B23F" w14:textId="77777777" w:rsidTr="000F535B">
        <w:tc>
          <w:tcPr>
            <w:tcW w:w="4675" w:type="dxa"/>
          </w:tcPr>
          <w:p w14:paraId="7AE3B4A6" w14:textId="77777777" w:rsidR="00C16DB2" w:rsidRPr="00E9478D" w:rsidRDefault="00C16DB2" w:rsidP="00A304C7">
            <w:pPr>
              <w:spacing w:after="160"/>
              <w:jc w:val="both"/>
              <w:rPr>
                <w:rFonts w:ascii="Arial" w:hAnsi="Arial" w:cs="Arial"/>
                <w:bCs/>
              </w:rPr>
            </w:pPr>
          </w:p>
        </w:tc>
        <w:tc>
          <w:tcPr>
            <w:tcW w:w="4675" w:type="dxa"/>
          </w:tcPr>
          <w:p w14:paraId="0C963A8C" w14:textId="77777777" w:rsidR="00C16DB2" w:rsidRPr="00E9478D" w:rsidRDefault="00C16DB2" w:rsidP="00A304C7">
            <w:pPr>
              <w:spacing w:after="160"/>
              <w:rPr>
                <w:rFonts w:ascii="Arial" w:eastAsia="Courier New" w:hAnsi="Arial" w:cs="Arial"/>
                <w:bCs/>
                <w:color w:val="000000"/>
                <w:lang w:eastAsia="en-ZA"/>
              </w:rPr>
            </w:pPr>
          </w:p>
        </w:tc>
      </w:tr>
    </w:tbl>
    <w:p w14:paraId="14A1DE85" w14:textId="33638423" w:rsidR="00067C9A" w:rsidRDefault="00067C9A" w:rsidP="00A304C7">
      <w:pPr>
        <w:spacing w:after="160"/>
        <w:jc w:val="both"/>
        <w:rPr>
          <w:rFonts w:ascii="Arial" w:hAnsi="Arial" w:cs="Arial"/>
          <w:b/>
        </w:rPr>
      </w:pPr>
      <w:r>
        <w:rPr>
          <w:rFonts w:ascii="Arial" w:hAnsi="Arial" w:cs="Arial"/>
          <w:b/>
        </w:rPr>
        <w:t>NO APPEARANCE FOR THE FIRST, SECOND OR THIRD RESPONDENTS</w:t>
      </w:r>
    </w:p>
    <w:p w14:paraId="56023C2B" w14:textId="30FB4A1D" w:rsidR="0027008F" w:rsidRPr="00715D2A" w:rsidRDefault="0027008F" w:rsidP="00A304C7">
      <w:pPr>
        <w:ind w:right="288"/>
        <w:rPr>
          <w:rFonts w:ascii="Arial" w:eastAsia="Courier New" w:hAnsi="Arial" w:cs="Arial"/>
          <w:b/>
          <w:color w:val="000000"/>
          <w:lang w:eastAsia="en-ZA"/>
        </w:rPr>
      </w:pPr>
    </w:p>
    <w:sectPr w:rsidR="0027008F" w:rsidRPr="00715D2A" w:rsidSect="00E9478D">
      <w:headerReference w:type="even" r:id="rId9"/>
      <w:headerReference w:type="default" r:id="rId10"/>
      <w:endnotePr>
        <w:numFmt w:val="decimal"/>
      </w:endnotePr>
      <w:pgSz w:w="12240" w:h="15840"/>
      <w:pgMar w:top="142" w:right="1440" w:bottom="123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9A760" w14:textId="77777777" w:rsidR="002A6287" w:rsidRDefault="002A6287" w:rsidP="008C18AE">
      <w:r>
        <w:separator/>
      </w:r>
    </w:p>
  </w:endnote>
  <w:endnote w:type="continuationSeparator" w:id="0">
    <w:p w14:paraId="7D56FCDE" w14:textId="77777777" w:rsidR="002A6287" w:rsidRDefault="002A6287"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4BD2C" w14:textId="77777777" w:rsidR="002A6287" w:rsidRDefault="002A6287" w:rsidP="008C18AE">
      <w:r>
        <w:separator/>
      </w:r>
    </w:p>
  </w:footnote>
  <w:footnote w:type="continuationSeparator" w:id="0">
    <w:p w14:paraId="0B81C10D" w14:textId="77777777" w:rsidR="002A6287" w:rsidRDefault="002A6287" w:rsidP="008C18AE">
      <w:r>
        <w:continuationSeparator/>
      </w:r>
    </w:p>
  </w:footnote>
  <w:footnote w:id="1">
    <w:p w14:paraId="306F84AE" w14:textId="59BC9E02" w:rsidR="00C06176" w:rsidRDefault="00C06176">
      <w:pPr>
        <w:pStyle w:val="FootnoteText"/>
      </w:pPr>
      <w:r>
        <w:rPr>
          <w:rStyle w:val="FootnoteReference"/>
        </w:rPr>
        <w:footnoteRef/>
      </w:r>
      <w:r>
        <w:t xml:space="preserve"> </w:t>
      </w:r>
      <w:r w:rsidRPr="00010363">
        <w:rPr>
          <w:rFonts w:ascii="Arial" w:hAnsi="Arial" w:cs="Arial"/>
          <w:sz w:val="20"/>
          <w:szCs w:val="20"/>
        </w:rPr>
        <w:t>28 of 2002</w:t>
      </w:r>
    </w:p>
  </w:footnote>
  <w:footnote w:id="2">
    <w:p w14:paraId="19FCB175" w14:textId="6692788B" w:rsidR="001C36AC" w:rsidRDefault="001C36AC">
      <w:pPr>
        <w:pStyle w:val="FootnoteText"/>
      </w:pPr>
      <w:r>
        <w:rPr>
          <w:rStyle w:val="FootnoteReference"/>
        </w:rPr>
        <w:footnoteRef/>
      </w:r>
      <w:r>
        <w:t xml:space="preserve"> </w:t>
      </w:r>
      <w:r w:rsidRPr="001C36AC">
        <w:rPr>
          <w:rFonts w:ascii="Arial" w:hAnsi="Arial" w:cs="Arial"/>
          <w:sz w:val="20"/>
          <w:szCs w:val="20"/>
        </w:rPr>
        <w:t>1980 (3) SA 1093 (W)</w:t>
      </w:r>
    </w:p>
  </w:footnote>
  <w:footnote w:id="3">
    <w:p w14:paraId="3DCE5236" w14:textId="112C4AA2" w:rsidR="00C06176" w:rsidRDefault="00C06176">
      <w:pPr>
        <w:pStyle w:val="FootnoteText"/>
      </w:pPr>
      <w:r>
        <w:rPr>
          <w:rStyle w:val="FootnoteReference"/>
        </w:rPr>
        <w:footnoteRef/>
      </w:r>
      <w:r>
        <w:t xml:space="preserve"> </w:t>
      </w:r>
      <w:r w:rsidRPr="00404590">
        <w:rPr>
          <w:b/>
          <w:bCs/>
        </w:rPr>
        <w:t>National Director of Public Prosecutions v Zuma 2009 (2) SA 277 (SCA) at paragraph 85</w:t>
      </w:r>
    </w:p>
  </w:footnote>
  <w:footnote w:id="4">
    <w:p w14:paraId="50D1BF7A" w14:textId="09A1D716" w:rsidR="00C06176" w:rsidRDefault="00C06176">
      <w:pPr>
        <w:pStyle w:val="FootnoteText"/>
      </w:pPr>
      <w:r>
        <w:rPr>
          <w:rStyle w:val="FootnoteReference"/>
        </w:rPr>
        <w:footnoteRef/>
      </w:r>
      <w:r>
        <w:t xml:space="preserve"> (</w:t>
      </w:r>
      <w:r w:rsidRPr="003A342C">
        <w:rPr>
          <w:rFonts w:ascii="Arial" w:hAnsi="Arial" w:cs="Arial"/>
          <w:b/>
          <w:bCs/>
          <w:sz w:val="20"/>
          <w:szCs w:val="20"/>
        </w:rPr>
        <w:t>1108/2019) [2020] ZASCA 176 (18 December 2020) paragraph 5</w:t>
      </w:r>
    </w:p>
  </w:footnote>
  <w:footnote w:id="5">
    <w:p w14:paraId="393E949B" w14:textId="35F52217" w:rsidR="00C06176" w:rsidRPr="004F4249" w:rsidRDefault="00C06176" w:rsidP="004F4249">
      <w:pPr>
        <w:pStyle w:val="FootnoteText"/>
        <w:jc w:val="both"/>
        <w:rPr>
          <w:rFonts w:ascii="Arial" w:hAnsi="Arial" w:cs="Arial"/>
          <w:sz w:val="20"/>
          <w:szCs w:val="20"/>
          <w:lang w:val="en-GB"/>
        </w:rPr>
      </w:pPr>
      <w:r w:rsidRPr="004F4249">
        <w:rPr>
          <w:rStyle w:val="FootnoteReference"/>
          <w:rFonts w:ascii="Arial" w:hAnsi="Arial" w:cs="Arial"/>
          <w:sz w:val="20"/>
          <w:szCs w:val="20"/>
        </w:rPr>
        <w:footnoteRef/>
      </w:r>
      <w:r w:rsidRPr="004F4249">
        <w:rPr>
          <w:rFonts w:ascii="Arial" w:hAnsi="Arial" w:cs="Arial"/>
          <w:sz w:val="20"/>
          <w:szCs w:val="20"/>
        </w:rPr>
        <w:t xml:space="preserve"> </w:t>
      </w:r>
      <w:r w:rsidRPr="004F4249">
        <w:rPr>
          <w:rFonts w:ascii="Arial" w:hAnsi="Arial" w:cs="Arial"/>
          <w:i/>
          <w:iCs/>
          <w:sz w:val="20"/>
          <w:szCs w:val="20"/>
          <w:lang w:val="en-GB"/>
        </w:rPr>
        <w:t>Zweni v Minister of Law and Order </w:t>
      </w:r>
      <w:r w:rsidRPr="004F4249">
        <w:rPr>
          <w:rFonts w:ascii="Arial" w:hAnsi="Arial" w:cs="Arial"/>
          <w:sz w:val="20"/>
          <w:szCs w:val="20"/>
          <w:lang w:val="en-GB"/>
        </w:rPr>
        <w:t xml:space="preserve">1993 (1) SA 523 (A) at 532J–533A  </w:t>
      </w:r>
    </w:p>
  </w:footnote>
  <w:footnote w:id="6">
    <w:p w14:paraId="30D7C5B7" w14:textId="51303A0E" w:rsidR="00C06176" w:rsidRPr="004F4249" w:rsidRDefault="00C06176" w:rsidP="004F4249">
      <w:pPr>
        <w:pStyle w:val="FootnoteText"/>
        <w:jc w:val="both"/>
        <w:rPr>
          <w:rFonts w:ascii="Arial" w:hAnsi="Arial" w:cs="Arial"/>
          <w:sz w:val="20"/>
          <w:szCs w:val="20"/>
          <w:lang w:val="en-GB"/>
        </w:rPr>
      </w:pPr>
      <w:r w:rsidRPr="004F4249">
        <w:rPr>
          <w:rStyle w:val="FootnoteReference"/>
          <w:rFonts w:ascii="Arial" w:hAnsi="Arial" w:cs="Arial"/>
          <w:sz w:val="20"/>
          <w:szCs w:val="20"/>
        </w:rPr>
        <w:footnoteRef/>
      </w:r>
      <w:r w:rsidRPr="004F4249">
        <w:rPr>
          <w:rFonts w:ascii="Arial" w:hAnsi="Arial" w:cs="Arial"/>
          <w:sz w:val="20"/>
          <w:szCs w:val="20"/>
        </w:rPr>
        <w:t xml:space="preserve"> </w:t>
      </w:r>
      <w:r w:rsidRPr="004F4249">
        <w:rPr>
          <w:rFonts w:ascii="Arial" w:hAnsi="Arial" w:cs="Arial"/>
          <w:i/>
          <w:iCs/>
          <w:sz w:val="20"/>
          <w:szCs w:val="20"/>
          <w:lang w:val="en-GB"/>
        </w:rPr>
        <w:t>Moch v Nedtravel </w:t>
      </w:r>
      <w:r w:rsidRPr="004F4249">
        <w:rPr>
          <w:rFonts w:ascii="Arial" w:hAnsi="Arial" w:cs="Arial"/>
          <w:sz w:val="20"/>
          <w:szCs w:val="20"/>
          <w:lang w:val="en-GB"/>
        </w:rPr>
        <w:t>(</w:t>
      </w:r>
      <w:r w:rsidRPr="004F4249">
        <w:rPr>
          <w:rFonts w:ascii="Arial" w:hAnsi="Arial" w:cs="Arial"/>
          <w:i/>
          <w:iCs/>
          <w:sz w:val="20"/>
          <w:szCs w:val="20"/>
          <w:lang w:val="en-GB"/>
        </w:rPr>
        <w:t>Pty</w:t>
      </w:r>
      <w:r w:rsidRPr="004F4249">
        <w:rPr>
          <w:rFonts w:ascii="Arial" w:hAnsi="Arial" w:cs="Arial"/>
          <w:sz w:val="20"/>
          <w:szCs w:val="20"/>
          <w:lang w:val="en-GB"/>
        </w:rPr>
        <w:t>) </w:t>
      </w:r>
      <w:r w:rsidRPr="004F4249">
        <w:rPr>
          <w:rFonts w:ascii="Arial" w:hAnsi="Arial" w:cs="Arial"/>
          <w:i/>
          <w:iCs/>
          <w:sz w:val="20"/>
          <w:szCs w:val="20"/>
          <w:lang w:val="en-GB"/>
        </w:rPr>
        <w:t>Ltd t/a American Express Travel Service </w:t>
      </w:r>
      <w:r w:rsidRPr="004F4249">
        <w:rPr>
          <w:rFonts w:ascii="Arial" w:hAnsi="Arial" w:cs="Arial"/>
          <w:sz w:val="20"/>
          <w:szCs w:val="20"/>
          <w:lang w:val="en-GB"/>
        </w:rPr>
        <w:t xml:space="preserve">1996 (3) SA 1 (A) at 10F See also </w:t>
      </w:r>
      <w:r w:rsidRPr="004F4249">
        <w:rPr>
          <w:rFonts w:ascii="Arial" w:hAnsi="Arial" w:cs="Arial"/>
          <w:i/>
          <w:sz w:val="20"/>
          <w:szCs w:val="20"/>
          <w:lang w:val="en-GB"/>
        </w:rPr>
        <w:t>Absa Bank Limited v Mkhize</w:t>
      </w:r>
      <w:r w:rsidRPr="004F4249">
        <w:rPr>
          <w:rFonts w:ascii="Arial" w:hAnsi="Arial" w:cs="Arial"/>
          <w:sz w:val="20"/>
          <w:szCs w:val="20"/>
          <w:lang w:val="en-GB"/>
        </w:rPr>
        <w:t xml:space="preserve"> and others and related matters 2014 1 All SA (SCA) at para 22-23. </w:t>
      </w:r>
    </w:p>
  </w:footnote>
  <w:footnote w:id="7">
    <w:p w14:paraId="60C8DB4A" w14:textId="77777777" w:rsidR="00C06176" w:rsidRPr="004F4249" w:rsidRDefault="00C06176" w:rsidP="004F4249">
      <w:pPr>
        <w:pStyle w:val="FootnoteText"/>
        <w:jc w:val="both"/>
        <w:rPr>
          <w:rFonts w:ascii="Arial" w:hAnsi="Arial" w:cs="Arial"/>
          <w:sz w:val="20"/>
          <w:szCs w:val="20"/>
          <w:lang w:val="en-GB"/>
        </w:rPr>
      </w:pPr>
      <w:r w:rsidRPr="004F4249">
        <w:rPr>
          <w:rStyle w:val="FootnoteReference"/>
          <w:rFonts w:ascii="Arial" w:hAnsi="Arial" w:cs="Arial"/>
          <w:sz w:val="20"/>
          <w:szCs w:val="20"/>
        </w:rPr>
        <w:footnoteRef/>
      </w:r>
      <w:r w:rsidRPr="004F4249">
        <w:rPr>
          <w:rFonts w:ascii="Arial" w:hAnsi="Arial" w:cs="Arial"/>
          <w:sz w:val="20"/>
          <w:szCs w:val="20"/>
        </w:rPr>
        <w:t xml:space="preserve"> (1996) 17 ILJ 673 (LAC) at 676 H.  </w:t>
      </w:r>
      <w:r w:rsidRPr="004F4249">
        <w:rPr>
          <w:rFonts w:ascii="Arial" w:hAnsi="Arial" w:cs="Arial"/>
          <w:sz w:val="20"/>
          <w:szCs w:val="20"/>
          <w:lang w:val="en-GB"/>
        </w:rPr>
        <w:t xml:space="preserve">  </w:t>
      </w:r>
    </w:p>
  </w:footnote>
  <w:footnote w:id="8">
    <w:p w14:paraId="21B41AF3" w14:textId="3C374DDF" w:rsidR="00C06176" w:rsidRPr="004F4249" w:rsidRDefault="00C06176" w:rsidP="004F4249">
      <w:pPr>
        <w:pStyle w:val="FootnoteText"/>
        <w:jc w:val="both"/>
        <w:rPr>
          <w:rFonts w:ascii="Arial" w:hAnsi="Arial" w:cs="Arial"/>
          <w:sz w:val="20"/>
          <w:szCs w:val="20"/>
          <w:lang w:val="en-GB"/>
        </w:rPr>
      </w:pPr>
      <w:r w:rsidRPr="004F4249">
        <w:rPr>
          <w:rStyle w:val="FootnoteReference"/>
          <w:rFonts w:ascii="Arial" w:hAnsi="Arial" w:cs="Arial"/>
          <w:sz w:val="20"/>
          <w:szCs w:val="20"/>
        </w:rPr>
        <w:footnoteRef/>
      </w:r>
      <w:r w:rsidRPr="004F4249">
        <w:rPr>
          <w:rFonts w:ascii="Arial" w:hAnsi="Arial" w:cs="Arial"/>
          <w:sz w:val="20"/>
          <w:szCs w:val="20"/>
        </w:rPr>
        <w:t xml:space="preserve"> (2016 (4) SA 317 (SCA) (12 May 2016) at para 9.  </w:t>
      </w:r>
    </w:p>
  </w:footnote>
  <w:footnote w:id="9">
    <w:p w14:paraId="157AAD34" w14:textId="1A937E5A" w:rsidR="00C06176" w:rsidRPr="004F4249" w:rsidRDefault="00C06176" w:rsidP="004F4249">
      <w:pPr>
        <w:pStyle w:val="FootnoteText"/>
        <w:jc w:val="both"/>
        <w:rPr>
          <w:rFonts w:ascii="Arial" w:hAnsi="Arial" w:cs="Arial"/>
          <w:sz w:val="20"/>
          <w:szCs w:val="20"/>
          <w:lang w:val="en-GB"/>
        </w:rPr>
      </w:pPr>
      <w:r w:rsidRPr="004F4249">
        <w:rPr>
          <w:rStyle w:val="FootnoteReference"/>
          <w:rFonts w:ascii="Arial" w:hAnsi="Arial" w:cs="Arial"/>
          <w:sz w:val="20"/>
          <w:szCs w:val="20"/>
        </w:rPr>
        <w:footnoteRef/>
      </w:r>
      <w:r w:rsidRPr="004F4249">
        <w:rPr>
          <w:rFonts w:ascii="Arial" w:hAnsi="Arial" w:cs="Arial"/>
          <w:sz w:val="20"/>
          <w:szCs w:val="20"/>
        </w:rPr>
        <w:t xml:space="preserve"> </w:t>
      </w:r>
      <w:r w:rsidRPr="004F4249">
        <w:rPr>
          <w:rFonts w:ascii="Arial" w:hAnsi="Arial" w:cs="Arial"/>
          <w:sz w:val="20"/>
          <w:szCs w:val="20"/>
          <w:lang w:val="en-GB"/>
        </w:rPr>
        <w:t xml:space="preserve">National Director of Public Prosecutions v King 2010 (2) SACR 146 (SCA) </w:t>
      </w:r>
    </w:p>
  </w:footnote>
  <w:footnote w:id="10">
    <w:p w14:paraId="1E535DF6" w14:textId="30B326ED" w:rsidR="00C06176" w:rsidRPr="00FD65CA" w:rsidRDefault="00C06176" w:rsidP="004F4249">
      <w:pPr>
        <w:pStyle w:val="FootnoteText"/>
        <w:jc w:val="both"/>
        <w:rPr>
          <w:lang w:val="en-GB"/>
        </w:rPr>
      </w:pPr>
      <w:r w:rsidRPr="004F4249">
        <w:rPr>
          <w:rStyle w:val="FootnoteReference"/>
          <w:rFonts w:ascii="Arial" w:hAnsi="Arial" w:cs="Arial"/>
          <w:sz w:val="20"/>
          <w:szCs w:val="20"/>
        </w:rPr>
        <w:footnoteRef/>
      </w:r>
      <w:r w:rsidRPr="004F4249">
        <w:rPr>
          <w:rFonts w:ascii="Arial" w:hAnsi="Arial" w:cs="Arial"/>
          <w:sz w:val="20"/>
          <w:szCs w:val="20"/>
        </w:rPr>
        <w:t xml:space="preserve"> </w:t>
      </w:r>
      <w:r w:rsidRPr="004F4249">
        <w:rPr>
          <w:rFonts w:ascii="Arial" w:hAnsi="Arial" w:cs="Arial"/>
          <w:sz w:val="20"/>
          <w:szCs w:val="20"/>
          <w:lang w:val="en-GB"/>
        </w:rPr>
        <w:t>2003 6 SA 447 (SCA).</w:t>
      </w:r>
      <w:r>
        <w:rPr>
          <w:lang w:val="en-GB"/>
        </w:rPr>
        <w:t xml:space="preserve">  </w:t>
      </w:r>
    </w:p>
  </w:footnote>
  <w:footnote w:id="11">
    <w:p w14:paraId="20102E47" w14:textId="77777777" w:rsidR="00C06176" w:rsidRPr="00C40249" w:rsidRDefault="00C06176" w:rsidP="000B2542">
      <w:pPr>
        <w:pStyle w:val="FootnoteText"/>
        <w:rPr>
          <w:rFonts w:ascii="Arial" w:hAnsi="Arial" w:cs="Arial"/>
          <w:sz w:val="20"/>
          <w:szCs w:val="20"/>
        </w:rPr>
      </w:pPr>
      <w:r w:rsidRPr="00C40249">
        <w:rPr>
          <w:rStyle w:val="FootnoteReference"/>
          <w:rFonts w:ascii="Arial" w:hAnsi="Arial" w:cs="Arial"/>
          <w:sz w:val="20"/>
          <w:szCs w:val="20"/>
        </w:rPr>
        <w:footnoteRef/>
      </w:r>
      <w:r w:rsidRPr="00C40249">
        <w:rPr>
          <w:rFonts w:ascii="Arial" w:hAnsi="Arial" w:cs="Arial"/>
          <w:sz w:val="20"/>
          <w:szCs w:val="20"/>
        </w:rPr>
        <w:t xml:space="preserve"> 10 of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C06176" w:rsidRDefault="00C06176"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C06176" w:rsidRDefault="00C06176"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C06176" w:rsidRDefault="00C06176"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03D">
      <w:rPr>
        <w:rStyle w:val="PageNumber"/>
        <w:noProof/>
      </w:rPr>
      <w:t>3</w:t>
    </w:r>
    <w:r>
      <w:rPr>
        <w:rStyle w:val="PageNumber"/>
      </w:rPr>
      <w:fldChar w:fldCharType="end"/>
    </w:r>
  </w:p>
  <w:p w14:paraId="7E704A95" w14:textId="77777777" w:rsidR="00C06176" w:rsidRDefault="00C06176"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22814"/>
    <w:multiLevelType w:val="hybridMultilevel"/>
    <w:tmpl w:val="F5F41966"/>
    <w:lvl w:ilvl="0" w:tplc="D870B7E6">
      <w:start w:val="1"/>
      <w:numFmt w:val="decimal"/>
      <w:lvlText w:val="%1."/>
      <w:lvlJc w:val="left"/>
      <w:pPr>
        <w:ind w:left="502" w:hanging="360"/>
      </w:pPr>
      <w:rPr>
        <w:rFonts w:hint="default"/>
        <w:b w:val="0"/>
        <w:bCs w:val="0"/>
        <w:i w:val="0"/>
        <w:iCs w:val="0"/>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4337A3"/>
    <w:multiLevelType w:val="hybridMultilevel"/>
    <w:tmpl w:val="832A7AE4"/>
    <w:lvl w:ilvl="0" w:tplc="B1466DEC">
      <w:start w:val="1"/>
      <w:numFmt w:val="lowerLetter"/>
      <w:lvlText w:val="(%1)"/>
      <w:lvlJc w:val="left"/>
      <w:pPr>
        <w:ind w:left="1288" w:hanging="360"/>
      </w:pPr>
      <w:rPr>
        <w:rFonts w:hint="default"/>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nsid w:val="1C791201"/>
    <w:multiLevelType w:val="hybridMultilevel"/>
    <w:tmpl w:val="04602728"/>
    <w:lvl w:ilvl="0" w:tplc="DF986368">
      <w:start w:val="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1D004CAA"/>
    <w:multiLevelType w:val="hybridMultilevel"/>
    <w:tmpl w:val="5516A036"/>
    <w:lvl w:ilvl="0" w:tplc="F4CE259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nsid w:val="232D3050"/>
    <w:multiLevelType w:val="multilevel"/>
    <w:tmpl w:val="0D36367A"/>
    <w:lvl w:ilvl="0">
      <w:start w:val="1"/>
      <w:numFmt w:val="decimal"/>
      <w:lvlText w:val="%1."/>
      <w:lvlJc w:val="left"/>
      <w:pPr>
        <w:ind w:left="720" w:hanging="360"/>
      </w:pPr>
      <w:rPr>
        <w:rFonts w:hint="default"/>
        <w:b w:val="0"/>
        <w:bCs w:val="0"/>
        <w:i w:val="0"/>
        <w:iCs w:val="0"/>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2A290EF5"/>
    <w:multiLevelType w:val="hybridMultilevel"/>
    <w:tmpl w:val="31B8E44A"/>
    <w:lvl w:ilvl="0" w:tplc="08A058F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3AD2A40"/>
    <w:multiLevelType w:val="multilevel"/>
    <w:tmpl w:val="5FF6D7CA"/>
    <w:lvl w:ilvl="0">
      <w:start w:val="1"/>
      <w:numFmt w:val="decimal"/>
      <w:lvlText w:val="%1."/>
      <w:lvlJc w:val="left"/>
      <w:pPr>
        <w:ind w:left="720" w:hanging="360"/>
      </w:pPr>
      <w:rPr>
        <w:rFonts w:hint="default"/>
        <w:b w:val="0"/>
        <w:bCs/>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D795FF5"/>
    <w:multiLevelType w:val="hybridMultilevel"/>
    <w:tmpl w:val="0F36CF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071A0F"/>
    <w:multiLevelType w:val="hybridMultilevel"/>
    <w:tmpl w:val="C95454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CE3C57"/>
    <w:multiLevelType w:val="multilevel"/>
    <w:tmpl w:val="7E18F168"/>
    <w:lvl w:ilvl="0">
      <w:start w:val="1"/>
      <w:numFmt w:val="decimal"/>
      <w:lvlText w:val="%1."/>
      <w:lvlJc w:val="left"/>
      <w:pPr>
        <w:ind w:left="1222" w:hanging="360"/>
      </w:pPr>
      <w:rPr>
        <w:rFonts w:hint="default"/>
      </w:rPr>
    </w:lvl>
    <w:lvl w:ilvl="1">
      <w:start w:val="1"/>
      <w:numFmt w:val="decimal"/>
      <w:isLgl/>
      <w:lvlText w:val="%1.%2"/>
      <w:lvlJc w:val="left"/>
      <w:pPr>
        <w:ind w:left="1582"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022" w:hanging="1080"/>
      </w:pPr>
      <w:rPr>
        <w:rFonts w:hint="default"/>
      </w:rPr>
    </w:lvl>
    <w:lvl w:ilvl="4">
      <w:start w:val="1"/>
      <w:numFmt w:val="decimal"/>
      <w:isLgl/>
      <w:lvlText w:val="%1.%2.%3.%4.%5"/>
      <w:lvlJc w:val="left"/>
      <w:pPr>
        <w:ind w:left="3382" w:hanging="1080"/>
      </w:pPr>
      <w:rPr>
        <w:rFonts w:hint="default"/>
      </w:rPr>
    </w:lvl>
    <w:lvl w:ilvl="5">
      <w:start w:val="1"/>
      <w:numFmt w:val="decimal"/>
      <w:isLgl/>
      <w:lvlText w:val="%1.%2.%3.%4.%5.%6"/>
      <w:lvlJc w:val="left"/>
      <w:pPr>
        <w:ind w:left="4102" w:hanging="1440"/>
      </w:pPr>
      <w:rPr>
        <w:rFonts w:hint="default"/>
      </w:rPr>
    </w:lvl>
    <w:lvl w:ilvl="6">
      <w:start w:val="1"/>
      <w:numFmt w:val="decimal"/>
      <w:isLgl/>
      <w:lvlText w:val="%1.%2.%3.%4.%5.%6.%7"/>
      <w:lvlJc w:val="left"/>
      <w:pPr>
        <w:ind w:left="4462" w:hanging="1440"/>
      </w:pPr>
      <w:rPr>
        <w:rFonts w:hint="default"/>
      </w:rPr>
    </w:lvl>
    <w:lvl w:ilvl="7">
      <w:start w:val="1"/>
      <w:numFmt w:val="decimal"/>
      <w:isLgl/>
      <w:lvlText w:val="%1.%2.%3.%4.%5.%6.%7.%8"/>
      <w:lvlJc w:val="left"/>
      <w:pPr>
        <w:ind w:left="5182" w:hanging="1800"/>
      </w:pPr>
      <w:rPr>
        <w:rFonts w:hint="default"/>
      </w:rPr>
    </w:lvl>
    <w:lvl w:ilvl="8">
      <w:start w:val="1"/>
      <w:numFmt w:val="decimal"/>
      <w:isLgl/>
      <w:lvlText w:val="%1.%2.%3.%4.%5.%6.%7.%8.%9"/>
      <w:lvlJc w:val="left"/>
      <w:pPr>
        <w:ind w:left="5542" w:hanging="1800"/>
      </w:pPr>
      <w:rPr>
        <w:rFonts w:hint="default"/>
      </w:rPr>
    </w:lvl>
  </w:abstractNum>
  <w:abstractNum w:abstractNumId="10">
    <w:nsid w:val="64A61304"/>
    <w:multiLevelType w:val="multilevel"/>
    <w:tmpl w:val="59DE3662"/>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1">
    <w:nsid w:val="77D90C12"/>
    <w:multiLevelType w:val="hybridMultilevel"/>
    <w:tmpl w:val="1474F7FA"/>
    <w:lvl w:ilvl="0" w:tplc="D658781A">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11"/>
  </w:num>
  <w:num w:numId="6">
    <w:abstractNumId w:val="10"/>
  </w:num>
  <w:num w:numId="7">
    <w:abstractNumId w:val="8"/>
  </w:num>
  <w:num w:numId="8">
    <w:abstractNumId w:val="0"/>
  </w:num>
  <w:num w:numId="9">
    <w:abstractNumId w:val="5"/>
  </w:num>
  <w:num w:numId="10">
    <w:abstractNumId w:val="7"/>
  </w:num>
  <w:num w:numId="11">
    <w:abstractNumId w:val="2"/>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01B7"/>
    <w:rsid w:val="0000394C"/>
    <w:rsid w:val="00004A9C"/>
    <w:rsid w:val="000060CB"/>
    <w:rsid w:val="00007B6A"/>
    <w:rsid w:val="00010363"/>
    <w:rsid w:val="000104B4"/>
    <w:rsid w:val="000153A2"/>
    <w:rsid w:val="000200A5"/>
    <w:rsid w:val="00020BF8"/>
    <w:rsid w:val="000218AC"/>
    <w:rsid w:val="0002295E"/>
    <w:rsid w:val="00022E29"/>
    <w:rsid w:val="00030EDB"/>
    <w:rsid w:val="00033B19"/>
    <w:rsid w:val="0003697B"/>
    <w:rsid w:val="00050078"/>
    <w:rsid w:val="00050F49"/>
    <w:rsid w:val="00052547"/>
    <w:rsid w:val="00052A90"/>
    <w:rsid w:val="000538FC"/>
    <w:rsid w:val="000578D1"/>
    <w:rsid w:val="00062CEF"/>
    <w:rsid w:val="0006302B"/>
    <w:rsid w:val="00064E4F"/>
    <w:rsid w:val="00067975"/>
    <w:rsid w:val="00067C9A"/>
    <w:rsid w:val="00070EA4"/>
    <w:rsid w:val="000714B1"/>
    <w:rsid w:val="0007211D"/>
    <w:rsid w:val="000730BB"/>
    <w:rsid w:val="00080330"/>
    <w:rsid w:val="000829DC"/>
    <w:rsid w:val="0008376B"/>
    <w:rsid w:val="0008544C"/>
    <w:rsid w:val="00085E25"/>
    <w:rsid w:val="0008693D"/>
    <w:rsid w:val="00092C66"/>
    <w:rsid w:val="00093A0C"/>
    <w:rsid w:val="0009577C"/>
    <w:rsid w:val="000959B4"/>
    <w:rsid w:val="000964D1"/>
    <w:rsid w:val="000971DB"/>
    <w:rsid w:val="000A11F4"/>
    <w:rsid w:val="000A1578"/>
    <w:rsid w:val="000A1AA2"/>
    <w:rsid w:val="000A26D7"/>
    <w:rsid w:val="000A5272"/>
    <w:rsid w:val="000A6AC5"/>
    <w:rsid w:val="000B2542"/>
    <w:rsid w:val="000C091F"/>
    <w:rsid w:val="000C0E58"/>
    <w:rsid w:val="000C1577"/>
    <w:rsid w:val="000C1D16"/>
    <w:rsid w:val="000C4554"/>
    <w:rsid w:val="000D0136"/>
    <w:rsid w:val="000D0E63"/>
    <w:rsid w:val="000E07B1"/>
    <w:rsid w:val="000E172E"/>
    <w:rsid w:val="000E2882"/>
    <w:rsid w:val="000E5109"/>
    <w:rsid w:val="000E5543"/>
    <w:rsid w:val="000E55BD"/>
    <w:rsid w:val="000E5FB9"/>
    <w:rsid w:val="000E6633"/>
    <w:rsid w:val="000F535B"/>
    <w:rsid w:val="00101D88"/>
    <w:rsid w:val="001021EE"/>
    <w:rsid w:val="00103B10"/>
    <w:rsid w:val="00103EC1"/>
    <w:rsid w:val="00114724"/>
    <w:rsid w:val="0011570F"/>
    <w:rsid w:val="00121456"/>
    <w:rsid w:val="00121C78"/>
    <w:rsid w:val="00131289"/>
    <w:rsid w:val="0013492F"/>
    <w:rsid w:val="001410CA"/>
    <w:rsid w:val="00144EA8"/>
    <w:rsid w:val="0014709B"/>
    <w:rsid w:val="00147C2B"/>
    <w:rsid w:val="00151F35"/>
    <w:rsid w:val="00155668"/>
    <w:rsid w:val="0016046F"/>
    <w:rsid w:val="00161F55"/>
    <w:rsid w:val="00163683"/>
    <w:rsid w:val="001721F5"/>
    <w:rsid w:val="0017317E"/>
    <w:rsid w:val="0017465D"/>
    <w:rsid w:val="0018359A"/>
    <w:rsid w:val="0018654C"/>
    <w:rsid w:val="00192F71"/>
    <w:rsid w:val="00193741"/>
    <w:rsid w:val="00194AFD"/>
    <w:rsid w:val="00194BAE"/>
    <w:rsid w:val="00195908"/>
    <w:rsid w:val="00196260"/>
    <w:rsid w:val="001A21CD"/>
    <w:rsid w:val="001A3451"/>
    <w:rsid w:val="001A52B0"/>
    <w:rsid w:val="001A7F86"/>
    <w:rsid w:val="001B203D"/>
    <w:rsid w:val="001B288A"/>
    <w:rsid w:val="001B487B"/>
    <w:rsid w:val="001C36AC"/>
    <w:rsid w:val="001C3AEB"/>
    <w:rsid w:val="001C7E6B"/>
    <w:rsid w:val="001D6C62"/>
    <w:rsid w:val="001D6F4F"/>
    <w:rsid w:val="001E13AD"/>
    <w:rsid w:val="001E2843"/>
    <w:rsid w:val="001E2CE3"/>
    <w:rsid w:val="001E6710"/>
    <w:rsid w:val="001F07DD"/>
    <w:rsid w:val="001F450A"/>
    <w:rsid w:val="001F4AE5"/>
    <w:rsid w:val="002003EF"/>
    <w:rsid w:val="00201A93"/>
    <w:rsid w:val="002040D5"/>
    <w:rsid w:val="00205098"/>
    <w:rsid w:val="00206012"/>
    <w:rsid w:val="002073B7"/>
    <w:rsid w:val="0020751F"/>
    <w:rsid w:val="0021216F"/>
    <w:rsid w:val="002129F5"/>
    <w:rsid w:val="00222329"/>
    <w:rsid w:val="002263F3"/>
    <w:rsid w:val="00227A0E"/>
    <w:rsid w:val="00231953"/>
    <w:rsid w:val="00232BFD"/>
    <w:rsid w:val="00232EA0"/>
    <w:rsid w:val="002332DE"/>
    <w:rsid w:val="00235638"/>
    <w:rsid w:val="00242E76"/>
    <w:rsid w:val="00244901"/>
    <w:rsid w:val="00254146"/>
    <w:rsid w:val="00255485"/>
    <w:rsid w:val="00256849"/>
    <w:rsid w:val="00260F2D"/>
    <w:rsid w:val="00262240"/>
    <w:rsid w:val="00264079"/>
    <w:rsid w:val="00265336"/>
    <w:rsid w:val="00267036"/>
    <w:rsid w:val="0027008F"/>
    <w:rsid w:val="00270B1D"/>
    <w:rsid w:val="00273985"/>
    <w:rsid w:val="002740B5"/>
    <w:rsid w:val="0027691A"/>
    <w:rsid w:val="00280528"/>
    <w:rsid w:val="00281CA0"/>
    <w:rsid w:val="00282A6E"/>
    <w:rsid w:val="00283B34"/>
    <w:rsid w:val="002868F7"/>
    <w:rsid w:val="002875FA"/>
    <w:rsid w:val="00287E6E"/>
    <w:rsid w:val="002914E5"/>
    <w:rsid w:val="00293A69"/>
    <w:rsid w:val="0029767F"/>
    <w:rsid w:val="002A2D7B"/>
    <w:rsid w:val="002A3982"/>
    <w:rsid w:val="002A51AF"/>
    <w:rsid w:val="002A53F8"/>
    <w:rsid w:val="002A6287"/>
    <w:rsid w:val="002A6A3F"/>
    <w:rsid w:val="002B0A35"/>
    <w:rsid w:val="002B4437"/>
    <w:rsid w:val="002B69B1"/>
    <w:rsid w:val="002C0FFB"/>
    <w:rsid w:val="002C413A"/>
    <w:rsid w:val="002C4D4E"/>
    <w:rsid w:val="002C50F8"/>
    <w:rsid w:val="002C7527"/>
    <w:rsid w:val="002C7AFB"/>
    <w:rsid w:val="002D1B87"/>
    <w:rsid w:val="002D288B"/>
    <w:rsid w:val="002D6A2A"/>
    <w:rsid w:val="002D6BF0"/>
    <w:rsid w:val="002E1F21"/>
    <w:rsid w:val="002E2007"/>
    <w:rsid w:val="002E20D8"/>
    <w:rsid w:val="002E220C"/>
    <w:rsid w:val="002F3B32"/>
    <w:rsid w:val="002F610D"/>
    <w:rsid w:val="00307191"/>
    <w:rsid w:val="003130F3"/>
    <w:rsid w:val="00313396"/>
    <w:rsid w:val="003155D7"/>
    <w:rsid w:val="00316515"/>
    <w:rsid w:val="003168C5"/>
    <w:rsid w:val="00322298"/>
    <w:rsid w:val="00323F5E"/>
    <w:rsid w:val="00330DE1"/>
    <w:rsid w:val="00333325"/>
    <w:rsid w:val="003348C6"/>
    <w:rsid w:val="00334F20"/>
    <w:rsid w:val="00335D42"/>
    <w:rsid w:val="00336F9F"/>
    <w:rsid w:val="00342015"/>
    <w:rsid w:val="003459A7"/>
    <w:rsid w:val="00353BB5"/>
    <w:rsid w:val="00353E5B"/>
    <w:rsid w:val="00360697"/>
    <w:rsid w:val="00361136"/>
    <w:rsid w:val="00363165"/>
    <w:rsid w:val="00371BE5"/>
    <w:rsid w:val="00375DC6"/>
    <w:rsid w:val="0038358C"/>
    <w:rsid w:val="003838F9"/>
    <w:rsid w:val="00385391"/>
    <w:rsid w:val="00385FBC"/>
    <w:rsid w:val="00390120"/>
    <w:rsid w:val="00390B5F"/>
    <w:rsid w:val="00397445"/>
    <w:rsid w:val="003A0F8D"/>
    <w:rsid w:val="003A14B0"/>
    <w:rsid w:val="003A20FB"/>
    <w:rsid w:val="003A342C"/>
    <w:rsid w:val="003A3574"/>
    <w:rsid w:val="003A5BC8"/>
    <w:rsid w:val="003B6C23"/>
    <w:rsid w:val="003C20EF"/>
    <w:rsid w:val="003C415E"/>
    <w:rsid w:val="003C432D"/>
    <w:rsid w:val="003D7268"/>
    <w:rsid w:val="003E37B6"/>
    <w:rsid w:val="003E5CCD"/>
    <w:rsid w:val="003E6BDA"/>
    <w:rsid w:val="003E7D7E"/>
    <w:rsid w:val="003F0C07"/>
    <w:rsid w:val="003F136E"/>
    <w:rsid w:val="003F2236"/>
    <w:rsid w:val="003F37AE"/>
    <w:rsid w:val="003F46D7"/>
    <w:rsid w:val="00402FAB"/>
    <w:rsid w:val="00404590"/>
    <w:rsid w:val="00406F88"/>
    <w:rsid w:val="004075F2"/>
    <w:rsid w:val="00412E0C"/>
    <w:rsid w:val="00413603"/>
    <w:rsid w:val="00413E2B"/>
    <w:rsid w:val="00416EA1"/>
    <w:rsid w:val="00417BE7"/>
    <w:rsid w:val="0042184A"/>
    <w:rsid w:val="004247F2"/>
    <w:rsid w:val="00425F53"/>
    <w:rsid w:val="00432B66"/>
    <w:rsid w:val="004367B8"/>
    <w:rsid w:val="00440D4B"/>
    <w:rsid w:val="0044117D"/>
    <w:rsid w:val="00442156"/>
    <w:rsid w:val="0044361B"/>
    <w:rsid w:val="00443ADE"/>
    <w:rsid w:val="00444C8B"/>
    <w:rsid w:val="0044572B"/>
    <w:rsid w:val="00446EFE"/>
    <w:rsid w:val="0045149D"/>
    <w:rsid w:val="00452748"/>
    <w:rsid w:val="00452A4C"/>
    <w:rsid w:val="00453C16"/>
    <w:rsid w:val="00453CF3"/>
    <w:rsid w:val="00454072"/>
    <w:rsid w:val="00456CAB"/>
    <w:rsid w:val="00460F1A"/>
    <w:rsid w:val="00461E12"/>
    <w:rsid w:val="00463D10"/>
    <w:rsid w:val="00475569"/>
    <w:rsid w:val="00475A8E"/>
    <w:rsid w:val="00475DE0"/>
    <w:rsid w:val="0048191C"/>
    <w:rsid w:val="00482966"/>
    <w:rsid w:val="004854D5"/>
    <w:rsid w:val="00487112"/>
    <w:rsid w:val="0049074E"/>
    <w:rsid w:val="0049313B"/>
    <w:rsid w:val="004A1DD2"/>
    <w:rsid w:val="004A4C2C"/>
    <w:rsid w:val="004A73EB"/>
    <w:rsid w:val="004B08C6"/>
    <w:rsid w:val="004B5013"/>
    <w:rsid w:val="004C0936"/>
    <w:rsid w:val="004C2472"/>
    <w:rsid w:val="004C6A1E"/>
    <w:rsid w:val="004D12FE"/>
    <w:rsid w:val="004D3845"/>
    <w:rsid w:val="004D3E1C"/>
    <w:rsid w:val="004D5698"/>
    <w:rsid w:val="004D658A"/>
    <w:rsid w:val="004D67A2"/>
    <w:rsid w:val="004E41FB"/>
    <w:rsid w:val="004E581A"/>
    <w:rsid w:val="004E6C18"/>
    <w:rsid w:val="004F001C"/>
    <w:rsid w:val="004F0167"/>
    <w:rsid w:val="004F1F56"/>
    <w:rsid w:val="004F4249"/>
    <w:rsid w:val="004F53EA"/>
    <w:rsid w:val="004F6419"/>
    <w:rsid w:val="00500DA0"/>
    <w:rsid w:val="0050250E"/>
    <w:rsid w:val="005047AD"/>
    <w:rsid w:val="005069D9"/>
    <w:rsid w:val="00514611"/>
    <w:rsid w:val="005152B7"/>
    <w:rsid w:val="0051651C"/>
    <w:rsid w:val="0052011D"/>
    <w:rsid w:val="00522834"/>
    <w:rsid w:val="0052438F"/>
    <w:rsid w:val="0052535A"/>
    <w:rsid w:val="00531669"/>
    <w:rsid w:val="0053699C"/>
    <w:rsid w:val="00540198"/>
    <w:rsid w:val="00547503"/>
    <w:rsid w:val="005475F2"/>
    <w:rsid w:val="00547AC7"/>
    <w:rsid w:val="00551B4C"/>
    <w:rsid w:val="0055431B"/>
    <w:rsid w:val="005560EF"/>
    <w:rsid w:val="0056449D"/>
    <w:rsid w:val="00567950"/>
    <w:rsid w:val="0057074A"/>
    <w:rsid w:val="0057076A"/>
    <w:rsid w:val="005720E9"/>
    <w:rsid w:val="00584468"/>
    <w:rsid w:val="00585466"/>
    <w:rsid w:val="00587548"/>
    <w:rsid w:val="00587BF3"/>
    <w:rsid w:val="00594578"/>
    <w:rsid w:val="00595099"/>
    <w:rsid w:val="005A2A1F"/>
    <w:rsid w:val="005A2F73"/>
    <w:rsid w:val="005B0DB3"/>
    <w:rsid w:val="005B118D"/>
    <w:rsid w:val="005B153A"/>
    <w:rsid w:val="005B6266"/>
    <w:rsid w:val="005B75C1"/>
    <w:rsid w:val="005C7EFA"/>
    <w:rsid w:val="005D3007"/>
    <w:rsid w:val="005D3129"/>
    <w:rsid w:val="005D4335"/>
    <w:rsid w:val="005D4790"/>
    <w:rsid w:val="005E2259"/>
    <w:rsid w:val="005E230C"/>
    <w:rsid w:val="005E343C"/>
    <w:rsid w:val="005E448E"/>
    <w:rsid w:val="005F16FA"/>
    <w:rsid w:val="005F49B3"/>
    <w:rsid w:val="005F4BFF"/>
    <w:rsid w:val="005F51B9"/>
    <w:rsid w:val="005F653D"/>
    <w:rsid w:val="006036F8"/>
    <w:rsid w:val="00603D7B"/>
    <w:rsid w:val="00605316"/>
    <w:rsid w:val="006077A9"/>
    <w:rsid w:val="006108CE"/>
    <w:rsid w:val="00610A36"/>
    <w:rsid w:val="00612675"/>
    <w:rsid w:val="00612696"/>
    <w:rsid w:val="00613E4D"/>
    <w:rsid w:val="00615A0C"/>
    <w:rsid w:val="00621654"/>
    <w:rsid w:val="006216B4"/>
    <w:rsid w:val="006257C1"/>
    <w:rsid w:val="0063569A"/>
    <w:rsid w:val="00637C14"/>
    <w:rsid w:val="006430C0"/>
    <w:rsid w:val="00644BB3"/>
    <w:rsid w:val="00646138"/>
    <w:rsid w:val="00650745"/>
    <w:rsid w:val="00651B9B"/>
    <w:rsid w:val="00653433"/>
    <w:rsid w:val="00654FD2"/>
    <w:rsid w:val="00655236"/>
    <w:rsid w:val="00656569"/>
    <w:rsid w:val="00660826"/>
    <w:rsid w:val="00661AA8"/>
    <w:rsid w:val="006630FB"/>
    <w:rsid w:val="00665F7E"/>
    <w:rsid w:val="006710DC"/>
    <w:rsid w:val="0067399C"/>
    <w:rsid w:val="00675035"/>
    <w:rsid w:val="00676987"/>
    <w:rsid w:val="00677BC9"/>
    <w:rsid w:val="00683071"/>
    <w:rsid w:val="00686AFF"/>
    <w:rsid w:val="00695533"/>
    <w:rsid w:val="006A1AA8"/>
    <w:rsid w:val="006A2498"/>
    <w:rsid w:val="006A37E3"/>
    <w:rsid w:val="006A5954"/>
    <w:rsid w:val="006A6DDB"/>
    <w:rsid w:val="006A770C"/>
    <w:rsid w:val="006B0014"/>
    <w:rsid w:val="006B3D1D"/>
    <w:rsid w:val="006B44D6"/>
    <w:rsid w:val="006B5516"/>
    <w:rsid w:val="006B67ED"/>
    <w:rsid w:val="006C5C2B"/>
    <w:rsid w:val="006C705A"/>
    <w:rsid w:val="006D6F58"/>
    <w:rsid w:val="006E193E"/>
    <w:rsid w:val="006E4415"/>
    <w:rsid w:val="006E462C"/>
    <w:rsid w:val="006E6557"/>
    <w:rsid w:val="006F2787"/>
    <w:rsid w:val="006F40B5"/>
    <w:rsid w:val="00700E66"/>
    <w:rsid w:val="00701132"/>
    <w:rsid w:val="00703511"/>
    <w:rsid w:val="00707C51"/>
    <w:rsid w:val="0071053D"/>
    <w:rsid w:val="00713A5D"/>
    <w:rsid w:val="00715D2A"/>
    <w:rsid w:val="00720FEF"/>
    <w:rsid w:val="0072221F"/>
    <w:rsid w:val="0072253A"/>
    <w:rsid w:val="007240E6"/>
    <w:rsid w:val="007305A7"/>
    <w:rsid w:val="0073212D"/>
    <w:rsid w:val="00733746"/>
    <w:rsid w:val="00735EB8"/>
    <w:rsid w:val="00736CDA"/>
    <w:rsid w:val="00737291"/>
    <w:rsid w:val="00742BAE"/>
    <w:rsid w:val="00743A35"/>
    <w:rsid w:val="007458C9"/>
    <w:rsid w:val="00750CC1"/>
    <w:rsid w:val="00753AD4"/>
    <w:rsid w:val="00755484"/>
    <w:rsid w:val="00763002"/>
    <w:rsid w:val="0076474D"/>
    <w:rsid w:val="00764D0D"/>
    <w:rsid w:val="00765BC3"/>
    <w:rsid w:val="0076608B"/>
    <w:rsid w:val="007679D5"/>
    <w:rsid w:val="00771E0F"/>
    <w:rsid w:val="007728D2"/>
    <w:rsid w:val="00773FEA"/>
    <w:rsid w:val="00777941"/>
    <w:rsid w:val="00785866"/>
    <w:rsid w:val="00785F78"/>
    <w:rsid w:val="007875AE"/>
    <w:rsid w:val="0078777C"/>
    <w:rsid w:val="007925FD"/>
    <w:rsid w:val="007970E1"/>
    <w:rsid w:val="007A288E"/>
    <w:rsid w:val="007A53BB"/>
    <w:rsid w:val="007A6F48"/>
    <w:rsid w:val="007B1CEA"/>
    <w:rsid w:val="007B2C1E"/>
    <w:rsid w:val="007B46F6"/>
    <w:rsid w:val="007B63CD"/>
    <w:rsid w:val="007B78A3"/>
    <w:rsid w:val="007C373C"/>
    <w:rsid w:val="007C6C98"/>
    <w:rsid w:val="007C7D36"/>
    <w:rsid w:val="007D17B5"/>
    <w:rsid w:val="007D24A3"/>
    <w:rsid w:val="007D4803"/>
    <w:rsid w:val="007E14BF"/>
    <w:rsid w:val="007E1AF2"/>
    <w:rsid w:val="007E5CFD"/>
    <w:rsid w:val="007E6B79"/>
    <w:rsid w:val="007E7B98"/>
    <w:rsid w:val="007F0BBF"/>
    <w:rsid w:val="007F267C"/>
    <w:rsid w:val="007F3E57"/>
    <w:rsid w:val="007F6920"/>
    <w:rsid w:val="007F7FED"/>
    <w:rsid w:val="0080634A"/>
    <w:rsid w:val="00806DFA"/>
    <w:rsid w:val="008203FB"/>
    <w:rsid w:val="00821962"/>
    <w:rsid w:val="00822511"/>
    <w:rsid w:val="00831091"/>
    <w:rsid w:val="0083215B"/>
    <w:rsid w:val="0083710F"/>
    <w:rsid w:val="00837200"/>
    <w:rsid w:val="008402F6"/>
    <w:rsid w:val="00840547"/>
    <w:rsid w:val="008412BE"/>
    <w:rsid w:val="0084332A"/>
    <w:rsid w:val="008465D6"/>
    <w:rsid w:val="00852B2D"/>
    <w:rsid w:val="00857310"/>
    <w:rsid w:val="00860899"/>
    <w:rsid w:val="008644CC"/>
    <w:rsid w:val="008649B6"/>
    <w:rsid w:val="00866025"/>
    <w:rsid w:val="008702E3"/>
    <w:rsid w:val="008732CF"/>
    <w:rsid w:val="00876181"/>
    <w:rsid w:val="008812CB"/>
    <w:rsid w:val="0088233C"/>
    <w:rsid w:val="00882421"/>
    <w:rsid w:val="00883E47"/>
    <w:rsid w:val="00892766"/>
    <w:rsid w:val="008956FD"/>
    <w:rsid w:val="008A3877"/>
    <w:rsid w:val="008A6396"/>
    <w:rsid w:val="008B1A58"/>
    <w:rsid w:val="008B1B71"/>
    <w:rsid w:val="008B2182"/>
    <w:rsid w:val="008B677D"/>
    <w:rsid w:val="008B6AB5"/>
    <w:rsid w:val="008C18AE"/>
    <w:rsid w:val="008C2424"/>
    <w:rsid w:val="008C30DD"/>
    <w:rsid w:val="008C3603"/>
    <w:rsid w:val="008C45A5"/>
    <w:rsid w:val="008D34A8"/>
    <w:rsid w:val="008D4FD5"/>
    <w:rsid w:val="008D738D"/>
    <w:rsid w:val="008E295E"/>
    <w:rsid w:val="008E2CA8"/>
    <w:rsid w:val="008E3210"/>
    <w:rsid w:val="008E3838"/>
    <w:rsid w:val="008E3CBC"/>
    <w:rsid w:val="008E4705"/>
    <w:rsid w:val="008E5BBF"/>
    <w:rsid w:val="008E61F0"/>
    <w:rsid w:val="008F2EA2"/>
    <w:rsid w:val="009007B6"/>
    <w:rsid w:val="00901159"/>
    <w:rsid w:val="009026AA"/>
    <w:rsid w:val="00905EBE"/>
    <w:rsid w:val="00911000"/>
    <w:rsid w:val="00911F9D"/>
    <w:rsid w:val="009155B3"/>
    <w:rsid w:val="00916812"/>
    <w:rsid w:val="00916FDE"/>
    <w:rsid w:val="009227A6"/>
    <w:rsid w:val="00923678"/>
    <w:rsid w:val="00923E09"/>
    <w:rsid w:val="00926EAA"/>
    <w:rsid w:val="00934721"/>
    <w:rsid w:val="0093492C"/>
    <w:rsid w:val="0093762E"/>
    <w:rsid w:val="00940B57"/>
    <w:rsid w:val="00941562"/>
    <w:rsid w:val="00944BDE"/>
    <w:rsid w:val="0094618C"/>
    <w:rsid w:val="0095114B"/>
    <w:rsid w:val="0095576C"/>
    <w:rsid w:val="009567D8"/>
    <w:rsid w:val="009601A4"/>
    <w:rsid w:val="00962B70"/>
    <w:rsid w:val="00965032"/>
    <w:rsid w:val="00972E77"/>
    <w:rsid w:val="009732B6"/>
    <w:rsid w:val="00974554"/>
    <w:rsid w:val="00974894"/>
    <w:rsid w:val="00976470"/>
    <w:rsid w:val="00976D15"/>
    <w:rsid w:val="00977E1A"/>
    <w:rsid w:val="00982553"/>
    <w:rsid w:val="009838D5"/>
    <w:rsid w:val="00987290"/>
    <w:rsid w:val="00990570"/>
    <w:rsid w:val="00992DEB"/>
    <w:rsid w:val="009950C9"/>
    <w:rsid w:val="009A269B"/>
    <w:rsid w:val="009A2D04"/>
    <w:rsid w:val="009A33C1"/>
    <w:rsid w:val="009A79F1"/>
    <w:rsid w:val="009B099B"/>
    <w:rsid w:val="009B2BC9"/>
    <w:rsid w:val="009B36AA"/>
    <w:rsid w:val="009B3D4B"/>
    <w:rsid w:val="009B3E83"/>
    <w:rsid w:val="009B4C31"/>
    <w:rsid w:val="009C0A48"/>
    <w:rsid w:val="009C514B"/>
    <w:rsid w:val="009C6042"/>
    <w:rsid w:val="009D29E3"/>
    <w:rsid w:val="009D318B"/>
    <w:rsid w:val="009D3ABC"/>
    <w:rsid w:val="009D57DB"/>
    <w:rsid w:val="009E1EF1"/>
    <w:rsid w:val="009E2FF8"/>
    <w:rsid w:val="009F22F0"/>
    <w:rsid w:val="009F43A4"/>
    <w:rsid w:val="009F5E83"/>
    <w:rsid w:val="00A00768"/>
    <w:rsid w:val="00A01777"/>
    <w:rsid w:val="00A02FD9"/>
    <w:rsid w:val="00A055B0"/>
    <w:rsid w:val="00A06BF9"/>
    <w:rsid w:val="00A06E43"/>
    <w:rsid w:val="00A07432"/>
    <w:rsid w:val="00A120EC"/>
    <w:rsid w:val="00A12932"/>
    <w:rsid w:val="00A13793"/>
    <w:rsid w:val="00A14806"/>
    <w:rsid w:val="00A14959"/>
    <w:rsid w:val="00A156AE"/>
    <w:rsid w:val="00A15E04"/>
    <w:rsid w:val="00A161B0"/>
    <w:rsid w:val="00A165EA"/>
    <w:rsid w:val="00A22388"/>
    <w:rsid w:val="00A24B93"/>
    <w:rsid w:val="00A30486"/>
    <w:rsid w:val="00A304C7"/>
    <w:rsid w:val="00A323D2"/>
    <w:rsid w:val="00A32C10"/>
    <w:rsid w:val="00A337E6"/>
    <w:rsid w:val="00A3600A"/>
    <w:rsid w:val="00A4089B"/>
    <w:rsid w:val="00A43111"/>
    <w:rsid w:val="00A43F9C"/>
    <w:rsid w:val="00A4634B"/>
    <w:rsid w:val="00A52EE8"/>
    <w:rsid w:val="00A54C36"/>
    <w:rsid w:val="00A55C3C"/>
    <w:rsid w:val="00A56BC1"/>
    <w:rsid w:val="00A600CF"/>
    <w:rsid w:val="00A61AE8"/>
    <w:rsid w:val="00A62353"/>
    <w:rsid w:val="00A63F51"/>
    <w:rsid w:val="00A66FF5"/>
    <w:rsid w:val="00A67CBE"/>
    <w:rsid w:val="00A70455"/>
    <w:rsid w:val="00A75EF4"/>
    <w:rsid w:val="00A77551"/>
    <w:rsid w:val="00A775F2"/>
    <w:rsid w:val="00A83A03"/>
    <w:rsid w:val="00A84193"/>
    <w:rsid w:val="00A8522E"/>
    <w:rsid w:val="00A9010C"/>
    <w:rsid w:val="00A901C5"/>
    <w:rsid w:val="00AA475A"/>
    <w:rsid w:val="00AA5F45"/>
    <w:rsid w:val="00AA663B"/>
    <w:rsid w:val="00AB1510"/>
    <w:rsid w:val="00AB2DE7"/>
    <w:rsid w:val="00AB40AF"/>
    <w:rsid w:val="00AB4CA7"/>
    <w:rsid w:val="00AB636E"/>
    <w:rsid w:val="00AB6798"/>
    <w:rsid w:val="00AB6877"/>
    <w:rsid w:val="00AC09ED"/>
    <w:rsid w:val="00AD49F8"/>
    <w:rsid w:val="00AD7C32"/>
    <w:rsid w:val="00AE19AF"/>
    <w:rsid w:val="00AE1E5D"/>
    <w:rsid w:val="00AE4E9C"/>
    <w:rsid w:val="00AF1197"/>
    <w:rsid w:val="00AF1688"/>
    <w:rsid w:val="00AF3194"/>
    <w:rsid w:val="00B036F0"/>
    <w:rsid w:val="00B05716"/>
    <w:rsid w:val="00B07221"/>
    <w:rsid w:val="00B11DEB"/>
    <w:rsid w:val="00B120C9"/>
    <w:rsid w:val="00B12662"/>
    <w:rsid w:val="00B20170"/>
    <w:rsid w:val="00B21489"/>
    <w:rsid w:val="00B2186B"/>
    <w:rsid w:val="00B21E88"/>
    <w:rsid w:val="00B22495"/>
    <w:rsid w:val="00B244B7"/>
    <w:rsid w:val="00B3097A"/>
    <w:rsid w:val="00B3106B"/>
    <w:rsid w:val="00B33A5C"/>
    <w:rsid w:val="00B361A3"/>
    <w:rsid w:val="00B404D0"/>
    <w:rsid w:val="00B44F10"/>
    <w:rsid w:val="00B50E11"/>
    <w:rsid w:val="00B62CCE"/>
    <w:rsid w:val="00B64D36"/>
    <w:rsid w:val="00B70181"/>
    <w:rsid w:val="00B72F08"/>
    <w:rsid w:val="00B73443"/>
    <w:rsid w:val="00B76129"/>
    <w:rsid w:val="00B8347D"/>
    <w:rsid w:val="00B862D2"/>
    <w:rsid w:val="00B908DF"/>
    <w:rsid w:val="00B90D72"/>
    <w:rsid w:val="00B91270"/>
    <w:rsid w:val="00B91727"/>
    <w:rsid w:val="00B92074"/>
    <w:rsid w:val="00B92366"/>
    <w:rsid w:val="00B92A41"/>
    <w:rsid w:val="00B9551D"/>
    <w:rsid w:val="00B95693"/>
    <w:rsid w:val="00B95E84"/>
    <w:rsid w:val="00BA1F62"/>
    <w:rsid w:val="00BA5982"/>
    <w:rsid w:val="00BB3F25"/>
    <w:rsid w:val="00BB3F9A"/>
    <w:rsid w:val="00BB6202"/>
    <w:rsid w:val="00BB769A"/>
    <w:rsid w:val="00BC0DEB"/>
    <w:rsid w:val="00BD1DB5"/>
    <w:rsid w:val="00BD2454"/>
    <w:rsid w:val="00BD647C"/>
    <w:rsid w:val="00BE257B"/>
    <w:rsid w:val="00BE6CCB"/>
    <w:rsid w:val="00BF09B4"/>
    <w:rsid w:val="00BF43E1"/>
    <w:rsid w:val="00C03C15"/>
    <w:rsid w:val="00C04C43"/>
    <w:rsid w:val="00C06176"/>
    <w:rsid w:val="00C1009D"/>
    <w:rsid w:val="00C11D38"/>
    <w:rsid w:val="00C1227A"/>
    <w:rsid w:val="00C16DB2"/>
    <w:rsid w:val="00C252A9"/>
    <w:rsid w:val="00C32A6F"/>
    <w:rsid w:val="00C33AAD"/>
    <w:rsid w:val="00C359FB"/>
    <w:rsid w:val="00C35AE1"/>
    <w:rsid w:val="00C4185B"/>
    <w:rsid w:val="00C44625"/>
    <w:rsid w:val="00C4520D"/>
    <w:rsid w:val="00C45291"/>
    <w:rsid w:val="00C45CF3"/>
    <w:rsid w:val="00C46E2F"/>
    <w:rsid w:val="00C476E5"/>
    <w:rsid w:val="00C477DE"/>
    <w:rsid w:val="00C50A22"/>
    <w:rsid w:val="00C519B2"/>
    <w:rsid w:val="00C52737"/>
    <w:rsid w:val="00C53A35"/>
    <w:rsid w:val="00C53B19"/>
    <w:rsid w:val="00C5727B"/>
    <w:rsid w:val="00C60890"/>
    <w:rsid w:val="00C63FFA"/>
    <w:rsid w:val="00C64B6A"/>
    <w:rsid w:val="00C7071F"/>
    <w:rsid w:val="00C72619"/>
    <w:rsid w:val="00C72A6C"/>
    <w:rsid w:val="00C7361A"/>
    <w:rsid w:val="00C7460D"/>
    <w:rsid w:val="00C80336"/>
    <w:rsid w:val="00C82E72"/>
    <w:rsid w:val="00C8430A"/>
    <w:rsid w:val="00C87F56"/>
    <w:rsid w:val="00C9262D"/>
    <w:rsid w:val="00CA078B"/>
    <w:rsid w:val="00CA67E2"/>
    <w:rsid w:val="00CA6C2A"/>
    <w:rsid w:val="00CA7442"/>
    <w:rsid w:val="00CB1F1D"/>
    <w:rsid w:val="00CB2381"/>
    <w:rsid w:val="00CB2439"/>
    <w:rsid w:val="00CB6F8A"/>
    <w:rsid w:val="00CC3AB3"/>
    <w:rsid w:val="00CD1BDD"/>
    <w:rsid w:val="00CE09E5"/>
    <w:rsid w:val="00CE0CC7"/>
    <w:rsid w:val="00CE30E0"/>
    <w:rsid w:val="00CE3BED"/>
    <w:rsid w:val="00CF05BE"/>
    <w:rsid w:val="00CF08CE"/>
    <w:rsid w:val="00CF0F09"/>
    <w:rsid w:val="00CF1C9D"/>
    <w:rsid w:val="00CF51FB"/>
    <w:rsid w:val="00CF7090"/>
    <w:rsid w:val="00CF7D86"/>
    <w:rsid w:val="00CF7D99"/>
    <w:rsid w:val="00D00B2E"/>
    <w:rsid w:val="00D01565"/>
    <w:rsid w:val="00D026E5"/>
    <w:rsid w:val="00D02E78"/>
    <w:rsid w:val="00D0642F"/>
    <w:rsid w:val="00D07002"/>
    <w:rsid w:val="00D10577"/>
    <w:rsid w:val="00D1280F"/>
    <w:rsid w:val="00D15C8C"/>
    <w:rsid w:val="00D16320"/>
    <w:rsid w:val="00D1638A"/>
    <w:rsid w:val="00D17425"/>
    <w:rsid w:val="00D17B06"/>
    <w:rsid w:val="00D20211"/>
    <w:rsid w:val="00D2145B"/>
    <w:rsid w:val="00D23118"/>
    <w:rsid w:val="00D23AB6"/>
    <w:rsid w:val="00D2698D"/>
    <w:rsid w:val="00D273D0"/>
    <w:rsid w:val="00D314A6"/>
    <w:rsid w:val="00D31928"/>
    <w:rsid w:val="00D344C1"/>
    <w:rsid w:val="00D36006"/>
    <w:rsid w:val="00D3705F"/>
    <w:rsid w:val="00D373D9"/>
    <w:rsid w:val="00D40135"/>
    <w:rsid w:val="00D42B06"/>
    <w:rsid w:val="00D47041"/>
    <w:rsid w:val="00D523A1"/>
    <w:rsid w:val="00D526DF"/>
    <w:rsid w:val="00D61362"/>
    <w:rsid w:val="00D643F2"/>
    <w:rsid w:val="00D65034"/>
    <w:rsid w:val="00D72025"/>
    <w:rsid w:val="00D725B6"/>
    <w:rsid w:val="00D75D27"/>
    <w:rsid w:val="00D75F3B"/>
    <w:rsid w:val="00D77C76"/>
    <w:rsid w:val="00D85CBB"/>
    <w:rsid w:val="00D911AC"/>
    <w:rsid w:val="00D91BA3"/>
    <w:rsid w:val="00D9427C"/>
    <w:rsid w:val="00D94ADD"/>
    <w:rsid w:val="00DA44A9"/>
    <w:rsid w:val="00DA7A8D"/>
    <w:rsid w:val="00DB19FF"/>
    <w:rsid w:val="00DB5128"/>
    <w:rsid w:val="00DB60E6"/>
    <w:rsid w:val="00DC0738"/>
    <w:rsid w:val="00DD0D2F"/>
    <w:rsid w:val="00DD4D3D"/>
    <w:rsid w:val="00DD5A44"/>
    <w:rsid w:val="00DD7178"/>
    <w:rsid w:val="00DE0282"/>
    <w:rsid w:val="00DE0308"/>
    <w:rsid w:val="00DE0346"/>
    <w:rsid w:val="00DE1587"/>
    <w:rsid w:val="00DE39D7"/>
    <w:rsid w:val="00DF0D64"/>
    <w:rsid w:val="00DF1032"/>
    <w:rsid w:val="00DF1FC4"/>
    <w:rsid w:val="00DF4D83"/>
    <w:rsid w:val="00E015AF"/>
    <w:rsid w:val="00E01835"/>
    <w:rsid w:val="00E02EAF"/>
    <w:rsid w:val="00E03204"/>
    <w:rsid w:val="00E03B46"/>
    <w:rsid w:val="00E067A2"/>
    <w:rsid w:val="00E077DF"/>
    <w:rsid w:val="00E07A72"/>
    <w:rsid w:val="00E12A80"/>
    <w:rsid w:val="00E15BCC"/>
    <w:rsid w:val="00E25A3E"/>
    <w:rsid w:val="00E2606B"/>
    <w:rsid w:val="00E3052B"/>
    <w:rsid w:val="00E31629"/>
    <w:rsid w:val="00E331B6"/>
    <w:rsid w:val="00E36FD9"/>
    <w:rsid w:val="00E43F8E"/>
    <w:rsid w:val="00E45186"/>
    <w:rsid w:val="00E4759E"/>
    <w:rsid w:val="00E50554"/>
    <w:rsid w:val="00E507F0"/>
    <w:rsid w:val="00E51144"/>
    <w:rsid w:val="00E5582B"/>
    <w:rsid w:val="00E55848"/>
    <w:rsid w:val="00E55C66"/>
    <w:rsid w:val="00E56FAD"/>
    <w:rsid w:val="00E63F2E"/>
    <w:rsid w:val="00E6515C"/>
    <w:rsid w:val="00E65FD4"/>
    <w:rsid w:val="00E7210A"/>
    <w:rsid w:val="00E72A79"/>
    <w:rsid w:val="00E802B6"/>
    <w:rsid w:val="00E82E00"/>
    <w:rsid w:val="00E82F1E"/>
    <w:rsid w:val="00E8500B"/>
    <w:rsid w:val="00E8695C"/>
    <w:rsid w:val="00E86AD4"/>
    <w:rsid w:val="00E87C23"/>
    <w:rsid w:val="00E904E4"/>
    <w:rsid w:val="00E916A7"/>
    <w:rsid w:val="00E932B5"/>
    <w:rsid w:val="00E9478D"/>
    <w:rsid w:val="00E94C86"/>
    <w:rsid w:val="00E95904"/>
    <w:rsid w:val="00E95FDF"/>
    <w:rsid w:val="00E965B7"/>
    <w:rsid w:val="00E972D3"/>
    <w:rsid w:val="00EA316A"/>
    <w:rsid w:val="00EA66AD"/>
    <w:rsid w:val="00EB239A"/>
    <w:rsid w:val="00EC4FE5"/>
    <w:rsid w:val="00EC72BA"/>
    <w:rsid w:val="00EC7C52"/>
    <w:rsid w:val="00ED011F"/>
    <w:rsid w:val="00ED23AA"/>
    <w:rsid w:val="00ED58E4"/>
    <w:rsid w:val="00ED68B8"/>
    <w:rsid w:val="00EE0738"/>
    <w:rsid w:val="00EE0DBB"/>
    <w:rsid w:val="00EE1161"/>
    <w:rsid w:val="00EE709D"/>
    <w:rsid w:val="00EE7699"/>
    <w:rsid w:val="00EE7C9E"/>
    <w:rsid w:val="00EF0C48"/>
    <w:rsid w:val="00EF46E6"/>
    <w:rsid w:val="00EF5F44"/>
    <w:rsid w:val="00EF626F"/>
    <w:rsid w:val="00F001B5"/>
    <w:rsid w:val="00F00B18"/>
    <w:rsid w:val="00F0330D"/>
    <w:rsid w:val="00F0562B"/>
    <w:rsid w:val="00F06E7C"/>
    <w:rsid w:val="00F07FAF"/>
    <w:rsid w:val="00F10750"/>
    <w:rsid w:val="00F12440"/>
    <w:rsid w:val="00F142DB"/>
    <w:rsid w:val="00F16056"/>
    <w:rsid w:val="00F20D5C"/>
    <w:rsid w:val="00F21520"/>
    <w:rsid w:val="00F22289"/>
    <w:rsid w:val="00F25D67"/>
    <w:rsid w:val="00F26354"/>
    <w:rsid w:val="00F27F84"/>
    <w:rsid w:val="00F34654"/>
    <w:rsid w:val="00F3578B"/>
    <w:rsid w:val="00F357F6"/>
    <w:rsid w:val="00F43A15"/>
    <w:rsid w:val="00F43C52"/>
    <w:rsid w:val="00F44185"/>
    <w:rsid w:val="00F442D7"/>
    <w:rsid w:val="00F471C4"/>
    <w:rsid w:val="00F5238A"/>
    <w:rsid w:val="00F53553"/>
    <w:rsid w:val="00F5420B"/>
    <w:rsid w:val="00F55C9B"/>
    <w:rsid w:val="00F56324"/>
    <w:rsid w:val="00F57032"/>
    <w:rsid w:val="00F579ED"/>
    <w:rsid w:val="00F57BC1"/>
    <w:rsid w:val="00F63187"/>
    <w:rsid w:val="00F63AA6"/>
    <w:rsid w:val="00F64177"/>
    <w:rsid w:val="00F64284"/>
    <w:rsid w:val="00F666F9"/>
    <w:rsid w:val="00F67AE3"/>
    <w:rsid w:val="00F70A12"/>
    <w:rsid w:val="00F71C68"/>
    <w:rsid w:val="00F7380D"/>
    <w:rsid w:val="00F743E1"/>
    <w:rsid w:val="00F85632"/>
    <w:rsid w:val="00F867F4"/>
    <w:rsid w:val="00F87163"/>
    <w:rsid w:val="00F90936"/>
    <w:rsid w:val="00F9379B"/>
    <w:rsid w:val="00F93BA4"/>
    <w:rsid w:val="00F95B0D"/>
    <w:rsid w:val="00F96145"/>
    <w:rsid w:val="00F97E13"/>
    <w:rsid w:val="00FA1191"/>
    <w:rsid w:val="00FA547D"/>
    <w:rsid w:val="00FA6F86"/>
    <w:rsid w:val="00FB0ED4"/>
    <w:rsid w:val="00FC01F2"/>
    <w:rsid w:val="00FC0385"/>
    <w:rsid w:val="00FC13A4"/>
    <w:rsid w:val="00FC34D5"/>
    <w:rsid w:val="00FC61F3"/>
    <w:rsid w:val="00FC76E7"/>
    <w:rsid w:val="00FD07EE"/>
    <w:rsid w:val="00FD36CE"/>
    <w:rsid w:val="00FD48A0"/>
    <w:rsid w:val="00FD5090"/>
    <w:rsid w:val="00FD5648"/>
    <w:rsid w:val="00FE07D3"/>
    <w:rsid w:val="00FE4DF3"/>
    <w:rsid w:val="00FE53D2"/>
    <w:rsid w:val="00FE7668"/>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E65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1"/>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styleId="EndnoteText">
    <w:name w:val="endnote text"/>
    <w:basedOn w:val="Normal"/>
    <w:link w:val="EndnoteTextChar"/>
    <w:uiPriority w:val="99"/>
    <w:semiHidden/>
    <w:unhideWhenUsed/>
    <w:rsid w:val="00D23118"/>
    <w:rPr>
      <w:sz w:val="20"/>
      <w:szCs w:val="20"/>
    </w:rPr>
  </w:style>
  <w:style w:type="character" w:customStyle="1" w:styleId="EndnoteTextChar">
    <w:name w:val="Endnote Text Char"/>
    <w:basedOn w:val="DefaultParagraphFont"/>
    <w:link w:val="EndnoteText"/>
    <w:uiPriority w:val="99"/>
    <w:semiHidden/>
    <w:rsid w:val="00D23118"/>
    <w:rPr>
      <w:sz w:val="20"/>
      <w:szCs w:val="20"/>
    </w:rPr>
  </w:style>
  <w:style w:type="character" w:styleId="EndnoteReference">
    <w:name w:val="endnote reference"/>
    <w:basedOn w:val="DefaultParagraphFont"/>
    <w:uiPriority w:val="99"/>
    <w:semiHidden/>
    <w:unhideWhenUsed/>
    <w:rsid w:val="00D23118"/>
    <w:rPr>
      <w:vertAlign w:val="superscript"/>
    </w:rPr>
  </w:style>
  <w:style w:type="paragraph" w:customStyle="1" w:styleId="LegalList1">
    <w:name w:val="Legal_List1"/>
    <w:basedOn w:val="Normal"/>
    <w:semiHidden/>
    <w:rsid w:val="00E87C23"/>
    <w:pPr>
      <w:suppressAutoHyphens/>
      <w:spacing w:after="360" w:line="480" w:lineRule="auto"/>
      <w:jc w:val="both"/>
      <w:outlineLvl w:val="0"/>
    </w:pPr>
    <w:rPr>
      <w:rFonts w:ascii="Arial" w:eastAsia="Times New Roman" w:hAnsi="Arial" w:cs="Times New Roman"/>
      <w:lang w:val="en-GB" w:eastAsia="en-GB"/>
    </w:rPr>
  </w:style>
  <w:style w:type="paragraph" w:customStyle="1" w:styleId="LegalMAINHEADING">
    <w:name w:val="Legal_MAINHEADING"/>
    <w:basedOn w:val="LegalNormal"/>
    <w:next w:val="LegalNormal"/>
    <w:semiHidden/>
    <w:rsid w:val="00E87C23"/>
    <w:pPr>
      <w:keepNext/>
      <w:spacing w:before="480"/>
    </w:pPr>
    <w:rPr>
      <w:b/>
      <w:caps/>
    </w:rPr>
  </w:style>
  <w:style w:type="paragraph" w:customStyle="1" w:styleId="LegalTramLines">
    <w:name w:val="Legal_TramLines"/>
    <w:basedOn w:val="LegalNormal"/>
    <w:next w:val="LegalNormal"/>
    <w:semiHidden/>
    <w:rsid w:val="00E87C23"/>
    <w:pPr>
      <w:pBdr>
        <w:top w:val="single" w:sz="4" w:space="18" w:color="auto"/>
        <w:bottom w:val="single" w:sz="4" w:space="18" w:color="auto"/>
      </w:pBdr>
      <w:spacing w:after="480" w:line="240" w:lineRule="auto"/>
      <w:jc w:val="center"/>
    </w:pPr>
    <w:rPr>
      <w:rFonts w:ascii="Arial Bold" w:hAnsi="Arial Bold"/>
      <w:b/>
    </w:rPr>
  </w:style>
  <w:style w:type="paragraph" w:customStyle="1" w:styleId="LegalNormal">
    <w:name w:val="Legal_Normal"/>
    <w:basedOn w:val="Normal"/>
    <w:rsid w:val="00E87C23"/>
    <w:pPr>
      <w:suppressAutoHyphens/>
      <w:spacing w:after="360" w:line="480" w:lineRule="auto"/>
      <w:jc w:val="both"/>
    </w:pPr>
    <w:rPr>
      <w:rFonts w:ascii="Arial" w:eastAsia="Times New Roman" w:hAnsi="Arial" w:cs="Times New Roman"/>
      <w:lang w:val="en-GB" w:eastAsia="en-GB"/>
    </w:rPr>
  </w:style>
  <w:style w:type="character" w:customStyle="1" w:styleId="Heading3Char">
    <w:name w:val="Heading 3 Char"/>
    <w:basedOn w:val="DefaultParagraphFont"/>
    <w:link w:val="Heading3"/>
    <w:uiPriority w:val="9"/>
    <w:semiHidden/>
    <w:rsid w:val="006E6557"/>
    <w:rPr>
      <w:rFonts w:asciiTheme="majorHAnsi" w:eastAsiaTheme="majorEastAsia" w:hAnsiTheme="majorHAnsi" w:cstheme="majorBidi"/>
      <w:color w:val="1F3763" w:themeColor="accent1" w:themeShade="7F"/>
    </w:rPr>
  </w:style>
  <w:style w:type="table" w:customStyle="1" w:styleId="TableGrid1">
    <w:name w:val="TableGrid1"/>
    <w:rsid w:val="00765BC3"/>
    <w:rPr>
      <w:rFonts w:eastAsiaTheme="minorEastAsia"/>
      <w:sz w:val="22"/>
      <w:szCs w:val="22"/>
      <w:lang w:val="en-ZA" w:eastAsia="en-ZA"/>
    </w:rPr>
    <w:tblPr>
      <w:tblCellMar>
        <w:top w:w="0" w:type="dxa"/>
        <w:left w:w="0" w:type="dxa"/>
        <w:bottom w:w="0" w:type="dxa"/>
        <w:right w:w="0" w:type="dxa"/>
      </w:tblCellMar>
    </w:tblPr>
  </w:style>
  <w:style w:type="paragraph" w:customStyle="1" w:styleId="WLGLevel1">
    <w:name w:val="WLGLevel1"/>
    <w:basedOn w:val="Normal"/>
    <w:qFormat/>
    <w:rsid w:val="00F7380D"/>
    <w:pPr>
      <w:numPr>
        <w:numId w:val="6"/>
      </w:numPr>
      <w:suppressAutoHyphens/>
      <w:spacing w:before="320" w:after="320" w:line="480" w:lineRule="auto"/>
      <w:jc w:val="both"/>
      <w:outlineLvl w:val="0"/>
    </w:pPr>
    <w:rPr>
      <w:rFonts w:ascii="Arial" w:eastAsia="Times New Roman" w:hAnsi="Arial" w:cs="Times New Roman"/>
      <w:szCs w:val="20"/>
      <w:lang w:val="en-ZA"/>
    </w:rPr>
  </w:style>
  <w:style w:type="paragraph" w:customStyle="1" w:styleId="WLGLevel2">
    <w:name w:val="WLGLevel2"/>
    <w:basedOn w:val="Normal"/>
    <w:qFormat/>
    <w:rsid w:val="00F7380D"/>
    <w:pPr>
      <w:numPr>
        <w:ilvl w:val="1"/>
        <w:numId w:val="6"/>
      </w:numPr>
      <w:suppressAutoHyphens/>
      <w:spacing w:after="320" w:line="480" w:lineRule="auto"/>
      <w:jc w:val="both"/>
      <w:outlineLvl w:val="1"/>
    </w:pPr>
    <w:rPr>
      <w:rFonts w:ascii="Arial" w:eastAsia="Times New Roman" w:hAnsi="Arial" w:cs="Times New Roman"/>
      <w:szCs w:val="20"/>
      <w:lang w:val="en-ZA"/>
    </w:rPr>
  </w:style>
  <w:style w:type="paragraph" w:customStyle="1" w:styleId="WLGLevel3">
    <w:name w:val="WLGLevel3"/>
    <w:basedOn w:val="Normal"/>
    <w:qFormat/>
    <w:rsid w:val="00F7380D"/>
    <w:pPr>
      <w:numPr>
        <w:ilvl w:val="2"/>
        <w:numId w:val="6"/>
      </w:numPr>
      <w:suppressAutoHyphens/>
      <w:spacing w:after="320" w:line="480" w:lineRule="auto"/>
      <w:jc w:val="both"/>
      <w:outlineLvl w:val="2"/>
    </w:pPr>
    <w:rPr>
      <w:rFonts w:ascii="Arial" w:eastAsia="Times New Roman" w:hAnsi="Arial" w:cs="Times New Roman"/>
      <w:szCs w:val="20"/>
      <w:lang w:val="en-ZA"/>
    </w:rPr>
  </w:style>
  <w:style w:type="paragraph" w:customStyle="1" w:styleId="WLGLevel4">
    <w:name w:val="WLGLevel4"/>
    <w:basedOn w:val="Normal"/>
    <w:qFormat/>
    <w:rsid w:val="00F7380D"/>
    <w:pPr>
      <w:numPr>
        <w:ilvl w:val="3"/>
        <w:numId w:val="6"/>
      </w:numPr>
      <w:suppressAutoHyphens/>
      <w:spacing w:after="320" w:line="480" w:lineRule="auto"/>
      <w:jc w:val="both"/>
      <w:outlineLvl w:val="3"/>
    </w:pPr>
    <w:rPr>
      <w:rFonts w:ascii="Arial" w:eastAsia="Times New Roman" w:hAnsi="Arial" w:cs="Times New Roman"/>
      <w:szCs w:val="20"/>
      <w:lang w:val="en-ZA"/>
    </w:rPr>
  </w:style>
  <w:style w:type="paragraph" w:customStyle="1" w:styleId="WLGLevel5">
    <w:name w:val="WLGLevel5"/>
    <w:basedOn w:val="Normal"/>
    <w:qFormat/>
    <w:rsid w:val="00F7380D"/>
    <w:pPr>
      <w:numPr>
        <w:ilvl w:val="4"/>
        <w:numId w:val="6"/>
      </w:numPr>
      <w:suppressAutoHyphens/>
      <w:spacing w:after="320" w:line="480" w:lineRule="auto"/>
      <w:jc w:val="both"/>
      <w:outlineLvl w:val="4"/>
    </w:pPr>
    <w:rPr>
      <w:rFonts w:ascii="Arial" w:eastAsia="Times New Roman" w:hAnsi="Arial" w:cs="Times New Roman"/>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444543315">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761491403">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4582">
      <w:bodyDiv w:val="1"/>
      <w:marLeft w:val="0"/>
      <w:marRight w:val="0"/>
      <w:marTop w:val="0"/>
      <w:marBottom w:val="0"/>
      <w:divBdr>
        <w:top w:val="none" w:sz="0" w:space="0" w:color="auto"/>
        <w:left w:val="none" w:sz="0" w:space="0" w:color="auto"/>
        <w:bottom w:val="none" w:sz="0" w:space="0" w:color="auto"/>
        <w:right w:val="none" w:sz="0" w:space="0" w:color="auto"/>
      </w:divBdr>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41D1D0-044D-4B54-9038-5CF1D857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Millar</dc:creator>
  <cp:lastModifiedBy>Mokone</cp:lastModifiedBy>
  <cp:revision>3</cp:revision>
  <cp:lastPrinted>2022-04-10T14:08:00Z</cp:lastPrinted>
  <dcterms:created xsi:type="dcterms:W3CDTF">2023-02-08T09:25:00Z</dcterms:created>
  <dcterms:modified xsi:type="dcterms:W3CDTF">2023-02-08T09:35:00Z</dcterms:modified>
</cp:coreProperties>
</file>