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60B84" w14:textId="77777777" w:rsidR="00C74BEA" w:rsidRPr="00572702" w:rsidRDefault="00C74BEA" w:rsidP="00C74BEA">
      <w:pPr>
        <w:tabs>
          <w:tab w:val="left" w:pos="720"/>
          <w:tab w:val="left" w:pos="1440"/>
          <w:tab w:val="left" w:pos="2160"/>
          <w:tab w:val="left" w:pos="2880"/>
          <w:tab w:val="left" w:pos="5193"/>
        </w:tabs>
        <w:spacing w:line="360" w:lineRule="auto"/>
        <w:jc w:val="center"/>
        <w:rPr>
          <w:rFonts w:ascii="Arial" w:eastAsia="Times New Roman" w:hAnsi="Arial" w:cs="Arial"/>
          <w:lang w:eastAsia="en-GB"/>
        </w:rPr>
      </w:pPr>
      <w:r w:rsidRPr="00572702">
        <w:rPr>
          <w:rFonts w:ascii="Arial" w:eastAsia="Times New Roman" w:hAnsi="Arial" w:cs="Arial"/>
          <w:noProof/>
        </w:rPr>
        <w:drawing>
          <wp:inline distT="0" distB="0" distL="0" distR="0" wp14:anchorId="6CA9C97B" wp14:editId="48A3711D">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0864AA3D" w14:textId="77777777" w:rsidR="00C74BEA" w:rsidRPr="00C74BEA" w:rsidRDefault="00C74BEA" w:rsidP="00C74BEA">
      <w:pPr>
        <w:spacing w:line="360" w:lineRule="auto"/>
        <w:jc w:val="center"/>
        <w:rPr>
          <w:rFonts w:ascii="Arial" w:eastAsia="Times New Roman" w:hAnsi="Arial" w:cs="Arial"/>
          <w:b/>
          <w:bCs/>
          <w:iCs/>
          <w:color w:val="000000"/>
          <w:lang w:eastAsia="en-GB"/>
        </w:rPr>
      </w:pPr>
      <w:r w:rsidRPr="00C74BEA">
        <w:rPr>
          <w:rFonts w:ascii="Arial" w:eastAsia="Times New Roman" w:hAnsi="Arial" w:cs="Arial"/>
          <w:b/>
          <w:bCs/>
          <w:iCs/>
          <w:color w:val="000000"/>
          <w:lang w:eastAsia="en-GB"/>
        </w:rPr>
        <w:t>IN THE HIGH COURT OF SOUTH AFRICA</w:t>
      </w:r>
    </w:p>
    <w:p w14:paraId="18E38D20" w14:textId="77777777" w:rsidR="00C74BEA" w:rsidRPr="00C74BEA" w:rsidRDefault="00C74BEA" w:rsidP="00C74BEA">
      <w:pPr>
        <w:spacing w:line="360" w:lineRule="auto"/>
        <w:jc w:val="center"/>
        <w:rPr>
          <w:rFonts w:ascii="Arial" w:eastAsia="Times New Roman" w:hAnsi="Arial" w:cs="Arial"/>
          <w:b/>
          <w:bCs/>
          <w:iCs/>
          <w:lang w:eastAsia="en-GB"/>
        </w:rPr>
      </w:pPr>
      <w:r w:rsidRPr="00C74BEA">
        <w:rPr>
          <w:rFonts w:ascii="Arial" w:eastAsia="Times New Roman" w:hAnsi="Arial" w:cs="Arial"/>
          <w:b/>
          <w:bCs/>
          <w:iCs/>
          <w:lang w:eastAsia="en-GB"/>
        </w:rPr>
        <w:t>GAUTENG DIVISION, PRETORIA</w:t>
      </w:r>
    </w:p>
    <w:p w14:paraId="3D21439B" w14:textId="57BC8B2A" w:rsidR="00AE49A1" w:rsidRPr="001B1C77" w:rsidRDefault="00C74BEA" w:rsidP="007F2294">
      <w:pPr>
        <w:spacing w:line="60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CASE NO:</w:t>
      </w:r>
      <w:r w:rsidR="007F2294">
        <w:rPr>
          <w:rFonts w:ascii="Arial" w:hAnsi="Arial" w:cs="Arial"/>
          <w:b/>
        </w:rPr>
        <w:t>006225/2023</w:t>
      </w:r>
    </w:p>
    <w:p w14:paraId="48EB1535" w14:textId="595BAAEA" w:rsidR="00C74BEA" w:rsidRDefault="00C74BEA" w:rsidP="007849D9">
      <w:pPr>
        <w:spacing w:line="600" w:lineRule="auto"/>
        <w:jc w:val="both"/>
        <w:rPr>
          <w:rFonts w:ascii="Arial" w:hAnsi="Arial" w:cs="Arial"/>
          <w:bCs/>
        </w:rPr>
      </w:pPr>
      <w:r>
        <w:rPr>
          <w:rFonts w:ascii="Arial" w:hAnsi="Arial" w:cs="Arial"/>
          <w:bCs/>
          <w:noProof/>
        </w:rPr>
        <w:drawing>
          <wp:inline distT="0" distB="0" distL="0" distR="0" wp14:anchorId="7EE99C01" wp14:editId="518E40E0">
            <wp:extent cx="3334385"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4385" cy="1485900"/>
                    </a:xfrm>
                    <a:prstGeom prst="rect">
                      <a:avLst/>
                    </a:prstGeom>
                    <a:noFill/>
                  </pic:spPr>
                </pic:pic>
              </a:graphicData>
            </a:graphic>
          </wp:inline>
        </w:drawing>
      </w:r>
    </w:p>
    <w:p w14:paraId="1474D1D4" w14:textId="05EADA21" w:rsidR="00002990" w:rsidRDefault="00AE49A1" w:rsidP="007849D9">
      <w:pPr>
        <w:spacing w:line="600" w:lineRule="auto"/>
        <w:jc w:val="both"/>
        <w:rPr>
          <w:rFonts w:ascii="Arial" w:hAnsi="Arial" w:cs="Arial"/>
          <w:bCs/>
        </w:rPr>
      </w:pPr>
      <w:r w:rsidRPr="00505491">
        <w:rPr>
          <w:rFonts w:ascii="Arial" w:hAnsi="Arial" w:cs="Arial"/>
          <w:bCs/>
        </w:rPr>
        <w:t xml:space="preserve">In the matter between: </w:t>
      </w:r>
    </w:p>
    <w:p w14:paraId="7D33F8DA" w14:textId="5646A4DF" w:rsidR="00AE49A1" w:rsidRDefault="00002990" w:rsidP="007849D9">
      <w:pPr>
        <w:spacing w:line="600" w:lineRule="auto"/>
        <w:jc w:val="both"/>
        <w:rPr>
          <w:rFonts w:ascii="Arial" w:hAnsi="Arial" w:cs="Arial"/>
          <w:bCs/>
        </w:rPr>
      </w:pPr>
      <w:r w:rsidRPr="00002990">
        <w:rPr>
          <w:rFonts w:ascii="Arial" w:hAnsi="Arial" w:cs="Arial"/>
          <w:b/>
        </w:rPr>
        <w:t>BEETHOVEN DE JESUS BARROS DO SACRAMENTO</w:t>
      </w:r>
      <w:r w:rsidR="00AE49A1" w:rsidRPr="001B1C77">
        <w:rPr>
          <w:rFonts w:ascii="Arial" w:hAnsi="Arial" w:cs="Arial"/>
          <w:b/>
        </w:rPr>
        <w:tab/>
      </w:r>
      <w:r w:rsidR="00AE49A1" w:rsidRPr="001B1C77">
        <w:rPr>
          <w:rFonts w:ascii="Arial" w:hAnsi="Arial" w:cs="Arial"/>
          <w:b/>
        </w:rPr>
        <w:tab/>
      </w:r>
      <w:r w:rsidR="00B638CE">
        <w:rPr>
          <w:rFonts w:ascii="Arial" w:hAnsi="Arial" w:cs="Arial"/>
          <w:b/>
        </w:rPr>
        <w:t xml:space="preserve">       </w:t>
      </w:r>
      <w:r>
        <w:rPr>
          <w:rFonts w:ascii="Arial" w:hAnsi="Arial" w:cs="Arial"/>
          <w:bCs/>
        </w:rPr>
        <w:t>1</w:t>
      </w:r>
      <w:r w:rsidR="00B638CE" w:rsidRPr="00002990">
        <w:rPr>
          <w:rFonts w:ascii="Arial" w:hAnsi="Arial" w:cs="Arial"/>
          <w:bCs/>
          <w:vertAlign w:val="superscript"/>
        </w:rPr>
        <w:t>st</w:t>
      </w:r>
      <w:r>
        <w:rPr>
          <w:rFonts w:ascii="Arial" w:hAnsi="Arial" w:cs="Arial"/>
          <w:bCs/>
        </w:rPr>
        <w:t xml:space="preserve"> </w:t>
      </w:r>
      <w:r w:rsidR="00AE49A1" w:rsidRPr="004406F7">
        <w:rPr>
          <w:rFonts w:ascii="Arial" w:hAnsi="Arial" w:cs="Arial"/>
          <w:bCs/>
        </w:rPr>
        <w:t>A</w:t>
      </w:r>
      <w:r w:rsidR="004406F7" w:rsidRPr="004406F7">
        <w:rPr>
          <w:rFonts w:ascii="Arial" w:hAnsi="Arial" w:cs="Arial"/>
          <w:bCs/>
        </w:rPr>
        <w:t>pplicant</w:t>
      </w:r>
    </w:p>
    <w:p w14:paraId="4DDEB5FC" w14:textId="3C237000" w:rsidR="00AE49A1" w:rsidRPr="00C74BEA" w:rsidRDefault="00B638CE" w:rsidP="00C74BEA">
      <w:pPr>
        <w:spacing w:line="600" w:lineRule="auto"/>
        <w:jc w:val="both"/>
        <w:rPr>
          <w:rFonts w:ascii="Arial" w:hAnsi="Arial" w:cs="Arial"/>
          <w:bCs/>
        </w:rPr>
      </w:pPr>
      <w:r w:rsidRPr="001F3DEB">
        <w:rPr>
          <w:rFonts w:ascii="Arial" w:hAnsi="Arial" w:cs="Arial"/>
          <w:b/>
        </w:rPr>
        <w:t>FABIANA BARRETO DO</w:t>
      </w:r>
      <w:r w:rsidR="005D33C5">
        <w:rPr>
          <w:rFonts w:ascii="Arial" w:hAnsi="Arial" w:cs="Arial"/>
          <w:b/>
        </w:rPr>
        <w:t>S</w:t>
      </w:r>
      <w:r w:rsidRPr="001F3DEB">
        <w:rPr>
          <w:rFonts w:ascii="Arial" w:hAnsi="Arial" w:cs="Arial"/>
          <w:b/>
        </w:rPr>
        <w:t xml:space="preserve"> SANTOS SACRAMENTO </w:t>
      </w:r>
      <w:r w:rsidRPr="001F3DEB">
        <w:rPr>
          <w:rFonts w:ascii="Arial" w:hAnsi="Arial" w:cs="Arial"/>
          <w:b/>
        </w:rPr>
        <w:tab/>
      </w:r>
      <w:r>
        <w:rPr>
          <w:rFonts w:ascii="Arial" w:hAnsi="Arial" w:cs="Arial"/>
          <w:bCs/>
        </w:rPr>
        <w:tab/>
      </w:r>
      <w:r w:rsidR="00DD10AF">
        <w:rPr>
          <w:rFonts w:ascii="Arial" w:hAnsi="Arial" w:cs="Arial"/>
          <w:bCs/>
        </w:rPr>
        <w:t xml:space="preserve">       </w:t>
      </w:r>
      <w:r>
        <w:rPr>
          <w:rFonts w:ascii="Arial" w:hAnsi="Arial" w:cs="Arial"/>
          <w:bCs/>
        </w:rPr>
        <w:t>2</w:t>
      </w:r>
      <w:r w:rsidRPr="00B638CE">
        <w:rPr>
          <w:rFonts w:ascii="Arial" w:hAnsi="Arial" w:cs="Arial"/>
          <w:bCs/>
          <w:vertAlign w:val="superscript"/>
        </w:rPr>
        <w:t>nd</w:t>
      </w:r>
      <w:r>
        <w:rPr>
          <w:rFonts w:ascii="Arial" w:hAnsi="Arial" w:cs="Arial"/>
          <w:bCs/>
        </w:rPr>
        <w:t xml:space="preserve"> A</w:t>
      </w:r>
      <w:r w:rsidR="001F3DEB">
        <w:rPr>
          <w:rFonts w:ascii="Arial" w:hAnsi="Arial" w:cs="Arial"/>
          <w:bCs/>
        </w:rPr>
        <w:t xml:space="preserve">pplicant </w:t>
      </w:r>
    </w:p>
    <w:p w14:paraId="1BDC3B89" w14:textId="59D5F7EF" w:rsidR="00AE49A1" w:rsidRPr="001B1C77" w:rsidRDefault="00AE49A1" w:rsidP="00E836A9">
      <w:pPr>
        <w:spacing w:line="600" w:lineRule="auto"/>
        <w:jc w:val="both"/>
        <w:rPr>
          <w:rFonts w:ascii="Arial" w:hAnsi="Arial" w:cs="Arial"/>
          <w:b/>
        </w:rPr>
      </w:pPr>
      <w:r w:rsidRPr="001B1C77">
        <w:rPr>
          <w:rFonts w:ascii="Arial" w:hAnsi="Arial" w:cs="Arial"/>
          <w:b/>
        </w:rPr>
        <w:t xml:space="preserve">And </w:t>
      </w:r>
    </w:p>
    <w:p w14:paraId="6AE4A872" w14:textId="4665F809" w:rsidR="00AE49A1" w:rsidRPr="001F3DEB" w:rsidRDefault="001F3DEB" w:rsidP="00C50DEC">
      <w:pPr>
        <w:spacing w:line="276" w:lineRule="auto"/>
        <w:jc w:val="both"/>
        <w:rPr>
          <w:rFonts w:ascii="Arial" w:hAnsi="Arial" w:cs="Arial"/>
          <w:b/>
        </w:rPr>
      </w:pPr>
      <w:r>
        <w:rPr>
          <w:rFonts w:ascii="Arial" w:hAnsi="Arial" w:cs="Arial"/>
          <w:b/>
        </w:rPr>
        <w:t>THE CITY OF TSHWANE METROPOLITAN MUNICIPALITY</w:t>
      </w:r>
      <w:r w:rsidR="00AE49A1" w:rsidRPr="001B1C77">
        <w:rPr>
          <w:rFonts w:ascii="Arial" w:hAnsi="Arial" w:cs="Arial"/>
          <w:b/>
        </w:rPr>
        <w:tab/>
      </w:r>
      <w:r>
        <w:rPr>
          <w:rFonts w:ascii="Arial" w:hAnsi="Arial" w:cs="Arial"/>
          <w:bCs/>
        </w:rPr>
        <w:t xml:space="preserve">     </w:t>
      </w:r>
      <w:r w:rsidR="00C50DEC" w:rsidRPr="00C50DEC">
        <w:rPr>
          <w:rFonts w:ascii="Arial" w:hAnsi="Arial" w:cs="Arial"/>
          <w:bCs/>
        </w:rPr>
        <w:t xml:space="preserve"> </w:t>
      </w:r>
      <w:r w:rsidR="002B3E2D">
        <w:rPr>
          <w:rFonts w:ascii="Arial" w:hAnsi="Arial" w:cs="Arial"/>
          <w:bCs/>
        </w:rPr>
        <w:t xml:space="preserve"> </w:t>
      </w:r>
      <w:r w:rsidR="00AE49A1" w:rsidRPr="004406F7">
        <w:rPr>
          <w:rFonts w:ascii="Arial" w:hAnsi="Arial" w:cs="Arial"/>
          <w:bCs/>
        </w:rPr>
        <w:t>R</w:t>
      </w:r>
      <w:r w:rsidR="004406F7" w:rsidRPr="004406F7">
        <w:rPr>
          <w:rFonts w:ascii="Arial" w:hAnsi="Arial" w:cs="Arial"/>
          <w:bCs/>
        </w:rPr>
        <w:t>espondent</w:t>
      </w:r>
    </w:p>
    <w:p w14:paraId="232CF0A6" w14:textId="0CC5C441" w:rsidR="00642AFD" w:rsidRPr="001B1C77" w:rsidRDefault="00642AFD" w:rsidP="007849D9">
      <w:pPr>
        <w:spacing w:line="600" w:lineRule="auto"/>
        <w:jc w:val="both"/>
        <w:rPr>
          <w:rFonts w:ascii="Arial" w:hAnsi="Arial" w:cs="Arial"/>
          <w:b/>
        </w:rPr>
      </w:pPr>
      <w:r w:rsidRPr="001B1C77">
        <w:rPr>
          <w:rFonts w:ascii="Arial" w:hAnsi="Arial" w:cs="Arial"/>
          <w:b/>
        </w:rPr>
        <w:t>___________________________________________________________________</w:t>
      </w:r>
    </w:p>
    <w:p w14:paraId="7FA875DF" w14:textId="63B3D70D" w:rsidR="00AE49A1" w:rsidRPr="001B1C77" w:rsidRDefault="000D0F9E" w:rsidP="007849D9">
      <w:pPr>
        <w:spacing w:line="600" w:lineRule="auto"/>
        <w:jc w:val="center"/>
        <w:rPr>
          <w:rFonts w:ascii="Arial" w:hAnsi="Arial" w:cs="Arial"/>
          <w:b/>
        </w:rPr>
      </w:pPr>
      <w:r>
        <w:rPr>
          <w:rFonts w:ascii="Arial" w:hAnsi="Arial" w:cs="Arial"/>
          <w:b/>
        </w:rPr>
        <w:t>JUDGMENT</w:t>
      </w:r>
    </w:p>
    <w:p w14:paraId="2DCD250A" w14:textId="004D4EF9" w:rsidR="00CA32D8" w:rsidRPr="00C0634A" w:rsidRDefault="00642AFD" w:rsidP="007849D9">
      <w:pPr>
        <w:jc w:val="both"/>
        <w:rPr>
          <w:rFonts w:ascii="Arial" w:hAnsi="Arial" w:cs="Arial"/>
          <w:b/>
        </w:rPr>
      </w:pPr>
      <w:r w:rsidRPr="001B1C77">
        <w:rPr>
          <w:rFonts w:ascii="Arial" w:hAnsi="Arial" w:cs="Arial"/>
          <w:b/>
        </w:rPr>
        <w:t>___________________________________________________________________</w:t>
      </w:r>
    </w:p>
    <w:p w14:paraId="60A54445" w14:textId="77777777" w:rsidR="00E836A9" w:rsidRDefault="00E836A9" w:rsidP="00F82DEC">
      <w:pPr>
        <w:spacing w:line="720" w:lineRule="auto"/>
        <w:jc w:val="both"/>
        <w:rPr>
          <w:rFonts w:ascii="Arial" w:hAnsi="Arial" w:cs="Arial"/>
        </w:rPr>
      </w:pPr>
    </w:p>
    <w:p w14:paraId="39C863CE" w14:textId="7DE8A23F" w:rsidR="00C74BEA" w:rsidRPr="00C74BEA" w:rsidRDefault="00C74BEA" w:rsidP="00F82DEC">
      <w:pPr>
        <w:spacing w:line="720" w:lineRule="auto"/>
        <w:jc w:val="both"/>
        <w:rPr>
          <w:rFonts w:ascii="Arial" w:hAnsi="Arial" w:cs="Arial"/>
          <w:b/>
        </w:rPr>
      </w:pPr>
      <w:r w:rsidRPr="00C74BEA">
        <w:rPr>
          <w:rFonts w:ascii="Arial" w:hAnsi="Arial" w:cs="Arial"/>
          <w:b/>
        </w:rPr>
        <w:t xml:space="preserve">MOJAPELO </w:t>
      </w:r>
      <w:r>
        <w:rPr>
          <w:rFonts w:ascii="Arial" w:hAnsi="Arial" w:cs="Arial"/>
          <w:b/>
        </w:rPr>
        <w:t>A</w:t>
      </w:r>
      <w:r w:rsidRPr="00C74BEA">
        <w:rPr>
          <w:rFonts w:ascii="Arial" w:hAnsi="Arial" w:cs="Arial"/>
          <w:b/>
        </w:rPr>
        <w:t>J</w:t>
      </w:r>
    </w:p>
    <w:p w14:paraId="47417B3E" w14:textId="44839ADA" w:rsidR="00353C4D" w:rsidRPr="005A35DD" w:rsidRDefault="002750AF" w:rsidP="002750AF">
      <w:pPr>
        <w:spacing w:line="480" w:lineRule="auto"/>
        <w:ind w:left="720" w:hanging="720"/>
        <w:jc w:val="both"/>
      </w:pPr>
      <w:r w:rsidRPr="005A35DD">
        <w:rPr>
          <w:rFonts w:ascii="Arial" w:hAnsi="Arial" w:cs="Arial"/>
        </w:rPr>
        <w:lastRenderedPageBreak/>
        <w:t>1.</w:t>
      </w:r>
      <w:r w:rsidRPr="005A35DD">
        <w:rPr>
          <w:rFonts w:ascii="Arial" w:hAnsi="Arial" w:cs="Arial"/>
        </w:rPr>
        <w:tab/>
      </w:r>
      <w:r w:rsidR="005755A5" w:rsidRPr="002750AF">
        <w:rPr>
          <w:rFonts w:ascii="Arial" w:hAnsi="Arial" w:cs="Arial"/>
        </w:rPr>
        <w:t>Th</w:t>
      </w:r>
      <w:r w:rsidR="00E84022" w:rsidRPr="002750AF">
        <w:rPr>
          <w:rFonts w:ascii="Arial" w:hAnsi="Arial" w:cs="Arial"/>
        </w:rPr>
        <w:t xml:space="preserve">e </w:t>
      </w:r>
      <w:r w:rsidR="00AA4092" w:rsidRPr="002750AF">
        <w:rPr>
          <w:rFonts w:ascii="Arial" w:hAnsi="Arial" w:cs="Arial"/>
        </w:rPr>
        <w:t>a</w:t>
      </w:r>
      <w:r w:rsidR="00E84022" w:rsidRPr="002750AF">
        <w:rPr>
          <w:rFonts w:ascii="Arial" w:hAnsi="Arial" w:cs="Arial"/>
        </w:rPr>
        <w:t>pp</w:t>
      </w:r>
      <w:bookmarkStart w:id="0" w:name="_GoBack"/>
      <w:bookmarkEnd w:id="0"/>
      <w:r w:rsidR="00E84022" w:rsidRPr="002750AF">
        <w:rPr>
          <w:rFonts w:ascii="Arial" w:hAnsi="Arial" w:cs="Arial"/>
        </w:rPr>
        <w:t xml:space="preserve">licants who are property owners at Silver Woods Country Estate in Pretoria had their electricity supply disconnected by the City of </w:t>
      </w:r>
      <w:r w:rsidR="00E43B5F" w:rsidRPr="002750AF">
        <w:rPr>
          <w:rFonts w:ascii="Arial" w:hAnsi="Arial" w:cs="Arial"/>
        </w:rPr>
        <w:t>Tshwane</w:t>
      </w:r>
      <w:r w:rsidR="00E84022" w:rsidRPr="002750AF">
        <w:rPr>
          <w:rFonts w:ascii="Arial" w:hAnsi="Arial" w:cs="Arial"/>
        </w:rPr>
        <w:t xml:space="preserve"> Metropolitan Municipality, the </w:t>
      </w:r>
      <w:r w:rsidR="00AA4092" w:rsidRPr="002750AF">
        <w:rPr>
          <w:rFonts w:ascii="Arial" w:hAnsi="Arial" w:cs="Arial"/>
        </w:rPr>
        <w:t>r</w:t>
      </w:r>
      <w:r w:rsidR="00E84022" w:rsidRPr="002750AF">
        <w:rPr>
          <w:rFonts w:ascii="Arial" w:hAnsi="Arial" w:cs="Arial"/>
        </w:rPr>
        <w:t xml:space="preserve">espondent in this matter. The </w:t>
      </w:r>
      <w:r w:rsidR="00AA4092" w:rsidRPr="002750AF">
        <w:rPr>
          <w:rFonts w:ascii="Arial" w:hAnsi="Arial" w:cs="Arial"/>
        </w:rPr>
        <w:t>a</w:t>
      </w:r>
      <w:r w:rsidR="00E84022" w:rsidRPr="002750AF">
        <w:rPr>
          <w:rFonts w:ascii="Arial" w:hAnsi="Arial" w:cs="Arial"/>
        </w:rPr>
        <w:t xml:space="preserve">pplicants have brought this urgent application for an order that the electricity supply to their property be restored and further that the </w:t>
      </w:r>
      <w:r w:rsidR="005E45C0" w:rsidRPr="002750AF">
        <w:rPr>
          <w:rFonts w:ascii="Arial" w:hAnsi="Arial" w:cs="Arial"/>
        </w:rPr>
        <w:t>C</w:t>
      </w:r>
      <w:r w:rsidR="00E84022" w:rsidRPr="002750AF">
        <w:rPr>
          <w:rFonts w:ascii="Arial" w:hAnsi="Arial" w:cs="Arial"/>
        </w:rPr>
        <w:t>ity be interdicted and restrained from terminating and/or in anyw</w:t>
      </w:r>
      <w:r w:rsidR="00AA4092" w:rsidRPr="002750AF">
        <w:rPr>
          <w:rFonts w:ascii="Arial" w:hAnsi="Arial" w:cs="Arial"/>
        </w:rPr>
        <w:t>ay</w:t>
      </w:r>
      <w:r w:rsidR="00E84022" w:rsidRPr="002750AF">
        <w:rPr>
          <w:rFonts w:ascii="Arial" w:hAnsi="Arial" w:cs="Arial"/>
        </w:rPr>
        <w:t xml:space="preserve"> </w:t>
      </w:r>
      <w:r w:rsidR="00DB3109" w:rsidRPr="002750AF">
        <w:rPr>
          <w:rFonts w:ascii="Arial" w:hAnsi="Arial" w:cs="Arial"/>
        </w:rPr>
        <w:t>interfering with the electricity supply to the</w:t>
      </w:r>
      <w:r w:rsidR="00AA4092" w:rsidRPr="002750AF">
        <w:rPr>
          <w:rFonts w:ascii="Arial" w:hAnsi="Arial" w:cs="Arial"/>
        </w:rPr>
        <w:t xml:space="preserve">ir </w:t>
      </w:r>
      <w:r w:rsidR="00DB3109" w:rsidRPr="002750AF">
        <w:rPr>
          <w:rFonts w:ascii="Arial" w:hAnsi="Arial" w:cs="Arial"/>
        </w:rPr>
        <w:t xml:space="preserve">property pending the finalisation of a dispute. The </w:t>
      </w:r>
      <w:r w:rsidR="00DD10AF" w:rsidRPr="002750AF">
        <w:rPr>
          <w:rFonts w:ascii="Arial" w:hAnsi="Arial" w:cs="Arial"/>
        </w:rPr>
        <w:t>a</w:t>
      </w:r>
      <w:r w:rsidR="00DB3109" w:rsidRPr="002750AF">
        <w:rPr>
          <w:rFonts w:ascii="Arial" w:hAnsi="Arial" w:cs="Arial"/>
        </w:rPr>
        <w:t xml:space="preserve">pplicants further request punitive costs against the </w:t>
      </w:r>
      <w:r w:rsidR="005E45C0" w:rsidRPr="002750AF">
        <w:rPr>
          <w:rFonts w:ascii="Arial" w:hAnsi="Arial" w:cs="Arial"/>
        </w:rPr>
        <w:t>C</w:t>
      </w:r>
      <w:r w:rsidR="00E43B5F" w:rsidRPr="002750AF">
        <w:rPr>
          <w:rFonts w:ascii="Arial" w:hAnsi="Arial" w:cs="Arial"/>
        </w:rPr>
        <w:t>ity</w:t>
      </w:r>
      <w:r w:rsidR="00DB3109" w:rsidRPr="002750AF">
        <w:rPr>
          <w:rFonts w:ascii="Arial" w:hAnsi="Arial" w:cs="Arial"/>
        </w:rPr>
        <w:t xml:space="preserve"> on the scale as between attorney and own client. </w:t>
      </w:r>
    </w:p>
    <w:p w14:paraId="2273B271" w14:textId="77777777" w:rsidR="005A35DD" w:rsidRPr="00E43B5F" w:rsidRDefault="005A35DD" w:rsidP="005A35DD">
      <w:pPr>
        <w:pStyle w:val="ListParagraph"/>
        <w:spacing w:line="480" w:lineRule="auto"/>
        <w:jc w:val="both"/>
      </w:pPr>
    </w:p>
    <w:p w14:paraId="18FC75A7" w14:textId="5B0AB1FE" w:rsidR="00E43B5F" w:rsidRPr="002B3E2D" w:rsidRDefault="002750AF" w:rsidP="002750AF">
      <w:pPr>
        <w:spacing w:line="480" w:lineRule="auto"/>
        <w:ind w:left="720" w:hanging="720"/>
        <w:jc w:val="both"/>
      </w:pPr>
      <w:r w:rsidRPr="002B3E2D">
        <w:rPr>
          <w:rFonts w:ascii="Arial" w:hAnsi="Arial" w:cs="Arial"/>
        </w:rPr>
        <w:t>2.</w:t>
      </w:r>
      <w:r w:rsidRPr="002B3E2D">
        <w:rPr>
          <w:rFonts w:ascii="Arial" w:hAnsi="Arial" w:cs="Arial"/>
        </w:rPr>
        <w:tab/>
      </w:r>
      <w:r w:rsidR="00E43B5F" w:rsidRPr="002750AF">
        <w:rPr>
          <w:rFonts w:ascii="Arial" w:hAnsi="Arial" w:cs="Arial"/>
        </w:rPr>
        <w:t xml:space="preserve">The </w:t>
      </w:r>
      <w:r w:rsidR="00DD10AF" w:rsidRPr="002750AF">
        <w:rPr>
          <w:rFonts w:ascii="Arial" w:hAnsi="Arial" w:cs="Arial"/>
        </w:rPr>
        <w:t>a</w:t>
      </w:r>
      <w:r w:rsidR="00E43B5F" w:rsidRPr="002750AF">
        <w:rPr>
          <w:rFonts w:ascii="Arial" w:hAnsi="Arial" w:cs="Arial"/>
        </w:rPr>
        <w:t>pplicants are husband and wife and are registered owner</w:t>
      </w:r>
      <w:r w:rsidR="008972C6" w:rsidRPr="002750AF">
        <w:rPr>
          <w:rFonts w:ascii="Arial" w:hAnsi="Arial" w:cs="Arial"/>
        </w:rPr>
        <w:t>s</w:t>
      </w:r>
      <w:r w:rsidR="00E43B5F" w:rsidRPr="002750AF">
        <w:rPr>
          <w:rFonts w:ascii="Arial" w:hAnsi="Arial" w:cs="Arial"/>
        </w:rPr>
        <w:t xml:space="preserve"> of the disputed property known as Erf 256, m</w:t>
      </w:r>
      <w:r w:rsidR="00750033" w:rsidRPr="002750AF">
        <w:rPr>
          <w:rFonts w:ascii="Arial" w:hAnsi="Arial" w:cs="Arial"/>
        </w:rPr>
        <w:t>easuring</w:t>
      </w:r>
      <w:r w:rsidR="005A35DD" w:rsidRPr="002750AF">
        <w:rPr>
          <w:rFonts w:ascii="Arial" w:hAnsi="Arial" w:cs="Arial"/>
        </w:rPr>
        <w:t xml:space="preserve"> </w:t>
      </w:r>
      <w:r w:rsidR="00E43B5F" w:rsidRPr="002750AF">
        <w:rPr>
          <w:rFonts w:ascii="Arial" w:hAnsi="Arial" w:cs="Arial"/>
        </w:rPr>
        <w:t>1</w:t>
      </w:r>
      <w:r w:rsidR="00750033" w:rsidRPr="002750AF">
        <w:rPr>
          <w:rFonts w:ascii="Arial" w:hAnsi="Arial" w:cs="Arial"/>
        </w:rPr>
        <w:t>0</w:t>
      </w:r>
      <w:r w:rsidR="00E43B5F" w:rsidRPr="002750AF">
        <w:rPr>
          <w:rFonts w:ascii="Arial" w:hAnsi="Arial" w:cs="Arial"/>
        </w:rPr>
        <w:t>55</w:t>
      </w:r>
      <w:r w:rsidR="00750033" w:rsidRPr="002750AF">
        <w:rPr>
          <w:rFonts w:ascii="Arial" w:hAnsi="Arial" w:cs="Arial"/>
        </w:rPr>
        <w:t>m</w:t>
      </w:r>
      <w:r w:rsidR="00750033" w:rsidRPr="002750AF">
        <w:rPr>
          <w:rFonts w:ascii="Arial" w:hAnsi="Arial" w:cs="Arial"/>
          <w:vertAlign w:val="superscript"/>
        </w:rPr>
        <w:t>2</w:t>
      </w:r>
      <w:r w:rsidR="00AE5C55" w:rsidRPr="002750AF">
        <w:rPr>
          <w:rFonts w:ascii="Arial" w:hAnsi="Arial" w:cs="Arial"/>
        </w:rPr>
        <w:t xml:space="preserve">, under </w:t>
      </w:r>
      <w:r w:rsidR="005D33C5" w:rsidRPr="002750AF">
        <w:rPr>
          <w:rFonts w:ascii="Arial" w:hAnsi="Arial" w:cs="Arial"/>
        </w:rPr>
        <w:t>D</w:t>
      </w:r>
      <w:r w:rsidR="00AE5C55" w:rsidRPr="002750AF">
        <w:rPr>
          <w:rFonts w:ascii="Arial" w:hAnsi="Arial" w:cs="Arial"/>
        </w:rPr>
        <w:t xml:space="preserve">eed of </w:t>
      </w:r>
      <w:r w:rsidR="00442C60" w:rsidRPr="002750AF">
        <w:rPr>
          <w:rFonts w:ascii="Arial" w:hAnsi="Arial" w:cs="Arial"/>
        </w:rPr>
        <w:t>T</w:t>
      </w:r>
      <w:r w:rsidR="00AE5C55" w:rsidRPr="002750AF">
        <w:rPr>
          <w:rFonts w:ascii="Arial" w:hAnsi="Arial" w:cs="Arial"/>
        </w:rPr>
        <w:t>ransfer N</w:t>
      </w:r>
      <w:r w:rsidR="005D33C5" w:rsidRPr="002750AF">
        <w:rPr>
          <w:rFonts w:ascii="Arial" w:hAnsi="Arial" w:cs="Arial"/>
        </w:rPr>
        <w:t>umber</w:t>
      </w:r>
      <w:r w:rsidR="00AE5C55" w:rsidRPr="002750AF">
        <w:rPr>
          <w:rFonts w:ascii="Arial" w:hAnsi="Arial" w:cs="Arial"/>
        </w:rPr>
        <w:t xml:space="preserve"> T74153/2021 which is situated at Silver Woods Country Estate in Pretoria. The </w:t>
      </w:r>
      <w:r w:rsidR="00D91620" w:rsidRPr="002750AF">
        <w:rPr>
          <w:rFonts w:ascii="Arial" w:hAnsi="Arial" w:cs="Arial"/>
        </w:rPr>
        <w:t>property was registered in favour of the applicants</w:t>
      </w:r>
      <w:r w:rsidR="00AE5C55" w:rsidRPr="002750AF">
        <w:rPr>
          <w:rFonts w:ascii="Arial" w:hAnsi="Arial" w:cs="Arial"/>
        </w:rPr>
        <w:t xml:space="preserve"> on 15 October </w:t>
      </w:r>
      <w:r w:rsidR="00F34BE2" w:rsidRPr="002750AF">
        <w:rPr>
          <w:rFonts w:ascii="Arial" w:hAnsi="Arial" w:cs="Arial"/>
        </w:rPr>
        <w:t>2021,</w:t>
      </w:r>
      <w:r w:rsidR="00AE5C55" w:rsidRPr="002750AF">
        <w:rPr>
          <w:rFonts w:ascii="Arial" w:hAnsi="Arial" w:cs="Arial"/>
        </w:rPr>
        <w:t xml:space="preserve"> and they reside with their three (3)</w:t>
      </w:r>
      <w:r w:rsidR="00D91620" w:rsidRPr="002750AF">
        <w:rPr>
          <w:rFonts w:ascii="Arial" w:hAnsi="Arial" w:cs="Arial"/>
        </w:rPr>
        <w:t xml:space="preserve"> minor</w:t>
      </w:r>
      <w:r w:rsidR="00AE5C55" w:rsidRPr="002750AF">
        <w:rPr>
          <w:rFonts w:ascii="Arial" w:hAnsi="Arial" w:cs="Arial"/>
        </w:rPr>
        <w:t xml:space="preserve"> children. </w:t>
      </w:r>
    </w:p>
    <w:p w14:paraId="22F2EBD3" w14:textId="77777777" w:rsidR="002B3E2D" w:rsidRPr="00AE5C55" w:rsidRDefault="002B3E2D" w:rsidP="002B3E2D">
      <w:pPr>
        <w:pStyle w:val="ListParagraph"/>
        <w:spacing w:line="480" w:lineRule="auto"/>
        <w:jc w:val="both"/>
      </w:pPr>
    </w:p>
    <w:p w14:paraId="636CD963" w14:textId="66FAE113" w:rsidR="00AE5C55" w:rsidRPr="002B3E2D" w:rsidRDefault="002750AF" w:rsidP="002750AF">
      <w:pPr>
        <w:spacing w:line="480" w:lineRule="auto"/>
        <w:ind w:left="720" w:hanging="720"/>
        <w:jc w:val="both"/>
      </w:pPr>
      <w:r w:rsidRPr="002B3E2D">
        <w:rPr>
          <w:rFonts w:ascii="Arial" w:hAnsi="Arial" w:cs="Arial"/>
        </w:rPr>
        <w:t>3.</w:t>
      </w:r>
      <w:r w:rsidRPr="002B3E2D">
        <w:rPr>
          <w:rFonts w:ascii="Arial" w:hAnsi="Arial" w:cs="Arial"/>
        </w:rPr>
        <w:tab/>
      </w:r>
      <w:r w:rsidR="00AE5C55" w:rsidRPr="002750AF">
        <w:rPr>
          <w:rFonts w:ascii="Arial" w:hAnsi="Arial" w:cs="Arial"/>
        </w:rPr>
        <w:t xml:space="preserve">It is the </w:t>
      </w:r>
      <w:r w:rsidR="00DD10AF" w:rsidRPr="002750AF">
        <w:rPr>
          <w:rFonts w:ascii="Arial" w:hAnsi="Arial" w:cs="Arial"/>
        </w:rPr>
        <w:t>a</w:t>
      </w:r>
      <w:r w:rsidR="00AE5C55" w:rsidRPr="002750AF">
        <w:rPr>
          <w:rFonts w:ascii="Arial" w:hAnsi="Arial" w:cs="Arial"/>
        </w:rPr>
        <w:t xml:space="preserve">pplicants’ case that they have been residing in the property since they have acquired it and have never received any accounts </w:t>
      </w:r>
      <w:r w:rsidR="00D91620" w:rsidRPr="002750AF">
        <w:rPr>
          <w:rFonts w:ascii="Arial" w:hAnsi="Arial" w:cs="Arial"/>
        </w:rPr>
        <w:t xml:space="preserve">for the services </w:t>
      </w:r>
      <w:r w:rsidR="005E6ABD" w:rsidRPr="002750AF">
        <w:rPr>
          <w:rFonts w:ascii="Arial" w:hAnsi="Arial" w:cs="Arial"/>
        </w:rPr>
        <w:t>f</w:t>
      </w:r>
      <w:r w:rsidR="00AE5C55" w:rsidRPr="002750AF">
        <w:rPr>
          <w:rFonts w:ascii="Arial" w:hAnsi="Arial" w:cs="Arial"/>
        </w:rPr>
        <w:t xml:space="preserve">rom the </w:t>
      </w:r>
      <w:r w:rsidR="005E6ABD" w:rsidRPr="002750AF">
        <w:rPr>
          <w:rFonts w:ascii="Arial" w:hAnsi="Arial" w:cs="Arial"/>
        </w:rPr>
        <w:t>r</w:t>
      </w:r>
      <w:r w:rsidR="00AE5C55" w:rsidRPr="002750AF">
        <w:rPr>
          <w:rFonts w:ascii="Arial" w:hAnsi="Arial" w:cs="Arial"/>
        </w:rPr>
        <w:t xml:space="preserve">espondent whatsoever. </w:t>
      </w:r>
      <w:r w:rsidR="008972C6" w:rsidRPr="002750AF">
        <w:rPr>
          <w:rFonts w:ascii="Arial" w:hAnsi="Arial" w:cs="Arial"/>
        </w:rPr>
        <w:t>It is t</w:t>
      </w:r>
      <w:r w:rsidR="005E6ABD" w:rsidRPr="002750AF">
        <w:rPr>
          <w:rFonts w:ascii="Arial" w:hAnsi="Arial" w:cs="Arial"/>
        </w:rPr>
        <w:t>he applicant</w:t>
      </w:r>
      <w:r w:rsidR="00173CA4" w:rsidRPr="002750AF">
        <w:rPr>
          <w:rFonts w:ascii="Arial" w:hAnsi="Arial" w:cs="Arial"/>
        </w:rPr>
        <w:t>s</w:t>
      </w:r>
      <w:r w:rsidR="008972C6" w:rsidRPr="002750AF">
        <w:rPr>
          <w:rFonts w:ascii="Arial" w:hAnsi="Arial" w:cs="Arial"/>
        </w:rPr>
        <w:t>’</w:t>
      </w:r>
      <w:r w:rsidR="00173CA4" w:rsidRPr="002750AF">
        <w:rPr>
          <w:rFonts w:ascii="Arial" w:hAnsi="Arial" w:cs="Arial"/>
        </w:rPr>
        <w:t xml:space="preserve"> case </w:t>
      </w:r>
      <w:r w:rsidR="008972C6" w:rsidRPr="002750AF">
        <w:rPr>
          <w:rFonts w:ascii="Arial" w:hAnsi="Arial" w:cs="Arial"/>
        </w:rPr>
        <w:t>that they rely</w:t>
      </w:r>
      <w:r w:rsidR="005E6ABD" w:rsidRPr="002750AF">
        <w:rPr>
          <w:rFonts w:ascii="Arial" w:hAnsi="Arial" w:cs="Arial"/>
        </w:rPr>
        <w:t xml:space="preserve"> on a prepaid electricity </w:t>
      </w:r>
      <w:r w:rsidR="00F74181" w:rsidRPr="002750AF">
        <w:rPr>
          <w:rFonts w:ascii="Arial" w:hAnsi="Arial" w:cs="Arial"/>
        </w:rPr>
        <w:t xml:space="preserve">payment of </w:t>
      </w:r>
      <w:r w:rsidR="005E6ABD" w:rsidRPr="002750AF">
        <w:rPr>
          <w:rFonts w:ascii="Arial" w:hAnsi="Arial" w:cs="Arial"/>
        </w:rPr>
        <w:t>which is up to date</w:t>
      </w:r>
      <w:r w:rsidR="00173CA4" w:rsidRPr="002750AF">
        <w:rPr>
          <w:rFonts w:ascii="Arial" w:hAnsi="Arial" w:cs="Arial"/>
        </w:rPr>
        <w:t>.</w:t>
      </w:r>
      <w:r w:rsidR="00AE5C55" w:rsidRPr="002750AF">
        <w:rPr>
          <w:rFonts w:ascii="Arial" w:hAnsi="Arial" w:cs="Arial"/>
        </w:rPr>
        <w:t xml:space="preserve"> </w:t>
      </w:r>
      <w:r w:rsidR="00173CA4" w:rsidRPr="002750AF">
        <w:rPr>
          <w:rFonts w:ascii="Arial" w:hAnsi="Arial" w:cs="Arial"/>
        </w:rPr>
        <w:t>T</w:t>
      </w:r>
      <w:r w:rsidR="00AE5C55" w:rsidRPr="002750AF">
        <w:rPr>
          <w:rFonts w:ascii="Arial" w:hAnsi="Arial" w:cs="Arial"/>
        </w:rPr>
        <w:t xml:space="preserve">he </w:t>
      </w:r>
      <w:r w:rsidR="00173CA4" w:rsidRPr="002750AF">
        <w:rPr>
          <w:rFonts w:ascii="Arial" w:hAnsi="Arial" w:cs="Arial"/>
        </w:rPr>
        <w:t>a</w:t>
      </w:r>
      <w:r w:rsidR="00AE5C55" w:rsidRPr="002750AF">
        <w:rPr>
          <w:rFonts w:ascii="Arial" w:hAnsi="Arial" w:cs="Arial"/>
        </w:rPr>
        <w:t>pplicant</w:t>
      </w:r>
      <w:r w:rsidR="00F74181" w:rsidRPr="002750AF">
        <w:rPr>
          <w:rFonts w:ascii="Arial" w:hAnsi="Arial" w:cs="Arial"/>
        </w:rPr>
        <w:t>s</w:t>
      </w:r>
      <w:r w:rsidR="00AE5C55" w:rsidRPr="002750AF">
        <w:rPr>
          <w:rFonts w:ascii="Arial" w:hAnsi="Arial" w:cs="Arial"/>
        </w:rPr>
        <w:t xml:space="preserve"> </w:t>
      </w:r>
      <w:r w:rsidR="006F4B58" w:rsidRPr="002750AF">
        <w:rPr>
          <w:rFonts w:ascii="Arial" w:hAnsi="Arial" w:cs="Arial"/>
        </w:rPr>
        <w:t>state that</w:t>
      </w:r>
      <w:r w:rsidR="00AE5C55" w:rsidRPr="002750AF">
        <w:rPr>
          <w:rFonts w:ascii="Arial" w:hAnsi="Arial" w:cs="Arial"/>
        </w:rPr>
        <w:t xml:space="preserve"> they do not owe the </w:t>
      </w:r>
      <w:r w:rsidR="005E45C0" w:rsidRPr="002750AF">
        <w:rPr>
          <w:rFonts w:ascii="Arial" w:hAnsi="Arial" w:cs="Arial"/>
        </w:rPr>
        <w:t>C</w:t>
      </w:r>
      <w:r w:rsidR="00AE5C55" w:rsidRPr="002750AF">
        <w:rPr>
          <w:rFonts w:ascii="Arial" w:hAnsi="Arial" w:cs="Arial"/>
        </w:rPr>
        <w:t>ity any amount as their accounts have been paid in full</w:t>
      </w:r>
      <w:r w:rsidR="00173CA4" w:rsidRPr="002750AF">
        <w:rPr>
          <w:rFonts w:ascii="Arial" w:hAnsi="Arial" w:cs="Arial"/>
        </w:rPr>
        <w:t xml:space="preserve">. </w:t>
      </w:r>
      <w:r w:rsidR="00E9603D" w:rsidRPr="002750AF">
        <w:rPr>
          <w:rFonts w:ascii="Arial" w:hAnsi="Arial" w:cs="Arial"/>
        </w:rPr>
        <w:t>However,</w:t>
      </w:r>
      <w:r w:rsidR="00AE5C55" w:rsidRPr="002750AF">
        <w:rPr>
          <w:rFonts w:ascii="Arial" w:hAnsi="Arial" w:cs="Arial"/>
        </w:rPr>
        <w:t xml:space="preserve"> there </w:t>
      </w:r>
      <w:r w:rsidR="00466920" w:rsidRPr="002750AF">
        <w:rPr>
          <w:rFonts w:ascii="Arial" w:hAnsi="Arial" w:cs="Arial"/>
        </w:rPr>
        <w:t xml:space="preserve">are </w:t>
      </w:r>
      <w:r w:rsidR="00AE5C55" w:rsidRPr="002750AF">
        <w:rPr>
          <w:rFonts w:ascii="Arial" w:hAnsi="Arial" w:cs="Arial"/>
        </w:rPr>
        <w:t>no account</w:t>
      </w:r>
      <w:r w:rsidR="007B4F94" w:rsidRPr="002750AF">
        <w:rPr>
          <w:rFonts w:ascii="Arial" w:hAnsi="Arial" w:cs="Arial"/>
        </w:rPr>
        <w:t>s</w:t>
      </w:r>
      <w:r w:rsidR="00AE5C55" w:rsidRPr="002750AF">
        <w:rPr>
          <w:rFonts w:ascii="Arial" w:hAnsi="Arial" w:cs="Arial"/>
        </w:rPr>
        <w:t xml:space="preserve"> from the </w:t>
      </w:r>
      <w:r w:rsidR="005E45C0" w:rsidRPr="002750AF">
        <w:rPr>
          <w:rFonts w:ascii="Arial" w:hAnsi="Arial" w:cs="Arial"/>
        </w:rPr>
        <w:t>C</w:t>
      </w:r>
      <w:r w:rsidR="00AE5C55" w:rsidRPr="002750AF">
        <w:rPr>
          <w:rFonts w:ascii="Arial" w:hAnsi="Arial" w:cs="Arial"/>
        </w:rPr>
        <w:t xml:space="preserve">ity in the name of the </w:t>
      </w:r>
      <w:r w:rsidR="003E3237" w:rsidRPr="002750AF">
        <w:rPr>
          <w:rFonts w:ascii="Arial" w:hAnsi="Arial" w:cs="Arial"/>
        </w:rPr>
        <w:t>a</w:t>
      </w:r>
      <w:r w:rsidR="00AE5C55" w:rsidRPr="002750AF">
        <w:rPr>
          <w:rFonts w:ascii="Arial" w:hAnsi="Arial" w:cs="Arial"/>
        </w:rPr>
        <w:t>pplicant</w:t>
      </w:r>
      <w:r w:rsidR="003E3237" w:rsidRPr="002750AF">
        <w:rPr>
          <w:rFonts w:ascii="Arial" w:hAnsi="Arial" w:cs="Arial"/>
        </w:rPr>
        <w:t>s</w:t>
      </w:r>
      <w:r w:rsidR="00AE5C55" w:rsidRPr="002750AF">
        <w:rPr>
          <w:rFonts w:ascii="Arial" w:hAnsi="Arial" w:cs="Arial"/>
        </w:rPr>
        <w:t xml:space="preserve"> that has been attached to the papers. </w:t>
      </w:r>
      <w:r w:rsidR="00715B60" w:rsidRPr="002750AF">
        <w:rPr>
          <w:rFonts w:ascii="Arial" w:hAnsi="Arial" w:cs="Arial"/>
        </w:rPr>
        <w:t xml:space="preserve">From the reading of the </w:t>
      </w:r>
      <w:r w:rsidR="00442C60" w:rsidRPr="002750AF">
        <w:rPr>
          <w:rFonts w:ascii="Arial" w:hAnsi="Arial" w:cs="Arial"/>
        </w:rPr>
        <w:t>papers,</w:t>
      </w:r>
      <w:r w:rsidR="00715B60" w:rsidRPr="002750AF">
        <w:rPr>
          <w:rFonts w:ascii="Arial" w:hAnsi="Arial" w:cs="Arial"/>
        </w:rPr>
        <w:t xml:space="preserve"> i</w:t>
      </w:r>
      <w:r w:rsidR="00AE5C55" w:rsidRPr="002750AF">
        <w:rPr>
          <w:rFonts w:ascii="Arial" w:hAnsi="Arial" w:cs="Arial"/>
        </w:rPr>
        <w:t xml:space="preserve">t does not appear that the </w:t>
      </w:r>
      <w:r w:rsidR="00715B60" w:rsidRPr="002750AF">
        <w:rPr>
          <w:rFonts w:ascii="Arial" w:hAnsi="Arial" w:cs="Arial"/>
        </w:rPr>
        <w:t>a</w:t>
      </w:r>
      <w:r w:rsidR="00AE5C55" w:rsidRPr="002750AF">
        <w:rPr>
          <w:rFonts w:ascii="Arial" w:hAnsi="Arial" w:cs="Arial"/>
        </w:rPr>
        <w:t>pplicant</w:t>
      </w:r>
      <w:r w:rsidR="00715B60" w:rsidRPr="002750AF">
        <w:rPr>
          <w:rFonts w:ascii="Arial" w:hAnsi="Arial" w:cs="Arial"/>
        </w:rPr>
        <w:t>s</w:t>
      </w:r>
      <w:r w:rsidR="00AE5C55" w:rsidRPr="002750AF">
        <w:rPr>
          <w:rFonts w:ascii="Arial" w:hAnsi="Arial" w:cs="Arial"/>
        </w:rPr>
        <w:t xml:space="preserve"> have an existing services account with the </w:t>
      </w:r>
      <w:r w:rsidR="002961FB" w:rsidRPr="002750AF">
        <w:rPr>
          <w:rFonts w:ascii="Arial" w:hAnsi="Arial" w:cs="Arial"/>
        </w:rPr>
        <w:t>C</w:t>
      </w:r>
      <w:r w:rsidR="00AE5C55" w:rsidRPr="002750AF">
        <w:rPr>
          <w:rFonts w:ascii="Arial" w:hAnsi="Arial" w:cs="Arial"/>
        </w:rPr>
        <w:t xml:space="preserve">ity. </w:t>
      </w:r>
    </w:p>
    <w:p w14:paraId="308D573E" w14:textId="77777777" w:rsidR="002B3E2D" w:rsidRPr="00AE5C55" w:rsidRDefault="002B3E2D" w:rsidP="002B3E2D">
      <w:pPr>
        <w:spacing w:line="480" w:lineRule="auto"/>
        <w:jc w:val="both"/>
      </w:pPr>
    </w:p>
    <w:p w14:paraId="67E0C3E4" w14:textId="46B60835" w:rsidR="002B3E2D" w:rsidRPr="002B3E2D" w:rsidRDefault="002750AF" w:rsidP="002750AF">
      <w:pPr>
        <w:spacing w:line="480" w:lineRule="auto"/>
        <w:ind w:left="720" w:hanging="720"/>
        <w:jc w:val="both"/>
      </w:pPr>
      <w:r w:rsidRPr="002B3E2D">
        <w:rPr>
          <w:rFonts w:ascii="Arial" w:hAnsi="Arial" w:cs="Arial"/>
        </w:rPr>
        <w:lastRenderedPageBreak/>
        <w:t>4.</w:t>
      </w:r>
      <w:r w:rsidRPr="002B3E2D">
        <w:rPr>
          <w:rFonts w:ascii="Arial" w:hAnsi="Arial" w:cs="Arial"/>
        </w:rPr>
        <w:tab/>
      </w:r>
      <w:r w:rsidR="00AE5C55" w:rsidRPr="002750AF">
        <w:rPr>
          <w:rFonts w:ascii="Arial" w:hAnsi="Arial" w:cs="Arial"/>
        </w:rPr>
        <w:t xml:space="preserve">The </w:t>
      </w:r>
      <w:r w:rsidR="006F4B58" w:rsidRPr="002750AF">
        <w:rPr>
          <w:rFonts w:ascii="Arial" w:hAnsi="Arial" w:cs="Arial"/>
        </w:rPr>
        <w:t xml:space="preserve">first </w:t>
      </w:r>
      <w:r w:rsidR="00DD10AF" w:rsidRPr="002750AF">
        <w:rPr>
          <w:rFonts w:ascii="Arial" w:hAnsi="Arial" w:cs="Arial"/>
        </w:rPr>
        <w:t>a</w:t>
      </w:r>
      <w:r w:rsidR="00AE5C55" w:rsidRPr="002750AF">
        <w:rPr>
          <w:rFonts w:ascii="Arial" w:hAnsi="Arial" w:cs="Arial"/>
        </w:rPr>
        <w:t>pplicant states that</w:t>
      </w:r>
      <w:r w:rsidR="00AE5C55" w:rsidRPr="002750AF">
        <w:rPr>
          <w:rFonts w:ascii="Arial" w:hAnsi="Arial" w:cs="Arial"/>
          <w:i/>
          <w:iCs/>
        </w:rPr>
        <w:t xml:space="preserve">; “The amount that I allegedly owe to the </w:t>
      </w:r>
      <w:r w:rsidR="00442C60" w:rsidRPr="002750AF">
        <w:rPr>
          <w:rFonts w:ascii="Arial" w:hAnsi="Arial" w:cs="Arial"/>
          <w:i/>
          <w:iCs/>
        </w:rPr>
        <w:t>r</w:t>
      </w:r>
      <w:r w:rsidR="00AE5C55" w:rsidRPr="002750AF">
        <w:rPr>
          <w:rFonts w:ascii="Arial" w:hAnsi="Arial" w:cs="Arial"/>
          <w:i/>
          <w:iCs/>
        </w:rPr>
        <w:t>espondent under account No. 00501</w:t>
      </w:r>
      <w:r w:rsidR="008259BC" w:rsidRPr="002750AF">
        <w:rPr>
          <w:rFonts w:ascii="Arial" w:hAnsi="Arial" w:cs="Arial"/>
          <w:i/>
          <w:iCs/>
        </w:rPr>
        <w:t xml:space="preserve">7547825 is subject to a dispute whereby the </w:t>
      </w:r>
      <w:r w:rsidR="00846658" w:rsidRPr="002750AF">
        <w:rPr>
          <w:rFonts w:ascii="Arial" w:hAnsi="Arial" w:cs="Arial"/>
          <w:i/>
          <w:iCs/>
        </w:rPr>
        <w:t>outstanding</w:t>
      </w:r>
      <w:r w:rsidR="008259BC" w:rsidRPr="002750AF">
        <w:rPr>
          <w:rFonts w:ascii="Arial" w:hAnsi="Arial" w:cs="Arial"/>
          <w:i/>
          <w:iCs/>
        </w:rPr>
        <w:t xml:space="preserve"> accounts were not received by me and were addressed to the previous owner of the property, Mr. PA Te</w:t>
      </w:r>
      <w:r w:rsidR="008212C0" w:rsidRPr="002750AF">
        <w:rPr>
          <w:rFonts w:ascii="Arial" w:hAnsi="Arial" w:cs="Arial"/>
          <w:i/>
          <w:iCs/>
        </w:rPr>
        <w:t>r</w:t>
      </w:r>
      <w:r w:rsidR="008259BC" w:rsidRPr="002750AF">
        <w:rPr>
          <w:rFonts w:ascii="Arial" w:hAnsi="Arial" w:cs="Arial"/>
          <w:i/>
          <w:iCs/>
        </w:rPr>
        <w:t>blanch</w:t>
      </w:r>
      <w:r w:rsidR="008212C0" w:rsidRPr="002750AF">
        <w:rPr>
          <w:rFonts w:ascii="Arial" w:hAnsi="Arial" w:cs="Arial"/>
          <w:i/>
          <w:iCs/>
        </w:rPr>
        <w:t>e</w:t>
      </w:r>
      <w:r w:rsidR="00846658" w:rsidRPr="002750AF">
        <w:rPr>
          <w:rFonts w:ascii="Arial" w:hAnsi="Arial" w:cs="Arial"/>
          <w:i/>
          <w:iCs/>
        </w:rPr>
        <w:t xml:space="preserve">, and not to myself nor the </w:t>
      </w:r>
      <w:r w:rsidR="00CD0545" w:rsidRPr="002750AF">
        <w:rPr>
          <w:rFonts w:ascii="Arial" w:hAnsi="Arial" w:cs="Arial"/>
          <w:i/>
          <w:iCs/>
        </w:rPr>
        <w:t>s</w:t>
      </w:r>
      <w:r w:rsidR="00846658" w:rsidRPr="002750AF">
        <w:rPr>
          <w:rFonts w:ascii="Arial" w:hAnsi="Arial" w:cs="Arial"/>
          <w:i/>
          <w:iCs/>
        </w:rPr>
        <w:t xml:space="preserve">econd </w:t>
      </w:r>
      <w:r w:rsidR="00CD0545" w:rsidRPr="002750AF">
        <w:rPr>
          <w:rFonts w:ascii="Arial" w:hAnsi="Arial" w:cs="Arial"/>
          <w:i/>
          <w:iCs/>
        </w:rPr>
        <w:t>a</w:t>
      </w:r>
      <w:r w:rsidR="00846658" w:rsidRPr="002750AF">
        <w:rPr>
          <w:rFonts w:ascii="Arial" w:hAnsi="Arial" w:cs="Arial"/>
          <w:i/>
          <w:iCs/>
        </w:rPr>
        <w:t>pplicant. I confirm that to date, such dispute has not been resolved”</w:t>
      </w:r>
      <w:r w:rsidR="00846658" w:rsidRPr="002750AF">
        <w:rPr>
          <w:rFonts w:ascii="Arial" w:hAnsi="Arial" w:cs="Arial"/>
        </w:rPr>
        <w:t>.</w:t>
      </w:r>
      <w:r w:rsidR="004F1D12" w:rsidRPr="002750AF">
        <w:rPr>
          <w:rFonts w:ascii="Arial" w:hAnsi="Arial" w:cs="Arial"/>
        </w:rPr>
        <w:t xml:space="preserve"> According to the Deed of Transfer that has been attached to the papers, Mr. Terblanche is the previous owner of the applicants’ property.</w:t>
      </w:r>
    </w:p>
    <w:p w14:paraId="5BAB4C4D" w14:textId="77777777" w:rsidR="002B3E2D" w:rsidRPr="008212C0" w:rsidRDefault="002B3E2D" w:rsidP="002B3E2D">
      <w:pPr>
        <w:spacing w:line="480" w:lineRule="auto"/>
        <w:jc w:val="both"/>
      </w:pPr>
    </w:p>
    <w:p w14:paraId="58755D99" w14:textId="1E574C25" w:rsidR="008212C0" w:rsidRPr="002B3E2D" w:rsidRDefault="002750AF" w:rsidP="002750AF">
      <w:pPr>
        <w:spacing w:line="480" w:lineRule="auto"/>
        <w:ind w:left="720" w:hanging="720"/>
        <w:jc w:val="both"/>
      </w:pPr>
      <w:r w:rsidRPr="002B3E2D">
        <w:rPr>
          <w:rFonts w:ascii="Arial" w:hAnsi="Arial" w:cs="Arial"/>
        </w:rPr>
        <w:t>5.</w:t>
      </w:r>
      <w:r w:rsidRPr="002B3E2D">
        <w:rPr>
          <w:rFonts w:ascii="Arial" w:hAnsi="Arial" w:cs="Arial"/>
        </w:rPr>
        <w:tab/>
      </w:r>
      <w:r w:rsidR="00F74181" w:rsidRPr="002750AF">
        <w:rPr>
          <w:rFonts w:ascii="Arial" w:hAnsi="Arial" w:cs="Arial"/>
        </w:rPr>
        <w:t>The a</w:t>
      </w:r>
      <w:r w:rsidR="008212C0" w:rsidRPr="002750AF">
        <w:rPr>
          <w:rFonts w:ascii="Arial" w:hAnsi="Arial" w:cs="Arial"/>
        </w:rPr>
        <w:t xml:space="preserve">pplicants are </w:t>
      </w:r>
      <w:r w:rsidR="00C842E2" w:rsidRPr="002750AF">
        <w:rPr>
          <w:rFonts w:ascii="Arial" w:hAnsi="Arial" w:cs="Arial"/>
        </w:rPr>
        <w:t xml:space="preserve">Brazilians citizens. </w:t>
      </w:r>
      <w:r w:rsidR="00ED70D1" w:rsidRPr="002750AF">
        <w:rPr>
          <w:rFonts w:ascii="Arial" w:hAnsi="Arial" w:cs="Arial"/>
        </w:rPr>
        <w:t xml:space="preserve">They allege that they speak </w:t>
      </w:r>
      <w:r w:rsidR="00CD0545" w:rsidRPr="002750AF">
        <w:rPr>
          <w:rFonts w:ascii="Arial" w:hAnsi="Arial" w:cs="Arial"/>
        </w:rPr>
        <w:t>Portuguese,</w:t>
      </w:r>
      <w:r w:rsidR="00ED70D1" w:rsidRPr="002750AF">
        <w:rPr>
          <w:rFonts w:ascii="Arial" w:hAnsi="Arial" w:cs="Arial"/>
        </w:rPr>
        <w:t xml:space="preserve"> and struggle with </w:t>
      </w:r>
      <w:r w:rsidR="00F74181" w:rsidRPr="002750AF">
        <w:rPr>
          <w:rFonts w:ascii="Arial" w:hAnsi="Arial" w:cs="Arial"/>
        </w:rPr>
        <w:t>E</w:t>
      </w:r>
      <w:r w:rsidR="00ED70D1" w:rsidRPr="002750AF">
        <w:rPr>
          <w:rFonts w:ascii="Arial" w:hAnsi="Arial" w:cs="Arial"/>
        </w:rPr>
        <w:t xml:space="preserve">nglish </w:t>
      </w:r>
      <w:r w:rsidR="006F3D2F" w:rsidRPr="002750AF">
        <w:rPr>
          <w:rFonts w:ascii="Arial" w:hAnsi="Arial" w:cs="Arial"/>
        </w:rPr>
        <w:t xml:space="preserve">and further that they </w:t>
      </w:r>
      <w:r w:rsidR="00ED70D1" w:rsidRPr="002750AF">
        <w:rPr>
          <w:rFonts w:ascii="Arial" w:hAnsi="Arial" w:cs="Arial"/>
        </w:rPr>
        <w:t>are not familiar with the process</w:t>
      </w:r>
      <w:r w:rsidR="008D11E1" w:rsidRPr="002750AF">
        <w:rPr>
          <w:rFonts w:ascii="Arial" w:hAnsi="Arial" w:cs="Arial"/>
        </w:rPr>
        <w:t>es</w:t>
      </w:r>
      <w:r w:rsidR="00ED70D1" w:rsidRPr="002750AF">
        <w:rPr>
          <w:rFonts w:ascii="Arial" w:hAnsi="Arial" w:cs="Arial"/>
        </w:rPr>
        <w:t xml:space="preserve"> in the country.</w:t>
      </w:r>
      <w:r w:rsidR="00C842E2" w:rsidRPr="002750AF">
        <w:rPr>
          <w:rFonts w:ascii="Arial" w:hAnsi="Arial" w:cs="Arial"/>
        </w:rPr>
        <w:t xml:space="preserve"> </w:t>
      </w:r>
      <w:r w:rsidR="00ED70D1" w:rsidRPr="002750AF">
        <w:rPr>
          <w:rFonts w:ascii="Arial" w:hAnsi="Arial" w:cs="Arial"/>
        </w:rPr>
        <w:t>T</w:t>
      </w:r>
      <w:r w:rsidR="00C842E2" w:rsidRPr="002750AF">
        <w:rPr>
          <w:rFonts w:ascii="Arial" w:hAnsi="Arial" w:cs="Arial"/>
        </w:rPr>
        <w:t xml:space="preserve">hey </w:t>
      </w:r>
      <w:r w:rsidR="00F74181" w:rsidRPr="002750AF">
        <w:rPr>
          <w:rFonts w:ascii="Arial" w:hAnsi="Arial" w:cs="Arial"/>
        </w:rPr>
        <w:t>stat</w:t>
      </w:r>
      <w:r w:rsidR="00C842E2" w:rsidRPr="002750AF">
        <w:rPr>
          <w:rFonts w:ascii="Arial" w:hAnsi="Arial" w:cs="Arial"/>
        </w:rPr>
        <w:t xml:space="preserve">e that during the December </w:t>
      </w:r>
      <w:r w:rsidR="002C618F" w:rsidRPr="002750AF">
        <w:rPr>
          <w:rFonts w:ascii="Arial" w:hAnsi="Arial" w:cs="Arial"/>
        </w:rPr>
        <w:t xml:space="preserve">2022 </w:t>
      </w:r>
      <w:r w:rsidR="00C842E2" w:rsidRPr="002750AF">
        <w:rPr>
          <w:rFonts w:ascii="Arial" w:hAnsi="Arial" w:cs="Arial"/>
        </w:rPr>
        <w:t>holiday</w:t>
      </w:r>
      <w:r w:rsidR="002C618F" w:rsidRPr="002750AF">
        <w:rPr>
          <w:rFonts w:ascii="Arial" w:hAnsi="Arial" w:cs="Arial"/>
        </w:rPr>
        <w:t>s</w:t>
      </w:r>
      <w:r w:rsidR="00C842E2" w:rsidRPr="002750AF">
        <w:rPr>
          <w:rFonts w:ascii="Arial" w:hAnsi="Arial" w:cs="Arial"/>
        </w:rPr>
        <w:t xml:space="preserve"> they left for Brazil</w:t>
      </w:r>
      <w:r w:rsidR="00C1587E" w:rsidRPr="002750AF">
        <w:rPr>
          <w:rFonts w:ascii="Arial" w:hAnsi="Arial" w:cs="Arial"/>
        </w:rPr>
        <w:t xml:space="preserve"> on 08 December 2022 and returned to South Africa on 14 January 202</w:t>
      </w:r>
      <w:r w:rsidR="008D11E1" w:rsidRPr="002750AF">
        <w:rPr>
          <w:rFonts w:ascii="Arial" w:hAnsi="Arial" w:cs="Arial"/>
        </w:rPr>
        <w:t>3</w:t>
      </w:r>
      <w:r w:rsidR="00C842E2" w:rsidRPr="002750AF">
        <w:rPr>
          <w:rFonts w:ascii="Arial" w:hAnsi="Arial" w:cs="Arial"/>
        </w:rPr>
        <w:t xml:space="preserve">. On their return on </w:t>
      </w:r>
      <w:r w:rsidR="00C1587E" w:rsidRPr="002750AF">
        <w:rPr>
          <w:rFonts w:ascii="Arial" w:hAnsi="Arial" w:cs="Arial"/>
        </w:rPr>
        <w:t>14 January 2023,</w:t>
      </w:r>
      <w:r w:rsidR="00C842E2" w:rsidRPr="002750AF">
        <w:rPr>
          <w:rFonts w:ascii="Arial" w:hAnsi="Arial" w:cs="Arial"/>
        </w:rPr>
        <w:t xml:space="preserve"> it came to their attention that the </w:t>
      </w:r>
      <w:r w:rsidR="00847B99" w:rsidRPr="002750AF">
        <w:rPr>
          <w:rFonts w:ascii="Arial" w:hAnsi="Arial" w:cs="Arial"/>
        </w:rPr>
        <w:t>C</w:t>
      </w:r>
      <w:r w:rsidR="00C842E2" w:rsidRPr="002750AF">
        <w:rPr>
          <w:rFonts w:ascii="Arial" w:hAnsi="Arial" w:cs="Arial"/>
        </w:rPr>
        <w:t xml:space="preserve">ity has </w:t>
      </w:r>
      <w:r w:rsidR="00C1587E" w:rsidRPr="002750AF">
        <w:rPr>
          <w:rFonts w:ascii="Arial" w:hAnsi="Arial" w:cs="Arial"/>
        </w:rPr>
        <w:t xml:space="preserve">during their absence </w:t>
      </w:r>
      <w:r w:rsidR="00C842E2" w:rsidRPr="002750AF">
        <w:rPr>
          <w:rFonts w:ascii="Arial" w:hAnsi="Arial" w:cs="Arial"/>
        </w:rPr>
        <w:t xml:space="preserve">delivered pre-termination </w:t>
      </w:r>
      <w:r w:rsidR="008D11E1" w:rsidRPr="002750AF">
        <w:rPr>
          <w:rFonts w:ascii="Arial" w:hAnsi="Arial" w:cs="Arial"/>
        </w:rPr>
        <w:t xml:space="preserve">and termination </w:t>
      </w:r>
      <w:r w:rsidR="00C842E2" w:rsidRPr="002750AF">
        <w:rPr>
          <w:rFonts w:ascii="Arial" w:hAnsi="Arial" w:cs="Arial"/>
        </w:rPr>
        <w:t>notices to their property. The said notices are:</w:t>
      </w:r>
    </w:p>
    <w:p w14:paraId="6AF59AD3" w14:textId="77777777" w:rsidR="002B3E2D" w:rsidRPr="00C842E2" w:rsidRDefault="002B3E2D" w:rsidP="002B3E2D">
      <w:pPr>
        <w:spacing w:line="480" w:lineRule="auto"/>
        <w:jc w:val="both"/>
      </w:pPr>
    </w:p>
    <w:p w14:paraId="48046BD2" w14:textId="7FD2545C" w:rsidR="00C842E2" w:rsidRPr="00414B4C" w:rsidRDefault="002750AF" w:rsidP="002750AF">
      <w:pPr>
        <w:spacing w:line="480" w:lineRule="auto"/>
        <w:ind w:left="1560" w:hanging="851"/>
        <w:jc w:val="both"/>
      </w:pPr>
      <w:r w:rsidRPr="00414B4C">
        <w:rPr>
          <w:rFonts w:ascii="Arial" w:hAnsi="Arial" w:cs="Arial"/>
        </w:rPr>
        <w:t>5.1</w:t>
      </w:r>
      <w:r w:rsidRPr="00414B4C">
        <w:rPr>
          <w:rFonts w:ascii="Arial" w:hAnsi="Arial" w:cs="Arial"/>
        </w:rPr>
        <w:tab/>
      </w:r>
      <w:r w:rsidR="00414B4C" w:rsidRPr="002750AF">
        <w:rPr>
          <w:rFonts w:ascii="Arial" w:hAnsi="Arial" w:cs="Arial"/>
        </w:rPr>
        <w:t>A p</w:t>
      </w:r>
      <w:r w:rsidR="007B7FB2" w:rsidRPr="002750AF">
        <w:rPr>
          <w:rFonts w:ascii="Arial" w:hAnsi="Arial" w:cs="Arial"/>
        </w:rPr>
        <w:t>re-termination notice dated 14 December 2022 claiming the amount of R99</w:t>
      </w:r>
      <w:r w:rsidR="009B2257" w:rsidRPr="002750AF">
        <w:rPr>
          <w:rFonts w:ascii="Arial" w:hAnsi="Arial" w:cs="Arial"/>
        </w:rPr>
        <w:t> </w:t>
      </w:r>
      <w:r w:rsidR="007B7FB2" w:rsidRPr="002750AF">
        <w:rPr>
          <w:rFonts w:ascii="Arial" w:hAnsi="Arial" w:cs="Arial"/>
        </w:rPr>
        <w:t>132</w:t>
      </w:r>
      <w:r w:rsidR="009B2257" w:rsidRPr="002750AF">
        <w:rPr>
          <w:rFonts w:ascii="Arial" w:hAnsi="Arial" w:cs="Arial"/>
        </w:rPr>
        <w:t>-</w:t>
      </w:r>
      <w:r w:rsidR="007B7FB2" w:rsidRPr="002750AF">
        <w:rPr>
          <w:rFonts w:ascii="Arial" w:hAnsi="Arial" w:cs="Arial"/>
        </w:rPr>
        <w:t>76</w:t>
      </w:r>
      <w:r w:rsidR="009B2257" w:rsidRPr="002750AF">
        <w:rPr>
          <w:rFonts w:ascii="Arial" w:hAnsi="Arial" w:cs="Arial"/>
        </w:rPr>
        <w:t>.</w:t>
      </w:r>
    </w:p>
    <w:p w14:paraId="6FFE6321" w14:textId="77777777" w:rsidR="00414B4C" w:rsidRPr="00414B4C" w:rsidRDefault="00414B4C" w:rsidP="00414B4C">
      <w:pPr>
        <w:pStyle w:val="ListParagraph"/>
        <w:ind w:left="1560"/>
        <w:jc w:val="both"/>
      </w:pPr>
    </w:p>
    <w:p w14:paraId="38ED8074" w14:textId="46784911" w:rsidR="009B2257" w:rsidRPr="00414B4C" w:rsidRDefault="002750AF" w:rsidP="002750AF">
      <w:pPr>
        <w:spacing w:line="480" w:lineRule="auto"/>
        <w:ind w:left="1560" w:hanging="851"/>
        <w:jc w:val="both"/>
      </w:pPr>
      <w:r w:rsidRPr="00414B4C">
        <w:rPr>
          <w:rFonts w:ascii="Arial" w:hAnsi="Arial" w:cs="Arial"/>
        </w:rPr>
        <w:t>5.2</w:t>
      </w:r>
      <w:r w:rsidRPr="00414B4C">
        <w:rPr>
          <w:rFonts w:ascii="Arial" w:hAnsi="Arial" w:cs="Arial"/>
        </w:rPr>
        <w:tab/>
      </w:r>
      <w:r w:rsidR="009B2257" w:rsidRPr="002750AF">
        <w:rPr>
          <w:rFonts w:ascii="Arial" w:hAnsi="Arial" w:cs="Arial"/>
        </w:rPr>
        <w:t>A</w:t>
      </w:r>
      <w:r w:rsidR="00414B4C" w:rsidRPr="002750AF">
        <w:rPr>
          <w:rFonts w:ascii="Arial" w:hAnsi="Arial" w:cs="Arial"/>
        </w:rPr>
        <w:t>nother</w:t>
      </w:r>
      <w:r w:rsidR="009B2257" w:rsidRPr="002750AF">
        <w:rPr>
          <w:rFonts w:ascii="Arial" w:hAnsi="Arial" w:cs="Arial"/>
        </w:rPr>
        <w:t xml:space="preserve"> pre-termination notice dated 09 January 2023 claiming an amount of R107 272-99.</w:t>
      </w:r>
    </w:p>
    <w:p w14:paraId="1A422C90" w14:textId="77777777" w:rsidR="00414B4C" w:rsidRDefault="00414B4C" w:rsidP="00414B4C">
      <w:pPr>
        <w:pStyle w:val="ListParagraph"/>
      </w:pPr>
    </w:p>
    <w:p w14:paraId="5FBC5176" w14:textId="5AFADFF6" w:rsidR="009B2257" w:rsidRPr="004A12C5" w:rsidRDefault="002750AF" w:rsidP="002750AF">
      <w:pPr>
        <w:spacing w:line="480" w:lineRule="auto"/>
        <w:ind w:left="1560" w:hanging="851"/>
        <w:jc w:val="both"/>
      </w:pPr>
      <w:r w:rsidRPr="004A12C5">
        <w:rPr>
          <w:rFonts w:ascii="Arial" w:hAnsi="Arial" w:cs="Arial"/>
        </w:rPr>
        <w:t>5.3</w:t>
      </w:r>
      <w:r w:rsidRPr="004A12C5">
        <w:rPr>
          <w:rFonts w:ascii="Arial" w:hAnsi="Arial" w:cs="Arial"/>
        </w:rPr>
        <w:tab/>
      </w:r>
      <w:r w:rsidR="002057AE" w:rsidRPr="002750AF">
        <w:rPr>
          <w:rFonts w:ascii="Arial" w:hAnsi="Arial" w:cs="Arial"/>
        </w:rPr>
        <w:t>A disconnection notice dated 11 January 2023.</w:t>
      </w:r>
    </w:p>
    <w:p w14:paraId="25F1820A" w14:textId="77777777" w:rsidR="004A12C5" w:rsidRPr="00C842E2" w:rsidRDefault="004A12C5" w:rsidP="004A12C5">
      <w:pPr>
        <w:spacing w:line="480" w:lineRule="auto"/>
        <w:jc w:val="both"/>
      </w:pPr>
    </w:p>
    <w:p w14:paraId="05779F2D" w14:textId="491170F3" w:rsidR="00876998" w:rsidRPr="004A12C5" w:rsidRDefault="002750AF" w:rsidP="002750AF">
      <w:pPr>
        <w:spacing w:line="480" w:lineRule="auto"/>
        <w:ind w:left="720" w:hanging="720"/>
        <w:jc w:val="both"/>
      </w:pPr>
      <w:r w:rsidRPr="004A12C5">
        <w:rPr>
          <w:rFonts w:ascii="Arial" w:hAnsi="Arial" w:cs="Arial"/>
        </w:rPr>
        <w:t>6.</w:t>
      </w:r>
      <w:r w:rsidRPr="004A12C5">
        <w:rPr>
          <w:rFonts w:ascii="Arial" w:hAnsi="Arial" w:cs="Arial"/>
        </w:rPr>
        <w:tab/>
      </w:r>
      <w:r w:rsidR="006C78DB" w:rsidRPr="002750AF">
        <w:rPr>
          <w:rFonts w:ascii="Arial" w:hAnsi="Arial" w:cs="Arial"/>
        </w:rPr>
        <w:t>Although t</w:t>
      </w:r>
      <w:r w:rsidR="00876998" w:rsidRPr="002750AF">
        <w:rPr>
          <w:rFonts w:ascii="Arial" w:hAnsi="Arial" w:cs="Arial"/>
        </w:rPr>
        <w:t xml:space="preserve">he said notices </w:t>
      </w:r>
      <w:r w:rsidR="006C78DB" w:rsidRPr="002750AF">
        <w:rPr>
          <w:rFonts w:ascii="Arial" w:hAnsi="Arial" w:cs="Arial"/>
        </w:rPr>
        <w:t xml:space="preserve">were apparently served at the applicants’ premises, they </w:t>
      </w:r>
      <w:r w:rsidR="004A12C5" w:rsidRPr="002750AF">
        <w:rPr>
          <w:rFonts w:ascii="Arial" w:hAnsi="Arial" w:cs="Arial"/>
        </w:rPr>
        <w:t>were</w:t>
      </w:r>
      <w:r w:rsidR="00876998" w:rsidRPr="002750AF">
        <w:rPr>
          <w:rFonts w:ascii="Arial" w:hAnsi="Arial" w:cs="Arial"/>
        </w:rPr>
        <w:t xml:space="preserve"> addressed to Mr. PA Terblanche. </w:t>
      </w:r>
      <w:r w:rsidR="006C78DB" w:rsidRPr="002750AF">
        <w:rPr>
          <w:rFonts w:ascii="Arial" w:hAnsi="Arial" w:cs="Arial"/>
        </w:rPr>
        <w:t>At the time th</w:t>
      </w:r>
      <w:r w:rsidR="00EC6BBD" w:rsidRPr="002750AF">
        <w:rPr>
          <w:rFonts w:ascii="Arial" w:hAnsi="Arial" w:cs="Arial"/>
        </w:rPr>
        <w:t xml:space="preserve">ose notices were </w:t>
      </w:r>
      <w:r w:rsidR="00EC6BBD" w:rsidRPr="002750AF">
        <w:rPr>
          <w:rFonts w:ascii="Arial" w:hAnsi="Arial" w:cs="Arial"/>
        </w:rPr>
        <w:lastRenderedPageBreak/>
        <w:t xml:space="preserve">served, the applicants were not </w:t>
      </w:r>
      <w:r w:rsidR="001C75B5" w:rsidRPr="002750AF">
        <w:rPr>
          <w:rFonts w:ascii="Arial" w:hAnsi="Arial" w:cs="Arial"/>
        </w:rPr>
        <w:t>around</w:t>
      </w:r>
      <w:r w:rsidR="00EC6BBD" w:rsidRPr="002750AF">
        <w:rPr>
          <w:rFonts w:ascii="Arial" w:hAnsi="Arial" w:cs="Arial"/>
        </w:rPr>
        <w:t xml:space="preserve"> having traveled to Brazil for the December holidays. </w:t>
      </w:r>
      <w:r w:rsidR="00876998" w:rsidRPr="002750AF">
        <w:rPr>
          <w:rFonts w:ascii="Arial" w:hAnsi="Arial" w:cs="Arial"/>
        </w:rPr>
        <w:t>As stated hereinabove Mr. Terblanche is the previous owner of the property.</w:t>
      </w:r>
      <w:r w:rsidR="00D91D11" w:rsidRPr="002750AF">
        <w:rPr>
          <w:rFonts w:ascii="Arial" w:hAnsi="Arial" w:cs="Arial"/>
        </w:rPr>
        <w:t xml:space="preserve"> </w:t>
      </w:r>
      <w:r w:rsidR="00876998" w:rsidRPr="002750AF">
        <w:rPr>
          <w:rFonts w:ascii="Arial" w:hAnsi="Arial" w:cs="Arial"/>
        </w:rPr>
        <w:t xml:space="preserve">The said notices were addressed to the </w:t>
      </w:r>
      <w:r w:rsidR="00D91D11" w:rsidRPr="002750AF">
        <w:rPr>
          <w:rFonts w:ascii="Arial" w:hAnsi="Arial" w:cs="Arial"/>
        </w:rPr>
        <w:t>property</w:t>
      </w:r>
      <w:r w:rsidR="00876998" w:rsidRPr="002750AF">
        <w:rPr>
          <w:rFonts w:ascii="Arial" w:hAnsi="Arial" w:cs="Arial"/>
        </w:rPr>
        <w:t xml:space="preserve"> owned by the </w:t>
      </w:r>
      <w:r w:rsidR="00F74181" w:rsidRPr="002750AF">
        <w:rPr>
          <w:rFonts w:ascii="Arial" w:hAnsi="Arial" w:cs="Arial"/>
        </w:rPr>
        <w:t>a</w:t>
      </w:r>
      <w:r w:rsidR="00876998" w:rsidRPr="002750AF">
        <w:rPr>
          <w:rFonts w:ascii="Arial" w:hAnsi="Arial" w:cs="Arial"/>
        </w:rPr>
        <w:t xml:space="preserve">pplicants, although the addressee was Mr. Terblanche. The </w:t>
      </w:r>
      <w:r w:rsidR="00F74181" w:rsidRPr="002750AF">
        <w:rPr>
          <w:rFonts w:ascii="Arial" w:hAnsi="Arial" w:cs="Arial"/>
        </w:rPr>
        <w:t xml:space="preserve">pre-termination </w:t>
      </w:r>
      <w:r w:rsidR="00876998" w:rsidRPr="002750AF">
        <w:rPr>
          <w:rFonts w:ascii="Arial" w:hAnsi="Arial" w:cs="Arial"/>
        </w:rPr>
        <w:t xml:space="preserve">notices </w:t>
      </w:r>
      <w:r w:rsidR="004A12C5" w:rsidRPr="002750AF">
        <w:rPr>
          <w:rFonts w:ascii="Arial" w:hAnsi="Arial" w:cs="Arial"/>
        </w:rPr>
        <w:t>read</w:t>
      </w:r>
      <w:r w:rsidR="00876998" w:rsidRPr="002750AF">
        <w:rPr>
          <w:rFonts w:ascii="Arial" w:hAnsi="Arial" w:cs="Arial"/>
        </w:rPr>
        <w:t xml:space="preserve"> thus:</w:t>
      </w:r>
    </w:p>
    <w:p w14:paraId="7F8671FE" w14:textId="77777777" w:rsidR="004A12C5" w:rsidRPr="00876998" w:rsidRDefault="004A12C5" w:rsidP="004A12C5">
      <w:pPr>
        <w:spacing w:line="480" w:lineRule="auto"/>
        <w:jc w:val="both"/>
      </w:pPr>
    </w:p>
    <w:p w14:paraId="0CFA0FE7" w14:textId="6B9EB600" w:rsidR="00101534" w:rsidRPr="002E41DF" w:rsidRDefault="00876998" w:rsidP="002E41DF">
      <w:pPr>
        <w:pStyle w:val="ListParagraph"/>
        <w:spacing w:line="480" w:lineRule="auto"/>
        <w:ind w:left="1440"/>
        <w:jc w:val="both"/>
        <w:rPr>
          <w:rFonts w:ascii="Arial" w:hAnsi="Arial" w:cs="Arial"/>
          <w:i/>
          <w:iCs/>
        </w:rPr>
      </w:pPr>
      <w:r w:rsidRPr="00101534">
        <w:rPr>
          <w:rFonts w:ascii="Arial" w:hAnsi="Arial" w:cs="Arial"/>
          <w:i/>
          <w:iCs/>
        </w:rPr>
        <w:t>“</w:t>
      </w:r>
      <w:r w:rsidR="00101534" w:rsidRPr="00101534">
        <w:rPr>
          <w:rFonts w:ascii="Arial" w:hAnsi="Arial" w:cs="Arial"/>
          <w:i/>
          <w:iCs/>
        </w:rPr>
        <w:t>I</w:t>
      </w:r>
      <w:r w:rsidR="00396150" w:rsidRPr="00101534">
        <w:rPr>
          <w:rFonts w:ascii="Arial" w:hAnsi="Arial" w:cs="Arial"/>
          <w:i/>
          <w:iCs/>
        </w:rPr>
        <w:t>t has come to my attention that your municipal services and/or rates and taxes account was not paid by the due date. This is a final demand for payment for outstanding</w:t>
      </w:r>
      <w:r w:rsidR="00F97214">
        <w:rPr>
          <w:rFonts w:ascii="Arial" w:hAnsi="Arial" w:cs="Arial"/>
          <w:i/>
          <w:iCs/>
        </w:rPr>
        <w:t xml:space="preserve"> </w:t>
      </w:r>
      <w:r w:rsidR="00396150" w:rsidRPr="00101534">
        <w:rPr>
          <w:rFonts w:ascii="Arial" w:hAnsi="Arial" w:cs="Arial"/>
          <w:i/>
          <w:iCs/>
        </w:rPr>
        <w:t xml:space="preserve">balance at the </w:t>
      </w:r>
      <w:r w:rsidR="00D91D11">
        <w:rPr>
          <w:rFonts w:ascii="Arial" w:hAnsi="Arial" w:cs="Arial"/>
          <w:i/>
          <w:iCs/>
        </w:rPr>
        <w:t>F</w:t>
      </w:r>
      <w:r w:rsidR="00396150" w:rsidRPr="00101534">
        <w:rPr>
          <w:rFonts w:ascii="Arial" w:hAnsi="Arial" w:cs="Arial"/>
          <w:i/>
          <w:iCs/>
        </w:rPr>
        <w:t xml:space="preserve">inancial </w:t>
      </w:r>
      <w:r w:rsidR="00D91D11">
        <w:rPr>
          <w:rFonts w:ascii="Arial" w:hAnsi="Arial" w:cs="Arial"/>
          <w:i/>
          <w:iCs/>
        </w:rPr>
        <w:t>S</w:t>
      </w:r>
      <w:r w:rsidR="00396150" w:rsidRPr="00101534">
        <w:rPr>
          <w:rFonts w:ascii="Arial" w:hAnsi="Arial" w:cs="Arial"/>
          <w:i/>
          <w:iCs/>
        </w:rPr>
        <w:t xml:space="preserve">ervices </w:t>
      </w:r>
      <w:r w:rsidR="00D91D11">
        <w:rPr>
          <w:rFonts w:ascii="Arial" w:hAnsi="Arial" w:cs="Arial"/>
          <w:i/>
          <w:iCs/>
        </w:rPr>
        <w:t>D</w:t>
      </w:r>
      <w:r w:rsidR="00396150" w:rsidRPr="00101534">
        <w:rPr>
          <w:rFonts w:ascii="Arial" w:hAnsi="Arial" w:cs="Arial"/>
          <w:i/>
          <w:iCs/>
        </w:rPr>
        <w:t>epartment. In the case of rates and taxes account, according to section 28(1) of the Municipal Property Rates Act 2004 (Act 6 of 2004</w:t>
      </w:r>
      <w:r w:rsidR="00101534" w:rsidRPr="00101534">
        <w:rPr>
          <w:rFonts w:ascii="Arial" w:hAnsi="Arial" w:cs="Arial"/>
          <w:i/>
          <w:iCs/>
        </w:rPr>
        <w:t xml:space="preserve"> </w:t>
      </w:r>
      <w:r w:rsidR="00CF5B32">
        <w:rPr>
          <w:rFonts w:ascii="Arial" w:hAnsi="Arial" w:cs="Arial"/>
          <w:i/>
          <w:iCs/>
        </w:rPr>
        <w:t>M</w:t>
      </w:r>
      <w:r w:rsidR="00101534" w:rsidRPr="00101534">
        <w:rPr>
          <w:rFonts w:ascii="Arial" w:hAnsi="Arial" w:cs="Arial"/>
          <w:i/>
          <w:iCs/>
        </w:rPr>
        <w:t>PRA</w:t>
      </w:r>
      <w:r w:rsidR="00396150" w:rsidRPr="00101534">
        <w:rPr>
          <w:rFonts w:ascii="Arial" w:hAnsi="Arial" w:cs="Arial"/>
          <w:i/>
          <w:iCs/>
        </w:rPr>
        <w:t>)</w:t>
      </w:r>
      <w:r w:rsidR="00101534" w:rsidRPr="00101534">
        <w:rPr>
          <w:rFonts w:ascii="Arial" w:hAnsi="Arial" w:cs="Arial"/>
          <w:i/>
          <w:iCs/>
        </w:rPr>
        <w:t xml:space="preserve"> the Municipality may recover the amount in whole or in part from the tenant or occupier of the property, despite any contractual obligation to the contrary on behalf of the tenant or the occupier. </w:t>
      </w:r>
    </w:p>
    <w:p w14:paraId="1EEB850B" w14:textId="16F1E7E6" w:rsidR="00101534" w:rsidRPr="002E41DF" w:rsidRDefault="00101534" w:rsidP="002E41DF">
      <w:pPr>
        <w:pStyle w:val="ListParagraph"/>
        <w:spacing w:line="480" w:lineRule="auto"/>
        <w:ind w:left="1440"/>
        <w:jc w:val="both"/>
        <w:rPr>
          <w:rFonts w:ascii="Arial" w:hAnsi="Arial" w:cs="Arial"/>
          <w:i/>
          <w:iCs/>
        </w:rPr>
      </w:pPr>
      <w:r w:rsidRPr="00101534">
        <w:rPr>
          <w:rFonts w:ascii="Arial" w:hAnsi="Arial" w:cs="Arial"/>
          <w:i/>
          <w:iCs/>
        </w:rPr>
        <w:t xml:space="preserve">Please react to this demand within </w:t>
      </w:r>
      <w:r w:rsidR="00CF5B32" w:rsidRPr="00101534">
        <w:rPr>
          <w:rFonts w:ascii="Arial" w:hAnsi="Arial" w:cs="Arial"/>
          <w:i/>
          <w:iCs/>
        </w:rPr>
        <w:t>(14)</w:t>
      </w:r>
      <w:r w:rsidR="00CF5B32">
        <w:rPr>
          <w:rFonts w:ascii="Arial" w:hAnsi="Arial" w:cs="Arial"/>
          <w:i/>
          <w:iCs/>
        </w:rPr>
        <w:t xml:space="preserve"> </w:t>
      </w:r>
      <w:r w:rsidR="00CF5B32" w:rsidRPr="00101534">
        <w:rPr>
          <w:rFonts w:ascii="Arial" w:hAnsi="Arial" w:cs="Arial"/>
          <w:i/>
          <w:iCs/>
        </w:rPr>
        <w:t>fourteen days</w:t>
      </w:r>
      <w:r w:rsidRPr="00101534">
        <w:rPr>
          <w:rFonts w:ascii="Arial" w:hAnsi="Arial" w:cs="Arial"/>
          <w:i/>
          <w:iCs/>
        </w:rPr>
        <w:t xml:space="preserve"> by either paying at the </w:t>
      </w:r>
      <w:r w:rsidR="00CF5B32" w:rsidRPr="00CF5B32">
        <w:rPr>
          <w:rFonts w:ascii="Arial" w:hAnsi="Arial" w:cs="Arial"/>
          <w:b/>
          <w:bCs/>
          <w:i/>
          <w:iCs/>
        </w:rPr>
        <w:t>MUNICIPAL CASHIERS</w:t>
      </w:r>
      <w:r w:rsidRPr="00101534">
        <w:rPr>
          <w:rFonts w:ascii="Arial" w:hAnsi="Arial" w:cs="Arial"/>
          <w:i/>
          <w:iCs/>
        </w:rPr>
        <w:t xml:space="preserve"> or by contacting the </w:t>
      </w:r>
      <w:r w:rsidR="00CF5B32">
        <w:rPr>
          <w:rFonts w:ascii="Arial" w:hAnsi="Arial" w:cs="Arial"/>
          <w:i/>
          <w:iCs/>
        </w:rPr>
        <w:t>F</w:t>
      </w:r>
      <w:r w:rsidRPr="00101534">
        <w:rPr>
          <w:rFonts w:ascii="Arial" w:hAnsi="Arial" w:cs="Arial"/>
          <w:i/>
          <w:iCs/>
        </w:rPr>
        <w:t xml:space="preserve">inancial </w:t>
      </w:r>
      <w:r w:rsidR="00CF5B32">
        <w:rPr>
          <w:rFonts w:ascii="Arial" w:hAnsi="Arial" w:cs="Arial"/>
          <w:i/>
          <w:iCs/>
        </w:rPr>
        <w:t>S</w:t>
      </w:r>
      <w:r w:rsidRPr="00101534">
        <w:rPr>
          <w:rFonts w:ascii="Arial" w:hAnsi="Arial" w:cs="Arial"/>
          <w:i/>
          <w:iCs/>
        </w:rPr>
        <w:t xml:space="preserve">ervices </w:t>
      </w:r>
      <w:r w:rsidR="00CF5B32">
        <w:rPr>
          <w:rFonts w:ascii="Arial" w:hAnsi="Arial" w:cs="Arial"/>
          <w:i/>
          <w:iCs/>
        </w:rPr>
        <w:t>D</w:t>
      </w:r>
      <w:r w:rsidRPr="00101534">
        <w:rPr>
          <w:rFonts w:ascii="Arial" w:hAnsi="Arial" w:cs="Arial"/>
          <w:i/>
          <w:iCs/>
        </w:rPr>
        <w:t>epartment to discuss the matter.</w:t>
      </w:r>
    </w:p>
    <w:p w14:paraId="77004F16" w14:textId="41958CDB" w:rsidR="00101534" w:rsidRDefault="00101534" w:rsidP="00876998">
      <w:pPr>
        <w:pStyle w:val="ListParagraph"/>
        <w:spacing w:line="480" w:lineRule="auto"/>
        <w:ind w:left="1440"/>
        <w:jc w:val="both"/>
        <w:rPr>
          <w:rFonts w:ascii="Arial" w:hAnsi="Arial" w:cs="Arial"/>
          <w:i/>
          <w:iCs/>
        </w:rPr>
      </w:pPr>
      <w:r w:rsidRPr="00101534">
        <w:rPr>
          <w:rFonts w:ascii="Arial" w:hAnsi="Arial" w:cs="Arial"/>
          <w:i/>
          <w:iCs/>
        </w:rPr>
        <w:t>If you fail to comply with the above, the City of Tshwane Municipality will regrettably be obliged to terminate/lower the level of service</w:t>
      </w:r>
      <w:r w:rsidR="00E00583">
        <w:rPr>
          <w:rFonts w:ascii="Arial" w:hAnsi="Arial" w:cs="Arial"/>
          <w:i/>
          <w:iCs/>
        </w:rPr>
        <w:t>s</w:t>
      </w:r>
      <w:r w:rsidRPr="00101534">
        <w:rPr>
          <w:rFonts w:ascii="Arial" w:hAnsi="Arial" w:cs="Arial"/>
          <w:i/>
          <w:iCs/>
        </w:rPr>
        <w:t xml:space="preserve"> to your premises and to debit the relevant charges against your account.”</w:t>
      </w:r>
    </w:p>
    <w:p w14:paraId="561D0076" w14:textId="77777777" w:rsidR="004A12C5" w:rsidRPr="004A12C5" w:rsidRDefault="004A12C5" w:rsidP="004A12C5">
      <w:pPr>
        <w:spacing w:line="480" w:lineRule="auto"/>
        <w:jc w:val="both"/>
        <w:rPr>
          <w:i/>
          <w:iCs/>
        </w:rPr>
      </w:pPr>
    </w:p>
    <w:p w14:paraId="35890388" w14:textId="6F8BD471" w:rsidR="004A12C5" w:rsidRPr="006C20D4" w:rsidRDefault="002750AF" w:rsidP="002750AF">
      <w:pPr>
        <w:spacing w:line="480" w:lineRule="auto"/>
        <w:ind w:left="720" w:hanging="720"/>
        <w:jc w:val="both"/>
      </w:pPr>
      <w:r w:rsidRPr="006C20D4">
        <w:rPr>
          <w:rFonts w:ascii="Arial" w:hAnsi="Arial" w:cs="Arial"/>
        </w:rPr>
        <w:t>7.</w:t>
      </w:r>
      <w:r w:rsidRPr="006C20D4">
        <w:rPr>
          <w:rFonts w:ascii="Arial" w:hAnsi="Arial" w:cs="Arial"/>
        </w:rPr>
        <w:tab/>
      </w:r>
      <w:r w:rsidR="00E93C80" w:rsidRPr="002750AF">
        <w:rPr>
          <w:rFonts w:ascii="Arial" w:hAnsi="Arial" w:cs="Arial"/>
        </w:rPr>
        <w:t xml:space="preserve">There was no reaction by the </w:t>
      </w:r>
      <w:r w:rsidR="00E00583" w:rsidRPr="002750AF">
        <w:rPr>
          <w:rFonts w:ascii="Arial" w:hAnsi="Arial" w:cs="Arial"/>
        </w:rPr>
        <w:t>a</w:t>
      </w:r>
      <w:r w:rsidR="00E93C80" w:rsidRPr="002750AF">
        <w:rPr>
          <w:rFonts w:ascii="Arial" w:hAnsi="Arial" w:cs="Arial"/>
        </w:rPr>
        <w:t>pplicant</w:t>
      </w:r>
      <w:r w:rsidR="00E00583" w:rsidRPr="002750AF">
        <w:rPr>
          <w:rFonts w:ascii="Arial" w:hAnsi="Arial" w:cs="Arial"/>
        </w:rPr>
        <w:t>s</w:t>
      </w:r>
      <w:r w:rsidR="00E93C80" w:rsidRPr="002750AF">
        <w:rPr>
          <w:rFonts w:ascii="Arial" w:hAnsi="Arial" w:cs="Arial"/>
        </w:rPr>
        <w:t xml:space="preserve"> to th</w:t>
      </w:r>
      <w:r w:rsidR="00E00583" w:rsidRPr="002750AF">
        <w:rPr>
          <w:rFonts w:ascii="Arial" w:hAnsi="Arial" w:cs="Arial"/>
        </w:rPr>
        <w:t>ese</w:t>
      </w:r>
      <w:r w:rsidR="00E93C80" w:rsidRPr="002750AF">
        <w:rPr>
          <w:rFonts w:ascii="Arial" w:hAnsi="Arial" w:cs="Arial"/>
        </w:rPr>
        <w:t xml:space="preserve"> notice</w:t>
      </w:r>
      <w:r w:rsidR="00E00583" w:rsidRPr="002750AF">
        <w:rPr>
          <w:rFonts w:ascii="Arial" w:hAnsi="Arial" w:cs="Arial"/>
        </w:rPr>
        <w:t>s</w:t>
      </w:r>
      <w:r w:rsidR="00E93C80" w:rsidRPr="002750AF">
        <w:rPr>
          <w:rFonts w:ascii="Arial" w:hAnsi="Arial" w:cs="Arial"/>
        </w:rPr>
        <w:t xml:space="preserve"> as they state that during that </w:t>
      </w:r>
      <w:r w:rsidR="00E00583" w:rsidRPr="002750AF">
        <w:rPr>
          <w:rFonts w:ascii="Arial" w:hAnsi="Arial" w:cs="Arial"/>
        </w:rPr>
        <w:t>period,</w:t>
      </w:r>
      <w:r w:rsidR="00E93C80" w:rsidRPr="002750AF">
        <w:rPr>
          <w:rFonts w:ascii="Arial" w:hAnsi="Arial" w:cs="Arial"/>
        </w:rPr>
        <w:t xml:space="preserve"> they were not in the </w:t>
      </w:r>
      <w:r w:rsidR="00E00583" w:rsidRPr="002750AF">
        <w:rPr>
          <w:rFonts w:ascii="Arial" w:hAnsi="Arial" w:cs="Arial"/>
        </w:rPr>
        <w:t>c</w:t>
      </w:r>
      <w:r w:rsidR="00E93C80" w:rsidRPr="002750AF">
        <w:rPr>
          <w:rFonts w:ascii="Arial" w:hAnsi="Arial" w:cs="Arial"/>
        </w:rPr>
        <w:t xml:space="preserve">ountry but in Brazil. The </w:t>
      </w:r>
      <w:r w:rsidR="00E00583" w:rsidRPr="002750AF">
        <w:rPr>
          <w:rFonts w:ascii="Arial" w:hAnsi="Arial" w:cs="Arial"/>
        </w:rPr>
        <w:t>C</w:t>
      </w:r>
      <w:r w:rsidR="00E93C80" w:rsidRPr="002750AF">
        <w:rPr>
          <w:rFonts w:ascii="Arial" w:hAnsi="Arial" w:cs="Arial"/>
        </w:rPr>
        <w:t xml:space="preserve">ity issued another notice dated 09 January 2023 with </w:t>
      </w:r>
      <w:r w:rsidR="00F74181" w:rsidRPr="002750AF">
        <w:rPr>
          <w:rFonts w:ascii="Arial" w:hAnsi="Arial" w:cs="Arial"/>
        </w:rPr>
        <w:t xml:space="preserve">a </w:t>
      </w:r>
      <w:r w:rsidR="00E93C80" w:rsidRPr="002750AF">
        <w:rPr>
          <w:rFonts w:ascii="Arial" w:hAnsi="Arial" w:cs="Arial"/>
        </w:rPr>
        <w:t xml:space="preserve">similar </w:t>
      </w:r>
      <w:r w:rsidR="005E45C0" w:rsidRPr="002750AF">
        <w:rPr>
          <w:rFonts w:ascii="Arial" w:hAnsi="Arial" w:cs="Arial"/>
        </w:rPr>
        <w:t>warning,</w:t>
      </w:r>
      <w:r w:rsidR="00E93C80" w:rsidRPr="002750AF">
        <w:rPr>
          <w:rFonts w:ascii="Arial" w:hAnsi="Arial" w:cs="Arial"/>
        </w:rPr>
        <w:t xml:space="preserve"> but the </w:t>
      </w:r>
      <w:r w:rsidR="008A2927" w:rsidRPr="002750AF">
        <w:rPr>
          <w:rFonts w:ascii="Arial" w:hAnsi="Arial" w:cs="Arial"/>
        </w:rPr>
        <w:t>amount owed ha</w:t>
      </w:r>
      <w:r w:rsidR="00F74181" w:rsidRPr="002750AF">
        <w:rPr>
          <w:rFonts w:ascii="Arial" w:hAnsi="Arial" w:cs="Arial"/>
        </w:rPr>
        <w:t>s</w:t>
      </w:r>
      <w:r w:rsidR="00E93C80" w:rsidRPr="002750AF">
        <w:rPr>
          <w:rFonts w:ascii="Arial" w:hAnsi="Arial" w:cs="Arial"/>
        </w:rPr>
        <w:t xml:space="preserve"> now </w:t>
      </w:r>
      <w:r w:rsidR="00F74181" w:rsidRPr="002750AF">
        <w:rPr>
          <w:rFonts w:ascii="Arial" w:hAnsi="Arial" w:cs="Arial"/>
        </w:rPr>
        <w:t>increased</w:t>
      </w:r>
      <w:r w:rsidR="00E93C80" w:rsidRPr="002750AF">
        <w:rPr>
          <w:rFonts w:ascii="Arial" w:hAnsi="Arial" w:cs="Arial"/>
        </w:rPr>
        <w:t xml:space="preserve"> to R107 272-99</w:t>
      </w:r>
      <w:r w:rsidR="001B0684" w:rsidRPr="002750AF">
        <w:rPr>
          <w:rFonts w:ascii="Arial" w:hAnsi="Arial" w:cs="Arial"/>
        </w:rPr>
        <w:t xml:space="preserve">. There was no reaction to the second </w:t>
      </w:r>
      <w:r w:rsidR="00F74181" w:rsidRPr="002750AF">
        <w:rPr>
          <w:rFonts w:ascii="Arial" w:hAnsi="Arial" w:cs="Arial"/>
        </w:rPr>
        <w:lastRenderedPageBreak/>
        <w:t xml:space="preserve">pre-termination </w:t>
      </w:r>
      <w:r w:rsidR="001B0684" w:rsidRPr="002750AF">
        <w:rPr>
          <w:rFonts w:ascii="Arial" w:hAnsi="Arial" w:cs="Arial"/>
        </w:rPr>
        <w:t xml:space="preserve">notice either. The </w:t>
      </w:r>
      <w:r w:rsidR="008A2927" w:rsidRPr="002750AF">
        <w:rPr>
          <w:rFonts w:ascii="Arial" w:hAnsi="Arial" w:cs="Arial"/>
        </w:rPr>
        <w:t>third</w:t>
      </w:r>
      <w:r w:rsidR="001B0684" w:rsidRPr="002750AF">
        <w:rPr>
          <w:rFonts w:ascii="Arial" w:hAnsi="Arial" w:cs="Arial"/>
        </w:rPr>
        <w:t xml:space="preserve"> notice was a disconnection notice </w:t>
      </w:r>
      <w:r w:rsidR="00F74181" w:rsidRPr="002750AF">
        <w:rPr>
          <w:rFonts w:ascii="Arial" w:hAnsi="Arial" w:cs="Arial"/>
        </w:rPr>
        <w:t xml:space="preserve">to terminate </w:t>
      </w:r>
      <w:r w:rsidR="001B0684" w:rsidRPr="002750AF">
        <w:rPr>
          <w:rFonts w:ascii="Arial" w:hAnsi="Arial" w:cs="Arial"/>
        </w:rPr>
        <w:t xml:space="preserve">the </w:t>
      </w:r>
      <w:r w:rsidR="00F74181" w:rsidRPr="002750AF">
        <w:rPr>
          <w:rFonts w:ascii="Arial" w:hAnsi="Arial" w:cs="Arial"/>
        </w:rPr>
        <w:t xml:space="preserve">electricity supply </w:t>
      </w:r>
      <w:r w:rsidR="001B0684" w:rsidRPr="002750AF">
        <w:rPr>
          <w:rFonts w:ascii="Arial" w:hAnsi="Arial" w:cs="Arial"/>
        </w:rPr>
        <w:t>services to the premises</w:t>
      </w:r>
      <w:r w:rsidR="00C35855" w:rsidRPr="002750AF">
        <w:rPr>
          <w:rFonts w:ascii="Arial" w:hAnsi="Arial" w:cs="Arial"/>
        </w:rPr>
        <w:t>,</w:t>
      </w:r>
      <w:r w:rsidR="001B0684" w:rsidRPr="002750AF">
        <w:rPr>
          <w:rFonts w:ascii="Arial" w:hAnsi="Arial" w:cs="Arial"/>
        </w:rPr>
        <w:t xml:space="preserve"> and </w:t>
      </w:r>
      <w:r w:rsidR="006C20D4" w:rsidRPr="002750AF">
        <w:rPr>
          <w:rFonts w:ascii="Arial" w:hAnsi="Arial" w:cs="Arial"/>
        </w:rPr>
        <w:t xml:space="preserve">to </w:t>
      </w:r>
      <w:r w:rsidR="001B0684" w:rsidRPr="002750AF">
        <w:rPr>
          <w:rFonts w:ascii="Arial" w:hAnsi="Arial" w:cs="Arial"/>
        </w:rPr>
        <w:t>further invit</w:t>
      </w:r>
      <w:r w:rsidR="006C20D4" w:rsidRPr="002750AF">
        <w:rPr>
          <w:rFonts w:ascii="Arial" w:hAnsi="Arial" w:cs="Arial"/>
        </w:rPr>
        <w:t>e</w:t>
      </w:r>
      <w:r w:rsidR="001B0684" w:rsidRPr="002750AF">
        <w:rPr>
          <w:rFonts w:ascii="Arial" w:hAnsi="Arial" w:cs="Arial"/>
        </w:rPr>
        <w:t xml:space="preserve"> the submission of proof of payment for the services to be re-connected. </w:t>
      </w:r>
      <w:r w:rsidR="008A2927" w:rsidRPr="002750AF">
        <w:rPr>
          <w:rFonts w:ascii="Arial" w:hAnsi="Arial" w:cs="Arial"/>
        </w:rPr>
        <w:t>All the three notices were served on the premises when the applicants were not in the country. The applicants only returned on 14</w:t>
      </w:r>
      <w:r w:rsidR="003266EF" w:rsidRPr="002750AF">
        <w:rPr>
          <w:rFonts w:ascii="Arial" w:hAnsi="Arial" w:cs="Arial"/>
          <w:vertAlign w:val="superscript"/>
        </w:rPr>
        <w:t xml:space="preserve"> </w:t>
      </w:r>
      <w:r w:rsidR="003266EF" w:rsidRPr="002750AF">
        <w:rPr>
          <w:rFonts w:ascii="Arial" w:hAnsi="Arial" w:cs="Arial"/>
        </w:rPr>
        <w:t>January</w:t>
      </w:r>
      <w:r w:rsidR="008A2927" w:rsidRPr="002750AF">
        <w:rPr>
          <w:rFonts w:ascii="Arial" w:hAnsi="Arial" w:cs="Arial"/>
        </w:rPr>
        <w:t xml:space="preserve"> 2023 and by that time</w:t>
      </w:r>
      <w:r w:rsidR="003266EF" w:rsidRPr="002750AF">
        <w:rPr>
          <w:rFonts w:ascii="Arial" w:hAnsi="Arial" w:cs="Arial"/>
        </w:rPr>
        <w:t xml:space="preserve"> the electricity supply was already disconnected.</w:t>
      </w:r>
    </w:p>
    <w:p w14:paraId="5C281301" w14:textId="77777777" w:rsidR="006C20D4" w:rsidRPr="001B0684" w:rsidRDefault="006C20D4" w:rsidP="006C20D4">
      <w:pPr>
        <w:pStyle w:val="ListParagraph"/>
        <w:spacing w:line="480" w:lineRule="auto"/>
        <w:jc w:val="both"/>
      </w:pPr>
    </w:p>
    <w:p w14:paraId="0D535367" w14:textId="2BF0722C" w:rsidR="006C20D4" w:rsidRPr="006C20D4" w:rsidRDefault="002750AF" w:rsidP="002750AF">
      <w:pPr>
        <w:spacing w:line="480" w:lineRule="auto"/>
        <w:ind w:left="720" w:hanging="720"/>
        <w:jc w:val="both"/>
      </w:pPr>
      <w:r w:rsidRPr="006C20D4">
        <w:rPr>
          <w:rFonts w:ascii="Arial" w:hAnsi="Arial" w:cs="Arial"/>
        </w:rPr>
        <w:t>8.</w:t>
      </w:r>
      <w:r w:rsidRPr="006C20D4">
        <w:rPr>
          <w:rFonts w:ascii="Arial" w:hAnsi="Arial" w:cs="Arial"/>
        </w:rPr>
        <w:tab/>
      </w:r>
      <w:r w:rsidR="001B0684" w:rsidRPr="002750AF">
        <w:rPr>
          <w:rFonts w:ascii="Arial" w:hAnsi="Arial" w:cs="Arial"/>
        </w:rPr>
        <w:t xml:space="preserve">The </w:t>
      </w:r>
      <w:r w:rsidR="005E45C0" w:rsidRPr="002750AF">
        <w:rPr>
          <w:rFonts w:ascii="Arial" w:hAnsi="Arial" w:cs="Arial"/>
        </w:rPr>
        <w:t>a</w:t>
      </w:r>
      <w:r w:rsidR="001B0684" w:rsidRPr="002750AF">
        <w:rPr>
          <w:rFonts w:ascii="Arial" w:hAnsi="Arial" w:cs="Arial"/>
        </w:rPr>
        <w:t>pplicant</w:t>
      </w:r>
      <w:r w:rsidR="005E45C0" w:rsidRPr="002750AF">
        <w:rPr>
          <w:rFonts w:ascii="Arial" w:hAnsi="Arial" w:cs="Arial"/>
        </w:rPr>
        <w:t>s</w:t>
      </w:r>
      <w:r w:rsidR="001B0684" w:rsidRPr="002750AF">
        <w:rPr>
          <w:rFonts w:ascii="Arial" w:hAnsi="Arial" w:cs="Arial"/>
        </w:rPr>
        <w:t xml:space="preserve"> then on 23 </w:t>
      </w:r>
      <w:r w:rsidR="004A12C5" w:rsidRPr="002750AF">
        <w:rPr>
          <w:rFonts w:ascii="Arial" w:hAnsi="Arial" w:cs="Arial"/>
        </w:rPr>
        <w:t>January</w:t>
      </w:r>
      <w:r w:rsidR="001B0684" w:rsidRPr="002750AF">
        <w:rPr>
          <w:rFonts w:ascii="Arial" w:hAnsi="Arial" w:cs="Arial"/>
        </w:rPr>
        <w:t xml:space="preserve"> 2023 instructed </w:t>
      </w:r>
      <w:r w:rsidR="003266EF" w:rsidRPr="002750AF">
        <w:rPr>
          <w:rFonts w:ascii="Arial" w:hAnsi="Arial" w:cs="Arial"/>
        </w:rPr>
        <w:t>their</w:t>
      </w:r>
      <w:r w:rsidR="001B0684" w:rsidRPr="002750AF">
        <w:rPr>
          <w:rFonts w:ascii="Arial" w:hAnsi="Arial" w:cs="Arial"/>
        </w:rPr>
        <w:t xml:space="preserve"> attorneys who on their behalf wrote a letter of demand to the </w:t>
      </w:r>
      <w:r w:rsidR="004A12C5" w:rsidRPr="002750AF">
        <w:rPr>
          <w:rFonts w:ascii="Arial" w:hAnsi="Arial" w:cs="Arial"/>
        </w:rPr>
        <w:t>Municipality</w:t>
      </w:r>
      <w:r w:rsidR="001B0684" w:rsidRPr="002750AF">
        <w:rPr>
          <w:rFonts w:ascii="Arial" w:hAnsi="Arial" w:cs="Arial"/>
        </w:rPr>
        <w:t xml:space="preserve">. In the said letter the attorneys for the </w:t>
      </w:r>
      <w:r w:rsidR="005E45C0" w:rsidRPr="002750AF">
        <w:rPr>
          <w:rFonts w:ascii="Arial" w:hAnsi="Arial" w:cs="Arial"/>
        </w:rPr>
        <w:t>a</w:t>
      </w:r>
      <w:r w:rsidR="001B0684" w:rsidRPr="002750AF">
        <w:rPr>
          <w:rFonts w:ascii="Arial" w:hAnsi="Arial" w:cs="Arial"/>
        </w:rPr>
        <w:t>pplicant</w:t>
      </w:r>
      <w:r w:rsidR="00883E93" w:rsidRPr="002750AF">
        <w:rPr>
          <w:rFonts w:ascii="Arial" w:hAnsi="Arial" w:cs="Arial"/>
        </w:rPr>
        <w:t>s</w:t>
      </w:r>
      <w:r w:rsidR="001B0684" w:rsidRPr="002750AF">
        <w:rPr>
          <w:rFonts w:ascii="Arial" w:hAnsi="Arial" w:cs="Arial"/>
        </w:rPr>
        <w:t xml:space="preserve"> referred to the account number as being that of Mr. </w:t>
      </w:r>
      <w:r w:rsidR="00883E93" w:rsidRPr="002750AF">
        <w:rPr>
          <w:rFonts w:ascii="Arial" w:hAnsi="Arial" w:cs="Arial"/>
        </w:rPr>
        <w:t>Terblanche</w:t>
      </w:r>
      <w:r w:rsidR="001B0684" w:rsidRPr="002750AF">
        <w:rPr>
          <w:rFonts w:ascii="Arial" w:hAnsi="Arial" w:cs="Arial"/>
        </w:rPr>
        <w:t xml:space="preserve">. The </w:t>
      </w:r>
      <w:r w:rsidR="00883E93" w:rsidRPr="002750AF">
        <w:rPr>
          <w:rFonts w:ascii="Arial" w:hAnsi="Arial" w:cs="Arial"/>
        </w:rPr>
        <w:t>a</w:t>
      </w:r>
      <w:r w:rsidR="001B0684" w:rsidRPr="002750AF">
        <w:rPr>
          <w:rFonts w:ascii="Arial" w:hAnsi="Arial" w:cs="Arial"/>
        </w:rPr>
        <w:t>pplicant</w:t>
      </w:r>
      <w:r w:rsidR="00883E93" w:rsidRPr="002750AF">
        <w:rPr>
          <w:rFonts w:ascii="Arial" w:hAnsi="Arial" w:cs="Arial"/>
        </w:rPr>
        <w:t>s</w:t>
      </w:r>
      <w:r w:rsidR="001B0684" w:rsidRPr="002750AF">
        <w:rPr>
          <w:rFonts w:ascii="Arial" w:hAnsi="Arial" w:cs="Arial"/>
        </w:rPr>
        <w:t xml:space="preserve"> are referred in that letter as the owners of the property. </w:t>
      </w:r>
      <w:r w:rsidR="00883E93" w:rsidRPr="002750AF">
        <w:rPr>
          <w:rFonts w:ascii="Arial" w:hAnsi="Arial" w:cs="Arial"/>
        </w:rPr>
        <w:t>T</w:t>
      </w:r>
      <w:r w:rsidR="00840224" w:rsidRPr="002750AF">
        <w:rPr>
          <w:rFonts w:ascii="Arial" w:hAnsi="Arial" w:cs="Arial"/>
        </w:rPr>
        <w:t xml:space="preserve">he </w:t>
      </w:r>
      <w:r w:rsidR="00490CB4" w:rsidRPr="002750AF">
        <w:rPr>
          <w:rFonts w:ascii="Arial" w:hAnsi="Arial" w:cs="Arial"/>
        </w:rPr>
        <w:t xml:space="preserve">termination </w:t>
      </w:r>
      <w:r w:rsidR="00840224" w:rsidRPr="002750AF">
        <w:rPr>
          <w:rFonts w:ascii="Arial" w:hAnsi="Arial" w:cs="Arial"/>
        </w:rPr>
        <w:t xml:space="preserve">notices were addressed to Mr. </w:t>
      </w:r>
      <w:r w:rsidR="00883E93" w:rsidRPr="002750AF">
        <w:rPr>
          <w:rFonts w:ascii="Arial" w:hAnsi="Arial" w:cs="Arial"/>
        </w:rPr>
        <w:t>Terblanche</w:t>
      </w:r>
      <w:r w:rsidR="00840224" w:rsidRPr="002750AF">
        <w:rPr>
          <w:rFonts w:ascii="Arial" w:hAnsi="Arial" w:cs="Arial"/>
        </w:rPr>
        <w:t xml:space="preserve"> the previous owner. </w:t>
      </w:r>
      <w:r w:rsidR="00F74181" w:rsidRPr="002750AF">
        <w:rPr>
          <w:rFonts w:ascii="Arial" w:hAnsi="Arial" w:cs="Arial"/>
        </w:rPr>
        <w:t>The applicants did not have any account in their name to give to their attorney who was now assisting them.</w:t>
      </w:r>
    </w:p>
    <w:p w14:paraId="50B35608" w14:textId="77777777" w:rsidR="006C20D4" w:rsidRPr="006C20D4" w:rsidRDefault="006C20D4" w:rsidP="006C20D4">
      <w:pPr>
        <w:pStyle w:val="ListParagraph"/>
        <w:spacing w:line="480" w:lineRule="auto"/>
        <w:rPr>
          <w:rFonts w:ascii="Arial" w:hAnsi="Arial" w:cs="Arial"/>
        </w:rPr>
      </w:pPr>
    </w:p>
    <w:p w14:paraId="448729C5" w14:textId="189C8612" w:rsidR="001B0684" w:rsidRPr="004A12C5" w:rsidRDefault="002750AF" w:rsidP="002750AF">
      <w:pPr>
        <w:spacing w:line="480" w:lineRule="auto"/>
        <w:ind w:left="720" w:hanging="720"/>
        <w:jc w:val="both"/>
      </w:pPr>
      <w:r w:rsidRPr="004A12C5">
        <w:rPr>
          <w:rFonts w:ascii="Arial" w:hAnsi="Arial" w:cs="Arial"/>
        </w:rPr>
        <w:t>9.</w:t>
      </w:r>
      <w:r w:rsidRPr="004A12C5">
        <w:rPr>
          <w:rFonts w:ascii="Arial" w:hAnsi="Arial" w:cs="Arial"/>
        </w:rPr>
        <w:tab/>
      </w:r>
      <w:r w:rsidR="00840224" w:rsidRPr="002750AF">
        <w:rPr>
          <w:rFonts w:ascii="Arial" w:hAnsi="Arial" w:cs="Arial"/>
        </w:rPr>
        <w:t xml:space="preserve">It does appear that during the transferring of the property from Mr. </w:t>
      </w:r>
      <w:r w:rsidR="00883E93" w:rsidRPr="002750AF">
        <w:rPr>
          <w:rFonts w:ascii="Arial" w:hAnsi="Arial" w:cs="Arial"/>
        </w:rPr>
        <w:t>Terblanche</w:t>
      </w:r>
      <w:r w:rsidR="00840224" w:rsidRPr="002750AF">
        <w:rPr>
          <w:rFonts w:ascii="Arial" w:hAnsi="Arial" w:cs="Arial"/>
        </w:rPr>
        <w:t xml:space="preserve"> </w:t>
      </w:r>
      <w:r w:rsidR="00490CB4" w:rsidRPr="002750AF">
        <w:rPr>
          <w:rFonts w:ascii="Arial" w:hAnsi="Arial" w:cs="Arial"/>
        </w:rPr>
        <w:t>in</w:t>
      </w:r>
      <w:r w:rsidR="00840224" w:rsidRPr="002750AF">
        <w:rPr>
          <w:rFonts w:ascii="Arial" w:hAnsi="Arial" w:cs="Arial"/>
        </w:rPr>
        <w:t xml:space="preserve">to the </w:t>
      </w:r>
      <w:r w:rsidR="003977AF" w:rsidRPr="002750AF">
        <w:rPr>
          <w:rFonts w:ascii="Arial" w:hAnsi="Arial" w:cs="Arial"/>
        </w:rPr>
        <w:t>names of the a</w:t>
      </w:r>
      <w:r w:rsidR="00840224" w:rsidRPr="002750AF">
        <w:rPr>
          <w:rFonts w:ascii="Arial" w:hAnsi="Arial" w:cs="Arial"/>
        </w:rPr>
        <w:t>pplicant</w:t>
      </w:r>
      <w:r w:rsidR="003977AF" w:rsidRPr="002750AF">
        <w:rPr>
          <w:rFonts w:ascii="Arial" w:hAnsi="Arial" w:cs="Arial"/>
        </w:rPr>
        <w:t>s</w:t>
      </w:r>
      <w:r w:rsidR="00840224" w:rsidRPr="002750AF">
        <w:rPr>
          <w:rFonts w:ascii="Arial" w:hAnsi="Arial" w:cs="Arial"/>
        </w:rPr>
        <w:t xml:space="preserve"> </w:t>
      </w:r>
      <w:r w:rsidR="003977AF" w:rsidRPr="002750AF">
        <w:rPr>
          <w:rFonts w:ascii="Arial" w:hAnsi="Arial" w:cs="Arial"/>
        </w:rPr>
        <w:t>the City did not</w:t>
      </w:r>
      <w:r w:rsidR="00840224" w:rsidRPr="002750AF">
        <w:rPr>
          <w:rFonts w:ascii="Arial" w:hAnsi="Arial" w:cs="Arial"/>
        </w:rPr>
        <w:t xml:space="preserve"> transfer </w:t>
      </w:r>
      <w:r w:rsidR="003977AF" w:rsidRPr="002750AF">
        <w:rPr>
          <w:rFonts w:ascii="Arial" w:hAnsi="Arial" w:cs="Arial"/>
        </w:rPr>
        <w:t>the</w:t>
      </w:r>
      <w:r w:rsidR="00840224" w:rsidRPr="002750AF">
        <w:rPr>
          <w:rFonts w:ascii="Arial" w:hAnsi="Arial" w:cs="Arial"/>
        </w:rPr>
        <w:t xml:space="preserve"> services account</w:t>
      </w:r>
      <w:r w:rsidR="003977AF" w:rsidRPr="002750AF">
        <w:rPr>
          <w:rFonts w:ascii="Arial" w:hAnsi="Arial" w:cs="Arial"/>
        </w:rPr>
        <w:t xml:space="preserve"> of the </w:t>
      </w:r>
      <w:r w:rsidR="007300A3" w:rsidRPr="002750AF">
        <w:rPr>
          <w:rFonts w:ascii="Arial" w:hAnsi="Arial" w:cs="Arial"/>
        </w:rPr>
        <w:t>property, including</w:t>
      </w:r>
      <w:r w:rsidR="00840224" w:rsidRPr="002750AF">
        <w:rPr>
          <w:rFonts w:ascii="Arial" w:hAnsi="Arial" w:cs="Arial"/>
        </w:rPr>
        <w:t xml:space="preserve"> </w:t>
      </w:r>
      <w:r w:rsidR="007E47D5" w:rsidRPr="002750AF">
        <w:rPr>
          <w:rFonts w:ascii="Arial" w:hAnsi="Arial" w:cs="Arial"/>
        </w:rPr>
        <w:t xml:space="preserve">the </w:t>
      </w:r>
      <w:r w:rsidR="00840224" w:rsidRPr="002750AF">
        <w:rPr>
          <w:rFonts w:ascii="Arial" w:hAnsi="Arial" w:cs="Arial"/>
        </w:rPr>
        <w:t xml:space="preserve">electricity account from the </w:t>
      </w:r>
      <w:r w:rsidR="007E47D5" w:rsidRPr="002750AF">
        <w:rPr>
          <w:rFonts w:ascii="Arial" w:hAnsi="Arial" w:cs="Arial"/>
        </w:rPr>
        <w:t xml:space="preserve">names of the </w:t>
      </w:r>
      <w:r w:rsidR="00840224" w:rsidRPr="002750AF">
        <w:rPr>
          <w:rFonts w:ascii="Arial" w:hAnsi="Arial" w:cs="Arial"/>
        </w:rPr>
        <w:t xml:space="preserve">previous owner </w:t>
      </w:r>
      <w:r w:rsidR="007E47D5" w:rsidRPr="002750AF">
        <w:rPr>
          <w:rFonts w:ascii="Arial" w:hAnsi="Arial" w:cs="Arial"/>
        </w:rPr>
        <w:t>in</w:t>
      </w:r>
      <w:r w:rsidR="00840224" w:rsidRPr="002750AF">
        <w:rPr>
          <w:rFonts w:ascii="Arial" w:hAnsi="Arial" w:cs="Arial"/>
        </w:rPr>
        <w:t xml:space="preserve">to </w:t>
      </w:r>
      <w:r w:rsidR="007E47D5" w:rsidRPr="002750AF">
        <w:rPr>
          <w:rFonts w:ascii="Arial" w:hAnsi="Arial" w:cs="Arial"/>
        </w:rPr>
        <w:t xml:space="preserve">those of </w:t>
      </w:r>
      <w:r w:rsidR="00840224" w:rsidRPr="002750AF">
        <w:rPr>
          <w:rFonts w:ascii="Arial" w:hAnsi="Arial" w:cs="Arial"/>
        </w:rPr>
        <w:t xml:space="preserve">the </w:t>
      </w:r>
      <w:r w:rsidR="007E47D5" w:rsidRPr="002750AF">
        <w:rPr>
          <w:rFonts w:ascii="Arial" w:hAnsi="Arial" w:cs="Arial"/>
        </w:rPr>
        <w:t>a</w:t>
      </w:r>
      <w:r w:rsidR="00840224" w:rsidRPr="002750AF">
        <w:rPr>
          <w:rFonts w:ascii="Arial" w:hAnsi="Arial" w:cs="Arial"/>
        </w:rPr>
        <w:t>pplicant</w:t>
      </w:r>
      <w:r w:rsidR="007E47D5" w:rsidRPr="002750AF">
        <w:rPr>
          <w:rFonts w:ascii="Arial" w:hAnsi="Arial" w:cs="Arial"/>
        </w:rPr>
        <w:t>s</w:t>
      </w:r>
      <w:r w:rsidR="00840224" w:rsidRPr="002750AF">
        <w:rPr>
          <w:rFonts w:ascii="Arial" w:hAnsi="Arial" w:cs="Arial"/>
        </w:rPr>
        <w:t xml:space="preserve">. </w:t>
      </w:r>
      <w:r w:rsidR="007300A3" w:rsidRPr="002750AF">
        <w:rPr>
          <w:rFonts w:ascii="Arial" w:hAnsi="Arial" w:cs="Arial"/>
        </w:rPr>
        <w:t>T</w:t>
      </w:r>
      <w:r w:rsidR="00840224" w:rsidRPr="002750AF">
        <w:rPr>
          <w:rFonts w:ascii="Arial" w:hAnsi="Arial" w:cs="Arial"/>
        </w:rPr>
        <w:t>he transferring attorney</w:t>
      </w:r>
      <w:r w:rsidR="00BF3C82" w:rsidRPr="002750AF">
        <w:rPr>
          <w:rFonts w:ascii="Arial" w:hAnsi="Arial" w:cs="Arial"/>
        </w:rPr>
        <w:t>s</w:t>
      </w:r>
      <w:r w:rsidR="00840224" w:rsidRPr="002750AF">
        <w:rPr>
          <w:rFonts w:ascii="Arial" w:hAnsi="Arial" w:cs="Arial"/>
        </w:rPr>
        <w:t xml:space="preserve"> did give a notice to the </w:t>
      </w:r>
      <w:r w:rsidR="007300A3" w:rsidRPr="002750AF">
        <w:rPr>
          <w:rFonts w:ascii="Arial" w:hAnsi="Arial" w:cs="Arial"/>
        </w:rPr>
        <w:t>C</w:t>
      </w:r>
      <w:r w:rsidR="00840224" w:rsidRPr="002750AF">
        <w:rPr>
          <w:rFonts w:ascii="Arial" w:hAnsi="Arial" w:cs="Arial"/>
        </w:rPr>
        <w:t xml:space="preserve">ity to change the names of the account holders to reflect the </w:t>
      </w:r>
      <w:r w:rsidR="007300A3" w:rsidRPr="002750AF">
        <w:rPr>
          <w:rFonts w:ascii="Arial" w:hAnsi="Arial" w:cs="Arial"/>
        </w:rPr>
        <w:t>a</w:t>
      </w:r>
      <w:r w:rsidR="00840224" w:rsidRPr="002750AF">
        <w:rPr>
          <w:rFonts w:ascii="Arial" w:hAnsi="Arial" w:cs="Arial"/>
        </w:rPr>
        <w:t xml:space="preserve">pplicants’ details as they are the new owners. </w:t>
      </w:r>
      <w:r w:rsidR="00BF3C82" w:rsidRPr="002750AF">
        <w:rPr>
          <w:rFonts w:ascii="Arial" w:hAnsi="Arial" w:cs="Arial"/>
        </w:rPr>
        <w:t>The said notice from the transferring attorney is dated</w:t>
      </w:r>
      <w:r w:rsidR="001C19D2" w:rsidRPr="002750AF">
        <w:rPr>
          <w:rFonts w:ascii="Arial" w:hAnsi="Arial" w:cs="Arial"/>
        </w:rPr>
        <w:t xml:space="preserve"> 21 October 2021</w:t>
      </w:r>
      <w:r w:rsidR="00BA7027" w:rsidRPr="002750AF">
        <w:rPr>
          <w:rFonts w:ascii="Arial" w:hAnsi="Arial" w:cs="Arial"/>
        </w:rPr>
        <w:t>.</w:t>
      </w:r>
      <w:r w:rsidR="00BF3C82" w:rsidRPr="002750AF">
        <w:rPr>
          <w:rFonts w:ascii="Arial" w:hAnsi="Arial" w:cs="Arial"/>
        </w:rPr>
        <w:t xml:space="preserve"> </w:t>
      </w:r>
      <w:r w:rsidR="00840224" w:rsidRPr="002750AF">
        <w:rPr>
          <w:rFonts w:ascii="Arial" w:hAnsi="Arial" w:cs="Arial"/>
        </w:rPr>
        <w:t xml:space="preserve">It is alleged that the said letter was delivered by hand to the </w:t>
      </w:r>
      <w:r w:rsidR="007300A3" w:rsidRPr="002750AF">
        <w:rPr>
          <w:rFonts w:ascii="Arial" w:hAnsi="Arial" w:cs="Arial"/>
        </w:rPr>
        <w:t>C</w:t>
      </w:r>
      <w:r w:rsidR="00840224" w:rsidRPr="002750AF">
        <w:rPr>
          <w:rFonts w:ascii="Arial" w:hAnsi="Arial" w:cs="Arial"/>
        </w:rPr>
        <w:t>ity</w:t>
      </w:r>
      <w:r w:rsidR="007214FC" w:rsidRPr="002750AF">
        <w:rPr>
          <w:rFonts w:ascii="Arial" w:hAnsi="Arial" w:cs="Arial"/>
        </w:rPr>
        <w:t xml:space="preserve">. </w:t>
      </w:r>
      <w:r w:rsidR="001C19D2" w:rsidRPr="002750AF">
        <w:rPr>
          <w:rFonts w:ascii="Arial" w:hAnsi="Arial" w:cs="Arial"/>
        </w:rPr>
        <w:t>Despite such notice it does not appear that the City opened a services account in the name of the applicants</w:t>
      </w:r>
      <w:r w:rsidR="007214FC" w:rsidRPr="002750AF">
        <w:rPr>
          <w:rFonts w:ascii="Arial" w:hAnsi="Arial" w:cs="Arial"/>
        </w:rPr>
        <w:t>. They have been staying on the said property having obtained trans</w:t>
      </w:r>
      <w:r w:rsidR="000C548E" w:rsidRPr="002750AF">
        <w:rPr>
          <w:rFonts w:ascii="Arial" w:hAnsi="Arial" w:cs="Arial"/>
        </w:rPr>
        <w:t xml:space="preserve">fer during October 2021 and have to </w:t>
      </w:r>
      <w:r w:rsidR="000C548E" w:rsidRPr="002750AF">
        <w:rPr>
          <w:rFonts w:ascii="Arial" w:hAnsi="Arial" w:cs="Arial"/>
        </w:rPr>
        <w:lastRenderedPageBreak/>
        <w:t xml:space="preserve">date not received an account in their own name. </w:t>
      </w:r>
      <w:r w:rsidR="00554659" w:rsidRPr="002750AF">
        <w:rPr>
          <w:rFonts w:ascii="Arial" w:hAnsi="Arial" w:cs="Arial"/>
        </w:rPr>
        <w:t>T</w:t>
      </w:r>
      <w:r w:rsidR="000C548E" w:rsidRPr="002750AF">
        <w:rPr>
          <w:rFonts w:ascii="Arial" w:hAnsi="Arial" w:cs="Arial"/>
        </w:rPr>
        <w:t>he allegations that the</w:t>
      </w:r>
      <w:r w:rsidR="00554659" w:rsidRPr="002750AF">
        <w:rPr>
          <w:rFonts w:ascii="Arial" w:hAnsi="Arial" w:cs="Arial"/>
        </w:rPr>
        <w:t>ir</w:t>
      </w:r>
      <w:r w:rsidR="000C548E" w:rsidRPr="002750AF">
        <w:rPr>
          <w:rFonts w:ascii="Arial" w:hAnsi="Arial" w:cs="Arial"/>
        </w:rPr>
        <w:t xml:space="preserve"> accounts</w:t>
      </w:r>
      <w:r w:rsidR="00554659" w:rsidRPr="002750AF">
        <w:rPr>
          <w:rFonts w:ascii="Arial" w:hAnsi="Arial" w:cs="Arial"/>
        </w:rPr>
        <w:t xml:space="preserve"> with the City</w:t>
      </w:r>
      <w:r w:rsidR="000C548E" w:rsidRPr="002750AF">
        <w:rPr>
          <w:rFonts w:ascii="Arial" w:hAnsi="Arial" w:cs="Arial"/>
        </w:rPr>
        <w:t xml:space="preserve"> are up to date cannot be supported by any attachments. There is simply no account in the name of the </w:t>
      </w:r>
      <w:r w:rsidR="00554659" w:rsidRPr="002750AF">
        <w:rPr>
          <w:rFonts w:ascii="Arial" w:hAnsi="Arial" w:cs="Arial"/>
        </w:rPr>
        <w:t>a</w:t>
      </w:r>
      <w:r w:rsidR="000C548E" w:rsidRPr="002750AF">
        <w:rPr>
          <w:rFonts w:ascii="Arial" w:hAnsi="Arial" w:cs="Arial"/>
        </w:rPr>
        <w:t>pplicant</w:t>
      </w:r>
      <w:r w:rsidR="00554659" w:rsidRPr="002750AF">
        <w:rPr>
          <w:rFonts w:ascii="Arial" w:hAnsi="Arial" w:cs="Arial"/>
        </w:rPr>
        <w:t>s</w:t>
      </w:r>
      <w:r w:rsidR="000C548E" w:rsidRPr="002750AF">
        <w:rPr>
          <w:rFonts w:ascii="Arial" w:hAnsi="Arial" w:cs="Arial"/>
        </w:rPr>
        <w:t xml:space="preserve"> with the </w:t>
      </w:r>
      <w:r w:rsidR="00554659" w:rsidRPr="002750AF">
        <w:rPr>
          <w:rFonts w:ascii="Arial" w:hAnsi="Arial" w:cs="Arial"/>
        </w:rPr>
        <w:t>C</w:t>
      </w:r>
      <w:r w:rsidR="000C548E" w:rsidRPr="002750AF">
        <w:rPr>
          <w:rFonts w:ascii="Arial" w:hAnsi="Arial" w:cs="Arial"/>
        </w:rPr>
        <w:t>ity</w:t>
      </w:r>
      <w:r w:rsidR="00554659" w:rsidRPr="002750AF">
        <w:rPr>
          <w:rFonts w:ascii="Arial" w:hAnsi="Arial" w:cs="Arial"/>
        </w:rPr>
        <w:t xml:space="preserve"> that was attached to the papers</w:t>
      </w:r>
      <w:r w:rsidR="000C548E" w:rsidRPr="002750AF">
        <w:rPr>
          <w:rFonts w:ascii="Arial" w:hAnsi="Arial" w:cs="Arial"/>
        </w:rPr>
        <w:t>.</w:t>
      </w:r>
    </w:p>
    <w:p w14:paraId="237BBCC8" w14:textId="77777777" w:rsidR="004A12C5" w:rsidRPr="000C548E" w:rsidRDefault="004A12C5" w:rsidP="004A12C5">
      <w:pPr>
        <w:pStyle w:val="ListParagraph"/>
        <w:spacing w:line="480" w:lineRule="auto"/>
        <w:jc w:val="both"/>
      </w:pPr>
    </w:p>
    <w:p w14:paraId="6ADE9B61" w14:textId="0E0DC0C1" w:rsidR="00602401" w:rsidRPr="00602401" w:rsidRDefault="002750AF" w:rsidP="002750AF">
      <w:pPr>
        <w:spacing w:line="480" w:lineRule="auto"/>
        <w:ind w:left="720" w:hanging="720"/>
        <w:jc w:val="both"/>
      </w:pPr>
      <w:r w:rsidRPr="00602401">
        <w:rPr>
          <w:rFonts w:ascii="Arial" w:hAnsi="Arial" w:cs="Arial"/>
        </w:rPr>
        <w:t>10.</w:t>
      </w:r>
      <w:r w:rsidRPr="00602401">
        <w:rPr>
          <w:rFonts w:ascii="Arial" w:hAnsi="Arial" w:cs="Arial"/>
        </w:rPr>
        <w:tab/>
      </w:r>
      <w:r w:rsidR="000C548E" w:rsidRPr="002750AF">
        <w:rPr>
          <w:rFonts w:ascii="Arial" w:hAnsi="Arial" w:cs="Arial"/>
        </w:rPr>
        <w:t xml:space="preserve">This fact is </w:t>
      </w:r>
      <w:r w:rsidR="000E3D98" w:rsidRPr="002750AF">
        <w:rPr>
          <w:rFonts w:ascii="Arial" w:hAnsi="Arial" w:cs="Arial"/>
        </w:rPr>
        <w:t>highlighted</w:t>
      </w:r>
      <w:r w:rsidR="000C548E" w:rsidRPr="002750AF">
        <w:rPr>
          <w:rFonts w:ascii="Arial" w:hAnsi="Arial" w:cs="Arial"/>
        </w:rPr>
        <w:t xml:space="preserve"> by the </w:t>
      </w:r>
      <w:r w:rsidR="005E45C0" w:rsidRPr="002750AF">
        <w:rPr>
          <w:rFonts w:ascii="Arial" w:hAnsi="Arial" w:cs="Arial"/>
        </w:rPr>
        <w:t>a</w:t>
      </w:r>
      <w:r w:rsidR="000C548E" w:rsidRPr="002750AF">
        <w:rPr>
          <w:rFonts w:ascii="Arial" w:hAnsi="Arial" w:cs="Arial"/>
        </w:rPr>
        <w:t>pplicants’ attorney</w:t>
      </w:r>
      <w:r w:rsidR="00426E26" w:rsidRPr="002750AF">
        <w:rPr>
          <w:rFonts w:ascii="Arial" w:hAnsi="Arial" w:cs="Arial"/>
        </w:rPr>
        <w:t>s</w:t>
      </w:r>
      <w:r w:rsidR="000C548E" w:rsidRPr="002750AF">
        <w:rPr>
          <w:rFonts w:ascii="Arial" w:hAnsi="Arial" w:cs="Arial"/>
        </w:rPr>
        <w:t xml:space="preserve"> </w:t>
      </w:r>
      <w:r w:rsidR="001C19D2" w:rsidRPr="002750AF">
        <w:rPr>
          <w:rFonts w:ascii="Arial" w:hAnsi="Arial" w:cs="Arial"/>
        </w:rPr>
        <w:t>in their letter of demand in which they state that</w:t>
      </w:r>
      <w:r w:rsidR="00C614C1" w:rsidRPr="002750AF">
        <w:rPr>
          <w:rFonts w:ascii="Arial" w:hAnsi="Arial" w:cs="Arial"/>
        </w:rPr>
        <w:t>:</w:t>
      </w:r>
    </w:p>
    <w:p w14:paraId="0FBD8603" w14:textId="77777777" w:rsidR="00602401" w:rsidRDefault="00602401" w:rsidP="00C614C1">
      <w:pPr>
        <w:pStyle w:val="ListParagraph"/>
        <w:spacing w:line="480" w:lineRule="auto"/>
      </w:pPr>
    </w:p>
    <w:p w14:paraId="7C9D211F" w14:textId="2EF6FD63" w:rsidR="005C19FA" w:rsidRPr="00BA7027" w:rsidRDefault="00602401" w:rsidP="00BA7027">
      <w:pPr>
        <w:pStyle w:val="ListParagraph"/>
        <w:spacing w:line="480" w:lineRule="auto"/>
        <w:ind w:left="1985" w:hanging="545"/>
        <w:jc w:val="both"/>
        <w:rPr>
          <w:rFonts w:ascii="Arial" w:hAnsi="Arial" w:cs="Arial"/>
          <w:i/>
          <w:iCs/>
        </w:rPr>
      </w:pPr>
      <w:r w:rsidRPr="00C614C1">
        <w:rPr>
          <w:i/>
          <w:iCs/>
        </w:rPr>
        <w:t>“</w:t>
      </w:r>
      <w:r w:rsidRPr="00C614C1">
        <w:rPr>
          <w:rFonts w:ascii="Arial" w:hAnsi="Arial" w:cs="Arial"/>
          <w:i/>
          <w:iCs/>
        </w:rPr>
        <w:t>10.</w:t>
      </w:r>
      <w:r w:rsidRPr="00C614C1">
        <w:rPr>
          <w:rFonts w:ascii="Arial" w:hAnsi="Arial" w:cs="Arial"/>
          <w:i/>
          <w:iCs/>
        </w:rPr>
        <w:tab/>
        <w:t xml:space="preserve">It seems clear that these notices </w:t>
      </w:r>
      <w:r w:rsidR="00F97214" w:rsidRPr="00C614C1">
        <w:rPr>
          <w:rFonts w:ascii="Arial" w:hAnsi="Arial" w:cs="Arial"/>
          <w:i/>
          <w:iCs/>
        </w:rPr>
        <w:t>relate</w:t>
      </w:r>
      <w:r w:rsidRPr="00C614C1">
        <w:rPr>
          <w:rFonts w:ascii="Arial" w:hAnsi="Arial" w:cs="Arial"/>
          <w:i/>
          <w:iCs/>
        </w:rPr>
        <w:t xml:space="preserve"> to an indebtedness of Terblanche, although it is not clear h</w:t>
      </w:r>
      <w:r w:rsidR="0099394F" w:rsidRPr="00C614C1">
        <w:rPr>
          <w:rFonts w:ascii="Arial" w:hAnsi="Arial" w:cs="Arial"/>
          <w:i/>
          <w:iCs/>
        </w:rPr>
        <w:t>ow that could have come about, given that the transfer of ownership would have required Tshwane to have issued a clearing certificate for such transfer and for Terblanche’s account to have been paid up</w:t>
      </w:r>
      <w:r w:rsidR="005C19FA" w:rsidRPr="00C614C1">
        <w:rPr>
          <w:rFonts w:ascii="Arial" w:hAnsi="Arial" w:cs="Arial"/>
          <w:i/>
          <w:iCs/>
        </w:rPr>
        <w:t xml:space="preserve"> and three months in advance.</w:t>
      </w:r>
    </w:p>
    <w:p w14:paraId="57429C41" w14:textId="158E5769" w:rsidR="00603CD1" w:rsidRPr="00BA7027" w:rsidRDefault="005C19FA" w:rsidP="00BA7027">
      <w:pPr>
        <w:pStyle w:val="ListParagraph"/>
        <w:spacing w:line="480" w:lineRule="auto"/>
        <w:ind w:left="1985" w:hanging="545"/>
        <w:jc w:val="both"/>
        <w:rPr>
          <w:rFonts w:ascii="Arial" w:hAnsi="Arial" w:cs="Arial"/>
          <w:i/>
          <w:iCs/>
        </w:rPr>
      </w:pPr>
      <w:r w:rsidRPr="00C614C1">
        <w:rPr>
          <w:rFonts w:ascii="Arial" w:hAnsi="Arial" w:cs="Arial"/>
          <w:i/>
          <w:iCs/>
        </w:rPr>
        <w:t>11.</w:t>
      </w:r>
      <w:r w:rsidRPr="00C614C1">
        <w:rPr>
          <w:rFonts w:ascii="Arial" w:hAnsi="Arial" w:cs="Arial"/>
          <w:i/>
          <w:iCs/>
        </w:rPr>
        <w:tab/>
        <w:t xml:space="preserve">We have established from the transferring attorneys that they did give notice of transfer and change of ownership to the City of Tshwane, by hand on 21 October 2021. </w:t>
      </w:r>
    </w:p>
    <w:p w14:paraId="7CAA47B2" w14:textId="4FBC0CF4" w:rsidR="00603CD1" w:rsidRPr="00BA7027" w:rsidRDefault="00603CD1" w:rsidP="00BA7027">
      <w:pPr>
        <w:pStyle w:val="ListParagraph"/>
        <w:spacing w:line="480" w:lineRule="auto"/>
        <w:ind w:left="1985" w:hanging="545"/>
        <w:jc w:val="both"/>
        <w:rPr>
          <w:rFonts w:ascii="Arial" w:hAnsi="Arial" w:cs="Arial"/>
          <w:i/>
          <w:iCs/>
        </w:rPr>
      </w:pPr>
      <w:r w:rsidRPr="00C614C1">
        <w:rPr>
          <w:rFonts w:ascii="Arial" w:hAnsi="Arial" w:cs="Arial"/>
          <w:i/>
          <w:iCs/>
        </w:rPr>
        <w:t>12.</w:t>
      </w:r>
      <w:r w:rsidRPr="00C614C1">
        <w:rPr>
          <w:rFonts w:ascii="Arial" w:hAnsi="Arial" w:cs="Arial"/>
          <w:i/>
          <w:iCs/>
        </w:rPr>
        <w:tab/>
        <w:t xml:space="preserve">Our clients have been making payment to the City of Tshwane since taking ownership, these payments relates to electricity consumed at the property in respect of the installed prepaid meters. Our clients made payments in respect of the prepaid meter charges without fail. </w:t>
      </w:r>
    </w:p>
    <w:p w14:paraId="2B23F6CF" w14:textId="1D27DFD7" w:rsidR="00D84568" w:rsidRPr="00BA7027" w:rsidRDefault="00603CD1" w:rsidP="00BA7027">
      <w:pPr>
        <w:pStyle w:val="ListParagraph"/>
        <w:spacing w:line="480" w:lineRule="auto"/>
        <w:ind w:left="1985" w:hanging="545"/>
        <w:jc w:val="both"/>
        <w:rPr>
          <w:rFonts w:ascii="Arial" w:hAnsi="Arial" w:cs="Arial"/>
          <w:i/>
          <w:iCs/>
        </w:rPr>
      </w:pPr>
      <w:r w:rsidRPr="00C614C1">
        <w:rPr>
          <w:rFonts w:ascii="Arial" w:hAnsi="Arial" w:cs="Arial"/>
          <w:i/>
          <w:iCs/>
        </w:rPr>
        <w:t>13.</w:t>
      </w:r>
      <w:r w:rsidRPr="00C614C1">
        <w:rPr>
          <w:rFonts w:ascii="Arial" w:hAnsi="Arial" w:cs="Arial"/>
          <w:i/>
          <w:iCs/>
        </w:rPr>
        <w:tab/>
        <w:t xml:space="preserve">Our clients never received any other accounts from the City of Tshwane and being foreigners, without English or any other South </w:t>
      </w:r>
      <w:r w:rsidRPr="00C614C1">
        <w:rPr>
          <w:rFonts w:ascii="Arial" w:hAnsi="Arial" w:cs="Arial"/>
          <w:i/>
          <w:iCs/>
        </w:rPr>
        <w:lastRenderedPageBreak/>
        <w:t xml:space="preserve">African language as their first languages, they do not precisely understand the Tshwane system municipal systems. </w:t>
      </w:r>
    </w:p>
    <w:p w14:paraId="1232E782" w14:textId="251EEFA5" w:rsidR="00D84568" w:rsidRPr="00BA7027" w:rsidRDefault="00D84568" w:rsidP="00BA7027">
      <w:pPr>
        <w:pStyle w:val="ListParagraph"/>
        <w:spacing w:line="480" w:lineRule="auto"/>
        <w:ind w:left="1985" w:hanging="545"/>
        <w:jc w:val="both"/>
        <w:rPr>
          <w:rFonts w:ascii="Arial" w:hAnsi="Arial" w:cs="Arial"/>
          <w:i/>
          <w:iCs/>
        </w:rPr>
      </w:pPr>
      <w:r w:rsidRPr="00C614C1">
        <w:rPr>
          <w:rFonts w:ascii="Arial" w:hAnsi="Arial" w:cs="Arial"/>
          <w:i/>
          <w:iCs/>
        </w:rPr>
        <w:t>14.</w:t>
      </w:r>
      <w:r w:rsidRPr="00C614C1">
        <w:rPr>
          <w:rFonts w:ascii="Arial" w:hAnsi="Arial" w:cs="Arial"/>
          <w:i/>
          <w:iCs/>
        </w:rPr>
        <w:tab/>
        <w:t>Our clients are not unwilling to pay the accounts, but they do need to receive accounts, before they can be expected to make payment.</w:t>
      </w:r>
    </w:p>
    <w:p w14:paraId="2C2EDBA2" w14:textId="2EDC4058" w:rsidR="00C614C1" w:rsidRPr="00C614C1" w:rsidRDefault="00D84568" w:rsidP="00BA7027">
      <w:pPr>
        <w:pStyle w:val="ListParagraph"/>
        <w:spacing w:line="480" w:lineRule="auto"/>
        <w:ind w:left="1985" w:hanging="545"/>
        <w:jc w:val="both"/>
        <w:rPr>
          <w:rFonts w:ascii="Arial" w:hAnsi="Arial" w:cs="Arial"/>
          <w:i/>
          <w:iCs/>
        </w:rPr>
      </w:pPr>
      <w:r w:rsidRPr="00C614C1">
        <w:rPr>
          <w:rFonts w:ascii="Arial" w:hAnsi="Arial" w:cs="Arial"/>
          <w:i/>
          <w:iCs/>
        </w:rPr>
        <w:t>15.</w:t>
      </w:r>
      <w:r w:rsidRPr="00C614C1">
        <w:rPr>
          <w:rFonts w:ascii="Arial" w:hAnsi="Arial" w:cs="Arial"/>
          <w:i/>
          <w:iCs/>
        </w:rPr>
        <w:tab/>
        <w:t>You have failed and/or neglected and/or refused to provide our clients with substantiated and detailed accounts as to what they allege</w:t>
      </w:r>
      <w:r w:rsidR="00E05C92" w:rsidRPr="00C614C1">
        <w:rPr>
          <w:rFonts w:ascii="Arial" w:hAnsi="Arial" w:cs="Arial"/>
          <w:i/>
          <w:iCs/>
        </w:rPr>
        <w:t>dly owe you in municipal charges prior to disconnecting the electricity supply.</w:t>
      </w:r>
    </w:p>
    <w:p w14:paraId="0E29A2F1" w14:textId="6277CC4D" w:rsidR="00CF414C" w:rsidRPr="00BA7027" w:rsidRDefault="00E05C92" w:rsidP="00BA7027">
      <w:pPr>
        <w:pStyle w:val="ListParagraph"/>
        <w:spacing w:line="480" w:lineRule="auto"/>
        <w:ind w:left="1985" w:hanging="545"/>
        <w:jc w:val="both"/>
        <w:rPr>
          <w:rFonts w:ascii="Arial" w:hAnsi="Arial" w:cs="Arial"/>
          <w:i/>
          <w:iCs/>
        </w:rPr>
      </w:pPr>
      <w:r w:rsidRPr="00C614C1">
        <w:rPr>
          <w:rFonts w:ascii="Arial" w:hAnsi="Arial" w:cs="Arial"/>
          <w:i/>
          <w:iCs/>
        </w:rPr>
        <w:t>16.</w:t>
      </w:r>
      <w:r w:rsidRPr="00C614C1">
        <w:rPr>
          <w:rFonts w:ascii="Arial" w:hAnsi="Arial" w:cs="Arial"/>
          <w:i/>
          <w:iCs/>
        </w:rPr>
        <w:tab/>
        <w:t xml:space="preserve">To be clear, our clients do not understand what the basis is for the disconnection of their electricity supply, because, </w:t>
      </w:r>
      <w:r w:rsidR="00CF414C" w:rsidRPr="00C614C1">
        <w:rPr>
          <w:rFonts w:ascii="Arial" w:hAnsi="Arial" w:cs="Arial"/>
          <w:i/>
          <w:iCs/>
        </w:rPr>
        <w:t xml:space="preserve">to their minds they have been making their electricity payments. </w:t>
      </w:r>
    </w:p>
    <w:p w14:paraId="3EFF6563" w14:textId="3099D3FA" w:rsidR="00CF414C" w:rsidRPr="00BA7027" w:rsidRDefault="00CF414C" w:rsidP="00BA7027">
      <w:pPr>
        <w:pStyle w:val="ListParagraph"/>
        <w:spacing w:line="480" w:lineRule="auto"/>
        <w:ind w:left="1985" w:hanging="545"/>
        <w:jc w:val="both"/>
        <w:rPr>
          <w:rFonts w:ascii="Arial" w:hAnsi="Arial" w:cs="Arial"/>
          <w:i/>
          <w:iCs/>
        </w:rPr>
      </w:pPr>
      <w:r w:rsidRPr="00C614C1">
        <w:rPr>
          <w:rFonts w:ascii="Arial" w:hAnsi="Arial" w:cs="Arial"/>
          <w:i/>
          <w:iCs/>
        </w:rPr>
        <w:t>17.</w:t>
      </w:r>
      <w:r w:rsidRPr="00C614C1">
        <w:rPr>
          <w:rFonts w:ascii="Arial" w:hAnsi="Arial" w:cs="Arial"/>
          <w:i/>
          <w:iCs/>
        </w:rPr>
        <w:tab/>
        <w:t>It would seem that the electricity supply has been disconnected on account of some other indebtedness to yourselves, “municipal services or rates and taxes”, but not electricity, and no accounts have been received from you in regards thereto.</w:t>
      </w:r>
    </w:p>
    <w:p w14:paraId="4F7ED8B8" w14:textId="557F29CD" w:rsidR="000C548E" w:rsidRPr="00C614C1" w:rsidRDefault="00C614C1" w:rsidP="00C614C1">
      <w:pPr>
        <w:pStyle w:val="ListParagraph"/>
        <w:spacing w:line="480" w:lineRule="auto"/>
        <w:ind w:left="1985" w:hanging="545"/>
        <w:jc w:val="both"/>
        <w:rPr>
          <w:rFonts w:ascii="Arial" w:hAnsi="Arial" w:cs="Arial"/>
        </w:rPr>
      </w:pPr>
      <w:r>
        <w:rPr>
          <w:rFonts w:ascii="Arial" w:hAnsi="Arial" w:cs="Arial"/>
        </w:rPr>
        <w:t>18.</w:t>
      </w:r>
      <w:r>
        <w:rPr>
          <w:rFonts w:ascii="Arial" w:hAnsi="Arial" w:cs="Arial"/>
        </w:rPr>
        <w:tab/>
      </w:r>
      <w:r w:rsidR="000C548E" w:rsidRPr="00C614C1">
        <w:rPr>
          <w:rFonts w:ascii="Arial" w:hAnsi="Arial" w:cs="Arial"/>
          <w:i/>
          <w:iCs/>
        </w:rPr>
        <w:t xml:space="preserve">You appear </w:t>
      </w:r>
      <w:r w:rsidR="002B48BB" w:rsidRPr="00C614C1">
        <w:rPr>
          <w:rFonts w:ascii="Arial" w:hAnsi="Arial" w:cs="Arial"/>
          <w:i/>
          <w:iCs/>
        </w:rPr>
        <w:t xml:space="preserve">to have failed </w:t>
      </w:r>
      <w:r w:rsidR="00E00B44">
        <w:rPr>
          <w:rFonts w:ascii="Arial" w:hAnsi="Arial" w:cs="Arial"/>
          <w:i/>
          <w:iCs/>
        </w:rPr>
        <w:t>and/</w:t>
      </w:r>
      <w:r w:rsidR="002B48BB" w:rsidRPr="00C614C1">
        <w:rPr>
          <w:rFonts w:ascii="Arial" w:hAnsi="Arial" w:cs="Arial"/>
          <w:i/>
          <w:iCs/>
        </w:rPr>
        <w:t>or neglected to open an account for clients upon transfer of the property into their names. Now the electricity supply has been terminated upon the strength of notices sent to the previous owner, demanding payment and pre-termination notices</w:t>
      </w:r>
      <w:r w:rsidR="00E00B44">
        <w:rPr>
          <w:rFonts w:ascii="Arial" w:hAnsi="Arial" w:cs="Arial"/>
          <w:i/>
          <w:iCs/>
        </w:rPr>
        <w:t>,</w:t>
      </w:r>
      <w:r w:rsidR="002B48BB" w:rsidRPr="00C614C1">
        <w:rPr>
          <w:rFonts w:ascii="Arial" w:hAnsi="Arial" w:cs="Arial"/>
          <w:i/>
          <w:iCs/>
        </w:rPr>
        <w:t xml:space="preserve"> but once again</w:t>
      </w:r>
      <w:r w:rsidR="00E00B44">
        <w:rPr>
          <w:rFonts w:ascii="Arial" w:hAnsi="Arial" w:cs="Arial"/>
          <w:i/>
          <w:iCs/>
        </w:rPr>
        <w:t>,</w:t>
      </w:r>
      <w:r w:rsidR="002B48BB" w:rsidRPr="00C614C1">
        <w:rPr>
          <w:rFonts w:ascii="Arial" w:hAnsi="Arial" w:cs="Arial"/>
          <w:i/>
          <w:iCs/>
        </w:rPr>
        <w:t xml:space="preserve"> no accounts</w:t>
      </w:r>
      <w:r w:rsidR="00AD59FC" w:rsidRPr="00C614C1">
        <w:rPr>
          <w:rFonts w:ascii="Arial" w:hAnsi="Arial" w:cs="Arial"/>
          <w:i/>
          <w:iCs/>
        </w:rPr>
        <w:t>”</w:t>
      </w:r>
      <w:r w:rsidR="002B48BB" w:rsidRPr="00C614C1">
        <w:rPr>
          <w:rFonts w:ascii="Arial" w:hAnsi="Arial" w:cs="Arial"/>
        </w:rPr>
        <w:t xml:space="preserve">. </w:t>
      </w:r>
    </w:p>
    <w:p w14:paraId="4E87C2E9" w14:textId="77777777" w:rsidR="004A12C5" w:rsidRPr="00AD59FC" w:rsidRDefault="004A12C5" w:rsidP="00B946FC">
      <w:pPr>
        <w:spacing w:line="480" w:lineRule="auto"/>
        <w:jc w:val="both"/>
      </w:pPr>
    </w:p>
    <w:p w14:paraId="739859B5" w14:textId="0CEC4C42" w:rsidR="002E41DF" w:rsidRPr="00AD59FC" w:rsidRDefault="002750AF" w:rsidP="002750AF">
      <w:pPr>
        <w:spacing w:line="480" w:lineRule="auto"/>
        <w:ind w:left="720" w:hanging="720"/>
        <w:jc w:val="both"/>
      </w:pPr>
      <w:r w:rsidRPr="00AD59FC">
        <w:rPr>
          <w:rFonts w:ascii="Arial" w:hAnsi="Arial" w:cs="Arial"/>
        </w:rPr>
        <w:t>11.</w:t>
      </w:r>
      <w:r w:rsidRPr="00AD59FC">
        <w:rPr>
          <w:rFonts w:ascii="Arial" w:hAnsi="Arial" w:cs="Arial"/>
        </w:rPr>
        <w:tab/>
      </w:r>
      <w:r w:rsidR="00AD59FC" w:rsidRPr="002750AF">
        <w:rPr>
          <w:rFonts w:ascii="Arial" w:hAnsi="Arial" w:cs="Arial"/>
        </w:rPr>
        <w:t xml:space="preserve">The </w:t>
      </w:r>
      <w:r w:rsidR="00E66E51" w:rsidRPr="002750AF">
        <w:rPr>
          <w:rFonts w:ascii="Arial" w:hAnsi="Arial" w:cs="Arial"/>
        </w:rPr>
        <w:t>a</w:t>
      </w:r>
      <w:r w:rsidR="00AD59FC" w:rsidRPr="002750AF">
        <w:rPr>
          <w:rFonts w:ascii="Arial" w:hAnsi="Arial" w:cs="Arial"/>
        </w:rPr>
        <w:t xml:space="preserve">pplicants’ letter of demand concludes by demanding that the </w:t>
      </w:r>
      <w:r w:rsidR="005E45C0" w:rsidRPr="002750AF">
        <w:rPr>
          <w:rFonts w:ascii="Arial" w:hAnsi="Arial" w:cs="Arial"/>
        </w:rPr>
        <w:t>Ci</w:t>
      </w:r>
      <w:r w:rsidR="00AD59FC" w:rsidRPr="002750AF">
        <w:rPr>
          <w:rFonts w:ascii="Arial" w:hAnsi="Arial" w:cs="Arial"/>
        </w:rPr>
        <w:t>ty restore electricity</w:t>
      </w:r>
      <w:r w:rsidR="00E063A8" w:rsidRPr="002750AF">
        <w:rPr>
          <w:rFonts w:ascii="Arial" w:hAnsi="Arial" w:cs="Arial"/>
        </w:rPr>
        <w:t>,</w:t>
      </w:r>
      <w:r w:rsidR="00AD59FC" w:rsidRPr="002750AF">
        <w:rPr>
          <w:rFonts w:ascii="Arial" w:hAnsi="Arial" w:cs="Arial"/>
        </w:rPr>
        <w:t xml:space="preserve"> failing which an urgent application will be brought to the High Court. This is such an urgent application.</w:t>
      </w:r>
    </w:p>
    <w:p w14:paraId="23C58D65" w14:textId="5D1FAB3E" w:rsidR="00AD59FC" w:rsidRPr="00DD10AF" w:rsidRDefault="002750AF" w:rsidP="002750AF">
      <w:pPr>
        <w:spacing w:line="480" w:lineRule="auto"/>
        <w:ind w:left="720" w:hanging="720"/>
        <w:jc w:val="both"/>
      </w:pPr>
      <w:r w:rsidRPr="00DD10AF">
        <w:rPr>
          <w:rFonts w:ascii="Arial" w:hAnsi="Arial" w:cs="Arial"/>
        </w:rPr>
        <w:lastRenderedPageBreak/>
        <w:t>12.</w:t>
      </w:r>
      <w:r w:rsidRPr="00DD10AF">
        <w:rPr>
          <w:rFonts w:ascii="Arial" w:hAnsi="Arial" w:cs="Arial"/>
        </w:rPr>
        <w:tab/>
      </w:r>
      <w:r w:rsidR="008829A0" w:rsidRPr="002750AF">
        <w:rPr>
          <w:rFonts w:ascii="Arial" w:hAnsi="Arial" w:cs="Arial"/>
        </w:rPr>
        <w:t xml:space="preserve">The </w:t>
      </w:r>
      <w:r w:rsidR="00E66E51" w:rsidRPr="002750AF">
        <w:rPr>
          <w:rFonts w:ascii="Arial" w:hAnsi="Arial" w:cs="Arial"/>
        </w:rPr>
        <w:t>a</w:t>
      </w:r>
      <w:r w:rsidR="008829A0" w:rsidRPr="002750AF">
        <w:rPr>
          <w:rFonts w:ascii="Arial" w:hAnsi="Arial" w:cs="Arial"/>
        </w:rPr>
        <w:t xml:space="preserve">pplicants’ case is based on the principles of spoliation as it is alleged on behalf of the </w:t>
      </w:r>
      <w:r w:rsidR="00DD10AF" w:rsidRPr="002750AF">
        <w:rPr>
          <w:rFonts w:ascii="Arial" w:hAnsi="Arial" w:cs="Arial"/>
        </w:rPr>
        <w:t>a</w:t>
      </w:r>
      <w:r w:rsidR="008829A0" w:rsidRPr="002750AF">
        <w:rPr>
          <w:rFonts w:ascii="Arial" w:hAnsi="Arial" w:cs="Arial"/>
        </w:rPr>
        <w:t>pplicant that they were in</w:t>
      </w:r>
      <w:r w:rsidR="001C19D2" w:rsidRPr="002750AF">
        <w:rPr>
          <w:rFonts w:ascii="Arial" w:hAnsi="Arial" w:cs="Arial"/>
        </w:rPr>
        <w:t xml:space="preserve"> an</w:t>
      </w:r>
      <w:r w:rsidR="008829A0" w:rsidRPr="002750AF">
        <w:rPr>
          <w:rFonts w:ascii="Arial" w:hAnsi="Arial" w:cs="Arial"/>
        </w:rPr>
        <w:t xml:space="preserve"> uninterrupted supply of electricity from the </w:t>
      </w:r>
      <w:r w:rsidR="00E66E51" w:rsidRPr="002750AF">
        <w:rPr>
          <w:rFonts w:ascii="Arial" w:hAnsi="Arial" w:cs="Arial"/>
        </w:rPr>
        <w:t>r</w:t>
      </w:r>
      <w:r w:rsidR="008829A0" w:rsidRPr="002750AF">
        <w:rPr>
          <w:rFonts w:ascii="Arial" w:hAnsi="Arial" w:cs="Arial"/>
        </w:rPr>
        <w:t>espondent to the property an</w:t>
      </w:r>
      <w:r w:rsidR="00137CE9" w:rsidRPr="002750AF">
        <w:rPr>
          <w:rFonts w:ascii="Arial" w:hAnsi="Arial" w:cs="Arial"/>
        </w:rPr>
        <w:t>d the</w:t>
      </w:r>
      <w:r w:rsidR="008829A0" w:rsidRPr="002750AF">
        <w:rPr>
          <w:rFonts w:ascii="Arial" w:hAnsi="Arial" w:cs="Arial"/>
        </w:rPr>
        <w:t xml:space="preserve"> interference </w:t>
      </w:r>
      <w:r w:rsidR="002A1FA5" w:rsidRPr="002750AF">
        <w:rPr>
          <w:rFonts w:ascii="Arial" w:hAnsi="Arial" w:cs="Arial"/>
        </w:rPr>
        <w:t xml:space="preserve">by the </w:t>
      </w:r>
      <w:r w:rsidR="00E66E51" w:rsidRPr="002750AF">
        <w:rPr>
          <w:rFonts w:ascii="Arial" w:hAnsi="Arial" w:cs="Arial"/>
        </w:rPr>
        <w:t>r</w:t>
      </w:r>
      <w:r w:rsidR="002A1FA5" w:rsidRPr="002750AF">
        <w:rPr>
          <w:rFonts w:ascii="Arial" w:hAnsi="Arial" w:cs="Arial"/>
        </w:rPr>
        <w:t xml:space="preserve">espondent with the </w:t>
      </w:r>
      <w:r w:rsidR="00E66E51" w:rsidRPr="002750AF">
        <w:rPr>
          <w:rFonts w:ascii="Arial" w:hAnsi="Arial" w:cs="Arial"/>
        </w:rPr>
        <w:t>a</w:t>
      </w:r>
      <w:r w:rsidR="002A1FA5" w:rsidRPr="002750AF">
        <w:rPr>
          <w:rFonts w:ascii="Arial" w:hAnsi="Arial" w:cs="Arial"/>
        </w:rPr>
        <w:t>pplicants’ access to electricity is a</w:t>
      </w:r>
      <w:r w:rsidR="009A5991" w:rsidRPr="002750AF">
        <w:rPr>
          <w:rFonts w:ascii="Arial" w:hAnsi="Arial" w:cs="Arial"/>
        </w:rPr>
        <w:t>kin</w:t>
      </w:r>
      <w:r w:rsidR="002A1FA5" w:rsidRPr="002750AF">
        <w:rPr>
          <w:rFonts w:ascii="Arial" w:hAnsi="Arial" w:cs="Arial"/>
        </w:rPr>
        <w:t xml:space="preserve"> to deprivation of possession of property.</w:t>
      </w:r>
      <w:r w:rsidR="009A5991" w:rsidRPr="002750AF">
        <w:rPr>
          <w:rFonts w:ascii="Arial" w:hAnsi="Arial" w:cs="Arial"/>
        </w:rPr>
        <w:t xml:space="preserve"> </w:t>
      </w:r>
      <w:r w:rsidR="00E66E51" w:rsidRPr="002750AF">
        <w:rPr>
          <w:rFonts w:ascii="Arial" w:hAnsi="Arial" w:cs="Arial"/>
        </w:rPr>
        <w:t>It is not necessary to deal with the restoration of electricity supply based on what transpired during the hearing.</w:t>
      </w:r>
    </w:p>
    <w:p w14:paraId="7917CBFB" w14:textId="77777777" w:rsidR="00DD10AF" w:rsidRDefault="00DD10AF" w:rsidP="002E41DF">
      <w:pPr>
        <w:pStyle w:val="ListParagraph"/>
        <w:spacing w:line="480" w:lineRule="auto"/>
      </w:pPr>
    </w:p>
    <w:p w14:paraId="409A4362" w14:textId="4F33AC3E" w:rsidR="00DD10AF" w:rsidRPr="004E7A81" w:rsidRDefault="002750AF" w:rsidP="002750AF">
      <w:pPr>
        <w:spacing w:line="480" w:lineRule="auto"/>
        <w:ind w:left="720" w:hanging="720"/>
        <w:jc w:val="both"/>
      </w:pPr>
      <w:r w:rsidRPr="004E7A81">
        <w:rPr>
          <w:rFonts w:ascii="Arial" w:hAnsi="Arial" w:cs="Arial"/>
        </w:rPr>
        <w:t>13.</w:t>
      </w:r>
      <w:r w:rsidRPr="004E7A81">
        <w:rPr>
          <w:rFonts w:ascii="Arial" w:hAnsi="Arial" w:cs="Arial"/>
        </w:rPr>
        <w:tab/>
      </w:r>
      <w:r w:rsidR="00706F5E" w:rsidRPr="002750AF">
        <w:rPr>
          <w:rFonts w:ascii="Arial" w:hAnsi="Arial" w:cs="Arial"/>
        </w:rPr>
        <w:t xml:space="preserve">The City filed a notice to oppose but did not file any answering papers. Strangely enough, the City challenged the </w:t>
      </w:r>
      <w:r w:rsidR="0068300C" w:rsidRPr="002750AF">
        <w:rPr>
          <w:rFonts w:ascii="Arial" w:hAnsi="Arial" w:cs="Arial"/>
        </w:rPr>
        <w:t>att</w:t>
      </w:r>
      <w:r w:rsidR="00DD4CCF" w:rsidRPr="002750AF">
        <w:rPr>
          <w:rFonts w:ascii="Arial" w:hAnsi="Arial" w:cs="Arial"/>
        </w:rPr>
        <w:t>orneys,</w:t>
      </w:r>
      <w:r w:rsidR="00706F5E" w:rsidRPr="002750AF">
        <w:rPr>
          <w:rFonts w:ascii="Arial" w:hAnsi="Arial" w:cs="Arial"/>
        </w:rPr>
        <w:t xml:space="preserve"> </w:t>
      </w:r>
      <w:r w:rsidR="005B39ED" w:rsidRPr="002750AF">
        <w:rPr>
          <w:rFonts w:ascii="Arial" w:hAnsi="Arial" w:cs="Arial"/>
        </w:rPr>
        <w:t>M</w:t>
      </w:r>
      <w:r w:rsidR="00706F5E" w:rsidRPr="002750AF">
        <w:rPr>
          <w:rFonts w:ascii="Arial" w:hAnsi="Arial" w:cs="Arial"/>
        </w:rPr>
        <w:t>anly Inc’s authority to represent the applicant</w:t>
      </w:r>
      <w:r w:rsidR="00137CE9" w:rsidRPr="002750AF">
        <w:rPr>
          <w:rFonts w:ascii="Arial" w:hAnsi="Arial" w:cs="Arial"/>
        </w:rPr>
        <w:t>s</w:t>
      </w:r>
      <w:r w:rsidR="00706F5E" w:rsidRPr="002750AF">
        <w:rPr>
          <w:rFonts w:ascii="Arial" w:hAnsi="Arial" w:cs="Arial"/>
        </w:rPr>
        <w:t xml:space="preserve"> by filing a notice in terms of Rule 7(1) in which it was </w:t>
      </w:r>
      <w:r w:rsidR="00222C13" w:rsidRPr="002750AF">
        <w:rPr>
          <w:rFonts w:ascii="Arial" w:hAnsi="Arial" w:cs="Arial"/>
        </w:rPr>
        <w:t>categorically</w:t>
      </w:r>
      <w:r w:rsidR="003331AA" w:rsidRPr="002750AF">
        <w:rPr>
          <w:rFonts w:ascii="Arial" w:hAnsi="Arial" w:cs="Arial"/>
        </w:rPr>
        <w:t xml:space="preserve"> stated that</w:t>
      </w:r>
      <w:r w:rsidR="00222C13" w:rsidRPr="002750AF">
        <w:rPr>
          <w:rFonts w:ascii="Arial" w:hAnsi="Arial" w:cs="Arial"/>
        </w:rPr>
        <w:t xml:space="preserve">; </w:t>
      </w:r>
      <w:r w:rsidR="00222C13" w:rsidRPr="002750AF">
        <w:rPr>
          <w:rFonts w:ascii="Arial" w:hAnsi="Arial" w:cs="Arial"/>
          <w:i/>
          <w:iCs/>
        </w:rPr>
        <w:t>“</w:t>
      </w:r>
      <w:r w:rsidR="002B4C91" w:rsidRPr="002750AF">
        <w:rPr>
          <w:rFonts w:ascii="Arial" w:hAnsi="Arial" w:cs="Arial"/>
          <w:i/>
          <w:iCs/>
        </w:rPr>
        <w:t>… t</w:t>
      </w:r>
      <w:r w:rsidR="00222C13" w:rsidRPr="002750AF">
        <w:rPr>
          <w:rFonts w:ascii="Arial" w:hAnsi="Arial" w:cs="Arial"/>
          <w:i/>
          <w:iCs/>
        </w:rPr>
        <w:t>he respondent hereby disputes the authority of the</w:t>
      </w:r>
      <w:r w:rsidR="00251C0C" w:rsidRPr="002750AF">
        <w:rPr>
          <w:rFonts w:ascii="Arial" w:hAnsi="Arial" w:cs="Arial"/>
          <w:i/>
          <w:iCs/>
        </w:rPr>
        <w:t xml:space="preserve"> applicants</w:t>
      </w:r>
      <w:r w:rsidR="00201780" w:rsidRPr="002750AF">
        <w:rPr>
          <w:rFonts w:ascii="Arial" w:hAnsi="Arial" w:cs="Arial"/>
          <w:i/>
          <w:iCs/>
        </w:rPr>
        <w:t>’</w:t>
      </w:r>
      <w:r w:rsidR="00251C0C" w:rsidRPr="002750AF">
        <w:rPr>
          <w:rFonts w:ascii="Arial" w:hAnsi="Arial" w:cs="Arial"/>
          <w:i/>
          <w:iCs/>
        </w:rPr>
        <w:t xml:space="preserve"> attorneys of record to act on behalf of the applicants and therefore request the applicants</w:t>
      </w:r>
      <w:r w:rsidR="00201780" w:rsidRPr="002750AF">
        <w:rPr>
          <w:rFonts w:ascii="Arial" w:hAnsi="Arial" w:cs="Arial"/>
          <w:i/>
          <w:iCs/>
        </w:rPr>
        <w:t>’</w:t>
      </w:r>
      <w:r w:rsidR="00251C0C" w:rsidRPr="002750AF">
        <w:rPr>
          <w:rFonts w:ascii="Arial" w:hAnsi="Arial" w:cs="Arial"/>
          <w:i/>
          <w:iCs/>
        </w:rPr>
        <w:t xml:space="preserve"> attorneys to provide a written power of attorney as proof of authority to act same”</w:t>
      </w:r>
      <w:r w:rsidR="00251C0C" w:rsidRPr="002750AF">
        <w:rPr>
          <w:rFonts w:ascii="Arial" w:hAnsi="Arial" w:cs="Arial"/>
        </w:rPr>
        <w:t>.</w:t>
      </w:r>
      <w:r w:rsidR="005B39ED" w:rsidRPr="002750AF">
        <w:rPr>
          <w:rFonts w:ascii="Arial" w:hAnsi="Arial" w:cs="Arial"/>
        </w:rPr>
        <w:t xml:space="preserve"> This is very </w:t>
      </w:r>
      <w:r w:rsidR="00DD4CCF" w:rsidRPr="002750AF">
        <w:rPr>
          <w:rFonts w:ascii="Arial" w:hAnsi="Arial" w:cs="Arial"/>
        </w:rPr>
        <w:t>odd</w:t>
      </w:r>
      <w:r w:rsidR="005B39ED" w:rsidRPr="002750AF">
        <w:rPr>
          <w:rFonts w:ascii="Arial" w:hAnsi="Arial" w:cs="Arial"/>
        </w:rPr>
        <w:t xml:space="preserve"> as there is no evidence from the papers that suggest that the applicants</w:t>
      </w:r>
      <w:r w:rsidR="00201780" w:rsidRPr="002750AF">
        <w:rPr>
          <w:rFonts w:ascii="Arial" w:hAnsi="Arial" w:cs="Arial"/>
        </w:rPr>
        <w:t>’</w:t>
      </w:r>
      <w:r w:rsidR="005B39ED" w:rsidRPr="002750AF">
        <w:rPr>
          <w:rFonts w:ascii="Arial" w:hAnsi="Arial" w:cs="Arial"/>
        </w:rPr>
        <w:t xml:space="preserve"> attorneys do not have proper mandate to represent the applicants. It is extremely </w:t>
      </w:r>
      <w:r w:rsidR="001C19D2" w:rsidRPr="002750AF">
        <w:rPr>
          <w:rFonts w:ascii="Arial" w:hAnsi="Arial" w:cs="Arial"/>
        </w:rPr>
        <w:t>odd</w:t>
      </w:r>
      <w:r w:rsidR="005B39ED" w:rsidRPr="002750AF">
        <w:rPr>
          <w:rFonts w:ascii="Arial" w:hAnsi="Arial" w:cs="Arial"/>
        </w:rPr>
        <w:t xml:space="preserve"> for </w:t>
      </w:r>
      <w:r w:rsidR="001C19D2" w:rsidRPr="002750AF">
        <w:rPr>
          <w:rFonts w:ascii="Arial" w:hAnsi="Arial" w:cs="Arial"/>
        </w:rPr>
        <w:t xml:space="preserve">a </w:t>
      </w:r>
      <w:r w:rsidR="005B39ED" w:rsidRPr="002750AF">
        <w:rPr>
          <w:rFonts w:ascii="Arial" w:hAnsi="Arial" w:cs="Arial"/>
        </w:rPr>
        <w:t xml:space="preserve">state institution to challenge the authority of an attorney </w:t>
      </w:r>
      <w:r w:rsidR="001C19D2" w:rsidRPr="002750AF">
        <w:rPr>
          <w:rFonts w:ascii="Arial" w:hAnsi="Arial" w:cs="Arial"/>
        </w:rPr>
        <w:t>who is</w:t>
      </w:r>
      <w:r w:rsidR="005B39ED" w:rsidRPr="002750AF">
        <w:rPr>
          <w:rFonts w:ascii="Arial" w:hAnsi="Arial" w:cs="Arial"/>
        </w:rPr>
        <w:t xml:space="preserve"> represent</w:t>
      </w:r>
      <w:r w:rsidR="001C19D2" w:rsidRPr="002750AF">
        <w:rPr>
          <w:rFonts w:ascii="Arial" w:hAnsi="Arial" w:cs="Arial"/>
        </w:rPr>
        <w:t>ing</w:t>
      </w:r>
      <w:r w:rsidR="005B39ED" w:rsidRPr="002750AF">
        <w:rPr>
          <w:rFonts w:ascii="Arial" w:hAnsi="Arial" w:cs="Arial"/>
        </w:rPr>
        <w:t xml:space="preserve"> ordinary applicants </w:t>
      </w:r>
      <w:r w:rsidR="001C19D2" w:rsidRPr="002750AF">
        <w:rPr>
          <w:rFonts w:ascii="Arial" w:hAnsi="Arial" w:cs="Arial"/>
        </w:rPr>
        <w:t xml:space="preserve">without any </w:t>
      </w:r>
      <w:r w:rsidR="000D4210" w:rsidRPr="002750AF">
        <w:rPr>
          <w:rFonts w:ascii="Arial" w:hAnsi="Arial" w:cs="Arial"/>
        </w:rPr>
        <w:t>foundation</w:t>
      </w:r>
      <w:r w:rsidR="001C19D2" w:rsidRPr="002750AF">
        <w:rPr>
          <w:rFonts w:ascii="Arial" w:hAnsi="Arial" w:cs="Arial"/>
        </w:rPr>
        <w:t xml:space="preserve"> for such. Th</w:t>
      </w:r>
      <w:r w:rsidR="000D4210" w:rsidRPr="002750AF">
        <w:rPr>
          <w:rFonts w:ascii="Arial" w:hAnsi="Arial" w:cs="Arial"/>
        </w:rPr>
        <w:t>e</w:t>
      </w:r>
      <w:r w:rsidR="001C19D2" w:rsidRPr="002750AF">
        <w:rPr>
          <w:rFonts w:ascii="Arial" w:hAnsi="Arial" w:cs="Arial"/>
        </w:rPr>
        <w:t xml:space="preserve">se </w:t>
      </w:r>
      <w:r w:rsidR="000D4210" w:rsidRPr="002750AF">
        <w:rPr>
          <w:rFonts w:ascii="Arial" w:hAnsi="Arial" w:cs="Arial"/>
        </w:rPr>
        <w:t xml:space="preserve">are </w:t>
      </w:r>
      <w:r w:rsidR="001C19D2" w:rsidRPr="002750AF">
        <w:rPr>
          <w:rFonts w:ascii="Arial" w:hAnsi="Arial" w:cs="Arial"/>
        </w:rPr>
        <w:t xml:space="preserve">ordinary </w:t>
      </w:r>
      <w:r w:rsidR="003E3767" w:rsidRPr="002750AF">
        <w:rPr>
          <w:rFonts w:ascii="Arial" w:hAnsi="Arial" w:cs="Arial"/>
        </w:rPr>
        <w:t>applicants</w:t>
      </w:r>
      <w:r w:rsidR="000D4210" w:rsidRPr="002750AF">
        <w:rPr>
          <w:rFonts w:ascii="Arial" w:hAnsi="Arial" w:cs="Arial"/>
        </w:rPr>
        <w:t xml:space="preserve"> </w:t>
      </w:r>
      <w:r w:rsidR="0068300C" w:rsidRPr="002750AF">
        <w:rPr>
          <w:rFonts w:ascii="Arial" w:hAnsi="Arial" w:cs="Arial"/>
        </w:rPr>
        <w:t xml:space="preserve">who are </w:t>
      </w:r>
      <w:r w:rsidR="000D4210" w:rsidRPr="002750AF">
        <w:rPr>
          <w:rFonts w:ascii="Arial" w:hAnsi="Arial" w:cs="Arial"/>
        </w:rPr>
        <w:t>litigating</w:t>
      </w:r>
      <w:r w:rsidR="005B39ED" w:rsidRPr="002750AF">
        <w:rPr>
          <w:rFonts w:ascii="Arial" w:hAnsi="Arial" w:cs="Arial"/>
        </w:rPr>
        <w:t xml:space="preserve"> in their personal capacity </w:t>
      </w:r>
      <w:r w:rsidR="00DD4CCF" w:rsidRPr="002750AF">
        <w:rPr>
          <w:rFonts w:ascii="Arial" w:hAnsi="Arial" w:cs="Arial"/>
        </w:rPr>
        <w:t xml:space="preserve">and trying </w:t>
      </w:r>
      <w:r w:rsidR="005B39ED" w:rsidRPr="002750AF">
        <w:rPr>
          <w:rFonts w:ascii="Arial" w:hAnsi="Arial" w:cs="Arial"/>
        </w:rPr>
        <w:t xml:space="preserve">to </w:t>
      </w:r>
      <w:r w:rsidR="004E7A81" w:rsidRPr="002750AF">
        <w:rPr>
          <w:rFonts w:ascii="Arial" w:hAnsi="Arial" w:cs="Arial"/>
        </w:rPr>
        <w:t>e</w:t>
      </w:r>
      <w:r w:rsidR="000D4210" w:rsidRPr="002750AF">
        <w:rPr>
          <w:rFonts w:ascii="Arial" w:hAnsi="Arial" w:cs="Arial"/>
        </w:rPr>
        <w:t>xe</w:t>
      </w:r>
      <w:r w:rsidR="002B4C91" w:rsidRPr="002750AF">
        <w:rPr>
          <w:rFonts w:ascii="Arial" w:hAnsi="Arial" w:cs="Arial"/>
        </w:rPr>
        <w:t>r</w:t>
      </w:r>
      <w:r w:rsidR="004E7A81" w:rsidRPr="002750AF">
        <w:rPr>
          <w:rFonts w:ascii="Arial" w:hAnsi="Arial" w:cs="Arial"/>
        </w:rPr>
        <w:t>t their rights in Court against the Municipality in the protection of their ho</w:t>
      </w:r>
      <w:r w:rsidR="0068300C" w:rsidRPr="002750AF">
        <w:rPr>
          <w:rFonts w:ascii="Arial" w:hAnsi="Arial" w:cs="Arial"/>
        </w:rPr>
        <w:t>useholds</w:t>
      </w:r>
      <w:r w:rsidR="004E7A81" w:rsidRPr="002750AF">
        <w:rPr>
          <w:rFonts w:ascii="Arial" w:hAnsi="Arial" w:cs="Arial"/>
        </w:rPr>
        <w:t xml:space="preserve">. </w:t>
      </w:r>
      <w:r w:rsidR="002B4C91" w:rsidRPr="002750AF">
        <w:rPr>
          <w:rFonts w:ascii="Arial" w:hAnsi="Arial" w:cs="Arial"/>
        </w:rPr>
        <w:t>This is not a prudent utilization of the rules of Court. This effort should have been properly utilized to file an answering affidavit.</w:t>
      </w:r>
      <w:r w:rsidR="0068300C" w:rsidRPr="002750AF">
        <w:rPr>
          <w:rFonts w:ascii="Arial" w:hAnsi="Arial" w:cs="Arial"/>
        </w:rPr>
        <w:t xml:space="preserve"> Unfortunately that was not done.</w:t>
      </w:r>
    </w:p>
    <w:p w14:paraId="32744C46" w14:textId="77777777" w:rsidR="004E7A81" w:rsidRDefault="004E7A81" w:rsidP="001D2B74">
      <w:pPr>
        <w:pStyle w:val="ListParagraph"/>
        <w:spacing w:line="480" w:lineRule="auto"/>
      </w:pPr>
    </w:p>
    <w:p w14:paraId="75860B81" w14:textId="0086B4BF" w:rsidR="004E7A81" w:rsidRPr="002750AF" w:rsidRDefault="002750AF" w:rsidP="002750AF">
      <w:pPr>
        <w:spacing w:line="480" w:lineRule="auto"/>
        <w:ind w:left="720" w:hanging="720"/>
        <w:jc w:val="both"/>
        <w:rPr>
          <w:rFonts w:ascii="Arial" w:hAnsi="Arial" w:cs="Arial"/>
        </w:rPr>
      </w:pPr>
      <w:r>
        <w:rPr>
          <w:rFonts w:ascii="Arial" w:hAnsi="Arial" w:cs="Arial"/>
        </w:rPr>
        <w:t>14.</w:t>
      </w:r>
      <w:r>
        <w:rPr>
          <w:rFonts w:ascii="Arial" w:hAnsi="Arial" w:cs="Arial"/>
        </w:rPr>
        <w:tab/>
      </w:r>
      <w:r w:rsidR="004E7A81" w:rsidRPr="002750AF">
        <w:rPr>
          <w:rFonts w:ascii="Arial" w:hAnsi="Arial" w:cs="Arial"/>
        </w:rPr>
        <w:t xml:space="preserve">However, at the hearing of the matter, the City was represented by Counsel who informed the Court that the disputed amount has been paid by the </w:t>
      </w:r>
      <w:r w:rsidR="004E7A81" w:rsidRPr="002750AF">
        <w:rPr>
          <w:rFonts w:ascii="Arial" w:hAnsi="Arial" w:cs="Arial"/>
        </w:rPr>
        <w:lastRenderedPageBreak/>
        <w:t xml:space="preserve">applicants and that the </w:t>
      </w:r>
      <w:r w:rsidR="009B3158" w:rsidRPr="002750AF">
        <w:rPr>
          <w:rFonts w:ascii="Arial" w:hAnsi="Arial" w:cs="Arial"/>
        </w:rPr>
        <w:t>electricity has been restored to the premises. The applicants’ Counsel</w:t>
      </w:r>
      <w:r w:rsidR="00D50417" w:rsidRPr="002750AF">
        <w:rPr>
          <w:rFonts w:ascii="Arial" w:hAnsi="Arial" w:cs="Arial"/>
        </w:rPr>
        <w:t>,</w:t>
      </w:r>
      <w:r w:rsidR="009B3158" w:rsidRPr="002750AF">
        <w:rPr>
          <w:rFonts w:ascii="Arial" w:hAnsi="Arial" w:cs="Arial"/>
        </w:rPr>
        <w:t xml:space="preserve"> </w:t>
      </w:r>
      <w:r w:rsidR="00DD4CCF" w:rsidRPr="002750AF">
        <w:rPr>
          <w:rFonts w:ascii="Arial" w:hAnsi="Arial" w:cs="Arial"/>
        </w:rPr>
        <w:t>however</w:t>
      </w:r>
      <w:r w:rsidR="00D50417" w:rsidRPr="002750AF">
        <w:rPr>
          <w:rFonts w:ascii="Arial" w:hAnsi="Arial" w:cs="Arial"/>
        </w:rPr>
        <w:t>,</w:t>
      </w:r>
      <w:r w:rsidR="00DD4CCF" w:rsidRPr="002750AF">
        <w:rPr>
          <w:rFonts w:ascii="Arial" w:hAnsi="Arial" w:cs="Arial"/>
        </w:rPr>
        <w:t xml:space="preserve"> </w:t>
      </w:r>
      <w:r w:rsidR="009B3158" w:rsidRPr="002750AF">
        <w:rPr>
          <w:rFonts w:ascii="Arial" w:hAnsi="Arial" w:cs="Arial"/>
        </w:rPr>
        <w:t xml:space="preserve">persisted with the application for an interdict as she stated that the money was paid under protest because the applicants </w:t>
      </w:r>
      <w:r w:rsidR="00163BD6" w:rsidRPr="002750AF">
        <w:rPr>
          <w:rFonts w:ascii="Arial" w:hAnsi="Arial" w:cs="Arial"/>
        </w:rPr>
        <w:t xml:space="preserve">have never received any accounts from the Municipality. Counsel for the City countered that by </w:t>
      </w:r>
      <w:r w:rsidR="004E1DEA" w:rsidRPr="002750AF">
        <w:rPr>
          <w:rFonts w:ascii="Arial" w:hAnsi="Arial" w:cs="Arial"/>
        </w:rPr>
        <w:t>submitting</w:t>
      </w:r>
      <w:r w:rsidR="007912B6" w:rsidRPr="002750AF">
        <w:rPr>
          <w:rFonts w:ascii="Arial" w:hAnsi="Arial" w:cs="Arial"/>
        </w:rPr>
        <w:t xml:space="preserve"> that according to his instruction</w:t>
      </w:r>
      <w:r w:rsidR="004E1DEA" w:rsidRPr="002750AF">
        <w:rPr>
          <w:rFonts w:ascii="Arial" w:hAnsi="Arial" w:cs="Arial"/>
        </w:rPr>
        <w:t>s</w:t>
      </w:r>
      <w:r w:rsidR="007912B6" w:rsidRPr="002750AF">
        <w:rPr>
          <w:rFonts w:ascii="Arial" w:hAnsi="Arial" w:cs="Arial"/>
        </w:rPr>
        <w:t xml:space="preserve"> and what he has</w:t>
      </w:r>
      <w:r w:rsidR="004E1DEA" w:rsidRPr="002750AF">
        <w:rPr>
          <w:rFonts w:ascii="Arial" w:hAnsi="Arial" w:cs="Arial"/>
        </w:rPr>
        <w:t xml:space="preserve"> observed</w:t>
      </w:r>
      <w:r w:rsidR="007912B6" w:rsidRPr="002750AF">
        <w:rPr>
          <w:rFonts w:ascii="Arial" w:hAnsi="Arial" w:cs="Arial"/>
        </w:rPr>
        <w:t xml:space="preserve"> is that applicants have an account with the City in their own name and the said account b</w:t>
      </w:r>
      <w:r w:rsidR="000D67BF" w:rsidRPr="002750AF">
        <w:rPr>
          <w:rFonts w:ascii="Arial" w:hAnsi="Arial" w:cs="Arial"/>
        </w:rPr>
        <w:t>ears</w:t>
      </w:r>
      <w:r w:rsidR="00182A5F" w:rsidRPr="002750AF">
        <w:rPr>
          <w:rFonts w:ascii="Arial" w:hAnsi="Arial" w:cs="Arial"/>
        </w:rPr>
        <w:t xml:space="preserve"> the same account number as the account number that appeared on the above </w:t>
      </w:r>
      <w:r w:rsidR="00DD4CCF" w:rsidRPr="002750AF">
        <w:rPr>
          <w:rFonts w:ascii="Arial" w:hAnsi="Arial" w:cs="Arial"/>
        </w:rPr>
        <w:t xml:space="preserve">mentioned </w:t>
      </w:r>
      <w:r w:rsidR="00182A5F" w:rsidRPr="002750AF">
        <w:rPr>
          <w:rFonts w:ascii="Arial" w:hAnsi="Arial" w:cs="Arial"/>
        </w:rPr>
        <w:t xml:space="preserve">termination notices which were addressed to Mr. Terblanche. There is according to the City’s Counsel one account number using the particulars of the applicants and also of the previous owner Mr. Terblanche. That explains the applicants predicament and complaint that they have </w:t>
      </w:r>
      <w:r w:rsidR="000D67BF" w:rsidRPr="002750AF">
        <w:rPr>
          <w:rFonts w:ascii="Arial" w:hAnsi="Arial" w:cs="Arial"/>
        </w:rPr>
        <w:t xml:space="preserve">never </w:t>
      </w:r>
      <w:r w:rsidR="00182A5F" w:rsidRPr="002750AF">
        <w:rPr>
          <w:rFonts w:ascii="Arial" w:hAnsi="Arial" w:cs="Arial"/>
        </w:rPr>
        <w:t xml:space="preserve">received any account from the Municipality. </w:t>
      </w:r>
    </w:p>
    <w:p w14:paraId="49702DF5" w14:textId="77777777" w:rsidR="00182A5F" w:rsidRPr="00182A5F" w:rsidRDefault="00182A5F" w:rsidP="001D2B74">
      <w:pPr>
        <w:pStyle w:val="ListParagraph"/>
        <w:spacing w:line="480" w:lineRule="auto"/>
        <w:rPr>
          <w:rFonts w:ascii="Arial" w:hAnsi="Arial" w:cs="Arial"/>
        </w:rPr>
      </w:pPr>
    </w:p>
    <w:p w14:paraId="08128475" w14:textId="2B52CC40" w:rsidR="00182A5F" w:rsidRPr="002750AF" w:rsidRDefault="002750AF" w:rsidP="002750AF">
      <w:pPr>
        <w:spacing w:line="480" w:lineRule="auto"/>
        <w:ind w:left="720" w:hanging="720"/>
        <w:jc w:val="both"/>
        <w:rPr>
          <w:rFonts w:ascii="Arial" w:hAnsi="Arial" w:cs="Arial"/>
        </w:rPr>
      </w:pPr>
      <w:r>
        <w:rPr>
          <w:rFonts w:ascii="Arial" w:hAnsi="Arial" w:cs="Arial"/>
        </w:rPr>
        <w:t>15.</w:t>
      </w:r>
      <w:r>
        <w:rPr>
          <w:rFonts w:ascii="Arial" w:hAnsi="Arial" w:cs="Arial"/>
        </w:rPr>
        <w:tab/>
      </w:r>
      <w:r w:rsidR="00182A5F" w:rsidRPr="002750AF">
        <w:rPr>
          <w:rFonts w:ascii="Arial" w:hAnsi="Arial" w:cs="Arial"/>
        </w:rPr>
        <w:t xml:space="preserve">It was submitted on behalf of the applicants that the said payment was made under protest in order to have the electricity connection to the </w:t>
      </w:r>
      <w:r w:rsidR="00135B05" w:rsidRPr="002750AF">
        <w:rPr>
          <w:rFonts w:ascii="Arial" w:hAnsi="Arial" w:cs="Arial"/>
        </w:rPr>
        <w:t>premises restored. The amount p</w:t>
      </w:r>
      <w:r w:rsidR="000D67BF" w:rsidRPr="002750AF">
        <w:rPr>
          <w:rFonts w:ascii="Arial" w:hAnsi="Arial" w:cs="Arial"/>
        </w:rPr>
        <w:t>aid</w:t>
      </w:r>
      <w:r w:rsidR="00135B05" w:rsidRPr="002750AF">
        <w:rPr>
          <w:rFonts w:ascii="Arial" w:hAnsi="Arial" w:cs="Arial"/>
        </w:rPr>
        <w:t xml:space="preserve"> can not be justified by reference to any specific account that the City has sent to the applicants as there is up to the date of the argument of this matter</w:t>
      </w:r>
      <w:r w:rsidR="00030CAE" w:rsidRPr="002750AF">
        <w:rPr>
          <w:rFonts w:ascii="Arial" w:hAnsi="Arial" w:cs="Arial"/>
        </w:rPr>
        <w:t>,</w:t>
      </w:r>
      <w:r w:rsidR="00135B05" w:rsidRPr="002750AF">
        <w:rPr>
          <w:rFonts w:ascii="Arial" w:hAnsi="Arial" w:cs="Arial"/>
        </w:rPr>
        <w:t xml:space="preserve"> according to the </w:t>
      </w:r>
      <w:r w:rsidR="00030CAE" w:rsidRPr="002750AF">
        <w:rPr>
          <w:rFonts w:ascii="Arial" w:hAnsi="Arial" w:cs="Arial"/>
        </w:rPr>
        <w:t xml:space="preserve">applicants’ </w:t>
      </w:r>
      <w:r w:rsidR="00135B05" w:rsidRPr="002750AF">
        <w:rPr>
          <w:rFonts w:ascii="Arial" w:hAnsi="Arial" w:cs="Arial"/>
        </w:rPr>
        <w:t>Counsel</w:t>
      </w:r>
      <w:r w:rsidR="00B717E0" w:rsidRPr="002750AF">
        <w:rPr>
          <w:rFonts w:ascii="Arial" w:hAnsi="Arial" w:cs="Arial"/>
        </w:rPr>
        <w:t>,</w:t>
      </w:r>
      <w:r w:rsidR="00135B05" w:rsidRPr="002750AF">
        <w:rPr>
          <w:rFonts w:ascii="Arial" w:hAnsi="Arial" w:cs="Arial"/>
        </w:rPr>
        <w:t xml:space="preserve"> no account ever received by the applicants. On the other </w:t>
      </w:r>
      <w:r w:rsidR="001D2B74" w:rsidRPr="002750AF">
        <w:rPr>
          <w:rFonts w:ascii="Arial" w:hAnsi="Arial" w:cs="Arial"/>
        </w:rPr>
        <w:t>hand,</w:t>
      </w:r>
      <w:r w:rsidR="00135B05" w:rsidRPr="002750AF">
        <w:rPr>
          <w:rFonts w:ascii="Arial" w:hAnsi="Arial" w:cs="Arial"/>
        </w:rPr>
        <w:t xml:space="preserve"> it cannot be denied by the applicants’ Counsel that the applicants continued to receive services </w:t>
      </w:r>
      <w:r w:rsidR="00030CAE" w:rsidRPr="002750AF">
        <w:rPr>
          <w:rFonts w:ascii="Arial" w:hAnsi="Arial" w:cs="Arial"/>
        </w:rPr>
        <w:t xml:space="preserve">from the City for </w:t>
      </w:r>
      <w:r w:rsidR="00135B05" w:rsidRPr="002750AF">
        <w:rPr>
          <w:rFonts w:ascii="Arial" w:hAnsi="Arial" w:cs="Arial"/>
        </w:rPr>
        <w:t xml:space="preserve">all the months that they have been the owners of this disputed premises. </w:t>
      </w:r>
      <w:r w:rsidR="00030CAE" w:rsidRPr="002750AF">
        <w:rPr>
          <w:rFonts w:ascii="Arial" w:hAnsi="Arial" w:cs="Arial"/>
        </w:rPr>
        <w:t>Those services surely must be paid for</w:t>
      </w:r>
      <w:r w:rsidR="006D6455" w:rsidRPr="002750AF">
        <w:rPr>
          <w:rFonts w:ascii="Arial" w:hAnsi="Arial" w:cs="Arial"/>
        </w:rPr>
        <w:t>. The applicants’ predicament is that they have not</w:t>
      </w:r>
      <w:r w:rsidR="00030CAE" w:rsidRPr="002750AF">
        <w:rPr>
          <w:rFonts w:ascii="Arial" w:hAnsi="Arial" w:cs="Arial"/>
        </w:rPr>
        <w:t xml:space="preserve"> received any </w:t>
      </w:r>
      <w:r w:rsidR="006D6455" w:rsidRPr="002750AF">
        <w:rPr>
          <w:rFonts w:ascii="Arial" w:hAnsi="Arial" w:cs="Arial"/>
        </w:rPr>
        <w:t>accounts fo</w:t>
      </w:r>
      <w:r w:rsidR="00B717E0" w:rsidRPr="002750AF">
        <w:rPr>
          <w:rFonts w:ascii="Arial" w:hAnsi="Arial" w:cs="Arial"/>
        </w:rPr>
        <w:t>r</w:t>
      </w:r>
      <w:r w:rsidR="006D6455" w:rsidRPr="002750AF">
        <w:rPr>
          <w:rFonts w:ascii="Arial" w:hAnsi="Arial" w:cs="Arial"/>
        </w:rPr>
        <w:t xml:space="preserve"> the</w:t>
      </w:r>
      <w:r w:rsidR="00B717E0" w:rsidRPr="002750AF">
        <w:rPr>
          <w:rFonts w:ascii="Arial" w:hAnsi="Arial" w:cs="Arial"/>
        </w:rPr>
        <w:t>se</w:t>
      </w:r>
      <w:r w:rsidR="006D6455" w:rsidRPr="002750AF">
        <w:rPr>
          <w:rFonts w:ascii="Arial" w:hAnsi="Arial" w:cs="Arial"/>
        </w:rPr>
        <w:t xml:space="preserve"> services from the City.</w:t>
      </w:r>
    </w:p>
    <w:p w14:paraId="1024A2FC" w14:textId="77777777" w:rsidR="00135B05" w:rsidRPr="00135B05" w:rsidRDefault="00135B05" w:rsidP="001D2B74">
      <w:pPr>
        <w:pStyle w:val="ListParagraph"/>
        <w:spacing w:line="480" w:lineRule="auto"/>
        <w:rPr>
          <w:rFonts w:ascii="Arial" w:hAnsi="Arial" w:cs="Arial"/>
        </w:rPr>
      </w:pPr>
    </w:p>
    <w:p w14:paraId="228E3DCA" w14:textId="61FDC32F" w:rsidR="001D2B74" w:rsidRPr="002750AF" w:rsidRDefault="002750AF" w:rsidP="002750AF">
      <w:pPr>
        <w:spacing w:line="480" w:lineRule="auto"/>
        <w:ind w:left="720" w:hanging="720"/>
        <w:jc w:val="both"/>
        <w:rPr>
          <w:rFonts w:ascii="Arial" w:hAnsi="Arial" w:cs="Arial"/>
        </w:rPr>
      </w:pPr>
      <w:r>
        <w:rPr>
          <w:rFonts w:ascii="Arial" w:hAnsi="Arial" w:cs="Arial"/>
        </w:rPr>
        <w:lastRenderedPageBreak/>
        <w:t>16.</w:t>
      </w:r>
      <w:r>
        <w:rPr>
          <w:rFonts w:ascii="Arial" w:hAnsi="Arial" w:cs="Arial"/>
        </w:rPr>
        <w:tab/>
      </w:r>
      <w:r w:rsidR="00135B05" w:rsidRPr="002750AF">
        <w:rPr>
          <w:rFonts w:ascii="Arial" w:hAnsi="Arial" w:cs="Arial"/>
        </w:rPr>
        <w:t xml:space="preserve">Section 95 of the </w:t>
      </w:r>
      <w:r w:rsidR="00D45084" w:rsidRPr="002750AF">
        <w:rPr>
          <w:rFonts w:ascii="Arial" w:hAnsi="Arial" w:cs="Arial"/>
        </w:rPr>
        <w:t>Municipal Systems Act 32 of 2000 provide for customer care and management by the Municipality. It provides that</w:t>
      </w:r>
      <w:r w:rsidR="00B717E0" w:rsidRPr="002750AF">
        <w:rPr>
          <w:rFonts w:ascii="Arial" w:hAnsi="Arial" w:cs="Arial"/>
        </w:rPr>
        <w:t>:</w:t>
      </w:r>
      <w:r w:rsidR="00D45084" w:rsidRPr="002750AF">
        <w:rPr>
          <w:rFonts w:ascii="Arial" w:hAnsi="Arial" w:cs="Arial"/>
        </w:rPr>
        <w:t xml:space="preserve"> </w:t>
      </w:r>
    </w:p>
    <w:p w14:paraId="45E5363D" w14:textId="77777777" w:rsidR="001D2B74" w:rsidRPr="001D2B74" w:rsidRDefault="001D2B74" w:rsidP="001D2B74">
      <w:pPr>
        <w:pStyle w:val="ListParagraph"/>
        <w:spacing w:line="480" w:lineRule="auto"/>
        <w:rPr>
          <w:rFonts w:ascii="Arial" w:hAnsi="Arial" w:cs="Arial"/>
        </w:rPr>
      </w:pPr>
    </w:p>
    <w:p w14:paraId="113B4B92" w14:textId="0309D858" w:rsidR="00420FAE" w:rsidRPr="002E41DF" w:rsidRDefault="00D45084" w:rsidP="002E41DF">
      <w:pPr>
        <w:pStyle w:val="ListParagraph"/>
        <w:spacing w:line="480" w:lineRule="auto"/>
        <w:ind w:left="1560" w:hanging="120"/>
        <w:jc w:val="both"/>
        <w:rPr>
          <w:rFonts w:ascii="Arial" w:hAnsi="Arial" w:cs="Arial"/>
          <w:i/>
          <w:iCs/>
        </w:rPr>
      </w:pPr>
      <w:r w:rsidRPr="007022C4">
        <w:rPr>
          <w:rFonts w:ascii="Arial" w:hAnsi="Arial" w:cs="Arial"/>
          <w:i/>
          <w:iCs/>
        </w:rPr>
        <w:t>“In relation to the levying of rates and other taxes by a municipality and the charging of fees for municipal services, a municipality must, within its financial and administrative capacity</w:t>
      </w:r>
      <w:r w:rsidR="00420FAE" w:rsidRPr="007022C4">
        <w:rPr>
          <w:rFonts w:ascii="Arial" w:hAnsi="Arial" w:cs="Arial"/>
          <w:i/>
          <w:iCs/>
        </w:rPr>
        <w:t>-</w:t>
      </w:r>
    </w:p>
    <w:p w14:paraId="34662943" w14:textId="3208CADB" w:rsidR="00A92739" w:rsidRPr="00D94B4A" w:rsidRDefault="00A92739" w:rsidP="00D94B4A">
      <w:pPr>
        <w:pStyle w:val="ListParagraph"/>
        <w:spacing w:line="480" w:lineRule="auto"/>
        <w:ind w:left="2694" w:hanging="534"/>
        <w:jc w:val="both"/>
        <w:rPr>
          <w:rFonts w:ascii="Arial" w:hAnsi="Arial" w:cs="Arial"/>
          <w:i/>
          <w:iCs/>
          <w:lang w:val="en-ZA"/>
        </w:rPr>
      </w:pPr>
      <w:r w:rsidRPr="00D94B4A">
        <w:rPr>
          <w:rFonts w:ascii="Arial" w:hAnsi="Arial" w:cs="Arial"/>
          <w:i/>
          <w:iCs/>
          <w:lang w:val="en-ZA"/>
        </w:rPr>
        <w:t>(a)   establish a sound customer management system that aims to create a positive and reciprocal relationship between persons liable for these payments and the municipality, and where applicable, a service provider,</w:t>
      </w:r>
    </w:p>
    <w:p w14:paraId="4E49C6C8" w14:textId="21419FDA" w:rsidR="00A92739" w:rsidRPr="00A92739" w:rsidRDefault="00A92739" w:rsidP="00D94B4A">
      <w:pPr>
        <w:pStyle w:val="ListParagraph"/>
        <w:spacing w:line="480" w:lineRule="auto"/>
        <w:ind w:left="2694" w:hanging="514"/>
        <w:jc w:val="both"/>
        <w:rPr>
          <w:rFonts w:ascii="Arial" w:hAnsi="Arial" w:cs="Arial"/>
          <w:i/>
          <w:iCs/>
          <w:lang w:val="en-ZA"/>
        </w:rPr>
      </w:pPr>
      <w:r w:rsidRPr="00A92739">
        <w:rPr>
          <w:rFonts w:ascii="Arial" w:hAnsi="Arial" w:cs="Arial"/>
          <w:i/>
          <w:iCs/>
          <w:lang w:val="en-ZA"/>
        </w:rPr>
        <w:t>(b)   </w:t>
      </w:r>
      <w:r w:rsidR="00DE25A7" w:rsidRPr="00D94B4A">
        <w:rPr>
          <w:rFonts w:ascii="Arial" w:hAnsi="Arial" w:cs="Arial"/>
          <w:i/>
          <w:iCs/>
          <w:lang w:val="en-ZA"/>
        </w:rPr>
        <w:tab/>
      </w:r>
      <w:r w:rsidRPr="00A92739">
        <w:rPr>
          <w:rFonts w:ascii="Arial" w:hAnsi="Arial" w:cs="Arial"/>
          <w:i/>
          <w:iCs/>
          <w:lang w:val="en-ZA"/>
        </w:rPr>
        <w:t>establish mechanisms for users of services and ratepayers to give feedback to the municipality or other service provider regarding the quality of the services and the performance of the service provider;</w:t>
      </w:r>
    </w:p>
    <w:p w14:paraId="7F5BBF85" w14:textId="6DA5C576" w:rsidR="00A92739" w:rsidRPr="00A92739" w:rsidRDefault="00A92739" w:rsidP="00D94B4A">
      <w:pPr>
        <w:pStyle w:val="ListParagraph"/>
        <w:spacing w:line="480" w:lineRule="auto"/>
        <w:ind w:left="2694" w:hanging="567"/>
        <w:jc w:val="both"/>
        <w:rPr>
          <w:rFonts w:ascii="Arial" w:hAnsi="Arial" w:cs="Arial"/>
          <w:i/>
          <w:iCs/>
          <w:lang w:val="en-ZA"/>
        </w:rPr>
      </w:pPr>
      <w:r w:rsidRPr="00A92739">
        <w:rPr>
          <w:rFonts w:ascii="Arial" w:hAnsi="Arial" w:cs="Arial"/>
          <w:i/>
          <w:iCs/>
          <w:lang w:val="en-ZA"/>
        </w:rPr>
        <w:t>(c)  </w:t>
      </w:r>
      <w:r w:rsidRPr="00A92739">
        <w:rPr>
          <w:rFonts w:ascii="Arial" w:hAnsi="Arial" w:cs="Arial"/>
          <w:i/>
          <w:iCs/>
          <w:u w:val="single"/>
          <w:lang w:val="en-ZA"/>
        </w:rPr>
        <w:t>take reasonable steps to ensure that users of services are informed of the costs involved in service provision, the reasons for the payment of service fees, and the manner in which monies raised from the service are utilised;</w:t>
      </w:r>
    </w:p>
    <w:p w14:paraId="7DCF3B7D" w14:textId="104454E4" w:rsidR="00A92739" w:rsidRPr="00A92739" w:rsidRDefault="00A92739" w:rsidP="00D94B4A">
      <w:pPr>
        <w:pStyle w:val="ListParagraph"/>
        <w:spacing w:line="480" w:lineRule="auto"/>
        <w:ind w:left="2694" w:hanging="514"/>
        <w:jc w:val="both"/>
        <w:rPr>
          <w:rFonts w:ascii="Arial" w:hAnsi="Arial" w:cs="Arial"/>
          <w:i/>
          <w:iCs/>
          <w:u w:val="single"/>
          <w:lang w:val="en-ZA"/>
        </w:rPr>
      </w:pPr>
      <w:r w:rsidRPr="00A92739">
        <w:rPr>
          <w:rFonts w:ascii="Arial" w:hAnsi="Arial" w:cs="Arial"/>
          <w:i/>
          <w:iCs/>
          <w:lang w:val="en-ZA"/>
        </w:rPr>
        <w:t>(d)   </w:t>
      </w:r>
      <w:r w:rsidRPr="00A92739">
        <w:rPr>
          <w:rFonts w:ascii="Arial" w:hAnsi="Arial" w:cs="Arial"/>
          <w:i/>
          <w:iCs/>
          <w:u w:val="single"/>
          <w:lang w:val="en-ZA"/>
        </w:rPr>
        <w:t>where the consumption of services has to be measured, take reasonable steps to ensure that the consumption by individual users of services is measured through accurate and verifiable metering systems;</w:t>
      </w:r>
    </w:p>
    <w:p w14:paraId="122A1317" w14:textId="4550DF42" w:rsidR="00A92739" w:rsidRPr="00A92739" w:rsidRDefault="00A92739" w:rsidP="00D94B4A">
      <w:pPr>
        <w:pStyle w:val="ListParagraph"/>
        <w:spacing w:line="480" w:lineRule="auto"/>
        <w:ind w:left="2694" w:hanging="474"/>
        <w:jc w:val="both"/>
        <w:rPr>
          <w:rFonts w:ascii="Arial" w:hAnsi="Arial" w:cs="Arial"/>
          <w:i/>
          <w:iCs/>
          <w:u w:val="single"/>
          <w:lang w:val="en-ZA"/>
        </w:rPr>
      </w:pPr>
      <w:r w:rsidRPr="00A92739">
        <w:rPr>
          <w:rFonts w:ascii="Arial" w:hAnsi="Arial" w:cs="Arial"/>
          <w:i/>
          <w:iCs/>
          <w:lang w:val="en-ZA"/>
        </w:rPr>
        <w:t>(e)   </w:t>
      </w:r>
      <w:r w:rsidRPr="00A92739">
        <w:rPr>
          <w:rFonts w:ascii="Arial" w:hAnsi="Arial" w:cs="Arial"/>
          <w:i/>
          <w:iCs/>
          <w:u w:val="single"/>
          <w:lang w:val="en-ZA"/>
        </w:rPr>
        <w:t>ensure that persons liable for payments, receive regular and accurate accounts that indicate the basis for calculating the amounts due;</w:t>
      </w:r>
    </w:p>
    <w:p w14:paraId="732B0363" w14:textId="7590B3FC" w:rsidR="00A92739" w:rsidRPr="00A92739" w:rsidRDefault="00A92739" w:rsidP="00D94B4A">
      <w:pPr>
        <w:pStyle w:val="ListParagraph"/>
        <w:spacing w:line="480" w:lineRule="auto"/>
        <w:ind w:left="2694" w:hanging="426"/>
        <w:jc w:val="both"/>
        <w:rPr>
          <w:rFonts w:ascii="Arial" w:hAnsi="Arial" w:cs="Arial"/>
          <w:i/>
          <w:iCs/>
          <w:lang w:val="en-ZA"/>
        </w:rPr>
      </w:pPr>
      <w:r w:rsidRPr="00A92739">
        <w:rPr>
          <w:rFonts w:ascii="Arial" w:hAnsi="Arial" w:cs="Arial"/>
          <w:i/>
          <w:iCs/>
          <w:lang w:val="en-ZA"/>
        </w:rPr>
        <w:lastRenderedPageBreak/>
        <w:t>(f)   provide accessible mechanisms for those persons to query or verify accounts and metered consumption, and appeal procedures which allow such persons to receive prompt redress for inaccurate accounts;</w:t>
      </w:r>
    </w:p>
    <w:p w14:paraId="542DE958" w14:textId="18191EA4" w:rsidR="00A92739" w:rsidRPr="00A92739" w:rsidRDefault="00A92739" w:rsidP="00D94B4A">
      <w:pPr>
        <w:pStyle w:val="ListParagraph"/>
        <w:spacing w:line="480" w:lineRule="auto"/>
        <w:ind w:left="2694" w:hanging="474"/>
        <w:jc w:val="both"/>
        <w:rPr>
          <w:rFonts w:ascii="Arial" w:hAnsi="Arial" w:cs="Arial"/>
          <w:i/>
          <w:iCs/>
          <w:lang w:val="en-ZA"/>
        </w:rPr>
      </w:pPr>
      <w:r w:rsidRPr="00A92739">
        <w:rPr>
          <w:rFonts w:ascii="Arial" w:hAnsi="Arial" w:cs="Arial"/>
          <w:i/>
          <w:iCs/>
          <w:lang w:val="en-ZA"/>
        </w:rPr>
        <w:t>(g)  </w:t>
      </w:r>
      <w:r w:rsidR="00D94B4A" w:rsidRPr="00D94B4A">
        <w:rPr>
          <w:rFonts w:ascii="Arial" w:hAnsi="Arial" w:cs="Arial"/>
          <w:i/>
          <w:iCs/>
          <w:lang w:val="en-ZA"/>
        </w:rPr>
        <w:tab/>
      </w:r>
      <w:r w:rsidRPr="00A92739">
        <w:rPr>
          <w:rFonts w:ascii="Arial" w:hAnsi="Arial" w:cs="Arial"/>
          <w:i/>
          <w:iCs/>
          <w:lang w:val="en-ZA"/>
        </w:rPr>
        <w:t>provide accessible mechanisms for dealing with complaints from such persons, together with prompt replies and corrective action by the municipality;</w:t>
      </w:r>
    </w:p>
    <w:p w14:paraId="005DC2E5" w14:textId="5977D95C" w:rsidR="00A92739" w:rsidRPr="00A92739" w:rsidRDefault="00A92739" w:rsidP="00D94B4A">
      <w:pPr>
        <w:pStyle w:val="ListParagraph"/>
        <w:spacing w:line="480" w:lineRule="auto"/>
        <w:ind w:left="2694" w:hanging="474"/>
        <w:jc w:val="both"/>
        <w:rPr>
          <w:rFonts w:ascii="Arial" w:hAnsi="Arial" w:cs="Arial"/>
          <w:i/>
          <w:iCs/>
          <w:lang w:val="en-ZA"/>
        </w:rPr>
      </w:pPr>
      <w:r w:rsidRPr="00A92739">
        <w:rPr>
          <w:rFonts w:ascii="Arial" w:hAnsi="Arial" w:cs="Arial"/>
          <w:i/>
          <w:iCs/>
          <w:lang w:val="en-ZA"/>
        </w:rPr>
        <w:t>(h)   provide mechanisms to monitor the response time and efficiency in complying with paragraph (g); and</w:t>
      </w:r>
    </w:p>
    <w:p w14:paraId="280A6A37" w14:textId="625FD11B" w:rsidR="00A92739" w:rsidRPr="00A92739" w:rsidRDefault="00A92739" w:rsidP="00D94B4A">
      <w:pPr>
        <w:pStyle w:val="ListParagraph"/>
        <w:spacing w:line="480" w:lineRule="auto"/>
        <w:ind w:left="2694" w:hanging="426"/>
        <w:jc w:val="both"/>
        <w:rPr>
          <w:rFonts w:ascii="Arial" w:hAnsi="Arial" w:cs="Arial"/>
          <w:i/>
          <w:iCs/>
          <w:lang w:val="en-ZA"/>
        </w:rPr>
      </w:pPr>
      <w:r w:rsidRPr="00A92739">
        <w:rPr>
          <w:rFonts w:ascii="Arial" w:hAnsi="Arial" w:cs="Arial"/>
          <w:i/>
          <w:iCs/>
          <w:lang w:val="en-ZA"/>
        </w:rPr>
        <w:t>(i)   provide accessible pay points and other mechanisms for settling accounts or for making pre-payments for services.</w:t>
      </w:r>
    </w:p>
    <w:p w14:paraId="2F15645D" w14:textId="32997B1A" w:rsidR="00420FAE" w:rsidRPr="00420FAE" w:rsidRDefault="00420FAE" w:rsidP="00756ADC">
      <w:pPr>
        <w:pStyle w:val="ListParagraph"/>
        <w:spacing w:line="480" w:lineRule="auto"/>
        <w:rPr>
          <w:rFonts w:ascii="Arial" w:hAnsi="Arial" w:cs="Arial"/>
        </w:rPr>
      </w:pPr>
    </w:p>
    <w:p w14:paraId="71C85FF0" w14:textId="7653DE2F" w:rsidR="00420FAE" w:rsidRPr="002750AF" w:rsidRDefault="002750AF" w:rsidP="002750AF">
      <w:pPr>
        <w:spacing w:line="480" w:lineRule="auto"/>
        <w:ind w:left="720" w:hanging="720"/>
        <w:jc w:val="both"/>
        <w:rPr>
          <w:rFonts w:ascii="Arial" w:hAnsi="Arial" w:cs="Arial"/>
        </w:rPr>
      </w:pPr>
      <w:r>
        <w:rPr>
          <w:rFonts w:ascii="Arial" w:hAnsi="Arial" w:cs="Arial"/>
        </w:rPr>
        <w:t>17.</w:t>
      </w:r>
      <w:r>
        <w:rPr>
          <w:rFonts w:ascii="Arial" w:hAnsi="Arial" w:cs="Arial"/>
        </w:rPr>
        <w:tab/>
      </w:r>
      <w:r w:rsidR="00212891" w:rsidRPr="002750AF">
        <w:rPr>
          <w:rFonts w:ascii="Arial" w:hAnsi="Arial" w:cs="Arial"/>
        </w:rPr>
        <w:t xml:space="preserve">It is quite clear that the provisions of section 95 </w:t>
      </w:r>
      <w:r w:rsidR="00B717E0" w:rsidRPr="002750AF">
        <w:rPr>
          <w:rFonts w:ascii="Arial" w:hAnsi="Arial" w:cs="Arial"/>
        </w:rPr>
        <w:t xml:space="preserve">of the Municipal Systems Act </w:t>
      </w:r>
      <w:r w:rsidR="003A4168" w:rsidRPr="002750AF">
        <w:rPr>
          <w:rFonts w:ascii="Arial" w:hAnsi="Arial" w:cs="Arial"/>
        </w:rPr>
        <w:t>obligates</w:t>
      </w:r>
      <w:r w:rsidR="00212891" w:rsidRPr="002750AF">
        <w:rPr>
          <w:rFonts w:ascii="Arial" w:hAnsi="Arial" w:cs="Arial"/>
        </w:rPr>
        <w:t xml:space="preserve"> the Municipality to </w:t>
      </w:r>
      <w:r w:rsidR="00B717E0" w:rsidRPr="002750AF">
        <w:rPr>
          <w:rFonts w:ascii="Arial" w:hAnsi="Arial" w:cs="Arial"/>
        </w:rPr>
        <w:t>provide</w:t>
      </w:r>
      <w:r w:rsidR="00212891" w:rsidRPr="002750AF">
        <w:rPr>
          <w:rFonts w:ascii="Arial" w:hAnsi="Arial" w:cs="Arial"/>
        </w:rPr>
        <w:t xml:space="preserve"> the applicants </w:t>
      </w:r>
      <w:r w:rsidR="00B717E0" w:rsidRPr="002750AF">
        <w:rPr>
          <w:rFonts w:ascii="Arial" w:hAnsi="Arial" w:cs="Arial"/>
        </w:rPr>
        <w:t xml:space="preserve">with </w:t>
      </w:r>
      <w:r w:rsidR="00212891" w:rsidRPr="002750AF">
        <w:rPr>
          <w:rFonts w:ascii="Arial" w:hAnsi="Arial" w:cs="Arial"/>
        </w:rPr>
        <w:t xml:space="preserve">regular and accurate accounts that indicate the basis </w:t>
      </w:r>
      <w:r w:rsidR="007139C9" w:rsidRPr="002750AF">
        <w:rPr>
          <w:rFonts w:ascii="Arial" w:hAnsi="Arial" w:cs="Arial"/>
        </w:rPr>
        <w:t>for calculating the amounts due. That has not been complied with in this particular matter as the applicants have to date not yet received an account in their name from the Municipality. There is no</w:t>
      </w:r>
      <w:r w:rsidR="00B717E0" w:rsidRPr="002750AF">
        <w:rPr>
          <w:rFonts w:ascii="Arial" w:hAnsi="Arial" w:cs="Arial"/>
        </w:rPr>
        <w:t xml:space="preserve"> </w:t>
      </w:r>
      <w:r w:rsidR="007139C9" w:rsidRPr="002750AF">
        <w:rPr>
          <w:rFonts w:ascii="Arial" w:hAnsi="Arial" w:cs="Arial"/>
        </w:rPr>
        <w:t xml:space="preserve">account </w:t>
      </w:r>
      <w:r w:rsidR="00B717E0" w:rsidRPr="002750AF">
        <w:rPr>
          <w:rFonts w:ascii="Arial" w:hAnsi="Arial" w:cs="Arial"/>
        </w:rPr>
        <w:t xml:space="preserve">received by the applicants </w:t>
      </w:r>
      <w:r w:rsidR="007139C9" w:rsidRPr="002750AF">
        <w:rPr>
          <w:rFonts w:ascii="Arial" w:hAnsi="Arial" w:cs="Arial"/>
        </w:rPr>
        <w:t>in relation to the monies that the applicant</w:t>
      </w:r>
      <w:r w:rsidR="00756ADC" w:rsidRPr="002750AF">
        <w:rPr>
          <w:rFonts w:ascii="Arial" w:hAnsi="Arial" w:cs="Arial"/>
        </w:rPr>
        <w:t>s</w:t>
      </w:r>
      <w:r w:rsidR="007139C9" w:rsidRPr="002750AF">
        <w:rPr>
          <w:rFonts w:ascii="Arial" w:hAnsi="Arial" w:cs="Arial"/>
        </w:rPr>
        <w:t xml:space="preserve"> have paid in protest to have their electricity supply restored. </w:t>
      </w:r>
    </w:p>
    <w:p w14:paraId="01FF4E2A" w14:textId="77777777" w:rsidR="00756ADC" w:rsidRDefault="00756ADC" w:rsidP="00756ADC">
      <w:pPr>
        <w:pStyle w:val="ListParagraph"/>
        <w:spacing w:line="480" w:lineRule="auto"/>
        <w:jc w:val="both"/>
        <w:rPr>
          <w:rFonts w:ascii="Arial" w:hAnsi="Arial" w:cs="Arial"/>
        </w:rPr>
      </w:pPr>
    </w:p>
    <w:p w14:paraId="3D308BC0" w14:textId="4B80520D" w:rsidR="007139C9" w:rsidRPr="002750AF" w:rsidRDefault="002750AF" w:rsidP="002750AF">
      <w:pPr>
        <w:spacing w:line="480" w:lineRule="auto"/>
        <w:ind w:left="720" w:hanging="720"/>
        <w:jc w:val="both"/>
        <w:rPr>
          <w:rFonts w:ascii="Arial" w:hAnsi="Arial" w:cs="Arial"/>
        </w:rPr>
      </w:pPr>
      <w:r>
        <w:rPr>
          <w:rFonts w:ascii="Arial" w:hAnsi="Arial" w:cs="Arial"/>
        </w:rPr>
        <w:t>18.</w:t>
      </w:r>
      <w:r>
        <w:rPr>
          <w:rFonts w:ascii="Arial" w:hAnsi="Arial" w:cs="Arial"/>
        </w:rPr>
        <w:tab/>
      </w:r>
      <w:r w:rsidR="007139C9" w:rsidRPr="002750AF">
        <w:rPr>
          <w:rFonts w:ascii="Arial" w:hAnsi="Arial" w:cs="Arial"/>
        </w:rPr>
        <w:t xml:space="preserve">The applicants are entitled to know the exact amount that they are liable for. In that regard the applicants are entitled to the full accounts of the amounts that it is alleged </w:t>
      </w:r>
      <w:r w:rsidR="0080272E" w:rsidRPr="002750AF">
        <w:rPr>
          <w:rFonts w:ascii="Arial" w:hAnsi="Arial" w:cs="Arial"/>
        </w:rPr>
        <w:t xml:space="preserve">they owe to the City which amounts should be verified against the amounts already paid. </w:t>
      </w:r>
    </w:p>
    <w:p w14:paraId="13DFD9E3" w14:textId="77777777" w:rsidR="00756ADC" w:rsidRPr="00756ADC" w:rsidRDefault="00756ADC" w:rsidP="00756ADC">
      <w:pPr>
        <w:spacing w:line="480" w:lineRule="auto"/>
        <w:jc w:val="both"/>
        <w:rPr>
          <w:rFonts w:ascii="Arial" w:hAnsi="Arial" w:cs="Arial"/>
        </w:rPr>
      </w:pPr>
    </w:p>
    <w:p w14:paraId="7D589CD9" w14:textId="3055FDF4" w:rsidR="00C87EF5" w:rsidRPr="002750AF" w:rsidRDefault="002750AF" w:rsidP="002750AF">
      <w:pPr>
        <w:spacing w:line="480" w:lineRule="auto"/>
        <w:ind w:left="720" w:hanging="720"/>
        <w:jc w:val="both"/>
        <w:rPr>
          <w:rFonts w:ascii="Arial" w:hAnsi="Arial" w:cs="Arial"/>
        </w:rPr>
      </w:pPr>
      <w:r>
        <w:rPr>
          <w:rFonts w:ascii="Arial" w:hAnsi="Arial" w:cs="Arial"/>
        </w:rPr>
        <w:lastRenderedPageBreak/>
        <w:t>19.</w:t>
      </w:r>
      <w:r>
        <w:rPr>
          <w:rFonts w:ascii="Arial" w:hAnsi="Arial" w:cs="Arial"/>
        </w:rPr>
        <w:tab/>
      </w:r>
      <w:r w:rsidR="0080272E" w:rsidRPr="002750AF">
        <w:rPr>
          <w:rFonts w:ascii="Arial" w:hAnsi="Arial" w:cs="Arial"/>
        </w:rPr>
        <w:t>If the applicants are not receiving any accounts from the City, the applicants will not be able to pay for the services that they receive from the City</w:t>
      </w:r>
      <w:r w:rsidR="003A4168" w:rsidRPr="002750AF">
        <w:rPr>
          <w:rFonts w:ascii="Arial" w:hAnsi="Arial" w:cs="Arial"/>
        </w:rPr>
        <w:t>.</w:t>
      </w:r>
      <w:r w:rsidR="0080272E" w:rsidRPr="002750AF">
        <w:rPr>
          <w:rFonts w:ascii="Arial" w:hAnsi="Arial" w:cs="Arial"/>
        </w:rPr>
        <w:t xml:space="preserve"> </w:t>
      </w:r>
      <w:r w:rsidR="003A4168" w:rsidRPr="002750AF">
        <w:rPr>
          <w:rFonts w:ascii="Arial" w:hAnsi="Arial" w:cs="Arial"/>
        </w:rPr>
        <w:t xml:space="preserve">They </w:t>
      </w:r>
      <w:r w:rsidR="008E6D92" w:rsidRPr="002750AF">
        <w:rPr>
          <w:rFonts w:ascii="Arial" w:hAnsi="Arial" w:cs="Arial"/>
        </w:rPr>
        <w:t xml:space="preserve">are </w:t>
      </w:r>
      <w:r w:rsidR="003A4168" w:rsidRPr="002750AF">
        <w:rPr>
          <w:rFonts w:ascii="Arial" w:hAnsi="Arial" w:cs="Arial"/>
        </w:rPr>
        <w:t>therefore at the</w:t>
      </w:r>
      <w:r w:rsidR="00C87EF5" w:rsidRPr="002750AF">
        <w:rPr>
          <w:rFonts w:ascii="Arial" w:hAnsi="Arial" w:cs="Arial"/>
        </w:rPr>
        <w:t xml:space="preserve"> risk of having their services discontinued or disconnected once again. The </w:t>
      </w:r>
      <w:r w:rsidR="0080272E" w:rsidRPr="002750AF">
        <w:rPr>
          <w:rFonts w:ascii="Arial" w:hAnsi="Arial" w:cs="Arial"/>
        </w:rPr>
        <w:t xml:space="preserve"> </w:t>
      </w:r>
      <w:r w:rsidR="00C87EF5" w:rsidRPr="002750AF">
        <w:rPr>
          <w:rFonts w:ascii="Arial" w:hAnsi="Arial" w:cs="Arial"/>
        </w:rPr>
        <w:t>risk is real as it is evidence</w:t>
      </w:r>
      <w:r w:rsidR="00CC51B9" w:rsidRPr="002750AF">
        <w:rPr>
          <w:rFonts w:ascii="Arial" w:hAnsi="Arial" w:cs="Arial"/>
        </w:rPr>
        <w:t>d</w:t>
      </w:r>
      <w:r w:rsidR="00C87EF5" w:rsidRPr="002750AF">
        <w:rPr>
          <w:rFonts w:ascii="Arial" w:hAnsi="Arial" w:cs="Arial"/>
        </w:rPr>
        <w:t xml:space="preserve"> by the abovementioned disconnection of the</w:t>
      </w:r>
      <w:r w:rsidR="00CC51B9" w:rsidRPr="002750AF">
        <w:rPr>
          <w:rFonts w:ascii="Arial" w:hAnsi="Arial" w:cs="Arial"/>
        </w:rPr>
        <w:t xml:space="preserve"> </w:t>
      </w:r>
      <w:r w:rsidR="00C87EF5" w:rsidRPr="002750AF">
        <w:rPr>
          <w:rFonts w:ascii="Arial" w:hAnsi="Arial" w:cs="Arial"/>
        </w:rPr>
        <w:t>electricity supply</w:t>
      </w:r>
      <w:r w:rsidR="00B717E0" w:rsidRPr="002750AF">
        <w:rPr>
          <w:rFonts w:ascii="Arial" w:hAnsi="Arial" w:cs="Arial"/>
        </w:rPr>
        <w:t xml:space="preserve"> to the applicant’s premises</w:t>
      </w:r>
      <w:r w:rsidR="00C87EF5" w:rsidRPr="002750AF">
        <w:rPr>
          <w:rFonts w:ascii="Arial" w:hAnsi="Arial" w:cs="Arial"/>
        </w:rPr>
        <w:t xml:space="preserve">. </w:t>
      </w:r>
    </w:p>
    <w:p w14:paraId="6781DB7C" w14:textId="77777777" w:rsidR="00CC51B9" w:rsidRPr="00CC51B9" w:rsidRDefault="00CC51B9" w:rsidP="00CC51B9">
      <w:pPr>
        <w:spacing w:line="480" w:lineRule="auto"/>
        <w:jc w:val="both"/>
        <w:rPr>
          <w:rFonts w:ascii="Arial" w:hAnsi="Arial" w:cs="Arial"/>
        </w:rPr>
      </w:pPr>
    </w:p>
    <w:p w14:paraId="6F7B30A1" w14:textId="6A3A4FB2" w:rsidR="006A304B" w:rsidRPr="002750AF" w:rsidRDefault="002750AF" w:rsidP="002750AF">
      <w:pPr>
        <w:spacing w:line="480" w:lineRule="auto"/>
        <w:ind w:left="720" w:hanging="720"/>
        <w:jc w:val="both"/>
        <w:rPr>
          <w:rFonts w:ascii="Arial" w:hAnsi="Arial" w:cs="Arial"/>
        </w:rPr>
      </w:pPr>
      <w:r>
        <w:rPr>
          <w:rFonts w:ascii="Arial" w:hAnsi="Arial" w:cs="Arial"/>
        </w:rPr>
        <w:t>20.</w:t>
      </w:r>
      <w:r>
        <w:rPr>
          <w:rFonts w:ascii="Arial" w:hAnsi="Arial" w:cs="Arial"/>
        </w:rPr>
        <w:tab/>
      </w:r>
      <w:r w:rsidR="00756ADC" w:rsidRPr="002750AF">
        <w:rPr>
          <w:rFonts w:ascii="Arial" w:hAnsi="Arial" w:cs="Arial"/>
        </w:rPr>
        <w:t>Of course,</w:t>
      </w:r>
      <w:r w:rsidR="00C87EF5" w:rsidRPr="002750AF">
        <w:rPr>
          <w:rFonts w:ascii="Arial" w:hAnsi="Arial" w:cs="Arial"/>
        </w:rPr>
        <w:t xml:space="preserve"> the </w:t>
      </w:r>
      <w:r w:rsidR="00756ADC" w:rsidRPr="002750AF">
        <w:rPr>
          <w:rFonts w:ascii="Arial" w:hAnsi="Arial" w:cs="Arial"/>
        </w:rPr>
        <w:t>Municipality</w:t>
      </w:r>
      <w:r w:rsidR="00C87EF5" w:rsidRPr="002750AF">
        <w:rPr>
          <w:rFonts w:ascii="Arial" w:hAnsi="Arial" w:cs="Arial"/>
        </w:rPr>
        <w:t xml:space="preserve"> is entitled to enforce payment for the services received. In terms of section 102(1)(c) </w:t>
      </w:r>
      <w:r w:rsidR="00CC51B9" w:rsidRPr="002750AF">
        <w:rPr>
          <w:rFonts w:ascii="Arial" w:hAnsi="Arial" w:cs="Arial"/>
        </w:rPr>
        <w:t xml:space="preserve">of the Municipal System Act, </w:t>
      </w:r>
      <w:r w:rsidR="00C87EF5" w:rsidRPr="002750AF">
        <w:rPr>
          <w:rFonts w:ascii="Arial" w:hAnsi="Arial" w:cs="Arial"/>
        </w:rPr>
        <w:t xml:space="preserve">the </w:t>
      </w:r>
      <w:r w:rsidR="00756ADC" w:rsidRPr="002750AF">
        <w:rPr>
          <w:rFonts w:ascii="Arial" w:hAnsi="Arial" w:cs="Arial"/>
        </w:rPr>
        <w:t>Municipality</w:t>
      </w:r>
      <w:r w:rsidR="00C87EF5" w:rsidRPr="002750AF">
        <w:rPr>
          <w:rFonts w:ascii="Arial" w:hAnsi="Arial" w:cs="Arial"/>
        </w:rPr>
        <w:t xml:space="preserve"> is entitled to implement any of the debt collection and credit control measures in relation to any </w:t>
      </w:r>
      <w:r w:rsidR="002A308C" w:rsidRPr="002750AF">
        <w:rPr>
          <w:rFonts w:ascii="Arial" w:hAnsi="Arial" w:cs="Arial"/>
        </w:rPr>
        <w:t xml:space="preserve">arrears on any of the accounts of persons </w:t>
      </w:r>
      <w:r w:rsidR="005F26E3" w:rsidRPr="002750AF">
        <w:rPr>
          <w:rFonts w:ascii="Arial" w:hAnsi="Arial" w:cs="Arial"/>
        </w:rPr>
        <w:t>utilizing their services</w:t>
      </w:r>
      <w:r w:rsidR="002A308C" w:rsidRPr="002750AF">
        <w:rPr>
          <w:rFonts w:ascii="Arial" w:hAnsi="Arial" w:cs="Arial"/>
        </w:rPr>
        <w:t xml:space="preserve">. Such </w:t>
      </w:r>
      <w:r w:rsidR="00756ADC" w:rsidRPr="002750AF">
        <w:rPr>
          <w:rFonts w:ascii="Arial" w:hAnsi="Arial" w:cs="Arial"/>
        </w:rPr>
        <w:t>credit</w:t>
      </w:r>
      <w:r w:rsidR="002A308C" w:rsidRPr="002750AF">
        <w:rPr>
          <w:rFonts w:ascii="Arial" w:hAnsi="Arial" w:cs="Arial"/>
        </w:rPr>
        <w:t xml:space="preserve"> control measure will include the disconnection of electricity supply as it has been evidence</w:t>
      </w:r>
      <w:r w:rsidR="005F26E3" w:rsidRPr="002750AF">
        <w:rPr>
          <w:rFonts w:ascii="Arial" w:hAnsi="Arial" w:cs="Arial"/>
        </w:rPr>
        <w:t>d</w:t>
      </w:r>
      <w:r w:rsidR="002A308C" w:rsidRPr="002750AF">
        <w:rPr>
          <w:rFonts w:ascii="Arial" w:hAnsi="Arial" w:cs="Arial"/>
        </w:rPr>
        <w:t xml:space="preserve"> in this matter. However, if there is a dispute</w:t>
      </w:r>
      <w:r w:rsidR="008746CA" w:rsidRPr="002750AF">
        <w:rPr>
          <w:rFonts w:ascii="Arial" w:hAnsi="Arial" w:cs="Arial"/>
        </w:rPr>
        <w:t>,</w:t>
      </w:r>
      <w:r w:rsidR="002A308C" w:rsidRPr="002750AF">
        <w:rPr>
          <w:rFonts w:ascii="Arial" w:hAnsi="Arial" w:cs="Arial"/>
        </w:rPr>
        <w:t xml:space="preserve"> the </w:t>
      </w:r>
      <w:r w:rsidR="00756ADC" w:rsidRPr="002750AF">
        <w:rPr>
          <w:rFonts w:ascii="Arial" w:hAnsi="Arial" w:cs="Arial"/>
        </w:rPr>
        <w:t>Municipality</w:t>
      </w:r>
      <w:r w:rsidR="002A308C" w:rsidRPr="002750AF">
        <w:rPr>
          <w:rFonts w:ascii="Arial" w:hAnsi="Arial" w:cs="Arial"/>
        </w:rPr>
        <w:t xml:space="preserve"> may not implement the credit control measures as section 102(2) </w:t>
      </w:r>
      <w:r w:rsidR="005F26E3" w:rsidRPr="002750AF">
        <w:rPr>
          <w:rFonts w:ascii="Arial" w:hAnsi="Arial" w:cs="Arial"/>
        </w:rPr>
        <w:t xml:space="preserve">of the Municipal System Act </w:t>
      </w:r>
      <w:r w:rsidR="002A308C" w:rsidRPr="002750AF">
        <w:rPr>
          <w:rFonts w:ascii="Arial" w:hAnsi="Arial" w:cs="Arial"/>
        </w:rPr>
        <w:t>provides that</w:t>
      </w:r>
      <w:r w:rsidR="006A304B" w:rsidRPr="002750AF">
        <w:rPr>
          <w:rFonts w:ascii="Arial" w:hAnsi="Arial" w:cs="Arial"/>
        </w:rPr>
        <w:t>;</w:t>
      </w:r>
      <w:r w:rsidR="002A308C" w:rsidRPr="002750AF">
        <w:rPr>
          <w:rFonts w:ascii="Arial" w:hAnsi="Arial" w:cs="Arial"/>
        </w:rPr>
        <w:t xml:space="preserve"> </w:t>
      </w:r>
      <w:r w:rsidR="006A304B" w:rsidRPr="002750AF">
        <w:rPr>
          <w:rFonts w:ascii="Arial" w:hAnsi="Arial" w:cs="Arial"/>
          <w:i/>
          <w:iCs/>
        </w:rPr>
        <w:t>“S</w:t>
      </w:r>
      <w:r w:rsidR="002A308C" w:rsidRPr="002750AF">
        <w:rPr>
          <w:rFonts w:ascii="Arial" w:hAnsi="Arial" w:cs="Arial"/>
          <w:i/>
          <w:iCs/>
        </w:rPr>
        <w:t>ubsection (1) does not apply where there is a dispute between the Municipality and a person referred to in that subsection concerning any specific amount claimed by the Munic</w:t>
      </w:r>
      <w:r w:rsidR="00641D37" w:rsidRPr="002750AF">
        <w:rPr>
          <w:rFonts w:ascii="Arial" w:hAnsi="Arial" w:cs="Arial"/>
          <w:i/>
          <w:iCs/>
        </w:rPr>
        <w:t>ipality from that person</w:t>
      </w:r>
      <w:r w:rsidR="006A304B" w:rsidRPr="002750AF">
        <w:rPr>
          <w:rFonts w:ascii="Arial" w:hAnsi="Arial" w:cs="Arial"/>
          <w:i/>
          <w:iCs/>
        </w:rPr>
        <w:t>”</w:t>
      </w:r>
      <w:r w:rsidR="00641D37" w:rsidRPr="002750AF">
        <w:rPr>
          <w:rFonts w:ascii="Arial" w:hAnsi="Arial" w:cs="Arial"/>
        </w:rPr>
        <w:t xml:space="preserve">. </w:t>
      </w:r>
      <w:r w:rsidR="006A304B" w:rsidRPr="002750AF">
        <w:rPr>
          <w:rFonts w:ascii="Arial" w:hAnsi="Arial" w:cs="Arial"/>
        </w:rPr>
        <w:t>The debt collection and credit control</w:t>
      </w:r>
      <w:r w:rsidR="00B40034" w:rsidRPr="002750AF">
        <w:rPr>
          <w:rFonts w:ascii="Arial" w:hAnsi="Arial" w:cs="Arial"/>
        </w:rPr>
        <w:t xml:space="preserve"> measures are referred to in subsection 1.</w:t>
      </w:r>
    </w:p>
    <w:p w14:paraId="640576FD" w14:textId="77777777" w:rsidR="006A304B" w:rsidRPr="006A304B" w:rsidRDefault="006A304B" w:rsidP="00B40034">
      <w:pPr>
        <w:pStyle w:val="ListParagraph"/>
        <w:spacing w:line="480" w:lineRule="auto"/>
        <w:rPr>
          <w:rFonts w:ascii="Arial" w:hAnsi="Arial" w:cs="Arial"/>
        </w:rPr>
      </w:pPr>
    </w:p>
    <w:p w14:paraId="4071D949" w14:textId="6FA01EE6" w:rsidR="00927298" w:rsidRPr="002750AF" w:rsidRDefault="002750AF" w:rsidP="002750AF">
      <w:pPr>
        <w:spacing w:line="480" w:lineRule="auto"/>
        <w:ind w:left="720" w:hanging="720"/>
        <w:jc w:val="both"/>
        <w:rPr>
          <w:rFonts w:ascii="Arial" w:hAnsi="Arial" w:cs="Arial"/>
          <w:i/>
          <w:iCs/>
          <w:lang w:val="en-ZA"/>
        </w:rPr>
      </w:pPr>
      <w:r>
        <w:rPr>
          <w:rFonts w:ascii="Arial" w:hAnsi="Arial" w:cs="Arial"/>
          <w:lang w:val="en-ZA"/>
        </w:rPr>
        <w:t>21.</w:t>
      </w:r>
      <w:r>
        <w:rPr>
          <w:rFonts w:ascii="Arial" w:hAnsi="Arial" w:cs="Arial"/>
          <w:lang w:val="en-ZA"/>
        </w:rPr>
        <w:tab/>
      </w:r>
      <w:r w:rsidR="00927298" w:rsidRPr="002750AF">
        <w:rPr>
          <w:rFonts w:ascii="Arial" w:hAnsi="Arial" w:cs="Arial"/>
        </w:rPr>
        <w:t xml:space="preserve">There is no definition of the “dispute” in the Municipal Systems Act. It has been held that </w:t>
      </w:r>
      <w:r w:rsidR="00927298" w:rsidRPr="002750AF">
        <w:rPr>
          <w:rFonts w:ascii="Arial" w:hAnsi="Arial" w:cs="Arial"/>
          <w:lang w:val="en-ZA"/>
        </w:rPr>
        <w:t>section 102(2) of the Systems Act requires that the dispute must relate to a 'specific amount' claimed by the municipality.</w:t>
      </w:r>
      <w:r w:rsidR="00927298" w:rsidRPr="002750AF">
        <w:rPr>
          <w:rFonts w:ascii="Arial" w:hAnsi="Arial" w:cs="Arial"/>
        </w:rPr>
        <w:t xml:space="preserve"> </w:t>
      </w:r>
      <w:r w:rsidR="00927298" w:rsidRPr="002750AF">
        <w:rPr>
          <w:rFonts w:ascii="Arial" w:hAnsi="Arial" w:cs="Arial"/>
          <w:b/>
          <w:bCs/>
          <w:i/>
          <w:iCs/>
        </w:rPr>
        <w:t>(</w:t>
      </w:r>
      <w:r w:rsidR="00641D37" w:rsidRPr="002750AF">
        <w:rPr>
          <w:rFonts w:ascii="Arial" w:hAnsi="Arial" w:cs="Arial"/>
          <w:b/>
          <w:bCs/>
          <w:i/>
          <w:iCs/>
        </w:rPr>
        <w:t xml:space="preserve">Body Corporate Croftdene Mall v Ethekwini Municipality </w:t>
      </w:r>
      <w:r w:rsidR="00D8395A" w:rsidRPr="002750AF">
        <w:rPr>
          <w:rFonts w:ascii="Arial" w:hAnsi="Arial" w:cs="Arial"/>
          <w:b/>
          <w:bCs/>
          <w:i/>
          <w:iCs/>
        </w:rPr>
        <w:t>2012(4) SA 169 SCA</w:t>
      </w:r>
      <w:r w:rsidR="00927298" w:rsidRPr="002750AF">
        <w:rPr>
          <w:rFonts w:ascii="Arial" w:hAnsi="Arial" w:cs="Arial"/>
          <w:b/>
          <w:bCs/>
          <w:i/>
          <w:iCs/>
        </w:rPr>
        <w:t>).</w:t>
      </w:r>
      <w:r w:rsidR="00D72876" w:rsidRPr="002750AF">
        <w:rPr>
          <w:rFonts w:ascii="Arial" w:hAnsi="Arial" w:cs="Arial"/>
          <w:i/>
          <w:iCs/>
          <w:lang w:val="en-ZA"/>
        </w:rPr>
        <w:t> </w:t>
      </w:r>
    </w:p>
    <w:p w14:paraId="6AA98C53" w14:textId="77777777" w:rsidR="00927298" w:rsidRPr="00927298" w:rsidRDefault="00927298" w:rsidP="00927298">
      <w:pPr>
        <w:pStyle w:val="ListParagraph"/>
        <w:rPr>
          <w:rFonts w:ascii="Arial" w:hAnsi="Arial" w:cs="Arial"/>
          <w:i/>
          <w:iCs/>
          <w:lang w:val="en-ZA"/>
        </w:rPr>
      </w:pPr>
    </w:p>
    <w:p w14:paraId="206F077D" w14:textId="58EB68BE" w:rsidR="00D8395A" w:rsidRPr="002750AF" w:rsidRDefault="002750AF" w:rsidP="002750AF">
      <w:pPr>
        <w:spacing w:line="480" w:lineRule="auto"/>
        <w:ind w:left="720" w:hanging="720"/>
        <w:jc w:val="both"/>
        <w:rPr>
          <w:rFonts w:ascii="Arial" w:hAnsi="Arial" w:cs="Arial"/>
          <w:i/>
          <w:iCs/>
          <w:lang w:val="en-ZA"/>
        </w:rPr>
      </w:pPr>
      <w:r>
        <w:rPr>
          <w:rFonts w:ascii="Arial" w:hAnsi="Arial" w:cs="Arial"/>
          <w:lang w:val="en-ZA"/>
        </w:rPr>
        <w:lastRenderedPageBreak/>
        <w:t>22.</w:t>
      </w:r>
      <w:r>
        <w:rPr>
          <w:rFonts w:ascii="Arial" w:hAnsi="Arial" w:cs="Arial"/>
          <w:lang w:val="en-ZA"/>
        </w:rPr>
        <w:tab/>
      </w:r>
      <w:r w:rsidR="00927298" w:rsidRPr="002750AF">
        <w:rPr>
          <w:rFonts w:ascii="Arial" w:hAnsi="Arial" w:cs="Arial"/>
          <w:lang w:val="en-ZA"/>
        </w:rPr>
        <w:t>The Court in the matter of</w:t>
      </w:r>
      <w:r w:rsidR="00927298" w:rsidRPr="002750AF">
        <w:rPr>
          <w:rFonts w:ascii="Arial" w:hAnsi="Arial" w:cs="Arial"/>
          <w:i/>
          <w:iCs/>
          <w:lang w:val="en-ZA"/>
        </w:rPr>
        <w:t xml:space="preserve"> </w:t>
      </w:r>
      <w:r w:rsidR="00D72876" w:rsidRPr="002750AF">
        <w:rPr>
          <w:rFonts w:ascii="Arial" w:hAnsi="Arial" w:cs="Arial"/>
          <w:i/>
          <w:iCs/>
          <w:lang w:val="en-ZA"/>
        </w:rPr>
        <w:t xml:space="preserve"> </w:t>
      </w:r>
      <w:r w:rsidR="00E74906" w:rsidRPr="002750AF">
        <w:rPr>
          <w:rFonts w:ascii="Arial" w:hAnsi="Arial" w:cs="Arial"/>
          <w:b/>
          <w:bCs/>
          <w:i/>
          <w:iCs/>
        </w:rPr>
        <w:t xml:space="preserve">Body Corporate Croftdene Mall (supra) </w:t>
      </w:r>
      <w:r w:rsidR="00E74906" w:rsidRPr="002750AF">
        <w:rPr>
          <w:rFonts w:ascii="Arial" w:hAnsi="Arial" w:cs="Arial"/>
        </w:rPr>
        <w:t>went on to state that</w:t>
      </w:r>
      <w:r w:rsidR="00E74906" w:rsidRPr="002750AF">
        <w:rPr>
          <w:rFonts w:ascii="Arial" w:hAnsi="Arial" w:cs="Arial"/>
          <w:i/>
          <w:iCs/>
          <w:lang w:val="en-ZA"/>
        </w:rPr>
        <w:t xml:space="preserve">; </w:t>
      </w:r>
      <w:r w:rsidR="00D72876" w:rsidRPr="002750AF">
        <w:rPr>
          <w:rFonts w:ascii="Arial" w:hAnsi="Arial" w:cs="Arial"/>
          <w:i/>
          <w:iCs/>
          <w:lang w:val="en-ZA"/>
        </w:rPr>
        <w:t xml:space="preserve">Whether a dispute has been properly raised must be a factual enquiry requiring determination on a case-by-case basis. </w:t>
      </w:r>
    </w:p>
    <w:p w14:paraId="478C823D" w14:textId="77777777" w:rsidR="00E74906" w:rsidRPr="00E74906" w:rsidRDefault="00E74906" w:rsidP="00E74906">
      <w:pPr>
        <w:spacing w:line="480" w:lineRule="auto"/>
        <w:jc w:val="both"/>
        <w:rPr>
          <w:rFonts w:ascii="Arial" w:hAnsi="Arial" w:cs="Arial"/>
          <w:lang w:val="en-ZA"/>
        </w:rPr>
      </w:pPr>
    </w:p>
    <w:p w14:paraId="2472B6AE" w14:textId="15EF2AC5" w:rsidR="0080272E" w:rsidRPr="002750AF" w:rsidRDefault="002750AF" w:rsidP="002750AF">
      <w:pPr>
        <w:spacing w:line="480" w:lineRule="auto"/>
        <w:ind w:left="720" w:hanging="720"/>
        <w:jc w:val="both"/>
        <w:rPr>
          <w:rFonts w:ascii="Arial" w:hAnsi="Arial" w:cs="Arial"/>
        </w:rPr>
      </w:pPr>
      <w:r>
        <w:rPr>
          <w:rFonts w:ascii="Arial" w:hAnsi="Arial" w:cs="Arial"/>
        </w:rPr>
        <w:t>23.</w:t>
      </w:r>
      <w:r>
        <w:rPr>
          <w:rFonts w:ascii="Arial" w:hAnsi="Arial" w:cs="Arial"/>
        </w:rPr>
        <w:tab/>
      </w:r>
      <w:r w:rsidR="00E74906" w:rsidRPr="002750AF">
        <w:rPr>
          <w:rFonts w:ascii="Arial" w:hAnsi="Arial" w:cs="Arial"/>
        </w:rPr>
        <w:t>In this matter the applicants have paid an amount for the restoration of electricity to their house without rec</w:t>
      </w:r>
      <w:r w:rsidR="004D3F86" w:rsidRPr="002750AF">
        <w:rPr>
          <w:rFonts w:ascii="Arial" w:hAnsi="Arial" w:cs="Arial"/>
        </w:rPr>
        <w:t>eiving</w:t>
      </w:r>
      <w:r w:rsidR="00E74906" w:rsidRPr="002750AF">
        <w:rPr>
          <w:rFonts w:ascii="Arial" w:hAnsi="Arial" w:cs="Arial"/>
        </w:rPr>
        <w:t xml:space="preserve"> an account. </w:t>
      </w:r>
      <w:r w:rsidR="00D8395A" w:rsidRPr="002750AF">
        <w:rPr>
          <w:rFonts w:ascii="Arial" w:hAnsi="Arial" w:cs="Arial"/>
        </w:rPr>
        <w:t xml:space="preserve">It is quite clear that what is before Court </w:t>
      </w:r>
      <w:r w:rsidR="00E74906" w:rsidRPr="002750AF">
        <w:rPr>
          <w:rFonts w:ascii="Arial" w:hAnsi="Arial" w:cs="Arial"/>
        </w:rPr>
        <w:t xml:space="preserve">and the Municipality </w:t>
      </w:r>
      <w:r w:rsidR="00D8395A" w:rsidRPr="002750AF">
        <w:rPr>
          <w:rFonts w:ascii="Arial" w:hAnsi="Arial" w:cs="Arial"/>
        </w:rPr>
        <w:t xml:space="preserve">is a dispute by </w:t>
      </w:r>
      <w:r w:rsidR="00B40034" w:rsidRPr="002750AF">
        <w:rPr>
          <w:rFonts w:ascii="Arial" w:hAnsi="Arial" w:cs="Arial"/>
        </w:rPr>
        <w:t>the applicants</w:t>
      </w:r>
      <w:r w:rsidR="00D8395A" w:rsidRPr="002750AF">
        <w:rPr>
          <w:rFonts w:ascii="Arial" w:hAnsi="Arial" w:cs="Arial"/>
        </w:rPr>
        <w:t xml:space="preserve"> who ha</w:t>
      </w:r>
      <w:r w:rsidR="0065559C" w:rsidRPr="002750AF">
        <w:rPr>
          <w:rFonts w:ascii="Arial" w:hAnsi="Arial" w:cs="Arial"/>
        </w:rPr>
        <w:t>ve now</w:t>
      </w:r>
      <w:r w:rsidR="00D8395A" w:rsidRPr="002750AF">
        <w:rPr>
          <w:rFonts w:ascii="Arial" w:hAnsi="Arial" w:cs="Arial"/>
        </w:rPr>
        <w:t xml:space="preserve"> paid for </w:t>
      </w:r>
      <w:r w:rsidR="0065559C" w:rsidRPr="002750AF">
        <w:rPr>
          <w:rFonts w:ascii="Arial" w:hAnsi="Arial" w:cs="Arial"/>
        </w:rPr>
        <w:t xml:space="preserve">municipal </w:t>
      </w:r>
      <w:r w:rsidR="00D8395A" w:rsidRPr="002750AF">
        <w:rPr>
          <w:rFonts w:ascii="Arial" w:hAnsi="Arial" w:cs="Arial"/>
        </w:rPr>
        <w:t xml:space="preserve">services </w:t>
      </w:r>
      <w:r w:rsidR="00885752" w:rsidRPr="002750AF">
        <w:rPr>
          <w:rFonts w:ascii="Arial" w:hAnsi="Arial" w:cs="Arial"/>
        </w:rPr>
        <w:t xml:space="preserve">but </w:t>
      </w:r>
      <w:r w:rsidR="0065559C" w:rsidRPr="002750AF">
        <w:rPr>
          <w:rFonts w:ascii="Arial" w:hAnsi="Arial" w:cs="Arial"/>
        </w:rPr>
        <w:t>they still</w:t>
      </w:r>
      <w:r w:rsidR="00885752" w:rsidRPr="002750AF">
        <w:rPr>
          <w:rFonts w:ascii="Arial" w:hAnsi="Arial" w:cs="Arial"/>
        </w:rPr>
        <w:t xml:space="preserve"> </w:t>
      </w:r>
      <w:r w:rsidR="005B6C49" w:rsidRPr="002750AF">
        <w:rPr>
          <w:rFonts w:ascii="Arial" w:hAnsi="Arial" w:cs="Arial"/>
        </w:rPr>
        <w:t xml:space="preserve">do </w:t>
      </w:r>
      <w:r w:rsidR="00885752" w:rsidRPr="002750AF">
        <w:rPr>
          <w:rFonts w:ascii="Arial" w:hAnsi="Arial" w:cs="Arial"/>
        </w:rPr>
        <w:t>not have a</w:t>
      </w:r>
      <w:r w:rsidR="00E74906" w:rsidRPr="002750AF">
        <w:rPr>
          <w:rFonts w:ascii="Arial" w:hAnsi="Arial" w:cs="Arial"/>
        </w:rPr>
        <w:t>n</w:t>
      </w:r>
      <w:r w:rsidR="00885752" w:rsidRPr="002750AF">
        <w:rPr>
          <w:rFonts w:ascii="Arial" w:hAnsi="Arial" w:cs="Arial"/>
        </w:rPr>
        <w:t xml:space="preserve"> account from the Municipality in </w:t>
      </w:r>
      <w:r w:rsidR="0065559C" w:rsidRPr="002750AF">
        <w:rPr>
          <w:rFonts w:ascii="Arial" w:hAnsi="Arial" w:cs="Arial"/>
        </w:rPr>
        <w:t>their</w:t>
      </w:r>
      <w:r w:rsidR="00885752" w:rsidRPr="002750AF">
        <w:rPr>
          <w:rFonts w:ascii="Arial" w:hAnsi="Arial" w:cs="Arial"/>
        </w:rPr>
        <w:t xml:space="preserve"> </w:t>
      </w:r>
      <w:r w:rsidR="00E74906" w:rsidRPr="002750AF">
        <w:rPr>
          <w:rFonts w:ascii="Arial" w:hAnsi="Arial" w:cs="Arial"/>
        </w:rPr>
        <w:t xml:space="preserve">own </w:t>
      </w:r>
      <w:r w:rsidR="00885752" w:rsidRPr="002750AF">
        <w:rPr>
          <w:rFonts w:ascii="Arial" w:hAnsi="Arial" w:cs="Arial"/>
        </w:rPr>
        <w:t xml:space="preserve">names. The dispute pertain to whether the amount that has been paid is the accurate amount that is due and payable and further the </w:t>
      </w:r>
      <w:r w:rsidR="0065559C" w:rsidRPr="002750AF">
        <w:rPr>
          <w:rFonts w:ascii="Arial" w:hAnsi="Arial" w:cs="Arial"/>
        </w:rPr>
        <w:t xml:space="preserve">statutory </w:t>
      </w:r>
      <w:r w:rsidR="000D586E" w:rsidRPr="002750AF">
        <w:rPr>
          <w:rFonts w:ascii="Arial" w:hAnsi="Arial" w:cs="Arial"/>
        </w:rPr>
        <w:t>obligation of the City to ensure that the applicants receive regular and accurate accounts. As stated herenabove, the City did not file any answering affidavit.</w:t>
      </w:r>
      <w:r w:rsidR="00633091" w:rsidRPr="002750AF">
        <w:rPr>
          <w:rFonts w:ascii="Arial" w:hAnsi="Arial" w:cs="Arial"/>
        </w:rPr>
        <w:t xml:space="preserve"> The only version before Court is that of the applicants</w:t>
      </w:r>
      <w:r w:rsidR="00885752" w:rsidRPr="002750AF">
        <w:rPr>
          <w:rFonts w:ascii="Arial" w:hAnsi="Arial" w:cs="Arial"/>
        </w:rPr>
        <w:t>.</w:t>
      </w:r>
    </w:p>
    <w:p w14:paraId="58577297" w14:textId="77777777" w:rsidR="000149D3" w:rsidRDefault="000149D3" w:rsidP="000149D3">
      <w:pPr>
        <w:pStyle w:val="ListParagraph"/>
        <w:spacing w:line="480" w:lineRule="auto"/>
        <w:jc w:val="both"/>
        <w:rPr>
          <w:rFonts w:ascii="Arial" w:hAnsi="Arial" w:cs="Arial"/>
        </w:rPr>
      </w:pPr>
    </w:p>
    <w:p w14:paraId="1134E943" w14:textId="77D37B51" w:rsidR="00885752" w:rsidRPr="002750AF" w:rsidRDefault="002750AF" w:rsidP="002750AF">
      <w:pPr>
        <w:spacing w:line="480" w:lineRule="auto"/>
        <w:ind w:left="720" w:hanging="720"/>
        <w:jc w:val="both"/>
        <w:rPr>
          <w:rFonts w:ascii="Arial" w:hAnsi="Arial" w:cs="Arial"/>
        </w:rPr>
      </w:pPr>
      <w:r>
        <w:rPr>
          <w:rFonts w:ascii="Arial" w:hAnsi="Arial" w:cs="Arial"/>
        </w:rPr>
        <w:t>24.</w:t>
      </w:r>
      <w:r>
        <w:rPr>
          <w:rFonts w:ascii="Arial" w:hAnsi="Arial" w:cs="Arial"/>
        </w:rPr>
        <w:tab/>
      </w:r>
      <w:r w:rsidR="00885752" w:rsidRPr="002750AF">
        <w:rPr>
          <w:rFonts w:ascii="Arial" w:hAnsi="Arial" w:cs="Arial"/>
        </w:rPr>
        <w:t xml:space="preserve">Under the circumstances the City should be given an opportunity to comply with its obligation in terms of section 95 </w:t>
      </w:r>
      <w:r w:rsidR="00633091" w:rsidRPr="002750AF">
        <w:rPr>
          <w:rFonts w:ascii="Arial" w:hAnsi="Arial" w:cs="Arial"/>
        </w:rPr>
        <w:t>of the Municipal System</w:t>
      </w:r>
      <w:r w:rsidR="00B81441" w:rsidRPr="002750AF">
        <w:rPr>
          <w:rFonts w:ascii="Arial" w:hAnsi="Arial" w:cs="Arial"/>
        </w:rPr>
        <w:t>s</w:t>
      </w:r>
      <w:r w:rsidR="00633091" w:rsidRPr="002750AF">
        <w:rPr>
          <w:rFonts w:ascii="Arial" w:hAnsi="Arial" w:cs="Arial"/>
        </w:rPr>
        <w:t xml:space="preserve"> Act</w:t>
      </w:r>
      <w:r w:rsidR="00B81441" w:rsidRPr="002750AF">
        <w:rPr>
          <w:rFonts w:ascii="Arial" w:hAnsi="Arial" w:cs="Arial"/>
        </w:rPr>
        <w:t xml:space="preserve"> </w:t>
      </w:r>
      <w:r w:rsidR="005B6C49" w:rsidRPr="002750AF">
        <w:rPr>
          <w:rFonts w:ascii="Arial" w:hAnsi="Arial" w:cs="Arial"/>
        </w:rPr>
        <w:t>of</w:t>
      </w:r>
      <w:r w:rsidR="00885752" w:rsidRPr="002750AF">
        <w:rPr>
          <w:rFonts w:ascii="Arial" w:hAnsi="Arial" w:cs="Arial"/>
        </w:rPr>
        <w:t xml:space="preserve"> providing a detailed </w:t>
      </w:r>
      <w:r w:rsidR="00B81441" w:rsidRPr="002750AF">
        <w:rPr>
          <w:rFonts w:ascii="Arial" w:hAnsi="Arial" w:cs="Arial"/>
        </w:rPr>
        <w:t xml:space="preserve">and </w:t>
      </w:r>
      <w:r w:rsidR="00885752" w:rsidRPr="002750AF">
        <w:rPr>
          <w:rFonts w:ascii="Arial" w:hAnsi="Arial" w:cs="Arial"/>
        </w:rPr>
        <w:t>accurate accounts to the applicants</w:t>
      </w:r>
      <w:r w:rsidR="006C7BD4" w:rsidRPr="002750AF">
        <w:rPr>
          <w:rFonts w:ascii="Arial" w:hAnsi="Arial" w:cs="Arial"/>
        </w:rPr>
        <w:t>.</w:t>
      </w:r>
      <w:r w:rsidR="00885752" w:rsidRPr="002750AF">
        <w:rPr>
          <w:rFonts w:ascii="Arial" w:hAnsi="Arial" w:cs="Arial"/>
        </w:rPr>
        <w:t xml:space="preserve"> </w:t>
      </w:r>
      <w:r w:rsidR="006C7BD4" w:rsidRPr="002750AF">
        <w:rPr>
          <w:rFonts w:ascii="Arial" w:hAnsi="Arial" w:cs="Arial"/>
        </w:rPr>
        <w:t>A</w:t>
      </w:r>
      <w:r w:rsidR="00885752" w:rsidRPr="002750AF">
        <w:rPr>
          <w:rFonts w:ascii="Arial" w:hAnsi="Arial" w:cs="Arial"/>
        </w:rPr>
        <w:t>nd to resolve whether the amount that was demanded from the applicants which was eventually paid is the accurate amount owed to the City</w:t>
      </w:r>
      <w:r w:rsidR="00B81441" w:rsidRPr="002750AF">
        <w:rPr>
          <w:rFonts w:ascii="Arial" w:hAnsi="Arial" w:cs="Arial"/>
        </w:rPr>
        <w:t>.</w:t>
      </w:r>
      <w:r w:rsidR="00885752" w:rsidRPr="002750AF">
        <w:rPr>
          <w:rFonts w:ascii="Arial" w:hAnsi="Arial" w:cs="Arial"/>
        </w:rPr>
        <w:t xml:space="preserve"> </w:t>
      </w:r>
      <w:r w:rsidR="00B81441" w:rsidRPr="002750AF">
        <w:rPr>
          <w:rFonts w:ascii="Arial" w:hAnsi="Arial" w:cs="Arial"/>
        </w:rPr>
        <w:t>A</w:t>
      </w:r>
      <w:r w:rsidR="00885752" w:rsidRPr="002750AF">
        <w:rPr>
          <w:rFonts w:ascii="Arial" w:hAnsi="Arial" w:cs="Arial"/>
        </w:rPr>
        <w:t xml:space="preserve">nd going forward </w:t>
      </w:r>
      <w:r w:rsidR="00E53285" w:rsidRPr="002750AF">
        <w:rPr>
          <w:rFonts w:ascii="Arial" w:hAnsi="Arial" w:cs="Arial"/>
        </w:rPr>
        <w:t>to ensure tha</w:t>
      </w:r>
      <w:r w:rsidR="00840A7F" w:rsidRPr="002750AF">
        <w:rPr>
          <w:rFonts w:ascii="Arial" w:hAnsi="Arial" w:cs="Arial"/>
        </w:rPr>
        <w:t>t</w:t>
      </w:r>
      <w:r w:rsidR="00E53285" w:rsidRPr="002750AF">
        <w:rPr>
          <w:rFonts w:ascii="Arial" w:hAnsi="Arial" w:cs="Arial"/>
        </w:rPr>
        <w:t xml:space="preserve"> </w:t>
      </w:r>
      <w:r w:rsidR="00885752" w:rsidRPr="002750AF">
        <w:rPr>
          <w:rFonts w:ascii="Arial" w:hAnsi="Arial" w:cs="Arial"/>
        </w:rPr>
        <w:t>the applicants will receive accounts in their own names at the addresses that they have given to the City.</w:t>
      </w:r>
    </w:p>
    <w:p w14:paraId="37E4B0B6" w14:textId="77777777" w:rsidR="000149D3" w:rsidRPr="000149D3" w:rsidRDefault="000149D3" w:rsidP="000149D3">
      <w:pPr>
        <w:spacing w:line="480" w:lineRule="auto"/>
        <w:jc w:val="both"/>
        <w:rPr>
          <w:rFonts w:ascii="Arial" w:hAnsi="Arial" w:cs="Arial"/>
        </w:rPr>
      </w:pPr>
    </w:p>
    <w:p w14:paraId="517D4F0F" w14:textId="67590E95" w:rsidR="00885752" w:rsidRPr="002750AF" w:rsidRDefault="002750AF" w:rsidP="002750AF">
      <w:pPr>
        <w:spacing w:line="480" w:lineRule="auto"/>
        <w:ind w:left="720" w:hanging="720"/>
        <w:jc w:val="both"/>
        <w:rPr>
          <w:rFonts w:ascii="Arial" w:hAnsi="Arial" w:cs="Arial"/>
        </w:rPr>
      </w:pPr>
      <w:r>
        <w:rPr>
          <w:rFonts w:ascii="Arial" w:hAnsi="Arial" w:cs="Arial"/>
        </w:rPr>
        <w:t>25.</w:t>
      </w:r>
      <w:r>
        <w:rPr>
          <w:rFonts w:ascii="Arial" w:hAnsi="Arial" w:cs="Arial"/>
        </w:rPr>
        <w:tab/>
      </w:r>
      <w:r w:rsidR="006C7BD4" w:rsidRPr="002750AF">
        <w:rPr>
          <w:rFonts w:ascii="Arial" w:hAnsi="Arial" w:cs="Arial"/>
        </w:rPr>
        <w:t>It is my view that until such time that this d</w:t>
      </w:r>
      <w:r w:rsidR="00415E84" w:rsidRPr="002750AF">
        <w:rPr>
          <w:rFonts w:ascii="Arial" w:hAnsi="Arial" w:cs="Arial"/>
        </w:rPr>
        <w:t>ispute</w:t>
      </w:r>
      <w:r w:rsidR="006C7BD4" w:rsidRPr="002750AF">
        <w:rPr>
          <w:rFonts w:ascii="Arial" w:hAnsi="Arial" w:cs="Arial"/>
        </w:rPr>
        <w:t xml:space="preserve"> is resolved</w:t>
      </w:r>
      <w:r w:rsidR="00840A7F" w:rsidRPr="002750AF">
        <w:rPr>
          <w:rFonts w:ascii="Arial" w:hAnsi="Arial" w:cs="Arial"/>
        </w:rPr>
        <w:t>,</w:t>
      </w:r>
      <w:r w:rsidR="006C7BD4" w:rsidRPr="002750AF">
        <w:rPr>
          <w:rFonts w:ascii="Arial" w:hAnsi="Arial" w:cs="Arial"/>
        </w:rPr>
        <w:t xml:space="preserve"> the City should not implement its </w:t>
      </w:r>
      <w:r w:rsidR="00034ECA" w:rsidRPr="002750AF">
        <w:rPr>
          <w:rFonts w:ascii="Arial" w:hAnsi="Arial" w:cs="Arial"/>
        </w:rPr>
        <w:t xml:space="preserve">debt collection or credit control measures </w:t>
      </w:r>
      <w:r w:rsidR="00415E84" w:rsidRPr="002750AF">
        <w:rPr>
          <w:rFonts w:ascii="Arial" w:hAnsi="Arial" w:cs="Arial"/>
        </w:rPr>
        <w:t xml:space="preserve">against the applicants. This much </w:t>
      </w:r>
      <w:r w:rsidR="005B6C49" w:rsidRPr="002750AF">
        <w:rPr>
          <w:rFonts w:ascii="Arial" w:hAnsi="Arial" w:cs="Arial"/>
        </w:rPr>
        <w:t xml:space="preserve">is </w:t>
      </w:r>
      <w:r w:rsidR="00034ECA" w:rsidRPr="002750AF">
        <w:rPr>
          <w:rFonts w:ascii="Arial" w:hAnsi="Arial" w:cs="Arial"/>
        </w:rPr>
        <w:t xml:space="preserve">dictated </w:t>
      </w:r>
      <w:r w:rsidR="00415E84" w:rsidRPr="002750AF">
        <w:rPr>
          <w:rFonts w:ascii="Arial" w:hAnsi="Arial" w:cs="Arial"/>
        </w:rPr>
        <w:t>by the provisions of</w:t>
      </w:r>
      <w:r w:rsidR="00034ECA" w:rsidRPr="002750AF">
        <w:rPr>
          <w:rFonts w:ascii="Arial" w:hAnsi="Arial" w:cs="Arial"/>
        </w:rPr>
        <w:t xml:space="preserve"> section 102(2) of the </w:t>
      </w:r>
      <w:r w:rsidR="00034ECA" w:rsidRPr="002750AF">
        <w:rPr>
          <w:rFonts w:ascii="Arial" w:hAnsi="Arial" w:cs="Arial"/>
        </w:rPr>
        <w:lastRenderedPageBreak/>
        <w:t>Municipal Systems Act. I am therefore satisfied that the applicants are entitled to an interdict</w:t>
      </w:r>
      <w:r w:rsidR="005B6C49" w:rsidRPr="002750AF">
        <w:rPr>
          <w:rFonts w:ascii="Arial" w:hAnsi="Arial" w:cs="Arial"/>
        </w:rPr>
        <w:t xml:space="preserve"> along the terms provided for in section 102(2) of the Municipal Systems Act</w:t>
      </w:r>
      <w:r w:rsidR="00034ECA" w:rsidRPr="002750AF">
        <w:rPr>
          <w:rFonts w:ascii="Arial" w:hAnsi="Arial" w:cs="Arial"/>
        </w:rPr>
        <w:t>. In this matter the City is not pre</w:t>
      </w:r>
      <w:r w:rsidR="008A15F1" w:rsidRPr="002750AF">
        <w:rPr>
          <w:rFonts w:ascii="Arial" w:hAnsi="Arial" w:cs="Arial"/>
        </w:rPr>
        <w:t xml:space="preserve">judiced as it has received </w:t>
      </w:r>
      <w:r w:rsidR="00904F67" w:rsidRPr="002750AF">
        <w:rPr>
          <w:rFonts w:ascii="Arial" w:hAnsi="Arial" w:cs="Arial"/>
        </w:rPr>
        <w:t>what</w:t>
      </w:r>
      <w:r w:rsidR="008A15F1" w:rsidRPr="002750AF">
        <w:rPr>
          <w:rFonts w:ascii="Arial" w:hAnsi="Arial" w:cs="Arial"/>
        </w:rPr>
        <w:t xml:space="preserve"> it regards to be a full </w:t>
      </w:r>
      <w:r w:rsidR="00904F67" w:rsidRPr="002750AF">
        <w:rPr>
          <w:rFonts w:ascii="Arial" w:hAnsi="Arial" w:cs="Arial"/>
        </w:rPr>
        <w:t>settlement</w:t>
      </w:r>
      <w:r w:rsidR="008A15F1" w:rsidRPr="002750AF">
        <w:rPr>
          <w:rFonts w:ascii="Arial" w:hAnsi="Arial" w:cs="Arial"/>
        </w:rPr>
        <w:t xml:space="preserve"> of the amounts due</w:t>
      </w:r>
      <w:r w:rsidR="00904F67" w:rsidRPr="002750AF">
        <w:rPr>
          <w:rFonts w:ascii="Arial" w:hAnsi="Arial" w:cs="Arial"/>
        </w:rPr>
        <w:t xml:space="preserve"> to the City</w:t>
      </w:r>
      <w:r w:rsidR="008A15F1" w:rsidRPr="002750AF">
        <w:rPr>
          <w:rFonts w:ascii="Arial" w:hAnsi="Arial" w:cs="Arial"/>
        </w:rPr>
        <w:t xml:space="preserve"> by the applicants, although the applicants state that the said amount were paid in protest.</w:t>
      </w:r>
    </w:p>
    <w:p w14:paraId="321D0166" w14:textId="77777777" w:rsidR="000149D3" w:rsidRPr="000149D3" w:rsidRDefault="000149D3" w:rsidP="000149D3">
      <w:pPr>
        <w:spacing w:line="480" w:lineRule="auto"/>
        <w:jc w:val="both"/>
        <w:rPr>
          <w:rFonts w:ascii="Arial" w:hAnsi="Arial" w:cs="Arial"/>
        </w:rPr>
      </w:pPr>
    </w:p>
    <w:p w14:paraId="4909D9CE" w14:textId="4FFBF691" w:rsidR="008A15F1" w:rsidRPr="002750AF" w:rsidRDefault="002750AF" w:rsidP="002750AF">
      <w:pPr>
        <w:spacing w:line="480" w:lineRule="auto"/>
        <w:ind w:left="720" w:hanging="720"/>
        <w:jc w:val="both"/>
        <w:rPr>
          <w:rFonts w:ascii="Arial" w:hAnsi="Arial" w:cs="Arial"/>
        </w:rPr>
      </w:pPr>
      <w:r>
        <w:rPr>
          <w:rFonts w:ascii="Arial" w:hAnsi="Arial" w:cs="Arial"/>
        </w:rPr>
        <w:t>26.</w:t>
      </w:r>
      <w:r>
        <w:rPr>
          <w:rFonts w:ascii="Arial" w:hAnsi="Arial" w:cs="Arial"/>
        </w:rPr>
        <w:tab/>
      </w:r>
      <w:r w:rsidR="008A15F1" w:rsidRPr="002750AF">
        <w:rPr>
          <w:rFonts w:ascii="Arial" w:hAnsi="Arial" w:cs="Arial"/>
        </w:rPr>
        <w:t>I therefore make the following order:</w:t>
      </w:r>
    </w:p>
    <w:p w14:paraId="3DABA5AC" w14:textId="77777777" w:rsidR="000149D3" w:rsidRPr="000149D3" w:rsidRDefault="000149D3" w:rsidP="000149D3">
      <w:pPr>
        <w:spacing w:line="480" w:lineRule="auto"/>
        <w:ind w:left="1701" w:hanging="1701"/>
        <w:jc w:val="both"/>
        <w:rPr>
          <w:rFonts w:ascii="Arial" w:hAnsi="Arial" w:cs="Arial"/>
        </w:rPr>
      </w:pPr>
    </w:p>
    <w:p w14:paraId="288C1FF1" w14:textId="5AB8141F" w:rsidR="00904F67" w:rsidRPr="002750AF" w:rsidRDefault="002750AF" w:rsidP="002750AF">
      <w:pPr>
        <w:spacing w:line="480" w:lineRule="auto"/>
        <w:ind w:left="1701" w:hanging="567"/>
        <w:jc w:val="both"/>
        <w:rPr>
          <w:rFonts w:ascii="Arial" w:hAnsi="Arial" w:cs="Arial"/>
        </w:rPr>
      </w:pPr>
      <w:r>
        <w:rPr>
          <w:rFonts w:ascii="Arial" w:hAnsi="Arial" w:cs="Arial"/>
        </w:rPr>
        <w:t>1.</w:t>
      </w:r>
      <w:r>
        <w:rPr>
          <w:rFonts w:ascii="Arial" w:hAnsi="Arial" w:cs="Arial"/>
        </w:rPr>
        <w:tab/>
      </w:r>
      <w:r w:rsidR="00904F67" w:rsidRPr="002750AF">
        <w:rPr>
          <w:rFonts w:ascii="Arial" w:hAnsi="Arial" w:cs="Arial"/>
        </w:rPr>
        <w:t xml:space="preserve">The non-compliance with the Uniform Rules of the Court are herewith condoned in terms of </w:t>
      </w:r>
      <w:r w:rsidR="00F51A88" w:rsidRPr="002750AF">
        <w:rPr>
          <w:rFonts w:ascii="Arial" w:hAnsi="Arial" w:cs="Arial"/>
        </w:rPr>
        <w:t>Rule 6(12) and this ma</w:t>
      </w:r>
      <w:r w:rsidR="005B6C49" w:rsidRPr="002750AF">
        <w:rPr>
          <w:rFonts w:ascii="Arial" w:hAnsi="Arial" w:cs="Arial"/>
        </w:rPr>
        <w:t>t</w:t>
      </w:r>
      <w:r w:rsidR="00F51A88" w:rsidRPr="002750AF">
        <w:rPr>
          <w:rFonts w:ascii="Arial" w:hAnsi="Arial" w:cs="Arial"/>
        </w:rPr>
        <w:t>ter is dealt with as a matter of urgency.</w:t>
      </w:r>
    </w:p>
    <w:p w14:paraId="3571FDED" w14:textId="77777777" w:rsidR="00F51A88" w:rsidRDefault="00F51A88" w:rsidP="00F51A88">
      <w:pPr>
        <w:pStyle w:val="ListParagraph"/>
        <w:spacing w:line="480" w:lineRule="auto"/>
        <w:ind w:left="1701"/>
        <w:jc w:val="both"/>
        <w:rPr>
          <w:rFonts w:ascii="Arial" w:hAnsi="Arial" w:cs="Arial"/>
        </w:rPr>
      </w:pPr>
    </w:p>
    <w:p w14:paraId="14697A8F" w14:textId="1EF898F0" w:rsidR="008A15F1" w:rsidRPr="002750AF" w:rsidRDefault="002750AF" w:rsidP="002750AF">
      <w:pPr>
        <w:spacing w:line="480" w:lineRule="auto"/>
        <w:ind w:left="1701" w:hanging="567"/>
        <w:jc w:val="both"/>
        <w:rPr>
          <w:rFonts w:ascii="Arial" w:hAnsi="Arial" w:cs="Arial"/>
        </w:rPr>
      </w:pPr>
      <w:r>
        <w:rPr>
          <w:rFonts w:ascii="Arial" w:hAnsi="Arial" w:cs="Arial"/>
        </w:rPr>
        <w:t>2.</w:t>
      </w:r>
      <w:r>
        <w:rPr>
          <w:rFonts w:ascii="Arial" w:hAnsi="Arial" w:cs="Arial"/>
        </w:rPr>
        <w:tab/>
      </w:r>
      <w:r w:rsidR="005B2128" w:rsidRPr="002750AF">
        <w:rPr>
          <w:rFonts w:ascii="Arial" w:hAnsi="Arial" w:cs="Arial"/>
        </w:rPr>
        <w:t>The respondent is ordered to:</w:t>
      </w:r>
    </w:p>
    <w:p w14:paraId="3047A0BA" w14:textId="77777777" w:rsidR="000149D3" w:rsidRDefault="000149D3" w:rsidP="00A4540F">
      <w:pPr>
        <w:pStyle w:val="ListParagraph"/>
        <w:spacing w:line="480" w:lineRule="auto"/>
        <w:ind w:left="1701"/>
        <w:jc w:val="both"/>
        <w:rPr>
          <w:rFonts w:ascii="Arial" w:hAnsi="Arial" w:cs="Arial"/>
        </w:rPr>
      </w:pPr>
    </w:p>
    <w:p w14:paraId="044947C2" w14:textId="0370E638" w:rsidR="005B2128" w:rsidRPr="002750AF" w:rsidRDefault="002750AF" w:rsidP="002750AF">
      <w:pPr>
        <w:spacing w:line="480" w:lineRule="auto"/>
        <w:ind w:left="2410" w:hanging="709"/>
        <w:jc w:val="both"/>
        <w:rPr>
          <w:rFonts w:ascii="Arial" w:hAnsi="Arial" w:cs="Arial"/>
        </w:rPr>
      </w:pPr>
      <w:r>
        <w:rPr>
          <w:rFonts w:ascii="Arial" w:hAnsi="Arial" w:cs="Arial"/>
        </w:rPr>
        <w:t>2.1</w:t>
      </w:r>
      <w:r>
        <w:rPr>
          <w:rFonts w:ascii="Arial" w:hAnsi="Arial" w:cs="Arial"/>
        </w:rPr>
        <w:tab/>
      </w:r>
      <w:r w:rsidR="00F02D5D" w:rsidRPr="002750AF">
        <w:rPr>
          <w:rFonts w:ascii="Arial" w:hAnsi="Arial" w:cs="Arial"/>
        </w:rPr>
        <w:t>Furnish the applicants with a d</w:t>
      </w:r>
      <w:r w:rsidR="005B2128" w:rsidRPr="002750AF">
        <w:rPr>
          <w:rFonts w:ascii="Arial" w:hAnsi="Arial" w:cs="Arial"/>
        </w:rPr>
        <w:t xml:space="preserve">etailed and accurate accounts </w:t>
      </w:r>
      <w:r w:rsidR="00F02D5D" w:rsidRPr="002750AF">
        <w:rPr>
          <w:rFonts w:ascii="Arial" w:hAnsi="Arial" w:cs="Arial"/>
        </w:rPr>
        <w:t xml:space="preserve">of municipal services </w:t>
      </w:r>
      <w:r w:rsidR="005B2128" w:rsidRPr="002750AF">
        <w:rPr>
          <w:rFonts w:ascii="Arial" w:hAnsi="Arial" w:cs="Arial"/>
        </w:rPr>
        <w:t xml:space="preserve">from 15 October 2021, alternatively, </w:t>
      </w:r>
      <w:r w:rsidR="005B6C49" w:rsidRPr="002750AF">
        <w:rPr>
          <w:rFonts w:ascii="Arial" w:hAnsi="Arial" w:cs="Arial"/>
        </w:rPr>
        <w:t xml:space="preserve">from </w:t>
      </w:r>
      <w:r w:rsidR="005B2128" w:rsidRPr="002750AF">
        <w:rPr>
          <w:rFonts w:ascii="Arial" w:hAnsi="Arial" w:cs="Arial"/>
        </w:rPr>
        <w:t>the date which the applicants became owners of the disputed property up to date.</w:t>
      </w:r>
    </w:p>
    <w:p w14:paraId="313CC4C8" w14:textId="77777777" w:rsidR="00F02D5D" w:rsidRPr="00F02D5D" w:rsidRDefault="00F02D5D" w:rsidP="00F02D5D">
      <w:pPr>
        <w:pStyle w:val="ListParagraph"/>
        <w:spacing w:line="480" w:lineRule="auto"/>
        <w:ind w:left="2410"/>
        <w:jc w:val="both"/>
        <w:rPr>
          <w:rFonts w:ascii="Arial" w:hAnsi="Arial" w:cs="Arial"/>
        </w:rPr>
      </w:pPr>
    </w:p>
    <w:p w14:paraId="3C080842" w14:textId="030B2D9C" w:rsidR="005B2128" w:rsidRPr="002750AF" w:rsidRDefault="002750AF" w:rsidP="002750AF">
      <w:pPr>
        <w:spacing w:line="480" w:lineRule="auto"/>
        <w:ind w:left="2410" w:hanging="709"/>
        <w:jc w:val="both"/>
        <w:rPr>
          <w:rFonts w:ascii="Arial" w:hAnsi="Arial" w:cs="Arial"/>
        </w:rPr>
      </w:pPr>
      <w:r>
        <w:rPr>
          <w:rFonts w:ascii="Arial" w:hAnsi="Arial" w:cs="Arial"/>
        </w:rPr>
        <w:t>2.2</w:t>
      </w:r>
      <w:r>
        <w:rPr>
          <w:rFonts w:ascii="Arial" w:hAnsi="Arial" w:cs="Arial"/>
        </w:rPr>
        <w:tab/>
      </w:r>
      <w:r w:rsidR="005B2128" w:rsidRPr="002750AF">
        <w:rPr>
          <w:rFonts w:ascii="Arial" w:hAnsi="Arial" w:cs="Arial"/>
        </w:rPr>
        <w:t xml:space="preserve">Attend to the reconciliation </w:t>
      </w:r>
      <w:r w:rsidR="0040430D" w:rsidRPr="002750AF">
        <w:rPr>
          <w:rFonts w:ascii="Arial" w:hAnsi="Arial" w:cs="Arial"/>
        </w:rPr>
        <w:t xml:space="preserve">of the accounts as reflected in subparagraph </w:t>
      </w:r>
      <w:r w:rsidR="00D0271A" w:rsidRPr="002750AF">
        <w:rPr>
          <w:rFonts w:ascii="Arial" w:hAnsi="Arial" w:cs="Arial"/>
        </w:rPr>
        <w:t xml:space="preserve">2.1 </w:t>
      </w:r>
      <w:r w:rsidR="0040430D" w:rsidRPr="002750AF">
        <w:rPr>
          <w:rFonts w:ascii="Arial" w:hAnsi="Arial" w:cs="Arial"/>
        </w:rPr>
        <w:t>hereinabove against the payment that has already been made by the applicants.</w:t>
      </w:r>
    </w:p>
    <w:p w14:paraId="160B2FC1" w14:textId="77777777" w:rsidR="00D0271A" w:rsidRDefault="00D0271A" w:rsidP="00D0271A">
      <w:pPr>
        <w:pStyle w:val="ListParagraph"/>
        <w:spacing w:line="480" w:lineRule="auto"/>
        <w:ind w:left="2410"/>
        <w:jc w:val="both"/>
        <w:rPr>
          <w:rFonts w:ascii="Arial" w:hAnsi="Arial" w:cs="Arial"/>
        </w:rPr>
      </w:pPr>
    </w:p>
    <w:p w14:paraId="0909B4A9" w14:textId="36A0A365" w:rsidR="0040430D" w:rsidRPr="002750AF" w:rsidRDefault="002750AF" w:rsidP="002750AF">
      <w:pPr>
        <w:spacing w:line="480" w:lineRule="auto"/>
        <w:ind w:left="2410" w:hanging="709"/>
        <w:jc w:val="both"/>
        <w:rPr>
          <w:rFonts w:ascii="Arial" w:hAnsi="Arial" w:cs="Arial"/>
        </w:rPr>
      </w:pPr>
      <w:r w:rsidRPr="00D0271A">
        <w:rPr>
          <w:rFonts w:ascii="Arial" w:hAnsi="Arial" w:cs="Arial"/>
        </w:rPr>
        <w:t>2.3</w:t>
      </w:r>
      <w:r w:rsidRPr="00D0271A">
        <w:rPr>
          <w:rFonts w:ascii="Arial" w:hAnsi="Arial" w:cs="Arial"/>
        </w:rPr>
        <w:tab/>
      </w:r>
      <w:r w:rsidR="00D0271A" w:rsidRPr="002750AF">
        <w:rPr>
          <w:rFonts w:ascii="Arial" w:hAnsi="Arial" w:cs="Arial"/>
        </w:rPr>
        <w:t>Ensure that g</w:t>
      </w:r>
      <w:r w:rsidR="0040430D" w:rsidRPr="002750AF">
        <w:rPr>
          <w:rFonts w:ascii="Arial" w:hAnsi="Arial" w:cs="Arial"/>
        </w:rPr>
        <w:t xml:space="preserve">oing forward the applicants </w:t>
      </w:r>
      <w:r w:rsidR="00D0271A" w:rsidRPr="002750AF">
        <w:rPr>
          <w:rFonts w:ascii="Arial" w:hAnsi="Arial" w:cs="Arial"/>
        </w:rPr>
        <w:t xml:space="preserve">are provided </w:t>
      </w:r>
      <w:r w:rsidR="0040430D" w:rsidRPr="002750AF">
        <w:rPr>
          <w:rFonts w:ascii="Arial" w:hAnsi="Arial" w:cs="Arial"/>
        </w:rPr>
        <w:t xml:space="preserve">with regular and accurate accounts that indicate the rate of the </w:t>
      </w:r>
      <w:r w:rsidR="0040430D" w:rsidRPr="002750AF">
        <w:rPr>
          <w:rFonts w:ascii="Arial" w:hAnsi="Arial" w:cs="Arial"/>
        </w:rPr>
        <w:lastRenderedPageBreak/>
        <w:t xml:space="preserve">consumption of the services in terms of the applicable </w:t>
      </w:r>
      <w:r w:rsidR="00CF1255" w:rsidRPr="002750AF">
        <w:rPr>
          <w:rFonts w:ascii="Arial" w:hAnsi="Arial" w:cs="Arial"/>
        </w:rPr>
        <w:t>legislation.</w:t>
      </w:r>
    </w:p>
    <w:p w14:paraId="7FA1AF00" w14:textId="77777777" w:rsidR="000149D3" w:rsidRPr="000149D3" w:rsidRDefault="000149D3" w:rsidP="000149D3">
      <w:pPr>
        <w:spacing w:line="480" w:lineRule="auto"/>
        <w:jc w:val="both"/>
        <w:rPr>
          <w:rFonts w:ascii="Arial" w:hAnsi="Arial" w:cs="Arial"/>
        </w:rPr>
      </w:pPr>
    </w:p>
    <w:p w14:paraId="27A190AE" w14:textId="1CF2F17E" w:rsidR="005B2128" w:rsidRPr="002750AF" w:rsidRDefault="002750AF" w:rsidP="002750AF">
      <w:pPr>
        <w:spacing w:line="480" w:lineRule="auto"/>
        <w:ind w:left="1701" w:hanging="567"/>
        <w:jc w:val="both"/>
        <w:rPr>
          <w:rFonts w:ascii="Arial" w:hAnsi="Arial" w:cs="Arial"/>
        </w:rPr>
      </w:pPr>
      <w:r>
        <w:rPr>
          <w:rFonts w:ascii="Arial" w:hAnsi="Arial" w:cs="Arial"/>
        </w:rPr>
        <w:t>3.</w:t>
      </w:r>
      <w:r>
        <w:rPr>
          <w:rFonts w:ascii="Arial" w:hAnsi="Arial" w:cs="Arial"/>
        </w:rPr>
        <w:tab/>
      </w:r>
      <w:r w:rsidR="00CF1255" w:rsidRPr="002750AF">
        <w:rPr>
          <w:rFonts w:ascii="Arial" w:hAnsi="Arial" w:cs="Arial"/>
        </w:rPr>
        <w:t xml:space="preserve">That pending compliance with </w:t>
      </w:r>
      <w:r w:rsidR="00D0271A" w:rsidRPr="002750AF">
        <w:rPr>
          <w:rFonts w:ascii="Arial" w:hAnsi="Arial" w:cs="Arial"/>
        </w:rPr>
        <w:t>paragraph 2 hereinabove</w:t>
      </w:r>
      <w:r w:rsidR="00CF1255" w:rsidRPr="002750AF">
        <w:rPr>
          <w:rFonts w:ascii="Arial" w:hAnsi="Arial" w:cs="Arial"/>
        </w:rPr>
        <w:t xml:space="preserve">, the </w:t>
      </w:r>
      <w:r w:rsidR="00FA5027" w:rsidRPr="002750AF">
        <w:rPr>
          <w:rFonts w:ascii="Arial" w:hAnsi="Arial" w:cs="Arial"/>
        </w:rPr>
        <w:t>r</w:t>
      </w:r>
      <w:r w:rsidR="005B6C49" w:rsidRPr="002750AF">
        <w:rPr>
          <w:rFonts w:ascii="Arial" w:hAnsi="Arial" w:cs="Arial"/>
        </w:rPr>
        <w:t>espondent</w:t>
      </w:r>
      <w:r w:rsidR="00CF1255" w:rsidRPr="002750AF">
        <w:rPr>
          <w:rFonts w:ascii="Arial" w:hAnsi="Arial" w:cs="Arial"/>
        </w:rPr>
        <w:t xml:space="preserve"> is interdicted from implementing any credit control measures</w:t>
      </w:r>
      <w:r w:rsidR="00271D77" w:rsidRPr="002750AF">
        <w:rPr>
          <w:rFonts w:ascii="Arial" w:hAnsi="Arial" w:cs="Arial"/>
        </w:rPr>
        <w:t>,</w:t>
      </w:r>
      <w:r w:rsidR="00CF1255" w:rsidRPr="002750AF">
        <w:rPr>
          <w:rFonts w:ascii="Arial" w:hAnsi="Arial" w:cs="Arial"/>
        </w:rPr>
        <w:t xml:space="preserve"> which include the termination of electricity supply to the applicants</w:t>
      </w:r>
      <w:r w:rsidR="00795FF0" w:rsidRPr="002750AF">
        <w:rPr>
          <w:rFonts w:ascii="Arial" w:hAnsi="Arial" w:cs="Arial"/>
        </w:rPr>
        <w:t xml:space="preserve"> premises.</w:t>
      </w:r>
    </w:p>
    <w:p w14:paraId="6100A185" w14:textId="77777777" w:rsidR="00271D77" w:rsidRDefault="00271D77" w:rsidP="00271D77">
      <w:pPr>
        <w:pStyle w:val="ListParagraph"/>
        <w:spacing w:line="480" w:lineRule="auto"/>
        <w:ind w:left="1701"/>
        <w:jc w:val="both"/>
        <w:rPr>
          <w:rFonts w:ascii="Arial" w:hAnsi="Arial" w:cs="Arial"/>
        </w:rPr>
      </w:pPr>
    </w:p>
    <w:p w14:paraId="09B351F0" w14:textId="44451439" w:rsidR="00795FF0" w:rsidRPr="002750AF" w:rsidRDefault="002750AF" w:rsidP="002750AF">
      <w:pPr>
        <w:spacing w:line="480" w:lineRule="auto"/>
        <w:ind w:left="1701" w:hanging="567"/>
        <w:jc w:val="both"/>
        <w:rPr>
          <w:rFonts w:ascii="Arial" w:hAnsi="Arial" w:cs="Arial"/>
        </w:rPr>
      </w:pPr>
      <w:r>
        <w:rPr>
          <w:rFonts w:ascii="Arial" w:hAnsi="Arial" w:cs="Arial"/>
        </w:rPr>
        <w:t>4.</w:t>
      </w:r>
      <w:r>
        <w:rPr>
          <w:rFonts w:ascii="Arial" w:hAnsi="Arial" w:cs="Arial"/>
        </w:rPr>
        <w:tab/>
      </w:r>
      <w:r w:rsidR="00795FF0" w:rsidRPr="002750AF">
        <w:rPr>
          <w:rFonts w:ascii="Arial" w:hAnsi="Arial" w:cs="Arial"/>
        </w:rPr>
        <w:t xml:space="preserve">The above interdict shall automatically lapse upon the compliance with the provisions of paragraph </w:t>
      </w:r>
      <w:r w:rsidR="00271D77" w:rsidRPr="002750AF">
        <w:rPr>
          <w:rFonts w:ascii="Arial" w:hAnsi="Arial" w:cs="Arial"/>
        </w:rPr>
        <w:t>2</w:t>
      </w:r>
      <w:r w:rsidR="00795FF0" w:rsidRPr="002750AF">
        <w:rPr>
          <w:rFonts w:ascii="Arial" w:hAnsi="Arial" w:cs="Arial"/>
        </w:rPr>
        <w:t xml:space="preserve"> hereinabove.</w:t>
      </w:r>
    </w:p>
    <w:p w14:paraId="09645974" w14:textId="77777777" w:rsidR="000149D3" w:rsidRDefault="000149D3" w:rsidP="000149D3">
      <w:pPr>
        <w:pStyle w:val="ListParagraph"/>
        <w:spacing w:line="480" w:lineRule="auto"/>
        <w:ind w:left="1701"/>
        <w:jc w:val="both"/>
        <w:rPr>
          <w:rFonts w:ascii="Arial" w:hAnsi="Arial" w:cs="Arial"/>
        </w:rPr>
      </w:pPr>
    </w:p>
    <w:p w14:paraId="61E6DCF0" w14:textId="69500B36" w:rsidR="00795FF0" w:rsidRPr="002750AF" w:rsidRDefault="002750AF" w:rsidP="002750AF">
      <w:pPr>
        <w:spacing w:line="480" w:lineRule="auto"/>
        <w:ind w:left="1701" w:hanging="567"/>
        <w:jc w:val="both"/>
        <w:rPr>
          <w:rFonts w:ascii="Arial" w:hAnsi="Arial" w:cs="Arial"/>
        </w:rPr>
      </w:pPr>
      <w:r w:rsidRPr="000149D3">
        <w:rPr>
          <w:rFonts w:ascii="Arial" w:hAnsi="Arial" w:cs="Arial"/>
        </w:rPr>
        <w:t>5.</w:t>
      </w:r>
      <w:r w:rsidRPr="000149D3">
        <w:rPr>
          <w:rFonts w:ascii="Arial" w:hAnsi="Arial" w:cs="Arial"/>
        </w:rPr>
        <w:tab/>
      </w:r>
      <w:r w:rsidR="00795FF0" w:rsidRPr="002750AF">
        <w:rPr>
          <w:rFonts w:ascii="Arial" w:hAnsi="Arial" w:cs="Arial"/>
        </w:rPr>
        <w:t>The respondent to pay the cost</w:t>
      </w:r>
      <w:r w:rsidR="00271D77" w:rsidRPr="002750AF">
        <w:rPr>
          <w:rFonts w:ascii="Arial" w:hAnsi="Arial" w:cs="Arial"/>
        </w:rPr>
        <w:t>s</w:t>
      </w:r>
      <w:r w:rsidR="00795FF0" w:rsidRPr="002750AF">
        <w:rPr>
          <w:rFonts w:ascii="Arial" w:hAnsi="Arial" w:cs="Arial"/>
        </w:rPr>
        <w:t xml:space="preserve"> of this application.</w:t>
      </w:r>
    </w:p>
    <w:p w14:paraId="48084892" w14:textId="77777777" w:rsidR="000149D3" w:rsidRDefault="000149D3" w:rsidP="00031AB0">
      <w:pPr>
        <w:spacing w:line="480" w:lineRule="auto"/>
        <w:jc w:val="both"/>
        <w:rPr>
          <w:b/>
          <w:bCs/>
          <w:i/>
          <w:iCs/>
        </w:rPr>
      </w:pPr>
    </w:p>
    <w:p w14:paraId="36BA1B5F" w14:textId="5492D39D" w:rsidR="00031AB0" w:rsidRPr="0090034F" w:rsidRDefault="00031AB0" w:rsidP="00031AB0">
      <w:pPr>
        <w:jc w:val="right"/>
        <w:rPr>
          <w:rFonts w:ascii="Arial" w:hAnsi="Arial" w:cs="Arial"/>
          <w:b/>
          <w:bCs/>
          <w:i/>
          <w:iCs/>
        </w:rPr>
      </w:pPr>
      <w:r w:rsidRPr="0090034F">
        <w:rPr>
          <w:rFonts w:ascii="Arial" w:hAnsi="Arial" w:cs="Arial"/>
          <w:b/>
          <w:bCs/>
          <w:i/>
          <w:iCs/>
        </w:rPr>
        <w:t>_______________________</w:t>
      </w:r>
    </w:p>
    <w:p w14:paraId="266AF9B5" w14:textId="77777777" w:rsidR="00C74BEA" w:rsidRDefault="00031AB0" w:rsidP="005553FE">
      <w:pPr>
        <w:spacing w:line="276" w:lineRule="auto"/>
        <w:jc w:val="right"/>
        <w:rPr>
          <w:rFonts w:ascii="Arial" w:hAnsi="Arial" w:cs="Arial"/>
          <w:b/>
          <w:bCs/>
          <w:iCs/>
        </w:rPr>
      </w:pPr>
      <w:r w:rsidRPr="00C74BEA">
        <w:rPr>
          <w:rFonts w:ascii="Arial" w:hAnsi="Arial" w:cs="Arial"/>
          <w:b/>
          <w:bCs/>
          <w:iCs/>
        </w:rPr>
        <w:t>MM MOJAPELO AJ</w:t>
      </w:r>
    </w:p>
    <w:p w14:paraId="615622C1" w14:textId="016BFA38" w:rsidR="00C74BEA" w:rsidRDefault="00C74BEA" w:rsidP="005553FE">
      <w:pPr>
        <w:spacing w:line="276" w:lineRule="auto"/>
        <w:jc w:val="right"/>
        <w:rPr>
          <w:rFonts w:ascii="Arial" w:hAnsi="Arial" w:cs="Arial"/>
          <w:b/>
          <w:bCs/>
          <w:iCs/>
        </w:rPr>
      </w:pPr>
      <w:r>
        <w:rPr>
          <w:rFonts w:ascii="Arial" w:hAnsi="Arial" w:cs="Arial"/>
          <w:b/>
          <w:bCs/>
          <w:iCs/>
        </w:rPr>
        <w:t xml:space="preserve">ACTING JUDGE </w:t>
      </w:r>
    </w:p>
    <w:p w14:paraId="78674B16" w14:textId="39750F2A" w:rsidR="00C74BEA" w:rsidRDefault="00C74BEA" w:rsidP="005553FE">
      <w:pPr>
        <w:spacing w:line="276" w:lineRule="auto"/>
        <w:jc w:val="right"/>
        <w:rPr>
          <w:rFonts w:ascii="Arial" w:hAnsi="Arial" w:cs="Arial"/>
          <w:b/>
          <w:bCs/>
          <w:iCs/>
        </w:rPr>
      </w:pPr>
      <w:r>
        <w:rPr>
          <w:rFonts w:ascii="Arial" w:hAnsi="Arial" w:cs="Arial"/>
          <w:b/>
          <w:bCs/>
          <w:iCs/>
        </w:rPr>
        <w:t>HIGH COURT GAUTENG DIVISION, PRETORIA</w:t>
      </w:r>
    </w:p>
    <w:p w14:paraId="5AD38C42" w14:textId="46DCF09F" w:rsidR="00E836A9" w:rsidRDefault="00E836A9" w:rsidP="002E41DF">
      <w:pPr>
        <w:spacing w:line="600" w:lineRule="auto"/>
        <w:jc w:val="right"/>
        <w:rPr>
          <w:rFonts w:ascii="Arial" w:hAnsi="Arial" w:cs="Arial"/>
          <w:b/>
          <w:bCs/>
          <w:iCs/>
        </w:rPr>
      </w:pPr>
    </w:p>
    <w:p w14:paraId="2507DB21" w14:textId="342FA7EE" w:rsidR="00E836A9" w:rsidRDefault="00E836A9" w:rsidP="005553FE">
      <w:pPr>
        <w:spacing w:line="276" w:lineRule="auto"/>
        <w:rPr>
          <w:rFonts w:ascii="Arial" w:hAnsi="Arial" w:cs="Arial"/>
          <w:b/>
          <w:bCs/>
          <w:iCs/>
        </w:rPr>
      </w:pPr>
      <w:r>
        <w:rPr>
          <w:rFonts w:ascii="Arial" w:hAnsi="Arial" w:cs="Arial"/>
          <w:b/>
          <w:bCs/>
          <w:iCs/>
        </w:rPr>
        <w:t xml:space="preserve">COUNSEL FOR THE APPLICANTS </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sidR="003418E5">
        <w:rPr>
          <w:rFonts w:ascii="Arial" w:hAnsi="Arial" w:cs="Arial"/>
          <w:b/>
          <w:bCs/>
          <w:iCs/>
        </w:rPr>
        <w:t xml:space="preserve">  </w:t>
      </w:r>
      <w:r>
        <w:rPr>
          <w:rFonts w:ascii="Arial" w:hAnsi="Arial" w:cs="Arial"/>
          <w:b/>
          <w:bCs/>
          <w:iCs/>
        </w:rPr>
        <w:t xml:space="preserve">ADVOCATE E WARD </w:t>
      </w:r>
    </w:p>
    <w:p w14:paraId="5A349E67" w14:textId="6EA0FEAE" w:rsidR="00E836A9" w:rsidRDefault="00E836A9" w:rsidP="005553FE">
      <w:pPr>
        <w:spacing w:line="276" w:lineRule="auto"/>
        <w:rPr>
          <w:rFonts w:ascii="Arial" w:hAnsi="Arial" w:cs="Arial"/>
          <w:b/>
          <w:bCs/>
          <w:iCs/>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sidR="00D014D7">
        <w:rPr>
          <w:rFonts w:ascii="Arial" w:hAnsi="Arial" w:cs="Arial"/>
          <w:b/>
          <w:bCs/>
          <w:iCs/>
        </w:rPr>
        <w:t xml:space="preserve">     </w:t>
      </w:r>
      <w:r w:rsidR="003418E5">
        <w:rPr>
          <w:rFonts w:ascii="Arial" w:hAnsi="Arial" w:cs="Arial"/>
          <w:b/>
          <w:bCs/>
          <w:iCs/>
        </w:rPr>
        <w:t xml:space="preserve"> </w:t>
      </w:r>
      <w:r w:rsidR="00D014D7">
        <w:rPr>
          <w:rFonts w:ascii="Arial" w:hAnsi="Arial" w:cs="Arial"/>
          <w:b/>
          <w:bCs/>
          <w:iCs/>
        </w:rPr>
        <w:t>CLUB ADVOCATE CHAM</w:t>
      </w:r>
      <w:r>
        <w:rPr>
          <w:rFonts w:ascii="Arial" w:hAnsi="Arial" w:cs="Arial"/>
          <w:b/>
          <w:bCs/>
          <w:iCs/>
        </w:rPr>
        <w:t xml:space="preserve">BERS </w:t>
      </w:r>
    </w:p>
    <w:p w14:paraId="043B5B99" w14:textId="77777777" w:rsidR="0048129F" w:rsidRDefault="0048129F" w:rsidP="00E836A9">
      <w:pPr>
        <w:spacing w:line="480" w:lineRule="auto"/>
        <w:rPr>
          <w:rFonts w:ascii="Arial" w:hAnsi="Arial" w:cs="Arial"/>
          <w:b/>
          <w:bCs/>
          <w:iCs/>
        </w:rPr>
      </w:pPr>
    </w:p>
    <w:p w14:paraId="3888E93B" w14:textId="7B147708" w:rsidR="00E836A9" w:rsidRDefault="00E836A9" w:rsidP="00E836A9">
      <w:pPr>
        <w:spacing w:line="480" w:lineRule="auto"/>
        <w:rPr>
          <w:rFonts w:ascii="Arial" w:hAnsi="Arial" w:cs="Arial"/>
          <w:b/>
          <w:bCs/>
          <w:iCs/>
        </w:rPr>
      </w:pPr>
      <w:r>
        <w:rPr>
          <w:rFonts w:ascii="Arial" w:hAnsi="Arial" w:cs="Arial"/>
          <w:b/>
          <w:bCs/>
          <w:iCs/>
        </w:rPr>
        <w:t>ATTORNEY FOR THE APPLICANT</w:t>
      </w:r>
      <w:r w:rsidR="00D014D7">
        <w:rPr>
          <w:rFonts w:ascii="Arial" w:hAnsi="Arial" w:cs="Arial"/>
          <w:b/>
          <w:bCs/>
          <w:iCs/>
        </w:rPr>
        <w:tab/>
      </w:r>
      <w:r w:rsidR="00D014D7">
        <w:rPr>
          <w:rFonts w:ascii="Arial" w:hAnsi="Arial" w:cs="Arial"/>
          <w:b/>
          <w:bCs/>
          <w:iCs/>
        </w:rPr>
        <w:tab/>
      </w:r>
      <w:r w:rsidR="00D014D7">
        <w:rPr>
          <w:rFonts w:ascii="Arial" w:hAnsi="Arial" w:cs="Arial"/>
          <w:b/>
          <w:bCs/>
          <w:iCs/>
        </w:rPr>
        <w:tab/>
        <w:t xml:space="preserve">         </w:t>
      </w:r>
      <w:r w:rsidR="003418E5">
        <w:rPr>
          <w:rFonts w:ascii="Arial" w:hAnsi="Arial" w:cs="Arial"/>
          <w:b/>
          <w:bCs/>
          <w:iCs/>
        </w:rPr>
        <w:t xml:space="preserve"> </w:t>
      </w:r>
      <w:r w:rsidR="00D014D7">
        <w:rPr>
          <w:rFonts w:ascii="Arial" w:hAnsi="Arial" w:cs="Arial"/>
          <w:b/>
          <w:bCs/>
          <w:iCs/>
        </w:rPr>
        <w:t>MANLEY MANLEY INC</w:t>
      </w:r>
    </w:p>
    <w:p w14:paraId="4AFD9DA1" w14:textId="7E9506C5" w:rsidR="0048129F" w:rsidRDefault="0048129F" w:rsidP="00E836A9">
      <w:pPr>
        <w:spacing w:line="480" w:lineRule="auto"/>
        <w:rPr>
          <w:rFonts w:ascii="Arial" w:hAnsi="Arial" w:cs="Arial"/>
          <w:b/>
          <w:bCs/>
          <w:iCs/>
        </w:rPr>
      </w:pPr>
    </w:p>
    <w:p w14:paraId="3631B93D" w14:textId="5B2775AD" w:rsidR="0048129F" w:rsidRDefault="0048129F" w:rsidP="00E836A9">
      <w:pPr>
        <w:spacing w:line="480" w:lineRule="auto"/>
        <w:rPr>
          <w:rFonts w:ascii="Arial" w:hAnsi="Arial" w:cs="Arial"/>
          <w:b/>
          <w:bCs/>
          <w:iCs/>
        </w:rPr>
      </w:pPr>
      <w:r>
        <w:rPr>
          <w:rFonts w:ascii="Arial" w:hAnsi="Arial" w:cs="Arial"/>
          <w:b/>
          <w:bCs/>
          <w:iCs/>
        </w:rPr>
        <w:t>COUNSEL FOR THE RESPONDENT</w:t>
      </w:r>
      <w:r>
        <w:rPr>
          <w:rFonts w:ascii="Arial" w:hAnsi="Arial" w:cs="Arial"/>
          <w:b/>
          <w:bCs/>
          <w:iCs/>
        </w:rPr>
        <w:tab/>
      </w:r>
      <w:r>
        <w:rPr>
          <w:rFonts w:ascii="Arial" w:hAnsi="Arial" w:cs="Arial"/>
          <w:b/>
          <w:bCs/>
          <w:iCs/>
        </w:rPr>
        <w:tab/>
      </w:r>
      <w:r>
        <w:rPr>
          <w:rFonts w:ascii="Arial" w:hAnsi="Arial" w:cs="Arial"/>
          <w:b/>
          <w:bCs/>
          <w:iCs/>
        </w:rPr>
        <w:tab/>
        <w:t xml:space="preserve">       ADVOCATE TC KWINDA</w:t>
      </w:r>
    </w:p>
    <w:p w14:paraId="13DA4CC9" w14:textId="38C073D1" w:rsidR="003418E5" w:rsidRDefault="003418E5" w:rsidP="00E836A9">
      <w:pPr>
        <w:spacing w:line="480" w:lineRule="auto"/>
        <w:rPr>
          <w:rFonts w:ascii="Arial" w:hAnsi="Arial" w:cs="Arial"/>
          <w:b/>
          <w:bCs/>
          <w:iCs/>
        </w:rPr>
      </w:pPr>
    </w:p>
    <w:p w14:paraId="4A27E6A0" w14:textId="36C1E847" w:rsidR="003418E5" w:rsidRDefault="003418E5" w:rsidP="005553FE">
      <w:pPr>
        <w:spacing w:line="276" w:lineRule="auto"/>
        <w:rPr>
          <w:rFonts w:ascii="Arial" w:hAnsi="Arial" w:cs="Arial"/>
          <w:b/>
          <w:bCs/>
          <w:iCs/>
        </w:rPr>
      </w:pPr>
      <w:r>
        <w:rPr>
          <w:rFonts w:ascii="Arial" w:hAnsi="Arial" w:cs="Arial"/>
          <w:b/>
          <w:bCs/>
          <w:iCs/>
        </w:rPr>
        <w:t>ATTORNEYS FOR THE RESPONDENT</w:t>
      </w:r>
      <w:r>
        <w:rPr>
          <w:rFonts w:ascii="Arial" w:hAnsi="Arial" w:cs="Arial"/>
          <w:b/>
          <w:bCs/>
          <w:iCs/>
        </w:rPr>
        <w:tab/>
        <w:t xml:space="preserve">         JL RAPHIRI ATTORNEYS INC</w:t>
      </w:r>
    </w:p>
    <w:p w14:paraId="47F8C46F" w14:textId="312E71C5" w:rsidR="003418E5" w:rsidRPr="00C74BEA" w:rsidRDefault="003418E5" w:rsidP="005553FE">
      <w:pPr>
        <w:spacing w:line="276" w:lineRule="auto"/>
        <w:rPr>
          <w:rFonts w:ascii="Arial" w:hAnsi="Arial" w:cs="Arial"/>
          <w:b/>
          <w:bCs/>
          <w:iCs/>
        </w:rPr>
      </w:pP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t>PRETORIA</w:t>
      </w:r>
    </w:p>
    <w:sectPr w:rsidR="003418E5" w:rsidRPr="00C74BEA" w:rsidSect="00E537B3">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2B2C" w14:textId="77777777" w:rsidR="00581169" w:rsidRDefault="00581169" w:rsidP="00A71E99">
      <w:r>
        <w:separator/>
      </w:r>
    </w:p>
  </w:endnote>
  <w:endnote w:type="continuationSeparator" w:id="0">
    <w:p w14:paraId="6C7ECD6D" w14:textId="77777777" w:rsidR="00581169" w:rsidRDefault="00581169" w:rsidP="00A7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63599"/>
      <w:docPartObj>
        <w:docPartGallery w:val="Page Numbers (Bottom of Page)"/>
        <w:docPartUnique/>
      </w:docPartObj>
    </w:sdtPr>
    <w:sdtEndPr>
      <w:rPr>
        <w:noProof/>
      </w:rPr>
    </w:sdtEndPr>
    <w:sdtContent>
      <w:p w14:paraId="10FAE284" w14:textId="584AED24" w:rsidR="00E836A9" w:rsidRDefault="00E836A9">
        <w:pPr>
          <w:pStyle w:val="Footer"/>
          <w:jc w:val="right"/>
        </w:pPr>
        <w:r>
          <w:fldChar w:fldCharType="begin"/>
        </w:r>
        <w:r>
          <w:instrText xml:space="preserve"> PAGE   \* MERGEFORMAT </w:instrText>
        </w:r>
        <w:r>
          <w:fldChar w:fldCharType="separate"/>
        </w:r>
        <w:r w:rsidR="002750AF">
          <w:rPr>
            <w:noProof/>
          </w:rPr>
          <w:t>2</w:t>
        </w:r>
        <w:r>
          <w:rPr>
            <w:noProof/>
          </w:rPr>
          <w:fldChar w:fldCharType="end"/>
        </w:r>
      </w:p>
    </w:sdtContent>
  </w:sdt>
  <w:p w14:paraId="156C9E08" w14:textId="77777777" w:rsidR="00E836A9" w:rsidRDefault="00E8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5D626" w14:textId="77777777" w:rsidR="00581169" w:rsidRDefault="00581169" w:rsidP="00A71E99">
      <w:r>
        <w:separator/>
      </w:r>
    </w:p>
  </w:footnote>
  <w:footnote w:type="continuationSeparator" w:id="0">
    <w:p w14:paraId="0AE8BD91" w14:textId="77777777" w:rsidR="00581169" w:rsidRDefault="00581169" w:rsidP="00A7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6E99" w14:textId="47FB71EB" w:rsidR="00A71E99" w:rsidRDefault="00A71E99">
    <w:pPr>
      <w:pStyle w:val="Header"/>
      <w:jc w:val="right"/>
    </w:pPr>
  </w:p>
  <w:p w14:paraId="7A0FDBAD" w14:textId="77777777" w:rsidR="00A71E99" w:rsidRDefault="00A71E99">
    <w:pPr>
      <w:pStyle w:val="Header"/>
    </w:pPr>
  </w:p>
  <w:p w14:paraId="52D75269" w14:textId="77777777" w:rsidR="007523B1" w:rsidRDefault="00752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6C58"/>
    <w:multiLevelType w:val="multilevel"/>
    <w:tmpl w:val="8986760E"/>
    <w:lvl w:ilvl="0">
      <w:start w:val="5"/>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1">
    <w:nsid w:val="0EA506E9"/>
    <w:multiLevelType w:val="multilevel"/>
    <w:tmpl w:val="8F3212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EA50E51"/>
    <w:multiLevelType w:val="multilevel"/>
    <w:tmpl w:val="F85EC6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F584760"/>
    <w:multiLevelType w:val="hybridMultilevel"/>
    <w:tmpl w:val="C26AE0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6B0035"/>
    <w:multiLevelType w:val="hybridMultilevel"/>
    <w:tmpl w:val="7DC8F0D8"/>
    <w:lvl w:ilvl="0" w:tplc="67A81246">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5">
    <w:nsid w:val="38FC4D70"/>
    <w:multiLevelType w:val="multilevel"/>
    <w:tmpl w:val="F176D8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3936167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561AE2"/>
    <w:multiLevelType w:val="hybridMultilevel"/>
    <w:tmpl w:val="57CA3642"/>
    <w:lvl w:ilvl="0" w:tplc="2DBA9A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17E44F2"/>
    <w:multiLevelType w:val="multilevel"/>
    <w:tmpl w:val="8C5AE170"/>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0F2340"/>
    <w:multiLevelType w:val="hybridMultilevel"/>
    <w:tmpl w:val="F8323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AE4158"/>
    <w:multiLevelType w:val="hybridMultilevel"/>
    <w:tmpl w:val="7A1CFF94"/>
    <w:lvl w:ilvl="0" w:tplc="B0E0076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47D31E92"/>
    <w:multiLevelType w:val="hybridMultilevel"/>
    <w:tmpl w:val="8900409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E76A72"/>
    <w:multiLevelType w:val="multilevel"/>
    <w:tmpl w:val="BCE885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EFF6389"/>
    <w:multiLevelType w:val="multilevel"/>
    <w:tmpl w:val="A788B316"/>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91534BC"/>
    <w:multiLevelType w:val="multilevel"/>
    <w:tmpl w:val="B9DA8706"/>
    <w:lvl w:ilvl="0">
      <w:start w:val="17"/>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A467972"/>
    <w:multiLevelType w:val="hybridMultilevel"/>
    <w:tmpl w:val="447E0122"/>
    <w:lvl w:ilvl="0" w:tplc="31E46DF2">
      <w:start w:val="3"/>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697F6F6C"/>
    <w:multiLevelType w:val="multilevel"/>
    <w:tmpl w:val="F036EC68"/>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98A1FDC"/>
    <w:multiLevelType w:val="hybridMultilevel"/>
    <w:tmpl w:val="91389AFA"/>
    <w:lvl w:ilvl="0" w:tplc="391EC4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A5F001C"/>
    <w:multiLevelType w:val="multilevel"/>
    <w:tmpl w:val="27D6B8E2"/>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ACF5C63"/>
    <w:multiLevelType w:val="hybridMultilevel"/>
    <w:tmpl w:val="04408280"/>
    <w:lvl w:ilvl="0" w:tplc="F310309E">
      <w:start w:val="1"/>
      <w:numFmt w:val="decimal"/>
      <w:lvlText w:val="%1."/>
      <w:lvlJc w:val="left"/>
      <w:pPr>
        <w:ind w:left="720" w:hanging="360"/>
      </w:pPr>
      <w:rPr>
        <w:rFonts w:ascii="Arial" w:hAnsi="Arial" w:cs="Arial" w:hint="default"/>
        <w:b w:val="0"/>
        <w:bCs w:val="0"/>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B3462D"/>
    <w:multiLevelType w:val="hybridMultilevel"/>
    <w:tmpl w:val="137CB9EE"/>
    <w:lvl w:ilvl="0" w:tplc="A78C5A28">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C8545CB"/>
    <w:multiLevelType w:val="hybridMultilevel"/>
    <w:tmpl w:val="D066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6"/>
  </w:num>
  <w:num w:numId="4">
    <w:abstractNumId w:val="3"/>
  </w:num>
  <w:num w:numId="5">
    <w:abstractNumId w:val="7"/>
  </w:num>
  <w:num w:numId="6">
    <w:abstractNumId w:val="4"/>
  </w:num>
  <w:num w:numId="7">
    <w:abstractNumId w:val="9"/>
  </w:num>
  <w:num w:numId="8">
    <w:abstractNumId w:val="13"/>
  </w:num>
  <w:num w:numId="9">
    <w:abstractNumId w:val="17"/>
  </w:num>
  <w:num w:numId="10">
    <w:abstractNumId w:val="20"/>
  </w:num>
  <w:num w:numId="11">
    <w:abstractNumId w:val="8"/>
  </w:num>
  <w:num w:numId="12">
    <w:abstractNumId w:val="19"/>
  </w:num>
  <w:num w:numId="13">
    <w:abstractNumId w:val="5"/>
  </w:num>
  <w:num w:numId="14">
    <w:abstractNumId w:val="14"/>
  </w:num>
  <w:num w:numId="15">
    <w:abstractNumId w:val="16"/>
  </w:num>
  <w:num w:numId="16">
    <w:abstractNumId w:val="10"/>
  </w:num>
  <w:num w:numId="17">
    <w:abstractNumId w:val="15"/>
  </w:num>
  <w:num w:numId="18">
    <w:abstractNumId w:val="11"/>
  </w:num>
  <w:num w:numId="19">
    <w:abstractNumId w:val="1"/>
  </w:num>
  <w:num w:numId="20">
    <w:abstractNumId w:val="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A1"/>
    <w:rsid w:val="000026BF"/>
    <w:rsid w:val="00002990"/>
    <w:rsid w:val="000113BF"/>
    <w:rsid w:val="00012D94"/>
    <w:rsid w:val="000149D3"/>
    <w:rsid w:val="000150AC"/>
    <w:rsid w:val="00020B41"/>
    <w:rsid w:val="0002143F"/>
    <w:rsid w:val="0002214F"/>
    <w:rsid w:val="000229BF"/>
    <w:rsid w:val="000269BC"/>
    <w:rsid w:val="00026BB8"/>
    <w:rsid w:val="00027347"/>
    <w:rsid w:val="00030CAE"/>
    <w:rsid w:val="00031AB0"/>
    <w:rsid w:val="00033D02"/>
    <w:rsid w:val="00034ECA"/>
    <w:rsid w:val="00040CCA"/>
    <w:rsid w:val="00044607"/>
    <w:rsid w:val="0005192B"/>
    <w:rsid w:val="00053ACB"/>
    <w:rsid w:val="000623A5"/>
    <w:rsid w:val="00074BCD"/>
    <w:rsid w:val="0007635D"/>
    <w:rsid w:val="00076741"/>
    <w:rsid w:val="00081754"/>
    <w:rsid w:val="000A0D30"/>
    <w:rsid w:val="000A6AAE"/>
    <w:rsid w:val="000B1C4A"/>
    <w:rsid w:val="000B540C"/>
    <w:rsid w:val="000C548E"/>
    <w:rsid w:val="000C5CF0"/>
    <w:rsid w:val="000D0F9E"/>
    <w:rsid w:val="000D1AA5"/>
    <w:rsid w:val="000D4210"/>
    <w:rsid w:val="000D586E"/>
    <w:rsid w:val="000D67BF"/>
    <w:rsid w:val="000E1A39"/>
    <w:rsid w:val="000E223A"/>
    <w:rsid w:val="000E3D98"/>
    <w:rsid w:val="000E56D5"/>
    <w:rsid w:val="000E720F"/>
    <w:rsid w:val="000E7834"/>
    <w:rsid w:val="000F3C5E"/>
    <w:rsid w:val="000F4705"/>
    <w:rsid w:val="001012D1"/>
    <w:rsid w:val="00101534"/>
    <w:rsid w:val="0012108D"/>
    <w:rsid w:val="00122E52"/>
    <w:rsid w:val="00122E6E"/>
    <w:rsid w:val="00132200"/>
    <w:rsid w:val="00135B05"/>
    <w:rsid w:val="00135F56"/>
    <w:rsid w:val="00137CE9"/>
    <w:rsid w:val="00140410"/>
    <w:rsid w:val="001448EE"/>
    <w:rsid w:val="001454A0"/>
    <w:rsid w:val="00146F0F"/>
    <w:rsid w:val="00153431"/>
    <w:rsid w:val="00155498"/>
    <w:rsid w:val="00163BD6"/>
    <w:rsid w:val="00164C31"/>
    <w:rsid w:val="001719A8"/>
    <w:rsid w:val="001735D6"/>
    <w:rsid w:val="00173CA4"/>
    <w:rsid w:val="001804B1"/>
    <w:rsid w:val="00182A5F"/>
    <w:rsid w:val="0018572F"/>
    <w:rsid w:val="00190C7E"/>
    <w:rsid w:val="001A0898"/>
    <w:rsid w:val="001A60AF"/>
    <w:rsid w:val="001A7973"/>
    <w:rsid w:val="001B0684"/>
    <w:rsid w:val="001B1C77"/>
    <w:rsid w:val="001B360C"/>
    <w:rsid w:val="001B6C57"/>
    <w:rsid w:val="001C19D2"/>
    <w:rsid w:val="001C75B5"/>
    <w:rsid w:val="001D0695"/>
    <w:rsid w:val="001D2B74"/>
    <w:rsid w:val="001F3DEB"/>
    <w:rsid w:val="001F5693"/>
    <w:rsid w:val="001F56A1"/>
    <w:rsid w:val="001F5E20"/>
    <w:rsid w:val="001F62E7"/>
    <w:rsid w:val="00201780"/>
    <w:rsid w:val="002057AE"/>
    <w:rsid w:val="00206DDB"/>
    <w:rsid w:val="00207596"/>
    <w:rsid w:val="00211785"/>
    <w:rsid w:val="00212891"/>
    <w:rsid w:val="0021482D"/>
    <w:rsid w:val="00222C13"/>
    <w:rsid w:val="00230AD0"/>
    <w:rsid w:val="002342C9"/>
    <w:rsid w:val="00244BB6"/>
    <w:rsid w:val="00246984"/>
    <w:rsid w:val="00251C0C"/>
    <w:rsid w:val="00252337"/>
    <w:rsid w:val="00271D77"/>
    <w:rsid w:val="00271E83"/>
    <w:rsid w:val="002750AF"/>
    <w:rsid w:val="002817A7"/>
    <w:rsid w:val="002855E7"/>
    <w:rsid w:val="002961FB"/>
    <w:rsid w:val="00296356"/>
    <w:rsid w:val="00296551"/>
    <w:rsid w:val="002A1FA5"/>
    <w:rsid w:val="002A308C"/>
    <w:rsid w:val="002B3E2D"/>
    <w:rsid w:val="002B48BB"/>
    <w:rsid w:val="002B4C91"/>
    <w:rsid w:val="002B552F"/>
    <w:rsid w:val="002C1585"/>
    <w:rsid w:val="002C4C1F"/>
    <w:rsid w:val="002C618F"/>
    <w:rsid w:val="002C6232"/>
    <w:rsid w:val="002D2484"/>
    <w:rsid w:val="002D6E20"/>
    <w:rsid w:val="002E0BCD"/>
    <w:rsid w:val="002E41DF"/>
    <w:rsid w:val="002F0E55"/>
    <w:rsid w:val="002F147C"/>
    <w:rsid w:val="002F3447"/>
    <w:rsid w:val="002F6477"/>
    <w:rsid w:val="00306E6E"/>
    <w:rsid w:val="0031330A"/>
    <w:rsid w:val="00314767"/>
    <w:rsid w:val="0032267D"/>
    <w:rsid w:val="00322F0B"/>
    <w:rsid w:val="003266EF"/>
    <w:rsid w:val="00331BEC"/>
    <w:rsid w:val="003331AA"/>
    <w:rsid w:val="00334731"/>
    <w:rsid w:val="0033582F"/>
    <w:rsid w:val="00337722"/>
    <w:rsid w:val="003418E5"/>
    <w:rsid w:val="00344573"/>
    <w:rsid w:val="00344F82"/>
    <w:rsid w:val="00347BCC"/>
    <w:rsid w:val="00350683"/>
    <w:rsid w:val="00351F3C"/>
    <w:rsid w:val="00353C4D"/>
    <w:rsid w:val="003601F7"/>
    <w:rsid w:val="00360BC0"/>
    <w:rsid w:val="003713BA"/>
    <w:rsid w:val="00371946"/>
    <w:rsid w:val="0037368D"/>
    <w:rsid w:val="00377858"/>
    <w:rsid w:val="00386149"/>
    <w:rsid w:val="00396150"/>
    <w:rsid w:val="003977AF"/>
    <w:rsid w:val="003A4168"/>
    <w:rsid w:val="003B5C35"/>
    <w:rsid w:val="003C31C2"/>
    <w:rsid w:val="003C5853"/>
    <w:rsid w:val="003C7131"/>
    <w:rsid w:val="003D3386"/>
    <w:rsid w:val="003D4790"/>
    <w:rsid w:val="003D5F1F"/>
    <w:rsid w:val="003E3237"/>
    <w:rsid w:val="003E34F2"/>
    <w:rsid w:val="003E3767"/>
    <w:rsid w:val="003E5CB4"/>
    <w:rsid w:val="003F0503"/>
    <w:rsid w:val="004000E4"/>
    <w:rsid w:val="0040430D"/>
    <w:rsid w:val="00406FA2"/>
    <w:rsid w:val="004103F5"/>
    <w:rsid w:val="00412714"/>
    <w:rsid w:val="00414B4C"/>
    <w:rsid w:val="00415C9A"/>
    <w:rsid w:val="00415E84"/>
    <w:rsid w:val="00416A74"/>
    <w:rsid w:val="00420FAE"/>
    <w:rsid w:val="00426E26"/>
    <w:rsid w:val="00436146"/>
    <w:rsid w:val="004406F7"/>
    <w:rsid w:val="00442C60"/>
    <w:rsid w:val="00447911"/>
    <w:rsid w:val="00450B4B"/>
    <w:rsid w:val="00452BF9"/>
    <w:rsid w:val="00466920"/>
    <w:rsid w:val="00466A12"/>
    <w:rsid w:val="0048129F"/>
    <w:rsid w:val="0048384F"/>
    <w:rsid w:val="00483F2A"/>
    <w:rsid w:val="00490CB4"/>
    <w:rsid w:val="00496DB3"/>
    <w:rsid w:val="004A12C5"/>
    <w:rsid w:val="004A2578"/>
    <w:rsid w:val="004A3BC3"/>
    <w:rsid w:val="004B64FE"/>
    <w:rsid w:val="004C10F9"/>
    <w:rsid w:val="004C395F"/>
    <w:rsid w:val="004C43E7"/>
    <w:rsid w:val="004C4DA3"/>
    <w:rsid w:val="004D098E"/>
    <w:rsid w:val="004D24D9"/>
    <w:rsid w:val="004D3F86"/>
    <w:rsid w:val="004D647C"/>
    <w:rsid w:val="004D7937"/>
    <w:rsid w:val="004E193C"/>
    <w:rsid w:val="004E1DEA"/>
    <w:rsid w:val="004E7A81"/>
    <w:rsid w:val="004F1D12"/>
    <w:rsid w:val="00500D69"/>
    <w:rsid w:val="00505491"/>
    <w:rsid w:val="00522104"/>
    <w:rsid w:val="0053419B"/>
    <w:rsid w:val="0053705C"/>
    <w:rsid w:val="005404BB"/>
    <w:rsid w:val="00545613"/>
    <w:rsid w:val="00545ACC"/>
    <w:rsid w:val="00554659"/>
    <w:rsid w:val="005553FE"/>
    <w:rsid w:val="00563E0A"/>
    <w:rsid w:val="00570DC1"/>
    <w:rsid w:val="00571F5B"/>
    <w:rsid w:val="005755A5"/>
    <w:rsid w:val="00581169"/>
    <w:rsid w:val="005830F6"/>
    <w:rsid w:val="005932F5"/>
    <w:rsid w:val="00594A86"/>
    <w:rsid w:val="00595F41"/>
    <w:rsid w:val="0059626C"/>
    <w:rsid w:val="005A35DD"/>
    <w:rsid w:val="005A5ADF"/>
    <w:rsid w:val="005B2128"/>
    <w:rsid w:val="005B39ED"/>
    <w:rsid w:val="005B4BFF"/>
    <w:rsid w:val="005B6C49"/>
    <w:rsid w:val="005C19FA"/>
    <w:rsid w:val="005C2A36"/>
    <w:rsid w:val="005C2E58"/>
    <w:rsid w:val="005C5191"/>
    <w:rsid w:val="005C6D79"/>
    <w:rsid w:val="005D3034"/>
    <w:rsid w:val="005D33C5"/>
    <w:rsid w:val="005E044B"/>
    <w:rsid w:val="005E0FF3"/>
    <w:rsid w:val="005E3F60"/>
    <w:rsid w:val="005E45C0"/>
    <w:rsid w:val="005E6ABD"/>
    <w:rsid w:val="005F26E3"/>
    <w:rsid w:val="005F5C01"/>
    <w:rsid w:val="00602401"/>
    <w:rsid w:val="0060342E"/>
    <w:rsid w:val="00603CD1"/>
    <w:rsid w:val="006111AD"/>
    <w:rsid w:val="006119C9"/>
    <w:rsid w:val="006202DA"/>
    <w:rsid w:val="00624ECC"/>
    <w:rsid w:val="0062760F"/>
    <w:rsid w:val="00632B74"/>
    <w:rsid w:val="00633091"/>
    <w:rsid w:val="00635335"/>
    <w:rsid w:val="00641D37"/>
    <w:rsid w:val="00641DEE"/>
    <w:rsid w:val="00642AFD"/>
    <w:rsid w:val="0065559C"/>
    <w:rsid w:val="0065716D"/>
    <w:rsid w:val="006637BF"/>
    <w:rsid w:val="00664D77"/>
    <w:rsid w:val="00671372"/>
    <w:rsid w:val="0067585A"/>
    <w:rsid w:val="00681BBC"/>
    <w:rsid w:val="0068300C"/>
    <w:rsid w:val="0068323E"/>
    <w:rsid w:val="00690F61"/>
    <w:rsid w:val="00691AD0"/>
    <w:rsid w:val="006963DD"/>
    <w:rsid w:val="006A2DD9"/>
    <w:rsid w:val="006A304B"/>
    <w:rsid w:val="006A487E"/>
    <w:rsid w:val="006B78A5"/>
    <w:rsid w:val="006C20D4"/>
    <w:rsid w:val="006C26CE"/>
    <w:rsid w:val="006C78DB"/>
    <w:rsid w:val="006C7BD4"/>
    <w:rsid w:val="006D6455"/>
    <w:rsid w:val="006E2C32"/>
    <w:rsid w:val="006E53FD"/>
    <w:rsid w:val="006F18E7"/>
    <w:rsid w:val="006F3D2F"/>
    <w:rsid w:val="006F44A7"/>
    <w:rsid w:val="006F4B58"/>
    <w:rsid w:val="006F668D"/>
    <w:rsid w:val="007022C4"/>
    <w:rsid w:val="00706F5E"/>
    <w:rsid w:val="00711D63"/>
    <w:rsid w:val="007125EE"/>
    <w:rsid w:val="007134BC"/>
    <w:rsid w:val="007139AF"/>
    <w:rsid w:val="007139C9"/>
    <w:rsid w:val="00715B60"/>
    <w:rsid w:val="00720ABC"/>
    <w:rsid w:val="007214FC"/>
    <w:rsid w:val="007229F8"/>
    <w:rsid w:val="00725946"/>
    <w:rsid w:val="00725F3A"/>
    <w:rsid w:val="007300A3"/>
    <w:rsid w:val="00730A80"/>
    <w:rsid w:val="00747080"/>
    <w:rsid w:val="00747757"/>
    <w:rsid w:val="00750033"/>
    <w:rsid w:val="00750509"/>
    <w:rsid w:val="007523B1"/>
    <w:rsid w:val="007523BE"/>
    <w:rsid w:val="00752ADE"/>
    <w:rsid w:val="00756ADC"/>
    <w:rsid w:val="00763731"/>
    <w:rsid w:val="00766429"/>
    <w:rsid w:val="00772942"/>
    <w:rsid w:val="00775406"/>
    <w:rsid w:val="00776344"/>
    <w:rsid w:val="0077727C"/>
    <w:rsid w:val="007849D9"/>
    <w:rsid w:val="00787B58"/>
    <w:rsid w:val="007912B6"/>
    <w:rsid w:val="00795FF0"/>
    <w:rsid w:val="007A374C"/>
    <w:rsid w:val="007A4590"/>
    <w:rsid w:val="007A5FC3"/>
    <w:rsid w:val="007A6AA6"/>
    <w:rsid w:val="007A6D65"/>
    <w:rsid w:val="007B35F1"/>
    <w:rsid w:val="007B4F94"/>
    <w:rsid w:val="007B7FB2"/>
    <w:rsid w:val="007C1847"/>
    <w:rsid w:val="007D3F4A"/>
    <w:rsid w:val="007D54A4"/>
    <w:rsid w:val="007D7318"/>
    <w:rsid w:val="007E1CB6"/>
    <w:rsid w:val="007E359A"/>
    <w:rsid w:val="007E47D5"/>
    <w:rsid w:val="007F2294"/>
    <w:rsid w:val="0080191B"/>
    <w:rsid w:val="0080272E"/>
    <w:rsid w:val="008179A0"/>
    <w:rsid w:val="008212C0"/>
    <w:rsid w:val="0082574D"/>
    <w:rsid w:val="008259BC"/>
    <w:rsid w:val="00826B18"/>
    <w:rsid w:val="00827D59"/>
    <w:rsid w:val="00840224"/>
    <w:rsid w:val="00840284"/>
    <w:rsid w:val="00840A7F"/>
    <w:rsid w:val="00842D57"/>
    <w:rsid w:val="008451A0"/>
    <w:rsid w:val="008454FA"/>
    <w:rsid w:val="00846658"/>
    <w:rsid w:val="00847B99"/>
    <w:rsid w:val="008502B6"/>
    <w:rsid w:val="00854AA1"/>
    <w:rsid w:val="00855391"/>
    <w:rsid w:val="008603EA"/>
    <w:rsid w:val="00865568"/>
    <w:rsid w:val="00865861"/>
    <w:rsid w:val="008678B6"/>
    <w:rsid w:val="00870228"/>
    <w:rsid w:val="008746CA"/>
    <w:rsid w:val="008761E1"/>
    <w:rsid w:val="00876998"/>
    <w:rsid w:val="008829A0"/>
    <w:rsid w:val="00883E93"/>
    <w:rsid w:val="00885752"/>
    <w:rsid w:val="008904FF"/>
    <w:rsid w:val="0089247B"/>
    <w:rsid w:val="008972C6"/>
    <w:rsid w:val="008A1177"/>
    <w:rsid w:val="008A15F1"/>
    <w:rsid w:val="008A1B62"/>
    <w:rsid w:val="008A2927"/>
    <w:rsid w:val="008A4B66"/>
    <w:rsid w:val="008C171C"/>
    <w:rsid w:val="008D11E1"/>
    <w:rsid w:val="008D23A6"/>
    <w:rsid w:val="008D4DB2"/>
    <w:rsid w:val="008E0EAA"/>
    <w:rsid w:val="008E6363"/>
    <w:rsid w:val="008E6D92"/>
    <w:rsid w:val="008E7DAE"/>
    <w:rsid w:val="008F7535"/>
    <w:rsid w:val="0090034F"/>
    <w:rsid w:val="009042B0"/>
    <w:rsid w:val="00904F67"/>
    <w:rsid w:val="009226BC"/>
    <w:rsid w:val="00927298"/>
    <w:rsid w:val="009315BB"/>
    <w:rsid w:val="00953FB5"/>
    <w:rsid w:val="00962728"/>
    <w:rsid w:val="00963C9C"/>
    <w:rsid w:val="009861A7"/>
    <w:rsid w:val="0099394F"/>
    <w:rsid w:val="00995B24"/>
    <w:rsid w:val="009A0662"/>
    <w:rsid w:val="009A20FE"/>
    <w:rsid w:val="009A4E88"/>
    <w:rsid w:val="009A5991"/>
    <w:rsid w:val="009A799A"/>
    <w:rsid w:val="009B2257"/>
    <w:rsid w:val="009B3158"/>
    <w:rsid w:val="009C2851"/>
    <w:rsid w:val="009C340D"/>
    <w:rsid w:val="009D46B0"/>
    <w:rsid w:val="009E0278"/>
    <w:rsid w:val="009E5554"/>
    <w:rsid w:val="009E7299"/>
    <w:rsid w:val="009F0B54"/>
    <w:rsid w:val="009F27A8"/>
    <w:rsid w:val="009F2EDF"/>
    <w:rsid w:val="00A13041"/>
    <w:rsid w:val="00A14750"/>
    <w:rsid w:val="00A238ED"/>
    <w:rsid w:val="00A2457F"/>
    <w:rsid w:val="00A302BB"/>
    <w:rsid w:val="00A35533"/>
    <w:rsid w:val="00A42C89"/>
    <w:rsid w:val="00A43592"/>
    <w:rsid w:val="00A4537F"/>
    <w:rsid w:val="00A4540F"/>
    <w:rsid w:val="00A46C8E"/>
    <w:rsid w:val="00A52CDE"/>
    <w:rsid w:val="00A568B2"/>
    <w:rsid w:val="00A5772F"/>
    <w:rsid w:val="00A57BEC"/>
    <w:rsid w:val="00A60D27"/>
    <w:rsid w:val="00A639A2"/>
    <w:rsid w:val="00A71E99"/>
    <w:rsid w:val="00A726CC"/>
    <w:rsid w:val="00A727A9"/>
    <w:rsid w:val="00A83D19"/>
    <w:rsid w:val="00A85251"/>
    <w:rsid w:val="00A85E22"/>
    <w:rsid w:val="00A86567"/>
    <w:rsid w:val="00A86845"/>
    <w:rsid w:val="00A9196C"/>
    <w:rsid w:val="00A92739"/>
    <w:rsid w:val="00A9669B"/>
    <w:rsid w:val="00A97090"/>
    <w:rsid w:val="00AA4092"/>
    <w:rsid w:val="00AA5C64"/>
    <w:rsid w:val="00AA6980"/>
    <w:rsid w:val="00AB288E"/>
    <w:rsid w:val="00AB7F1C"/>
    <w:rsid w:val="00AC0568"/>
    <w:rsid w:val="00AC5049"/>
    <w:rsid w:val="00AC58E2"/>
    <w:rsid w:val="00AD4FF8"/>
    <w:rsid w:val="00AD59FC"/>
    <w:rsid w:val="00AE49A1"/>
    <w:rsid w:val="00AE5C55"/>
    <w:rsid w:val="00AF01B3"/>
    <w:rsid w:val="00AF7BD1"/>
    <w:rsid w:val="00B02BEE"/>
    <w:rsid w:val="00B03F6E"/>
    <w:rsid w:val="00B07FB5"/>
    <w:rsid w:val="00B15647"/>
    <w:rsid w:val="00B20116"/>
    <w:rsid w:val="00B2052F"/>
    <w:rsid w:val="00B3035D"/>
    <w:rsid w:val="00B331C1"/>
    <w:rsid w:val="00B346C1"/>
    <w:rsid w:val="00B40034"/>
    <w:rsid w:val="00B408BB"/>
    <w:rsid w:val="00B4177B"/>
    <w:rsid w:val="00B42A2B"/>
    <w:rsid w:val="00B45DCA"/>
    <w:rsid w:val="00B62F9C"/>
    <w:rsid w:val="00B638CE"/>
    <w:rsid w:val="00B64D9D"/>
    <w:rsid w:val="00B659B7"/>
    <w:rsid w:val="00B710BF"/>
    <w:rsid w:val="00B717E0"/>
    <w:rsid w:val="00B81441"/>
    <w:rsid w:val="00B869DC"/>
    <w:rsid w:val="00B946FC"/>
    <w:rsid w:val="00B96B7A"/>
    <w:rsid w:val="00BA2A21"/>
    <w:rsid w:val="00BA40BB"/>
    <w:rsid w:val="00BA7027"/>
    <w:rsid w:val="00BA7387"/>
    <w:rsid w:val="00BB5E62"/>
    <w:rsid w:val="00BB6F92"/>
    <w:rsid w:val="00BB7436"/>
    <w:rsid w:val="00BC3B66"/>
    <w:rsid w:val="00BD3121"/>
    <w:rsid w:val="00BD3D8D"/>
    <w:rsid w:val="00BF3C82"/>
    <w:rsid w:val="00BF4774"/>
    <w:rsid w:val="00C0634A"/>
    <w:rsid w:val="00C07DEC"/>
    <w:rsid w:val="00C10912"/>
    <w:rsid w:val="00C111A1"/>
    <w:rsid w:val="00C1587E"/>
    <w:rsid w:val="00C1799B"/>
    <w:rsid w:val="00C21CF6"/>
    <w:rsid w:val="00C23403"/>
    <w:rsid w:val="00C34C7B"/>
    <w:rsid w:val="00C34FB8"/>
    <w:rsid w:val="00C35855"/>
    <w:rsid w:val="00C373E9"/>
    <w:rsid w:val="00C40E56"/>
    <w:rsid w:val="00C449D5"/>
    <w:rsid w:val="00C46112"/>
    <w:rsid w:val="00C500ED"/>
    <w:rsid w:val="00C50DEC"/>
    <w:rsid w:val="00C614C1"/>
    <w:rsid w:val="00C6283E"/>
    <w:rsid w:val="00C65C84"/>
    <w:rsid w:val="00C73C21"/>
    <w:rsid w:val="00C74BEA"/>
    <w:rsid w:val="00C775A9"/>
    <w:rsid w:val="00C81945"/>
    <w:rsid w:val="00C842E2"/>
    <w:rsid w:val="00C87EF5"/>
    <w:rsid w:val="00C9131E"/>
    <w:rsid w:val="00C93029"/>
    <w:rsid w:val="00CA32D8"/>
    <w:rsid w:val="00CA66FC"/>
    <w:rsid w:val="00CB0427"/>
    <w:rsid w:val="00CB2A77"/>
    <w:rsid w:val="00CC51B9"/>
    <w:rsid w:val="00CC5F0A"/>
    <w:rsid w:val="00CD0545"/>
    <w:rsid w:val="00CD4B9B"/>
    <w:rsid w:val="00CE4677"/>
    <w:rsid w:val="00CF0FB5"/>
    <w:rsid w:val="00CF1255"/>
    <w:rsid w:val="00CF414C"/>
    <w:rsid w:val="00CF5B32"/>
    <w:rsid w:val="00D014D7"/>
    <w:rsid w:val="00D026C6"/>
    <w:rsid w:val="00D0271A"/>
    <w:rsid w:val="00D0417A"/>
    <w:rsid w:val="00D04D62"/>
    <w:rsid w:val="00D25290"/>
    <w:rsid w:val="00D34D2C"/>
    <w:rsid w:val="00D37295"/>
    <w:rsid w:val="00D45084"/>
    <w:rsid w:val="00D50417"/>
    <w:rsid w:val="00D5168B"/>
    <w:rsid w:val="00D561F5"/>
    <w:rsid w:val="00D56451"/>
    <w:rsid w:val="00D60E21"/>
    <w:rsid w:val="00D62B91"/>
    <w:rsid w:val="00D71091"/>
    <w:rsid w:val="00D72876"/>
    <w:rsid w:val="00D8395A"/>
    <w:rsid w:val="00D84568"/>
    <w:rsid w:val="00D8457F"/>
    <w:rsid w:val="00D85F60"/>
    <w:rsid w:val="00D91620"/>
    <w:rsid w:val="00D91D11"/>
    <w:rsid w:val="00D92311"/>
    <w:rsid w:val="00D92A2A"/>
    <w:rsid w:val="00D9390E"/>
    <w:rsid w:val="00D94B4A"/>
    <w:rsid w:val="00DA1692"/>
    <w:rsid w:val="00DA6E42"/>
    <w:rsid w:val="00DA7BBC"/>
    <w:rsid w:val="00DB014F"/>
    <w:rsid w:val="00DB3109"/>
    <w:rsid w:val="00DB4FCD"/>
    <w:rsid w:val="00DC1E47"/>
    <w:rsid w:val="00DC3691"/>
    <w:rsid w:val="00DD10AF"/>
    <w:rsid w:val="00DD499A"/>
    <w:rsid w:val="00DD4CCF"/>
    <w:rsid w:val="00DD53F6"/>
    <w:rsid w:val="00DD5D2C"/>
    <w:rsid w:val="00DE23CB"/>
    <w:rsid w:val="00DE25A7"/>
    <w:rsid w:val="00DF5AD5"/>
    <w:rsid w:val="00DF7D24"/>
    <w:rsid w:val="00E00583"/>
    <w:rsid w:val="00E00B44"/>
    <w:rsid w:val="00E01D52"/>
    <w:rsid w:val="00E04BAB"/>
    <w:rsid w:val="00E05C92"/>
    <w:rsid w:val="00E063A8"/>
    <w:rsid w:val="00E07869"/>
    <w:rsid w:val="00E15A91"/>
    <w:rsid w:val="00E21017"/>
    <w:rsid w:val="00E2445D"/>
    <w:rsid w:val="00E244F6"/>
    <w:rsid w:val="00E415CD"/>
    <w:rsid w:val="00E431E2"/>
    <w:rsid w:val="00E43B5F"/>
    <w:rsid w:val="00E50848"/>
    <w:rsid w:val="00E53285"/>
    <w:rsid w:val="00E537B3"/>
    <w:rsid w:val="00E56E08"/>
    <w:rsid w:val="00E60B97"/>
    <w:rsid w:val="00E63A96"/>
    <w:rsid w:val="00E65031"/>
    <w:rsid w:val="00E66E51"/>
    <w:rsid w:val="00E74906"/>
    <w:rsid w:val="00E81D99"/>
    <w:rsid w:val="00E836A9"/>
    <w:rsid w:val="00E83D05"/>
    <w:rsid w:val="00E84022"/>
    <w:rsid w:val="00E90581"/>
    <w:rsid w:val="00E93C80"/>
    <w:rsid w:val="00E9603D"/>
    <w:rsid w:val="00EA3D13"/>
    <w:rsid w:val="00EB1930"/>
    <w:rsid w:val="00EB4E72"/>
    <w:rsid w:val="00EB783A"/>
    <w:rsid w:val="00EC027C"/>
    <w:rsid w:val="00EC0ED9"/>
    <w:rsid w:val="00EC137D"/>
    <w:rsid w:val="00EC6BBD"/>
    <w:rsid w:val="00EC7610"/>
    <w:rsid w:val="00EC7BC6"/>
    <w:rsid w:val="00EC7F30"/>
    <w:rsid w:val="00ED70D1"/>
    <w:rsid w:val="00EE050B"/>
    <w:rsid w:val="00EE661C"/>
    <w:rsid w:val="00EF3BF9"/>
    <w:rsid w:val="00F02D5D"/>
    <w:rsid w:val="00F03D8A"/>
    <w:rsid w:val="00F03F29"/>
    <w:rsid w:val="00F049E1"/>
    <w:rsid w:val="00F21B89"/>
    <w:rsid w:val="00F34A5C"/>
    <w:rsid w:val="00F34BE2"/>
    <w:rsid w:val="00F34EFB"/>
    <w:rsid w:val="00F42AE8"/>
    <w:rsid w:val="00F467AA"/>
    <w:rsid w:val="00F51743"/>
    <w:rsid w:val="00F51A88"/>
    <w:rsid w:val="00F53107"/>
    <w:rsid w:val="00F62862"/>
    <w:rsid w:val="00F74181"/>
    <w:rsid w:val="00F76C85"/>
    <w:rsid w:val="00F82862"/>
    <w:rsid w:val="00F82DEC"/>
    <w:rsid w:val="00F835A5"/>
    <w:rsid w:val="00F9171D"/>
    <w:rsid w:val="00F95871"/>
    <w:rsid w:val="00F97214"/>
    <w:rsid w:val="00FA5027"/>
    <w:rsid w:val="00FA67C0"/>
    <w:rsid w:val="00FD1BEA"/>
    <w:rsid w:val="00FD1F46"/>
    <w:rsid w:val="00FD33CB"/>
    <w:rsid w:val="00FD64CC"/>
    <w:rsid w:val="00FD7CCD"/>
    <w:rsid w:val="00FD7FFB"/>
    <w:rsid w:val="00FE237A"/>
    <w:rsid w:val="00FE2963"/>
    <w:rsid w:val="00FE2FC8"/>
    <w:rsid w:val="00FE66EB"/>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62EA"/>
  <w15:docId w15:val="{8022F5E5-8740-4956-AC86-E311D87A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C0"/>
    <w:pPr>
      <w:ind w:left="720"/>
      <w:contextualSpacing/>
    </w:pPr>
  </w:style>
  <w:style w:type="paragraph" w:styleId="Header">
    <w:name w:val="header"/>
    <w:basedOn w:val="Normal"/>
    <w:link w:val="HeaderChar"/>
    <w:uiPriority w:val="99"/>
    <w:unhideWhenUsed/>
    <w:rsid w:val="00A71E99"/>
    <w:pPr>
      <w:tabs>
        <w:tab w:val="center" w:pos="4513"/>
        <w:tab w:val="right" w:pos="9026"/>
      </w:tabs>
    </w:pPr>
  </w:style>
  <w:style w:type="character" w:customStyle="1" w:styleId="HeaderChar">
    <w:name w:val="Header Char"/>
    <w:basedOn w:val="DefaultParagraphFont"/>
    <w:link w:val="Header"/>
    <w:uiPriority w:val="99"/>
    <w:rsid w:val="00A71E99"/>
  </w:style>
  <w:style w:type="paragraph" w:styleId="Footer">
    <w:name w:val="footer"/>
    <w:basedOn w:val="Normal"/>
    <w:link w:val="FooterChar"/>
    <w:uiPriority w:val="99"/>
    <w:unhideWhenUsed/>
    <w:rsid w:val="00A71E99"/>
    <w:pPr>
      <w:tabs>
        <w:tab w:val="center" w:pos="4513"/>
        <w:tab w:val="right" w:pos="9026"/>
      </w:tabs>
    </w:pPr>
  </w:style>
  <w:style w:type="character" w:customStyle="1" w:styleId="FooterChar">
    <w:name w:val="Footer Char"/>
    <w:basedOn w:val="DefaultParagraphFont"/>
    <w:link w:val="Footer"/>
    <w:uiPriority w:val="99"/>
    <w:rsid w:val="00A71E99"/>
  </w:style>
  <w:style w:type="paragraph" w:customStyle="1" w:styleId="MediumGrid1-Accent21">
    <w:name w:val="Medium Grid 1 - Accent 21"/>
    <w:basedOn w:val="Normal"/>
    <w:uiPriority w:val="34"/>
    <w:qFormat/>
    <w:rsid w:val="004B64FE"/>
    <w:pPr>
      <w:ind w:left="720"/>
    </w:pPr>
    <w:rPr>
      <w:rFonts w:ascii="Times New Roman" w:eastAsia="Times New Roman" w:hAnsi="Times New Roman" w:cs="Times New Roman"/>
      <w:lang w:val="en-GB" w:eastAsia="en-GB"/>
    </w:rPr>
  </w:style>
  <w:style w:type="paragraph" w:styleId="FootnoteText">
    <w:name w:val="footnote text"/>
    <w:basedOn w:val="Normal"/>
    <w:link w:val="FootnoteTextChar"/>
    <w:unhideWhenUsed/>
    <w:rsid w:val="004B64FE"/>
    <w:rPr>
      <w:rFonts w:ascii="Calibri" w:eastAsia="Calibri" w:hAnsi="Calibri" w:cs="Times New Roman"/>
      <w:sz w:val="20"/>
      <w:szCs w:val="20"/>
      <w:lang w:val="x-none"/>
    </w:rPr>
  </w:style>
  <w:style w:type="character" w:customStyle="1" w:styleId="FootnoteTextChar">
    <w:name w:val="Footnote Text Char"/>
    <w:basedOn w:val="DefaultParagraphFont"/>
    <w:link w:val="FootnoteText"/>
    <w:rsid w:val="004B64FE"/>
    <w:rPr>
      <w:rFonts w:ascii="Calibri" w:eastAsia="Calibri" w:hAnsi="Calibri" w:cs="Times New Roman"/>
      <w:sz w:val="20"/>
      <w:szCs w:val="20"/>
      <w:lang w:val="x-none"/>
    </w:rPr>
  </w:style>
  <w:style w:type="character" w:styleId="FootnoteReference">
    <w:name w:val="footnote reference"/>
    <w:unhideWhenUsed/>
    <w:rsid w:val="004B64FE"/>
    <w:rPr>
      <w:vertAlign w:val="superscript"/>
    </w:rPr>
  </w:style>
  <w:style w:type="character" w:styleId="Hyperlink">
    <w:name w:val="Hyperlink"/>
    <w:basedOn w:val="DefaultParagraphFont"/>
    <w:uiPriority w:val="99"/>
    <w:unhideWhenUsed/>
    <w:rsid w:val="00D72876"/>
    <w:rPr>
      <w:color w:val="0563C1" w:themeColor="hyperlink"/>
      <w:u w:val="single"/>
    </w:rPr>
  </w:style>
  <w:style w:type="character" w:customStyle="1" w:styleId="UnresolvedMention1">
    <w:name w:val="Unresolved Mention1"/>
    <w:basedOn w:val="DefaultParagraphFont"/>
    <w:uiPriority w:val="99"/>
    <w:semiHidden/>
    <w:unhideWhenUsed/>
    <w:rsid w:val="00D7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08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6E9B-984F-47DA-9154-F764C231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Nelwamondo Rolivhuwa</dc:creator>
  <cp:keywords/>
  <dc:description/>
  <cp:lastModifiedBy>Mokone</cp:lastModifiedBy>
  <cp:revision>3</cp:revision>
  <cp:lastPrinted>2023-02-03T07:38:00Z</cp:lastPrinted>
  <dcterms:created xsi:type="dcterms:W3CDTF">2023-02-08T10:20:00Z</dcterms:created>
  <dcterms:modified xsi:type="dcterms:W3CDTF">2023-02-08T10:20:00Z</dcterms:modified>
</cp:coreProperties>
</file>