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0BDC" w14:textId="733A2237" w:rsidR="00775EC0" w:rsidRDefault="00956FE8" w:rsidP="00C05135">
      <w:pPr>
        <w:tabs>
          <w:tab w:val="left" w:pos="851"/>
          <w:tab w:val="left" w:pos="1701"/>
          <w:tab w:val="left" w:pos="2694"/>
          <w:tab w:val="right" w:pos="8595"/>
        </w:tabs>
        <w:spacing w:before="360" w:after="0" w:line="240" w:lineRule="auto"/>
        <w:contextualSpacing/>
        <w:jc w:val="center"/>
        <w:rPr>
          <w:b/>
          <w:szCs w:val="25"/>
        </w:rPr>
      </w:pPr>
      <w:r>
        <w:rPr>
          <w:noProof/>
          <w:lang w:val="en-US"/>
        </w:rPr>
        <w:drawing>
          <wp:inline distT="0" distB="0" distL="0" distR="0" wp14:anchorId="7831708F" wp14:editId="7A5A3F45">
            <wp:extent cx="971550" cy="971550"/>
            <wp:effectExtent l="0" t="0" r="0" b="0"/>
            <wp:docPr id="1"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9F8A767"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b/>
          <w:sz w:val="24"/>
        </w:rPr>
        <w:t>IN THE HIGH COURT OF SOUTH AFRICA</w:t>
      </w:r>
    </w:p>
    <w:p w14:paraId="433AE1E6"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r w:rsidRPr="00C47605">
        <w:rPr>
          <w:sz w:val="24"/>
        </w:rPr>
        <w:t>(GAUTENG DIVISION, PRETORIA)</w:t>
      </w:r>
    </w:p>
    <w:p w14:paraId="44F91955" w14:textId="77777777" w:rsidR="00C05135" w:rsidRPr="00C47605" w:rsidRDefault="00C05135" w:rsidP="00C05135">
      <w:pPr>
        <w:tabs>
          <w:tab w:val="left" w:pos="851"/>
          <w:tab w:val="left" w:pos="1701"/>
          <w:tab w:val="left" w:pos="2694"/>
          <w:tab w:val="right" w:pos="8595"/>
        </w:tabs>
        <w:spacing w:before="360" w:after="0" w:line="240" w:lineRule="auto"/>
        <w:contextualSpacing/>
        <w:jc w:val="center"/>
        <w:rPr>
          <w:sz w:val="24"/>
        </w:rPr>
      </w:pPr>
    </w:p>
    <w:p w14:paraId="234DB77C" w14:textId="3548ACDC" w:rsidR="0042480A" w:rsidRDefault="00956FE8" w:rsidP="00C05135">
      <w:pPr>
        <w:tabs>
          <w:tab w:val="left" w:pos="851"/>
          <w:tab w:val="left" w:pos="1701"/>
          <w:tab w:val="left" w:pos="2694"/>
          <w:tab w:val="right" w:pos="8595"/>
        </w:tabs>
        <w:spacing w:before="360" w:after="0" w:line="240" w:lineRule="auto"/>
        <w:contextualSpacing/>
        <w:jc w:val="right"/>
        <w:rPr>
          <w:sz w:val="24"/>
        </w:rPr>
      </w:pPr>
      <w:r>
        <w:rPr>
          <w:noProof/>
          <w:szCs w:val="25"/>
          <w:lang w:val="en-US"/>
        </w:rPr>
        <mc:AlternateContent>
          <mc:Choice Requires="wps">
            <w:drawing>
              <wp:anchor distT="0" distB="0" distL="114300" distR="114300" simplePos="0" relativeHeight="251657728" behindDoc="0" locked="0" layoutInCell="1" allowOverlap="1" wp14:anchorId="126E5EAB" wp14:editId="28A0A0E1">
                <wp:simplePos x="0" y="0"/>
                <wp:positionH relativeFrom="column">
                  <wp:posOffset>-113030</wp:posOffset>
                </wp:positionH>
                <wp:positionV relativeFrom="paragraph">
                  <wp:posOffset>21590</wp:posOffset>
                </wp:positionV>
                <wp:extent cx="2769235" cy="883920"/>
                <wp:effectExtent l="8255" t="6985" r="1333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274FA8F1" w14:textId="1293A657" w:rsidR="003D3EF1" w:rsidRPr="00AE48BA" w:rsidRDefault="002F4C9E" w:rsidP="002F4C9E">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610F427" w14:textId="656C9B6E" w:rsidR="003D3EF1" w:rsidRPr="00AE48BA" w:rsidRDefault="002F4C9E" w:rsidP="002F4C9E">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43734466" w14:textId="268C0A1C" w:rsidR="003D3EF1" w:rsidRPr="00AE48BA" w:rsidRDefault="002F4C9E" w:rsidP="002F4C9E">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3813DACA" w14:textId="77777777" w:rsidR="003D3EF1" w:rsidRPr="00AE48BA" w:rsidRDefault="003D3EF1" w:rsidP="00775EC0">
                            <w:pPr>
                              <w:spacing w:after="0" w:line="240" w:lineRule="auto"/>
                              <w:rPr>
                                <w:rFonts w:ascii="Century Gothic" w:hAnsi="Century Gothic"/>
                                <w:b/>
                                <w:sz w:val="16"/>
                                <w:szCs w:val="19"/>
                              </w:rPr>
                            </w:pPr>
                          </w:p>
                          <w:p w14:paraId="6CBD5A23"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737D9FD"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E5EAB" id="_x0000_t202" coordsize="21600,21600" o:spt="202" path="m,l,21600r21600,l21600,xe">
                <v:stroke joinstyle="miter"/>
                <v:path gradientshapeok="t" o:connecttype="rect"/>
              </v:shapetype>
              <v:shape id="Text Box 4" o:spid="_x0000_s1026" type="#_x0000_t202" style="position:absolute;left:0;text-align:left;margin-left:-8.9pt;margin-top:1.7pt;width:218.05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02KwIAAFAEAAAOAAAAZHJzL2Uyb0RvYy54bWysVNtu2zAMfR+wfxD0vjhxkz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">
                <v:textbox>
                  <w:txbxContent>
                    <w:p w14:paraId="274FA8F1" w14:textId="1293A657" w:rsidR="003D3EF1" w:rsidRPr="00AE48BA" w:rsidRDefault="002F4C9E" w:rsidP="002F4C9E">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3D3EF1" w:rsidRPr="00AE48BA">
                        <w:rPr>
                          <w:rFonts w:ascii="Century Gothic" w:hAnsi="Century Gothic"/>
                          <w:sz w:val="16"/>
                          <w:szCs w:val="19"/>
                        </w:rPr>
                        <w:t>REPORTABLE: YES/NO</w:t>
                      </w:r>
                    </w:p>
                    <w:p w14:paraId="3610F427" w14:textId="656C9B6E" w:rsidR="003D3EF1" w:rsidRPr="00AE48BA" w:rsidRDefault="002F4C9E" w:rsidP="002F4C9E">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3D3EF1" w:rsidRPr="00AE48BA">
                        <w:rPr>
                          <w:rFonts w:ascii="Century Gothic" w:hAnsi="Century Gothic"/>
                          <w:sz w:val="16"/>
                          <w:szCs w:val="19"/>
                        </w:rPr>
                        <w:t>OF INTEREST TO OTHER JUDGES: YES/NO</w:t>
                      </w:r>
                    </w:p>
                    <w:p w14:paraId="43734466" w14:textId="268C0A1C" w:rsidR="003D3EF1" w:rsidRPr="00AE48BA" w:rsidRDefault="002F4C9E" w:rsidP="002F4C9E">
                      <w:pPr>
                        <w:tabs>
                          <w:tab w:val="left" w:pos="900"/>
                        </w:tabs>
                        <w:spacing w:after="0" w:line="240" w:lineRule="auto"/>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3D3EF1" w:rsidRPr="00AE48BA">
                        <w:rPr>
                          <w:rFonts w:ascii="Century Gothic" w:hAnsi="Century Gothic"/>
                          <w:sz w:val="16"/>
                          <w:szCs w:val="19"/>
                        </w:rPr>
                        <w:t xml:space="preserve">REVISED. </w:t>
                      </w:r>
                    </w:p>
                    <w:p w14:paraId="3813DACA" w14:textId="77777777" w:rsidR="003D3EF1" w:rsidRPr="00AE48BA" w:rsidRDefault="003D3EF1" w:rsidP="00775EC0">
                      <w:pPr>
                        <w:spacing w:after="0" w:line="240" w:lineRule="auto"/>
                        <w:rPr>
                          <w:rFonts w:ascii="Century Gothic" w:hAnsi="Century Gothic"/>
                          <w:b/>
                          <w:sz w:val="16"/>
                          <w:szCs w:val="19"/>
                        </w:rPr>
                      </w:pPr>
                    </w:p>
                    <w:p w14:paraId="6CBD5A23" w14:textId="77777777" w:rsidR="003D3EF1" w:rsidRPr="00AE48BA" w:rsidRDefault="003D3EF1" w:rsidP="00775EC0">
                      <w:pPr>
                        <w:spacing w:after="0" w:line="240" w:lineRule="auto"/>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737D9FD" w14:textId="77777777" w:rsidR="003D3EF1" w:rsidRPr="00AE48BA" w:rsidRDefault="003D3EF1" w:rsidP="00775EC0">
                      <w:pPr>
                        <w:spacing w:after="0" w:line="240" w:lineRule="auto"/>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sidR="00AE48BA">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p>
    <w:p w14:paraId="7784CF35"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3D0E292D" w14:textId="77777777" w:rsidR="0042480A" w:rsidRDefault="0042480A" w:rsidP="00C05135">
      <w:pPr>
        <w:tabs>
          <w:tab w:val="left" w:pos="851"/>
          <w:tab w:val="left" w:pos="1701"/>
          <w:tab w:val="left" w:pos="2694"/>
          <w:tab w:val="right" w:pos="8595"/>
        </w:tabs>
        <w:spacing w:before="360" w:after="0" w:line="240" w:lineRule="auto"/>
        <w:contextualSpacing/>
        <w:jc w:val="right"/>
        <w:rPr>
          <w:sz w:val="24"/>
        </w:rPr>
      </w:pPr>
    </w:p>
    <w:p w14:paraId="634E862D" w14:textId="77777777" w:rsidR="00C05135" w:rsidRDefault="00AB2019" w:rsidP="00C05135">
      <w:pPr>
        <w:tabs>
          <w:tab w:val="left" w:pos="851"/>
          <w:tab w:val="left" w:pos="1701"/>
          <w:tab w:val="left" w:pos="2694"/>
          <w:tab w:val="right" w:pos="8595"/>
        </w:tabs>
        <w:spacing w:before="360" w:after="0" w:line="240" w:lineRule="auto"/>
        <w:contextualSpacing/>
        <w:jc w:val="right"/>
        <w:rPr>
          <w:b/>
          <w:sz w:val="24"/>
        </w:rPr>
      </w:pPr>
      <w:r w:rsidRPr="0042480A">
        <w:rPr>
          <w:b/>
          <w:sz w:val="24"/>
        </w:rPr>
        <w:t xml:space="preserve">Case No: </w:t>
      </w:r>
      <w:r w:rsidR="005D49A0">
        <w:rPr>
          <w:b/>
          <w:sz w:val="24"/>
        </w:rPr>
        <w:t>19875/2021</w:t>
      </w:r>
    </w:p>
    <w:p w14:paraId="567E5C97" w14:textId="77777777" w:rsidR="003D101A" w:rsidRDefault="003D101A" w:rsidP="00C05135">
      <w:pPr>
        <w:tabs>
          <w:tab w:val="left" w:pos="851"/>
          <w:tab w:val="left" w:pos="1701"/>
          <w:tab w:val="left" w:pos="2694"/>
          <w:tab w:val="right" w:pos="8595"/>
        </w:tabs>
        <w:spacing w:after="0" w:line="240" w:lineRule="auto"/>
        <w:contextualSpacing/>
        <w:jc w:val="both"/>
        <w:rPr>
          <w:b/>
          <w:sz w:val="24"/>
        </w:rPr>
      </w:pPr>
    </w:p>
    <w:p w14:paraId="48B2EA71" w14:textId="77777777" w:rsidR="005D49A0" w:rsidRPr="00C47605" w:rsidRDefault="005D49A0" w:rsidP="00C05135">
      <w:pPr>
        <w:tabs>
          <w:tab w:val="left" w:pos="851"/>
          <w:tab w:val="left" w:pos="1701"/>
          <w:tab w:val="left" w:pos="2694"/>
          <w:tab w:val="right" w:pos="8595"/>
        </w:tabs>
        <w:spacing w:after="0" w:line="240" w:lineRule="auto"/>
        <w:contextualSpacing/>
        <w:jc w:val="both"/>
        <w:rPr>
          <w:sz w:val="24"/>
        </w:rPr>
      </w:pPr>
    </w:p>
    <w:p w14:paraId="12D8C5DF" w14:textId="77777777" w:rsidR="00AE48BA" w:rsidRDefault="00AE48BA" w:rsidP="00C05135">
      <w:pPr>
        <w:tabs>
          <w:tab w:val="left" w:pos="851"/>
          <w:tab w:val="left" w:pos="1701"/>
          <w:tab w:val="left" w:pos="2694"/>
          <w:tab w:val="right" w:pos="8595"/>
        </w:tabs>
        <w:spacing w:after="0" w:line="240" w:lineRule="auto"/>
        <w:contextualSpacing/>
        <w:jc w:val="both"/>
        <w:rPr>
          <w:sz w:val="24"/>
        </w:rPr>
      </w:pPr>
    </w:p>
    <w:p w14:paraId="212BC72B"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In the matter between:</w:t>
      </w:r>
    </w:p>
    <w:p w14:paraId="27847738"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1FDE5478" w14:textId="77777777" w:rsidR="003D101A" w:rsidRPr="00C47605" w:rsidRDefault="003D101A" w:rsidP="00C05135">
      <w:pPr>
        <w:tabs>
          <w:tab w:val="left" w:pos="851"/>
          <w:tab w:val="left" w:pos="1701"/>
          <w:tab w:val="left" w:pos="2694"/>
          <w:tab w:val="right" w:pos="8595"/>
        </w:tabs>
        <w:spacing w:after="0" w:line="240" w:lineRule="auto"/>
        <w:contextualSpacing/>
        <w:jc w:val="both"/>
        <w:rPr>
          <w:sz w:val="24"/>
        </w:rPr>
      </w:pPr>
    </w:p>
    <w:p w14:paraId="2F5B511E" w14:textId="77777777" w:rsidR="00A61BA8" w:rsidRPr="00C47605" w:rsidRDefault="005D49A0" w:rsidP="00C05135">
      <w:pPr>
        <w:tabs>
          <w:tab w:val="left" w:pos="851"/>
          <w:tab w:val="left" w:pos="1701"/>
          <w:tab w:val="left" w:pos="2694"/>
          <w:tab w:val="right" w:pos="8595"/>
        </w:tabs>
        <w:spacing w:after="0" w:line="240" w:lineRule="auto"/>
        <w:contextualSpacing/>
        <w:jc w:val="both"/>
        <w:rPr>
          <w:sz w:val="24"/>
        </w:rPr>
      </w:pPr>
      <w:r>
        <w:rPr>
          <w:b/>
          <w:sz w:val="24"/>
        </w:rPr>
        <w:t>FIRSTRAND AUTO RECEIVABLES (RF) LIMITED</w:t>
      </w:r>
      <w:r w:rsidR="00C47605">
        <w:rPr>
          <w:sz w:val="24"/>
        </w:rPr>
        <w:tab/>
      </w:r>
      <w:r>
        <w:rPr>
          <w:sz w:val="24"/>
        </w:rPr>
        <w:t xml:space="preserve">Plaintiff  </w:t>
      </w:r>
      <w:r w:rsidR="00F27635" w:rsidRPr="00C47605">
        <w:rPr>
          <w:b/>
          <w:sz w:val="24"/>
        </w:rPr>
        <w:tab/>
      </w:r>
      <w:r w:rsidR="00F27635" w:rsidRPr="00C47605">
        <w:rPr>
          <w:b/>
          <w:sz w:val="24"/>
        </w:rPr>
        <w:tab/>
      </w:r>
      <w:r w:rsidR="00AB2019" w:rsidRPr="00C47605">
        <w:rPr>
          <w:sz w:val="24"/>
        </w:rPr>
        <w:tab/>
      </w:r>
      <w:r w:rsidR="00B21C88" w:rsidRPr="00C47605">
        <w:rPr>
          <w:b/>
          <w:sz w:val="24"/>
        </w:rPr>
        <w:tab/>
      </w:r>
      <w:r w:rsidR="008721BB" w:rsidRPr="00C47605">
        <w:rPr>
          <w:sz w:val="24"/>
        </w:rPr>
        <w:tab/>
      </w:r>
    </w:p>
    <w:p w14:paraId="5D43B75A"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p>
    <w:p w14:paraId="09DDCE2B" w14:textId="77777777" w:rsidR="00C05135" w:rsidRPr="00C47605" w:rsidRDefault="00C05135" w:rsidP="00C05135">
      <w:pPr>
        <w:tabs>
          <w:tab w:val="left" w:pos="851"/>
          <w:tab w:val="left" w:pos="1701"/>
          <w:tab w:val="left" w:pos="2694"/>
          <w:tab w:val="right" w:pos="8595"/>
        </w:tabs>
        <w:spacing w:after="0" w:line="240" w:lineRule="auto"/>
        <w:contextualSpacing/>
        <w:jc w:val="both"/>
        <w:rPr>
          <w:sz w:val="24"/>
        </w:rPr>
      </w:pPr>
      <w:r w:rsidRPr="00C47605">
        <w:rPr>
          <w:sz w:val="24"/>
        </w:rPr>
        <w:t>and</w:t>
      </w:r>
    </w:p>
    <w:p w14:paraId="1D3AEC43" w14:textId="77777777" w:rsidR="008721BB" w:rsidRPr="00C47605" w:rsidRDefault="008721BB" w:rsidP="0020199D">
      <w:pPr>
        <w:tabs>
          <w:tab w:val="left" w:pos="851"/>
          <w:tab w:val="left" w:pos="1701"/>
          <w:tab w:val="left" w:pos="2694"/>
          <w:tab w:val="right" w:pos="8595"/>
        </w:tabs>
        <w:spacing w:after="0" w:line="240" w:lineRule="auto"/>
        <w:contextualSpacing/>
        <w:jc w:val="both"/>
        <w:rPr>
          <w:b/>
          <w:sz w:val="24"/>
        </w:rPr>
      </w:pPr>
    </w:p>
    <w:p w14:paraId="7886995B" w14:textId="77777777" w:rsidR="00B22F20" w:rsidRPr="00C47605" w:rsidRDefault="005D49A0" w:rsidP="00AB2019">
      <w:pPr>
        <w:tabs>
          <w:tab w:val="left" w:pos="851"/>
          <w:tab w:val="left" w:pos="1701"/>
          <w:tab w:val="left" w:pos="2694"/>
          <w:tab w:val="right" w:pos="8595"/>
        </w:tabs>
        <w:spacing w:after="0" w:line="360" w:lineRule="auto"/>
        <w:contextualSpacing/>
        <w:jc w:val="both"/>
        <w:rPr>
          <w:sz w:val="24"/>
        </w:rPr>
      </w:pPr>
      <w:r>
        <w:rPr>
          <w:b/>
          <w:sz w:val="24"/>
        </w:rPr>
        <w:t>ANDREW ZUNGUNDE</w:t>
      </w:r>
      <w:r>
        <w:rPr>
          <w:b/>
          <w:sz w:val="24"/>
        </w:rPr>
        <w:tab/>
      </w:r>
      <w:r w:rsidR="00C47605">
        <w:rPr>
          <w:sz w:val="24"/>
        </w:rPr>
        <w:tab/>
      </w:r>
      <w:r>
        <w:rPr>
          <w:sz w:val="24"/>
        </w:rPr>
        <w:t xml:space="preserve">Defendant </w:t>
      </w:r>
    </w:p>
    <w:p w14:paraId="5EB64226" w14:textId="371A97B1" w:rsidR="00AE48BA" w:rsidRDefault="00AE48BA" w:rsidP="00AB2019">
      <w:pPr>
        <w:tabs>
          <w:tab w:val="left" w:pos="851"/>
          <w:tab w:val="left" w:pos="1701"/>
          <w:tab w:val="left" w:pos="2694"/>
          <w:tab w:val="right" w:pos="8595"/>
        </w:tabs>
        <w:spacing w:after="0" w:line="360" w:lineRule="auto"/>
        <w:contextualSpacing/>
        <w:jc w:val="both"/>
        <w:rPr>
          <w:sz w:val="24"/>
        </w:rPr>
      </w:pPr>
    </w:p>
    <w:p w14:paraId="123A2C9B" w14:textId="5CCDFED6" w:rsidR="000E3544" w:rsidRDefault="000E3544" w:rsidP="00AB2019">
      <w:pPr>
        <w:tabs>
          <w:tab w:val="left" w:pos="851"/>
          <w:tab w:val="left" w:pos="1701"/>
          <w:tab w:val="left" w:pos="2694"/>
          <w:tab w:val="right" w:pos="8595"/>
        </w:tabs>
        <w:spacing w:after="0" w:line="360" w:lineRule="auto"/>
        <w:contextualSpacing/>
        <w:jc w:val="both"/>
        <w:rPr>
          <w:sz w:val="24"/>
        </w:rPr>
      </w:pPr>
    </w:p>
    <w:p w14:paraId="65B65159" w14:textId="443D9465" w:rsidR="000E3544" w:rsidRDefault="000E3544" w:rsidP="00AB2019">
      <w:pPr>
        <w:tabs>
          <w:tab w:val="left" w:pos="851"/>
          <w:tab w:val="left" w:pos="1701"/>
          <w:tab w:val="left" w:pos="2694"/>
          <w:tab w:val="right" w:pos="8595"/>
        </w:tabs>
        <w:spacing w:after="0" w:line="360" w:lineRule="auto"/>
        <w:contextualSpacing/>
        <w:jc w:val="both"/>
        <w:rPr>
          <w:sz w:val="24"/>
        </w:rPr>
      </w:pPr>
      <w:r w:rsidRPr="000E3544">
        <w:rPr>
          <w:b/>
          <w:bCs/>
          <w:sz w:val="24"/>
        </w:rPr>
        <w:t>Delivered:</w:t>
      </w:r>
      <w:r>
        <w:rPr>
          <w:sz w:val="24"/>
        </w:rPr>
        <w:t xml:space="preserve">  This judgment was handed down electronically by circulation to the Plaintiff’s legal representatives and the Defendant by e-mail.  The date for the handing down of the judgment shall be deemed to be </w:t>
      </w:r>
      <w:r w:rsidR="002E341C">
        <w:rPr>
          <w:sz w:val="24"/>
        </w:rPr>
        <w:t>27</w:t>
      </w:r>
      <w:r>
        <w:rPr>
          <w:sz w:val="24"/>
        </w:rPr>
        <w:t xml:space="preserve"> </w:t>
      </w:r>
      <w:r w:rsidR="002E341C">
        <w:rPr>
          <w:sz w:val="24"/>
        </w:rPr>
        <w:t xml:space="preserve">January </w:t>
      </w:r>
      <w:r>
        <w:rPr>
          <w:sz w:val="24"/>
        </w:rPr>
        <w:t>202</w:t>
      </w:r>
      <w:r w:rsidR="00D0475F">
        <w:rPr>
          <w:sz w:val="24"/>
        </w:rPr>
        <w:t>3</w:t>
      </w:r>
    </w:p>
    <w:p w14:paraId="4046DD81" w14:textId="77777777" w:rsidR="000E3544" w:rsidRPr="00C47605" w:rsidRDefault="000E3544" w:rsidP="00AB2019">
      <w:pPr>
        <w:tabs>
          <w:tab w:val="left" w:pos="851"/>
          <w:tab w:val="left" w:pos="1701"/>
          <w:tab w:val="left" w:pos="2694"/>
          <w:tab w:val="right" w:pos="8595"/>
        </w:tabs>
        <w:spacing w:after="0" w:line="360" w:lineRule="auto"/>
        <w:contextualSpacing/>
        <w:jc w:val="both"/>
        <w:rPr>
          <w:sz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95"/>
      </w:tblGrid>
      <w:tr w:rsidR="00C05135" w:rsidRPr="00F27635" w14:paraId="23D68F4F" w14:textId="77777777" w:rsidTr="009C5419">
        <w:tc>
          <w:tcPr>
            <w:tcW w:w="8811" w:type="dxa"/>
          </w:tcPr>
          <w:p w14:paraId="1114A305"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p w14:paraId="5FBEA9EA" w14:textId="77777777" w:rsidR="00C05135" w:rsidRPr="00C47605" w:rsidRDefault="00F27635" w:rsidP="000107FA">
            <w:pPr>
              <w:tabs>
                <w:tab w:val="left" w:pos="851"/>
                <w:tab w:val="left" w:pos="1701"/>
                <w:tab w:val="left" w:pos="2694"/>
                <w:tab w:val="right" w:pos="8595"/>
              </w:tabs>
              <w:spacing w:after="0" w:line="240" w:lineRule="auto"/>
              <w:contextualSpacing/>
              <w:jc w:val="center"/>
              <w:rPr>
                <w:b/>
                <w:szCs w:val="25"/>
              </w:rPr>
            </w:pPr>
            <w:r w:rsidRPr="00C47605">
              <w:rPr>
                <w:b/>
                <w:szCs w:val="25"/>
              </w:rPr>
              <w:t>JUDGMENT</w:t>
            </w:r>
          </w:p>
          <w:p w14:paraId="30897191" w14:textId="77777777" w:rsidR="00C05135" w:rsidRPr="00F27635" w:rsidRDefault="00C05135" w:rsidP="000107FA">
            <w:pPr>
              <w:tabs>
                <w:tab w:val="left" w:pos="851"/>
                <w:tab w:val="left" w:pos="1701"/>
                <w:tab w:val="left" w:pos="2694"/>
                <w:tab w:val="right" w:pos="8595"/>
              </w:tabs>
              <w:spacing w:after="0" w:line="240" w:lineRule="auto"/>
              <w:contextualSpacing/>
              <w:jc w:val="both"/>
              <w:rPr>
                <w:sz w:val="24"/>
              </w:rPr>
            </w:pPr>
          </w:p>
        </w:tc>
      </w:tr>
    </w:tbl>
    <w:p w14:paraId="7944960C" w14:textId="77777777" w:rsidR="00C05135" w:rsidRPr="00F27635" w:rsidRDefault="00C05135" w:rsidP="00C05135">
      <w:pPr>
        <w:tabs>
          <w:tab w:val="left" w:pos="851"/>
          <w:tab w:val="left" w:pos="1701"/>
          <w:tab w:val="left" w:pos="2694"/>
          <w:tab w:val="right" w:pos="8595"/>
        </w:tabs>
        <w:spacing w:after="0" w:line="240" w:lineRule="auto"/>
        <w:contextualSpacing/>
        <w:jc w:val="both"/>
        <w:rPr>
          <w:sz w:val="24"/>
        </w:rPr>
      </w:pPr>
    </w:p>
    <w:p w14:paraId="573D4E15" w14:textId="77777777" w:rsidR="006A13BD" w:rsidRPr="00F27635" w:rsidRDefault="005D49A0" w:rsidP="00B22F20">
      <w:pPr>
        <w:tabs>
          <w:tab w:val="left" w:pos="851"/>
          <w:tab w:val="left" w:pos="1701"/>
          <w:tab w:val="left" w:pos="2694"/>
          <w:tab w:val="right" w:pos="8595"/>
        </w:tabs>
        <w:spacing w:before="280" w:after="280" w:line="480" w:lineRule="auto"/>
        <w:rPr>
          <w:sz w:val="24"/>
        </w:rPr>
      </w:pPr>
      <w:r>
        <w:rPr>
          <w:b/>
          <w:sz w:val="24"/>
        </w:rPr>
        <w:t>LG KILMARTIN</w:t>
      </w:r>
      <w:r w:rsidR="00B22F20" w:rsidRPr="00F27635">
        <w:rPr>
          <w:b/>
          <w:sz w:val="24"/>
        </w:rPr>
        <w:t xml:space="preserve">, </w:t>
      </w:r>
      <w:r>
        <w:rPr>
          <w:b/>
          <w:sz w:val="24"/>
        </w:rPr>
        <w:t>A</w:t>
      </w:r>
      <w:r w:rsidR="00B22F20" w:rsidRPr="00F27635">
        <w:rPr>
          <w:b/>
          <w:sz w:val="24"/>
        </w:rPr>
        <w:t>J</w:t>
      </w:r>
      <w:r w:rsidR="008C71F7" w:rsidRPr="00F27635">
        <w:rPr>
          <w:b/>
          <w:sz w:val="24"/>
        </w:rPr>
        <w:t>:</w:t>
      </w:r>
      <w:r w:rsidR="00F0057C" w:rsidRPr="00F27635">
        <w:rPr>
          <w:sz w:val="24"/>
        </w:rPr>
        <w:t xml:space="preserve"> </w:t>
      </w:r>
      <w:r w:rsidR="00B22F20" w:rsidRPr="00F27635">
        <w:rPr>
          <w:sz w:val="24"/>
        </w:rPr>
        <w:t xml:space="preserve"> </w:t>
      </w:r>
    </w:p>
    <w:p w14:paraId="0266B68F" w14:textId="0143F148" w:rsidR="00AB6DC4" w:rsidRDefault="002F4C9E" w:rsidP="002F4C9E">
      <w:pPr>
        <w:tabs>
          <w:tab w:val="left" w:pos="0"/>
          <w:tab w:val="left" w:pos="1134"/>
          <w:tab w:val="left" w:pos="2694"/>
          <w:tab w:val="right" w:pos="8595"/>
        </w:tabs>
        <w:spacing w:before="400" w:after="400" w:line="480" w:lineRule="auto"/>
        <w:jc w:val="both"/>
        <w:rPr>
          <w:sz w:val="24"/>
        </w:rPr>
      </w:pPr>
      <w:r>
        <w:rPr>
          <w:sz w:val="24"/>
        </w:rPr>
        <w:t>[1</w:t>
      </w:r>
      <w:bookmarkStart w:id="0" w:name="_GoBack"/>
      <w:bookmarkEnd w:id="0"/>
      <w:r>
        <w:rPr>
          <w:sz w:val="24"/>
        </w:rPr>
        <w:t>]</w:t>
      </w:r>
      <w:r>
        <w:rPr>
          <w:sz w:val="24"/>
        </w:rPr>
        <w:tab/>
      </w:r>
      <w:r w:rsidR="00220549">
        <w:rPr>
          <w:sz w:val="24"/>
        </w:rPr>
        <w:t xml:space="preserve">This is an opposed summary judgment application </w:t>
      </w:r>
      <w:r w:rsidR="00AB6DC4">
        <w:rPr>
          <w:sz w:val="24"/>
        </w:rPr>
        <w:t xml:space="preserve">brought </w:t>
      </w:r>
      <w:r w:rsidR="00220549">
        <w:rPr>
          <w:sz w:val="24"/>
        </w:rPr>
        <w:t xml:space="preserve">in terms of Rule 32 of the Uniform Rules of Court.  </w:t>
      </w:r>
    </w:p>
    <w:p w14:paraId="65E9620E" w14:textId="4E1B1D68" w:rsidR="005D49A0" w:rsidRDefault="002F4C9E" w:rsidP="002F4C9E">
      <w:pPr>
        <w:tabs>
          <w:tab w:val="left" w:pos="0"/>
          <w:tab w:val="left" w:pos="1134"/>
          <w:tab w:val="left" w:pos="2694"/>
          <w:tab w:val="right" w:pos="8595"/>
        </w:tabs>
        <w:spacing w:before="400" w:after="400" w:line="480" w:lineRule="auto"/>
        <w:jc w:val="both"/>
        <w:rPr>
          <w:sz w:val="24"/>
        </w:rPr>
      </w:pPr>
      <w:r>
        <w:rPr>
          <w:sz w:val="24"/>
        </w:rPr>
        <w:lastRenderedPageBreak/>
        <w:t>[2]</w:t>
      </w:r>
      <w:r>
        <w:rPr>
          <w:sz w:val="24"/>
        </w:rPr>
        <w:tab/>
      </w:r>
      <w:r w:rsidR="00220549">
        <w:rPr>
          <w:sz w:val="24"/>
        </w:rPr>
        <w:t xml:space="preserve">The </w:t>
      </w:r>
      <w:r w:rsidR="00AB6DC4">
        <w:rPr>
          <w:sz w:val="24"/>
        </w:rPr>
        <w:t>D</w:t>
      </w:r>
      <w:r w:rsidR="00220549">
        <w:rPr>
          <w:sz w:val="24"/>
        </w:rPr>
        <w:t>efendant</w:t>
      </w:r>
      <w:r w:rsidR="00AB6DC4">
        <w:rPr>
          <w:sz w:val="24"/>
        </w:rPr>
        <w:t>, Andrew Zungunde, de</w:t>
      </w:r>
      <w:r w:rsidR="00220549">
        <w:rPr>
          <w:sz w:val="24"/>
        </w:rPr>
        <w:t>livered an answering affidavit and heads of argument</w:t>
      </w:r>
      <w:r w:rsidR="00AB6DC4">
        <w:rPr>
          <w:sz w:val="24"/>
        </w:rPr>
        <w:t xml:space="preserve"> and </w:t>
      </w:r>
      <w:r w:rsidR="00727977">
        <w:rPr>
          <w:sz w:val="24"/>
        </w:rPr>
        <w:t xml:space="preserve">also </w:t>
      </w:r>
      <w:r w:rsidR="00AB6DC4">
        <w:rPr>
          <w:sz w:val="24"/>
        </w:rPr>
        <w:t>appeared in person to present oral argument</w:t>
      </w:r>
      <w:r w:rsidR="00727977">
        <w:rPr>
          <w:sz w:val="24"/>
        </w:rPr>
        <w:t xml:space="preserve"> at the hearing</w:t>
      </w:r>
      <w:r w:rsidR="00AB6DC4">
        <w:rPr>
          <w:sz w:val="24"/>
        </w:rPr>
        <w:t>.</w:t>
      </w:r>
    </w:p>
    <w:p w14:paraId="50297219" w14:textId="720F401A" w:rsidR="00727977" w:rsidRDefault="002F4C9E" w:rsidP="002F4C9E">
      <w:pPr>
        <w:tabs>
          <w:tab w:val="left" w:pos="0"/>
          <w:tab w:val="left" w:pos="1134"/>
          <w:tab w:val="left" w:pos="2694"/>
          <w:tab w:val="right" w:pos="8595"/>
        </w:tabs>
        <w:spacing w:before="400" w:after="400" w:line="480" w:lineRule="auto"/>
        <w:jc w:val="both"/>
        <w:rPr>
          <w:sz w:val="24"/>
        </w:rPr>
      </w:pPr>
      <w:r>
        <w:rPr>
          <w:sz w:val="24"/>
        </w:rPr>
        <w:t>[3]</w:t>
      </w:r>
      <w:r>
        <w:rPr>
          <w:sz w:val="24"/>
        </w:rPr>
        <w:tab/>
      </w:r>
      <w:r w:rsidR="00AB6DC4" w:rsidRPr="00AB6DC4">
        <w:rPr>
          <w:sz w:val="24"/>
        </w:rPr>
        <w:t>On 20 April 2021, the Plaintiff, FirstRand Auto Receivables (RF) Limited, instituted action against the Defendant</w:t>
      </w:r>
      <w:r w:rsidR="00727977">
        <w:rPr>
          <w:sz w:val="24"/>
        </w:rPr>
        <w:t>,</w:t>
      </w:r>
      <w:r w:rsidR="00AB6DC4">
        <w:rPr>
          <w:sz w:val="24"/>
        </w:rPr>
        <w:t xml:space="preserve"> based on his </w:t>
      </w:r>
      <w:r w:rsidR="00220549" w:rsidRPr="00AB6DC4">
        <w:rPr>
          <w:sz w:val="24"/>
        </w:rPr>
        <w:t xml:space="preserve">breach of a written instalment sale agreement (“the credit agreement”) which was concluded on 21 December 2016 between FirstRand Bank Limited t/a WesBank, represented by a duly authorised employee, and the </w:t>
      </w:r>
      <w:r w:rsidR="00AB6DC4">
        <w:rPr>
          <w:sz w:val="24"/>
        </w:rPr>
        <w:t>D</w:t>
      </w:r>
      <w:r w:rsidR="00220549" w:rsidRPr="00AB6DC4">
        <w:rPr>
          <w:sz w:val="24"/>
        </w:rPr>
        <w:t>efendant</w:t>
      </w:r>
      <w:r w:rsidR="00727977">
        <w:rPr>
          <w:sz w:val="24"/>
        </w:rPr>
        <w:t>,</w:t>
      </w:r>
      <w:r w:rsidR="00220549" w:rsidRPr="00AB6DC4">
        <w:rPr>
          <w:sz w:val="24"/>
        </w:rPr>
        <w:t xml:space="preserve"> personally.</w:t>
      </w:r>
    </w:p>
    <w:p w14:paraId="4C3D3CDB" w14:textId="7F04B135" w:rsidR="00801B18" w:rsidRDefault="002F4C9E" w:rsidP="002F4C9E">
      <w:pPr>
        <w:tabs>
          <w:tab w:val="left" w:pos="0"/>
          <w:tab w:val="left" w:pos="1134"/>
          <w:tab w:val="left" w:pos="2694"/>
          <w:tab w:val="right" w:pos="8595"/>
        </w:tabs>
        <w:spacing w:before="400" w:after="400" w:line="480" w:lineRule="auto"/>
        <w:jc w:val="both"/>
        <w:rPr>
          <w:sz w:val="24"/>
        </w:rPr>
      </w:pPr>
      <w:r>
        <w:rPr>
          <w:sz w:val="24"/>
        </w:rPr>
        <w:t>[4]</w:t>
      </w:r>
      <w:r>
        <w:rPr>
          <w:sz w:val="24"/>
        </w:rPr>
        <w:tab/>
      </w:r>
      <w:r w:rsidR="00801B18">
        <w:rPr>
          <w:sz w:val="24"/>
        </w:rPr>
        <w:t>The credit agreement is an agreement as defined in the National Credit Act, 34 of 2005</w:t>
      </w:r>
      <w:r w:rsidR="000E3544">
        <w:rPr>
          <w:sz w:val="24"/>
        </w:rPr>
        <w:t xml:space="preserve"> (“the National Credit Act”)</w:t>
      </w:r>
      <w:r w:rsidR="00801B18">
        <w:rPr>
          <w:sz w:val="24"/>
        </w:rPr>
        <w:t>.</w:t>
      </w:r>
    </w:p>
    <w:p w14:paraId="65CE55E3" w14:textId="37136B35" w:rsidR="00727977" w:rsidRDefault="002F4C9E" w:rsidP="002F4C9E">
      <w:pPr>
        <w:tabs>
          <w:tab w:val="left" w:pos="0"/>
          <w:tab w:val="left" w:pos="1134"/>
          <w:tab w:val="left" w:pos="2694"/>
          <w:tab w:val="right" w:pos="8595"/>
        </w:tabs>
        <w:spacing w:before="400" w:after="400" w:line="480" w:lineRule="auto"/>
        <w:jc w:val="both"/>
        <w:rPr>
          <w:sz w:val="24"/>
        </w:rPr>
      </w:pPr>
      <w:r>
        <w:rPr>
          <w:sz w:val="24"/>
        </w:rPr>
        <w:t>[5]</w:t>
      </w:r>
      <w:r>
        <w:rPr>
          <w:sz w:val="24"/>
        </w:rPr>
        <w:tab/>
      </w:r>
      <w:r w:rsidR="00727977">
        <w:rPr>
          <w:sz w:val="24"/>
        </w:rPr>
        <w:t>I</w:t>
      </w:r>
      <w:r w:rsidR="00220549" w:rsidRPr="00727977">
        <w:rPr>
          <w:sz w:val="24"/>
        </w:rPr>
        <w:t xml:space="preserve">n terms of the credit agreement, the </w:t>
      </w:r>
      <w:r w:rsidR="00727977">
        <w:rPr>
          <w:sz w:val="24"/>
        </w:rPr>
        <w:t>D</w:t>
      </w:r>
      <w:r w:rsidR="00220549" w:rsidRPr="00727977">
        <w:rPr>
          <w:sz w:val="24"/>
        </w:rPr>
        <w:t>efendant purchased a 2016 Ford Ranger 2.2 TDCI XLT P/U D/C with engine number QJ2LPGS29439 and chassis number AFAPXXMJ2PGS29439 (“the vehicle”).</w:t>
      </w:r>
    </w:p>
    <w:p w14:paraId="37C1C839" w14:textId="40D14366" w:rsidR="00727977" w:rsidRDefault="002F4C9E" w:rsidP="002F4C9E">
      <w:pPr>
        <w:tabs>
          <w:tab w:val="left" w:pos="0"/>
          <w:tab w:val="left" w:pos="1134"/>
          <w:tab w:val="left" w:pos="2694"/>
          <w:tab w:val="right" w:pos="8595"/>
        </w:tabs>
        <w:spacing w:before="400" w:after="400" w:line="480" w:lineRule="auto"/>
        <w:jc w:val="both"/>
        <w:rPr>
          <w:sz w:val="24"/>
        </w:rPr>
      </w:pPr>
      <w:r>
        <w:rPr>
          <w:sz w:val="24"/>
        </w:rPr>
        <w:t>[6]</w:t>
      </w:r>
      <w:r>
        <w:rPr>
          <w:sz w:val="24"/>
        </w:rPr>
        <w:tab/>
      </w:r>
      <w:r w:rsidR="00727977">
        <w:rPr>
          <w:sz w:val="24"/>
        </w:rPr>
        <w:t xml:space="preserve">The material express terms of the credit agreement included </w:t>
      </w:r>
      <w:r w:rsidR="000E3544" w:rsidRPr="000E3544">
        <w:rPr>
          <w:i/>
          <w:iCs/>
          <w:sz w:val="24"/>
        </w:rPr>
        <w:t>inter alia</w:t>
      </w:r>
      <w:r w:rsidR="00727977">
        <w:rPr>
          <w:sz w:val="24"/>
        </w:rPr>
        <w:t xml:space="preserve">: </w:t>
      </w:r>
    </w:p>
    <w:p w14:paraId="1E6215F0" w14:textId="648797A3"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[6.1]</w:t>
      </w:r>
      <w:r>
        <w:rPr>
          <w:sz w:val="24"/>
        </w:rPr>
        <w:tab/>
      </w:r>
      <w:r w:rsidR="00727977">
        <w:rPr>
          <w:sz w:val="24"/>
        </w:rPr>
        <w:t xml:space="preserve">the Plaintiff would advance an amount of R513 711.76 on behalf of the Defendant (“the loan”); </w:t>
      </w:r>
    </w:p>
    <w:p w14:paraId="7C4A63D6" w14:textId="55602566"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[6.2]</w:t>
      </w:r>
      <w:r>
        <w:rPr>
          <w:sz w:val="24"/>
        </w:rPr>
        <w:tab/>
      </w:r>
      <w:r w:rsidR="00727977" w:rsidRPr="00A1732E">
        <w:rPr>
          <w:sz w:val="24"/>
        </w:rPr>
        <w:t xml:space="preserve">the Defendant would repay the loan in terms of the credit agreement in monthly instalments of R5 654.59; </w:t>
      </w:r>
    </w:p>
    <w:p w14:paraId="607BC8A2" w14:textId="56AD6748"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[6.3]</w:t>
      </w:r>
      <w:r>
        <w:rPr>
          <w:sz w:val="24"/>
        </w:rPr>
        <w:tab/>
      </w:r>
      <w:r w:rsidR="00727977" w:rsidRPr="00A1732E">
        <w:rPr>
          <w:sz w:val="24"/>
        </w:rPr>
        <w:t>the first instalment would be payable by the Defendant on 1</w:t>
      </w:r>
      <w:r w:rsidR="00A1732E" w:rsidRPr="00A1732E">
        <w:rPr>
          <w:sz w:val="24"/>
        </w:rPr>
        <w:t> </w:t>
      </w:r>
      <w:r w:rsidR="00727977" w:rsidRPr="00A1732E">
        <w:rPr>
          <w:sz w:val="24"/>
        </w:rPr>
        <w:t xml:space="preserve">February 2017; </w:t>
      </w:r>
    </w:p>
    <w:p w14:paraId="0EFDFC4B" w14:textId="28EAE705" w:rsidR="00727977" w:rsidRPr="00A1732E" w:rsidRDefault="002F4C9E" w:rsidP="002F4C9E">
      <w:pPr>
        <w:tabs>
          <w:tab w:val="left" w:pos="0"/>
          <w:tab w:val="left" w:pos="1134"/>
          <w:tab w:val="left" w:pos="1985"/>
          <w:tab w:val="right" w:pos="8595"/>
        </w:tabs>
        <w:spacing w:before="400" w:after="400" w:line="480" w:lineRule="auto"/>
        <w:ind w:left="1985" w:hanging="851"/>
        <w:jc w:val="both"/>
        <w:rPr>
          <w:sz w:val="24"/>
        </w:rPr>
      </w:pPr>
      <w:r w:rsidRPr="00A1732E">
        <w:rPr>
          <w:sz w:val="24"/>
        </w:rPr>
        <w:lastRenderedPageBreak/>
        <w:t>[6.4]</w:t>
      </w:r>
      <w:r w:rsidRPr="00A1732E">
        <w:rPr>
          <w:sz w:val="24"/>
        </w:rPr>
        <w:tab/>
      </w:r>
      <w:r w:rsidR="00727977" w:rsidRPr="00A1732E">
        <w:rPr>
          <w:sz w:val="24"/>
        </w:rPr>
        <w:t xml:space="preserve">the finance charges would be calculated from the date of signature of the credit agreement and would be calculated daily on the amount outstanding at the end of each day and would be compounded and debited monthly; </w:t>
      </w:r>
    </w:p>
    <w:p w14:paraId="40C47215" w14:textId="16F3FAD8" w:rsidR="00727977"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[6.5]</w:t>
      </w:r>
      <w:r>
        <w:rPr>
          <w:sz w:val="24"/>
        </w:rPr>
        <w:tab/>
      </w:r>
      <w:r w:rsidR="00727977">
        <w:rPr>
          <w:sz w:val="24"/>
        </w:rPr>
        <w:t xml:space="preserve">the nature and amount of the </w:t>
      </w:r>
      <w:r w:rsidR="00201FDE">
        <w:rPr>
          <w:sz w:val="24"/>
        </w:rPr>
        <w:t>D</w:t>
      </w:r>
      <w:r w:rsidR="00727977">
        <w:rPr>
          <w:sz w:val="24"/>
        </w:rPr>
        <w:t xml:space="preserve">efendant’s indebtedness at any time </w:t>
      </w:r>
      <w:r w:rsidR="00201FDE">
        <w:rPr>
          <w:sz w:val="24"/>
        </w:rPr>
        <w:t xml:space="preserve">may </w:t>
      </w:r>
      <w:r w:rsidR="00727977">
        <w:rPr>
          <w:sz w:val="24"/>
        </w:rPr>
        <w:t xml:space="preserve">be determined and proved by a written certificate purporting to have been signed on behalf of WesBank and </w:t>
      </w:r>
      <w:r w:rsidR="00201FDE">
        <w:rPr>
          <w:sz w:val="24"/>
        </w:rPr>
        <w:t>the c</w:t>
      </w:r>
      <w:r w:rsidR="00727977">
        <w:rPr>
          <w:sz w:val="24"/>
        </w:rPr>
        <w:t xml:space="preserve">ertificate would be </w:t>
      </w:r>
      <w:r w:rsidR="00727977">
        <w:rPr>
          <w:i/>
          <w:iCs/>
          <w:sz w:val="24"/>
        </w:rPr>
        <w:t xml:space="preserve">prima facie </w:t>
      </w:r>
      <w:r w:rsidR="00727977">
        <w:rPr>
          <w:sz w:val="24"/>
        </w:rPr>
        <w:t xml:space="preserve">proof of the contents </w:t>
      </w:r>
      <w:r w:rsidR="00201FDE">
        <w:rPr>
          <w:sz w:val="24"/>
        </w:rPr>
        <w:t xml:space="preserve">thereof </w:t>
      </w:r>
      <w:r w:rsidR="00727977">
        <w:rPr>
          <w:sz w:val="24"/>
        </w:rPr>
        <w:t xml:space="preserve">and the fact that such amount was due and payable; </w:t>
      </w:r>
    </w:p>
    <w:p w14:paraId="4B59693E" w14:textId="3742C107" w:rsidR="00727977"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[6.6]</w:t>
      </w:r>
      <w:r>
        <w:rPr>
          <w:sz w:val="24"/>
        </w:rPr>
        <w:tab/>
      </w:r>
      <w:r w:rsidR="00727977">
        <w:rPr>
          <w:sz w:val="24"/>
        </w:rPr>
        <w:t xml:space="preserve">the </w:t>
      </w:r>
      <w:r w:rsidR="00201FDE">
        <w:rPr>
          <w:sz w:val="24"/>
        </w:rPr>
        <w:t>D</w:t>
      </w:r>
      <w:r w:rsidR="00727977">
        <w:rPr>
          <w:sz w:val="24"/>
        </w:rPr>
        <w:t xml:space="preserve">efendant would be liable </w:t>
      </w:r>
      <w:r w:rsidR="00201FDE">
        <w:rPr>
          <w:sz w:val="24"/>
        </w:rPr>
        <w:t>fo</w:t>
      </w:r>
      <w:r w:rsidR="00727977">
        <w:rPr>
          <w:sz w:val="24"/>
        </w:rPr>
        <w:t xml:space="preserve">r all legal costs, as permissible, incurred by WesBank to enforce its rights arising from the credit agreement in the event of any default by the </w:t>
      </w:r>
      <w:r w:rsidR="00201FDE">
        <w:rPr>
          <w:sz w:val="24"/>
        </w:rPr>
        <w:t>D</w:t>
      </w:r>
      <w:r w:rsidR="00727977">
        <w:rPr>
          <w:sz w:val="24"/>
        </w:rPr>
        <w:t xml:space="preserve">efendant; </w:t>
      </w:r>
    </w:p>
    <w:p w14:paraId="402752A7" w14:textId="765F0B55" w:rsidR="00727977"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[6.7]</w:t>
      </w:r>
      <w:r>
        <w:rPr>
          <w:sz w:val="24"/>
        </w:rPr>
        <w:tab/>
      </w:r>
      <w:r w:rsidR="00727977">
        <w:rPr>
          <w:sz w:val="24"/>
        </w:rPr>
        <w:t xml:space="preserve">ownership of the vehicle would remain vested in WesBank until all amounts due to WesBank by the </w:t>
      </w:r>
      <w:r w:rsidR="00201FDE">
        <w:rPr>
          <w:sz w:val="24"/>
        </w:rPr>
        <w:t>D</w:t>
      </w:r>
      <w:r w:rsidR="00727977">
        <w:rPr>
          <w:sz w:val="24"/>
        </w:rPr>
        <w:t xml:space="preserve">efendant in terms of the credit agreement had been paid in full; </w:t>
      </w:r>
    </w:p>
    <w:p w14:paraId="2D551A56" w14:textId="6E84C3F9" w:rsidR="00727977"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[6.8]</w:t>
      </w:r>
      <w:r>
        <w:rPr>
          <w:sz w:val="24"/>
        </w:rPr>
        <w:tab/>
      </w:r>
      <w:r w:rsidR="00727977">
        <w:rPr>
          <w:sz w:val="24"/>
        </w:rPr>
        <w:t>t</w:t>
      </w:r>
      <w:r w:rsidR="00727977" w:rsidRPr="00060AC7">
        <w:rPr>
          <w:sz w:val="24"/>
        </w:rPr>
        <w:t xml:space="preserve">he </w:t>
      </w:r>
      <w:r w:rsidR="00201FDE">
        <w:rPr>
          <w:sz w:val="24"/>
        </w:rPr>
        <w:t>D</w:t>
      </w:r>
      <w:r w:rsidR="00727977" w:rsidRPr="00060AC7">
        <w:rPr>
          <w:sz w:val="24"/>
        </w:rPr>
        <w:t xml:space="preserve">efendant acknowledged that </w:t>
      </w:r>
      <w:r w:rsidR="00201FDE">
        <w:rPr>
          <w:sz w:val="24"/>
        </w:rPr>
        <w:t xml:space="preserve">WesBank </w:t>
      </w:r>
      <w:r w:rsidR="00727977" w:rsidRPr="00060AC7">
        <w:rPr>
          <w:sz w:val="24"/>
        </w:rPr>
        <w:t xml:space="preserve">could cede all </w:t>
      </w:r>
      <w:r w:rsidR="00201FDE">
        <w:rPr>
          <w:sz w:val="24"/>
        </w:rPr>
        <w:t xml:space="preserve">of </w:t>
      </w:r>
      <w:r w:rsidR="00727977" w:rsidRPr="00060AC7">
        <w:rPr>
          <w:sz w:val="24"/>
        </w:rPr>
        <w:t>its right, title and interest in and to the credit agreement to a third party;</w:t>
      </w:r>
      <w:r w:rsidR="000E3544">
        <w:rPr>
          <w:sz w:val="24"/>
        </w:rPr>
        <w:t xml:space="preserve"> </w:t>
      </w:r>
      <w:r w:rsidR="00201FDE">
        <w:rPr>
          <w:sz w:val="24"/>
        </w:rPr>
        <w:t>and</w:t>
      </w:r>
    </w:p>
    <w:p w14:paraId="452AD7D0" w14:textId="726A2E72"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[6.9]</w:t>
      </w:r>
      <w:r>
        <w:rPr>
          <w:sz w:val="24"/>
        </w:rPr>
        <w:tab/>
      </w:r>
      <w:r w:rsidR="00727977">
        <w:rPr>
          <w:sz w:val="24"/>
        </w:rPr>
        <w:t xml:space="preserve">the </w:t>
      </w:r>
      <w:r w:rsidR="00201FDE">
        <w:rPr>
          <w:sz w:val="24"/>
        </w:rPr>
        <w:t>D</w:t>
      </w:r>
      <w:r w:rsidR="00727977">
        <w:rPr>
          <w:sz w:val="24"/>
        </w:rPr>
        <w:t xml:space="preserve">efendant agreed that should </w:t>
      </w:r>
      <w:r w:rsidR="00201FDE">
        <w:rPr>
          <w:sz w:val="24"/>
        </w:rPr>
        <w:t xml:space="preserve">he </w:t>
      </w:r>
      <w:r w:rsidR="00727977">
        <w:rPr>
          <w:sz w:val="24"/>
        </w:rPr>
        <w:t xml:space="preserve">commit any breach of the credit agreement, then WesBank would be entitled, without prejudice to any rights it may have against </w:t>
      </w:r>
      <w:r w:rsidR="00201FDE">
        <w:rPr>
          <w:sz w:val="24"/>
        </w:rPr>
        <w:t>him</w:t>
      </w:r>
      <w:r w:rsidR="000E3544">
        <w:rPr>
          <w:sz w:val="24"/>
        </w:rPr>
        <w:t>,</w:t>
      </w:r>
      <w:r w:rsidR="00201FDE">
        <w:rPr>
          <w:sz w:val="24"/>
        </w:rPr>
        <w:t xml:space="preserve"> </w:t>
      </w:r>
      <w:r w:rsidR="00727977">
        <w:rPr>
          <w:sz w:val="24"/>
        </w:rPr>
        <w:t xml:space="preserve">to: </w:t>
      </w:r>
    </w:p>
    <w:p w14:paraId="5A024DCA" w14:textId="72744AE5" w:rsidR="00A1732E" w:rsidRPr="00A1732E" w:rsidRDefault="002F4C9E" w:rsidP="002F4C9E">
      <w:pPr>
        <w:tabs>
          <w:tab w:val="left" w:pos="0"/>
          <w:tab w:val="left" w:pos="1134"/>
          <w:tab w:val="left" w:pos="1985"/>
          <w:tab w:val="left" w:pos="2835"/>
          <w:tab w:val="right" w:pos="8595"/>
        </w:tabs>
        <w:spacing w:before="400" w:after="400" w:line="480" w:lineRule="auto"/>
        <w:ind w:left="2835" w:hanging="850"/>
        <w:jc w:val="both"/>
        <w:rPr>
          <w:sz w:val="24"/>
        </w:rPr>
      </w:pPr>
      <w:r w:rsidRPr="00A1732E">
        <w:rPr>
          <w:sz w:val="24"/>
        </w:rPr>
        <w:lastRenderedPageBreak/>
        <w:t>[6.9.1]</w:t>
      </w:r>
      <w:r w:rsidRPr="00A1732E">
        <w:rPr>
          <w:sz w:val="24"/>
        </w:rPr>
        <w:tab/>
      </w:r>
      <w:r w:rsidR="00A1732E" w:rsidRPr="00A1732E">
        <w:rPr>
          <w:sz w:val="24"/>
        </w:rPr>
        <w:t>enforce the credit agreement;</w:t>
      </w:r>
      <w:r w:rsidR="000E3544">
        <w:rPr>
          <w:sz w:val="24"/>
        </w:rPr>
        <w:t xml:space="preserve"> and</w:t>
      </w:r>
    </w:p>
    <w:p w14:paraId="0D1A9487" w14:textId="15D39E80" w:rsidR="00A1732E" w:rsidRDefault="002F4C9E" w:rsidP="002F4C9E">
      <w:pPr>
        <w:tabs>
          <w:tab w:val="left" w:pos="0"/>
          <w:tab w:val="left" w:pos="1134"/>
          <w:tab w:val="left" w:pos="1985"/>
          <w:tab w:val="left" w:pos="2835"/>
          <w:tab w:val="right" w:pos="8595"/>
        </w:tabs>
        <w:spacing w:before="400" w:after="400" w:line="480" w:lineRule="auto"/>
        <w:ind w:left="2835" w:hanging="850"/>
        <w:jc w:val="both"/>
        <w:rPr>
          <w:sz w:val="24"/>
        </w:rPr>
      </w:pPr>
      <w:r>
        <w:rPr>
          <w:sz w:val="24"/>
        </w:rPr>
        <w:t>[6.9.2]</w:t>
      </w:r>
      <w:r>
        <w:rPr>
          <w:sz w:val="24"/>
        </w:rPr>
        <w:tab/>
      </w:r>
      <w:r w:rsidR="00A1732E" w:rsidRPr="00A1732E">
        <w:rPr>
          <w:sz w:val="24"/>
        </w:rPr>
        <w:t xml:space="preserve">cancel the credit agreement, take repossession of the vehicle as the lawful owner of the vehicle, immediately sell the vehicle, retain all payments made by the Defendant to date and claim damages of the difference between the outstanding balance in terms of the credit agreement and the net proceeds after the sale of vehicle and after deducting the permitted default charges and reasonable costs allowed in connection with the sale of a vehicle.  </w:t>
      </w:r>
    </w:p>
    <w:p w14:paraId="16F3F062" w14:textId="3BE686F1" w:rsidR="00727977" w:rsidRPr="002F4C9E" w:rsidRDefault="002F4C9E" w:rsidP="002F4C9E">
      <w:pPr>
        <w:tabs>
          <w:tab w:val="left" w:pos="0"/>
          <w:tab w:val="left" w:pos="1134"/>
          <w:tab w:val="left" w:pos="1985"/>
          <w:tab w:val="left" w:pos="3119"/>
          <w:tab w:val="right" w:pos="8595"/>
        </w:tabs>
        <w:spacing w:before="400" w:after="400" w:line="480" w:lineRule="auto"/>
        <w:ind w:hanging="851"/>
        <w:jc w:val="both"/>
        <w:rPr>
          <w:vanish/>
          <w:sz w:val="24"/>
        </w:rPr>
      </w:pPr>
      <w:r w:rsidRPr="0089225F">
        <w:rPr>
          <w:vanish/>
          <w:sz w:val="24"/>
        </w:rPr>
        <w:t>[1]</w:t>
      </w:r>
      <w:r w:rsidRPr="0089225F">
        <w:rPr>
          <w:vanish/>
          <w:sz w:val="24"/>
        </w:rPr>
        <w:tab/>
      </w:r>
    </w:p>
    <w:p w14:paraId="27599481" w14:textId="26D62EB6" w:rsidR="00727977" w:rsidRPr="002F4C9E" w:rsidRDefault="002F4C9E" w:rsidP="002F4C9E">
      <w:pPr>
        <w:tabs>
          <w:tab w:val="left" w:pos="0"/>
          <w:tab w:val="left" w:pos="1134"/>
          <w:tab w:val="left" w:pos="1985"/>
          <w:tab w:val="left" w:pos="3119"/>
          <w:tab w:val="right" w:pos="8595"/>
        </w:tabs>
        <w:spacing w:before="400" w:after="400" w:line="480" w:lineRule="auto"/>
        <w:jc w:val="both"/>
        <w:rPr>
          <w:vanish/>
          <w:sz w:val="24"/>
        </w:rPr>
      </w:pPr>
      <w:r w:rsidRPr="0089225F">
        <w:rPr>
          <w:vanish/>
          <w:sz w:val="24"/>
        </w:rPr>
        <w:t>[2]</w:t>
      </w:r>
      <w:r w:rsidRPr="0089225F">
        <w:rPr>
          <w:vanish/>
          <w:sz w:val="24"/>
        </w:rPr>
        <w:tab/>
      </w:r>
    </w:p>
    <w:p w14:paraId="32A2D57B" w14:textId="7C1E3EF5" w:rsidR="00727977" w:rsidRPr="002F4C9E" w:rsidRDefault="002F4C9E" w:rsidP="002F4C9E">
      <w:pPr>
        <w:tabs>
          <w:tab w:val="left" w:pos="0"/>
          <w:tab w:val="left" w:pos="1134"/>
          <w:tab w:val="left" w:pos="1985"/>
          <w:tab w:val="left" w:pos="3119"/>
          <w:tab w:val="right" w:pos="8595"/>
        </w:tabs>
        <w:spacing w:before="400" w:after="400" w:line="480" w:lineRule="auto"/>
        <w:jc w:val="both"/>
        <w:rPr>
          <w:vanish/>
          <w:sz w:val="24"/>
        </w:rPr>
      </w:pPr>
      <w:r w:rsidRPr="0089225F">
        <w:rPr>
          <w:vanish/>
          <w:sz w:val="24"/>
        </w:rPr>
        <w:t>[3]</w:t>
      </w:r>
      <w:r w:rsidRPr="0089225F">
        <w:rPr>
          <w:vanish/>
          <w:sz w:val="24"/>
        </w:rPr>
        <w:tab/>
      </w:r>
    </w:p>
    <w:p w14:paraId="2BE4A780" w14:textId="3A158846" w:rsidR="00727977" w:rsidRPr="002F4C9E" w:rsidRDefault="002F4C9E" w:rsidP="002F4C9E">
      <w:pPr>
        <w:tabs>
          <w:tab w:val="left" w:pos="0"/>
          <w:tab w:val="left" w:pos="1134"/>
          <w:tab w:val="left" w:pos="1985"/>
          <w:tab w:val="left" w:pos="3119"/>
          <w:tab w:val="right" w:pos="8595"/>
        </w:tabs>
        <w:spacing w:before="400" w:after="400" w:line="480" w:lineRule="auto"/>
        <w:jc w:val="both"/>
        <w:rPr>
          <w:vanish/>
          <w:sz w:val="24"/>
        </w:rPr>
      </w:pPr>
      <w:r w:rsidRPr="0089225F">
        <w:rPr>
          <w:vanish/>
          <w:sz w:val="24"/>
        </w:rPr>
        <w:t>[4]</w:t>
      </w:r>
      <w:r w:rsidRPr="0089225F">
        <w:rPr>
          <w:vanish/>
          <w:sz w:val="24"/>
        </w:rPr>
        <w:tab/>
      </w:r>
    </w:p>
    <w:p w14:paraId="7DFAAED7" w14:textId="5F9D2672" w:rsidR="00727977" w:rsidRPr="002F4C9E" w:rsidRDefault="002F4C9E" w:rsidP="002F4C9E">
      <w:pPr>
        <w:tabs>
          <w:tab w:val="left" w:pos="0"/>
          <w:tab w:val="left" w:pos="1134"/>
          <w:tab w:val="left" w:pos="1985"/>
          <w:tab w:val="left" w:pos="3119"/>
          <w:tab w:val="right" w:pos="8595"/>
        </w:tabs>
        <w:spacing w:before="400" w:after="400" w:line="480" w:lineRule="auto"/>
        <w:jc w:val="both"/>
        <w:rPr>
          <w:vanish/>
          <w:sz w:val="24"/>
        </w:rPr>
      </w:pPr>
      <w:r w:rsidRPr="0089225F">
        <w:rPr>
          <w:vanish/>
          <w:sz w:val="24"/>
        </w:rPr>
        <w:t>[5]</w:t>
      </w:r>
      <w:r w:rsidRPr="0089225F">
        <w:rPr>
          <w:vanish/>
          <w:sz w:val="24"/>
        </w:rPr>
        <w:tab/>
      </w:r>
    </w:p>
    <w:p w14:paraId="15126A0A" w14:textId="324D6A40"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t>[5.1]</w:t>
      </w:r>
      <w:r w:rsidRPr="0089225F">
        <w:rPr>
          <w:vanish/>
          <w:sz w:val="24"/>
        </w:rPr>
        <w:tab/>
      </w:r>
    </w:p>
    <w:p w14:paraId="7E7AC5E4" w14:textId="5E2DD550"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t>[5.2]</w:t>
      </w:r>
      <w:r w:rsidRPr="0089225F">
        <w:rPr>
          <w:vanish/>
          <w:sz w:val="24"/>
        </w:rPr>
        <w:tab/>
      </w:r>
    </w:p>
    <w:p w14:paraId="4706A7E0" w14:textId="46348735"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t>[5.3]</w:t>
      </w:r>
      <w:r w:rsidRPr="0089225F">
        <w:rPr>
          <w:vanish/>
          <w:sz w:val="24"/>
        </w:rPr>
        <w:tab/>
      </w:r>
    </w:p>
    <w:p w14:paraId="65631384" w14:textId="6C1989BB"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lastRenderedPageBreak/>
        <w:t>[5.4]</w:t>
      </w:r>
      <w:r w:rsidRPr="0089225F">
        <w:rPr>
          <w:vanish/>
          <w:sz w:val="24"/>
        </w:rPr>
        <w:tab/>
      </w:r>
    </w:p>
    <w:p w14:paraId="24F0924F" w14:textId="7C385913"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t>[5.5]</w:t>
      </w:r>
      <w:r w:rsidRPr="0089225F">
        <w:rPr>
          <w:vanish/>
          <w:sz w:val="24"/>
        </w:rPr>
        <w:tab/>
      </w:r>
    </w:p>
    <w:p w14:paraId="3C29B4FE" w14:textId="1C7184F0"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t>[5.6]</w:t>
      </w:r>
      <w:r w:rsidRPr="0089225F">
        <w:rPr>
          <w:vanish/>
          <w:sz w:val="24"/>
        </w:rPr>
        <w:tab/>
      </w:r>
    </w:p>
    <w:p w14:paraId="27115B60" w14:textId="4267E7CC"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t>[5.7]</w:t>
      </w:r>
      <w:r w:rsidRPr="0089225F">
        <w:rPr>
          <w:vanish/>
          <w:sz w:val="24"/>
        </w:rPr>
        <w:tab/>
      </w:r>
    </w:p>
    <w:p w14:paraId="5FEB4951" w14:textId="17C987DD"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t>[5.8]</w:t>
      </w:r>
      <w:r w:rsidRPr="0089225F">
        <w:rPr>
          <w:vanish/>
          <w:sz w:val="24"/>
        </w:rPr>
        <w:tab/>
      </w:r>
    </w:p>
    <w:p w14:paraId="6068814A" w14:textId="0311EB26"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t>[5.9]</w:t>
      </w:r>
      <w:r w:rsidRPr="0089225F">
        <w:rPr>
          <w:vanish/>
          <w:sz w:val="24"/>
        </w:rPr>
        <w:tab/>
      </w:r>
    </w:p>
    <w:p w14:paraId="2434DE0F" w14:textId="16263FDE" w:rsidR="00727977" w:rsidRPr="002F4C9E" w:rsidRDefault="002F4C9E" w:rsidP="002F4C9E">
      <w:pPr>
        <w:tabs>
          <w:tab w:val="left" w:pos="0"/>
          <w:tab w:val="left" w:pos="1134"/>
          <w:tab w:val="left" w:pos="1985"/>
          <w:tab w:val="left" w:pos="3119"/>
          <w:tab w:val="right" w:pos="8595"/>
        </w:tabs>
        <w:spacing w:before="400" w:after="400" w:line="480" w:lineRule="auto"/>
        <w:ind w:left="1985" w:hanging="851"/>
        <w:jc w:val="both"/>
        <w:rPr>
          <w:vanish/>
          <w:sz w:val="24"/>
        </w:rPr>
      </w:pPr>
      <w:r w:rsidRPr="0089225F">
        <w:rPr>
          <w:vanish/>
          <w:sz w:val="24"/>
        </w:rPr>
        <w:t>[5.10]</w:t>
      </w:r>
      <w:r w:rsidRPr="0089225F">
        <w:rPr>
          <w:vanish/>
          <w:sz w:val="24"/>
        </w:rPr>
        <w:tab/>
      </w:r>
    </w:p>
    <w:p w14:paraId="398B6A6D" w14:textId="43E03773" w:rsidR="00A1732E" w:rsidRDefault="002F4C9E" w:rsidP="002F4C9E">
      <w:pPr>
        <w:tabs>
          <w:tab w:val="left" w:pos="0"/>
          <w:tab w:val="left" w:pos="1134"/>
          <w:tab w:val="left" w:pos="2694"/>
          <w:tab w:val="right" w:pos="8595"/>
        </w:tabs>
        <w:spacing w:before="400" w:after="400" w:line="480" w:lineRule="auto"/>
        <w:jc w:val="both"/>
        <w:rPr>
          <w:sz w:val="24"/>
        </w:rPr>
      </w:pPr>
      <w:r>
        <w:rPr>
          <w:sz w:val="24"/>
        </w:rPr>
        <w:t>[7]</w:t>
      </w:r>
      <w:r>
        <w:rPr>
          <w:sz w:val="24"/>
        </w:rPr>
        <w:tab/>
      </w:r>
      <w:r w:rsidR="00220549" w:rsidRPr="00201FDE">
        <w:rPr>
          <w:sz w:val="24"/>
        </w:rPr>
        <w:t xml:space="preserve">   On 30 July 2015 and at Sandton, WesBank and the </w:t>
      </w:r>
      <w:r w:rsidR="00201FDE">
        <w:rPr>
          <w:sz w:val="24"/>
        </w:rPr>
        <w:t>P</w:t>
      </w:r>
      <w:r w:rsidR="00220549" w:rsidRPr="00201FDE">
        <w:rPr>
          <w:sz w:val="24"/>
        </w:rPr>
        <w:t xml:space="preserve">laintiff, both parties being represented by duly authorised employees, entered into a written cession and sale agreement (“the cession agreement”) in terms of which the </w:t>
      </w:r>
      <w:r w:rsidR="00201FDE">
        <w:rPr>
          <w:sz w:val="24"/>
        </w:rPr>
        <w:t>P</w:t>
      </w:r>
      <w:r w:rsidR="00220549" w:rsidRPr="00201FDE">
        <w:rPr>
          <w:sz w:val="24"/>
        </w:rPr>
        <w:t xml:space="preserve">laintiff purchased from WesBank, who sold to the </w:t>
      </w:r>
      <w:r w:rsidR="00201FDE">
        <w:rPr>
          <w:sz w:val="24"/>
        </w:rPr>
        <w:t>P</w:t>
      </w:r>
      <w:r w:rsidR="00220549" w:rsidRPr="00201FDE">
        <w:rPr>
          <w:sz w:val="24"/>
        </w:rPr>
        <w:t>laintiff, WesBank’s right, title and interest in various instalment sale agreements entered into between WesBank and general members of the public, including the related security which relate</w:t>
      </w:r>
      <w:r w:rsidR="002E341C">
        <w:rPr>
          <w:sz w:val="24"/>
        </w:rPr>
        <w:t>s</w:t>
      </w:r>
      <w:r w:rsidR="00220549" w:rsidRPr="00201FDE">
        <w:rPr>
          <w:sz w:val="24"/>
        </w:rPr>
        <w:t xml:space="preserve"> to such instalment agreements (“the participating assets”)</w:t>
      </w:r>
      <w:r w:rsidR="003152A3" w:rsidRPr="00201FDE">
        <w:rPr>
          <w:sz w:val="24"/>
        </w:rPr>
        <w:t xml:space="preserve">.  The </w:t>
      </w:r>
      <w:r w:rsidR="00201FDE">
        <w:rPr>
          <w:sz w:val="24"/>
        </w:rPr>
        <w:t>P</w:t>
      </w:r>
      <w:r w:rsidR="003152A3" w:rsidRPr="00201FDE">
        <w:rPr>
          <w:sz w:val="24"/>
        </w:rPr>
        <w:t xml:space="preserve">laintiff, in terms of the cession agreement, became the owner of all of the participating assets (i.e. </w:t>
      </w:r>
      <w:r w:rsidR="00201FDE">
        <w:rPr>
          <w:sz w:val="24"/>
        </w:rPr>
        <w:t xml:space="preserve">the </w:t>
      </w:r>
      <w:r w:rsidR="003152A3" w:rsidRPr="00201FDE">
        <w:rPr>
          <w:sz w:val="24"/>
        </w:rPr>
        <w:t xml:space="preserve">vehicles).  On 27 February 2019, WesBank and the Plaintiff entered into a written sale supplement agreement in terms of which the credit agreement and vehicle of the </w:t>
      </w:r>
      <w:r w:rsidR="000E3544">
        <w:rPr>
          <w:sz w:val="24"/>
        </w:rPr>
        <w:t>D</w:t>
      </w:r>
      <w:r w:rsidR="003152A3" w:rsidRPr="00201FDE">
        <w:rPr>
          <w:sz w:val="24"/>
        </w:rPr>
        <w:t xml:space="preserve">efendant was identified, sold, ceded and assigned to the </w:t>
      </w:r>
      <w:r w:rsidR="00201FDE">
        <w:rPr>
          <w:sz w:val="24"/>
        </w:rPr>
        <w:t>P</w:t>
      </w:r>
      <w:r w:rsidR="003152A3" w:rsidRPr="00201FDE">
        <w:rPr>
          <w:sz w:val="24"/>
        </w:rPr>
        <w:t xml:space="preserve">laintiff as being one of the instalment sale agreements.  </w:t>
      </w:r>
    </w:p>
    <w:p w14:paraId="3AB16059" w14:textId="33078E05" w:rsidR="00A1732E" w:rsidRDefault="002F4C9E" w:rsidP="002F4C9E">
      <w:pPr>
        <w:tabs>
          <w:tab w:val="left" w:pos="0"/>
          <w:tab w:val="left" w:pos="1134"/>
          <w:tab w:val="left" w:pos="2694"/>
          <w:tab w:val="right" w:pos="8595"/>
        </w:tabs>
        <w:spacing w:before="400" w:after="400" w:line="480" w:lineRule="auto"/>
        <w:jc w:val="both"/>
        <w:rPr>
          <w:sz w:val="24"/>
        </w:rPr>
      </w:pPr>
      <w:r>
        <w:rPr>
          <w:sz w:val="24"/>
        </w:rPr>
        <w:lastRenderedPageBreak/>
        <w:t>[8]</w:t>
      </w:r>
      <w:r>
        <w:rPr>
          <w:sz w:val="24"/>
        </w:rPr>
        <w:tab/>
      </w:r>
      <w:r w:rsidR="00201FDE" w:rsidRPr="00A1732E">
        <w:rPr>
          <w:sz w:val="24"/>
        </w:rPr>
        <w:t>WesBank and the Plaintiff complied with their obligations towards each other in terms of the cession agreement and sale supplement agreement and also complied with their obligations towards the Defendant under the credit agreement, which included delivery of the vehicle to the Defendant.</w:t>
      </w:r>
    </w:p>
    <w:p w14:paraId="75D30D9B" w14:textId="68CD9CDC" w:rsidR="00A1732E" w:rsidRDefault="002F4C9E" w:rsidP="002F4C9E">
      <w:pPr>
        <w:tabs>
          <w:tab w:val="left" w:pos="0"/>
          <w:tab w:val="left" w:pos="1134"/>
          <w:tab w:val="left" w:pos="2694"/>
          <w:tab w:val="right" w:pos="8595"/>
        </w:tabs>
        <w:spacing w:before="400" w:after="400" w:line="480" w:lineRule="auto"/>
        <w:jc w:val="both"/>
        <w:rPr>
          <w:sz w:val="24"/>
        </w:rPr>
      </w:pPr>
      <w:r>
        <w:rPr>
          <w:sz w:val="24"/>
        </w:rPr>
        <w:t>[9]</w:t>
      </w:r>
      <w:r>
        <w:rPr>
          <w:sz w:val="24"/>
        </w:rPr>
        <w:tab/>
      </w:r>
      <w:r w:rsidR="00201FDE" w:rsidRPr="00A1732E">
        <w:rPr>
          <w:sz w:val="24"/>
        </w:rPr>
        <w:t>The Defendant breached the credit agreement by failing to make full and punctual payments of the monthly instalments</w:t>
      </w:r>
      <w:r w:rsidR="00801B18" w:rsidRPr="00A1732E">
        <w:rPr>
          <w:sz w:val="24"/>
        </w:rPr>
        <w:t>.</w:t>
      </w:r>
    </w:p>
    <w:p w14:paraId="5A5E689F" w14:textId="1FA3C51D" w:rsidR="00A1732E" w:rsidRDefault="002F4C9E" w:rsidP="002F4C9E">
      <w:pPr>
        <w:tabs>
          <w:tab w:val="left" w:pos="0"/>
          <w:tab w:val="left" w:pos="1134"/>
          <w:tab w:val="left" w:pos="2694"/>
          <w:tab w:val="right" w:pos="8595"/>
        </w:tabs>
        <w:spacing w:before="400" w:after="400" w:line="480" w:lineRule="auto"/>
        <w:jc w:val="both"/>
        <w:rPr>
          <w:sz w:val="24"/>
        </w:rPr>
      </w:pPr>
      <w:r>
        <w:rPr>
          <w:sz w:val="24"/>
        </w:rPr>
        <w:t>[10]</w:t>
      </w:r>
      <w:r>
        <w:rPr>
          <w:sz w:val="24"/>
        </w:rPr>
        <w:tab/>
      </w:r>
      <w:r w:rsidR="00801B18" w:rsidRPr="00A1732E">
        <w:rPr>
          <w:sz w:val="24"/>
        </w:rPr>
        <w:t>Pursuant to the Defendant’s breach, the Plaintiff instituted proceedings, claiming:</w:t>
      </w:r>
    </w:p>
    <w:p w14:paraId="63B4C514" w14:textId="06B66DED"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[10.1]</w:t>
      </w:r>
      <w:r>
        <w:rPr>
          <w:sz w:val="24"/>
        </w:rPr>
        <w:tab/>
      </w:r>
      <w:r w:rsidR="00A1732E" w:rsidRPr="00A1732E">
        <w:rPr>
          <w:sz w:val="24"/>
        </w:rPr>
        <w:t>c</w:t>
      </w:r>
      <w:r w:rsidR="00801B18" w:rsidRPr="00A1732E">
        <w:rPr>
          <w:sz w:val="24"/>
        </w:rPr>
        <w:t>ancellation of the credit agreement;</w:t>
      </w:r>
    </w:p>
    <w:p w14:paraId="179B574C" w14:textId="58607006"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[10.2]</w:t>
      </w:r>
      <w:r>
        <w:rPr>
          <w:sz w:val="24"/>
        </w:rPr>
        <w:tab/>
      </w:r>
      <w:r w:rsidR="00A1732E" w:rsidRPr="00A1732E">
        <w:rPr>
          <w:sz w:val="24"/>
        </w:rPr>
        <w:t>t</w:t>
      </w:r>
      <w:r w:rsidR="00801B18" w:rsidRPr="00A1732E">
        <w:rPr>
          <w:sz w:val="24"/>
        </w:rPr>
        <w:t>he return of the vehicle to the Plaintiff;</w:t>
      </w:r>
    </w:p>
    <w:p w14:paraId="750302EB" w14:textId="36398998"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[10.3]</w:t>
      </w:r>
      <w:r>
        <w:rPr>
          <w:sz w:val="24"/>
        </w:rPr>
        <w:tab/>
      </w:r>
      <w:r w:rsidR="00A1732E" w:rsidRPr="00A1732E">
        <w:rPr>
          <w:sz w:val="24"/>
        </w:rPr>
        <w:t>l</w:t>
      </w:r>
      <w:r w:rsidR="00801B18" w:rsidRPr="00A1732E">
        <w:rPr>
          <w:sz w:val="24"/>
        </w:rPr>
        <w:t xml:space="preserve">eave to return to </w:t>
      </w:r>
      <w:r w:rsidR="000E3544">
        <w:rPr>
          <w:sz w:val="24"/>
        </w:rPr>
        <w:t xml:space="preserve">this </w:t>
      </w:r>
      <w:r w:rsidR="00801B18" w:rsidRPr="00A1732E">
        <w:rPr>
          <w:sz w:val="24"/>
        </w:rPr>
        <w:t xml:space="preserve">Court on the same papers, duly supplemented, to obtain judgment in respect of damages suffered by the Plaintiff once the vehicle has been sold; and </w:t>
      </w:r>
    </w:p>
    <w:p w14:paraId="0A32C593" w14:textId="5EC4929D" w:rsidR="00A1732E" w:rsidRPr="00A1732E" w:rsidRDefault="002F4C9E" w:rsidP="002F4C9E">
      <w:pPr>
        <w:tabs>
          <w:tab w:val="left" w:pos="0"/>
          <w:tab w:val="left" w:pos="1134"/>
          <w:tab w:val="left" w:pos="1985"/>
          <w:tab w:val="right" w:pos="8595"/>
        </w:tabs>
        <w:spacing w:before="400" w:after="400" w:line="480" w:lineRule="auto"/>
        <w:ind w:left="1985" w:hanging="851"/>
        <w:jc w:val="both"/>
        <w:rPr>
          <w:sz w:val="24"/>
        </w:rPr>
      </w:pPr>
      <w:r w:rsidRPr="00A1732E">
        <w:rPr>
          <w:sz w:val="24"/>
        </w:rPr>
        <w:t>[10.4]</w:t>
      </w:r>
      <w:r w:rsidRPr="00A1732E">
        <w:rPr>
          <w:sz w:val="24"/>
        </w:rPr>
        <w:tab/>
      </w:r>
      <w:r w:rsidR="00A1732E" w:rsidRPr="00A1732E">
        <w:rPr>
          <w:sz w:val="24"/>
        </w:rPr>
        <w:t>c</w:t>
      </w:r>
      <w:r w:rsidR="00801B18" w:rsidRPr="00A1732E">
        <w:rPr>
          <w:sz w:val="24"/>
        </w:rPr>
        <w:t>osts of suit.</w:t>
      </w:r>
    </w:p>
    <w:p w14:paraId="79E6640D" w14:textId="4B6437FC" w:rsidR="000E3544" w:rsidRDefault="002F4C9E" w:rsidP="002F4C9E">
      <w:pPr>
        <w:tabs>
          <w:tab w:val="left" w:pos="0"/>
          <w:tab w:val="left" w:pos="1134"/>
          <w:tab w:val="left" w:pos="2694"/>
          <w:tab w:val="right" w:pos="8595"/>
        </w:tabs>
        <w:spacing w:before="400" w:after="400" w:line="480" w:lineRule="auto"/>
        <w:jc w:val="both"/>
        <w:rPr>
          <w:sz w:val="24"/>
        </w:rPr>
      </w:pPr>
      <w:r>
        <w:rPr>
          <w:sz w:val="24"/>
        </w:rPr>
        <w:t>[11]</w:t>
      </w:r>
      <w:r>
        <w:rPr>
          <w:sz w:val="24"/>
        </w:rPr>
        <w:tab/>
      </w:r>
      <w:r w:rsidR="003D6AFB">
        <w:rPr>
          <w:sz w:val="24"/>
        </w:rPr>
        <w:t>The Defendant file a notice of intention to defend and, thereafter</w:t>
      </w:r>
      <w:r w:rsidR="002E341C">
        <w:rPr>
          <w:sz w:val="24"/>
        </w:rPr>
        <w:t>,</w:t>
      </w:r>
      <w:r w:rsidR="003D6AFB">
        <w:rPr>
          <w:sz w:val="24"/>
        </w:rPr>
        <w:t xml:space="preserve"> a plea.</w:t>
      </w:r>
    </w:p>
    <w:p w14:paraId="72D0ABCB" w14:textId="4FE8FBF0" w:rsidR="003D6AFB" w:rsidRPr="003D6AFB" w:rsidRDefault="003D6AFB" w:rsidP="008B708C">
      <w:pPr>
        <w:tabs>
          <w:tab w:val="left" w:pos="0"/>
          <w:tab w:val="left" w:pos="1134"/>
          <w:tab w:val="left" w:pos="2127"/>
          <w:tab w:val="left" w:pos="3119"/>
          <w:tab w:val="right" w:pos="8595"/>
        </w:tabs>
        <w:spacing w:before="400" w:after="400" w:line="480" w:lineRule="auto"/>
        <w:jc w:val="both"/>
        <w:rPr>
          <w:sz w:val="24"/>
        </w:rPr>
      </w:pPr>
      <w:r w:rsidRPr="003D6AFB">
        <w:rPr>
          <w:sz w:val="24"/>
        </w:rPr>
        <w:t>[11]</w:t>
      </w:r>
      <w:r w:rsidRPr="003D6AFB">
        <w:rPr>
          <w:sz w:val="24"/>
        </w:rPr>
        <w:tab/>
        <w:t>Rule 32 of the Uniform Rules of Court is titled “</w:t>
      </w:r>
      <w:r w:rsidRPr="003D6AFB">
        <w:rPr>
          <w:b/>
          <w:bCs/>
          <w:i/>
          <w:iCs/>
          <w:sz w:val="24"/>
        </w:rPr>
        <w:t>Summary judgment</w:t>
      </w:r>
      <w:r w:rsidRPr="003D6AFB">
        <w:rPr>
          <w:sz w:val="24"/>
        </w:rPr>
        <w:t xml:space="preserve">” and provides </w:t>
      </w:r>
      <w:r w:rsidR="00BD6AEB" w:rsidRPr="00BD6AEB">
        <w:rPr>
          <w:i/>
          <w:iCs/>
          <w:sz w:val="24"/>
        </w:rPr>
        <w:t>inter alia</w:t>
      </w:r>
      <w:r w:rsidR="00BD6AEB">
        <w:rPr>
          <w:sz w:val="24"/>
        </w:rPr>
        <w:t xml:space="preserve"> </w:t>
      </w:r>
      <w:r w:rsidRPr="003D6AFB">
        <w:rPr>
          <w:sz w:val="24"/>
        </w:rPr>
        <w:t xml:space="preserve">as follows:  </w:t>
      </w:r>
    </w:p>
    <w:p w14:paraId="4A5B91EB" w14:textId="77777777" w:rsidR="003D6AFB" w:rsidRPr="003D6AFB" w:rsidRDefault="003D6AFB" w:rsidP="003D6AFB">
      <w:pPr>
        <w:tabs>
          <w:tab w:val="left" w:pos="567"/>
          <w:tab w:val="left" w:pos="1701"/>
          <w:tab w:val="left" w:pos="1985"/>
          <w:tab w:val="left" w:pos="3119"/>
          <w:tab w:val="right" w:pos="8595"/>
        </w:tabs>
        <w:spacing w:before="400" w:after="400" w:line="360" w:lineRule="auto"/>
        <w:ind w:left="1701" w:hanging="567"/>
        <w:jc w:val="both"/>
        <w:rPr>
          <w:i/>
          <w:iCs/>
          <w:sz w:val="24"/>
        </w:rPr>
      </w:pPr>
      <w:r w:rsidRPr="003D6AFB">
        <w:rPr>
          <w:sz w:val="24"/>
        </w:rPr>
        <w:lastRenderedPageBreak/>
        <w:t>“</w:t>
      </w:r>
      <w:r w:rsidRPr="003D6AFB">
        <w:rPr>
          <w:rFonts w:eastAsia="Times New Roman"/>
          <w:i/>
          <w:iCs/>
          <w:color w:val="000000"/>
          <w:sz w:val="24"/>
          <w:lang w:eastAsia="en-ZA"/>
        </w:rPr>
        <w:t xml:space="preserve">(1) </w:t>
      </w:r>
      <w:r w:rsidRPr="003D6AFB">
        <w:rPr>
          <w:rFonts w:eastAsia="Times New Roman"/>
          <w:i/>
          <w:iCs/>
          <w:color w:val="000000"/>
          <w:sz w:val="24"/>
          <w:lang w:eastAsia="en-ZA"/>
        </w:rPr>
        <w:tab/>
        <w:t>The plaintiff may, after the defendant has delivered a plea, apply to court for summary judgment on each of such claims in the summons as is only —</w:t>
      </w:r>
      <w:bookmarkStart w:id="1" w:name="0-0-0-44769"/>
      <w:bookmarkEnd w:id="1"/>
    </w:p>
    <w:p w14:paraId="35F9B1EC" w14:textId="0D0BF28F" w:rsidR="003D6AFB" w:rsidRPr="003D6AFB" w:rsidRDefault="003D6AFB" w:rsidP="003D6AFB">
      <w:pPr>
        <w:tabs>
          <w:tab w:val="left" w:pos="567"/>
          <w:tab w:val="left" w:pos="2268"/>
          <w:tab w:val="left" w:pos="2410"/>
          <w:tab w:val="left" w:pos="3119"/>
          <w:tab w:val="right" w:pos="8595"/>
        </w:tabs>
        <w:spacing w:before="400" w:after="400" w:line="360" w:lineRule="auto"/>
        <w:ind w:left="2268" w:hanging="567"/>
        <w:jc w:val="both"/>
        <w:rPr>
          <w:i/>
          <w:iCs/>
          <w:sz w:val="24"/>
        </w:rPr>
      </w:pPr>
      <w:r w:rsidRPr="003D6AFB">
        <w:rPr>
          <w:rFonts w:eastAsia="Times New Roman"/>
          <w:i/>
          <w:iCs/>
          <w:color w:val="000000"/>
          <w:sz w:val="24"/>
          <w:lang w:eastAsia="en-ZA"/>
        </w:rPr>
        <w:t>(a)   on a liquid document;</w:t>
      </w:r>
      <w:bookmarkStart w:id="2" w:name="0-0-0-44771"/>
      <w:bookmarkEnd w:id="2"/>
    </w:p>
    <w:p w14:paraId="472B8480" w14:textId="77777777" w:rsidR="003D6AFB" w:rsidRPr="003D6AFB" w:rsidRDefault="003D6AFB" w:rsidP="003D6AFB">
      <w:pPr>
        <w:tabs>
          <w:tab w:val="left" w:pos="567"/>
          <w:tab w:val="left" w:pos="2268"/>
          <w:tab w:val="left" w:pos="2410"/>
          <w:tab w:val="left" w:pos="3119"/>
          <w:tab w:val="right" w:pos="8595"/>
        </w:tabs>
        <w:spacing w:before="400" w:after="400" w:line="360" w:lineRule="auto"/>
        <w:ind w:left="2268" w:hanging="567"/>
        <w:jc w:val="both"/>
        <w:rPr>
          <w:i/>
          <w:iCs/>
          <w:sz w:val="24"/>
        </w:rPr>
      </w:pPr>
      <w:r w:rsidRPr="003D6AFB">
        <w:rPr>
          <w:rFonts w:eastAsia="Times New Roman"/>
          <w:i/>
          <w:iCs/>
          <w:color w:val="000000"/>
          <w:sz w:val="24"/>
          <w:lang w:eastAsia="en-ZA"/>
        </w:rPr>
        <w:t>(b)   for a liquidated amount in money;</w:t>
      </w:r>
      <w:bookmarkStart w:id="3" w:name="0-0-0-44773"/>
      <w:bookmarkEnd w:id="3"/>
    </w:p>
    <w:p w14:paraId="6B86ED34" w14:textId="77777777" w:rsidR="003D6AFB" w:rsidRPr="003D6AFB" w:rsidRDefault="003D6AFB" w:rsidP="003D6AFB">
      <w:pPr>
        <w:tabs>
          <w:tab w:val="left" w:pos="567"/>
          <w:tab w:val="left" w:pos="2268"/>
          <w:tab w:val="left" w:pos="2410"/>
          <w:tab w:val="left" w:pos="3119"/>
          <w:tab w:val="right" w:pos="8595"/>
        </w:tabs>
        <w:spacing w:before="400" w:after="400" w:line="360" w:lineRule="auto"/>
        <w:ind w:left="2268" w:hanging="567"/>
        <w:jc w:val="both"/>
        <w:rPr>
          <w:i/>
          <w:iCs/>
          <w:sz w:val="24"/>
        </w:rPr>
      </w:pPr>
      <w:r w:rsidRPr="003D6AFB">
        <w:rPr>
          <w:rFonts w:eastAsia="Times New Roman"/>
          <w:i/>
          <w:iCs/>
          <w:color w:val="000000"/>
          <w:sz w:val="24"/>
          <w:lang w:eastAsia="en-ZA"/>
        </w:rPr>
        <w:t>(c)   for delivery of specified movable property; or</w:t>
      </w:r>
      <w:bookmarkStart w:id="4" w:name="0-0-0-44775"/>
      <w:bookmarkEnd w:id="4"/>
    </w:p>
    <w:p w14:paraId="3246C167" w14:textId="77777777" w:rsidR="003D6AFB" w:rsidRPr="003D6AFB" w:rsidRDefault="003D6AFB" w:rsidP="003D6AFB">
      <w:pPr>
        <w:tabs>
          <w:tab w:val="left" w:pos="567"/>
          <w:tab w:val="left" w:pos="2268"/>
          <w:tab w:val="left" w:pos="2410"/>
          <w:tab w:val="left" w:pos="3119"/>
          <w:tab w:val="right" w:pos="8595"/>
        </w:tabs>
        <w:spacing w:before="400" w:after="400" w:line="360" w:lineRule="auto"/>
        <w:ind w:left="2268" w:hanging="567"/>
        <w:jc w:val="both"/>
        <w:rPr>
          <w:i/>
          <w:iCs/>
          <w:sz w:val="24"/>
        </w:rPr>
      </w:pPr>
      <w:r w:rsidRPr="003D6AFB">
        <w:rPr>
          <w:rFonts w:eastAsia="Times New Roman"/>
          <w:i/>
          <w:iCs/>
          <w:color w:val="000000"/>
          <w:sz w:val="24"/>
          <w:lang w:eastAsia="en-ZA"/>
        </w:rPr>
        <w:t>(d)   for ejectment;</w:t>
      </w:r>
    </w:p>
    <w:p w14:paraId="5F765A44" w14:textId="77777777" w:rsidR="003D6AFB" w:rsidRPr="003D6AFB" w:rsidRDefault="003D6AFB" w:rsidP="003D6AFB">
      <w:pPr>
        <w:tabs>
          <w:tab w:val="left" w:pos="567"/>
          <w:tab w:val="left" w:pos="1701"/>
          <w:tab w:val="left" w:pos="1985"/>
          <w:tab w:val="left" w:pos="3119"/>
          <w:tab w:val="right" w:pos="8595"/>
        </w:tabs>
        <w:spacing w:before="400" w:after="400" w:line="360" w:lineRule="auto"/>
        <w:ind w:left="1701" w:hanging="567"/>
        <w:jc w:val="both"/>
        <w:rPr>
          <w:i/>
          <w:iCs/>
          <w:sz w:val="24"/>
        </w:rPr>
      </w:pPr>
      <w:r w:rsidRPr="003D6AFB">
        <w:rPr>
          <w:rFonts w:eastAsia="Times New Roman"/>
          <w:i/>
          <w:iCs/>
          <w:color w:val="000000"/>
          <w:sz w:val="24"/>
          <w:lang w:eastAsia="en-ZA"/>
        </w:rPr>
        <w:t>together with any claim for interest and costs.</w:t>
      </w:r>
      <w:bookmarkStart w:id="5" w:name="0-0-0-44777"/>
      <w:bookmarkEnd w:id="5"/>
    </w:p>
    <w:p w14:paraId="5A71D857" w14:textId="77777777" w:rsidR="003D6AFB" w:rsidRPr="003D6AFB" w:rsidRDefault="003D6AFB" w:rsidP="003D6AFB">
      <w:pPr>
        <w:tabs>
          <w:tab w:val="left" w:pos="567"/>
          <w:tab w:val="left" w:pos="1701"/>
          <w:tab w:val="left" w:pos="2268"/>
          <w:tab w:val="left" w:pos="3119"/>
          <w:tab w:val="right" w:pos="8595"/>
        </w:tabs>
        <w:spacing w:before="400" w:after="400" w:line="360" w:lineRule="auto"/>
        <w:ind w:left="2268" w:hanging="1134"/>
        <w:jc w:val="both"/>
        <w:rPr>
          <w:i/>
          <w:iCs/>
          <w:sz w:val="24"/>
        </w:rPr>
      </w:pPr>
      <w:r w:rsidRPr="003D6AFB">
        <w:rPr>
          <w:rFonts w:eastAsia="Times New Roman"/>
          <w:i/>
          <w:iCs/>
          <w:color w:val="000000"/>
          <w:sz w:val="24"/>
          <w:lang w:eastAsia="en-ZA"/>
        </w:rPr>
        <w:t>(2)</w:t>
      </w:r>
      <w:bookmarkStart w:id="6" w:name="0-0-0-44779"/>
      <w:bookmarkEnd w:id="6"/>
      <w:r w:rsidRPr="003D6AFB">
        <w:rPr>
          <w:rFonts w:eastAsia="Times New Roman"/>
          <w:i/>
          <w:iCs/>
          <w:color w:val="000000"/>
          <w:sz w:val="24"/>
          <w:lang w:eastAsia="en-ZA"/>
        </w:rPr>
        <w:tab/>
        <w:t>(a) </w:t>
      </w:r>
      <w:r w:rsidRPr="003D6AFB">
        <w:rPr>
          <w:rFonts w:eastAsia="Times New Roman"/>
          <w:i/>
          <w:iCs/>
          <w:color w:val="000000"/>
          <w:sz w:val="24"/>
          <w:lang w:eastAsia="en-ZA"/>
        </w:rPr>
        <w:tab/>
        <w:t>Within 15 days after the date of delivery of the plea, the plaintiff shall deliver a notice of application for summary judgment, together with an affidavit made by the plaintiff or by any other person who can swear positively to the facts.</w:t>
      </w:r>
      <w:bookmarkStart w:id="7" w:name="0-0-0-44781"/>
      <w:bookmarkEnd w:id="7"/>
    </w:p>
    <w:p w14:paraId="5C856230" w14:textId="77777777" w:rsidR="003D6AFB" w:rsidRPr="003D6AFB" w:rsidRDefault="003D6AFB" w:rsidP="003D6AFB">
      <w:pPr>
        <w:tabs>
          <w:tab w:val="left" w:pos="567"/>
          <w:tab w:val="left" w:pos="2268"/>
          <w:tab w:val="left" w:pos="3119"/>
          <w:tab w:val="right" w:pos="8595"/>
        </w:tabs>
        <w:spacing w:before="400" w:after="400" w:line="360" w:lineRule="auto"/>
        <w:ind w:left="2268" w:hanging="567"/>
        <w:jc w:val="both"/>
        <w:rPr>
          <w:i/>
          <w:iCs/>
          <w:sz w:val="24"/>
        </w:rPr>
      </w:pPr>
      <w:r w:rsidRPr="003D6AFB">
        <w:rPr>
          <w:rFonts w:eastAsia="Times New Roman"/>
          <w:i/>
          <w:iCs/>
          <w:color w:val="000000"/>
          <w:sz w:val="24"/>
          <w:lang w:eastAsia="en-ZA"/>
        </w:rPr>
        <w:t>(b)   </w:t>
      </w:r>
      <w:r w:rsidRPr="003D6AFB">
        <w:rPr>
          <w:rFonts w:eastAsia="Times New Roman"/>
          <w:i/>
          <w:iCs/>
          <w:color w:val="000000"/>
          <w:sz w:val="24"/>
          <w:lang w:eastAsia="en-ZA"/>
        </w:rPr>
        <w:tab/>
        <w:t>The plaintiff shall, in the affidavit referred to in subrule (2)(a), verify the cause of action and the amount, if any, claimed, and identify any point of law relied upon and the facts upon which the plaintiff’s claim is based, and explain briefly why the defence as pleaded does not raise any issue for trial.</w:t>
      </w:r>
      <w:bookmarkStart w:id="8" w:name="0-0-0-44783"/>
      <w:bookmarkEnd w:id="8"/>
    </w:p>
    <w:p w14:paraId="0414AA73" w14:textId="6A857D80" w:rsidR="003D6AFB" w:rsidRPr="003D6AFB" w:rsidRDefault="003D6AFB" w:rsidP="003D6AFB">
      <w:pPr>
        <w:tabs>
          <w:tab w:val="left" w:pos="567"/>
          <w:tab w:val="left" w:pos="2268"/>
          <w:tab w:val="left" w:pos="3119"/>
          <w:tab w:val="right" w:pos="8595"/>
        </w:tabs>
        <w:spacing w:before="400" w:after="400" w:line="360" w:lineRule="auto"/>
        <w:ind w:left="2268" w:hanging="567"/>
        <w:jc w:val="both"/>
        <w:rPr>
          <w:rFonts w:eastAsia="Times New Roman"/>
          <w:i/>
          <w:iCs/>
          <w:color w:val="000000"/>
          <w:sz w:val="24"/>
          <w:lang w:eastAsia="en-ZA"/>
        </w:rPr>
      </w:pPr>
      <w:r w:rsidRPr="003D6AFB">
        <w:rPr>
          <w:rFonts w:eastAsia="Times New Roman"/>
          <w:i/>
          <w:iCs/>
          <w:color w:val="000000"/>
          <w:sz w:val="24"/>
          <w:lang w:eastAsia="en-ZA"/>
        </w:rPr>
        <w:t>(c)   </w:t>
      </w:r>
      <w:r w:rsidRPr="003D6AFB">
        <w:rPr>
          <w:rFonts w:eastAsia="Times New Roman"/>
          <w:i/>
          <w:iCs/>
          <w:color w:val="000000"/>
          <w:sz w:val="24"/>
          <w:lang w:eastAsia="en-ZA"/>
        </w:rPr>
        <w:tab/>
      </w:r>
      <w:r w:rsidR="00BD6AEB">
        <w:rPr>
          <w:rFonts w:eastAsia="Times New Roman"/>
          <w:i/>
          <w:iCs/>
          <w:color w:val="000000"/>
          <w:sz w:val="24"/>
          <w:lang w:eastAsia="en-ZA"/>
        </w:rPr>
        <w:t>…</w:t>
      </w:r>
      <w:bookmarkStart w:id="9" w:name="0-0-0-44785"/>
      <w:bookmarkEnd w:id="9"/>
    </w:p>
    <w:p w14:paraId="27DBBD8B" w14:textId="77777777" w:rsidR="003D6AFB" w:rsidRPr="003D6AFB" w:rsidRDefault="003D6AFB" w:rsidP="003D6AFB">
      <w:pPr>
        <w:tabs>
          <w:tab w:val="left" w:pos="567"/>
          <w:tab w:val="left" w:pos="1701"/>
          <w:tab w:val="left" w:pos="1985"/>
          <w:tab w:val="left" w:pos="3119"/>
          <w:tab w:val="right" w:pos="8595"/>
        </w:tabs>
        <w:spacing w:before="400" w:after="400" w:line="360" w:lineRule="auto"/>
        <w:ind w:left="1701" w:hanging="567"/>
        <w:jc w:val="both"/>
        <w:rPr>
          <w:i/>
          <w:iCs/>
          <w:sz w:val="24"/>
        </w:rPr>
      </w:pPr>
      <w:r w:rsidRPr="003D6AFB">
        <w:rPr>
          <w:rFonts w:eastAsia="Times New Roman"/>
          <w:i/>
          <w:iCs/>
          <w:color w:val="000000"/>
          <w:sz w:val="24"/>
          <w:lang w:eastAsia="en-ZA"/>
        </w:rPr>
        <w:t xml:space="preserve">(3) </w:t>
      </w:r>
      <w:r w:rsidRPr="003D6AFB">
        <w:rPr>
          <w:rFonts w:eastAsia="Times New Roman"/>
          <w:i/>
          <w:iCs/>
          <w:color w:val="000000"/>
          <w:sz w:val="24"/>
          <w:lang w:eastAsia="en-ZA"/>
        </w:rPr>
        <w:tab/>
        <w:t>The defendant may —</w:t>
      </w:r>
      <w:bookmarkStart w:id="10" w:name="0-0-0-44787"/>
      <w:bookmarkEnd w:id="10"/>
    </w:p>
    <w:p w14:paraId="34034714" w14:textId="77777777" w:rsidR="003D6AFB" w:rsidRPr="003D6AFB" w:rsidRDefault="003D6AFB" w:rsidP="003D6AFB">
      <w:pPr>
        <w:tabs>
          <w:tab w:val="left" w:pos="567"/>
          <w:tab w:val="left" w:pos="2268"/>
          <w:tab w:val="left" w:pos="3119"/>
          <w:tab w:val="right" w:pos="8595"/>
        </w:tabs>
        <w:spacing w:before="400" w:after="400" w:line="360" w:lineRule="auto"/>
        <w:ind w:left="2268" w:hanging="567"/>
        <w:jc w:val="both"/>
        <w:rPr>
          <w:i/>
          <w:iCs/>
          <w:sz w:val="24"/>
        </w:rPr>
      </w:pPr>
      <w:r w:rsidRPr="003D6AFB">
        <w:rPr>
          <w:rFonts w:eastAsia="Times New Roman"/>
          <w:i/>
          <w:iCs/>
          <w:color w:val="000000"/>
          <w:sz w:val="24"/>
          <w:lang w:eastAsia="en-ZA"/>
        </w:rPr>
        <w:t>(a)   </w:t>
      </w:r>
      <w:r w:rsidRPr="003D6AFB">
        <w:rPr>
          <w:rFonts w:eastAsia="Times New Roman"/>
          <w:i/>
          <w:iCs/>
          <w:color w:val="000000"/>
          <w:sz w:val="24"/>
          <w:lang w:eastAsia="en-ZA"/>
        </w:rPr>
        <w:tab/>
        <w:t>give security to the plaintiff to the satisfaction of the court for any judgment including costs which may be given; or</w:t>
      </w:r>
      <w:bookmarkStart w:id="11" w:name="0-0-0-44789"/>
      <w:bookmarkEnd w:id="11"/>
    </w:p>
    <w:p w14:paraId="7CCA8BF9" w14:textId="1E2C75C3" w:rsidR="003D6AFB" w:rsidRPr="003D6AFB" w:rsidRDefault="003D6AFB" w:rsidP="003D6AFB">
      <w:pPr>
        <w:tabs>
          <w:tab w:val="left" w:pos="567"/>
          <w:tab w:val="left" w:pos="2268"/>
          <w:tab w:val="left" w:pos="3119"/>
          <w:tab w:val="right" w:pos="8595"/>
        </w:tabs>
        <w:spacing w:before="400" w:after="400" w:line="360" w:lineRule="auto"/>
        <w:ind w:left="2268" w:hanging="567"/>
        <w:jc w:val="both"/>
        <w:rPr>
          <w:rFonts w:eastAsia="Times New Roman"/>
          <w:i/>
          <w:iCs/>
          <w:color w:val="000000"/>
          <w:sz w:val="24"/>
          <w:lang w:eastAsia="en-ZA"/>
        </w:rPr>
      </w:pPr>
      <w:r w:rsidRPr="003D6AFB">
        <w:rPr>
          <w:rFonts w:eastAsia="Times New Roman"/>
          <w:i/>
          <w:iCs/>
          <w:color w:val="000000"/>
          <w:sz w:val="24"/>
          <w:lang w:eastAsia="en-ZA"/>
        </w:rPr>
        <w:t xml:space="preserve"> (b)   </w:t>
      </w:r>
      <w:r w:rsidRPr="003D6AFB">
        <w:rPr>
          <w:rFonts w:eastAsia="Times New Roman"/>
          <w:i/>
          <w:iCs/>
          <w:color w:val="000000"/>
          <w:sz w:val="24"/>
          <w:lang w:eastAsia="en-ZA"/>
        </w:rPr>
        <w:tab/>
        <w:t xml:space="preserve">satisfy the court by affidavit (which shall be delivered five days before the day on which the application is to be heard), </w:t>
      </w:r>
      <w:r w:rsidRPr="003D6AFB">
        <w:rPr>
          <w:rFonts w:eastAsia="Times New Roman"/>
          <w:i/>
          <w:iCs/>
          <w:color w:val="000000"/>
          <w:sz w:val="24"/>
          <w:lang w:eastAsia="en-ZA"/>
        </w:rPr>
        <w:lastRenderedPageBreak/>
        <w:t>or with the leave of the court by oral evidence of such defendant or of any other person who can swear positively to the fact that the defendant has a bona fide defence to the action; such affidavit or evidence shall disclose fully the nature and grounds of the defence and the material facts relied upon therefor</w:t>
      </w:r>
      <w:bookmarkStart w:id="12" w:name="0-0-0-44791"/>
      <w:bookmarkEnd w:id="12"/>
      <w:r w:rsidRPr="003D6AFB">
        <w:rPr>
          <w:rFonts w:eastAsia="Times New Roman"/>
          <w:i/>
          <w:iCs/>
          <w:color w:val="000000"/>
          <w:sz w:val="24"/>
          <w:lang w:eastAsia="en-ZA"/>
        </w:rPr>
        <w:t>.</w:t>
      </w:r>
      <w:r w:rsidR="00BD6AEB">
        <w:rPr>
          <w:rFonts w:eastAsia="Times New Roman"/>
          <w:i/>
          <w:iCs/>
          <w:color w:val="000000"/>
          <w:sz w:val="24"/>
          <w:lang w:eastAsia="en-ZA"/>
        </w:rPr>
        <w:t>"</w:t>
      </w:r>
    </w:p>
    <w:p w14:paraId="4FC2745B" w14:textId="77A99258" w:rsidR="00BD6AEB" w:rsidRDefault="00BD6AEB" w:rsidP="003D6AFB">
      <w:pPr>
        <w:tabs>
          <w:tab w:val="left" w:pos="567"/>
          <w:tab w:val="left" w:pos="1701"/>
          <w:tab w:val="left" w:pos="2268"/>
          <w:tab w:val="left" w:pos="3119"/>
          <w:tab w:val="right" w:pos="8595"/>
        </w:tabs>
        <w:spacing w:before="400" w:after="400" w:line="360" w:lineRule="auto"/>
        <w:ind w:left="1701" w:hanging="567"/>
        <w:jc w:val="both"/>
        <w:rPr>
          <w:rFonts w:eastAsia="Times New Roman"/>
          <w:i/>
          <w:iCs/>
          <w:color w:val="000000"/>
          <w:sz w:val="24"/>
          <w:lang w:eastAsia="en-ZA"/>
        </w:rPr>
      </w:pPr>
      <w:r>
        <w:rPr>
          <w:rFonts w:eastAsia="Times New Roman"/>
          <w:i/>
          <w:iCs/>
          <w:color w:val="000000"/>
          <w:sz w:val="24"/>
          <w:lang w:eastAsia="en-ZA"/>
        </w:rPr>
        <w:t>…</w:t>
      </w:r>
    </w:p>
    <w:p w14:paraId="2EAB2448" w14:textId="75476A35" w:rsidR="003D6AFB" w:rsidRPr="003D6AFB" w:rsidRDefault="003D6AFB" w:rsidP="003D6AFB">
      <w:pPr>
        <w:tabs>
          <w:tab w:val="left" w:pos="567"/>
          <w:tab w:val="left" w:pos="1701"/>
          <w:tab w:val="left" w:pos="2268"/>
          <w:tab w:val="left" w:pos="3119"/>
          <w:tab w:val="right" w:pos="8595"/>
        </w:tabs>
        <w:spacing w:before="400" w:after="400" w:line="360" w:lineRule="auto"/>
        <w:ind w:left="1701" w:hanging="567"/>
        <w:jc w:val="both"/>
        <w:rPr>
          <w:i/>
          <w:iCs/>
          <w:sz w:val="24"/>
        </w:rPr>
      </w:pPr>
      <w:r w:rsidRPr="003D6AFB">
        <w:rPr>
          <w:rFonts w:eastAsia="Times New Roman"/>
          <w:i/>
          <w:iCs/>
          <w:color w:val="000000"/>
          <w:sz w:val="24"/>
          <w:lang w:eastAsia="en-ZA"/>
        </w:rPr>
        <w:t xml:space="preserve">(5) </w:t>
      </w:r>
      <w:r w:rsidRPr="003D6AFB">
        <w:rPr>
          <w:rFonts w:eastAsia="Times New Roman"/>
          <w:i/>
          <w:iCs/>
          <w:color w:val="000000"/>
          <w:sz w:val="24"/>
          <w:lang w:eastAsia="en-ZA"/>
        </w:rPr>
        <w:tab/>
        <w:t>If the defendant does not find security or satisfy the court as provided in paragraph (b) of subrule (3), the court may enter summary judgment for the plaintiff.</w:t>
      </w:r>
      <w:bookmarkStart w:id="13" w:name="0-0-0-44795"/>
      <w:bookmarkEnd w:id="13"/>
    </w:p>
    <w:p w14:paraId="1D484D9B" w14:textId="4A0D90C2" w:rsidR="00BD6AEB" w:rsidRDefault="00BD6AEB" w:rsidP="003D6AFB">
      <w:pPr>
        <w:tabs>
          <w:tab w:val="left" w:pos="567"/>
          <w:tab w:val="left" w:pos="1701"/>
          <w:tab w:val="left" w:pos="2268"/>
          <w:tab w:val="left" w:pos="3119"/>
          <w:tab w:val="right" w:pos="8595"/>
        </w:tabs>
        <w:spacing w:before="400" w:after="400" w:line="360" w:lineRule="auto"/>
        <w:ind w:left="1701" w:hanging="567"/>
        <w:jc w:val="both"/>
        <w:rPr>
          <w:rFonts w:eastAsia="Times New Roman"/>
          <w:i/>
          <w:iCs/>
          <w:color w:val="000000"/>
          <w:sz w:val="24"/>
          <w:lang w:eastAsia="en-ZA"/>
        </w:rPr>
      </w:pPr>
      <w:r>
        <w:rPr>
          <w:rFonts w:eastAsia="Times New Roman"/>
          <w:i/>
          <w:iCs/>
          <w:color w:val="000000"/>
          <w:sz w:val="24"/>
          <w:lang w:eastAsia="en-ZA"/>
        </w:rPr>
        <w:t>…</w:t>
      </w:r>
    </w:p>
    <w:p w14:paraId="7AE758D0" w14:textId="34A0F0F2" w:rsidR="003D6AFB" w:rsidRPr="003D6AFB" w:rsidRDefault="003D6AFB" w:rsidP="003D6AFB">
      <w:pPr>
        <w:tabs>
          <w:tab w:val="left" w:pos="567"/>
          <w:tab w:val="left" w:pos="1701"/>
          <w:tab w:val="left" w:pos="2268"/>
          <w:tab w:val="left" w:pos="3119"/>
          <w:tab w:val="right" w:pos="8595"/>
        </w:tabs>
        <w:spacing w:before="400" w:after="400" w:line="360" w:lineRule="auto"/>
        <w:ind w:left="1701" w:hanging="567"/>
        <w:jc w:val="both"/>
        <w:rPr>
          <w:i/>
          <w:iCs/>
          <w:sz w:val="24"/>
        </w:rPr>
      </w:pPr>
      <w:r w:rsidRPr="003D6AFB">
        <w:rPr>
          <w:rFonts w:eastAsia="Times New Roman"/>
          <w:i/>
          <w:iCs/>
          <w:color w:val="000000"/>
          <w:sz w:val="24"/>
          <w:lang w:eastAsia="en-ZA"/>
        </w:rPr>
        <w:t xml:space="preserve">(9) </w:t>
      </w:r>
      <w:r w:rsidRPr="003D6AFB">
        <w:rPr>
          <w:rFonts w:eastAsia="Times New Roman"/>
          <w:i/>
          <w:iCs/>
          <w:color w:val="000000"/>
          <w:sz w:val="24"/>
          <w:lang w:eastAsia="en-ZA"/>
        </w:rPr>
        <w:tab/>
        <w:t>The court may at the hearing of such application make such order as to costs as to it may seem just: Provided that if —</w:t>
      </w:r>
      <w:bookmarkStart w:id="14" w:name="0-0-0-44817"/>
      <w:bookmarkEnd w:id="14"/>
    </w:p>
    <w:p w14:paraId="18472737" w14:textId="77777777" w:rsidR="003D6AFB" w:rsidRPr="003D6AFB" w:rsidRDefault="003D6AFB" w:rsidP="003D6AFB">
      <w:pPr>
        <w:tabs>
          <w:tab w:val="left" w:pos="567"/>
          <w:tab w:val="left" w:pos="2268"/>
          <w:tab w:val="left" w:pos="2410"/>
          <w:tab w:val="left" w:pos="3119"/>
          <w:tab w:val="right" w:pos="8595"/>
        </w:tabs>
        <w:spacing w:before="400" w:after="400" w:line="360" w:lineRule="auto"/>
        <w:ind w:left="2268" w:hanging="567"/>
        <w:jc w:val="both"/>
        <w:rPr>
          <w:i/>
          <w:iCs/>
          <w:sz w:val="24"/>
        </w:rPr>
      </w:pPr>
      <w:r w:rsidRPr="003D6AFB">
        <w:rPr>
          <w:rFonts w:eastAsia="Times New Roman"/>
          <w:i/>
          <w:iCs/>
          <w:color w:val="000000"/>
          <w:sz w:val="24"/>
          <w:lang w:eastAsia="en-ZA"/>
        </w:rPr>
        <w:t>(a)   </w:t>
      </w:r>
      <w:r w:rsidRPr="003D6AFB">
        <w:rPr>
          <w:rFonts w:eastAsia="Times New Roman"/>
          <w:i/>
          <w:iCs/>
          <w:color w:val="000000"/>
          <w:sz w:val="24"/>
          <w:lang w:eastAsia="en-ZA"/>
        </w:rPr>
        <w:tab/>
        <w:t>the plaintiff makes an application under this rule, where the case is not within the terms of subrule (1) or where the plaintiff, in the opinion of the court, knew that the defendant relied on a contention which would entitle such defendant to leave to defend, the court may order that the action be stayed until the plaintiff has paid the defendant’s costs; and may further order that such costs be taxed as between attorney and client; and</w:t>
      </w:r>
      <w:bookmarkStart w:id="15" w:name="0-0-0-44819"/>
      <w:bookmarkEnd w:id="15"/>
    </w:p>
    <w:p w14:paraId="7CB821FF" w14:textId="77777777" w:rsidR="003D6AFB" w:rsidRPr="003D6AFB" w:rsidRDefault="003D6AFB" w:rsidP="003D6AFB">
      <w:pPr>
        <w:tabs>
          <w:tab w:val="left" w:pos="567"/>
          <w:tab w:val="left" w:pos="2268"/>
          <w:tab w:val="left" w:pos="2410"/>
          <w:tab w:val="left" w:pos="3119"/>
          <w:tab w:val="right" w:pos="8595"/>
        </w:tabs>
        <w:spacing w:before="400" w:after="400" w:line="360" w:lineRule="auto"/>
        <w:ind w:left="2268" w:hanging="567"/>
        <w:jc w:val="both"/>
        <w:rPr>
          <w:i/>
          <w:iCs/>
          <w:sz w:val="24"/>
        </w:rPr>
      </w:pPr>
      <w:r w:rsidRPr="003D6AFB">
        <w:rPr>
          <w:rFonts w:eastAsia="Times New Roman"/>
          <w:i/>
          <w:iCs/>
          <w:color w:val="000000"/>
          <w:sz w:val="24"/>
          <w:lang w:eastAsia="en-ZA"/>
        </w:rPr>
        <w:t xml:space="preserve"> (b)   </w:t>
      </w:r>
      <w:r w:rsidRPr="003D6AFB">
        <w:rPr>
          <w:rFonts w:eastAsia="Times New Roman"/>
          <w:i/>
          <w:iCs/>
          <w:color w:val="000000"/>
          <w:sz w:val="24"/>
          <w:lang w:eastAsia="en-ZA"/>
        </w:rPr>
        <w:tab/>
        <w:t>in any case in which summary judgment was refused and in which the court after trial gives judgment for the plaintiff substantially as prayed, and the court finds that summary judgment should have been granted had the defendant not raised a defence which in its opinion was unreasonable, the court may order the plaintiff’s costs of the action to be taxed as between attorney and client.</w:t>
      </w:r>
      <w:r w:rsidRPr="003D6AFB">
        <w:rPr>
          <w:sz w:val="24"/>
        </w:rPr>
        <w:t xml:space="preserve">” </w:t>
      </w:r>
    </w:p>
    <w:p w14:paraId="3EFD3C9B" w14:textId="52A62848" w:rsidR="003D6AFB" w:rsidRPr="003D6AFB" w:rsidRDefault="002F4C9E" w:rsidP="002F4C9E">
      <w:pPr>
        <w:tabs>
          <w:tab w:val="left" w:pos="0"/>
          <w:tab w:val="left" w:pos="1134"/>
          <w:tab w:val="left" w:pos="1985"/>
          <w:tab w:val="left" w:pos="3119"/>
          <w:tab w:val="right" w:pos="8595"/>
        </w:tabs>
        <w:spacing w:before="400" w:after="400" w:line="480" w:lineRule="auto"/>
        <w:jc w:val="both"/>
        <w:rPr>
          <w:sz w:val="24"/>
        </w:rPr>
      </w:pPr>
      <w:r w:rsidRPr="003D6AFB">
        <w:rPr>
          <w:sz w:val="24"/>
        </w:rPr>
        <w:lastRenderedPageBreak/>
        <w:t>[12]</w:t>
      </w:r>
      <w:r w:rsidRPr="003D6AFB">
        <w:rPr>
          <w:sz w:val="24"/>
        </w:rPr>
        <w:tab/>
      </w:r>
      <w:r w:rsidR="003D6AFB" w:rsidRPr="003D6AFB">
        <w:rPr>
          <w:sz w:val="24"/>
        </w:rPr>
        <w:t xml:space="preserve">As was correctly explained by the </w:t>
      </w:r>
      <w:r w:rsidR="004C273A">
        <w:rPr>
          <w:sz w:val="24"/>
        </w:rPr>
        <w:t>P</w:t>
      </w:r>
      <w:r w:rsidR="003D6AFB" w:rsidRPr="003D6AFB">
        <w:rPr>
          <w:sz w:val="24"/>
        </w:rPr>
        <w:t>laintiff</w:t>
      </w:r>
      <w:r w:rsidR="004C273A">
        <w:rPr>
          <w:sz w:val="24"/>
        </w:rPr>
        <w:t xml:space="preserve">’s counsel, Ms Bhabha, </w:t>
      </w:r>
      <w:r w:rsidR="003D6AFB" w:rsidRPr="003D6AFB">
        <w:rPr>
          <w:sz w:val="24"/>
        </w:rPr>
        <w:t>Rule 32(</w:t>
      </w:r>
      <w:r w:rsidR="004C273A">
        <w:rPr>
          <w:sz w:val="24"/>
        </w:rPr>
        <w:t>2</w:t>
      </w:r>
      <w:r w:rsidR="003D6AFB" w:rsidRPr="003D6AFB">
        <w:rPr>
          <w:sz w:val="24"/>
        </w:rPr>
        <w:t xml:space="preserve">)(a) and (b) provides details of what the </w:t>
      </w:r>
      <w:r w:rsidR="004C273A">
        <w:rPr>
          <w:sz w:val="24"/>
        </w:rPr>
        <w:t>P</w:t>
      </w:r>
      <w:r w:rsidR="003D6AFB" w:rsidRPr="003D6AFB">
        <w:rPr>
          <w:sz w:val="24"/>
        </w:rPr>
        <w:t xml:space="preserve">laintiff is required to do in summary judgment applications and Rule 32(3)(b) describes what is required of the </w:t>
      </w:r>
      <w:r w:rsidR="002E341C">
        <w:rPr>
          <w:sz w:val="24"/>
        </w:rPr>
        <w:t>D</w:t>
      </w:r>
      <w:r w:rsidR="003D6AFB" w:rsidRPr="003D6AFB">
        <w:rPr>
          <w:sz w:val="24"/>
        </w:rPr>
        <w:t xml:space="preserve">efendant in </w:t>
      </w:r>
      <w:r w:rsidR="004C273A">
        <w:rPr>
          <w:sz w:val="24"/>
        </w:rPr>
        <w:t xml:space="preserve">such </w:t>
      </w:r>
      <w:r w:rsidR="003D6AFB" w:rsidRPr="003D6AFB">
        <w:rPr>
          <w:sz w:val="24"/>
        </w:rPr>
        <w:t xml:space="preserve">applications.  </w:t>
      </w:r>
    </w:p>
    <w:p w14:paraId="41158D0B" w14:textId="72A8D953" w:rsidR="003D6AFB" w:rsidRDefault="002F4C9E" w:rsidP="002F4C9E">
      <w:pPr>
        <w:tabs>
          <w:tab w:val="left" w:pos="0"/>
          <w:tab w:val="left" w:pos="1134"/>
          <w:tab w:val="left" w:pos="2694"/>
          <w:tab w:val="right" w:pos="8595"/>
        </w:tabs>
        <w:spacing w:before="400" w:after="400" w:line="480" w:lineRule="auto"/>
        <w:jc w:val="both"/>
        <w:rPr>
          <w:sz w:val="24"/>
        </w:rPr>
      </w:pPr>
      <w:r>
        <w:rPr>
          <w:sz w:val="24"/>
        </w:rPr>
        <w:t>[13]</w:t>
      </w:r>
      <w:r>
        <w:rPr>
          <w:sz w:val="24"/>
        </w:rPr>
        <w:tab/>
      </w:r>
      <w:r w:rsidR="004C273A">
        <w:rPr>
          <w:sz w:val="24"/>
        </w:rPr>
        <w:t>I am satisfied that the Plaintiff complied with the requirements of Rule 32(2)(a) and (b).</w:t>
      </w:r>
    </w:p>
    <w:p w14:paraId="6F31AB6D" w14:textId="7EADF54F" w:rsidR="004C273A" w:rsidRPr="003D6AFB" w:rsidRDefault="002F4C9E" w:rsidP="002F4C9E">
      <w:pPr>
        <w:tabs>
          <w:tab w:val="left" w:pos="0"/>
          <w:tab w:val="left" w:pos="1134"/>
          <w:tab w:val="left" w:pos="2694"/>
          <w:tab w:val="right" w:pos="8595"/>
        </w:tabs>
        <w:spacing w:before="400" w:after="400" w:line="480" w:lineRule="auto"/>
        <w:jc w:val="both"/>
        <w:rPr>
          <w:sz w:val="24"/>
        </w:rPr>
      </w:pPr>
      <w:r w:rsidRPr="003D6AFB">
        <w:rPr>
          <w:sz w:val="24"/>
        </w:rPr>
        <w:t>[14]</w:t>
      </w:r>
      <w:r w:rsidRPr="003D6AFB">
        <w:rPr>
          <w:sz w:val="24"/>
        </w:rPr>
        <w:tab/>
      </w:r>
      <w:r w:rsidR="004C273A">
        <w:rPr>
          <w:sz w:val="24"/>
        </w:rPr>
        <w:t>Summary judgment is only to be gra</w:t>
      </w:r>
      <w:r w:rsidR="00624259">
        <w:rPr>
          <w:sz w:val="24"/>
        </w:rPr>
        <w:t>n</w:t>
      </w:r>
      <w:r w:rsidR="004C273A">
        <w:rPr>
          <w:sz w:val="24"/>
        </w:rPr>
        <w:t xml:space="preserve">ted where the Plaintiff can establish its claim clearly and the Defendant fails to set up a </w:t>
      </w:r>
      <w:r w:rsidR="004C273A" w:rsidRPr="004C273A">
        <w:rPr>
          <w:i/>
          <w:iCs/>
          <w:sz w:val="24"/>
        </w:rPr>
        <w:t>bona fide</w:t>
      </w:r>
      <w:r w:rsidR="004C273A">
        <w:rPr>
          <w:sz w:val="24"/>
        </w:rPr>
        <w:t xml:space="preserve"> defence.</w:t>
      </w:r>
      <w:r w:rsidR="00624259">
        <w:rPr>
          <w:rStyle w:val="FootnoteReference"/>
          <w:sz w:val="24"/>
        </w:rPr>
        <w:footnoteReference w:id="1"/>
      </w:r>
    </w:p>
    <w:p w14:paraId="099AF4AF" w14:textId="51A33ED3" w:rsidR="00A1732E" w:rsidRDefault="002F4C9E" w:rsidP="002F4C9E">
      <w:pPr>
        <w:tabs>
          <w:tab w:val="left" w:pos="0"/>
          <w:tab w:val="left" w:pos="1134"/>
          <w:tab w:val="left" w:pos="2694"/>
          <w:tab w:val="right" w:pos="8595"/>
        </w:tabs>
        <w:spacing w:before="400" w:after="400" w:line="480" w:lineRule="auto"/>
        <w:jc w:val="both"/>
        <w:rPr>
          <w:sz w:val="24"/>
        </w:rPr>
      </w:pPr>
      <w:r>
        <w:rPr>
          <w:sz w:val="24"/>
        </w:rPr>
        <w:t>[15]</w:t>
      </w:r>
      <w:r>
        <w:rPr>
          <w:sz w:val="24"/>
        </w:rPr>
        <w:tab/>
      </w:r>
      <w:r w:rsidR="00801B18" w:rsidRPr="00A1732E">
        <w:rPr>
          <w:sz w:val="24"/>
        </w:rPr>
        <w:t xml:space="preserve">In the plea and affidavit opposing summary judgment, the following </w:t>
      </w:r>
      <w:r w:rsidR="00C757EE" w:rsidRPr="00A1732E">
        <w:rPr>
          <w:sz w:val="24"/>
        </w:rPr>
        <w:t xml:space="preserve">was </w:t>
      </w:r>
      <w:r w:rsidR="00801B18" w:rsidRPr="00A1732E">
        <w:rPr>
          <w:sz w:val="24"/>
        </w:rPr>
        <w:t>raised by the Defendant</w:t>
      </w:r>
      <w:r w:rsidR="00C757EE" w:rsidRPr="00A1732E">
        <w:rPr>
          <w:sz w:val="24"/>
        </w:rPr>
        <w:t xml:space="preserve"> in defence to the Plaintiff’s claim</w:t>
      </w:r>
      <w:r w:rsidR="00801B18" w:rsidRPr="00A1732E">
        <w:rPr>
          <w:sz w:val="24"/>
        </w:rPr>
        <w:t xml:space="preserve">: </w:t>
      </w:r>
    </w:p>
    <w:p w14:paraId="0F99DF0D" w14:textId="183C0547"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[15.1]</w:t>
      </w:r>
      <w:r>
        <w:rPr>
          <w:sz w:val="24"/>
        </w:rPr>
        <w:tab/>
      </w:r>
      <w:r w:rsidR="00A1732E" w:rsidRPr="00A1732E">
        <w:rPr>
          <w:sz w:val="24"/>
        </w:rPr>
        <w:t>h</w:t>
      </w:r>
      <w:r w:rsidR="00C2319A" w:rsidRPr="00A1732E">
        <w:rPr>
          <w:sz w:val="24"/>
        </w:rPr>
        <w:t>e had not breached the loan agreement “</w:t>
      </w:r>
      <w:r w:rsidR="00C2319A" w:rsidRPr="00A1732E">
        <w:rPr>
          <w:i/>
          <w:iCs/>
          <w:sz w:val="24"/>
        </w:rPr>
        <w:t>substantially to warrant the issuance of summons</w:t>
      </w:r>
      <w:r w:rsidR="00C2319A" w:rsidRPr="00A1732E">
        <w:rPr>
          <w:sz w:val="24"/>
        </w:rPr>
        <w:t>”;</w:t>
      </w:r>
    </w:p>
    <w:p w14:paraId="3FB9A36C" w14:textId="015E42F9"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[15.2]</w:t>
      </w:r>
      <w:r>
        <w:rPr>
          <w:sz w:val="24"/>
        </w:rPr>
        <w:tab/>
      </w:r>
      <w:r w:rsidR="00A1732E" w:rsidRPr="00A1732E">
        <w:rPr>
          <w:sz w:val="24"/>
        </w:rPr>
        <w:t>t</w:t>
      </w:r>
      <w:r w:rsidR="00C2319A" w:rsidRPr="00A1732E">
        <w:rPr>
          <w:sz w:val="24"/>
        </w:rPr>
        <w:t>he Lockdown imposed by the Government in term of the Disaster Management Act “</w:t>
      </w:r>
      <w:r w:rsidR="00C2319A" w:rsidRPr="00A1732E">
        <w:rPr>
          <w:i/>
          <w:iCs/>
          <w:sz w:val="24"/>
        </w:rPr>
        <w:t>made it practically impossible</w:t>
      </w:r>
      <w:r w:rsidR="002E341C">
        <w:rPr>
          <w:i/>
          <w:iCs/>
          <w:sz w:val="24"/>
        </w:rPr>
        <w:t xml:space="preserve"> </w:t>
      </w:r>
      <w:r w:rsidR="002E341C">
        <w:rPr>
          <w:sz w:val="24"/>
        </w:rPr>
        <w:t xml:space="preserve">[for the Defendant] </w:t>
      </w:r>
      <w:r w:rsidR="00C2319A" w:rsidRPr="00A1732E">
        <w:rPr>
          <w:i/>
          <w:iCs/>
          <w:sz w:val="24"/>
        </w:rPr>
        <w:t>to earn anything as all the avenues of earning an income were virtually closed</w:t>
      </w:r>
      <w:r w:rsidR="00C2319A" w:rsidRPr="00A1732E">
        <w:rPr>
          <w:sz w:val="24"/>
        </w:rPr>
        <w:t>”</w:t>
      </w:r>
      <w:r w:rsidR="00C07D4F" w:rsidRPr="00A1732E">
        <w:rPr>
          <w:sz w:val="24"/>
        </w:rPr>
        <w:t xml:space="preserve"> and </w:t>
      </w:r>
      <w:r w:rsidR="00801B18" w:rsidRPr="00A1732E">
        <w:rPr>
          <w:sz w:val="24"/>
        </w:rPr>
        <w:t>the COVID-</w:t>
      </w:r>
      <w:r w:rsidR="00624259">
        <w:rPr>
          <w:sz w:val="24"/>
        </w:rPr>
        <w:t>1</w:t>
      </w:r>
      <w:r w:rsidR="00801B18" w:rsidRPr="00A1732E">
        <w:rPr>
          <w:sz w:val="24"/>
        </w:rPr>
        <w:t xml:space="preserve">9 pandemic </w:t>
      </w:r>
      <w:r w:rsidR="00C2319A" w:rsidRPr="00A1732E">
        <w:rPr>
          <w:sz w:val="24"/>
        </w:rPr>
        <w:t xml:space="preserve">should be regarded as </w:t>
      </w:r>
      <w:r w:rsidR="00801B18" w:rsidRPr="00A1732E">
        <w:rPr>
          <w:i/>
          <w:iCs/>
          <w:sz w:val="24"/>
        </w:rPr>
        <w:t xml:space="preserve">force majeure </w:t>
      </w:r>
      <w:r w:rsidR="00801B18" w:rsidRPr="00A1732E">
        <w:rPr>
          <w:sz w:val="24"/>
        </w:rPr>
        <w:t>which made performance in terms of the c</w:t>
      </w:r>
      <w:r w:rsidR="00C2319A" w:rsidRPr="00A1732E">
        <w:rPr>
          <w:sz w:val="24"/>
        </w:rPr>
        <w:t>redit agreement</w:t>
      </w:r>
      <w:r w:rsidR="00801B18" w:rsidRPr="00A1732E">
        <w:rPr>
          <w:sz w:val="24"/>
        </w:rPr>
        <w:t xml:space="preserve"> objectively impossible; </w:t>
      </w:r>
    </w:p>
    <w:p w14:paraId="170887A1" w14:textId="3B95EAD2"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lastRenderedPageBreak/>
        <w:t>[15.3]</w:t>
      </w:r>
      <w:r>
        <w:rPr>
          <w:sz w:val="24"/>
        </w:rPr>
        <w:tab/>
      </w:r>
      <w:r w:rsidR="00801B18" w:rsidRPr="00A1732E">
        <w:rPr>
          <w:sz w:val="24"/>
        </w:rPr>
        <w:t xml:space="preserve">the section 129 notice </w:t>
      </w:r>
      <w:r w:rsidR="00C2319A" w:rsidRPr="00A1732E">
        <w:rPr>
          <w:sz w:val="24"/>
        </w:rPr>
        <w:t xml:space="preserve">issued in terms of the National Credit Act </w:t>
      </w:r>
      <w:r w:rsidR="00801B18" w:rsidRPr="00A1732E">
        <w:rPr>
          <w:sz w:val="24"/>
        </w:rPr>
        <w:t xml:space="preserve">was not received by </w:t>
      </w:r>
      <w:r w:rsidR="00C757EE" w:rsidRPr="00A1732E">
        <w:rPr>
          <w:sz w:val="24"/>
        </w:rPr>
        <w:t>him</w:t>
      </w:r>
      <w:r w:rsidR="00801B18" w:rsidRPr="00A1732E">
        <w:rPr>
          <w:sz w:val="24"/>
        </w:rPr>
        <w:t>;</w:t>
      </w:r>
      <w:r w:rsidR="00C2319A" w:rsidRPr="00A1732E">
        <w:rPr>
          <w:sz w:val="24"/>
        </w:rPr>
        <w:t xml:space="preserve"> and</w:t>
      </w:r>
      <w:r w:rsidR="00801B18" w:rsidRPr="00A1732E">
        <w:rPr>
          <w:sz w:val="24"/>
        </w:rPr>
        <w:t xml:space="preserve"> </w:t>
      </w:r>
    </w:p>
    <w:p w14:paraId="3CC024DC" w14:textId="48C7FF32" w:rsidR="00A1732E" w:rsidRDefault="002F4C9E" w:rsidP="002F4C9E">
      <w:pPr>
        <w:tabs>
          <w:tab w:val="left" w:pos="0"/>
          <w:tab w:val="left" w:pos="1134"/>
          <w:tab w:val="left" w:pos="1985"/>
          <w:tab w:val="right" w:pos="8595"/>
        </w:tabs>
        <w:spacing w:before="400" w:after="400" w:line="480" w:lineRule="auto"/>
        <w:ind w:left="1985" w:hanging="851"/>
        <w:jc w:val="both"/>
        <w:rPr>
          <w:sz w:val="24"/>
        </w:rPr>
      </w:pPr>
      <w:r>
        <w:rPr>
          <w:sz w:val="24"/>
        </w:rPr>
        <w:t>[15.4]</w:t>
      </w:r>
      <w:r>
        <w:rPr>
          <w:sz w:val="24"/>
        </w:rPr>
        <w:tab/>
      </w:r>
      <w:r w:rsidR="00A1732E" w:rsidRPr="00A1732E">
        <w:rPr>
          <w:sz w:val="24"/>
        </w:rPr>
        <w:t>o</w:t>
      </w:r>
      <w:r w:rsidR="00C2319A" w:rsidRPr="00A1732E">
        <w:rPr>
          <w:sz w:val="24"/>
        </w:rPr>
        <w:t xml:space="preserve">nly </w:t>
      </w:r>
      <w:r w:rsidR="00801B18" w:rsidRPr="00A1732E">
        <w:rPr>
          <w:sz w:val="24"/>
        </w:rPr>
        <w:t xml:space="preserve">Magistrate Court’s costs </w:t>
      </w:r>
      <w:r w:rsidR="00624259">
        <w:rPr>
          <w:sz w:val="24"/>
        </w:rPr>
        <w:t xml:space="preserve">should have </w:t>
      </w:r>
      <w:r w:rsidR="00C2319A" w:rsidRPr="00A1732E">
        <w:rPr>
          <w:sz w:val="24"/>
        </w:rPr>
        <w:t>be</w:t>
      </w:r>
      <w:r w:rsidR="00624259">
        <w:rPr>
          <w:sz w:val="24"/>
        </w:rPr>
        <w:t>en</w:t>
      </w:r>
      <w:r w:rsidR="00C2319A" w:rsidRPr="00A1732E">
        <w:rPr>
          <w:sz w:val="24"/>
        </w:rPr>
        <w:t xml:space="preserve"> claimed.</w:t>
      </w:r>
      <w:r w:rsidR="00801B18" w:rsidRPr="00A1732E">
        <w:rPr>
          <w:sz w:val="24"/>
        </w:rPr>
        <w:t xml:space="preserve"> </w:t>
      </w:r>
    </w:p>
    <w:p w14:paraId="306225BB" w14:textId="76CD9B34" w:rsidR="00A1732E" w:rsidRPr="00A1732E" w:rsidRDefault="002F4C9E" w:rsidP="002F4C9E">
      <w:pPr>
        <w:tabs>
          <w:tab w:val="left" w:pos="0"/>
          <w:tab w:val="left" w:pos="1134"/>
          <w:tab w:val="left" w:pos="1985"/>
          <w:tab w:val="right" w:pos="8595"/>
        </w:tabs>
        <w:spacing w:before="400" w:after="400" w:line="480" w:lineRule="auto"/>
        <w:jc w:val="both"/>
        <w:rPr>
          <w:sz w:val="24"/>
        </w:rPr>
      </w:pPr>
      <w:r w:rsidRPr="00A1732E">
        <w:rPr>
          <w:sz w:val="24"/>
        </w:rPr>
        <w:t>[16]</w:t>
      </w:r>
      <w:r w:rsidRPr="00A1732E">
        <w:rPr>
          <w:sz w:val="24"/>
        </w:rPr>
        <w:tab/>
      </w:r>
      <w:r w:rsidR="00A020B8" w:rsidRPr="00A1732E">
        <w:rPr>
          <w:sz w:val="24"/>
        </w:rPr>
        <w:t xml:space="preserve">Insofar as the first defence is concerned, i.e. that </w:t>
      </w:r>
      <w:r w:rsidR="00FE6A33" w:rsidRPr="00A1732E">
        <w:rPr>
          <w:sz w:val="24"/>
        </w:rPr>
        <w:t>the breach was</w:t>
      </w:r>
      <w:r w:rsidR="00A020B8" w:rsidRPr="00A1732E">
        <w:rPr>
          <w:sz w:val="24"/>
        </w:rPr>
        <w:t xml:space="preserve"> not</w:t>
      </w:r>
      <w:r w:rsidR="00FE6A33" w:rsidRPr="00A1732E">
        <w:rPr>
          <w:sz w:val="24"/>
        </w:rPr>
        <w:t xml:space="preserve"> substantial enough to warrant the issuing of summons. </w:t>
      </w:r>
      <w:r w:rsidR="00A020B8" w:rsidRPr="00A1732E">
        <w:rPr>
          <w:sz w:val="24"/>
        </w:rPr>
        <w:t>I was referred by the Plaintiff’s counsel</w:t>
      </w:r>
      <w:r w:rsidR="004C273A">
        <w:rPr>
          <w:sz w:val="24"/>
        </w:rPr>
        <w:t xml:space="preserve"> </w:t>
      </w:r>
      <w:r w:rsidR="00A020B8" w:rsidRPr="00A1732E">
        <w:rPr>
          <w:sz w:val="24"/>
        </w:rPr>
        <w:t xml:space="preserve">to clause </w:t>
      </w:r>
      <w:r w:rsidR="00FE6A33" w:rsidRPr="00A1732E">
        <w:rPr>
          <w:sz w:val="24"/>
        </w:rPr>
        <w:t xml:space="preserve">13 of the </w:t>
      </w:r>
      <w:r w:rsidR="00A020B8" w:rsidRPr="00A1732E">
        <w:rPr>
          <w:sz w:val="24"/>
        </w:rPr>
        <w:t xml:space="preserve">credit </w:t>
      </w:r>
      <w:r w:rsidR="00FE6A33" w:rsidRPr="00A1732E">
        <w:rPr>
          <w:sz w:val="24"/>
        </w:rPr>
        <w:t xml:space="preserve">agreement </w:t>
      </w:r>
      <w:r w:rsidR="00A020B8" w:rsidRPr="00A1732E">
        <w:rPr>
          <w:sz w:val="24"/>
        </w:rPr>
        <w:t>which is titled “</w:t>
      </w:r>
      <w:r w:rsidR="00A020B8" w:rsidRPr="00A1732E">
        <w:rPr>
          <w:i/>
          <w:iCs/>
          <w:sz w:val="24"/>
        </w:rPr>
        <w:t>Breach</w:t>
      </w:r>
      <w:r w:rsidR="00A020B8" w:rsidRPr="00A1732E">
        <w:rPr>
          <w:sz w:val="24"/>
        </w:rPr>
        <w:t xml:space="preserve">” and provides </w:t>
      </w:r>
      <w:r w:rsidR="00A020B8" w:rsidRPr="00A1732E">
        <w:rPr>
          <w:i/>
          <w:iCs/>
          <w:sz w:val="24"/>
        </w:rPr>
        <w:t>inter alia</w:t>
      </w:r>
      <w:r w:rsidR="00A020B8" w:rsidRPr="00A1732E">
        <w:rPr>
          <w:sz w:val="24"/>
        </w:rPr>
        <w:t xml:space="preserve"> that:</w:t>
      </w:r>
      <w:r w:rsidR="00FE6A33" w:rsidRPr="00A1732E">
        <w:rPr>
          <w:sz w:val="24"/>
        </w:rPr>
        <w:t xml:space="preserve">  </w:t>
      </w:r>
    </w:p>
    <w:p w14:paraId="63C1A69A" w14:textId="404E3C9E" w:rsidR="00FE6A33" w:rsidRDefault="00FE6A33" w:rsidP="008B708C">
      <w:pPr>
        <w:tabs>
          <w:tab w:val="left" w:pos="0"/>
          <w:tab w:val="left" w:pos="1134"/>
          <w:tab w:val="left" w:pos="3119"/>
          <w:tab w:val="right" w:pos="8595"/>
        </w:tabs>
        <w:spacing w:before="400" w:after="400" w:line="360" w:lineRule="auto"/>
        <w:ind w:left="1701" w:hanging="567"/>
        <w:jc w:val="both"/>
        <w:rPr>
          <w:i/>
          <w:iCs/>
          <w:sz w:val="24"/>
        </w:rPr>
      </w:pPr>
      <w:r>
        <w:rPr>
          <w:sz w:val="24"/>
        </w:rPr>
        <w:t>“</w:t>
      </w:r>
      <w:r>
        <w:rPr>
          <w:i/>
          <w:iCs/>
          <w:sz w:val="24"/>
        </w:rPr>
        <w:t>13.</w:t>
      </w:r>
      <w:r>
        <w:rPr>
          <w:i/>
          <w:iCs/>
          <w:sz w:val="24"/>
        </w:rPr>
        <w:tab/>
        <w:t>Breach</w:t>
      </w:r>
    </w:p>
    <w:p w14:paraId="17215BDB" w14:textId="77777777" w:rsidR="00FE6A33" w:rsidRDefault="00FE6A33" w:rsidP="008B708C">
      <w:pPr>
        <w:tabs>
          <w:tab w:val="left" w:pos="0"/>
          <w:tab w:val="left" w:pos="1134"/>
          <w:tab w:val="left" w:pos="3686"/>
          <w:tab w:val="right" w:pos="8595"/>
        </w:tabs>
        <w:spacing w:before="400" w:after="400" w:line="360" w:lineRule="auto"/>
        <w:ind w:left="2268" w:hanging="567"/>
        <w:jc w:val="both"/>
        <w:rPr>
          <w:i/>
          <w:iCs/>
          <w:sz w:val="24"/>
        </w:rPr>
      </w:pPr>
      <w:r>
        <w:rPr>
          <w:i/>
          <w:iCs/>
          <w:sz w:val="24"/>
        </w:rPr>
        <w:t>13.1</w:t>
      </w:r>
      <w:r>
        <w:rPr>
          <w:i/>
          <w:iCs/>
          <w:sz w:val="24"/>
        </w:rPr>
        <w:tab/>
        <w:t xml:space="preserve">If: </w:t>
      </w:r>
    </w:p>
    <w:p w14:paraId="75CDA856" w14:textId="77777777" w:rsidR="00FE6A33" w:rsidRDefault="00FE6A33" w:rsidP="008B708C">
      <w:pPr>
        <w:tabs>
          <w:tab w:val="left" w:pos="0"/>
          <w:tab w:val="left" w:pos="1134"/>
          <w:tab w:val="left" w:pos="3119"/>
          <w:tab w:val="left" w:pos="4820"/>
          <w:tab w:val="right" w:pos="8595"/>
        </w:tabs>
        <w:spacing w:before="400" w:after="400" w:line="360" w:lineRule="auto"/>
        <w:ind w:left="3119" w:hanging="851"/>
        <w:jc w:val="both"/>
        <w:rPr>
          <w:i/>
          <w:iCs/>
          <w:sz w:val="24"/>
        </w:rPr>
      </w:pPr>
      <w:r>
        <w:rPr>
          <w:i/>
          <w:iCs/>
          <w:sz w:val="24"/>
        </w:rPr>
        <w:t>13.1.1</w:t>
      </w:r>
      <w:r>
        <w:rPr>
          <w:i/>
          <w:iCs/>
          <w:sz w:val="24"/>
        </w:rPr>
        <w:tab/>
        <w:t xml:space="preserve">you do not comply with </w:t>
      </w:r>
      <w:r w:rsidRPr="00A020B8">
        <w:rPr>
          <w:b/>
          <w:bCs/>
          <w:i/>
          <w:iCs/>
          <w:sz w:val="24"/>
        </w:rPr>
        <w:t>any of the terms and conditions of this agreement (all of which you agree are material)</w:t>
      </w:r>
      <w:r>
        <w:rPr>
          <w:i/>
          <w:iCs/>
          <w:sz w:val="24"/>
        </w:rPr>
        <w:t xml:space="preserve">; or </w:t>
      </w:r>
    </w:p>
    <w:p w14:paraId="6DBFEBE4" w14:textId="77777777" w:rsidR="00FE6A33" w:rsidRDefault="00FE6A33" w:rsidP="008B708C">
      <w:pPr>
        <w:tabs>
          <w:tab w:val="left" w:pos="0"/>
          <w:tab w:val="left" w:pos="1134"/>
          <w:tab w:val="left" w:pos="3119"/>
          <w:tab w:val="left" w:pos="4820"/>
          <w:tab w:val="right" w:pos="8595"/>
        </w:tabs>
        <w:spacing w:before="400" w:after="400" w:line="360" w:lineRule="auto"/>
        <w:ind w:left="3119" w:hanging="851"/>
        <w:jc w:val="both"/>
        <w:rPr>
          <w:i/>
          <w:iCs/>
          <w:sz w:val="24"/>
        </w:rPr>
      </w:pPr>
      <w:r>
        <w:rPr>
          <w:i/>
          <w:iCs/>
          <w:sz w:val="24"/>
        </w:rPr>
        <w:t>13.1.2</w:t>
      </w:r>
      <w:r>
        <w:rPr>
          <w:i/>
          <w:iCs/>
          <w:sz w:val="24"/>
        </w:rPr>
        <w:tab/>
      </w:r>
      <w:r w:rsidRPr="00A020B8">
        <w:rPr>
          <w:b/>
          <w:bCs/>
          <w:i/>
          <w:iCs/>
          <w:sz w:val="24"/>
        </w:rPr>
        <w:t>you fail to pay any amounts due under this agreement</w:t>
      </w:r>
      <w:r>
        <w:rPr>
          <w:i/>
          <w:iCs/>
          <w:sz w:val="24"/>
        </w:rPr>
        <w:t xml:space="preserve">; or </w:t>
      </w:r>
    </w:p>
    <w:p w14:paraId="31E791C9" w14:textId="294F9D82" w:rsidR="00FE6A33" w:rsidRDefault="00A1732E" w:rsidP="008B708C">
      <w:pPr>
        <w:tabs>
          <w:tab w:val="left" w:pos="0"/>
          <w:tab w:val="left" w:pos="1134"/>
          <w:tab w:val="left" w:pos="3686"/>
          <w:tab w:val="left" w:pos="4820"/>
          <w:tab w:val="right" w:pos="8595"/>
        </w:tabs>
        <w:spacing w:before="400" w:after="400" w:line="360" w:lineRule="auto"/>
        <w:ind w:left="2268"/>
        <w:jc w:val="both"/>
        <w:rPr>
          <w:i/>
          <w:iCs/>
          <w:sz w:val="24"/>
        </w:rPr>
      </w:pPr>
      <w:r>
        <w:rPr>
          <w:i/>
          <w:iCs/>
          <w:sz w:val="24"/>
        </w:rPr>
        <w:t xml:space="preserve">…, </w:t>
      </w:r>
      <w:r w:rsidR="00A020B8">
        <w:rPr>
          <w:i/>
          <w:iCs/>
          <w:sz w:val="24"/>
        </w:rPr>
        <w:t xml:space="preserve">then </w:t>
      </w:r>
      <w:r w:rsidR="00FE6A33">
        <w:rPr>
          <w:i/>
          <w:iCs/>
          <w:sz w:val="24"/>
        </w:rPr>
        <w:t xml:space="preserve">we may (without affecting any of our other rights) proceed with the enforcement or termination of the agreement as set out in the Act. </w:t>
      </w:r>
    </w:p>
    <w:p w14:paraId="1BD093BA" w14:textId="77777777" w:rsidR="00FE6A33" w:rsidRDefault="00FE6A33" w:rsidP="008B708C">
      <w:pPr>
        <w:tabs>
          <w:tab w:val="left" w:pos="0"/>
          <w:tab w:val="left" w:pos="1134"/>
          <w:tab w:val="left" w:pos="3119"/>
          <w:tab w:val="left" w:pos="3686"/>
          <w:tab w:val="left" w:pos="4820"/>
          <w:tab w:val="right" w:pos="8595"/>
        </w:tabs>
        <w:spacing w:before="400" w:after="400" w:line="360" w:lineRule="auto"/>
        <w:ind w:left="2268" w:hanging="567"/>
        <w:jc w:val="both"/>
        <w:rPr>
          <w:i/>
          <w:iCs/>
          <w:sz w:val="24"/>
        </w:rPr>
      </w:pPr>
      <w:r>
        <w:rPr>
          <w:i/>
          <w:iCs/>
          <w:sz w:val="24"/>
        </w:rPr>
        <w:t>13.2</w:t>
      </w:r>
      <w:r>
        <w:rPr>
          <w:i/>
          <w:iCs/>
          <w:sz w:val="24"/>
        </w:rPr>
        <w:tab/>
        <w:t xml:space="preserve">Upon the occurrence of the aforementioned events, we shall be entitled, at our election and without prejudice to: </w:t>
      </w:r>
    </w:p>
    <w:p w14:paraId="2BC019E4" w14:textId="77777777" w:rsidR="00FE6A33" w:rsidRDefault="00FE6A33" w:rsidP="008B708C">
      <w:pPr>
        <w:tabs>
          <w:tab w:val="left" w:pos="0"/>
          <w:tab w:val="left" w:pos="1134"/>
          <w:tab w:val="left" w:pos="3119"/>
          <w:tab w:val="left" w:pos="4820"/>
          <w:tab w:val="right" w:pos="8595"/>
        </w:tabs>
        <w:spacing w:before="400" w:after="400" w:line="360" w:lineRule="auto"/>
        <w:ind w:left="3119" w:hanging="709"/>
        <w:jc w:val="both"/>
        <w:rPr>
          <w:i/>
          <w:iCs/>
          <w:sz w:val="24"/>
        </w:rPr>
      </w:pPr>
      <w:r>
        <w:rPr>
          <w:i/>
          <w:iCs/>
          <w:sz w:val="24"/>
        </w:rPr>
        <w:t>13.2.1</w:t>
      </w:r>
      <w:r>
        <w:rPr>
          <w:i/>
          <w:iCs/>
          <w:sz w:val="24"/>
        </w:rPr>
        <w:tab/>
        <w:t xml:space="preserve">claim immediate repayment of the outstanding balance together with the interest and all amounts </w:t>
      </w:r>
      <w:r>
        <w:rPr>
          <w:i/>
          <w:iCs/>
          <w:sz w:val="24"/>
        </w:rPr>
        <w:lastRenderedPageBreak/>
        <w:t xml:space="preserve">owing or claimable by us, irrespective of whether or not such amounts are due at that stage; or </w:t>
      </w:r>
    </w:p>
    <w:p w14:paraId="03AE1912" w14:textId="209BE328" w:rsidR="00FE6A33" w:rsidRDefault="00FE6A33" w:rsidP="008B708C">
      <w:pPr>
        <w:tabs>
          <w:tab w:val="left" w:pos="0"/>
          <w:tab w:val="left" w:pos="1134"/>
          <w:tab w:val="left" w:pos="3119"/>
          <w:tab w:val="left" w:pos="4820"/>
          <w:tab w:val="right" w:pos="8595"/>
        </w:tabs>
        <w:spacing w:before="400" w:after="400" w:line="360" w:lineRule="auto"/>
        <w:ind w:left="3119" w:hanging="709"/>
        <w:jc w:val="both"/>
        <w:rPr>
          <w:i/>
          <w:iCs/>
          <w:sz w:val="24"/>
        </w:rPr>
      </w:pPr>
      <w:r>
        <w:rPr>
          <w:i/>
          <w:iCs/>
          <w:sz w:val="24"/>
        </w:rPr>
        <w:t>13.2.2</w:t>
      </w:r>
      <w:r>
        <w:rPr>
          <w:i/>
          <w:iCs/>
          <w:sz w:val="24"/>
        </w:rPr>
        <w:tab/>
        <w:t xml:space="preserve">take repossession of the </w:t>
      </w:r>
      <w:r w:rsidR="00A020B8">
        <w:rPr>
          <w:i/>
          <w:iCs/>
          <w:sz w:val="24"/>
        </w:rPr>
        <w:t>G</w:t>
      </w:r>
      <w:r>
        <w:rPr>
          <w:i/>
          <w:iCs/>
          <w:sz w:val="24"/>
        </w:rPr>
        <w:t xml:space="preserve">oods in terms of an attachment order, retain </w:t>
      </w:r>
      <w:r w:rsidR="00A020B8">
        <w:rPr>
          <w:i/>
          <w:iCs/>
          <w:sz w:val="24"/>
        </w:rPr>
        <w:t>all</w:t>
      </w:r>
      <w:r>
        <w:rPr>
          <w:i/>
          <w:iCs/>
          <w:sz w:val="24"/>
        </w:rPr>
        <w:t xml:space="preserve"> payments already made in terms hereof by yourself and to claim as liquidated damages, payment of the difference between the balance outstanding and the market value of the goods determined in accordance with clause 11.5.2.3, which amount shall be immediately due and payable.</w:t>
      </w:r>
      <w:r w:rsidR="00A020B8">
        <w:rPr>
          <w:i/>
          <w:iCs/>
          <w:sz w:val="24"/>
        </w:rPr>
        <w:t>”</w:t>
      </w:r>
      <w:r w:rsidR="002E341C">
        <w:rPr>
          <w:i/>
          <w:iCs/>
          <w:sz w:val="24"/>
        </w:rPr>
        <w:t xml:space="preserve"> </w:t>
      </w:r>
      <w:r w:rsidR="002E341C">
        <w:rPr>
          <w:sz w:val="24"/>
        </w:rPr>
        <w:t>(emphasis added)</w:t>
      </w:r>
      <w:r>
        <w:rPr>
          <w:i/>
          <w:iCs/>
          <w:sz w:val="24"/>
        </w:rPr>
        <w:t xml:space="preserve">  </w:t>
      </w:r>
    </w:p>
    <w:p w14:paraId="034899F4" w14:textId="4D0FEB95" w:rsidR="00A1732E" w:rsidRDefault="002F4C9E" w:rsidP="002F4C9E">
      <w:pPr>
        <w:tabs>
          <w:tab w:val="left" w:pos="0"/>
          <w:tab w:val="left" w:pos="1134"/>
          <w:tab w:val="left" w:pos="1985"/>
          <w:tab w:val="right" w:pos="8595"/>
        </w:tabs>
        <w:spacing w:before="400" w:after="400" w:line="480" w:lineRule="auto"/>
        <w:jc w:val="both"/>
        <w:rPr>
          <w:sz w:val="24"/>
        </w:rPr>
      </w:pPr>
      <w:r>
        <w:rPr>
          <w:sz w:val="24"/>
        </w:rPr>
        <w:t>[17]</w:t>
      </w:r>
      <w:r>
        <w:rPr>
          <w:sz w:val="24"/>
        </w:rPr>
        <w:tab/>
      </w:r>
      <w:r w:rsidR="00A020B8" w:rsidRPr="00A1732E">
        <w:rPr>
          <w:sz w:val="24"/>
        </w:rPr>
        <w:t xml:space="preserve">It is clear from </w:t>
      </w:r>
      <w:r w:rsidR="00FE6A33" w:rsidRPr="00A1732E">
        <w:rPr>
          <w:sz w:val="24"/>
        </w:rPr>
        <w:t xml:space="preserve">clause 13 </w:t>
      </w:r>
      <w:r w:rsidR="00A020B8" w:rsidRPr="00A1732E">
        <w:rPr>
          <w:sz w:val="24"/>
        </w:rPr>
        <w:t>of the credit agreement that there will be a breach where there is non-compliance with “</w:t>
      </w:r>
      <w:r w:rsidR="00A020B8" w:rsidRPr="00A1732E">
        <w:rPr>
          <w:b/>
          <w:bCs/>
          <w:i/>
          <w:iCs/>
          <w:sz w:val="24"/>
        </w:rPr>
        <w:t>any of the terms and conditions of this agreement</w:t>
      </w:r>
      <w:r w:rsidR="00A020B8" w:rsidRPr="00A1732E">
        <w:rPr>
          <w:i/>
          <w:iCs/>
          <w:sz w:val="24"/>
        </w:rPr>
        <w:t>”</w:t>
      </w:r>
      <w:r w:rsidR="00C07D4F" w:rsidRPr="00A1732E">
        <w:rPr>
          <w:i/>
          <w:iCs/>
          <w:sz w:val="24"/>
        </w:rPr>
        <w:t xml:space="preserve"> </w:t>
      </w:r>
      <w:r w:rsidR="00C07D4F" w:rsidRPr="00A1732E">
        <w:rPr>
          <w:sz w:val="24"/>
        </w:rPr>
        <w:t>and that the Defendant accepted that all terms and conditions are material.  Furthermore it is clear that the failure to pay “</w:t>
      </w:r>
      <w:r w:rsidR="00A020B8" w:rsidRPr="00A1732E">
        <w:rPr>
          <w:b/>
          <w:bCs/>
          <w:i/>
          <w:iCs/>
          <w:sz w:val="24"/>
        </w:rPr>
        <w:t>any amounts due under this agreement</w:t>
      </w:r>
      <w:r w:rsidR="00C07D4F" w:rsidRPr="00A1732E">
        <w:rPr>
          <w:i/>
          <w:iCs/>
          <w:sz w:val="24"/>
        </w:rPr>
        <w:t xml:space="preserve">” </w:t>
      </w:r>
      <w:r w:rsidR="00C07D4F" w:rsidRPr="00A1732E">
        <w:rPr>
          <w:sz w:val="24"/>
        </w:rPr>
        <w:t xml:space="preserve">amounts to a breach thereof which would entitle the Plaintiff to institute proceedings for the relief it seeks. </w:t>
      </w:r>
    </w:p>
    <w:p w14:paraId="03E8AE65" w14:textId="473B67F5" w:rsidR="00A1732E" w:rsidRDefault="002F4C9E" w:rsidP="002F4C9E">
      <w:pPr>
        <w:tabs>
          <w:tab w:val="left" w:pos="0"/>
          <w:tab w:val="left" w:pos="1134"/>
          <w:tab w:val="left" w:pos="1985"/>
          <w:tab w:val="right" w:pos="8595"/>
        </w:tabs>
        <w:spacing w:before="400" w:after="400" w:line="480" w:lineRule="auto"/>
        <w:jc w:val="both"/>
        <w:rPr>
          <w:sz w:val="24"/>
        </w:rPr>
      </w:pPr>
      <w:r>
        <w:rPr>
          <w:sz w:val="24"/>
        </w:rPr>
        <w:t>[18]</w:t>
      </w:r>
      <w:r>
        <w:rPr>
          <w:sz w:val="24"/>
        </w:rPr>
        <w:tab/>
      </w:r>
      <w:r w:rsidR="00CC1528" w:rsidRPr="00A1732E">
        <w:rPr>
          <w:sz w:val="24"/>
        </w:rPr>
        <w:t xml:space="preserve">In the matter of </w:t>
      </w:r>
      <w:r w:rsidR="00CC1528" w:rsidRPr="00A1732E">
        <w:rPr>
          <w:i/>
          <w:iCs/>
          <w:sz w:val="24"/>
        </w:rPr>
        <w:t>Oatorian Properties (Pty) Ltd v Maroun</w:t>
      </w:r>
      <w:r w:rsidR="00CC1528" w:rsidRPr="00A1732E">
        <w:rPr>
          <w:sz w:val="24"/>
        </w:rPr>
        <w:t xml:space="preserve"> 1973 (3) SA 779 (A)</w:t>
      </w:r>
      <w:r w:rsidR="00607CF0" w:rsidRPr="00A1732E">
        <w:rPr>
          <w:sz w:val="24"/>
        </w:rPr>
        <w:t xml:space="preserve"> at 785B</w:t>
      </w:r>
      <w:r w:rsidR="00CC1528" w:rsidRPr="00A1732E">
        <w:rPr>
          <w:sz w:val="24"/>
        </w:rPr>
        <w:t xml:space="preserve">, the Appellate Division (as it was then known) confirmed that where a party, by virtue of a </w:t>
      </w:r>
      <w:r w:rsidR="00607CF0" w:rsidRPr="00A1732E">
        <w:rPr>
          <w:sz w:val="24"/>
        </w:rPr>
        <w:t>clause in the contract, explicitly reserve</w:t>
      </w:r>
      <w:r w:rsidR="002E341C">
        <w:rPr>
          <w:sz w:val="24"/>
        </w:rPr>
        <w:t>s</w:t>
      </w:r>
      <w:r w:rsidR="00607CF0" w:rsidRPr="00A1732E">
        <w:rPr>
          <w:sz w:val="24"/>
        </w:rPr>
        <w:t xml:space="preserve"> the right to cancel the contract if there is a breach of a material condition of the contract, once there is a breach, the materiality thereof is irrelevant and the Court will not enquire into the conscionableness or unconscionableness thereof.</w:t>
      </w:r>
      <w:r w:rsidR="00607CF0">
        <w:rPr>
          <w:rStyle w:val="FootnoteReference"/>
          <w:sz w:val="24"/>
        </w:rPr>
        <w:footnoteReference w:id="2"/>
      </w:r>
    </w:p>
    <w:p w14:paraId="150AB325" w14:textId="45EA43E4" w:rsidR="00A1732E" w:rsidRDefault="002F4C9E" w:rsidP="002F4C9E">
      <w:pPr>
        <w:tabs>
          <w:tab w:val="left" w:pos="0"/>
          <w:tab w:val="left" w:pos="1134"/>
          <w:tab w:val="left" w:pos="1985"/>
          <w:tab w:val="right" w:pos="8595"/>
        </w:tabs>
        <w:spacing w:before="400" w:after="400" w:line="480" w:lineRule="auto"/>
        <w:jc w:val="both"/>
        <w:rPr>
          <w:sz w:val="24"/>
        </w:rPr>
      </w:pPr>
      <w:r>
        <w:rPr>
          <w:sz w:val="24"/>
        </w:rPr>
        <w:t>[19]</w:t>
      </w:r>
      <w:r>
        <w:rPr>
          <w:sz w:val="24"/>
        </w:rPr>
        <w:tab/>
      </w:r>
      <w:r w:rsidR="00607CF0" w:rsidRPr="00A1732E">
        <w:rPr>
          <w:sz w:val="24"/>
        </w:rPr>
        <w:t xml:space="preserve">In the circumstances, I </w:t>
      </w:r>
      <w:r w:rsidR="00C07D4F" w:rsidRPr="00A1732E">
        <w:rPr>
          <w:sz w:val="24"/>
        </w:rPr>
        <w:t>find that there is no merit in the first defence.</w:t>
      </w:r>
      <w:r w:rsidR="00A020B8" w:rsidRPr="00A1732E">
        <w:rPr>
          <w:sz w:val="24"/>
        </w:rPr>
        <w:t xml:space="preserve"> </w:t>
      </w:r>
    </w:p>
    <w:p w14:paraId="2AEA44AB" w14:textId="169AA64B" w:rsidR="00A1732E" w:rsidRDefault="002F4C9E" w:rsidP="002F4C9E">
      <w:pPr>
        <w:tabs>
          <w:tab w:val="left" w:pos="0"/>
          <w:tab w:val="left" w:pos="1134"/>
          <w:tab w:val="left" w:pos="1985"/>
          <w:tab w:val="right" w:pos="8595"/>
        </w:tabs>
        <w:spacing w:before="400" w:after="400" w:line="480" w:lineRule="auto"/>
        <w:jc w:val="both"/>
        <w:rPr>
          <w:sz w:val="24"/>
        </w:rPr>
      </w:pPr>
      <w:r>
        <w:rPr>
          <w:sz w:val="24"/>
        </w:rPr>
        <w:lastRenderedPageBreak/>
        <w:t>[20]</w:t>
      </w:r>
      <w:r>
        <w:rPr>
          <w:sz w:val="24"/>
        </w:rPr>
        <w:tab/>
      </w:r>
      <w:r w:rsidR="00C07D4F" w:rsidRPr="00A1732E">
        <w:rPr>
          <w:sz w:val="24"/>
        </w:rPr>
        <w:t>Insofar as the second defence is concerned, i.e. that Lockdown “</w:t>
      </w:r>
      <w:r w:rsidR="00C07D4F" w:rsidRPr="00A1732E">
        <w:rPr>
          <w:i/>
          <w:iCs/>
          <w:sz w:val="24"/>
        </w:rPr>
        <w:t xml:space="preserve">made it practically impossible for </w:t>
      </w:r>
      <w:r w:rsidR="00C07D4F" w:rsidRPr="00A1732E">
        <w:rPr>
          <w:sz w:val="24"/>
        </w:rPr>
        <w:t>[the Defendant]</w:t>
      </w:r>
      <w:r w:rsidR="00C07D4F" w:rsidRPr="00A1732E">
        <w:rPr>
          <w:i/>
          <w:iCs/>
          <w:sz w:val="24"/>
        </w:rPr>
        <w:t xml:space="preserve"> to earn anything as all the avenues of earning an income were virtually closed</w:t>
      </w:r>
      <w:r w:rsidR="00C07D4F" w:rsidRPr="00A1732E">
        <w:rPr>
          <w:sz w:val="24"/>
        </w:rPr>
        <w:t>” and th</w:t>
      </w:r>
      <w:r w:rsidR="00A55ED7" w:rsidRPr="00A1732E">
        <w:rPr>
          <w:sz w:val="24"/>
        </w:rPr>
        <w:t>at</w:t>
      </w:r>
      <w:r w:rsidR="00C07D4F" w:rsidRPr="00A1732E">
        <w:rPr>
          <w:sz w:val="24"/>
        </w:rPr>
        <w:t xml:space="preserve"> </w:t>
      </w:r>
      <w:r w:rsidR="00A55ED7" w:rsidRPr="00A1732E">
        <w:rPr>
          <w:sz w:val="24"/>
        </w:rPr>
        <w:t xml:space="preserve">the </w:t>
      </w:r>
      <w:r w:rsidR="00C07D4F" w:rsidRPr="00A1732E">
        <w:rPr>
          <w:sz w:val="24"/>
        </w:rPr>
        <w:t>COVID-</w:t>
      </w:r>
      <w:r w:rsidR="00A55ED7" w:rsidRPr="00A1732E">
        <w:rPr>
          <w:sz w:val="24"/>
        </w:rPr>
        <w:t>1</w:t>
      </w:r>
      <w:r w:rsidR="00C07D4F" w:rsidRPr="00A1732E">
        <w:rPr>
          <w:sz w:val="24"/>
        </w:rPr>
        <w:t xml:space="preserve">9 pandemic should be regarded as </w:t>
      </w:r>
      <w:r w:rsidR="00C07D4F" w:rsidRPr="00A1732E">
        <w:rPr>
          <w:i/>
          <w:iCs/>
          <w:sz w:val="24"/>
        </w:rPr>
        <w:t xml:space="preserve">force majeure </w:t>
      </w:r>
      <w:r w:rsidR="00C07D4F" w:rsidRPr="00A1732E">
        <w:rPr>
          <w:sz w:val="24"/>
        </w:rPr>
        <w:t>which made performance in terms of the credit agreement objectively impossible</w:t>
      </w:r>
      <w:r w:rsidR="00624259">
        <w:rPr>
          <w:sz w:val="24"/>
        </w:rPr>
        <w:t xml:space="preserve">, although </w:t>
      </w:r>
      <w:r w:rsidR="00A55ED7" w:rsidRPr="00A1732E">
        <w:rPr>
          <w:i/>
          <w:iCs/>
          <w:sz w:val="24"/>
        </w:rPr>
        <w:t>f</w:t>
      </w:r>
      <w:r w:rsidR="00C07D4F" w:rsidRPr="00A1732E">
        <w:rPr>
          <w:i/>
          <w:iCs/>
          <w:sz w:val="24"/>
        </w:rPr>
        <w:t>orce majeure</w:t>
      </w:r>
      <w:r w:rsidR="00C07D4F" w:rsidRPr="00A1732E">
        <w:rPr>
          <w:sz w:val="24"/>
        </w:rPr>
        <w:t xml:space="preserve"> may in certain circumstances discharge a contract where performance in terms </w:t>
      </w:r>
      <w:r w:rsidR="00A55ED7" w:rsidRPr="00A1732E">
        <w:rPr>
          <w:sz w:val="24"/>
        </w:rPr>
        <w:t>thereof has become impossi</w:t>
      </w:r>
      <w:r w:rsidR="00C07D4F" w:rsidRPr="00A1732E">
        <w:rPr>
          <w:sz w:val="24"/>
        </w:rPr>
        <w:t>ble</w:t>
      </w:r>
      <w:r w:rsidR="00624259">
        <w:rPr>
          <w:sz w:val="24"/>
        </w:rPr>
        <w:t xml:space="preserve">, </w:t>
      </w:r>
      <w:r w:rsidR="00C07D4F" w:rsidRPr="00A1732E">
        <w:rPr>
          <w:sz w:val="24"/>
        </w:rPr>
        <w:t>the test is an objective one</w:t>
      </w:r>
      <w:r w:rsidR="00A55ED7" w:rsidRPr="00A1732E">
        <w:rPr>
          <w:sz w:val="24"/>
        </w:rPr>
        <w:t xml:space="preserve"> </w:t>
      </w:r>
      <w:r w:rsidR="00C07D4F" w:rsidRPr="00A1732E">
        <w:rPr>
          <w:sz w:val="24"/>
        </w:rPr>
        <w:t xml:space="preserve">and not personal to the </w:t>
      </w:r>
      <w:r w:rsidR="00A55ED7" w:rsidRPr="00A1732E">
        <w:rPr>
          <w:sz w:val="24"/>
        </w:rPr>
        <w:t>D</w:t>
      </w:r>
      <w:r w:rsidR="00C07D4F" w:rsidRPr="00A1732E">
        <w:rPr>
          <w:sz w:val="24"/>
        </w:rPr>
        <w:t xml:space="preserve">efendant. </w:t>
      </w:r>
      <w:r w:rsidR="002E341C">
        <w:rPr>
          <w:sz w:val="24"/>
        </w:rPr>
        <w:t xml:space="preserve"> </w:t>
      </w:r>
    </w:p>
    <w:p w14:paraId="60B32D0B" w14:textId="1570773A" w:rsidR="00C07D4F" w:rsidRPr="00A1732E" w:rsidRDefault="002F4C9E" w:rsidP="002F4C9E">
      <w:pPr>
        <w:tabs>
          <w:tab w:val="left" w:pos="0"/>
          <w:tab w:val="left" w:pos="1134"/>
          <w:tab w:val="left" w:pos="1985"/>
          <w:tab w:val="right" w:pos="8595"/>
        </w:tabs>
        <w:spacing w:before="400" w:after="400" w:line="480" w:lineRule="auto"/>
        <w:jc w:val="both"/>
        <w:rPr>
          <w:sz w:val="24"/>
        </w:rPr>
      </w:pPr>
      <w:r w:rsidRPr="00A1732E">
        <w:rPr>
          <w:sz w:val="24"/>
        </w:rPr>
        <w:t>[21]</w:t>
      </w:r>
      <w:r w:rsidRPr="00A1732E">
        <w:rPr>
          <w:sz w:val="24"/>
        </w:rPr>
        <w:tab/>
      </w:r>
      <w:r w:rsidR="00A55ED7" w:rsidRPr="00A1732E">
        <w:rPr>
          <w:sz w:val="24"/>
        </w:rPr>
        <w:t xml:space="preserve">In the matter of </w:t>
      </w:r>
      <w:r w:rsidR="00C07D4F" w:rsidRPr="00A1732E">
        <w:rPr>
          <w:i/>
          <w:iCs/>
          <w:sz w:val="24"/>
        </w:rPr>
        <w:t>Frajenron (Pty) Ltd v Metcash Trading L</w:t>
      </w:r>
      <w:r w:rsidR="00A55ED7" w:rsidRPr="00A1732E">
        <w:rPr>
          <w:i/>
          <w:iCs/>
          <w:sz w:val="24"/>
        </w:rPr>
        <w:t>t</w:t>
      </w:r>
      <w:r w:rsidR="00C07D4F" w:rsidRPr="00A1732E">
        <w:rPr>
          <w:i/>
          <w:iCs/>
          <w:sz w:val="24"/>
        </w:rPr>
        <w:t>d and Others</w:t>
      </w:r>
      <w:r w:rsidR="00C07D4F" w:rsidRPr="00A1732E">
        <w:rPr>
          <w:sz w:val="24"/>
        </w:rPr>
        <w:t xml:space="preserve"> 2020 (3) SA 2010 (GJ)</w:t>
      </w:r>
      <w:r w:rsidR="00A55ED7" w:rsidRPr="00A1732E">
        <w:rPr>
          <w:sz w:val="24"/>
        </w:rPr>
        <w:t xml:space="preserve">, </w:t>
      </w:r>
      <w:r w:rsidR="00CC1528" w:rsidRPr="00A1732E">
        <w:rPr>
          <w:sz w:val="24"/>
        </w:rPr>
        <w:t xml:space="preserve">the following was stated by Vally J at </w:t>
      </w:r>
      <w:r w:rsidR="00A55ED7" w:rsidRPr="00A1732E">
        <w:rPr>
          <w:sz w:val="24"/>
        </w:rPr>
        <w:t xml:space="preserve">para </w:t>
      </w:r>
      <w:r w:rsidR="00C07D4F" w:rsidRPr="00A1732E">
        <w:rPr>
          <w:sz w:val="24"/>
        </w:rPr>
        <w:t>[13]</w:t>
      </w:r>
      <w:r w:rsidR="002E341C">
        <w:rPr>
          <w:sz w:val="24"/>
        </w:rPr>
        <w:t xml:space="preserve"> about impossibility of performance</w:t>
      </w:r>
      <w:r w:rsidR="007B4977" w:rsidRPr="00A1732E">
        <w:rPr>
          <w:sz w:val="24"/>
        </w:rPr>
        <w:t xml:space="preserve"> (footnotes omitted)</w:t>
      </w:r>
      <w:r w:rsidR="00CC1528" w:rsidRPr="00A1732E">
        <w:rPr>
          <w:sz w:val="24"/>
        </w:rPr>
        <w:t>:</w:t>
      </w:r>
      <w:r w:rsidR="00C07D4F" w:rsidRPr="00A1732E">
        <w:rPr>
          <w:sz w:val="24"/>
        </w:rPr>
        <w:t xml:space="preserve">  </w:t>
      </w:r>
    </w:p>
    <w:p w14:paraId="54D3EFD6" w14:textId="2CEC3732" w:rsidR="00C07D4F" w:rsidRPr="003B6ECC" w:rsidRDefault="00C07D4F" w:rsidP="008B708C">
      <w:pPr>
        <w:tabs>
          <w:tab w:val="left" w:pos="0"/>
          <w:tab w:val="left" w:pos="1701"/>
          <w:tab w:val="left" w:pos="2977"/>
          <w:tab w:val="left" w:pos="3261"/>
          <w:tab w:val="right" w:pos="8595"/>
        </w:tabs>
        <w:spacing w:before="400" w:after="400" w:line="360" w:lineRule="auto"/>
        <w:ind w:left="1701" w:hanging="589"/>
        <w:jc w:val="both"/>
        <w:rPr>
          <w:i/>
          <w:iCs/>
          <w:sz w:val="24"/>
        </w:rPr>
      </w:pPr>
      <w:r>
        <w:rPr>
          <w:sz w:val="24"/>
        </w:rPr>
        <w:t>“</w:t>
      </w:r>
      <w:r w:rsidRPr="003B6ECC">
        <w:rPr>
          <w:i/>
          <w:iCs/>
          <w:sz w:val="24"/>
        </w:rPr>
        <w:t>[13]</w:t>
      </w:r>
      <w:r w:rsidRPr="003B6ECC">
        <w:rPr>
          <w:i/>
          <w:iCs/>
          <w:sz w:val="24"/>
        </w:rPr>
        <w:tab/>
      </w:r>
      <w:r w:rsidRPr="003B6ECC">
        <w:rPr>
          <w:i/>
          <w:iCs/>
          <w:color w:val="000000"/>
          <w:sz w:val="24"/>
        </w:rPr>
        <w:t xml:space="preserve">Our law on the impossibility of performance evolved on a similar footing. As noted above, it commenced with the dictum (quoted in [10] above) in </w:t>
      </w:r>
      <w:r w:rsidRPr="003B6ECC">
        <w:rPr>
          <w:i/>
          <w:iCs/>
          <w:sz w:val="24"/>
        </w:rPr>
        <w:t>Peters, Flamman &amp; Co.</w:t>
      </w:r>
      <w:r w:rsidRPr="003B6ECC">
        <w:rPr>
          <w:i/>
          <w:iCs/>
          <w:color w:val="000000"/>
          <w:sz w:val="24"/>
        </w:rPr>
        <w:t xml:space="preserve"> By that dictum the two factors or circumstances that would excuse the non-performance are vis major and casus fortuitous. As the law evolved it was clarified that not every vis major or casus fortuitous will excuse the non-performance. Facts specific to a case will determine whether the non-performance should be excused. These would include the nature, terms and context of the contract, the nature of the parties, their relationship and the nature of the impossibility relied upon. No party is allowed to rely on an impossibility caused by its own act or omission – there should be no fault or neglect on its part in the creation of the impossibility. The impossibility must be absolute and not relative and it must be applicable to everyone and not personal to the defendant, i.e. it must be objective.</w:t>
      </w:r>
      <w:r>
        <w:rPr>
          <w:sz w:val="24"/>
        </w:rPr>
        <w:t xml:space="preserve">”   </w:t>
      </w:r>
    </w:p>
    <w:p w14:paraId="6A88CB72" w14:textId="6BC5919F" w:rsidR="00A1732E" w:rsidRDefault="002F4C9E" w:rsidP="002F4C9E">
      <w:pPr>
        <w:tabs>
          <w:tab w:val="left" w:pos="0"/>
          <w:tab w:val="left" w:pos="1134"/>
          <w:tab w:val="left" w:pos="1985"/>
          <w:tab w:val="right" w:pos="8595"/>
        </w:tabs>
        <w:spacing w:before="400" w:after="400" w:line="480" w:lineRule="auto"/>
        <w:jc w:val="both"/>
        <w:rPr>
          <w:sz w:val="24"/>
        </w:rPr>
      </w:pPr>
      <w:r>
        <w:rPr>
          <w:sz w:val="24"/>
        </w:rPr>
        <w:t>[22]</w:t>
      </w:r>
      <w:r>
        <w:rPr>
          <w:sz w:val="24"/>
        </w:rPr>
        <w:tab/>
      </w:r>
      <w:r w:rsidR="00C07D4F" w:rsidRPr="00A1732E">
        <w:rPr>
          <w:sz w:val="24"/>
        </w:rPr>
        <w:t>The facts of a specific case determine whether the non-performance of a party should be excused</w:t>
      </w:r>
      <w:r w:rsidR="00607CF0" w:rsidRPr="00A1732E">
        <w:rPr>
          <w:sz w:val="24"/>
        </w:rPr>
        <w:t>.</w:t>
      </w:r>
      <w:r w:rsidR="00C07D4F" w:rsidRPr="00A1732E">
        <w:rPr>
          <w:sz w:val="24"/>
        </w:rPr>
        <w:t xml:space="preserve">  Only </w:t>
      </w:r>
      <w:r w:rsidR="00607CF0" w:rsidRPr="00A1732E">
        <w:rPr>
          <w:sz w:val="24"/>
        </w:rPr>
        <w:t>where t</w:t>
      </w:r>
      <w:r w:rsidR="00C07D4F" w:rsidRPr="00A1732E">
        <w:rPr>
          <w:sz w:val="24"/>
        </w:rPr>
        <w:t xml:space="preserve">he impossibility is absolute and not </w:t>
      </w:r>
      <w:r w:rsidR="00C07D4F" w:rsidRPr="00A1732E">
        <w:rPr>
          <w:sz w:val="24"/>
        </w:rPr>
        <w:lastRenderedPageBreak/>
        <w:t xml:space="preserve">relative, i.e. in respect of everyone and not personal to the defendant, can it be found that </w:t>
      </w:r>
      <w:r w:rsidR="00607CF0" w:rsidRPr="00A1732E">
        <w:rPr>
          <w:sz w:val="24"/>
        </w:rPr>
        <w:t xml:space="preserve">a </w:t>
      </w:r>
      <w:r w:rsidR="00C07D4F" w:rsidRPr="00A1732E">
        <w:rPr>
          <w:sz w:val="24"/>
        </w:rPr>
        <w:t xml:space="preserve">defendant is excused from his non-performance.  </w:t>
      </w:r>
    </w:p>
    <w:p w14:paraId="1E048D61" w14:textId="07A8A4C3" w:rsidR="007B4977" w:rsidRPr="00A1732E" w:rsidRDefault="002F4C9E" w:rsidP="002F4C9E">
      <w:pPr>
        <w:tabs>
          <w:tab w:val="left" w:pos="0"/>
          <w:tab w:val="left" w:pos="1134"/>
          <w:tab w:val="left" w:pos="1985"/>
          <w:tab w:val="right" w:pos="8595"/>
        </w:tabs>
        <w:spacing w:before="400" w:after="400" w:line="480" w:lineRule="auto"/>
        <w:jc w:val="both"/>
        <w:rPr>
          <w:sz w:val="24"/>
        </w:rPr>
      </w:pPr>
      <w:r w:rsidRPr="00A1732E">
        <w:rPr>
          <w:sz w:val="24"/>
        </w:rPr>
        <w:t>[23]</w:t>
      </w:r>
      <w:r w:rsidRPr="00A1732E">
        <w:rPr>
          <w:sz w:val="24"/>
        </w:rPr>
        <w:tab/>
      </w:r>
      <w:r w:rsidR="007B4977" w:rsidRPr="00A1732E">
        <w:rPr>
          <w:sz w:val="24"/>
        </w:rPr>
        <w:t xml:space="preserve">At the hearing, </w:t>
      </w:r>
      <w:r w:rsidR="00895871">
        <w:rPr>
          <w:sz w:val="24"/>
        </w:rPr>
        <w:t>the Plaintiff’s counsel ref</w:t>
      </w:r>
      <w:r w:rsidR="007B4977" w:rsidRPr="00A1732E">
        <w:rPr>
          <w:sz w:val="24"/>
        </w:rPr>
        <w:t xml:space="preserve">erred to the matter of </w:t>
      </w:r>
      <w:r w:rsidR="007B4977" w:rsidRPr="00A1732E">
        <w:rPr>
          <w:i/>
          <w:iCs/>
          <w:sz w:val="24"/>
        </w:rPr>
        <w:t>WesBank, A Division of FirstRand Bank Limited v PSG Haulers CC</w:t>
      </w:r>
      <w:r w:rsidR="007B4977" w:rsidRPr="00A1732E">
        <w:rPr>
          <w:sz w:val="24"/>
        </w:rPr>
        <w:t xml:space="preserve"> (an unreported judgment of the Gauteng Local Division under case no. 38511/2020</w:t>
      </w:r>
      <w:r w:rsidR="00895871">
        <w:rPr>
          <w:sz w:val="24"/>
        </w:rPr>
        <w:t xml:space="preserve"> by Dippenaar J, dated 25 August 2022</w:t>
      </w:r>
      <w:r w:rsidR="007B4977" w:rsidRPr="00A1732E">
        <w:rPr>
          <w:sz w:val="24"/>
        </w:rPr>
        <w:t>)</w:t>
      </w:r>
      <w:r w:rsidR="002E341C">
        <w:rPr>
          <w:sz w:val="24"/>
        </w:rPr>
        <w:t>. P</w:t>
      </w:r>
      <w:r w:rsidR="007B4977" w:rsidRPr="00A1732E">
        <w:rPr>
          <w:sz w:val="24"/>
        </w:rPr>
        <w:t>aragraphs 14</w:t>
      </w:r>
      <w:r w:rsidR="00895871">
        <w:rPr>
          <w:sz w:val="24"/>
        </w:rPr>
        <w:t xml:space="preserve">, </w:t>
      </w:r>
      <w:r w:rsidR="007B4977" w:rsidRPr="00A1732E">
        <w:rPr>
          <w:sz w:val="24"/>
        </w:rPr>
        <w:t>18</w:t>
      </w:r>
      <w:r w:rsidR="00895871">
        <w:rPr>
          <w:sz w:val="24"/>
        </w:rPr>
        <w:t xml:space="preserve"> and 19</w:t>
      </w:r>
      <w:r w:rsidR="007B4977" w:rsidRPr="00A1732E">
        <w:rPr>
          <w:sz w:val="24"/>
        </w:rPr>
        <w:t xml:space="preserve"> thereof</w:t>
      </w:r>
      <w:r w:rsidR="002E341C">
        <w:rPr>
          <w:sz w:val="24"/>
        </w:rPr>
        <w:t xml:space="preserve"> </w:t>
      </w:r>
      <w:r w:rsidR="007B4977" w:rsidRPr="00A1732E">
        <w:rPr>
          <w:sz w:val="24"/>
        </w:rPr>
        <w:t xml:space="preserve">read as follows (footnotes omitted):  </w:t>
      </w:r>
    </w:p>
    <w:p w14:paraId="6A801C2D" w14:textId="77777777" w:rsidR="008B708C" w:rsidRDefault="007B4977" w:rsidP="008B708C">
      <w:pPr>
        <w:tabs>
          <w:tab w:val="left" w:pos="851"/>
          <w:tab w:val="left" w:pos="1701"/>
          <w:tab w:val="left" w:pos="1985"/>
          <w:tab w:val="left" w:pos="3119"/>
          <w:tab w:val="right" w:pos="8595"/>
        </w:tabs>
        <w:spacing w:before="400" w:after="400" w:line="360" w:lineRule="auto"/>
        <w:ind w:left="1701" w:hanging="589"/>
        <w:jc w:val="both"/>
        <w:rPr>
          <w:i/>
          <w:iCs/>
          <w:sz w:val="24"/>
        </w:rPr>
      </w:pPr>
      <w:r>
        <w:rPr>
          <w:sz w:val="24"/>
        </w:rPr>
        <w:t>“</w:t>
      </w:r>
      <w:r>
        <w:rPr>
          <w:i/>
          <w:iCs/>
          <w:sz w:val="24"/>
        </w:rPr>
        <w:t>[14]</w:t>
      </w:r>
      <w:r>
        <w:rPr>
          <w:i/>
          <w:iCs/>
          <w:sz w:val="24"/>
        </w:rPr>
        <w:tab/>
        <w:t>As held in Glencore Grain Africa (Pty) Ltd v Du Plessis NO and Others, if provision is not made contractually by way of a force majeure clause, a party will only be able to rely on the very stringent provisions of the common law doctrine of supervening impossibility of performance, for which objective impossibility is a requirement.  Performance is not excused in all cases of force majeure.</w:t>
      </w:r>
    </w:p>
    <w:p w14:paraId="7FFCE134" w14:textId="77777777" w:rsidR="008B708C" w:rsidRDefault="007B4977" w:rsidP="008B708C">
      <w:pPr>
        <w:tabs>
          <w:tab w:val="left" w:pos="851"/>
          <w:tab w:val="left" w:pos="1701"/>
          <w:tab w:val="left" w:pos="1985"/>
          <w:tab w:val="left" w:pos="3119"/>
          <w:tab w:val="right" w:pos="8595"/>
        </w:tabs>
        <w:spacing w:before="400" w:after="400" w:line="360" w:lineRule="auto"/>
        <w:ind w:left="1701" w:hanging="589"/>
        <w:jc w:val="both"/>
        <w:rPr>
          <w:i/>
          <w:iCs/>
          <w:sz w:val="24"/>
        </w:rPr>
      </w:pPr>
      <w:r>
        <w:rPr>
          <w:i/>
          <w:iCs/>
          <w:sz w:val="24"/>
        </w:rPr>
        <w:t xml:space="preserve">… </w:t>
      </w:r>
    </w:p>
    <w:p w14:paraId="6D5EA98B" w14:textId="77777777" w:rsidR="008B708C" w:rsidRDefault="007B4977" w:rsidP="008B708C">
      <w:pPr>
        <w:tabs>
          <w:tab w:val="left" w:pos="851"/>
          <w:tab w:val="left" w:pos="1701"/>
          <w:tab w:val="left" w:pos="1985"/>
          <w:tab w:val="left" w:pos="3119"/>
          <w:tab w:val="right" w:pos="8595"/>
        </w:tabs>
        <w:spacing w:before="400" w:after="400" w:line="360" w:lineRule="auto"/>
        <w:ind w:left="1701" w:hanging="589"/>
        <w:jc w:val="both"/>
        <w:rPr>
          <w:i/>
          <w:iCs/>
          <w:sz w:val="24"/>
        </w:rPr>
      </w:pPr>
      <w:r>
        <w:rPr>
          <w:i/>
          <w:iCs/>
          <w:sz w:val="24"/>
        </w:rPr>
        <w:t>[18]</w:t>
      </w:r>
      <w:r>
        <w:rPr>
          <w:i/>
          <w:iCs/>
          <w:sz w:val="24"/>
        </w:rPr>
        <w:tab/>
        <w:t>It is apposite to refer to Scoin Trading (Pty) Ltd v B</w:t>
      </w:r>
      <w:r w:rsidR="009539FB">
        <w:rPr>
          <w:i/>
          <w:iCs/>
          <w:sz w:val="24"/>
        </w:rPr>
        <w:t>e</w:t>
      </w:r>
      <w:r>
        <w:rPr>
          <w:i/>
          <w:iCs/>
          <w:sz w:val="24"/>
        </w:rPr>
        <w:t xml:space="preserve">rnstein NO, wherein Pillay JA held:  </w:t>
      </w:r>
    </w:p>
    <w:p w14:paraId="3BC3AE19" w14:textId="77777777" w:rsidR="008B708C" w:rsidRDefault="007B4977" w:rsidP="008B708C">
      <w:pPr>
        <w:tabs>
          <w:tab w:val="left" w:pos="851"/>
          <w:tab w:val="left" w:pos="2268"/>
          <w:tab w:val="left" w:pos="3119"/>
          <w:tab w:val="right" w:pos="8595"/>
        </w:tabs>
        <w:spacing w:before="400" w:after="400" w:line="360" w:lineRule="auto"/>
        <w:ind w:left="2268"/>
        <w:jc w:val="both"/>
        <w:rPr>
          <w:i/>
          <w:iCs/>
          <w:sz w:val="24"/>
        </w:rPr>
      </w:pPr>
      <w:r>
        <w:rPr>
          <w:i/>
          <w:iCs/>
          <w:sz w:val="24"/>
        </w:rPr>
        <w:t>‘</w:t>
      </w:r>
      <w:r w:rsidRPr="00FA4B30">
        <w:rPr>
          <w:i/>
          <w:iCs/>
          <w:sz w:val="22"/>
          <w:szCs w:val="22"/>
        </w:rPr>
        <w:t>The law</w:t>
      </w:r>
      <w:r>
        <w:rPr>
          <w:i/>
          <w:iCs/>
          <w:sz w:val="22"/>
          <w:szCs w:val="22"/>
        </w:rPr>
        <w:t xml:space="preserve"> does not regard personal incapability to perform as consulting impossibility.’</w:t>
      </w:r>
    </w:p>
    <w:p w14:paraId="7F7A2741" w14:textId="5482DF77" w:rsidR="007B4977" w:rsidRDefault="007B4977" w:rsidP="008B708C">
      <w:pPr>
        <w:tabs>
          <w:tab w:val="left" w:pos="851"/>
          <w:tab w:val="left" w:pos="1701"/>
          <w:tab w:val="left" w:pos="1985"/>
          <w:tab w:val="left" w:pos="3119"/>
          <w:tab w:val="right" w:pos="8595"/>
        </w:tabs>
        <w:spacing w:before="400" w:after="400" w:line="360" w:lineRule="auto"/>
        <w:ind w:left="1701" w:hanging="589"/>
        <w:jc w:val="both"/>
        <w:rPr>
          <w:i/>
          <w:iCs/>
          <w:sz w:val="24"/>
        </w:rPr>
      </w:pPr>
      <w:r>
        <w:rPr>
          <w:i/>
          <w:iCs/>
          <w:sz w:val="24"/>
        </w:rPr>
        <w:t>[19]</w:t>
      </w:r>
      <w:r w:rsidR="00895871">
        <w:rPr>
          <w:i/>
          <w:iCs/>
          <w:sz w:val="24"/>
        </w:rPr>
        <w:tab/>
      </w:r>
      <w:r>
        <w:rPr>
          <w:i/>
          <w:iCs/>
          <w:sz w:val="24"/>
        </w:rPr>
        <w:t>In L</w:t>
      </w:r>
      <w:r w:rsidR="005748AE">
        <w:rPr>
          <w:i/>
          <w:iCs/>
          <w:sz w:val="24"/>
        </w:rPr>
        <w:t>AWSA</w:t>
      </w:r>
      <w:r>
        <w:rPr>
          <w:i/>
          <w:iCs/>
          <w:sz w:val="24"/>
        </w:rPr>
        <w:t xml:space="preserve"> it is explained as follows:  </w:t>
      </w:r>
    </w:p>
    <w:p w14:paraId="0C40E466" w14:textId="5FB1C6D0" w:rsidR="007B4977" w:rsidRPr="004548A4" w:rsidRDefault="007B4977" w:rsidP="008B708C">
      <w:pPr>
        <w:tabs>
          <w:tab w:val="left" w:pos="1985"/>
          <w:tab w:val="left" w:pos="2268"/>
          <w:tab w:val="left" w:pos="3119"/>
          <w:tab w:val="right" w:pos="8595"/>
        </w:tabs>
        <w:spacing w:before="400" w:after="400" w:line="360" w:lineRule="auto"/>
        <w:ind w:left="2268"/>
        <w:jc w:val="both"/>
        <w:rPr>
          <w:i/>
          <w:iCs/>
          <w:sz w:val="24"/>
        </w:rPr>
      </w:pPr>
      <w:r>
        <w:rPr>
          <w:i/>
          <w:iCs/>
          <w:sz w:val="24"/>
        </w:rPr>
        <w:t>‘</w:t>
      </w:r>
      <w:r>
        <w:rPr>
          <w:i/>
          <w:iCs/>
          <w:sz w:val="22"/>
          <w:szCs w:val="22"/>
        </w:rPr>
        <w:t xml:space="preserve">The contract is void on the ground of impossibility of performance only </w:t>
      </w:r>
      <w:r w:rsidRPr="009539FB">
        <w:rPr>
          <w:sz w:val="22"/>
          <w:szCs w:val="22"/>
        </w:rPr>
        <w:t>[if]</w:t>
      </w:r>
      <w:r>
        <w:rPr>
          <w:i/>
          <w:iCs/>
          <w:sz w:val="22"/>
          <w:szCs w:val="22"/>
        </w:rPr>
        <w:t xml:space="preserve"> the impossibility is absolute (objective).  This means, in principle</w:t>
      </w:r>
      <w:r w:rsidR="009539FB">
        <w:rPr>
          <w:i/>
          <w:iCs/>
          <w:sz w:val="22"/>
          <w:szCs w:val="22"/>
        </w:rPr>
        <w:t>,</w:t>
      </w:r>
      <w:r>
        <w:rPr>
          <w:i/>
          <w:iCs/>
          <w:sz w:val="22"/>
          <w:szCs w:val="22"/>
        </w:rPr>
        <w:t xml:space="preserve"> that it must not be possible for anyone to make that performance.  If the impossibility is peculiar to a peculiar contracting party because of his personal situation, that is if the </w:t>
      </w:r>
      <w:r>
        <w:rPr>
          <w:i/>
          <w:iCs/>
          <w:sz w:val="22"/>
          <w:szCs w:val="22"/>
        </w:rPr>
        <w:lastRenderedPageBreak/>
        <w:t>impossibility is merely relative (subjective), the contract is valid and the party who finds it impossible to render performance will be held liable for breach of contract.</w:t>
      </w:r>
      <w:r>
        <w:rPr>
          <w:i/>
          <w:iCs/>
          <w:sz w:val="24"/>
        </w:rPr>
        <w:t>’</w:t>
      </w:r>
      <w:r>
        <w:rPr>
          <w:sz w:val="24"/>
        </w:rPr>
        <w:t>”</w:t>
      </w:r>
      <w:r w:rsidRPr="000E47D3">
        <w:rPr>
          <w:sz w:val="24"/>
        </w:rPr>
        <w:t xml:space="preserve"> </w:t>
      </w:r>
    </w:p>
    <w:p w14:paraId="6543A679" w14:textId="2C850F4C" w:rsidR="00A1732E" w:rsidRDefault="002F4C9E" w:rsidP="002F4C9E">
      <w:pPr>
        <w:tabs>
          <w:tab w:val="left" w:pos="0"/>
          <w:tab w:val="left" w:pos="1134"/>
          <w:tab w:val="left" w:pos="1985"/>
          <w:tab w:val="right" w:pos="8595"/>
        </w:tabs>
        <w:spacing w:before="400" w:after="400" w:line="480" w:lineRule="auto"/>
        <w:jc w:val="both"/>
        <w:rPr>
          <w:sz w:val="24"/>
        </w:rPr>
      </w:pPr>
      <w:r>
        <w:rPr>
          <w:sz w:val="24"/>
        </w:rPr>
        <w:t>[24]</w:t>
      </w:r>
      <w:r>
        <w:rPr>
          <w:sz w:val="24"/>
        </w:rPr>
        <w:tab/>
      </w:r>
      <w:r w:rsidR="002E341C">
        <w:rPr>
          <w:sz w:val="24"/>
        </w:rPr>
        <w:t xml:space="preserve">The Plaintiff’s counsel also </w:t>
      </w:r>
      <w:r w:rsidR="007B4977" w:rsidRPr="00A1732E">
        <w:rPr>
          <w:sz w:val="24"/>
        </w:rPr>
        <w:t xml:space="preserve">referred to the matter of </w:t>
      </w:r>
      <w:r w:rsidR="007B4977" w:rsidRPr="00A1732E">
        <w:rPr>
          <w:i/>
          <w:iCs/>
          <w:sz w:val="24"/>
        </w:rPr>
        <w:t>WesBank Division of FirstRand v Dladla</w:t>
      </w:r>
      <w:r w:rsidR="007B4977" w:rsidRPr="00A1732E">
        <w:rPr>
          <w:sz w:val="24"/>
        </w:rPr>
        <w:t xml:space="preserve"> (an unreported decision of the Gauteng Local Division under case no. 0932/2021</w:t>
      </w:r>
      <w:r w:rsidR="00895871">
        <w:rPr>
          <w:sz w:val="24"/>
        </w:rPr>
        <w:t xml:space="preserve"> of Mahalelo J</w:t>
      </w:r>
      <w:r w:rsidR="007B4977" w:rsidRPr="00A1732E">
        <w:rPr>
          <w:sz w:val="24"/>
        </w:rPr>
        <w:t>, dated 2 August 2022</w:t>
      </w:r>
      <w:r w:rsidR="00895871">
        <w:rPr>
          <w:sz w:val="24"/>
        </w:rPr>
        <w:t xml:space="preserve"> – “the </w:t>
      </w:r>
      <w:r w:rsidR="00895871" w:rsidRPr="00895871">
        <w:rPr>
          <w:i/>
          <w:iCs/>
          <w:sz w:val="24"/>
        </w:rPr>
        <w:t>Dladla</w:t>
      </w:r>
      <w:r w:rsidR="00895871">
        <w:rPr>
          <w:sz w:val="24"/>
        </w:rPr>
        <w:t xml:space="preserve"> case”</w:t>
      </w:r>
      <w:r w:rsidR="002E341C">
        <w:rPr>
          <w:sz w:val="24"/>
        </w:rPr>
        <w:t>)</w:t>
      </w:r>
      <w:r w:rsidR="007B4977" w:rsidRPr="00A1732E">
        <w:rPr>
          <w:sz w:val="24"/>
        </w:rPr>
        <w:t xml:space="preserve"> which dealt with</w:t>
      </w:r>
      <w:r w:rsidR="002E341C">
        <w:rPr>
          <w:sz w:val="24"/>
        </w:rPr>
        <w:t xml:space="preserve"> </w:t>
      </w:r>
      <w:r w:rsidR="005748AE" w:rsidRPr="00A1732E">
        <w:rPr>
          <w:sz w:val="24"/>
        </w:rPr>
        <w:t xml:space="preserve">the same cause of action and defences </w:t>
      </w:r>
      <w:r w:rsidR="007B4977" w:rsidRPr="00A1732E">
        <w:rPr>
          <w:sz w:val="24"/>
        </w:rPr>
        <w:t xml:space="preserve">based on section 129 of the National Credit Act and the COVID-19 Pandemic </w:t>
      </w:r>
      <w:r w:rsidR="005748AE" w:rsidRPr="00A1732E">
        <w:rPr>
          <w:sz w:val="24"/>
        </w:rPr>
        <w:t xml:space="preserve">making performance in terms of </w:t>
      </w:r>
      <w:r w:rsidR="00895871">
        <w:rPr>
          <w:sz w:val="24"/>
        </w:rPr>
        <w:t xml:space="preserve">a </w:t>
      </w:r>
      <w:r w:rsidR="005748AE" w:rsidRPr="00A1732E">
        <w:rPr>
          <w:sz w:val="24"/>
        </w:rPr>
        <w:t>credit agreement impossible</w:t>
      </w:r>
      <w:r w:rsidR="007B4977" w:rsidRPr="00A1732E">
        <w:rPr>
          <w:sz w:val="24"/>
        </w:rPr>
        <w:t>.</w:t>
      </w:r>
      <w:r w:rsidR="005748AE" w:rsidRPr="00A1732E">
        <w:rPr>
          <w:sz w:val="24"/>
        </w:rPr>
        <w:t xml:space="preserve">  </w:t>
      </w:r>
      <w:r w:rsidR="002E341C">
        <w:rPr>
          <w:sz w:val="24"/>
        </w:rPr>
        <w:t>In the Dladla case, t</w:t>
      </w:r>
      <w:r w:rsidR="005748AE" w:rsidRPr="00A1732E">
        <w:rPr>
          <w:sz w:val="24"/>
        </w:rPr>
        <w:t xml:space="preserve">he Court found, correctly in my view, that the </w:t>
      </w:r>
      <w:r w:rsidR="002E341C">
        <w:rPr>
          <w:sz w:val="24"/>
        </w:rPr>
        <w:t>D</w:t>
      </w:r>
      <w:r w:rsidR="005748AE" w:rsidRPr="00A1732E">
        <w:rPr>
          <w:sz w:val="24"/>
        </w:rPr>
        <w:t>efendant’s difficulty to raise finances was specific to him and was not absolute. Hence, there was no objective impossibility to perform.</w:t>
      </w:r>
    </w:p>
    <w:p w14:paraId="51B462B3" w14:textId="7452EE18" w:rsidR="00A1732E" w:rsidRDefault="002F4C9E" w:rsidP="002F4C9E">
      <w:pPr>
        <w:tabs>
          <w:tab w:val="left" w:pos="0"/>
          <w:tab w:val="left" w:pos="1134"/>
          <w:tab w:val="left" w:pos="1985"/>
          <w:tab w:val="right" w:pos="8595"/>
        </w:tabs>
        <w:spacing w:before="400" w:after="400" w:line="480" w:lineRule="auto"/>
        <w:jc w:val="both"/>
        <w:rPr>
          <w:sz w:val="24"/>
        </w:rPr>
      </w:pPr>
      <w:r>
        <w:rPr>
          <w:sz w:val="24"/>
        </w:rPr>
        <w:t>[25]</w:t>
      </w:r>
      <w:r>
        <w:rPr>
          <w:sz w:val="24"/>
        </w:rPr>
        <w:tab/>
      </w:r>
      <w:r w:rsidR="00607CF0" w:rsidRPr="00A1732E">
        <w:rPr>
          <w:sz w:val="24"/>
        </w:rPr>
        <w:t xml:space="preserve">As it was not </w:t>
      </w:r>
      <w:r w:rsidR="009539FB" w:rsidRPr="00A1732E">
        <w:rPr>
          <w:sz w:val="24"/>
        </w:rPr>
        <w:t xml:space="preserve">objectively </w:t>
      </w:r>
      <w:r w:rsidR="00607CF0" w:rsidRPr="00A1732E">
        <w:rPr>
          <w:sz w:val="24"/>
        </w:rPr>
        <w:t xml:space="preserve">impossible </w:t>
      </w:r>
      <w:r w:rsidR="009539FB" w:rsidRPr="00A1732E">
        <w:rPr>
          <w:sz w:val="24"/>
        </w:rPr>
        <w:t xml:space="preserve">for all </w:t>
      </w:r>
      <w:r w:rsidR="00895871">
        <w:rPr>
          <w:sz w:val="24"/>
        </w:rPr>
        <w:t xml:space="preserve">persons </w:t>
      </w:r>
      <w:r w:rsidR="00607CF0" w:rsidRPr="00A1732E">
        <w:rPr>
          <w:sz w:val="24"/>
        </w:rPr>
        <w:t xml:space="preserve">to </w:t>
      </w:r>
      <w:r w:rsidR="00C07D4F" w:rsidRPr="00A1732E">
        <w:rPr>
          <w:sz w:val="24"/>
        </w:rPr>
        <w:t xml:space="preserve">pay their vehicle instalments </w:t>
      </w:r>
      <w:r w:rsidR="002E341C">
        <w:rPr>
          <w:sz w:val="24"/>
        </w:rPr>
        <w:t xml:space="preserve">during </w:t>
      </w:r>
      <w:r w:rsidR="00895871">
        <w:rPr>
          <w:sz w:val="24"/>
        </w:rPr>
        <w:t>L</w:t>
      </w:r>
      <w:r w:rsidR="00C07D4F" w:rsidRPr="00A1732E">
        <w:rPr>
          <w:sz w:val="24"/>
        </w:rPr>
        <w:t>ockdown</w:t>
      </w:r>
      <w:r w:rsidR="00607CF0" w:rsidRPr="00A1732E">
        <w:rPr>
          <w:sz w:val="24"/>
        </w:rPr>
        <w:t xml:space="preserve">, I find </w:t>
      </w:r>
      <w:r w:rsidR="009539FB" w:rsidRPr="00A1732E">
        <w:rPr>
          <w:sz w:val="24"/>
        </w:rPr>
        <w:t>that any impossibility is relative to the Defendant because of his personal situation.  Therefore, the Defendant cannot rely on the common law doctrine of supervening impossibility of performance</w:t>
      </w:r>
      <w:r w:rsidR="00895871">
        <w:rPr>
          <w:sz w:val="24"/>
        </w:rPr>
        <w:t xml:space="preserve">. </w:t>
      </w:r>
      <w:r w:rsidR="009539FB" w:rsidRPr="00A1732E">
        <w:rPr>
          <w:sz w:val="24"/>
        </w:rPr>
        <w:t>I therefore find that there is no merit in the second defence.</w:t>
      </w:r>
    </w:p>
    <w:p w14:paraId="1580597B" w14:textId="4C3DA795" w:rsidR="00A1732E" w:rsidRDefault="002F4C9E" w:rsidP="002F4C9E">
      <w:pPr>
        <w:tabs>
          <w:tab w:val="left" w:pos="0"/>
          <w:tab w:val="left" w:pos="1134"/>
          <w:tab w:val="left" w:pos="1985"/>
          <w:tab w:val="right" w:pos="8595"/>
        </w:tabs>
        <w:spacing w:before="400" w:after="400" w:line="480" w:lineRule="auto"/>
        <w:jc w:val="both"/>
        <w:rPr>
          <w:sz w:val="24"/>
        </w:rPr>
      </w:pPr>
      <w:r>
        <w:rPr>
          <w:sz w:val="24"/>
        </w:rPr>
        <w:t>[26]</w:t>
      </w:r>
      <w:r>
        <w:rPr>
          <w:sz w:val="24"/>
        </w:rPr>
        <w:tab/>
      </w:r>
      <w:r w:rsidR="009539FB" w:rsidRPr="00A1732E">
        <w:rPr>
          <w:sz w:val="24"/>
        </w:rPr>
        <w:t xml:space="preserve">Insofar as the third defence is concerned, namely that the Defendant did not </w:t>
      </w:r>
      <w:r w:rsidR="00FA0608" w:rsidRPr="00A1732E">
        <w:rPr>
          <w:sz w:val="24"/>
        </w:rPr>
        <w:t>“</w:t>
      </w:r>
      <w:r w:rsidR="009539FB" w:rsidRPr="00A1732E">
        <w:rPr>
          <w:i/>
          <w:iCs/>
          <w:sz w:val="24"/>
        </w:rPr>
        <w:t>receive</w:t>
      </w:r>
      <w:r w:rsidR="00FA0608" w:rsidRPr="00A1732E">
        <w:rPr>
          <w:sz w:val="24"/>
        </w:rPr>
        <w:t>”</w:t>
      </w:r>
      <w:r w:rsidR="009539FB" w:rsidRPr="00A1732E">
        <w:rPr>
          <w:sz w:val="24"/>
        </w:rPr>
        <w:t xml:space="preserve"> the section 129 notice</w:t>
      </w:r>
      <w:r w:rsidR="00FA0608" w:rsidRPr="00A1732E">
        <w:rPr>
          <w:sz w:val="24"/>
        </w:rPr>
        <w:t xml:space="preserve">, there is no requirement that the notice must come to the physical attention of the Defendant.  </w:t>
      </w:r>
    </w:p>
    <w:p w14:paraId="0778FE21" w14:textId="585EE9D6" w:rsidR="00A1732E" w:rsidRDefault="002F4C9E" w:rsidP="002F4C9E">
      <w:pPr>
        <w:tabs>
          <w:tab w:val="left" w:pos="0"/>
          <w:tab w:val="left" w:pos="1134"/>
          <w:tab w:val="left" w:pos="1985"/>
          <w:tab w:val="right" w:pos="8595"/>
        </w:tabs>
        <w:spacing w:before="400" w:after="400" w:line="480" w:lineRule="auto"/>
        <w:jc w:val="both"/>
        <w:rPr>
          <w:sz w:val="24"/>
        </w:rPr>
      </w:pPr>
      <w:r>
        <w:rPr>
          <w:sz w:val="24"/>
        </w:rPr>
        <w:t>[27]</w:t>
      </w:r>
      <w:r>
        <w:rPr>
          <w:sz w:val="24"/>
        </w:rPr>
        <w:tab/>
      </w:r>
      <w:r w:rsidR="00FA0608" w:rsidRPr="00A1732E">
        <w:rPr>
          <w:sz w:val="24"/>
        </w:rPr>
        <w:t xml:space="preserve">In the matter of </w:t>
      </w:r>
      <w:r w:rsidR="00FA0608" w:rsidRPr="00A1732E">
        <w:rPr>
          <w:i/>
          <w:iCs/>
          <w:sz w:val="24"/>
        </w:rPr>
        <w:t>Kubyana v Standard Bank of South Africa Ltd</w:t>
      </w:r>
      <w:r w:rsidR="00FA0608" w:rsidRPr="00A1732E">
        <w:rPr>
          <w:sz w:val="24"/>
        </w:rPr>
        <w:t xml:space="preserve"> 2014 (3) SA 56 (CC), the Constitutional Court confirmed that the credit provider need not bring the section 129 notice to the subjective attention of a consumer, nor was </w:t>
      </w:r>
      <w:r w:rsidR="00FA0608" w:rsidRPr="00A1732E">
        <w:rPr>
          <w:sz w:val="24"/>
        </w:rPr>
        <w:lastRenderedPageBreak/>
        <w:t>personal service required and that the steps the credit provider had to take were those that would bring the notice to the attention of a reasonable consumer.</w:t>
      </w:r>
      <w:r w:rsidR="00FA0608">
        <w:rPr>
          <w:rStyle w:val="FootnoteReference"/>
          <w:sz w:val="24"/>
        </w:rPr>
        <w:footnoteReference w:id="3"/>
      </w:r>
    </w:p>
    <w:p w14:paraId="44585720" w14:textId="176DC627" w:rsidR="00B268F6" w:rsidRPr="00A1732E" w:rsidRDefault="002F4C9E" w:rsidP="002F4C9E">
      <w:pPr>
        <w:tabs>
          <w:tab w:val="left" w:pos="0"/>
          <w:tab w:val="left" w:pos="1134"/>
          <w:tab w:val="left" w:pos="1985"/>
          <w:tab w:val="right" w:pos="8595"/>
        </w:tabs>
        <w:spacing w:before="400" w:after="400" w:line="480" w:lineRule="auto"/>
        <w:jc w:val="both"/>
        <w:rPr>
          <w:sz w:val="24"/>
        </w:rPr>
      </w:pPr>
      <w:r w:rsidRPr="00A1732E">
        <w:rPr>
          <w:sz w:val="24"/>
        </w:rPr>
        <w:t>[28]</w:t>
      </w:r>
      <w:r w:rsidRPr="00A1732E">
        <w:rPr>
          <w:sz w:val="24"/>
        </w:rPr>
        <w:tab/>
      </w:r>
      <w:r w:rsidR="00B268F6" w:rsidRPr="00A1732E">
        <w:rPr>
          <w:sz w:val="24"/>
        </w:rPr>
        <w:t xml:space="preserve">The Constitutional Court provided the following guidance on a credit provider’s duties in respect of the 129 notice </w:t>
      </w:r>
      <w:r w:rsidR="00684C4F" w:rsidRPr="00A1732E">
        <w:rPr>
          <w:sz w:val="24"/>
        </w:rPr>
        <w:t xml:space="preserve">in </w:t>
      </w:r>
      <w:r w:rsidR="00B268F6" w:rsidRPr="00A1732E">
        <w:rPr>
          <w:sz w:val="24"/>
        </w:rPr>
        <w:t>paragraph [39] at 71G – 72</w:t>
      </w:r>
      <w:r w:rsidR="00684C4F" w:rsidRPr="00A1732E">
        <w:rPr>
          <w:sz w:val="24"/>
        </w:rPr>
        <w:t>A</w:t>
      </w:r>
      <w:r w:rsidR="00B268F6" w:rsidRPr="00A1732E">
        <w:rPr>
          <w:sz w:val="24"/>
        </w:rPr>
        <w:t xml:space="preserve"> of the </w:t>
      </w:r>
      <w:r w:rsidR="00B268F6" w:rsidRPr="00A1732E">
        <w:rPr>
          <w:i/>
          <w:iCs/>
          <w:sz w:val="24"/>
        </w:rPr>
        <w:t xml:space="preserve">Kubyana </w:t>
      </w:r>
      <w:r w:rsidR="00B268F6" w:rsidRPr="00A1732E">
        <w:rPr>
          <w:sz w:val="24"/>
        </w:rPr>
        <w:t xml:space="preserve">judgment:  </w:t>
      </w:r>
    </w:p>
    <w:p w14:paraId="0C133215" w14:textId="77777777" w:rsidR="00B268F6" w:rsidRDefault="00B268F6" w:rsidP="008B708C">
      <w:pPr>
        <w:tabs>
          <w:tab w:val="left" w:pos="1134"/>
          <w:tab w:val="left" w:pos="1985"/>
          <w:tab w:val="left" w:pos="3119"/>
          <w:tab w:val="right" w:pos="8595"/>
        </w:tabs>
        <w:spacing w:before="400" w:after="400" w:line="360" w:lineRule="auto"/>
        <w:ind w:left="1134"/>
        <w:jc w:val="both"/>
        <w:rPr>
          <w:sz w:val="24"/>
        </w:rPr>
      </w:pPr>
      <w:r>
        <w:rPr>
          <w:sz w:val="24"/>
        </w:rPr>
        <w:t>“</w:t>
      </w:r>
      <w:r>
        <w:rPr>
          <w:i/>
          <w:iCs/>
          <w:sz w:val="24"/>
        </w:rPr>
        <w:t>When the consumer has elected to receive notices by way of the postal service, the credit provider’s obligation to deliver generally consists of dispatching the notice by registered mail, ensuring that the notice reaches the correct branch of the Post Office for collection and ensuring that the Post Office notifies the consumer that a registered item is awaiting her collection.</w:t>
      </w:r>
      <w:r>
        <w:rPr>
          <w:sz w:val="24"/>
        </w:rPr>
        <w:t>”</w:t>
      </w:r>
    </w:p>
    <w:p w14:paraId="65022B58" w14:textId="5330EFD6" w:rsidR="00B268F6" w:rsidRPr="00A1732E" w:rsidRDefault="002F4C9E" w:rsidP="002F4C9E">
      <w:pPr>
        <w:tabs>
          <w:tab w:val="left" w:pos="0"/>
          <w:tab w:val="left" w:pos="1134"/>
          <w:tab w:val="left" w:pos="1985"/>
          <w:tab w:val="right" w:pos="8595"/>
        </w:tabs>
        <w:spacing w:before="400" w:after="400" w:line="480" w:lineRule="auto"/>
        <w:jc w:val="both"/>
        <w:rPr>
          <w:sz w:val="24"/>
        </w:rPr>
      </w:pPr>
      <w:r w:rsidRPr="00A1732E">
        <w:rPr>
          <w:sz w:val="24"/>
        </w:rPr>
        <w:t>[29]</w:t>
      </w:r>
      <w:r w:rsidRPr="00A1732E">
        <w:rPr>
          <w:sz w:val="24"/>
        </w:rPr>
        <w:tab/>
      </w:r>
      <w:r w:rsidR="00B268F6" w:rsidRPr="00A1732E">
        <w:rPr>
          <w:sz w:val="24"/>
        </w:rPr>
        <w:t xml:space="preserve">In paragraph [11] of the </w:t>
      </w:r>
      <w:r w:rsidR="00684C4F" w:rsidRPr="00A1732E">
        <w:rPr>
          <w:i/>
          <w:iCs/>
          <w:sz w:val="24"/>
        </w:rPr>
        <w:t>Dladla</w:t>
      </w:r>
      <w:r w:rsidR="00B268F6" w:rsidRPr="00A1732E">
        <w:rPr>
          <w:sz w:val="24"/>
        </w:rPr>
        <w:t xml:space="preserve"> case, the following was stated in relation to the same defence:  </w:t>
      </w:r>
    </w:p>
    <w:p w14:paraId="1F45B2ED" w14:textId="376829F4" w:rsidR="00B268F6" w:rsidRDefault="00B268F6" w:rsidP="008B708C">
      <w:pPr>
        <w:tabs>
          <w:tab w:val="left" w:pos="1701"/>
          <w:tab w:val="left" w:pos="2268"/>
          <w:tab w:val="left" w:pos="3119"/>
          <w:tab w:val="right" w:pos="8595"/>
        </w:tabs>
        <w:spacing w:before="400" w:after="400" w:line="360" w:lineRule="auto"/>
        <w:ind w:left="1701" w:hanging="567"/>
        <w:jc w:val="both"/>
        <w:rPr>
          <w:sz w:val="24"/>
        </w:rPr>
      </w:pPr>
      <w:r>
        <w:rPr>
          <w:sz w:val="24"/>
        </w:rPr>
        <w:t>“</w:t>
      </w:r>
      <w:r>
        <w:rPr>
          <w:i/>
          <w:iCs/>
          <w:sz w:val="24"/>
        </w:rPr>
        <w:t>[11]</w:t>
      </w:r>
      <w:r>
        <w:rPr>
          <w:i/>
          <w:iCs/>
          <w:sz w:val="24"/>
        </w:rPr>
        <w:tab/>
        <w:t>There is no merit in the defendant’s defence that he had not received a section 129 notice because it is evident from the papers that a written notice in terms of section 129(1)(a) was sent by registered mail to the address nominated by the defendant as his domicilium address.  It is also abundantly clear that the abovementioned notice has reached the appropriate post office for delivery to the defendant.  A post-d</w:t>
      </w:r>
      <w:r w:rsidR="00684C4F">
        <w:rPr>
          <w:i/>
          <w:iCs/>
          <w:sz w:val="24"/>
        </w:rPr>
        <w:t>e</w:t>
      </w:r>
      <w:r>
        <w:rPr>
          <w:i/>
          <w:iCs/>
          <w:sz w:val="24"/>
        </w:rPr>
        <w:t>spatch track and trace print indicating delivery to the relevant post office is attached to the papers as annexure ‘F’.  It is sufficient for the plaintiff to have shown that it had sent the notice to the defendant’s address.  It does not really matter if the defendant had not fetched the notice from the relevant post office.</w:t>
      </w:r>
      <w:r>
        <w:rPr>
          <w:sz w:val="24"/>
        </w:rPr>
        <w:t xml:space="preserve">” </w:t>
      </w:r>
    </w:p>
    <w:p w14:paraId="67020BA4" w14:textId="3C0CD415" w:rsidR="00684C4F" w:rsidRPr="00A1732E" w:rsidRDefault="002F4C9E" w:rsidP="002F4C9E">
      <w:pPr>
        <w:tabs>
          <w:tab w:val="left" w:pos="0"/>
          <w:tab w:val="left" w:pos="1134"/>
          <w:tab w:val="left" w:pos="1985"/>
          <w:tab w:val="right" w:pos="8595"/>
        </w:tabs>
        <w:spacing w:before="400" w:after="400" w:line="480" w:lineRule="auto"/>
        <w:jc w:val="both"/>
        <w:rPr>
          <w:sz w:val="24"/>
        </w:rPr>
      </w:pPr>
      <w:r w:rsidRPr="00A1732E">
        <w:rPr>
          <w:sz w:val="24"/>
        </w:rPr>
        <w:lastRenderedPageBreak/>
        <w:t>[30]</w:t>
      </w:r>
      <w:r w:rsidRPr="00A1732E">
        <w:rPr>
          <w:sz w:val="24"/>
        </w:rPr>
        <w:tab/>
      </w:r>
      <w:r w:rsidR="00684C4F" w:rsidRPr="00A1732E">
        <w:rPr>
          <w:sz w:val="24"/>
        </w:rPr>
        <w:t xml:space="preserve">In paragraph [53] of the </w:t>
      </w:r>
      <w:r w:rsidR="00684C4F" w:rsidRPr="00A1732E">
        <w:rPr>
          <w:i/>
          <w:iCs/>
          <w:sz w:val="24"/>
        </w:rPr>
        <w:t>Kubanya</w:t>
      </w:r>
      <w:r w:rsidR="00684C4F" w:rsidRPr="00A1732E">
        <w:rPr>
          <w:sz w:val="24"/>
        </w:rPr>
        <w:t xml:space="preserve"> judgment at 75 H/I to 76 C, the Constitutional Court further stated that:</w:t>
      </w:r>
    </w:p>
    <w:p w14:paraId="780C499F" w14:textId="77777777" w:rsidR="00A1732E" w:rsidRDefault="00684C4F" w:rsidP="008B708C">
      <w:pPr>
        <w:tabs>
          <w:tab w:val="left" w:pos="1560"/>
          <w:tab w:val="left" w:pos="1985"/>
          <w:tab w:val="left" w:pos="3119"/>
          <w:tab w:val="right" w:pos="8595"/>
        </w:tabs>
        <w:spacing w:before="400" w:after="400" w:line="360" w:lineRule="auto"/>
        <w:ind w:left="1134"/>
        <w:jc w:val="both"/>
        <w:rPr>
          <w:sz w:val="24"/>
        </w:rPr>
      </w:pPr>
      <w:r>
        <w:rPr>
          <w:sz w:val="24"/>
        </w:rPr>
        <w:t>“</w:t>
      </w:r>
      <w:r w:rsidRPr="00684C4F">
        <w:rPr>
          <w:i/>
          <w:iCs/>
          <w:sz w:val="24"/>
        </w:rPr>
        <w:t>Once a credit provider has produced the track and trace report indicating that the s 129 notice was sent to the correct branch of the Post Office and has shown that a notification was sent to the consumer by the Post Office, that credit provider will generally have shown that it has discharged its obligations under the Act to effect delivery.  The credit provider is at that stage entitled to aver that it has done what is necessary to ensure that the notice reached the consumer.  It then falls to the consumer to explain why it is not reasonable to expect the notice to have reached her attention if she wishes to escape the consequences of that notice. And it makes sense for the consumer to bear this burden of rebutting the inference of deliver, for the information regarding the reasonableness of her conduct generally lies solely within her knowledge.  In the absence of such an explanation the credit provider’s averment will stand.  Put differently, even if there is evidence indicating that the s 129 notice did not reach the consumer’s attention, that will not amount to an indication disproving delivery if the reason for non-receipt is the consumer’s unreasonable behaviour</w:t>
      </w:r>
      <w:r>
        <w:rPr>
          <w:sz w:val="24"/>
        </w:rPr>
        <w:t>.”</w:t>
      </w:r>
    </w:p>
    <w:p w14:paraId="027FC424" w14:textId="73451393" w:rsidR="00A1732E" w:rsidRDefault="002F4C9E" w:rsidP="002F4C9E">
      <w:pPr>
        <w:tabs>
          <w:tab w:val="left" w:pos="0"/>
          <w:tab w:val="left" w:pos="1134"/>
          <w:tab w:val="left" w:pos="1985"/>
          <w:tab w:val="right" w:pos="8595"/>
        </w:tabs>
        <w:spacing w:before="400" w:after="400" w:line="480" w:lineRule="auto"/>
        <w:jc w:val="both"/>
        <w:rPr>
          <w:sz w:val="24"/>
        </w:rPr>
      </w:pPr>
      <w:r>
        <w:rPr>
          <w:sz w:val="24"/>
        </w:rPr>
        <w:t>[31]</w:t>
      </w:r>
      <w:r>
        <w:rPr>
          <w:sz w:val="24"/>
        </w:rPr>
        <w:tab/>
      </w:r>
      <w:r w:rsidR="00684C4F" w:rsidRPr="00A1732E">
        <w:rPr>
          <w:sz w:val="24"/>
        </w:rPr>
        <w:t>I</w:t>
      </w:r>
      <w:r w:rsidR="00B268F6" w:rsidRPr="00A1732E">
        <w:rPr>
          <w:sz w:val="24"/>
        </w:rPr>
        <w:t>n this instance, t</w:t>
      </w:r>
      <w:r w:rsidR="00684C4F" w:rsidRPr="00A1732E">
        <w:rPr>
          <w:sz w:val="24"/>
        </w:rPr>
        <w:t xml:space="preserve">he Plaintiff provided evidence that the section 129 notice had been properly delivered and that it had discharged its obligations under section 129 of the National Credit Act.  No evidence was produced by the Defendant to rebut the inference of delivery.  In the circumstances, </w:t>
      </w:r>
      <w:r w:rsidR="002E341C">
        <w:rPr>
          <w:sz w:val="24"/>
        </w:rPr>
        <w:t xml:space="preserve">I find that there is no merit in the third </w:t>
      </w:r>
      <w:r w:rsidR="00895BA4">
        <w:rPr>
          <w:sz w:val="24"/>
        </w:rPr>
        <w:t>defence.</w:t>
      </w:r>
    </w:p>
    <w:p w14:paraId="7B9451B6" w14:textId="56A0D62B" w:rsidR="00A1732E" w:rsidRDefault="002F4C9E" w:rsidP="002F4C9E">
      <w:pPr>
        <w:tabs>
          <w:tab w:val="left" w:pos="0"/>
          <w:tab w:val="left" w:pos="1134"/>
          <w:tab w:val="left" w:pos="1985"/>
          <w:tab w:val="right" w:pos="8595"/>
        </w:tabs>
        <w:spacing w:before="400" w:after="400" w:line="480" w:lineRule="auto"/>
        <w:jc w:val="both"/>
        <w:rPr>
          <w:sz w:val="24"/>
        </w:rPr>
      </w:pPr>
      <w:r>
        <w:rPr>
          <w:sz w:val="24"/>
        </w:rPr>
        <w:t>[32]</w:t>
      </w:r>
      <w:r>
        <w:rPr>
          <w:sz w:val="24"/>
        </w:rPr>
        <w:tab/>
      </w:r>
      <w:r w:rsidR="00684C4F" w:rsidRPr="00A1732E">
        <w:rPr>
          <w:sz w:val="24"/>
        </w:rPr>
        <w:t xml:space="preserve">Lastly, the Defendant states that only Magistrate’s Court costs should have been claimed by the Plaintiff.  In this regard, the Defendant alleges that the </w:t>
      </w:r>
      <w:r w:rsidR="00684C4F" w:rsidRPr="00A1732E">
        <w:rPr>
          <w:sz w:val="24"/>
        </w:rPr>
        <w:lastRenderedPageBreak/>
        <w:t xml:space="preserve">value of the vehicle or the claim falls within the jurisdiction of the Magistrate’s Court and refers to clause 17 of the credit agreement in support of this submission. </w:t>
      </w:r>
    </w:p>
    <w:p w14:paraId="506FCBB6" w14:textId="4B42A42B" w:rsidR="00684C4F" w:rsidRPr="00A1732E" w:rsidRDefault="002F4C9E" w:rsidP="002F4C9E">
      <w:pPr>
        <w:tabs>
          <w:tab w:val="left" w:pos="0"/>
          <w:tab w:val="left" w:pos="1134"/>
          <w:tab w:val="left" w:pos="1985"/>
          <w:tab w:val="right" w:pos="8595"/>
        </w:tabs>
        <w:spacing w:before="400" w:after="400" w:line="480" w:lineRule="auto"/>
        <w:jc w:val="both"/>
        <w:rPr>
          <w:sz w:val="24"/>
        </w:rPr>
      </w:pPr>
      <w:r w:rsidRPr="00A1732E">
        <w:rPr>
          <w:sz w:val="24"/>
        </w:rPr>
        <w:t>[33]</w:t>
      </w:r>
      <w:r w:rsidRPr="00A1732E">
        <w:rPr>
          <w:sz w:val="24"/>
        </w:rPr>
        <w:tab/>
      </w:r>
      <w:r w:rsidR="00684C4F" w:rsidRPr="00A1732E">
        <w:rPr>
          <w:sz w:val="24"/>
        </w:rPr>
        <w:t>Clause 17.3 of the credit agreement reads as follows:</w:t>
      </w:r>
    </w:p>
    <w:p w14:paraId="4DE9FA33" w14:textId="74D3E4B6" w:rsidR="00B268F6" w:rsidRDefault="00684C4F" w:rsidP="008B708C">
      <w:pPr>
        <w:tabs>
          <w:tab w:val="left" w:pos="851"/>
          <w:tab w:val="left" w:pos="1134"/>
          <w:tab w:val="left" w:pos="1985"/>
          <w:tab w:val="left" w:pos="3119"/>
          <w:tab w:val="right" w:pos="8595"/>
        </w:tabs>
        <w:spacing w:before="400" w:after="400" w:line="360" w:lineRule="auto"/>
        <w:ind w:left="1134"/>
        <w:jc w:val="both"/>
        <w:rPr>
          <w:sz w:val="24"/>
        </w:rPr>
      </w:pPr>
      <w:r>
        <w:rPr>
          <w:sz w:val="24"/>
        </w:rPr>
        <w:t>“</w:t>
      </w:r>
      <w:r w:rsidRPr="00684C4F">
        <w:rPr>
          <w:i/>
          <w:iCs/>
          <w:sz w:val="24"/>
        </w:rPr>
        <w:t>You will also be liable for the default administration and collection costs arising from your failure to comply with any of the terms and conditions of this agreement and for legal costs and collection commission on all payments made by you if the matter is referred to an external debt collection company or attorney.  Default administration costs will be charged for every necessary letter that we address to you at the rate of the undefended tariff set out in the  Magistrate’s Courts Act 32 of 1944, plus the cost of postage or delivery, and collection costs will be limited to the amounts incurred by us in the collection of amounts due to us under the Agreement as set out in Chapter 6, Part C of the Act</w:t>
      </w:r>
      <w:r>
        <w:rPr>
          <w:sz w:val="24"/>
        </w:rPr>
        <w:t xml:space="preserve">.” </w:t>
      </w:r>
      <w:r w:rsidR="00B268F6">
        <w:rPr>
          <w:sz w:val="24"/>
        </w:rPr>
        <w:t xml:space="preserve"> </w:t>
      </w:r>
    </w:p>
    <w:p w14:paraId="14F03647" w14:textId="705A1774" w:rsidR="00A1732E" w:rsidRDefault="002F4C9E" w:rsidP="002F4C9E">
      <w:pPr>
        <w:tabs>
          <w:tab w:val="left" w:pos="0"/>
          <w:tab w:val="left" w:pos="1134"/>
          <w:tab w:val="left" w:pos="1985"/>
          <w:tab w:val="right" w:pos="8595"/>
        </w:tabs>
        <w:spacing w:before="400" w:after="400" w:line="480" w:lineRule="auto"/>
        <w:jc w:val="both"/>
        <w:rPr>
          <w:sz w:val="24"/>
        </w:rPr>
      </w:pPr>
      <w:r>
        <w:rPr>
          <w:sz w:val="24"/>
        </w:rPr>
        <w:t>[34]</w:t>
      </w:r>
      <w:r>
        <w:rPr>
          <w:sz w:val="24"/>
        </w:rPr>
        <w:tab/>
      </w:r>
      <w:r w:rsidR="00E06432" w:rsidRPr="00A1732E">
        <w:rPr>
          <w:sz w:val="24"/>
        </w:rPr>
        <w:t>It is evident from the express wording of clause 17.3 of the credit agreement that it only imposes a limit o</w:t>
      </w:r>
      <w:r w:rsidR="00895BA4">
        <w:rPr>
          <w:sz w:val="24"/>
        </w:rPr>
        <w:t>n</w:t>
      </w:r>
      <w:r w:rsidR="00E06432" w:rsidRPr="00A1732E">
        <w:rPr>
          <w:sz w:val="24"/>
        </w:rPr>
        <w:t xml:space="preserve"> recovering “</w:t>
      </w:r>
      <w:r w:rsidR="00E06432" w:rsidRPr="00A1732E">
        <w:rPr>
          <w:i/>
          <w:iCs/>
          <w:sz w:val="24"/>
        </w:rPr>
        <w:t>collection costs</w:t>
      </w:r>
      <w:r w:rsidR="00E06432" w:rsidRPr="00A1732E">
        <w:rPr>
          <w:sz w:val="24"/>
        </w:rPr>
        <w:t xml:space="preserve">” on the Magistrate’s Court scale.  </w:t>
      </w:r>
      <w:r w:rsidR="005D115A" w:rsidRPr="00A1732E">
        <w:rPr>
          <w:sz w:val="24"/>
        </w:rPr>
        <w:t>Our Courts have over many years drawn a distinction between “</w:t>
      </w:r>
      <w:r w:rsidR="005D115A" w:rsidRPr="00A1732E">
        <w:rPr>
          <w:i/>
          <w:iCs/>
          <w:sz w:val="24"/>
        </w:rPr>
        <w:t>collections costs</w:t>
      </w:r>
      <w:r w:rsidR="005D115A" w:rsidRPr="00A1732E">
        <w:rPr>
          <w:sz w:val="24"/>
        </w:rPr>
        <w:t>” and “</w:t>
      </w:r>
      <w:r w:rsidR="005D115A" w:rsidRPr="00A1732E">
        <w:rPr>
          <w:i/>
          <w:iCs/>
          <w:sz w:val="24"/>
        </w:rPr>
        <w:t>litigation costs</w:t>
      </w:r>
      <w:r w:rsidR="005D115A" w:rsidRPr="00A1732E">
        <w:rPr>
          <w:sz w:val="24"/>
        </w:rPr>
        <w:t xml:space="preserve">” and the SCA confirmed this distinction in the matter of </w:t>
      </w:r>
      <w:r w:rsidR="005D115A" w:rsidRPr="00A1732E">
        <w:rPr>
          <w:i/>
          <w:iCs/>
          <w:sz w:val="24"/>
        </w:rPr>
        <w:t>Bayport Securitisation Limited and Another v University of Stellenbosch Law Clinic and Others</w:t>
      </w:r>
      <w:r w:rsidR="005D115A" w:rsidRPr="00A1732E">
        <w:rPr>
          <w:sz w:val="24"/>
        </w:rPr>
        <w:t xml:space="preserve"> 2022 (2) SA 344 (see paras [15 to [19] at 350 – 351</w:t>
      </w:r>
      <w:r w:rsidR="00895871">
        <w:rPr>
          <w:sz w:val="24"/>
        </w:rPr>
        <w:t>)</w:t>
      </w:r>
      <w:r w:rsidR="005D115A" w:rsidRPr="00A1732E">
        <w:rPr>
          <w:sz w:val="24"/>
        </w:rPr>
        <w:t xml:space="preserve">.  There is no limit to the litigation costs being awarded on the Magistrate’s Court scale.  </w:t>
      </w:r>
      <w:r w:rsidR="00895871">
        <w:rPr>
          <w:sz w:val="24"/>
        </w:rPr>
        <w:t>It is clear from Rule 32(9) that t</w:t>
      </w:r>
      <w:r w:rsidR="005D115A" w:rsidRPr="00A1732E">
        <w:rPr>
          <w:sz w:val="24"/>
        </w:rPr>
        <w:t xml:space="preserve">he awarding of costs </w:t>
      </w:r>
      <w:r w:rsidR="00895871">
        <w:rPr>
          <w:sz w:val="24"/>
        </w:rPr>
        <w:t xml:space="preserve">in summary judgment applications </w:t>
      </w:r>
      <w:r w:rsidR="005D115A" w:rsidRPr="00A1732E">
        <w:rPr>
          <w:sz w:val="24"/>
        </w:rPr>
        <w:t>is within the discretion of the Court</w:t>
      </w:r>
      <w:r w:rsidR="00895871">
        <w:rPr>
          <w:sz w:val="24"/>
        </w:rPr>
        <w:t>.</w:t>
      </w:r>
      <w:r w:rsidR="00895BA4">
        <w:rPr>
          <w:sz w:val="24"/>
        </w:rPr>
        <w:t xml:space="preserve"> Bearing in mind the nature of the relief sought, I do not see why costs should not follow the result and be awarded on the High Court scale.</w:t>
      </w:r>
    </w:p>
    <w:p w14:paraId="78BDEBE6" w14:textId="04CABA4F" w:rsidR="001B7E59" w:rsidRPr="00A1732E" w:rsidRDefault="002F4C9E" w:rsidP="002F4C9E">
      <w:pPr>
        <w:tabs>
          <w:tab w:val="left" w:pos="0"/>
          <w:tab w:val="left" w:pos="1134"/>
          <w:tab w:val="left" w:pos="1985"/>
          <w:tab w:val="right" w:pos="8595"/>
        </w:tabs>
        <w:spacing w:before="400" w:after="400" w:line="480" w:lineRule="auto"/>
        <w:jc w:val="both"/>
        <w:rPr>
          <w:sz w:val="24"/>
        </w:rPr>
      </w:pPr>
      <w:r w:rsidRPr="00A1732E">
        <w:rPr>
          <w:sz w:val="24"/>
        </w:rPr>
        <w:lastRenderedPageBreak/>
        <w:t>[35]</w:t>
      </w:r>
      <w:r w:rsidRPr="00A1732E">
        <w:rPr>
          <w:sz w:val="24"/>
        </w:rPr>
        <w:tab/>
      </w:r>
      <w:r w:rsidR="001B7E59" w:rsidRPr="00A1732E">
        <w:rPr>
          <w:sz w:val="24"/>
        </w:rPr>
        <w:t xml:space="preserve">Having considered all of the papers and submissions made by the Plaintiff and the Defendant, I am of the view that the Defendant has no </w:t>
      </w:r>
      <w:r w:rsidR="001B7E59" w:rsidRPr="00950EF0">
        <w:rPr>
          <w:i/>
          <w:iCs/>
          <w:sz w:val="24"/>
        </w:rPr>
        <w:t>bona fide</w:t>
      </w:r>
      <w:r w:rsidR="001B7E59" w:rsidRPr="00A1732E">
        <w:rPr>
          <w:sz w:val="24"/>
        </w:rPr>
        <w:t xml:space="preserve"> defence to the Plaintiff’s claim</w:t>
      </w:r>
      <w:r w:rsidR="00950EF0">
        <w:rPr>
          <w:sz w:val="24"/>
        </w:rPr>
        <w:t xml:space="preserve"> and the Plaintiff has made out a proper case for summary judgment.  </w:t>
      </w:r>
      <w:r w:rsidR="001B7E59" w:rsidRPr="00A1732E">
        <w:rPr>
          <w:sz w:val="24"/>
        </w:rPr>
        <w:t xml:space="preserve">I accordingly grant </w:t>
      </w:r>
      <w:r w:rsidR="00895BA4">
        <w:rPr>
          <w:sz w:val="24"/>
        </w:rPr>
        <w:t xml:space="preserve">summary judgment </w:t>
      </w:r>
      <w:r w:rsidR="001B7E59" w:rsidRPr="00A1732E">
        <w:rPr>
          <w:sz w:val="24"/>
        </w:rPr>
        <w:t>in the following terms:</w:t>
      </w:r>
    </w:p>
    <w:p w14:paraId="5B5C8FB2" w14:textId="77777777" w:rsidR="001B7E59" w:rsidRDefault="001B7E59" w:rsidP="00A1732E">
      <w:pPr>
        <w:tabs>
          <w:tab w:val="left" w:pos="851"/>
          <w:tab w:val="left" w:pos="1134"/>
          <w:tab w:val="left" w:pos="1985"/>
          <w:tab w:val="left" w:pos="3119"/>
          <w:tab w:val="right" w:pos="8595"/>
        </w:tabs>
        <w:spacing w:before="400" w:after="400" w:line="480" w:lineRule="auto"/>
        <w:ind w:left="851" w:hanging="851"/>
        <w:jc w:val="both"/>
        <w:rPr>
          <w:sz w:val="24"/>
        </w:rPr>
      </w:pPr>
      <w:r>
        <w:rPr>
          <w:sz w:val="24"/>
        </w:rPr>
        <w:t xml:space="preserve">(a) </w:t>
      </w:r>
      <w:r>
        <w:rPr>
          <w:sz w:val="24"/>
        </w:rPr>
        <w:tab/>
        <w:t>The credit agreement is cancelled;</w:t>
      </w:r>
    </w:p>
    <w:p w14:paraId="4588F7D5" w14:textId="52C353F2" w:rsidR="001B7E59" w:rsidRDefault="001B7E59" w:rsidP="00A1732E">
      <w:pPr>
        <w:tabs>
          <w:tab w:val="left" w:pos="851"/>
          <w:tab w:val="left" w:pos="1134"/>
          <w:tab w:val="left" w:pos="1985"/>
          <w:tab w:val="left" w:pos="3119"/>
          <w:tab w:val="right" w:pos="8595"/>
        </w:tabs>
        <w:spacing w:before="400" w:after="400" w:line="480" w:lineRule="auto"/>
        <w:ind w:left="851" w:hanging="851"/>
        <w:jc w:val="both"/>
        <w:rPr>
          <w:sz w:val="24"/>
        </w:rPr>
      </w:pPr>
      <w:r>
        <w:rPr>
          <w:sz w:val="24"/>
        </w:rPr>
        <w:t>(b)</w:t>
      </w:r>
      <w:r>
        <w:rPr>
          <w:sz w:val="24"/>
        </w:rPr>
        <w:tab/>
        <w:t xml:space="preserve">The Defendant is ordered to return the </w:t>
      </w:r>
      <w:r w:rsidR="00950EF0" w:rsidRPr="00727977">
        <w:rPr>
          <w:sz w:val="24"/>
        </w:rPr>
        <w:t>2016 Ford Ranger 2.2 TDCI XLT P/U D/C with engine number QJ2LPGS29439 and chassis number AFAPXXMJ2PGS29439</w:t>
      </w:r>
      <w:r>
        <w:rPr>
          <w:sz w:val="24"/>
        </w:rPr>
        <w:t>vehicle to the Plaintiff;</w:t>
      </w:r>
    </w:p>
    <w:p w14:paraId="19DFFB44" w14:textId="5953A15D" w:rsidR="001B7E59" w:rsidRDefault="001B7E59" w:rsidP="00A1732E">
      <w:pPr>
        <w:tabs>
          <w:tab w:val="left" w:pos="851"/>
          <w:tab w:val="left" w:pos="1134"/>
          <w:tab w:val="left" w:pos="1985"/>
          <w:tab w:val="left" w:pos="3119"/>
          <w:tab w:val="right" w:pos="8595"/>
        </w:tabs>
        <w:spacing w:before="400" w:after="400" w:line="480" w:lineRule="auto"/>
        <w:ind w:left="851" w:hanging="851"/>
        <w:jc w:val="both"/>
        <w:rPr>
          <w:sz w:val="24"/>
        </w:rPr>
      </w:pPr>
      <w:r>
        <w:rPr>
          <w:sz w:val="24"/>
        </w:rPr>
        <w:t>(c)</w:t>
      </w:r>
      <w:r>
        <w:rPr>
          <w:sz w:val="24"/>
        </w:rPr>
        <w:tab/>
        <w:t xml:space="preserve">The Plaintiff is granted leave to return to the Court on the same papers, duly supplemented, to obtain judgment in respect of damages suffered by the Plaintiff once the vehicle has been sold; and </w:t>
      </w:r>
    </w:p>
    <w:p w14:paraId="258399EB" w14:textId="2509DC86" w:rsidR="001B7E59" w:rsidRDefault="001B7E59" w:rsidP="00A1732E">
      <w:pPr>
        <w:tabs>
          <w:tab w:val="left" w:pos="851"/>
          <w:tab w:val="left" w:pos="1134"/>
          <w:tab w:val="left" w:pos="1985"/>
          <w:tab w:val="left" w:pos="3119"/>
          <w:tab w:val="right" w:pos="8595"/>
        </w:tabs>
        <w:spacing w:before="400" w:after="400" w:line="480" w:lineRule="auto"/>
        <w:ind w:left="851" w:hanging="851"/>
        <w:jc w:val="both"/>
        <w:rPr>
          <w:sz w:val="24"/>
        </w:rPr>
      </w:pPr>
      <w:r>
        <w:rPr>
          <w:sz w:val="24"/>
        </w:rPr>
        <w:t xml:space="preserve">(d) </w:t>
      </w:r>
      <w:r>
        <w:rPr>
          <w:sz w:val="24"/>
        </w:rPr>
        <w:tab/>
        <w:t>The Defendant is ordered to pay the costs of sui</w:t>
      </w:r>
      <w:r w:rsidR="00895BA4">
        <w:rPr>
          <w:sz w:val="24"/>
        </w:rPr>
        <w:t>t</w:t>
      </w:r>
      <w:r w:rsidR="00347DF5">
        <w:rPr>
          <w:sz w:val="24"/>
        </w:rPr>
        <w:t>, i</w:t>
      </w:r>
      <w:r w:rsidR="00895BA4">
        <w:rPr>
          <w:sz w:val="24"/>
        </w:rPr>
        <w:t>ncluding the costs of the opposed summary judgment application.</w:t>
      </w:r>
    </w:p>
    <w:p w14:paraId="44AF22B4" w14:textId="77777777" w:rsidR="00895BA4" w:rsidRDefault="00895BA4" w:rsidP="00A1732E">
      <w:pPr>
        <w:tabs>
          <w:tab w:val="left" w:pos="851"/>
          <w:tab w:val="left" w:pos="1134"/>
          <w:tab w:val="left" w:pos="1985"/>
          <w:tab w:val="left" w:pos="3119"/>
          <w:tab w:val="right" w:pos="8595"/>
        </w:tabs>
        <w:spacing w:before="400" w:after="400" w:line="480" w:lineRule="auto"/>
        <w:ind w:left="851" w:hanging="851"/>
        <w:jc w:val="both"/>
        <w:rPr>
          <w:sz w:val="24"/>
        </w:rPr>
      </w:pPr>
    </w:p>
    <w:p w14:paraId="292A97BF" w14:textId="00C39A65" w:rsidR="00A1732E" w:rsidRDefault="00A1732E" w:rsidP="00A1732E">
      <w:pPr>
        <w:tabs>
          <w:tab w:val="left" w:pos="1134"/>
          <w:tab w:val="left" w:pos="1985"/>
          <w:tab w:val="left" w:pos="3119"/>
          <w:tab w:val="right" w:pos="8595"/>
        </w:tabs>
        <w:spacing w:after="120" w:line="240" w:lineRule="auto"/>
        <w:ind w:left="3119"/>
        <w:rPr>
          <w:b/>
          <w:bCs/>
          <w:sz w:val="24"/>
        </w:rPr>
      </w:pPr>
      <w:r>
        <w:rPr>
          <w:b/>
          <w:bCs/>
          <w:sz w:val="24"/>
        </w:rPr>
        <w:t>_______________________________</w:t>
      </w:r>
    </w:p>
    <w:p w14:paraId="24309D9F" w14:textId="5D2680DD" w:rsidR="00A1732E" w:rsidRPr="00A1732E" w:rsidRDefault="001B7E59" w:rsidP="00A1732E">
      <w:pPr>
        <w:tabs>
          <w:tab w:val="left" w:pos="1134"/>
          <w:tab w:val="left" w:pos="1985"/>
          <w:tab w:val="left" w:pos="3119"/>
          <w:tab w:val="right" w:pos="8595"/>
        </w:tabs>
        <w:spacing w:after="120" w:line="240" w:lineRule="auto"/>
        <w:ind w:left="3119"/>
        <w:rPr>
          <w:b/>
          <w:bCs/>
          <w:sz w:val="24"/>
        </w:rPr>
      </w:pPr>
      <w:r w:rsidRPr="00A1732E">
        <w:rPr>
          <w:b/>
          <w:bCs/>
          <w:sz w:val="24"/>
        </w:rPr>
        <w:t>LG KILMARTIN</w:t>
      </w:r>
      <w:r w:rsidRPr="00A1732E">
        <w:rPr>
          <w:b/>
          <w:bCs/>
          <w:sz w:val="24"/>
        </w:rPr>
        <w:tab/>
      </w:r>
    </w:p>
    <w:p w14:paraId="7C16F949" w14:textId="6B1BCA66" w:rsidR="001B7E59" w:rsidRDefault="001B7E59" w:rsidP="00A1732E">
      <w:pPr>
        <w:tabs>
          <w:tab w:val="left" w:pos="1134"/>
          <w:tab w:val="left" w:pos="1985"/>
          <w:tab w:val="left" w:pos="3119"/>
          <w:tab w:val="right" w:pos="8595"/>
        </w:tabs>
        <w:spacing w:after="120" w:line="240" w:lineRule="auto"/>
        <w:ind w:left="3119"/>
        <w:rPr>
          <w:sz w:val="24"/>
        </w:rPr>
      </w:pPr>
      <w:r>
        <w:rPr>
          <w:sz w:val="24"/>
        </w:rPr>
        <w:t>ACTING JUDGE OF THE HIGH COURT OF SOUTH AFRICA</w:t>
      </w:r>
    </w:p>
    <w:p w14:paraId="541FACE9" w14:textId="781BAC42" w:rsidR="001B7E59" w:rsidRDefault="001B7E59" w:rsidP="00A1732E">
      <w:pPr>
        <w:tabs>
          <w:tab w:val="left" w:pos="1134"/>
          <w:tab w:val="left" w:pos="1985"/>
          <w:tab w:val="left" w:pos="3119"/>
          <w:tab w:val="right" w:pos="8595"/>
        </w:tabs>
        <w:spacing w:after="120" w:line="240" w:lineRule="auto"/>
        <w:ind w:left="3119"/>
        <w:rPr>
          <w:sz w:val="24"/>
        </w:rPr>
      </w:pPr>
      <w:r>
        <w:rPr>
          <w:sz w:val="24"/>
        </w:rPr>
        <w:t>GAUTENG DIVISION</w:t>
      </w:r>
    </w:p>
    <w:p w14:paraId="592FABF6" w14:textId="77777777" w:rsidR="001B7E59" w:rsidRDefault="001B7E59" w:rsidP="00A1732E">
      <w:pPr>
        <w:tabs>
          <w:tab w:val="left" w:pos="1134"/>
          <w:tab w:val="left" w:pos="1985"/>
          <w:tab w:val="left" w:pos="3119"/>
          <w:tab w:val="right" w:pos="8595"/>
        </w:tabs>
        <w:spacing w:after="120" w:line="240" w:lineRule="auto"/>
        <w:ind w:left="3119"/>
        <w:rPr>
          <w:sz w:val="24"/>
        </w:rPr>
      </w:pPr>
      <w:r>
        <w:rPr>
          <w:sz w:val="24"/>
        </w:rPr>
        <w:t>PRETORIA</w:t>
      </w:r>
    </w:p>
    <w:p w14:paraId="5848DF38" w14:textId="77777777" w:rsidR="00A1732E" w:rsidRDefault="00A1732E" w:rsidP="00A1732E">
      <w:pPr>
        <w:tabs>
          <w:tab w:val="left" w:pos="0"/>
          <w:tab w:val="left" w:pos="1134"/>
          <w:tab w:val="left" w:pos="1985"/>
          <w:tab w:val="left" w:pos="3119"/>
          <w:tab w:val="right" w:pos="8595"/>
        </w:tabs>
        <w:spacing w:after="120" w:line="240" w:lineRule="auto"/>
        <w:jc w:val="both"/>
        <w:rPr>
          <w:sz w:val="24"/>
        </w:rPr>
      </w:pPr>
    </w:p>
    <w:p w14:paraId="5110D045" w14:textId="1ACDB88D" w:rsidR="001B7E59" w:rsidRDefault="001B7E59" w:rsidP="00A1732E">
      <w:pPr>
        <w:tabs>
          <w:tab w:val="left" w:pos="0"/>
          <w:tab w:val="left" w:pos="1134"/>
          <w:tab w:val="left" w:pos="1985"/>
          <w:tab w:val="left" w:pos="3119"/>
          <w:tab w:val="right" w:pos="8595"/>
        </w:tabs>
        <w:spacing w:after="120" w:line="240" w:lineRule="auto"/>
        <w:jc w:val="both"/>
        <w:rPr>
          <w:sz w:val="24"/>
        </w:rPr>
      </w:pPr>
      <w:r>
        <w:rPr>
          <w:sz w:val="24"/>
        </w:rPr>
        <w:t>Hearing date</w:t>
      </w:r>
      <w:r w:rsidR="00A1732E">
        <w:rPr>
          <w:sz w:val="24"/>
        </w:rPr>
        <w:t>:</w:t>
      </w:r>
      <w:r>
        <w:rPr>
          <w:sz w:val="24"/>
        </w:rPr>
        <w:tab/>
      </w:r>
      <w:r w:rsidR="00A1732E">
        <w:rPr>
          <w:sz w:val="24"/>
        </w:rPr>
        <w:tab/>
      </w:r>
      <w:r w:rsidR="00895BA4">
        <w:rPr>
          <w:sz w:val="24"/>
        </w:rPr>
        <w:t>21</w:t>
      </w:r>
      <w:r>
        <w:rPr>
          <w:sz w:val="24"/>
        </w:rPr>
        <w:t xml:space="preserve"> November 2022 </w:t>
      </w:r>
    </w:p>
    <w:p w14:paraId="28125E64" w14:textId="3A0C1E55" w:rsidR="008238F0" w:rsidRDefault="001B7E59" w:rsidP="00A1732E">
      <w:pPr>
        <w:tabs>
          <w:tab w:val="left" w:pos="1134"/>
          <w:tab w:val="left" w:pos="2268"/>
          <w:tab w:val="left" w:pos="3119"/>
          <w:tab w:val="right" w:pos="8595"/>
        </w:tabs>
        <w:spacing w:after="120" w:line="240" w:lineRule="auto"/>
        <w:jc w:val="both"/>
        <w:rPr>
          <w:sz w:val="24"/>
        </w:rPr>
      </w:pPr>
      <w:r>
        <w:rPr>
          <w:sz w:val="24"/>
        </w:rPr>
        <w:t xml:space="preserve">Judgment date: </w:t>
      </w:r>
      <w:r>
        <w:rPr>
          <w:sz w:val="24"/>
        </w:rPr>
        <w:tab/>
      </w:r>
      <w:r w:rsidR="00A1732E">
        <w:rPr>
          <w:sz w:val="24"/>
        </w:rPr>
        <w:tab/>
      </w:r>
      <w:r w:rsidR="00950EF0">
        <w:rPr>
          <w:sz w:val="24"/>
        </w:rPr>
        <w:t>2</w:t>
      </w:r>
      <w:r w:rsidR="004C193D">
        <w:rPr>
          <w:sz w:val="24"/>
        </w:rPr>
        <w:t>7</w:t>
      </w:r>
      <w:r w:rsidR="00950EF0">
        <w:rPr>
          <w:sz w:val="24"/>
        </w:rPr>
        <w:t xml:space="preserve"> </w:t>
      </w:r>
      <w:r w:rsidR="008238F0">
        <w:rPr>
          <w:sz w:val="24"/>
        </w:rPr>
        <w:t>January 2023</w:t>
      </w:r>
    </w:p>
    <w:p w14:paraId="267EA2AD" w14:textId="0FF50428" w:rsidR="008238F0" w:rsidRDefault="008238F0" w:rsidP="00A1732E">
      <w:pPr>
        <w:tabs>
          <w:tab w:val="left" w:pos="1134"/>
          <w:tab w:val="left" w:pos="2268"/>
          <w:tab w:val="left" w:pos="3119"/>
          <w:tab w:val="right" w:pos="8595"/>
        </w:tabs>
        <w:spacing w:after="120" w:line="240" w:lineRule="auto"/>
        <w:jc w:val="both"/>
        <w:rPr>
          <w:sz w:val="24"/>
        </w:rPr>
      </w:pPr>
      <w:r>
        <w:rPr>
          <w:sz w:val="24"/>
        </w:rPr>
        <w:t xml:space="preserve">Counsel for the Plaintiff: </w:t>
      </w:r>
      <w:r>
        <w:rPr>
          <w:sz w:val="24"/>
        </w:rPr>
        <w:tab/>
        <w:t>Adv B Bhabha</w:t>
      </w:r>
    </w:p>
    <w:p w14:paraId="38645185" w14:textId="08911734" w:rsidR="001B7E59" w:rsidRDefault="008238F0" w:rsidP="00A1732E">
      <w:pPr>
        <w:tabs>
          <w:tab w:val="left" w:pos="1134"/>
          <w:tab w:val="left" w:pos="2268"/>
          <w:tab w:val="left" w:pos="3119"/>
          <w:tab w:val="right" w:pos="8595"/>
        </w:tabs>
        <w:spacing w:after="120" w:line="240" w:lineRule="auto"/>
        <w:jc w:val="both"/>
        <w:rPr>
          <w:sz w:val="24"/>
        </w:rPr>
      </w:pPr>
      <w:r>
        <w:rPr>
          <w:sz w:val="24"/>
        </w:rPr>
        <w:lastRenderedPageBreak/>
        <w:t xml:space="preserve">Plaintiff’s Attorneys: </w:t>
      </w:r>
      <w:r>
        <w:rPr>
          <w:sz w:val="24"/>
        </w:rPr>
        <w:tab/>
      </w:r>
      <w:r>
        <w:rPr>
          <w:sz w:val="24"/>
        </w:rPr>
        <w:tab/>
        <w:t>G</w:t>
      </w:r>
      <w:r w:rsidR="00950EF0">
        <w:rPr>
          <w:sz w:val="24"/>
        </w:rPr>
        <w:t>l</w:t>
      </w:r>
      <w:r>
        <w:rPr>
          <w:sz w:val="24"/>
        </w:rPr>
        <w:t xml:space="preserve">over Kannieappan Incorporated </w:t>
      </w:r>
    </w:p>
    <w:p w14:paraId="2A386D44" w14:textId="2FC63825" w:rsidR="008238F0" w:rsidRDefault="008238F0" w:rsidP="00A1732E">
      <w:pPr>
        <w:tabs>
          <w:tab w:val="left" w:pos="1134"/>
          <w:tab w:val="left" w:pos="2268"/>
          <w:tab w:val="left" w:pos="3119"/>
          <w:tab w:val="right" w:pos="8595"/>
        </w:tabs>
        <w:spacing w:after="120" w:line="240" w:lineRule="auto"/>
        <w:jc w:val="both"/>
        <w:rPr>
          <w:sz w:val="24"/>
        </w:rPr>
      </w:pPr>
      <w:r>
        <w:rPr>
          <w:sz w:val="24"/>
        </w:rPr>
        <w:t>Counsel for the Defendant:</w:t>
      </w:r>
      <w:r>
        <w:rPr>
          <w:sz w:val="24"/>
        </w:rPr>
        <w:tab/>
        <w:t>Defendant appeared in person</w:t>
      </w:r>
    </w:p>
    <w:p w14:paraId="64CFC967" w14:textId="77777777" w:rsidR="000372FE" w:rsidRPr="00EA3959" w:rsidRDefault="000372FE" w:rsidP="00630D83">
      <w:pPr>
        <w:pStyle w:val="BodyText"/>
        <w:tabs>
          <w:tab w:val="clear" w:pos="720"/>
          <w:tab w:val="clear" w:pos="8040"/>
          <w:tab w:val="left" w:pos="851"/>
          <w:tab w:val="left" w:pos="4253"/>
          <w:tab w:val="left" w:pos="5670"/>
          <w:tab w:val="right" w:pos="8647"/>
        </w:tabs>
        <w:spacing w:line="240" w:lineRule="auto"/>
        <w:jc w:val="right"/>
        <w:rPr>
          <w:sz w:val="25"/>
          <w:lang w:val="en-ZA"/>
        </w:rPr>
      </w:pPr>
    </w:p>
    <w:sectPr w:rsidR="000372FE" w:rsidRPr="00EA3959" w:rsidSect="000107FA">
      <w:headerReference w:type="default" r:id="rId9"/>
      <w:pgSz w:w="11906" w:h="16838"/>
      <w:pgMar w:top="1474" w:right="1440" w:bottom="113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827B" w14:textId="77777777" w:rsidR="0047239B" w:rsidRDefault="0047239B" w:rsidP="000107FA">
      <w:pPr>
        <w:spacing w:after="0" w:line="240" w:lineRule="auto"/>
      </w:pPr>
      <w:r>
        <w:separator/>
      </w:r>
    </w:p>
  </w:endnote>
  <w:endnote w:type="continuationSeparator" w:id="0">
    <w:p w14:paraId="1EFD5F94" w14:textId="77777777" w:rsidR="0047239B" w:rsidRDefault="0047239B" w:rsidP="0001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EEE12" w14:textId="77777777" w:rsidR="0047239B" w:rsidRDefault="0047239B" w:rsidP="000107FA">
      <w:pPr>
        <w:spacing w:after="0" w:line="240" w:lineRule="auto"/>
      </w:pPr>
      <w:r>
        <w:separator/>
      </w:r>
    </w:p>
  </w:footnote>
  <w:footnote w:type="continuationSeparator" w:id="0">
    <w:p w14:paraId="5089F19F" w14:textId="77777777" w:rsidR="0047239B" w:rsidRDefault="0047239B" w:rsidP="000107FA">
      <w:pPr>
        <w:spacing w:after="0" w:line="240" w:lineRule="auto"/>
      </w:pPr>
      <w:r>
        <w:continuationSeparator/>
      </w:r>
    </w:p>
  </w:footnote>
  <w:footnote w:id="1">
    <w:p w14:paraId="45D308BA" w14:textId="1461F2CA" w:rsidR="00624259" w:rsidRPr="00950EF0" w:rsidRDefault="00624259">
      <w:pPr>
        <w:pStyle w:val="FootnoteText"/>
        <w:rPr>
          <w:rFonts w:ascii="Arial" w:hAnsi="Arial" w:cs="Arial"/>
        </w:rPr>
      </w:pPr>
      <w:r w:rsidRPr="00950EF0">
        <w:rPr>
          <w:rStyle w:val="FootnoteReference"/>
          <w:rFonts w:ascii="Arial" w:hAnsi="Arial" w:cs="Arial"/>
        </w:rPr>
        <w:footnoteRef/>
      </w:r>
      <w:r w:rsidRPr="00950EF0">
        <w:rPr>
          <w:rFonts w:ascii="Arial" w:hAnsi="Arial" w:cs="Arial"/>
        </w:rPr>
        <w:t xml:space="preserve"> </w:t>
      </w:r>
      <w:r w:rsidRPr="00950EF0">
        <w:rPr>
          <w:rFonts w:ascii="Arial" w:hAnsi="Arial" w:cs="Arial"/>
        </w:rPr>
        <w:tab/>
      </w:r>
      <w:r w:rsidRPr="00950EF0">
        <w:rPr>
          <w:rFonts w:ascii="Arial" w:hAnsi="Arial" w:cs="Arial"/>
          <w:i/>
          <w:iCs/>
        </w:rPr>
        <w:t>Erasmus Superior Court Practice</w:t>
      </w:r>
      <w:r w:rsidRPr="00950EF0">
        <w:rPr>
          <w:rFonts w:ascii="Arial" w:hAnsi="Arial" w:cs="Arial"/>
        </w:rPr>
        <w:t>, RS 17, 2021, D1- 383.</w:t>
      </w:r>
    </w:p>
  </w:footnote>
  <w:footnote w:id="2">
    <w:p w14:paraId="35361DCF" w14:textId="2413EA5C" w:rsidR="00607CF0" w:rsidRPr="00950EF0" w:rsidRDefault="00607CF0" w:rsidP="00950EF0">
      <w:pPr>
        <w:pStyle w:val="FootnoteText"/>
        <w:tabs>
          <w:tab w:val="left" w:pos="709"/>
        </w:tabs>
        <w:rPr>
          <w:rFonts w:ascii="Arial" w:hAnsi="Arial" w:cs="Arial"/>
        </w:rPr>
      </w:pPr>
      <w:r w:rsidRPr="00950EF0">
        <w:rPr>
          <w:rStyle w:val="FootnoteReference"/>
          <w:rFonts w:ascii="Arial" w:hAnsi="Arial" w:cs="Arial"/>
        </w:rPr>
        <w:footnoteRef/>
      </w:r>
      <w:r w:rsidRPr="00950EF0">
        <w:rPr>
          <w:rFonts w:ascii="Arial" w:hAnsi="Arial" w:cs="Arial"/>
        </w:rPr>
        <w:t xml:space="preserve"> </w:t>
      </w:r>
      <w:r w:rsidRPr="00950EF0">
        <w:rPr>
          <w:rFonts w:ascii="Arial" w:hAnsi="Arial" w:cs="Arial"/>
        </w:rPr>
        <w:tab/>
        <w:t>See 785 B – C.</w:t>
      </w:r>
    </w:p>
  </w:footnote>
  <w:footnote w:id="3">
    <w:p w14:paraId="66AA61A6" w14:textId="22161CC8" w:rsidR="00FA0608" w:rsidRPr="00950EF0" w:rsidRDefault="00FA0608">
      <w:pPr>
        <w:pStyle w:val="FootnoteText"/>
        <w:rPr>
          <w:rFonts w:ascii="Arial" w:hAnsi="Arial" w:cs="Arial"/>
        </w:rPr>
      </w:pPr>
      <w:r w:rsidRPr="00950EF0">
        <w:rPr>
          <w:rStyle w:val="FootnoteReference"/>
          <w:rFonts w:ascii="Arial" w:hAnsi="Arial" w:cs="Arial"/>
        </w:rPr>
        <w:footnoteRef/>
      </w:r>
      <w:r w:rsidRPr="00950EF0">
        <w:rPr>
          <w:rFonts w:ascii="Arial" w:hAnsi="Arial" w:cs="Arial"/>
        </w:rPr>
        <w:t xml:space="preserve"> </w:t>
      </w:r>
      <w:r w:rsidR="00A1732E" w:rsidRPr="00950EF0">
        <w:rPr>
          <w:rFonts w:ascii="Arial" w:hAnsi="Arial" w:cs="Arial"/>
        </w:rPr>
        <w:tab/>
      </w:r>
      <w:r w:rsidRPr="00950EF0">
        <w:rPr>
          <w:rFonts w:ascii="Arial" w:hAnsi="Arial" w:cs="Arial"/>
        </w:rPr>
        <w:t xml:space="preserve">See paras [26] at 67 F-H; </w:t>
      </w:r>
      <w:r w:rsidR="002E341C">
        <w:rPr>
          <w:rFonts w:ascii="Arial" w:hAnsi="Arial" w:cs="Arial"/>
        </w:rPr>
        <w:t xml:space="preserve"> and </w:t>
      </w:r>
      <w:r w:rsidRPr="00950EF0">
        <w:rPr>
          <w:rFonts w:ascii="Arial" w:hAnsi="Arial" w:cs="Arial"/>
        </w:rPr>
        <w:t>[31] – [33] and [39] at 69A – 70C and 71G- 72B.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A705" w14:textId="77777777" w:rsidR="004E755B" w:rsidRPr="004E755B" w:rsidRDefault="00FB664A">
    <w:pPr>
      <w:pStyle w:val="Header"/>
      <w:jc w:val="right"/>
      <w:rPr>
        <w:b/>
      </w:rPr>
    </w:pPr>
    <w:r>
      <w:rPr>
        <w:b/>
      </w:rPr>
      <w:t>|</w:t>
    </w:r>
    <w:r w:rsidR="004E755B" w:rsidRPr="004E755B">
      <w:rPr>
        <w:b/>
      </w:rPr>
      <w:fldChar w:fldCharType="begin"/>
    </w:r>
    <w:r w:rsidR="004E755B" w:rsidRPr="004E755B">
      <w:rPr>
        <w:b/>
      </w:rPr>
      <w:instrText xml:space="preserve"> PAGE   \* MERGEFORMAT </w:instrText>
    </w:r>
    <w:r w:rsidR="004E755B" w:rsidRPr="004E755B">
      <w:rPr>
        <w:b/>
      </w:rPr>
      <w:fldChar w:fldCharType="separate"/>
    </w:r>
    <w:r w:rsidR="002F4C9E">
      <w:rPr>
        <w:b/>
        <w:noProof/>
      </w:rPr>
      <w:t>2</w:t>
    </w:r>
    <w:r w:rsidR="004E755B" w:rsidRPr="004E755B">
      <w:rPr>
        <w:b/>
      </w:rPr>
      <w:fldChar w:fldCharType="end"/>
    </w:r>
  </w:p>
  <w:p w14:paraId="4E472E40" w14:textId="77777777" w:rsidR="004E755B" w:rsidRDefault="004E7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15D23CB"/>
    <w:multiLevelType w:val="hybridMultilevel"/>
    <w:tmpl w:val="C96E06F8"/>
    <w:lvl w:ilvl="0" w:tplc="0A02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42F31"/>
    <w:multiLevelType w:val="multilevel"/>
    <w:tmpl w:val="274CEF3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321687"/>
    <w:multiLevelType w:val="hybridMultilevel"/>
    <w:tmpl w:val="54A263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4B538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C2A76F0"/>
    <w:multiLevelType w:val="multilevel"/>
    <w:tmpl w:val="01A6B2B8"/>
    <w:styleLink w:val="Style1"/>
    <w:lvl w:ilvl="0">
      <w:start w:val="1"/>
      <w:numFmt w:val="decimal"/>
      <w:lvlText w:val="[%1]"/>
      <w:lvlJc w:val="left"/>
      <w:pPr>
        <w:ind w:left="1080" w:hanging="360"/>
      </w:pPr>
      <w:rPr>
        <w:rFonts w:ascii="Arial" w:hAnsi="Arial" w:cs="Arial" w:hint="default"/>
        <w:b w:val="0"/>
        <w:i w:val="0"/>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376A2B78"/>
    <w:multiLevelType w:val="hybridMultilevel"/>
    <w:tmpl w:val="D0BA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94A37"/>
    <w:multiLevelType w:val="multilevel"/>
    <w:tmpl w:val="832A57AE"/>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2835" w:hanging="85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46D351C8"/>
    <w:multiLevelType w:val="multilevel"/>
    <w:tmpl w:val="9C947832"/>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475F4C49"/>
    <w:multiLevelType w:val="hybridMultilevel"/>
    <w:tmpl w:val="90D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41596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EA5734"/>
    <w:multiLevelType w:val="multilevel"/>
    <w:tmpl w:val="BADE7D62"/>
    <w:lvl w:ilvl="0">
      <w:start w:val="1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DE159B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E3B4B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A979FA"/>
    <w:multiLevelType w:val="multilevel"/>
    <w:tmpl w:val="9C947832"/>
    <w:lvl w:ilvl="0">
      <w:start w:val="1"/>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nsid w:val="62E945E3"/>
    <w:multiLevelType w:val="hybridMultilevel"/>
    <w:tmpl w:val="B45C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99260F"/>
    <w:multiLevelType w:val="hybridMultilevel"/>
    <w:tmpl w:val="FFFFFFFF"/>
    <w:lvl w:ilvl="0" w:tplc="E2B258C2">
      <w:start w:val="1"/>
      <w:numFmt w:val="decimal"/>
      <w:lvlText w:val="[%1]"/>
      <w:lvlJc w:val="left"/>
      <w:pPr>
        <w:ind w:left="720" w:hanging="360"/>
      </w:pPr>
      <w:rPr>
        <w:rFonts w:cs="Times New Roman" w:hint="default"/>
        <w:color w:val="auto"/>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445007BC">
      <w:start w:val="1"/>
      <w:numFmt w:val="lowerRoman"/>
      <w:lvlText w:val="(%4)"/>
      <w:lvlJc w:val="left"/>
      <w:pPr>
        <w:ind w:left="3240" w:hanging="72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66756C39"/>
    <w:multiLevelType w:val="multilevel"/>
    <w:tmpl w:val="10C838E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7C4223A"/>
    <w:multiLevelType w:val="multilevel"/>
    <w:tmpl w:val="91FCE788"/>
    <w:lvl w:ilvl="0">
      <w:start w:val="13"/>
      <w:numFmt w:val="decimal"/>
      <w:lvlText w:val="[%1]"/>
      <w:lvlJc w:val="left"/>
      <w:pPr>
        <w:ind w:left="0" w:firstLine="0"/>
      </w:pPr>
      <w:rPr>
        <w:rFonts w:ascii="Arial" w:hAnsi="Arial" w:cs="Arial" w:hint="default"/>
        <w:b w:val="0"/>
        <w:i w:val="0"/>
      </w:rPr>
    </w:lvl>
    <w:lvl w:ilvl="1">
      <w:start w:val="1"/>
      <w:numFmt w:val="decimal"/>
      <w:lvlText w:val="[%1.%2]"/>
      <w:lvlJc w:val="left"/>
      <w:pPr>
        <w:ind w:left="1985"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nsid w:val="773A3287"/>
    <w:multiLevelType w:val="multilevel"/>
    <w:tmpl w:val="11D47250"/>
    <w:lvl w:ilvl="0">
      <w:start w:val="16"/>
      <w:numFmt w:val="decimal"/>
      <w:lvlText w:val="[%1]"/>
      <w:lvlJc w:val="left"/>
      <w:pPr>
        <w:ind w:left="360" w:hanging="360"/>
      </w:pPr>
      <w:rPr>
        <w:rFonts w:ascii="Arial" w:hAnsi="Arial" w:cs="Arial" w:hint="default"/>
        <w:b w:val="0"/>
        <w:i w:val="0"/>
      </w:rPr>
    </w:lvl>
    <w:lvl w:ilvl="1">
      <w:start w:val="2"/>
      <w:numFmt w:val="decimal"/>
      <w:lvlText w:val="[%1.%2]"/>
      <w:lvlJc w:val="left"/>
      <w:pPr>
        <w:ind w:left="792" w:hanging="432"/>
      </w:pPr>
      <w:rPr>
        <w:rFonts w:hint="default"/>
      </w:rPr>
    </w:lvl>
    <w:lvl w:ilvl="2">
      <w:start w:val="16"/>
      <w:numFmt w:val="decimal"/>
      <w:lvlText w:val="[%3.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92C592A"/>
    <w:multiLevelType w:val="multilevel"/>
    <w:tmpl w:val="01A6B2B8"/>
    <w:numStyleLink w:val="Style1"/>
  </w:abstractNum>
  <w:num w:numId="1">
    <w:abstractNumId w:val="10"/>
  </w:num>
  <w:num w:numId="2">
    <w:abstractNumId w:val="12"/>
  </w:num>
  <w:num w:numId="3">
    <w:abstractNumId w:val="13"/>
  </w:num>
  <w:num w:numId="4">
    <w:abstractNumId w:val="7"/>
  </w:num>
  <w:num w:numId="5">
    <w:abstractNumId w:val="1"/>
  </w:num>
  <w:num w:numId="6">
    <w:abstractNumId w:val="2"/>
  </w:num>
  <w:num w:numId="7">
    <w:abstractNumId w:val="17"/>
  </w:num>
  <w:num w:numId="8">
    <w:abstractNumId w:val="4"/>
  </w:num>
  <w:num w:numId="9">
    <w:abstractNumId w:val="5"/>
  </w:num>
  <w:num w:numId="10">
    <w:abstractNumId w:val="20"/>
  </w:num>
  <w:num w:numId="11">
    <w:abstractNumId w:val="11"/>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5"/>
  </w:num>
  <w:num w:numId="17">
    <w:abstractNumId w:val="9"/>
  </w:num>
  <w:num w:numId="18">
    <w:abstractNumId w:val="3"/>
  </w:num>
  <w:num w:numId="19">
    <w:abstractNumId w:val="8"/>
  </w:num>
  <w:num w:numId="20">
    <w:abstractNumId w:val="1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B"/>
    <w:rsid w:val="000000DC"/>
    <w:rsid w:val="000107FA"/>
    <w:rsid w:val="00015B6B"/>
    <w:rsid w:val="0003349C"/>
    <w:rsid w:val="00036F39"/>
    <w:rsid w:val="000372FE"/>
    <w:rsid w:val="00037F0B"/>
    <w:rsid w:val="00055373"/>
    <w:rsid w:val="00060AC7"/>
    <w:rsid w:val="00095E9A"/>
    <w:rsid w:val="000A1088"/>
    <w:rsid w:val="000C69D6"/>
    <w:rsid w:val="000D73C1"/>
    <w:rsid w:val="000E171B"/>
    <w:rsid w:val="000E3544"/>
    <w:rsid w:val="000E47D3"/>
    <w:rsid w:val="000F43B0"/>
    <w:rsid w:val="00102DAB"/>
    <w:rsid w:val="001105A6"/>
    <w:rsid w:val="001108E9"/>
    <w:rsid w:val="001131F4"/>
    <w:rsid w:val="001236FD"/>
    <w:rsid w:val="00124D3D"/>
    <w:rsid w:val="00140AD7"/>
    <w:rsid w:val="00143050"/>
    <w:rsid w:val="001626B6"/>
    <w:rsid w:val="00167BFE"/>
    <w:rsid w:val="001752B9"/>
    <w:rsid w:val="00184F16"/>
    <w:rsid w:val="00186827"/>
    <w:rsid w:val="001B0AD7"/>
    <w:rsid w:val="001B7E59"/>
    <w:rsid w:val="00200EE4"/>
    <w:rsid w:val="0020199D"/>
    <w:rsid w:val="00201FDE"/>
    <w:rsid w:val="0021222B"/>
    <w:rsid w:val="00220549"/>
    <w:rsid w:val="00277947"/>
    <w:rsid w:val="00287434"/>
    <w:rsid w:val="002B0D56"/>
    <w:rsid w:val="002C36BD"/>
    <w:rsid w:val="002C656F"/>
    <w:rsid w:val="002E341C"/>
    <w:rsid w:val="002F46D8"/>
    <w:rsid w:val="002F4C9E"/>
    <w:rsid w:val="002F7E8C"/>
    <w:rsid w:val="00302030"/>
    <w:rsid w:val="003022EF"/>
    <w:rsid w:val="003038A8"/>
    <w:rsid w:val="003152A3"/>
    <w:rsid w:val="0031653D"/>
    <w:rsid w:val="0032265D"/>
    <w:rsid w:val="00322ED1"/>
    <w:rsid w:val="00333F1B"/>
    <w:rsid w:val="00343016"/>
    <w:rsid w:val="00347DF5"/>
    <w:rsid w:val="00360E65"/>
    <w:rsid w:val="00376739"/>
    <w:rsid w:val="003A5F54"/>
    <w:rsid w:val="003A7FB5"/>
    <w:rsid w:val="003B6ECC"/>
    <w:rsid w:val="003D101A"/>
    <w:rsid w:val="003D3EF1"/>
    <w:rsid w:val="003D6AFB"/>
    <w:rsid w:val="003F1E18"/>
    <w:rsid w:val="003F5B11"/>
    <w:rsid w:val="003F62B2"/>
    <w:rsid w:val="004239A7"/>
    <w:rsid w:val="0042480A"/>
    <w:rsid w:val="00432C19"/>
    <w:rsid w:val="00432DC0"/>
    <w:rsid w:val="004548A4"/>
    <w:rsid w:val="00462530"/>
    <w:rsid w:val="0047239B"/>
    <w:rsid w:val="004B782D"/>
    <w:rsid w:val="004C193D"/>
    <w:rsid w:val="004C273A"/>
    <w:rsid w:val="004C4FC6"/>
    <w:rsid w:val="004E755B"/>
    <w:rsid w:val="005019B9"/>
    <w:rsid w:val="005459B7"/>
    <w:rsid w:val="005634B5"/>
    <w:rsid w:val="00565B71"/>
    <w:rsid w:val="005748AE"/>
    <w:rsid w:val="00594546"/>
    <w:rsid w:val="005A78BB"/>
    <w:rsid w:val="005C5CE4"/>
    <w:rsid w:val="005D115A"/>
    <w:rsid w:val="005D49A0"/>
    <w:rsid w:val="005F62DC"/>
    <w:rsid w:val="00607CF0"/>
    <w:rsid w:val="0061627B"/>
    <w:rsid w:val="00624259"/>
    <w:rsid w:val="00630295"/>
    <w:rsid w:val="00630D83"/>
    <w:rsid w:val="006323B4"/>
    <w:rsid w:val="00655E72"/>
    <w:rsid w:val="00656057"/>
    <w:rsid w:val="00656860"/>
    <w:rsid w:val="006571EB"/>
    <w:rsid w:val="006603DA"/>
    <w:rsid w:val="00676024"/>
    <w:rsid w:val="00680D95"/>
    <w:rsid w:val="00683CA6"/>
    <w:rsid w:val="00684C4F"/>
    <w:rsid w:val="00695214"/>
    <w:rsid w:val="006A13BD"/>
    <w:rsid w:val="006B1B26"/>
    <w:rsid w:val="006C0A13"/>
    <w:rsid w:val="006D23B0"/>
    <w:rsid w:val="006E302C"/>
    <w:rsid w:val="006F077F"/>
    <w:rsid w:val="00701E72"/>
    <w:rsid w:val="007139BC"/>
    <w:rsid w:val="00727977"/>
    <w:rsid w:val="00733291"/>
    <w:rsid w:val="00735355"/>
    <w:rsid w:val="00775EC0"/>
    <w:rsid w:val="00790CFD"/>
    <w:rsid w:val="00796DCA"/>
    <w:rsid w:val="007B4977"/>
    <w:rsid w:val="007D41B8"/>
    <w:rsid w:val="00801B18"/>
    <w:rsid w:val="008238F0"/>
    <w:rsid w:val="00842BD4"/>
    <w:rsid w:val="008559A6"/>
    <w:rsid w:val="008623EB"/>
    <w:rsid w:val="008721BB"/>
    <w:rsid w:val="008748BF"/>
    <w:rsid w:val="00877674"/>
    <w:rsid w:val="0089225F"/>
    <w:rsid w:val="00895871"/>
    <w:rsid w:val="00895BA4"/>
    <w:rsid w:val="008B482A"/>
    <w:rsid w:val="008B708C"/>
    <w:rsid w:val="008C6DAA"/>
    <w:rsid w:val="008C71F7"/>
    <w:rsid w:val="00901EB8"/>
    <w:rsid w:val="00912BD4"/>
    <w:rsid w:val="00947E88"/>
    <w:rsid w:val="00950EF0"/>
    <w:rsid w:val="009539FB"/>
    <w:rsid w:val="00956FE8"/>
    <w:rsid w:val="009639FB"/>
    <w:rsid w:val="00966C9C"/>
    <w:rsid w:val="009B0EEE"/>
    <w:rsid w:val="009C5419"/>
    <w:rsid w:val="009E12BC"/>
    <w:rsid w:val="009E2610"/>
    <w:rsid w:val="00A020B8"/>
    <w:rsid w:val="00A052B3"/>
    <w:rsid w:val="00A1023C"/>
    <w:rsid w:val="00A1732E"/>
    <w:rsid w:val="00A32E5A"/>
    <w:rsid w:val="00A45FD8"/>
    <w:rsid w:val="00A50761"/>
    <w:rsid w:val="00A55CF3"/>
    <w:rsid w:val="00A55ED7"/>
    <w:rsid w:val="00A61BA8"/>
    <w:rsid w:val="00A90C74"/>
    <w:rsid w:val="00AA0D8B"/>
    <w:rsid w:val="00AB17B4"/>
    <w:rsid w:val="00AB2019"/>
    <w:rsid w:val="00AB52DF"/>
    <w:rsid w:val="00AB6DC4"/>
    <w:rsid w:val="00AD62E3"/>
    <w:rsid w:val="00AE48BA"/>
    <w:rsid w:val="00AE7BE7"/>
    <w:rsid w:val="00B00044"/>
    <w:rsid w:val="00B0201E"/>
    <w:rsid w:val="00B1141B"/>
    <w:rsid w:val="00B21C88"/>
    <w:rsid w:val="00B21FE0"/>
    <w:rsid w:val="00B22F20"/>
    <w:rsid w:val="00B247BE"/>
    <w:rsid w:val="00B268F6"/>
    <w:rsid w:val="00B37D3C"/>
    <w:rsid w:val="00B42C23"/>
    <w:rsid w:val="00B44AA4"/>
    <w:rsid w:val="00BD1977"/>
    <w:rsid w:val="00BD4925"/>
    <w:rsid w:val="00BD6AEB"/>
    <w:rsid w:val="00BE0971"/>
    <w:rsid w:val="00BF4E97"/>
    <w:rsid w:val="00C04AE0"/>
    <w:rsid w:val="00C05135"/>
    <w:rsid w:val="00C07D4F"/>
    <w:rsid w:val="00C12589"/>
    <w:rsid w:val="00C171B1"/>
    <w:rsid w:val="00C2319A"/>
    <w:rsid w:val="00C352E7"/>
    <w:rsid w:val="00C47605"/>
    <w:rsid w:val="00C57647"/>
    <w:rsid w:val="00C5798F"/>
    <w:rsid w:val="00C757EE"/>
    <w:rsid w:val="00CB12F7"/>
    <w:rsid w:val="00CB1C98"/>
    <w:rsid w:val="00CC1528"/>
    <w:rsid w:val="00CF3D02"/>
    <w:rsid w:val="00D04002"/>
    <w:rsid w:val="00D0475F"/>
    <w:rsid w:val="00D052D3"/>
    <w:rsid w:val="00D15FF8"/>
    <w:rsid w:val="00D35D17"/>
    <w:rsid w:val="00D440FD"/>
    <w:rsid w:val="00D45BF6"/>
    <w:rsid w:val="00D54101"/>
    <w:rsid w:val="00D56AA2"/>
    <w:rsid w:val="00D64A8F"/>
    <w:rsid w:val="00D65E21"/>
    <w:rsid w:val="00D72A97"/>
    <w:rsid w:val="00D876C0"/>
    <w:rsid w:val="00D9495E"/>
    <w:rsid w:val="00DA75AF"/>
    <w:rsid w:val="00DD1FE3"/>
    <w:rsid w:val="00DD5CF5"/>
    <w:rsid w:val="00DE4F0B"/>
    <w:rsid w:val="00DF183F"/>
    <w:rsid w:val="00E01A2F"/>
    <w:rsid w:val="00E06432"/>
    <w:rsid w:val="00E32C8E"/>
    <w:rsid w:val="00E55634"/>
    <w:rsid w:val="00E57FA4"/>
    <w:rsid w:val="00E84B53"/>
    <w:rsid w:val="00E91887"/>
    <w:rsid w:val="00E961B0"/>
    <w:rsid w:val="00EA3959"/>
    <w:rsid w:val="00EF678D"/>
    <w:rsid w:val="00EF78B5"/>
    <w:rsid w:val="00F0057C"/>
    <w:rsid w:val="00F27635"/>
    <w:rsid w:val="00F35EC6"/>
    <w:rsid w:val="00F602A3"/>
    <w:rsid w:val="00FA0608"/>
    <w:rsid w:val="00FA429D"/>
    <w:rsid w:val="00FA4B30"/>
    <w:rsid w:val="00FB664A"/>
    <w:rsid w:val="00FC4FE1"/>
    <w:rsid w:val="00FD3D21"/>
    <w:rsid w:val="00FE47F3"/>
    <w:rsid w:val="00FE5304"/>
    <w:rsid w:val="00FE6A33"/>
    <w:rsid w:val="00FF37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6CD7"/>
  <w15:chartTrackingRefBased/>
  <w15:docId w15:val="{564F55C9-779F-49DC-88C5-84ABF38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C0"/>
    <w:pPr>
      <w:spacing w:after="200" w:line="276" w:lineRule="auto"/>
    </w:pPr>
    <w:rPr>
      <w:sz w:val="25"/>
      <w:szCs w:val="24"/>
      <w:lang w:val="en-GB" w:eastAsia="en-US"/>
    </w:rPr>
  </w:style>
  <w:style w:type="paragraph" w:styleId="Heading1">
    <w:name w:val="heading 1"/>
    <w:basedOn w:val="Normal"/>
    <w:next w:val="Normal"/>
    <w:link w:val="Heading1Char"/>
    <w:qFormat/>
    <w:rsid w:val="000372FE"/>
    <w:pPr>
      <w:keepNext/>
      <w:tabs>
        <w:tab w:val="left" w:pos="720"/>
        <w:tab w:val="left" w:pos="1680"/>
        <w:tab w:val="left" w:pos="2760"/>
        <w:tab w:val="right" w:pos="8040"/>
      </w:tabs>
      <w:spacing w:after="0" w:line="240" w:lineRule="auto"/>
      <w:jc w:val="center"/>
      <w:outlineLvl w:val="0"/>
    </w:pPr>
    <w:rPr>
      <w:rFonts w:eastAsia="Times New Roman"/>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E2610"/>
    <w:pPr>
      <w:framePr w:w="7920" w:h="1980" w:hRule="exact" w:hSpace="180" w:wrap="auto" w:hAnchor="page" w:xAlign="center" w:yAlign="bottom"/>
      <w:spacing w:after="0" w:line="240" w:lineRule="auto"/>
      <w:ind w:left="2880"/>
    </w:pPr>
    <w:rPr>
      <w:rFonts w:ascii="Cambria" w:eastAsia="Times New Roman" w:hAnsi="Cambria" w:cs="Times New Roman"/>
      <w:sz w:val="28"/>
    </w:rPr>
  </w:style>
  <w:style w:type="paragraph" w:styleId="EnvelopeReturn">
    <w:name w:val="envelope return"/>
    <w:basedOn w:val="Normal"/>
    <w:uiPriority w:val="99"/>
    <w:semiHidden/>
    <w:unhideWhenUsed/>
    <w:rsid w:val="00594546"/>
    <w:pPr>
      <w:spacing w:after="0" w:line="240" w:lineRule="auto"/>
    </w:pPr>
    <w:rPr>
      <w:rFonts w:ascii="Cambria" w:eastAsia="Times New Roman" w:hAnsi="Cambria" w:cs="Times New Roman"/>
      <w:sz w:val="20"/>
      <w:szCs w:val="20"/>
    </w:rPr>
  </w:style>
  <w:style w:type="table" w:styleId="TableGrid">
    <w:name w:val="Table Grid"/>
    <w:basedOn w:val="TableNormal"/>
    <w:uiPriority w:val="59"/>
    <w:rsid w:val="00C0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07FA"/>
    <w:pPr>
      <w:tabs>
        <w:tab w:val="center" w:pos="4513"/>
        <w:tab w:val="right" w:pos="9026"/>
      </w:tabs>
    </w:pPr>
  </w:style>
  <w:style w:type="character" w:customStyle="1" w:styleId="HeaderChar">
    <w:name w:val="Header Char"/>
    <w:link w:val="Header"/>
    <w:uiPriority w:val="99"/>
    <w:rsid w:val="000107FA"/>
    <w:rPr>
      <w:sz w:val="25"/>
      <w:szCs w:val="24"/>
      <w:lang w:val="en-GB" w:eastAsia="en-US"/>
    </w:rPr>
  </w:style>
  <w:style w:type="paragraph" w:styleId="Footer">
    <w:name w:val="footer"/>
    <w:basedOn w:val="Normal"/>
    <w:link w:val="FooterChar"/>
    <w:uiPriority w:val="99"/>
    <w:unhideWhenUsed/>
    <w:rsid w:val="000107FA"/>
    <w:pPr>
      <w:tabs>
        <w:tab w:val="center" w:pos="4513"/>
        <w:tab w:val="right" w:pos="9026"/>
      </w:tabs>
    </w:pPr>
  </w:style>
  <w:style w:type="character" w:customStyle="1" w:styleId="FooterChar">
    <w:name w:val="Footer Char"/>
    <w:link w:val="Footer"/>
    <w:uiPriority w:val="99"/>
    <w:rsid w:val="000107FA"/>
    <w:rPr>
      <w:sz w:val="25"/>
      <w:szCs w:val="24"/>
      <w:lang w:val="en-GB" w:eastAsia="en-US"/>
    </w:rPr>
  </w:style>
  <w:style w:type="character" w:customStyle="1" w:styleId="Heading1Char">
    <w:name w:val="Heading 1 Char"/>
    <w:link w:val="Heading1"/>
    <w:rsid w:val="000372FE"/>
    <w:rPr>
      <w:rFonts w:eastAsia="Times New Roman"/>
      <w:b/>
      <w:bCs/>
      <w:sz w:val="24"/>
      <w:lang w:val="en-GB" w:eastAsia="en-GB"/>
    </w:rPr>
  </w:style>
  <w:style w:type="paragraph" w:styleId="BodyText">
    <w:name w:val="Body Text"/>
    <w:basedOn w:val="Normal"/>
    <w:link w:val="BodyTextChar"/>
    <w:semiHidden/>
    <w:rsid w:val="000372FE"/>
    <w:pPr>
      <w:tabs>
        <w:tab w:val="left" w:pos="720"/>
        <w:tab w:val="left" w:pos="1680"/>
        <w:tab w:val="left" w:pos="2760"/>
        <w:tab w:val="right" w:pos="8040"/>
      </w:tabs>
      <w:spacing w:after="0" w:line="480" w:lineRule="auto"/>
      <w:jc w:val="both"/>
    </w:pPr>
    <w:rPr>
      <w:rFonts w:eastAsia="Times New Roman" w:cs="Times New Roman"/>
      <w:sz w:val="24"/>
      <w:szCs w:val="20"/>
      <w:lang w:val="x-none" w:eastAsia="x-none"/>
    </w:rPr>
  </w:style>
  <w:style w:type="character" w:customStyle="1" w:styleId="BodyTextChar">
    <w:name w:val="Body Text Char"/>
    <w:link w:val="BodyText"/>
    <w:semiHidden/>
    <w:rsid w:val="000372FE"/>
    <w:rPr>
      <w:rFonts w:eastAsia="Times New Roman" w:cs="Times New Roman"/>
      <w:sz w:val="24"/>
      <w:lang w:val="x-none" w:eastAsia="x-none"/>
    </w:rPr>
  </w:style>
  <w:style w:type="numbering" w:customStyle="1" w:styleId="Style1">
    <w:name w:val="Style1"/>
    <w:uiPriority w:val="99"/>
    <w:rsid w:val="00BD1977"/>
    <w:pPr>
      <w:numPr>
        <w:numId w:val="9"/>
      </w:numPr>
    </w:pPr>
  </w:style>
  <w:style w:type="paragraph" w:styleId="ListParagraph">
    <w:name w:val="List Paragraph"/>
    <w:basedOn w:val="Normal"/>
    <w:uiPriority w:val="34"/>
    <w:qFormat/>
    <w:rsid w:val="00947E88"/>
    <w:pPr>
      <w:ind w:left="720"/>
    </w:pPr>
  </w:style>
  <w:style w:type="paragraph" w:styleId="FootnoteText">
    <w:name w:val="footnote text"/>
    <w:basedOn w:val="Normal"/>
    <w:link w:val="FootnoteTextChar"/>
    <w:uiPriority w:val="99"/>
    <w:semiHidden/>
    <w:unhideWhenUsed/>
    <w:rsid w:val="003B6ECC"/>
    <w:pPr>
      <w:spacing w:after="0" w:line="240" w:lineRule="auto"/>
    </w:pPr>
    <w:rPr>
      <w:rFonts w:ascii="Calibri" w:eastAsia="Times New Roman" w:hAnsi="Calibri" w:cs="Times New Roman"/>
      <w:sz w:val="20"/>
      <w:szCs w:val="20"/>
      <w:lang w:val="en-ZA"/>
    </w:rPr>
  </w:style>
  <w:style w:type="character" w:customStyle="1" w:styleId="FootnoteTextChar">
    <w:name w:val="Footnote Text Char"/>
    <w:link w:val="FootnoteText"/>
    <w:uiPriority w:val="99"/>
    <w:semiHidden/>
    <w:rsid w:val="003B6ECC"/>
    <w:rPr>
      <w:rFonts w:ascii="Calibri" w:eastAsia="Times New Roman" w:hAnsi="Calibri" w:cs="Times New Roman"/>
      <w:lang w:eastAsia="en-US"/>
    </w:rPr>
  </w:style>
  <w:style w:type="character" w:styleId="FootnoteReference">
    <w:name w:val="footnote reference"/>
    <w:uiPriority w:val="99"/>
    <w:semiHidden/>
    <w:unhideWhenUsed/>
    <w:rsid w:val="003B6EC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9749E-440B-445A-9030-606C9254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23060</CharactersWithSpaces>
  <SharedDoc>false</SharedDoc>
  <HLinks>
    <vt:vector size="6" baseType="variant">
      <vt:variant>
        <vt:i4>3407883</vt:i4>
      </vt:variant>
      <vt:variant>
        <vt:i4>2124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Mokone</cp:lastModifiedBy>
  <cp:revision>3</cp:revision>
  <dcterms:created xsi:type="dcterms:W3CDTF">2023-02-08T10:45:00Z</dcterms:created>
  <dcterms:modified xsi:type="dcterms:W3CDTF">2023-02-08T10:46:00Z</dcterms:modified>
</cp:coreProperties>
</file>