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01B82" w14:textId="77777777" w:rsidR="006C1894" w:rsidRPr="00DB2A06" w:rsidRDefault="006C1894" w:rsidP="006C1894">
      <w:pPr>
        <w:ind w:left="-270" w:right="-244"/>
        <w:jc w:val="center"/>
        <w:rPr>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14:paraId="6B80FEF2" w14:textId="77777777" w:rsidR="006C1894" w:rsidRDefault="006C1894" w:rsidP="000B5C1E">
      <w:pPr>
        <w:tabs>
          <w:tab w:val="left" w:pos="720"/>
          <w:tab w:val="left" w:pos="1440"/>
          <w:tab w:val="left" w:pos="2160"/>
          <w:tab w:val="left" w:pos="2880"/>
          <w:tab w:val="left" w:pos="5193"/>
        </w:tabs>
        <w:spacing w:after="0" w:line="360" w:lineRule="auto"/>
        <w:jc w:val="center"/>
        <w:rPr>
          <w:rFonts w:eastAsia="Times New Roman"/>
          <w:noProof/>
          <w:lang w:val="en-US"/>
        </w:rPr>
      </w:pPr>
    </w:p>
    <w:p w14:paraId="4EC17270" w14:textId="77777777" w:rsidR="006C1894" w:rsidRDefault="006C1894" w:rsidP="000B5C1E">
      <w:pPr>
        <w:tabs>
          <w:tab w:val="left" w:pos="720"/>
          <w:tab w:val="left" w:pos="1440"/>
          <w:tab w:val="left" w:pos="2160"/>
          <w:tab w:val="left" w:pos="2880"/>
          <w:tab w:val="left" w:pos="5193"/>
        </w:tabs>
        <w:spacing w:after="0" w:line="360" w:lineRule="auto"/>
        <w:jc w:val="center"/>
        <w:rPr>
          <w:rFonts w:eastAsia="Times New Roman"/>
          <w:noProof/>
          <w:lang w:val="en-US"/>
        </w:rPr>
      </w:pPr>
    </w:p>
    <w:p w14:paraId="44E893A7" w14:textId="77777777" w:rsidR="000B5C1E" w:rsidRPr="000B5C1E" w:rsidRDefault="000B5C1E" w:rsidP="000B5C1E">
      <w:pPr>
        <w:tabs>
          <w:tab w:val="left" w:pos="720"/>
          <w:tab w:val="left" w:pos="1440"/>
          <w:tab w:val="left" w:pos="2160"/>
          <w:tab w:val="left" w:pos="2880"/>
          <w:tab w:val="left" w:pos="5193"/>
        </w:tabs>
        <w:spacing w:after="0" w:line="360" w:lineRule="auto"/>
        <w:jc w:val="center"/>
        <w:rPr>
          <w:rFonts w:eastAsia="Times New Roman"/>
          <w:lang w:eastAsia="en-GB"/>
        </w:rPr>
      </w:pPr>
      <w:r w:rsidRPr="000B5C1E">
        <w:rPr>
          <w:rFonts w:eastAsia="Times New Roman"/>
          <w:noProof/>
          <w:lang w:val="en-US"/>
        </w:rPr>
        <w:drawing>
          <wp:inline distT="0" distB="0" distL="0" distR="0" wp14:anchorId="554CDA0A" wp14:editId="0055893A">
            <wp:extent cx="1571625" cy="1571625"/>
            <wp:effectExtent l="0" t="0" r="9525" b="952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2363" cy="1572363"/>
                    </a:xfrm>
                    <a:prstGeom prst="rect">
                      <a:avLst/>
                    </a:prstGeom>
                    <a:noFill/>
                  </pic:spPr>
                </pic:pic>
              </a:graphicData>
            </a:graphic>
          </wp:inline>
        </w:drawing>
      </w:r>
    </w:p>
    <w:p w14:paraId="29753E84" w14:textId="77777777" w:rsidR="000B5C1E" w:rsidRPr="000B5C1E" w:rsidRDefault="000B5C1E" w:rsidP="000B5C1E">
      <w:pPr>
        <w:spacing w:after="0" w:line="360" w:lineRule="auto"/>
        <w:jc w:val="center"/>
        <w:rPr>
          <w:rFonts w:eastAsia="Times New Roman"/>
          <w:b/>
          <w:bCs/>
          <w:iCs/>
          <w:color w:val="000000"/>
          <w:lang w:val="en-US" w:eastAsia="en-GB"/>
        </w:rPr>
      </w:pPr>
      <w:r w:rsidRPr="000B5C1E">
        <w:rPr>
          <w:rFonts w:eastAsia="Times New Roman"/>
          <w:b/>
          <w:bCs/>
          <w:iCs/>
          <w:color w:val="000000"/>
          <w:lang w:val="en-US" w:eastAsia="en-GB"/>
        </w:rPr>
        <w:t>IN THE HIGH COURT OF SOUTH AFRICA</w:t>
      </w:r>
    </w:p>
    <w:p w14:paraId="11EC276C" w14:textId="77777777" w:rsidR="000B5C1E" w:rsidRPr="000B5C1E" w:rsidRDefault="000B5C1E" w:rsidP="000B5C1E">
      <w:pPr>
        <w:spacing w:after="0" w:line="360" w:lineRule="auto"/>
        <w:jc w:val="center"/>
        <w:rPr>
          <w:rFonts w:eastAsia="Times New Roman"/>
          <w:b/>
          <w:bCs/>
          <w:iCs/>
          <w:lang w:val="en-US" w:eastAsia="en-GB"/>
        </w:rPr>
      </w:pPr>
      <w:r w:rsidRPr="000B5C1E">
        <w:rPr>
          <w:rFonts w:eastAsia="Times New Roman"/>
          <w:b/>
          <w:bCs/>
          <w:iCs/>
          <w:lang w:val="en-US" w:eastAsia="en-GB"/>
        </w:rPr>
        <w:t>GAUTENG DIVISION, PRETORIA</w:t>
      </w:r>
    </w:p>
    <w:p w14:paraId="2BB10911" w14:textId="77777777" w:rsidR="000B5C1E" w:rsidRPr="000B5C1E" w:rsidRDefault="000B5C1E" w:rsidP="000B5C1E">
      <w:pPr>
        <w:spacing w:after="0" w:line="360" w:lineRule="auto"/>
        <w:jc w:val="both"/>
        <w:rPr>
          <w:rFonts w:eastAsia="Times New Roman"/>
          <w:b/>
          <w:bCs/>
          <w:iCs/>
          <w:lang w:val="en-US" w:eastAsia="en-GB"/>
        </w:rPr>
      </w:pPr>
    </w:p>
    <w:p w14:paraId="6A4CF576" w14:textId="3C9055C7" w:rsidR="000B5C1E" w:rsidRPr="00027E87" w:rsidRDefault="000B5C1E" w:rsidP="000B5C1E">
      <w:pPr>
        <w:tabs>
          <w:tab w:val="right" w:pos="8931"/>
        </w:tabs>
        <w:spacing w:after="0" w:line="480" w:lineRule="auto"/>
        <w:jc w:val="right"/>
        <w:rPr>
          <w:rFonts w:eastAsia="Times New Roman"/>
        </w:rPr>
      </w:pPr>
      <w:r w:rsidRPr="000B5C1E">
        <w:rPr>
          <w:rFonts w:eastAsia="Times New Roman"/>
          <w:noProof/>
          <w:lang w:val="en-US"/>
        </w:rPr>
        <w:drawing>
          <wp:anchor distT="0" distB="0" distL="114300" distR="114300" simplePos="0" relativeHeight="251659264" behindDoc="0" locked="0" layoutInCell="1" allowOverlap="1" wp14:anchorId="6C7E3682" wp14:editId="1B782611">
            <wp:simplePos x="0" y="0"/>
            <wp:positionH relativeFrom="column">
              <wp:posOffset>0</wp:posOffset>
            </wp:positionH>
            <wp:positionV relativeFrom="paragraph">
              <wp:posOffset>298450</wp:posOffset>
            </wp:positionV>
            <wp:extent cx="3289300" cy="1327150"/>
            <wp:effectExtent l="0" t="0" r="6350" b="6350"/>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9300" cy="1327150"/>
                    </a:xfrm>
                    <a:prstGeom prst="rect">
                      <a:avLst/>
                    </a:prstGeom>
                    <a:noFill/>
                  </pic:spPr>
                </pic:pic>
              </a:graphicData>
            </a:graphic>
            <wp14:sizeRelH relativeFrom="margin">
              <wp14:pctWidth>0</wp14:pctWidth>
            </wp14:sizeRelH>
            <wp14:sizeRelV relativeFrom="margin">
              <wp14:pctHeight>0</wp14:pctHeight>
            </wp14:sizeRelV>
          </wp:anchor>
        </w:drawing>
      </w:r>
      <w:r w:rsidRPr="00027E87">
        <w:rPr>
          <w:rFonts w:eastAsia="Times New Roman"/>
        </w:rPr>
        <w:t xml:space="preserve">Case No: </w:t>
      </w:r>
      <w:r w:rsidRPr="000B5C1E">
        <w:rPr>
          <w:rFonts w:eastAsia="Times New Roman"/>
        </w:rPr>
        <w:t>82688/2017</w:t>
      </w:r>
    </w:p>
    <w:p w14:paraId="72D0147C" w14:textId="3A6C5B15" w:rsidR="00027E87" w:rsidRPr="00027E87" w:rsidRDefault="000B5C1E" w:rsidP="000B5C1E">
      <w:pPr>
        <w:spacing w:after="0" w:line="240" w:lineRule="auto"/>
        <w:jc w:val="both"/>
        <w:rPr>
          <w:rFonts w:eastAsia="Times New Roman"/>
        </w:rPr>
      </w:pPr>
      <w:r w:rsidRPr="000B5C1E">
        <w:rPr>
          <w:rFonts w:eastAsia="Times New Roman"/>
          <w:lang w:eastAsia="en-GB"/>
        </w:rPr>
        <w:br w:type="textWrapping" w:clear="all"/>
      </w:r>
      <w:r w:rsidR="00027E87" w:rsidRPr="00027E87">
        <w:rPr>
          <w:rFonts w:eastAsia="Times New Roman"/>
        </w:rPr>
        <w:t>In the matter between:</w:t>
      </w:r>
    </w:p>
    <w:p w14:paraId="33AED62E" w14:textId="77777777" w:rsidR="00027E87" w:rsidRPr="00027E87" w:rsidRDefault="00027E87" w:rsidP="000B5C1E">
      <w:pPr>
        <w:tabs>
          <w:tab w:val="right" w:pos="8931"/>
        </w:tabs>
        <w:spacing w:after="0" w:line="240" w:lineRule="auto"/>
        <w:jc w:val="both"/>
        <w:rPr>
          <w:rFonts w:eastAsia="Times New Roman"/>
          <w:b/>
          <w:bCs/>
        </w:rPr>
      </w:pPr>
    </w:p>
    <w:p w14:paraId="555B6360" w14:textId="77777777" w:rsidR="00027E87" w:rsidRPr="00027E87" w:rsidRDefault="00027E87" w:rsidP="000B5C1E">
      <w:pPr>
        <w:tabs>
          <w:tab w:val="right" w:pos="8931"/>
        </w:tabs>
        <w:spacing w:after="0" w:line="360" w:lineRule="auto"/>
        <w:jc w:val="both"/>
        <w:rPr>
          <w:rFonts w:eastAsia="Times New Roman"/>
        </w:rPr>
      </w:pPr>
      <w:r w:rsidRPr="00027E87">
        <w:rPr>
          <w:rFonts w:eastAsia="Times New Roman"/>
          <w:b/>
          <w:bCs/>
        </w:rPr>
        <w:t>DAINFERN HOMEOWNERS ASSOCIATION</w:t>
      </w:r>
      <w:r w:rsidRPr="00027E87">
        <w:rPr>
          <w:rFonts w:eastAsia="Times New Roman"/>
          <w:b/>
          <w:bCs/>
        </w:rPr>
        <w:tab/>
      </w:r>
      <w:r w:rsidRPr="00027E87">
        <w:rPr>
          <w:rFonts w:eastAsia="Times New Roman"/>
        </w:rPr>
        <w:t>Applicant</w:t>
      </w:r>
    </w:p>
    <w:p w14:paraId="2E002A59" w14:textId="77777777" w:rsidR="00027E87" w:rsidRPr="00027E87" w:rsidRDefault="00027E87" w:rsidP="000B5C1E">
      <w:pPr>
        <w:tabs>
          <w:tab w:val="right" w:pos="8931"/>
        </w:tabs>
        <w:spacing w:after="0" w:line="360" w:lineRule="auto"/>
        <w:jc w:val="both"/>
        <w:rPr>
          <w:rFonts w:eastAsia="Times New Roman"/>
        </w:rPr>
      </w:pPr>
    </w:p>
    <w:p w14:paraId="57657551" w14:textId="77777777" w:rsidR="00027E87" w:rsidRPr="00027E87" w:rsidRDefault="00027E87" w:rsidP="000B5C1E">
      <w:pPr>
        <w:tabs>
          <w:tab w:val="right" w:pos="8931"/>
        </w:tabs>
        <w:spacing w:after="0" w:line="360" w:lineRule="auto"/>
        <w:jc w:val="both"/>
        <w:rPr>
          <w:rFonts w:eastAsia="Times New Roman"/>
        </w:rPr>
      </w:pPr>
      <w:r w:rsidRPr="00027E87">
        <w:rPr>
          <w:rFonts w:eastAsia="Times New Roman"/>
        </w:rPr>
        <w:t>and</w:t>
      </w:r>
    </w:p>
    <w:p w14:paraId="6A528E39" w14:textId="77777777" w:rsidR="00027E87" w:rsidRPr="00027E87" w:rsidRDefault="00027E87" w:rsidP="000B5C1E">
      <w:pPr>
        <w:tabs>
          <w:tab w:val="right" w:pos="8931"/>
        </w:tabs>
        <w:spacing w:after="0" w:line="360" w:lineRule="auto"/>
        <w:jc w:val="both"/>
        <w:rPr>
          <w:rFonts w:eastAsia="Times New Roman"/>
        </w:rPr>
      </w:pPr>
    </w:p>
    <w:p w14:paraId="7C270CD3" w14:textId="6B24EF35" w:rsidR="00027E87" w:rsidRDefault="00AE39A9" w:rsidP="000B5C1E">
      <w:pPr>
        <w:tabs>
          <w:tab w:val="right" w:pos="8931"/>
        </w:tabs>
        <w:spacing w:after="0" w:line="360" w:lineRule="auto"/>
        <w:jc w:val="both"/>
        <w:rPr>
          <w:rFonts w:eastAsia="Times New Roman"/>
        </w:rPr>
      </w:pPr>
      <w:r>
        <w:rPr>
          <w:rFonts w:eastAsia="Times New Roman"/>
          <w:b/>
        </w:rPr>
        <w:t xml:space="preserve">DANIEL FRANCOIS </w:t>
      </w:r>
      <w:r w:rsidR="00027E87" w:rsidRPr="00027E87">
        <w:rPr>
          <w:rFonts w:eastAsia="Times New Roman"/>
          <w:b/>
        </w:rPr>
        <w:t>ROODT</w:t>
      </w:r>
      <w:r w:rsidR="00027E87" w:rsidRPr="00027E87">
        <w:rPr>
          <w:rFonts w:eastAsia="Times New Roman"/>
          <w:b/>
        </w:rPr>
        <w:tab/>
      </w:r>
      <w:r w:rsidR="00027E87" w:rsidRPr="00027E87">
        <w:rPr>
          <w:rFonts w:eastAsia="Times New Roman"/>
        </w:rPr>
        <w:t>First Respondent</w:t>
      </w:r>
    </w:p>
    <w:p w14:paraId="02F9B51A" w14:textId="27E997AE" w:rsidR="00AE39A9" w:rsidRDefault="006C1894" w:rsidP="000B5C1E">
      <w:pPr>
        <w:tabs>
          <w:tab w:val="right" w:pos="8931"/>
        </w:tabs>
        <w:spacing w:after="0" w:line="360" w:lineRule="auto"/>
        <w:jc w:val="both"/>
        <w:rPr>
          <w:rFonts w:eastAsia="Times New Roman"/>
        </w:rPr>
      </w:pPr>
      <w:r>
        <w:rPr>
          <w:rFonts w:eastAsia="Times New Roman"/>
        </w:rPr>
        <w:t>ID:NO […]</w:t>
      </w:r>
    </w:p>
    <w:p w14:paraId="5CF98E44" w14:textId="150664A7" w:rsidR="00027E87" w:rsidRDefault="00AE39A9" w:rsidP="000B5C1E">
      <w:pPr>
        <w:tabs>
          <w:tab w:val="right" w:pos="8931"/>
        </w:tabs>
        <w:spacing w:after="0" w:line="360" w:lineRule="auto"/>
        <w:jc w:val="both"/>
        <w:rPr>
          <w:rFonts w:eastAsia="Times New Roman"/>
        </w:rPr>
      </w:pPr>
      <w:r>
        <w:rPr>
          <w:rFonts w:eastAsia="Times New Roman"/>
          <w:b/>
          <w:bCs/>
        </w:rPr>
        <w:t xml:space="preserve">KARIN ROODT                                                                            </w:t>
      </w:r>
      <w:r w:rsidR="00027E87" w:rsidRPr="00027E87">
        <w:rPr>
          <w:rFonts w:eastAsia="Times New Roman"/>
        </w:rPr>
        <w:t>Second Respondent</w:t>
      </w:r>
    </w:p>
    <w:p w14:paraId="31501710" w14:textId="595BE808" w:rsidR="00AE39A9" w:rsidRPr="00027E87" w:rsidRDefault="006C1894" w:rsidP="000B5C1E">
      <w:pPr>
        <w:tabs>
          <w:tab w:val="right" w:pos="8931"/>
        </w:tabs>
        <w:spacing w:after="0" w:line="360" w:lineRule="auto"/>
        <w:jc w:val="both"/>
        <w:rPr>
          <w:rFonts w:eastAsia="Times New Roman"/>
        </w:rPr>
      </w:pPr>
      <w:r>
        <w:rPr>
          <w:rFonts w:eastAsia="Times New Roman"/>
        </w:rPr>
        <w:t>ID:NO […]</w:t>
      </w:r>
    </w:p>
    <w:p w14:paraId="6CD3B18D" w14:textId="77777777" w:rsidR="00027E87" w:rsidRPr="00027E87" w:rsidRDefault="00027E87" w:rsidP="000B5C1E">
      <w:pPr>
        <w:tabs>
          <w:tab w:val="right" w:pos="8931"/>
        </w:tabs>
        <w:spacing w:after="0" w:line="360" w:lineRule="auto"/>
        <w:jc w:val="both"/>
        <w:rPr>
          <w:rFonts w:eastAsia="Times New Roman"/>
        </w:rPr>
      </w:pPr>
      <w:r w:rsidRPr="00027E87">
        <w:rPr>
          <w:rFonts w:eastAsia="Times New Roman"/>
          <w:b/>
          <w:bCs/>
        </w:rPr>
        <w:t>FIRSTRAND BANK</w:t>
      </w:r>
      <w:r w:rsidRPr="00027E87">
        <w:rPr>
          <w:rFonts w:eastAsia="Times New Roman"/>
          <w:b/>
          <w:bCs/>
        </w:rPr>
        <w:tab/>
      </w:r>
      <w:r w:rsidRPr="00027E87">
        <w:rPr>
          <w:rFonts w:eastAsia="Times New Roman"/>
        </w:rPr>
        <w:t>Third Respondent</w:t>
      </w:r>
    </w:p>
    <w:p w14:paraId="701DE07A" w14:textId="77777777" w:rsidR="00AE39A9" w:rsidRDefault="00027E87" w:rsidP="000B5C1E">
      <w:pPr>
        <w:tabs>
          <w:tab w:val="right" w:pos="8931"/>
        </w:tabs>
        <w:spacing w:after="0" w:line="360" w:lineRule="auto"/>
        <w:jc w:val="both"/>
        <w:rPr>
          <w:rFonts w:eastAsia="Times New Roman"/>
          <w:b/>
          <w:bCs/>
        </w:rPr>
      </w:pPr>
      <w:r w:rsidRPr="00027E87">
        <w:rPr>
          <w:rFonts w:eastAsia="Times New Roman"/>
          <w:b/>
          <w:bCs/>
        </w:rPr>
        <w:t>THE CITY OF JOHANNESBURG</w:t>
      </w:r>
    </w:p>
    <w:p w14:paraId="104F5447" w14:textId="45ABEFDE" w:rsidR="00027E87" w:rsidRPr="00027E87" w:rsidRDefault="00AE39A9" w:rsidP="000B5C1E">
      <w:pPr>
        <w:tabs>
          <w:tab w:val="right" w:pos="8931"/>
        </w:tabs>
        <w:spacing w:after="0" w:line="360" w:lineRule="auto"/>
        <w:jc w:val="both"/>
        <w:rPr>
          <w:rFonts w:eastAsia="Times New Roman"/>
        </w:rPr>
      </w:pPr>
      <w:r>
        <w:rPr>
          <w:rFonts w:eastAsia="Times New Roman"/>
          <w:b/>
          <w:bCs/>
        </w:rPr>
        <w:t xml:space="preserve"> METROPOLITAN MUNICIPALITY</w:t>
      </w:r>
      <w:r w:rsidR="00027E87" w:rsidRPr="00027E87">
        <w:rPr>
          <w:rFonts w:eastAsia="Times New Roman"/>
          <w:b/>
          <w:bCs/>
        </w:rPr>
        <w:tab/>
      </w:r>
      <w:r w:rsidR="00027E87" w:rsidRPr="00027E87">
        <w:rPr>
          <w:rFonts w:eastAsia="Times New Roman"/>
        </w:rPr>
        <w:t>Fourth Respondent</w:t>
      </w:r>
    </w:p>
    <w:p w14:paraId="4E60EA8E" w14:textId="77777777" w:rsidR="00027E87" w:rsidRPr="00027E87" w:rsidRDefault="00027E87" w:rsidP="00027E87">
      <w:pPr>
        <w:pBdr>
          <w:bottom w:val="single" w:sz="12" w:space="1" w:color="auto"/>
        </w:pBdr>
        <w:tabs>
          <w:tab w:val="left" w:pos="567"/>
          <w:tab w:val="left" w:pos="1134"/>
          <w:tab w:val="left" w:pos="1701"/>
          <w:tab w:val="left" w:pos="2268"/>
          <w:tab w:val="left" w:pos="2835"/>
          <w:tab w:val="right" w:pos="8265"/>
        </w:tabs>
        <w:spacing w:after="0" w:line="240" w:lineRule="auto"/>
        <w:jc w:val="both"/>
        <w:rPr>
          <w:rFonts w:eastAsia="Times New Roman" w:cs="Times New Roman"/>
        </w:rPr>
      </w:pPr>
    </w:p>
    <w:p w14:paraId="77131D5A" w14:textId="77777777" w:rsidR="00027E87" w:rsidRPr="00027E87" w:rsidRDefault="00027E87" w:rsidP="00027E87">
      <w:pPr>
        <w:tabs>
          <w:tab w:val="left" w:pos="567"/>
          <w:tab w:val="left" w:pos="1134"/>
          <w:tab w:val="left" w:pos="1701"/>
          <w:tab w:val="left" w:pos="2268"/>
          <w:tab w:val="left" w:pos="2835"/>
          <w:tab w:val="right" w:pos="8265"/>
        </w:tabs>
        <w:spacing w:after="0" w:line="240" w:lineRule="auto"/>
        <w:jc w:val="both"/>
        <w:rPr>
          <w:rFonts w:eastAsia="Times New Roman" w:cs="Times New Roman"/>
        </w:rPr>
      </w:pPr>
    </w:p>
    <w:p w14:paraId="335A08BF" w14:textId="77777777" w:rsidR="00027E87" w:rsidRPr="00027E87" w:rsidRDefault="00027E87" w:rsidP="00027E87">
      <w:pPr>
        <w:pBdr>
          <w:bottom w:val="single" w:sz="12" w:space="1" w:color="auto"/>
        </w:pBdr>
        <w:tabs>
          <w:tab w:val="left" w:pos="567"/>
          <w:tab w:val="left" w:pos="1134"/>
          <w:tab w:val="left" w:pos="1701"/>
          <w:tab w:val="left" w:pos="2268"/>
          <w:tab w:val="left" w:pos="2835"/>
          <w:tab w:val="right" w:pos="8265"/>
        </w:tabs>
        <w:spacing w:after="0" w:line="480" w:lineRule="auto"/>
        <w:jc w:val="center"/>
        <w:rPr>
          <w:rFonts w:eastAsia="Times New Roman" w:cs="Times New Roman"/>
          <w:b/>
        </w:rPr>
      </w:pPr>
      <w:r w:rsidRPr="00027E87">
        <w:rPr>
          <w:rFonts w:eastAsia="Times New Roman" w:cs="Times New Roman"/>
          <w:b/>
        </w:rPr>
        <w:t>JUDGMENT</w:t>
      </w:r>
    </w:p>
    <w:p w14:paraId="200E5564" w14:textId="77777777" w:rsidR="00027E87" w:rsidRPr="00027E87" w:rsidRDefault="00027E87" w:rsidP="00027E87">
      <w:pPr>
        <w:tabs>
          <w:tab w:val="left" w:pos="851"/>
          <w:tab w:val="left" w:pos="1134"/>
          <w:tab w:val="left" w:pos="1701"/>
          <w:tab w:val="left" w:pos="2268"/>
          <w:tab w:val="left" w:pos="2835"/>
          <w:tab w:val="right" w:pos="8265"/>
        </w:tabs>
        <w:spacing w:after="0" w:line="480" w:lineRule="auto"/>
        <w:ind w:left="851"/>
        <w:jc w:val="both"/>
        <w:rPr>
          <w:rFonts w:eastAsia="Times New Roman" w:cs="Times New Roman"/>
        </w:rPr>
      </w:pPr>
    </w:p>
    <w:p w14:paraId="60EE942D" w14:textId="736DD3E4" w:rsidR="00027E87" w:rsidRPr="00027E87" w:rsidRDefault="0062611B" w:rsidP="0062611B">
      <w:pPr>
        <w:tabs>
          <w:tab w:val="left" w:pos="851"/>
          <w:tab w:val="left" w:pos="1134"/>
          <w:tab w:val="left" w:pos="1701"/>
          <w:tab w:val="left" w:pos="2268"/>
          <w:tab w:val="left" w:pos="2835"/>
          <w:tab w:val="right" w:pos="8265"/>
        </w:tabs>
        <w:spacing w:before="360" w:after="360" w:line="480" w:lineRule="auto"/>
        <w:ind w:left="851" w:hanging="851"/>
        <w:jc w:val="both"/>
        <w:rPr>
          <w:rFonts w:eastAsia="Times New Roman" w:cs="Times New Roman"/>
        </w:rPr>
      </w:pPr>
      <w:r w:rsidRPr="00027E87">
        <w:rPr>
          <w:rFonts w:eastAsia="Times New Roman" w:cs="Times New Roman"/>
        </w:rPr>
        <w:t>[1]</w:t>
      </w:r>
      <w:r w:rsidRPr="00027E87">
        <w:rPr>
          <w:rFonts w:eastAsia="Times New Roman" w:cs="Times New Roman"/>
        </w:rPr>
        <w:tab/>
      </w:r>
      <w:r w:rsidR="00027E87" w:rsidRPr="00027E87">
        <w:rPr>
          <w:rFonts w:eastAsia="Times New Roman" w:cs="Times New Roman"/>
        </w:rPr>
        <w:t xml:space="preserve">The Dainfern Homeowners Association applies for an order to declare the immovable property of </w:t>
      </w:r>
      <w:r w:rsidR="00AE39A9">
        <w:rPr>
          <w:rFonts w:eastAsia="Times New Roman" w:cs="Times New Roman"/>
        </w:rPr>
        <w:t>the First and Second</w:t>
      </w:r>
      <w:r w:rsidR="00027E87" w:rsidRPr="00027E87">
        <w:rPr>
          <w:rFonts w:eastAsia="Times New Roman" w:cs="Times New Roman"/>
        </w:rPr>
        <w:t xml:space="preserve"> respondents </w:t>
      </w:r>
      <w:r w:rsidR="00AE39A9">
        <w:rPr>
          <w:rFonts w:eastAsia="Times New Roman" w:cs="Times New Roman"/>
        </w:rPr>
        <w:t xml:space="preserve">(hereafter “the respondents”) </w:t>
      </w:r>
      <w:r w:rsidR="00027E87" w:rsidRPr="00027E87">
        <w:rPr>
          <w:rFonts w:eastAsia="Times New Roman" w:cs="Times New Roman"/>
        </w:rPr>
        <w:t>specially executable in terms of Rule 46A, the property in question being the primary residence of the respondents.</w:t>
      </w:r>
    </w:p>
    <w:p w14:paraId="041EF1B3" w14:textId="18B61405" w:rsidR="00027E87" w:rsidRPr="00027E87" w:rsidRDefault="0062611B" w:rsidP="0062611B">
      <w:pPr>
        <w:tabs>
          <w:tab w:val="left" w:pos="851"/>
          <w:tab w:val="left" w:pos="1134"/>
          <w:tab w:val="left" w:pos="1701"/>
          <w:tab w:val="left" w:pos="2268"/>
          <w:tab w:val="left" w:pos="2835"/>
          <w:tab w:val="right" w:pos="8265"/>
        </w:tabs>
        <w:spacing w:before="360" w:after="360" w:line="480" w:lineRule="auto"/>
        <w:ind w:left="851" w:hanging="851"/>
        <w:jc w:val="both"/>
        <w:rPr>
          <w:rFonts w:eastAsia="Times New Roman" w:cs="Times New Roman"/>
        </w:rPr>
      </w:pPr>
      <w:r w:rsidRPr="00027E87">
        <w:rPr>
          <w:rFonts w:eastAsia="Times New Roman" w:cs="Times New Roman"/>
        </w:rPr>
        <w:t>[2]</w:t>
      </w:r>
      <w:r w:rsidRPr="00027E87">
        <w:rPr>
          <w:rFonts w:eastAsia="Times New Roman" w:cs="Times New Roman"/>
        </w:rPr>
        <w:tab/>
      </w:r>
      <w:r w:rsidR="00027E87" w:rsidRPr="00027E87">
        <w:rPr>
          <w:rFonts w:eastAsia="Times New Roman" w:cs="Times New Roman"/>
        </w:rPr>
        <w:t>The respo</w:t>
      </w:r>
      <w:r w:rsidR="00C52CFA">
        <w:rPr>
          <w:rFonts w:eastAsia="Times New Roman" w:cs="Times New Roman"/>
        </w:rPr>
        <w:t>ndents’ property, namely Erf […], […] G[…]</w:t>
      </w:r>
      <w:r w:rsidR="00027E87" w:rsidRPr="00027E87">
        <w:rPr>
          <w:rFonts w:eastAsia="Times New Roman" w:cs="Times New Roman"/>
        </w:rPr>
        <w:t xml:space="preserve"> Avenue, Dainfern, Gauteng is located within a luxury property development of which the applicant is the homeowner’s association.</w:t>
      </w:r>
    </w:p>
    <w:p w14:paraId="3A61447C" w14:textId="5D89EB2D" w:rsidR="00027E87" w:rsidRPr="00027E87" w:rsidRDefault="0062611B" w:rsidP="0062611B">
      <w:pPr>
        <w:tabs>
          <w:tab w:val="left" w:pos="851"/>
          <w:tab w:val="left" w:pos="1134"/>
          <w:tab w:val="left" w:pos="1701"/>
          <w:tab w:val="left" w:pos="2268"/>
          <w:tab w:val="left" w:pos="2835"/>
          <w:tab w:val="right" w:pos="8265"/>
        </w:tabs>
        <w:spacing w:before="360" w:after="360" w:line="480" w:lineRule="auto"/>
        <w:ind w:left="851" w:hanging="851"/>
        <w:jc w:val="both"/>
        <w:rPr>
          <w:rFonts w:eastAsia="Times New Roman" w:cs="Times New Roman"/>
        </w:rPr>
      </w:pPr>
      <w:r w:rsidRPr="00027E87">
        <w:rPr>
          <w:rFonts w:eastAsia="Times New Roman" w:cs="Times New Roman"/>
        </w:rPr>
        <w:t>[3]</w:t>
      </w:r>
      <w:r w:rsidRPr="00027E87">
        <w:rPr>
          <w:rFonts w:eastAsia="Times New Roman" w:cs="Times New Roman"/>
        </w:rPr>
        <w:tab/>
      </w:r>
      <w:r w:rsidR="00027E87" w:rsidRPr="00027E87">
        <w:rPr>
          <w:rFonts w:eastAsia="Times New Roman" w:cs="Times New Roman"/>
        </w:rPr>
        <w:t xml:space="preserve">The third respondent to the application is FirstRand Bank, whose interest has fallen away when the first and second respondents settled the outstanding bond due to FirstRand Bank prior to the hearing of this matter.  </w:t>
      </w:r>
    </w:p>
    <w:p w14:paraId="7E72534F" w14:textId="0B0BC4CF" w:rsidR="00027E87" w:rsidRPr="00027E87" w:rsidRDefault="0062611B" w:rsidP="0062611B">
      <w:pPr>
        <w:tabs>
          <w:tab w:val="left" w:pos="851"/>
          <w:tab w:val="left" w:pos="1134"/>
          <w:tab w:val="left" w:pos="1701"/>
          <w:tab w:val="left" w:pos="2268"/>
          <w:tab w:val="left" w:pos="2835"/>
          <w:tab w:val="right" w:pos="8265"/>
        </w:tabs>
        <w:spacing w:before="360" w:after="360" w:line="480" w:lineRule="auto"/>
        <w:ind w:left="851" w:hanging="851"/>
        <w:jc w:val="both"/>
        <w:rPr>
          <w:rFonts w:eastAsia="Times New Roman" w:cs="Times New Roman"/>
        </w:rPr>
      </w:pPr>
      <w:r w:rsidRPr="00027E87">
        <w:rPr>
          <w:rFonts w:eastAsia="Times New Roman" w:cs="Times New Roman"/>
        </w:rPr>
        <w:t>[4]</w:t>
      </w:r>
      <w:r w:rsidRPr="00027E87">
        <w:rPr>
          <w:rFonts w:eastAsia="Times New Roman" w:cs="Times New Roman"/>
        </w:rPr>
        <w:tab/>
      </w:r>
      <w:r w:rsidR="00027E87" w:rsidRPr="00027E87">
        <w:rPr>
          <w:rFonts w:eastAsia="Times New Roman" w:cs="Times New Roman"/>
        </w:rPr>
        <w:t>The fourth respondent is the City of Johannesburg, to whom the applicant alleges the first and second respondents owe rates and taxes.</w:t>
      </w:r>
    </w:p>
    <w:p w14:paraId="40340AF5" w14:textId="1179DC79" w:rsidR="00027E87" w:rsidRPr="00027E87" w:rsidRDefault="0062611B" w:rsidP="0062611B">
      <w:pPr>
        <w:tabs>
          <w:tab w:val="left" w:pos="851"/>
          <w:tab w:val="left" w:pos="1134"/>
          <w:tab w:val="left" w:pos="1701"/>
          <w:tab w:val="left" w:pos="2268"/>
          <w:tab w:val="left" w:pos="2835"/>
          <w:tab w:val="right" w:pos="8265"/>
        </w:tabs>
        <w:spacing w:before="360" w:after="360" w:line="480" w:lineRule="auto"/>
        <w:ind w:left="851" w:hanging="851"/>
        <w:jc w:val="both"/>
        <w:rPr>
          <w:rFonts w:eastAsia="Times New Roman" w:cs="Times New Roman"/>
        </w:rPr>
      </w:pPr>
      <w:r w:rsidRPr="00027E87">
        <w:rPr>
          <w:rFonts w:eastAsia="Times New Roman" w:cs="Times New Roman"/>
        </w:rPr>
        <w:t>[5]</w:t>
      </w:r>
      <w:r w:rsidRPr="00027E87">
        <w:rPr>
          <w:rFonts w:eastAsia="Times New Roman" w:cs="Times New Roman"/>
        </w:rPr>
        <w:tab/>
      </w:r>
      <w:r w:rsidR="00027E87" w:rsidRPr="00027E87">
        <w:rPr>
          <w:rFonts w:eastAsia="Times New Roman" w:cs="Times New Roman"/>
        </w:rPr>
        <w:t>It is common cause that the first and second respondents have not paid levies to the Dainfern Homeowners Association since 2008.  The first and second respondents</w:t>
      </w:r>
      <w:r w:rsidR="00AE39A9">
        <w:rPr>
          <w:rFonts w:eastAsia="Times New Roman" w:cs="Times New Roman"/>
        </w:rPr>
        <w:t>’</w:t>
      </w:r>
      <w:r w:rsidR="00027E87" w:rsidRPr="00027E87">
        <w:rPr>
          <w:rFonts w:eastAsia="Times New Roman" w:cs="Times New Roman"/>
        </w:rPr>
        <w:t xml:space="preserve"> benefits as members of the applicant w</w:t>
      </w:r>
      <w:r w:rsidR="00AE39A9">
        <w:rPr>
          <w:rFonts w:eastAsia="Times New Roman" w:cs="Times New Roman"/>
        </w:rPr>
        <w:t>ere</w:t>
      </w:r>
      <w:r w:rsidR="00027E87" w:rsidRPr="00027E87">
        <w:rPr>
          <w:rFonts w:eastAsia="Times New Roman" w:cs="Times New Roman"/>
        </w:rPr>
        <w:t xml:space="preserve"> is suspended when they fell into arrears.  Such suspension is provided for in the rules under which the applicant administers the Estate.</w:t>
      </w:r>
      <w:r w:rsidR="00772951">
        <w:rPr>
          <w:rFonts w:eastAsia="Times New Roman" w:cs="Times New Roman"/>
        </w:rPr>
        <w:t xml:space="preserve"> At the time of suspension of their benefits by the applicant the outstanding amount in levies was insignificant and c</w:t>
      </w:r>
      <w:r w:rsidR="000B5C1E">
        <w:rPr>
          <w:rFonts w:eastAsia="Times New Roman" w:cs="Times New Roman"/>
        </w:rPr>
        <w:t>ould easily be settled. However</w:t>
      </w:r>
      <w:r w:rsidR="00772951">
        <w:rPr>
          <w:rFonts w:eastAsia="Times New Roman" w:cs="Times New Roman"/>
        </w:rPr>
        <w:t>, the respondents refused and failed to pay any further levies up to the present.</w:t>
      </w:r>
    </w:p>
    <w:p w14:paraId="208D5F80" w14:textId="1B5470D8" w:rsidR="00027E87" w:rsidRPr="00027E87" w:rsidRDefault="0062611B" w:rsidP="0062611B">
      <w:pPr>
        <w:tabs>
          <w:tab w:val="left" w:pos="851"/>
          <w:tab w:val="left" w:pos="1134"/>
          <w:tab w:val="left" w:pos="1701"/>
          <w:tab w:val="left" w:pos="2268"/>
          <w:tab w:val="left" w:pos="2835"/>
          <w:tab w:val="right" w:pos="8265"/>
        </w:tabs>
        <w:spacing w:before="360" w:after="360" w:line="480" w:lineRule="auto"/>
        <w:ind w:left="851" w:hanging="851"/>
        <w:jc w:val="both"/>
        <w:rPr>
          <w:rFonts w:eastAsia="Times New Roman" w:cs="Times New Roman"/>
        </w:rPr>
      </w:pPr>
      <w:r w:rsidRPr="00027E87">
        <w:rPr>
          <w:rFonts w:eastAsia="Times New Roman" w:cs="Times New Roman"/>
        </w:rPr>
        <w:lastRenderedPageBreak/>
        <w:t>[6]</w:t>
      </w:r>
      <w:r w:rsidRPr="00027E87">
        <w:rPr>
          <w:rFonts w:eastAsia="Times New Roman" w:cs="Times New Roman"/>
        </w:rPr>
        <w:tab/>
      </w:r>
      <w:r w:rsidR="00027E87" w:rsidRPr="00027E87">
        <w:rPr>
          <w:rFonts w:eastAsia="Times New Roman" w:cs="Times New Roman"/>
        </w:rPr>
        <w:t>A number of default judgments have been obtained against the first and second respondents in the Magistrates’ Court,</w:t>
      </w:r>
      <w:r w:rsidR="00772951">
        <w:rPr>
          <w:rFonts w:eastAsia="Times New Roman" w:cs="Times New Roman"/>
        </w:rPr>
        <w:t xml:space="preserve"> Randburg</w:t>
      </w:r>
      <w:r w:rsidR="00027E87" w:rsidRPr="00027E87">
        <w:rPr>
          <w:rFonts w:eastAsia="Times New Roman" w:cs="Times New Roman"/>
        </w:rPr>
        <w:t xml:space="preserve"> which remain unsatisfied.  The first and second respondents contend that such judgment debts cannot be executed as they have become superannuated in terms of the Magistrates’ Court Rules</w:t>
      </w:r>
      <w:r w:rsidR="00772951">
        <w:rPr>
          <w:rFonts w:eastAsia="Times New Roman" w:cs="Times New Roman"/>
        </w:rPr>
        <w:t xml:space="preserve">. </w:t>
      </w:r>
    </w:p>
    <w:p w14:paraId="04322FC0" w14:textId="61B94337" w:rsidR="00027E87" w:rsidRPr="00027E87" w:rsidRDefault="0062611B" w:rsidP="0062611B">
      <w:pPr>
        <w:tabs>
          <w:tab w:val="left" w:pos="851"/>
          <w:tab w:val="left" w:pos="1134"/>
          <w:tab w:val="left" w:pos="1701"/>
          <w:tab w:val="left" w:pos="2268"/>
          <w:tab w:val="left" w:pos="2835"/>
          <w:tab w:val="right" w:pos="8265"/>
        </w:tabs>
        <w:spacing w:before="360" w:after="360" w:line="480" w:lineRule="auto"/>
        <w:ind w:left="851" w:hanging="851"/>
        <w:jc w:val="both"/>
        <w:rPr>
          <w:rFonts w:eastAsia="Times New Roman" w:cs="Times New Roman"/>
        </w:rPr>
      </w:pPr>
      <w:r w:rsidRPr="00027E87">
        <w:rPr>
          <w:rFonts w:eastAsia="Times New Roman" w:cs="Times New Roman"/>
        </w:rPr>
        <w:t>[7]</w:t>
      </w:r>
      <w:r w:rsidRPr="00027E87">
        <w:rPr>
          <w:rFonts w:eastAsia="Times New Roman" w:cs="Times New Roman"/>
        </w:rPr>
        <w:tab/>
      </w:r>
      <w:r w:rsidR="00027E87" w:rsidRPr="00027E87">
        <w:rPr>
          <w:rFonts w:eastAsia="Times New Roman" w:cs="Times New Roman"/>
        </w:rPr>
        <w:t xml:space="preserve">The liability of the first and second respondents to pay levies arises from their membership of the applicant, which membership attached to all property owners within the Dainfern Estate.  </w:t>
      </w:r>
    </w:p>
    <w:p w14:paraId="092DEAA5" w14:textId="65A0B7D5" w:rsidR="00027E87" w:rsidRPr="00027E87" w:rsidRDefault="0062611B" w:rsidP="0062611B">
      <w:pPr>
        <w:tabs>
          <w:tab w:val="left" w:pos="851"/>
          <w:tab w:val="left" w:pos="1134"/>
          <w:tab w:val="left" w:pos="1701"/>
          <w:tab w:val="left" w:pos="2268"/>
          <w:tab w:val="left" w:pos="2835"/>
          <w:tab w:val="right" w:pos="8265"/>
        </w:tabs>
        <w:spacing w:before="360" w:after="360" w:line="480" w:lineRule="auto"/>
        <w:ind w:left="851" w:hanging="851"/>
        <w:jc w:val="both"/>
        <w:rPr>
          <w:rFonts w:eastAsia="Times New Roman" w:cs="Times New Roman"/>
        </w:rPr>
      </w:pPr>
      <w:r w:rsidRPr="00027E87">
        <w:rPr>
          <w:rFonts w:eastAsia="Times New Roman" w:cs="Times New Roman"/>
        </w:rPr>
        <w:t>[8]</w:t>
      </w:r>
      <w:r w:rsidRPr="00027E87">
        <w:rPr>
          <w:rFonts w:eastAsia="Times New Roman" w:cs="Times New Roman"/>
        </w:rPr>
        <w:tab/>
      </w:r>
      <w:r w:rsidR="00027E87" w:rsidRPr="00027E87">
        <w:rPr>
          <w:rFonts w:eastAsia="Times New Roman" w:cs="Times New Roman"/>
        </w:rPr>
        <w:t xml:space="preserve">On 5 December 2017 the applicant instituted an action against the first and second respondents for outstanding levies in the amount of R183 131.51.  On 3 January 2018 the first and second respondents (hereafter referred to as “the respondents”) entered an appearance to defend.  An application for summary judgment was successfully resisted when the first and second respondents were granted leave to defend on 19 February 2018.  The applicant then served a notice of bar on the respondents on 17 April 2018, and, failing to serve their plea, the applicant proceeded with a default judgment before the Registrar on 31 August 2018.  The order granted against the respondents was for payment of R183 131.51, and interest on the amount at 10,5% per annum from date of summons to date of final payment.  An order for costs of R200.00 plus Sheriff costs was also included.  This is the </w:t>
      </w:r>
      <w:r w:rsidR="00772951">
        <w:rPr>
          <w:rFonts w:eastAsia="Times New Roman" w:cs="Times New Roman"/>
        </w:rPr>
        <w:t>order</w:t>
      </w:r>
      <w:r w:rsidR="00027E87" w:rsidRPr="00027E87">
        <w:rPr>
          <w:rFonts w:eastAsia="Times New Roman" w:cs="Times New Roman"/>
        </w:rPr>
        <w:t xml:space="preserve"> which the applicants seek to enforce by means of Rule 46A</w:t>
      </w:r>
      <w:r w:rsidR="00772951">
        <w:rPr>
          <w:rFonts w:eastAsia="Times New Roman" w:cs="Times New Roman"/>
        </w:rPr>
        <w:t xml:space="preserve">, and which the respondents seek to be set aside by means of counter-application. </w:t>
      </w:r>
    </w:p>
    <w:p w14:paraId="49B56E08" w14:textId="77777777" w:rsidR="00BD5F30" w:rsidRDefault="00BD5F30" w:rsidP="00BD5F30">
      <w:pPr>
        <w:tabs>
          <w:tab w:val="left" w:pos="851"/>
          <w:tab w:val="left" w:pos="1134"/>
          <w:tab w:val="left" w:pos="1701"/>
          <w:tab w:val="left" w:pos="2268"/>
          <w:tab w:val="left" w:pos="2835"/>
          <w:tab w:val="right" w:pos="8265"/>
        </w:tabs>
        <w:spacing w:before="360" w:after="360" w:line="480" w:lineRule="auto"/>
        <w:jc w:val="both"/>
        <w:rPr>
          <w:rFonts w:eastAsia="Times New Roman" w:cs="Times New Roman"/>
          <w:b/>
        </w:rPr>
      </w:pPr>
    </w:p>
    <w:p w14:paraId="53222F65" w14:textId="47C80162" w:rsidR="00BD5F30" w:rsidRPr="00BD5F30" w:rsidRDefault="00BD5F30" w:rsidP="00BD5F30">
      <w:pPr>
        <w:tabs>
          <w:tab w:val="left" w:pos="851"/>
          <w:tab w:val="left" w:pos="1134"/>
          <w:tab w:val="left" w:pos="1701"/>
          <w:tab w:val="left" w:pos="2268"/>
          <w:tab w:val="left" w:pos="2835"/>
          <w:tab w:val="right" w:pos="8265"/>
        </w:tabs>
        <w:spacing w:before="360" w:after="360" w:line="480" w:lineRule="auto"/>
        <w:jc w:val="both"/>
        <w:rPr>
          <w:rFonts w:eastAsia="Times New Roman" w:cs="Times New Roman"/>
        </w:rPr>
      </w:pPr>
      <w:r>
        <w:rPr>
          <w:rFonts w:eastAsia="Times New Roman" w:cs="Times New Roman"/>
          <w:b/>
        </w:rPr>
        <w:lastRenderedPageBreak/>
        <w:t xml:space="preserve">           </w:t>
      </w:r>
      <w:r w:rsidRPr="00BD5F30">
        <w:rPr>
          <w:rFonts w:eastAsia="Times New Roman" w:cs="Times New Roman"/>
          <w:b/>
        </w:rPr>
        <w:t>The rescission application</w:t>
      </w:r>
      <w:r>
        <w:rPr>
          <w:rFonts w:eastAsia="Times New Roman" w:cs="Times New Roman"/>
          <w:b/>
        </w:rPr>
        <w:t>:</w:t>
      </w:r>
    </w:p>
    <w:p w14:paraId="35F47614" w14:textId="73CEF52D" w:rsidR="00027E87" w:rsidRPr="00027E87" w:rsidRDefault="0062611B" w:rsidP="0062611B">
      <w:pPr>
        <w:tabs>
          <w:tab w:val="left" w:pos="851"/>
          <w:tab w:val="left" w:pos="1134"/>
          <w:tab w:val="left" w:pos="1701"/>
          <w:tab w:val="left" w:pos="2268"/>
          <w:tab w:val="left" w:pos="2835"/>
          <w:tab w:val="right" w:pos="8265"/>
        </w:tabs>
        <w:spacing w:before="360" w:after="360" w:line="480" w:lineRule="auto"/>
        <w:ind w:left="851" w:hanging="851"/>
        <w:jc w:val="both"/>
        <w:rPr>
          <w:rFonts w:eastAsia="Times New Roman" w:cs="Times New Roman"/>
        </w:rPr>
      </w:pPr>
      <w:r w:rsidRPr="00027E87">
        <w:rPr>
          <w:rFonts w:eastAsia="Times New Roman" w:cs="Times New Roman"/>
        </w:rPr>
        <w:t>[9]</w:t>
      </w:r>
      <w:r w:rsidRPr="00027E87">
        <w:rPr>
          <w:rFonts w:eastAsia="Times New Roman" w:cs="Times New Roman"/>
        </w:rPr>
        <w:tab/>
      </w:r>
      <w:r w:rsidR="00027E87" w:rsidRPr="00027E87">
        <w:rPr>
          <w:rFonts w:eastAsia="Times New Roman" w:cs="Times New Roman"/>
        </w:rPr>
        <w:t>The first and second respondents brought a rescission application of this judgment on 24 January 2022.  I first need to decide the rescission application.  In order to do so, it is necessary to determine which rule governs an application for rescission in such circumstances.  The first and second respondents expressly relied on Rule 42 as well as the common law as a basis for the application.  However, where the judgment is granted in default of filing a plea, following a notice of bar, the correct rule would be Rule 31(5)(d), which reads:</w:t>
      </w:r>
    </w:p>
    <w:p w14:paraId="2C8A534F" w14:textId="77777777" w:rsidR="00027E87" w:rsidRPr="00027E87" w:rsidRDefault="00027E87" w:rsidP="00F32C34">
      <w:pPr>
        <w:tabs>
          <w:tab w:val="left" w:pos="1701"/>
          <w:tab w:val="left" w:pos="2835"/>
          <w:tab w:val="right" w:pos="8265"/>
        </w:tabs>
        <w:spacing w:before="360" w:after="360" w:line="480" w:lineRule="auto"/>
        <w:ind w:left="1701" w:hanging="850"/>
        <w:jc w:val="both"/>
        <w:rPr>
          <w:rFonts w:eastAsia="Times New Roman" w:cs="Times New Roman"/>
          <w:i/>
          <w:iCs/>
        </w:rPr>
      </w:pPr>
      <w:r w:rsidRPr="00027E87">
        <w:rPr>
          <w:rFonts w:eastAsia="Times New Roman" w:cs="Times New Roman"/>
          <w:i/>
          <w:iCs/>
        </w:rPr>
        <w:t>“(d)</w:t>
      </w:r>
      <w:r w:rsidRPr="00027E87">
        <w:rPr>
          <w:rFonts w:eastAsia="Times New Roman" w:cs="Times New Roman"/>
          <w:i/>
          <w:iCs/>
        </w:rPr>
        <w:tab/>
        <w:t>Any party dissatisfied with a judgment granted or direction given by the registrar may, within 20 days after such party has acquired knowledge of such judgment or direction, set the matter down for reconsideration by the court.”</w:t>
      </w:r>
    </w:p>
    <w:p w14:paraId="205B2EFB" w14:textId="12D0EADE" w:rsidR="00027E87" w:rsidRPr="00027E87" w:rsidRDefault="0062611B" w:rsidP="0062611B">
      <w:pPr>
        <w:tabs>
          <w:tab w:val="left" w:pos="851"/>
          <w:tab w:val="left" w:pos="1134"/>
          <w:tab w:val="left" w:pos="1701"/>
          <w:tab w:val="left" w:pos="2268"/>
          <w:tab w:val="left" w:pos="2835"/>
          <w:tab w:val="right" w:pos="8265"/>
        </w:tabs>
        <w:spacing w:before="360" w:after="360" w:line="480" w:lineRule="auto"/>
        <w:ind w:left="851" w:hanging="851"/>
        <w:jc w:val="both"/>
        <w:rPr>
          <w:rFonts w:eastAsia="Times New Roman" w:cs="Times New Roman"/>
        </w:rPr>
      </w:pPr>
      <w:r w:rsidRPr="00027E87">
        <w:rPr>
          <w:rFonts w:eastAsia="Times New Roman" w:cs="Times New Roman"/>
        </w:rPr>
        <w:t>[10]</w:t>
      </w:r>
      <w:r w:rsidRPr="00027E87">
        <w:rPr>
          <w:rFonts w:eastAsia="Times New Roman" w:cs="Times New Roman"/>
        </w:rPr>
        <w:tab/>
      </w:r>
      <w:r w:rsidR="00027E87" w:rsidRPr="00027E87">
        <w:rPr>
          <w:rFonts w:eastAsia="Times New Roman" w:cs="Times New Roman"/>
        </w:rPr>
        <w:t>The first and second respondents had knowledge of the judgment for more than 3 years before the application for rescission was launched.</w:t>
      </w:r>
    </w:p>
    <w:p w14:paraId="032461AB" w14:textId="31A7F0E2" w:rsidR="00027E87" w:rsidRPr="00027E87" w:rsidRDefault="0062611B" w:rsidP="0062611B">
      <w:pPr>
        <w:tabs>
          <w:tab w:val="left" w:pos="851"/>
          <w:tab w:val="left" w:pos="1134"/>
          <w:tab w:val="left" w:pos="1701"/>
          <w:tab w:val="left" w:pos="2268"/>
          <w:tab w:val="left" w:pos="2835"/>
          <w:tab w:val="right" w:pos="8265"/>
        </w:tabs>
        <w:spacing w:before="360" w:after="360" w:line="480" w:lineRule="auto"/>
        <w:ind w:left="851" w:hanging="851"/>
        <w:jc w:val="both"/>
        <w:rPr>
          <w:rFonts w:eastAsia="Times New Roman" w:cs="Times New Roman"/>
        </w:rPr>
      </w:pPr>
      <w:r w:rsidRPr="00027E87">
        <w:rPr>
          <w:rFonts w:eastAsia="Times New Roman" w:cs="Times New Roman"/>
        </w:rPr>
        <w:t>[11]</w:t>
      </w:r>
      <w:r w:rsidRPr="00027E87">
        <w:rPr>
          <w:rFonts w:eastAsia="Times New Roman" w:cs="Times New Roman"/>
        </w:rPr>
        <w:tab/>
      </w:r>
      <w:r w:rsidR="00027E87" w:rsidRPr="00027E87">
        <w:rPr>
          <w:rFonts w:eastAsia="Times New Roman" w:cs="Times New Roman"/>
        </w:rPr>
        <w:t xml:space="preserve">The DHA contend that the rescission application is not competent in that the respondents have, by their conduct, waived their right to apply for a rescission.  This submission is based on the extension of the principle of peremption </w:t>
      </w:r>
      <w:r w:rsidR="00772951">
        <w:rPr>
          <w:rFonts w:eastAsia="Times New Roman" w:cs="Times New Roman"/>
        </w:rPr>
        <w:t xml:space="preserve">in </w:t>
      </w:r>
      <w:r w:rsidR="00027E87" w:rsidRPr="00027E87">
        <w:rPr>
          <w:rFonts w:eastAsia="Times New Roman" w:cs="Times New Roman"/>
        </w:rPr>
        <w:t xml:space="preserve">appeals to rescissions in </w:t>
      </w:r>
      <w:r w:rsidR="00027E87" w:rsidRPr="00027E87">
        <w:rPr>
          <w:rFonts w:eastAsia="Times New Roman" w:cs="Times New Roman"/>
          <w:b/>
          <w:bCs/>
        </w:rPr>
        <w:t>Zuma v Secretary of the Judicial Services Commission</w:t>
      </w:r>
      <w:r w:rsidR="00027E87" w:rsidRPr="00027E87">
        <w:rPr>
          <w:rFonts w:eastAsia="Times New Roman" w:cs="Times New Roman"/>
        </w:rPr>
        <w:t xml:space="preserve"> 2021(11) BCLR 1263 (CC) at par [101].</w:t>
      </w:r>
    </w:p>
    <w:p w14:paraId="5A4A125C" w14:textId="2B3BD6B0" w:rsidR="00027E87" w:rsidRPr="00027E87" w:rsidRDefault="0062611B" w:rsidP="0062611B">
      <w:pPr>
        <w:tabs>
          <w:tab w:val="left" w:pos="851"/>
          <w:tab w:val="left" w:pos="1134"/>
          <w:tab w:val="left" w:pos="1701"/>
          <w:tab w:val="left" w:pos="2268"/>
          <w:tab w:val="left" w:pos="2835"/>
          <w:tab w:val="right" w:pos="8265"/>
        </w:tabs>
        <w:spacing w:before="360" w:after="360" w:line="480" w:lineRule="auto"/>
        <w:ind w:left="851" w:hanging="851"/>
        <w:jc w:val="both"/>
        <w:rPr>
          <w:rFonts w:eastAsia="Times New Roman" w:cs="Times New Roman"/>
        </w:rPr>
      </w:pPr>
      <w:r w:rsidRPr="00027E87">
        <w:rPr>
          <w:rFonts w:eastAsia="Times New Roman" w:cs="Times New Roman"/>
        </w:rPr>
        <w:lastRenderedPageBreak/>
        <w:t>[12]</w:t>
      </w:r>
      <w:r w:rsidRPr="00027E87">
        <w:rPr>
          <w:rFonts w:eastAsia="Times New Roman" w:cs="Times New Roman"/>
        </w:rPr>
        <w:tab/>
      </w:r>
      <w:r w:rsidR="00027E87" w:rsidRPr="00027E87">
        <w:rPr>
          <w:rFonts w:eastAsia="Times New Roman" w:cs="Times New Roman"/>
        </w:rPr>
        <w:t>Following the granting of default judgment by the Registrar on 31 August 2018, a writ of execution on movables was served on the first and second respondents on 16 October 2018.  At the time of such execution, the first and second respondents advised the Sheriff that they do not have sufficient assets o</w:t>
      </w:r>
      <w:r w:rsidR="00772951">
        <w:rPr>
          <w:rFonts w:eastAsia="Times New Roman" w:cs="Times New Roman"/>
        </w:rPr>
        <w:t>r</w:t>
      </w:r>
      <w:r w:rsidR="00027E87" w:rsidRPr="00027E87">
        <w:rPr>
          <w:rFonts w:eastAsia="Times New Roman" w:cs="Times New Roman"/>
        </w:rPr>
        <w:t xml:space="preserve"> funds to </w:t>
      </w:r>
      <w:r w:rsidR="00772951">
        <w:rPr>
          <w:rFonts w:eastAsia="Times New Roman" w:cs="Times New Roman"/>
        </w:rPr>
        <w:t>satisfy</w:t>
      </w:r>
      <w:r w:rsidR="00027E87" w:rsidRPr="00027E87">
        <w:rPr>
          <w:rFonts w:eastAsia="Times New Roman" w:cs="Times New Roman"/>
        </w:rPr>
        <w:t xml:space="preserve"> the judgment debt, and a </w:t>
      </w:r>
      <w:r w:rsidR="00027E87" w:rsidRPr="00027E87">
        <w:rPr>
          <w:rFonts w:eastAsia="Times New Roman" w:cs="Times New Roman"/>
          <w:i/>
          <w:iCs/>
        </w:rPr>
        <w:t>nulla bona</w:t>
      </w:r>
      <w:r w:rsidR="00027E87" w:rsidRPr="00027E87">
        <w:rPr>
          <w:rFonts w:eastAsia="Times New Roman" w:cs="Times New Roman"/>
        </w:rPr>
        <w:t xml:space="preserve"> return was entered.</w:t>
      </w:r>
    </w:p>
    <w:p w14:paraId="6A5C8A04" w14:textId="78C1508B" w:rsidR="00027E87" w:rsidRPr="00027E87" w:rsidRDefault="0062611B" w:rsidP="0062611B">
      <w:pPr>
        <w:tabs>
          <w:tab w:val="left" w:pos="851"/>
          <w:tab w:val="left" w:pos="1134"/>
          <w:tab w:val="left" w:pos="1701"/>
          <w:tab w:val="left" w:pos="2268"/>
          <w:tab w:val="left" w:pos="2835"/>
          <w:tab w:val="right" w:pos="8265"/>
        </w:tabs>
        <w:spacing w:before="360" w:after="360" w:line="480" w:lineRule="auto"/>
        <w:ind w:left="851" w:hanging="851"/>
        <w:jc w:val="both"/>
        <w:rPr>
          <w:rFonts w:eastAsia="Times New Roman" w:cs="Times New Roman"/>
        </w:rPr>
      </w:pPr>
      <w:r w:rsidRPr="00027E87">
        <w:rPr>
          <w:rFonts w:eastAsia="Times New Roman" w:cs="Times New Roman"/>
        </w:rPr>
        <w:t>[13]</w:t>
      </w:r>
      <w:r w:rsidRPr="00027E87">
        <w:rPr>
          <w:rFonts w:eastAsia="Times New Roman" w:cs="Times New Roman"/>
        </w:rPr>
        <w:tab/>
      </w:r>
      <w:r w:rsidR="00027E87" w:rsidRPr="00027E87">
        <w:rPr>
          <w:rFonts w:eastAsia="Times New Roman" w:cs="Times New Roman"/>
        </w:rPr>
        <w:t>The Rule 46A application was launched on 20 May 2019, in order to give effect to the execution of the aforesaid default judgment.  The first and second respondents opposed this application and participated in its proceedings.  The lateness of their answering affidavit gave rise to an application for condonation which served before Francis-Subbiah AJ (as she then was) on 20 May 2021.  That matter was postponed in order to give the respondents an opportunity to avoid the consequences of a Rule 46A application.</w:t>
      </w:r>
    </w:p>
    <w:p w14:paraId="3D851725" w14:textId="457D7369" w:rsidR="00027E87" w:rsidRPr="00027E87" w:rsidRDefault="0062611B" w:rsidP="0062611B">
      <w:pPr>
        <w:tabs>
          <w:tab w:val="left" w:pos="851"/>
          <w:tab w:val="left" w:pos="1134"/>
          <w:tab w:val="left" w:pos="1701"/>
          <w:tab w:val="left" w:pos="2268"/>
          <w:tab w:val="left" w:pos="2835"/>
          <w:tab w:val="right" w:pos="8265"/>
        </w:tabs>
        <w:spacing w:before="360" w:after="360" w:line="480" w:lineRule="auto"/>
        <w:ind w:left="851" w:hanging="851"/>
        <w:jc w:val="both"/>
        <w:rPr>
          <w:rFonts w:eastAsia="Times New Roman" w:cs="Times New Roman"/>
        </w:rPr>
      </w:pPr>
      <w:r w:rsidRPr="00027E87">
        <w:rPr>
          <w:rFonts w:eastAsia="Times New Roman" w:cs="Times New Roman"/>
        </w:rPr>
        <w:t>[14]</w:t>
      </w:r>
      <w:r w:rsidRPr="00027E87">
        <w:rPr>
          <w:rFonts w:eastAsia="Times New Roman" w:cs="Times New Roman"/>
        </w:rPr>
        <w:tab/>
      </w:r>
      <w:r w:rsidR="00BC0E58">
        <w:rPr>
          <w:rFonts w:eastAsia="Times New Roman" w:cs="Times New Roman"/>
        </w:rPr>
        <w:t>It is apparent from a</w:t>
      </w:r>
      <w:r w:rsidR="00027E87" w:rsidRPr="00027E87">
        <w:rPr>
          <w:rFonts w:eastAsia="Times New Roman" w:cs="Times New Roman"/>
        </w:rPr>
        <w:t xml:space="preserve"> transcript of the proceedings before Fran</w:t>
      </w:r>
      <w:r w:rsidR="00BC0E58">
        <w:rPr>
          <w:rFonts w:eastAsia="Times New Roman" w:cs="Times New Roman"/>
        </w:rPr>
        <w:t>c</w:t>
      </w:r>
      <w:r w:rsidR="00027E87" w:rsidRPr="00027E87">
        <w:rPr>
          <w:rFonts w:eastAsia="Times New Roman" w:cs="Times New Roman"/>
        </w:rPr>
        <w:t>is-Subbiah</w:t>
      </w:r>
      <w:r w:rsidR="00BC0E58">
        <w:rPr>
          <w:rFonts w:eastAsia="Times New Roman" w:cs="Times New Roman"/>
        </w:rPr>
        <w:t xml:space="preserve"> AJ</w:t>
      </w:r>
      <w:r w:rsidR="00027E87" w:rsidRPr="00027E87">
        <w:rPr>
          <w:rFonts w:eastAsia="Times New Roman" w:cs="Times New Roman"/>
        </w:rPr>
        <w:t xml:space="preserve">, </w:t>
      </w:r>
      <w:r w:rsidR="00BC0E58">
        <w:rPr>
          <w:rFonts w:eastAsia="Times New Roman" w:cs="Times New Roman"/>
        </w:rPr>
        <w:t xml:space="preserve">that </w:t>
      </w:r>
      <w:r w:rsidR="00027E87" w:rsidRPr="00027E87">
        <w:rPr>
          <w:rFonts w:eastAsia="Times New Roman" w:cs="Times New Roman"/>
        </w:rPr>
        <w:t>the issue of a rescission application, was mooted by the court and accepted by the first respondent.</w:t>
      </w:r>
    </w:p>
    <w:p w14:paraId="634726F3" w14:textId="4D515D84" w:rsidR="00027E87" w:rsidRPr="00027E87" w:rsidRDefault="0062611B" w:rsidP="0062611B">
      <w:pPr>
        <w:tabs>
          <w:tab w:val="left" w:pos="851"/>
          <w:tab w:val="left" w:pos="1134"/>
          <w:tab w:val="left" w:pos="1701"/>
          <w:tab w:val="left" w:pos="2268"/>
          <w:tab w:val="left" w:pos="2835"/>
          <w:tab w:val="right" w:pos="8265"/>
        </w:tabs>
        <w:spacing w:before="360" w:after="360" w:line="480" w:lineRule="auto"/>
        <w:ind w:left="851" w:hanging="851"/>
        <w:jc w:val="both"/>
        <w:rPr>
          <w:rFonts w:eastAsia="Times New Roman" w:cs="Times New Roman"/>
        </w:rPr>
      </w:pPr>
      <w:r w:rsidRPr="00027E87">
        <w:rPr>
          <w:rFonts w:eastAsia="Times New Roman" w:cs="Times New Roman"/>
        </w:rPr>
        <w:t>[15]</w:t>
      </w:r>
      <w:r w:rsidRPr="00027E87">
        <w:rPr>
          <w:rFonts w:eastAsia="Times New Roman" w:cs="Times New Roman"/>
        </w:rPr>
        <w:tab/>
      </w:r>
      <w:r w:rsidR="00027E87" w:rsidRPr="00027E87">
        <w:rPr>
          <w:rFonts w:eastAsia="Times New Roman" w:cs="Times New Roman"/>
        </w:rPr>
        <w:t>The first respondent stated that he definitely intends brin</w:t>
      </w:r>
      <w:r w:rsidR="00BC0E58">
        <w:rPr>
          <w:rFonts w:eastAsia="Times New Roman" w:cs="Times New Roman"/>
        </w:rPr>
        <w:t>g</w:t>
      </w:r>
      <w:r w:rsidR="00027E87" w:rsidRPr="00027E87">
        <w:rPr>
          <w:rFonts w:eastAsia="Times New Roman" w:cs="Times New Roman"/>
        </w:rPr>
        <w:t>ing a rescission application.  The court warned the first respondent to act promptly and not to take another two years, to which he responded:</w:t>
      </w:r>
    </w:p>
    <w:p w14:paraId="21474B92" w14:textId="5ABF63B4" w:rsidR="00027E87" w:rsidRPr="00027E87" w:rsidRDefault="00027E87" w:rsidP="00F32C34">
      <w:pPr>
        <w:tabs>
          <w:tab w:val="left" w:pos="851"/>
          <w:tab w:val="left" w:pos="1134"/>
          <w:tab w:val="left" w:pos="1701"/>
          <w:tab w:val="left" w:pos="2268"/>
          <w:tab w:val="left" w:pos="2835"/>
          <w:tab w:val="right" w:pos="8265"/>
        </w:tabs>
        <w:spacing w:before="360" w:after="360" w:line="480" w:lineRule="auto"/>
        <w:ind w:left="851"/>
        <w:jc w:val="both"/>
        <w:rPr>
          <w:rFonts w:eastAsia="Times New Roman" w:cs="Times New Roman"/>
          <w:i/>
          <w:iCs/>
        </w:rPr>
      </w:pPr>
      <w:r w:rsidRPr="00027E87">
        <w:rPr>
          <w:rFonts w:eastAsia="Times New Roman" w:cs="Times New Roman"/>
          <w:i/>
          <w:iCs/>
        </w:rPr>
        <w:t xml:space="preserve">“No no no.  I realise that.  No, I have left it too long.  I have been guilty, I have left it too long but I do realise the utter seriousness of it and that we could </w:t>
      </w:r>
      <w:r w:rsidR="004A778E" w:rsidRPr="00027E87">
        <w:rPr>
          <w:rFonts w:eastAsia="Times New Roman" w:cs="Times New Roman"/>
          <w:i/>
          <w:iCs/>
        </w:rPr>
        <w:t>lose</w:t>
      </w:r>
      <w:r w:rsidRPr="00027E87">
        <w:rPr>
          <w:rFonts w:eastAsia="Times New Roman" w:cs="Times New Roman"/>
          <w:i/>
          <w:iCs/>
        </w:rPr>
        <w:t xml:space="preserve"> our home if I do not do anything about it.  But I am … even if I have to work 24 hours every day on this </w:t>
      </w:r>
      <w:r w:rsidR="004A778E" w:rsidRPr="00027E87">
        <w:rPr>
          <w:rFonts w:eastAsia="Times New Roman" w:cs="Times New Roman"/>
          <w:i/>
          <w:iCs/>
        </w:rPr>
        <w:t>issue,</w:t>
      </w:r>
      <w:r w:rsidRPr="00027E87">
        <w:rPr>
          <w:rFonts w:eastAsia="Times New Roman" w:cs="Times New Roman"/>
          <w:i/>
          <w:iCs/>
        </w:rPr>
        <w:t xml:space="preserve"> I will solve it and can tell you this, that we </w:t>
      </w:r>
      <w:r w:rsidRPr="00027E87">
        <w:rPr>
          <w:rFonts w:eastAsia="Times New Roman" w:cs="Times New Roman"/>
          <w:i/>
          <w:iCs/>
        </w:rPr>
        <w:lastRenderedPageBreak/>
        <w:t xml:space="preserve">have reserves … you know to make sure that we can confront all these difficulties and resolve these financial issues.  </w:t>
      </w:r>
      <w:r w:rsidR="004A778E" w:rsidRPr="00027E87">
        <w:rPr>
          <w:rFonts w:eastAsia="Times New Roman" w:cs="Times New Roman"/>
          <w:i/>
          <w:iCs/>
        </w:rPr>
        <w:t>So,</w:t>
      </w:r>
      <w:r w:rsidRPr="00027E87">
        <w:rPr>
          <w:rFonts w:eastAsia="Times New Roman" w:cs="Times New Roman"/>
          <w:i/>
          <w:iCs/>
        </w:rPr>
        <w:t xml:space="preserve"> payment is not the problem.”</w:t>
      </w:r>
    </w:p>
    <w:p w14:paraId="54095DB5" w14:textId="57FE2EAC" w:rsidR="00027E87" w:rsidRPr="00027E87" w:rsidRDefault="0062611B" w:rsidP="0062611B">
      <w:pPr>
        <w:tabs>
          <w:tab w:val="left" w:pos="851"/>
          <w:tab w:val="left" w:pos="1134"/>
          <w:tab w:val="left" w:pos="1701"/>
          <w:tab w:val="left" w:pos="2268"/>
          <w:tab w:val="left" w:pos="2835"/>
          <w:tab w:val="right" w:pos="8265"/>
        </w:tabs>
        <w:spacing w:before="360" w:after="360" w:line="480" w:lineRule="auto"/>
        <w:ind w:left="851" w:hanging="851"/>
        <w:jc w:val="both"/>
        <w:rPr>
          <w:rFonts w:eastAsia="Times New Roman" w:cs="Times New Roman"/>
        </w:rPr>
      </w:pPr>
      <w:r w:rsidRPr="00027E87">
        <w:rPr>
          <w:rFonts w:eastAsia="Times New Roman" w:cs="Times New Roman"/>
        </w:rPr>
        <w:t>[16]</w:t>
      </w:r>
      <w:r w:rsidRPr="00027E87">
        <w:rPr>
          <w:rFonts w:eastAsia="Times New Roman" w:cs="Times New Roman"/>
        </w:rPr>
        <w:tab/>
      </w:r>
      <w:r w:rsidR="00027E87" w:rsidRPr="00027E87">
        <w:rPr>
          <w:rFonts w:eastAsia="Times New Roman" w:cs="Times New Roman"/>
        </w:rPr>
        <w:t>The respondents however did not act with the promptness conveyed to Francis-Subbiah</w:t>
      </w:r>
      <w:r w:rsidR="00BC0E58">
        <w:rPr>
          <w:rFonts w:eastAsia="Times New Roman" w:cs="Times New Roman"/>
        </w:rPr>
        <w:t xml:space="preserve"> AJ</w:t>
      </w:r>
      <w:r w:rsidR="00027E87" w:rsidRPr="00027E87">
        <w:rPr>
          <w:rFonts w:eastAsia="Times New Roman" w:cs="Times New Roman"/>
        </w:rPr>
        <w:t>.  In a letter of 26 October 2021 the respondents were again warned of the need to bring a rescission application, but nothing was done.  The rescission application only saw the light of day on 24 January 2022.  It was served two days before the Rule 46A proceedings were to be heard before Fourie J.  That led to a postponement of the Rule 46A proceedings.</w:t>
      </w:r>
    </w:p>
    <w:p w14:paraId="2F8B13ED" w14:textId="6FFD0037" w:rsidR="00027E87" w:rsidRPr="00027E87" w:rsidRDefault="0062611B" w:rsidP="0062611B">
      <w:pPr>
        <w:tabs>
          <w:tab w:val="left" w:pos="851"/>
          <w:tab w:val="left" w:pos="1134"/>
          <w:tab w:val="left" w:pos="1701"/>
          <w:tab w:val="left" w:pos="2268"/>
          <w:tab w:val="left" w:pos="2835"/>
          <w:tab w:val="right" w:pos="8265"/>
        </w:tabs>
        <w:spacing w:before="360" w:after="360" w:line="480" w:lineRule="auto"/>
        <w:ind w:left="851" w:hanging="851"/>
        <w:jc w:val="both"/>
        <w:rPr>
          <w:rFonts w:eastAsia="Times New Roman" w:cs="Times New Roman"/>
        </w:rPr>
      </w:pPr>
      <w:r w:rsidRPr="00027E87">
        <w:rPr>
          <w:rFonts w:eastAsia="Times New Roman" w:cs="Times New Roman"/>
        </w:rPr>
        <w:t>[17]</w:t>
      </w:r>
      <w:r w:rsidRPr="00027E87">
        <w:rPr>
          <w:rFonts w:eastAsia="Times New Roman" w:cs="Times New Roman"/>
        </w:rPr>
        <w:tab/>
      </w:r>
      <w:r w:rsidR="00027E87" w:rsidRPr="00027E87">
        <w:rPr>
          <w:rFonts w:eastAsia="Times New Roman" w:cs="Times New Roman"/>
        </w:rPr>
        <w:t xml:space="preserve">The period to be covered in an application for rescission, in order to explain the delay, would be a period 20 days after judgment was granted. </w:t>
      </w:r>
      <w:r w:rsidR="00BC0E58">
        <w:rPr>
          <w:rFonts w:eastAsia="Times New Roman" w:cs="Times New Roman"/>
        </w:rPr>
        <w:t>The explanation for the delay in the papers is flimsy.</w:t>
      </w:r>
      <w:r w:rsidR="00027E87" w:rsidRPr="00027E87">
        <w:rPr>
          <w:rFonts w:eastAsia="Times New Roman" w:cs="Times New Roman"/>
        </w:rPr>
        <w:t xml:space="preserve"> The respondents have not attempted to explain in detail why the application for rescission was not timeously brought and why more than 3 years expired since they became aware of the judgment before it was launched.  </w:t>
      </w:r>
    </w:p>
    <w:p w14:paraId="56E946F2" w14:textId="53293C59" w:rsidR="00027E87" w:rsidRPr="00027E87" w:rsidRDefault="0062611B" w:rsidP="0062611B">
      <w:pPr>
        <w:tabs>
          <w:tab w:val="left" w:pos="851"/>
          <w:tab w:val="left" w:pos="1134"/>
          <w:tab w:val="left" w:pos="1701"/>
          <w:tab w:val="left" w:pos="2268"/>
          <w:tab w:val="left" w:pos="2835"/>
          <w:tab w:val="right" w:pos="8265"/>
        </w:tabs>
        <w:spacing w:before="360" w:after="360" w:line="480" w:lineRule="auto"/>
        <w:ind w:left="851" w:hanging="851"/>
        <w:jc w:val="both"/>
        <w:rPr>
          <w:rFonts w:eastAsia="Times New Roman" w:cs="Times New Roman"/>
        </w:rPr>
      </w:pPr>
      <w:r w:rsidRPr="00027E87">
        <w:rPr>
          <w:rFonts w:eastAsia="Times New Roman" w:cs="Times New Roman"/>
        </w:rPr>
        <w:t>[18]</w:t>
      </w:r>
      <w:r w:rsidRPr="00027E87">
        <w:rPr>
          <w:rFonts w:eastAsia="Times New Roman" w:cs="Times New Roman"/>
        </w:rPr>
        <w:tab/>
      </w:r>
      <w:r w:rsidR="00027E87" w:rsidRPr="00027E87">
        <w:rPr>
          <w:rFonts w:eastAsia="Times New Roman" w:cs="Times New Roman"/>
        </w:rPr>
        <w:t xml:space="preserve">The first respondent, acting in person, </w:t>
      </w:r>
      <w:r w:rsidR="00BC0E58">
        <w:rPr>
          <w:rFonts w:eastAsia="Times New Roman" w:cs="Times New Roman"/>
        </w:rPr>
        <w:t>submitted</w:t>
      </w:r>
      <w:r w:rsidR="00027E87" w:rsidRPr="00027E87">
        <w:rPr>
          <w:rFonts w:eastAsia="Times New Roman" w:cs="Times New Roman"/>
        </w:rPr>
        <w:t xml:space="preserve"> that he could not get to the rescission application for a number of reasons.  These included that he was oversees on a few occasions.  He however then conceded that he did not give enough attention to the rescission application, since he did not take it very seriously.  He was of the view that the amount was paltry and that no court would grant an order declaring a primary residence executable.  This perception has permeated the submissions made by the first respondent.  He tried recanting on the issue whether he took the need for a rescission </w:t>
      </w:r>
      <w:r w:rsidR="00027E87" w:rsidRPr="00027E87">
        <w:rPr>
          <w:rFonts w:eastAsia="Times New Roman" w:cs="Times New Roman"/>
        </w:rPr>
        <w:lastRenderedPageBreak/>
        <w:t xml:space="preserve">application seriously or not.  His conduct indicates that, despite knowing of the judgment, and despite knowing of the need for a rescission application, he did nothing about it until January 2022. </w:t>
      </w:r>
    </w:p>
    <w:p w14:paraId="7841A478" w14:textId="522AE893" w:rsidR="00027E87" w:rsidRPr="00027E87" w:rsidRDefault="0062611B" w:rsidP="0062611B">
      <w:pPr>
        <w:tabs>
          <w:tab w:val="left" w:pos="851"/>
          <w:tab w:val="left" w:pos="1134"/>
          <w:tab w:val="left" w:pos="1701"/>
          <w:tab w:val="left" w:pos="2268"/>
          <w:tab w:val="left" w:pos="2835"/>
          <w:tab w:val="right" w:pos="8265"/>
        </w:tabs>
        <w:spacing w:before="360" w:after="360" w:line="480" w:lineRule="auto"/>
        <w:ind w:left="851" w:hanging="851"/>
        <w:jc w:val="both"/>
        <w:rPr>
          <w:rFonts w:eastAsia="Times New Roman" w:cs="Times New Roman"/>
        </w:rPr>
      </w:pPr>
      <w:r w:rsidRPr="00027E87">
        <w:rPr>
          <w:rFonts w:eastAsia="Times New Roman" w:cs="Times New Roman"/>
        </w:rPr>
        <w:t>[19]</w:t>
      </w:r>
      <w:r w:rsidRPr="00027E87">
        <w:rPr>
          <w:rFonts w:eastAsia="Times New Roman" w:cs="Times New Roman"/>
        </w:rPr>
        <w:tab/>
      </w:r>
      <w:r w:rsidR="00027E87" w:rsidRPr="00027E87">
        <w:rPr>
          <w:rFonts w:eastAsia="Times New Roman" w:cs="Times New Roman"/>
        </w:rPr>
        <w:t>The first respondent contends that the judgment debt contain interest that, in his view had become prescribed.</w:t>
      </w:r>
      <w:r w:rsidR="00BC0E58">
        <w:rPr>
          <w:rFonts w:eastAsia="Times New Roman" w:cs="Times New Roman"/>
        </w:rPr>
        <w:t xml:space="preserve"> He regarded the court order as invalid.</w:t>
      </w:r>
      <w:r w:rsidR="00027E87" w:rsidRPr="00027E87">
        <w:rPr>
          <w:rFonts w:eastAsia="Times New Roman" w:cs="Times New Roman"/>
        </w:rPr>
        <w:t xml:space="preserve">  His defences to not paying levies included the contention that, as their membership was suspended, he was absolved from paying levies as no services were being rendered to the respondents.</w:t>
      </w:r>
      <w:r w:rsidR="00D27A49">
        <w:rPr>
          <w:rFonts w:eastAsia="Times New Roman" w:cs="Times New Roman"/>
        </w:rPr>
        <w:t xml:space="preserve"> </w:t>
      </w:r>
      <w:r w:rsidR="00BC0E58">
        <w:rPr>
          <w:rFonts w:eastAsia="Times New Roman" w:cs="Times New Roman"/>
        </w:rPr>
        <w:t>O</w:t>
      </w:r>
      <w:r w:rsidR="00027E87" w:rsidRPr="00027E87">
        <w:rPr>
          <w:rFonts w:eastAsia="Times New Roman" w:cs="Times New Roman"/>
        </w:rPr>
        <w:t>ne would expect the first respondent to have brought a rescission application with alacrity</w:t>
      </w:r>
      <w:r w:rsidR="00BC0E58">
        <w:rPr>
          <w:rFonts w:eastAsia="Times New Roman" w:cs="Times New Roman"/>
        </w:rPr>
        <w:t xml:space="preserve"> if these defences were available.</w:t>
      </w:r>
      <w:r w:rsidR="00027E87" w:rsidRPr="00027E87">
        <w:rPr>
          <w:rFonts w:eastAsia="Times New Roman" w:cs="Times New Roman"/>
        </w:rPr>
        <w:t xml:space="preserve">  Rather than acting proactively, the respondents have taken a s</w:t>
      </w:r>
      <w:r w:rsidR="00BC0E58">
        <w:rPr>
          <w:rFonts w:eastAsia="Times New Roman" w:cs="Times New Roman"/>
        </w:rPr>
        <w:t>upine</w:t>
      </w:r>
      <w:r w:rsidR="00027E87" w:rsidRPr="00027E87">
        <w:rPr>
          <w:rFonts w:eastAsia="Times New Roman" w:cs="Times New Roman"/>
        </w:rPr>
        <w:t xml:space="preserve"> approach to the execution process.</w:t>
      </w:r>
    </w:p>
    <w:p w14:paraId="52E39EFB" w14:textId="195AF9B9" w:rsidR="00027E87" w:rsidRPr="00D27A49" w:rsidRDefault="0062611B" w:rsidP="0062611B">
      <w:pPr>
        <w:tabs>
          <w:tab w:val="left" w:pos="851"/>
          <w:tab w:val="left" w:pos="1134"/>
          <w:tab w:val="left" w:pos="1701"/>
          <w:tab w:val="left" w:pos="2268"/>
          <w:tab w:val="left" w:pos="2835"/>
          <w:tab w:val="right" w:pos="8265"/>
        </w:tabs>
        <w:spacing w:before="360" w:after="360" w:line="480" w:lineRule="auto"/>
        <w:ind w:left="851" w:hanging="851"/>
        <w:jc w:val="both"/>
        <w:rPr>
          <w:rFonts w:eastAsia="Times New Roman" w:cs="Times New Roman"/>
        </w:rPr>
      </w:pPr>
      <w:r w:rsidRPr="00D27A49">
        <w:rPr>
          <w:rFonts w:eastAsia="Times New Roman" w:cs="Times New Roman"/>
        </w:rPr>
        <w:t>[20]</w:t>
      </w:r>
      <w:r w:rsidRPr="00D27A49">
        <w:rPr>
          <w:rFonts w:eastAsia="Times New Roman" w:cs="Times New Roman"/>
        </w:rPr>
        <w:tab/>
      </w:r>
      <w:r w:rsidR="00027E87" w:rsidRPr="00D27A49">
        <w:rPr>
          <w:rFonts w:eastAsia="Times New Roman" w:cs="Times New Roman"/>
        </w:rPr>
        <w:t xml:space="preserve">The Rules of the Dainfern Homeowners Association provide for </w:t>
      </w:r>
      <w:r w:rsidR="00D27A49" w:rsidRPr="00D27A49">
        <w:rPr>
          <w:rFonts w:eastAsia="Times New Roman" w:cs="Times New Roman"/>
        </w:rPr>
        <w:t xml:space="preserve">interest on outstanding levies to become part of the debt due- ie arrear interest is capitalised. If there was a dispute regarding levies the rules </w:t>
      </w:r>
      <w:r w:rsidR="000B5C1E" w:rsidRPr="00D27A49">
        <w:rPr>
          <w:rFonts w:eastAsia="Times New Roman" w:cs="Times New Roman"/>
        </w:rPr>
        <w:t>provide</w:t>
      </w:r>
      <w:r w:rsidR="00D27A49" w:rsidRPr="00D27A49">
        <w:rPr>
          <w:rFonts w:eastAsia="Times New Roman" w:cs="Times New Roman"/>
        </w:rPr>
        <w:t xml:space="preserve"> for an alternative dispute resolution process including mediation or arbitration</w:t>
      </w:r>
      <w:r w:rsidR="00027E87" w:rsidRPr="00D27A49">
        <w:rPr>
          <w:rFonts w:eastAsia="Times New Roman" w:cs="Times New Roman"/>
        </w:rPr>
        <w:t>s</w:t>
      </w:r>
      <w:r w:rsidR="00D27A49" w:rsidRPr="00D27A49">
        <w:rPr>
          <w:rFonts w:eastAsia="Times New Roman" w:cs="Times New Roman"/>
        </w:rPr>
        <w:t>.</w:t>
      </w:r>
      <w:r w:rsidR="00027E87" w:rsidRPr="00D27A49">
        <w:rPr>
          <w:rFonts w:eastAsia="Times New Roman" w:cs="Times New Roman"/>
        </w:rPr>
        <w:t xml:space="preserve">  The first respondent did not establish that he exercised these rights to challenge the correctness of the levies imposed on the respondents.  Rather, he ceased paying levies all together and </w:t>
      </w:r>
      <w:r w:rsidR="00D27A49">
        <w:rPr>
          <w:rFonts w:eastAsia="Times New Roman" w:cs="Times New Roman"/>
        </w:rPr>
        <w:t xml:space="preserve">this has been the </w:t>
      </w:r>
      <w:r w:rsidR="00027E87" w:rsidRPr="00D27A49">
        <w:rPr>
          <w:rFonts w:eastAsia="Times New Roman" w:cs="Times New Roman"/>
        </w:rPr>
        <w:t>position since 2008</w:t>
      </w:r>
      <w:r w:rsidR="00D27A49" w:rsidRPr="00D27A49">
        <w:rPr>
          <w:rFonts w:eastAsia="Times New Roman" w:cs="Times New Roman"/>
        </w:rPr>
        <w:t>.</w:t>
      </w:r>
      <w:r w:rsidR="00027E87" w:rsidRPr="00D27A49">
        <w:rPr>
          <w:rFonts w:eastAsia="Times New Roman" w:cs="Times New Roman"/>
        </w:rPr>
        <w:t xml:space="preserve">  </w:t>
      </w:r>
    </w:p>
    <w:p w14:paraId="7E91E804" w14:textId="65F8EAF7" w:rsidR="00027E87" w:rsidRPr="00027E87" w:rsidRDefault="0062611B" w:rsidP="0062611B">
      <w:pPr>
        <w:tabs>
          <w:tab w:val="left" w:pos="851"/>
          <w:tab w:val="left" w:pos="1134"/>
          <w:tab w:val="left" w:pos="1701"/>
          <w:tab w:val="left" w:pos="2268"/>
          <w:tab w:val="left" w:pos="2835"/>
          <w:tab w:val="right" w:pos="8265"/>
        </w:tabs>
        <w:spacing w:before="360" w:after="360" w:line="480" w:lineRule="auto"/>
        <w:ind w:left="851" w:hanging="851"/>
        <w:jc w:val="both"/>
        <w:rPr>
          <w:rFonts w:eastAsia="Times New Roman" w:cs="Times New Roman"/>
        </w:rPr>
      </w:pPr>
      <w:r w:rsidRPr="00027E87">
        <w:rPr>
          <w:rFonts w:eastAsia="Times New Roman" w:cs="Times New Roman"/>
        </w:rPr>
        <w:t>[21]</w:t>
      </w:r>
      <w:r w:rsidRPr="00027E87">
        <w:rPr>
          <w:rFonts w:eastAsia="Times New Roman" w:cs="Times New Roman"/>
        </w:rPr>
        <w:tab/>
      </w:r>
      <w:r w:rsidR="00027E87" w:rsidRPr="00027E87">
        <w:rPr>
          <w:rFonts w:eastAsia="Times New Roman" w:cs="Times New Roman"/>
        </w:rPr>
        <w:t>The evidence establishes that there has been an undue delay</w:t>
      </w:r>
      <w:r w:rsidR="00D27A49">
        <w:rPr>
          <w:rFonts w:eastAsia="Times New Roman" w:cs="Times New Roman"/>
        </w:rPr>
        <w:t xml:space="preserve">. </w:t>
      </w:r>
      <w:r w:rsidR="004C7D6D">
        <w:rPr>
          <w:rFonts w:eastAsia="Times New Roman" w:cs="Times New Roman"/>
        </w:rPr>
        <w:t xml:space="preserve">There is no acceptable explanation for why the respondents permitted the action to proceed by default when they were clearly aware of the action, since they filed a notice of opposition. </w:t>
      </w:r>
      <w:r w:rsidR="00D27A49">
        <w:rPr>
          <w:rFonts w:eastAsia="Times New Roman" w:cs="Times New Roman"/>
        </w:rPr>
        <w:t>The reasons for the delay</w:t>
      </w:r>
      <w:r w:rsidR="004C7D6D">
        <w:rPr>
          <w:rFonts w:eastAsia="Times New Roman" w:cs="Times New Roman"/>
        </w:rPr>
        <w:t xml:space="preserve"> thereafter in bringing the rescission application has also not been fully explained for the full period of </w:t>
      </w:r>
      <w:r w:rsidR="004C7D6D">
        <w:rPr>
          <w:rFonts w:eastAsia="Times New Roman" w:cs="Times New Roman"/>
        </w:rPr>
        <w:lastRenderedPageBreak/>
        <w:t xml:space="preserve">the delay. The delay should be </w:t>
      </w:r>
      <w:r w:rsidR="00D27A49">
        <w:rPr>
          <w:rFonts w:eastAsia="Times New Roman" w:cs="Times New Roman"/>
        </w:rPr>
        <w:t xml:space="preserve">fully explained </w:t>
      </w:r>
      <w:r w:rsidR="001B5442">
        <w:rPr>
          <w:rFonts w:eastAsia="Times New Roman" w:cs="Times New Roman"/>
        </w:rPr>
        <w:t xml:space="preserve">for the full period </w:t>
      </w:r>
      <w:r w:rsidR="00D27A49">
        <w:rPr>
          <w:rFonts w:eastAsia="Times New Roman" w:cs="Times New Roman"/>
        </w:rPr>
        <w:t>in s</w:t>
      </w:r>
      <w:r w:rsidR="001B5442">
        <w:rPr>
          <w:rFonts w:eastAsia="Times New Roman" w:cs="Times New Roman"/>
        </w:rPr>
        <w:t xml:space="preserve">ufficient </w:t>
      </w:r>
      <w:r w:rsidR="00D27A49">
        <w:rPr>
          <w:rFonts w:eastAsia="Times New Roman" w:cs="Times New Roman"/>
        </w:rPr>
        <w:t xml:space="preserve"> particularity  to </w:t>
      </w:r>
      <w:r w:rsidR="00D14C19">
        <w:rPr>
          <w:rFonts w:eastAsia="Times New Roman" w:cs="Times New Roman"/>
        </w:rPr>
        <w:t>place the court in the position to understand the reasons for the delay.</w:t>
      </w:r>
      <w:r w:rsidR="00A240FB">
        <w:rPr>
          <w:rFonts w:eastAsia="Times New Roman" w:cs="Times New Roman"/>
        </w:rPr>
        <w:t>(See Buffalo City Metropolitan Municipality v Asla Construction 2019 (6) BCLR 661 (CC) at par [52]).</w:t>
      </w:r>
      <w:r w:rsidR="00027E87" w:rsidRPr="00027E87">
        <w:rPr>
          <w:rFonts w:eastAsia="Times New Roman" w:cs="Times New Roman"/>
        </w:rPr>
        <w:t xml:space="preserve"> </w:t>
      </w:r>
      <w:r w:rsidR="004C7D6D">
        <w:rPr>
          <w:rFonts w:eastAsia="Times New Roman" w:cs="Times New Roman"/>
        </w:rPr>
        <w:t xml:space="preserve">This was not done. </w:t>
      </w:r>
      <w:r w:rsidR="00027E87" w:rsidRPr="00027E87">
        <w:rPr>
          <w:rFonts w:eastAsia="Times New Roman" w:cs="Times New Roman"/>
        </w:rPr>
        <w:t xml:space="preserve">In fact, the delay in </w:t>
      </w:r>
      <w:r w:rsidR="004A778E" w:rsidRPr="00027E87">
        <w:rPr>
          <w:rFonts w:eastAsia="Times New Roman" w:cs="Times New Roman"/>
        </w:rPr>
        <w:t>bringing</w:t>
      </w:r>
      <w:r w:rsidR="00027E87" w:rsidRPr="00027E87">
        <w:rPr>
          <w:rFonts w:eastAsia="Times New Roman" w:cs="Times New Roman"/>
        </w:rPr>
        <w:t xml:space="preserve"> the </w:t>
      </w:r>
      <w:r w:rsidR="00D27A49">
        <w:rPr>
          <w:rFonts w:eastAsia="Times New Roman" w:cs="Times New Roman"/>
        </w:rPr>
        <w:t>rescission</w:t>
      </w:r>
      <w:r w:rsidR="00027E87" w:rsidRPr="00027E87">
        <w:rPr>
          <w:rFonts w:eastAsia="Times New Roman" w:cs="Times New Roman"/>
        </w:rPr>
        <w:t xml:space="preserve"> application appears to be wilful.  </w:t>
      </w:r>
      <w:r w:rsidR="00D27A49">
        <w:rPr>
          <w:rFonts w:eastAsia="Times New Roman" w:cs="Times New Roman"/>
        </w:rPr>
        <w:t xml:space="preserve">The respondents were repeatedly warned of the need for a rescission to avoid further execution. </w:t>
      </w:r>
      <w:r w:rsidR="00A240FB">
        <w:rPr>
          <w:rFonts w:eastAsia="Times New Roman" w:cs="Times New Roman"/>
        </w:rPr>
        <w:t>The</w:t>
      </w:r>
      <w:r w:rsidR="00D27A49">
        <w:rPr>
          <w:rFonts w:eastAsia="Times New Roman" w:cs="Times New Roman"/>
        </w:rPr>
        <w:t xml:space="preserve"> failure to </w:t>
      </w:r>
      <w:r w:rsidR="00A240FB">
        <w:rPr>
          <w:rFonts w:eastAsia="Times New Roman" w:cs="Times New Roman"/>
        </w:rPr>
        <w:t>bring such application for more than three years</w:t>
      </w:r>
      <w:r w:rsidR="00027E87" w:rsidRPr="00027E87">
        <w:rPr>
          <w:rFonts w:eastAsia="Times New Roman" w:cs="Times New Roman"/>
        </w:rPr>
        <w:t xml:space="preserve"> is consistent with the waiver of the right to bring a rescission application, despite being repeatedly warned of the need to do so, and despite protestations of his intention to do so urgently.</w:t>
      </w:r>
    </w:p>
    <w:p w14:paraId="2496B651" w14:textId="54DE0F2C" w:rsidR="00BD5F30" w:rsidRDefault="0062611B" w:rsidP="0062611B">
      <w:pPr>
        <w:tabs>
          <w:tab w:val="left" w:pos="851"/>
          <w:tab w:val="left" w:pos="1134"/>
          <w:tab w:val="left" w:pos="1701"/>
          <w:tab w:val="left" w:pos="2268"/>
          <w:tab w:val="left" w:pos="2835"/>
          <w:tab w:val="right" w:pos="8265"/>
        </w:tabs>
        <w:spacing w:before="360" w:after="360" w:line="480" w:lineRule="auto"/>
        <w:ind w:left="851" w:hanging="851"/>
        <w:jc w:val="both"/>
        <w:rPr>
          <w:rFonts w:eastAsia="Times New Roman" w:cs="Times New Roman"/>
        </w:rPr>
      </w:pPr>
      <w:r>
        <w:rPr>
          <w:rFonts w:eastAsia="Times New Roman" w:cs="Times New Roman"/>
        </w:rPr>
        <w:t>[22]</w:t>
      </w:r>
      <w:r>
        <w:rPr>
          <w:rFonts w:eastAsia="Times New Roman" w:cs="Times New Roman"/>
        </w:rPr>
        <w:tab/>
      </w:r>
      <w:r w:rsidR="004C7D6D">
        <w:rPr>
          <w:rFonts w:eastAsia="Times New Roman" w:cs="Times New Roman"/>
        </w:rPr>
        <w:t>The next questio</w:t>
      </w:r>
      <w:r w:rsidR="000B5C1E">
        <w:rPr>
          <w:rFonts w:eastAsia="Times New Roman" w:cs="Times New Roman"/>
        </w:rPr>
        <w:t>n is whether, despite the delay</w:t>
      </w:r>
      <w:r w:rsidR="004C7D6D">
        <w:rPr>
          <w:rFonts w:eastAsia="Times New Roman" w:cs="Times New Roman"/>
        </w:rPr>
        <w:t xml:space="preserve">, the delay should be condoned. One consideration in this regard is that the respondents are acting in person. However, the respondents have been involved in so much litigation since 2018 that there is a demonstrable degree of proficiency in drafting </w:t>
      </w:r>
      <w:r w:rsidR="000B5C1E">
        <w:rPr>
          <w:rFonts w:eastAsia="Times New Roman" w:cs="Times New Roman"/>
        </w:rPr>
        <w:t xml:space="preserve">papers and presenting argument </w:t>
      </w:r>
      <w:r w:rsidR="004C7D6D">
        <w:rPr>
          <w:rFonts w:eastAsia="Times New Roman" w:cs="Times New Roman"/>
        </w:rPr>
        <w:t xml:space="preserve">not usually found with a lay litigant. Another consideration is the age of the respondents. </w:t>
      </w:r>
      <w:r w:rsidR="00BD5F30">
        <w:rPr>
          <w:rFonts w:eastAsia="Times New Roman" w:cs="Times New Roman"/>
        </w:rPr>
        <w:t xml:space="preserve">I take this into account. However, there is a countervailing consideration. When the first respondent embarked on his </w:t>
      </w:r>
      <w:r w:rsidR="000B5C1E">
        <w:rPr>
          <w:rFonts w:eastAsia="Times New Roman" w:cs="Times New Roman"/>
        </w:rPr>
        <w:t>resistance campaign he was 51 (</w:t>
      </w:r>
      <w:r w:rsidR="00BD5F30">
        <w:rPr>
          <w:rFonts w:eastAsia="Times New Roman" w:cs="Times New Roman"/>
        </w:rPr>
        <w:t xml:space="preserve">he is now turning 66).It is the same staunch refusal to budge that has resulted in the default judgment at hand. The refusal to pay any levies at all for almost fifteen years erodes this consideration. </w:t>
      </w:r>
    </w:p>
    <w:p w14:paraId="26BA6F44" w14:textId="78183CB6" w:rsidR="00027E87" w:rsidRPr="00027E87" w:rsidRDefault="0062611B" w:rsidP="0062611B">
      <w:pPr>
        <w:tabs>
          <w:tab w:val="left" w:pos="851"/>
          <w:tab w:val="left" w:pos="1134"/>
          <w:tab w:val="left" w:pos="1701"/>
          <w:tab w:val="left" w:pos="2268"/>
          <w:tab w:val="left" w:pos="2835"/>
          <w:tab w:val="right" w:pos="8265"/>
        </w:tabs>
        <w:spacing w:before="360" w:after="360" w:line="480" w:lineRule="auto"/>
        <w:ind w:left="851" w:hanging="851"/>
        <w:jc w:val="both"/>
        <w:rPr>
          <w:rFonts w:eastAsia="Times New Roman" w:cs="Times New Roman"/>
        </w:rPr>
      </w:pPr>
      <w:r w:rsidRPr="00027E87">
        <w:rPr>
          <w:rFonts w:eastAsia="Times New Roman" w:cs="Times New Roman"/>
        </w:rPr>
        <w:t>[23]</w:t>
      </w:r>
      <w:r w:rsidRPr="00027E87">
        <w:rPr>
          <w:rFonts w:eastAsia="Times New Roman" w:cs="Times New Roman"/>
        </w:rPr>
        <w:tab/>
      </w:r>
      <w:r w:rsidR="00027E87" w:rsidRPr="00027E87">
        <w:rPr>
          <w:rFonts w:eastAsia="Times New Roman" w:cs="Times New Roman"/>
        </w:rPr>
        <w:t xml:space="preserve">The merits of the defence that the respondents seek to raise has not been established.  The first respondent has advanced a calculation of levies of </w:t>
      </w:r>
      <w:r w:rsidR="00027E87" w:rsidRPr="00027E87">
        <w:rPr>
          <w:rFonts w:eastAsia="Times New Roman" w:cs="Times New Roman"/>
        </w:rPr>
        <w:lastRenderedPageBreak/>
        <w:t>R47 000.00 being due, rather than R183 000.00.</w:t>
      </w:r>
      <w:r w:rsidR="00A240FB">
        <w:rPr>
          <w:rFonts w:eastAsia="Times New Roman" w:cs="Times New Roman"/>
        </w:rPr>
        <w:t xml:space="preserve"> </w:t>
      </w:r>
      <w:r w:rsidR="00027E87" w:rsidRPr="00027E87">
        <w:rPr>
          <w:rFonts w:eastAsia="Times New Roman" w:cs="Times New Roman"/>
        </w:rPr>
        <w:t xml:space="preserve">  However, the calculation does not take into account special levies, penalties and interest.  The prospects of establishing a defence on prescription and calculation errors is, to my mind, poor.</w:t>
      </w:r>
      <w:r w:rsidR="00BD5F30">
        <w:rPr>
          <w:rFonts w:eastAsia="Times New Roman" w:cs="Times New Roman"/>
        </w:rPr>
        <w:t xml:space="preserve"> </w:t>
      </w:r>
      <w:r w:rsidR="000B5C1E">
        <w:rPr>
          <w:rFonts w:eastAsia="Times New Roman" w:cs="Times New Roman"/>
        </w:rPr>
        <w:t xml:space="preserve">He did not even tender payment </w:t>
      </w:r>
      <w:r w:rsidR="00BD5F30">
        <w:rPr>
          <w:rFonts w:eastAsia="Times New Roman" w:cs="Times New Roman"/>
        </w:rPr>
        <w:t xml:space="preserve">the amount he thinks is due. There is therefore no basis to condone the delay. </w:t>
      </w:r>
    </w:p>
    <w:p w14:paraId="367F46A6" w14:textId="1B1B0EEC" w:rsidR="00027E87" w:rsidRPr="00027E87" w:rsidRDefault="0062611B" w:rsidP="0062611B">
      <w:pPr>
        <w:tabs>
          <w:tab w:val="left" w:pos="851"/>
          <w:tab w:val="left" w:pos="1134"/>
          <w:tab w:val="left" w:pos="1701"/>
          <w:tab w:val="left" w:pos="2268"/>
          <w:tab w:val="left" w:pos="2835"/>
          <w:tab w:val="right" w:pos="8265"/>
        </w:tabs>
        <w:spacing w:before="360" w:after="360" w:line="480" w:lineRule="auto"/>
        <w:ind w:left="851" w:hanging="851"/>
        <w:jc w:val="both"/>
        <w:rPr>
          <w:rFonts w:eastAsia="Times New Roman" w:cs="Times New Roman"/>
        </w:rPr>
      </w:pPr>
      <w:r w:rsidRPr="00027E87">
        <w:rPr>
          <w:rFonts w:eastAsia="Times New Roman" w:cs="Times New Roman"/>
        </w:rPr>
        <w:t>[24]</w:t>
      </w:r>
      <w:r w:rsidRPr="00027E87">
        <w:rPr>
          <w:rFonts w:eastAsia="Times New Roman" w:cs="Times New Roman"/>
        </w:rPr>
        <w:tab/>
      </w:r>
      <w:r w:rsidR="00027E87" w:rsidRPr="00027E87">
        <w:rPr>
          <w:rFonts w:eastAsia="Times New Roman" w:cs="Times New Roman"/>
        </w:rPr>
        <w:t>The upshot of the aforesaid is that the application for rescission falls to be dismissed.</w:t>
      </w:r>
    </w:p>
    <w:p w14:paraId="0C694055" w14:textId="77777777" w:rsidR="00027E87" w:rsidRPr="00027E87" w:rsidRDefault="00027E87" w:rsidP="00F32C34">
      <w:pPr>
        <w:tabs>
          <w:tab w:val="left" w:pos="851"/>
          <w:tab w:val="left" w:pos="1134"/>
          <w:tab w:val="left" w:pos="1701"/>
          <w:tab w:val="left" w:pos="2268"/>
          <w:tab w:val="left" w:pos="2835"/>
          <w:tab w:val="right" w:pos="8265"/>
        </w:tabs>
        <w:spacing w:before="360" w:after="360" w:line="480" w:lineRule="auto"/>
        <w:ind w:left="851"/>
        <w:jc w:val="both"/>
        <w:rPr>
          <w:rFonts w:eastAsia="Times New Roman" w:cs="Times New Roman"/>
          <w:b/>
          <w:bCs/>
        </w:rPr>
      </w:pPr>
      <w:r w:rsidRPr="00027E87">
        <w:rPr>
          <w:rFonts w:eastAsia="Times New Roman" w:cs="Times New Roman"/>
          <w:b/>
          <w:bCs/>
        </w:rPr>
        <w:t>The Rule 46A application:  Discussion</w:t>
      </w:r>
    </w:p>
    <w:p w14:paraId="6CEF83D3" w14:textId="58DFC1CF" w:rsidR="00027E87" w:rsidRPr="00027E87" w:rsidRDefault="0062611B" w:rsidP="0062611B">
      <w:pPr>
        <w:tabs>
          <w:tab w:val="left" w:pos="851"/>
          <w:tab w:val="left" w:pos="1134"/>
          <w:tab w:val="left" w:pos="1701"/>
          <w:tab w:val="left" w:pos="2268"/>
          <w:tab w:val="left" w:pos="2835"/>
          <w:tab w:val="right" w:pos="8265"/>
        </w:tabs>
        <w:spacing w:before="360" w:after="360" w:line="480" w:lineRule="auto"/>
        <w:ind w:left="851" w:hanging="851"/>
        <w:jc w:val="both"/>
        <w:rPr>
          <w:rFonts w:eastAsia="Times New Roman" w:cs="Times New Roman"/>
        </w:rPr>
      </w:pPr>
      <w:r w:rsidRPr="00027E87">
        <w:rPr>
          <w:rFonts w:eastAsia="Times New Roman" w:cs="Times New Roman"/>
        </w:rPr>
        <w:t>[25]</w:t>
      </w:r>
      <w:r w:rsidRPr="00027E87">
        <w:rPr>
          <w:rFonts w:eastAsia="Times New Roman" w:cs="Times New Roman"/>
        </w:rPr>
        <w:tab/>
      </w:r>
      <w:r w:rsidR="00027E87" w:rsidRPr="00027E87">
        <w:rPr>
          <w:rFonts w:eastAsia="Times New Roman" w:cs="Times New Roman"/>
        </w:rPr>
        <w:t xml:space="preserve">Rule 46A was introduced to protect property owners against </w:t>
      </w:r>
      <w:r w:rsidR="004A778E" w:rsidRPr="00027E87">
        <w:rPr>
          <w:rFonts w:eastAsia="Times New Roman" w:cs="Times New Roman"/>
        </w:rPr>
        <w:t>losing</w:t>
      </w:r>
      <w:r w:rsidR="00027E87" w:rsidRPr="00027E87">
        <w:rPr>
          <w:rFonts w:eastAsia="Times New Roman" w:cs="Times New Roman"/>
        </w:rPr>
        <w:t xml:space="preserve"> their primary residence for paltry amounts due in terms of judgments.</w:t>
      </w:r>
      <w:r w:rsidR="000B5C1E">
        <w:rPr>
          <w:rFonts w:eastAsia="Times New Roman" w:cs="Times New Roman"/>
        </w:rPr>
        <w:t xml:space="preserve"> (</w:t>
      </w:r>
      <w:r w:rsidR="00BD5F30">
        <w:rPr>
          <w:rFonts w:eastAsia="Times New Roman" w:cs="Times New Roman"/>
        </w:rPr>
        <w:t>See Gundwana</w:t>
      </w:r>
      <w:r w:rsidR="000B5C1E">
        <w:rPr>
          <w:rFonts w:eastAsia="Times New Roman" w:cs="Times New Roman"/>
        </w:rPr>
        <w:t xml:space="preserve"> </w:t>
      </w:r>
      <w:r w:rsidR="00C168AA">
        <w:rPr>
          <w:rFonts w:eastAsia="Times New Roman" w:cs="Times New Roman"/>
        </w:rPr>
        <w:t>v Steko Developments 2011 (3) SA 608 ( CC)</w:t>
      </w:r>
      <w:r w:rsidR="000B5C1E">
        <w:rPr>
          <w:rFonts w:eastAsia="Times New Roman" w:cs="Times New Roman"/>
        </w:rPr>
        <w:t>)</w:t>
      </w:r>
      <w:r w:rsidR="00C168AA">
        <w:rPr>
          <w:rFonts w:eastAsia="Times New Roman" w:cs="Times New Roman"/>
        </w:rPr>
        <w:t xml:space="preserve"> </w:t>
      </w:r>
      <w:r w:rsidR="00027E87" w:rsidRPr="00027E87">
        <w:rPr>
          <w:rFonts w:eastAsia="Times New Roman" w:cs="Times New Roman"/>
        </w:rPr>
        <w:t>The need to preserve the constitutional rights of rights of persons to adequate housing underl</w:t>
      </w:r>
      <w:r w:rsidR="00C168AA">
        <w:rPr>
          <w:rFonts w:eastAsia="Times New Roman" w:cs="Times New Roman"/>
        </w:rPr>
        <w:t>ie</w:t>
      </w:r>
      <w:r w:rsidR="00027E87" w:rsidRPr="00027E87">
        <w:rPr>
          <w:rFonts w:eastAsia="Times New Roman" w:cs="Times New Roman"/>
        </w:rPr>
        <w:t xml:space="preserve"> the need for judicial restraint in ordering the executability of primary residences. </w:t>
      </w:r>
    </w:p>
    <w:p w14:paraId="2E37F6CC" w14:textId="790BE867" w:rsidR="00027E87" w:rsidRPr="00027E87" w:rsidRDefault="0062611B" w:rsidP="0062611B">
      <w:pPr>
        <w:tabs>
          <w:tab w:val="left" w:pos="851"/>
          <w:tab w:val="left" w:pos="1134"/>
          <w:tab w:val="left" w:pos="1701"/>
          <w:tab w:val="left" w:pos="2268"/>
          <w:tab w:val="left" w:pos="2835"/>
          <w:tab w:val="right" w:pos="8265"/>
        </w:tabs>
        <w:spacing w:before="360" w:after="360" w:line="480" w:lineRule="auto"/>
        <w:ind w:left="851" w:hanging="851"/>
        <w:jc w:val="both"/>
        <w:rPr>
          <w:rFonts w:eastAsia="Times New Roman" w:cs="Times New Roman"/>
        </w:rPr>
      </w:pPr>
      <w:r w:rsidRPr="00027E87">
        <w:rPr>
          <w:rFonts w:eastAsia="Times New Roman" w:cs="Times New Roman"/>
        </w:rPr>
        <w:t>[26]</w:t>
      </w:r>
      <w:r w:rsidRPr="00027E87">
        <w:rPr>
          <w:rFonts w:eastAsia="Times New Roman" w:cs="Times New Roman"/>
        </w:rPr>
        <w:tab/>
      </w:r>
      <w:r w:rsidR="00027E87" w:rsidRPr="00027E87">
        <w:rPr>
          <w:rFonts w:eastAsia="Times New Roman" w:cs="Times New Roman"/>
        </w:rPr>
        <w:t>Rule 46A(5) impels the court to take into account a number of considerations</w:t>
      </w:r>
      <w:r w:rsidR="00C168AA">
        <w:rPr>
          <w:rFonts w:eastAsia="Times New Roman" w:cs="Times New Roman"/>
        </w:rPr>
        <w:t>. These are considered below.</w:t>
      </w:r>
      <w:r w:rsidR="00027E87" w:rsidRPr="00027E87">
        <w:rPr>
          <w:rFonts w:eastAsia="Times New Roman" w:cs="Times New Roman"/>
        </w:rPr>
        <w:t xml:space="preserve">  </w:t>
      </w:r>
    </w:p>
    <w:p w14:paraId="1058E199" w14:textId="7916C18B" w:rsidR="00027E87" w:rsidRPr="00027E87" w:rsidRDefault="0062611B" w:rsidP="0062611B">
      <w:pPr>
        <w:tabs>
          <w:tab w:val="left" w:pos="851"/>
          <w:tab w:val="left" w:pos="1134"/>
          <w:tab w:val="left" w:pos="1701"/>
          <w:tab w:val="left" w:pos="2268"/>
          <w:tab w:val="left" w:pos="2835"/>
          <w:tab w:val="right" w:pos="8265"/>
        </w:tabs>
        <w:spacing w:before="360" w:after="360" w:line="480" w:lineRule="auto"/>
        <w:ind w:left="1701" w:hanging="850"/>
        <w:jc w:val="both"/>
        <w:rPr>
          <w:rFonts w:eastAsia="Times New Roman" w:cs="Times New Roman"/>
        </w:rPr>
      </w:pPr>
      <w:r w:rsidRPr="00027E87">
        <w:rPr>
          <w:rFonts w:eastAsia="Times New Roman" w:cs="Times New Roman"/>
        </w:rPr>
        <w:t>26.1</w:t>
      </w:r>
      <w:r w:rsidRPr="00027E87">
        <w:rPr>
          <w:rFonts w:eastAsia="Times New Roman" w:cs="Times New Roman"/>
        </w:rPr>
        <w:tab/>
      </w:r>
      <w:r w:rsidR="00027E87" w:rsidRPr="00027E87">
        <w:rPr>
          <w:rFonts w:eastAsia="Times New Roman" w:cs="Times New Roman"/>
        </w:rPr>
        <w:t xml:space="preserve">The first is the market value of the property concerned.  The most recent valuation of the property places its market value at R3,7 million.  </w:t>
      </w:r>
    </w:p>
    <w:p w14:paraId="16D17456" w14:textId="5221E338" w:rsidR="00027E87" w:rsidRPr="00027E87" w:rsidRDefault="0062611B" w:rsidP="0062611B">
      <w:pPr>
        <w:tabs>
          <w:tab w:val="left" w:pos="851"/>
          <w:tab w:val="left" w:pos="1134"/>
          <w:tab w:val="left" w:pos="1701"/>
          <w:tab w:val="left" w:pos="2268"/>
          <w:tab w:val="left" w:pos="2835"/>
          <w:tab w:val="right" w:pos="8265"/>
        </w:tabs>
        <w:spacing w:before="360" w:after="360" w:line="480" w:lineRule="auto"/>
        <w:ind w:left="1701" w:hanging="850"/>
        <w:jc w:val="both"/>
        <w:rPr>
          <w:rFonts w:eastAsia="Times New Roman" w:cs="Times New Roman"/>
        </w:rPr>
      </w:pPr>
      <w:r w:rsidRPr="00027E87">
        <w:rPr>
          <w:rFonts w:eastAsia="Times New Roman" w:cs="Times New Roman"/>
        </w:rPr>
        <w:t>26.2</w:t>
      </w:r>
      <w:r w:rsidRPr="00027E87">
        <w:rPr>
          <w:rFonts w:eastAsia="Times New Roman" w:cs="Times New Roman"/>
        </w:rPr>
        <w:tab/>
      </w:r>
      <w:r w:rsidR="00027E87" w:rsidRPr="00027E87">
        <w:rPr>
          <w:rFonts w:eastAsia="Times New Roman" w:cs="Times New Roman"/>
        </w:rPr>
        <w:t>The forced sale value was initially stated to be R2,5 million, but has been increased in terms of the latest valuation to R3 million.</w:t>
      </w:r>
    </w:p>
    <w:p w14:paraId="59571070" w14:textId="345F969D" w:rsidR="00027E87" w:rsidRPr="00027E87" w:rsidRDefault="0062611B" w:rsidP="0062611B">
      <w:pPr>
        <w:tabs>
          <w:tab w:val="left" w:pos="851"/>
          <w:tab w:val="left" w:pos="1134"/>
          <w:tab w:val="left" w:pos="1701"/>
          <w:tab w:val="left" w:pos="2268"/>
          <w:tab w:val="left" w:pos="2835"/>
          <w:tab w:val="right" w:pos="8265"/>
        </w:tabs>
        <w:spacing w:before="360" w:after="360" w:line="480" w:lineRule="auto"/>
        <w:ind w:left="1701" w:hanging="850"/>
        <w:jc w:val="both"/>
        <w:rPr>
          <w:rFonts w:eastAsia="Times New Roman" w:cs="Times New Roman"/>
        </w:rPr>
      </w:pPr>
      <w:r w:rsidRPr="00027E87">
        <w:rPr>
          <w:rFonts w:eastAsia="Times New Roman" w:cs="Times New Roman"/>
        </w:rPr>
        <w:lastRenderedPageBreak/>
        <w:t>26.3</w:t>
      </w:r>
      <w:r w:rsidRPr="00027E87">
        <w:rPr>
          <w:rFonts w:eastAsia="Times New Roman" w:cs="Times New Roman"/>
        </w:rPr>
        <w:tab/>
      </w:r>
      <w:r w:rsidR="00027E87" w:rsidRPr="00027E87">
        <w:rPr>
          <w:rFonts w:eastAsia="Times New Roman" w:cs="Times New Roman"/>
        </w:rPr>
        <w:t>The local authority valuation of the property is higher than its market value and stands at R4 233 000.00.</w:t>
      </w:r>
    </w:p>
    <w:p w14:paraId="36C63A98" w14:textId="3587C364" w:rsidR="00027E87" w:rsidRPr="00027E87" w:rsidRDefault="0062611B" w:rsidP="0062611B">
      <w:pPr>
        <w:tabs>
          <w:tab w:val="left" w:pos="851"/>
          <w:tab w:val="left" w:pos="1134"/>
          <w:tab w:val="left" w:pos="1701"/>
          <w:tab w:val="left" w:pos="2268"/>
          <w:tab w:val="left" w:pos="2835"/>
          <w:tab w:val="right" w:pos="8265"/>
        </w:tabs>
        <w:spacing w:before="360" w:after="360" w:line="480" w:lineRule="auto"/>
        <w:ind w:left="1701" w:hanging="850"/>
        <w:jc w:val="both"/>
        <w:rPr>
          <w:rFonts w:eastAsia="Times New Roman" w:cs="Times New Roman"/>
        </w:rPr>
      </w:pPr>
      <w:r w:rsidRPr="00027E87">
        <w:rPr>
          <w:rFonts w:eastAsia="Times New Roman" w:cs="Times New Roman"/>
        </w:rPr>
        <w:t>26.4</w:t>
      </w:r>
      <w:r w:rsidRPr="00027E87">
        <w:rPr>
          <w:rFonts w:eastAsia="Times New Roman" w:cs="Times New Roman"/>
        </w:rPr>
        <w:tab/>
      </w:r>
      <w:r w:rsidR="00027E87" w:rsidRPr="00027E87">
        <w:rPr>
          <w:rFonts w:eastAsia="Times New Roman" w:cs="Times New Roman"/>
        </w:rPr>
        <w:t>There was initially an FNB bond over the property, but following court proceedings between FNB and the respondents, the respondent</w:t>
      </w:r>
      <w:r w:rsidR="00C168AA">
        <w:rPr>
          <w:rFonts w:eastAsia="Times New Roman" w:cs="Times New Roman"/>
        </w:rPr>
        <w:t>s</w:t>
      </w:r>
      <w:r w:rsidR="00027E87" w:rsidRPr="00027E87">
        <w:rPr>
          <w:rFonts w:eastAsia="Times New Roman" w:cs="Times New Roman"/>
        </w:rPr>
        <w:t xml:space="preserve"> settled the outstanding bond in total, paying approximately R1,1 million.  There is therefore no bond on the property.</w:t>
      </w:r>
    </w:p>
    <w:p w14:paraId="62928A27" w14:textId="0FB889B6" w:rsidR="00027E87" w:rsidRPr="00027E87" w:rsidRDefault="0062611B" w:rsidP="0062611B">
      <w:pPr>
        <w:tabs>
          <w:tab w:val="left" w:pos="851"/>
          <w:tab w:val="left" w:pos="1134"/>
          <w:tab w:val="left" w:pos="1701"/>
          <w:tab w:val="left" w:pos="2268"/>
          <w:tab w:val="left" w:pos="2835"/>
          <w:tab w:val="right" w:pos="8265"/>
        </w:tabs>
        <w:spacing w:before="360" w:after="360" w:line="480" w:lineRule="auto"/>
        <w:ind w:left="1701" w:hanging="850"/>
        <w:jc w:val="both"/>
        <w:rPr>
          <w:rFonts w:eastAsia="Times New Roman" w:cs="Times New Roman"/>
        </w:rPr>
      </w:pPr>
      <w:r w:rsidRPr="00027E87">
        <w:rPr>
          <w:rFonts w:eastAsia="Times New Roman" w:cs="Times New Roman"/>
        </w:rPr>
        <w:t>26.5</w:t>
      </w:r>
      <w:r w:rsidRPr="00027E87">
        <w:rPr>
          <w:rFonts w:eastAsia="Times New Roman" w:cs="Times New Roman"/>
        </w:rPr>
        <w:tab/>
      </w:r>
      <w:r w:rsidR="00027E87" w:rsidRPr="00027E87">
        <w:rPr>
          <w:rFonts w:eastAsia="Times New Roman" w:cs="Times New Roman"/>
        </w:rPr>
        <w:t xml:space="preserve">The amount owed to the local authority in respect of rates and taxes was R441 025.14 as at 2 March 2023. </w:t>
      </w:r>
    </w:p>
    <w:p w14:paraId="13B9F75A" w14:textId="2E97C6F6" w:rsidR="00C168AA" w:rsidRDefault="0062611B" w:rsidP="0062611B">
      <w:pPr>
        <w:tabs>
          <w:tab w:val="left" w:pos="851"/>
          <w:tab w:val="left" w:pos="1134"/>
          <w:tab w:val="left" w:pos="1701"/>
          <w:tab w:val="left" w:pos="2268"/>
          <w:tab w:val="left" w:pos="2835"/>
          <w:tab w:val="right" w:pos="8265"/>
        </w:tabs>
        <w:spacing w:before="360" w:after="360" w:line="480" w:lineRule="auto"/>
        <w:ind w:left="1701" w:hanging="850"/>
        <w:jc w:val="both"/>
        <w:rPr>
          <w:rFonts w:eastAsia="Times New Roman" w:cs="Times New Roman"/>
        </w:rPr>
      </w:pPr>
      <w:r>
        <w:rPr>
          <w:rFonts w:eastAsia="Times New Roman" w:cs="Times New Roman"/>
        </w:rPr>
        <w:t>26.6</w:t>
      </w:r>
      <w:r>
        <w:rPr>
          <w:rFonts w:eastAsia="Times New Roman" w:cs="Times New Roman"/>
        </w:rPr>
        <w:tab/>
      </w:r>
      <w:r w:rsidR="00027E87" w:rsidRPr="00027E87">
        <w:rPr>
          <w:rFonts w:eastAsia="Times New Roman" w:cs="Times New Roman"/>
        </w:rPr>
        <w:t xml:space="preserve">The final consideration under the aforesaid subrule requires the court to take into account any other factors.  The applicant suggested that the existence of at least three other default judgments against the respondents in the Magistrates’ Court, based on non-payment of levies, is a relevant consideration. </w:t>
      </w:r>
      <w:r w:rsidR="00C168AA">
        <w:rPr>
          <w:rFonts w:eastAsia="Times New Roman" w:cs="Times New Roman"/>
        </w:rPr>
        <w:t>These judgments may however be superannuated. Their enforc</w:t>
      </w:r>
      <w:r w:rsidR="000B5C1E">
        <w:rPr>
          <w:rFonts w:eastAsia="Times New Roman" w:cs="Times New Roman"/>
        </w:rPr>
        <w:t>ement is therefore not imminent</w:t>
      </w:r>
      <w:r w:rsidR="00C168AA">
        <w:rPr>
          <w:rFonts w:eastAsia="Times New Roman" w:cs="Times New Roman"/>
        </w:rPr>
        <w:t>, but the judgments only prescribe after 30 years. Dr Roodt thought t</w:t>
      </w:r>
      <w:r w:rsidR="000B5C1E">
        <w:rPr>
          <w:rFonts w:eastAsia="Times New Roman" w:cs="Times New Roman"/>
        </w:rPr>
        <w:t xml:space="preserve">hey had prescribed after three </w:t>
      </w:r>
      <w:r w:rsidR="00C168AA">
        <w:rPr>
          <w:rFonts w:eastAsia="Times New Roman" w:cs="Times New Roman"/>
        </w:rPr>
        <w:t>years.</w:t>
      </w:r>
    </w:p>
    <w:p w14:paraId="544D5EC9" w14:textId="27A2E0D3" w:rsidR="00C168AA" w:rsidRDefault="0062611B" w:rsidP="0062611B">
      <w:pPr>
        <w:tabs>
          <w:tab w:val="left" w:pos="851"/>
          <w:tab w:val="left" w:pos="1134"/>
          <w:tab w:val="left" w:pos="1701"/>
          <w:tab w:val="left" w:pos="2268"/>
          <w:tab w:val="left" w:pos="2835"/>
          <w:tab w:val="right" w:pos="8265"/>
        </w:tabs>
        <w:spacing w:before="360" w:after="360" w:line="480" w:lineRule="auto"/>
        <w:ind w:left="1701" w:hanging="850"/>
        <w:jc w:val="both"/>
        <w:rPr>
          <w:rFonts w:eastAsia="Times New Roman" w:cs="Times New Roman"/>
        </w:rPr>
      </w:pPr>
      <w:r>
        <w:rPr>
          <w:rFonts w:eastAsia="Times New Roman" w:cs="Times New Roman"/>
        </w:rPr>
        <w:t>26.7</w:t>
      </w:r>
      <w:r>
        <w:rPr>
          <w:rFonts w:eastAsia="Times New Roman" w:cs="Times New Roman"/>
        </w:rPr>
        <w:tab/>
      </w:r>
      <w:r w:rsidR="00C168AA">
        <w:rPr>
          <w:rFonts w:eastAsia="Times New Roman" w:cs="Times New Roman"/>
        </w:rPr>
        <w:t>U</w:t>
      </w:r>
      <w:r w:rsidR="00027E87" w:rsidRPr="00027E87">
        <w:rPr>
          <w:rFonts w:eastAsia="Times New Roman" w:cs="Times New Roman"/>
        </w:rPr>
        <w:t xml:space="preserve">nsuccessful attempts by the respondents to stop execution of the judgment debt has resulted in costs orders against the respondents, which have been taxed and which are in excess of R100 000.00. </w:t>
      </w:r>
    </w:p>
    <w:p w14:paraId="44730889" w14:textId="3B9D967C" w:rsidR="00027E87" w:rsidRPr="00027E87" w:rsidRDefault="0062611B" w:rsidP="0062611B">
      <w:pPr>
        <w:tabs>
          <w:tab w:val="left" w:pos="851"/>
          <w:tab w:val="left" w:pos="1134"/>
          <w:tab w:val="left" w:pos="1701"/>
          <w:tab w:val="left" w:pos="2268"/>
          <w:tab w:val="left" w:pos="2835"/>
          <w:tab w:val="right" w:pos="8265"/>
        </w:tabs>
        <w:spacing w:before="360" w:after="360" w:line="480" w:lineRule="auto"/>
        <w:ind w:left="1701" w:hanging="850"/>
        <w:jc w:val="both"/>
        <w:rPr>
          <w:rFonts w:eastAsia="Times New Roman" w:cs="Times New Roman"/>
        </w:rPr>
      </w:pPr>
      <w:r w:rsidRPr="00027E87">
        <w:rPr>
          <w:rFonts w:eastAsia="Times New Roman" w:cs="Times New Roman"/>
        </w:rPr>
        <w:t>26.8</w:t>
      </w:r>
      <w:r w:rsidRPr="00027E87">
        <w:rPr>
          <w:rFonts w:eastAsia="Times New Roman" w:cs="Times New Roman"/>
        </w:rPr>
        <w:tab/>
      </w:r>
      <w:r w:rsidR="00027E87" w:rsidRPr="00027E87">
        <w:rPr>
          <w:rFonts w:eastAsia="Times New Roman" w:cs="Times New Roman"/>
        </w:rPr>
        <w:t xml:space="preserve"> A further consideration is the fact that the respondents have not paid levies since 2008.  Although their benefits have been suspended, i.e. </w:t>
      </w:r>
      <w:r w:rsidR="00027E87" w:rsidRPr="00027E87">
        <w:rPr>
          <w:rFonts w:eastAsia="Times New Roman" w:cs="Times New Roman"/>
        </w:rPr>
        <w:lastRenderedPageBreak/>
        <w:t xml:space="preserve">they may not vote and cannot utilise the clubhouse or gym, there are still certain benefits that they </w:t>
      </w:r>
      <w:r w:rsidR="00C168AA">
        <w:rPr>
          <w:rFonts w:eastAsia="Times New Roman" w:cs="Times New Roman"/>
        </w:rPr>
        <w:t>have enjoyed</w:t>
      </w:r>
      <w:r w:rsidR="00027E87" w:rsidRPr="00027E87">
        <w:rPr>
          <w:rFonts w:eastAsia="Times New Roman" w:cs="Times New Roman"/>
        </w:rPr>
        <w:t>.  These include at least the provision of security and the tidying</w:t>
      </w:r>
      <w:r w:rsidR="00C168AA">
        <w:rPr>
          <w:rFonts w:eastAsia="Times New Roman" w:cs="Times New Roman"/>
        </w:rPr>
        <w:t xml:space="preserve"> and upkeep of</w:t>
      </w:r>
      <w:r w:rsidR="00027E87" w:rsidRPr="00027E87">
        <w:rPr>
          <w:rFonts w:eastAsia="Times New Roman" w:cs="Times New Roman"/>
        </w:rPr>
        <w:t xml:space="preserve"> public spaces</w:t>
      </w:r>
      <w:r w:rsidR="00C168AA">
        <w:rPr>
          <w:rFonts w:eastAsia="Times New Roman" w:cs="Times New Roman"/>
        </w:rPr>
        <w:t xml:space="preserve"> and gardens</w:t>
      </w:r>
      <w:r w:rsidR="00027E87" w:rsidRPr="00027E87">
        <w:rPr>
          <w:rFonts w:eastAsia="Times New Roman" w:cs="Times New Roman"/>
        </w:rPr>
        <w:t>.</w:t>
      </w:r>
      <w:r w:rsidR="00C168AA">
        <w:rPr>
          <w:rFonts w:eastAsia="Times New Roman" w:cs="Times New Roman"/>
        </w:rPr>
        <w:t xml:space="preserve"> </w:t>
      </w:r>
      <w:r w:rsidR="00027E87" w:rsidRPr="00027E87">
        <w:rPr>
          <w:rFonts w:eastAsia="Times New Roman" w:cs="Times New Roman"/>
        </w:rPr>
        <w:t xml:space="preserve">The respondents’ </w:t>
      </w:r>
      <w:r w:rsidR="00C168AA">
        <w:rPr>
          <w:rFonts w:eastAsia="Times New Roman" w:cs="Times New Roman"/>
        </w:rPr>
        <w:t xml:space="preserve">failure </w:t>
      </w:r>
      <w:r w:rsidR="00027E87" w:rsidRPr="00027E87">
        <w:rPr>
          <w:rFonts w:eastAsia="Times New Roman" w:cs="Times New Roman"/>
        </w:rPr>
        <w:t xml:space="preserve">to pay </w:t>
      </w:r>
      <w:r w:rsidR="00C168AA">
        <w:rPr>
          <w:rFonts w:eastAsia="Times New Roman" w:cs="Times New Roman"/>
        </w:rPr>
        <w:t xml:space="preserve">even </w:t>
      </w:r>
      <w:r w:rsidR="00027E87" w:rsidRPr="00027E87">
        <w:rPr>
          <w:rFonts w:eastAsia="Times New Roman" w:cs="Times New Roman"/>
        </w:rPr>
        <w:t xml:space="preserve">an amount which they regard as fair is disconcerting.  It smacks of </w:t>
      </w:r>
      <w:r w:rsidR="00027E87" w:rsidRPr="00C71433">
        <w:rPr>
          <w:rFonts w:eastAsia="Times New Roman" w:cs="Times New Roman"/>
          <w:i/>
        </w:rPr>
        <w:t>schadenfreude.</w:t>
      </w:r>
      <w:r w:rsidR="00027E87" w:rsidRPr="00027E87">
        <w:rPr>
          <w:rFonts w:eastAsia="Times New Roman" w:cs="Times New Roman"/>
        </w:rPr>
        <w:t xml:space="preserve"> </w:t>
      </w:r>
    </w:p>
    <w:p w14:paraId="0B099832" w14:textId="44DF0A5E" w:rsidR="00027E87" w:rsidRPr="00027E87" w:rsidRDefault="0062611B" w:rsidP="0062611B">
      <w:pPr>
        <w:tabs>
          <w:tab w:val="left" w:pos="851"/>
          <w:tab w:val="left" w:pos="1134"/>
          <w:tab w:val="left" w:pos="1701"/>
          <w:tab w:val="left" w:pos="2268"/>
          <w:tab w:val="left" w:pos="2835"/>
          <w:tab w:val="right" w:pos="8265"/>
        </w:tabs>
        <w:spacing w:before="360" w:after="360" w:line="480" w:lineRule="auto"/>
        <w:ind w:left="1701" w:hanging="850"/>
        <w:jc w:val="both"/>
        <w:rPr>
          <w:rFonts w:eastAsia="Times New Roman" w:cs="Times New Roman"/>
        </w:rPr>
      </w:pPr>
      <w:r w:rsidRPr="00027E87">
        <w:rPr>
          <w:rFonts w:eastAsia="Times New Roman" w:cs="Times New Roman"/>
        </w:rPr>
        <w:t>26.9</w:t>
      </w:r>
      <w:r w:rsidRPr="00027E87">
        <w:rPr>
          <w:rFonts w:eastAsia="Times New Roman" w:cs="Times New Roman"/>
        </w:rPr>
        <w:tab/>
      </w:r>
      <w:r w:rsidR="00027E87" w:rsidRPr="00027E87">
        <w:rPr>
          <w:rFonts w:eastAsia="Times New Roman" w:cs="Times New Roman"/>
        </w:rPr>
        <w:t xml:space="preserve">The respondents repeated indications to the Sheriff that there are no movables or money to pay the judgment debts has resulted in a </w:t>
      </w:r>
      <w:r w:rsidR="00027E87" w:rsidRPr="00027E87">
        <w:rPr>
          <w:rFonts w:eastAsia="Times New Roman" w:cs="Times New Roman"/>
          <w:i/>
          <w:iCs/>
        </w:rPr>
        <w:t xml:space="preserve">nulla bona </w:t>
      </w:r>
      <w:r w:rsidR="00027E87" w:rsidRPr="00027E87">
        <w:rPr>
          <w:rFonts w:eastAsia="Times New Roman" w:cs="Times New Roman"/>
        </w:rPr>
        <w:t xml:space="preserve">in these proceedings and in other proceedings. </w:t>
      </w:r>
    </w:p>
    <w:p w14:paraId="1A13F826" w14:textId="1C6409F7" w:rsidR="00027E87" w:rsidRPr="00027E87" w:rsidRDefault="0062611B" w:rsidP="0062611B">
      <w:pPr>
        <w:tabs>
          <w:tab w:val="left" w:pos="851"/>
          <w:tab w:val="left" w:pos="1134"/>
          <w:tab w:val="left" w:pos="1701"/>
          <w:tab w:val="left" w:pos="2268"/>
          <w:tab w:val="left" w:pos="2835"/>
          <w:tab w:val="right" w:pos="8265"/>
        </w:tabs>
        <w:spacing w:before="360" w:after="360" w:line="480" w:lineRule="auto"/>
        <w:ind w:left="1701" w:hanging="850"/>
        <w:jc w:val="both"/>
        <w:rPr>
          <w:rFonts w:eastAsia="Times New Roman" w:cs="Times New Roman"/>
        </w:rPr>
      </w:pPr>
      <w:r w:rsidRPr="00027E87">
        <w:rPr>
          <w:rFonts w:eastAsia="Times New Roman" w:cs="Times New Roman"/>
        </w:rPr>
        <w:t>26.10</w:t>
      </w:r>
      <w:r w:rsidRPr="00027E87">
        <w:rPr>
          <w:rFonts w:eastAsia="Times New Roman" w:cs="Times New Roman"/>
        </w:rPr>
        <w:tab/>
      </w:r>
      <w:r w:rsidR="00027E87" w:rsidRPr="00027E87">
        <w:rPr>
          <w:rFonts w:eastAsia="Times New Roman" w:cs="Times New Roman"/>
        </w:rPr>
        <w:t xml:space="preserve">What is however </w:t>
      </w:r>
      <w:r w:rsidR="00C168AA">
        <w:rPr>
          <w:rFonts w:eastAsia="Times New Roman" w:cs="Times New Roman"/>
        </w:rPr>
        <w:t>per</w:t>
      </w:r>
      <w:r w:rsidR="00027E87" w:rsidRPr="00027E87">
        <w:rPr>
          <w:rFonts w:eastAsia="Times New Roman" w:cs="Times New Roman"/>
        </w:rPr>
        <w:t xml:space="preserve">plexing is the </w:t>
      </w:r>
      <w:r w:rsidR="00C168AA">
        <w:rPr>
          <w:rFonts w:eastAsia="Times New Roman" w:cs="Times New Roman"/>
        </w:rPr>
        <w:t xml:space="preserve">repeated </w:t>
      </w:r>
      <w:r w:rsidR="00027E87" w:rsidRPr="00027E87">
        <w:rPr>
          <w:rFonts w:eastAsia="Times New Roman" w:cs="Times New Roman"/>
        </w:rPr>
        <w:t>assurance by the first respondent that he has reserves available to settle the judgment debt if forced to do so.  The fact that he settled a bond with FNB in the amount of R1,1 million does indicate his ability to pay.</w:t>
      </w:r>
      <w:r w:rsidR="00C168AA">
        <w:rPr>
          <w:rFonts w:eastAsia="Times New Roman" w:cs="Times New Roman"/>
        </w:rPr>
        <w:t xml:space="preserve"> T</w:t>
      </w:r>
      <w:r w:rsidR="000B5C1E">
        <w:rPr>
          <w:rFonts w:eastAsia="Times New Roman" w:cs="Times New Roman"/>
        </w:rPr>
        <w:t xml:space="preserve">his is therefore not a case of </w:t>
      </w:r>
      <w:r w:rsidR="00C168AA">
        <w:rPr>
          <w:rFonts w:eastAsia="Times New Roman" w:cs="Times New Roman"/>
        </w:rPr>
        <w:t xml:space="preserve">indigent persons whose primary residence is at risk. </w:t>
      </w:r>
    </w:p>
    <w:p w14:paraId="51C03E4B" w14:textId="540D46DA" w:rsidR="00C71433" w:rsidRDefault="0062611B" w:rsidP="0062611B">
      <w:pPr>
        <w:tabs>
          <w:tab w:val="left" w:pos="851"/>
          <w:tab w:val="left" w:pos="1134"/>
          <w:tab w:val="left" w:pos="1701"/>
          <w:tab w:val="left" w:pos="2268"/>
          <w:tab w:val="left" w:pos="2835"/>
          <w:tab w:val="right" w:pos="8265"/>
        </w:tabs>
        <w:spacing w:before="360" w:after="360" w:line="480" w:lineRule="auto"/>
        <w:ind w:left="1701" w:hanging="850"/>
        <w:jc w:val="both"/>
        <w:rPr>
          <w:rFonts w:eastAsia="Times New Roman" w:cs="Times New Roman"/>
        </w:rPr>
      </w:pPr>
      <w:r>
        <w:rPr>
          <w:rFonts w:eastAsia="Times New Roman" w:cs="Times New Roman"/>
        </w:rPr>
        <w:t>26.11</w:t>
      </w:r>
      <w:r>
        <w:rPr>
          <w:rFonts w:eastAsia="Times New Roman" w:cs="Times New Roman"/>
        </w:rPr>
        <w:tab/>
      </w:r>
      <w:r w:rsidR="00027E87" w:rsidRPr="00C71433">
        <w:rPr>
          <w:rFonts w:eastAsia="Times New Roman" w:cs="Times New Roman"/>
        </w:rPr>
        <w:t xml:space="preserve">I have considered alternative means of avoiding the loss of the primary residence of the respondents.  The first of these would be to require the respondents to merely pay the debt, based on the assurance that there are available funds to do so. However, the recalcitrance shown by the respondents in complying with their obligations to pay levies and the persistent refusal to pay, or tender payment of what </w:t>
      </w:r>
      <w:r w:rsidR="00C71433" w:rsidRPr="00C71433">
        <w:rPr>
          <w:rFonts w:eastAsia="Times New Roman" w:cs="Times New Roman"/>
        </w:rPr>
        <w:t>they regard as</w:t>
      </w:r>
      <w:r w:rsidR="00027E87" w:rsidRPr="00C71433">
        <w:rPr>
          <w:rFonts w:eastAsia="Times New Roman" w:cs="Times New Roman"/>
        </w:rPr>
        <w:t xml:space="preserve"> reasonable, means that the respondents should face the consequences if this recalcitrance were to surface again.</w:t>
      </w:r>
    </w:p>
    <w:p w14:paraId="400E4EDB" w14:textId="35247E47" w:rsidR="00027E87" w:rsidRPr="00C71433" w:rsidRDefault="0062611B" w:rsidP="0062611B">
      <w:pPr>
        <w:tabs>
          <w:tab w:val="left" w:pos="851"/>
          <w:tab w:val="left" w:pos="1134"/>
          <w:tab w:val="left" w:pos="1701"/>
          <w:tab w:val="left" w:pos="2268"/>
          <w:tab w:val="left" w:pos="2835"/>
          <w:tab w:val="right" w:pos="8265"/>
        </w:tabs>
        <w:spacing w:before="360" w:after="360" w:line="480" w:lineRule="auto"/>
        <w:ind w:left="1701" w:hanging="850"/>
        <w:jc w:val="both"/>
        <w:rPr>
          <w:rFonts w:eastAsia="Times New Roman" w:cs="Times New Roman"/>
        </w:rPr>
      </w:pPr>
      <w:r w:rsidRPr="00C71433">
        <w:rPr>
          <w:rFonts w:eastAsia="Times New Roman" w:cs="Times New Roman"/>
        </w:rPr>
        <w:lastRenderedPageBreak/>
        <w:t>26.12</w:t>
      </w:r>
      <w:r w:rsidRPr="00C71433">
        <w:rPr>
          <w:rFonts w:eastAsia="Times New Roman" w:cs="Times New Roman"/>
        </w:rPr>
        <w:tab/>
      </w:r>
      <w:r w:rsidR="00C71433">
        <w:rPr>
          <w:rFonts w:eastAsia="Times New Roman" w:cs="Times New Roman"/>
        </w:rPr>
        <w:t>The</w:t>
      </w:r>
      <w:r w:rsidR="00C168AA" w:rsidRPr="00C71433">
        <w:rPr>
          <w:rFonts w:eastAsia="Times New Roman" w:cs="Times New Roman"/>
        </w:rPr>
        <w:t xml:space="preserve"> </w:t>
      </w:r>
      <w:r w:rsidR="00027E87" w:rsidRPr="00C71433">
        <w:rPr>
          <w:rFonts w:eastAsia="Times New Roman" w:cs="Times New Roman"/>
        </w:rPr>
        <w:t>respondent contend that the Rule 46A relief should be refused because he and his wife are elderly, and the property is their primary residence.</w:t>
      </w:r>
    </w:p>
    <w:p w14:paraId="4DD843E2" w14:textId="18EC1D15" w:rsidR="00027E87" w:rsidRPr="00027E87" w:rsidRDefault="0062611B" w:rsidP="0062611B">
      <w:pPr>
        <w:tabs>
          <w:tab w:val="left" w:pos="851"/>
          <w:tab w:val="left" w:pos="1701"/>
          <w:tab w:val="left" w:pos="2268"/>
          <w:tab w:val="left" w:pos="2835"/>
          <w:tab w:val="right" w:pos="8265"/>
        </w:tabs>
        <w:spacing w:before="360" w:after="360" w:line="480" w:lineRule="auto"/>
        <w:ind w:left="1701" w:hanging="850"/>
        <w:jc w:val="both"/>
        <w:rPr>
          <w:rFonts w:eastAsia="Times New Roman" w:cs="Times New Roman"/>
        </w:rPr>
      </w:pPr>
      <w:r w:rsidRPr="00027E87">
        <w:rPr>
          <w:rFonts w:eastAsia="Times New Roman" w:cs="Times New Roman"/>
        </w:rPr>
        <w:t>26.13</w:t>
      </w:r>
      <w:r w:rsidRPr="00027E87">
        <w:rPr>
          <w:rFonts w:eastAsia="Times New Roman" w:cs="Times New Roman"/>
        </w:rPr>
        <w:tab/>
      </w:r>
      <w:r w:rsidR="00027E87" w:rsidRPr="00027E87">
        <w:rPr>
          <w:rFonts w:eastAsia="Times New Roman" w:cs="Times New Roman"/>
        </w:rPr>
        <w:t>He contends that the amount due in terms of the judgment debt is disproportionate to the loss of a primary residence and would constitute an improper infringement of the respondent’s right to adequate housing.</w:t>
      </w:r>
    </w:p>
    <w:p w14:paraId="30157F89" w14:textId="31C97722" w:rsidR="00027E87" w:rsidRDefault="0062611B" w:rsidP="0062611B">
      <w:pPr>
        <w:tabs>
          <w:tab w:val="left" w:pos="851"/>
          <w:tab w:val="left" w:pos="1701"/>
          <w:tab w:val="left" w:pos="2268"/>
          <w:tab w:val="left" w:pos="2835"/>
          <w:tab w:val="right" w:pos="8265"/>
        </w:tabs>
        <w:spacing w:before="360" w:after="360" w:line="480" w:lineRule="auto"/>
        <w:ind w:left="1701" w:hanging="850"/>
        <w:jc w:val="both"/>
        <w:rPr>
          <w:rFonts w:eastAsia="Times New Roman" w:cs="Times New Roman"/>
        </w:rPr>
      </w:pPr>
      <w:r>
        <w:rPr>
          <w:rFonts w:eastAsia="Times New Roman" w:cs="Times New Roman"/>
        </w:rPr>
        <w:t>26.14</w:t>
      </w:r>
      <w:r>
        <w:rPr>
          <w:rFonts w:eastAsia="Times New Roman" w:cs="Times New Roman"/>
        </w:rPr>
        <w:tab/>
      </w:r>
      <w:r w:rsidR="00027E87" w:rsidRPr="00027E87">
        <w:rPr>
          <w:rFonts w:eastAsia="Times New Roman" w:cs="Times New Roman"/>
        </w:rPr>
        <w:t>The respondent further contends that relevant considerations include that he and his family have been residing at this property for 29 years, that the property is unbonded and that it is his perception that the Homeowners Association are hellbent on getting rid of the</w:t>
      </w:r>
      <w:r w:rsidR="00C71433">
        <w:rPr>
          <w:rFonts w:eastAsia="Times New Roman" w:cs="Times New Roman"/>
        </w:rPr>
        <w:t>m</w:t>
      </w:r>
      <w:r w:rsidR="00027E87" w:rsidRPr="00027E87">
        <w:rPr>
          <w:rFonts w:eastAsia="Times New Roman" w:cs="Times New Roman"/>
        </w:rPr>
        <w:t xml:space="preserve"> by selling their property at auction.</w:t>
      </w:r>
    </w:p>
    <w:p w14:paraId="046C976C" w14:textId="16D984D4" w:rsidR="00C71433" w:rsidRPr="00027E87" w:rsidRDefault="0062611B" w:rsidP="0062611B">
      <w:pPr>
        <w:tabs>
          <w:tab w:val="left" w:pos="851"/>
          <w:tab w:val="left" w:pos="1701"/>
          <w:tab w:val="left" w:pos="2268"/>
          <w:tab w:val="left" w:pos="2835"/>
          <w:tab w:val="right" w:pos="8265"/>
        </w:tabs>
        <w:spacing w:before="360" w:after="360" w:line="480" w:lineRule="auto"/>
        <w:ind w:left="1701" w:hanging="850"/>
        <w:jc w:val="both"/>
        <w:rPr>
          <w:rFonts w:eastAsia="Times New Roman" w:cs="Times New Roman"/>
        </w:rPr>
      </w:pPr>
      <w:r w:rsidRPr="00027E87">
        <w:rPr>
          <w:rFonts w:eastAsia="Times New Roman" w:cs="Times New Roman"/>
        </w:rPr>
        <w:t>26.15</w:t>
      </w:r>
      <w:r w:rsidRPr="00027E87">
        <w:rPr>
          <w:rFonts w:eastAsia="Times New Roman" w:cs="Times New Roman"/>
        </w:rPr>
        <w:tab/>
      </w:r>
      <w:r w:rsidR="00C71433">
        <w:rPr>
          <w:rFonts w:eastAsia="Times New Roman" w:cs="Times New Roman"/>
        </w:rPr>
        <w:t>The amount of the judgment debt is relatively small compared to the value of the property. This is a consideration that is taken into account. The countervailing consideration is that the first respondent is prepared to risk his primary residence for an amount he says he can pay.</w:t>
      </w:r>
    </w:p>
    <w:p w14:paraId="46A7D20A" w14:textId="7CEC788C" w:rsidR="002A6BCA" w:rsidRDefault="0062611B" w:rsidP="0062611B">
      <w:pPr>
        <w:tabs>
          <w:tab w:val="left" w:pos="851"/>
          <w:tab w:val="left" w:pos="1134"/>
          <w:tab w:val="left" w:pos="1701"/>
          <w:tab w:val="left" w:pos="2268"/>
          <w:tab w:val="left" w:pos="2835"/>
          <w:tab w:val="right" w:pos="8265"/>
        </w:tabs>
        <w:spacing w:before="360" w:after="360" w:line="480" w:lineRule="auto"/>
        <w:ind w:left="851" w:hanging="851"/>
        <w:jc w:val="both"/>
        <w:rPr>
          <w:rFonts w:eastAsia="Times New Roman" w:cs="Times New Roman"/>
        </w:rPr>
      </w:pPr>
      <w:r>
        <w:rPr>
          <w:rFonts w:eastAsia="Times New Roman" w:cs="Times New Roman"/>
        </w:rPr>
        <w:t>[27]</w:t>
      </w:r>
      <w:r>
        <w:rPr>
          <w:rFonts w:eastAsia="Times New Roman" w:cs="Times New Roman"/>
        </w:rPr>
        <w:tab/>
      </w:r>
      <w:r w:rsidR="00C71433" w:rsidRPr="003F2456">
        <w:rPr>
          <w:rFonts w:eastAsia="Times New Roman" w:cs="Times New Roman"/>
        </w:rPr>
        <w:t>T</w:t>
      </w:r>
      <w:r w:rsidR="00027E87" w:rsidRPr="003F2456">
        <w:rPr>
          <w:rFonts w:eastAsia="Times New Roman" w:cs="Times New Roman"/>
        </w:rPr>
        <w:t xml:space="preserve">he rights of the applicant as the holders of a judgment debt can also not be </w:t>
      </w:r>
      <w:r w:rsidR="00C71433" w:rsidRPr="003F2456">
        <w:rPr>
          <w:rFonts w:eastAsia="Times New Roman" w:cs="Times New Roman"/>
        </w:rPr>
        <w:t>perpetually thwarted. A successful litigant is entitled to satisfaction of his judg</w:t>
      </w:r>
      <w:r w:rsidR="000B5C1E">
        <w:rPr>
          <w:rFonts w:eastAsia="Times New Roman" w:cs="Times New Roman"/>
        </w:rPr>
        <w:t>ment debt. It is an incident of</w:t>
      </w:r>
      <w:r w:rsidR="00C71433" w:rsidRPr="003F2456">
        <w:rPr>
          <w:rFonts w:eastAsia="Times New Roman" w:cs="Times New Roman"/>
        </w:rPr>
        <w:t xml:space="preserve"> section 34 rights – a right to have a dispute resolved </w:t>
      </w:r>
      <w:r w:rsidR="003D041F" w:rsidRPr="003F2456">
        <w:rPr>
          <w:rFonts w:eastAsia="Times New Roman" w:cs="Times New Roman"/>
        </w:rPr>
        <w:t xml:space="preserve">finally. </w:t>
      </w:r>
      <w:r w:rsidR="00C71433" w:rsidRPr="003F2456">
        <w:rPr>
          <w:rFonts w:eastAsia="Times New Roman" w:cs="Times New Roman"/>
        </w:rPr>
        <w:t>Otherwise it would be lef</w:t>
      </w:r>
      <w:r w:rsidR="003D041F" w:rsidRPr="003F2456">
        <w:rPr>
          <w:rFonts w:eastAsia="Times New Roman" w:cs="Times New Roman"/>
        </w:rPr>
        <w:t>t</w:t>
      </w:r>
      <w:r w:rsidR="00C71433" w:rsidRPr="003F2456">
        <w:rPr>
          <w:rFonts w:eastAsia="Times New Roman" w:cs="Times New Roman"/>
        </w:rPr>
        <w:t xml:space="preserve"> without remedy</w:t>
      </w:r>
      <w:r w:rsidR="003D041F" w:rsidRPr="003F2456">
        <w:rPr>
          <w:rFonts w:eastAsia="Times New Roman" w:cs="Times New Roman"/>
        </w:rPr>
        <w:t>. That would be unconstitutional.</w:t>
      </w:r>
      <w:r w:rsidR="00027E87" w:rsidRPr="003F2456">
        <w:rPr>
          <w:rFonts w:eastAsia="Times New Roman" w:cs="Times New Roman"/>
        </w:rPr>
        <w:t xml:space="preserve">  The applicant’s constitutional right </w:t>
      </w:r>
      <w:r w:rsidR="003D041F" w:rsidRPr="003F2456">
        <w:rPr>
          <w:rFonts w:eastAsia="Times New Roman" w:cs="Times New Roman"/>
        </w:rPr>
        <w:t>of</w:t>
      </w:r>
      <w:r w:rsidR="00027E87" w:rsidRPr="003F2456">
        <w:rPr>
          <w:rFonts w:eastAsia="Times New Roman" w:cs="Times New Roman"/>
        </w:rPr>
        <w:t xml:space="preserve"> access to the court </w:t>
      </w:r>
      <w:r w:rsidR="00027E87" w:rsidRPr="003F2456">
        <w:rPr>
          <w:rFonts w:eastAsia="Times New Roman" w:cs="Times New Roman"/>
        </w:rPr>
        <w:lastRenderedPageBreak/>
        <w:t>includes the right to effective execution of judgments.</w:t>
      </w:r>
      <w:r w:rsidR="003F2456" w:rsidRPr="003F2456">
        <w:rPr>
          <w:rFonts w:eastAsia="Times New Roman" w:cs="Times New Roman"/>
        </w:rPr>
        <w:t xml:space="preserve"> Where those rights affect the rights of a person to adequate housing, in that his or he</w:t>
      </w:r>
      <w:r w:rsidR="000B5C1E">
        <w:rPr>
          <w:rFonts w:eastAsia="Times New Roman" w:cs="Times New Roman"/>
        </w:rPr>
        <w:t>r primary residence is at stake</w:t>
      </w:r>
      <w:r w:rsidR="003F2456" w:rsidRPr="003F2456">
        <w:rPr>
          <w:rFonts w:eastAsia="Times New Roman" w:cs="Times New Roman"/>
        </w:rPr>
        <w:t>, it requires judicial oversight of competing sec 34 rights.(See Mkhize v Umvoti Municipality 2012 (1) SA 1 SCA at par [14])</w:t>
      </w:r>
      <w:r w:rsidR="003F2456">
        <w:rPr>
          <w:rFonts w:eastAsia="Times New Roman" w:cs="Times New Roman"/>
        </w:rPr>
        <w:t xml:space="preserve">. </w:t>
      </w:r>
      <w:r w:rsidR="00027E87" w:rsidRPr="003F2456">
        <w:rPr>
          <w:rFonts w:eastAsia="Times New Roman" w:cs="Times New Roman"/>
        </w:rPr>
        <w:t xml:space="preserve">In </w:t>
      </w:r>
      <w:r w:rsidR="00027E87" w:rsidRPr="003F2456">
        <w:rPr>
          <w:rFonts w:eastAsia="Times New Roman" w:cs="Times New Roman"/>
          <w:b/>
          <w:bCs/>
        </w:rPr>
        <w:t xml:space="preserve">Gundwana v </w:t>
      </w:r>
      <w:r w:rsidR="003F2456">
        <w:rPr>
          <w:rFonts w:eastAsia="Times New Roman" w:cs="Times New Roman"/>
          <w:b/>
          <w:bCs/>
        </w:rPr>
        <w:t>Steko Developments 2011 (3) SA 608 (CC)</w:t>
      </w:r>
      <w:r w:rsidR="005D1AD7" w:rsidRPr="003F2456">
        <w:rPr>
          <w:rFonts w:eastAsia="Times New Roman" w:cs="Times New Roman"/>
          <w:b/>
          <w:bCs/>
        </w:rPr>
        <w:t xml:space="preserve"> </w:t>
      </w:r>
      <w:r w:rsidR="005D1AD7" w:rsidRPr="003F2456">
        <w:rPr>
          <w:rFonts w:eastAsia="Times New Roman" w:cs="Times New Roman"/>
        </w:rPr>
        <w:t>the Constitutional Court warned against primary residences being declared specially executable for p</w:t>
      </w:r>
      <w:r w:rsidR="008F2CE2" w:rsidRPr="003F2456">
        <w:rPr>
          <w:rFonts w:eastAsia="Times New Roman" w:cs="Times New Roman"/>
        </w:rPr>
        <w:t>altry amounts</w:t>
      </w:r>
      <w:r w:rsidR="003F2456">
        <w:rPr>
          <w:rFonts w:eastAsia="Times New Roman" w:cs="Times New Roman"/>
        </w:rPr>
        <w:t xml:space="preserve"> due in terms of judgment debts</w:t>
      </w:r>
      <w:r w:rsidR="008F2CE2" w:rsidRPr="003F2456">
        <w:rPr>
          <w:rFonts w:eastAsia="Times New Roman" w:cs="Times New Roman"/>
        </w:rPr>
        <w:t xml:space="preserve">.  The Constitutional Court however stated that, only where there is disproportionality between the means used compared </w:t>
      </w:r>
      <w:r w:rsidR="002A6BCA" w:rsidRPr="003F2456">
        <w:rPr>
          <w:rFonts w:eastAsia="Times New Roman" w:cs="Times New Roman"/>
        </w:rPr>
        <w:t>to other available means, that alarm bells would start ringing.</w:t>
      </w:r>
    </w:p>
    <w:p w14:paraId="68B2EE58" w14:textId="16B6C691" w:rsidR="003F2456" w:rsidRPr="003F2456" w:rsidRDefault="0062611B" w:rsidP="0062611B">
      <w:pPr>
        <w:tabs>
          <w:tab w:val="left" w:pos="851"/>
          <w:tab w:val="left" w:pos="1134"/>
          <w:tab w:val="left" w:pos="1701"/>
          <w:tab w:val="left" w:pos="2268"/>
          <w:tab w:val="left" w:pos="2835"/>
          <w:tab w:val="right" w:pos="8265"/>
        </w:tabs>
        <w:spacing w:before="360" w:after="360" w:line="480" w:lineRule="auto"/>
        <w:ind w:left="851" w:hanging="851"/>
        <w:jc w:val="both"/>
        <w:rPr>
          <w:rFonts w:eastAsia="Times New Roman" w:cs="Times New Roman"/>
        </w:rPr>
      </w:pPr>
      <w:r w:rsidRPr="003F2456">
        <w:rPr>
          <w:rFonts w:eastAsia="Times New Roman" w:cs="Times New Roman"/>
        </w:rPr>
        <w:t>[28]</w:t>
      </w:r>
      <w:r w:rsidRPr="003F2456">
        <w:rPr>
          <w:rFonts w:eastAsia="Times New Roman" w:cs="Times New Roman"/>
        </w:rPr>
        <w:tab/>
      </w:r>
      <w:r w:rsidR="00B63843">
        <w:rPr>
          <w:rFonts w:eastAsia="Times New Roman" w:cs="Times New Roman"/>
        </w:rPr>
        <w:t>If there were other means of securi</w:t>
      </w:r>
      <w:r w:rsidR="000B5C1E">
        <w:rPr>
          <w:rFonts w:eastAsia="Times New Roman" w:cs="Times New Roman"/>
        </w:rPr>
        <w:t>ng satisfaction of the judgment</w:t>
      </w:r>
      <w:r w:rsidR="00B63843">
        <w:rPr>
          <w:rFonts w:eastAsia="Times New Roman" w:cs="Times New Roman"/>
        </w:rPr>
        <w:t xml:space="preserve">, it would have to be explored. </w:t>
      </w:r>
      <w:r w:rsidR="003F2456">
        <w:rPr>
          <w:rFonts w:eastAsia="Times New Roman" w:cs="Times New Roman"/>
        </w:rPr>
        <w:t xml:space="preserve">The respondents have staunchly refused to pay anything, despite having the </w:t>
      </w:r>
      <w:r w:rsidR="00AB0CF4">
        <w:rPr>
          <w:rFonts w:eastAsia="Times New Roman" w:cs="Times New Roman"/>
        </w:rPr>
        <w:t>resources</w:t>
      </w:r>
      <w:r w:rsidR="003F2456">
        <w:rPr>
          <w:rFonts w:eastAsia="Times New Roman" w:cs="Times New Roman"/>
        </w:rPr>
        <w:t xml:space="preserve"> to do so. The means are only disproportionate if there is a disconnect between means and ends. The disproportionality lies not merely in the amount due compared to the value of the property</w:t>
      </w:r>
      <w:r w:rsidR="00AB0CF4">
        <w:rPr>
          <w:rFonts w:eastAsia="Times New Roman" w:cs="Times New Roman"/>
        </w:rPr>
        <w:t xml:space="preserve"> </w:t>
      </w:r>
      <w:r w:rsidR="003F2456">
        <w:rPr>
          <w:rFonts w:eastAsia="Times New Roman" w:cs="Times New Roman"/>
        </w:rPr>
        <w:t>but in the means sought to procure satisfaction of the judgment.</w:t>
      </w:r>
      <w:r w:rsidR="00AB0CF4">
        <w:rPr>
          <w:rFonts w:eastAsia="Times New Roman" w:cs="Times New Roman"/>
        </w:rPr>
        <w:t xml:space="preserve"> Not every instance of a primary residence being declared specially executable for a relatively minor amount would be unlawful or unconst</w:t>
      </w:r>
      <w:r w:rsidR="000B5C1E">
        <w:rPr>
          <w:rFonts w:eastAsia="Times New Roman" w:cs="Times New Roman"/>
        </w:rPr>
        <w:t>itutional. It is a case by case</w:t>
      </w:r>
      <w:r w:rsidR="00AB0CF4">
        <w:rPr>
          <w:rFonts w:eastAsia="Times New Roman" w:cs="Times New Roman"/>
        </w:rPr>
        <w:t xml:space="preserve"> enquiry involving the weighing up of all relevant considerations.</w:t>
      </w:r>
    </w:p>
    <w:p w14:paraId="2BCCB754" w14:textId="1C87899B" w:rsidR="002A6BCA" w:rsidRDefault="0062611B" w:rsidP="0062611B">
      <w:pPr>
        <w:tabs>
          <w:tab w:val="left" w:pos="851"/>
          <w:tab w:val="left" w:pos="1134"/>
          <w:tab w:val="left" w:pos="1701"/>
          <w:tab w:val="left" w:pos="2268"/>
          <w:tab w:val="left" w:pos="2835"/>
          <w:tab w:val="right" w:pos="8265"/>
        </w:tabs>
        <w:spacing w:before="360" w:after="360" w:line="480" w:lineRule="auto"/>
        <w:ind w:left="851" w:hanging="851"/>
        <w:jc w:val="both"/>
        <w:rPr>
          <w:rFonts w:eastAsia="Times New Roman" w:cs="Times New Roman"/>
        </w:rPr>
      </w:pPr>
      <w:r>
        <w:rPr>
          <w:rFonts w:eastAsia="Times New Roman" w:cs="Times New Roman"/>
        </w:rPr>
        <w:t>[29]</w:t>
      </w:r>
      <w:r>
        <w:rPr>
          <w:rFonts w:eastAsia="Times New Roman" w:cs="Times New Roman"/>
        </w:rPr>
        <w:tab/>
      </w:r>
      <w:r w:rsidR="00B63843">
        <w:rPr>
          <w:rFonts w:eastAsia="Times New Roman" w:cs="Times New Roman"/>
        </w:rPr>
        <w:t>The respondents contend that declaring their property executable would be an infringement of their right to adequate housing. They contend that they need to live in a house that can house a library of 8000 books with fast internet.</w:t>
      </w:r>
      <w:r w:rsidR="00FD6D3A">
        <w:rPr>
          <w:rFonts w:eastAsia="Times New Roman" w:cs="Times New Roman"/>
        </w:rPr>
        <w:t xml:space="preserve"> </w:t>
      </w:r>
      <w:r w:rsidR="00B63843">
        <w:rPr>
          <w:rFonts w:eastAsia="Times New Roman" w:cs="Times New Roman"/>
        </w:rPr>
        <w:t>The books have been sold in execution and are not relevant.</w:t>
      </w:r>
      <w:r w:rsidR="00FD6D3A">
        <w:rPr>
          <w:rFonts w:eastAsia="Times New Roman" w:cs="Times New Roman"/>
        </w:rPr>
        <w:t xml:space="preserve"> </w:t>
      </w:r>
      <w:r w:rsidR="00E71200">
        <w:rPr>
          <w:rFonts w:eastAsia="Times New Roman" w:cs="Times New Roman"/>
        </w:rPr>
        <w:t xml:space="preserve">The constitutional right to adequate housing is </w:t>
      </w:r>
      <w:r w:rsidR="00B63843">
        <w:rPr>
          <w:rFonts w:eastAsia="Times New Roman" w:cs="Times New Roman"/>
        </w:rPr>
        <w:t xml:space="preserve">in any case </w:t>
      </w:r>
      <w:r w:rsidR="00E71200">
        <w:rPr>
          <w:rFonts w:eastAsia="Times New Roman" w:cs="Times New Roman"/>
        </w:rPr>
        <w:t xml:space="preserve">not assessed from a </w:t>
      </w:r>
      <w:r w:rsidR="00E71200">
        <w:rPr>
          <w:rFonts w:eastAsia="Times New Roman" w:cs="Times New Roman"/>
        </w:rPr>
        <w:lastRenderedPageBreak/>
        <w:t>subjective vantage point, but from an objective vantage point.  The concept of adequate housing, as referred to in the National Housing Act, is a reference to modest accommodation.  This would include a 40</w:t>
      </w:r>
      <w:r w:rsidR="00E64BAF">
        <w:rPr>
          <w:rFonts w:eastAsia="Times New Roman" w:cs="Times New Roman"/>
        </w:rPr>
        <w:t xml:space="preserve"> square metre home with two bedrooms, a bathroom and a kitchen.  The </w:t>
      </w:r>
      <w:r w:rsidR="00B63843">
        <w:rPr>
          <w:rFonts w:eastAsia="Times New Roman" w:cs="Times New Roman"/>
        </w:rPr>
        <w:t xml:space="preserve">constitutional </w:t>
      </w:r>
      <w:r w:rsidR="00E64BAF">
        <w:rPr>
          <w:rFonts w:eastAsia="Times New Roman" w:cs="Times New Roman"/>
        </w:rPr>
        <w:t xml:space="preserve">right to adequate </w:t>
      </w:r>
      <w:r w:rsidR="00775A73">
        <w:rPr>
          <w:rFonts w:eastAsia="Times New Roman" w:cs="Times New Roman"/>
        </w:rPr>
        <w:t xml:space="preserve">housing does not constitute an entitlement to live in a luxury </w:t>
      </w:r>
      <w:r w:rsidR="00B63843">
        <w:rPr>
          <w:rFonts w:eastAsia="Times New Roman" w:cs="Times New Roman"/>
        </w:rPr>
        <w:t>e</w:t>
      </w:r>
      <w:r w:rsidR="00775A73">
        <w:rPr>
          <w:rFonts w:eastAsia="Times New Roman" w:cs="Times New Roman"/>
        </w:rPr>
        <w:t>state like Dainfern.</w:t>
      </w:r>
    </w:p>
    <w:p w14:paraId="5FD955DD" w14:textId="43A498D2" w:rsidR="00BC4859" w:rsidRDefault="0062611B" w:rsidP="0062611B">
      <w:pPr>
        <w:tabs>
          <w:tab w:val="left" w:pos="851"/>
          <w:tab w:val="left" w:pos="1134"/>
          <w:tab w:val="left" w:pos="1701"/>
          <w:tab w:val="left" w:pos="2268"/>
          <w:tab w:val="left" w:pos="2835"/>
          <w:tab w:val="right" w:pos="8265"/>
        </w:tabs>
        <w:spacing w:before="360" w:after="360" w:line="480" w:lineRule="auto"/>
        <w:ind w:left="851" w:hanging="851"/>
        <w:jc w:val="both"/>
        <w:rPr>
          <w:rFonts w:eastAsia="Times New Roman" w:cs="Times New Roman"/>
        </w:rPr>
      </w:pPr>
      <w:r>
        <w:rPr>
          <w:rFonts w:eastAsia="Times New Roman" w:cs="Times New Roman"/>
        </w:rPr>
        <w:t>[30]</w:t>
      </w:r>
      <w:r>
        <w:rPr>
          <w:rFonts w:eastAsia="Times New Roman" w:cs="Times New Roman"/>
        </w:rPr>
        <w:tab/>
      </w:r>
      <w:r w:rsidR="00BC4859">
        <w:rPr>
          <w:rFonts w:eastAsia="Times New Roman" w:cs="Times New Roman"/>
        </w:rPr>
        <w:t>The risk of the respondents losing their primary residence only arises if they do not settle the outstanding judgment debt.  Based on the utterances of Dr Roodt, he is in a position to settle that debt, and has indicated that he would do so in order to save his home</w:t>
      </w:r>
      <w:r w:rsidR="00D409AE">
        <w:rPr>
          <w:rFonts w:eastAsia="Times New Roman" w:cs="Times New Roman"/>
        </w:rPr>
        <w:t xml:space="preserve"> from being sold on auction.</w:t>
      </w:r>
    </w:p>
    <w:p w14:paraId="13E4FCA8" w14:textId="17697470" w:rsidR="00B63843" w:rsidRDefault="0062611B" w:rsidP="0062611B">
      <w:pPr>
        <w:tabs>
          <w:tab w:val="left" w:pos="851"/>
          <w:tab w:val="left" w:pos="1134"/>
          <w:tab w:val="left" w:pos="1701"/>
          <w:tab w:val="left" w:pos="2268"/>
          <w:tab w:val="left" w:pos="2835"/>
          <w:tab w:val="right" w:pos="8265"/>
        </w:tabs>
        <w:spacing w:before="360" w:after="360" w:line="480" w:lineRule="auto"/>
        <w:ind w:left="710" w:hanging="851"/>
        <w:jc w:val="both"/>
        <w:rPr>
          <w:rFonts w:eastAsia="Times New Roman" w:cs="Times New Roman"/>
        </w:rPr>
      </w:pPr>
      <w:r>
        <w:rPr>
          <w:rFonts w:eastAsia="Times New Roman" w:cs="Times New Roman"/>
        </w:rPr>
        <w:t>[31]</w:t>
      </w:r>
      <w:r>
        <w:rPr>
          <w:rFonts w:eastAsia="Times New Roman" w:cs="Times New Roman"/>
        </w:rPr>
        <w:tab/>
      </w:r>
      <w:r w:rsidR="00D409AE" w:rsidRPr="00B63843">
        <w:rPr>
          <w:rFonts w:eastAsia="Times New Roman" w:cs="Times New Roman"/>
        </w:rPr>
        <w:t xml:space="preserve">In the premises I intend granting an order declaring the respondents’ property specially executable, but to suspend such order for two months, during which period the respondents have an opportunity of settling the full outstanding </w:t>
      </w:r>
      <w:r w:rsidR="00BF1D4C" w:rsidRPr="00B63843">
        <w:rPr>
          <w:rFonts w:eastAsia="Times New Roman" w:cs="Times New Roman"/>
        </w:rPr>
        <w:t>amount or</w:t>
      </w:r>
      <w:r w:rsidR="00D409AE" w:rsidRPr="00B63843">
        <w:rPr>
          <w:rFonts w:eastAsia="Times New Roman" w:cs="Times New Roman"/>
        </w:rPr>
        <w:t xml:space="preserve"> agre</w:t>
      </w:r>
      <w:r w:rsidR="00BF1D4C" w:rsidRPr="00B63843">
        <w:rPr>
          <w:rFonts w:eastAsia="Times New Roman" w:cs="Times New Roman"/>
        </w:rPr>
        <w:t xml:space="preserve">eing a payment regime with the applicant.  In the absence of payment or such a payment regime, the sale in execution should proceed. </w:t>
      </w:r>
    </w:p>
    <w:p w14:paraId="08CAA808" w14:textId="7D5094CD" w:rsidR="00BF1D4C" w:rsidRPr="00B63843" w:rsidRDefault="0062611B" w:rsidP="0062611B">
      <w:pPr>
        <w:tabs>
          <w:tab w:val="left" w:pos="851"/>
          <w:tab w:val="left" w:pos="1134"/>
          <w:tab w:val="left" w:pos="1701"/>
          <w:tab w:val="left" w:pos="2268"/>
          <w:tab w:val="left" w:pos="2835"/>
          <w:tab w:val="right" w:pos="8265"/>
        </w:tabs>
        <w:spacing w:before="360" w:after="360" w:line="480" w:lineRule="auto"/>
        <w:ind w:left="710" w:hanging="851"/>
        <w:jc w:val="both"/>
        <w:rPr>
          <w:rFonts w:eastAsia="Times New Roman" w:cs="Times New Roman"/>
        </w:rPr>
      </w:pPr>
      <w:r w:rsidRPr="00B63843">
        <w:rPr>
          <w:rFonts w:eastAsia="Times New Roman" w:cs="Times New Roman"/>
        </w:rPr>
        <w:t>[32]</w:t>
      </w:r>
      <w:r w:rsidRPr="00B63843">
        <w:rPr>
          <w:rFonts w:eastAsia="Times New Roman" w:cs="Times New Roman"/>
        </w:rPr>
        <w:tab/>
      </w:r>
      <w:r w:rsidR="00BF1D4C" w:rsidRPr="00B63843">
        <w:rPr>
          <w:rFonts w:eastAsia="Times New Roman" w:cs="Times New Roman"/>
        </w:rPr>
        <w:t>With that in mind it is necessary to determine an appropriate reserve price.</w:t>
      </w:r>
      <w:r w:rsidR="00FD6D3A">
        <w:rPr>
          <w:rFonts w:eastAsia="Times New Roman" w:cs="Times New Roman"/>
        </w:rPr>
        <w:t xml:space="preserve"> </w:t>
      </w:r>
      <w:r w:rsidR="00BF1D4C" w:rsidRPr="00B63843">
        <w:rPr>
          <w:rFonts w:eastAsia="Times New Roman" w:cs="Times New Roman"/>
        </w:rPr>
        <w:t xml:space="preserve">The starting point of determining an appropriate reserve price would be to utilise the </w:t>
      </w:r>
      <w:r w:rsidR="00702516" w:rsidRPr="00B63843">
        <w:rPr>
          <w:rFonts w:eastAsia="Times New Roman" w:cs="Times New Roman"/>
        </w:rPr>
        <w:t>forced sale value of R3 million.</w:t>
      </w:r>
    </w:p>
    <w:p w14:paraId="4FC1D69E" w14:textId="48263874" w:rsidR="00702516" w:rsidRDefault="0062611B" w:rsidP="0062611B">
      <w:pPr>
        <w:tabs>
          <w:tab w:val="left" w:pos="851"/>
          <w:tab w:val="left" w:pos="1701"/>
          <w:tab w:val="left" w:pos="2268"/>
          <w:tab w:val="left" w:pos="2835"/>
          <w:tab w:val="right" w:pos="8265"/>
        </w:tabs>
        <w:spacing w:before="360" w:after="360" w:line="480" w:lineRule="auto"/>
        <w:ind w:left="1701" w:hanging="850"/>
        <w:jc w:val="both"/>
        <w:rPr>
          <w:rFonts w:eastAsia="Times New Roman" w:cs="Times New Roman"/>
        </w:rPr>
      </w:pPr>
      <w:r>
        <w:rPr>
          <w:rFonts w:eastAsia="Times New Roman" w:cs="Times New Roman"/>
        </w:rPr>
        <w:t>3</w:t>
      </w:r>
      <w:bookmarkStart w:id="0" w:name="_GoBack"/>
      <w:bookmarkEnd w:id="0"/>
      <w:r>
        <w:rPr>
          <w:rFonts w:eastAsia="Times New Roman" w:cs="Times New Roman"/>
        </w:rPr>
        <w:t>2.1</w:t>
      </w:r>
      <w:r>
        <w:rPr>
          <w:rFonts w:eastAsia="Times New Roman" w:cs="Times New Roman"/>
        </w:rPr>
        <w:tab/>
      </w:r>
      <w:r w:rsidR="00702516">
        <w:rPr>
          <w:rFonts w:eastAsia="Times New Roman" w:cs="Times New Roman"/>
        </w:rPr>
        <w:t>An updated municipal account indicates that the respondents</w:t>
      </w:r>
      <w:r w:rsidR="00FD3B87">
        <w:rPr>
          <w:rFonts w:eastAsia="Times New Roman" w:cs="Times New Roman"/>
        </w:rPr>
        <w:t xml:space="preserve"> owe the City of Johannesburg Metropolitan Municipality rates and taxed of R441 025.14.  This amount has to be deducted from the forced sale value.</w:t>
      </w:r>
    </w:p>
    <w:p w14:paraId="0C8A395A" w14:textId="1A9B0547" w:rsidR="00FD3B87" w:rsidRDefault="0062611B" w:rsidP="0062611B">
      <w:pPr>
        <w:tabs>
          <w:tab w:val="left" w:pos="851"/>
          <w:tab w:val="left" w:pos="1701"/>
          <w:tab w:val="left" w:pos="2268"/>
          <w:tab w:val="left" w:pos="2835"/>
          <w:tab w:val="right" w:pos="8265"/>
        </w:tabs>
        <w:spacing w:before="360" w:after="360" w:line="480" w:lineRule="auto"/>
        <w:ind w:left="1701" w:hanging="850"/>
        <w:jc w:val="both"/>
        <w:rPr>
          <w:rFonts w:eastAsia="Times New Roman" w:cs="Times New Roman"/>
        </w:rPr>
      </w:pPr>
      <w:r>
        <w:rPr>
          <w:rFonts w:eastAsia="Times New Roman" w:cs="Times New Roman"/>
        </w:rPr>
        <w:lastRenderedPageBreak/>
        <w:t>32.2</w:t>
      </w:r>
      <w:r>
        <w:rPr>
          <w:rFonts w:eastAsia="Times New Roman" w:cs="Times New Roman"/>
        </w:rPr>
        <w:tab/>
      </w:r>
      <w:r w:rsidR="00FD3B87">
        <w:rPr>
          <w:rFonts w:eastAsia="Times New Roman" w:cs="Times New Roman"/>
        </w:rPr>
        <w:t xml:space="preserve">The outstanding levies due to the applicant have been calculated by the DHA as being an amount of R1 623 248.78.  This is a calculation which was redone by Ms Moonsamy, </w:t>
      </w:r>
      <w:r w:rsidR="007A1FA2">
        <w:rPr>
          <w:rFonts w:eastAsia="Times New Roman" w:cs="Times New Roman"/>
        </w:rPr>
        <w:t xml:space="preserve">utilising the interest in the Prescribed Rate of Interest Act.  In terms of her recalculation, the outstanding levies would total R686 807.99, if applying simple </w:t>
      </w:r>
      <w:r w:rsidR="001B62C6">
        <w:rPr>
          <w:rFonts w:eastAsia="Times New Roman" w:cs="Times New Roman"/>
        </w:rPr>
        <w:t xml:space="preserve">interest.  I do not intend resolving the dispute whether compound interest or simple interest is appropriate.  I, however, intend utilising the amount of R686 807.79 as the amount of </w:t>
      </w:r>
      <w:r w:rsidR="00EA781A">
        <w:rPr>
          <w:rFonts w:eastAsia="Times New Roman" w:cs="Times New Roman"/>
        </w:rPr>
        <w:t>outstanding levies due to the applicant, simply because the exercise involves a primary residence, and the respondents are to be given the benefit of the doubt in determining an appropriate reserve price.  I therefore</w:t>
      </w:r>
      <w:r w:rsidR="007A1FA2">
        <w:rPr>
          <w:rFonts w:eastAsia="Times New Roman" w:cs="Times New Roman"/>
        </w:rPr>
        <w:t xml:space="preserve"> </w:t>
      </w:r>
      <w:r w:rsidR="00EA781A">
        <w:rPr>
          <w:rFonts w:eastAsia="Times New Roman" w:cs="Times New Roman"/>
        </w:rPr>
        <w:t>intend deducting the amount of R686 807.99, rather than the amount of R1</w:t>
      </w:r>
      <w:r w:rsidR="009843F9">
        <w:rPr>
          <w:rFonts w:eastAsia="Times New Roman" w:cs="Times New Roman"/>
        </w:rPr>
        <w:t> </w:t>
      </w:r>
      <w:r w:rsidR="00EA781A">
        <w:rPr>
          <w:rFonts w:eastAsia="Times New Roman" w:cs="Times New Roman"/>
        </w:rPr>
        <w:t>623</w:t>
      </w:r>
      <w:r w:rsidR="009843F9">
        <w:rPr>
          <w:rFonts w:eastAsia="Times New Roman" w:cs="Times New Roman"/>
        </w:rPr>
        <w:t xml:space="preserve"> 247.78.</w:t>
      </w:r>
    </w:p>
    <w:p w14:paraId="056E5FEB" w14:textId="1C5C43A0" w:rsidR="009843F9" w:rsidRDefault="0062611B" w:rsidP="0062611B">
      <w:pPr>
        <w:tabs>
          <w:tab w:val="left" w:pos="851"/>
          <w:tab w:val="left" w:pos="1701"/>
          <w:tab w:val="left" w:pos="2268"/>
          <w:tab w:val="left" w:pos="2835"/>
          <w:tab w:val="right" w:pos="8265"/>
        </w:tabs>
        <w:spacing w:before="360" w:after="360" w:line="480" w:lineRule="auto"/>
        <w:ind w:left="1701" w:hanging="850"/>
        <w:jc w:val="both"/>
        <w:rPr>
          <w:rFonts w:eastAsia="Times New Roman" w:cs="Times New Roman"/>
        </w:rPr>
      </w:pPr>
      <w:r>
        <w:rPr>
          <w:rFonts w:eastAsia="Times New Roman" w:cs="Times New Roman"/>
        </w:rPr>
        <w:t>32.3</w:t>
      </w:r>
      <w:r>
        <w:rPr>
          <w:rFonts w:eastAsia="Times New Roman" w:cs="Times New Roman"/>
        </w:rPr>
        <w:tab/>
      </w:r>
      <w:r w:rsidR="009843F9">
        <w:rPr>
          <w:rFonts w:eastAsia="Times New Roman" w:cs="Times New Roman"/>
        </w:rPr>
        <w:t>The applicant contend</w:t>
      </w:r>
      <w:r w:rsidR="00262408">
        <w:rPr>
          <w:rFonts w:eastAsia="Times New Roman" w:cs="Times New Roman"/>
        </w:rPr>
        <w:t>s</w:t>
      </w:r>
      <w:r w:rsidR="009843F9">
        <w:rPr>
          <w:rFonts w:eastAsia="Times New Roman" w:cs="Times New Roman"/>
        </w:rPr>
        <w:t xml:space="preserve"> </w:t>
      </w:r>
      <w:r w:rsidR="00262408">
        <w:rPr>
          <w:rFonts w:eastAsia="Times New Roman" w:cs="Times New Roman"/>
        </w:rPr>
        <w:t xml:space="preserve">for a reserve price of R935 726.79.  A reserve price is not, in my opinion, to be determined with a degree of accuracy flowing from a purely </w:t>
      </w:r>
      <w:r w:rsidR="000E7D7D">
        <w:rPr>
          <w:rFonts w:eastAsia="Times New Roman" w:cs="Times New Roman"/>
        </w:rPr>
        <w:t xml:space="preserve">arithmetical exercise.  </w:t>
      </w:r>
      <w:r w:rsidR="00E81EA1">
        <w:rPr>
          <w:rFonts w:eastAsia="Times New Roman" w:cs="Times New Roman"/>
        </w:rPr>
        <w:t>In my mind, a fair reserve price for the property would R1,9 million.</w:t>
      </w:r>
    </w:p>
    <w:p w14:paraId="5C50962E" w14:textId="556EF28F" w:rsidR="00702516" w:rsidRDefault="0062611B" w:rsidP="0062611B">
      <w:pPr>
        <w:tabs>
          <w:tab w:val="left" w:pos="851"/>
          <w:tab w:val="left" w:pos="1134"/>
          <w:tab w:val="left" w:pos="1701"/>
          <w:tab w:val="left" w:pos="2268"/>
          <w:tab w:val="left" w:pos="2835"/>
          <w:tab w:val="right" w:pos="8265"/>
        </w:tabs>
        <w:spacing w:before="360" w:after="360" w:line="480" w:lineRule="auto"/>
        <w:ind w:left="851" w:hanging="851"/>
        <w:jc w:val="both"/>
        <w:rPr>
          <w:rFonts w:eastAsia="Times New Roman" w:cs="Times New Roman"/>
        </w:rPr>
      </w:pPr>
      <w:r>
        <w:rPr>
          <w:rFonts w:eastAsia="Times New Roman" w:cs="Times New Roman"/>
        </w:rPr>
        <w:t>[33]</w:t>
      </w:r>
      <w:r>
        <w:rPr>
          <w:rFonts w:eastAsia="Times New Roman" w:cs="Times New Roman"/>
        </w:rPr>
        <w:tab/>
      </w:r>
      <w:r w:rsidR="00E81EA1">
        <w:rPr>
          <w:rFonts w:eastAsia="Times New Roman" w:cs="Times New Roman"/>
        </w:rPr>
        <w:t>In the premises, the following order is made:</w:t>
      </w:r>
    </w:p>
    <w:p w14:paraId="5D03F851" w14:textId="77A02316" w:rsidR="000B5C1E" w:rsidRPr="0062611B" w:rsidRDefault="0062611B" w:rsidP="0062611B">
      <w:pPr>
        <w:tabs>
          <w:tab w:val="left" w:pos="851"/>
          <w:tab w:val="left" w:pos="1701"/>
          <w:tab w:val="left" w:pos="2268"/>
          <w:tab w:val="left" w:pos="2835"/>
          <w:tab w:val="right" w:pos="8265"/>
        </w:tabs>
        <w:spacing w:before="360" w:after="360" w:line="480" w:lineRule="auto"/>
        <w:ind w:left="1570" w:hanging="850"/>
        <w:jc w:val="both"/>
        <w:rPr>
          <w:rFonts w:eastAsia="Times New Roman" w:cs="Times New Roman"/>
        </w:rPr>
      </w:pPr>
      <w:r>
        <w:rPr>
          <w:rFonts w:eastAsia="Times New Roman" w:cs="Times New Roman"/>
        </w:rPr>
        <w:t>1.</w:t>
      </w:r>
      <w:r>
        <w:rPr>
          <w:rFonts w:eastAsia="Times New Roman" w:cs="Times New Roman"/>
        </w:rPr>
        <w:tab/>
      </w:r>
      <w:r w:rsidR="00E81EA1" w:rsidRPr="0062611B">
        <w:rPr>
          <w:rFonts w:eastAsia="Times New Roman" w:cs="Times New Roman"/>
        </w:rPr>
        <w:t>The application for rescission of the judgment of 31 August 2018 is dismissed with costs.</w:t>
      </w:r>
    </w:p>
    <w:p w14:paraId="7A5C49DB" w14:textId="54BD2704" w:rsidR="000B5C1E" w:rsidRPr="0062611B" w:rsidRDefault="0062611B" w:rsidP="0062611B">
      <w:pPr>
        <w:tabs>
          <w:tab w:val="left" w:pos="851"/>
          <w:tab w:val="left" w:pos="1701"/>
          <w:tab w:val="left" w:pos="2268"/>
          <w:tab w:val="left" w:pos="2835"/>
          <w:tab w:val="right" w:pos="8265"/>
        </w:tabs>
        <w:spacing w:before="360" w:after="360" w:line="480" w:lineRule="auto"/>
        <w:ind w:left="1570" w:hanging="850"/>
        <w:jc w:val="both"/>
        <w:rPr>
          <w:rFonts w:eastAsia="Times New Roman" w:cs="Times New Roman"/>
        </w:rPr>
      </w:pPr>
      <w:r>
        <w:rPr>
          <w:rFonts w:eastAsia="Times New Roman" w:cs="Times New Roman"/>
        </w:rPr>
        <w:t>2.</w:t>
      </w:r>
      <w:r>
        <w:rPr>
          <w:rFonts w:eastAsia="Times New Roman" w:cs="Times New Roman"/>
        </w:rPr>
        <w:tab/>
      </w:r>
      <w:r w:rsidR="00E81EA1" w:rsidRPr="0062611B">
        <w:rPr>
          <w:rFonts w:eastAsia="Times New Roman" w:cs="Times New Roman"/>
        </w:rPr>
        <w:t xml:space="preserve">An order is granted declaring the first and second respondents’ property </w:t>
      </w:r>
      <w:r w:rsidR="003577D4" w:rsidRPr="0062611B">
        <w:rPr>
          <w:rFonts w:eastAsia="Times New Roman" w:cs="Times New Roman"/>
        </w:rPr>
        <w:t>below specially executable in terms of rule 46(1)(a)(ii):</w:t>
      </w:r>
    </w:p>
    <w:p w14:paraId="01FB47A6" w14:textId="3FD14152" w:rsidR="000B5C1E" w:rsidRDefault="000B5C1E" w:rsidP="000B5C1E">
      <w:pPr>
        <w:pStyle w:val="ListParagraph"/>
        <w:tabs>
          <w:tab w:val="left" w:pos="851"/>
          <w:tab w:val="left" w:pos="1701"/>
          <w:tab w:val="left" w:pos="2268"/>
          <w:tab w:val="left" w:pos="2835"/>
          <w:tab w:val="right" w:pos="8265"/>
        </w:tabs>
        <w:spacing w:before="360" w:after="360" w:line="480" w:lineRule="auto"/>
        <w:ind w:left="1570"/>
        <w:jc w:val="both"/>
        <w:rPr>
          <w:rFonts w:eastAsia="Times New Roman" w:cs="Times New Roman"/>
        </w:rPr>
      </w:pPr>
      <w:r>
        <w:rPr>
          <w:rFonts w:eastAsia="Times New Roman" w:cs="Times New Roman"/>
        </w:rPr>
        <w:lastRenderedPageBreak/>
        <w:t>E</w:t>
      </w:r>
      <w:r w:rsidR="00C52CFA">
        <w:rPr>
          <w:rFonts w:eastAsia="Times New Roman" w:cs="Times New Roman"/>
        </w:rPr>
        <w:t>RF […]</w:t>
      </w:r>
      <w:r w:rsidR="003577D4" w:rsidRPr="000B5C1E">
        <w:rPr>
          <w:rFonts w:eastAsia="Times New Roman" w:cs="Times New Roman"/>
        </w:rPr>
        <w:t>, Dainfern</w:t>
      </w:r>
    </w:p>
    <w:p w14:paraId="50397CC0" w14:textId="0EBA19B1" w:rsidR="000B5C1E" w:rsidRDefault="000B5C1E" w:rsidP="000B5C1E">
      <w:pPr>
        <w:pStyle w:val="ListParagraph"/>
        <w:tabs>
          <w:tab w:val="left" w:pos="851"/>
          <w:tab w:val="left" w:pos="1701"/>
          <w:tab w:val="left" w:pos="2268"/>
          <w:tab w:val="left" w:pos="2835"/>
          <w:tab w:val="right" w:pos="8265"/>
        </w:tabs>
        <w:spacing w:before="360" w:after="360" w:line="480" w:lineRule="auto"/>
        <w:ind w:left="1570"/>
        <w:jc w:val="both"/>
        <w:rPr>
          <w:rFonts w:eastAsia="Times New Roman" w:cs="Times New Roman"/>
        </w:rPr>
      </w:pPr>
      <w:r>
        <w:rPr>
          <w:rFonts w:eastAsia="Times New Roman" w:cs="Times New Roman"/>
        </w:rPr>
        <w:t>Registration Division JR</w:t>
      </w:r>
      <w:r w:rsidR="003577D4" w:rsidRPr="003577D4">
        <w:rPr>
          <w:rFonts w:eastAsia="Times New Roman" w:cs="Times New Roman"/>
        </w:rPr>
        <w:t xml:space="preserve">, </w:t>
      </w:r>
      <w:r w:rsidR="003577D4">
        <w:rPr>
          <w:rFonts w:eastAsia="Times New Roman" w:cs="Times New Roman"/>
        </w:rPr>
        <w:t>P</w:t>
      </w:r>
      <w:r w:rsidR="003577D4" w:rsidRPr="003577D4">
        <w:rPr>
          <w:rFonts w:eastAsia="Times New Roman" w:cs="Times New Roman"/>
        </w:rPr>
        <w:t>rovince of Gauteng</w:t>
      </w:r>
    </w:p>
    <w:p w14:paraId="276FE0F3" w14:textId="77777777" w:rsidR="000B5C1E" w:rsidRDefault="003577D4" w:rsidP="000B5C1E">
      <w:pPr>
        <w:pStyle w:val="ListParagraph"/>
        <w:tabs>
          <w:tab w:val="left" w:pos="851"/>
          <w:tab w:val="left" w:pos="1701"/>
          <w:tab w:val="left" w:pos="2268"/>
          <w:tab w:val="left" w:pos="2835"/>
          <w:tab w:val="right" w:pos="8265"/>
        </w:tabs>
        <w:spacing w:before="360" w:after="360" w:line="480" w:lineRule="auto"/>
        <w:ind w:left="1570"/>
        <w:jc w:val="both"/>
        <w:rPr>
          <w:rFonts w:eastAsia="Times New Roman" w:cs="Times New Roman"/>
        </w:rPr>
      </w:pPr>
      <w:r w:rsidRPr="003577D4">
        <w:rPr>
          <w:rFonts w:eastAsia="Times New Roman" w:cs="Times New Roman"/>
        </w:rPr>
        <w:t>Measuring 836 square metres in extent</w:t>
      </w:r>
      <w:r>
        <w:rPr>
          <w:rFonts w:eastAsia="Times New Roman" w:cs="Times New Roman"/>
        </w:rPr>
        <w:t>,</w:t>
      </w:r>
    </w:p>
    <w:p w14:paraId="4C4B89B2" w14:textId="1832CA23" w:rsidR="0079510B" w:rsidRDefault="003577D4" w:rsidP="000B5C1E">
      <w:pPr>
        <w:pStyle w:val="ListParagraph"/>
        <w:tabs>
          <w:tab w:val="left" w:pos="851"/>
          <w:tab w:val="left" w:pos="1701"/>
          <w:tab w:val="left" w:pos="2268"/>
          <w:tab w:val="left" w:pos="2835"/>
          <w:tab w:val="right" w:pos="8265"/>
        </w:tabs>
        <w:spacing w:before="360" w:after="360" w:line="480" w:lineRule="auto"/>
        <w:ind w:left="1570"/>
        <w:jc w:val="both"/>
        <w:rPr>
          <w:rFonts w:eastAsia="Times New Roman" w:cs="Times New Roman"/>
        </w:rPr>
      </w:pPr>
      <w:r>
        <w:rPr>
          <w:rFonts w:eastAsia="Times New Roman" w:cs="Times New Roman"/>
        </w:rPr>
        <w:t>H</w:t>
      </w:r>
      <w:r w:rsidRPr="003577D4">
        <w:rPr>
          <w:rFonts w:eastAsia="Times New Roman" w:cs="Times New Roman"/>
        </w:rPr>
        <w:t>eld in terms of Deed of Tra</w:t>
      </w:r>
      <w:r>
        <w:rPr>
          <w:rFonts w:eastAsia="Times New Roman" w:cs="Times New Roman"/>
        </w:rPr>
        <w:t>n</w:t>
      </w:r>
      <w:r w:rsidRPr="003577D4">
        <w:rPr>
          <w:rFonts w:eastAsia="Times New Roman" w:cs="Times New Roman"/>
        </w:rPr>
        <w:t>sfer 43717/1994</w:t>
      </w:r>
      <w:r w:rsidR="00FD6D3A">
        <w:rPr>
          <w:rFonts w:eastAsia="Times New Roman" w:cs="Times New Roman"/>
        </w:rPr>
        <w:t>.</w:t>
      </w:r>
    </w:p>
    <w:p w14:paraId="6F816EF0" w14:textId="77777777" w:rsidR="00FD6D3A" w:rsidRDefault="00FD6D3A" w:rsidP="000B5C1E">
      <w:pPr>
        <w:pStyle w:val="ListParagraph"/>
        <w:tabs>
          <w:tab w:val="left" w:pos="851"/>
          <w:tab w:val="left" w:pos="1701"/>
          <w:tab w:val="left" w:pos="2268"/>
          <w:tab w:val="left" w:pos="2835"/>
          <w:tab w:val="right" w:pos="8265"/>
        </w:tabs>
        <w:spacing w:before="360" w:after="360" w:line="480" w:lineRule="auto"/>
        <w:ind w:left="1570"/>
        <w:jc w:val="both"/>
        <w:rPr>
          <w:rFonts w:eastAsia="Times New Roman" w:cs="Times New Roman"/>
        </w:rPr>
      </w:pPr>
    </w:p>
    <w:p w14:paraId="65C6C21F" w14:textId="610B4754" w:rsidR="00A917EA" w:rsidRPr="0062611B" w:rsidRDefault="0062611B" w:rsidP="0062611B">
      <w:pPr>
        <w:tabs>
          <w:tab w:val="left" w:pos="851"/>
          <w:tab w:val="left" w:pos="1701"/>
          <w:tab w:val="left" w:pos="2268"/>
          <w:tab w:val="left" w:pos="2835"/>
          <w:tab w:val="right" w:pos="8265"/>
        </w:tabs>
        <w:spacing w:before="360" w:after="360" w:line="480" w:lineRule="auto"/>
        <w:ind w:left="1570" w:hanging="850"/>
        <w:jc w:val="both"/>
        <w:rPr>
          <w:rFonts w:eastAsia="Times New Roman" w:cs="Times New Roman"/>
        </w:rPr>
      </w:pPr>
      <w:r>
        <w:rPr>
          <w:rFonts w:eastAsia="Times New Roman" w:cs="Times New Roman"/>
        </w:rPr>
        <w:t>3.</w:t>
      </w:r>
      <w:r>
        <w:rPr>
          <w:rFonts w:eastAsia="Times New Roman" w:cs="Times New Roman"/>
        </w:rPr>
        <w:tab/>
      </w:r>
      <w:r w:rsidR="00A917EA" w:rsidRPr="0062611B">
        <w:rPr>
          <w:rFonts w:eastAsia="Times New Roman" w:cs="Times New Roman"/>
        </w:rPr>
        <w:t xml:space="preserve">The Registrar is authorised and directed to issue a writ of execution </w:t>
      </w:r>
      <w:r w:rsidR="000B5C1E" w:rsidRPr="0062611B">
        <w:rPr>
          <w:rFonts w:eastAsia="Times New Roman" w:cs="Times New Roman"/>
        </w:rPr>
        <w:t>against</w:t>
      </w:r>
      <w:r w:rsidR="00A917EA" w:rsidRPr="0062611B">
        <w:rPr>
          <w:rFonts w:eastAsia="Times New Roman" w:cs="Times New Roman"/>
        </w:rPr>
        <w:t xml:space="preserve"> the aforesaid property of the First and Second Respondents.</w:t>
      </w:r>
    </w:p>
    <w:p w14:paraId="0AC4C011" w14:textId="77777777" w:rsidR="00FD6D3A" w:rsidRDefault="00FD6D3A" w:rsidP="00FD6D3A">
      <w:pPr>
        <w:pStyle w:val="ListParagraph"/>
        <w:tabs>
          <w:tab w:val="left" w:pos="851"/>
          <w:tab w:val="left" w:pos="1701"/>
          <w:tab w:val="left" w:pos="2268"/>
          <w:tab w:val="left" w:pos="2835"/>
          <w:tab w:val="right" w:pos="8265"/>
        </w:tabs>
        <w:spacing w:before="360" w:after="360" w:line="480" w:lineRule="auto"/>
        <w:ind w:left="1570"/>
        <w:jc w:val="both"/>
        <w:rPr>
          <w:rFonts w:eastAsia="Times New Roman" w:cs="Times New Roman"/>
        </w:rPr>
      </w:pPr>
    </w:p>
    <w:p w14:paraId="45084BD3" w14:textId="164851E7" w:rsidR="00A917EA" w:rsidRPr="0062611B" w:rsidRDefault="0062611B" w:rsidP="0062611B">
      <w:pPr>
        <w:tabs>
          <w:tab w:val="left" w:pos="851"/>
          <w:tab w:val="left" w:pos="1701"/>
          <w:tab w:val="left" w:pos="2268"/>
          <w:tab w:val="left" w:pos="2835"/>
          <w:tab w:val="right" w:pos="8265"/>
        </w:tabs>
        <w:spacing w:before="360" w:after="360" w:line="480" w:lineRule="auto"/>
        <w:ind w:left="1570" w:hanging="850"/>
        <w:jc w:val="both"/>
        <w:rPr>
          <w:rFonts w:eastAsia="Times New Roman" w:cs="Times New Roman"/>
        </w:rPr>
      </w:pPr>
      <w:r>
        <w:rPr>
          <w:rFonts w:eastAsia="Times New Roman" w:cs="Times New Roman"/>
        </w:rPr>
        <w:t>4.</w:t>
      </w:r>
      <w:r>
        <w:rPr>
          <w:rFonts w:eastAsia="Times New Roman" w:cs="Times New Roman"/>
        </w:rPr>
        <w:tab/>
      </w:r>
      <w:r w:rsidR="00A917EA" w:rsidRPr="0062611B">
        <w:rPr>
          <w:rFonts w:eastAsia="Times New Roman" w:cs="Times New Roman"/>
        </w:rPr>
        <w:t>The sheriff is authorised to sell the aforesaid immovable property, sub</w:t>
      </w:r>
      <w:r w:rsidR="000B5C1E" w:rsidRPr="0062611B">
        <w:rPr>
          <w:rFonts w:eastAsia="Times New Roman" w:cs="Times New Roman"/>
        </w:rPr>
        <w:t>ject to a reserve price of R1,9 million</w:t>
      </w:r>
      <w:r w:rsidR="00A917EA" w:rsidRPr="0062611B">
        <w:rPr>
          <w:rFonts w:eastAsia="Times New Roman" w:cs="Times New Roman"/>
        </w:rPr>
        <w:t>.</w:t>
      </w:r>
    </w:p>
    <w:p w14:paraId="719F38A1" w14:textId="77777777" w:rsidR="00FD6D3A" w:rsidRPr="00FD6D3A" w:rsidRDefault="00FD6D3A" w:rsidP="00FD6D3A">
      <w:pPr>
        <w:pStyle w:val="ListParagraph"/>
        <w:rPr>
          <w:rFonts w:eastAsia="Times New Roman" w:cs="Times New Roman"/>
        </w:rPr>
      </w:pPr>
    </w:p>
    <w:p w14:paraId="4711B662" w14:textId="77777777" w:rsidR="00FD6D3A" w:rsidRDefault="00FD6D3A" w:rsidP="00FD6D3A">
      <w:pPr>
        <w:pStyle w:val="ListParagraph"/>
        <w:tabs>
          <w:tab w:val="left" w:pos="851"/>
          <w:tab w:val="left" w:pos="1701"/>
          <w:tab w:val="left" w:pos="2268"/>
          <w:tab w:val="left" w:pos="2835"/>
          <w:tab w:val="right" w:pos="8265"/>
        </w:tabs>
        <w:spacing w:before="360" w:after="360" w:line="480" w:lineRule="auto"/>
        <w:ind w:left="1570"/>
        <w:jc w:val="both"/>
        <w:rPr>
          <w:rFonts w:eastAsia="Times New Roman" w:cs="Times New Roman"/>
        </w:rPr>
      </w:pPr>
    </w:p>
    <w:p w14:paraId="275835FD" w14:textId="4A9C3E7D" w:rsidR="005E139A" w:rsidRPr="0062611B" w:rsidRDefault="0062611B" w:rsidP="0062611B">
      <w:pPr>
        <w:tabs>
          <w:tab w:val="left" w:pos="851"/>
          <w:tab w:val="left" w:pos="1701"/>
          <w:tab w:val="left" w:pos="2268"/>
          <w:tab w:val="left" w:pos="2835"/>
          <w:tab w:val="right" w:pos="8265"/>
        </w:tabs>
        <w:spacing w:before="360" w:after="360" w:line="480" w:lineRule="auto"/>
        <w:ind w:left="1570" w:hanging="850"/>
        <w:jc w:val="both"/>
        <w:rPr>
          <w:rFonts w:eastAsia="Times New Roman" w:cs="Times New Roman"/>
        </w:rPr>
      </w:pPr>
      <w:r>
        <w:rPr>
          <w:rFonts w:eastAsia="Times New Roman" w:cs="Times New Roman"/>
        </w:rPr>
        <w:t>5.</w:t>
      </w:r>
      <w:r>
        <w:rPr>
          <w:rFonts w:eastAsia="Times New Roman" w:cs="Times New Roman"/>
        </w:rPr>
        <w:tab/>
      </w:r>
      <w:r w:rsidR="005E139A" w:rsidRPr="0062611B">
        <w:rPr>
          <w:rFonts w:eastAsia="Times New Roman" w:cs="Times New Roman"/>
        </w:rPr>
        <w:t>The aforesaid declaration is suspended for 60 days</w:t>
      </w:r>
      <w:r w:rsidR="00A917EA" w:rsidRPr="0062611B">
        <w:rPr>
          <w:rFonts w:eastAsia="Times New Roman" w:cs="Times New Roman"/>
        </w:rPr>
        <w:t xml:space="preserve"> from date of this order</w:t>
      </w:r>
      <w:r w:rsidR="005E139A" w:rsidRPr="0062611B">
        <w:rPr>
          <w:rFonts w:eastAsia="Times New Roman" w:cs="Times New Roman"/>
        </w:rPr>
        <w:t>, to afford the first and second respondents an opportunity to settle the outstanding capital and interest, alternatively to agree to a payment plan acceptable to the applicant.</w:t>
      </w:r>
    </w:p>
    <w:p w14:paraId="046549A0" w14:textId="757635B7" w:rsidR="005E139A" w:rsidRPr="005E139A" w:rsidRDefault="00A917EA" w:rsidP="000B5C1E">
      <w:pPr>
        <w:pStyle w:val="ListParagraph"/>
        <w:tabs>
          <w:tab w:val="left" w:pos="851"/>
        </w:tabs>
        <w:spacing w:before="360" w:after="360" w:line="480" w:lineRule="auto"/>
        <w:ind w:left="589"/>
        <w:rPr>
          <w:rFonts w:eastAsia="Times New Roman" w:cs="Times New Roman"/>
        </w:rPr>
      </w:pPr>
      <w:r>
        <w:rPr>
          <w:rFonts w:eastAsia="Times New Roman" w:cs="Times New Roman"/>
        </w:rPr>
        <w:tab/>
      </w:r>
    </w:p>
    <w:p w14:paraId="246F2E7D" w14:textId="2537ACBE" w:rsidR="005E139A" w:rsidRPr="0062611B" w:rsidRDefault="0062611B" w:rsidP="0062611B">
      <w:pPr>
        <w:tabs>
          <w:tab w:val="left" w:pos="851"/>
          <w:tab w:val="left" w:pos="1701"/>
          <w:tab w:val="left" w:pos="2268"/>
          <w:tab w:val="left" w:pos="2835"/>
          <w:tab w:val="right" w:pos="8265"/>
        </w:tabs>
        <w:spacing w:before="360" w:after="360" w:line="480" w:lineRule="auto"/>
        <w:ind w:left="1570" w:hanging="850"/>
        <w:jc w:val="both"/>
        <w:rPr>
          <w:rFonts w:eastAsia="Times New Roman" w:cs="Times New Roman"/>
        </w:rPr>
      </w:pPr>
      <w:r w:rsidRPr="003577D4">
        <w:rPr>
          <w:rFonts w:eastAsia="Times New Roman" w:cs="Times New Roman"/>
        </w:rPr>
        <w:t>6.</w:t>
      </w:r>
      <w:r w:rsidRPr="003577D4">
        <w:rPr>
          <w:rFonts w:eastAsia="Times New Roman" w:cs="Times New Roman"/>
        </w:rPr>
        <w:tab/>
      </w:r>
      <w:r w:rsidR="005E139A" w:rsidRPr="0062611B">
        <w:rPr>
          <w:rFonts w:eastAsia="Times New Roman" w:cs="Times New Roman"/>
        </w:rPr>
        <w:t>In the event of failure to pay or to agree on a payment plan</w:t>
      </w:r>
      <w:r w:rsidR="003577D4" w:rsidRPr="0062611B">
        <w:rPr>
          <w:rFonts w:eastAsia="Times New Roman" w:cs="Times New Roman"/>
        </w:rPr>
        <w:t xml:space="preserve"> within 60 days</w:t>
      </w:r>
      <w:r w:rsidR="005E139A" w:rsidRPr="0062611B">
        <w:rPr>
          <w:rFonts w:eastAsia="Times New Roman" w:cs="Times New Roman"/>
        </w:rPr>
        <w:t>, the aforesaid declaration will come into force.</w:t>
      </w:r>
    </w:p>
    <w:p w14:paraId="49C3C285" w14:textId="77777777" w:rsidR="005E139A" w:rsidRPr="005E139A" w:rsidRDefault="005E139A" w:rsidP="000B5C1E">
      <w:pPr>
        <w:pStyle w:val="ListParagraph"/>
        <w:spacing w:before="360" w:after="360" w:line="480" w:lineRule="auto"/>
        <w:ind w:left="589"/>
        <w:rPr>
          <w:rFonts w:eastAsia="Times New Roman" w:cs="Times New Roman"/>
        </w:rPr>
      </w:pPr>
    </w:p>
    <w:p w14:paraId="4CA04C78" w14:textId="479A7F4D" w:rsidR="00FD6D3A" w:rsidRPr="0062611B" w:rsidRDefault="0062611B" w:rsidP="0062611B">
      <w:pPr>
        <w:tabs>
          <w:tab w:val="left" w:pos="851"/>
          <w:tab w:val="left" w:pos="1701"/>
          <w:tab w:val="left" w:pos="2268"/>
          <w:tab w:val="left" w:pos="2835"/>
          <w:tab w:val="right" w:pos="8265"/>
        </w:tabs>
        <w:spacing w:before="360" w:after="360" w:line="480" w:lineRule="auto"/>
        <w:ind w:left="1570" w:hanging="850"/>
        <w:jc w:val="both"/>
        <w:rPr>
          <w:rFonts w:eastAsia="Times New Roman" w:cs="Times New Roman"/>
        </w:rPr>
      </w:pPr>
      <w:r>
        <w:rPr>
          <w:rFonts w:eastAsia="Times New Roman" w:cs="Times New Roman"/>
        </w:rPr>
        <w:lastRenderedPageBreak/>
        <w:t>7.</w:t>
      </w:r>
      <w:r>
        <w:rPr>
          <w:rFonts w:eastAsia="Times New Roman" w:cs="Times New Roman"/>
        </w:rPr>
        <w:tab/>
      </w:r>
      <w:r w:rsidR="00A917EA" w:rsidRPr="0062611B">
        <w:rPr>
          <w:rFonts w:eastAsia="Times New Roman" w:cs="Times New Roman"/>
        </w:rPr>
        <w:t>The first and second respondents are to pay the costs of</w:t>
      </w:r>
      <w:r w:rsidR="00FD6D3A" w:rsidRPr="0062611B">
        <w:rPr>
          <w:rFonts w:eastAsia="Times New Roman" w:cs="Times New Roman"/>
        </w:rPr>
        <w:t>:</w:t>
      </w:r>
    </w:p>
    <w:p w14:paraId="30EA1215" w14:textId="77777777" w:rsidR="00FD6D3A" w:rsidRPr="00FD6D3A" w:rsidRDefault="00FD6D3A" w:rsidP="00FD6D3A">
      <w:pPr>
        <w:pStyle w:val="ListParagraph"/>
        <w:rPr>
          <w:rFonts w:eastAsia="Times New Roman" w:cs="Times New Roman"/>
        </w:rPr>
      </w:pPr>
    </w:p>
    <w:p w14:paraId="12F1D1AF" w14:textId="4FBDB845" w:rsidR="00FD6D3A" w:rsidRPr="0062611B" w:rsidRDefault="0062611B" w:rsidP="0062611B">
      <w:pPr>
        <w:tabs>
          <w:tab w:val="left" w:pos="851"/>
          <w:tab w:val="left" w:pos="1701"/>
          <w:tab w:val="left" w:pos="2268"/>
          <w:tab w:val="left" w:pos="2835"/>
          <w:tab w:val="right" w:pos="8265"/>
        </w:tabs>
        <w:spacing w:before="360" w:after="360" w:line="480" w:lineRule="auto"/>
        <w:ind w:left="2290" w:hanging="720"/>
        <w:jc w:val="both"/>
        <w:rPr>
          <w:rFonts w:eastAsia="Times New Roman" w:cs="Times New Roman"/>
        </w:rPr>
      </w:pPr>
      <w:r>
        <w:rPr>
          <w:rFonts w:eastAsia="Times New Roman" w:cs="Times New Roman"/>
        </w:rPr>
        <w:t>7.1.</w:t>
      </w:r>
      <w:r>
        <w:rPr>
          <w:rFonts w:eastAsia="Times New Roman" w:cs="Times New Roman"/>
        </w:rPr>
        <w:tab/>
      </w:r>
      <w:r w:rsidR="00FD6D3A" w:rsidRPr="0062611B">
        <w:rPr>
          <w:rFonts w:eastAsia="Times New Roman" w:cs="Times New Roman"/>
        </w:rPr>
        <w:t xml:space="preserve">the rescission application; </w:t>
      </w:r>
    </w:p>
    <w:p w14:paraId="24CB55C2" w14:textId="7EE1D4CB" w:rsidR="00FD6D3A" w:rsidRPr="0062611B" w:rsidRDefault="0062611B" w:rsidP="0062611B">
      <w:pPr>
        <w:tabs>
          <w:tab w:val="left" w:pos="851"/>
          <w:tab w:val="left" w:pos="1701"/>
          <w:tab w:val="left" w:pos="2268"/>
          <w:tab w:val="left" w:pos="2835"/>
          <w:tab w:val="right" w:pos="8265"/>
        </w:tabs>
        <w:spacing w:before="360" w:after="360" w:line="480" w:lineRule="auto"/>
        <w:ind w:left="2290" w:hanging="720"/>
        <w:jc w:val="both"/>
        <w:rPr>
          <w:rFonts w:eastAsia="Times New Roman" w:cs="Times New Roman"/>
        </w:rPr>
      </w:pPr>
      <w:r>
        <w:rPr>
          <w:rFonts w:eastAsia="Times New Roman" w:cs="Times New Roman"/>
        </w:rPr>
        <w:t>7.2.</w:t>
      </w:r>
      <w:r>
        <w:rPr>
          <w:rFonts w:eastAsia="Times New Roman" w:cs="Times New Roman"/>
        </w:rPr>
        <w:tab/>
      </w:r>
      <w:r w:rsidR="00FD6D3A" w:rsidRPr="0062611B">
        <w:rPr>
          <w:rFonts w:eastAsia="Times New Roman" w:cs="Times New Roman"/>
        </w:rPr>
        <w:t xml:space="preserve">the application in terms of Rule 46(1)(A)(ii); </w:t>
      </w:r>
    </w:p>
    <w:p w14:paraId="59B76866" w14:textId="08526DCB" w:rsidR="00FD6D3A" w:rsidRPr="0062611B" w:rsidRDefault="0062611B" w:rsidP="0062611B">
      <w:pPr>
        <w:tabs>
          <w:tab w:val="left" w:pos="851"/>
          <w:tab w:val="left" w:pos="1701"/>
          <w:tab w:val="left" w:pos="2268"/>
          <w:tab w:val="left" w:pos="2835"/>
          <w:tab w:val="right" w:pos="8265"/>
        </w:tabs>
        <w:spacing w:before="360" w:after="360" w:line="480" w:lineRule="auto"/>
        <w:ind w:left="2290" w:hanging="720"/>
        <w:jc w:val="both"/>
        <w:rPr>
          <w:rFonts w:eastAsia="Times New Roman" w:cs="Times New Roman"/>
        </w:rPr>
      </w:pPr>
      <w:r>
        <w:rPr>
          <w:rFonts w:eastAsia="Times New Roman" w:cs="Times New Roman"/>
        </w:rPr>
        <w:t>7.3.</w:t>
      </w:r>
      <w:r>
        <w:rPr>
          <w:rFonts w:eastAsia="Times New Roman" w:cs="Times New Roman"/>
        </w:rPr>
        <w:tab/>
      </w:r>
      <w:r w:rsidR="00FD6D3A" w:rsidRPr="0062611B">
        <w:rPr>
          <w:rFonts w:eastAsia="Times New Roman" w:cs="Times New Roman"/>
        </w:rPr>
        <w:t xml:space="preserve">the condonation application; and </w:t>
      </w:r>
    </w:p>
    <w:p w14:paraId="6505363B" w14:textId="4917E009" w:rsidR="00FD6D3A" w:rsidRPr="0062611B" w:rsidRDefault="0062611B" w:rsidP="0062611B">
      <w:pPr>
        <w:tabs>
          <w:tab w:val="left" w:pos="851"/>
          <w:tab w:val="left" w:pos="1701"/>
          <w:tab w:val="left" w:pos="2268"/>
          <w:tab w:val="left" w:pos="2835"/>
          <w:tab w:val="right" w:pos="8265"/>
        </w:tabs>
        <w:spacing w:before="360" w:after="360" w:line="480" w:lineRule="auto"/>
        <w:ind w:left="2290" w:hanging="720"/>
        <w:jc w:val="both"/>
        <w:rPr>
          <w:rFonts w:eastAsia="Times New Roman" w:cs="Times New Roman"/>
        </w:rPr>
      </w:pPr>
      <w:r>
        <w:rPr>
          <w:rFonts w:eastAsia="Times New Roman" w:cs="Times New Roman"/>
        </w:rPr>
        <w:t>7.4.</w:t>
      </w:r>
      <w:r>
        <w:rPr>
          <w:rFonts w:eastAsia="Times New Roman" w:cs="Times New Roman"/>
        </w:rPr>
        <w:tab/>
      </w:r>
      <w:r w:rsidR="00FD6D3A" w:rsidRPr="0062611B">
        <w:rPr>
          <w:rFonts w:eastAsia="Times New Roman" w:cs="Times New Roman"/>
        </w:rPr>
        <w:t>the reserved costs occasioned by the postponement of the matter on 17 October 2019,</w:t>
      </w:r>
      <w:r w:rsidR="00A917EA" w:rsidRPr="0062611B">
        <w:rPr>
          <w:rFonts w:eastAsia="Times New Roman" w:cs="Times New Roman"/>
        </w:rPr>
        <w:t xml:space="preserve"> </w:t>
      </w:r>
    </w:p>
    <w:p w14:paraId="136C8867" w14:textId="77777777" w:rsidR="00FD6D3A" w:rsidRPr="00FD6D3A" w:rsidRDefault="00FD6D3A" w:rsidP="00FD6D3A">
      <w:pPr>
        <w:pStyle w:val="ListParagraph"/>
        <w:rPr>
          <w:rFonts w:eastAsia="Times New Roman" w:cs="Times New Roman"/>
        </w:rPr>
      </w:pPr>
    </w:p>
    <w:p w14:paraId="45701C96" w14:textId="5EAC3AD3" w:rsidR="00A917EA" w:rsidRDefault="00A917EA" w:rsidP="00FD6D3A">
      <w:pPr>
        <w:pStyle w:val="ListParagraph"/>
        <w:tabs>
          <w:tab w:val="left" w:pos="851"/>
          <w:tab w:val="left" w:pos="1701"/>
          <w:tab w:val="left" w:pos="2268"/>
          <w:tab w:val="left" w:pos="2835"/>
          <w:tab w:val="right" w:pos="8265"/>
        </w:tabs>
        <w:spacing w:before="360" w:after="360" w:line="480" w:lineRule="auto"/>
        <w:ind w:left="1570"/>
        <w:jc w:val="both"/>
        <w:rPr>
          <w:rFonts w:eastAsia="Times New Roman" w:cs="Times New Roman"/>
        </w:rPr>
      </w:pPr>
      <w:r w:rsidRPr="00A917EA">
        <w:rPr>
          <w:rFonts w:eastAsia="Times New Roman" w:cs="Times New Roman"/>
        </w:rPr>
        <w:t>on an attorney and client scale</w:t>
      </w:r>
      <w:r w:rsidR="00FD6D3A">
        <w:rPr>
          <w:rFonts w:eastAsia="Times New Roman" w:cs="Times New Roman"/>
        </w:rPr>
        <w:t xml:space="preserve">, as provided for in the Rules </w:t>
      </w:r>
      <w:r w:rsidRPr="00A917EA">
        <w:rPr>
          <w:rFonts w:eastAsia="Times New Roman" w:cs="Times New Roman"/>
        </w:rPr>
        <w:t>the Applicant</w:t>
      </w:r>
      <w:r w:rsidR="00FD6D3A">
        <w:rPr>
          <w:rFonts w:eastAsia="Times New Roman" w:cs="Times New Roman"/>
        </w:rPr>
        <w:t>.</w:t>
      </w:r>
    </w:p>
    <w:p w14:paraId="10599C8D" w14:textId="5E5BD3FE" w:rsidR="00FD6D3A" w:rsidRDefault="00FD6D3A" w:rsidP="00FD6D3A">
      <w:pPr>
        <w:pStyle w:val="ListParagraph"/>
        <w:tabs>
          <w:tab w:val="left" w:pos="851"/>
          <w:tab w:val="left" w:pos="1701"/>
          <w:tab w:val="left" w:pos="2268"/>
          <w:tab w:val="left" w:pos="2835"/>
          <w:tab w:val="right" w:pos="8265"/>
        </w:tabs>
        <w:spacing w:before="360" w:after="360" w:line="480" w:lineRule="auto"/>
        <w:ind w:left="1570"/>
        <w:jc w:val="both"/>
        <w:rPr>
          <w:rFonts w:eastAsia="Times New Roman" w:cs="Times New Roman"/>
        </w:rPr>
      </w:pPr>
    </w:p>
    <w:p w14:paraId="03E09ED4" w14:textId="1F3F91FF" w:rsidR="00FD6D3A" w:rsidRDefault="00FD6D3A" w:rsidP="00FD6D3A">
      <w:pPr>
        <w:pStyle w:val="ListParagraph"/>
        <w:tabs>
          <w:tab w:val="left" w:pos="851"/>
          <w:tab w:val="left" w:pos="1701"/>
          <w:tab w:val="left" w:pos="2268"/>
          <w:tab w:val="left" w:pos="2835"/>
          <w:tab w:val="right" w:pos="8265"/>
        </w:tabs>
        <w:spacing w:before="360" w:after="360" w:line="480" w:lineRule="auto"/>
        <w:ind w:left="1570"/>
        <w:jc w:val="both"/>
        <w:rPr>
          <w:rFonts w:eastAsia="Times New Roman" w:cs="Times New Roman"/>
        </w:rPr>
      </w:pPr>
    </w:p>
    <w:p w14:paraId="64D0A6EC" w14:textId="77777777" w:rsidR="00FD6D3A" w:rsidRDefault="00FD6D3A" w:rsidP="00FD6D3A">
      <w:pPr>
        <w:pStyle w:val="ListParagraph"/>
        <w:tabs>
          <w:tab w:val="left" w:pos="851"/>
          <w:tab w:val="left" w:pos="1701"/>
          <w:tab w:val="left" w:pos="2268"/>
          <w:tab w:val="left" w:pos="2835"/>
          <w:tab w:val="right" w:pos="8265"/>
        </w:tabs>
        <w:spacing w:before="360" w:after="360" w:line="480" w:lineRule="auto"/>
        <w:ind w:left="1570"/>
        <w:jc w:val="both"/>
        <w:rPr>
          <w:rFonts w:eastAsia="Times New Roman" w:cs="Times New Roman"/>
        </w:rPr>
      </w:pPr>
    </w:p>
    <w:p w14:paraId="01E4F89F" w14:textId="479FAF45" w:rsidR="00A917EA" w:rsidRPr="00FD6D3A" w:rsidRDefault="00FD6D3A" w:rsidP="00FD6D3A">
      <w:pPr>
        <w:pStyle w:val="ListParagraph"/>
        <w:jc w:val="right"/>
        <w:rPr>
          <w:rFonts w:eastAsia="Times New Roman" w:cs="Times New Roman"/>
          <w:u w:val="thick"/>
        </w:rPr>
      </w:pPr>
      <w:r>
        <w:rPr>
          <w:rFonts w:eastAsia="Times New Roman" w:cs="Times New Roman"/>
          <w:u w:val="thick"/>
        </w:rPr>
        <w:tab/>
      </w:r>
      <w:r>
        <w:rPr>
          <w:rFonts w:eastAsia="Times New Roman" w:cs="Times New Roman"/>
          <w:u w:val="thick"/>
        </w:rPr>
        <w:tab/>
      </w:r>
      <w:r>
        <w:rPr>
          <w:rFonts w:eastAsia="Times New Roman" w:cs="Times New Roman"/>
          <w:u w:val="thick"/>
        </w:rPr>
        <w:tab/>
      </w:r>
      <w:r>
        <w:rPr>
          <w:rFonts w:eastAsia="Times New Roman" w:cs="Times New Roman"/>
          <w:u w:val="thick"/>
        </w:rPr>
        <w:tab/>
      </w:r>
    </w:p>
    <w:p w14:paraId="7156575C" w14:textId="0BB16FD9" w:rsidR="00FD6D3A" w:rsidRPr="00FD6D3A" w:rsidRDefault="00FD6D3A" w:rsidP="00FD6D3A">
      <w:pPr>
        <w:spacing w:line="360" w:lineRule="auto"/>
        <w:jc w:val="right"/>
        <w:rPr>
          <w:rFonts w:eastAsia="Times New Roman"/>
          <w:b/>
          <w:lang w:eastAsia="en-GB"/>
        </w:rPr>
      </w:pPr>
      <w:r w:rsidRPr="00FD6D3A">
        <w:rPr>
          <w:rFonts w:eastAsia="Times New Roman"/>
          <w:b/>
          <w:lang w:eastAsia="en-GB"/>
        </w:rPr>
        <w:t>ACTING JUDGE OF THE HIGH COURT</w:t>
      </w:r>
    </w:p>
    <w:p w14:paraId="18624947" w14:textId="77777777" w:rsidR="00FD6D3A" w:rsidRPr="00FD6D3A" w:rsidRDefault="00FD6D3A" w:rsidP="00FD6D3A">
      <w:pPr>
        <w:spacing w:after="0" w:line="360" w:lineRule="auto"/>
        <w:jc w:val="right"/>
        <w:rPr>
          <w:rFonts w:eastAsia="Times New Roman"/>
          <w:b/>
          <w:lang w:eastAsia="en-GB"/>
        </w:rPr>
      </w:pPr>
      <w:r w:rsidRPr="00FD6D3A">
        <w:rPr>
          <w:rFonts w:eastAsia="Times New Roman"/>
          <w:b/>
          <w:lang w:eastAsia="en-GB"/>
        </w:rPr>
        <w:t>GAUTENG DIVISION, PRETORIA</w:t>
      </w:r>
    </w:p>
    <w:p w14:paraId="0DA1EF27" w14:textId="77777777" w:rsidR="00FD6D3A" w:rsidRPr="00FD6D3A" w:rsidRDefault="00FD6D3A" w:rsidP="00FD6D3A">
      <w:pPr>
        <w:spacing w:after="0" w:line="360" w:lineRule="auto"/>
        <w:jc w:val="both"/>
        <w:rPr>
          <w:rFonts w:eastAsia="Times New Roman"/>
          <w:b/>
          <w:color w:val="000000" w:themeColor="text1"/>
          <w:lang w:eastAsia="en-GB"/>
        </w:rPr>
      </w:pPr>
    </w:p>
    <w:p w14:paraId="18607427" w14:textId="5CFD3174" w:rsidR="00FD6D3A" w:rsidRPr="00FD6D3A" w:rsidRDefault="00FD6D3A" w:rsidP="00FD6D3A">
      <w:pPr>
        <w:spacing w:after="0" w:line="360" w:lineRule="auto"/>
        <w:jc w:val="both"/>
        <w:rPr>
          <w:rFonts w:eastAsia="Times New Roman"/>
          <w:bCs/>
          <w:color w:val="000000" w:themeColor="text1"/>
          <w:lang w:eastAsia="en-GB"/>
        </w:rPr>
      </w:pPr>
      <w:r w:rsidRPr="00FD6D3A">
        <w:rPr>
          <w:rFonts w:eastAsia="Calibri"/>
          <w:bCs/>
          <w:lang w:eastAsia="en-GB"/>
        </w:rPr>
        <w:t xml:space="preserve">Delivered: this judgment was prepared and authored by the judge whose name is reflected and is handed down electronically and by circulation to the parties/their legal representatives by email and by uploading it to the electronic file of </w:t>
      </w:r>
      <w:r>
        <w:rPr>
          <w:rFonts w:eastAsia="Calibri"/>
          <w:bCs/>
          <w:lang w:eastAsia="en-GB"/>
        </w:rPr>
        <w:t>t</w:t>
      </w:r>
      <w:r w:rsidRPr="00FD6D3A">
        <w:rPr>
          <w:rFonts w:eastAsia="Calibri"/>
          <w:bCs/>
          <w:lang w:eastAsia="en-GB"/>
        </w:rPr>
        <w:t xml:space="preserve">his matter on Case lines. The date for handing down is deemed to be </w:t>
      </w:r>
      <w:r>
        <w:rPr>
          <w:rFonts w:eastAsia="Calibri"/>
          <w:bCs/>
          <w:lang w:eastAsia="en-GB"/>
        </w:rPr>
        <w:t>05</w:t>
      </w:r>
      <w:r w:rsidRPr="00FD6D3A">
        <w:rPr>
          <w:rFonts w:eastAsia="Calibri"/>
          <w:bCs/>
          <w:lang w:eastAsia="en-GB"/>
        </w:rPr>
        <w:t xml:space="preserve"> May 2023</w:t>
      </w:r>
    </w:p>
    <w:p w14:paraId="4754AC7F" w14:textId="77777777" w:rsidR="00FD6D3A" w:rsidRPr="00FD6D3A" w:rsidRDefault="00FD6D3A" w:rsidP="00FD6D3A">
      <w:pPr>
        <w:spacing w:after="0" w:line="360" w:lineRule="auto"/>
        <w:jc w:val="both"/>
        <w:rPr>
          <w:rFonts w:eastAsia="Times New Roman"/>
          <w:b/>
          <w:color w:val="000000" w:themeColor="text1"/>
          <w:lang w:eastAsia="en-GB"/>
        </w:rPr>
      </w:pPr>
    </w:p>
    <w:p w14:paraId="166A640C" w14:textId="77777777" w:rsidR="00FD6D3A" w:rsidRPr="00FD6D3A" w:rsidRDefault="00FD6D3A" w:rsidP="00FD6D3A">
      <w:pPr>
        <w:spacing w:after="0" w:line="360" w:lineRule="auto"/>
        <w:jc w:val="both"/>
        <w:rPr>
          <w:rFonts w:eastAsia="Times New Roman"/>
          <w:b/>
          <w:color w:val="000000" w:themeColor="text1"/>
          <w:u w:val="single"/>
          <w:lang w:eastAsia="en-GB"/>
        </w:rPr>
      </w:pPr>
      <w:r w:rsidRPr="00FD6D3A">
        <w:rPr>
          <w:rFonts w:eastAsia="Times New Roman"/>
          <w:b/>
          <w:color w:val="000000" w:themeColor="text1"/>
          <w:u w:val="single"/>
          <w:lang w:eastAsia="en-GB"/>
        </w:rPr>
        <w:t xml:space="preserve">APPEARANCES </w:t>
      </w:r>
    </w:p>
    <w:p w14:paraId="0A8CE705" w14:textId="4E62016C" w:rsidR="00FD6D3A" w:rsidRPr="00FD6D3A" w:rsidRDefault="00FD6D3A" w:rsidP="00FD6D3A">
      <w:pPr>
        <w:spacing w:after="0" w:line="360" w:lineRule="auto"/>
        <w:jc w:val="both"/>
        <w:rPr>
          <w:rFonts w:eastAsia="Calibri"/>
          <w:bCs/>
          <w:lang w:eastAsia="en-GB"/>
        </w:rPr>
      </w:pPr>
      <w:r w:rsidRPr="00FD6D3A">
        <w:rPr>
          <w:rFonts w:eastAsia="Calibri"/>
          <w:lang w:eastAsia="en-GB"/>
        </w:rPr>
        <w:t>FOR THE PLAINTIFF</w:t>
      </w:r>
      <w:r>
        <w:rPr>
          <w:rFonts w:eastAsia="Calibri"/>
          <w:bCs/>
          <w:lang w:eastAsia="en-GB"/>
        </w:rPr>
        <w:t xml:space="preserve">: </w:t>
      </w:r>
      <w:r>
        <w:rPr>
          <w:rFonts w:eastAsia="Calibri"/>
          <w:bCs/>
          <w:lang w:eastAsia="en-GB"/>
        </w:rPr>
        <w:tab/>
      </w:r>
      <w:r>
        <w:rPr>
          <w:rFonts w:eastAsia="Calibri"/>
          <w:bCs/>
          <w:lang w:eastAsia="en-GB"/>
        </w:rPr>
        <w:tab/>
        <w:t>ADV. A MARẾ</w:t>
      </w:r>
    </w:p>
    <w:p w14:paraId="5A87694E" w14:textId="6C0EBA60" w:rsidR="00FD6D3A" w:rsidRPr="00FD6D3A" w:rsidRDefault="00FD6D3A" w:rsidP="00FD6D3A">
      <w:pPr>
        <w:spacing w:after="0" w:line="360" w:lineRule="auto"/>
        <w:jc w:val="both"/>
        <w:rPr>
          <w:rFonts w:eastAsia="Calibri"/>
          <w:b/>
          <w:lang w:eastAsia="en-GB"/>
        </w:rPr>
      </w:pPr>
      <w:r w:rsidRPr="00FD6D3A">
        <w:rPr>
          <w:rFonts w:eastAsia="Calibri"/>
          <w:bCs/>
          <w:lang w:eastAsia="en-GB"/>
        </w:rPr>
        <w:lastRenderedPageBreak/>
        <w:t xml:space="preserve">                        </w:t>
      </w:r>
      <w:r>
        <w:rPr>
          <w:rFonts w:eastAsia="Calibri"/>
          <w:bCs/>
          <w:lang w:eastAsia="en-GB"/>
        </w:rPr>
        <w:t xml:space="preserve">                   </w:t>
      </w:r>
    </w:p>
    <w:p w14:paraId="17DFC1E9" w14:textId="461C6941" w:rsidR="00FD6D3A" w:rsidRPr="00FD6D3A" w:rsidRDefault="00FD6D3A" w:rsidP="00FD6D3A">
      <w:pPr>
        <w:spacing w:after="0" w:line="360" w:lineRule="auto"/>
        <w:jc w:val="both"/>
        <w:rPr>
          <w:rFonts w:eastAsia="Calibri"/>
          <w:bCs/>
          <w:lang w:eastAsia="en-GB"/>
        </w:rPr>
      </w:pPr>
      <w:r w:rsidRPr="00FD6D3A">
        <w:rPr>
          <w:rFonts w:eastAsia="Calibri"/>
          <w:lang w:eastAsia="en-GB"/>
        </w:rPr>
        <w:t>FOR THE FIRST DEFENDANT</w:t>
      </w:r>
      <w:r>
        <w:rPr>
          <w:rFonts w:eastAsia="Calibri"/>
          <w:bCs/>
          <w:lang w:eastAsia="en-GB"/>
        </w:rPr>
        <w:t xml:space="preserve">: </w:t>
      </w:r>
      <w:r>
        <w:rPr>
          <w:rFonts w:eastAsia="Calibri"/>
          <w:bCs/>
          <w:lang w:eastAsia="en-GB"/>
        </w:rPr>
        <w:tab/>
        <w:t>IN PERSON (DR ROODT)</w:t>
      </w:r>
    </w:p>
    <w:p w14:paraId="7E1EC2AF" w14:textId="6AF6714E" w:rsidR="00FD6D3A" w:rsidRPr="00FD6D3A" w:rsidRDefault="00FD6D3A" w:rsidP="00FD6D3A">
      <w:pPr>
        <w:spacing w:after="0" w:line="360" w:lineRule="auto"/>
        <w:jc w:val="both"/>
        <w:rPr>
          <w:rFonts w:eastAsia="Calibri"/>
          <w:bCs/>
          <w:lang w:eastAsia="en-GB"/>
        </w:rPr>
      </w:pPr>
      <w:r w:rsidRPr="00FD6D3A">
        <w:rPr>
          <w:rFonts w:eastAsia="Calibri"/>
          <w:bCs/>
          <w:lang w:eastAsia="en-GB"/>
        </w:rPr>
        <w:t xml:space="preserve">                                                      </w:t>
      </w:r>
    </w:p>
    <w:p w14:paraId="7D1FB8DE" w14:textId="76BFE790" w:rsidR="00FD6D3A" w:rsidRPr="00FD6D3A" w:rsidRDefault="00FD6D3A" w:rsidP="00FD6D3A">
      <w:pPr>
        <w:spacing w:after="0" w:line="360" w:lineRule="auto"/>
        <w:jc w:val="both"/>
        <w:rPr>
          <w:rFonts w:eastAsia="Calibri"/>
          <w:bCs/>
          <w:lang w:eastAsia="en-GB"/>
        </w:rPr>
      </w:pPr>
      <w:r w:rsidRPr="00FD6D3A">
        <w:rPr>
          <w:rFonts w:eastAsia="Calibri"/>
          <w:lang w:eastAsia="en-GB"/>
        </w:rPr>
        <w:t>HEARD ON:</w:t>
      </w:r>
      <w:r w:rsidRPr="00FD6D3A">
        <w:rPr>
          <w:rFonts w:eastAsia="Calibri"/>
          <w:lang w:eastAsia="en-GB"/>
        </w:rPr>
        <w:tab/>
      </w:r>
      <w:r w:rsidRPr="00FD6D3A">
        <w:rPr>
          <w:rFonts w:eastAsia="Calibri"/>
          <w:lang w:eastAsia="en-GB"/>
        </w:rPr>
        <w:tab/>
      </w:r>
      <w:r w:rsidRPr="00FD6D3A">
        <w:rPr>
          <w:rFonts w:eastAsia="Calibri"/>
          <w:b/>
          <w:lang w:eastAsia="en-GB"/>
        </w:rPr>
        <w:tab/>
      </w:r>
      <w:r>
        <w:rPr>
          <w:rFonts w:eastAsia="Calibri"/>
          <w:b/>
          <w:lang w:eastAsia="en-GB"/>
        </w:rPr>
        <w:tab/>
        <w:t>04 MAY 2023</w:t>
      </w:r>
    </w:p>
    <w:p w14:paraId="4504223F" w14:textId="654A1AE9" w:rsidR="00FD6D3A" w:rsidRPr="00FD6D3A" w:rsidRDefault="00FD6D3A" w:rsidP="00FD6D3A">
      <w:pPr>
        <w:spacing w:after="0" w:line="360" w:lineRule="auto"/>
        <w:jc w:val="both"/>
        <w:rPr>
          <w:rFonts w:eastAsia="Calibri"/>
          <w:bCs/>
          <w:lang w:eastAsia="en-GB"/>
        </w:rPr>
      </w:pPr>
      <w:r w:rsidRPr="00FD6D3A">
        <w:rPr>
          <w:rFonts w:eastAsia="Calibri"/>
          <w:lang w:eastAsia="en-GB"/>
        </w:rPr>
        <w:t>DATE OF JUDGMENT</w:t>
      </w:r>
      <w:r w:rsidRPr="00FD6D3A">
        <w:rPr>
          <w:rFonts w:eastAsia="Calibri"/>
          <w:bCs/>
          <w:lang w:eastAsia="en-GB"/>
        </w:rPr>
        <w:t xml:space="preserve">: </w:t>
      </w:r>
      <w:r w:rsidRPr="00FD6D3A">
        <w:rPr>
          <w:rFonts w:eastAsia="Calibri"/>
          <w:bCs/>
          <w:lang w:eastAsia="en-GB"/>
        </w:rPr>
        <w:tab/>
      </w:r>
      <w:r>
        <w:rPr>
          <w:rFonts w:eastAsia="Calibri"/>
          <w:bCs/>
          <w:lang w:eastAsia="en-GB"/>
        </w:rPr>
        <w:tab/>
        <w:t xml:space="preserve">05 </w:t>
      </w:r>
      <w:r w:rsidRPr="00FD6D3A">
        <w:rPr>
          <w:rFonts w:eastAsia="Calibri"/>
          <w:bCs/>
          <w:lang w:eastAsia="en-GB"/>
        </w:rPr>
        <w:t>MAY 2023</w:t>
      </w:r>
    </w:p>
    <w:sectPr w:rsidR="00FD6D3A" w:rsidRPr="00FD6D3A" w:rsidSect="005D1AD7">
      <w:headerReference w:type="defaul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4FCD77" w14:textId="77777777" w:rsidR="00500301" w:rsidRDefault="00500301" w:rsidP="00027E87">
      <w:pPr>
        <w:spacing w:after="0" w:line="240" w:lineRule="auto"/>
      </w:pPr>
      <w:r>
        <w:separator/>
      </w:r>
    </w:p>
  </w:endnote>
  <w:endnote w:type="continuationSeparator" w:id="0">
    <w:p w14:paraId="6BB3EF51" w14:textId="77777777" w:rsidR="00500301" w:rsidRDefault="00500301" w:rsidP="00027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FE794" w14:textId="4B9DE625" w:rsidR="00361F49" w:rsidRDefault="00361F49">
    <w:pPr>
      <w:pStyle w:val="Footer"/>
    </w:pPr>
  </w:p>
  <w:p w14:paraId="03930950" w14:textId="77777777" w:rsidR="00361F49" w:rsidRDefault="00361F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8D7BF7" w14:textId="77777777" w:rsidR="00500301" w:rsidRDefault="00500301" w:rsidP="00027E87">
      <w:pPr>
        <w:spacing w:after="0" w:line="240" w:lineRule="auto"/>
      </w:pPr>
      <w:r>
        <w:separator/>
      </w:r>
    </w:p>
  </w:footnote>
  <w:footnote w:type="continuationSeparator" w:id="0">
    <w:p w14:paraId="38BE0E7E" w14:textId="77777777" w:rsidR="00500301" w:rsidRDefault="00500301" w:rsidP="00027E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4146493"/>
      <w:docPartObj>
        <w:docPartGallery w:val="Page Numbers (Top of Page)"/>
        <w:docPartUnique/>
      </w:docPartObj>
    </w:sdtPr>
    <w:sdtEndPr>
      <w:rPr>
        <w:noProof/>
      </w:rPr>
    </w:sdtEndPr>
    <w:sdtContent>
      <w:p w14:paraId="0BDEE6DD" w14:textId="3C9352B1" w:rsidR="005D1AD7" w:rsidRDefault="005D1AD7">
        <w:pPr>
          <w:pStyle w:val="Header"/>
          <w:jc w:val="right"/>
          <w:rPr>
            <w:noProof/>
          </w:rPr>
        </w:pPr>
        <w:r>
          <w:t xml:space="preserve">Page </w:t>
        </w:r>
        <w:r>
          <w:fldChar w:fldCharType="begin"/>
        </w:r>
        <w:r>
          <w:instrText xml:space="preserve"> PAGE   \* MERGEFORMAT </w:instrText>
        </w:r>
        <w:r>
          <w:fldChar w:fldCharType="separate"/>
        </w:r>
        <w:r w:rsidR="00C52CFA">
          <w:rPr>
            <w:noProof/>
          </w:rPr>
          <w:t>15</w:t>
        </w:r>
        <w:r>
          <w:rPr>
            <w:noProof/>
          </w:rPr>
          <w:fldChar w:fldCharType="end"/>
        </w:r>
      </w:p>
      <w:p w14:paraId="536507F4" w14:textId="77777777" w:rsidR="005D1AD7" w:rsidRDefault="005D1AD7">
        <w:pPr>
          <w:pStyle w:val="Header"/>
          <w:jc w:val="right"/>
          <w:rPr>
            <w:noProof/>
          </w:rPr>
        </w:pPr>
      </w:p>
      <w:p w14:paraId="5E30F167" w14:textId="154356C9" w:rsidR="005D1AD7" w:rsidRDefault="00500301">
        <w:pPr>
          <w:pStyle w:val="Header"/>
          <w:jc w:val="right"/>
        </w:pPr>
      </w:p>
    </w:sdtContent>
  </w:sdt>
  <w:p w14:paraId="35929FF4" w14:textId="77777777" w:rsidR="005D1AD7" w:rsidRDefault="005D1A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6734E"/>
    <w:multiLevelType w:val="multilevel"/>
    <w:tmpl w:val="1D549402"/>
    <w:lvl w:ilvl="0">
      <w:start w:val="1"/>
      <w:numFmt w:val="decimal"/>
      <w:lvlText w:val="[%1]"/>
      <w:lvlJc w:val="left"/>
      <w:pPr>
        <w:ind w:left="360" w:hanging="360"/>
      </w:pPr>
      <w:rPr>
        <w:rFonts w:hint="default"/>
      </w:rPr>
    </w:lvl>
    <w:lvl w:ilvl="1">
      <w:start w:val="1"/>
      <w:numFmt w:val="decimal"/>
      <w:lvlText w:val="%1.%2"/>
      <w:lvlJc w:val="left"/>
      <w:pPr>
        <w:ind w:left="1142" w:hanging="432"/>
      </w:pPr>
      <w:rPr>
        <w:rFonts w:hint="default"/>
      </w:rPr>
    </w:lvl>
    <w:lvl w:ilvl="2">
      <w:start w:val="1"/>
      <w:numFmt w:val="decimal"/>
      <w:lvlText w:val="%1.%2.%3"/>
      <w:lvlJc w:val="left"/>
      <w:pPr>
        <w:ind w:left="178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507265A7"/>
    <w:multiLevelType w:val="multilevel"/>
    <w:tmpl w:val="1D3E12EC"/>
    <w:lvl w:ilvl="0">
      <w:start w:val="1"/>
      <w:numFmt w:val="decimal"/>
      <w:lvlText w:val="%1."/>
      <w:lvlJc w:val="left"/>
      <w:pPr>
        <w:ind w:left="928" w:hanging="360"/>
      </w:pPr>
      <w:rPr>
        <w:rFonts w:hint="default"/>
      </w:rPr>
    </w:lvl>
    <w:lvl w:ilvl="1">
      <w:start w:val="1"/>
      <w:numFmt w:val="decimal"/>
      <w:isLgl/>
      <w:lvlText w:val="%1.%2."/>
      <w:lvlJc w:val="left"/>
      <w:pPr>
        <w:ind w:left="2290" w:hanging="720"/>
      </w:pPr>
      <w:rPr>
        <w:rFonts w:hint="default"/>
      </w:rPr>
    </w:lvl>
    <w:lvl w:ilvl="2">
      <w:start w:val="1"/>
      <w:numFmt w:val="decimal"/>
      <w:isLgl/>
      <w:lvlText w:val="%1.%2.%3."/>
      <w:lvlJc w:val="left"/>
      <w:pPr>
        <w:ind w:left="3292" w:hanging="720"/>
      </w:pPr>
      <w:rPr>
        <w:rFonts w:hint="default"/>
      </w:rPr>
    </w:lvl>
    <w:lvl w:ilvl="3">
      <w:start w:val="1"/>
      <w:numFmt w:val="decimal"/>
      <w:isLgl/>
      <w:lvlText w:val="%1.%2.%3.%4."/>
      <w:lvlJc w:val="left"/>
      <w:pPr>
        <w:ind w:left="4654" w:hanging="1080"/>
      </w:pPr>
      <w:rPr>
        <w:rFonts w:hint="default"/>
      </w:rPr>
    </w:lvl>
    <w:lvl w:ilvl="4">
      <w:start w:val="1"/>
      <w:numFmt w:val="decimal"/>
      <w:isLgl/>
      <w:lvlText w:val="%1.%2.%3.%4.%5."/>
      <w:lvlJc w:val="left"/>
      <w:pPr>
        <w:ind w:left="5656" w:hanging="1080"/>
      </w:pPr>
      <w:rPr>
        <w:rFonts w:hint="default"/>
      </w:rPr>
    </w:lvl>
    <w:lvl w:ilvl="5">
      <w:start w:val="1"/>
      <w:numFmt w:val="decimal"/>
      <w:isLgl/>
      <w:lvlText w:val="%1.%2.%3.%4.%5.%6."/>
      <w:lvlJc w:val="left"/>
      <w:pPr>
        <w:ind w:left="7018" w:hanging="1440"/>
      </w:pPr>
      <w:rPr>
        <w:rFonts w:hint="default"/>
      </w:rPr>
    </w:lvl>
    <w:lvl w:ilvl="6">
      <w:start w:val="1"/>
      <w:numFmt w:val="decimal"/>
      <w:isLgl/>
      <w:lvlText w:val="%1.%2.%3.%4.%5.%6.%7."/>
      <w:lvlJc w:val="left"/>
      <w:pPr>
        <w:ind w:left="8020" w:hanging="1440"/>
      </w:pPr>
      <w:rPr>
        <w:rFonts w:hint="default"/>
      </w:rPr>
    </w:lvl>
    <w:lvl w:ilvl="7">
      <w:start w:val="1"/>
      <w:numFmt w:val="decimal"/>
      <w:isLgl/>
      <w:lvlText w:val="%1.%2.%3.%4.%5.%6.%7.%8."/>
      <w:lvlJc w:val="left"/>
      <w:pPr>
        <w:ind w:left="9382" w:hanging="1800"/>
      </w:pPr>
      <w:rPr>
        <w:rFonts w:hint="default"/>
      </w:rPr>
    </w:lvl>
    <w:lvl w:ilvl="8">
      <w:start w:val="1"/>
      <w:numFmt w:val="decimal"/>
      <w:isLgl/>
      <w:lvlText w:val="%1.%2.%3.%4.%5.%6.%7.%8.%9."/>
      <w:lvlJc w:val="left"/>
      <w:pPr>
        <w:ind w:left="10744"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E87"/>
    <w:rsid w:val="00027E87"/>
    <w:rsid w:val="000B5C1E"/>
    <w:rsid w:val="000E7D7D"/>
    <w:rsid w:val="001B5442"/>
    <w:rsid w:val="001B62C6"/>
    <w:rsid w:val="0022775E"/>
    <w:rsid w:val="00262408"/>
    <w:rsid w:val="002A6BCA"/>
    <w:rsid w:val="003577D4"/>
    <w:rsid w:val="00361F49"/>
    <w:rsid w:val="003D041F"/>
    <w:rsid w:val="003F2456"/>
    <w:rsid w:val="004A778E"/>
    <w:rsid w:val="004C7D6D"/>
    <w:rsid w:val="004D30B3"/>
    <w:rsid w:val="00500301"/>
    <w:rsid w:val="005D1AD7"/>
    <w:rsid w:val="005E139A"/>
    <w:rsid w:val="005E72C4"/>
    <w:rsid w:val="005F5DFB"/>
    <w:rsid w:val="00605793"/>
    <w:rsid w:val="0062611B"/>
    <w:rsid w:val="006C1894"/>
    <w:rsid w:val="006E3F43"/>
    <w:rsid w:val="00702516"/>
    <w:rsid w:val="00772951"/>
    <w:rsid w:val="00775A73"/>
    <w:rsid w:val="0079510B"/>
    <w:rsid w:val="007A1FA2"/>
    <w:rsid w:val="008E1619"/>
    <w:rsid w:val="008F2CE2"/>
    <w:rsid w:val="009843F9"/>
    <w:rsid w:val="00990E07"/>
    <w:rsid w:val="009B59A0"/>
    <w:rsid w:val="00A240FB"/>
    <w:rsid w:val="00A917EA"/>
    <w:rsid w:val="00AB0CF4"/>
    <w:rsid w:val="00AE39A9"/>
    <w:rsid w:val="00B63843"/>
    <w:rsid w:val="00B95999"/>
    <w:rsid w:val="00BC0E58"/>
    <w:rsid w:val="00BC4859"/>
    <w:rsid w:val="00BD5F30"/>
    <w:rsid w:val="00BF1D4C"/>
    <w:rsid w:val="00C168AA"/>
    <w:rsid w:val="00C52CFA"/>
    <w:rsid w:val="00C71433"/>
    <w:rsid w:val="00D14C19"/>
    <w:rsid w:val="00D27A49"/>
    <w:rsid w:val="00D409AE"/>
    <w:rsid w:val="00DD7F33"/>
    <w:rsid w:val="00DE750A"/>
    <w:rsid w:val="00E64BAF"/>
    <w:rsid w:val="00E71200"/>
    <w:rsid w:val="00E81EA1"/>
    <w:rsid w:val="00EA781A"/>
    <w:rsid w:val="00F32C34"/>
    <w:rsid w:val="00FD3B87"/>
    <w:rsid w:val="00FD6D3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32C09"/>
  <w15:chartTrackingRefBased/>
  <w15:docId w15:val="{9164F9E1-1275-42CF-AE28-B9E1441D5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27E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7E87"/>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semiHidden/>
    <w:unhideWhenUsed/>
    <w:rsid w:val="00027E87"/>
    <w:pPr>
      <w:spacing w:after="0" w:line="240" w:lineRule="auto"/>
    </w:pPr>
    <w:rPr>
      <w:rFonts w:eastAsia="Times New Roman" w:cs="Times New Roman"/>
      <w:sz w:val="20"/>
      <w:szCs w:val="20"/>
      <w:u w:val="single"/>
      <w:lang w:val="en-GB"/>
    </w:rPr>
  </w:style>
  <w:style w:type="character" w:customStyle="1" w:styleId="FootnoteTextChar">
    <w:name w:val="Footnote Text Char"/>
    <w:basedOn w:val="DefaultParagraphFont"/>
    <w:link w:val="FootnoteText"/>
    <w:uiPriority w:val="99"/>
    <w:semiHidden/>
    <w:rsid w:val="00027E87"/>
    <w:rPr>
      <w:rFonts w:eastAsia="Times New Roman" w:cs="Times New Roman"/>
      <w:sz w:val="20"/>
      <w:szCs w:val="20"/>
      <w:u w:val="single"/>
      <w:lang w:val="en-GB"/>
    </w:rPr>
  </w:style>
  <w:style w:type="character" w:styleId="FootnoteReference">
    <w:name w:val="footnote reference"/>
    <w:basedOn w:val="DefaultParagraphFont"/>
    <w:uiPriority w:val="99"/>
    <w:semiHidden/>
    <w:unhideWhenUsed/>
    <w:rsid w:val="00027E87"/>
    <w:rPr>
      <w:vertAlign w:val="superscript"/>
    </w:rPr>
  </w:style>
  <w:style w:type="paragraph" w:styleId="Header">
    <w:name w:val="header"/>
    <w:basedOn w:val="Normal"/>
    <w:link w:val="HeaderChar"/>
    <w:uiPriority w:val="99"/>
    <w:unhideWhenUsed/>
    <w:rsid w:val="005D1A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1AD7"/>
  </w:style>
  <w:style w:type="paragraph" w:styleId="Footer">
    <w:name w:val="footer"/>
    <w:basedOn w:val="Normal"/>
    <w:link w:val="FooterChar"/>
    <w:uiPriority w:val="99"/>
    <w:unhideWhenUsed/>
    <w:rsid w:val="005D1A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1AD7"/>
  </w:style>
  <w:style w:type="paragraph" w:styleId="ListParagraph">
    <w:name w:val="List Paragraph"/>
    <w:basedOn w:val="Normal"/>
    <w:uiPriority w:val="34"/>
    <w:qFormat/>
    <w:rsid w:val="002A6BCA"/>
    <w:pPr>
      <w:ind w:left="720"/>
      <w:contextualSpacing/>
    </w:pPr>
  </w:style>
  <w:style w:type="paragraph" w:styleId="BalloonText">
    <w:name w:val="Balloon Text"/>
    <w:basedOn w:val="Normal"/>
    <w:link w:val="BalloonTextChar"/>
    <w:uiPriority w:val="99"/>
    <w:semiHidden/>
    <w:unhideWhenUsed/>
    <w:rsid w:val="008E16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6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A8FA2-CE3B-4B7C-9FFD-BCD048BB7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3465</Words>
  <Characters>19751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Meintjes</dc:creator>
  <cp:keywords/>
  <dc:description/>
  <cp:lastModifiedBy>Mokone</cp:lastModifiedBy>
  <cp:revision>4</cp:revision>
  <cp:lastPrinted>2023-05-05T13:10:00Z</cp:lastPrinted>
  <dcterms:created xsi:type="dcterms:W3CDTF">2023-05-22T13:04:00Z</dcterms:created>
  <dcterms:modified xsi:type="dcterms:W3CDTF">2023-05-22T13:06:00Z</dcterms:modified>
</cp:coreProperties>
</file>