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14804" w14:textId="77777777" w:rsidR="00B12B4D" w:rsidRPr="00B12B4D" w:rsidRDefault="00B12B4D" w:rsidP="00B12B4D">
      <w:pPr>
        <w:jc w:val="center"/>
        <w:rPr>
          <w:rFonts w:ascii="Arial" w:hAnsi="Arial" w:cs="Arial"/>
          <w:b/>
        </w:rPr>
      </w:pPr>
      <w:r w:rsidRPr="00B12B4D">
        <w:rPr>
          <w:rFonts w:ascii="Arial" w:hAnsi="Arial" w:cs="Arial"/>
          <w:b/>
        </w:rPr>
        <w:t>IN THE HIGH COURT OF SOUTH AFRICA</w:t>
      </w:r>
    </w:p>
    <w:p w14:paraId="7BA475D3" w14:textId="77777777" w:rsidR="00B12B4D" w:rsidRPr="00B12B4D" w:rsidRDefault="00B12B4D" w:rsidP="00B12B4D">
      <w:pPr>
        <w:jc w:val="center"/>
        <w:rPr>
          <w:rFonts w:ascii="Arial" w:hAnsi="Arial" w:cs="Arial"/>
          <w:b/>
        </w:rPr>
      </w:pPr>
    </w:p>
    <w:p w14:paraId="6F491E94" w14:textId="77777777" w:rsidR="00B12B4D" w:rsidRPr="00B12B4D" w:rsidRDefault="00B12B4D" w:rsidP="00B12B4D">
      <w:pPr>
        <w:jc w:val="center"/>
        <w:rPr>
          <w:rFonts w:ascii="Arial" w:hAnsi="Arial" w:cs="Arial"/>
          <w:b/>
        </w:rPr>
      </w:pPr>
      <w:r w:rsidRPr="00B12B4D">
        <w:rPr>
          <w:rFonts w:ascii="Arial" w:hAnsi="Arial" w:cs="Arial"/>
          <w:b/>
        </w:rPr>
        <w:t>GAUTENG DIVISION,</w:t>
      </w:r>
      <w:r w:rsidR="00C17BCB">
        <w:rPr>
          <w:rFonts w:ascii="Arial" w:hAnsi="Arial" w:cs="Arial"/>
          <w:b/>
        </w:rPr>
        <w:t xml:space="preserve"> </w:t>
      </w:r>
      <w:r w:rsidR="00852CC0">
        <w:rPr>
          <w:rFonts w:ascii="Arial" w:hAnsi="Arial" w:cs="Arial"/>
          <w:b/>
        </w:rPr>
        <w:t>PRETORIA</w:t>
      </w:r>
    </w:p>
    <w:p w14:paraId="63270894" w14:textId="77777777" w:rsidR="00B12B4D" w:rsidRDefault="00B12B4D" w:rsidP="00B12B4D">
      <w:pPr>
        <w:rPr>
          <w:rFonts w:ascii="Arial" w:hAnsi="Arial" w:cs="Arial"/>
          <w:b/>
        </w:rPr>
      </w:pPr>
    </w:p>
    <w:p w14:paraId="6B80F67F" w14:textId="77777777" w:rsidR="00BE519C" w:rsidRPr="00B12B4D" w:rsidRDefault="00BE519C" w:rsidP="00B12B4D">
      <w:pPr>
        <w:rPr>
          <w:rFonts w:ascii="Arial" w:hAnsi="Arial" w:cs="Arial"/>
          <w:b/>
        </w:rPr>
      </w:pPr>
    </w:p>
    <w:p w14:paraId="5BE92AAA" w14:textId="5B75E2DE" w:rsidR="00B12B4D" w:rsidRPr="00B12B4D" w:rsidRDefault="00B12B4D" w:rsidP="00B12B4D">
      <w:pPr>
        <w:jc w:val="center"/>
        <w:rPr>
          <w:rFonts w:ascii="Arial" w:hAnsi="Arial" w:cs="Arial"/>
          <w:b/>
        </w:rPr>
      </w:pPr>
      <w:r w:rsidRPr="00B12B4D">
        <w:rPr>
          <w:rFonts w:ascii="Arial" w:hAnsi="Arial" w:cs="Arial"/>
          <w:b/>
          <w:noProof/>
          <w:lang w:val="en-US"/>
        </w:rPr>
        <mc:AlternateContent>
          <mc:Choice Requires="wpc">
            <w:drawing>
              <wp:inline distT="0" distB="0" distL="0" distR="0" wp14:anchorId="4075E1D8" wp14:editId="0565F1B7">
                <wp:extent cx="1162050" cy="1247774"/>
                <wp:effectExtent l="0" t="0" r="635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56516"/>
                            <a:ext cx="1162050" cy="1190624"/>
                          </a:xfrm>
                          <a:prstGeom prst="rect">
                            <a:avLst/>
                          </a:prstGeom>
                          <a:noFill/>
                          <a:ln>
                            <a:noFill/>
                          </a:ln>
                        </pic:spPr>
                      </pic:pic>
                    </wpc:wpc>
                  </a:graphicData>
                </a:graphic>
              </wp:inline>
            </w:drawing>
          </mc:Choice>
          <mc:Fallback xmlns:cx1="http://schemas.microsoft.com/office/drawing/2015/9/8/chartex" xmlns:w16se="http://schemas.microsoft.com/office/word/2015/wordml/symex" xmlns:cx="http://schemas.microsoft.com/office/drawing/2014/chartex">
            <w:pict>
              <v:group w14:anchorId="7ABD4984"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top:565;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14:paraId="1B169407" w14:textId="77777777" w:rsidR="00405308" w:rsidRDefault="00405308" w:rsidP="00B12B4D">
      <w:pPr>
        <w:tabs>
          <w:tab w:val="right" w:pos="8199"/>
        </w:tabs>
        <w:spacing w:line="360" w:lineRule="auto"/>
        <w:jc w:val="right"/>
        <w:rPr>
          <w:rFonts w:ascii="Arial" w:hAnsi="Arial" w:cs="Arial"/>
          <w:b/>
        </w:rPr>
      </w:pPr>
    </w:p>
    <w:p w14:paraId="4C3982F8" w14:textId="77777777" w:rsidR="00B12B4D" w:rsidRDefault="00FD3B8A" w:rsidP="00B12B4D">
      <w:pPr>
        <w:tabs>
          <w:tab w:val="right" w:pos="8199"/>
        </w:tabs>
        <w:spacing w:line="360" w:lineRule="auto"/>
        <w:jc w:val="right"/>
        <w:rPr>
          <w:rFonts w:ascii="Arial" w:hAnsi="Arial" w:cs="Arial"/>
          <w:b/>
        </w:rPr>
      </w:pPr>
      <w:r>
        <w:rPr>
          <w:rFonts w:ascii="Arial" w:hAnsi="Arial" w:cs="Arial"/>
          <w:b/>
        </w:rPr>
        <w:t>Case numb</w:t>
      </w:r>
      <w:r w:rsidR="00952B19">
        <w:rPr>
          <w:rFonts w:ascii="Arial" w:hAnsi="Arial" w:cs="Arial"/>
          <w:b/>
        </w:rPr>
        <w:t>er</w:t>
      </w:r>
      <w:r w:rsidR="007D756C">
        <w:rPr>
          <w:rFonts w:ascii="Arial" w:hAnsi="Arial" w:cs="Arial"/>
          <w:b/>
        </w:rPr>
        <w:t xml:space="preserve">: </w:t>
      </w:r>
      <w:r w:rsidR="00EC5D24">
        <w:rPr>
          <w:rFonts w:ascii="Arial" w:hAnsi="Arial" w:cs="Arial"/>
          <w:b/>
        </w:rPr>
        <w:t>A 294/2021</w:t>
      </w:r>
    </w:p>
    <w:p w14:paraId="5562474C" w14:textId="77777777" w:rsidR="00293AD6" w:rsidRPr="00293AD6" w:rsidRDefault="00293AD6" w:rsidP="00B12B4D">
      <w:pPr>
        <w:tabs>
          <w:tab w:val="right" w:pos="8199"/>
        </w:tabs>
        <w:spacing w:line="360" w:lineRule="auto"/>
        <w:jc w:val="right"/>
        <w:rPr>
          <w:rFonts w:ascii="Arial" w:hAnsi="Arial" w:cs="Arial"/>
          <w:b/>
        </w:rPr>
      </w:pPr>
      <w:r>
        <w:rPr>
          <w:rFonts w:ascii="Arial" w:hAnsi="Arial" w:cs="Arial"/>
          <w:b/>
        </w:rPr>
        <w:t xml:space="preserve">Court </w:t>
      </w:r>
      <w:r w:rsidRPr="00293AD6">
        <w:rPr>
          <w:rFonts w:ascii="Arial" w:hAnsi="Arial" w:cs="Arial"/>
          <w:b/>
          <w:i/>
          <w:iCs/>
        </w:rPr>
        <w:t>a quo</w:t>
      </w:r>
      <w:r>
        <w:rPr>
          <w:rFonts w:ascii="Arial" w:hAnsi="Arial" w:cs="Arial"/>
          <w:b/>
        </w:rPr>
        <w:t>: 78587/2018</w:t>
      </w:r>
    </w:p>
    <w:p w14:paraId="36561B55" w14:textId="77777777" w:rsidR="00B12B4D" w:rsidRDefault="00C25E34" w:rsidP="00633CC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ab/>
      </w:r>
      <w:r>
        <w:rPr>
          <w:rFonts w:ascii="Arial" w:hAnsi="Arial" w:cs="Arial"/>
          <w:b/>
        </w:rPr>
        <w:tab/>
        <w:t>D</w:t>
      </w:r>
      <w:r w:rsidR="00FD3B8A">
        <w:rPr>
          <w:rFonts w:ascii="Arial" w:hAnsi="Arial" w:cs="Arial"/>
          <w:b/>
        </w:rPr>
        <w:t>ate of hearing:</w:t>
      </w:r>
      <w:r w:rsidR="00F97027">
        <w:rPr>
          <w:rFonts w:ascii="Arial" w:hAnsi="Arial" w:cs="Arial"/>
          <w:b/>
        </w:rPr>
        <w:t xml:space="preserve"> </w:t>
      </w:r>
      <w:r w:rsidR="00EC5D24">
        <w:rPr>
          <w:rFonts w:ascii="Arial" w:hAnsi="Arial" w:cs="Arial"/>
          <w:b/>
        </w:rPr>
        <w:t>15</w:t>
      </w:r>
      <w:r w:rsidR="00795E7A">
        <w:rPr>
          <w:rFonts w:ascii="Arial" w:hAnsi="Arial" w:cs="Arial"/>
          <w:b/>
        </w:rPr>
        <w:t xml:space="preserve"> February</w:t>
      </w:r>
      <w:r w:rsidR="00852CC0">
        <w:rPr>
          <w:rFonts w:ascii="Arial" w:hAnsi="Arial" w:cs="Arial"/>
          <w:b/>
        </w:rPr>
        <w:t xml:space="preserve"> 2023</w:t>
      </w:r>
    </w:p>
    <w:p w14:paraId="206354DC" w14:textId="69DF24C9" w:rsidR="00C25E34" w:rsidRDefault="00F21DEE" w:rsidP="004A19E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r>
        <w:rPr>
          <w:rFonts w:ascii="Arial" w:hAnsi="Arial" w:cs="Arial"/>
          <w:b/>
        </w:rPr>
        <w:t>Date delivered:</w:t>
      </w:r>
      <w:r w:rsidR="00310227">
        <w:rPr>
          <w:rFonts w:ascii="Arial" w:hAnsi="Arial" w:cs="Arial"/>
          <w:b/>
        </w:rPr>
        <w:t xml:space="preserve"> </w:t>
      </w:r>
      <w:r w:rsidR="00223898">
        <w:rPr>
          <w:rFonts w:ascii="Arial" w:hAnsi="Arial" w:cs="Arial"/>
          <w:b/>
        </w:rPr>
        <w:t>02 May</w:t>
      </w:r>
      <w:r w:rsidR="005B7928">
        <w:rPr>
          <w:rFonts w:ascii="Arial" w:hAnsi="Arial" w:cs="Arial"/>
          <w:b/>
        </w:rPr>
        <w:t xml:space="preserve"> 2023</w:t>
      </w:r>
    </w:p>
    <w:p w14:paraId="1DBB529E" w14:textId="77777777" w:rsidR="00E51018" w:rsidRPr="00B12B4D" w:rsidRDefault="00E51018" w:rsidP="00B12B4D">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14:paraId="365D30F2" w14:textId="77777777" w:rsidR="00B12B4D" w:rsidRPr="00B12B4D" w:rsidRDefault="00B12B4D" w:rsidP="00B12B4D">
      <w:pPr>
        <w:rPr>
          <w:rFonts w:ascii="Arial" w:hAnsi="Arial" w:cs="Arial"/>
          <w:b/>
        </w:rPr>
      </w:pPr>
      <w:r w:rsidRPr="00B12B4D">
        <w:rPr>
          <w:rFonts w:ascii="Arial" w:hAnsi="Arial" w:cs="Arial"/>
          <w:b/>
          <w:noProof/>
          <w:lang w:val="en-US"/>
        </w:rPr>
        <mc:AlternateContent>
          <mc:Choice Requires="wps">
            <w:drawing>
              <wp:anchor distT="0" distB="0" distL="114300" distR="114300" simplePos="0" relativeHeight="251659264" behindDoc="0" locked="0" layoutInCell="1" allowOverlap="1" wp14:anchorId="32F6AF94" wp14:editId="3CBAA026">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6FF9407D" w14:textId="77777777" w:rsidR="00A92844" w:rsidRPr="00913F95" w:rsidRDefault="00A92844" w:rsidP="00B12B4D">
                            <w:pPr>
                              <w:jc w:val="center"/>
                              <w:rPr>
                                <w:rFonts w:ascii="Century Gothic" w:hAnsi="Century Gothic"/>
                                <w:b/>
                                <w:sz w:val="20"/>
                                <w:szCs w:val="20"/>
                              </w:rPr>
                            </w:pPr>
                          </w:p>
                          <w:p w14:paraId="482BE2E3"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56ABF27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1D816419"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07E9D4A6"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308F954F"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0F5FC999"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68C5BA83"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2F6AF94"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">
                <v:textbox>
                  <w:txbxContent>
                    <w:p w14:paraId="6FF9407D" w14:textId="77777777" w:rsidR="00A92844" w:rsidRPr="00913F95" w:rsidRDefault="00A92844" w:rsidP="00B12B4D">
                      <w:pPr>
                        <w:jc w:val="center"/>
                        <w:rPr>
                          <w:rFonts w:ascii="Century Gothic" w:hAnsi="Century Gothic"/>
                          <w:b/>
                          <w:sz w:val="20"/>
                          <w:szCs w:val="20"/>
                        </w:rPr>
                      </w:pPr>
                    </w:p>
                    <w:p w14:paraId="482BE2E3"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56ABF275"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YES/NO</w:t>
                      </w:r>
                    </w:p>
                    <w:p w14:paraId="1D816419"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YES/NO</w:t>
                      </w:r>
                    </w:p>
                    <w:p w14:paraId="07E9D4A6" w14:textId="77777777" w:rsidR="00A92844" w:rsidRPr="007C20F4" w:rsidRDefault="00A92844" w:rsidP="009B6EDA">
                      <w:pPr>
                        <w:widowControl w:val="0"/>
                        <w:numPr>
                          <w:ilvl w:val="0"/>
                          <w:numId w:val="1"/>
                        </w:numPr>
                        <w:autoSpaceDE w:val="0"/>
                        <w:autoSpaceDN w:val="0"/>
                        <w:adjustRightInd w:val="0"/>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308F954F" w14:textId="77777777" w:rsidR="00A92844" w:rsidRPr="007C20F4" w:rsidRDefault="00A92844" w:rsidP="00B12B4D">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0F5FC999" w14:textId="77777777" w:rsidR="00A92844" w:rsidRPr="007C20F4" w:rsidRDefault="00A92844" w:rsidP="00B12B4D">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68C5BA83" w14:textId="77777777" w:rsidR="00A92844" w:rsidRPr="00D3790A" w:rsidRDefault="00A92844" w:rsidP="00B12B4D">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02B7A93" w14:textId="77777777" w:rsidR="00B12B4D" w:rsidRPr="00B12B4D" w:rsidRDefault="00B12B4D" w:rsidP="00B12B4D">
      <w:pPr>
        <w:jc w:val="center"/>
        <w:rPr>
          <w:rFonts w:ascii="Arial" w:hAnsi="Arial" w:cs="Arial"/>
          <w:b/>
        </w:rPr>
      </w:pPr>
    </w:p>
    <w:p w14:paraId="0F0A17E5" w14:textId="77777777" w:rsidR="00B12B4D" w:rsidRPr="00926499" w:rsidRDefault="00B12B4D" w:rsidP="00926499">
      <w:pPr>
        <w:tabs>
          <w:tab w:val="right" w:pos="8199"/>
        </w:tabs>
        <w:spacing w:line="360" w:lineRule="auto"/>
        <w:rPr>
          <w:rFonts w:ascii="Arial" w:hAnsi="Arial" w:cs="Arial"/>
        </w:rPr>
      </w:pP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r w:rsidRPr="00B12B4D">
        <w:rPr>
          <w:rFonts w:ascii="Arial" w:hAnsi="Arial" w:cs="Arial"/>
          <w:b/>
        </w:rPr>
        <w:tab/>
      </w:r>
    </w:p>
    <w:p w14:paraId="11437267" w14:textId="77777777" w:rsidR="00AB6442" w:rsidRDefault="00FD3B8A"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In the</w:t>
      </w:r>
      <w:r w:rsidR="0007750B">
        <w:rPr>
          <w:rFonts w:ascii="Arial" w:hAnsi="Arial" w:cs="Arial"/>
          <w:b/>
        </w:rPr>
        <w:t xml:space="preserve"> </w:t>
      </w:r>
      <w:r w:rsidR="00053F38">
        <w:rPr>
          <w:rFonts w:ascii="Arial" w:hAnsi="Arial" w:cs="Arial"/>
          <w:b/>
        </w:rPr>
        <w:t>matter between</w:t>
      </w:r>
      <w:r w:rsidR="00AB6442">
        <w:rPr>
          <w:rFonts w:ascii="Arial" w:hAnsi="Arial" w:cs="Arial"/>
          <w:b/>
        </w:rPr>
        <w:t>:</w:t>
      </w:r>
    </w:p>
    <w:p w14:paraId="63889476" w14:textId="77777777" w:rsidR="00AB6442" w:rsidRDefault="00AB6442" w:rsidP="00AB6442">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09B451CE" w14:textId="77777777" w:rsidR="00A1269A" w:rsidRDefault="00A1269A"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 xml:space="preserve">THE </w:t>
      </w:r>
      <w:bookmarkStart w:id="0" w:name="_GoBack"/>
      <w:r>
        <w:rPr>
          <w:rFonts w:ascii="Arial" w:hAnsi="Arial" w:cs="Arial"/>
          <w:b/>
        </w:rPr>
        <w:t>PRUDENTIAL AUTHORITY OF</w:t>
      </w:r>
    </w:p>
    <w:p w14:paraId="65B304A1" w14:textId="77777777" w:rsidR="00A1269A" w:rsidRDefault="00A1269A"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THE SOUTH AFRICAN RESERVE BANK</w:t>
      </w:r>
      <w:bookmarkEnd w:id="0"/>
      <w:r>
        <w:rPr>
          <w:rFonts w:ascii="Arial" w:hAnsi="Arial" w:cs="Arial"/>
          <w:b/>
        </w:rPr>
        <w:tab/>
      </w:r>
      <w:r>
        <w:rPr>
          <w:rFonts w:ascii="Arial" w:hAnsi="Arial" w:cs="Arial"/>
          <w:b/>
        </w:rPr>
        <w:tab/>
        <w:t xml:space="preserve">           Appellant</w:t>
      </w:r>
    </w:p>
    <w:p w14:paraId="1FC5888E" w14:textId="77777777" w:rsidR="00A1269A" w:rsidRDefault="00A1269A" w:rsidP="00310227">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781470EC" w14:textId="77777777" w:rsidR="00EB41E5" w:rsidRDefault="004251E2" w:rsidP="00F154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r>
        <w:rPr>
          <w:rFonts w:ascii="Arial" w:hAnsi="Arial" w:cs="Arial"/>
          <w:b/>
        </w:rPr>
        <w:t xml:space="preserve">and </w:t>
      </w:r>
    </w:p>
    <w:p w14:paraId="433CF68F" w14:textId="77777777" w:rsidR="00F1543B" w:rsidRDefault="00F1543B" w:rsidP="00F1543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b/>
        </w:rPr>
      </w:pPr>
    </w:p>
    <w:p w14:paraId="14CBAA49" w14:textId="77777777" w:rsidR="005A31E8" w:rsidRDefault="00EC5D24" w:rsidP="00795E7A">
      <w:pPr>
        <w:tabs>
          <w:tab w:val="left" w:pos="5954"/>
        </w:tabs>
        <w:spacing w:line="360" w:lineRule="auto"/>
        <w:ind w:right="35"/>
        <w:rPr>
          <w:rFonts w:ascii="Arial" w:hAnsi="Arial" w:cs="Arial"/>
          <w:b/>
        </w:rPr>
      </w:pPr>
      <w:r>
        <w:rPr>
          <w:rFonts w:ascii="Arial" w:hAnsi="Arial" w:cs="Arial"/>
          <w:b/>
        </w:rPr>
        <w:t>MAMPHE DANIEL MSIZA</w:t>
      </w:r>
      <w:r w:rsidR="00795E7A">
        <w:rPr>
          <w:rFonts w:ascii="Arial" w:hAnsi="Arial" w:cs="Arial"/>
          <w:b/>
        </w:rPr>
        <w:t xml:space="preserve">         </w:t>
      </w:r>
      <w:r w:rsidR="00B42CA3">
        <w:rPr>
          <w:rFonts w:ascii="Arial" w:hAnsi="Arial" w:cs="Arial"/>
          <w:b/>
        </w:rPr>
        <w:t xml:space="preserve"> </w:t>
      </w:r>
      <w:r w:rsidR="00795E7A">
        <w:rPr>
          <w:rFonts w:ascii="Arial" w:hAnsi="Arial" w:cs="Arial"/>
          <w:b/>
        </w:rPr>
        <w:t xml:space="preserve">        </w:t>
      </w:r>
      <w:r w:rsidR="00DB2CEE">
        <w:rPr>
          <w:rFonts w:ascii="Arial" w:hAnsi="Arial" w:cs="Arial"/>
          <w:b/>
        </w:rPr>
        <w:t xml:space="preserve">              </w:t>
      </w:r>
      <w:r>
        <w:rPr>
          <w:rFonts w:ascii="Arial" w:hAnsi="Arial" w:cs="Arial"/>
          <w:b/>
        </w:rPr>
        <w:t xml:space="preserve">          First </w:t>
      </w:r>
      <w:r w:rsidR="00795E7A">
        <w:rPr>
          <w:rFonts w:ascii="Arial" w:hAnsi="Arial" w:cs="Arial"/>
          <w:b/>
        </w:rPr>
        <w:t>Respondent</w:t>
      </w:r>
    </w:p>
    <w:p w14:paraId="6450804B" w14:textId="77777777" w:rsidR="00EC5D24" w:rsidRDefault="00EC5D24" w:rsidP="00795E7A">
      <w:pPr>
        <w:tabs>
          <w:tab w:val="left" w:pos="5954"/>
        </w:tabs>
        <w:spacing w:line="360" w:lineRule="auto"/>
        <w:ind w:right="35"/>
        <w:rPr>
          <w:rFonts w:ascii="Arial" w:hAnsi="Arial" w:cs="Arial"/>
          <w:b/>
        </w:rPr>
      </w:pPr>
      <w:r>
        <w:rPr>
          <w:rFonts w:ascii="Arial" w:hAnsi="Arial" w:cs="Arial"/>
          <w:b/>
        </w:rPr>
        <w:t>ADVOCATE TERRY MOTAU SC                          Second Respondent</w:t>
      </w:r>
    </w:p>
    <w:p w14:paraId="7F56ABE9" w14:textId="77777777" w:rsidR="004D4DC9" w:rsidRDefault="004D4DC9" w:rsidP="00795E7A">
      <w:pPr>
        <w:tabs>
          <w:tab w:val="left" w:pos="5954"/>
        </w:tabs>
        <w:spacing w:line="360" w:lineRule="auto"/>
        <w:ind w:right="35"/>
        <w:rPr>
          <w:rFonts w:ascii="Arial" w:hAnsi="Arial" w:cs="Arial"/>
          <w:b/>
        </w:rPr>
      </w:pPr>
    </w:p>
    <w:p w14:paraId="3B0E14B6" w14:textId="77777777" w:rsidR="00310227" w:rsidRDefault="00310227" w:rsidP="00310227">
      <w:pPr>
        <w:tabs>
          <w:tab w:val="left" w:pos="5954"/>
        </w:tabs>
        <w:spacing w:line="360" w:lineRule="auto"/>
        <w:ind w:right="-107"/>
        <w:rPr>
          <w:rFonts w:ascii="Arial" w:hAnsi="Arial" w:cs="Arial"/>
          <w:b/>
        </w:rPr>
      </w:pPr>
      <w:r>
        <w:rPr>
          <w:rFonts w:ascii="Arial" w:hAnsi="Arial" w:cs="Arial"/>
          <w:b/>
        </w:rPr>
        <w:t>__________________________________________________________</w:t>
      </w:r>
    </w:p>
    <w:p w14:paraId="263D68C1" w14:textId="77777777" w:rsidR="00B12B4D" w:rsidRPr="00B12B4D" w:rsidRDefault="00B12B4D" w:rsidP="00B12B4D">
      <w:pPr>
        <w:pBdr>
          <w:bottom w:val="single" w:sz="12" w:space="1" w:color="auto"/>
        </w:pBdr>
        <w:spacing w:before="240" w:after="240" w:line="360" w:lineRule="auto"/>
        <w:jc w:val="center"/>
        <w:rPr>
          <w:rFonts w:ascii="Arial" w:hAnsi="Arial" w:cs="Arial"/>
          <w:b/>
        </w:rPr>
      </w:pPr>
      <w:r w:rsidRPr="00B12B4D">
        <w:rPr>
          <w:rFonts w:ascii="Arial" w:hAnsi="Arial" w:cs="Arial"/>
          <w:b/>
        </w:rPr>
        <w:t>JUDGMENT</w:t>
      </w:r>
    </w:p>
    <w:p w14:paraId="1D39623E" w14:textId="57A51B1F" w:rsidR="00890481" w:rsidRPr="00A1269A" w:rsidRDefault="00D36527" w:rsidP="004251E2">
      <w:pPr>
        <w:tabs>
          <w:tab w:val="left" w:pos="-1440"/>
          <w:tab w:val="left" w:pos="-720"/>
        </w:tabs>
        <w:suppressAutoHyphens/>
        <w:spacing w:before="360" w:after="360" w:line="480" w:lineRule="auto"/>
        <w:jc w:val="both"/>
        <w:rPr>
          <w:rFonts w:ascii="Arial" w:hAnsi="Arial"/>
          <w:b/>
        </w:rPr>
      </w:pPr>
      <w:r w:rsidRPr="00A1269A">
        <w:rPr>
          <w:rFonts w:ascii="Arial" w:hAnsi="Arial"/>
          <w:b/>
        </w:rPr>
        <w:lastRenderedPageBreak/>
        <w:t>S</w:t>
      </w:r>
      <w:r w:rsidR="00A1269A" w:rsidRPr="00A1269A">
        <w:rPr>
          <w:rFonts w:ascii="Arial" w:hAnsi="Arial"/>
          <w:b/>
        </w:rPr>
        <w:t xml:space="preserve">wanepoel </w:t>
      </w:r>
      <w:r w:rsidR="00A1269A">
        <w:rPr>
          <w:rFonts w:ascii="Arial" w:hAnsi="Arial"/>
          <w:b/>
        </w:rPr>
        <w:t>J</w:t>
      </w:r>
      <w:r w:rsidR="00EC5D24" w:rsidRPr="00A1269A">
        <w:rPr>
          <w:rFonts w:ascii="Arial" w:hAnsi="Arial"/>
          <w:b/>
        </w:rPr>
        <w:t>:</w:t>
      </w:r>
    </w:p>
    <w:p w14:paraId="3D7AA45D" w14:textId="77777777" w:rsidR="00CB29B7" w:rsidRPr="00CB29B7" w:rsidRDefault="00CB29B7" w:rsidP="004251E2">
      <w:pPr>
        <w:tabs>
          <w:tab w:val="left" w:pos="-1440"/>
          <w:tab w:val="left" w:pos="-720"/>
        </w:tabs>
        <w:suppressAutoHyphens/>
        <w:spacing w:before="360" w:after="360" w:line="480" w:lineRule="auto"/>
        <w:jc w:val="both"/>
        <w:rPr>
          <w:rFonts w:ascii="Arial" w:hAnsi="Arial"/>
          <w:b/>
          <w:u w:val="single"/>
        </w:rPr>
      </w:pPr>
      <w:r>
        <w:rPr>
          <w:rFonts w:ascii="Arial" w:hAnsi="Arial"/>
          <w:b/>
          <w:u w:val="single"/>
        </w:rPr>
        <w:t>INTRODUCTION</w:t>
      </w:r>
    </w:p>
    <w:p w14:paraId="25005456" w14:textId="77777777" w:rsidR="00131A0F" w:rsidRDefault="00EB41E5" w:rsidP="00EC5D24">
      <w:pPr>
        <w:spacing w:before="360" w:after="360" w:line="480" w:lineRule="auto"/>
        <w:jc w:val="both"/>
        <w:rPr>
          <w:rFonts w:ascii="Arial" w:hAnsi="Arial"/>
          <w:bCs/>
        </w:rPr>
      </w:pPr>
      <w:r w:rsidRPr="00EB41E5">
        <w:rPr>
          <w:rFonts w:ascii="Arial" w:hAnsi="Arial"/>
          <w:bCs/>
        </w:rPr>
        <w:t>[1]</w:t>
      </w:r>
      <w:r>
        <w:rPr>
          <w:rFonts w:ascii="Arial" w:hAnsi="Arial"/>
          <w:bCs/>
        </w:rPr>
        <w:tab/>
      </w:r>
      <w:r w:rsidR="00EC5D24">
        <w:rPr>
          <w:rFonts w:ascii="Arial" w:hAnsi="Arial"/>
          <w:bCs/>
        </w:rPr>
        <w:t xml:space="preserve">This is an appeal </w:t>
      </w:r>
      <w:r w:rsidR="00CB29B7">
        <w:rPr>
          <w:rFonts w:ascii="Arial" w:hAnsi="Arial"/>
          <w:bCs/>
        </w:rPr>
        <w:t xml:space="preserve">against an order </w:t>
      </w:r>
      <w:r w:rsidR="00472715">
        <w:rPr>
          <w:rFonts w:ascii="Arial" w:hAnsi="Arial"/>
          <w:bCs/>
        </w:rPr>
        <w:t xml:space="preserve">handed down </w:t>
      </w:r>
      <w:r w:rsidR="00CB29B7">
        <w:rPr>
          <w:rFonts w:ascii="Arial" w:hAnsi="Arial"/>
          <w:bCs/>
        </w:rPr>
        <w:t xml:space="preserve">by the Court </w:t>
      </w:r>
      <w:r w:rsidR="00CB29B7">
        <w:rPr>
          <w:rFonts w:ascii="Arial" w:hAnsi="Arial"/>
          <w:bCs/>
          <w:i/>
          <w:iCs/>
        </w:rPr>
        <w:t>a quo</w:t>
      </w:r>
      <w:r w:rsidR="00CB29B7">
        <w:rPr>
          <w:rFonts w:ascii="Arial" w:hAnsi="Arial"/>
          <w:bCs/>
        </w:rPr>
        <w:t>, which read:</w:t>
      </w:r>
    </w:p>
    <w:p w14:paraId="18B024D6" w14:textId="77777777" w:rsidR="00CB29B7" w:rsidRPr="00E85A74" w:rsidRDefault="00CB29B7" w:rsidP="00CB29B7">
      <w:pPr>
        <w:spacing w:before="360" w:after="360" w:line="480" w:lineRule="auto"/>
        <w:ind w:left="720" w:hanging="720"/>
        <w:jc w:val="both"/>
        <w:rPr>
          <w:rFonts w:ascii="Arial" w:hAnsi="Arial"/>
          <w:bCs/>
          <w:sz w:val="22"/>
          <w:szCs w:val="22"/>
        </w:rPr>
      </w:pPr>
      <w:r w:rsidRPr="00E85A74">
        <w:rPr>
          <w:rFonts w:ascii="Arial" w:hAnsi="Arial"/>
          <w:bCs/>
          <w:sz w:val="22"/>
          <w:szCs w:val="22"/>
        </w:rPr>
        <w:t>“1.</w:t>
      </w:r>
      <w:r w:rsidRPr="00E85A74">
        <w:rPr>
          <w:rFonts w:ascii="Arial" w:hAnsi="Arial"/>
          <w:bCs/>
          <w:sz w:val="22"/>
          <w:szCs w:val="22"/>
        </w:rPr>
        <w:tab/>
        <w:t>The adverse findings, remarks and conclusions by the first respondent in the report titled “THE GREAT BANK HEIST” contained in paragraphs 72; 73; 80; 81 and 90 are reviewed and set aside.</w:t>
      </w:r>
    </w:p>
    <w:p w14:paraId="3881E50F" w14:textId="77777777" w:rsidR="00CB29B7" w:rsidRPr="00E85A74" w:rsidRDefault="00CB29B7" w:rsidP="00CB29B7">
      <w:pPr>
        <w:spacing w:before="360" w:after="360" w:line="480" w:lineRule="auto"/>
        <w:ind w:left="720" w:hanging="720"/>
        <w:jc w:val="both"/>
        <w:rPr>
          <w:rFonts w:ascii="Arial" w:hAnsi="Arial"/>
          <w:bCs/>
          <w:sz w:val="22"/>
          <w:szCs w:val="22"/>
        </w:rPr>
      </w:pPr>
      <w:r w:rsidRPr="00E85A74">
        <w:rPr>
          <w:rFonts w:ascii="Arial" w:hAnsi="Arial"/>
          <w:bCs/>
          <w:sz w:val="22"/>
          <w:szCs w:val="22"/>
        </w:rPr>
        <w:t>2.</w:t>
      </w:r>
      <w:r w:rsidRPr="00E85A74">
        <w:rPr>
          <w:rFonts w:ascii="Arial" w:hAnsi="Arial"/>
          <w:bCs/>
          <w:sz w:val="22"/>
          <w:szCs w:val="22"/>
        </w:rPr>
        <w:tab/>
        <w:t>The first respondent’s failure to afford the applicant the right to procedural fairness (audi) prior to the release of the report titled “THE GREAT BANK HEIST” is unlawful and unconstitutional and violated the applicant’s right in terms of section 34 of the Constitution.</w:t>
      </w:r>
    </w:p>
    <w:p w14:paraId="6A3D3694" w14:textId="77777777" w:rsidR="00CB29B7" w:rsidRPr="00E85A74" w:rsidRDefault="00CB29B7" w:rsidP="00CB29B7">
      <w:pPr>
        <w:spacing w:before="360" w:after="360" w:line="480" w:lineRule="auto"/>
        <w:ind w:left="720" w:hanging="720"/>
        <w:jc w:val="both"/>
        <w:rPr>
          <w:rFonts w:ascii="Arial" w:hAnsi="Arial"/>
          <w:bCs/>
          <w:sz w:val="22"/>
          <w:szCs w:val="22"/>
        </w:rPr>
      </w:pPr>
      <w:r w:rsidRPr="00E85A74">
        <w:rPr>
          <w:rFonts w:ascii="Arial" w:hAnsi="Arial"/>
          <w:bCs/>
          <w:sz w:val="22"/>
          <w:szCs w:val="22"/>
        </w:rPr>
        <w:t>3.</w:t>
      </w:r>
      <w:r w:rsidRPr="00E85A74">
        <w:rPr>
          <w:rFonts w:ascii="Arial" w:hAnsi="Arial"/>
          <w:bCs/>
          <w:sz w:val="22"/>
          <w:szCs w:val="22"/>
        </w:rPr>
        <w:tab/>
        <w:t>The second Respondent is ordered to pay the costs including costs of two counsel where engaged.”</w:t>
      </w:r>
    </w:p>
    <w:p w14:paraId="4963CC91" w14:textId="77777777" w:rsidR="00CB29B7" w:rsidRDefault="00CB29B7" w:rsidP="003A322E">
      <w:pPr>
        <w:spacing w:before="360" w:after="360" w:line="480" w:lineRule="auto"/>
        <w:jc w:val="both"/>
        <w:rPr>
          <w:rFonts w:ascii="Arial" w:hAnsi="Arial"/>
          <w:bCs/>
        </w:rPr>
      </w:pPr>
      <w:r>
        <w:rPr>
          <w:rFonts w:ascii="Arial" w:hAnsi="Arial"/>
          <w:bCs/>
        </w:rPr>
        <w:t>[2]</w:t>
      </w:r>
      <w:r>
        <w:rPr>
          <w:rFonts w:ascii="Arial" w:hAnsi="Arial"/>
          <w:bCs/>
        </w:rPr>
        <w:tab/>
      </w:r>
      <w:r w:rsidR="00E617FA">
        <w:rPr>
          <w:rFonts w:ascii="Arial" w:hAnsi="Arial"/>
          <w:bCs/>
        </w:rPr>
        <w:t xml:space="preserve">The appellant is </w:t>
      </w:r>
      <w:r w:rsidR="002105DF">
        <w:rPr>
          <w:rFonts w:ascii="Arial" w:hAnsi="Arial"/>
          <w:bCs/>
        </w:rPr>
        <w:t xml:space="preserve">a regulatory authority within the Reserve Bank, which has been established by virtue of the provisions of section 32 of the Financial Sector Regulation Act, 9 </w:t>
      </w:r>
      <w:r w:rsidR="00472715">
        <w:rPr>
          <w:rFonts w:ascii="Arial" w:hAnsi="Arial"/>
          <w:bCs/>
        </w:rPr>
        <w:t>o</w:t>
      </w:r>
      <w:r w:rsidR="002105DF">
        <w:rPr>
          <w:rFonts w:ascii="Arial" w:hAnsi="Arial"/>
          <w:bCs/>
        </w:rPr>
        <w:t>f 2017</w:t>
      </w:r>
      <w:r w:rsidR="008E13F4">
        <w:rPr>
          <w:rFonts w:ascii="Arial" w:hAnsi="Arial"/>
          <w:bCs/>
        </w:rPr>
        <w:t xml:space="preserve"> (“the FSR Act”)</w:t>
      </w:r>
      <w:r w:rsidR="002105DF">
        <w:rPr>
          <w:rFonts w:ascii="Arial" w:hAnsi="Arial"/>
          <w:bCs/>
        </w:rPr>
        <w:t xml:space="preserve">, with the mandate (inter alia) to regulate and supervise financial institutions that provide financial products. </w:t>
      </w:r>
      <w:r w:rsidR="00E617FA">
        <w:rPr>
          <w:rFonts w:ascii="Arial" w:hAnsi="Arial"/>
          <w:bCs/>
        </w:rPr>
        <w:t xml:space="preserve">The application before the Court </w:t>
      </w:r>
      <w:r w:rsidR="00E617FA" w:rsidRPr="008B2FA8">
        <w:rPr>
          <w:rFonts w:ascii="Arial" w:hAnsi="Arial"/>
          <w:bCs/>
          <w:i/>
          <w:iCs/>
        </w:rPr>
        <w:t>a quo</w:t>
      </w:r>
      <w:r w:rsidR="00E617FA">
        <w:rPr>
          <w:rFonts w:ascii="Arial" w:hAnsi="Arial"/>
          <w:bCs/>
        </w:rPr>
        <w:t xml:space="preserve"> stemmed from a report produced by the second respondent</w:t>
      </w:r>
      <w:r w:rsidR="00F1543B">
        <w:rPr>
          <w:rFonts w:ascii="Arial" w:hAnsi="Arial"/>
          <w:bCs/>
        </w:rPr>
        <w:t xml:space="preserve"> (also referred to as “the investigator”)</w:t>
      </w:r>
      <w:r w:rsidR="00E617FA">
        <w:rPr>
          <w:rFonts w:ascii="Arial" w:hAnsi="Arial"/>
          <w:bCs/>
        </w:rPr>
        <w:t xml:space="preserve"> </w:t>
      </w:r>
      <w:r w:rsidR="002105DF">
        <w:rPr>
          <w:rFonts w:ascii="Arial" w:hAnsi="Arial"/>
          <w:bCs/>
        </w:rPr>
        <w:t xml:space="preserve">at the appellant’s behest, </w:t>
      </w:r>
      <w:r w:rsidR="00E85A74">
        <w:rPr>
          <w:rFonts w:ascii="Arial" w:hAnsi="Arial"/>
          <w:bCs/>
        </w:rPr>
        <w:t>relating</w:t>
      </w:r>
      <w:r w:rsidR="00E617FA">
        <w:rPr>
          <w:rFonts w:ascii="Arial" w:hAnsi="Arial"/>
          <w:bCs/>
        </w:rPr>
        <w:t xml:space="preserve"> to the alleged mismanagement of the VBS Mutual Bank (“VBS”)</w:t>
      </w:r>
      <w:r w:rsidR="00A1269A">
        <w:rPr>
          <w:rFonts w:ascii="Arial" w:hAnsi="Arial"/>
          <w:bCs/>
        </w:rPr>
        <w:t>. The report contained c</w:t>
      </w:r>
      <w:r w:rsidR="00E617FA">
        <w:rPr>
          <w:rFonts w:ascii="Arial" w:hAnsi="Arial"/>
          <w:bCs/>
        </w:rPr>
        <w:t xml:space="preserve">ertain adverse statements regarding first respondent’s </w:t>
      </w:r>
      <w:r w:rsidR="00A1269A">
        <w:rPr>
          <w:rFonts w:ascii="Arial" w:hAnsi="Arial"/>
          <w:bCs/>
        </w:rPr>
        <w:t xml:space="preserve">alleged </w:t>
      </w:r>
      <w:r w:rsidR="00E617FA">
        <w:rPr>
          <w:rFonts w:ascii="Arial" w:hAnsi="Arial"/>
          <w:bCs/>
        </w:rPr>
        <w:t xml:space="preserve">involvement in the widespread looting of the bank. </w:t>
      </w:r>
    </w:p>
    <w:p w14:paraId="14ABB9BC" w14:textId="77777777" w:rsidR="008B2FA8" w:rsidRDefault="008B2FA8" w:rsidP="00E85A74">
      <w:pPr>
        <w:spacing w:before="360" w:after="360" w:line="480" w:lineRule="auto"/>
        <w:jc w:val="both"/>
        <w:rPr>
          <w:rFonts w:ascii="Arial" w:hAnsi="Arial"/>
          <w:bCs/>
        </w:rPr>
      </w:pPr>
      <w:r>
        <w:rPr>
          <w:rFonts w:ascii="Arial" w:hAnsi="Arial"/>
          <w:bCs/>
        </w:rPr>
        <w:lastRenderedPageBreak/>
        <w:t>[3]</w:t>
      </w:r>
      <w:r>
        <w:rPr>
          <w:rFonts w:ascii="Arial" w:hAnsi="Arial"/>
          <w:bCs/>
        </w:rPr>
        <w:tab/>
        <w:t>On 13 April 2018 the appellant appointed second respondent</w:t>
      </w:r>
      <w:r w:rsidR="0028686D" w:rsidRPr="0028686D">
        <w:rPr>
          <w:rFonts w:ascii="Arial" w:hAnsi="Arial"/>
          <w:bCs/>
        </w:rPr>
        <w:t xml:space="preserve"> </w:t>
      </w:r>
      <w:r w:rsidR="0028686D">
        <w:rPr>
          <w:rFonts w:ascii="Arial" w:hAnsi="Arial"/>
          <w:bCs/>
        </w:rPr>
        <w:t>to investigate the alleged mismanagement of the bank</w:t>
      </w:r>
      <w:r w:rsidR="008E13F4">
        <w:rPr>
          <w:rFonts w:ascii="Arial" w:hAnsi="Arial"/>
          <w:bCs/>
        </w:rPr>
        <w:t xml:space="preserve"> in terms of section 135 (1) of the FSR Act</w:t>
      </w:r>
      <w:r>
        <w:rPr>
          <w:rFonts w:ascii="Arial" w:hAnsi="Arial"/>
          <w:bCs/>
        </w:rPr>
        <w:t xml:space="preserve">. The </w:t>
      </w:r>
      <w:r w:rsidR="00DA6365">
        <w:rPr>
          <w:rFonts w:ascii="Arial" w:hAnsi="Arial"/>
          <w:bCs/>
        </w:rPr>
        <w:t>appellant</w:t>
      </w:r>
      <w:r>
        <w:rPr>
          <w:rFonts w:ascii="Arial" w:hAnsi="Arial"/>
          <w:bCs/>
        </w:rPr>
        <w:t xml:space="preserve"> required second respondent to establish whether or not:</w:t>
      </w:r>
    </w:p>
    <w:p w14:paraId="1B0119B8" w14:textId="77777777" w:rsidR="008B2FA8" w:rsidRDefault="008B2FA8" w:rsidP="00E85A74">
      <w:pPr>
        <w:spacing w:before="360" w:after="360" w:line="480" w:lineRule="auto"/>
        <w:jc w:val="both"/>
        <w:rPr>
          <w:rFonts w:ascii="Arial" w:hAnsi="Arial"/>
          <w:bCs/>
        </w:rPr>
      </w:pPr>
      <w:r>
        <w:rPr>
          <w:rFonts w:ascii="Arial" w:hAnsi="Arial"/>
          <w:bCs/>
        </w:rPr>
        <w:t>[3.1]</w:t>
      </w:r>
      <w:r>
        <w:rPr>
          <w:rFonts w:ascii="Arial" w:hAnsi="Arial"/>
          <w:bCs/>
        </w:rPr>
        <w:tab/>
      </w:r>
      <w:r w:rsidR="00DA6365">
        <w:rPr>
          <w:rFonts w:ascii="Arial" w:hAnsi="Arial"/>
          <w:bCs/>
        </w:rPr>
        <w:t>a</w:t>
      </w:r>
      <w:r>
        <w:rPr>
          <w:rFonts w:ascii="Arial" w:hAnsi="Arial"/>
          <w:bCs/>
        </w:rPr>
        <w:t>ny of the business of VBS was conducted with the intent to defraud depositors or other creditors of the bank, or for any other fraudulent purpose;</w:t>
      </w:r>
    </w:p>
    <w:p w14:paraId="14447912" w14:textId="77777777" w:rsidR="008B2FA8" w:rsidRDefault="008B2FA8" w:rsidP="00E85A74">
      <w:pPr>
        <w:spacing w:before="360" w:after="360" w:line="480" w:lineRule="auto"/>
        <w:ind w:hanging="720"/>
        <w:jc w:val="both"/>
        <w:rPr>
          <w:rFonts w:ascii="Arial" w:hAnsi="Arial"/>
          <w:bCs/>
        </w:rPr>
      </w:pPr>
      <w:r>
        <w:rPr>
          <w:rFonts w:ascii="Arial" w:hAnsi="Arial"/>
          <w:bCs/>
        </w:rPr>
        <w:tab/>
        <w:t>[3.2]</w:t>
      </w:r>
      <w:r>
        <w:rPr>
          <w:rFonts w:ascii="Arial" w:hAnsi="Arial"/>
          <w:bCs/>
        </w:rPr>
        <w:tab/>
        <w:t>VBS business conduct involved questionable and/or reckless business practices or material non-disclosure, with or without the intent to defraud depositors and other creditors;</w:t>
      </w:r>
    </w:p>
    <w:p w14:paraId="21E5571F" w14:textId="77777777" w:rsidR="008B2FA8" w:rsidRDefault="008B2FA8" w:rsidP="00E85A74">
      <w:pPr>
        <w:spacing w:before="360" w:after="360" w:line="480" w:lineRule="auto"/>
        <w:ind w:hanging="720"/>
        <w:jc w:val="both"/>
        <w:rPr>
          <w:rFonts w:ascii="Arial" w:hAnsi="Arial"/>
          <w:bCs/>
        </w:rPr>
      </w:pPr>
      <w:r>
        <w:rPr>
          <w:rFonts w:ascii="Arial" w:hAnsi="Arial"/>
          <w:bCs/>
        </w:rPr>
        <w:tab/>
        <w:t>[3.3]</w:t>
      </w:r>
      <w:r>
        <w:rPr>
          <w:rFonts w:ascii="Arial" w:hAnsi="Arial"/>
          <w:bCs/>
        </w:rPr>
        <w:tab/>
      </w:r>
      <w:r w:rsidR="00DA6365">
        <w:rPr>
          <w:rFonts w:ascii="Arial" w:hAnsi="Arial"/>
          <w:bCs/>
        </w:rPr>
        <w:t>t</w:t>
      </w:r>
      <w:r>
        <w:rPr>
          <w:rFonts w:ascii="Arial" w:hAnsi="Arial"/>
          <w:bCs/>
        </w:rPr>
        <w:t>here had been any irregular conduct by VBS shareholders, directors, executive management, staff, stakeholders and/or related parties.</w:t>
      </w:r>
    </w:p>
    <w:p w14:paraId="764C00D9" w14:textId="77777777" w:rsidR="008B2FA8" w:rsidRDefault="008B2FA8" w:rsidP="003A322E">
      <w:pPr>
        <w:spacing w:before="360" w:after="360" w:line="480" w:lineRule="auto"/>
        <w:jc w:val="both"/>
        <w:rPr>
          <w:rFonts w:ascii="Arial" w:hAnsi="Arial"/>
          <w:bCs/>
        </w:rPr>
      </w:pPr>
      <w:r>
        <w:rPr>
          <w:rFonts w:ascii="Arial" w:hAnsi="Arial"/>
          <w:bCs/>
        </w:rPr>
        <w:t>[4]</w:t>
      </w:r>
      <w:r>
        <w:rPr>
          <w:rFonts w:ascii="Arial" w:hAnsi="Arial"/>
          <w:bCs/>
        </w:rPr>
        <w:tab/>
        <w:t xml:space="preserve">Second respondent conducted a wide-ranging investigation which included formal interviews with some 30 witnesses. First respondent was not interviewed, and was not given an opportunity to answer to the allegations </w:t>
      </w:r>
      <w:r w:rsidR="00472715">
        <w:rPr>
          <w:rFonts w:ascii="Arial" w:hAnsi="Arial"/>
          <w:bCs/>
        </w:rPr>
        <w:t xml:space="preserve">made </w:t>
      </w:r>
      <w:r>
        <w:rPr>
          <w:rFonts w:ascii="Arial" w:hAnsi="Arial"/>
          <w:bCs/>
        </w:rPr>
        <w:t xml:space="preserve">against him. </w:t>
      </w:r>
      <w:r w:rsidR="003A322E">
        <w:rPr>
          <w:rFonts w:ascii="Arial" w:hAnsi="Arial"/>
          <w:bCs/>
        </w:rPr>
        <w:t>On 30 September 2018 second respondent produced a report titled “The Great Bank Heist”, which, as alluded to above, implicated first respondent in the illegal activities at VBS</w:t>
      </w:r>
      <w:r w:rsidR="00A1269A">
        <w:rPr>
          <w:rFonts w:ascii="Arial" w:hAnsi="Arial"/>
          <w:bCs/>
        </w:rPr>
        <w:t>, and found that there had been widespread looting of the bank</w:t>
      </w:r>
      <w:r w:rsidR="003A322E">
        <w:rPr>
          <w:rFonts w:ascii="Arial" w:hAnsi="Arial"/>
          <w:bCs/>
        </w:rPr>
        <w:t>.</w:t>
      </w:r>
      <w:r w:rsidR="00473590">
        <w:rPr>
          <w:rFonts w:ascii="Arial" w:hAnsi="Arial"/>
          <w:bCs/>
        </w:rPr>
        <w:t xml:space="preserve"> Second respondent made the following relevant recommendations:</w:t>
      </w:r>
    </w:p>
    <w:p w14:paraId="5CC974B3" w14:textId="77777777" w:rsidR="00473590" w:rsidRDefault="00473590" w:rsidP="003A322E">
      <w:pPr>
        <w:spacing w:before="360" w:after="360" w:line="480" w:lineRule="auto"/>
        <w:jc w:val="both"/>
        <w:rPr>
          <w:rFonts w:ascii="Arial" w:hAnsi="Arial"/>
          <w:bCs/>
        </w:rPr>
      </w:pPr>
      <w:r>
        <w:rPr>
          <w:rFonts w:ascii="Arial" w:hAnsi="Arial"/>
          <w:bCs/>
        </w:rPr>
        <w:t>[4.1]</w:t>
      </w:r>
      <w:r>
        <w:rPr>
          <w:rFonts w:ascii="Arial" w:hAnsi="Arial"/>
          <w:bCs/>
        </w:rPr>
        <w:tab/>
        <w:t>That damages claims be instituted against the beneficiaries of the corruption, theft and fraud in order to recover the stolen money;</w:t>
      </w:r>
    </w:p>
    <w:p w14:paraId="378ED836" w14:textId="77777777" w:rsidR="00473590" w:rsidRDefault="00473590" w:rsidP="003A322E">
      <w:pPr>
        <w:spacing w:before="360" w:after="360" w:line="480" w:lineRule="auto"/>
        <w:jc w:val="both"/>
        <w:rPr>
          <w:rFonts w:ascii="Arial" w:hAnsi="Arial"/>
          <w:bCs/>
        </w:rPr>
      </w:pPr>
      <w:r>
        <w:rPr>
          <w:rFonts w:ascii="Arial" w:hAnsi="Arial"/>
          <w:bCs/>
        </w:rPr>
        <w:lastRenderedPageBreak/>
        <w:t>[4.2]</w:t>
      </w:r>
      <w:r>
        <w:rPr>
          <w:rFonts w:ascii="Arial" w:hAnsi="Arial"/>
          <w:bCs/>
        </w:rPr>
        <w:tab/>
        <w:t>That criminal charges be brought against those persons identified as being implicated in the scheme.</w:t>
      </w:r>
    </w:p>
    <w:p w14:paraId="7E0959A5" w14:textId="77777777" w:rsidR="003A322E" w:rsidRPr="00BD695A" w:rsidRDefault="003A322E" w:rsidP="003A322E">
      <w:pPr>
        <w:spacing w:before="360" w:after="360" w:line="480" w:lineRule="auto"/>
        <w:jc w:val="both"/>
        <w:rPr>
          <w:rFonts w:ascii="Arial" w:hAnsi="Arial"/>
          <w:bCs/>
        </w:rPr>
      </w:pPr>
      <w:r>
        <w:rPr>
          <w:rFonts w:ascii="Arial" w:hAnsi="Arial"/>
          <w:bCs/>
        </w:rPr>
        <w:t>[5]</w:t>
      </w:r>
      <w:r>
        <w:rPr>
          <w:rFonts w:ascii="Arial" w:hAnsi="Arial"/>
          <w:bCs/>
        </w:rPr>
        <w:tab/>
        <w:t xml:space="preserve">First respondent took umbrage at the findings made against him, and brought an application in the Court </w:t>
      </w:r>
      <w:r>
        <w:rPr>
          <w:rFonts w:ascii="Arial" w:hAnsi="Arial"/>
          <w:bCs/>
          <w:i/>
          <w:iCs/>
        </w:rPr>
        <w:t>a quo</w:t>
      </w:r>
      <w:r>
        <w:rPr>
          <w:rFonts w:ascii="Arial" w:hAnsi="Arial"/>
          <w:bCs/>
        </w:rPr>
        <w:t xml:space="preserve"> in which he sought </w:t>
      </w:r>
      <w:r w:rsidR="00BD695A">
        <w:rPr>
          <w:rFonts w:ascii="Arial" w:hAnsi="Arial"/>
          <w:bCs/>
        </w:rPr>
        <w:t>an</w:t>
      </w:r>
      <w:r>
        <w:rPr>
          <w:rFonts w:ascii="Arial" w:hAnsi="Arial"/>
          <w:bCs/>
        </w:rPr>
        <w:t xml:space="preserve"> order</w:t>
      </w:r>
      <w:r>
        <w:rPr>
          <w:rStyle w:val="FootnoteReference"/>
          <w:rFonts w:ascii="Arial" w:hAnsi="Arial"/>
          <w:bCs/>
        </w:rPr>
        <w:footnoteReference w:id="1"/>
      </w:r>
      <w:r>
        <w:rPr>
          <w:rFonts w:ascii="Arial" w:hAnsi="Arial"/>
          <w:bCs/>
        </w:rPr>
        <w:t>:</w:t>
      </w:r>
    </w:p>
    <w:p w14:paraId="47C0FA77" w14:textId="77777777" w:rsidR="003A322E" w:rsidRDefault="00BD695A" w:rsidP="00E85A74">
      <w:pPr>
        <w:spacing w:before="360" w:after="360" w:line="480" w:lineRule="auto"/>
        <w:jc w:val="both"/>
        <w:rPr>
          <w:rFonts w:ascii="Arial" w:hAnsi="Arial"/>
          <w:bCs/>
        </w:rPr>
      </w:pPr>
      <w:r w:rsidRPr="00BD695A">
        <w:rPr>
          <w:rFonts w:ascii="Arial" w:hAnsi="Arial"/>
          <w:bCs/>
        </w:rPr>
        <w:t>[5.1]</w:t>
      </w:r>
      <w:r w:rsidRPr="00BD695A">
        <w:rPr>
          <w:rFonts w:ascii="Arial" w:hAnsi="Arial"/>
          <w:bCs/>
        </w:rPr>
        <w:tab/>
        <w:t>Declaring the adverse findings and remarks</w:t>
      </w:r>
      <w:r w:rsidR="000B047B">
        <w:rPr>
          <w:rFonts w:ascii="Arial" w:hAnsi="Arial"/>
          <w:bCs/>
        </w:rPr>
        <w:t xml:space="preserve"> and/or conclusions</w:t>
      </w:r>
      <w:r w:rsidRPr="00BD695A">
        <w:rPr>
          <w:rFonts w:ascii="Arial" w:hAnsi="Arial"/>
          <w:bCs/>
        </w:rPr>
        <w:t xml:space="preserve"> against </w:t>
      </w:r>
      <w:r>
        <w:rPr>
          <w:rFonts w:ascii="Arial" w:hAnsi="Arial"/>
          <w:bCs/>
        </w:rPr>
        <w:t xml:space="preserve">first respondent </w:t>
      </w:r>
      <w:r w:rsidR="00D64C21">
        <w:rPr>
          <w:rFonts w:ascii="Arial" w:hAnsi="Arial"/>
          <w:bCs/>
        </w:rPr>
        <w:t xml:space="preserve">in the report </w:t>
      </w:r>
      <w:r>
        <w:rPr>
          <w:rFonts w:ascii="Arial" w:hAnsi="Arial"/>
          <w:bCs/>
        </w:rPr>
        <w:t>to be prejudicial and unconstitutional;</w:t>
      </w:r>
    </w:p>
    <w:p w14:paraId="515573E2" w14:textId="77777777" w:rsidR="00BD695A" w:rsidRDefault="00BD695A" w:rsidP="00E85A74">
      <w:pPr>
        <w:spacing w:before="360" w:after="360" w:line="480" w:lineRule="auto"/>
        <w:jc w:val="both"/>
        <w:rPr>
          <w:rFonts w:ascii="Arial" w:hAnsi="Arial"/>
          <w:bCs/>
        </w:rPr>
      </w:pPr>
      <w:r>
        <w:rPr>
          <w:rFonts w:ascii="Arial" w:hAnsi="Arial"/>
          <w:bCs/>
        </w:rPr>
        <w:t>[5.2]</w:t>
      </w:r>
      <w:r>
        <w:rPr>
          <w:rFonts w:ascii="Arial" w:hAnsi="Arial"/>
          <w:bCs/>
        </w:rPr>
        <w:tab/>
        <w:t>Reviewing and setting aside all adverse findings</w:t>
      </w:r>
      <w:r w:rsidR="00773045">
        <w:rPr>
          <w:rFonts w:ascii="Arial" w:hAnsi="Arial"/>
          <w:bCs/>
        </w:rPr>
        <w:t xml:space="preserve">, </w:t>
      </w:r>
      <w:r>
        <w:rPr>
          <w:rFonts w:ascii="Arial" w:hAnsi="Arial"/>
          <w:bCs/>
        </w:rPr>
        <w:t>remarks</w:t>
      </w:r>
      <w:r w:rsidR="00773045">
        <w:rPr>
          <w:rFonts w:ascii="Arial" w:hAnsi="Arial"/>
          <w:bCs/>
        </w:rPr>
        <w:t xml:space="preserve"> and conclusions</w:t>
      </w:r>
      <w:r>
        <w:rPr>
          <w:rFonts w:ascii="Arial" w:hAnsi="Arial"/>
          <w:bCs/>
        </w:rPr>
        <w:t xml:space="preserve"> against him;</w:t>
      </w:r>
    </w:p>
    <w:p w14:paraId="564B77F9" w14:textId="77777777" w:rsidR="00D64C21" w:rsidRDefault="00D64C21" w:rsidP="00E85A74">
      <w:pPr>
        <w:spacing w:before="360" w:after="360" w:line="480" w:lineRule="auto"/>
        <w:jc w:val="both"/>
        <w:rPr>
          <w:rFonts w:ascii="Arial" w:hAnsi="Arial"/>
          <w:bCs/>
        </w:rPr>
      </w:pPr>
      <w:r>
        <w:rPr>
          <w:rFonts w:ascii="Arial" w:hAnsi="Arial"/>
          <w:bCs/>
        </w:rPr>
        <w:t>[5.3]</w:t>
      </w:r>
      <w:r>
        <w:rPr>
          <w:rFonts w:ascii="Arial" w:hAnsi="Arial"/>
          <w:bCs/>
        </w:rPr>
        <w:tab/>
        <w:t>Expunging the remark made in paragraph 80 to the following effect:</w:t>
      </w:r>
    </w:p>
    <w:p w14:paraId="28466140" w14:textId="77777777" w:rsidR="00D64C21" w:rsidRPr="00D64C21" w:rsidRDefault="00D64C21" w:rsidP="00E85A74">
      <w:pPr>
        <w:spacing w:before="360" w:after="360" w:line="480" w:lineRule="auto"/>
        <w:jc w:val="both"/>
        <w:rPr>
          <w:rFonts w:ascii="Arial" w:hAnsi="Arial"/>
          <w:bCs/>
          <w:i/>
          <w:iCs/>
        </w:rPr>
      </w:pPr>
      <w:r>
        <w:rPr>
          <w:rFonts w:ascii="Arial" w:hAnsi="Arial"/>
          <w:bCs/>
        </w:rPr>
        <w:t>“</w:t>
      </w:r>
      <w:r>
        <w:rPr>
          <w:rFonts w:ascii="Arial" w:hAnsi="Arial"/>
          <w:bCs/>
          <w:i/>
          <w:iCs/>
        </w:rPr>
        <w:t>It is clear that Msiza intervened on numerous occasions when his political influence was required. I have little doubt that Matse</w:t>
      </w:r>
      <w:r w:rsidR="00472715">
        <w:rPr>
          <w:rFonts w:ascii="Arial" w:hAnsi="Arial"/>
          <w:bCs/>
          <w:i/>
          <w:iCs/>
        </w:rPr>
        <w:t>p</w:t>
      </w:r>
      <w:r>
        <w:rPr>
          <w:rFonts w:ascii="Arial" w:hAnsi="Arial"/>
          <w:bCs/>
          <w:i/>
          <w:iCs/>
        </w:rPr>
        <w:t>e, despite his self-importance and bluster, in fact works for Msiza.”</w:t>
      </w:r>
    </w:p>
    <w:p w14:paraId="2F0DAD44" w14:textId="77777777" w:rsidR="00BD695A" w:rsidRDefault="00BD695A" w:rsidP="00CB29B7">
      <w:pPr>
        <w:spacing w:before="360" w:after="360" w:line="480" w:lineRule="auto"/>
        <w:ind w:left="720" w:hanging="720"/>
        <w:jc w:val="both"/>
        <w:rPr>
          <w:rFonts w:ascii="Arial" w:hAnsi="Arial"/>
          <w:bCs/>
        </w:rPr>
      </w:pPr>
      <w:r>
        <w:rPr>
          <w:rFonts w:ascii="Arial" w:hAnsi="Arial"/>
          <w:bCs/>
        </w:rPr>
        <w:t>[5.3]</w:t>
      </w:r>
      <w:r>
        <w:rPr>
          <w:rFonts w:ascii="Arial" w:hAnsi="Arial"/>
          <w:bCs/>
        </w:rPr>
        <w:tab/>
        <w:t>Expunging paragraphs 72, 73, 80, 81 and 90</w:t>
      </w:r>
      <w:r w:rsidR="00DA6365">
        <w:rPr>
          <w:rFonts w:ascii="Arial" w:hAnsi="Arial"/>
          <w:bCs/>
        </w:rPr>
        <w:t xml:space="preserve"> from the report</w:t>
      </w:r>
      <w:r>
        <w:rPr>
          <w:rFonts w:ascii="Arial" w:hAnsi="Arial"/>
          <w:bCs/>
        </w:rPr>
        <w:t>;</w:t>
      </w:r>
    </w:p>
    <w:p w14:paraId="3ABCDB73" w14:textId="77777777" w:rsidR="00BD695A" w:rsidRDefault="00BD695A" w:rsidP="00E85A74">
      <w:pPr>
        <w:spacing w:before="360" w:after="360" w:line="480" w:lineRule="auto"/>
        <w:jc w:val="both"/>
        <w:rPr>
          <w:rFonts w:ascii="Arial" w:hAnsi="Arial"/>
          <w:bCs/>
        </w:rPr>
      </w:pPr>
      <w:r>
        <w:rPr>
          <w:rFonts w:ascii="Arial" w:hAnsi="Arial"/>
          <w:bCs/>
        </w:rPr>
        <w:t>[5.4]</w:t>
      </w:r>
      <w:r>
        <w:rPr>
          <w:rFonts w:ascii="Arial" w:hAnsi="Arial"/>
          <w:bCs/>
        </w:rPr>
        <w:tab/>
        <w:t>Declaring that the second respondent’s failure to give first</w:t>
      </w:r>
      <w:r w:rsidR="00E85A74">
        <w:rPr>
          <w:rFonts w:ascii="Arial" w:hAnsi="Arial"/>
          <w:bCs/>
        </w:rPr>
        <w:t xml:space="preserve"> </w:t>
      </w:r>
      <w:r>
        <w:rPr>
          <w:rFonts w:ascii="Arial" w:hAnsi="Arial"/>
          <w:bCs/>
        </w:rPr>
        <w:t>respondent an opportunity to answer to the allegations is unlawful and unconstitutional;</w:t>
      </w:r>
    </w:p>
    <w:p w14:paraId="7A3BAB22" w14:textId="77777777" w:rsidR="00773045" w:rsidRDefault="00773045" w:rsidP="00E85A74">
      <w:pPr>
        <w:spacing w:before="360" w:after="360" w:line="480" w:lineRule="auto"/>
        <w:jc w:val="both"/>
        <w:rPr>
          <w:rFonts w:ascii="Arial" w:hAnsi="Arial"/>
          <w:bCs/>
        </w:rPr>
      </w:pPr>
      <w:r>
        <w:rPr>
          <w:rFonts w:ascii="Arial" w:hAnsi="Arial"/>
          <w:bCs/>
        </w:rPr>
        <w:lastRenderedPageBreak/>
        <w:t>[5.5]</w:t>
      </w:r>
      <w:r>
        <w:rPr>
          <w:rFonts w:ascii="Arial" w:hAnsi="Arial"/>
          <w:bCs/>
        </w:rPr>
        <w:tab/>
        <w:t xml:space="preserve">Declaring second respondent’s failure to afford first respondent the opportunity to he heard to be unlawful and unconstitutional in that it violated applicant’s rights in terms of section 34 of the constitution. </w:t>
      </w:r>
    </w:p>
    <w:p w14:paraId="5E2127D1" w14:textId="77777777" w:rsidR="00BD695A" w:rsidRDefault="00BD695A" w:rsidP="00E85A74">
      <w:pPr>
        <w:spacing w:before="360" w:after="360" w:line="480" w:lineRule="auto"/>
        <w:jc w:val="both"/>
        <w:rPr>
          <w:rFonts w:ascii="Arial" w:hAnsi="Arial"/>
          <w:bCs/>
        </w:rPr>
      </w:pPr>
      <w:r>
        <w:rPr>
          <w:rFonts w:ascii="Arial" w:hAnsi="Arial"/>
          <w:bCs/>
        </w:rPr>
        <w:t>[5.5]</w:t>
      </w:r>
      <w:r>
        <w:rPr>
          <w:rFonts w:ascii="Arial" w:hAnsi="Arial"/>
          <w:bCs/>
        </w:rPr>
        <w:tab/>
        <w:t>Directing second respondent to make a public apology;</w:t>
      </w:r>
    </w:p>
    <w:p w14:paraId="39016F7E" w14:textId="77777777" w:rsidR="00BD695A" w:rsidRDefault="00BD695A" w:rsidP="00E85A74">
      <w:pPr>
        <w:spacing w:before="360" w:after="360" w:line="480" w:lineRule="auto"/>
        <w:jc w:val="both"/>
        <w:rPr>
          <w:rFonts w:ascii="Arial" w:hAnsi="Arial"/>
          <w:bCs/>
        </w:rPr>
      </w:pPr>
      <w:r>
        <w:rPr>
          <w:rFonts w:ascii="Arial" w:hAnsi="Arial"/>
          <w:bCs/>
        </w:rPr>
        <w:t>[5.6]</w:t>
      </w:r>
      <w:r>
        <w:rPr>
          <w:rFonts w:ascii="Arial" w:hAnsi="Arial"/>
          <w:bCs/>
        </w:rPr>
        <w:tab/>
        <w:t>Costs.</w:t>
      </w:r>
    </w:p>
    <w:p w14:paraId="071F0434" w14:textId="77777777" w:rsidR="00D64C21" w:rsidRDefault="00BD695A" w:rsidP="00D64C21">
      <w:pPr>
        <w:spacing w:before="360" w:after="360" w:line="480" w:lineRule="auto"/>
        <w:jc w:val="both"/>
        <w:rPr>
          <w:rFonts w:ascii="Arial" w:hAnsi="Arial"/>
          <w:bCs/>
        </w:rPr>
      </w:pPr>
      <w:r>
        <w:rPr>
          <w:rFonts w:ascii="Arial" w:hAnsi="Arial"/>
          <w:bCs/>
        </w:rPr>
        <w:t>[6]</w:t>
      </w:r>
      <w:r>
        <w:rPr>
          <w:rFonts w:ascii="Arial" w:hAnsi="Arial"/>
          <w:bCs/>
        </w:rPr>
        <w:tab/>
        <w:t>There was some controversy in the papers relating to the filing by second respondent of a redacted record, but it is no</w:t>
      </w:r>
      <w:r w:rsidR="00C34D05">
        <w:rPr>
          <w:rFonts w:ascii="Arial" w:hAnsi="Arial"/>
          <w:bCs/>
        </w:rPr>
        <w:t xml:space="preserve"> longer</w:t>
      </w:r>
      <w:r>
        <w:rPr>
          <w:rFonts w:ascii="Arial" w:hAnsi="Arial"/>
          <w:bCs/>
        </w:rPr>
        <w:t xml:space="preserve"> relevant to this judgment.</w:t>
      </w:r>
    </w:p>
    <w:p w14:paraId="4BF0E0AF" w14:textId="77777777" w:rsidR="00EA2898" w:rsidRPr="00D64C21" w:rsidRDefault="00EA2898" w:rsidP="00D64C21">
      <w:pPr>
        <w:spacing w:before="360" w:after="360" w:line="480" w:lineRule="auto"/>
        <w:jc w:val="both"/>
        <w:rPr>
          <w:rFonts w:ascii="Arial" w:hAnsi="Arial"/>
          <w:bCs/>
        </w:rPr>
      </w:pPr>
      <w:r>
        <w:rPr>
          <w:rFonts w:ascii="Arial" w:hAnsi="Arial"/>
          <w:bCs/>
        </w:rPr>
        <w:t>[7]</w:t>
      </w:r>
      <w:r>
        <w:rPr>
          <w:rFonts w:ascii="Arial" w:hAnsi="Arial"/>
          <w:bCs/>
        </w:rPr>
        <w:tab/>
        <w:t xml:space="preserve">At the hearing of the matter in the court a quo first respondent </w:t>
      </w:r>
      <w:r w:rsidR="00AF6F4F">
        <w:rPr>
          <w:rFonts w:ascii="Arial" w:hAnsi="Arial"/>
          <w:bCs/>
        </w:rPr>
        <w:t xml:space="preserve">apparently </w:t>
      </w:r>
      <w:r>
        <w:rPr>
          <w:rFonts w:ascii="Arial" w:hAnsi="Arial"/>
          <w:bCs/>
        </w:rPr>
        <w:t xml:space="preserve">did not persist with the relief sought in respect of the expunging of the offending paragraphs, nor the relief in regard to the redacted record and the apology. First respondent persisted in seeking an order reviewing and setting aside </w:t>
      </w:r>
      <w:r w:rsidR="00472715">
        <w:rPr>
          <w:rFonts w:ascii="Arial" w:hAnsi="Arial"/>
          <w:bCs/>
        </w:rPr>
        <w:t xml:space="preserve">the </w:t>
      </w:r>
      <w:r>
        <w:rPr>
          <w:rFonts w:ascii="Arial" w:hAnsi="Arial"/>
          <w:bCs/>
        </w:rPr>
        <w:t xml:space="preserve">findings, conclusions and remarks </w:t>
      </w:r>
      <w:r w:rsidR="00472715">
        <w:rPr>
          <w:rFonts w:ascii="Arial" w:hAnsi="Arial"/>
          <w:bCs/>
        </w:rPr>
        <w:t>that related to first respondent</w:t>
      </w:r>
      <w:r w:rsidR="00A1269A">
        <w:rPr>
          <w:rFonts w:ascii="Arial" w:hAnsi="Arial"/>
          <w:bCs/>
        </w:rPr>
        <w:t>’s conduct</w:t>
      </w:r>
      <w:r>
        <w:rPr>
          <w:rFonts w:ascii="Arial" w:hAnsi="Arial"/>
          <w:bCs/>
        </w:rPr>
        <w:t>, and</w:t>
      </w:r>
      <w:r w:rsidR="006B4FFB">
        <w:rPr>
          <w:rFonts w:ascii="Arial" w:hAnsi="Arial"/>
          <w:bCs/>
        </w:rPr>
        <w:t xml:space="preserve"> also</w:t>
      </w:r>
      <w:r>
        <w:rPr>
          <w:rFonts w:ascii="Arial" w:hAnsi="Arial"/>
          <w:bCs/>
        </w:rPr>
        <w:t xml:space="preserve"> in seeking an order that the findings, remarks and con</w:t>
      </w:r>
      <w:r w:rsidR="00472715">
        <w:rPr>
          <w:rFonts w:ascii="Arial" w:hAnsi="Arial"/>
          <w:bCs/>
        </w:rPr>
        <w:t>c</w:t>
      </w:r>
      <w:r>
        <w:rPr>
          <w:rFonts w:ascii="Arial" w:hAnsi="Arial"/>
          <w:bCs/>
        </w:rPr>
        <w:t xml:space="preserve">lusions were </w:t>
      </w:r>
      <w:r w:rsidR="00A1269A">
        <w:rPr>
          <w:rFonts w:ascii="Arial" w:hAnsi="Arial"/>
          <w:bCs/>
        </w:rPr>
        <w:t xml:space="preserve">unconstitutional and </w:t>
      </w:r>
      <w:r>
        <w:rPr>
          <w:rFonts w:ascii="Arial" w:hAnsi="Arial"/>
          <w:bCs/>
        </w:rPr>
        <w:t>prejudicial to the first respondent.</w:t>
      </w:r>
      <w:r w:rsidR="00C34D05">
        <w:rPr>
          <w:rFonts w:ascii="Arial" w:hAnsi="Arial"/>
          <w:bCs/>
        </w:rPr>
        <w:t xml:space="preserve"> </w:t>
      </w:r>
    </w:p>
    <w:p w14:paraId="72E87057" w14:textId="77777777" w:rsidR="00BD695A" w:rsidRDefault="00032A36" w:rsidP="00CB29B7">
      <w:pPr>
        <w:spacing w:before="360" w:after="360" w:line="480" w:lineRule="auto"/>
        <w:ind w:left="720" w:hanging="720"/>
        <w:jc w:val="both"/>
        <w:rPr>
          <w:rFonts w:ascii="Arial" w:hAnsi="Arial"/>
          <w:b/>
          <w:u w:val="single"/>
        </w:rPr>
      </w:pPr>
      <w:r>
        <w:rPr>
          <w:rFonts w:ascii="Arial" w:hAnsi="Arial"/>
          <w:b/>
          <w:u w:val="single"/>
        </w:rPr>
        <w:t xml:space="preserve">THE </w:t>
      </w:r>
      <w:r w:rsidR="00BD695A">
        <w:rPr>
          <w:rFonts w:ascii="Arial" w:hAnsi="Arial"/>
          <w:b/>
          <w:u w:val="single"/>
        </w:rPr>
        <w:t>COURT A QUO</w:t>
      </w:r>
    </w:p>
    <w:p w14:paraId="5A2AA07B" w14:textId="77777777" w:rsidR="00BD695A" w:rsidRDefault="00BD695A" w:rsidP="00E85A74">
      <w:pPr>
        <w:spacing w:before="360" w:after="360" w:line="480" w:lineRule="auto"/>
        <w:jc w:val="both"/>
        <w:rPr>
          <w:rFonts w:ascii="Arial" w:hAnsi="Arial"/>
          <w:bCs/>
        </w:rPr>
      </w:pPr>
      <w:r>
        <w:rPr>
          <w:rFonts w:ascii="Arial" w:hAnsi="Arial"/>
          <w:bCs/>
        </w:rPr>
        <w:t>[</w:t>
      </w:r>
      <w:r w:rsidR="00EA2898">
        <w:rPr>
          <w:rFonts w:ascii="Arial" w:hAnsi="Arial"/>
          <w:bCs/>
        </w:rPr>
        <w:t>8</w:t>
      </w:r>
      <w:r>
        <w:rPr>
          <w:rFonts w:ascii="Arial" w:hAnsi="Arial"/>
          <w:bCs/>
        </w:rPr>
        <w:t>]</w:t>
      </w:r>
      <w:r>
        <w:rPr>
          <w:rFonts w:ascii="Arial" w:hAnsi="Arial"/>
          <w:bCs/>
        </w:rPr>
        <w:tab/>
      </w:r>
      <w:r w:rsidR="00293AD6">
        <w:rPr>
          <w:rFonts w:ascii="Arial" w:hAnsi="Arial"/>
          <w:bCs/>
        </w:rPr>
        <w:t xml:space="preserve">First respondent argued in the Court </w:t>
      </w:r>
      <w:r w:rsidR="00293AD6">
        <w:rPr>
          <w:rFonts w:ascii="Arial" w:hAnsi="Arial"/>
          <w:bCs/>
          <w:i/>
          <w:iCs/>
        </w:rPr>
        <w:t>a quo</w:t>
      </w:r>
      <w:r w:rsidR="00293AD6">
        <w:rPr>
          <w:rFonts w:ascii="Arial" w:hAnsi="Arial"/>
          <w:bCs/>
        </w:rPr>
        <w:t xml:space="preserve"> that the remarks and findings made in connection with him were false and had caused him to suffer serious reputational damage. He was, he said, a businessman who now faced financial ruin as a result of the report, and </w:t>
      </w:r>
      <w:r w:rsidR="00DA6365">
        <w:rPr>
          <w:rFonts w:ascii="Arial" w:hAnsi="Arial"/>
          <w:bCs/>
        </w:rPr>
        <w:t xml:space="preserve">that </w:t>
      </w:r>
      <w:r w:rsidR="00472715">
        <w:rPr>
          <w:rFonts w:ascii="Arial" w:hAnsi="Arial"/>
          <w:bCs/>
        </w:rPr>
        <w:t>the report</w:t>
      </w:r>
      <w:r w:rsidR="00293AD6">
        <w:rPr>
          <w:rFonts w:ascii="Arial" w:hAnsi="Arial"/>
          <w:bCs/>
        </w:rPr>
        <w:t xml:space="preserve"> had </w:t>
      </w:r>
      <w:r w:rsidR="00A1269A">
        <w:rPr>
          <w:rFonts w:ascii="Arial" w:hAnsi="Arial"/>
          <w:bCs/>
        </w:rPr>
        <w:t xml:space="preserve">also </w:t>
      </w:r>
      <w:r w:rsidR="00F56671">
        <w:rPr>
          <w:rFonts w:ascii="Arial" w:hAnsi="Arial"/>
          <w:bCs/>
        </w:rPr>
        <w:t xml:space="preserve">damaged his good name as a politician. First respondent said that his constitutional right to free trade had been infringed as a result of the </w:t>
      </w:r>
      <w:r w:rsidR="00F56671">
        <w:rPr>
          <w:rFonts w:ascii="Arial" w:hAnsi="Arial"/>
          <w:bCs/>
        </w:rPr>
        <w:lastRenderedPageBreak/>
        <w:t>false allegations. He argued that the rules of natural justice required second respondent to give him an audience, so that he could answer to the allegations and put his side of the story.</w:t>
      </w:r>
      <w:r w:rsidR="00A1269A">
        <w:rPr>
          <w:rFonts w:ascii="Arial" w:hAnsi="Arial"/>
          <w:bCs/>
        </w:rPr>
        <w:t xml:space="preserve"> It is on the basis</w:t>
      </w:r>
      <w:r w:rsidR="000E167B">
        <w:rPr>
          <w:rFonts w:ascii="Arial" w:hAnsi="Arial"/>
          <w:bCs/>
        </w:rPr>
        <w:t>,</w:t>
      </w:r>
      <w:r w:rsidR="00A1269A">
        <w:rPr>
          <w:rFonts w:ascii="Arial" w:hAnsi="Arial"/>
          <w:bCs/>
        </w:rPr>
        <w:t xml:space="preserve"> that he had not been given the right of audi alteram partem</w:t>
      </w:r>
      <w:r w:rsidR="000E167B">
        <w:rPr>
          <w:rFonts w:ascii="Arial" w:hAnsi="Arial"/>
          <w:bCs/>
        </w:rPr>
        <w:t>,</w:t>
      </w:r>
      <w:r w:rsidR="00A1269A">
        <w:rPr>
          <w:rFonts w:ascii="Arial" w:hAnsi="Arial"/>
          <w:bCs/>
        </w:rPr>
        <w:t xml:space="preserve"> that first respondent alleged that the investigation had </w:t>
      </w:r>
      <w:r w:rsidR="00AF6F4F">
        <w:rPr>
          <w:rFonts w:ascii="Arial" w:hAnsi="Arial"/>
          <w:bCs/>
        </w:rPr>
        <w:t>been</w:t>
      </w:r>
      <w:r w:rsidR="00A1269A">
        <w:rPr>
          <w:rFonts w:ascii="Arial" w:hAnsi="Arial"/>
          <w:bCs/>
        </w:rPr>
        <w:t xml:space="preserve"> procedurally unfair.</w:t>
      </w:r>
    </w:p>
    <w:p w14:paraId="305B77A9" w14:textId="77777777" w:rsidR="00F56671" w:rsidRDefault="00F56671" w:rsidP="00E85A74">
      <w:pPr>
        <w:spacing w:before="360" w:after="360" w:line="480" w:lineRule="auto"/>
        <w:jc w:val="both"/>
        <w:rPr>
          <w:rFonts w:ascii="Arial" w:hAnsi="Arial"/>
          <w:bCs/>
        </w:rPr>
      </w:pPr>
      <w:r>
        <w:rPr>
          <w:rFonts w:ascii="Arial" w:hAnsi="Arial"/>
          <w:bCs/>
        </w:rPr>
        <w:t>[</w:t>
      </w:r>
      <w:r w:rsidR="00EA2898">
        <w:rPr>
          <w:rFonts w:ascii="Arial" w:hAnsi="Arial"/>
          <w:bCs/>
        </w:rPr>
        <w:t>9</w:t>
      </w:r>
      <w:r>
        <w:rPr>
          <w:rFonts w:ascii="Arial" w:hAnsi="Arial"/>
          <w:bCs/>
        </w:rPr>
        <w:t>]</w:t>
      </w:r>
      <w:r>
        <w:rPr>
          <w:rFonts w:ascii="Arial" w:hAnsi="Arial"/>
          <w:bCs/>
        </w:rPr>
        <w:tab/>
        <w:t xml:space="preserve">First respondent contended that second respondent was </w:t>
      </w:r>
      <w:r w:rsidR="006B4FFB">
        <w:rPr>
          <w:rFonts w:ascii="Arial" w:hAnsi="Arial"/>
          <w:bCs/>
        </w:rPr>
        <w:t>exercising</w:t>
      </w:r>
      <w:r>
        <w:rPr>
          <w:rFonts w:ascii="Arial" w:hAnsi="Arial"/>
          <w:bCs/>
        </w:rPr>
        <w:t xml:space="preserve"> a public power or </w:t>
      </w:r>
      <w:r w:rsidR="006B4FFB">
        <w:rPr>
          <w:rFonts w:ascii="Arial" w:hAnsi="Arial"/>
          <w:bCs/>
        </w:rPr>
        <w:t>performing</w:t>
      </w:r>
      <w:r>
        <w:rPr>
          <w:rFonts w:ascii="Arial" w:hAnsi="Arial"/>
          <w:bCs/>
        </w:rPr>
        <w:t xml:space="preserve"> a public function, </w:t>
      </w:r>
      <w:r w:rsidR="006B4FFB">
        <w:rPr>
          <w:rFonts w:ascii="Arial" w:hAnsi="Arial"/>
          <w:bCs/>
        </w:rPr>
        <w:t>and</w:t>
      </w:r>
      <w:r>
        <w:rPr>
          <w:rFonts w:ascii="Arial" w:hAnsi="Arial"/>
          <w:bCs/>
        </w:rPr>
        <w:t xml:space="preserve"> that his conduct was </w:t>
      </w:r>
      <w:r w:rsidR="006B4FFB">
        <w:rPr>
          <w:rFonts w:ascii="Arial" w:hAnsi="Arial"/>
          <w:bCs/>
        </w:rPr>
        <w:t xml:space="preserve">therefore </w:t>
      </w:r>
      <w:r>
        <w:rPr>
          <w:rFonts w:ascii="Arial" w:hAnsi="Arial"/>
          <w:bCs/>
        </w:rPr>
        <w:t xml:space="preserve">reviewable in terms of the Promotion of Administrative Justice Act, Act 3 of 2000 (“PAJA”), alternatively in terms of the Constitution, the rule of law and the principle of </w:t>
      </w:r>
      <w:r w:rsidR="00DA6365">
        <w:rPr>
          <w:rFonts w:ascii="Arial" w:hAnsi="Arial"/>
          <w:bCs/>
        </w:rPr>
        <w:t>legality</w:t>
      </w:r>
      <w:r>
        <w:rPr>
          <w:rFonts w:ascii="Arial" w:hAnsi="Arial"/>
          <w:bCs/>
        </w:rPr>
        <w:t>.</w:t>
      </w:r>
      <w:r w:rsidR="00FA56A3">
        <w:rPr>
          <w:rFonts w:ascii="Arial" w:hAnsi="Arial"/>
          <w:bCs/>
        </w:rPr>
        <w:t xml:space="preserve"> It was first respondent’s contention that second respondent had not given him the opportunity to answer to the allegations against him, and as fair administrative action includes the right to be heard, the procedure used was procedurally unfair and reviewable under section 6 (2) </w:t>
      </w:r>
      <w:r w:rsidR="00C34D05">
        <w:rPr>
          <w:rFonts w:ascii="Arial" w:hAnsi="Arial"/>
          <w:bCs/>
        </w:rPr>
        <w:t>(c)</w:t>
      </w:r>
      <w:r w:rsidR="00FA56A3">
        <w:rPr>
          <w:rFonts w:ascii="Arial" w:hAnsi="Arial"/>
          <w:bCs/>
        </w:rPr>
        <w:t xml:space="preserve"> of PAJA</w:t>
      </w:r>
      <w:r w:rsidR="000B4BA0">
        <w:rPr>
          <w:rFonts w:ascii="Arial" w:hAnsi="Arial"/>
          <w:bCs/>
        </w:rPr>
        <w:t xml:space="preserve">, </w:t>
      </w:r>
      <w:r w:rsidR="006B4FFB">
        <w:rPr>
          <w:rFonts w:ascii="Arial" w:hAnsi="Arial"/>
          <w:bCs/>
        </w:rPr>
        <w:t>or</w:t>
      </w:r>
      <w:r w:rsidR="000B4BA0">
        <w:rPr>
          <w:rFonts w:ascii="Arial" w:hAnsi="Arial"/>
          <w:bCs/>
        </w:rPr>
        <w:t xml:space="preserve"> under the principles of legality</w:t>
      </w:r>
      <w:r w:rsidR="00FA56A3">
        <w:rPr>
          <w:rFonts w:ascii="Arial" w:hAnsi="Arial"/>
          <w:bCs/>
        </w:rPr>
        <w:t>.</w:t>
      </w:r>
    </w:p>
    <w:p w14:paraId="400A543A" w14:textId="77777777" w:rsidR="00696943" w:rsidRDefault="00F56671" w:rsidP="00E85A74">
      <w:pPr>
        <w:spacing w:before="360" w:after="360" w:line="480" w:lineRule="auto"/>
        <w:jc w:val="both"/>
        <w:rPr>
          <w:rFonts w:ascii="Arial" w:hAnsi="Arial"/>
          <w:bCs/>
        </w:rPr>
      </w:pPr>
      <w:r>
        <w:rPr>
          <w:rFonts w:ascii="Arial" w:hAnsi="Arial"/>
          <w:bCs/>
        </w:rPr>
        <w:t>[</w:t>
      </w:r>
      <w:r w:rsidR="00EA2898">
        <w:rPr>
          <w:rFonts w:ascii="Arial" w:hAnsi="Arial"/>
          <w:bCs/>
        </w:rPr>
        <w:t>10</w:t>
      </w:r>
      <w:r>
        <w:rPr>
          <w:rFonts w:ascii="Arial" w:hAnsi="Arial"/>
          <w:bCs/>
        </w:rPr>
        <w:t>]</w:t>
      </w:r>
      <w:r>
        <w:rPr>
          <w:rFonts w:ascii="Arial" w:hAnsi="Arial"/>
          <w:bCs/>
        </w:rPr>
        <w:tab/>
      </w:r>
      <w:r w:rsidR="009B3B4F">
        <w:rPr>
          <w:rFonts w:ascii="Arial" w:hAnsi="Arial"/>
          <w:bCs/>
        </w:rPr>
        <w:t>The appellant argued that</w:t>
      </w:r>
      <w:r w:rsidR="00DA6365">
        <w:rPr>
          <w:rFonts w:ascii="Arial" w:hAnsi="Arial"/>
          <w:bCs/>
        </w:rPr>
        <w:t>,</w:t>
      </w:r>
      <w:r w:rsidR="009B3B4F">
        <w:rPr>
          <w:rFonts w:ascii="Arial" w:hAnsi="Arial"/>
          <w:bCs/>
        </w:rPr>
        <w:t xml:space="preserve"> of the paragraphs sought to be impugned, only paragraph 80 contained any remark or finding in respect of first respondent. The remainder of the paragraphs simply </w:t>
      </w:r>
      <w:r w:rsidR="00696943">
        <w:rPr>
          <w:rFonts w:ascii="Arial" w:hAnsi="Arial"/>
          <w:bCs/>
        </w:rPr>
        <w:t>r</w:t>
      </w:r>
      <w:r w:rsidR="009B3B4F">
        <w:rPr>
          <w:rFonts w:ascii="Arial" w:hAnsi="Arial"/>
          <w:bCs/>
        </w:rPr>
        <w:t>ecord</w:t>
      </w:r>
      <w:r w:rsidR="00696943">
        <w:rPr>
          <w:rFonts w:ascii="Arial" w:hAnsi="Arial"/>
          <w:bCs/>
        </w:rPr>
        <w:t>ed</w:t>
      </w:r>
      <w:r w:rsidR="009B3B4F">
        <w:rPr>
          <w:rFonts w:ascii="Arial" w:hAnsi="Arial"/>
          <w:bCs/>
        </w:rPr>
        <w:t xml:space="preserve"> the evidence presented to the second respondent by the witnesses. Such evidence, the appellant argued, could not be reviewed as they did not entail the exercise of a public power </w:t>
      </w:r>
      <w:r w:rsidR="000B4BA0">
        <w:rPr>
          <w:rFonts w:ascii="Arial" w:hAnsi="Arial"/>
          <w:bCs/>
        </w:rPr>
        <w:t>and</w:t>
      </w:r>
      <w:r w:rsidR="009B3B4F">
        <w:rPr>
          <w:rFonts w:ascii="Arial" w:hAnsi="Arial"/>
          <w:bCs/>
        </w:rPr>
        <w:t xml:space="preserve"> </w:t>
      </w:r>
      <w:r w:rsidR="00A1269A">
        <w:rPr>
          <w:rFonts w:ascii="Arial" w:hAnsi="Arial"/>
          <w:bCs/>
        </w:rPr>
        <w:t>the simple recording of evidence was</w:t>
      </w:r>
      <w:r w:rsidR="009B3B4F">
        <w:rPr>
          <w:rFonts w:ascii="Arial" w:hAnsi="Arial"/>
          <w:bCs/>
        </w:rPr>
        <w:t xml:space="preserve"> not an administrative action.</w:t>
      </w:r>
      <w:r w:rsidR="00696943">
        <w:rPr>
          <w:rFonts w:ascii="Arial" w:hAnsi="Arial"/>
          <w:bCs/>
        </w:rPr>
        <w:t xml:space="preserve"> The statements had as a matter of fact been made by the witnesses, and could not be deleted, set aside or expunged</w:t>
      </w:r>
      <w:r w:rsidR="00A1269A">
        <w:rPr>
          <w:rFonts w:ascii="Arial" w:hAnsi="Arial"/>
          <w:bCs/>
        </w:rPr>
        <w:t>, so the appellant argued.</w:t>
      </w:r>
    </w:p>
    <w:p w14:paraId="674E19FF" w14:textId="77777777" w:rsidR="00F56671" w:rsidRDefault="00696943" w:rsidP="00E85A74">
      <w:pPr>
        <w:spacing w:before="360" w:after="360" w:line="480" w:lineRule="auto"/>
        <w:jc w:val="both"/>
        <w:rPr>
          <w:rFonts w:ascii="Arial" w:hAnsi="Arial"/>
          <w:bCs/>
        </w:rPr>
      </w:pPr>
      <w:r>
        <w:rPr>
          <w:rFonts w:ascii="Arial" w:hAnsi="Arial"/>
          <w:bCs/>
        </w:rPr>
        <w:lastRenderedPageBreak/>
        <w:t>[1</w:t>
      </w:r>
      <w:r w:rsidR="00EA2898">
        <w:rPr>
          <w:rFonts w:ascii="Arial" w:hAnsi="Arial"/>
          <w:bCs/>
        </w:rPr>
        <w:t>1</w:t>
      </w:r>
      <w:r>
        <w:rPr>
          <w:rFonts w:ascii="Arial" w:hAnsi="Arial"/>
          <w:bCs/>
        </w:rPr>
        <w:t>]</w:t>
      </w:r>
      <w:r>
        <w:rPr>
          <w:rFonts w:ascii="Arial" w:hAnsi="Arial"/>
          <w:bCs/>
        </w:rPr>
        <w:tab/>
        <w:t>Furthermore, appellant argued, even if the second respondent’s prima facie views and findings were reviewable, which it continued to deny, then they would only be reviewable under the doctrine of legality, and not under PAJA.</w:t>
      </w:r>
    </w:p>
    <w:p w14:paraId="3A483F2D" w14:textId="77777777" w:rsidR="00696943" w:rsidRDefault="00696943" w:rsidP="00E85A74">
      <w:pPr>
        <w:spacing w:before="360" w:after="360" w:line="480" w:lineRule="auto"/>
        <w:jc w:val="both"/>
        <w:rPr>
          <w:rFonts w:ascii="Arial" w:hAnsi="Arial"/>
          <w:bCs/>
        </w:rPr>
      </w:pPr>
      <w:r>
        <w:rPr>
          <w:rFonts w:ascii="Arial" w:hAnsi="Arial"/>
          <w:bCs/>
        </w:rPr>
        <w:t>[1</w:t>
      </w:r>
      <w:r w:rsidR="00EA2898">
        <w:rPr>
          <w:rFonts w:ascii="Arial" w:hAnsi="Arial"/>
          <w:bCs/>
        </w:rPr>
        <w:t>2</w:t>
      </w:r>
      <w:r>
        <w:rPr>
          <w:rFonts w:ascii="Arial" w:hAnsi="Arial"/>
          <w:bCs/>
        </w:rPr>
        <w:t>]</w:t>
      </w:r>
      <w:r>
        <w:rPr>
          <w:rFonts w:ascii="Arial" w:hAnsi="Arial"/>
          <w:bCs/>
        </w:rPr>
        <w:tab/>
        <w:t xml:space="preserve">The Court </w:t>
      </w:r>
      <w:r>
        <w:rPr>
          <w:rFonts w:ascii="Arial" w:hAnsi="Arial"/>
          <w:bCs/>
          <w:i/>
          <w:iCs/>
        </w:rPr>
        <w:t>a quo</w:t>
      </w:r>
      <w:r>
        <w:rPr>
          <w:rFonts w:ascii="Arial" w:hAnsi="Arial"/>
          <w:bCs/>
        </w:rPr>
        <w:t xml:space="preserve"> identified three issues for determination:</w:t>
      </w:r>
      <w:r>
        <w:rPr>
          <w:rStyle w:val="FootnoteReference"/>
          <w:rFonts w:ascii="Arial" w:hAnsi="Arial"/>
          <w:bCs/>
        </w:rPr>
        <w:footnoteReference w:id="2"/>
      </w:r>
    </w:p>
    <w:p w14:paraId="00AC7EA3" w14:textId="77777777" w:rsidR="00696943" w:rsidRDefault="00696943" w:rsidP="00E85A74">
      <w:pPr>
        <w:spacing w:before="360" w:after="360" w:line="480" w:lineRule="auto"/>
        <w:jc w:val="both"/>
        <w:rPr>
          <w:rFonts w:ascii="Arial" w:hAnsi="Arial"/>
          <w:bCs/>
        </w:rPr>
      </w:pPr>
      <w:r>
        <w:rPr>
          <w:rFonts w:ascii="Arial" w:hAnsi="Arial"/>
          <w:bCs/>
        </w:rPr>
        <w:t>[1</w:t>
      </w:r>
      <w:r w:rsidR="00EA2898">
        <w:rPr>
          <w:rFonts w:ascii="Arial" w:hAnsi="Arial"/>
          <w:bCs/>
        </w:rPr>
        <w:t>2</w:t>
      </w:r>
      <w:r>
        <w:rPr>
          <w:rFonts w:ascii="Arial" w:hAnsi="Arial"/>
          <w:bCs/>
        </w:rPr>
        <w:t>.1]</w:t>
      </w:r>
      <w:r>
        <w:rPr>
          <w:rFonts w:ascii="Arial" w:hAnsi="Arial"/>
          <w:bCs/>
        </w:rPr>
        <w:tab/>
        <w:t xml:space="preserve">The primary issue was whether the paragraphs complained about and which contain findings, remarks and conclusions regarding the first respondent </w:t>
      </w:r>
      <w:r w:rsidR="00A1269A">
        <w:rPr>
          <w:rFonts w:ascii="Arial" w:hAnsi="Arial"/>
          <w:bCs/>
        </w:rPr>
        <w:t>we</w:t>
      </w:r>
      <w:r>
        <w:rPr>
          <w:rFonts w:ascii="Arial" w:hAnsi="Arial"/>
          <w:bCs/>
        </w:rPr>
        <w:t>re reviewable under the Constitution and PAJA</w:t>
      </w:r>
      <w:r w:rsidR="00A50822">
        <w:rPr>
          <w:rFonts w:ascii="Arial" w:hAnsi="Arial"/>
          <w:bCs/>
        </w:rPr>
        <w:t>,</w:t>
      </w:r>
      <w:r w:rsidR="000B4BA0">
        <w:rPr>
          <w:rFonts w:ascii="Arial" w:hAnsi="Arial"/>
          <w:bCs/>
        </w:rPr>
        <w:t xml:space="preserve"> or under the principle of legality, and,</w:t>
      </w:r>
      <w:r w:rsidR="00A50822">
        <w:rPr>
          <w:rFonts w:ascii="Arial" w:hAnsi="Arial"/>
          <w:bCs/>
        </w:rPr>
        <w:t xml:space="preserve"> more specifically, whether second respondent’s failure to give first respondent an opportunity to be interviewed had infringed on first respondent’s right to be heard</w:t>
      </w:r>
      <w:r>
        <w:rPr>
          <w:rFonts w:ascii="Arial" w:hAnsi="Arial"/>
          <w:bCs/>
        </w:rPr>
        <w:t>;</w:t>
      </w:r>
    </w:p>
    <w:p w14:paraId="7482EC28" w14:textId="77777777" w:rsidR="00696943" w:rsidRDefault="00696943" w:rsidP="00E85A74">
      <w:pPr>
        <w:spacing w:before="360" w:after="360" w:line="480" w:lineRule="auto"/>
        <w:jc w:val="both"/>
        <w:rPr>
          <w:rFonts w:ascii="Arial" w:hAnsi="Arial"/>
          <w:bCs/>
        </w:rPr>
      </w:pPr>
      <w:r>
        <w:rPr>
          <w:rFonts w:ascii="Arial" w:hAnsi="Arial"/>
          <w:bCs/>
        </w:rPr>
        <w:t>[1</w:t>
      </w:r>
      <w:r w:rsidR="00EA2898">
        <w:rPr>
          <w:rFonts w:ascii="Arial" w:hAnsi="Arial"/>
          <w:bCs/>
        </w:rPr>
        <w:t>2</w:t>
      </w:r>
      <w:r>
        <w:rPr>
          <w:rFonts w:ascii="Arial" w:hAnsi="Arial"/>
          <w:bCs/>
        </w:rPr>
        <w:t>.2]</w:t>
      </w:r>
      <w:r>
        <w:rPr>
          <w:rFonts w:ascii="Arial" w:hAnsi="Arial"/>
          <w:bCs/>
        </w:rPr>
        <w:tab/>
        <w:t>A peripheral issue was whether first respondent’s right to access to information had been infringed by the filing of a redacted record;</w:t>
      </w:r>
    </w:p>
    <w:p w14:paraId="5DAABC88" w14:textId="77777777" w:rsidR="00696943" w:rsidRPr="00696943" w:rsidRDefault="00696943" w:rsidP="00E85A74">
      <w:pPr>
        <w:spacing w:before="360" w:after="360" w:line="480" w:lineRule="auto"/>
        <w:jc w:val="both"/>
        <w:rPr>
          <w:rFonts w:ascii="Arial" w:hAnsi="Arial"/>
          <w:bCs/>
          <w:sz w:val="20"/>
          <w:szCs w:val="20"/>
        </w:rPr>
      </w:pPr>
      <w:r>
        <w:rPr>
          <w:rFonts w:ascii="Arial" w:hAnsi="Arial"/>
          <w:bCs/>
        </w:rPr>
        <w:t>[1</w:t>
      </w:r>
      <w:r w:rsidR="00EA2898">
        <w:rPr>
          <w:rFonts w:ascii="Arial" w:hAnsi="Arial"/>
          <w:bCs/>
        </w:rPr>
        <w:t>2</w:t>
      </w:r>
      <w:r>
        <w:rPr>
          <w:rFonts w:ascii="Arial" w:hAnsi="Arial"/>
          <w:bCs/>
        </w:rPr>
        <w:t>.3]</w:t>
      </w:r>
      <w:r>
        <w:rPr>
          <w:rFonts w:ascii="Arial" w:hAnsi="Arial"/>
          <w:bCs/>
        </w:rPr>
        <w:tab/>
      </w:r>
      <w:r w:rsidR="00A50822">
        <w:rPr>
          <w:rFonts w:ascii="Arial" w:hAnsi="Arial"/>
          <w:bCs/>
        </w:rPr>
        <w:t>Finally, whether the answering affidavit contained inadmissible hearsay, in that the information therein contained was not within the personal knowledge of the appellant.</w:t>
      </w:r>
    </w:p>
    <w:p w14:paraId="7A0F987A" w14:textId="77777777" w:rsidR="00094A0F" w:rsidRDefault="00A50822" w:rsidP="00DB2CEE">
      <w:pPr>
        <w:spacing w:before="360" w:after="360" w:line="480" w:lineRule="auto"/>
        <w:jc w:val="both"/>
        <w:rPr>
          <w:rFonts w:ascii="Arial" w:hAnsi="Arial"/>
          <w:bCs/>
        </w:rPr>
      </w:pPr>
      <w:r>
        <w:rPr>
          <w:rFonts w:ascii="Arial" w:hAnsi="Arial"/>
          <w:bCs/>
        </w:rPr>
        <w:t>[1</w:t>
      </w:r>
      <w:r w:rsidR="00EA2898">
        <w:rPr>
          <w:rFonts w:ascii="Arial" w:hAnsi="Arial"/>
          <w:bCs/>
        </w:rPr>
        <w:t>3</w:t>
      </w:r>
      <w:r>
        <w:rPr>
          <w:rFonts w:ascii="Arial" w:hAnsi="Arial"/>
          <w:bCs/>
        </w:rPr>
        <w:t>]</w:t>
      </w:r>
      <w:r>
        <w:rPr>
          <w:rFonts w:ascii="Arial" w:hAnsi="Arial"/>
          <w:bCs/>
        </w:rPr>
        <w:tab/>
      </w:r>
      <w:r w:rsidR="0051376B">
        <w:rPr>
          <w:rFonts w:ascii="Arial" w:hAnsi="Arial"/>
          <w:bCs/>
        </w:rPr>
        <w:t xml:space="preserve">The issues in 12.2 and 12.3 above are no longer relevant to this judgment. </w:t>
      </w:r>
      <w:r>
        <w:rPr>
          <w:rFonts w:ascii="Arial" w:hAnsi="Arial"/>
          <w:bCs/>
        </w:rPr>
        <w:t xml:space="preserve">Having </w:t>
      </w:r>
      <w:r w:rsidR="00AF6F4F">
        <w:rPr>
          <w:rFonts w:ascii="Arial" w:hAnsi="Arial"/>
          <w:bCs/>
        </w:rPr>
        <w:t>considered</w:t>
      </w:r>
      <w:r>
        <w:rPr>
          <w:rFonts w:ascii="Arial" w:hAnsi="Arial"/>
          <w:bCs/>
        </w:rPr>
        <w:t xml:space="preserve"> a number of authorities</w:t>
      </w:r>
      <w:r w:rsidR="000B4BA0">
        <w:rPr>
          <w:rFonts w:ascii="Arial" w:hAnsi="Arial"/>
          <w:bCs/>
        </w:rPr>
        <w:t xml:space="preserve">, and more specifically the judgment in </w:t>
      </w:r>
      <w:r w:rsidR="000B4BA0">
        <w:rPr>
          <w:rFonts w:ascii="Arial" w:hAnsi="Arial"/>
          <w:bCs/>
          <w:i/>
          <w:iCs/>
        </w:rPr>
        <w:t>Magidiwana and Others v President of the Republic of South Africa and Others [2013] ZACC 27</w:t>
      </w:r>
      <w:r>
        <w:rPr>
          <w:rFonts w:ascii="Arial" w:hAnsi="Arial"/>
          <w:bCs/>
        </w:rPr>
        <w:t xml:space="preserve"> the Court </w:t>
      </w:r>
      <w:r>
        <w:rPr>
          <w:rFonts w:ascii="Arial" w:hAnsi="Arial"/>
          <w:bCs/>
          <w:i/>
          <w:iCs/>
        </w:rPr>
        <w:t xml:space="preserve">a quo </w:t>
      </w:r>
      <w:r>
        <w:rPr>
          <w:rFonts w:ascii="Arial" w:hAnsi="Arial"/>
          <w:bCs/>
        </w:rPr>
        <w:t>came to the following conclusion:</w:t>
      </w:r>
      <w:r>
        <w:rPr>
          <w:rStyle w:val="FootnoteReference"/>
          <w:rFonts w:ascii="Arial" w:hAnsi="Arial"/>
          <w:bCs/>
        </w:rPr>
        <w:footnoteReference w:id="3"/>
      </w:r>
    </w:p>
    <w:p w14:paraId="43596FD0" w14:textId="77777777" w:rsidR="00032A36" w:rsidRPr="00DA6365" w:rsidRDefault="00032A36" w:rsidP="00DB2CEE">
      <w:pPr>
        <w:spacing w:before="360" w:after="360" w:line="480" w:lineRule="auto"/>
        <w:jc w:val="both"/>
        <w:rPr>
          <w:rFonts w:ascii="Arial" w:hAnsi="Arial"/>
          <w:bCs/>
          <w:sz w:val="22"/>
          <w:szCs w:val="22"/>
        </w:rPr>
      </w:pPr>
      <w:r w:rsidRPr="00DA6365">
        <w:rPr>
          <w:rFonts w:ascii="Arial" w:hAnsi="Arial"/>
          <w:bCs/>
          <w:sz w:val="22"/>
          <w:szCs w:val="22"/>
        </w:rPr>
        <w:lastRenderedPageBreak/>
        <w:t>“Even if Magidiwana supra concerned a commission of enquiry and that here we are dealing with an investigation, it is important in the interests of justice to extend the principle of the rule of law and natural justice even to those individuals who are suspected like in this instance of wrongdoing by the investigator, being the individual’s right to be heard before adverse findings, remarks and conclusions are made in investigations such as the one envisaged in sections 136 and 137 of the FSR Act…..It was contended for the applicant that a case had been made out in terms of PAJA as well as the Constitution. While it was contended for the second respondent that the investigation and the findings that followed did not amount to administrative action, it was conceded that at most public power was exercised. From the above case law it is evident that public power is reviewable and, whether an administrative action stems from the PAJA or the exe</w:t>
      </w:r>
      <w:r w:rsidR="00DA6365">
        <w:rPr>
          <w:rFonts w:ascii="Arial" w:hAnsi="Arial"/>
          <w:bCs/>
          <w:sz w:val="22"/>
          <w:szCs w:val="22"/>
        </w:rPr>
        <w:t>r</w:t>
      </w:r>
      <w:r w:rsidRPr="00DA6365">
        <w:rPr>
          <w:rFonts w:ascii="Arial" w:hAnsi="Arial"/>
          <w:bCs/>
          <w:sz w:val="22"/>
          <w:szCs w:val="22"/>
        </w:rPr>
        <w:t>cise of public power both entail a requirement that a fair procedure encompasses a right to be heard.”</w:t>
      </w:r>
    </w:p>
    <w:p w14:paraId="59236331" w14:textId="77777777" w:rsidR="00472715" w:rsidRPr="00472715" w:rsidRDefault="00E85A74" w:rsidP="00E85A74">
      <w:pPr>
        <w:spacing w:before="360" w:after="360" w:line="480" w:lineRule="auto"/>
        <w:jc w:val="both"/>
        <w:rPr>
          <w:rFonts w:ascii="Arial" w:hAnsi="Arial"/>
          <w:bCs/>
        </w:rPr>
      </w:pPr>
      <w:r>
        <w:rPr>
          <w:rFonts w:ascii="Arial" w:hAnsi="Arial"/>
          <w:bCs/>
        </w:rPr>
        <w:t>[1</w:t>
      </w:r>
      <w:r w:rsidR="00EA2898">
        <w:rPr>
          <w:rFonts w:ascii="Arial" w:hAnsi="Arial"/>
          <w:bCs/>
        </w:rPr>
        <w:t>4</w:t>
      </w:r>
      <w:r>
        <w:rPr>
          <w:rFonts w:ascii="Arial" w:hAnsi="Arial"/>
          <w:bCs/>
        </w:rPr>
        <w:t>]</w:t>
      </w:r>
      <w:r>
        <w:rPr>
          <w:rFonts w:ascii="Arial" w:hAnsi="Arial"/>
          <w:bCs/>
        </w:rPr>
        <w:tab/>
      </w:r>
      <w:r w:rsidR="00EA2898">
        <w:rPr>
          <w:rFonts w:ascii="Arial" w:hAnsi="Arial"/>
          <w:bCs/>
        </w:rPr>
        <w:t>The Court a quo</w:t>
      </w:r>
      <w:r w:rsidR="008E752B">
        <w:rPr>
          <w:rFonts w:ascii="Arial" w:hAnsi="Arial"/>
          <w:bCs/>
        </w:rPr>
        <w:t xml:space="preserve"> </w:t>
      </w:r>
      <w:r w:rsidR="00EA2898">
        <w:rPr>
          <w:rFonts w:ascii="Arial" w:hAnsi="Arial"/>
          <w:bCs/>
        </w:rPr>
        <w:t xml:space="preserve">declined to decide whether the report was reviewable under PAJA or under </w:t>
      </w:r>
      <w:r w:rsidR="00A1269A">
        <w:rPr>
          <w:rFonts w:ascii="Arial" w:hAnsi="Arial"/>
          <w:bCs/>
        </w:rPr>
        <w:t xml:space="preserve">the principle of </w:t>
      </w:r>
      <w:r w:rsidR="00EA2898">
        <w:rPr>
          <w:rFonts w:ascii="Arial" w:hAnsi="Arial"/>
          <w:bCs/>
        </w:rPr>
        <w:t xml:space="preserve">legality, and said that whatever the case may be, second respondent was exercising a public power which was reviewable. </w:t>
      </w:r>
      <w:r>
        <w:rPr>
          <w:rFonts w:ascii="Arial" w:hAnsi="Arial"/>
          <w:bCs/>
        </w:rPr>
        <w:t>The Court a quo consequently granted the relief in the terms set out above.</w:t>
      </w:r>
    </w:p>
    <w:p w14:paraId="3DA12678" w14:textId="42AF425C" w:rsidR="00E85A74" w:rsidRPr="00472715" w:rsidRDefault="00E85A74" w:rsidP="00E85A74">
      <w:pPr>
        <w:spacing w:before="360" w:after="360" w:line="480" w:lineRule="auto"/>
        <w:jc w:val="both"/>
        <w:rPr>
          <w:rFonts w:ascii="Arial" w:hAnsi="Arial"/>
          <w:b/>
          <w:u w:val="single"/>
        </w:rPr>
      </w:pPr>
      <w:r>
        <w:rPr>
          <w:rFonts w:ascii="Arial" w:hAnsi="Arial"/>
          <w:bCs/>
        </w:rPr>
        <w:t>[1</w:t>
      </w:r>
      <w:r w:rsidR="00EA2898">
        <w:rPr>
          <w:rFonts w:ascii="Arial" w:hAnsi="Arial"/>
          <w:bCs/>
        </w:rPr>
        <w:t>5</w:t>
      </w:r>
      <w:r>
        <w:rPr>
          <w:rFonts w:ascii="Arial" w:hAnsi="Arial"/>
          <w:bCs/>
        </w:rPr>
        <w:t>]</w:t>
      </w:r>
      <w:r>
        <w:rPr>
          <w:rFonts w:ascii="Arial" w:hAnsi="Arial"/>
          <w:bCs/>
        </w:rPr>
        <w:tab/>
        <w:t xml:space="preserve">It is necessary, I believe, to analyse exactly what findings were, in fact, made in the report. In paragraph 80 second respondent remarked that first respondent </w:t>
      </w:r>
      <w:r w:rsidR="006B4FFB">
        <w:rPr>
          <w:rFonts w:ascii="Arial" w:hAnsi="Arial"/>
          <w:bCs/>
        </w:rPr>
        <w:t xml:space="preserve">had </w:t>
      </w:r>
      <w:r>
        <w:rPr>
          <w:rFonts w:ascii="Arial" w:hAnsi="Arial"/>
          <w:bCs/>
        </w:rPr>
        <w:t>intervened on numerous occasions when his political influence was required</w:t>
      </w:r>
      <w:r w:rsidR="006B4FFB">
        <w:rPr>
          <w:rFonts w:ascii="Arial" w:hAnsi="Arial"/>
          <w:bCs/>
        </w:rPr>
        <w:t>. S</w:t>
      </w:r>
      <w:r>
        <w:rPr>
          <w:rFonts w:ascii="Arial" w:hAnsi="Arial"/>
          <w:bCs/>
        </w:rPr>
        <w:t xml:space="preserve">econd respondent believed that one Matsepe, a protagonist in the goings on at VBS, worked for first respondent. The other paragraphs sought to be expunged merely record the evidence given to second respondent, and contain no findings </w:t>
      </w:r>
      <w:r w:rsidR="006B4FFB">
        <w:rPr>
          <w:rFonts w:ascii="Arial" w:hAnsi="Arial"/>
          <w:bCs/>
        </w:rPr>
        <w:t xml:space="preserve">or </w:t>
      </w:r>
      <w:r w:rsidR="006B4FFB">
        <w:rPr>
          <w:rFonts w:ascii="Arial" w:hAnsi="Arial"/>
          <w:bCs/>
        </w:rPr>
        <w:lastRenderedPageBreak/>
        <w:t xml:space="preserve">conclusions </w:t>
      </w:r>
      <w:r>
        <w:rPr>
          <w:rFonts w:ascii="Arial" w:hAnsi="Arial"/>
          <w:bCs/>
        </w:rPr>
        <w:t>whatsoever.</w:t>
      </w:r>
      <w:r w:rsidRPr="00AF6F4F">
        <w:rPr>
          <w:rFonts w:ascii="Arial" w:hAnsi="Arial"/>
          <w:bCs/>
        </w:rPr>
        <w:t xml:space="preserve"> </w:t>
      </w:r>
      <w:r w:rsidR="000B4BA0">
        <w:rPr>
          <w:rFonts w:ascii="Arial" w:hAnsi="Arial"/>
          <w:bCs/>
        </w:rPr>
        <w:t>Second respondent’s</w:t>
      </w:r>
      <w:r w:rsidR="00AF6F4F" w:rsidRPr="00AF6F4F">
        <w:rPr>
          <w:rFonts w:ascii="Arial" w:hAnsi="Arial"/>
          <w:bCs/>
        </w:rPr>
        <w:t xml:space="preserve"> recommendation was </w:t>
      </w:r>
      <w:r w:rsidR="00AF6F4F">
        <w:rPr>
          <w:rFonts w:ascii="Arial" w:hAnsi="Arial"/>
          <w:bCs/>
        </w:rPr>
        <w:t xml:space="preserve">simply that those persons implicated in the report should be reported to the prosecuting authorities, and should be </w:t>
      </w:r>
      <w:r w:rsidR="00B97CFD">
        <w:rPr>
          <w:rFonts w:ascii="Arial" w:hAnsi="Arial"/>
          <w:bCs/>
        </w:rPr>
        <w:t>civilly</w:t>
      </w:r>
      <w:r w:rsidR="00AF6F4F">
        <w:rPr>
          <w:rFonts w:ascii="Arial" w:hAnsi="Arial"/>
          <w:bCs/>
        </w:rPr>
        <w:t xml:space="preserve"> pursued.</w:t>
      </w:r>
    </w:p>
    <w:p w14:paraId="6A4D9100" w14:textId="77777777" w:rsidR="00472715" w:rsidRPr="00472715" w:rsidRDefault="00472715" w:rsidP="00B97CFD">
      <w:pPr>
        <w:tabs>
          <w:tab w:val="left" w:pos="5103"/>
        </w:tabs>
        <w:spacing w:before="360" w:after="360" w:line="480" w:lineRule="auto"/>
        <w:jc w:val="both"/>
        <w:rPr>
          <w:rFonts w:ascii="Arial" w:hAnsi="Arial"/>
          <w:b/>
          <w:u w:val="single"/>
        </w:rPr>
      </w:pPr>
      <w:r w:rsidRPr="00472715">
        <w:rPr>
          <w:rFonts w:ascii="Arial" w:hAnsi="Arial"/>
          <w:b/>
          <w:u w:val="single"/>
        </w:rPr>
        <w:t>IS THE REPORT REVIEWABLE UNDER PAJA?</w:t>
      </w:r>
    </w:p>
    <w:p w14:paraId="3CC08AD0" w14:textId="77777777" w:rsidR="00E85A74" w:rsidRDefault="00E85A74" w:rsidP="00DB2CEE">
      <w:pPr>
        <w:spacing w:before="360" w:after="360" w:line="480" w:lineRule="auto"/>
        <w:jc w:val="both"/>
        <w:rPr>
          <w:rFonts w:ascii="Arial" w:hAnsi="Arial"/>
          <w:bCs/>
        </w:rPr>
      </w:pPr>
      <w:r>
        <w:rPr>
          <w:rFonts w:ascii="Arial" w:hAnsi="Arial"/>
          <w:bCs/>
        </w:rPr>
        <w:t>[1</w:t>
      </w:r>
      <w:r w:rsidR="00EA2898">
        <w:rPr>
          <w:rFonts w:ascii="Arial" w:hAnsi="Arial"/>
          <w:bCs/>
        </w:rPr>
        <w:t>6</w:t>
      </w:r>
      <w:r>
        <w:rPr>
          <w:rFonts w:ascii="Arial" w:hAnsi="Arial"/>
          <w:bCs/>
        </w:rPr>
        <w:t>]</w:t>
      </w:r>
      <w:r>
        <w:rPr>
          <w:rFonts w:ascii="Arial" w:hAnsi="Arial"/>
          <w:bCs/>
        </w:rPr>
        <w:tab/>
      </w:r>
      <w:r w:rsidR="00EA2898">
        <w:rPr>
          <w:rFonts w:ascii="Arial" w:hAnsi="Arial"/>
          <w:bCs/>
        </w:rPr>
        <w:t xml:space="preserve">In argument before us, first respondent persisted in the argument that it was </w:t>
      </w:r>
      <w:r w:rsidR="006E5502">
        <w:rPr>
          <w:rFonts w:ascii="Arial" w:hAnsi="Arial"/>
          <w:bCs/>
        </w:rPr>
        <w:t>not</w:t>
      </w:r>
      <w:r w:rsidR="00EA2898">
        <w:rPr>
          <w:rFonts w:ascii="Arial" w:hAnsi="Arial"/>
          <w:bCs/>
        </w:rPr>
        <w:t xml:space="preserve"> necessary to decide</w:t>
      </w:r>
      <w:r w:rsidR="00472715">
        <w:rPr>
          <w:rFonts w:ascii="Arial" w:hAnsi="Arial"/>
          <w:bCs/>
        </w:rPr>
        <w:t>, as the Court a quo held,</w:t>
      </w:r>
      <w:r w:rsidR="00EA2898">
        <w:rPr>
          <w:rFonts w:ascii="Arial" w:hAnsi="Arial"/>
          <w:bCs/>
        </w:rPr>
        <w:t xml:space="preserve"> whether the review lay under PAJA, or under the </w:t>
      </w:r>
      <w:r w:rsidR="00AF6F4F">
        <w:rPr>
          <w:rFonts w:ascii="Arial" w:hAnsi="Arial"/>
          <w:bCs/>
        </w:rPr>
        <w:t>principle</w:t>
      </w:r>
      <w:r w:rsidR="00EA2898">
        <w:rPr>
          <w:rFonts w:ascii="Arial" w:hAnsi="Arial"/>
          <w:bCs/>
        </w:rPr>
        <w:t xml:space="preserve"> of legality. In my respectful view that approach is incorrect. As a starting point a Court must decide whether a review is available under PAJA. PAJA was specifically enacted to give effect to section 33 of the Constitution, and review under PAJA is not identical to a review under legality. Only once the Court determines that conduct is not administrative action, and thus not reviewable under PAJA, can it then be considered whether </w:t>
      </w:r>
      <w:r w:rsidR="009416C1">
        <w:rPr>
          <w:rFonts w:ascii="Arial" w:hAnsi="Arial"/>
          <w:bCs/>
        </w:rPr>
        <w:t>the conduct is reviewable under the legality principle.</w:t>
      </w:r>
    </w:p>
    <w:p w14:paraId="419A10EC" w14:textId="77777777" w:rsidR="00712B1A" w:rsidRDefault="00032A36" w:rsidP="00DB2CEE">
      <w:pPr>
        <w:spacing w:before="360" w:after="360" w:line="480" w:lineRule="auto"/>
        <w:jc w:val="both"/>
        <w:rPr>
          <w:rFonts w:ascii="Arial" w:hAnsi="Arial"/>
          <w:bCs/>
        </w:rPr>
      </w:pPr>
      <w:r w:rsidRPr="00032A36">
        <w:rPr>
          <w:rFonts w:ascii="Arial" w:hAnsi="Arial"/>
          <w:bCs/>
        </w:rPr>
        <w:t>[1</w:t>
      </w:r>
      <w:r w:rsidR="00EA2898">
        <w:rPr>
          <w:rFonts w:ascii="Arial" w:hAnsi="Arial"/>
          <w:bCs/>
        </w:rPr>
        <w:t>7</w:t>
      </w:r>
      <w:r w:rsidRPr="00032A36">
        <w:rPr>
          <w:rFonts w:ascii="Arial" w:hAnsi="Arial"/>
          <w:bCs/>
        </w:rPr>
        <w:t>]</w:t>
      </w:r>
      <w:r w:rsidRPr="00032A36">
        <w:rPr>
          <w:rFonts w:ascii="Arial" w:hAnsi="Arial"/>
          <w:bCs/>
        </w:rPr>
        <w:tab/>
      </w:r>
      <w:r>
        <w:rPr>
          <w:rFonts w:ascii="Arial" w:hAnsi="Arial"/>
          <w:bCs/>
        </w:rPr>
        <w:t>The question</w:t>
      </w:r>
      <w:r w:rsidR="00DA6365">
        <w:rPr>
          <w:rFonts w:ascii="Arial" w:hAnsi="Arial"/>
          <w:bCs/>
        </w:rPr>
        <w:t>s</w:t>
      </w:r>
      <w:r>
        <w:rPr>
          <w:rFonts w:ascii="Arial" w:hAnsi="Arial"/>
          <w:bCs/>
        </w:rPr>
        <w:t xml:space="preserve"> before us </w:t>
      </w:r>
      <w:r w:rsidR="00DA6365">
        <w:rPr>
          <w:rFonts w:ascii="Arial" w:hAnsi="Arial"/>
          <w:bCs/>
        </w:rPr>
        <w:t>are</w:t>
      </w:r>
      <w:r>
        <w:rPr>
          <w:rFonts w:ascii="Arial" w:hAnsi="Arial"/>
          <w:bCs/>
        </w:rPr>
        <w:t xml:space="preserve"> th</w:t>
      </w:r>
      <w:r w:rsidR="00DA6365">
        <w:rPr>
          <w:rFonts w:ascii="Arial" w:hAnsi="Arial"/>
          <w:bCs/>
        </w:rPr>
        <w:t>e following</w:t>
      </w:r>
      <w:r>
        <w:rPr>
          <w:rFonts w:ascii="Arial" w:hAnsi="Arial"/>
          <w:bCs/>
        </w:rPr>
        <w:t xml:space="preserve">: </w:t>
      </w:r>
    </w:p>
    <w:p w14:paraId="4E8812E3" w14:textId="77777777" w:rsidR="00712B1A" w:rsidRDefault="00712B1A" w:rsidP="00DB2CEE">
      <w:pPr>
        <w:spacing w:before="360" w:after="360" w:line="480" w:lineRule="auto"/>
        <w:jc w:val="both"/>
        <w:rPr>
          <w:rFonts w:ascii="Arial" w:hAnsi="Arial"/>
          <w:bCs/>
        </w:rPr>
      </w:pPr>
      <w:r>
        <w:rPr>
          <w:rFonts w:ascii="Arial" w:hAnsi="Arial"/>
          <w:bCs/>
        </w:rPr>
        <w:t>[1</w:t>
      </w:r>
      <w:r w:rsidR="009416C1">
        <w:rPr>
          <w:rFonts w:ascii="Arial" w:hAnsi="Arial"/>
          <w:bCs/>
        </w:rPr>
        <w:t>7</w:t>
      </w:r>
      <w:r>
        <w:rPr>
          <w:rFonts w:ascii="Arial" w:hAnsi="Arial"/>
          <w:bCs/>
        </w:rPr>
        <w:t>.1]</w:t>
      </w:r>
      <w:r>
        <w:rPr>
          <w:rFonts w:ascii="Arial" w:hAnsi="Arial"/>
          <w:bCs/>
        </w:rPr>
        <w:tab/>
        <w:t>W</w:t>
      </w:r>
      <w:r w:rsidR="00032A36">
        <w:rPr>
          <w:rFonts w:ascii="Arial" w:hAnsi="Arial"/>
          <w:bCs/>
        </w:rPr>
        <w:t>as the action of the second respondent</w:t>
      </w:r>
      <w:r w:rsidR="00E85A74">
        <w:rPr>
          <w:rFonts w:ascii="Arial" w:hAnsi="Arial"/>
          <w:bCs/>
        </w:rPr>
        <w:t>,</w:t>
      </w:r>
      <w:r w:rsidR="00032A36">
        <w:rPr>
          <w:rFonts w:ascii="Arial" w:hAnsi="Arial"/>
          <w:bCs/>
        </w:rPr>
        <w:t xml:space="preserve"> in </w:t>
      </w:r>
      <w:r w:rsidR="00E85A74">
        <w:rPr>
          <w:rFonts w:ascii="Arial" w:hAnsi="Arial"/>
          <w:bCs/>
        </w:rPr>
        <w:t xml:space="preserve">making certain remarks relating to the first respondent’s conduct, </w:t>
      </w:r>
      <w:r w:rsidR="00032A36">
        <w:rPr>
          <w:rFonts w:ascii="Arial" w:hAnsi="Arial"/>
          <w:bCs/>
        </w:rPr>
        <w:t>reviewable</w:t>
      </w:r>
      <w:r w:rsidR="00E85A74">
        <w:rPr>
          <w:rFonts w:ascii="Arial" w:hAnsi="Arial"/>
          <w:bCs/>
        </w:rPr>
        <w:t xml:space="preserve"> </w:t>
      </w:r>
      <w:r w:rsidR="00032A36">
        <w:rPr>
          <w:rFonts w:ascii="Arial" w:hAnsi="Arial"/>
          <w:bCs/>
        </w:rPr>
        <w:t xml:space="preserve">either under PAJA, or under the </w:t>
      </w:r>
      <w:r w:rsidR="000B4BA0">
        <w:rPr>
          <w:rFonts w:ascii="Arial" w:hAnsi="Arial"/>
          <w:bCs/>
        </w:rPr>
        <w:t>principle</w:t>
      </w:r>
      <w:r w:rsidR="00032A36">
        <w:rPr>
          <w:rFonts w:ascii="Arial" w:hAnsi="Arial"/>
          <w:bCs/>
        </w:rPr>
        <w:t xml:space="preserve"> of legality</w:t>
      </w:r>
      <w:r w:rsidR="00DA6365">
        <w:rPr>
          <w:rFonts w:ascii="Arial" w:hAnsi="Arial"/>
          <w:bCs/>
        </w:rPr>
        <w:t xml:space="preserve">? </w:t>
      </w:r>
    </w:p>
    <w:p w14:paraId="5549708C" w14:textId="77777777" w:rsidR="00032A36" w:rsidRPr="00472715" w:rsidRDefault="00712B1A" w:rsidP="00DB2CEE">
      <w:pPr>
        <w:spacing w:before="360" w:after="360" w:line="480" w:lineRule="auto"/>
        <w:jc w:val="both"/>
        <w:rPr>
          <w:rFonts w:ascii="Arial" w:hAnsi="Arial"/>
          <w:bCs/>
        </w:rPr>
      </w:pPr>
      <w:r>
        <w:rPr>
          <w:rFonts w:ascii="Arial" w:hAnsi="Arial"/>
          <w:bCs/>
        </w:rPr>
        <w:t>[1</w:t>
      </w:r>
      <w:r w:rsidR="009416C1">
        <w:rPr>
          <w:rFonts w:ascii="Arial" w:hAnsi="Arial"/>
          <w:bCs/>
        </w:rPr>
        <w:t>7</w:t>
      </w:r>
      <w:r>
        <w:rPr>
          <w:rFonts w:ascii="Arial" w:hAnsi="Arial"/>
          <w:bCs/>
        </w:rPr>
        <w:t>.2]</w:t>
      </w:r>
      <w:r>
        <w:rPr>
          <w:rFonts w:ascii="Arial" w:hAnsi="Arial"/>
          <w:bCs/>
        </w:rPr>
        <w:tab/>
      </w:r>
      <w:r w:rsidR="00DA6365">
        <w:rPr>
          <w:rFonts w:ascii="Arial" w:hAnsi="Arial"/>
          <w:bCs/>
        </w:rPr>
        <w:t xml:space="preserve">If second respondent’s actions are reviewable, then </w:t>
      </w:r>
      <w:r w:rsidR="00E85A74">
        <w:rPr>
          <w:rFonts w:ascii="Arial" w:hAnsi="Arial"/>
          <w:bCs/>
        </w:rPr>
        <w:t xml:space="preserve">should they </w:t>
      </w:r>
      <w:r w:rsidR="00DA6365">
        <w:rPr>
          <w:rFonts w:ascii="Arial" w:hAnsi="Arial"/>
          <w:bCs/>
        </w:rPr>
        <w:t>be reviewed?</w:t>
      </w:r>
    </w:p>
    <w:p w14:paraId="7D6F7BC7" w14:textId="77777777" w:rsidR="008E13F4" w:rsidRDefault="008E13F4" w:rsidP="00DB2CEE">
      <w:pPr>
        <w:spacing w:before="360" w:after="360" w:line="480" w:lineRule="auto"/>
        <w:jc w:val="both"/>
        <w:rPr>
          <w:rFonts w:ascii="Arial" w:hAnsi="Arial"/>
          <w:bCs/>
        </w:rPr>
      </w:pPr>
      <w:r>
        <w:rPr>
          <w:rFonts w:ascii="Arial" w:hAnsi="Arial"/>
          <w:bCs/>
        </w:rPr>
        <w:t>[1</w:t>
      </w:r>
      <w:r w:rsidR="009416C1">
        <w:rPr>
          <w:rFonts w:ascii="Arial" w:hAnsi="Arial"/>
          <w:bCs/>
        </w:rPr>
        <w:t>8</w:t>
      </w:r>
      <w:r>
        <w:rPr>
          <w:rFonts w:ascii="Arial" w:hAnsi="Arial"/>
          <w:bCs/>
        </w:rPr>
        <w:t>]</w:t>
      </w:r>
      <w:r>
        <w:rPr>
          <w:rFonts w:ascii="Arial" w:hAnsi="Arial"/>
          <w:bCs/>
        </w:rPr>
        <w:tab/>
        <w:t>An investigator appointed in terms of section 135 (1) of the FSR Act has the powers set out in section 136 (1) (a) of the FSR Act:</w:t>
      </w:r>
    </w:p>
    <w:p w14:paraId="38EC8817" w14:textId="77777777" w:rsidR="00712B1A" w:rsidRDefault="00712B1A" w:rsidP="00712B1A">
      <w:pPr>
        <w:spacing w:before="360" w:after="360" w:line="480" w:lineRule="auto"/>
        <w:jc w:val="both"/>
        <w:rPr>
          <w:rFonts w:ascii="Arial" w:hAnsi="Arial"/>
          <w:bCs/>
          <w:sz w:val="22"/>
          <w:szCs w:val="22"/>
        </w:rPr>
      </w:pPr>
      <w:r>
        <w:rPr>
          <w:rFonts w:ascii="Arial" w:hAnsi="Arial"/>
          <w:bCs/>
        </w:rPr>
        <w:lastRenderedPageBreak/>
        <w:t>“</w:t>
      </w:r>
      <w:r>
        <w:rPr>
          <w:rFonts w:ascii="Arial" w:hAnsi="Arial"/>
          <w:bCs/>
          <w:sz w:val="22"/>
          <w:szCs w:val="22"/>
        </w:rPr>
        <w:t>136 (1) (a)</w:t>
      </w:r>
      <w:r>
        <w:rPr>
          <w:rFonts w:ascii="Arial" w:hAnsi="Arial"/>
          <w:bCs/>
          <w:sz w:val="22"/>
          <w:szCs w:val="22"/>
        </w:rPr>
        <w:tab/>
        <w:t>An investigator may, for the purposes of conducting an investigation, do any of the following:</w:t>
      </w:r>
    </w:p>
    <w:p w14:paraId="652DAB80" w14:textId="77777777" w:rsidR="00712B1A" w:rsidRDefault="00712B1A"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By written notice, require any person who the investigator reasonably believes may be able to provide information relevant to the investigation to appear before the investigator, at a time and place specified in the notice, to be questioned by the investigator;</w:t>
      </w:r>
    </w:p>
    <w:p w14:paraId="241942D7" w14:textId="77777777" w:rsidR="00712B1A" w:rsidRDefault="00712B1A"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By written notice, require any person who the investigator reasonably believes may be able to produce a document or item relevant to the investigation, to-</w:t>
      </w:r>
    </w:p>
    <w:p w14:paraId="7825F6D0" w14:textId="77777777" w:rsidR="00712B1A" w:rsidRDefault="00712B1A" w:rsidP="00712B1A">
      <w:pPr>
        <w:pStyle w:val="ListParagraph"/>
        <w:numPr>
          <w:ilvl w:val="0"/>
          <w:numId w:val="43"/>
        </w:numPr>
        <w:spacing w:before="360" w:after="360" w:line="480" w:lineRule="auto"/>
        <w:ind w:hanging="706"/>
        <w:jc w:val="both"/>
        <w:rPr>
          <w:rFonts w:ascii="Arial" w:hAnsi="Arial"/>
          <w:bCs/>
          <w:sz w:val="22"/>
          <w:szCs w:val="22"/>
        </w:rPr>
      </w:pPr>
      <w:r>
        <w:rPr>
          <w:rFonts w:ascii="Arial" w:hAnsi="Arial"/>
          <w:bCs/>
          <w:sz w:val="22"/>
          <w:szCs w:val="22"/>
        </w:rPr>
        <w:t>produce the document or item to an investigator, at a time and place specified in the notice; or</w:t>
      </w:r>
    </w:p>
    <w:p w14:paraId="637A790E" w14:textId="77777777" w:rsidR="00712B1A" w:rsidRDefault="00712B1A" w:rsidP="00712B1A">
      <w:pPr>
        <w:pStyle w:val="ListParagraph"/>
        <w:numPr>
          <w:ilvl w:val="0"/>
          <w:numId w:val="43"/>
        </w:numPr>
        <w:spacing w:before="360" w:after="360" w:line="480" w:lineRule="auto"/>
        <w:ind w:hanging="706"/>
        <w:jc w:val="both"/>
        <w:rPr>
          <w:rFonts w:ascii="Arial" w:hAnsi="Arial"/>
          <w:bCs/>
          <w:sz w:val="22"/>
          <w:szCs w:val="22"/>
        </w:rPr>
      </w:pPr>
      <w:r>
        <w:rPr>
          <w:rFonts w:ascii="Arial" w:hAnsi="Arial"/>
          <w:bCs/>
          <w:sz w:val="22"/>
          <w:szCs w:val="22"/>
        </w:rPr>
        <w:t>produce the document or item to an investigator, at a time and place specified in the notice, to be questioned by an investigator about the document or item;</w:t>
      </w:r>
    </w:p>
    <w:p w14:paraId="6C82F2B6" w14:textId="77777777" w:rsidR="00712B1A" w:rsidRDefault="00712B1A"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question a person who is complying with a notice in terms of subparagraph (i) or (ii) (bb);</w:t>
      </w:r>
    </w:p>
    <w:p w14:paraId="76A62E25" w14:textId="77777777" w:rsidR="00712B1A" w:rsidRDefault="00712B1A"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require a person being questioned as mentioned in subparagraph (i) or (ii) (bb) to make an oath or affirmation, and administer such an oath or affirmation;</w:t>
      </w:r>
    </w:p>
    <w:p w14:paraId="60452F5C" w14:textId="77777777" w:rsidR="00712B1A" w:rsidRDefault="00712B1A"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examine, copy or make extracts from any document or item produced to an investigator as required in terms of this paragraph;</w:t>
      </w:r>
    </w:p>
    <w:p w14:paraId="5936C83E" w14:textId="77777777" w:rsidR="00712B1A" w:rsidRDefault="000E0887"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 xml:space="preserve">take possession of, and retain, any document or item produced to an investigator in terms of this paragraph; </w:t>
      </w:r>
    </w:p>
    <w:p w14:paraId="25ACDAFA" w14:textId="77777777" w:rsidR="000E0887" w:rsidRDefault="000E0887" w:rsidP="00712B1A">
      <w:pPr>
        <w:pStyle w:val="ListParagraph"/>
        <w:numPr>
          <w:ilvl w:val="0"/>
          <w:numId w:val="42"/>
        </w:numPr>
        <w:spacing w:before="360" w:after="360" w:line="480" w:lineRule="auto"/>
        <w:jc w:val="both"/>
        <w:rPr>
          <w:rFonts w:ascii="Arial" w:hAnsi="Arial"/>
          <w:bCs/>
          <w:sz w:val="22"/>
          <w:szCs w:val="22"/>
        </w:rPr>
      </w:pPr>
      <w:r>
        <w:rPr>
          <w:rFonts w:ascii="Arial" w:hAnsi="Arial"/>
          <w:bCs/>
          <w:sz w:val="22"/>
          <w:szCs w:val="22"/>
        </w:rPr>
        <w:t>give a direction to a person present while the investigator is exercising powers in terms of this paragraph, to facilitate the exercise of such powers.”</w:t>
      </w:r>
    </w:p>
    <w:p w14:paraId="7359643C" w14:textId="77777777" w:rsidR="00FC51D0" w:rsidRPr="00472715" w:rsidRDefault="00035928" w:rsidP="00035928">
      <w:pPr>
        <w:spacing w:before="360" w:after="360" w:line="480" w:lineRule="auto"/>
        <w:jc w:val="both"/>
        <w:rPr>
          <w:rFonts w:ascii="Arial" w:hAnsi="Arial"/>
          <w:bCs/>
        </w:rPr>
      </w:pPr>
      <w:r w:rsidRPr="00E85A74">
        <w:rPr>
          <w:rFonts w:ascii="Arial" w:hAnsi="Arial"/>
          <w:bCs/>
        </w:rPr>
        <w:lastRenderedPageBreak/>
        <w:t>[1</w:t>
      </w:r>
      <w:r w:rsidR="009416C1">
        <w:rPr>
          <w:rFonts w:ascii="Arial" w:hAnsi="Arial"/>
          <w:bCs/>
        </w:rPr>
        <w:t>9</w:t>
      </w:r>
      <w:r w:rsidRPr="00E85A74">
        <w:rPr>
          <w:rFonts w:ascii="Arial" w:hAnsi="Arial"/>
          <w:bCs/>
        </w:rPr>
        <w:t>]</w:t>
      </w:r>
      <w:r w:rsidRPr="00E85A74">
        <w:rPr>
          <w:rFonts w:ascii="Arial" w:hAnsi="Arial"/>
          <w:bCs/>
        </w:rPr>
        <w:tab/>
        <w:t xml:space="preserve">The FSR Act does not expressly require an investigator to produce a report, but without a </w:t>
      </w:r>
      <w:r w:rsidR="00FC51D0" w:rsidRPr="00E85A74">
        <w:rPr>
          <w:rFonts w:ascii="Arial" w:hAnsi="Arial"/>
          <w:bCs/>
        </w:rPr>
        <w:t xml:space="preserve">report </w:t>
      </w:r>
      <w:r w:rsidRPr="00E85A74">
        <w:rPr>
          <w:rFonts w:ascii="Arial" w:hAnsi="Arial"/>
          <w:bCs/>
        </w:rPr>
        <w:t>being produced by the investigator, the appellant cannot achieve its purpose</w:t>
      </w:r>
      <w:r w:rsidR="00FC51D0" w:rsidRPr="00E85A74">
        <w:rPr>
          <w:rFonts w:ascii="Arial" w:hAnsi="Arial"/>
          <w:bCs/>
        </w:rPr>
        <w:t xml:space="preserve"> in appointing the investigator in the first place.</w:t>
      </w:r>
      <w:r w:rsidR="00472715">
        <w:rPr>
          <w:rFonts w:ascii="Arial" w:hAnsi="Arial"/>
          <w:bCs/>
        </w:rPr>
        <w:t xml:space="preserve"> It is therefore implicit in the investigator’s appointment that he should produce a report on his findings.</w:t>
      </w:r>
    </w:p>
    <w:p w14:paraId="47675393" w14:textId="77777777" w:rsidR="00FC51D0" w:rsidRPr="001C0C7F" w:rsidRDefault="00FC51D0" w:rsidP="00035928">
      <w:pPr>
        <w:spacing w:before="360" w:after="360" w:line="480" w:lineRule="auto"/>
        <w:jc w:val="both"/>
        <w:rPr>
          <w:rFonts w:ascii="Arial" w:hAnsi="Arial"/>
          <w:bCs/>
          <w:i/>
          <w:iCs/>
        </w:rPr>
      </w:pPr>
      <w:r w:rsidRPr="00E85A74">
        <w:rPr>
          <w:rFonts w:ascii="Arial" w:hAnsi="Arial"/>
          <w:bCs/>
        </w:rPr>
        <w:t>[</w:t>
      </w:r>
      <w:r w:rsidR="009416C1">
        <w:rPr>
          <w:rFonts w:ascii="Arial" w:hAnsi="Arial"/>
          <w:bCs/>
        </w:rPr>
        <w:t>20</w:t>
      </w:r>
      <w:r w:rsidRPr="00E85A74">
        <w:rPr>
          <w:rFonts w:ascii="Arial" w:hAnsi="Arial"/>
          <w:bCs/>
        </w:rPr>
        <w:t>]</w:t>
      </w:r>
      <w:r w:rsidRPr="00E85A74">
        <w:rPr>
          <w:rFonts w:ascii="Arial" w:hAnsi="Arial"/>
          <w:bCs/>
        </w:rPr>
        <w:tab/>
      </w:r>
      <w:r w:rsidR="00FB350A">
        <w:rPr>
          <w:rFonts w:ascii="Arial" w:hAnsi="Arial"/>
          <w:bCs/>
        </w:rPr>
        <w:t>PAJA</w:t>
      </w:r>
      <w:r w:rsidRPr="00E85A74">
        <w:rPr>
          <w:rFonts w:ascii="Arial" w:hAnsi="Arial"/>
          <w:bCs/>
        </w:rPr>
        <w:t xml:space="preserve"> provides that all administrative action which materially and adversely affects the rights or legitimate expectations of any person must be procedurally fair.</w:t>
      </w:r>
      <w:r w:rsidRPr="00E85A74">
        <w:rPr>
          <w:rStyle w:val="FootnoteReference"/>
          <w:rFonts w:ascii="Arial" w:hAnsi="Arial"/>
          <w:bCs/>
        </w:rPr>
        <w:footnoteReference w:id="4"/>
      </w:r>
      <w:r w:rsidRPr="00E85A74">
        <w:rPr>
          <w:rFonts w:ascii="Arial" w:hAnsi="Arial"/>
          <w:bCs/>
        </w:rPr>
        <w:t xml:space="preserve"> Any administrative action may be judicially reviewed.</w:t>
      </w:r>
      <w:r w:rsidRPr="00E85A74">
        <w:rPr>
          <w:rStyle w:val="FootnoteReference"/>
          <w:rFonts w:ascii="Arial" w:hAnsi="Arial"/>
          <w:bCs/>
        </w:rPr>
        <w:footnoteReference w:id="5"/>
      </w:r>
      <w:r w:rsidRPr="00E85A74">
        <w:rPr>
          <w:rFonts w:ascii="Arial" w:hAnsi="Arial"/>
          <w:bCs/>
        </w:rPr>
        <w:t xml:space="preserve"> The starting point for any review application is, therefore, whether the conduct complained about is administrative action within the definition of PAJA. If it is not, the conduct is not reviewable under PAJA.</w:t>
      </w:r>
      <w:r w:rsidR="001C0C7F">
        <w:rPr>
          <w:rFonts w:ascii="Arial" w:hAnsi="Arial"/>
          <w:bCs/>
        </w:rPr>
        <w:t xml:space="preserve"> </w:t>
      </w:r>
    </w:p>
    <w:p w14:paraId="61FDF8F4" w14:textId="77777777" w:rsidR="00FC51D0" w:rsidRPr="00035928" w:rsidRDefault="00FC51D0" w:rsidP="00035928">
      <w:pPr>
        <w:spacing w:before="360" w:after="360" w:line="480" w:lineRule="auto"/>
        <w:jc w:val="both"/>
        <w:rPr>
          <w:rFonts w:ascii="Arial" w:hAnsi="Arial"/>
          <w:bCs/>
          <w:sz w:val="22"/>
          <w:szCs w:val="22"/>
        </w:rPr>
      </w:pPr>
      <w:r w:rsidRPr="00E85A74">
        <w:rPr>
          <w:rFonts w:ascii="Arial" w:hAnsi="Arial"/>
          <w:bCs/>
        </w:rPr>
        <w:t>[</w:t>
      </w:r>
      <w:r w:rsidR="00E85A74" w:rsidRPr="00E85A74">
        <w:rPr>
          <w:rFonts w:ascii="Arial" w:hAnsi="Arial"/>
          <w:bCs/>
        </w:rPr>
        <w:t>2</w:t>
      </w:r>
      <w:r w:rsidR="009416C1">
        <w:rPr>
          <w:rFonts w:ascii="Arial" w:hAnsi="Arial"/>
          <w:bCs/>
        </w:rPr>
        <w:t>1</w:t>
      </w:r>
      <w:r w:rsidRPr="00E85A74">
        <w:rPr>
          <w:rFonts w:ascii="Arial" w:hAnsi="Arial"/>
          <w:bCs/>
        </w:rPr>
        <w:t>]</w:t>
      </w:r>
      <w:r w:rsidRPr="00E85A74">
        <w:rPr>
          <w:rFonts w:ascii="Arial" w:hAnsi="Arial"/>
          <w:bCs/>
        </w:rPr>
        <w:tab/>
        <w:t>Admin</w:t>
      </w:r>
      <w:r w:rsidR="001C0C7F">
        <w:rPr>
          <w:rFonts w:ascii="Arial" w:hAnsi="Arial"/>
          <w:bCs/>
        </w:rPr>
        <w:t>i</w:t>
      </w:r>
      <w:r w:rsidRPr="00E85A74">
        <w:rPr>
          <w:rFonts w:ascii="Arial" w:hAnsi="Arial"/>
          <w:bCs/>
        </w:rPr>
        <w:t xml:space="preserve">strative action is defined as follows: </w:t>
      </w:r>
    </w:p>
    <w:p w14:paraId="67449E93" w14:textId="77777777" w:rsidR="008E13F4" w:rsidRDefault="008E13F4" w:rsidP="00DB2CEE">
      <w:pPr>
        <w:spacing w:before="360" w:after="360" w:line="480" w:lineRule="auto"/>
        <w:jc w:val="both"/>
        <w:rPr>
          <w:rFonts w:ascii="Arial" w:hAnsi="Arial"/>
          <w:bCs/>
          <w:sz w:val="22"/>
          <w:szCs w:val="22"/>
        </w:rPr>
      </w:pPr>
      <w:r>
        <w:rPr>
          <w:rFonts w:ascii="Arial" w:hAnsi="Arial"/>
          <w:bCs/>
        </w:rPr>
        <w:t xml:space="preserve"> </w:t>
      </w:r>
      <w:r w:rsidR="00FC51D0">
        <w:rPr>
          <w:rFonts w:ascii="Arial" w:hAnsi="Arial"/>
          <w:bCs/>
          <w:sz w:val="22"/>
          <w:szCs w:val="22"/>
        </w:rPr>
        <w:t>“Administrative action means any decision taken, or any failure to take a decision, by-</w:t>
      </w:r>
    </w:p>
    <w:p w14:paraId="4E8469DC" w14:textId="77777777" w:rsidR="00FC51D0" w:rsidRDefault="00FC51D0" w:rsidP="00FC51D0">
      <w:pPr>
        <w:pStyle w:val="ListParagraph"/>
        <w:numPr>
          <w:ilvl w:val="0"/>
          <w:numId w:val="44"/>
        </w:numPr>
        <w:spacing w:before="360" w:after="360" w:line="480" w:lineRule="auto"/>
        <w:ind w:hanging="578"/>
        <w:jc w:val="both"/>
        <w:rPr>
          <w:rFonts w:ascii="Arial" w:hAnsi="Arial"/>
          <w:bCs/>
          <w:sz w:val="22"/>
          <w:szCs w:val="22"/>
        </w:rPr>
      </w:pPr>
      <w:r>
        <w:rPr>
          <w:rFonts w:ascii="Arial" w:hAnsi="Arial"/>
          <w:bCs/>
          <w:sz w:val="22"/>
          <w:szCs w:val="22"/>
        </w:rPr>
        <w:t>an organ of state, when-</w:t>
      </w:r>
    </w:p>
    <w:p w14:paraId="48DDEB72" w14:textId="77777777" w:rsidR="00FC51D0" w:rsidRDefault="00CB3E44" w:rsidP="00FC51D0">
      <w:pPr>
        <w:pStyle w:val="ListParagraph"/>
        <w:numPr>
          <w:ilvl w:val="0"/>
          <w:numId w:val="45"/>
        </w:numPr>
        <w:spacing w:before="360" w:after="360" w:line="480" w:lineRule="auto"/>
        <w:ind w:hanging="731"/>
        <w:jc w:val="both"/>
        <w:rPr>
          <w:rFonts w:ascii="Arial" w:hAnsi="Arial"/>
          <w:bCs/>
          <w:sz w:val="22"/>
          <w:szCs w:val="22"/>
        </w:rPr>
      </w:pPr>
      <w:r>
        <w:rPr>
          <w:rFonts w:ascii="Arial" w:hAnsi="Arial"/>
          <w:bCs/>
          <w:sz w:val="22"/>
          <w:szCs w:val="22"/>
        </w:rPr>
        <w:t>exercising a power in terms of the Constitution or a provin</w:t>
      </w:r>
      <w:r w:rsidR="0066748C">
        <w:rPr>
          <w:rFonts w:ascii="Arial" w:hAnsi="Arial"/>
          <w:bCs/>
          <w:sz w:val="22"/>
          <w:szCs w:val="22"/>
        </w:rPr>
        <w:t>c</w:t>
      </w:r>
      <w:r>
        <w:rPr>
          <w:rFonts w:ascii="Arial" w:hAnsi="Arial"/>
          <w:bCs/>
          <w:sz w:val="22"/>
          <w:szCs w:val="22"/>
        </w:rPr>
        <w:t>ial constitution; or</w:t>
      </w:r>
    </w:p>
    <w:p w14:paraId="049E5C0B" w14:textId="77777777" w:rsidR="00CB3E44" w:rsidRDefault="00CB3E44" w:rsidP="00CB3E44">
      <w:pPr>
        <w:pStyle w:val="ListParagraph"/>
        <w:numPr>
          <w:ilvl w:val="0"/>
          <w:numId w:val="46"/>
        </w:numPr>
        <w:spacing w:before="360" w:after="360" w:line="480" w:lineRule="auto"/>
        <w:ind w:left="1418" w:hanging="709"/>
        <w:jc w:val="both"/>
        <w:rPr>
          <w:rFonts w:ascii="Arial" w:hAnsi="Arial"/>
          <w:bCs/>
          <w:sz w:val="22"/>
          <w:szCs w:val="22"/>
        </w:rPr>
      </w:pPr>
      <w:r>
        <w:rPr>
          <w:rFonts w:ascii="Arial" w:hAnsi="Arial"/>
          <w:bCs/>
          <w:sz w:val="22"/>
          <w:szCs w:val="22"/>
        </w:rPr>
        <w:t>exercising a public power or performing a public function in terms of any legislation; or</w:t>
      </w:r>
    </w:p>
    <w:p w14:paraId="4A3DCD7D" w14:textId="77777777" w:rsidR="00CB3E44" w:rsidRDefault="00CB3E44" w:rsidP="00CB3E44">
      <w:pPr>
        <w:pStyle w:val="ListParagraph"/>
        <w:numPr>
          <w:ilvl w:val="0"/>
          <w:numId w:val="44"/>
        </w:numPr>
        <w:spacing w:before="360" w:after="360" w:line="480" w:lineRule="auto"/>
        <w:ind w:hanging="578"/>
        <w:jc w:val="both"/>
        <w:rPr>
          <w:rFonts w:ascii="Arial" w:hAnsi="Arial"/>
          <w:bCs/>
          <w:sz w:val="22"/>
          <w:szCs w:val="22"/>
        </w:rPr>
      </w:pPr>
      <w:r>
        <w:rPr>
          <w:rFonts w:ascii="Arial" w:hAnsi="Arial"/>
          <w:bCs/>
          <w:sz w:val="22"/>
          <w:szCs w:val="22"/>
        </w:rPr>
        <w:t>a natural or juristic person, other than an organ of state, when exercising a public power or performing a public function in terms of an empowering provision,</w:t>
      </w:r>
    </w:p>
    <w:p w14:paraId="400116CB" w14:textId="77777777" w:rsidR="00CB3E44" w:rsidRPr="00CB3E44" w:rsidRDefault="00CB3E44" w:rsidP="00CB3E44">
      <w:pPr>
        <w:spacing w:before="360" w:after="360" w:line="480" w:lineRule="auto"/>
        <w:ind w:left="142"/>
        <w:jc w:val="both"/>
        <w:rPr>
          <w:rFonts w:ascii="Arial" w:hAnsi="Arial"/>
          <w:bCs/>
          <w:sz w:val="22"/>
          <w:szCs w:val="22"/>
        </w:rPr>
      </w:pPr>
      <w:r w:rsidRPr="00CB3E44">
        <w:rPr>
          <w:rFonts w:ascii="Arial" w:hAnsi="Arial"/>
          <w:bCs/>
          <w:sz w:val="22"/>
          <w:szCs w:val="22"/>
          <w:u w:val="single"/>
        </w:rPr>
        <w:lastRenderedPageBreak/>
        <w:t xml:space="preserve">which adversely affects the rights of any person and which has a direct, external </w:t>
      </w:r>
      <w:r w:rsidR="00790E06">
        <w:rPr>
          <w:rFonts w:ascii="Arial" w:hAnsi="Arial"/>
          <w:bCs/>
          <w:sz w:val="22"/>
          <w:szCs w:val="22"/>
          <w:u w:val="single"/>
        </w:rPr>
        <w:t xml:space="preserve">legal </w:t>
      </w:r>
      <w:r w:rsidRPr="00CB3E44">
        <w:rPr>
          <w:rFonts w:ascii="Arial" w:hAnsi="Arial"/>
          <w:bCs/>
          <w:sz w:val="22"/>
          <w:szCs w:val="22"/>
          <w:u w:val="single"/>
        </w:rPr>
        <w:t>effect</w:t>
      </w:r>
      <w:r>
        <w:rPr>
          <w:rFonts w:ascii="Arial" w:hAnsi="Arial"/>
          <w:bCs/>
          <w:sz w:val="22"/>
          <w:szCs w:val="22"/>
        </w:rPr>
        <w:t>, but does not include……”</w:t>
      </w:r>
    </w:p>
    <w:p w14:paraId="04D4302F" w14:textId="77777777" w:rsidR="00996979" w:rsidRPr="00E85A74" w:rsidRDefault="00CB3E44" w:rsidP="00CB3E44">
      <w:pPr>
        <w:spacing w:before="360" w:after="360" w:line="480" w:lineRule="auto"/>
        <w:ind w:left="142"/>
        <w:jc w:val="both"/>
        <w:rPr>
          <w:rFonts w:ascii="Arial" w:hAnsi="Arial"/>
          <w:bCs/>
        </w:rPr>
      </w:pPr>
      <w:r w:rsidRPr="00E85A74">
        <w:rPr>
          <w:rFonts w:ascii="Arial" w:hAnsi="Arial"/>
          <w:bCs/>
        </w:rPr>
        <w:t>[</w:t>
      </w:r>
      <w:r w:rsidR="00E85A74" w:rsidRPr="00E85A74">
        <w:rPr>
          <w:rFonts w:ascii="Arial" w:hAnsi="Arial"/>
          <w:bCs/>
        </w:rPr>
        <w:t>2</w:t>
      </w:r>
      <w:r w:rsidR="009416C1">
        <w:rPr>
          <w:rFonts w:ascii="Arial" w:hAnsi="Arial"/>
          <w:bCs/>
        </w:rPr>
        <w:t>2</w:t>
      </w:r>
      <w:r w:rsidRPr="00E85A74">
        <w:rPr>
          <w:rFonts w:ascii="Arial" w:hAnsi="Arial"/>
          <w:bCs/>
        </w:rPr>
        <w:t>]</w:t>
      </w:r>
      <w:r w:rsidRPr="00E85A74">
        <w:rPr>
          <w:rFonts w:ascii="Arial" w:hAnsi="Arial"/>
          <w:bCs/>
        </w:rPr>
        <w:tab/>
        <w:t>The latter part of the above text has been highlighted as, I believe, the nub of t</w:t>
      </w:r>
      <w:r w:rsidR="000B4BA0">
        <w:rPr>
          <w:rFonts w:ascii="Arial" w:hAnsi="Arial"/>
          <w:bCs/>
        </w:rPr>
        <w:t>he case in deciding whether PAJA applies,</w:t>
      </w:r>
      <w:r w:rsidRPr="00E85A74">
        <w:rPr>
          <w:rFonts w:ascii="Arial" w:hAnsi="Arial"/>
          <w:bCs/>
        </w:rPr>
        <w:t xml:space="preserve"> </w:t>
      </w:r>
      <w:r w:rsidR="006B4FFB">
        <w:rPr>
          <w:rFonts w:ascii="Arial" w:hAnsi="Arial"/>
          <w:bCs/>
        </w:rPr>
        <w:t>lies</w:t>
      </w:r>
      <w:r w:rsidRPr="00E85A74">
        <w:rPr>
          <w:rFonts w:ascii="Arial" w:hAnsi="Arial"/>
          <w:bCs/>
        </w:rPr>
        <w:t xml:space="preserve"> in determining whether the investigation and the production of the report adversely affected the first respondent’s rights, and whether it had a direct external </w:t>
      </w:r>
      <w:r w:rsidR="00790E06">
        <w:rPr>
          <w:rFonts w:ascii="Arial" w:hAnsi="Arial"/>
          <w:bCs/>
        </w:rPr>
        <w:t xml:space="preserve">legal </w:t>
      </w:r>
      <w:r w:rsidRPr="00E85A74">
        <w:rPr>
          <w:rFonts w:ascii="Arial" w:hAnsi="Arial"/>
          <w:bCs/>
        </w:rPr>
        <w:t xml:space="preserve">effect. </w:t>
      </w:r>
    </w:p>
    <w:p w14:paraId="5B4924A8" w14:textId="77777777" w:rsidR="00F7243C" w:rsidRPr="00E85A74" w:rsidRDefault="00996979" w:rsidP="00CB3E44">
      <w:pPr>
        <w:spacing w:before="360" w:after="360" w:line="480" w:lineRule="auto"/>
        <w:ind w:left="142"/>
        <w:jc w:val="both"/>
        <w:rPr>
          <w:rFonts w:ascii="Arial" w:hAnsi="Arial"/>
          <w:bCs/>
          <w:i/>
          <w:iCs/>
        </w:rPr>
      </w:pPr>
      <w:r w:rsidRPr="00E85A74">
        <w:rPr>
          <w:rFonts w:ascii="Arial" w:hAnsi="Arial"/>
          <w:bCs/>
        </w:rPr>
        <w:t>[</w:t>
      </w:r>
      <w:r w:rsidR="00E85A74" w:rsidRPr="00E85A74">
        <w:rPr>
          <w:rFonts w:ascii="Arial" w:hAnsi="Arial"/>
          <w:bCs/>
        </w:rPr>
        <w:t>2</w:t>
      </w:r>
      <w:r w:rsidR="009416C1">
        <w:rPr>
          <w:rFonts w:ascii="Arial" w:hAnsi="Arial"/>
          <w:bCs/>
        </w:rPr>
        <w:t>3</w:t>
      </w:r>
      <w:r w:rsidRPr="00E85A74">
        <w:rPr>
          <w:rFonts w:ascii="Arial" w:hAnsi="Arial"/>
          <w:bCs/>
        </w:rPr>
        <w:t>]</w:t>
      </w:r>
      <w:r w:rsidRPr="00E85A74">
        <w:rPr>
          <w:rFonts w:ascii="Arial" w:hAnsi="Arial"/>
          <w:bCs/>
        </w:rPr>
        <w:tab/>
      </w:r>
      <w:r w:rsidR="00CB3E44" w:rsidRPr="00E85A74">
        <w:rPr>
          <w:rFonts w:ascii="Arial" w:hAnsi="Arial"/>
          <w:bCs/>
        </w:rPr>
        <w:t xml:space="preserve">The Court a quo held that the investigator violated both the prescripts of section 33 of the Constitution and the provisions of </w:t>
      </w:r>
      <w:r w:rsidR="00A74199" w:rsidRPr="00E85A74">
        <w:rPr>
          <w:rFonts w:ascii="Arial" w:hAnsi="Arial"/>
          <w:bCs/>
        </w:rPr>
        <w:t>PAJA. This cannot be correct</w:t>
      </w:r>
      <w:r w:rsidR="000B4BA0">
        <w:rPr>
          <w:rFonts w:ascii="Arial" w:hAnsi="Arial"/>
          <w:bCs/>
        </w:rPr>
        <w:t>,</w:t>
      </w:r>
      <w:r w:rsidR="00472715">
        <w:rPr>
          <w:rFonts w:ascii="Arial" w:hAnsi="Arial"/>
          <w:bCs/>
        </w:rPr>
        <w:t xml:space="preserve"> in my view.</w:t>
      </w:r>
      <w:r w:rsidR="00A74199" w:rsidRPr="00E85A74">
        <w:rPr>
          <w:rFonts w:ascii="Arial" w:hAnsi="Arial"/>
          <w:bCs/>
        </w:rPr>
        <w:t xml:space="preserve"> PAJA was enacted to give effect to section 33 which gives every person the right to lawful, reasonable and procedurally fair administrative action</w:t>
      </w:r>
      <w:r w:rsidR="00A74199" w:rsidRPr="00E85A74">
        <w:rPr>
          <w:rStyle w:val="FootnoteReference"/>
          <w:rFonts w:ascii="Arial" w:hAnsi="Arial"/>
          <w:bCs/>
        </w:rPr>
        <w:footnoteReference w:id="6"/>
      </w:r>
      <w:r w:rsidR="00A74199" w:rsidRPr="00E85A74">
        <w:rPr>
          <w:rFonts w:ascii="Arial" w:hAnsi="Arial"/>
          <w:bCs/>
        </w:rPr>
        <w:t>, and which required the enactment of legislation to give effect to that right.</w:t>
      </w:r>
      <w:r w:rsidR="00A74199" w:rsidRPr="00E85A74">
        <w:rPr>
          <w:rStyle w:val="FootnoteReference"/>
          <w:rFonts w:ascii="Arial" w:hAnsi="Arial"/>
          <w:bCs/>
        </w:rPr>
        <w:footnoteReference w:id="7"/>
      </w:r>
      <w:r w:rsidR="00A74199" w:rsidRPr="00E85A74">
        <w:rPr>
          <w:rFonts w:ascii="Arial" w:hAnsi="Arial"/>
          <w:bCs/>
        </w:rPr>
        <w:t xml:space="preserve"> </w:t>
      </w:r>
      <w:r w:rsidRPr="00E85A74">
        <w:rPr>
          <w:rFonts w:ascii="Arial" w:hAnsi="Arial"/>
          <w:bCs/>
        </w:rPr>
        <w:t>A party seeking a review is not entitled to go behind the provisions of PAJA and to rely</w:t>
      </w:r>
      <w:r w:rsidR="006B4FFB">
        <w:rPr>
          <w:rFonts w:ascii="Arial" w:hAnsi="Arial"/>
          <w:bCs/>
        </w:rPr>
        <w:t xml:space="preserve"> directly</w:t>
      </w:r>
      <w:r w:rsidRPr="00E85A74">
        <w:rPr>
          <w:rFonts w:ascii="Arial" w:hAnsi="Arial"/>
          <w:bCs/>
        </w:rPr>
        <w:t xml:space="preserve"> on s 33 of the Constitution, as this would “</w:t>
      </w:r>
      <w:r w:rsidRPr="00E85A74">
        <w:rPr>
          <w:rFonts w:ascii="Arial" w:hAnsi="Arial"/>
          <w:bCs/>
          <w:i/>
          <w:iCs/>
        </w:rPr>
        <w:t>undermine the very purpose for which it was enacted”.</w:t>
      </w:r>
      <w:r w:rsidRPr="00E85A74">
        <w:rPr>
          <w:rStyle w:val="FootnoteReference"/>
          <w:rFonts w:ascii="Arial" w:hAnsi="Arial"/>
          <w:bCs/>
          <w:i/>
          <w:iCs/>
        </w:rPr>
        <w:footnoteReference w:id="8"/>
      </w:r>
      <w:r w:rsidRPr="00E85A74">
        <w:rPr>
          <w:rFonts w:ascii="Arial" w:hAnsi="Arial"/>
          <w:bCs/>
          <w:i/>
          <w:iCs/>
        </w:rPr>
        <w:t xml:space="preserve"> </w:t>
      </w:r>
    </w:p>
    <w:p w14:paraId="201039F8" w14:textId="77777777" w:rsidR="001C0C7F" w:rsidRDefault="00F7243C" w:rsidP="00923755">
      <w:pPr>
        <w:spacing w:before="360" w:after="360" w:line="480" w:lineRule="auto"/>
        <w:ind w:left="142"/>
        <w:jc w:val="both"/>
        <w:rPr>
          <w:rFonts w:ascii="Arial" w:hAnsi="Arial"/>
          <w:bCs/>
        </w:rPr>
      </w:pPr>
      <w:r w:rsidRPr="00E85A74">
        <w:rPr>
          <w:rFonts w:ascii="Arial" w:hAnsi="Arial"/>
          <w:bCs/>
        </w:rPr>
        <w:t>[2</w:t>
      </w:r>
      <w:r w:rsidR="009416C1">
        <w:rPr>
          <w:rFonts w:ascii="Arial" w:hAnsi="Arial"/>
          <w:bCs/>
        </w:rPr>
        <w:t>4</w:t>
      </w:r>
      <w:r w:rsidRPr="00E85A74">
        <w:rPr>
          <w:rFonts w:ascii="Arial" w:hAnsi="Arial"/>
          <w:bCs/>
        </w:rPr>
        <w:t>]</w:t>
      </w:r>
      <w:r w:rsidRPr="00E85A74">
        <w:rPr>
          <w:rFonts w:ascii="Arial" w:hAnsi="Arial"/>
          <w:bCs/>
        </w:rPr>
        <w:tab/>
      </w:r>
      <w:r w:rsidR="00996979" w:rsidRPr="00E85A74">
        <w:rPr>
          <w:rFonts w:ascii="Arial" w:hAnsi="Arial"/>
          <w:bCs/>
        </w:rPr>
        <w:t xml:space="preserve">For conduct to be reviewable </w:t>
      </w:r>
      <w:r w:rsidR="00FF55D1">
        <w:rPr>
          <w:rFonts w:ascii="Arial" w:hAnsi="Arial"/>
          <w:bCs/>
        </w:rPr>
        <w:t>under PAJA</w:t>
      </w:r>
      <w:r w:rsidRPr="00E85A74">
        <w:rPr>
          <w:rFonts w:ascii="Arial" w:hAnsi="Arial"/>
          <w:bCs/>
        </w:rPr>
        <w:t>, the conduct has to fall within the definition of ‘admin</w:t>
      </w:r>
      <w:r w:rsidR="0066748C">
        <w:rPr>
          <w:rFonts w:ascii="Arial" w:hAnsi="Arial"/>
          <w:bCs/>
        </w:rPr>
        <w:t>i</w:t>
      </w:r>
      <w:r w:rsidRPr="00E85A74">
        <w:rPr>
          <w:rFonts w:ascii="Arial" w:hAnsi="Arial"/>
          <w:bCs/>
        </w:rPr>
        <w:t>strative action’</w:t>
      </w:r>
      <w:r w:rsidR="001C0C7F">
        <w:rPr>
          <w:rFonts w:ascii="Arial" w:hAnsi="Arial"/>
          <w:bCs/>
        </w:rPr>
        <w:t xml:space="preserve">, and whether the conduct is administrative action is to be decided on the facts of each </w:t>
      </w:r>
      <w:r w:rsidR="00A1269A">
        <w:rPr>
          <w:rFonts w:ascii="Arial" w:hAnsi="Arial"/>
          <w:bCs/>
        </w:rPr>
        <w:t xml:space="preserve">individual </w:t>
      </w:r>
      <w:r w:rsidR="001C0C7F">
        <w:rPr>
          <w:rFonts w:ascii="Arial" w:hAnsi="Arial"/>
          <w:bCs/>
        </w:rPr>
        <w:t xml:space="preserve">case. In </w:t>
      </w:r>
      <w:r w:rsidR="001C0C7F">
        <w:rPr>
          <w:rFonts w:ascii="Arial" w:hAnsi="Arial"/>
          <w:bCs/>
          <w:i/>
          <w:iCs/>
        </w:rPr>
        <w:t>Viking Pony Africa Pumps (Pty) Ltd t/a Tricom Africa v Hidro-</w:t>
      </w:r>
      <w:r w:rsidR="001C0C7F">
        <w:rPr>
          <w:rFonts w:ascii="Arial" w:hAnsi="Arial"/>
          <w:bCs/>
          <w:i/>
          <w:iCs/>
        </w:rPr>
        <w:lastRenderedPageBreak/>
        <w:t>Tech Systems 2011 (1) SA 327 (CC) at [37]</w:t>
      </w:r>
      <w:r w:rsidR="001C0C7F">
        <w:rPr>
          <w:rFonts w:ascii="Arial" w:hAnsi="Arial"/>
          <w:bCs/>
        </w:rPr>
        <w:t xml:space="preserve"> Mogoeng J (as he was then) wrote:</w:t>
      </w:r>
    </w:p>
    <w:p w14:paraId="298C9904" w14:textId="77777777" w:rsidR="001C0C7F" w:rsidRPr="002C3478" w:rsidRDefault="002C3478" w:rsidP="00923755">
      <w:pPr>
        <w:spacing w:before="360" w:after="360" w:line="480" w:lineRule="auto"/>
        <w:ind w:left="142"/>
        <w:jc w:val="both"/>
        <w:rPr>
          <w:rFonts w:ascii="Arial" w:hAnsi="Arial"/>
          <w:bCs/>
          <w:sz w:val="22"/>
          <w:szCs w:val="22"/>
        </w:rPr>
      </w:pPr>
      <w:r>
        <w:rPr>
          <w:rFonts w:ascii="Arial" w:hAnsi="Arial"/>
          <w:bCs/>
        </w:rPr>
        <w:t>“</w:t>
      </w:r>
      <w:r>
        <w:rPr>
          <w:rFonts w:ascii="Arial" w:hAnsi="Arial"/>
          <w:bCs/>
          <w:sz w:val="22"/>
          <w:szCs w:val="22"/>
        </w:rPr>
        <w:t>Whether or not administrative action, which would make PAJA applicable, has been taken cannot be determined in the abstract. Regard must always be had to the facts of each case.”</w:t>
      </w:r>
    </w:p>
    <w:p w14:paraId="11D6F198" w14:textId="77777777" w:rsidR="00F7243C" w:rsidRPr="00E85A74" w:rsidRDefault="002C3478" w:rsidP="00923755">
      <w:pPr>
        <w:spacing w:before="360" w:after="360" w:line="480" w:lineRule="auto"/>
        <w:ind w:left="142"/>
        <w:jc w:val="both"/>
        <w:rPr>
          <w:rFonts w:ascii="Arial" w:hAnsi="Arial"/>
          <w:bCs/>
        </w:rPr>
      </w:pPr>
      <w:r>
        <w:rPr>
          <w:rFonts w:ascii="Arial" w:hAnsi="Arial"/>
          <w:bCs/>
        </w:rPr>
        <w:t>[2</w:t>
      </w:r>
      <w:r w:rsidR="009416C1">
        <w:rPr>
          <w:rFonts w:ascii="Arial" w:hAnsi="Arial"/>
          <w:bCs/>
        </w:rPr>
        <w:t>5</w:t>
      </w:r>
      <w:r>
        <w:rPr>
          <w:rFonts w:ascii="Arial" w:hAnsi="Arial"/>
          <w:bCs/>
        </w:rPr>
        <w:t>]</w:t>
      </w:r>
      <w:r>
        <w:rPr>
          <w:rFonts w:ascii="Arial" w:hAnsi="Arial"/>
          <w:bCs/>
        </w:rPr>
        <w:tab/>
      </w:r>
      <w:r w:rsidR="00F7243C" w:rsidRPr="00E85A74">
        <w:rPr>
          <w:rFonts w:ascii="Arial" w:hAnsi="Arial"/>
          <w:bCs/>
        </w:rPr>
        <w:t>A very similar case</w:t>
      </w:r>
      <w:r w:rsidR="00E85A74">
        <w:rPr>
          <w:rFonts w:ascii="Arial" w:hAnsi="Arial"/>
          <w:bCs/>
        </w:rPr>
        <w:t xml:space="preserve"> to this matter</w:t>
      </w:r>
      <w:r w:rsidR="00F7243C" w:rsidRPr="00E85A74">
        <w:rPr>
          <w:rFonts w:ascii="Arial" w:hAnsi="Arial"/>
          <w:bCs/>
        </w:rPr>
        <w:t xml:space="preserve"> was that of </w:t>
      </w:r>
      <w:r w:rsidR="00F7243C" w:rsidRPr="00E85A74">
        <w:rPr>
          <w:rFonts w:ascii="Arial" w:hAnsi="Arial"/>
          <w:bCs/>
          <w:i/>
          <w:iCs/>
        </w:rPr>
        <w:t>The Companies and Intellectual Property Commission v Moola and Others</w:t>
      </w:r>
      <w:r w:rsidR="00F7243C" w:rsidRPr="00E85A74">
        <w:rPr>
          <w:rFonts w:ascii="Arial" w:hAnsi="Arial"/>
          <w:bCs/>
        </w:rPr>
        <w:t xml:space="preserve"> [2017] ZAGPJHC 102 (30 March 2017). The facts were the following: The applicant (“CIPC”)</w:t>
      </w:r>
      <w:r w:rsidR="00923755" w:rsidRPr="00E85A74">
        <w:rPr>
          <w:rFonts w:ascii="Arial" w:hAnsi="Arial"/>
          <w:bCs/>
        </w:rPr>
        <w:t>, relying on a report produced by two inspectors appointed in terms of section 169 (2) of the Companies Act, 2008,</w:t>
      </w:r>
      <w:r w:rsidR="00F7243C" w:rsidRPr="00E85A74">
        <w:rPr>
          <w:rFonts w:ascii="Arial" w:hAnsi="Arial"/>
          <w:bCs/>
        </w:rPr>
        <w:t xml:space="preserve"> applied for an order declaring the respondents </w:t>
      </w:r>
      <w:r w:rsidR="000B4BA0">
        <w:rPr>
          <w:rFonts w:ascii="Arial" w:hAnsi="Arial"/>
          <w:bCs/>
        </w:rPr>
        <w:t>to be</w:t>
      </w:r>
      <w:r w:rsidR="00F7243C" w:rsidRPr="00E85A74">
        <w:rPr>
          <w:rFonts w:ascii="Arial" w:hAnsi="Arial"/>
          <w:bCs/>
        </w:rPr>
        <w:t xml:space="preserve"> delinquents in terms of the Companies Act. In turn, the respondents sought a review of a decision</w:t>
      </w:r>
      <w:r w:rsidR="00923755" w:rsidRPr="00E85A74">
        <w:rPr>
          <w:rFonts w:ascii="Arial" w:hAnsi="Arial"/>
          <w:bCs/>
        </w:rPr>
        <w:t xml:space="preserve"> of the t</w:t>
      </w:r>
      <w:r w:rsidR="00F7243C" w:rsidRPr="00E85A74">
        <w:rPr>
          <w:rFonts w:ascii="Arial" w:hAnsi="Arial"/>
          <w:bCs/>
        </w:rPr>
        <w:t>wo inspectors</w:t>
      </w:r>
      <w:r w:rsidR="00923755" w:rsidRPr="00E85A74">
        <w:rPr>
          <w:rFonts w:ascii="Arial" w:hAnsi="Arial"/>
          <w:bCs/>
        </w:rPr>
        <w:t>,</w:t>
      </w:r>
      <w:r w:rsidR="00F7243C" w:rsidRPr="00E85A74">
        <w:rPr>
          <w:rFonts w:ascii="Arial" w:hAnsi="Arial"/>
          <w:bCs/>
        </w:rPr>
        <w:t xml:space="preserve"> wh</w:t>
      </w:r>
      <w:r w:rsidR="006B4FFB">
        <w:rPr>
          <w:rFonts w:ascii="Arial" w:hAnsi="Arial"/>
          <w:bCs/>
        </w:rPr>
        <w:t>o had</w:t>
      </w:r>
      <w:r w:rsidR="00F7243C" w:rsidRPr="00E85A74">
        <w:rPr>
          <w:rFonts w:ascii="Arial" w:hAnsi="Arial"/>
          <w:bCs/>
        </w:rPr>
        <w:t xml:space="preserve"> recommended that the application be brought. The respondents argued that the </w:t>
      </w:r>
      <w:r w:rsidR="00923755" w:rsidRPr="00E85A74">
        <w:rPr>
          <w:rFonts w:ascii="Arial" w:hAnsi="Arial"/>
          <w:bCs/>
        </w:rPr>
        <w:t>decision</w:t>
      </w:r>
      <w:r w:rsidR="00F7243C" w:rsidRPr="00E85A74">
        <w:rPr>
          <w:rFonts w:ascii="Arial" w:hAnsi="Arial"/>
          <w:bCs/>
        </w:rPr>
        <w:t xml:space="preserve"> fell to be reviewed under PAJA. </w:t>
      </w:r>
    </w:p>
    <w:p w14:paraId="7DFEFE1A" w14:textId="77777777" w:rsidR="00923755" w:rsidRPr="00E85A74" w:rsidRDefault="00923755" w:rsidP="00923755">
      <w:pPr>
        <w:spacing w:before="360" w:after="360" w:line="480" w:lineRule="auto"/>
        <w:ind w:left="142"/>
        <w:jc w:val="both"/>
        <w:rPr>
          <w:rFonts w:ascii="Arial" w:hAnsi="Arial"/>
          <w:bCs/>
        </w:rPr>
      </w:pPr>
      <w:r w:rsidRPr="00E85A74">
        <w:rPr>
          <w:rFonts w:ascii="Arial" w:hAnsi="Arial"/>
          <w:bCs/>
        </w:rPr>
        <w:t>[2</w:t>
      </w:r>
      <w:r w:rsidR="009416C1">
        <w:rPr>
          <w:rFonts w:ascii="Arial" w:hAnsi="Arial"/>
          <w:bCs/>
        </w:rPr>
        <w:t>6</w:t>
      </w:r>
      <w:r w:rsidRPr="00E85A74">
        <w:rPr>
          <w:rFonts w:ascii="Arial" w:hAnsi="Arial"/>
          <w:bCs/>
        </w:rPr>
        <w:t>]</w:t>
      </w:r>
      <w:r w:rsidRPr="00E85A74">
        <w:rPr>
          <w:rFonts w:ascii="Arial" w:hAnsi="Arial"/>
          <w:bCs/>
        </w:rPr>
        <w:tab/>
        <w:t>The late Van der Linde J made the following two points:</w:t>
      </w:r>
    </w:p>
    <w:p w14:paraId="3A6719E4" w14:textId="3F4EB43E" w:rsidR="00923755" w:rsidRPr="00E85A74" w:rsidRDefault="00923755" w:rsidP="00923755">
      <w:pPr>
        <w:spacing w:before="360" w:after="360" w:line="480" w:lineRule="auto"/>
        <w:ind w:left="142"/>
        <w:jc w:val="both"/>
        <w:rPr>
          <w:rFonts w:ascii="Arial" w:hAnsi="Arial"/>
          <w:bCs/>
        </w:rPr>
      </w:pPr>
      <w:r w:rsidRPr="00E85A74">
        <w:rPr>
          <w:rFonts w:ascii="Arial" w:hAnsi="Arial"/>
          <w:bCs/>
        </w:rPr>
        <w:t>[2</w:t>
      </w:r>
      <w:r w:rsidR="009416C1">
        <w:rPr>
          <w:rFonts w:ascii="Arial" w:hAnsi="Arial"/>
          <w:bCs/>
        </w:rPr>
        <w:t>6</w:t>
      </w:r>
      <w:r w:rsidR="008F0368">
        <w:rPr>
          <w:rFonts w:ascii="Arial" w:hAnsi="Arial"/>
          <w:bCs/>
        </w:rPr>
        <w:t xml:space="preserve">.1]  </w:t>
      </w:r>
      <w:r w:rsidRPr="00E85A74">
        <w:rPr>
          <w:rFonts w:ascii="Arial" w:hAnsi="Arial"/>
          <w:bCs/>
        </w:rPr>
        <w:t>Not all conduct of the administration, including decisions, is reviewable under PAJA. He eloquently explained that the administration in action is not to be conflated with administrative action.</w:t>
      </w:r>
    </w:p>
    <w:p w14:paraId="20590FC7" w14:textId="77777777" w:rsidR="00923755" w:rsidRDefault="00923755" w:rsidP="009416C1">
      <w:pPr>
        <w:tabs>
          <w:tab w:val="left" w:pos="993"/>
        </w:tabs>
        <w:spacing w:before="360" w:after="360" w:line="480" w:lineRule="auto"/>
        <w:ind w:left="142"/>
        <w:jc w:val="both"/>
        <w:rPr>
          <w:rFonts w:ascii="Arial" w:hAnsi="Arial"/>
          <w:bCs/>
        </w:rPr>
      </w:pPr>
      <w:r w:rsidRPr="00E85A74">
        <w:rPr>
          <w:rFonts w:ascii="Arial" w:hAnsi="Arial"/>
          <w:bCs/>
        </w:rPr>
        <w:t>[2</w:t>
      </w:r>
      <w:r w:rsidR="009416C1">
        <w:rPr>
          <w:rFonts w:ascii="Arial" w:hAnsi="Arial"/>
          <w:bCs/>
        </w:rPr>
        <w:t>6</w:t>
      </w:r>
      <w:r w:rsidRPr="00E85A74">
        <w:rPr>
          <w:rFonts w:ascii="Arial" w:hAnsi="Arial"/>
          <w:bCs/>
        </w:rPr>
        <w:t>.2]</w:t>
      </w:r>
      <w:r w:rsidRPr="00E85A74">
        <w:rPr>
          <w:rFonts w:ascii="Arial" w:hAnsi="Arial"/>
          <w:bCs/>
        </w:rPr>
        <w:tab/>
        <w:t xml:space="preserve">If the decision by the inspectors and the CIPC was not one that </w:t>
      </w:r>
      <w:r w:rsidRPr="00E85A74">
        <w:rPr>
          <w:rFonts w:ascii="Arial" w:hAnsi="Arial"/>
          <w:bCs/>
          <w:i/>
          <w:iCs/>
        </w:rPr>
        <w:t xml:space="preserve">“adversely affects the rights of any person and which has direct external </w:t>
      </w:r>
      <w:r w:rsidR="0051376B">
        <w:rPr>
          <w:rFonts w:ascii="Arial" w:hAnsi="Arial"/>
          <w:bCs/>
          <w:i/>
          <w:iCs/>
        </w:rPr>
        <w:t xml:space="preserve">legal </w:t>
      </w:r>
      <w:r w:rsidRPr="00E85A74">
        <w:rPr>
          <w:rFonts w:ascii="Arial" w:hAnsi="Arial"/>
          <w:bCs/>
          <w:i/>
          <w:iCs/>
        </w:rPr>
        <w:t>effect</w:t>
      </w:r>
      <w:r w:rsidR="00E85A74">
        <w:rPr>
          <w:rFonts w:ascii="Arial" w:hAnsi="Arial"/>
          <w:bCs/>
          <w:i/>
          <w:iCs/>
        </w:rPr>
        <w:t>”</w:t>
      </w:r>
      <w:r w:rsidRPr="00E85A74">
        <w:rPr>
          <w:rFonts w:ascii="Arial" w:hAnsi="Arial"/>
          <w:bCs/>
        </w:rPr>
        <w:t>, then it would not be reviewable under the PAJA.</w:t>
      </w:r>
    </w:p>
    <w:p w14:paraId="13BF17DE" w14:textId="77777777" w:rsidR="00144536" w:rsidRDefault="00144536" w:rsidP="009416C1">
      <w:pPr>
        <w:spacing w:before="360" w:after="360" w:line="480" w:lineRule="auto"/>
        <w:ind w:left="142"/>
        <w:jc w:val="both"/>
        <w:rPr>
          <w:rFonts w:ascii="Arial" w:hAnsi="Arial"/>
          <w:bCs/>
        </w:rPr>
      </w:pPr>
      <w:r>
        <w:rPr>
          <w:rFonts w:ascii="Arial" w:hAnsi="Arial"/>
          <w:bCs/>
        </w:rPr>
        <w:t>[2</w:t>
      </w:r>
      <w:r w:rsidR="009416C1">
        <w:rPr>
          <w:rFonts w:ascii="Arial" w:hAnsi="Arial"/>
          <w:bCs/>
        </w:rPr>
        <w:t>7</w:t>
      </w:r>
      <w:r>
        <w:rPr>
          <w:rFonts w:ascii="Arial" w:hAnsi="Arial"/>
          <w:bCs/>
        </w:rPr>
        <w:t>]</w:t>
      </w:r>
      <w:r w:rsidR="009416C1">
        <w:rPr>
          <w:rFonts w:ascii="Arial" w:hAnsi="Arial"/>
          <w:bCs/>
        </w:rPr>
        <w:tab/>
      </w:r>
      <w:r w:rsidR="002C3478">
        <w:rPr>
          <w:rFonts w:ascii="Arial" w:hAnsi="Arial"/>
          <w:bCs/>
        </w:rPr>
        <w:t xml:space="preserve">In </w:t>
      </w:r>
      <w:r w:rsidR="002C3478" w:rsidRPr="002C3478">
        <w:rPr>
          <w:rFonts w:ascii="Arial" w:hAnsi="Arial"/>
          <w:bCs/>
          <w:i/>
          <w:iCs/>
        </w:rPr>
        <w:t>Moola</w:t>
      </w:r>
      <w:r w:rsidR="002C3478">
        <w:rPr>
          <w:rFonts w:ascii="Arial" w:hAnsi="Arial"/>
          <w:bCs/>
        </w:rPr>
        <w:t xml:space="preserve"> the inspectors had recommended that the matter should be referred to the National Prosecuting Authority for consideration of </w:t>
      </w:r>
      <w:r w:rsidR="002C3478">
        <w:rPr>
          <w:rFonts w:ascii="Arial" w:hAnsi="Arial"/>
          <w:bCs/>
        </w:rPr>
        <w:lastRenderedPageBreak/>
        <w:t xml:space="preserve">criminal charges, and that the CIPC should consider a delinquency application. None of those decisions, the Court held, had final effect. The CIPC </w:t>
      </w:r>
      <w:r w:rsidR="00472715">
        <w:rPr>
          <w:rFonts w:ascii="Arial" w:hAnsi="Arial"/>
          <w:bCs/>
        </w:rPr>
        <w:t>could</w:t>
      </w:r>
      <w:r w:rsidR="002C3478">
        <w:rPr>
          <w:rFonts w:ascii="Arial" w:hAnsi="Arial"/>
          <w:bCs/>
        </w:rPr>
        <w:t xml:space="preserve"> still decide not to prosecute the respondents, and the CIPC </w:t>
      </w:r>
      <w:r w:rsidR="00472715">
        <w:rPr>
          <w:rFonts w:ascii="Arial" w:hAnsi="Arial"/>
          <w:bCs/>
        </w:rPr>
        <w:t>could</w:t>
      </w:r>
      <w:r w:rsidR="002C3478">
        <w:rPr>
          <w:rFonts w:ascii="Arial" w:hAnsi="Arial"/>
          <w:bCs/>
        </w:rPr>
        <w:t xml:space="preserve"> ultimately have decided not to bring the </w:t>
      </w:r>
      <w:r w:rsidR="00472715">
        <w:rPr>
          <w:rFonts w:ascii="Arial" w:hAnsi="Arial"/>
          <w:bCs/>
        </w:rPr>
        <w:t xml:space="preserve">delinquency </w:t>
      </w:r>
      <w:r w:rsidR="002C3478">
        <w:rPr>
          <w:rFonts w:ascii="Arial" w:hAnsi="Arial"/>
          <w:bCs/>
        </w:rPr>
        <w:t>application. The Court relied upon a dictum in Corp</w:t>
      </w:r>
      <w:r w:rsidR="00171F16">
        <w:rPr>
          <w:rFonts w:ascii="Arial" w:hAnsi="Arial"/>
          <w:bCs/>
        </w:rPr>
        <w:t>clo 2290 CC t/a U-Care v Registrar of Banks [2013] 1 ALL SA 127 (SCA) where the following was said:</w:t>
      </w:r>
    </w:p>
    <w:p w14:paraId="25035992" w14:textId="77777777" w:rsidR="00171F16" w:rsidRDefault="00171F16" w:rsidP="00923755">
      <w:pPr>
        <w:spacing w:before="360" w:after="360" w:line="480" w:lineRule="auto"/>
        <w:ind w:left="142"/>
        <w:jc w:val="both"/>
        <w:rPr>
          <w:rFonts w:ascii="Arial" w:hAnsi="Arial"/>
          <w:bCs/>
          <w:sz w:val="22"/>
          <w:szCs w:val="22"/>
        </w:rPr>
      </w:pPr>
      <w:r>
        <w:rPr>
          <w:rFonts w:ascii="Arial" w:hAnsi="Arial"/>
          <w:bCs/>
        </w:rPr>
        <w:t>“</w:t>
      </w:r>
      <w:r>
        <w:rPr>
          <w:rFonts w:ascii="Arial" w:hAnsi="Arial"/>
          <w:bCs/>
          <w:sz w:val="22"/>
          <w:szCs w:val="22"/>
        </w:rPr>
        <w:t>A decision to investigate and the process of investigation, which exclude a determination of culpability, could not adversely affect the rights of the appellants in a manner that has a direct and external effect.”</w:t>
      </w:r>
    </w:p>
    <w:p w14:paraId="0C8FF92E" w14:textId="77777777" w:rsidR="00171F16" w:rsidRDefault="00076387" w:rsidP="00923755">
      <w:pPr>
        <w:spacing w:before="360" w:after="360" w:line="480" w:lineRule="auto"/>
        <w:ind w:left="142"/>
        <w:jc w:val="both"/>
        <w:rPr>
          <w:rFonts w:ascii="Arial" w:hAnsi="Arial"/>
          <w:bCs/>
        </w:rPr>
      </w:pPr>
      <w:r>
        <w:rPr>
          <w:rFonts w:ascii="Arial" w:hAnsi="Arial"/>
          <w:bCs/>
        </w:rPr>
        <w:t>[28]</w:t>
      </w:r>
      <w:r>
        <w:rPr>
          <w:rFonts w:ascii="Arial" w:hAnsi="Arial"/>
          <w:bCs/>
        </w:rPr>
        <w:tab/>
        <w:t xml:space="preserve">A more liberal approach to this question was taken in </w:t>
      </w:r>
      <w:r>
        <w:rPr>
          <w:rFonts w:ascii="Arial" w:hAnsi="Arial"/>
          <w:bCs/>
          <w:i/>
          <w:iCs/>
        </w:rPr>
        <w:t xml:space="preserve">Oosthuizen’s Transport (Pty) Ltd v MEC, Road Traffic Matters, Mpumalanga 2008 (2) SA 570 (T) </w:t>
      </w:r>
      <w:r>
        <w:rPr>
          <w:rFonts w:ascii="Arial" w:hAnsi="Arial"/>
          <w:bCs/>
        </w:rPr>
        <w:t xml:space="preserve">where Fabricius AJ (as he was then) approved of the proposition that a preliminary decision may adversely affect the </w:t>
      </w:r>
      <w:r w:rsidR="00734891">
        <w:rPr>
          <w:rFonts w:ascii="Arial" w:hAnsi="Arial"/>
          <w:bCs/>
        </w:rPr>
        <w:t xml:space="preserve">rights of a party. This approach can be contrasted with that of the Constitutional Court in </w:t>
      </w:r>
      <w:r w:rsidR="00734891">
        <w:rPr>
          <w:rFonts w:ascii="Arial" w:hAnsi="Arial"/>
          <w:bCs/>
          <w:i/>
          <w:iCs/>
        </w:rPr>
        <w:t xml:space="preserve">Viking </w:t>
      </w:r>
      <w:r w:rsidR="00734891">
        <w:rPr>
          <w:rFonts w:ascii="Arial" w:hAnsi="Arial"/>
          <w:bCs/>
        </w:rPr>
        <w:t>(supra) where Mogoeng J said that it is unlikely:</w:t>
      </w:r>
    </w:p>
    <w:p w14:paraId="0A570399" w14:textId="77777777" w:rsidR="000B4BA0" w:rsidRDefault="00734891" w:rsidP="000B4BA0">
      <w:pPr>
        <w:spacing w:before="360" w:after="360" w:line="480" w:lineRule="auto"/>
        <w:ind w:left="142"/>
        <w:jc w:val="both"/>
        <w:rPr>
          <w:rFonts w:ascii="Arial" w:hAnsi="Arial"/>
          <w:bCs/>
          <w:sz w:val="22"/>
          <w:szCs w:val="22"/>
        </w:rPr>
      </w:pPr>
      <w:r>
        <w:rPr>
          <w:rFonts w:ascii="Arial" w:hAnsi="Arial"/>
          <w:bCs/>
          <w:sz w:val="22"/>
          <w:szCs w:val="22"/>
        </w:rPr>
        <w:t xml:space="preserve">“…..that a decision to investigate and the process of investigation, </w:t>
      </w:r>
      <w:r w:rsidRPr="000B4BA0">
        <w:rPr>
          <w:rFonts w:ascii="Arial" w:hAnsi="Arial"/>
          <w:bCs/>
          <w:sz w:val="22"/>
          <w:szCs w:val="22"/>
          <w:u w:val="single"/>
        </w:rPr>
        <w:t>which excludes a determination of culpability</w:t>
      </w:r>
      <w:r>
        <w:rPr>
          <w:rFonts w:ascii="Arial" w:hAnsi="Arial"/>
          <w:bCs/>
          <w:sz w:val="22"/>
          <w:szCs w:val="22"/>
        </w:rPr>
        <w:t xml:space="preserve">, could adversely affect the rights of any person, in a manner that has a </w:t>
      </w:r>
      <w:r w:rsidR="00CB6366">
        <w:rPr>
          <w:rFonts w:ascii="Arial" w:hAnsi="Arial"/>
          <w:bCs/>
          <w:sz w:val="22"/>
          <w:szCs w:val="22"/>
        </w:rPr>
        <w:t>direct and external legal effect.”</w:t>
      </w:r>
      <w:r w:rsidR="000B4BA0">
        <w:rPr>
          <w:rFonts w:ascii="Arial" w:hAnsi="Arial"/>
          <w:bCs/>
          <w:sz w:val="22"/>
          <w:szCs w:val="22"/>
        </w:rPr>
        <w:t xml:space="preserve"> (my emphasis)</w:t>
      </w:r>
    </w:p>
    <w:p w14:paraId="4731CCAA" w14:textId="77777777" w:rsidR="00A624DE" w:rsidRDefault="00F53374" w:rsidP="00A624DE">
      <w:pPr>
        <w:spacing w:before="360" w:after="360" w:line="480" w:lineRule="auto"/>
        <w:ind w:left="142"/>
        <w:jc w:val="both"/>
        <w:rPr>
          <w:rFonts w:ascii="Arial" w:hAnsi="Arial"/>
          <w:bCs/>
        </w:rPr>
      </w:pPr>
      <w:r w:rsidRPr="00DD584D">
        <w:rPr>
          <w:rFonts w:ascii="Arial" w:hAnsi="Arial"/>
          <w:bCs/>
        </w:rPr>
        <w:t>[29]</w:t>
      </w:r>
      <w:r w:rsidRPr="00DD584D">
        <w:rPr>
          <w:rFonts w:ascii="Arial" w:hAnsi="Arial"/>
          <w:bCs/>
        </w:rPr>
        <w:tab/>
      </w:r>
      <w:r w:rsidR="00A624DE">
        <w:rPr>
          <w:rFonts w:ascii="Arial" w:hAnsi="Arial"/>
          <w:bCs/>
        </w:rPr>
        <w:t>In this case second respondent did not make any definitive finding, other than to express his personal view on the evidence. The investigator decide</w:t>
      </w:r>
      <w:r w:rsidR="000E167B">
        <w:rPr>
          <w:rFonts w:ascii="Arial" w:hAnsi="Arial"/>
          <w:bCs/>
        </w:rPr>
        <w:t>d</w:t>
      </w:r>
      <w:r w:rsidR="00A624DE">
        <w:rPr>
          <w:rFonts w:ascii="Arial" w:hAnsi="Arial"/>
          <w:bCs/>
        </w:rPr>
        <w:t xml:space="preserve"> nothing, ma</w:t>
      </w:r>
      <w:r w:rsidR="000E167B">
        <w:rPr>
          <w:rFonts w:ascii="Arial" w:hAnsi="Arial"/>
          <w:bCs/>
        </w:rPr>
        <w:t>de</w:t>
      </w:r>
      <w:r w:rsidR="00A624DE">
        <w:rPr>
          <w:rFonts w:ascii="Arial" w:hAnsi="Arial"/>
          <w:bCs/>
        </w:rPr>
        <w:t xml:space="preserve"> no finding on culpability, and the appellant may or may not implement his recommendations. </w:t>
      </w:r>
      <w:r w:rsidR="000B4BA0">
        <w:rPr>
          <w:rFonts w:ascii="Arial" w:hAnsi="Arial"/>
          <w:bCs/>
        </w:rPr>
        <w:t xml:space="preserve">There is no direct, external </w:t>
      </w:r>
      <w:r w:rsidR="000B4BA0" w:rsidRPr="00FB350A">
        <w:rPr>
          <w:rFonts w:ascii="Arial" w:hAnsi="Arial"/>
          <w:bCs/>
          <w:u w:val="single"/>
        </w:rPr>
        <w:t>legal</w:t>
      </w:r>
      <w:r w:rsidR="000B4BA0">
        <w:rPr>
          <w:rFonts w:ascii="Arial" w:hAnsi="Arial"/>
          <w:bCs/>
        </w:rPr>
        <w:t xml:space="preserve"> effect on the first respondent.</w:t>
      </w:r>
    </w:p>
    <w:p w14:paraId="5C85658E" w14:textId="77777777" w:rsidR="0007573C" w:rsidRDefault="0007573C" w:rsidP="00923755">
      <w:pPr>
        <w:spacing w:before="360" w:after="360" w:line="480" w:lineRule="auto"/>
        <w:ind w:left="142"/>
        <w:jc w:val="both"/>
        <w:rPr>
          <w:rFonts w:ascii="Arial" w:hAnsi="Arial"/>
          <w:bCs/>
        </w:rPr>
      </w:pPr>
      <w:r>
        <w:rPr>
          <w:rFonts w:ascii="Arial" w:hAnsi="Arial"/>
          <w:bCs/>
        </w:rPr>
        <w:lastRenderedPageBreak/>
        <w:t>[3</w:t>
      </w:r>
      <w:r w:rsidR="00D73C85">
        <w:rPr>
          <w:rFonts w:ascii="Arial" w:hAnsi="Arial"/>
          <w:bCs/>
        </w:rPr>
        <w:t>0</w:t>
      </w:r>
      <w:r>
        <w:rPr>
          <w:rFonts w:ascii="Arial" w:hAnsi="Arial"/>
          <w:bCs/>
        </w:rPr>
        <w:t>]</w:t>
      </w:r>
      <w:r>
        <w:rPr>
          <w:rFonts w:ascii="Arial" w:hAnsi="Arial"/>
          <w:bCs/>
        </w:rPr>
        <w:tab/>
        <w:t>Given the above, it follows that the investigator’s report did not constitute ‘administrative action’ in terms of PAJA, and is not reviewable thereunder.</w:t>
      </w:r>
    </w:p>
    <w:p w14:paraId="0495E396" w14:textId="77777777" w:rsidR="0007573C" w:rsidRPr="0007573C" w:rsidRDefault="0007573C" w:rsidP="00923755">
      <w:pPr>
        <w:spacing w:before="360" w:after="360" w:line="480" w:lineRule="auto"/>
        <w:ind w:left="142"/>
        <w:jc w:val="both"/>
        <w:rPr>
          <w:rFonts w:ascii="Arial" w:hAnsi="Arial"/>
          <w:b/>
          <w:u w:val="single"/>
        </w:rPr>
      </w:pPr>
      <w:r>
        <w:rPr>
          <w:rFonts w:ascii="Arial" w:hAnsi="Arial"/>
          <w:b/>
          <w:u w:val="single"/>
        </w:rPr>
        <w:t xml:space="preserve">REVIEW UNDER </w:t>
      </w:r>
      <w:r w:rsidR="00780E53">
        <w:rPr>
          <w:rFonts w:ascii="Arial" w:hAnsi="Arial"/>
          <w:b/>
          <w:u w:val="single"/>
        </w:rPr>
        <w:t xml:space="preserve">THE PRINCIPLE OF </w:t>
      </w:r>
      <w:r>
        <w:rPr>
          <w:rFonts w:ascii="Arial" w:hAnsi="Arial"/>
          <w:b/>
          <w:u w:val="single"/>
        </w:rPr>
        <w:t>LEGALITY</w:t>
      </w:r>
    </w:p>
    <w:p w14:paraId="0548B3A8" w14:textId="285FC362" w:rsidR="00DD584D" w:rsidRPr="00780E53" w:rsidRDefault="0007573C" w:rsidP="00923755">
      <w:pPr>
        <w:spacing w:before="360" w:after="360" w:line="480" w:lineRule="auto"/>
        <w:ind w:left="142"/>
        <w:jc w:val="both"/>
        <w:rPr>
          <w:rFonts w:ascii="Arial" w:hAnsi="Arial"/>
          <w:bCs/>
        </w:rPr>
      </w:pPr>
      <w:r w:rsidRPr="00780E53">
        <w:rPr>
          <w:rFonts w:ascii="Arial" w:hAnsi="Arial"/>
          <w:bCs/>
        </w:rPr>
        <w:t>[3</w:t>
      </w:r>
      <w:r w:rsidR="00D73C85">
        <w:rPr>
          <w:rFonts w:ascii="Arial" w:hAnsi="Arial"/>
          <w:bCs/>
        </w:rPr>
        <w:t>1</w:t>
      </w:r>
      <w:r w:rsidRPr="00780E53">
        <w:rPr>
          <w:rFonts w:ascii="Arial" w:hAnsi="Arial"/>
          <w:bCs/>
        </w:rPr>
        <w:t>]</w:t>
      </w:r>
      <w:r w:rsidRPr="00780E53">
        <w:rPr>
          <w:rFonts w:ascii="Arial" w:hAnsi="Arial"/>
          <w:bCs/>
        </w:rPr>
        <w:tab/>
      </w:r>
      <w:r w:rsidR="000B4BA0">
        <w:rPr>
          <w:rFonts w:ascii="Arial" w:hAnsi="Arial"/>
          <w:bCs/>
        </w:rPr>
        <w:t>A</w:t>
      </w:r>
      <w:r w:rsidR="00E4559E">
        <w:rPr>
          <w:rFonts w:ascii="Arial" w:hAnsi="Arial"/>
          <w:bCs/>
        </w:rPr>
        <w:t xml:space="preserve"> last question still remains: Is second respondent’s report reviewable under t</w:t>
      </w:r>
      <w:r w:rsidRPr="00780E53">
        <w:rPr>
          <w:rFonts w:ascii="Arial" w:hAnsi="Arial"/>
          <w:bCs/>
        </w:rPr>
        <w:t xml:space="preserve">he </w:t>
      </w:r>
      <w:r w:rsidR="00780E53" w:rsidRPr="00780E53">
        <w:rPr>
          <w:rFonts w:ascii="Arial" w:hAnsi="Arial"/>
          <w:bCs/>
        </w:rPr>
        <w:t xml:space="preserve">principle of legality </w:t>
      </w:r>
      <w:r w:rsidR="00E4559E">
        <w:rPr>
          <w:rFonts w:ascii="Arial" w:hAnsi="Arial"/>
          <w:bCs/>
        </w:rPr>
        <w:t xml:space="preserve">(which is </w:t>
      </w:r>
      <w:r w:rsidR="00780E53" w:rsidRPr="00780E53">
        <w:rPr>
          <w:rFonts w:ascii="Arial" w:hAnsi="Arial"/>
          <w:bCs/>
        </w:rPr>
        <w:t>an instance of the rule of law</w:t>
      </w:r>
      <w:r w:rsidR="00E4559E">
        <w:rPr>
          <w:rFonts w:ascii="Arial" w:hAnsi="Arial"/>
          <w:bCs/>
        </w:rPr>
        <w:t>)</w:t>
      </w:r>
      <w:r w:rsidR="00780E53" w:rsidRPr="00780E53">
        <w:rPr>
          <w:rFonts w:ascii="Arial" w:hAnsi="Arial"/>
          <w:bCs/>
        </w:rPr>
        <w:t>, which requires all public power to be exe</w:t>
      </w:r>
      <w:r w:rsidR="00927DFC">
        <w:rPr>
          <w:rFonts w:ascii="Arial" w:hAnsi="Arial"/>
          <w:bCs/>
        </w:rPr>
        <w:t>rcised</w:t>
      </w:r>
      <w:r w:rsidR="00780E53" w:rsidRPr="00780E53">
        <w:rPr>
          <w:rFonts w:ascii="Arial" w:hAnsi="Arial"/>
          <w:bCs/>
        </w:rPr>
        <w:t xml:space="preserve"> in accordance with the law, and not arbitrarily or unlawfully</w:t>
      </w:r>
      <w:r w:rsidR="00E4559E">
        <w:rPr>
          <w:rFonts w:ascii="Arial" w:hAnsi="Arial"/>
          <w:bCs/>
        </w:rPr>
        <w:t>?</w:t>
      </w:r>
      <w:r w:rsidR="00780E53" w:rsidRPr="00780E53">
        <w:rPr>
          <w:rFonts w:ascii="Arial" w:hAnsi="Arial"/>
          <w:bCs/>
        </w:rPr>
        <w:t xml:space="preserve"> In </w:t>
      </w:r>
      <w:r w:rsidR="00780E53" w:rsidRPr="00780E53">
        <w:rPr>
          <w:rFonts w:ascii="Arial" w:hAnsi="Arial"/>
          <w:bCs/>
          <w:i/>
          <w:iCs/>
        </w:rPr>
        <w:t>Pharmaceutical Manufacturer</w:t>
      </w:r>
      <w:r w:rsidR="00B97CFD">
        <w:rPr>
          <w:rFonts w:ascii="Arial" w:hAnsi="Arial"/>
          <w:bCs/>
          <w:i/>
          <w:iCs/>
        </w:rPr>
        <w:t>s Association of SA and Another</w:t>
      </w:r>
      <w:r w:rsidR="00780E53" w:rsidRPr="00780E53">
        <w:rPr>
          <w:rFonts w:ascii="Arial" w:hAnsi="Arial"/>
          <w:bCs/>
          <w:i/>
          <w:iCs/>
        </w:rPr>
        <w:t xml:space="preserve">: In re Ex Parte President of the Republic of South Africa and Others 2000 (2) SA 674 (CC) </w:t>
      </w:r>
      <w:r w:rsidR="00780E53" w:rsidRPr="00780E53">
        <w:rPr>
          <w:rFonts w:ascii="Arial" w:hAnsi="Arial"/>
          <w:bCs/>
        </w:rPr>
        <w:t>Chaskalson P said</w:t>
      </w:r>
      <w:r w:rsidR="00780E53" w:rsidRPr="00780E53">
        <w:rPr>
          <w:rStyle w:val="FootnoteReference"/>
          <w:rFonts w:ascii="Arial" w:hAnsi="Arial"/>
          <w:bCs/>
        </w:rPr>
        <w:footnoteReference w:id="9"/>
      </w:r>
      <w:r w:rsidR="00780E53" w:rsidRPr="00780E53">
        <w:rPr>
          <w:rFonts w:ascii="Arial" w:hAnsi="Arial"/>
          <w:bCs/>
        </w:rPr>
        <w:t>:</w:t>
      </w:r>
    </w:p>
    <w:p w14:paraId="5120F66B" w14:textId="77777777" w:rsidR="00780E53" w:rsidRDefault="00780E53" w:rsidP="00923755">
      <w:pPr>
        <w:spacing w:before="360" w:after="360" w:line="480" w:lineRule="auto"/>
        <w:ind w:left="142"/>
        <w:jc w:val="both"/>
        <w:rPr>
          <w:rFonts w:ascii="Arial" w:hAnsi="Arial"/>
          <w:bCs/>
          <w:sz w:val="22"/>
          <w:szCs w:val="22"/>
        </w:rPr>
      </w:pPr>
      <w:r>
        <w:rPr>
          <w:rFonts w:ascii="Arial" w:hAnsi="Arial"/>
          <w:bCs/>
          <w:sz w:val="22"/>
          <w:szCs w:val="22"/>
        </w:rPr>
        <w:t>“</w:t>
      </w:r>
      <w:r w:rsidR="000A4A55">
        <w:rPr>
          <w:rFonts w:ascii="Arial" w:hAnsi="Arial"/>
          <w:bCs/>
          <w:sz w:val="22"/>
          <w:szCs w:val="22"/>
        </w:rPr>
        <w:t>It is a requirement of the rule of law that the exercise of public power by the Executive and other functionaries should not be arbitrary. Decisions must be rationally related to the purpose for which the power was given, otherwise they are in effect arbitrary and inconsistent with this requirement. It follows that in order to pass constitutional scrutiny the exercise of public power by the Executive and other functionaries must, at least, comply with this requirement. If it does not, it falls short of the standards demanded by our Constitution for such action.”</w:t>
      </w:r>
    </w:p>
    <w:p w14:paraId="789A3E29" w14:textId="77777777" w:rsidR="000E301B" w:rsidRDefault="000A4A55" w:rsidP="000E301B">
      <w:pPr>
        <w:spacing w:before="360" w:after="360" w:line="480" w:lineRule="auto"/>
        <w:jc w:val="both"/>
        <w:rPr>
          <w:rFonts w:ascii="Arial" w:hAnsi="Arial"/>
          <w:bCs/>
        </w:rPr>
      </w:pPr>
      <w:r>
        <w:rPr>
          <w:rFonts w:ascii="Arial" w:hAnsi="Arial"/>
          <w:bCs/>
        </w:rPr>
        <w:t>[3</w:t>
      </w:r>
      <w:r w:rsidR="00D73C85">
        <w:rPr>
          <w:rFonts w:ascii="Arial" w:hAnsi="Arial"/>
          <w:bCs/>
        </w:rPr>
        <w:t>2</w:t>
      </w:r>
      <w:r>
        <w:rPr>
          <w:rFonts w:ascii="Arial" w:hAnsi="Arial"/>
          <w:bCs/>
        </w:rPr>
        <w:t>]</w:t>
      </w:r>
      <w:r>
        <w:rPr>
          <w:rFonts w:ascii="Arial" w:hAnsi="Arial"/>
          <w:bCs/>
        </w:rPr>
        <w:tab/>
      </w:r>
      <w:r w:rsidR="000E301B">
        <w:rPr>
          <w:rFonts w:ascii="Arial" w:hAnsi="Arial"/>
          <w:bCs/>
        </w:rPr>
        <w:t xml:space="preserve">In </w:t>
      </w:r>
      <w:r w:rsidR="000E301B">
        <w:rPr>
          <w:rFonts w:ascii="Arial" w:hAnsi="Arial"/>
          <w:bCs/>
          <w:i/>
          <w:iCs/>
        </w:rPr>
        <w:t>Affordable Medicines Trust and Others v Minister of Health and Others 2006 (3) SA 247 (CC)</w:t>
      </w:r>
      <w:r w:rsidR="000E301B">
        <w:rPr>
          <w:rFonts w:ascii="Arial" w:hAnsi="Arial"/>
          <w:bCs/>
        </w:rPr>
        <w:t xml:space="preserve"> at para 49 the Court held:</w:t>
      </w:r>
    </w:p>
    <w:p w14:paraId="504F9C2F" w14:textId="77777777" w:rsidR="000E301B" w:rsidRPr="00FB350A" w:rsidRDefault="000E301B" w:rsidP="00923755">
      <w:pPr>
        <w:spacing w:before="360" w:after="360" w:line="480" w:lineRule="auto"/>
        <w:ind w:left="142"/>
        <w:jc w:val="both"/>
        <w:rPr>
          <w:rFonts w:ascii="Arial" w:hAnsi="Arial"/>
          <w:bCs/>
          <w:sz w:val="22"/>
          <w:szCs w:val="22"/>
        </w:rPr>
      </w:pPr>
      <w:r w:rsidRPr="00FB350A">
        <w:rPr>
          <w:rFonts w:ascii="Arial" w:hAnsi="Arial"/>
          <w:bCs/>
          <w:sz w:val="22"/>
          <w:szCs w:val="22"/>
        </w:rPr>
        <w:lastRenderedPageBreak/>
        <w:t>“The exercise of public power must therefore comply with the Constitution, which is the supreme law, and the doctrine of legality, which is part of that law.”</w:t>
      </w:r>
    </w:p>
    <w:p w14:paraId="1927A97E" w14:textId="77777777" w:rsidR="000E301B" w:rsidRPr="000E301B" w:rsidRDefault="000E301B" w:rsidP="000E301B">
      <w:pPr>
        <w:spacing w:before="360" w:after="360" w:line="480" w:lineRule="auto"/>
        <w:jc w:val="both"/>
        <w:rPr>
          <w:rFonts w:ascii="Arial" w:hAnsi="Arial"/>
          <w:bCs/>
        </w:rPr>
      </w:pPr>
      <w:r w:rsidRPr="000E301B">
        <w:rPr>
          <w:rFonts w:ascii="Arial" w:hAnsi="Arial"/>
          <w:bCs/>
        </w:rPr>
        <w:t>[3</w:t>
      </w:r>
      <w:r w:rsidR="00D73C85">
        <w:rPr>
          <w:rFonts w:ascii="Arial" w:hAnsi="Arial"/>
          <w:bCs/>
        </w:rPr>
        <w:t>3</w:t>
      </w:r>
      <w:r w:rsidRPr="000E301B">
        <w:rPr>
          <w:rFonts w:ascii="Arial" w:hAnsi="Arial"/>
          <w:bCs/>
        </w:rPr>
        <w:t>]</w:t>
      </w:r>
      <w:r w:rsidRPr="000E301B">
        <w:rPr>
          <w:rFonts w:ascii="Arial" w:hAnsi="Arial"/>
          <w:bCs/>
        </w:rPr>
        <w:tab/>
        <w:t xml:space="preserve">In </w:t>
      </w:r>
      <w:r w:rsidRPr="000E301B">
        <w:rPr>
          <w:rFonts w:ascii="Arial" w:hAnsi="Arial"/>
          <w:bCs/>
          <w:i/>
          <w:iCs/>
        </w:rPr>
        <w:t>Minister of Defence v Motau 2014 (5) SA 69 (CC)</w:t>
      </w:r>
      <w:r w:rsidR="00843653">
        <w:rPr>
          <w:rFonts w:ascii="Arial" w:hAnsi="Arial"/>
          <w:bCs/>
          <w:i/>
          <w:iCs/>
        </w:rPr>
        <w:t xml:space="preserve"> at para 69</w:t>
      </w:r>
      <w:r w:rsidRPr="000E301B">
        <w:rPr>
          <w:rFonts w:ascii="Arial" w:hAnsi="Arial"/>
          <w:bCs/>
        </w:rPr>
        <w:t xml:space="preserve"> the court explained the rationality test as follows:</w:t>
      </w:r>
    </w:p>
    <w:p w14:paraId="219E0843" w14:textId="77777777" w:rsidR="000E301B" w:rsidRPr="00FB350A" w:rsidRDefault="000E301B" w:rsidP="00843653">
      <w:pPr>
        <w:spacing w:before="360" w:after="360" w:line="480" w:lineRule="auto"/>
        <w:jc w:val="both"/>
        <w:rPr>
          <w:rFonts w:ascii="Arial" w:hAnsi="Arial"/>
          <w:bCs/>
          <w:i/>
          <w:iCs/>
          <w:sz w:val="22"/>
          <w:szCs w:val="22"/>
        </w:rPr>
      </w:pPr>
      <w:r w:rsidRPr="00FB350A">
        <w:rPr>
          <w:rFonts w:ascii="Arial" w:hAnsi="Arial"/>
          <w:bCs/>
          <w:i/>
          <w:iCs/>
          <w:sz w:val="22"/>
          <w:szCs w:val="22"/>
        </w:rPr>
        <w:t xml:space="preserve">“For an exercise of public power to </w:t>
      </w:r>
      <w:r w:rsidR="00843653" w:rsidRPr="00FB350A">
        <w:rPr>
          <w:rFonts w:ascii="Arial" w:hAnsi="Arial"/>
          <w:bCs/>
          <w:i/>
          <w:iCs/>
          <w:sz w:val="22"/>
          <w:szCs w:val="22"/>
        </w:rPr>
        <w:t>meet this standard, it must be rationally related to the purpose for which the power was given. It is also well established that the test for rationality is objective and is distinct from that of reasonableness.”</w:t>
      </w:r>
    </w:p>
    <w:p w14:paraId="46AFC2BD" w14:textId="77777777" w:rsidR="000A4A55" w:rsidRDefault="000E301B" w:rsidP="00923755">
      <w:pPr>
        <w:spacing w:before="360" w:after="360" w:line="480" w:lineRule="auto"/>
        <w:ind w:left="142"/>
        <w:jc w:val="both"/>
        <w:rPr>
          <w:rFonts w:ascii="Arial" w:hAnsi="Arial"/>
          <w:bCs/>
        </w:rPr>
      </w:pPr>
      <w:r>
        <w:rPr>
          <w:rFonts w:ascii="Arial" w:hAnsi="Arial"/>
          <w:bCs/>
        </w:rPr>
        <w:t>[3</w:t>
      </w:r>
      <w:r w:rsidR="00D73C85">
        <w:rPr>
          <w:rFonts w:ascii="Arial" w:hAnsi="Arial"/>
          <w:bCs/>
        </w:rPr>
        <w:t>4</w:t>
      </w:r>
      <w:r>
        <w:rPr>
          <w:rFonts w:ascii="Arial" w:hAnsi="Arial"/>
          <w:bCs/>
        </w:rPr>
        <w:t>]</w:t>
      </w:r>
      <w:r>
        <w:rPr>
          <w:rFonts w:ascii="Arial" w:hAnsi="Arial"/>
          <w:bCs/>
        </w:rPr>
        <w:tab/>
      </w:r>
      <w:r w:rsidR="000A4A55">
        <w:rPr>
          <w:rFonts w:ascii="Arial" w:hAnsi="Arial"/>
          <w:bCs/>
        </w:rPr>
        <w:t>More recently, the Constitutional Court has expanded the notion of rationality</w:t>
      </w:r>
      <w:r w:rsidR="004153F3">
        <w:rPr>
          <w:rFonts w:ascii="Arial" w:hAnsi="Arial"/>
          <w:bCs/>
        </w:rPr>
        <w:t xml:space="preserve"> (which is ever-expanding in scope)</w:t>
      </w:r>
      <w:r w:rsidR="000A4A55">
        <w:rPr>
          <w:rFonts w:ascii="Arial" w:hAnsi="Arial"/>
          <w:bCs/>
        </w:rPr>
        <w:t xml:space="preserve"> to include the requirement of procedural fairness</w:t>
      </w:r>
      <w:r w:rsidR="00FB350A">
        <w:rPr>
          <w:rFonts w:ascii="Arial" w:hAnsi="Arial"/>
          <w:bCs/>
        </w:rPr>
        <w:t xml:space="preserve"> in some instances</w:t>
      </w:r>
      <w:r w:rsidR="000A4A55">
        <w:rPr>
          <w:rFonts w:ascii="Arial" w:hAnsi="Arial"/>
          <w:bCs/>
        </w:rPr>
        <w:t xml:space="preserve">. In </w:t>
      </w:r>
      <w:r w:rsidR="000A4A55" w:rsidRPr="000A4A55">
        <w:rPr>
          <w:rFonts w:ascii="Arial" w:hAnsi="Arial"/>
          <w:bCs/>
          <w:i/>
          <w:iCs/>
        </w:rPr>
        <w:t>Albutt</w:t>
      </w:r>
      <w:r w:rsidR="000A4A55">
        <w:rPr>
          <w:rFonts w:ascii="Arial" w:hAnsi="Arial"/>
          <w:bCs/>
          <w:i/>
          <w:iCs/>
        </w:rPr>
        <w:t xml:space="preserve"> v Centre for the Study of Violence and Reconciliation and Others 2010 (3) SA 293 (CC)</w:t>
      </w:r>
      <w:r w:rsidR="000A4A55">
        <w:rPr>
          <w:rFonts w:ascii="Arial" w:hAnsi="Arial"/>
          <w:bCs/>
        </w:rPr>
        <w:t xml:space="preserve"> the issue was the President’s decision to pardon certain offenders</w:t>
      </w:r>
      <w:r w:rsidR="0016661A">
        <w:rPr>
          <w:rFonts w:ascii="Arial" w:hAnsi="Arial"/>
          <w:bCs/>
        </w:rPr>
        <w:t xml:space="preserve"> under a special dispensation</w:t>
      </w:r>
      <w:r w:rsidR="000A4A55">
        <w:rPr>
          <w:rFonts w:ascii="Arial" w:hAnsi="Arial"/>
          <w:bCs/>
        </w:rPr>
        <w:t xml:space="preserve">, without having given the victims an opportunity to be heard. </w:t>
      </w:r>
      <w:r w:rsidR="0016661A">
        <w:rPr>
          <w:rFonts w:ascii="Arial" w:hAnsi="Arial"/>
          <w:bCs/>
        </w:rPr>
        <w:t xml:space="preserve">Ngcobo CJ made the point that a Court may not interfere with the means selected by the functionary to achieve its purpose simply because it disapproved thereof, or believed that there were better means to be adopted. A Court can only interfere where the means adopted </w:t>
      </w:r>
      <w:r w:rsidR="0051376B">
        <w:rPr>
          <w:rFonts w:ascii="Arial" w:hAnsi="Arial"/>
          <w:bCs/>
        </w:rPr>
        <w:t>were</w:t>
      </w:r>
      <w:r w:rsidR="0016661A">
        <w:rPr>
          <w:rFonts w:ascii="Arial" w:hAnsi="Arial"/>
          <w:bCs/>
        </w:rPr>
        <w:t xml:space="preserve"> not rationally related to the objective sought to be achieved. The Court held that the purpose of the special dispensation was nation-building and reconciliation, and that the exclusion of the victims from the process of consideration was irrational.</w:t>
      </w:r>
      <w:r w:rsidR="004153F3">
        <w:rPr>
          <w:rFonts w:ascii="Arial" w:hAnsi="Arial"/>
          <w:bCs/>
        </w:rPr>
        <w:t xml:space="preserve"> For that reason, the decision not to give the victims an audience was procedurally unfair and thus not rationally related to the outcome sought to be achieved.</w:t>
      </w:r>
    </w:p>
    <w:p w14:paraId="5FCEA2AD" w14:textId="77777777" w:rsidR="0016661A" w:rsidRDefault="0016661A" w:rsidP="00136360">
      <w:pPr>
        <w:spacing w:before="360" w:after="360" w:line="480" w:lineRule="auto"/>
        <w:ind w:left="142"/>
        <w:jc w:val="both"/>
        <w:rPr>
          <w:rFonts w:ascii="Arial" w:hAnsi="Arial"/>
          <w:bCs/>
        </w:rPr>
      </w:pPr>
      <w:r>
        <w:rPr>
          <w:rFonts w:ascii="Arial" w:hAnsi="Arial"/>
          <w:bCs/>
        </w:rPr>
        <w:lastRenderedPageBreak/>
        <w:t>[3</w:t>
      </w:r>
      <w:r w:rsidR="00D73C85">
        <w:rPr>
          <w:rFonts w:ascii="Arial" w:hAnsi="Arial"/>
          <w:bCs/>
        </w:rPr>
        <w:t>5</w:t>
      </w:r>
      <w:r>
        <w:rPr>
          <w:rFonts w:ascii="Arial" w:hAnsi="Arial"/>
          <w:bCs/>
        </w:rPr>
        <w:t>]</w:t>
      </w:r>
      <w:r>
        <w:rPr>
          <w:rFonts w:ascii="Arial" w:hAnsi="Arial"/>
          <w:bCs/>
        </w:rPr>
        <w:tab/>
        <w:t xml:space="preserve">Also, in </w:t>
      </w:r>
      <w:r>
        <w:rPr>
          <w:rFonts w:ascii="Arial" w:hAnsi="Arial"/>
          <w:bCs/>
          <w:i/>
          <w:iCs/>
        </w:rPr>
        <w:t>Competition Commission of SA v Telkom Ltd [2010]</w:t>
      </w:r>
      <w:r>
        <w:rPr>
          <w:rFonts w:ascii="Arial" w:hAnsi="Arial"/>
          <w:bCs/>
          <w:i/>
          <w:iCs/>
        </w:rPr>
        <w:tab/>
        <w:t xml:space="preserve">2 ALL SA 433 (SCA) </w:t>
      </w:r>
      <w:r>
        <w:rPr>
          <w:rFonts w:ascii="Arial" w:hAnsi="Arial"/>
          <w:bCs/>
        </w:rPr>
        <w:t>the Court pointed out that procedural fairness is an element of natural justice</w:t>
      </w:r>
      <w:r w:rsidR="00927DFC">
        <w:rPr>
          <w:rFonts w:ascii="Arial" w:hAnsi="Arial"/>
          <w:bCs/>
        </w:rPr>
        <w:t xml:space="preserve"> (in that case, the absence of bias)</w:t>
      </w:r>
      <w:r>
        <w:rPr>
          <w:rFonts w:ascii="Arial" w:hAnsi="Arial"/>
          <w:bCs/>
        </w:rPr>
        <w:t xml:space="preserve">. It is therefore imperative that the exercise of any public power must </w:t>
      </w:r>
      <w:r w:rsidR="00136360">
        <w:rPr>
          <w:rFonts w:ascii="Arial" w:hAnsi="Arial"/>
          <w:bCs/>
        </w:rPr>
        <w:t>be in accordance with the laws of natural justice, which includes the right to be heard</w:t>
      </w:r>
      <w:r w:rsidR="0040460F">
        <w:rPr>
          <w:rFonts w:ascii="Arial" w:hAnsi="Arial"/>
          <w:bCs/>
        </w:rPr>
        <w:t>,</w:t>
      </w:r>
      <w:r w:rsidR="00136360">
        <w:rPr>
          <w:rFonts w:ascii="Arial" w:hAnsi="Arial"/>
          <w:bCs/>
        </w:rPr>
        <w:t xml:space="preserve"> in appropriate circumstances.</w:t>
      </w:r>
    </w:p>
    <w:p w14:paraId="1543B4C5" w14:textId="77777777" w:rsidR="00AC1017" w:rsidRDefault="00136360" w:rsidP="00923755">
      <w:pPr>
        <w:spacing w:before="360" w:after="360" w:line="480" w:lineRule="auto"/>
        <w:ind w:left="142"/>
        <w:jc w:val="both"/>
        <w:rPr>
          <w:rFonts w:ascii="Arial" w:hAnsi="Arial"/>
          <w:bCs/>
        </w:rPr>
      </w:pPr>
      <w:r>
        <w:rPr>
          <w:rFonts w:ascii="Arial" w:hAnsi="Arial"/>
          <w:bCs/>
        </w:rPr>
        <w:t>[3</w:t>
      </w:r>
      <w:r w:rsidR="00D73C85">
        <w:rPr>
          <w:rFonts w:ascii="Arial" w:hAnsi="Arial"/>
          <w:bCs/>
        </w:rPr>
        <w:t>6</w:t>
      </w:r>
      <w:r>
        <w:rPr>
          <w:rFonts w:ascii="Arial" w:hAnsi="Arial"/>
          <w:bCs/>
        </w:rPr>
        <w:t>]</w:t>
      </w:r>
      <w:r>
        <w:rPr>
          <w:rFonts w:ascii="Arial" w:hAnsi="Arial"/>
          <w:bCs/>
        </w:rPr>
        <w:tab/>
      </w:r>
      <w:r w:rsidR="00825B03">
        <w:rPr>
          <w:rFonts w:ascii="Arial" w:hAnsi="Arial"/>
          <w:bCs/>
        </w:rPr>
        <w:t xml:space="preserve">In </w:t>
      </w:r>
      <w:r w:rsidR="00825B03">
        <w:rPr>
          <w:rFonts w:ascii="Arial" w:hAnsi="Arial"/>
          <w:bCs/>
          <w:i/>
          <w:iCs/>
        </w:rPr>
        <w:t>Masuku v Special Investigating Unit and Others [2021] ZAGPPHC</w:t>
      </w:r>
      <w:r w:rsidR="00825B03">
        <w:rPr>
          <w:rFonts w:ascii="Arial" w:hAnsi="Arial"/>
          <w:bCs/>
        </w:rPr>
        <w:t xml:space="preserve"> the Applicant brought an application to review a report of the SIU concerning certain irregularities in the procurement of personal protective equipment. </w:t>
      </w:r>
      <w:r w:rsidR="00843653">
        <w:rPr>
          <w:rFonts w:ascii="Arial" w:hAnsi="Arial"/>
          <w:bCs/>
        </w:rPr>
        <w:t xml:space="preserve">The report was a first report which addressed the conduct of the applicant in the interim. </w:t>
      </w:r>
      <w:r w:rsidR="00825B03">
        <w:rPr>
          <w:rFonts w:ascii="Arial" w:hAnsi="Arial"/>
          <w:bCs/>
        </w:rPr>
        <w:t xml:space="preserve">Although the applicant was not implicated in the irregularities, the report pointed to a dereliction of duty, and it recommended to the Premier that administrative action should be taken against applicant. </w:t>
      </w:r>
      <w:r w:rsidR="00AC1017">
        <w:rPr>
          <w:rFonts w:ascii="Arial" w:hAnsi="Arial"/>
          <w:bCs/>
        </w:rPr>
        <w:t>The applicant was subsequently dismissed, which moved him to apply for the review of the report. It was accepted that the report was not reviewable under PAJA, and that the review was brought on the basis of legality.</w:t>
      </w:r>
    </w:p>
    <w:p w14:paraId="617AAEF3" w14:textId="77777777" w:rsidR="00AC1017" w:rsidRDefault="00AC1017" w:rsidP="00AC1017">
      <w:pPr>
        <w:spacing w:before="360" w:after="360" w:line="480" w:lineRule="auto"/>
        <w:ind w:left="142"/>
        <w:jc w:val="both"/>
        <w:rPr>
          <w:rFonts w:ascii="Arial" w:hAnsi="Arial"/>
          <w:bCs/>
        </w:rPr>
      </w:pPr>
      <w:r>
        <w:rPr>
          <w:rFonts w:ascii="Arial" w:hAnsi="Arial"/>
          <w:bCs/>
        </w:rPr>
        <w:t>[3</w:t>
      </w:r>
      <w:r w:rsidR="00D73C85">
        <w:rPr>
          <w:rFonts w:ascii="Arial" w:hAnsi="Arial"/>
          <w:bCs/>
        </w:rPr>
        <w:t>7</w:t>
      </w:r>
      <w:r>
        <w:rPr>
          <w:rFonts w:ascii="Arial" w:hAnsi="Arial"/>
          <w:bCs/>
        </w:rPr>
        <w:t>]</w:t>
      </w:r>
      <w:r>
        <w:rPr>
          <w:rFonts w:ascii="Arial" w:hAnsi="Arial"/>
          <w:bCs/>
        </w:rPr>
        <w:tab/>
      </w:r>
      <w:r w:rsidR="00825B03">
        <w:rPr>
          <w:rFonts w:ascii="Arial" w:hAnsi="Arial"/>
          <w:bCs/>
        </w:rPr>
        <w:t xml:space="preserve">The Court had to determine two questions. The first was whether the report of the SIU </w:t>
      </w:r>
      <w:r w:rsidR="003D75C3">
        <w:rPr>
          <w:rFonts w:ascii="Arial" w:hAnsi="Arial"/>
          <w:bCs/>
        </w:rPr>
        <w:t>entailed the exercise of public power which would be</w:t>
      </w:r>
      <w:r w:rsidR="00825B03">
        <w:rPr>
          <w:rFonts w:ascii="Arial" w:hAnsi="Arial"/>
          <w:bCs/>
        </w:rPr>
        <w:t xml:space="preserve"> reviewable</w:t>
      </w:r>
      <w:r>
        <w:rPr>
          <w:rFonts w:ascii="Arial" w:hAnsi="Arial"/>
          <w:bCs/>
        </w:rPr>
        <w:t xml:space="preserve"> under the principle of legality</w:t>
      </w:r>
      <w:r w:rsidR="00825B03">
        <w:rPr>
          <w:rFonts w:ascii="Arial" w:hAnsi="Arial"/>
          <w:bCs/>
        </w:rPr>
        <w:t>, and secondly, if it were, whether the recommendation was rationally connected to the purpose which the SIU</w:t>
      </w:r>
      <w:r w:rsidR="003D75C3">
        <w:rPr>
          <w:rFonts w:ascii="Arial" w:hAnsi="Arial"/>
          <w:bCs/>
        </w:rPr>
        <w:t xml:space="preserve"> sought to achieve</w:t>
      </w:r>
      <w:r w:rsidR="00843653">
        <w:rPr>
          <w:rFonts w:ascii="Arial" w:hAnsi="Arial"/>
          <w:bCs/>
        </w:rPr>
        <w:t xml:space="preserve">, which was to enquire into allegations of irregularity and corruption. </w:t>
      </w:r>
    </w:p>
    <w:p w14:paraId="3A9681C2" w14:textId="77777777" w:rsidR="00825B03" w:rsidRDefault="00825B03" w:rsidP="00923755">
      <w:pPr>
        <w:spacing w:before="360" w:after="360" w:line="480" w:lineRule="auto"/>
        <w:ind w:left="142"/>
        <w:jc w:val="both"/>
        <w:rPr>
          <w:rFonts w:ascii="Arial" w:hAnsi="Arial"/>
          <w:bCs/>
        </w:rPr>
      </w:pPr>
      <w:r>
        <w:rPr>
          <w:rFonts w:ascii="Arial" w:hAnsi="Arial"/>
          <w:bCs/>
        </w:rPr>
        <w:lastRenderedPageBreak/>
        <w:t>[</w:t>
      </w:r>
      <w:r w:rsidR="00D73C85">
        <w:rPr>
          <w:rFonts w:ascii="Arial" w:hAnsi="Arial"/>
          <w:bCs/>
        </w:rPr>
        <w:t>38</w:t>
      </w:r>
      <w:r>
        <w:rPr>
          <w:rFonts w:ascii="Arial" w:hAnsi="Arial"/>
          <w:bCs/>
        </w:rPr>
        <w:t>]</w:t>
      </w:r>
      <w:r>
        <w:rPr>
          <w:rFonts w:ascii="Arial" w:hAnsi="Arial"/>
          <w:bCs/>
        </w:rPr>
        <w:tab/>
      </w:r>
      <w:r w:rsidR="00051B1E">
        <w:rPr>
          <w:rFonts w:ascii="Arial" w:hAnsi="Arial"/>
          <w:bCs/>
        </w:rPr>
        <w:t>T</w:t>
      </w:r>
      <w:r>
        <w:rPr>
          <w:rFonts w:ascii="Arial" w:hAnsi="Arial"/>
          <w:bCs/>
        </w:rPr>
        <w:t xml:space="preserve">he Court referred to </w:t>
      </w:r>
      <w:r w:rsidR="00401604">
        <w:rPr>
          <w:rFonts w:ascii="Arial" w:hAnsi="Arial"/>
          <w:bCs/>
        </w:rPr>
        <w:t>Prof</w:t>
      </w:r>
      <w:r w:rsidR="003D75C3">
        <w:rPr>
          <w:rFonts w:ascii="Arial" w:hAnsi="Arial"/>
          <w:bCs/>
        </w:rPr>
        <w:t>.</w:t>
      </w:r>
      <w:r w:rsidR="00401604">
        <w:rPr>
          <w:rFonts w:ascii="Arial" w:hAnsi="Arial"/>
          <w:bCs/>
        </w:rPr>
        <w:t xml:space="preserve"> Cora </w:t>
      </w:r>
      <w:r>
        <w:rPr>
          <w:rFonts w:ascii="Arial" w:hAnsi="Arial"/>
          <w:bCs/>
        </w:rPr>
        <w:t>Hoexter</w:t>
      </w:r>
      <w:r w:rsidR="00401604">
        <w:rPr>
          <w:rStyle w:val="FootnoteReference"/>
          <w:rFonts w:ascii="Arial" w:hAnsi="Arial"/>
          <w:bCs/>
        </w:rPr>
        <w:footnoteReference w:id="10"/>
      </w:r>
      <w:r w:rsidR="00401604">
        <w:rPr>
          <w:rFonts w:ascii="Arial" w:hAnsi="Arial"/>
          <w:bCs/>
        </w:rPr>
        <w:t xml:space="preserve"> who ma</w:t>
      </w:r>
      <w:r w:rsidR="00FB350A">
        <w:rPr>
          <w:rFonts w:ascii="Arial" w:hAnsi="Arial"/>
          <w:bCs/>
        </w:rPr>
        <w:t>kes</w:t>
      </w:r>
      <w:r w:rsidR="00401604">
        <w:rPr>
          <w:rFonts w:ascii="Arial" w:hAnsi="Arial"/>
          <w:bCs/>
        </w:rPr>
        <w:t xml:space="preserve"> two points. Firstly, to determine whether a public function has been exercised, one looks to</w:t>
      </w:r>
      <w:r w:rsidR="00051B1E">
        <w:rPr>
          <w:rFonts w:ascii="Arial" w:hAnsi="Arial"/>
          <w:bCs/>
        </w:rPr>
        <w:t xml:space="preserve"> the source of the power exercised, and the impact of the power on the public, and</w:t>
      </w:r>
      <w:r w:rsidR="00401604">
        <w:rPr>
          <w:rFonts w:ascii="Arial" w:hAnsi="Arial"/>
          <w:bCs/>
        </w:rPr>
        <w:t>,</w:t>
      </w:r>
      <w:r w:rsidR="00051B1E">
        <w:rPr>
          <w:rFonts w:ascii="Arial" w:hAnsi="Arial"/>
          <w:bCs/>
        </w:rPr>
        <w:t xml:space="preserve"> secondly,</w:t>
      </w:r>
      <w:r w:rsidR="00401604">
        <w:rPr>
          <w:rFonts w:ascii="Arial" w:hAnsi="Arial"/>
          <w:bCs/>
        </w:rPr>
        <w:t xml:space="preserve"> what is and is not a public power must be determined on a case-by-case basis. </w:t>
      </w:r>
    </w:p>
    <w:p w14:paraId="3AFCD561" w14:textId="77777777" w:rsidR="00401604" w:rsidRDefault="00401604" w:rsidP="00923755">
      <w:pPr>
        <w:spacing w:before="360" w:after="360" w:line="480" w:lineRule="auto"/>
        <w:ind w:left="142"/>
        <w:jc w:val="both"/>
        <w:rPr>
          <w:rFonts w:ascii="Arial" w:hAnsi="Arial"/>
          <w:bCs/>
        </w:rPr>
      </w:pPr>
      <w:r>
        <w:rPr>
          <w:rFonts w:ascii="Arial" w:hAnsi="Arial"/>
          <w:bCs/>
        </w:rPr>
        <w:t>[</w:t>
      </w:r>
      <w:r w:rsidR="00D73C85">
        <w:rPr>
          <w:rFonts w:ascii="Arial" w:hAnsi="Arial"/>
          <w:bCs/>
        </w:rPr>
        <w:t>39</w:t>
      </w:r>
      <w:r>
        <w:rPr>
          <w:rFonts w:ascii="Arial" w:hAnsi="Arial"/>
          <w:bCs/>
        </w:rPr>
        <w:t>]</w:t>
      </w:r>
      <w:r>
        <w:rPr>
          <w:rFonts w:ascii="Arial" w:hAnsi="Arial"/>
          <w:bCs/>
        </w:rPr>
        <w:tab/>
        <w:t xml:space="preserve">With reference to </w:t>
      </w:r>
      <w:r>
        <w:rPr>
          <w:rFonts w:ascii="Arial" w:hAnsi="Arial"/>
          <w:bCs/>
          <w:i/>
          <w:iCs/>
        </w:rPr>
        <w:t>DPP v Freedom under Law 2014 (4) SA 298 (SCA)</w:t>
      </w:r>
      <w:r>
        <w:rPr>
          <w:rFonts w:ascii="Arial" w:hAnsi="Arial"/>
          <w:bCs/>
        </w:rPr>
        <w:t xml:space="preserve"> the Court said that policy considerations in each case would be the chief determinant of what acts and decisions may be reviewed under the principle of legality.  The Court then went on to say:</w:t>
      </w:r>
    </w:p>
    <w:p w14:paraId="1092C548" w14:textId="77777777" w:rsidR="00401604" w:rsidRDefault="003B2A59" w:rsidP="003B2A59">
      <w:pPr>
        <w:spacing w:before="360" w:after="360" w:line="480" w:lineRule="auto"/>
        <w:ind w:left="720" w:hanging="578"/>
        <w:jc w:val="both"/>
        <w:rPr>
          <w:rFonts w:ascii="Arial" w:hAnsi="Arial"/>
          <w:bCs/>
          <w:sz w:val="22"/>
          <w:szCs w:val="22"/>
        </w:rPr>
      </w:pPr>
      <w:r>
        <w:rPr>
          <w:rFonts w:ascii="Arial" w:hAnsi="Arial"/>
          <w:bCs/>
          <w:sz w:val="22"/>
          <w:szCs w:val="22"/>
        </w:rPr>
        <w:t>[21]</w:t>
      </w:r>
      <w:r>
        <w:rPr>
          <w:rFonts w:ascii="Arial" w:hAnsi="Arial"/>
          <w:bCs/>
          <w:sz w:val="22"/>
          <w:szCs w:val="22"/>
        </w:rPr>
        <w:tab/>
      </w:r>
      <w:r w:rsidR="00401604">
        <w:rPr>
          <w:rFonts w:ascii="Arial" w:hAnsi="Arial"/>
          <w:bCs/>
          <w:sz w:val="22"/>
          <w:szCs w:val="22"/>
        </w:rPr>
        <w:t>“The ‘source’ of the SIU’s power to investigate and to report is, plainly, statutory. What of its impact on the public</w:t>
      </w:r>
      <w:r w:rsidR="004153F3">
        <w:rPr>
          <w:rFonts w:ascii="Arial" w:hAnsi="Arial"/>
          <w:bCs/>
          <w:sz w:val="22"/>
          <w:szCs w:val="22"/>
        </w:rPr>
        <w:t xml:space="preserve">? </w:t>
      </w:r>
      <w:r w:rsidR="00401604">
        <w:rPr>
          <w:rFonts w:ascii="Arial" w:hAnsi="Arial"/>
          <w:bCs/>
          <w:sz w:val="22"/>
          <w:szCs w:val="22"/>
        </w:rPr>
        <w:t>True enough, the report of the SIU imposed no sanction. Yet it cannot cogently be said that the report had no influence or impact on persons caught up in the investigations or that a report could never be causally</w:t>
      </w:r>
      <w:r w:rsidR="0040460F">
        <w:rPr>
          <w:rFonts w:ascii="Arial" w:hAnsi="Arial"/>
          <w:bCs/>
          <w:sz w:val="22"/>
          <w:szCs w:val="22"/>
        </w:rPr>
        <w:t xml:space="preserve"> </w:t>
      </w:r>
      <w:r w:rsidR="00401604">
        <w:rPr>
          <w:rFonts w:ascii="Arial" w:hAnsi="Arial"/>
          <w:bCs/>
          <w:sz w:val="22"/>
          <w:szCs w:val="22"/>
        </w:rPr>
        <w:t>connected with a harm suffered by a person affected by the report.</w:t>
      </w:r>
    </w:p>
    <w:p w14:paraId="69A702DE" w14:textId="77777777" w:rsidR="003B2A59" w:rsidRDefault="003B2A59" w:rsidP="003B2A59">
      <w:pPr>
        <w:spacing w:before="360" w:after="360" w:line="480" w:lineRule="auto"/>
        <w:ind w:left="720" w:hanging="578"/>
        <w:jc w:val="both"/>
        <w:rPr>
          <w:rFonts w:ascii="Arial" w:hAnsi="Arial"/>
          <w:bCs/>
          <w:sz w:val="22"/>
          <w:szCs w:val="22"/>
        </w:rPr>
      </w:pPr>
      <w:r>
        <w:rPr>
          <w:rFonts w:ascii="Arial" w:hAnsi="Arial"/>
          <w:bCs/>
          <w:sz w:val="22"/>
          <w:szCs w:val="22"/>
        </w:rPr>
        <w:t>[22]</w:t>
      </w:r>
      <w:r>
        <w:rPr>
          <w:rFonts w:ascii="Arial" w:hAnsi="Arial"/>
          <w:bCs/>
          <w:sz w:val="22"/>
          <w:szCs w:val="22"/>
        </w:rPr>
        <w:tab/>
        <w:t>Dr Masuku is undoubtedly adversely affected. It is accepted by both parties that the Premier based his decision to remove Dr Masuku as MEC on the contents of the report. Moreover, apart from the ignomy of the removal, Dr Masuku’s reputation as a public office bearer has been dented. Whether in the long run, his political career will suffer remains to be seen, but in the short run, his political career has clearly been truncated.”</w:t>
      </w:r>
    </w:p>
    <w:p w14:paraId="4725E2D4" w14:textId="77777777" w:rsidR="00026D91" w:rsidRPr="00026D91" w:rsidRDefault="00026D91" w:rsidP="003B2A59">
      <w:pPr>
        <w:spacing w:before="360" w:after="360" w:line="480" w:lineRule="auto"/>
        <w:jc w:val="both"/>
        <w:rPr>
          <w:rFonts w:ascii="Arial" w:hAnsi="Arial"/>
          <w:bCs/>
        </w:rPr>
      </w:pPr>
      <w:r>
        <w:rPr>
          <w:rFonts w:ascii="Arial" w:hAnsi="Arial"/>
          <w:bCs/>
        </w:rPr>
        <w:lastRenderedPageBreak/>
        <w:t>[4</w:t>
      </w:r>
      <w:r w:rsidR="00D73C85">
        <w:rPr>
          <w:rFonts w:ascii="Arial" w:hAnsi="Arial"/>
          <w:bCs/>
        </w:rPr>
        <w:t>0</w:t>
      </w:r>
      <w:r>
        <w:rPr>
          <w:rFonts w:ascii="Arial" w:hAnsi="Arial"/>
          <w:bCs/>
        </w:rPr>
        <w:t>]</w:t>
      </w:r>
      <w:r>
        <w:rPr>
          <w:rFonts w:ascii="Arial" w:hAnsi="Arial"/>
          <w:bCs/>
        </w:rPr>
        <w:tab/>
        <w:t>The Court went on to say:</w:t>
      </w:r>
    </w:p>
    <w:p w14:paraId="137BB33D" w14:textId="77777777" w:rsidR="00026D91" w:rsidRPr="00026D91" w:rsidRDefault="00026D91" w:rsidP="003B2A59">
      <w:pPr>
        <w:spacing w:before="360" w:after="360" w:line="480" w:lineRule="auto"/>
        <w:jc w:val="both"/>
        <w:rPr>
          <w:rFonts w:ascii="Arial" w:hAnsi="Arial"/>
          <w:bCs/>
          <w:sz w:val="22"/>
          <w:szCs w:val="22"/>
        </w:rPr>
      </w:pPr>
      <w:r w:rsidRPr="00026D91">
        <w:rPr>
          <w:rFonts w:ascii="Arial" w:hAnsi="Arial"/>
          <w:bCs/>
          <w:sz w:val="22"/>
          <w:szCs w:val="22"/>
        </w:rPr>
        <w:t>“There can be no doubt that the SIU report</w:t>
      </w:r>
      <w:r w:rsidR="003D75C3">
        <w:rPr>
          <w:rFonts w:ascii="Arial" w:hAnsi="Arial"/>
          <w:bCs/>
          <w:sz w:val="22"/>
          <w:szCs w:val="22"/>
        </w:rPr>
        <w:t xml:space="preserve"> h</w:t>
      </w:r>
      <w:r w:rsidRPr="00026D91">
        <w:rPr>
          <w:rFonts w:ascii="Arial" w:hAnsi="Arial"/>
          <w:bCs/>
          <w:sz w:val="22"/>
          <w:szCs w:val="22"/>
        </w:rPr>
        <w:t xml:space="preserve">as had prejudicial consequences for Dr Masuku, as is evidenced by his loss of office, unlike the position in which N found itself in Rhino. But the example </w:t>
      </w:r>
      <w:r>
        <w:rPr>
          <w:rFonts w:ascii="Arial" w:hAnsi="Arial"/>
          <w:bCs/>
          <w:sz w:val="22"/>
          <w:szCs w:val="22"/>
        </w:rPr>
        <w:t>of Dr Masuku goes beyond his personal mishap; it is a significant illustration that should a statutory body, (even when no decision-making authority can be compelled to adopt it), express criticism of a person implicated in its realm of activity, material harm can flow therefrom. It is therefore wholly appropriate, as a matter of principle and of policy, that accountability for its actions should be recognized and thus, the ripeness of the report to be reviewed under the expanding scope of the principle of legality is demonstrated.”</w:t>
      </w:r>
      <w:r>
        <w:rPr>
          <w:rStyle w:val="FootnoteReference"/>
          <w:rFonts w:ascii="Arial" w:hAnsi="Arial"/>
          <w:bCs/>
          <w:sz w:val="22"/>
          <w:szCs w:val="22"/>
        </w:rPr>
        <w:footnoteReference w:id="11"/>
      </w:r>
    </w:p>
    <w:p w14:paraId="0B97E4EF" w14:textId="77777777" w:rsidR="00336454" w:rsidRDefault="003B2A59" w:rsidP="00026D91">
      <w:pPr>
        <w:spacing w:before="360" w:after="360" w:line="480" w:lineRule="auto"/>
        <w:jc w:val="both"/>
        <w:rPr>
          <w:rFonts w:ascii="Arial" w:hAnsi="Arial"/>
          <w:bCs/>
        </w:rPr>
      </w:pPr>
      <w:r w:rsidRPr="003B2A59">
        <w:rPr>
          <w:rFonts w:ascii="Arial" w:hAnsi="Arial"/>
          <w:bCs/>
        </w:rPr>
        <w:t>[</w:t>
      </w:r>
      <w:r w:rsidR="00026D91">
        <w:rPr>
          <w:rFonts w:ascii="Arial" w:hAnsi="Arial"/>
          <w:bCs/>
        </w:rPr>
        <w:t>4</w:t>
      </w:r>
      <w:r w:rsidR="00D73C85">
        <w:rPr>
          <w:rFonts w:ascii="Arial" w:hAnsi="Arial"/>
          <w:bCs/>
        </w:rPr>
        <w:t>1</w:t>
      </w:r>
      <w:r w:rsidRPr="003B2A59">
        <w:rPr>
          <w:rFonts w:ascii="Arial" w:hAnsi="Arial"/>
          <w:bCs/>
        </w:rPr>
        <w:t>]</w:t>
      </w:r>
      <w:r>
        <w:rPr>
          <w:rFonts w:ascii="Arial" w:hAnsi="Arial"/>
          <w:bCs/>
        </w:rPr>
        <w:tab/>
        <w:t xml:space="preserve">As in the </w:t>
      </w:r>
      <w:r>
        <w:rPr>
          <w:rFonts w:ascii="Arial" w:hAnsi="Arial"/>
          <w:bCs/>
          <w:i/>
          <w:iCs/>
        </w:rPr>
        <w:t xml:space="preserve">Masuku </w:t>
      </w:r>
      <w:r>
        <w:rPr>
          <w:rFonts w:ascii="Arial" w:hAnsi="Arial"/>
          <w:bCs/>
        </w:rPr>
        <w:t>matter, the investigator</w:t>
      </w:r>
      <w:r w:rsidR="001777E0">
        <w:rPr>
          <w:rFonts w:ascii="Arial" w:hAnsi="Arial"/>
          <w:bCs/>
        </w:rPr>
        <w:t xml:space="preserve"> in this case </w:t>
      </w:r>
      <w:r>
        <w:rPr>
          <w:rFonts w:ascii="Arial" w:hAnsi="Arial"/>
          <w:bCs/>
        </w:rPr>
        <w:t>did not take any steps against first respondent</w:t>
      </w:r>
      <w:r w:rsidR="001777E0">
        <w:rPr>
          <w:rFonts w:ascii="Arial" w:hAnsi="Arial"/>
          <w:bCs/>
        </w:rPr>
        <w:t xml:space="preserve">. In </w:t>
      </w:r>
      <w:r w:rsidR="001777E0">
        <w:rPr>
          <w:rFonts w:ascii="Arial" w:hAnsi="Arial"/>
          <w:bCs/>
          <w:i/>
          <w:iCs/>
        </w:rPr>
        <w:t>Masuku</w:t>
      </w:r>
      <w:r w:rsidR="001777E0">
        <w:rPr>
          <w:rFonts w:ascii="Arial" w:hAnsi="Arial"/>
          <w:bCs/>
        </w:rPr>
        <w:t xml:space="preserve"> the applicant was accused of a dereliction of duty. </w:t>
      </w:r>
      <w:r w:rsidR="00336454">
        <w:rPr>
          <w:rFonts w:ascii="Arial" w:hAnsi="Arial"/>
          <w:bCs/>
        </w:rPr>
        <w:t xml:space="preserve">In this case </w:t>
      </w:r>
      <w:r w:rsidR="004153F3">
        <w:rPr>
          <w:rFonts w:ascii="Arial" w:hAnsi="Arial"/>
          <w:bCs/>
        </w:rPr>
        <w:t xml:space="preserve">the report </w:t>
      </w:r>
      <w:r w:rsidR="00336454">
        <w:rPr>
          <w:rFonts w:ascii="Arial" w:hAnsi="Arial"/>
          <w:bCs/>
        </w:rPr>
        <w:t xml:space="preserve">unarguably implicated </w:t>
      </w:r>
      <w:r w:rsidR="004153F3">
        <w:rPr>
          <w:rFonts w:ascii="Arial" w:hAnsi="Arial"/>
          <w:bCs/>
        </w:rPr>
        <w:t xml:space="preserve">first respondent </w:t>
      </w:r>
      <w:r w:rsidR="00336454">
        <w:rPr>
          <w:rFonts w:ascii="Arial" w:hAnsi="Arial"/>
          <w:bCs/>
        </w:rPr>
        <w:t xml:space="preserve">in the VBS scandal, </w:t>
      </w:r>
      <w:r w:rsidR="00026D91">
        <w:rPr>
          <w:rFonts w:ascii="Arial" w:hAnsi="Arial"/>
          <w:bCs/>
        </w:rPr>
        <w:t xml:space="preserve">and </w:t>
      </w:r>
      <w:r w:rsidR="00336454">
        <w:rPr>
          <w:rFonts w:ascii="Arial" w:hAnsi="Arial"/>
          <w:bCs/>
        </w:rPr>
        <w:t>it was recommended that he be reported to the prosecuting authorities.</w:t>
      </w:r>
      <w:r w:rsidR="003D75C3">
        <w:rPr>
          <w:rFonts w:ascii="Arial" w:hAnsi="Arial"/>
          <w:bCs/>
        </w:rPr>
        <w:t xml:space="preserve"> It is not in dispute that the report had a serious impact on the second respondent</w:t>
      </w:r>
      <w:r w:rsidR="005755F7">
        <w:rPr>
          <w:rFonts w:ascii="Arial" w:hAnsi="Arial"/>
          <w:bCs/>
        </w:rPr>
        <w:t>’s</w:t>
      </w:r>
      <w:r w:rsidR="003D75C3">
        <w:rPr>
          <w:rFonts w:ascii="Arial" w:hAnsi="Arial"/>
          <w:bCs/>
        </w:rPr>
        <w:t xml:space="preserve"> reputation</w:t>
      </w:r>
      <w:r w:rsidR="00051B1E">
        <w:rPr>
          <w:rFonts w:ascii="Arial" w:hAnsi="Arial"/>
          <w:bCs/>
        </w:rPr>
        <w:t>, his business, and his political career</w:t>
      </w:r>
      <w:r w:rsidR="003D75C3">
        <w:rPr>
          <w:rFonts w:ascii="Arial" w:hAnsi="Arial"/>
          <w:bCs/>
        </w:rPr>
        <w:t>.</w:t>
      </w:r>
      <w:r w:rsidR="00336454">
        <w:rPr>
          <w:rFonts w:ascii="Arial" w:hAnsi="Arial"/>
          <w:bCs/>
        </w:rPr>
        <w:t xml:space="preserve"> </w:t>
      </w:r>
      <w:r w:rsidR="00026D91">
        <w:rPr>
          <w:rFonts w:ascii="Arial" w:hAnsi="Arial"/>
          <w:bCs/>
        </w:rPr>
        <w:t>In my view</w:t>
      </w:r>
      <w:r w:rsidR="005755F7">
        <w:rPr>
          <w:rFonts w:ascii="Arial" w:hAnsi="Arial"/>
          <w:bCs/>
        </w:rPr>
        <w:t>, therefore,</w:t>
      </w:r>
      <w:r w:rsidR="00026D91">
        <w:rPr>
          <w:rFonts w:ascii="Arial" w:hAnsi="Arial"/>
          <w:bCs/>
        </w:rPr>
        <w:t xml:space="preserve"> the report </w:t>
      </w:r>
      <w:r w:rsidR="005755F7">
        <w:rPr>
          <w:rFonts w:ascii="Arial" w:hAnsi="Arial"/>
          <w:bCs/>
        </w:rPr>
        <w:t>is</w:t>
      </w:r>
      <w:r w:rsidR="0026358E">
        <w:rPr>
          <w:rFonts w:ascii="Arial" w:hAnsi="Arial"/>
          <w:bCs/>
        </w:rPr>
        <w:t xml:space="preserve"> subject to review under the principle of legality</w:t>
      </w:r>
      <w:r w:rsidR="005755F7">
        <w:rPr>
          <w:rFonts w:ascii="Arial" w:hAnsi="Arial"/>
          <w:bCs/>
        </w:rPr>
        <w:t xml:space="preserve"> on the same grounds as set out in </w:t>
      </w:r>
      <w:r w:rsidR="005755F7">
        <w:rPr>
          <w:rFonts w:ascii="Arial" w:hAnsi="Arial"/>
          <w:bCs/>
          <w:i/>
          <w:iCs/>
        </w:rPr>
        <w:t>Masuku</w:t>
      </w:r>
      <w:r w:rsidR="0026358E">
        <w:rPr>
          <w:rFonts w:ascii="Arial" w:hAnsi="Arial"/>
          <w:bCs/>
        </w:rPr>
        <w:t>.</w:t>
      </w:r>
    </w:p>
    <w:p w14:paraId="5D365A06" w14:textId="77777777" w:rsidR="00026D91" w:rsidRPr="0026358E" w:rsidRDefault="0026358E" w:rsidP="003B2A59">
      <w:pPr>
        <w:spacing w:before="360" w:after="360" w:line="480" w:lineRule="auto"/>
        <w:jc w:val="both"/>
        <w:rPr>
          <w:rFonts w:ascii="Arial" w:hAnsi="Arial"/>
          <w:bCs/>
          <w:sz w:val="22"/>
          <w:szCs w:val="22"/>
        </w:rPr>
      </w:pPr>
      <w:r>
        <w:rPr>
          <w:rFonts w:ascii="Arial" w:hAnsi="Arial"/>
          <w:bCs/>
        </w:rPr>
        <w:t>[4</w:t>
      </w:r>
      <w:r w:rsidR="00D73C85">
        <w:rPr>
          <w:rFonts w:ascii="Arial" w:hAnsi="Arial"/>
          <w:bCs/>
        </w:rPr>
        <w:t>2</w:t>
      </w:r>
      <w:r>
        <w:rPr>
          <w:rFonts w:ascii="Arial" w:hAnsi="Arial"/>
          <w:bCs/>
        </w:rPr>
        <w:t>]</w:t>
      </w:r>
      <w:r>
        <w:rPr>
          <w:rFonts w:ascii="Arial" w:hAnsi="Arial"/>
          <w:bCs/>
        </w:rPr>
        <w:tab/>
        <w:t>The further question is then whether the procedural complaint, that the first respondent was not a</w:t>
      </w:r>
      <w:r w:rsidR="005755F7">
        <w:rPr>
          <w:rFonts w:ascii="Arial" w:hAnsi="Arial"/>
          <w:bCs/>
        </w:rPr>
        <w:t>fforded</w:t>
      </w:r>
      <w:r>
        <w:rPr>
          <w:rFonts w:ascii="Arial" w:hAnsi="Arial"/>
          <w:bCs/>
        </w:rPr>
        <w:t xml:space="preserve"> </w:t>
      </w:r>
      <w:r w:rsidRPr="0026358E">
        <w:rPr>
          <w:rFonts w:ascii="Arial" w:hAnsi="Arial"/>
          <w:bCs/>
          <w:i/>
          <w:iCs/>
        </w:rPr>
        <w:t>audi alteram partem</w:t>
      </w:r>
      <w:r>
        <w:rPr>
          <w:rFonts w:ascii="Arial" w:hAnsi="Arial"/>
          <w:bCs/>
        </w:rPr>
        <w:t>, renders the investigator’s conduct irrational.</w:t>
      </w:r>
    </w:p>
    <w:p w14:paraId="092870AC" w14:textId="77777777" w:rsidR="004153F3" w:rsidRDefault="004153F3" w:rsidP="003B2A59">
      <w:pPr>
        <w:spacing w:before="360" w:after="360" w:line="480" w:lineRule="auto"/>
        <w:jc w:val="both"/>
        <w:rPr>
          <w:rFonts w:ascii="Arial" w:hAnsi="Arial"/>
          <w:bCs/>
        </w:rPr>
      </w:pPr>
      <w:r w:rsidRPr="004153F3">
        <w:rPr>
          <w:rFonts w:ascii="Arial" w:hAnsi="Arial"/>
          <w:bCs/>
        </w:rPr>
        <w:lastRenderedPageBreak/>
        <w:t>[4</w:t>
      </w:r>
      <w:r w:rsidR="00D73C85">
        <w:rPr>
          <w:rFonts w:ascii="Arial" w:hAnsi="Arial"/>
          <w:bCs/>
        </w:rPr>
        <w:t>3</w:t>
      </w:r>
      <w:r w:rsidRPr="004153F3">
        <w:rPr>
          <w:rFonts w:ascii="Arial" w:hAnsi="Arial"/>
          <w:bCs/>
        </w:rPr>
        <w:t>]</w:t>
      </w:r>
      <w:r w:rsidRPr="004153F3">
        <w:rPr>
          <w:rFonts w:ascii="Arial" w:hAnsi="Arial"/>
          <w:bCs/>
        </w:rPr>
        <w:tab/>
      </w:r>
      <w:r>
        <w:rPr>
          <w:rFonts w:ascii="Arial" w:hAnsi="Arial"/>
          <w:bCs/>
        </w:rPr>
        <w:t>As Cora Hoexter</w:t>
      </w:r>
      <w:r>
        <w:rPr>
          <w:rStyle w:val="FootnoteReference"/>
          <w:rFonts w:ascii="Arial" w:hAnsi="Arial"/>
          <w:bCs/>
        </w:rPr>
        <w:footnoteReference w:id="12"/>
      </w:r>
      <w:r>
        <w:rPr>
          <w:rFonts w:ascii="Arial" w:hAnsi="Arial"/>
          <w:bCs/>
        </w:rPr>
        <w:t xml:space="preserve"> points out</w:t>
      </w:r>
      <w:r w:rsidR="00026D91">
        <w:rPr>
          <w:rFonts w:ascii="Arial" w:hAnsi="Arial"/>
          <w:bCs/>
        </w:rPr>
        <w:t xml:space="preserve"> </w:t>
      </w:r>
      <w:r w:rsidR="005755F7">
        <w:rPr>
          <w:rFonts w:ascii="Arial" w:hAnsi="Arial"/>
          <w:bCs/>
        </w:rPr>
        <w:t>(</w:t>
      </w:r>
      <w:r w:rsidR="00026D91">
        <w:rPr>
          <w:rFonts w:ascii="Arial" w:hAnsi="Arial"/>
          <w:bCs/>
        </w:rPr>
        <w:t>in the context of</w:t>
      </w:r>
      <w:r w:rsidR="0026358E">
        <w:rPr>
          <w:rFonts w:ascii="Arial" w:hAnsi="Arial"/>
          <w:bCs/>
        </w:rPr>
        <w:t xml:space="preserve"> review under PAJA</w:t>
      </w:r>
      <w:r w:rsidR="005755F7">
        <w:rPr>
          <w:rFonts w:ascii="Arial" w:hAnsi="Arial"/>
          <w:bCs/>
        </w:rPr>
        <w:t>)</w:t>
      </w:r>
      <w:r>
        <w:rPr>
          <w:rFonts w:ascii="Arial" w:hAnsi="Arial"/>
          <w:bCs/>
        </w:rPr>
        <w:t>, the proper exercise of a discretion or choice depends on the decision maker being apprised of the facts:</w:t>
      </w:r>
    </w:p>
    <w:p w14:paraId="6F773DD0" w14:textId="77777777" w:rsidR="004153F3" w:rsidRDefault="004153F3" w:rsidP="003B2A59">
      <w:pPr>
        <w:spacing w:before="360" w:after="360" w:line="480" w:lineRule="auto"/>
        <w:jc w:val="both"/>
        <w:rPr>
          <w:rFonts w:ascii="Arial" w:hAnsi="Arial"/>
          <w:bCs/>
          <w:sz w:val="22"/>
          <w:szCs w:val="22"/>
        </w:rPr>
      </w:pPr>
      <w:r>
        <w:rPr>
          <w:rFonts w:ascii="Arial" w:hAnsi="Arial"/>
          <w:bCs/>
          <w:sz w:val="22"/>
          <w:szCs w:val="22"/>
        </w:rPr>
        <w:t>“Procedural fairness in the form of audi alteram partem is concerned with giving people an opportunity to participate in the decisions that will affect them, and -crucially – a chance of influencing the outcome of those decisions. Such participation is a safeguard that not only signals respect for the dignity and worth of the participants but is also likely to improve the quality and rationality and administrative decision making and to enhance its legitimacy.”</w:t>
      </w:r>
      <w:r>
        <w:rPr>
          <w:rStyle w:val="FootnoteReference"/>
          <w:rFonts w:ascii="Arial" w:hAnsi="Arial"/>
          <w:bCs/>
          <w:sz w:val="22"/>
          <w:szCs w:val="22"/>
        </w:rPr>
        <w:footnoteReference w:id="13"/>
      </w:r>
    </w:p>
    <w:p w14:paraId="4C8B51C4" w14:textId="77777777" w:rsidR="0026358E" w:rsidRDefault="0026358E" w:rsidP="003B2A59">
      <w:pPr>
        <w:spacing w:before="360" w:after="360" w:line="480" w:lineRule="auto"/>
        <w:jc w:val="both"/>
        <w:rPr>
          <w:rFonts w:ascii="Arial" w:hAnsi="Arial"/>
          <w:bCs/>
        </w:rPr>
      </w:pPr>
      <w:r>
        <w:rPr>
          <w:rFonts w:ascii="Arial" w:hAnsi="Arial"/>
          <w:bCs/>
        </w:rPr>
        <w:t>[4</w:t>
      </w:r>
      <w:r w:rsidR="00D73C85">
        <w:rPr>
          <w:rFonts w:ascii="Arial" w:hAnsi="Arial"/>
          <w:bCs/>
        </w:rPr>
        <w:t>4</w:t>
      </w:r>
      <w:r>
        <w:rPr>
          <w:rFonts w:ascii="Arial" w:hAnsi="Arial"/>
          <w:bCs/>
        </w:rPr>
        <w:t>]</w:t>
      </w:r>
      <w:r>
        <w:rPr>
          <w:rFonts w:ascii="Arial" w:hAnsi="Arial"/>
          <w:bCs/>
        </w:rPr>
        <w:tab/>
        <w:t>Although the above passage refers to P</w:t>
      </w:r>
      <w:r w:rsidR="005755F7">
        <w:rPr>
          <w:rFonts w:ascii="Arial" w:hAnsi="Arial"/>
          <w:bCs/>
        </w:rPr>
        <w:t>A</w:t>
      </w:r>
      <w:r>
        <w:rPr>
          <w:rFonts w:ascii="Arial" w:hAnsi="Arial"/>
          <w:bCs/>
        </w:rPr>
        <w:t>JA reviews, Hoexter further says</w:t>
      </w:r>
      <w:r>
        <w:rPr>
          <w:rStyle w:val="FootnoteReference"/>
          <w:rFonts w:ascii="Arial" w:hAnsi="Arial"/>
          <w:bCs/>
        </w:rPr>
        <w:footnoteReference w:id="14"/>
      </w:r>
      <w:r>
        <w:rPr>
          <w:rFonts w:ascii="Arial" w:hAnsi="Arial"/>
          <w:bCs/>
        </w:rPr>
        <w:t xml:space="preserve"> the following relating to review under legality:</w:t>
      </w:r>
    </w:p>
    <w:p w14:paraId="17CCBA20" w14:textId="14D6CFC2" w:rsidR="0026358E" w:rsidRPr="0026358E" w:rsidRDefault="0026358E" w:rsidP="003B2A59">
      <w:pPr>
        <w:spacing w:before="360" w:after="360" w:line="480" w:lineRule="auto"/>
        <w:jc w:val="both"/>
        <w:rPr>
          <w:rFonts w:ascii="Arial" w:hAnsi="Arial"/>
          <w:bCs/>
          <w:sz w:val="22"/>
          <w:szCs w:val="22"/>
        </w:rPr>
      </w:pPr>
      <w:r>
        <w:rPr>
          <w:rFonts w:ascii="Arial" w:hAnsi="Arial"/>
          <w:bCs/>
          <w:sz w:val="22"/>
          <w:szCs w:val="22"/>
        </w:rPr>
        <w:t>“As I have suggested elsewhere, however</w:t>
      </w:r>
      <w:r w:rsidR="00051B1E">
        <w:rPr>
          <w:rFonts w:ascii="Arial" w:hAnsi="Arial"/>
          <w:bCs/>
          <w:sz w:val="22"/>
          <w:szCs w:val="22"/>
        </w:rPr>
        <w:t>,</w:t>
      </w:r>
      <w:r>
        <w:rPr>
          <w:rFonts w:ascii="Arial" w:hAnsi="Arial"/>
          <w:bCs/>
          <w:sz w:val="22"/>
          <w:szCs w:val="22"/>
        </w:rPr>
        <w:t xml:space="preserve"> it is difficult to think of a decision whose rationality would not be enhanced by an impartial hearing of both sides, and this gives huge scope for the development of the procedural fairness requirement identified in Albutt. Furthermore, there is nothing to stop procedural fairness from being acknowledged as an aspect of lawfulness in appropriate cases or, more simply, as an independent requirement of the principle of legality. Indeed, as Ebersohn AJ acknowledged recently, the principle of fai</w:t>
      </w:r>
      <w:r w:rsidR="00B97AD8">
        <w:rPr>
          <w:rFonts w:ascii="Arial" w:hAnsi="Arial"/>
          <w:bCs/>
          <w:sz w:val="22"/>
          <w:szCs w:val="22"/>
        </w:rPr>
        <w:t>r</w:t>
      </w:r>
      <w:r>
        <w:rPr>
          <w:rFonts w:ascii="Arial" w:hAnsi="Arial"/>
          <w:bCs/>
          <w:sz w:val="22"/>
          <w:szCs w:val="22"/>
        </w:rPr>
        <w:t>ness is ‘inherent’ in the rule of law.”</w:t>
      </w:r>
    </w:p>
    <w:p w14:paraId="240D2303" w14:textId="77777777" w:rsidR="004153F3" w:rsidRDefault="004153F3" w:rsidP="003B2A59">
      <w:pPr>
        <w:spacing w:before="360" w:after="360" w:line="480" w:lineRule="auto"/>
        <w:jc w:val="both"/>
        <w:rPr>
          <w:rFonts w:ascii="Arial" w:hAnsi="Arial"/>
          <w:bCs/>
        </w:rPr>
      </w:pPr>
      <w:r>
        <w:rPr>
          <w:rFonts w:ascii="Arial" w:hAnsi="Arial"/>
          <w:bCs/>
        </w:rPr>
        <w:t>[4</w:t>
      </w:r>
      <w:r w:rsidR="00D73C85">
        <w:rPr>
          <w:rFonts w:ascii="Arial" w:hAnsi="Arial"/>
          <w:bCs/>
        </w:rPr>
        <w:t>5</w:t>
      </w:r>
      <w:r>
        <w:rPr>
          <w:rFonts w:ascii="Arial" w:hAnsi="Arial"/>
          <w:bCs/>
        </w:rPr>
        <w:t>]</w:t>
      </w:r>
      <w:r>
        <w:rPr>
          <w:rFonts w:ascii="Arial" w:hAnsi="Arial"/>
          <w:bCs/>
        </w:rPr>
        <w:tab/>
      </w:r>
      <w:r w:rsidR="005755F7">
        <w:rPr>
          <w:rFonts w:ascii="Arial" w:hAnsi="Arial"/>
          <w:bCs/>
        </w:rPr>
        <w:t xml:space="preserve">Furthermore, </w:t>
      </w:r>
      <w:r>
        <w:rPr>
          <w:rFonts w:ascii="Arial" w:hAnsi="Arial"/>
          <w:bCs/>
        </w:rPr>
        <w:t xml:space="preserve">Hoexter referred to </w:t>
      </w:r>
      <w:r>
        <w:rPr>
          <w:rFonts w:ascii="Arial" w:hAnsi="Arial"/>
          <w:bCs/>
          <w:i/>
          <w:iCs/>
        </w:rPr>
        <w:t>Janse van Rensburg NO v Minister of Trade and Industry NO</w:t>
      </w:r>
      <w:r w:rsidR="00021891">
        <w:rPr>
          <w:rFonts w:ascii="Arial" w:hAnsi="Arial"/>
          <w:bCs/>
          <w:i/>
          <w:iCs/>
        </w:rPr>
        <w:t xml:space="preserve"> 2001 (1) SA 29 (CC) </w:t>
      </w:r>
      <w:r w:rsidR="00021891">
        <w:rPr>
          <w:rFonts w:ascii="Arial" w:hAnsi="Arial"/>
          <w:bCs/>
        </w:rPr>
        <w:t>where Goldstone J said</w:t>
      </w:r>
      <w:r w:rsidR="005755F7">
        <w:rPr>
          <w:rStyle w:val="FootnoteReference"/>
          <w:rFonts w:ascii="Arial" w:hAnsi="Arial"/>
          <w:bCs/>
        </w:rPr>
        <w:footnoteReference w:id="15"/>
      </w:r>
      <w:r w:rsidR="005755F7">
        <w:rPr>
          <w:rFonts w:ascii="Arial" w:hAnsi="Arial"/>
          <w:bCs/>
        </w:rPr>
        <w:t xml:space="preserve"> (before the commencement of PAJA)</w:t>
      </w:r>
      <w:r w:rsidR="00021891">
        <w:rPr>
          <w:rFonts w:ascii="Arial" w:hAnsi="Arial"/>
          <w:bCs/>
        </w:rPr>
        <w:t>:</w:t>
      </w:r>
    </w:p>
    <w:p w14:paraId="2704E536" w14:textId="77777777" w:rsidR="005755F7" w:rsidRPr="005755F7" w:rsidRDefault="00021891" w:rsidP="003B2A59">
      <w:pPr>
        <w:spacing w:before="360" w:after="360" w:line="480" w:lineRule="auto"/>
        <w:jc w:val="both"/>
        <w:rPr>
          <w:rFonts w:ascii="Arial" w:hAnsi="Arial"/>
          <w:bCs/>
          <w:sz w:val="22"/>
          <w:szCs w:val="22"/>
        </w:rPr>
      </w:pPr>
      <w:r>
        <w:rPr>
          <w:rFonts w:ascii="Arial" w:hAnsi="Arial"/>
          <w:bCs/>
          <w:sz w:val="22"/>
          <w:szCs w:val="22"/>
        </w:rPr>
        <w:lastRenderedPageBreak/>
        <w:t>“Observance of the rules of procedural fairness ensures that an administrative functionary has an open mind and a complete picture of the facts and circumstances within which the administrative action is to be taken. In that way the functionary is more likely to apply his or her mind to the matter in a fair and regular manner.”</w:t>
      </w:r>
    </w:p>
    <w:p w14:paraId="01DA0829" w14:textId="77777777" w:rsidR="00F0255B" w:rsidRDefault="0026358E" w:rsidP="003B2A59">
      <w:pPr>
        <w:spacing w:before="360" w:after="360" w:line="480" w:lineRule="auto"/>
        <w:jc w:val="both"/>
        <w:rPr>
          <w:rFonts w:ascii="Arial" w:hAnsi="Arial"/>
          <w:bCs/>
        </w:rPr>
      </w:pPr>
      <w:r>
        <w:rPr>
          <w:rFonts w:ascii="Arial" w:hAnsi="Arial"/>
          <w:bCs/>
        </w:rPr>
        <w:t>[4</w:t>
      </w:r>
      <w:r w:rsidR="00D73C85">
        <w:rPr>
          <w:rFonts w:ascii="Arial" w:hAnsi="Arial"/>
          <w:bCs/>
        </w:rPr>
        <w:t>6</w:t>
      </w:r>
      <w:r>
        <w:rPr>
          <w:rFonts w:ascii="Arial" w:hAnsi="Arial"/>
          <w:bCs/>
        </w:rPr>
        <w:t>]</w:t>
      </w:r>
      <w:r>
        <w:rPr>
          <w:rFonts w:ascii="Arial" w:hAnsi="Arial"/>
          <w:bCs/>
        </w:rPr>
        <w:tab/>
      </w:r>
      <w:r w:rsidR="00165387" w:rsidRPr="00EE0EA9">
        <w:rPr>
          <w:rFonts w:ascii="Arial" w:hAnsi="Arial"/>
          <w:bCs/>
        </w:rPr>
        <w:t>Was</w:t>
      </w:r>
      <w:r w:rsidR="00165387">
        <w:rPr>
          <w:rFonts w:ascii="Arial" w:hAnsi="Arial"/>
          <w:bCs/>
        </w:rPr>
        <w:t xml:space="preserve"> the decision</w:t>
      </w:r>
      <w:r w:rsidR="00EE0EA9">
        <w:rPr>
          <w:rFonts w:ascii="Arial" w:hAnsi="Arial"/>
          <w:bCs/>
        </w:rPr>
        <w:t xml:space="preserve"> in this case</w:t>
      </w:r>
      <w:r w:rsidR="0040460F">
        <w:rPr>
          <w:rFonts w:ascii="Arial" w:hAnsi="Arial"/>
          <w:bCs/>
        </w:rPr>
        <w:t>,</w:t>
      </w:r>
      <w:r w:rsidR="00165387">
        <w:rPr>
          <w:rFonts w:ascii="Arial" w:hAnsi="Arial"/>
          <w:bCs/>
        </w:rPr>
        <w:t xml:space="preserve"> not to give first respondent an audience</w:t>
      </w:r>
      <w:r w:rsidR="0040460F">
        <w:rPr>
          <w:rFonts w:ascii="Arial" w:hAnsi="Arial"/>
          <w:bCs/>
        </w:rPr>
        <w:t>,</w:t>
      </w:r>
      <w:r w:rsidR="00165387">
        <w:rPr>
          <w:rFonts w:ascii="Arial" w:hAnsi="Arial"/>
          <w:bCs/>
        </w:rPr>
        <w:t xml:space="preserve"> rationally connected to the outcome sought to be achieved by the appointment of the investigator? The purpose of the investigation was to gather evidence of possible wrongdoing</w:t>
      </w:r>
      <w:r w:rsidR="00F0255B">
        <w:rPr>
          <w:rFonts w:ascii="Arial" w:hAnsi="Arial"/>
          <w:bCs/>
        </w:rPr>
        <w:t xml:space="preserve"> at VBS Bank, and to </w:t>
      </w:r>
      <w:r w:rsidR="002D5CBB">
        <w:rPr>
          <w:rFonts w:ascii="Arial" w:hAnsi="Arial"/>
          <w:bCs/>
          <w:u w:val="single"/>
        </w:rPr>
        <w:t xml:space="preserve">establish </w:t>
      </w:r>
      <w:r w:rsidR="00F0255B">
        <w:rPr>
          <w:rFonts w:ascii="Arial" w:hAnsi="Arial"/>
          <w:bCs/>
        </w:rPr>
        <w:t xml:space="preserve">whether any bank officials or ‘related persons’ were involved in </w:t>
      </w:r>
      <w:r w:rsidR="00416586">
        <w:rPr>
          <w:rFonts w:ascii="Arial" w:hAnsi="Arial"/>
          <w:bCs/>
        </w:rPr>
        <w:t>any</w:t>
      </w:r>
      <w:r w:rsidR="00F0255B">
        <w:rPr>
          <w:rFonts w:ascii="Arial" w:hAnsi="Arial"/>
          <w:bCs/>
        </w:rPr>
        <w:t xml:space="preserve"> wrongdoing.</w:t>
      </w:r>
      <w:r w:rsidR="00F0255B">
        <w:rPr>
          <w:rStyle w:val="FootnoteReference"/>
          <w:rFonts w:ascii="Arial" w:hAnsi="Arial"/>
          <w:bCs/>
        </w:rPr>
        <w:footnoteReference w:id="16"/>
      </w:r>
      <w:r w:rsidR="002D5CBB">
        <w:rPr>
          <w:rFonts w:ascii="Arial" w:hAnsi="Arial"/>
          <w:bCs/>
        </w:rPr>
        <w:t xml:space="preserve"> Although the appointment refers to the appointment of second respondent as </w:t>
      </w:r>
      <w:r w:rsidR="002D5CBB" w:rsidRPr="00FB350A">
        <w:rPr>
          <w:rFonts w:ascii="Arial" w:hAnsi="Arial"/>
          <w:bCs/>
        </w:rPr>
        <w:t>investigator</w:t>
      </w:r>
      <w:r w:rsidR="002D5CBB">
        <w:rPr>
          <w:rFonts w:ascii="Arial" w:hAnsi="Arial"/>
          <w:bCs/>
        </w:rPr>
        <w:t xml:space="preserve">, the terms of the appointment do not only require him to investigate, but to </w:t>
      </w:r>
      <w:r w:rsidR="002D5CBB">
        <w:rPr>
          <w:rFonts w:ascii="Arial" w:hAnsi="Arial"/>
          <w:bCs/>
          <w:u w:val="single"/>
        </w:rPr>
        <w:t>establish</w:t>
      </w:r>
      <w:r w:rsidR="002D5CBB">
        <w:rPr>
          <w:rFonts w:ascii="Arial" w:hAnsi="Arial"/>
          <w:bCs/>
        </w:rPr>
        <w:t xml:space="preserve"> whether there were irregular transactions, and who was involved in those transactions. </w:t>
      </w:r>
      <w:r w:rsidR="005755F7">
        <w:rPr>
          <w:rFonts w:ascii="Arial" w:hAnsi="Arial"/>
          <w:bCs/>
        </w:rPr>
        <w:t xml:space="preserve">The word </w:t>
      </w:r>
      <w:r w:rsidR="00351B4C">
        <w:rPr>
          <w:rFonts w:ascii="Arial" w:hAnsi="Arial"/>
          <w:bCs/>
        </w:rPr>
        <w:t>“</w:t>
      </w:r>
      <w:r w:rsidR="005755F7">
        <w:rPr>
          <w:rFonts w:ascii="Arial" w:hAnsi="Arial"/>
          <w:bCs/>
        </w:rPr>
        <w:t>e</w:t>
      </w:r>
      <w:r w:rsidR="00351B4C">
        <w:rPr>
          <w:rFonts w:ascii="Arial" w:hAnsi="Arial"/>
          <w:bCs/>
        </w:rPr>
        <w:t>stablish</w:t>
      </w:r>
      <w:r w:rsidR="005755F7">
        <w:rPr>
          <w:rFonts w:ascii="Arial" w:hAnsi="Arial"/>
          <w:bCs/>
        </w:rPr>
        <w:t>”</w:t>
      </w:r>
      <w:r w:rsidR="00351B4C">
        <w:rPr>
          <w:rFonts w:ascii="Arial" w:hAnsi="Arial"/>
          <w:bCs/>
        </w:rPr>
        <w:t xml:space="preserve"> has been variously defined as meaning “to put beyond doubt”</w:t>
      </w:r>
      <w:r w:rsidR="00351B4C">
        <w:rPr>
          <w:rStyle w:val="FootnoteReference"/>
          <w:rFonts w:ascii="Arial" w:hAnsi="Arial"/>
          <w:bCs/>
        </w:rPr>
        <w:footnoteReference w:id="17"/>
      </w:r>
      <w:r w:rsidR="00351B4C">
        <w:rPr>
          <w:rFonts w:ascii="Arial" w:hAnsi="Arial"/>
          <w:bCs/>
        </w:rPr>
        <w:t>, “to discover or get proof of something”</w:t>
      </w:r>
      <w:r w:rsidR="00351B4C">
        <w:rPr>
          <w:rStyle w:val="FootnoteReference"/>
          <w:rFonts w:ascii="Arial" w:hAnsi="Arial"/>
          <w:bCs/>
        </w:rPr>
        <w:footnoteReference w:id="18"/>
      </w:r>
      <w:r w:rsidR="00CE4F98">
        <w:rPr>
          <w:rFonts w:ascii="Arial" w:hAnsi="Arial"/>
          <w:bCs/>
        </w:rPr>
        <w:t>, to discover something is true</w:t>
      </w:r>
      <w:r w:rsidR="00CE4F98">
        <w:rPr>
          <w:rStyle w:val="FootnoteReference"/>
          <w:rFonts w:ascii="Arial" w:hAnsi="Arial"/>
          <w:bCs/>
        </w:rPr>
        <w:footnoteReference w:id="19"/>
      </w:r>
      <w:r w:rsidR="00CE4F98">
        <w:rPr>
          <w:rFonts w:ascii="Arial" w:hAnsi="Arial"/>
          <w:bCs/>
        </w:rPr>
        <w:t>, and “show something to be true or certain by determining the facts”</w:t>
      </w:r>
      <w:r w:rsidR="00CE4F98">
        <w:rPr>
          <w:rStyle w:val="FootnoteReference"/>
          <w:rFonts w:ascii="Arial" w:hAnsi="Arial"/>
          <w:bCs/>
        </w:rPr>
        <w:footnoteReference w:id="20"/>
      </w:r>
      <w:r w:rsidR="00FB350A">
        <w:rPr>
          <w:rFonts w:ascii="Arial" w:hAnsi="Arial"/>
          <w:bCs/>
        </w:rPr>
        <w:t xml:space="preserve"> The investigator’s mandate clearly extended beyond merely investigating the allegations.</w:t>
      </w:r>
    </w:p>
    <w:p w14:paraId="2477C192" w14:textId="77777777" w:rsidR="00CE4F98" w:rsidRDefault="00CE4F98" w:rsidP="003B2A59">
      <w:pPr>
        <w:spacing w:before="360" w:after="360" w:line="480" w:lineRule="auto"/>
        <w:jc w:val="both"/>
        <w:rPr>
          <w:rFonts w:ascii="Arial" w:hAnsi="Arial"/>
          <w:bCs/>
        </w:rPr>
      </w:pPr>
      <w:r>
        <w:rPr>
          <w:rFonts w:ascii="Arial" w:hAnsi="Arial"/>
          <w:bCs/>
        </w:rPr>
        <w:t>[</w:t>
      </w:r>
      <w:r w:rsidR="00D73C85">
        <w:rPr>
          <w:rFonts w:ascii="Arial" w:hAnsi="Arial"/>
          <w:bCs/>
        </w:rPr>
        <w:t>47</w:t>
      </w:r>
      <w:r>
        <w:rPr>
          <w:rFonts w:ascii="Arial" w:hAnsi="Arial"/>
          <w:bCs/>
        </w:rPr>
        <w:t>]</w:t>
      </w:r>
      <w:r>
        <w:rPr>
          <w:rFonts w:ascii="Arial" w:hAnsi="Arial"/>
          <w:bCs/>
        </w:rPr>
        <w:tab/>
        <w:t>One should also, in my view, consider the nature of the investigator’s powers</w:t>
      </w:r>
      <w:r>
        <w:rPr>
          <w:rStyle w:val="FootnoteReference"/>
          <w:rFonts w:ascii="Arial" w:hAnsi="Arial"/>
          <w:bCs/>
        </w:rPr>
        <w:footnoteReference w:id="21"/>
      </w:r>
      <w:r>
        <w:rPr>
          <w:rFonts w:ascii="Arial" w:hAnsi="Arial"/>
          <w:bCs/>
        </w:rPr>
        <w:t xml:space="preserve">, which include the power to require any person by notice to appear before him, or to produce any document, at a time and </w:t>
      </w:r>
      <w:r>
        <w:rPr>
          <w:rFonts w:ascii="Arial" w:hAnsi="Arial"/>
          <w:bCs/>
        </w:rPr>
        <w:lastRenderedPageBreak/>
        <w:t xml:space="preserve">place set out in the notice, the power to question any person under oath or affirmation, the power to examine, copy or make extracts from any document, and to take possession of and retain any document, </w:t>
      </w:r>
      <w:r w:rsidR="00931779">
        <w:rPr>
          <w:rFonts w:ascii="Arial" w:hAnsi="Arial"/>
          <w:bCs/>
        </w:rPr>
        <w:t>and the wide powers to enter and search any premises without consent. Furthermore, any person appearing before the investigator is entitled to be legally represented during such questioning.</w:t>
      </w:r>
    </w:p>
    <w:p w14:paraId="2149CC1E" w14:textId="77777777" w:rsidR="00931779" w:rsidRPr="002D5CBB" w:rsidRDefault="00931779" w:rsidP="003B2A59">
      <w:pPr>
        <w:spacing w:before="360" w:after="360" w:line="480" w:lineRule="auto"/>
        <w:jc w:val="both"/>
        <w:rPr>
          <w:rFonts w:ascii="Arial" w:hAnsi="Arial"/>
          <w:bCs/>
          <w:i/>
          <w:iCs/>
        </w:rPr>
      </w:pPr>
      <w:r>
        <w:rPr>
          <w:rFonts w:ascii="Arial" w:hAnsi="Arial"/>
          <w:bCs/>
        </w:rPr>
        <w:t>[</w:t>
      </w:r>
      <w:r w:rsidR="00D73C85">
        <w:rPr>
          <w:rFonts w:ascii="Arial" w:hAnsi="Arial"/>
          <w:bCs/>
        </w:rPr>
        <w:t>48</w:t>
      </w:r>
      <w:r>
        <w:rPr>
          <w:rFonts w:ascii="Arial" w:hAnsi="Arial"/>
          <w:bCs/>
        </w:rPr>
        <w:t>]</w:t>
      </w:r>
      <w:r>
        <w:rPr>
          <w:rFonts w:ascii="Arial" w:hAnsi="Arial"/>
          <w:bCs/>
        </w:rPr>
        <w:tab/>
        <w:t>The aforesaid powers are akin to those of a commission of enquiry, which may summon and examine witnesses under oath or affirmation, and call for the production of documents.</w:t>
      </w:r>
      <w:r w:rsidR="00051B1E">
        <w:rPr>
          <w:rStyle w:val="FootnoteReference"/>
          <w:rFonts w:ascii="Arial" w:hAnsi="Arial"/>
          <w:bCs/>
        </w:rPr>
        <w:footnoteReference w:id="22"/>
      </w:r>
      <w:r>
        <w:rPr>
          <w:rFonts w:ascii="Arial" w:hAnsi="Arial"/>
          <w:bCs/>
        </w:rPr>
        <w:t xml:space="preserve"> In my view, therefore, it follows that the purpose of the investigation </w:t>
      </w:r>
      <w:r w:rsidR="00C007A7">
        <w:rPr>
          <w:rFonts w:ascii="Arial" w:hAnsi="Arial"/>
          <w:bCs/>
        </w:rPr>
        <w:t xml:space="preserve">in this case </w:t>
      </w:r>
      <w:r>
        <w:rPr>
          <w:rFonts w:ascii="Arial" w:hAnsi="Arial"/>
          <w:bCs/>
        </w:rPr>
        <w:t>was more than simply the gathering of evidence</w:t>
      </w:r>
      <w:r w:rsidR="006132EA">
        <w:rPr>
          <w:rFonts w:ascii="Arial" w:hAnsi="Arial"/>
          <w:bCs/>
        </w:rPr>
        <w:t>. T</w:t>
      </w:r>
      <w:r>
        <w:rPr>
          <w:rFonts w:ascii="Arial" w:hAnsi="Arial"/>
          <w:bCs/>
        </w:rPr>
        <w:t>he second respondent had wide powers to hold an enquiry, and he was then required</w:t>
      </w:r>
      <w:r w:rsidR="006132EA">
        <w:rPr>
          <w:rFonts w:ascii="Arial" w:hAnsi="Arial"/>
          <w:bCs/>
        </w:rPr>
        <w:t>, having ascertained the facts,</w:t>
      </w:r>
      <w:r>
        <w:rPr>
          <w:rFonts w:ascii="Arial" w:hAnsi="Arial"/>
          <w:bCs/>
        </w:rPr>
        <w:t xml:space="preserve"> to</w:t>
      </w:r>
      <w:r w:rsidR="006132EA">
        <w:rPr>
          <w:rFonts w:ascii="Arial" w:hAnsi="Arial"/>
          <w:bCs/>
        </w:rPr>
        <w:t xml:space="preserve"> </w:t>
      </w:r>
      <w:r w:rsidR="006132EA">
        <w:rPr>
          <w:rFonts w:ascii="Arial" w:hAnsi="Arial"/>
          <w:bCs/>
          <w:u w:val="single"/>
        </w:rPr>
        <w:t>establish</w:t>
      </w:r>
      <w:r w:rsidR="006132EA">
        <w:rPr>
          <w:rFonts w:ascii="Arial" w:hAnsi="Arial"/>
          <w:bCs/>
        </w:rPr>
        <w:t xml:space="preserve"> whether irregular transactions had occurred, and who was responsible for those transactions</w:t>
      </w:r>
      <w:r>
        <w:rPr>
          <w:rFonts w:ascii="Arial" w:hAnsi="Arial"/>
          <w:bCs/>
        </w:rPr>
        <w:t>.</w:t>
      </w:r>
    </w:p>
    <w:p w14:paraId="27286FB8" w14:textId="77777777" w:rsidR="00F0255B" w:rsidRDefault="00F0255B" w:rsidP="003B2A59">
      <w:pPr>
        <w:spacing w:before="360" w:after="360" w:line="480" w:lineRule="auto"/>
        <w:jc w:val="both"/>
        <w:rPr>
          <w:rFonts w:ascii="Arial" w:hAnsi="Arial"/>
          <w:bCs/>
        </w:rPr>
      </w:pPr>
      <w:r>
        <w:rPr>
          <w:rFonts w:ascii="Arial" w:hAnsi="Arial"/>
          <w:bCs/>
        </w:rPr>
        <w:t>[</w:t>
      </w:r>
      <w:r w:rsidR="00D73C85">
        <w:rPr>
          <w:rFonts w:ascii="Arial" w:hAnsi="Arial"/>
          <w:bCs/>
        </w:rPr>
        <w:t>49</w:t>
      </w:r>
      <w:r>
        <w:rPr>
          <w:rFonts w:ascii="Arial" w:hAnsi="Arial"/>
          <w:bCs/>
        </w:rPr>
        <w:t>]</w:t>
      </w:r>
      <w:r>
        <w:rPr>
          <w:rFonts w:ascii="Arial" w:hAnsi="Arial"/>
          <w:bCs/>
        </w:rPr>
        <w:tab/>
        <w:t xml:space="preserve">I can hardly see that one can reach a conclusion on the involvement of the different actors, </w:t>
      </w:r>
      <w:r w:rsidR="006132EA">
        <w:rPr>
          <w:rFonts w:ascii="Arial" w:hAnsi="Arial"/>
          <w:bCs/>
        </w:rPr>
        <w:t xml:space="preserve">and establish who was involved in the scheme, </w:t>
      </w:r>
      <w:r>
        <w:rPr>
          <w:rFonts w:ascii="Arial" w:hAnsi="Arial"/>
          <w:bCs/>
        </w:rPr>
        <w:t>unless one hears the evidence of</w:t>
      </w:r>
      <w:r w:rsidR="00A1269A">
        <w:rPr>
          <w:rFonts w:ascii="Arial" w:hAnsi="Arial"/>
          <w:bCs/>
        </w:rPr>
        <w:t xml:space="preserve"> all relevant witnesses</w:t>
      </w:r>
      <w:r>
        <w:rPr>
          <w:rFonts w:ascii="Arial" w:hAnsi="Arial"/>
          <w:bCs/>
        </w:rPr>
        <w:t xml:space="preserve">, </w:t>
      </w:r>
      <w:r w:rsidR="006132EA">
        <w:rPr>
          <w:rFonts w:ascii="Arial" w:hAnsi="Arial"/>
          <w:bCs/>
        </w:rPr>
        <w:t>which includes</w:t>
      </w:r>
      <w:r>
        <w:rPr>
          <w:rFonts w:ascii="Arial" w:hAnsi="Arial"/>
          <w:bCs/>
        </w:rPr>
        <w:t xml:space="preserve"> giv</w:t>
      </w:r>
      <w:r w:rsidR="006132EA">
        <w:rPr>
          <w:rFonts w:ascii="Arial" w:hAnsi="Arial"/>
          <w:bCs/>
        </w:rPr>
        <w:t>ing</w:t>
      </w:r>
      <w:r>
        <w:rPr>
          <w:rFonts w:ascii="Arial" w:hAnsi="Arial"/>
          <w:bCs/>
        </w:rPr>
        <w:t xml:space="preserve"> </w:t>
      </w:r>
      <w:r w:rsidR="00A1269A">
        <w:rPr>
          <w:rFonts w:ascii="Arial" w:hAnsi="Arial"/>
          <w:bCs/>
        </w:rPr>
        <w:t>first respondent</w:t>
      </w:r>
      <w:r>
        <w:rPr>
          <w:rFonts w:ascii="Arial" w:hAnsi="Arial"/>
          <w:bCs/>
        </w:rPr>
        <w:t xml:space="preserve"> an opportunity to state his case</w:t>
      </w:r>
      <w:r w:rsidR="00E4559E">
        <w:rPr>
          <w:rFonts w:ascii="Arial" w:hAnsi="Arial"/>
          <w:bCs/>
        </w:rPr>
        <w:t xml:space="preserve"> in answer to the allegations made against him</w:t>
      </w:r>
      <w:r>
        <w:rPr>
          <w:rFonts w:ascii="Arial" w:hAnsi="Arial"/>
          <w:bCs/>
        </w:rPr>
        <w:t xml:space="preserve">. </w:t>
      </w:r>
      <w:r w:rsidR="001B2A44">
        <w:rPr>
          <w:rFonts w:ascii="Arial" w:hAnsi="Arial"/>
          <w:bCs/>
        </w:rPr>
        <w:t>In my view, g</w:t>
      </w:r>
      <w:r w:rsidR="005755F7">
        <w:rPr>
          <w:rFonts w:ascii="Arial" w:hAnsi="Arial"/>
          <w:bCs/>
        </w:rPr>
        <w:t>iven the investigator’s mandate</w:t>
      </w:r>
      <w:r w:rsidR="001B2A44">
        <w:rPr>
          <w:rFonts w:ascii="Arial" w:hAnsi="Arial"/>
          <w:bCs/>
        </w:rPr>
        <w:t>, he s</w:t>
      </w:r>
      <w:r w:rsidR="000E167B">
        <w:rPr>
          <w:rFonts w:ascii="Arial" w:hAnsi="Arial"/>
          <w:bCs/>
        </w:rPr>
        <w:t>h</w:t>
      </w:r>
      <w:r w:rsidR="001B2A44">
        <w:rPr>
          <w:rFonts w:ascii="Arial" w:hAnsi="Arial"/>
          <w:bCs/>
        </w:rPr>
        <w:t xml:space="preserve">ould have given the second respondent the opportunity to be heard. </w:t>
      </w:r>
      <w:r>
        <w:rPr>
          <w:rFonts w:ascii="Arial" w:hAnsi="Arial"/>
          <w:bCs/>
        </w:rPr>
        <w:t>It therefore follows that, in my view, the investigator’s actions were not rationally related to the outcome sought to be achieved.</w:t>
      </w:r>
    </w:p>
    <w:p w14:paraId="5552B0FF" w14:textId="77777777" w:rsidR="00165387" w:rsidRPr="006132EA" w:rsidRDefault="00F0255B" w:rsidP="003B2A59">
      <w:pPr>
        <w:spacing w:before="360" w:after="360" w:line="480" w:lineRule="auto"/>
        <w:jc w:val="both"/>
        <w:rPr>
          <w:rFonts w:ascii="Arial" w:hAnsi="Arial"/>
          <w:bCs/>
        </w:rPr>
      </w:pPr>
      <w:r>
        <w:rPr>
          <w:rFonts w:ascii="Arial" w:hAnsi="Arial"/>
          <w:bCs/>
        </w:rPr>
        <w:lastRenderedPageBreak/>
        <w:t>[</w:t>
      </w:r>
      <w:r w:rsidR="006132EA">
        <w:rPr>
          <w:rFonts w:ascii="Arial" w:hAnsi="Arial"/>
          <w:bCs/>
        </w:rPr>
        <w:t>5</w:t>
      </w:r>
      <w:r w:rsidR="00D73C85">
        <w:rPr>
          <w:rFonts w:ascii="Arial" w:hAnsi="Arial"/>
          <w:bCs/>
        </w:rPr>
        <w:t>0</w:t>
      </w:r>
      <w:r>
        <w:rPr>
          <w:rFonts w:ascii="Arial" w:hAnsi="Arial"/>
          <w:bCs/>
        </w:rPr>
        <w:t>]</w:t>
      </w:r>
      <w:r>
        <w:rPr>
          <w:rFonts w:ascii="Arial" w:hAnsi="Arial"/>
          <w:bCs/>
        </w:rPr>
        <w:tab/>
      </w:r>
      <w:r w:rsidR="00A1269A">
        <w:rPr>
          <w:rFonts w:ascii="Arial" w:hAnsi="Arial"/>
          <w:bCs/>
        </w:rPr>
        <w:t>Moreover</w:t>
      </w:r>
      <w:r>
        <w:rPr>
          <w:rFonts w:ascii="Arial" w:hAnsi="Arial"/>
          <w:bCs/>
        </w:rPr>
        <w:t xml:space="preserve">, it seems to me that to deprive a person of his right to be heard, in an instance where the report will clearly have a direct influence on his professional and personal life, is contrary to the basic rights of dignity, equality and </w:t>
      </w:r>
      <w:r w:rsidR="000E167B">
        <w:rPr>
          <w:rFonts w:ascii="Arial" w:hAnsi="Arial"/>
          <w:bCs/>
        </w:rPr>
        <w:t>freedom of trade</w:t>
      </w:r>
      <w:r>
        <w:rPr>
          <w:rFonts w:ascii="Arial" w:hAnsi="Arial"/>
          <w:bCs/>
        </w:rPr>
        <w:t xml:space="preserve"> which are embodied in the Bill of Rights.</w:t>
      </w:r>
      <w:r w:rsidR="006132EA">
        <w:rPr>
          <w:rFonts w:ascii="Arial" w:hAnsi="Arial"/>
          <w:bCs/>
        </w:rPr>
        <w:t xml:space="preserve"> This is, in my view, a case where the rule of law and the principle of legality required the first respondent to be given the opportunity to be heard, and to state his case. That is not to say that in each case where there is an investigation which entails the exercise of a public power the </w:t>
      </w:r>
      <w:r w:rsidR="004201C0">
        <w:rPr>
          <w:rFonts w:ascii="Arial" w:hAnsi="Arial"/>
          <w:bCs/>
        </w:rPr>
        <w:t xml:space="preserve">audi </w:t>
      </w:r>
      <w:r w:rsidR="006132EA">
        <w:rPr>
          <w:rFonts w:ascii="Arial" w:hAnsi="Arial"/>
          <w:bCs/>
        </w:rPr>
        <w:t>alteram partem rule will apply. Its application will necessar</w:t>
      </w:r>
      <w:r w:rsidR="004201C0">
        <w:rPr>
          <w:rFonts w:ascii="Arial" w:hAnsi="Arial"/>
          <w:bCs/>
        </w:rPr>
        <w:t>i</w:t>
      </w:r>
      <w:r w:rsidR="006132EA">
        <w:rPr>
          <w:rFonts w:ascii="Arial" w:hAnsi="Arial"/>
          <w:bCs/>
        </w:rPr>
        <w:t>ly be dealt with on a case-by-case basis, and on the facts of each case.</w:t>
      </w:r>
    </w:p>
    <w:p w14:paraId="605D0798" w14:textId="77777777" w:rsidR="00665CDC" w:rsidRDefault="00F0255B" w:rsidP="00665CDC">
      <w:pPr>
        <w:spacing w:before="360" w:after="360" w:line="480" w:lineRule="auto"/>
        <w:jc w:val="both"/>
        <w:rPr>
          <w:rFonts w:ascii="Arial" w:hAnsi="Arial"/>
          <w:bCs/>
        </w:rPr>
      </w:pPr>
      <w:r>
        <w:rPr>
          <w:rFonts w:ascii="Arial" w:hAnsi="Arial"/>
          <w:bCs/>
        </w:rPr>
        <w:t>[</w:t>
      </w:r>
      <w:r w:rsidR="004E7B6E">
        <w:rPr>
          <w:rFonts w:ascii="Arial" w:hAnsi="Arial"/>
          <w:bCs/>
        </w:rPr>
        <w:t>5</w:t>
      </w:r>
      <w:r w:rsidR="00D73C85">
        <w:rPr>
          <w:rFonts w:ascii="Arial" w:hAnsi="Arial"/>
          <w:bCs/>
        </w:rPr>
        <w:t>1</w:t>
      </w:r>
      <w:r>
        <w:rPr>
          <w:rFonts w:ascii="Arial" w:hAnsi="Arial"/>
          <w:bCs/>
        </w:rPr>
        <w:t>]</w:t>
      </w:r>
      <w:r>
        <w:rPr>
          <w:rFonts w:ascii="Arial" w:hAnsi="Arial"/>
          <w:bCs/>
        </w:rPr>
        <w:tab/>
        <w:t xml:space="preserve">In these circumstances </w:t>
      </w:r>
      <w:r w:rsidR="004E7B6E">
        <w:rPr>
          <w:rFonts w:ascii="Arial" w:hAnsi="Arial"/>
          <w:bCs/>
        </w:rPr>
        <w:t>I would dismiss the appeal.</w:t>
      </w:r>
      <w:r w:rsidR="002E357C">
        <w:rPr>
          <w:rFonts w:ascii="Arial" w:hAnsi="Arial"/>
          <w:bCs/>
        </w:rPr>
        <w:t xml:space="preserve"> </w:t>
      </w:r>
    </w:p>
    <w:p w14:paraId="6BF92DB4" w14:textId="686C4B01" w:rsidR="004201C0" w:rsidRDefault="004201C0" w:rsidP="00665CDC">
      <w:pPr>
        <w:spacing w:before="360" w:after="360" w:line="480" w:lineRule="auto"/>
        <w:jc w:val="both"/>
        <w:rPr>
          <w:rFonts w:ascii="Arial" w:hAnsi="Arial"/>
          <w:b/>
          <w:u w:val="single"/>
        </w:rPr>
      </w:pPr>
      <w:r w:rsidRPr="004201C0">
        <w:rPr>
          <w:rFonts w:ascii="Arial" w:hAnsi="Arial"/>
          <w:b/>
          <w:u w:val="single"/>
        </w:rPr>
        <w:t>PA VAN NIEKERK AJ (DISSENTING)</w:t>
      </w:r>
      <w:r w:rsidR="00B65591">
        <w:rPr>
          <w:rFonts w:ascii="Arial" w:hAnsi="Arial"/>
          <w:b/>
          <w:u w:val="single"/>
        </w:rPr>
        <w:t xml:space="preserve"> VAN DER WESTHUIZEN J (CONCURRING</w:t>
      </w:r>
      <w:r w:rsidR="004131EE">
        <w:rPr>
          <w:rFonts w:ascii="Arial" w:hAnsi="Arial"/>
          <w:b/>
          <w:u w:val="single"/>
        </w:rPr>
        <w:t xml:space="preserve"> WITH VAN NIEKERK AJ</w:t>
      </w:r>
      <w:r w:rsidR="00B65591">
        <w:rPr>
          <w:rFonts w:ascii="Arial" w:hAnsi="Arial"/>
          <w:b/>
          <w:u w:val="single"/>
        </w:rPr>
        <w:t>)</w:t>
      </w:r>
      <w:r>
        <w:rPr>
          <w:rFonts w:ascii="Arial" w:hAnsi="Arial"/>
          <w:b/>
          <w:u w:val="single"/>
        </w:rPr>
        <w:t xml:space="preserve"> </w:t>
      </w:r>
    </w:p>
    <w:p w14:paraId="515B4A46" w14:textId="7F4689F7" w:rsidR="00B65591" w:rsidRDefault="004201C0" w:rsidP="00B65591">
      <w:pPr>
        <w:spacing w:before="360" w:after="360" w:line="480" w:lineRule="auto"/>
        <w:ind w:left="720" w:hanging="720"/>
        <w:jc w:val="both"/>
        <w:rPr>
          <w:rFonts w:ascii="Arial" w:hAnsi="Arial"/>
          <w:bCs/>
        </w:rPr>
      </w:pPr>
      <w:r w:rsidRPr="004201C0">
        <w:rPr>
          <w:rFonts w:ascii="Arial" w:hAnsi="Arial"/>
          <w:bCs/>
        </w:rPr>
        <w:t>[52]</w:t>
      </w:r>
      <w:r w:rsidR="00B65591">
        <w:rPr>
          <w:rFonts w:ascii="Arial" w:hAnsi="Arial"/>
          <w:bCs/>
        </w:rPr>
        <w:tab/>
      </w:r>
      <w:r w:rsidR="00A303FE">
        <w:rPr>
          <w:rFonts w:ascii="Arial" w:hAnsi="Arial"/>
          <w:bCs/>
        </w:rPr>
        <w:t>I</w:t>
      </w:r>
      <w:r w:rsidR="00B65591">
        <w:rPr>
          <w:rFonts w:ascii="Arial" w:hAnsi="Arial"/>
          <w:bCs/>
        </w:rPr>
        <w:t xml:space="preserve"> have read the judgment of Swanepoel J.  I agree with the judgment insofar as it was held that the impugned portions of the report are not reviewable under PAJA as set out in paragraphs [16] to [30] of the judgment.</w:t>
      </w:r>
    </w:p>
    <w:p w14:paraId="363D513F" w14:textId="3E1208EC" w:rsidR="004201C0" w:rsidRDefault="00B65591" w:rsidP="00B65591">
      <w:pPr>
        <w:spacing w:before="360" w:after="360" w:line="480" w:lineRule="auto"/>
        <w:ind w:left="720" w:hanging="720"/>
        <w:jc w:val="both"/>
        <w:rPr>
          <w:rFonts w:ascii="Arial" w:hAnsi="Arial"/>
          <w:bCs/>
        </w:rPr>
      </w:pPr>
      <w:r>
        <w:rPr>
          <w:rFonts w:ascii="Arial" w:hAnsi="Arial"/>
          <w:bCs/>
        </w:rPr>
        <w:t>[53]</w:t>
      </w:r>
      <w:r w:rsidR="00A303FE">
        <w:rPr>
          <w:rFonts w:ascii="Arial" w:hAnsi="Arial"/>
          <w:bCs/>
        </w:rPr>
        <w:t xml:space="preserve"> </w:t>
      </w:r>
      <w:r>
        <w:rPr>
          <w:rFonts w:ascii="Arial" w:hAnsi="Arial"/>
          <w:bCs/>
        </w:rPr>
        <w:t xml:space="preserve"> </w:t>
      </w:r>
      <w:r w:rsidR="0017195E">
        <w:rPr>
          <w:rFonts w:ascii="Arial" w:hAnsi="Arial"/>
          <w:bCs/>
        </w:rPr>
        <w:t xml:space="preserve"> </w:t>
      </w:r>
      <w:r>
        <w:rPr>
          <w:rFonts w:ascii="Arial" w:hAnsi="Arial"/>
          <w:bCs/>
        </w:rPr>
        <w:t xml:space="preserve">I disagree </w:t>
      </w:r>
      <w:r w:rsidR="00A303FE">
        <w:rPr>
          <w:rFonts w:ascii="Arial" w:hAnsi="Arial"/>
          <w:bCs/>
        </w:rPr>
        <w:t xml:space="preserve">that </w:t>
      </w:r>
      <w:r>
        <w:rPr>
          <w:rFonts w:ascii="Arial" w:hAnsi="Arial"/>
          <w:bCs/>
        </w:rPr>
        <w:t xml:space="preserve">the remaining impugned portions of the report as contained in paragraphs 72, 73, </w:t>
      </w:r>
      <w:r w:rsidR="00A303FE">
        <w:rPr>
          <w:rFonts w:ascii="Arial" w:hAnsi="Arial"/>
          <w:bCs/>
        </w:rPr>
        <w:t xml:space="preserve">80, </w:t>
      </w:r>
      <w:r>
        <w:rPr>
          <w:rFonts w:ascii="Arial" w:hAnsi="Arial"/>
          <w:bCs/>
        </w:rPr>
        <w:t>81 and 90 of the report are reviewable u</w:t>
      </w:r>
      <w:r w:rsidR="002779D2">
        <w:rPr>
          <w:rFonts w:ascii="Arial" w:hAnsi="Arial"/>
          <w:bCs/>
        </w:rPr>
        <w:t>nder the principle of legality.</w:t>
      </w:r>
      <w:r>
        <w:rPr>
          <w:rFonts w:ascii="Arial" w:hAnsi="Arial"/>
          <w:bCs/>
        </w:rPr>
        <w:t xml:space="preserve"> My reasons follow hereunder.</w:t>
      </w:r>
    </w:p>
    <w:p w14:paraId="6962B45A" w14:textId="77777777" w:rsidR="00B65591" w:rsidRDefault="00B65591" w:rsidP="00B65591">
      <w:pPr>
        <w:spacing w:before="360" w:after="360" w:line="480" w:lineRule="auto"/>
        <w:ind w:left="720" w:hanging="720"/>
        <w:jc w:val="both"/>
        <w:rPr>
          <w:rFonts w:ascii="Arial" w:hAnsi="Arial"/>
          <w:bCs/>
        </w:rPr>
      </w:pPr>
      <w:r>
        <w:rPr>
          <w:rFonts w:ascii="Arial" w:hAnsi="Arial"/>
          <w:bCs/>
        </w:rPr>
        <w:lastRenderedPageBreak/>
        <w:t>[54]</w:t>
      </w:r>
      <w:r>
        <w:rPr>
          <w:rFonts w:ascii="Arial" w:hAnsi="Arial"/>
          <w:bCs/>
        </w:rPr>
        <w:tab/>
        <w:t>It is established law that Administrative Action as defined in PAJA</w:t>
      </w:r>
      <w:r>
        <w:rPr>
          <w:rStyle w:val="FootnoteReference"/>
          <w:rFonts w:ascii="Arial" w:hAnsi="Arial"/>
          <w:bCs/>
        </w:rPr>
        <w:footnoteReference w:id="23"/>
      </w:r>
      <w:r>
        <w:rPr>
          <w:rFonts w:ascii="Arial" w:hAnsi="Arial"/>
          <w:bCs/>
        </w:rPr>
        <w:t xml:space="preserve"> is reviewable under PAJA whereas the exercise of public power (also referred to as executive function) is reviewable under the principle of legality.  The exercise of public power (executive function) is susceptible to legal challenges founded on the rationality standard which in turn is founded in the principle of legality.</w:t>
      </w:r>
      <w:r>
        <w:rPr>
          <w:rStyle w:val="FootnoteReference"/>
          <w:rFonts w:ascii="Arial" w:hAnsi="Arial"/>
          <w:bCs/>
        </w:rPr>
        <w:footnoteReference w:id="24"/>
      </w:r>
    </w:p>
    <w:p w14:paraId="0AADD211" w14:textId="77777777" w:rsidR="00B65591" w:rsidRDefault="00B65591" w:rsidP="00B65591">
      <w:pPr>
        <w:spacing w:before="360" w:after="360" w:line="480" w:lineRule="auto"/>
        <w:ind w:left="720" w:hanging="720"/>
        <w:jc w:val="both"/>
        <w:rPr>
          <w:rFonts w:ascii="Arial" w:hAnsi="Arial"/>
          <w:bCs/>
        </w:rPr>
      </w:pPr>
      <w:r>
        <w:rPr>
          <w:rFonts w:ascii="Arial" w:hAnsi="Arial"/>
          <w:bCs/>
        </w:rPr>
        <w:t>[55]</w:t>
      </w:r>
      <w:r>
        <w:rPr>
          <w:rFonts w:ascii="Arial" w:hAnsi="Arial"/>
          <w:bCs/>
        </w:rPr>
        <w:tab/>
        <w:t>In the FITA judgement the Full Bench of this Court, relying on various judgements dealing with the principle of legality, conveniently sets out the constitutional principles underlining the rationality requirement for the exercise of public power. In paragraphs [16] to [26] of that judgment the relevant principles for purposes of this matter can be extrapolated which are:</w:t>
      </w:r>
    </w:p>
    <w:p w14:paraId="496082D5" w14:textId="77777777" w:rsidR="00B65591" w:rsidRPr="00BE0218" w:rsidRDefault="00B65591" w:rsidP="00B65591">
      <w:pPr>
        <w:spacing w:before="360" w:after="360" w:line="480" w:lineRule="auto"/>
        <w:ind w:left="1440" w:hanging="720"/>
        <w:jc w:val="both"/>
        <w:rPr>
          <w:rFonts w:ascii="Arial" w:hAnsi="Arial"/>
        </w:rPr>
      </w:pPr>
      <w:r>
        <w:rPr>
          <w:rFonts w:ascii="Arial" w:hAnsi="Arial"/>
          <w:bCs/>
        </w:rPr>
        <w:t>[55.1]</w:t>
      </w:r>
      <w:r>
        <w:rPr>
          <w:rFonts w:ascii="Arial" w:hAnsi="Arial"/>
          <w:bCs/>
        </w:rPr>
        <w:tab/>
      </w:r>
      <w:r w:rsidRPr="00BE0218">
        <w:rPr>
          <w:rFonts w:ascii="Arial" w:hAnsi="Arial"/>
        </w:rPr>
        <w:t>the exercise of public power (or executive action) must be performed in terms of an empowering provision;</w:t>
      </w:r>
    </w:p>
    <w:p w14:paraId="1688091C" w14:textId="77777777" w:rsidR="00B65591" w:rsidRPr="00BE0218" w:rsidRDefault="00E62EF7" w:rsidP="00B65591">
      <w:pPr>
        <w:spacing w:before="360" w:after="360" w:line="480" w:lineRule="auto"/>
        <w:ind w:left="1440" w:hanging="720"/>
        <w:jc w:val="both"/>
        <w:rPr>
          <w:rFonts w:ascii="Arial" w:hAnsi="Arial"/>
        </w:rPr>
      </w:pPr>
      <w:r>
        <w:rPr>
          <w:rFonts w:ascii="Arial" w:hAnsi="Arial"/>
        </w:rPr>
        <w:t>[55.2</w:t>
      </w:r>
      <w:r w:rsidR="00B65591" w:rsidRPr="00BE0218">
        <w:rPr>
          <w:rFonts w:ascii="Arial" w:hAnsi="Arial"/>
        </w:rPr>
        <w:t>]</w:t>
      </w:r>
      <w:r w:rsidR="00B65591" w:rsidRPr="00BE0218">
        <w:rPr>
          <w:rFonts w:ascii="Arial" w:hAnsi="Arial"/>
        </w:rPr>
        <w:tab/>
        <w:t>it</w:t>
      </w:r>
      <w:r>
        <w:rPr>
          <w:rFonts w:ascii="Arial" w:hAnsi="Arial"/>
        </w:rPr>
        <w:t xml:space="preserve"> must not be exercised arbitrarily but must be rationally connected</w:t>
      </w:r>
      <w:r w:rsidR="00B65591" w:rsidRPr="00BE0218">
        <w:rPr>
          <w:rFonts w:ascii="Arial" w:hAnsi="Arial"/>
        </w:rPr>
        <w:t xml:space="preserve"> to the purpose for which the power was given;</w:t>
      </w:r>
    </w:p>
    <w:p w14:paraId="7BD247F1" w14:textId="77777777" w:rsidR="00B65591" w:rsidRPr="00BE0218" w:rsidRDefault="00E62EF7" w:rsidP="00B65591">
      <w:pPr>
        <w:spacing w:before="360" w:after="360" w:line="480" w:lineRule="auto"/>
        <w:ind w:left="1440" w:hanging="720"/>
        <w:jc w:val="both"/>
        <w:rPr>
          <w:rFonts w:ascii="Arial" w:hAnsi="Arial"/>
        </w:rPr>
      </w:pPr>
      <w:r>
        <w:rPr>
          <w:rFonts w:ascii="Arial" w:hAnsi="Arial"/>
        </w:rPr>
        <w:t>[55.3]</w:t>
      </w:r>
      <w:r w:rsidR="00B65591" w:rsidRPr="00BE0218">
        <w:rPr>
          <w:rFonts w:ascii="Arial" w:hAnsi="Arial"/>
        </w:rPr>
        <w:tab/>
        <w:t>the question whether a decision is rationally related to the purpose for which the power was given calls for an objective enquiry;</w:t>
      </w:r>
    </w:p>
    <w:p w14:paraId="4D1EE169" w14:textId="77777777" w:rsidR="00B65591" w:rsidRPr="00DA33E7" w:rsidRDefault="00E62EF7" w:rsidP="00B65591">
      <w:pPr>
        <w:spacing w:before="360" w:after="360" w:line="480" w:lineRule="auto"/>
        <w:ind w:left="1440" w:hanging="720"/>
        <w:jc w:val="both"/>
        <w:rPr>
          <w:rFonts w:ascii="Arial" w:hAnsi="Arial" w:cs="Times New Roman"/>
        </w:rPr>
      </w:pPr>
      <w:r>
        <w:rPr>
          <w:rFonts w:ascii="Arial" w:hAnsi="Arial"/>
        </w:rPr>
        <w:lastRenderedPageBreak/>
        <w:t>[55.4</w:t>
      </w:r>
      <w:r w:rsidR="00B65591" w:rsidRPr="00BE0218">
        <w:rPr>
          <w:rFonts w:ascii="Arial" w:hAnsi="Arial"/>
        </w:rPr>
        <w:t>]</w:t>
      </w:r>
      <w:r w:rsidR="00B65591" w:rsidRPr="00BE0218">
        <w:rPr>
          <w:rFonts w:ascii="Arial" w:hAnsi="Arial"/>
        </w:rPr>
        <w:tab/>
        <w:t xml:space="preserve">the enquiry does not extend to an interrogation of whether other or better means could have been used to achieve the purpose for which the power was given.  </w:t>
      </w:r>
    </w:p>
    <w:p w14:paraId="34BA5289" w14:textId="3F2DE1DF" w:rsidR="00E62EF7" w:rsidRPr="00BE0218" w:rsidRDefault="00E62EF7" w:rsidP="00E62EF7">
      <w:pPr>
        <w:pStyle w:val="ListParagraph"/>
        <w:spacing w:line="480" w:lineRule="auto"/>
        <w:ind w:hanging="720"/>
        <w:jc w:val="both"/>
        <w:rPr>
          <w:rFonts w:ascii="Arial" w:hAnsi="Arial" w:cs="Arial"/>
        </w:rPr>
      </w:pPr>
      <w:r>
        <w:rPr>
          <w:rFonts w:ascii="Arial" w:hAnsi="Arial"/>
          <w:bCs/>
        </w:rPr>
        <w:t>[56]</w:t>
      </w:r>
      <w:r>
        <w:rPr>
          <w:rFonts w:ascii="Arial" w:hAnsi="Arial"/>
          <w:bCs/>
        </w:rPr>
        <w:tab/>
      </w:r>
      <w:r w:rsidRPr="00BE0218">
        <w:rPr>
          <w:rFonts w:ascii="Arial" w:hAnsi="Arial" w:cs="Arial"/>
        </w:rPr>
        <w:t xml:space="preserve">From the synopsis of the various judgments dealing with the issue of the rationality standard as set out in the FITA judgment referred to in paragraph [51] </w:t>
      </w:r>
      <w:r w:rsidRPr="00A303FE">
        <w:rPr>
          <w:rFonts w:ascii="Arial" w:hAnsi="Arial" w:cs="Arial"/>
          <w:bCs/>
          <w:i/>
        </w:rPr>
        <w:t>supra</w:t>
      </w:r>
      <w:r w:rsidRPr="00A303FE">
        <w:rPr>
          <w:rFonts w:ascii="Arial" w:hAnsi="Arial" w:cs="Arial"/>
          <w:bCs/>
        </w:rPr>
        <w:t xml:space="preserve"> </w:t>
      </w:r>
      <w:r w:rsidRPr="00BE0218">
        <w:rPr>
          <w:rFonts w:ascii="Arial" w:hAnsi="Arial" w:cs="Arial"/>
        </w:rPr>
        <w:t xml:space="preserve">the following quotes </w:t>
      </w:r>
      <w:r>
        <w:rPr>
          <w:rFonts w:ascii="Arial" w:hAnsi="Arial" w:cs="Arial"/>
        </w:rPr>
        <w:t xml:space="preserve">in the FITA judgment </w:t>
      </w:r>
      <w:r w:rsidRPr="00BE0218">
        <w:rPr>
          <w:rFonts w:ascii="Arial" w:hAnsi="Arial" w:cs="Arial"/>
        </w:rPr>
        <w:t xml:space="preserve">are important namely: </w:t>
      </w:r>
    </w:p>
    <w:p w14:paraId="6AFD1FFE" w14:textId="77777777" w:rsidR="00E62EF7" w:rsidRPr="00FB50C6" w:rsidRDefault="00E62EF7" w:rsidP="00E62EF7">
      <w:pPr>
        <w:pStyle w:val="ListParagraph"/>
        <w:spacing w:line="480" w:lineRule="auto"/>
        <w:ind w:left="2160" w:hanging="720"/>
        <w:jc w:val="both"/>
        <w:rPr>
          <w:rFonts w:ascii="Arial" w:hAnsi="Arial" w:cs="Arial"/>
          <w:i/>
          <w:sz w:val="22"/>
          <w:szCs w:val="22"/>
        </w:rPr>
      </w:pPr>
      <w:r w:rsidRPr="00BE0218">
        <w:rPr>
          <w:rFonts w:ascii="Arial" w:hAnsi="Arial" w:cs="Arial"/>
          <w:i/>
        </w:rPr>
        <w:t>“[</w:t>
      </w:r>
      <w:r w:rsidRPr="00FB50C6">
        <w:rPr>
          <w:rFonts w:ascii="Arial" w:hAnsi="Arial" w:cs="Arial"/>
          <w:i/>
          <w:sz w:val="22"/>
          <w:szCs w:val="22"/>
        </w:rPr>
        <w:t>18]</w:t>
      </w:r>
      <w:r w:rsidRPr="00FB50C6">
        <w:rPr>
          <w:rFonts w:ascii="Arial" w:hAnsi="Arial" w:cs="Arial"/>
          <w:i/>
          <w:sz w:val="22"/>
          <w:szCs w:val="22"/>
        </w:rPr>
        <w:tab/>
        <w:t xml:space="preserve">The enquiry does not, as explained by the Constitutional Court in </w:t>
      </w:r>
      <w:r w:rsidRPr="00FB50C6">
        <w:rPr>
          <w:rFonts w:ascii="Arial" w:hAnsi="Arial" w:cs="Arial"/>
          <w:iCs/>
          <w:sz w:val="22"/>
          <w:szCs w:val="22"/>
        </w:rPr>
        <w:t>Albutt v Centre for the Study</w:t>
      </w:r>
      <w:r w:rsidRPr="00FB50C6">
        <w:rPr>
          <w:rFonts w:ascii="Arial" w:hAnsi="Arial" w:cs="Arial"/>
          <w:i/>
          <w:sz w:val="22"/>
          <w:szCs w:val="22"/>
        </w:rPr>
        <w:t xml:space="preserve"> </w:t>
      </w:r>
      <w:r w:rsidRPr="00FB50C6">
        <w:rPr>
          <w:rFonts w:ascii="Arial" w:hAnsi="Arial" w:cs="Arial"/>
          <w:iCs/>
          <w:sz w:val="22"/>
          <w:szCs w:val="22"/>
        </w:rPr>
        <w:t>of Violence and Reconciliation &amp; Others,</w:t>
      </w:r>
      <w:r w:rsidRPr="00FB50C6">
        <w:rPr>
          <w:rFonts w:ascii="Arial" w:hAnsi="Arial" w:cs="Arial"/>
          <w:i/>
          <w:sz w:val="22"/>
          <w:szCs w:val="22"/>
        </w:rPr>
        <w:t xml:space="preserve"> extend to an interrogation of whether other or better means could have been used to achieve the purpose for which the power was given:</w:t>
      </w:r>
    </w:p>
    <w:p w14:paraId="0BC14565" w14:textId="63192FF3" w:rsidR="00E62EF7" w:rsidRPr="00FB50C6" w:rsidRDefault="00E62EF7" w:rsidP="00E62EF7">
      <w:pPr>
        <w:pStyle w:val="ListParagraph"/>
        <w:spacing w:line="480" w:lineRule="auto"/>
        <w:ind w:left="2880" w:hanging="720"/>
        <w:jc w:val="both"/>
        <w:rPr>
          <w:rFonts w:ascii="Arial" w:hAnsi="Arial" w:cs="Arial"/>
          <w:sz w:val="22"/>
          <w:szCs w:val="22"/>
        </w:rPr>
      </w:pPr>
      <w:r w:rsidRPr="00FB50C6">
        <w:rPr>
          <w:rFonts w:ascii="Arial" w:hAnsi="Arial" w:cs="Arial"/>
          <w:i/>
          <w:sz w:val="22"/>
          <w:szCs w:val="22"/>
        </w:rPr>
        <w:t>“[51]</w:t>
      </w:r>
      <w:r w:rsidRPr="00FB50C6">
        <w:rPr>
          <w:rFonts w:ascii="Arial" w:hAnsi="Arial" w:cs="Arial"/>
          <w:i/>
          <w:sz w:val="22"/>
          <w:szCs w:val="22"/>
        </w:rPr>
        <w:tab/>
        <w:t>The executive has a wide discretion in selecting the means to achieve its constitutionally permissible objectives.  Courts may not interfere with the means selected simply because they do not like them, or because there are other more appropriate</w:t>
      </w:r>
      <w:r w:rsidR="0017195E">
        <w:rPr>
          <w:rFonts w:ascii="Arial" w:hAnsi="Arial" w:cs="Arial"/>
          <w:i/>
          <w:sz w:val="22"/>
          <w:szCs w:val="22"/>
        </w:rPr>
        <w:t xml:space="preserve"> </w:t>
      </w:r>
      <w:r w:rsidRPr="00FB50C6">
        <w:rPr>
          <w:rFonts w:ascii="Arial" w:hAnsi="Arial" w:cs="Arial"/>
          <w:i/>
          <w:sz w:val="22"/>
          <w:szCs w:val="22"/>
        </w:rPr>
        <w:t xml:space="preserve">means that could have been selected.  But, where the decision is challenged on the grounds of rationality, courts are obliged to examine the means selected to determine whether they are rationally related to the objectives sought be achieved. What must be stressed is that the purpose of the enquiry is to determine not whether there are other means that could have been used, but whether the means selected are rationally related to the objective sought to be achieved.  And if, objectively </w:t>
      </w:r>
      <w:r w:rsidRPr="00FB50C6">
        <w:rPr>
          <w:rFonts w:ascii="Arial" w:hAnsi="Arial" w:cs="Arial"/>
          <w:i/>
          <w:sz w:val="22"/>
          <w:szCs w:val="22"/>
        </w:rPr>
        <w:lastRenderedPageBreak/>
        <w:t>speaking, they are not, they fall short of the standard demanded by the constitution</w:t>
      </w:r>
      <w:r w:rsidRPr="00FB50C6">
        <w:rPr>
          <w:rFonts w:ascii="Arial" w:hAnsi="Arial" w:cs="Arial"/>
          <w:sz w:val="22"/>
          <w:szCs w:val="22"/>
        </w:rPr>
        <w:t xml:space="preserve">”. “ </w:t>
      </w:r>
    </w:p>
    <w:p w14:paraId="108FD962" w14:textId="77777777" w:rsidR="00E62EF7" w:rsidRPr="00FB50C6" w:rsidRDefault="00E62EF7" w:rsidP="00E62EF7">
      <w:pPr>
        <w:spacing w:line="480" w:lineRule="auto"/>
        <w:jc w:val="both"/>
        <w:rPr>
          <w:rFonts w:ascii="Arial" w:hAnsi="Arial" w:cs="Arial"/>
          <w:sz w:val="22"/>
          <w:szCs w:val="22"/>
        </w:rPr>
      </w:pPr>
      <w:r w:rsidRPr="00FB50C6">
        <w:rPr>
          <w:rFonts w:ascii="Arial" w:hAnsi="Arial" w:cs="Arial"/>
          <w:sz w:val="22"/>
          <w:szCs w:val="22"/>
        </w:rPr>
        <w:tab/>
      </w:r>
      <w:r w:rsidR="00FB50C6">
        <w:rPr>
          <w:rFonts w:ascii="Arial" w:hAnsi="Arial" w:cs="Arial"/>
          <w:sz w:val="22"/>
          <w:szCs w:val="22"/>
        </w:rPr>
        <w:t xml:space="preserve">     </w:t>
      </w:r>
      <w:r w:rsidRPr="00FB50C6">
        <w:rPr>
          <w:rFonts w:ascii="Arial" w:hAnsi="Arial" w:cs="Arial"/>
          <w:sz w:val="22"/>
          <w:szCs w:val="22"/>
        </w:rPr>
        <w:t>and</w:t>
      </w:r>
    </w:p>
    <w:p w14:paraId="79934616" w14:textId="77777777" w:rsidR="00E62EF7" w:rsidRDefault="00E62EF7" w:rsidP="00E62EF7">
      <w:pPr>
        <w:spacing w:line="480" w:lineRule="auto"/>
        <w:ind w:left="2160" w:hanging="720"/>
        <w:jc w:val="both"/>
        <w:rPr>
          <w:rFonts w:ascii="Arial" w:hAnsi="Arial" w:cs="Arial"/>
        </w:rPr>
      </w:pPr>
      <w:r w:rsidRPr="00FB50C6">
        <w:rPr>
          <w:rFonts w:ascii="Arial" w:hAnsi="Arial" w:cs="Arial"/>
          <w:i/>
          <w:sz w:val="22"/>
          <w:szCs w:val="22"/>
        </w:rPr>
        <w:t>“[20]</w:t>
      </w:r>
      <w:r w:rsidRPr="00FB50C6">
        <w:rPr>
          <w:rFonts w:ascii="Arial" w:hAnsi="Arial" w:cs="Arial"/>
          <w:i/>
          <w:sz w:val="22"/>
          <w:szCs w:val="22"/>
        </w:rPr>
        <w:tab/>
        <w:t>In simple terms, the rationality standard requires that a decision taken by the executive ought to be in line with the purpose for which the power was given and if the requisite synergy between the decision and purpose is absent, the decision cannot be held to be rational and therefore falls short of the constitutional standard espoused by our APEX Court. Importantly, in order to pass the test for rationality, there must be a rational connection between the impugned decision and the purpose sought to be achieved through such decision</w:t>
      </w:r>
      <w:r>
        <w:rPr>
          <w:rFonts w:ascii="Arial" w:hAnsi="Arial" w:cs="Arial"/>
        </w:rPr>
        <w:t xml:space="preserve">”. </w:t>
      </w:r>
    </w:p>
    <w:p w14:paraId="21F4B0C1" w14:textId="77777777" w:rsidR="00FB50C6" w:rsidRPr="00BE0218" w:rsidRDefault="00FB50C6" w:rsidP="00E62EF7">
      <w:pPr>
        <w:spacing w:line="480" w:lineRule="auto"/>
        <w:ind w:left="2160" w:hanging="720"/>
        <w:jc w:val="both"/>
        <w:rPr>
          <w:rFonts w:ascii="Arial" w:hAnsi="Arial" w:cs="Arial"/>
        </w:rPr>
      </w:pPr>
    </w:p>
    <w:p w14:paraId="432DB235" w14:textId="0D2D6C04" w:rsidR="00E62EF7" w:rsidRDefault="00E62EF7" w:rsidP="00E62EF7">
      <w:pPr>
        <w:pStyle w:val="ListParagraph"/>
        <w:spacing w:line="480" w:lineRule="auto"/>
        <w:ind w:hanging="720"/>
        <w:jc w:val="both"/>
        <w:rPr>
          <w:rFonts w:ascii="Arial" w:hAnsi="Arial" w:cs="Arial"/>
        </w:rPr>
      </w:pPr>
      <w:r>
        <w:rPr>
          <w:rFonts w:ascii="Arial" w:hAnsi="Arial"/>
          <w:bCs/>
        </w:rPr>
        <w:t>[57]</w:t>
      </w:r>
      <w:r>
        <w:rPr>
          <w:rFonts w:ascii="Arial" w:hAnsi="Arial"/>
          <w:bCs/>
        </w:rPr>
        <w:tab/>
      </w:r>
      <w:r>
        <w:rPr>
          <w:rFonts w:ascii="Arial" w:hAnsi="Arial" w:cs="Arial"/>
        </w:rPr>
        <w:t>It is common cause that Second Respondent (“</w:t>
      </w:r>
      <w:r w:rsidRPr="00DA33E7">
        <w:rPr>
          <w:rFonts w:ascii="Arial" w:hAnsi="Arial" w:cs="Arial"/>
          <w:i/>
        </w:rPr>
        <w:t>the Investigator</w:t>
      </w:r>
      <w:r>
        <w:rPr>
          <w:rFonts w:ascii="Arial" w:hAnsi="Arial" w:cs="Arial"/>
        </w:rPr>
        <w:t>”) conducted the investigation in terms of the empowering provisions as contained in Section 135(1) of the Financial Sector Regulation Act no. 9 of 2017 (“</w:t>
      </w:r>
      <w:r w:rsidRPr="00E62EF7">
        <w:rPr>
          <w:rFonts w:ascii="Arial" w:hAnsi="Arial" w:cs="Arial"/>
          <w:i/>
        </w:rPr>
        <w:t>FSA</w:t>
      </w:r>
      <w:r>
        <w:rPr>
          <w:rFonts w:ascii="Arial" w:hAnsi="Arial" w:cs="Arial"/>
        </w:rPr>
        <w:t>”) and which resulted in the report.  The prevention of financial crime, confidence in the financial system, and the efficiency and integrity of the financial system are but three of the various stated objects of the Act</w:t>
      </w:r>
      <w:r>
        <w:rPr>
          <w:rStyle w:val="FootnoteReference"/>
          <w:rFonts w:ascii="Arial" w:hAnsi="Arial" w:cs="Arial"/>
        </w:rPr>
        <w:footnoteReference w:id="25"/>
      </w:r>
      <w:r>
        <w:rPr>
          <w:rFonts w:ascii="Arial" w:hAnsi="Arial" w:cs="Arial"/>
        </w:rPr>
        <w:t>.  Appellant is established in terms of Section 32 of FSA and the object of Appellant in terms of Section 33 of FSA is to:</w:t>
      </w:r>
    </w:p>
    <w:p w14:paraId="4B1A69C7" w14:textId="77777777" w:rsidR="00E62EF7" w:rsidRDefault="00E62EF7" w:rsidP="00E62EF7">
      <w:pPr>
        <w:pStyle w:val="ListParagraph"/>
        <w:spacing w:line="480" w:lineRule="auto"/>
        <w:ind w:left="1440" w:hanging="720"/>
        <w:jc w:val="both"/>
        <w:rPr>
          <w:rFonts w:ascii="Arial" w:hAnsi="Arial" w:cs="Arial"/>
        </w:rPr>
      </w:pPr>
      <w:r>
        <w:rPr>
          <w:rFonts w:ascii="Arial" w:hAnsi="Arial" w:cs="Arial"/>
        </w:rPr>
        <w:t>[a]</w:t>
      </w:r>
      <w:r>
        <w:rPr>
          <w:rFonts w:ascii="Arial" w:hAnsi="Arial" w:cs="Arial"/>
        </w:rPr>
        <w:tab/>
        <w:t>promote and enhance the safety and soundness of Financial Institutions that provide financial products and securities services;</w:t>
      </w:r>
    </w:p>
    <w:p w14:paraId="4F58DEEB" w14:textId="77777777" w:rsidR="00E62EF7" w:rsidRDefault="00E62EF7" w:rsidP="00E62EF7">
      <w:pPr>
        <w:pStyle w:val="ListParagraph"/>
        <w:spacing w:line="480" w:lineRule="auto"/>
        <w:ind w:left="1440" w:hanging="720"/>
        <w:jc w:val="both"/>
        <w:rPr>
          <w:rFonts w:ascii="Arial" w:hAnsi="Arial" w:cs="Arial"/>
        </w:rPr>
      </w:pPr>
      <w:r>
        <w:rPr>
          <w:rFonts w:ascii="Arial" w:hAnsi="Arial" w:cs="Arial"/>
        </w:rPr>
        <w:lastRenderedPageBreak/>
        <w:t>[b]</w:t>
      </w:r>
      <w:r>
        <w:rPr>
          <w:rFonts w:ascii="Arial" w:hAnsi="Arial" w:cs="Arial"/>
        </w:rPr>
        <w:tab/>
        <w:t>promote and enhance the safety and soundness of market infrastructure;</w:t>
      </w:r>
    </w:p>
    <w:p w14:paraId="1F6CBF3B" w14:textId="232B7DE4" w:rsidR="00E62EF7" w:rsidRDefault="00E62EF7" w:rsidP="00E62EF7">
      <w:pPr>
        <w:pStyle w:val="ListParagraph"/>
        <w:spacing w:line="480" w:lineRule="auto"/>
        <w:ind w:left="1440" w:hanging="720"/>
        <w:jc w:val="both"/>
        <w:rPr>
          <w:rFonts w:ascii="Arial" w:hAnsi="Arial" w:cs="Arial"/>
        </w:rPr>
      </w:pPr>
      <w:r>
        <w:rPr>
          <w:rFonts w:ascii="Arial" w:hAnsi="Arial" w:cs="Arial"/>
        </w:rPr>
        <w:t>[c]</w:t>
      </w:r>
      <w:r>
        <w:rPr>
          <w:rFonts w:ascii="Arial" w:hAnsi="Arial" w:cs="Arial"/>
        </w:rPr>
        <w:tab/>
        <w:t>protect financial customers against the risk that those Financial Institutions may f</w:t>
      </w:r>
      <w:r w:rsidR="008F0368">
        <w:rPr>
          <w:rFonts w:ascii="Arial" w:hAnsi="Arial" w:cs="Arial"/>
        </w:rPr>
        <w:t xml:space="preserve">ail to meet their obligations; </w:t>
      </w:r>
      <w:r>
        <w:rPr>
          <w:rFonts w:ascii="Arial" w:hAnsi="Arial" w:cs="Arial"/>
        </w:rPr>
        <w:t>and</w:t>
      </w:r>
    </w:p>
    <w:p w14:paraId="29F0F674" w14:textId="02C604E6" w:rsidR="00E62EF7" w:rsidRDefault="00E62EF7" w:rsidP="00E62EF7">
      <w:pPr>
        <w:pStyle w:val="ListParagraph"/>
        <w:spacing w:line="480" w:lineRule="auto"/>
        <w:ind w:left="1440" w:hanging="720"/>
        <w:jc w:val="both"/>
        <w:rPr>
          <w:rFonts w:ascii="Arial" w:hAnsi="Arial" w:cs="Arial"/>
        </w:rPr>
      </w:pPr>
      <w:r>
        <w:rPr>
          <w:rFonts w:ascii="Arial" w:hAnsi="Arial" w:cs="Arial"/>
        </w:rPr>
        <w:t>[e]</w:t>
      </w:r>
      <w:r>
        <w:rPr>
          <w:rFonts w:ascii="Arial" w:hAnsi="Arial" w:cs="Arial"/>
        </w:rPr>
        <w:tab/>
        <w:t>assist in maintaining financial stability.</w:t>
      </w:r>
    </w:p>
    <w:p w14:paraId="01B68B41" w14:textId="77777777" w:rsidR="008F0368" w:rsidRDefault="008F0368" w:rsidP="00E62EF7">
      <w:pPr>
        <w:pStyle w:val="ListParagraph"/>
        <w:spacing w:line="480" w:lineRule="auto"/>
        <w:ind w:left="1440" w:hanging="720"/>
        <w:jc w:val="both"/>
        <w:rPr>
          <w:rFonts w:ascii="Arial" w:hAnsi="Arial" w:cs="Arial"/>
        </w:rPr>
      </w:pPr>
    </w:p>
    <w:p w14:paraId="1C2B8693" w14:textId="24AB110C" w:rsidR="00E62EF7" w:rsidRDefault="00E62EF7" w:rsidP="00E62EF7">
      <w:pPr>
        <w:spacing w:line="480" w:lineRule="auto"/>
        <w:ind w:left="720" w:hanging="720"/>
        <w:jc w:val="both"/>
        <w:rPr>
          <w:rFonts w:ascii="Arial" w:hAnsi="Arial" w:cs="Arial"/>
        </w:rPr>
      </w:pPr>
      <w:r>
        <w:rPr>
          <w:rFonts w:ascii="Arial" w:hAnsi="Arial" w:cs="Arial"/>
        </w:rPr>
        <w:t>[58]</w:t>
      </w:r>
      <w:r>
        <w:rPr>
          <w:rFonts w:ascii="Arial" w:hAnsi="Arial" w:cs="Arial"/>
        </w:rPr>
        <w:tab/>
        <w:t>Appellant is a Financial Service Regulator in terms of Section 1</w:t>
      </w:r>
      <w:r w:rsidR="0017195E">
        <w:rPr>
          <w:rFonts w:ascii="Arial" w:hAnsi="Arial" w:cs="Arial"/>
        </w:rPr>
        <w:t xml:space="preserve"> </w:t>
      </w:r>
      <w:r>
        <w:rPr>
          <w:rFonts w:ascii="Arial" w:hAnsi="Arial" w:cs="Arial"/>
        </w:rPr>
        <w:t xml:space="preserve">(Definitions) of FSA.  Section 251(1)(a) of FSA </w:t>
      </w:r>
      <w:r w:rsidR="00A303FE">
        <w:rPr>
          <w:rFonts w:ascii="Arial" w:hAnsi="Arial" w:cs="Arial"/>
        </w:rPr>
        <w:t>direct</w:t>
      </w:r>
      <w:r>
        <w:rPr>
          <w:rFonts w:ascii="Arial" w:hAnsi="Arial" w:cs="Arial"/>
        </w:rPr>
        <w:t xml:space="preserve"> Appellant to achieve its objects in terms of the FSA for which purpose Section 251(b) of FSA </w:t>
      </w:r>
      <w:r w:rsidR="00A303FE">
        <w:rPr>
          <w:rFonts w:ascii="Arial" w:hAnsi="Arial" w:cs="Arial"/>
        </w:rPr>
        <w:t>direct</w:t>
      </w:r>
      <w:r>
        <w:rPr>
          <w:rFonts w:ascii="Arial" w:hAnsi="Arial" w:cs="Arial"/>
        </w:rPr>
        <w:t xml:space="preserve"> Appellant to collect and use information to the extent that Appellant determines</w:t>
      </w:r>
      <w:r w:rsidR="0017195E">
        <w:rPr>
          <w:rFonts w:ascii="Arial" w:hAnsi="Arial" w:cs="Arial"/>
        </w:rPr>
        <w:t xml:space="preserve"> it</w:t>
      </w:r>
      <w:r>
        <w:rPr>
          <w:rFonts w:ascii="Arial" w:hAnsi="Arial" w:cs="Arial"/>
        </w:rPr>
        <w:t xml:space="preserve"> is necessary to properly perform the obligations and duties referred to in paragraph (a) of Section 1 of FSA.  Succinctly put, Appellant is a </w:t>
      </w:r>
      <w:r w:rsidRPr="00E62EF7">
        <w:rPr>
          <w:rFonts w:ascii="Arial" w:hAnsi="Arial" w:cs="Arial"/>
        </w:rPr>
        <w:t>“</w:t>
      </w:r>
      <w:r w:rsidRPr="00E62EF7">
        <w:rPr>
          <w:rFonts w:ascii="Arial" w:hAnsi="Arial" w:cs="Arial"/>
          <w:i/>
        </w:rPr>
        <w:t>watchdog</w:t>
      </w:r>
      <w:r>
        <w:rPr>
          <w:rFonts w:ascii="Arial" w:hAnsi="Arial" w:cs="Arial"/>
        </w:rPr>
        <w:t xml:space="preserve">” appointed to guard over the financial sector, </w:t>
      </w:r>
      <w:r w:rsidRPr="00E62EF7">
        <w:rPr>
          <w:rFonts w:ascii="Arial" w:hAnsi="Arial" w:cs="Arial"/>
          <w:b/>
          <w:i/>
        </w:rPr>
        <w:t>inter alia</w:t>
      </w:r>
      <w:r>
        <w:rPr>
          <w:rFonts w:ascii="Arial" w:hAnsi="Arial" w:cs="Arial"/>
        </w:rPr>
        <w:t xml:space="preserve"> protecting the public against fraud conducted within the financial service sector which may destabilise the financial sector and/or prejudice public interests. For th</w:t>
      </w:r>
      <w:r w:rsidR="0017195E">
        <w:rPr>
          <w:rFonts w:ascii="Arial" w:hAnsi="Arial" w:cs="Arial"/>
        </w:rPr>
        <w:t>ose</w:t>
      </w:r>
      <w:r>
        <w:rPr>
          <w:rFonts w:ascii="Arial" w:hAnsi="Arial" w:cs="Arial"/>
        </w:rPr>
        <w:t xml:space="preserve"> purpose</w:t>
      </w:r>
      <w:r w:rsidR="0017195E">
        <w:rPr>
          <w:rFonts w:ascii="Arial" w:hAnsi="Arial" w:cs="Arial"/>
        </w:rPr>
        <w:t>s</w:t>
      </w:r>
      <w:r>
        <w:rPr>
          <w:rFonts w:ascii="Arial" w:hAnsi="Arial" w:cs="Arial"/>
        </w:rPr>
        <w:t xml:space="preserve"> Appellant may appoint an Investigator in terms of Section 134 of FSA to carry out an investigation.  The powers afforded to the Investigator for purposes of the investigation are the discretionary powers set out in Sections 135, 136 and 137 of FSA.</w:t>
      </w:r>
    </w:p>
    <w:p w14:paraId="51B9AE1C" w14:textId="77777777" w:rsidR="008F0368" w:rsidRDefault="008F0368" w:rsidP="00E62EF7">
      <w:pPr>
        <w:spacing w:line="480" w:lineRule="auto"/>
        <w:ind w:left="720" w:hanging="720"/>
        <w:jc w:val="both"/>
        <w:rPr>
          <w:rFonts w:ascii="Arial" w:hAnsi="Arial" w:cs="Arial"/>
        </w:rPr>
      </w:pPr>
    </w:p>
    <w:p w14:paraId="4CD6855A" w14:textId="7BAC0FC9" w:rsidR="00E62EF7" w:rsidRDefault="00E62EF7" w:rsidP="00E62EF7">
      <w:pPr>
        <w:spacing w:line="480" w:lineRule="auto"/>
        <w:ind w:left="720" w:hanging="720"/>
        <w:jc w:val="both"/>
        <w:rPr>
          <w:rFonts w:ascii="Arial" w:hAnsi="Arial" w:cs="Arial"/>
        </w:rPr>
      </w:pPr>
      <w:r>
        <w:rPr>
          <w:rFonts w:ascii="Arial" w:hAnsi="Arial" w:cs="Arial"/>
        </w:rPr>
        <w:t>[59]</w:t>
      </w:r>
      <w:r>
        <w:rPr>
          <w:rFonts w:ascii="Arial" w:hAnsi="Arial" w:cs="Arial"/>
        </w:rPr>
        <w:tab/>
      </w:r>
      <w:r w:rsidR="00A303FE">
        <w:rPr>
          <w:rFonts w:ascii="Arial" w:hAnsi="Arial" w:cs="Arial"/>
        </w:rPr>
        <w:t>In summary, t</w:t>
      </w:r>
      <w:r w:rsidR="00CF27DE">
        <w:rPr>
          <w:rFonts w:ascii="Arial" w:hAnsi="Arial" w:cs="Arial"/>
        </w:rPr>
        <w:t xml:space="preserve">he provisions of FSA </w:t>
      </w:r>
      <w:r w:rsidR="00A303FE">
        <w:rPr>
          <w:rFonts w:ascii="Arial" w:hAnsi="Arial" w:cs="Arial"/>
        </w:rPr>
        <w:t>in relation</w:t>
      </w:r>
      <w:r w:rsidR="00CF27DE">
        <w:rPr>
          <w:rFonts w:ascii="Arial" w:hAnsi="Arial" w:cs="Arial"/>
        </w:rPr>
        <w:t xml:space="preserve"> to the purpose of FSA, the purpose and functions of Appellant in terms of FSA, and the appointment of an Investigator in terms of the provisions of FSA </w:t>
      </w:r>
      <w:r w:rsidR="002A5DE4">
        <w:rPr>
          <w:rFonts w:ascii="Arial" w:hAnsi="Arial" w:cs="Arial"/>
        </w:rPr>
        <w:t>can succinctly be summarised as follows:</w:t>
      </w:r>
    </w:p>
    <w:p w14:paraId="5CC6A044" w14:textId="77777777" w:rsidR="002A5DE4" w:rsidRDefault="002A5DE4" w:rsidP="002A5DE4">
      <w:pPr>
        <w:spacing w:line="480" w:lineRule="auto"/>
        <w:ind w:left="1440" w:hanging="720"/>
        <w:jc w:val="both"/>
        <w:rPr>
          <w:rFonts w:ascii="Arial" w:hAnsi="Arial" w:cs="Arial"/>
        </w:rPr>
      </w:pPr>
      <w:r>
        <w:rPr>
          <w:rFonts w:ascii="Arial" w:hAnsi="Arial" w:cs="Arial"/>
        </w:rPr>
        <w:lastRenderedPageBreak/>
        <w:t>[59.1]</w:t>
      </w:r>
      <w:r>
        <w:rPr>
          <w:rFonts w:ascii="Arial" w:hAnsi="Arial" w:cs="Arial"/>
        </w:rPr>
        <w:tab/>
        <w:t>Appellant (a “</w:t>
      </w:r>
      <w:r w:rsidRPr="002A5DE4">
        <w:rPr>
          <w:rFonts w:ascii="Arial" w:hAnsi="Arial" w:cs="Arial"/>
          <w:i/>
        </w:rPr>
        <w:t>regulator”</w:t>
      </w:r>
      <w:r>
        <w:rPr>
          <w:rFonts w:ascii="Arial" w:hAnsi="Arial" w:cs="Arial"/>
        </w:rPr>
        <w:t>) is obliged to facilitate the objects of FSA which includes financial stability and prevention of financial crime, and the protection of the public;</w:t>
      </w:r>
    </w:p>
    <w:p w14:paraId="4AFF30FC" w14:textId="77777777" w:rsidR="002A5DE4" w:rsidRDefault="002A5DE4" w:rsidP="002A5DE4">
      <w:pPr>
        <w:spacing w:line="480" w:lineRule="auto"/>
        <w:ind w:left="1440" w:hanging="720"/>
        <w:jc w:val="both"/>
        <w:rPr>
          <w:rFonts w:ascii="Arial" w:hAnsi="Arial" w:cs="Arial"/>
        </w:rPr>
      </w:pPr>
      <w:r>
        <w:rPr>
          <w:rFonts w:ascii="Arial" w:hAnsi="Arial" w:cs="Arial"/>
        </w:rPr>
        <w:t>[59.2]</w:t>
      </w:r>
      <w:r>
        <w:rPr>
          <w:rFonts w:ascii="Arial" w:hAnsi="Arial" w:cs="Arial"/>
        </w:rPr>
        <w:tab/>
        <w:t>For such purposes Appellant may appoint an Investigator with the object of gathering information;</w:t>
      </w:r>
    </w:p>
    <w:p w14:paraId="3B071D0C" w14:textId="77777777" w:rsidR="002A5DE4" w:rsidRDefault="002A5DE4" w:rsidP="002A5DE4">
      <w:pPr>
        <w:spacing w:line="480" w:lineRule="auto"/>
        <w:ind w:left="1440" w:hanging="720"/>
        <w:jc w:val="both"/>
        <w:rPr>
          <w:rFonts w:ascii="Arial" w:hAnsi="Arial" w:cs="Arial"/>
        </w:rPr>
      </w:pPr>
      <w:r>
        <w:rPr>
          <w:rFonts w:ascii="Arial" w:hAnsi="Arial" w:cs="Arial"/>
        </w:rPr>
        <w:t>[59.3]</w:t>
      </w:r>
      <w:r>
        <w:rPr>
          <w:rFonts w:ascii="Arial" w:hAnsi="Arial" w:cs="Arial"/>
        </w:rPr>
        <w:tab/>
        <w:t>The powers afforded to the Investigator are discretionary powers, and the object of the powers are to facilitate an investigation;</w:t>
      </w:r>
    </w:p>
    <w:p w14:paraId="1AF2259C" w14:textId="514C667D" w:rsidR="002A5DE4" w:rsidRDefault="002A5DE4" w:rsidP="002A5DE4">
      <w:pPr>
        <w:spacing w:line="480" w:lineRule="auto"/>
        <w:ind w:left="1440" w:hanging="720"/>
        <w:jc w:val="both"/>
        <w:rPr>
          <w:rFonts w:ascii="Arial" w:hAnsi="Arial" w:cs="Arial"/>
        </w:rPr>
      </w:pPr>
      <w:r>
        <w:rPr>
          <w:rFonts w:ascii="Arial" w:hAnsi="Arial" w:cs="Arial"/>
        </w:rPr>
        <w:t>[59.4]</w:t>
      </w:r>
      <w:r>
        <w:rPr>
          <w:rFonts w:ascii="Arial" w:hAnsi="Arial" w:cs="Arial"/>
        </w:rPr>
        <w:tab/>
      </w:r>
      <w:r w:rsidR="0017195E">
        <w:rPr>
          <w:rFonts w:ascii="Arial" w:hAnsi="Arial" w:cs="Arial"/>
        </w:rPr>
        <w:t xml:space="preserve">From the empowering provisions it is clear that </w:t>
      </w:r>
      <w:r>
        <w:rPr>
          <w:rFonts w:ascii="Arial" w:hAnsi="Arial" w:cs="Arial"/>
        </w:rPr>
        <w:t>the investigat</w:t>
      </w:r>
      <w:r w:rsidR="00A303FE">
        <w:rPr>
          <w:rFonts w:ascii="Arial" w:hAnsi="Arial" w:cs="Arial"/>
        </w:rPr>
        <w:t>or</w:t>
      </w:r>
      <w:r>
        <w:rPr>
          <w:rFonts w:ascii="Arial" w:hAnsi="Arial" w:cs="Arial"/>
        </w:rPr>
        <w:t xml:space="preserve"> is not mandated or empowered to arrive at any decision and/or to determine the value of any evidence and/or to make a determination of</w:t>
      </w:r>
      <w:r w:rsidR="00A303FE">
        <w:rPr>
          <w:rFonts w:ascii="Arial" w:hAnsi="Arial" w:cs="Arial"/>
        </w:rPr>
        <w:t xml:space="preserve"> culpability</w:t>
      </w:r>
      <w:r>
        <w:rPr>
          <w:rFonts w:ascii="Arial" w:hAnsi="Arial" w:cs="Arial"/>
        </w:rPr>
        <w:t xml:space="preserve">. </w:t>
      </w:r>
    </w:p>
    <w:p w14:paraId="7B04B11C" w14:textId="77777777" w:rsidR="008F0368" w:rsidRDefault="008F0368" w:rsidP="002A5DE4">
      <w:pPr>
        <w:spacing w:line="480" w:lineRule="auto"/>
        <w:ind w:left="1440" w:hanging="720"/>
        <w:jc w:val="both"/>
        <w:rPr>
          <w:rFonts w:ascii="Arial" w:hAnsi="Arial" w:cs="Arial"/>
        </w:rPr>
      </w:pPr>
    </w:p>
    <w:p w14:paraId="569999C0" w14:textId="77777777" w:rsidR="002A5DE4" w:rsidRDefault="002A5DE4" w:rsidP="002A5DE4">
      <w:pPr>
        <w:spacing w:line="480" w:lineRule="auto"/>
        <w:ind w:left="720" w:hanging="720"/>
        <w:jc w:val="both"/>
        <w:rPr>
          <w:rFonts w:ascii="Arial" w:hAnsi="Arial" w:cs="Arial"/>
        </w:rPr>
      </w:pPr>
      <w:r>
        <w:rPr>
          <w:rFonts w:ascii="Arial" w:hAnsi="Arial" w:cs="Arial"/>
        </w:rPr>
        <w:t>[60]</w:t>
      </w:r>
      <w:r>
        <w:rPr>
          <w:rFonts w:ascii="Arial" w:hAnsi="Arial" w:cs="Arial"/>
        </w:rPr>
        <w:tab/>
        <w:t>The Investigator was appointed by Appellant in terms of a certificate, a copy of which was attached to the Founding Affidavit in the application as Annexure “MM3”, and the relevant part of which reads:</w:t>
      </w:r>
    </w:p>
    <w:p w14:paraId="5DAC50E9" w14:textId="77777777" w:rsidR="002A5DE4" w:rsidRPr="00FB50C6" w:rsidRDefault="002A5DE4" w:rsidP="002A5DE4">
      <w:pPr>
        <w:spacing w:line="480" w:lineRule="auto"/>
        <w:ind w:left="1440"/>
        <w:jc w:val="both"/>
        <w:rPr>
          <w:rFonts w:ascii="Arial" w:hAnsi="Arial" w:cs="Arial"/>
          <w:i/>
          <w:sz w:val="22"/>
          <w:szCs w:val="22"/>
        </w:rPr>
      </w:pPr>
      <w:r>
        <w:rPr>
          <w:rFonts w:ascii="Arial" w:hAnsi="Arial" w:cs="Arial"/>
        </w:rPr>
        <w:t>“</w:t>
      </w:r>
      <w:r w:rsidRPr="00FB50C6">
        <w:rPr>
          <w:rFonts w:ascii="Arial" w:hAnsi="Arial" w:cs="Arial"/>
          <w:i/>
          <w:sz w:val="22"/>
          <w:szCs w:val="22"/>
        </w:rPr>
        <w:t>The purpose and primary objective of the investigation will be to establish whether or not –</w:t>
      </w:r>
    </w:p>
    <w:p w14:paraId="36A8E5A5" w14:textId="77777777" w:rsidR="002A5DE4" w:rsidRPr="00FB50C6" w:rsidRDefault="002A5DE4" w:rsidP="002A5DE4">
      <w:pPr>
        <w:pStyle w:val="ListParagraph"/>
        <w:numPr>
          <w:ilvl w:val="0"/>
          <w:numId w:val="48"/>
        </w:numPr>
        <w:spacing w:line="480" w:lineRule="auto"/>
        <w:jc w:val="both"/>
        <w:rPr>
          <w:rFonts w:ascii="Arial" w:hAnsi="Arial" w:cs="Arial"/>
          <w:i/>
          <w:sz w:val="22"/>
          <w:szCs w:val="22"/>
        </w:rPr>
      </w:pPr>
      <w:r w:rsidRPr="00FB50C6">
        <w:rPr>
          <w:rFonts w:ascii="Arial" w:hAnsi="Arial" w:cs="Arial"/>
          <w:i/>
          <w:sz w:val="22"/>
          <w:szCs w:val="22"/>
        </w:rPr>
        <w:t>any of the business of VBS was conducted with the intent to defraud depositors or other creditors of the bank, or for any other fraudulent purpose;</w:t>
      </w:r>
    </w:p>
    <w:p w14:paraId="087EAD1B" w14:textId="77777777" w:rsidR="002A5DE4" w:rsidRPr="00FB50C6" w:rsidRDefault="002A5DE4" w:rsidP="002A5DE4">
      <w:pPr>
        <w:pStyle w:val="ListParagraph"/>
        <w:numPr>
          <w:ilvl w:val="0"/>
          <w:numId w:val="48"/>
        </w:numPr>
        <w:spacing w:line="480" w:lineRule="auto"/>
        <w:jc w:val="both"/>
        <w:rPr>
          <w:rFonts w:ascii="Arial" w:hAnsi="Arial" w:cs="Arial"/>
          <w:i/>
          <w:sz w:val="22"/>
          <w:szCs w:val="22"/>
        </w:rPr>
      </w:pPr>
      <w:r w:rsidRPr="00FB50C6">
        <w:rPr>
          <w:rFonts w:ascii="Arial" w:hAnsi="Arial" w:cs="Arial"/>
          <w:i/>
          <w:sz w:val="22"/>
          <w:szCs w:val="22"/>
        </w:rPr>
        <w:t xml:space="preserve">VBS’s business conduct involved questionable and/or reckless business practices or material non-disclosure, with or without the intent to defraud depositors and other creditors;  and </w:t>
      </w:r>
    </w:p>
    <w:p w14:paraId="7EC3A731" w14:textId="33A0E98A" w:rsidR="002A5DE4" w:rsidRDefault="002A5DE4" w:rsidP="002A5DE4">
      <w:pPr>
        <w:pStyle w:val="ListParagraph"/>
        <w:numPr>
          <w:ilvl w:val="0"/>
          <w:numId w:val="48"/>
        </w:numPr>
        <w:spacing w:line="480" w:lineRule="auto"/>
        <w:jc w:val="both"/>
        <w:rPr>
          <w:rFonts w:ascii="Arial" w:hAnsi="Arial" w:cs="Arial"/>
        </w:rPr>
      </w:pPr>
      <w:r w:rsidRPr="00FB50C6">
        <w:rPr>
          <w:rFonts w:ascii="Arial" w:hAnsi="Arial" w:cs="Arial"/>
          <w:i/>
          <w:sz w:val="22"/>
          <w:szCs w:val="22"/>
        </w:rPr>
        <w:lastRenderedPageBreak/>
        <w:t>there had been any irregular conduct by VBS’s shareholders, directors, executive management, staff, stakeholders and/or related parties</w:t>
      </w:r>
      <w:r>
        <w:rPr>
          <w:rFonts w:ascii="Arial" w:hAnsi="Arial" w:cs="Arial"/>
        </w:rPr>
        <w:t>.”</w:t>
      </w:r>
    </w:p>
    <w:p w14:paraId="3F2C2B10" w14:textId="77777777" w:rsidR="008F0368" w:rsidRPr="002A5DE4" w:rsidRDefault="008F0368" w:rsidP="008F0368">
      <w:pPr>
        <w:pStyle w:val="ListParagraph"/>
        <w:spacing w:line="480" w:lineRule="auto"/>
        <w:ind w:left="1800"/>
        <w:jc w:val="both"/>
        <w:rPr>
          <w:rFonts w:ascii="Arial" w:hAnsi="Arial" w:cs="Arial"/>
        </w:rPr>
      </w:pPr>
    </w:p>
    <w:p w14:paraId="32F20075" w14:textId="77777777" w:rsidR="00C252BC" w:rsidRDefault="002A5DE4" w:rsidP="00C252BC">
      <w:pPr>
        <w:pStyle w:val="ListParagraph"/>
        <w:spacing w:line="480" w:lineRule="auto"/>
        <w:ind w:hanging="720"/>
        <w:jc w:val="both"/>
        <w:rPr>
          <w:rFonts w:ascii="Arial" w:hAnsi="Arial" w:cs="Arial"/>
        </w:rPr>
      </w:pPr>
      <w:r>
        <w:rPr>
          <w:rFonts w:ascii="Arial" w:hAnsi="Arial" w:cs="Arial"/>
        </w:rPr>
        <w:t>[61]</w:t>
      </w:r>
      <w:r>
        <w:rPr>
          <w:rFonts w:ascii="Arial" w:hAnsi="Arial" w:cs="Arial"/>
        </w:rPr>
        <w:tab/>
      </w:r>
      <w:r w:rsidR="00C252BC">
        <w:rPr>
          <w:rFonts w:ascii="Arial" w:hAnsi="Arial" w:cs="Arial"/>
        </w:rPr>
        <w:t>In paragraph [46] of the judg</w:t>
      </w:r>
      <w:r>
        <w:rPr>
          <w:rFonts w:ascii="Arial" w:hAnsi="Arial" w:cs="Arial"/>
        </w:rPr>
        <w:t xml:space="preserve">ment of Swanepoel J it is held that the appointment of the Investigator does not only require him to investigate, but to </w:t>
      </w:r>
      <w:r w:rsidRPr="002A5DE4">
        <w:rPr>
          <w:rFonts w:ascii="Arial" w:hAnsi="Arial" w:cs="Arial"/>
          <w:u w:val="single"/>
        </w:rPr>
        <w:t>establish</w:t>
      </w:r>
      <w:r>
        <w:rPr>
          <w:rFonts w:ascii="Arial" w:hAnsi="Arial" w:cs="Arial"/>
        </w:rPr>
        <w:t xml:space="preserve"> </w:t>
      </w:r>
      <w:r w:rsidR="00C252BC">
        <w:rPr>
          <w:rFonts w:ascii="Arial" w:hAnsi="Arial" w:cs="Arial"/>
        </w:rPr>
        <w:t>whether there were irregular transactions and who was involved in those transactions.  By reference to different definitions of “</w:t>
      </w:r>
      <w:r w:rsidR="00C252BC" w:rsidRPr="00C252BC">
        <w:rPr>
          <w:rFonts w:ascii="Arial" w:hAnsi="Arial" w:cs="Arial"/>
          <w:i/>
        </w:rPr>
        <w:t>establish</w:t>
      </w:r>
      <w:r w:rsidR="00C252BC">
        <w:rPr>
          <w:rFonts w:ascii="Arial" w:hAnsi="Arial" w:cs="Arial"/>
        </w:rPr>
        <w:t>”, the judgement concludes that the Investigator’s mandate clearly extended beyond merely investigating the allegations.</w:t>
      </w:r>
      <w:r w:rsidR="00C252BC">
        <w:rPr>
          <w:rStyle w:val="FootnoteReference"/>
          <w:rFonts w:ascii="Arial" w:hAnsi="Arial" w:cs="Arial"/>
        </w:rPr>
        <w:footnoteReference w:id="26"/>
      </w:r>
      <w:r w:rsidR="00C252BC">
        <w:rPr>
          <w:rFonts w:ascii="Arial" w:hAnsi="Arial" w:cs="Arial"/>
        </w:rPr>
        <w:t xml:space="preserve">  I disagree that in this instance the mandate of the Investigator extended to anything more than an investigation, for the following reasons:</w:t>
      </w:r>
    </w:p>
    <w:p w14:paraId="09085383" w14:textId="05BF64CC" w:rsidR="00E62EF7" w:rsidRDefault="00C252BC" w:rsidP="00C252BC">
      <w:pPr>
        <w:pStyle w:val="ListParagraph"/>
        <w:spacing w:line="480" w:lineRule="auto"/>
        <w:ind w:left="1560" w:hanging="840"/>
        <w:jc w:val="both"/>
        <w:rPr>
          <w:rFonts w:ascii="Arial" w:hAnsi="Arial" w:cs="Arial"/>
        </w:rPr>
      </w:pPr>
      <w:r w:rsidRPr="00C252BC">
        <w:rPr>
          <w:rFonts w:ascii="Arial" w:hAnsi="Arial" w:cs="Arial"/>
        </w:rPr>
        <w:t>[61.1]</w:t>
      </w:r>
      <w:r w:rsidRPr="00C252BC">
        <w:rPr>
          <w:rFonts w:ascii="Arial" w:hAnsi="Arial" w:cs="Arial"/>
        </w:rPr>
        <w:tab/>
        <w:t>The empowering provision for the appointment of the Investigator is Section 134 of FSA which refers to the purpose of appointment being “</w:t>
      </w:r>
      <w:r w:rsidRPr="00C252BC">
        <w:rPr>
          <w:rFonts w:ascii="Arial" w:hAnsi="Arial" w:cs="Arial"/>
          <w:i/>
        </w:rPr>
        <w:t>…. carrying out an investigation</w:t>
      </w:r>
      <w:r w:rsidRPr="00C252BC">
        <w:rPr>
          <w:rFonts w:ascii="Arial" w:hAnsi="Arial" w:cs="Arial"/>
        </w:rPr>
        <w:t>”</w:t>
      </w:r>
      <w:r>
        <w:rPr>
          <w:rFonts w:ascii="Arial" w:hAnsi="Arial" w:cs="Arial"/>
        </w:rPr>
        <w:t>;</w:t>
      </w:r>
      <w:r>
        <w:rPr>
          <w:rStyle w:val="FootnoteReference"/>
          <w:rFonts w:ascii="Arial" w:hAnsi="Arial" w:cs="Arial"/>
        </w:rPr>
        <w:footnoteReference w:id="27"/>
      </w:r>
    </w:p>
    <w:p w14:paraId="1F787540" w14:textId="5AA638CA" w:rsidR="00C252BC" w:rsidRDefault="00C252BC" w:rsidP="00C252BC">
      <w:pPr>
        <w:pStyle w:val="ListParagraph"/>
        <w:spacing w:line="480" w:lineRule="auto"/>
        <w:ind w:left="1560" w:hanging="840"/>
        <w:jc w:val="both"/>
        <w:rPr>
          <w:rFonts w:ascii="Arial" w:hAnsi="Arial" w:cs="Arial"/>
        </w:rPr>
      </w:pPr>
      <w:r>
        <w:rPr>
          <w:rFonts w:ascii="Arial" w:hAnsi="Arial" w:cs="Arial"/>
        </w:rPr>
        <w:t>[61.2]</w:t>
      </w:r>
      <w:r>
        <w:rPr>
          <w:rFonts w:ascii="Arial" w:hAnsi="Arial" w:cs="Arial"/>
        </w:rPr>
        <w:tab/>
        <w:t>The purpose of such investigation is not to make a determination, but to gather information to enable Appellant to comply with its objects in terms of the Act;</w:t>
      </w:r>
    </w:p>
    <w:p w14:paraId="6B36D59D" w14:textId="35E7030A" w:rsidR="00C252BC" w:rsidRDefault="00C252BC" w:rsidP="00C252BC">
      <w:pPr>
        <w:pStyle w:val="ListParagraph"/>
        <w:spacing w:line="480" w:lineRule="auto"/>
        <w:ind w:left="1560" w:hanging="840"/>
        <w:jc w:val="both"/>
        <w:rPr>
          <w:rFonts w:ascii="Arial" w:hAnsi="Arial" w:cs="Arial"/>
        </w:rPr>
      </w:pPr>
      <w:r>
        <w:rPr>
          <w:rFonts w:ascii="Arial" w:hAnsi="Arial" w:cs="Arial"/>
        </w:rPr>
        <w:t>[61.3]</w:t>
      </w:r>
      <w:r>
        <w:rPr>
          <w:rFonts w:ascii="Arial" w:hAnsi="Arial" w:cs="Arial"/>
        </w:rPr>
        <w:tab/>
        <w:t xml:space="preserve">The discretionary powers awarded to the Investigator in terms of Section 136 of FSA enables the collation of information which may or may not constitute </w:t>
      </w:r>
      <w:r w:rsidRPr="00145065">
        <w:rPr>
          <w:rFonts w:ascii="Arial" w:hAnsi="Arial" w:cs="Arial"/>
          <w:bCs/>
          <w:i/>
        </w:rPr>
        <w:t>prima facie</w:t>
      </w:r>
      <w:r w:rsidRPr="00145065">
        <w:rPr>
          <w:rFonts w:ascii="Arial" w:hAnsi="Arial" w:cs="Arial"/>
          <w:bCs/>
        </w:rPr>
        <w:t xml:space="preserve"> </w:t>
      </w:r>
      <w:r>
        <w:rPr>
          <w:rFonts w:ascii="Arial" w:hAnsi="Arial" w:cs="Arial"/>
        </w:rPr>
        <w:t xml:space="preserve">evidence. The empowering provision appointing the Investigator being Section 134 of FSA read with the </w:t>
      </w:r>
      <w:r>
        <w:rPr>
          <w:rFonts w:ascii="Arial" w:hAnsi="Arial" w:cs="Arial"/>
        </w:rPr>
        <w:lastRenderedPageBreak/>
        <w:t>powers of the Investigator as set out in Sections 135, 136 and 137 of FSA clearly relates to an “</w:t>
      </w:r>
      <w:r w:rsidRPr="00C252BC">
        <w:rPr>
          <w:rFonts w:ascii="Arial" w:hAnsi="Arial" w:cs="Arial"/>
          <w:i/>
        </w:rPr>
        <w:t>investigation</w:t>
      </w:r>
      <w:r>
        <w:rPr>
          <w:rFonts w:ascii="Arial" w:hAnsi="Arial" w:cs="Arial"/>
        </w:rPr>
        <w:t xml:space="preserve">” and nothing more. </w:t>
      </w:r>
    </w:p>
    <w:p w14:paraId="7A6C5D96" w14:textId="77777777" w:rsidR="008F0368" w:rsidRDefault="008F0368" w:rsidP="00C252BC">
      <w:pPr>
        <w:pStyle w:val="ListParagraph"/>
        <w:spacing w:line="480" w:lineRule="auto"/>
        <w:ind w:left="1560" w:hanging="840"/>
        <w:jc w:val="both"/>
        <w:rPr>
          <w:rFonts w:ascii="Arial" w:hAnsi="Arial" w:cs="Arial"/>
        </w:rPr>
      </w:pPr>
    </w:p>
    <w:p w14:paraId="31ADDF2C" w14:textId="48E86070" w:rsidR="00C252BC" w:rsidRDefault="00C252BC" w:rsidP="00C252BC">
      <w:pPr>
        <w:spacing w:line="480" w:lineRule="auto"/>
        <w:ind w:left="720" w:hanging="720"/>
        <w:jc w:val="both"/>
        <w:rPr>
          <w:rFonts w:ascii="Arial" w:hAnsi="Arial" w:cs="Arial"/>
        </w:rPr>
      </w:pPr>
      <w:r>
        <w:rPr>
          <w:rFonts w:ascii="Arial" w:hAnsi="Arial" w:cs="Arial"/>
        </w:rPr>
        <w:t>[62]</w:t>
      </w:r>
      <w:r>
        <w:rPr>
          <w:rFonts w:ascii="Arial" w:hAnsi="Arial" w:cs="Arial"/>
        </w:rPr>
        <w:tab/>
        <w:t>I am therefore of the view that the reference to “</w:t>
      </w:r>
      <w:r w:rsidRPr="00C252BC">
        <w:rPr>
          <w:rFonts w:ascii="Arial" w:hAnsi="Arial" w:cs="Arial"/>
          <w:i/>
        </w:rPr>
        <w:t>establish</w:t>
      </w:r>
      <w:r>
        <w:rPr>
          <w:rFonts w:ascii="Arial" w:hAnsi="Arial" w:cs="Arial"/>
        </w:rPr>
        <w:t xml:space="preserve">” in the appointment certificate of Appellant did not </w:t>
      </w:r>
      <w:r w:rsidR="00A303FE">
        <w:rPr>
          <w:rFonts w:ascii="Arial" w:hAnsi="Arial" w:cs="Arial"/>
        </w:rPr>
        <w:t>elevate</w:t>
      </w:r>
      <w:r>
        <w:rPr>
          <w:rFonts w:ascii="Arial" w:hAnsi="Arial" w:cs="Arial"/>
        </w:rPr>
        <w:t xml:space="preserve"> the</w:t>
      </w:r>
      <w:r w:rsidR="00A303FE">
        <w:rPr>
          <w:rFonts w:ascii="Arial" w:hAnsi="Arial" w:cs="Arial"/>
        </w:rPr>
        <w:t xml:space="preserve"> investigative</w:t>
      </w:r>
      <w:r>
        <w:rPr>
          <w:rFonts w:ascii="Arial" w:hAnsi="Arial" w:cs="Arial"/>
        </w:rPr>
        <w:t xml:space="preserve"> function of the Investigator into</w:t>
      </w:r>
      <w:r w:rsidR="00145065">
        <w:rPr>
          <w:rFonts w:ascii="Arial" w:hAnsi="Arial" w:cs="Arial"/>
        </w:rPr>
        <w:t xml:space="preserve"> </w:t>
      </w:r>
      <w:r>
        <w:rPr>
          <w:rFonts w:ascii="Arial" w:hAnsi="Arial" w:cs="Arial"/>
        </w:rPr>
        <w:t xml:space="preserve">that of a fact finder and/or bestowed upon the Investigator any judicial and/or </w:t>
      </w:r>
      <w:r w:rsidR="006C0CA8" w:rsidRPr="00145065">
        <w:rPr>
          <w:rFonts w:ascii="Arial" w:hAnsi="Arial" w:cs="Arial"/>
          <w:bCs/>
          <w:i/>
        </w:rPr>
        <w:t>quasi-</w:t>
      </w:r>
      <w:r w:rsidR="006C0CA8">
        <w:rPr>
          <w:rFonts w:ascii="Arial" w:hAnsi="Arial" w:cs="Arial"/>
        </w:rPr>
        <w:t>judicial</w:t>
      </w:r>
      <w:r>
        <w:rPr>
          <w:rFonts w:ascii="Arial" w:hAnsi="Arial" w:cs="Arial"/>
        </w:rPr>
        <w:t xml:space="preserve"> function. </w:t>
      </w:r>
      <w:r w:rsidR="006C0CA8">
        <w:rPr>
          <w:rFonts w:ascii="Arial" w:hAnsi="Arial" w:cs="Arial"/>
        </w:rPr>
        <w:t xml:space="preserve"> As such, any opinion expressed by the Investigator in the report relating to the involvement of any person </w:t>
      </w:r>
      <w:r w:rsidR="00F90C5D">
        <w:rPr>
          <w:rFonts w:ascii="Arial" w:hAnsi="Arial" w:cs="Arial"/>
        </w:rPr>
        <w:t xml:space="preserve">or institution in maleficence uncovered during the course of the investigation by the collation of information in the form of documentary evidence and </w:t>
      </w:r>
      <w:r w:rsidR="00F90C5D" w:rsidRPr="00145065">
        <w:rPr>
          <w:rFonts w:ascii="Arial" w:hAnsi="Arial" w:cs="Arial"/>
          <w:bCs/>
          <w:i/>
        </w:rPr>
        <w:t>viva</w:t>
      </w:r>
      <w:r w:rsidR="00145065">
        <w:rPr>
          <w:rFonts w:ascii="Arial" w:hAnsi="Arial" w:cs="Arial"/>
          <w:bCs/>
          <w:i/>
        </w:rPr>
        <w:t>-</w:t>
      </w:r>
      <w:r w:rsidR="00F90C5D" w:rsidRPr="00145065">
        <w:rPr>
          <w:rFonts w:ascii="Arial" w:hAnsi="Arial" w:cs="Arial"/>
          <w:bCs/>
          <w:i/>
        </w:rPr>
        <w:t>voce</w:t>
      </w:r>
      <w:r w:rsidR="00F90C5D">
        <w:rPr>
          <w:rFonts w:ascii="Arial" w:hAnsi="Arial" w:cs="Arial"/>
        </w:rPr>
        <w:t xml:space="preserve"> evidence do not “</w:t>
      </w:r>
      <w:r w:rsidR="00F90C5D" w:rsidRPr="00F90C5D">
        <w:rPr>
          <w:rFonts w:ascii="Arial" w:hAnsi="Arial" w:cs="Arial"/>
          <w:i/>
        </w:rPr>
        <w:t>establish</w:t>
      </w:r>
      <w:r w:rsidR="00F90C5D">
        <w:rPr>
          <w:rFonts w:ascii="Arial" w:hAnsi="Arial" w:cs="Arial"/>
        </w:rPr>
        <w:t xml:space="preserve">” a factual finding but constitutes nothing more than the conveyance of a </w:t>
      </w:r>
      <w:r w:rsidR="00F90C5D" w:rsidRPr="00145065">
        <w:rPr>
          <w:rFonts w:ascii="Arial" w:hAnsi="Arial" w:cs="Arial"/>
          <w:bCs/>
          <w:i/>
        </w:rPr>
        <w:t>prima facie</w:t>
      </w:r>
      <w:r w:rsidR="00F90C5D">
        <w:rPr>
          <w:rFonts w:ascii="Arial" w:hAnsi="Arial" w:cs="Arial"/>
        </w:rPr>
        <w:t xml:space="preserve"> view expressed by the Investigator to Appellant with the intent to enable </w:t>
      </w:r>
      <w:r w:rsidR="00A47ACF">
        <w:rPr>
          <w:rFonts w:ascii="Arial" w:hAnsi="Arial" w:cs="Arial"/>
        </w:rPr>
        <w:t>the Appellant to achieve its objects in terms of the provisions of FSA. It is clearly within the absolute discretion of Appellant, with due regard to its powers and functions in terms of FSA, to deal with the information collated by the Investigator in the course of the investigation</w:t>
      </w:r>
      <w:r w:rsidR="00A303FE">
        <w:rPr>
          <w:rFonts w:ascii="Arial" w:hAnsi="Arial" w:cs="Arial"/>
        </w:rPr>
        <w:t xml:space="preserve"> in the manner which Appell</w:t>
      </w:r>
      <w:r w:rsidR="00145065">
        <w:rPr>
          <w:rFonts w:ascii="Arial" w:hAnsi="Arial" w:cs="Arial"/>
        </w:rPr>
        <w:t>a</w:t>
      </w:r>
      <w:r w:rsidR="00A303FE">
        <w:rPr>
          <w:rFonts w:ascii="Arial" w:hAnsi="Arial" w:cs="Arial"/>
        </w:rPr>
        <w:t>nt deems fit.</w:t>
      </w:r>
    </w:p>
    <w:p w14:paraId="15C877AA" w14:textId="77777777" w:rsidR="008F0368" w:rsidRDefault="008F0368" w:rsidP="00C252BC">
      <w:pPr>
        <w:spacing w:line="480" w:lineRule="auto"/>
        <w:ind w:left="720" w:hanging="720"/>
        <w:jc w:val="both"/>
        <w:rPr>
          <w:rFonts w:ascii="Arial" w:hAnsi="Arial" w:cs="Arial"/>
        </w:rPr>
      </w:pPr>
    </w:p>
    <w:p w14:paraId="76576DA1" w14:textId="1A5EC7EE" w:rsidR="00A47ACF" w:rsidRDefault="00A47ACF" w:rsidP="00C252BC">
      <w:pPr>
        <w:spacing w:line="480" w:lineRule="auto"/>
        <w:ind w:left="720" w:hanging="720"/>
        <w:jc w:val="both"/>
        <w:rPr>
          <w:rFonts w:ascii="Arial" w:hAnsi="Arial" w:cs="Arial"/>
        </w:rPr>
      </w:pPr>
      <w:r>
        <w:rPr>
          <w:rFonts w:ascii="Arial" w:hAnsi="Arial" w:cs="Arial"/>
        </w:rPr>
        <w:t>[63]</w:t>
      </w:r>
      <w:r>
        <w:rPr>
          <w:rFonts w:ascii="Arial" w:hAnsi="Arial" w:cs="Arial"/>
        </w:rPr>
        <w:tab/>
      </w:r>
      <w:r w:rsidR="00A303FE">
        <w:rPr>
          <w:rFonts w:ascii="Arial" w:hAnsi="Arial" w:cs="Arial"/>
        </w:rPr>
        <w:t>In my view the issue of whether or not the impugned portions of the report is reviewable under the principle of legality should be considered against the aforesaid</w:t>
      </w:r>
      <w:r w:rsidR="003C26E1">
        <w:rPr>
          <w:rFonts w:ascii="Arial" w:hAnsi="Arial" w:cs="Arial"/>
        </w:rPr>
        <w:t xml:space="preserve"> background regarding the status of the information contained in the report and the applicable </w:t>
      </w:r>
      <w:r w:rsidR="003C26E1">
        <w:rPr>
          <w:rFonts w:ascii="Arial" w:hAnsi="Arial" w:cs="Arial"/>
        </w:rPr>
        <w:lastRenderedPageBreak/>
        <w:t>principles relating to the review of executive power or public function.</w:t>
      </w:r>
    </w:p>
    <w:p w14:paraId="4128A723" w14:textId="77777777" w:rsidR="008F0368" w:rsidRDefault="008F0368" w:rsidP="00C252BC">
      <w:pPr>
        <w:spacing w:line="480" w:lineRule="auto"/>
        <w:ind w:left="720" w:hanging="720"/>
        <w:jc w:val="both"/>
        <w:rPr>
          <w:rFonts w:ascii="Arial" w:hAnsi="Arial" w:cs="Arial"/>
        </w:rPr>
      </w:pPr>
    </w:p>
    <w:p w14:paraId="1315A0BE" w14:textId="10D76114" w:rsidR="00B12FFE" w:rsidRDefault="00B12FFE" w:rsidP="00C252BC">
      <w:pPr>
        <w:spacing w:line="480" w:lineRule="auto"/>
        <w:ind w:left="720" w:hanging="720"/>
        <w:jc w:val="both"/>
        <w:rPr>
          <w:rFonts w:ascii="Arial" w:hAnsi="Arial" w:cs="Arial"/>
        </w:rPr>
      </w:pPr>
      <w:r>
        <w:rPr>
          <w:rFonts w:ascii="Arial" w:hAnsi="Arial" w:cs="Arial"/>
        </w:rPr>
        <w:t>[64]</w:t>
      </w:r>
      <w:r>
        <w:rPr>
          <w:rFonts w:ascii="Arial" w:hAnsi="Arial" w:cs="Arial"/>
        </w:rPr>
        <w:tab/>
        <w:t xml:space="preserve">The conclusion of Swanepoel J namely that the appeal should be dismissed follows a finding that the impugned statements are reviewable under the principle of rationality and that the failure to </w:t>
      </w:r>
      <w:r w:rsidR="00B2362B">
        <w:rPr>
          <w:rFonts w:ascii="Arial" w:hAnsi="Arial" w:cs="Arial"/>
        </w:rPr>
        <w:t xml:space="preserve">afford the First Respondent an </w:t>
      </w:r>
      <w:r>
        <w:rPr>
          <w:rFonts w:ascii="Arial" w:hAnsi="Arial" w:cs="Arial"/>
        </w:rPr>
        <w:t>opportunity to state his case in answer to the allegations made against him were not rationally related to the outcome sought to be achieved.</w:t>
      </w:r>
      <w:r>
        <w:rPr>
          <w:rStyle w:val="FootnoteReference"/>
          <w:rFonts w:ascii="Arial" w:hAnsi="Arial" w:cs="Arial"/>
        </w:rPr>
        <w:footnoteReference w:id="28"/>
      </w:r>
      <w:r>
        <w:rPr>
          <w:rFonts w:ascii="Arial" w:hAnsi="Arial" w:cs="Arial"/>
        </w:rPr>
        <w:t xml:space="preserve"> This follows after it was held in the judgment that the Investigator’s mandate extended beyond merely investigating the allegation, and that the powers of the Investigators are akin to those of a Commission of Enquiry</w:t>
      </w:r>
      <w:r>
        <w:rPr>
          <w:rStyle w:val="FootnoteReference"/>
          <w:rFonts w:ascii="Arial" w:hAnsi="Arial" w:cs="Arial"/>
        </w:rPr>
        <w:footnoteReference w:id="29"/>
      </w:r>
      <w:r>
        <w:rPr>
          <w:rFonts w:ascii="Arial" w:hAnsi="Arial" w:cs="Arial"/>
        </w:rPr>
        <w:t>.</w:t>
      </w:r>
    </w:p>
    <w:p w14:paraId="31B3FF07" w14:textId="77777777" w:rsidR="008F0368" w:rsidRDefault="008F0368" w:rsidP="00C252BC">
      <w:pPr>
        <w:spacing w:line="480" w:lineRule="auto"/>
        <w:ind w:left="720" w:hanging="720"/>
        <w:jc w:val="both"/>
        <w:rPr>
          <w:rFonts w:ascii="Arial" w:hAnsi="Arial" w:cs="Arial"/>
        </w:rPr>
      </w:pPr>
    </w:p>
    <w:p w14:paraId="3FC45830" w14:textId="543EFE4D" w:rsidR="00B12FFE" w:rsidRDefault="00B12FFE" w:rsidP="00C252BC">
      <w:pPr>
        <w:spacing w:line="480" w:lineRule="auto"/>
        <w:ind w:left="720" w:hanging="720"/>
        <w:jc w:val="both"/>
        <w:rPr>
          <w:rFonts w:ascii="Arial" w:hAnsi="Arial" w:cs="Arial"/>
        </w:rPr>
      </w:pPr>
      <w:r>
        <w:rPr>
          <w:rFonts w:ascii="Arial" w:hAnsi="Arial" w:cs="Arial"/>
        </w:rPr>
        <w:t>[65]</w:t>
      </w:r>
      <w:r>
        <w:rPr>
          <w:rFonts w:ascii="Arial" w:hAnsi="Arial" w:cs="Arial"/>
        </w:rPr>
        <w:tab/>
        <w:t xml:space="preserve">In paragraph </w:t>
      </w:r>
      <w:r w:rsidR="003C26E1">
        <w:rPr>
          <w:rFonts w:ascii="Arial" w:hAnsi="Arial" w:cs="Arial"/>
        </w:rPr>
        <w:t>[57] to [59]</w:t>
      </w:r>
      <w:r>
        <w:rPr>
          <w:rFonts w:ascii="Arial" w:hAnsi="Arial" w:cs="Arial"/>
        </w:rPr>
        <w:t xml:space="preserve"> </w:t>
      </w:r>
      <w:r w:rsidRPr="003C26E1">
        <w:rPr>
          <w:rFonts w:ascii="Arial" w:hAnsi="Arial" w:cs="Arial"/>
          <w:bCs/>
          <w:i/>
        </w:rPr>
        <w:t>supra</w:t>
      </w:r>
      <w:r>
        <w:rPr>
          <w:rFonts w:ascii="Arial" w:hAnsi="Arial" w:cs="Arial"/>
        </w:rPr>
        <w:t xml:space="preserve"> I have dealt with the empowering provisions in terms whereof the Investigator was appointed and concluded that the reference to “</w:t>
      </w:r>
      <w:r w:rsidRPr="00B12FFE">
        <w:rPr>
          <w:rFonts w:ascii="Arial" w:hAnsi="Arial" w:cs="Arial"/>
          <w:i/>
        </w:rPr>
        <w:t>establish</w:t>
      </w:r>
      <w:r>
        <w:rPr>
          <w:rFonts w:ascii="Arial" w:hAnsi="Arial" w:cs="Arial"/>
        </w:rPr>
        <w:t xml:space="preserve">” as set out in the notice of appointment of the Investigator do not </w:t>
      </w:r>
      <w:r w:rsidR="00145065">
        <w:rPr>
          <w:rFonts w:ascii="Arial" w:hAnsi="Arial" w:cs="Arial"/>
        </w:rPr>
        <w:t>elevate</w:t>
      </w:r>
      <w:r>
        <w:rPr>
          <w:rFonts w:ascii="Arial" w:hAnsi="Arial" w:cs="Arial"/>
        </w:rPr>
        <w:t xml:space="preserve"> the powers and function of the Investigator into anything more than an investigation and therefore disagree that the powers of the Investigator are akin to that</w:t>
      </w:r>
      <w:r w:rsidR="002779D2">
        <w:rPr>
          <w:rFonts w:ascii="Arial" w:hAnsi="Arial" w:cs="Arial"/>
        </w:rPr>
        <w:t xml:space="preserve"> of a Commission of enquiry.  It</w:t>
      </w:r>
      <w:r>
        <w:rPr>
          <w:rFonts w:ascii="Arial" w:hAnsi="Arial" w:cs="Arial"/>
        </w:rPr>
        <w:t xml:space="preserve"> </w:t>
      </w:r>
      <w:r w:rsidR="002779D2">
        <w:rPr>
          <w:rFonts w:ascii="Arial" w:hAnsi="Arial" w:cs="Arial"/>
        </w:rPr>
        <w:t>was pointed out by Sutherland A</w:t>
      </w:r>
      <w:r w:rsidR="00257E9D">
        <w:rPr>
          <w:rFonts w:ascii="Arial" w:hAnsi="Arial" w:cs="Arial"/>
        </w:rPr>
        <w:t>D</w:t>
      </w:r>
      <w:r>
        <w:rPr>
          <w:rFonts w:ascii="Arial" w:hAnsi="Arial" w:cs="Arial"/>
        </w:rPr>
        <w:t xml:space="preserve">JP, </w:t>
      </w:r>
      <w:r w:rsidR="002779D2">
        <w:rPr>
          <w:rFonts w:ascii="Arial" w:hAnsi="Arial" w:cs="Arial"/>
        </w:rPr>
        <w:t xml:space="preserve">that </w:t>
      </w:r>
      <w:r>
        <w:rPr>
          <w:rFonts w:ascii="Arial" w:hAnsi="Arial" w:cs="Arial"/>
        </w:rPr>
        <w:t xml:space="preserve">although there are similarities between a SIU and a Commission of Enquiry, they are not clones and there are material differences. </w:t>
      </w:r>
      <w:r>
        <w:rPr>
          <w:rStyle w:val="FootnoteReference"/>
          <w:rFonts w:ascii="Arial" w:hAnsi="Arial" w:cs="Arial"/>
        </w:rPr>
        <w:footnoteReference w:id="30"/>
      </w:r>
      <w:r>
        <w:rPr>
          <w:rFonts w:ascii="Arial" w:hAnsi="Arial" w:cs="Arial"/>
        </w:rPr>
        <w:t xml:space="preserve"> “</w:t>
      </w:r>
      <w:r w:rsidRPr="007B3226">
        <w:rPr>
          <w:rFonts w:ascii="Arial" w:hAnsi="Arial" w:cs="Arial"/>
          <w:i/>
        </w:rPr>
        <w:t>Establish</w:t>
      </w:r>
      <w:r>
        <w:rPr>
          <w:rFonts w:ascii="Arial" w:hAnsi="Arial" w:cs="Arial"/>
        </w:rPr>
        <w:t xml:space="preserve">” must </w:t>
      </w:r>
      <w:r w:rsidR="007B3226">
        <w:rPr>
          <w:rFonts w:ascii="Arial" w:hAnsi="Arial" w:cs="Arial"/>
        </w:rPr>
        <w:lastRenderedPageBreak/>
        <w:t>be taken in the context of the empowering provision, which in this case clearly did not bestow a power to determine culpability.  Even where a report of a</w:t>
      </w:r>
      <w:r w:rsidR="00145065">
        <w:rPr>
          <w:rFonts w:ascii="Arial" w:hAnsi="Arial" w:cs="Arial"/>
        </w:rPr>
        <w:t xml:space="preserve"> Special</w:t>
      </w:r>
      <w:r w:rsidR="007B3226">
        <w:rPr>
          <w:rFonts w:ascii="Arial" w:hAnsi="Arial" w:cs="Arial"/>
        </w:rPr>
        <w:t xml:space="preserve"> </w:t>
      </w:r>
      <w:r w:rsidR="00145065">
        <w:rPr>
          <w:rFonts w:ascii="Arial" w:hAnsi="Arial" w:cs="Arial"/>
        </w:rPr>
        <w:t>I</w:t>
      </w:r>
      <w:r w:rsidR="007B3226">
        <w:rPr>
          <w:rFonts w:ascii="Arial" w:hAnsi="Arial" w:cs="Arial"/>
        </w:rPr>
        <w:t xml:space="preserve">nvestigating </w:t>
      </w:r>
      <w:r w:rsidR="00145065">
        <w:rPr>
          <w:rFonts w:ascii="Arial" w:hAnsi="Arial" w:cs="Arial"/>
        </w:rPr>
        <w:t>U</w:t>
      </w:r>
      <w:r w:rsidR="007B3226">
        <w:rPr>
          <w:rFonts w:ascii="Arial" w:hAnsi="Arial" w:cs="Arial"/>
        </w:rPr>
        <w:t xml:space="preserve">nit explicitly stated that </w:t>
      </w:r>
      <w:r w:rsidR="00145065">
        <w:rPr>
          <w:rFonts w:ascii="Arial" w:hAnsi="Arial" w:cs="Arial"/>
        </w:rPr>
        <w:t>it</w:t>
      </w:r>
      <w:r w:rsidR="007B3226">
        <w:rPr>
          <w:rFonts w:ascii="Arial" w:hAnsi="Arial" w:cs="Arial"/>
        </w:rPr>
        <w:t xml:space="preserve"> “</w:t>
      </w:r>
      <w:r w:rsidR="007B3226" w:rsidRPr="007B3226">
        <w:rPr>
          <w:rFonts w:ascii="Arial" w:hAnsi="Arial" w:cs="Arial"/>
          <w:i/>
        </w:rPr>
        <w:t>establish</w:t>
      </w:r>
      <w:r w:rsidR="007B3226">
        <w:rPr>
          <w:rFonts w:ascii="Arial" w:hAnsi="Arial" w:cs="Arial"/>
        </w:rPr>
        <w:t>” that a certain individual conducted financial transactions in a “</w:t>
      </w:r>
      <w:r w:rsidR="007B3226" w:rsidRPr="007B3226">
        <w:rPr>
          <w:rFonts w:ascii="Arial" w:hAnsi="Arial" w:cs="Arial"/>
          <w:i/>
        </w:rPr>
        <w:t>grossly negligent</w:t>
      </w:r>
      <w:r w:rsidR="007B3226">
        <w:rPr>
          <w:rFonts w:ascii="Arial" w:hAnsi="Arial" w:cs="Arial"/>
        </w:rPr>
        <w:t>” manner, it was held that the fact that the “</w:t>
      </w:r>
      <w:r w:rsidR="007B3226" w:rsidRPr="007B3226">
        <w:rPr>
          <w:rFonts w:ascii="Arial" w:hAnsi="Arial" w:cs="Arial"/>
          <w:i/>
        </w:rPr>
        <w:t>findings</w:t>
      </w:r>
      <w:r w:rsidR="007B3226">
        <w:rPr>
          <w:rFonts w:ascii="Arial" w:hAnsi="Arial" w:cs="Arial"/>
        </w:rPr>
        <w:t xml:space="preserve">” were prima face, not binding, and could be determined in any subsequent proceedings, </w:t>
      </w:r>
      <w:r w:rsidR="00145065">
        <w:rPr>
          <w:rFonts w:ascii="Arial" w:hAnsi="Arial" w:cs="Arial"/>
        </w:rPr>
        <w:t xml:space="preserve">resulted in </w:t>
      </w:r>
      <w:r w:rsidR="007B3226">
        <w:rPr>
          <w:rFonts w:ascii="Arial" w:hAnsi="Arial" w:cs="Arial"/>
        </w:rPr>
        <w:t>the fa</w:t>
      </w:r>
      <w:r w:rsidR="002779D2">
        <w:rPr>
          <w:rFonts w:ascii="Arial" w:hAnsi="Arial" w:cs="Arial"/>
        </w:rPr>
        <w:t>ct that the affected person was</w:t>
      </w:r>
      <w:r w:rsidR="007B3226">
        <w:rPr>
          <w:rFonts w:ascii="Arial" w:hAnsi="Arial" w:cs="Arial"/>
        </w:rPr>
        <w:t xml:space="preserve"> not granted an opport</w:t>
      </w:r>
      <w:r w:rsidR="002779D2">
        <w:rPr>
          <w:rFonts w:ascii="Arial" w:hAnsi="Arial" w:cs="Arial"/>
        </w:rPr>
        <w:t>unity to participate it was</w:t>
      </w:r>
      <w:r w:rsidR="007B3226">
        <w:rPr>
          <w:rFonts w:ascii="Arial" w:hAnsi="Arial" w:cs="Arial"/>
        </w:rPr>
        <w:t xml:space="preserve"> </w:t>
      </w:r>
      <w:r w:rsidR="00145065">
        <w:rPr>
          <w:rFonts w:ascii="Arial" w:hAnsi="Arial" w:cs="Arial"/>
        </w:rPr>
        <w:t xml:space="preserve">held </w:t>
      </w:r>
      <w:r w:rsidR="007B3226">
        <w:rPr>
          <w:rFonts w:ascii="Arial" w:hAnsi="Arial" w:cs="Arial"/>
        </w:rPr>
        <w:t>not</w:t>
      </w:r>
      <w:r w:rsidR="00145065">
        <w:rPr>
          <w:rFonts w:ascii="Arial" w:hAnsi="Arial" w:cs="Arial"/>
        </w:rPr>
        <w:t xml:space="preserve"> to be</w:t>
      </w:r>
      <w:r w:rsidR="007B3226">
        <w:rPr>
          <w:rFonts w:ascii="Arial" w:hAnsi="Arial" w:cs="Arial"/>
        </w:rPr>
        <w:t xml:space="preserve"> arbitrary and/or irrational.</w:t>
      </w:r>
      <w:r w:rsidR="007B3226">
        <w:rPr>
          <w:rStyle w:val="FootnoteReference"/>
          <w:rFonts w:ascii="Arial" w:hAnsi="Arial" w:cs="Arial"/>
        </w:rPr>
        <w:footnoteReference w:id="31"/>
      </w:r>
    </w:p>
    <w:p w14:paraId="0FAEC40A" w14:textId="77777777" w:rsidR="008F0368" w:rsidRDefault="008F0368" w:rsidP="00C252BC">
      <w:pPr>
        <w:spacing w:line="480" w:lineRule="auto"/>
        <w:ind w:left="720" w:hanging="720"/>
        <w:jc w:val="both"/>
        <w:rPr>
          <w:rFonts w:ascii="Arial" w:hAnsi="Arial" w:cs="Arial"/>
        </w:rPr>
      </w:pPr>
    </w:p>
    <w:p w14:paraId="6A7807FF" w14:textId="77777777" w:rsidR="00890481" w:rsidRDefault="00890481" w:rsidP="00C252BC">
      <w:pPr>
        <w:spacing w:line="480" w:lineRule="auto"/>
        <w:ind w:left="720" w:hanging="720"/>
        <w:jc w:val="both"/>
        <w:rPr>
          <w:rFonts w:ascii="Arial" w:hAnsi="Arial" w:cs="Arial"/>
        </w:rPr>
      </w:pPr>
      <w:r>
        <w:rPr>
          <w:rFonts w:ascii="Arial" w:hAnsi="Arial" w:cs="Arial"/>
        </w:rPr>
        <w:t>[66]</w:t>
      </w:r>
      <w:r>
        <w:rPr>
          <w:rFonts w:ascii="Arial" w:hAnsi="Arial" w:cs="Arial"/>
        </w:rPr>
        <w:tab/>
        <w:t>Insofar as consultation with interested parties by decision-makers are concerned, it was held:</w:t>
      </w:r>
    </w:p>
    <w:p w14:paraId="19D7A452" w14:textId="35D3CDBC" w:rsidR="00890481" w:rsidRPr="00C252BC" w:rsidRDefault="00890481" w:rsidP="00890481">
      <w:pPr>
        <w:spacing w:line="480" w:lineRule="auto"/>
        <w:ind w:left="1440"/>
        <w:jc w:val="both"/>
        <w:rPr>
          <w:rFonts w:ascii="Arial" w:hAnsi="Arial" w:cs="Arial"/>
        </w:rPr>
      </w:pPr>
      <w:r>
        <w:rPr>
          <w:rFonts w:ascii="Arial" w:hAnsi="Arial" w:cs="Arial"/>
        </w:rPr>
        <w:t>“</w:t>
      </w:r>
      <w:r w:rsidRPr="00890481">
        <w:rPr>
          <w:rFonts w:ascii="Arial" w:hAnsi="Arial" w:cs="Arial"/>
          <w:i/>
        </w:rPr>
        <w:t>There is no general duty on decision-makers to consult interested parties for a decision to be rational under the rule of law. See: Minister of Home Affairs &amp; Others v Scalabrini Centre &amp; Others 2013 (6) SA 421 (SCA) paras 67 and 72.  But there are circumstances in which rational decision-makers requires consultation with interested parties. The cases of Albutt v Centre for the Study of Viole</w:t>
      </w:r>
      <w:r w:rsidR="00315B2D">
        <w:rPr>
          <w:rFonts w:ascii="Arial" w:hAnsi="Arial" w:cs="Arial"/>
          <w:i/>
        </w:rPr>
        <w:t>nce and Reconciliation &amp; Others</w:t>
      </w:r>
      <w:r w:rsidRPr="00890481">
        <w:rPr>
          <w:rFonts w:ascii="Arial" w:hAnsi="Arial" w:cs="Arial"/>
          <w:i/>
        </w:rPr>
        <w:t xml:space="preserve"> 2010 (3) SA 293 (CC) (2010)(5) BCLR 391; [2010] ZACC4 and Scalabrini provide instances thereof.</w:t>
      </w:r>
      <w:r>
        <w:rPr>
          <w:rFonts w:ascii="Arial" w:hAnsi="Arial" w:cs="Arial"/>
        </w:rPr>
        <w:t>”</w:t>
      </w:r>
    </w:p>
    <w:p w14:paraId="00C799BC" w14:textId="4719FB4F" w:rsidR="00B65591" w:rsidRDefault="00890481" w:rsidP="00890481">
      <w:pPr>
        <w:spacing w:before="360" w:after="360" w:line="480" w:lineRule="auto"/>
        <w:ind w:left="720"/>
        <w:jc w:val="both"/>
        <w:rPr>
          <w:rFonts w:ascii="Arial" w:hAnsi="Arial"/>
          <w:bCs/>
        </w:rPr>
      </w:pPr>
      <w:r>
        <w:rPr>
          <w:rFonts w:ascii="Arial" w:hAnsi="Arial"/>
          <w:bCs/>
        </w:rPr>
        <w:t>The authorities referred to by Swanepoel J in paragraph</w:t>
      </w:r>
      <w:r w:rsidR="00145065">
        <w:rPr>
          <w:rFonts w:ascii="Arial" w:hAnsi="Arial"/>
          <w:bCs/>
        </w:rPr>
        <w:t>s</w:t>
      </w:r>
      <w:r>
        <w:rPr>
          <w:rFonts w:ascii="Arial" w:hAnsi="Arial"/>
          <w:bCs/>
        </w:rPr>
        <w:t xml:space="preserve"> [34] to [45] of the judgement are not in support of his statement that the </w:t>
      </w:r>
      <w:r>
        <w:rPr>
          <w:rFonts w:ascii="Arial" w:hAnsi="Arial"/>
          <w:bCs/>
        </w:rPr>
        <w:lastRenderedPageBreak/>
        <w:t xml:space="preserve">notion of rationality has been expanded to include the requirement of procedural fairness in some instances, or the right to be heard in some instances.  The authorities referred to by Swanepoel J applied the rationality standard as set out in paragraph </w:t>
      </w:r>
      <w:r w:rsidR="003C26E1">
        <w:rPr>
          <w:rFonts w:ascii="Arial" w:hAnsi="Arial"/>
          <w:bCs/>
        </w:rPr>
        <w:t>[56]</w:t>
      </w:r>
      <w:r>
        <w:rPr>
          <w:rFonts w:ascii="Arial" w:hAnsi="Arial"/>
          <w:bCs/>
        </w:rPr>
        <w:t xml:space="preserve"> </w:t>
      </w:r>
      <w:r w:rsidRPr="003C26E1">
        <w:rPr>
          <w:rFonts w:ascii="Arial" w:hAnsi="Arial"/>
          <w:i/>
        </w:rPr>
        <w:t>supra</w:t>
      </w:r>
      <w:r>
        <w:rPr>
          <w:rFonts w:ascii="Arial" w:hAnsi="Arial"/>
          <w:bCs/>
        </w:rPr>
        <w:t xml:space="preserve"> and the application of the rationality standard was determinative whether a party should have </w:t>
      </w:r>
      <w:r w:rsidR="00145065">
        <w:rPr>
          <w:rFonts w:ascii="Arial" w:hAnsi="Arial"/>
          <w:bCs/>
        </w:rPr>
        <w:t xml:space="preserve">been </w:t>
      </w:r>
      <w:r w:rsidR="003C26E1">
        <w:rPr>
          <w:rFonts w:ascii="Arial" w:hAnsi="Arial"/>
          <w:bCs/>
        </w:rPr>
        <w:t>afforded</w:t>
      </w:r>
      <w:r w:rsidR="00145065">
        <w:rPr>
          <w:rFonts w:ascii="Arial" w:hAnsi="Arial"/>
          <w:bCs/>
        </w:rPr>
        <w:t xml:space="preserve"> </w:t>
      </w:r>
      <w:r w:rsidR="003C26E1">
        <w:rPr>
          <w:rFonts w:ascii="Arial" w:hAnsi="Arial"/>
          <w:bCs/>
        </w:rPr>
        <w:t>an opportunity to be</w:t>
      </w:r>
      <w:r>
        <w:rPr>
          <w:rFonts w:ascii="Arial" w:hAnsi="Arial"/>
          <w:bCs/>
        </w:rPr>
        <w:t xml:space="preserve"> heard. In the matter of Albutt, with due regard to the objective of the empowering provision (national building and reconciliation) it was found that the failure to consult af</w:t>
      </w:r>
      <w:r w:rsidR="002779D2">
        <w:rPr>
          <w:rFonts w:ascii="Arial" w:hAnsi="Arial"/>
          <w:bCs/>
        </w:rPr>
        <w:t>fected parties were irrational.</w:t>
      </w:r>
      <w:r>
        <w:rPr>
          <w:rStyle w:val="FootnoteReference"/>
          <w:rFonts w:ascii="Arial" w:hAnsi="Arial"/>
          <w:bCs/>
        </w:rPr>
        <w:footnoteReference w:id="32"/>
      </w:r>
      <w:r>
        <w:rPr>
          <w:rFonts w:ascii="Arial" w:hAnsi="Arial"/>
          <w:bCs/>
        </w:rPr>
        <w:t xml:space="preserve"> </w:t>
      </w:r>
      <w:r w:rsidR="00145065">
        <w:rPr>
          <w:rFonts w:ascii="Arial" w:hAnsi="Arial"/>
          <w:bCs/>
        </w:rPr>
        <w:t>Clearly, w</w:t>
      </w:r>
      <w:r>
        <w:rPr>
          <w:rFonts w:ascii="Arial" w:hAnsi="Arial"/>
          <w:bCs/>
        </w:rPr>
        <w:t xml:space="preserve">here there are competing interests affected by a decision-maker when exercising a public power, failure to consult with one or more of the affected parties </w:t>
      </w:r>
      <w:r w:rsidR="00FB05A4">
        <w:rPr>
          <w:rFonts w:ascii="Arial" w:hAnsi="Arial"/>
          <w:bCs/>
        </w:rPr>
        <w:t xml:space="preserve">holding competing interests </w:t>
      </w:r>
      <w:r>
        <w:rPr>
          <w:rFonts w:ascii="Arial" w:hAnsi="Arial"/>
          <w:bCs/>
        </w:rPr>
        <w:t>may be irrational in the context of the objective of the provision but a rev</w:t>
      </w:r>
      <w:r w:rsidR="00FB05A4">
        <w:rPr>
          <w:rFonts w:ascii="Arial" w:hAnsi="Arial"/>
          <w:bCs/>
        </w:rPr>
        <w:t>iew</w:t>
      </w:r>
      <w:r>
        <w:rPr>
          <w:rFonts w:ascii="Arial" w:hAnsi="Arial"/>
          <w:bCs/>
        </w:rPr>
        <w:t xml:space="preserve"> of such </w:t>
      </w:r>
      <w:r w:rsidR="00FB05A4">
        <w:rPr>
          <w:rFonts w:ascii="Arial" w:hAnsi="Arial"/>
          <w:bCs/>
        </w:rPr>
        <w:t xml:space="preserve">a </w:t>
      </w:r>
      <w:r>
        <w:rPr>
          <w:rFonts w:ascii="Arial" w:hAnsi="Arial"/>
          <w:bCs/>
        </w:rPr>
        <w:t xml:space="preserve">decision will not be conducted on the basis of a failure of procedural fairness as required under a PAJA review, but will be reviewed under the principle of a lack of rationality. </w:t>
      </w:r>
    </w:p>
    <w:p w14:paraId="046180C4" w14:textId="2AAE8F91" w:rsidR="00890481" w:rsidRDefault="00890481" w:rsidP="00890481">
      <w:pPr>
        <w:spacing w:before="360" w:after="360" w:line="480" w:lineRule="auto"/>
        <w:ind w:left="720" w:hanging="720"/>
        <w:jc w:val="both"/>
        <w:rPr>
          <w:rFonts w:ascii="Arial" w:hAnsi="Arial"/>
          <w:bCs/>
        </w:rPr>
      </w:pPr>
      <w:r>
        <w:rPr>
          <w:rFonts w:ascii="Arial" w:hAnsi="Arial"/>
          <w:bCs/>
        </w:rPr>
        <w:t>[67]</w:t>
      </w:r>
      <w:r>
        <w:rPr>
          <w:rFonts w:ascii="Arial" w:hAnsi="Arial"/>
          <w:bCs/>
        </w:rPr>
        <w:tab/>
        <w:t>It therefore follows that I am of the view that the Investigator conducted an investigation and insofar as any comments and/or view</w:t>
      </w:r>
      <w:r w:rsidR="002779D2">
        <w:rPr>
          <w:rFonts w:ascii="Arial" w:hAnsi="Arial"/>
          <w:bCs/>
        </w:rPr>
        <w:t xml:space="preserve">s expressed and/or reference </w:t>
      </w:r>
      <w:r>
        <w:rPr>
          <w:rFonts w:ascii="Arial" w:hAnsi="Arial"/>
          <w:bCs/>
        </w:rPr>
        <w:t>made in the reports to First Respondent, such were made in the context of the information obtained during the investiga</w:t>
      </w:r>
      <w:r w:rsidR="0079630A">
        <w:rPr>
          <w:rFonts w:ascii="Arial" w:hAnsi="Arial"/>
          <w:bCs/>
        </w:rPr>
        <w:t>tion with the purpose and intent</w:t>
      </w:r>
      <w:r>
        <w:rPr>
          <w:rFonts w:ascii="Arial" w:hAnsi="Arial"/>
          <w:bCs/>
        </w:rPr>
        <w:t xml:space="preserve"> to serve the objects of the investigation which are set out in the notice </w:t>
      </w:r>
      <w:r>
        <w:rPr>
          <w:rFonts w:ascii="Arial" w:hAnsi="Arial"/>
          <w:bCs/>
        </w:rPr>
        <w:lastRenderedPageBreak/>
        <w:t xml:space="preserve">of appointment of the Investigator and which must be read in the context of the relevant provisions of FSA referred to </w:t>
      </w:r>
      <w:r w:rsidRPr="00890481">
        <w:rPr>
          <w:rFonts w:ascii="Arial" w:hAnsi="Arial"/>
          <w:b/>
          <w:bCs/>
          <w:i/>
        </w:rPr>
        <w:t>supra</w:t>
      </w:r>
      <w:r>
        <w:rPr>
          <w:rFonts w:ascii="Arial" w:hAnsi="Arial"/>
          <w:bCs/>
        </w:rPr>
        <w:t xml:space="preserve">. </w:t>
      </w:r>
    </w:p>
    <w:p w14:paraId="2B958CEA" w14:textId="77777777" w:rsidR="00890481" w:rsidRDefault="00890481" w:rsidP="00890481">
      <w:pPr>
        <w:spacing w:before="360" w:after="360" w:line="480" w:lineRule="auto"/>
        <w:ind w:left="720" w:hanging="720"/>
        <w:jc w:val="both"/>
        <w:rPr>
          <w:rFonts w:ascii="Arial" w:hAnsi="Arial"/>
          <w:bCs/>
        </w:rPr>
      </w:pPr>
      <w:r>
        <w:rPr>
          <w:rFonts w:ascii="Arial" w:hAnsi="Arial"/>
          <w:bCs/>
        </w:rPr>
        <w:t>[68]</w:t>
      </w:r>
      <w:r>
        <w:rPr>
          <w:rFonts w:ascii="Arial" w:hAnsi="Arial"/>
          <w:bCs/>
        </w:rPr>
        <w:tab/>
        <w:t>In my view the impugned portions of the report can be placed into the following two categories:</w:t>
      </w:r>
    </w:p>
    <w:p w14:paraId="234BA457" w14:textId="77777777" w:rsidR="00890481" w:rsidRDefault="00890481" w:rsidP="00890481">
      <w:pPr>
        <w:spacing w:before="360" w:after="360" w:line="480" w:lineRule="auto"/>
        <w:ind w:left="1440" w:hanging="720"/>
        <w:jc w:val="both"/>
        <w:rPr>
          <w:rFonts w:ascii="Arial" w:hAnsi="Arial"/>
          <w:bCs/>
        </w:rPr>
      </w:pPr>
      <w:r>
        <w:rPr>
          <w:rFonts w:ascii="Arial" w:hAnsi="Arial"/>
          <w:bCs/>
        </w:rPr>
        <w:t>[68.1]</w:t>
      </w:r>
      <w:r>
        <w:rPr>
          <w:rFonts w:ascii="Arial" w:hAnsi="Arial"/>
          <w:bCs/>
        </w:rPr>
        <w:tab/>
        <w:t>Paragraphs 72, 73, 81 and 90 are recordals of information obtained by the Investigator from sources implicating First Respondent in maleficence;</w:t>
      </w:r>
    </w:p>
    <w:p w14:paraId="27EC620E" w14:textId="1D7735FA" w:rsidR="00890481" w:rsidRDefault="00890481" w:rsidP="00890481">
      <w:pPr>
        <w:spacing w:before="360" w:after="360" w:line="480" w:lineRule="auto"/>
        <w:ind w:left="1440" w:hanging="720"/>
        <w:jc w:val="both"/>
        <w:rPr>
          <w:rFonts w:ascii="Arial" w:hAnsi="Arial"/>
          <w:bCs/>
        </w:rPr>
      </w:pPr>
      <w:r>
        <w:rPr>
          <w:rFonts w:ascii="Arial" w:hAnsi="Arial"/>
          <w:bCs/>
        </w:rPr>
        <w:t>[68.2]</w:t>
      </w:r>
      <w:r>
        <w:rPr>
          <w:rFonts w:ascii="Arial" w:hAnsi="Arial"/>
          <w:bCs/>
        </w:rPr>
        <w:tab/>
        <w:t>Paragraph 80 of the report is the expression of an impression, based on available evidence to the Investigator that a certain type of co</w:t>
      </w:r>
      <w:r w:rsidR="00FB05A4">
        <w:rPr>
          <w:rFonts w:ascii="Arial" w:hAnsi="Arial"/>
          <w:bCs/>
        </w:rPr>
        <w:t>-</w:t>
      </w:r>
      <w:r>
        <w:rPr>
          <w:rFonts w:ascii="Arial" w:hAnsi="Arial"/>
          <w:bCs/>
        </w:rPr>
        <w:t xml:space="preserve">operation (or relationship) existed between First Respondent and another party implying involvement in maleficence by First Respondent. </w:t>
      </w:r>
      <w:r>
        <w:rPr>
          <w:rFonts w:ascii="Arial" w:hAnsi="Arial"/>
          <w:bCs/>
        </w:rPr>
        <w:tab/>
      </w:r>
    </w:p>
    <w:p w14:paraId="327A7702" w14:textId="0A9C77BB" w:rsidR="00F77FB6" w:rsidRDefault="00890481" w:rsidP="00890481">
      <w:pPr>
        <w:spacing w:before="360" w:after="360" w:line="480" w:lineRule="auto"/>
        <w:ind w:left="720" w:hanging="720"/>
        <w:jc w:val="both"/>
        <w:rPr>
          <w:rFonts w:ascii="Arial" w:hAnsi="Arial"/>
          <w:bCs/>
        </w:rPr>
      </w:pPr>
      <w:r>
        <w:rPr>
          <w:rFonts w:ascii="Arial" w:hAnsi="Arial"/>
          <w:bCs/>
        </w:rPr>
        <w:t>[69]</w:t>
      </w:r>
      <w:r>
        <w:rPr>
          <w:rFonts w:ascii="Arial" w:hAnsi="Arial"/>
          <w:bCs/>
        </w:rPr>
        <w:tab/>
        <w:t xml:space="preserve">The aforesaid impugned portions of the report </w:t>
      </w:r>
      <w:r w:rsidR="00FB05A4">
        <w:rPr>
          <w:rFonts w:ascii="Arial" w:hAnsi="Arial"/>
          <w:bCs/>
        </w:rPr>
        <w:t>are</w:t>
      </w:r>
      <w:r>
        <w:rPr>
          <w:rFonts w:ascii="Arial" w:hAnsi="Arial"/>
          <w:bCs/>
        </w:rPr>
        <w:t xml:space="preserve"> based on evidence obtained from various individuals and copies of </w:t>
      </w:r>
      <w:r w:rsidR="00F77FB6">
        <w:rPr>
          <w:rFonts w:ascii="Arial" w:hAnsi="Arial"/>
          <w:bCs/>
        </w:rPr>
        <w:t>electronic communications.  In Heads of Argument filed on behalf of the Appellant it was submitted that the recordal of evidence and testimony of a third party do not entail a finding or a decision by the Investigator and consequently cannot found a review. It was further submitted</w:t>
      </w:r>
      <w:r w:rsidR="003C26E1">
        <w:rPr>
          <w:rFonts w:ascii="Arial" w:hAnsi="Arial"/>
          <w:bCs/>
        </w:rPr>
        <w:t xml:space="preserve"> in such heads of argument</w:t>
      </w:r>
      <w:r w:rsidR="00F77FB6">
        <w:rPr>
          <w:rFonts w:ascii="Arial" w:hAnsi="Arial"/>
          <w:bCs/>
        </w:rPr>
        <w:t xml:space="preserve">: </w:t>
      </w:r>
    </w:p>
    <w:p w14:paraId="1F34679A" w14:textId="350F9592" w:rsidR="00890481" w:rsidRPr="004201C0" w:rsidRDefault="00F77FB6" w:rsidP="00F77FB6">
      <w:pPr>
        <w:spacing w:before="360" w:after="360" w:line="480" w:lineRule="auto"/>
        <w:ind w:left="1440"/>
        <w:jc w:val="both"/>
        <w:rPr>
          <w:rFonts w:ascii="Arial" w:hAnsi="Arial"/>
          <w:bCs/>
        </w:rPr>
      </w:pPr>
      <w:r>
        <w:rPr>
          <w:rFonts w:ascii="Arial" w:hAnsi="Arial"/>
          <w:bCs/>
        </w:rPr>
        <w:t>“</w:t>
      </w:r>
      <w:r w:rsidRPr="00F77FB6">
        <w:rPr>
          <w:rFonts w:ascii="Arial" w:hAnsi="Arial"/>
          <w:bCs/>
          <w:i/>
        </w:rPr>
        <w:t xml:space="preserve">In addition, the relevant testimony and whatsup evidence exists in fact and cannot be set aside or expunged.  An order reviewing and setting the impugned statements aside not only has no practical effect; it is also incompetent. Its </w:t>
      </w:r>
      <w:r w:rsidRPr="00F77FB6">
        <w:rPr>
          <w:rFonts w:ascii="Arial" w:hAnsi="Arial"/>
          <w:bCs/>
          <w:i/>
        </w:rPr>
        <w:lastRenderedPageBreak/>
        <w:t>purpose and effect would be to remove from the record material that was factually placed before the Investigator, and to distort the contents of the report.  A court cannot effectively re-write the report to exclude material and relevant evidence in this way</w:t>
      </w:r>
      <w:r>
        <w:rPr>
          <w:rFonts w:ascii="Arial" w:hAnsi="Arial"/>
          <w:bCs/>
        </w:rPr>
        <w:t xml:space="preserve">.” </w:t>
      </w:r>
    </w:p>
    <w:p w14:paraId="38772EF0" w14:textId="77777777" w:rsidR="0040460F" w:rsidRDefault="00F77FB6" w:rsidP="0040460F">
      <w:pPr>
        <w:spacing w:before="360" w:after="360" w:line="480" w:lineRule="auto"/>
        <w:ind w:left="720" w:hanging="720"/>
        <w:jc w:val="both"/>
        <w:rPr>
          <w:rFonts w:ascii="Arial" w:hAnsi="Arial" w:cs="Arial"/>
        </w:rPr>
      </w:pPr>
      <w:r>
        <w:rPr>
          <w:rFonts w:ascii="Arial" w:hAnsi="Arial"/>
          <w:b/>
        </w:rPr>
        <w:tab/>
      </w:r>
      <w:r w:rsidRPr="00F77FB6">
        <w:rPr>
          <w:rFonts w:ascii="Arial" w:hAnsi="Arial"/>
        </w:rPr>
        <w:t>I agree with this submission</w:t>
      </w:r>
      <w:r>
        <w:rPr>
          <w:rFonts w:ascii="Arial" w:hAnsi="Arial" w:cs="Arial"/>
          <w:b/>
        </w:rPr>
        <w:t xml:space="preserve"> </w:t>
      </w:r>
      <w:r w:rsidRPr="00F77FB6">
        <w:rPr>
          <w:rFonts w:ascii="Arial" w:hAnsi="Arial" w:cs="Arial"/>
        </w:rPr>
        <w:t xml:space="preserve">for the following reasons:  </w:t>
      </w:r>
    </w:p>
    <w:p w14:paraId="4F5080EB" w14:textId="52FF334B" w:rsidR="00F77FB6" w:rsidRDefault="00F77FB6" w:rsidP="00F77FB6">
      <w:pPr>
        <w:spacing w:before="360" w:after="360" w:line="480" w:lineRule="auto"/>
        <w:ind w:left="1440" w:hanging="1440"/>
        <w:jc w:val="both"/>
        <w:rPr>
          <w:rFonts w:ascii="Arial" w:hAnsi="Arial" w:cs="Arial"/>
        </w:rPr>
      </w:pPr>
      <w:r>
        <w:rPr>
          <w:rFonts w:ascii="Arial" w:hAnsi="Arial" w:cs="Arial"/>
        </w:rPr>
        <w:t xml:space="preserve">          [69.1]</w:t>
      </w:r>
      <w:r>
        <w:rPr>
          <w:rFonts w:ascii="Arial" w:hAnsi="Arial" w:cs="Arial"/>
        </w:rPr>
        <w:tab/>
        <w:t xml:space="preserve">The Investigator is empowered and enjoined by FSA to do exactly what </w:t>
      </w:r>
      <w:r w:rsidR="00FB05A4">
        <w:rPr>
          <w:rFonts w:ascii="Arial" w:hAnsi="Arial" w:cs="Arial"/>
        </w:rPr>
        <w:t>Second Respondent</w:t>
      </w:r>
      <w:r>
        <w:rPr>
          <w:rFonts w:ascii="Arial" w:hAnsi="Arial" w:cs="Arial"/>
        </w:rPr>
        <w:t xml:space="preserve"> did namely to gather information consisting </w:t>
      </w:r>
      <w:r w:rsidRPr="00FB05A4">
        <w:rPr>
          <w:rFonts w:ascii="Arial" w:hAnsi="Arial" w:cs="Arial"/>
          <w:bCs/>
          <w:i/>
        </w:rPr>
        <w:t>inter alia</w:t>
      </w:r>
      <w:r>
        <w:rPr>
          <w:rFonts w:ascii="Arial" w:hAnsi="Arial" w:cs="Arial"/>
        </w:rPr>
        <w:t xml:space="preserve"> in the form of evidence of third parties and electronic communication, and to then include such information in a report to Appellant. The impugned portions of the report includes such information</w:t>
      </w:r>
      <w:r w:rsidR="00FB05A4">
        <w:rPr>
          <w:rFonts w:ascii="Arial" w:hAnsi="Arial" w:cs="Arial"/>
        </w:rPr>
        <w:t>.</w:t>
      </w:r>
      <w:r w:rsidR="003C26E1">
        <w:rPr>
          <w:rFonts w:ascii="Arial" w:hAnsi="Arial" w:cs="Arial"/>
        </w:rPr>
        <w:t xml:space="preserve"> Such information or evidence can only be struc</w:t>
      </w:r>
      <w:r w:rsidR="007D2CC4">
        <w:rPr>
          <w:rFonts w:ascii="Arial" w:hAnsi="Arial" w:cs="Arial"/>
        </w:rPr>
        <w:t>k</w:t>
      </w:r>
      <w:r w:rsidR="003C26E1">
        <w:rPr>
          <w:rFonts w:ascii="Arial" w:hAnsi="Arial" w:cs="Arial"/>
        </w:rPr>
        <w:t xml:space="preserve"> from the report if the</w:t>
      </w:r>
      <w:r w:rsidR="00315B2D">
        <w:rPr>
          <w:rFonts w:ascii="Arial" w:hAnsi="Arial" w:cs="Arial"/>
        </w:rPr>
        <w:t xml:space="preserve"> act of</w:t>
      </w:r>
      <w:r w:rsidR="003C26E1">
        <w:rPr>
          <w:rFonts w:ascii="Arial" w:hAnsi="Arial" w:cs="Arial"/>
        </w:rPr>
        <w:t xml:space="preserve"> inclusion thereof by the investigator </w:t>
      </w:r>
      <w:r w:rsidR="007D2CC4">
        <w:rPr>
          <w:rFonts w:ascii="Arial" w:hAnsi="Arial" w:cs="Arial"/>
        </w:rPr>
        <w:t>in itself do not pass the rationality test under the principle of legality.</w:t>
      </w:r>
    </w:p>
    <w:p w14:paraId="5E6EA3B7" w14:textId="771D6C27" w:rsidR="00F77FB6" w:rsidRDefault="00F77FB6" w:rsidP="00F77FB6">
      <w:pPr>
        <w:spacing w:before="360" w:after="360" w:line="480" w:lineRule="auto"/>
        <w:ind w:left="1440" w:hanging="720"/>
        <w:jc w:val="both"/>
        <w:rPr>
          <w:rFonts w:ascii="Arial" w:hAnsi="Arial" w:cs="Arial"/>
        </w:rPr>
      </w:pPr>
      <w:r>
        <w:rPr>
          <w:rFonts w:ascii="Arial" w:hAnsi="Arial" w:cs="Arial"/>
        </w:rPr>
        <w:t>[69.2]</w:t>
      </w:r>
      <w:r>
        <w:rPr>
          <w:rFonts w:ascii="Arial" w:hAnsi="Arial" w:cs="Arial"/>
        </w:rPr>
        <w:tab/>
        <w:t>It is not the case of First Respondent that the</w:t>
      </w:r>
      <w:r w:rsidR="007D2CC4">
        <w:rPr>
          <w:rFonts w:ascii="Arial" w:hAnsi="Arial" w:cs="Arial"/>
        </w:rPr>
        <w:t xml:space="preserve"> act of</w:t>
      </w:r>
      <w:r>
        <w:rPr>
          <w:rFonts w:ascii="Arial" w:hAnsi="Arial" w:cs="Arial"/>
        </w:rPr>
        <w:t xml:space="preserve"> </w:t>
      </w:r>
      <w:r w:rsidR="00FB05A4">
        <w:rPr>
          <w:rFonts w:ascii="Arial" w:hAnsi="Arial" w:cs="Arial"/>
        </w:rPr>
        <w:t xml:space="preserve">the investigator of </w:t>
      </w:r>
      <w:r>
        <w:rPr>
          <w:rFonts w:ascii="Arial" w:hAnsi="Arial" w:cs="Arial"/>
        </w:rPr>
        <w:t>inclusion of such evidence in the report is irrational, but the complaint of First Respondent is namely that the fact that he is implicated in the report without having been granted an opportunity to state his case (as referred to by Swanepoel J) is irrational.</w:t>
      </w:r>
    </w:p>
    <w:p w14:paraId="558B9658" w14:textId="0F10F98C" w:rsidR="00F77FB6" w:rsidRDefault="00F77FB6" w:rsidP="00F77FB6">
      <w:pPr>
        <w:spacing w:before="360" w:after="360" w:line="480" w:lineRule="auto"/>
        <w:ind w:left="720" w:hanging="720"/>
        <w:jc w:val="both"/>
        <w:rPr>
          <w:rFonts w:ascii="Arial" w:hAnsi="Arial" w:cs="Arial"/>
        </w:rPr>
      </w:pPr>
      <w:r>
        <w:rPr>
          <w:rFonts w:ascii="Arial" w:hAnsi="Arial" w:cs="Arial"/>
        </w:rPr>
        <w:t>[70]</w:t>
      </w:r>
      <w:r>
        <w:rPr>
          <w:rFonts w:ascii="Arial" w:hAnsi="Arial" w:cs="Arial"/>
        </w:rPr>
        <w:tab/>
        <w:t xml:space="preserve">A process of investigation which excludes a determination of culpability is unlikely to </w:t>
      </w:r>
      <w:r w:rsidR="007D2CC4">
        <w:rPr>
          <w:rFonts w:ascii="Arial" w:hAnsi="Arial" w:cs="Arial"/>
        </w:rPr>
        <w:t>a</w:t>
      </w:r>
      <w:r>
        <w:rPr>
          <w:rFonts w:ascii="Arial" w:hAnsi="Arial" w:cs="Arial"/>
        </w:rPr>
        <w:t xml:space="preserve">ffect the rights of a person that has a </w:t>
      </w:r>
      <w:r>
        <w:rPr>
          <w:rFonts w:ascii="Arial" w:hAnsi="Arial" w:cs="Arial"/>
        </w:rPr>
        <w:lastRenderedPageBreak/>
        <w:t>direct, external legal effect.  Mogoeng J (as he then was) held as follows:</w:t>
      </w:r>
      <w:r>
        <w:rPr>
          <w:rStyle w:val="FootnoteReference"/>
          <w:rFonts w:ascii="Arial" w:hAnsi="Arial" w:cs="Arial"/>
        </w:rPr>
        <w:footnoteReference w:id="33"/>
      </w:r>
    </w:p>
    <w:p w14:paraId="67139944" w14:textId="77777777" w:rsidR="00EE1088" w:rsidRPr="00644216" w:rsidRDefault="00EE1088" w:rsidP="00EE1088">
      <w:pPr>
        <w:spacing w:before="360" w:after="360" w:line="480" w:lineRule="auto"/>
        <w:ind w:left="2160"/>
        <w:jc w:val="both"/>
        <w:rPr>
          <w:rFonts w:ascii="Arial" w:hAnsi="Arial" w:cs="Arial"/>
          <w:i/>
        </w:rPr>
      </w:pPr>
      <w:r>
        <w:rPr>
          <w:rFonts w:ascii="Arial" w:hAnsi="Arial" w:cs="Arial"/>
        </w:rPr>
        <w:t>“</w:t>
      </w:r>
      <w:r w:rsidRPr="00644216">
        <w:rPr>
          <w:rFonts w:ascii="Arial" w:hAnsi="Arial" w:cs="Arial"/>
          <w:i/>
        </w:rPr>
        <w:t xml:space="preserve">Whether or not administrative action which would make PAJA applicable has been taken cannot be determined in the abstract. Regard must always be had to the facts of each case.  </w:t>
      </w:r>
    </w:p>
    <w:p w14:paraId="75EBA3BC" w14:textId="77777777" w:rsidR="00EE1088" w:rsidRDefault="00EE1088" w:rsidP="00EE1088">
      <w:pPr>
        <w:spacing w:before="360" w:after="360" w:line="480" w:lineRule="auto"/>
        <w:ind w:left="2160" w:hanging="720"/>
        <w:jc w:val="both"/>
        <w:rPr>
          <w:rFonts w:ascii="Arial" w:hAnsi="Arial" w:cs="Arial"/>
        </w:rPr>
      </w:pPr>
      <w:r w:rsidRPr="00644216">
        <w:rPr>
          <w:rFonts w:ascii="Arial" w:hAnsi="Arial" w:cs="Arial"/>
          <w:i/>
        </w:rPr>
        <w:t>[38]</w:t>
      </w:r>
      <w:r w:rsidRPr="00644216">
        <w:rPr>
          <w:rFonts w:ascii="Arial" w:hAnsi="Arial" w:cs="Arial"/>
          <w:i/>
        </w:rPr>
        <w:tab/>
        <w:t>Detecting a reasonable possibility of a fraudulent misrepresentation of facts, as in this case, could hardly be said to constitute an administrative action.  It is what the Organ of State decides to do and actually does with the information it has become aware of which could potentially trigger the appli</w:t>
      </w:r>
      <w:r w:rsidR="00644216" w:rsidRPr="00644216">
        <w:rPr>
          <w:rFonts w:ascii="Arial" w:hAnsi="Arial" w:cs="Arial"/>
          <w:i/>
        </w:rPr>
        <w:t>cation of PAJA.  It is unlikely that a decision to investigate and the process of investigation, which excludes a determination of culpability, could itself adversely affect the rights of any person, in another manner that has a direct and external legal effect</w:t>
      </w:r>
      <w:r w:rsidR="00644216">
        <w:rPr>
          <w:rFonts w:ascii="Arial" w:hAnsi="Arial" w:cs="Arial"/>
        </w:rPr>
        <w:t xml:space="preserve">”. </w:t>
      </w:r>
    </w:p>
    <w:p w14:paraId="6BF561EC" w14:textId="0D60B2FF" w:rsidR="00F77FB6" w:rsidRDefault="00F77FB6" w:rsidP="00F77FB6">
      <w:pPr>
        <w:spacing w:before="360" w:after="360" w:line="480" w:lineRule="auto"/>
        <w:ind w:left="720" w:hanging="720"/>
        <w:jc w:val="both"/>
        <w:rPr>
          <w:rFonts w:ascii="Arial" w:hAnsi="Arial" w:cs="Arial"/>
        </w:rPr>
      </w:pPr>
      <w:r>
        <w:rPr>
          <w:rFonts w:ascii="Arial" w:hAnsi="Arial" w:cs="Arial"/>
        </w:rPr>
        <w:tab/>
      </w:r>
      <w:r w:rsidR="00644216">
        <w:rPr>
          <w:rFonts w:ascii="Arial" w:hAnsi="Arial" w:cs="Arial"/>
        </w:rPr>
        <w:t xml:space="preserve">The impugned portions of the report are clearly information which squarely fits into the description of the kind of facts referred to in the judgement of Mogoeng J (as he then was) quoted </w:t>
      </w:r>
      <w:r w:rsidR="00644216" w:rsidRPr="007D2CC4">
        <w:rPr>
          <w:rFonts w:ascii="Arial" w:hAnsi="Arial" w:cs="Arial"/>
          <w:bCs/>
          <w:i/>
        </w:rPr>
        <w:t>supra</w:t>
      </w:r>
      <w:r w:rsidR="00644216" w:rsidRPr="007D2CC4">
        <w:rPr>
          <w:rFonts w:ascii="Arial" w:hAnsi="Arial" w:cs="Arial"/>
          <w:bCs/>
        </w:rPr>
        <w:t>.</w:t>
      </w:r>
      <w:r w:rsidR="00644216">
        <w:rPr>
          <w:rFonts w:ascii="Arial" w:hAnsi="Arial" w:cs="Arial"/>
        </w:rPr>
        <w:t xml:space="preserve"> </w:t>
      </w:r>
      <w:r>
        <w:rPr>
          <w:rFonts w:ascii="Arial" w:hAnsi="Arial" w:cs="Arial"/>
        </w:rPr>
        <w:t xml:space="preserve"> </w:t>
      </w:r>
      <w:r w:rsidR="00644216">
        <w:rPr>
          <w:rFonts w:ascii="Arial" w:hAnsi="Arial" w:cs="Arial"/>
        </w:rPr>
        <w:t xml:space="preserve"> However, in the </w:t>
      </w:r>
      <w:r w:rsidR="00644216" w:rsidRPr="007D2CC4">
        <w:rPr>
          <w:rFonts w:ascii="Arial" w:hAnsi="Arial" w:cs="Arial"/>
          <w:bCs/>
          <w:iCs/>
        </w:rPr>
        <w:t>Masuku</w:t>
      </w:r>
      <w:r w:rsidR="00644216">
        <w:rPr>
          <w:rFonts w:ascii="Arial" w:hAnsi="Arial" w:cs="Arial"/>
        </w:rPr>
        <w:t xml:space="preserve"> judgement </w:t>
      </w:r>
      <w:r w:rsidR="00644216">
        <w:rPr>
          <w:rStyle w:val="FootnoteReference"/>
          <w:rFonts w:ascii="Arial" w:hAnsi="Arial" w:cs="Arial"/>
        </w:rPr>
        <w:footnoteReference w:id="34"/>
      </w:r>
      <w:r w:rsidR="00936255">
        <w:rPr>
          <w:rFonts w:ascii="Arial" w:hAnsi="Arial" w:cs="Arial"/>
        </w:rPr>
        <w:t xml:space="preserve"> Sutherland ADJP held as a matter of principle and policy, that accountability for a report of the </w:t>
      </w:r>
      <w:r w:rsidR="00936255">
        <w:rPr>
          <w:rFonts w:ascii="Arial" w:hAnsi="Arial" w:cs="Arial"/>
        </w:rPr>
        <w:lastRenderedPageBreak/>
        <w:t>SIU should be recognised where the report had serious prejudicial consequences of a person implicated therein, and that such report is reviewable under the expanding scope of the principle of legality</w:t>
      </w:r>
      <w:r w:rsidR="00936255">
        <w:rPr>
          <w:rStyle w:val="FootnoteReference"/>
          <w:rFonts w:ascii="Arial" w:hAnsi="Arial" w:cs="Arial"/>
        </w:rPr>
        <w:footnoteReference w:id="35"/>
      </w:r>
    </w:p>
    <w:p w14:paraId="3FBA9A0A" w14:textId="56130B0A" w:rsidR="00441A48" w:rsidRDefault="00441A48" w:rsidP="00441A48">
      <w:pPr>
        <w:spacing w:before="360" w:after="360" w:line="480" w:lineRule="auto"/>
        <w:ind w:left="720" w:hanging="720"/>
        <w:jc w:val="both"/>
        <w:rPr>
          <w:rFonts w:ascii="Arial" w:hAnsi="Arial" w:cs="Arial"/>
        </w:rPr>
      </w:pPr>
      <w:r>
        <w:rPr>
          <w:rFonts w:ascii="Arial" w:hAnsi="Arial" w:cs="Arial"/>
        </w:rPr>
        <w:t>[71]</w:t>
      </w:r>
      <w:r>
        <w:rPr>
          <w:rFonts w:ascii="Arial" w:hAnsi="Arial" w:cs="Arial"/>
        </w:rPr>
        <w:tab/>
        <w:t xml:space="preserve">In my view, the mere recordal of evidence of witnesses who implicated First Respondent as contained in paragraphs 72, 73, 80 and 90 of the report do not seriously prejudice First Respondent to the extent that the implicated person in the </w:t>
      </w:r>
      <w:r w:rsidRPr="00FB05A4">
        <w:rPr>
          <w:rFonts w:ascii="Arial" w:hAnsi="Arial" w:cs="Arial"/>
          <w:bCs/>
          <w:i/>
        </w:rPr>
        <w:t>Masuku</w:t>
      </w:r>
      <w:r w:rsidRPr="00441A48">
        <w:rPr>
          <w:rFonts w:ascii="Arial" w:hAnsi="Arial" w:cs="Arial"/>
          <w:b/>
          <w:i/>
        </w:rPr>
        <w:t xml:space="preserve"> </w:t>
      </w:r>
      <w:r>
        <w:rPr>
          <w:rFonts w:ascii="Arial" w:hAnsi="Arial" w:cs="Arial"/>
        </w:rPr>
        <w:t xml:space="preserve">judgement was prejudiced.  In my view, should the reasonable person read those portions of the report, it will be appreciated that it is not a factual finding but a recordal of evidence. </w:t>
      </w:r>
      <w:r w:rsidR="00FB05A4">
        <w:rPr>
          <w:rFonts w:ascii="Arial" w:hAnsi="Arial" w:cs="Arial"/>
        </w:rPr>
        <w:t>Considering the analysis of the nature of the impugned portions of the report as contained in</w:t>
      </w:r>
      <w:r>
        <w:rPr>
          <w:rFonts w:ascii="Arial" w:hAnsi="Arial" w:cs="Arial"/>
        </w:rPr>
        <w:t xml:space="preserve"> paragraphs 72, 73, 8</w:t>
      </w:r>
      <w:r w:rsidR="008B7EEB">
        <w:rPr>
          <w:rFonts w:ascii="Arial" w:hAnsi="Arial" w:cs="Arial"/>
        </w:rPr>
        <w:t>1</w:t>
      </w:r>
      <w:r>
        <w:rPr>
          <w:rFonts w:ascii="Arial" w:hAnsi="Arial" w:cs="Arial"/>
        </w:rPr>
        <w:t xml:space="preserve"> and 90 of the report</w:t>
      </w:r>
      <w:r w:rsidR="00FB05A4">
        <w:rPr>
          <w:rFonts w:ascii="Arial" w:hAnsi="Arial" w:cs="Arial"/>
        </w:rPr>
        <w:t xml:space="preserve">, I am of the view that it is not reviewable </w:t>
      </w:r>
      <w:r w:rsidR="008B7EEB">
        <w:rPr>
          <w:rFonts w:ascii="Arial" w:hAnsi="Arial" w:cs="Arial"/>
        </w:rPr>
        <w:t xml:space="preserve">under the principle of legality </w:t>
      </w:r>
      <w:r w:rsidR="00FB05A4">
        <w:rPr>
          <w:rFonts w:ascii="Arial" w:hAnsi="Arial" w:cs="Arial"/>
        </w:rPr>
        <w:t>for the reasons as aforesaid</w:t>
      </w:r>
      <w:r>
        <w:rPr>
          <w:rFonts w:ascii="Arial" w:hAnsi="Arial" w:cs="Arial"/>
        </w:rPr>
        <w:t>.</w:t>
      </w:r>
    </w:p>
    <w:p w14:paraId="74B43C7C" w14:textId="4CA83064" w:rsidR="00441A48" w:rsidRDefault="00441A48" w:rsidP="00441A48">
      <w:pPr>
        <w:spacing w:before="360" w:after="360" w:line="480" w:lineRule="auto"/>
        <w:ind w:left="720" w:hanging="720"/>
        <w:jc w:val="both"/>
        <w:rPr>
          <w:rFonts w:ascii="Arial" w:hAnsi="Arial" w:cs="Arial"/>
        </w:rPr>
      </w:pPr>
      <w:r>
        <w:rPr>
          <w:rFonts w:ascii="Arial" w:hAnsi="Arial" w:cs="Arial"/>
        </w:rPr>
        <w:t>[72]</w:t>
      </w:r>
      <w:r>
        <w:rPr>
          <w:rFonts w:ascii="Arial" w:hAnsi="Arial" w:cs="Arial"/>
        </w:rPr>
        <w:tab/>
        <w:t xml:space="preserve">Insofar as paragraph 80 of the report contains the recordal of a certain inference drawn by the Investigator, </w:t>
      </w:r>
      <w:r w:rsidR="008B7EEB">
        <w:rPr>
          <w:rFonts w:ascii="Arial" w:hAnsi="Arial" w:cs="Arial"/>
        </w:rPr>
        <w:t xml:space="preserve">I hold a similar view. </w:t>
      </w:r>
      <w:r>
        <w:rPr>
          <w:rFonts w:ascii="Arial" w:hAnsi="Arial" w:cs="Arial"/>
        </w:rPr>
        <w:t xml:space="preserve">I am also of the view that a reasonable person who reads such </w:t>
      </w:r>
      <w:r w:rsidR="008B7EEB">
        <w:rPr>
          <w:rFonts w:ascii="Arial" w:hAnsi="Arial" w:cs="Arial"/>
        </w:rPr>
        <w:t>expressed view by the Investigator</w:t>
      </w:r>
      <w:r>
        <w:rPr>
          <w:rFonts w:ascii="Arial" w:hAnsi="Arial" w:cs="Arial"/>
        </w:rPr>
        <w:t xml:space="preserve"> will realise that it is not a factual finding </w:t>
      </w:r>
      <w:r w:rsidR="008B7EEB">
        <w:rPr>
          <w:rFonts w:ascii="Arial" w:hAnsi="Arial" w:cs="Arial"/>
        </w:rPr>
        <w:t xml:space="preserve">or determination of culpability, </w:t>
      </w:r>
      <w:r>
        <w:rPr>
          <w:rFonts w:ascii="Arial" w:hAnsi="Arial" w:cs="Arial"/>
        </w:rPr>
        <w:t xml:space="preserve">but merely the expression of a </w:t>
      </w:r>
      <w:r w:rsidRPr="007D2CC4">
        <w:rPr>
          <w:rFonts w:ascii="Arial" w:hAnsi="Arial" w:cs="Arial"/>
          <w:bCs/>
          <w:i/>
        </w:rPr>
        <w:t>prima facie</w:t>
      </w:r>
      <w:r>
        <w:rPr>
          <w:rFonts w:ascii="Arial" w:hAnsi="Arial" w:cs="Arial"/>
        </w:rPr>
        <w:t xml:space="preserve"> view based on available information. </w:t>
      </w:r>
      <w:r w:rsidR="00DB3904">
        <w:rPr>
          <w:rFonts w:ascii="Arial" w:hAnsi="Arial" w:cs="Arial"/>
        </w:rPr>
        <w:t xml:space="preserve">  I also hold the view that such recordal </w:t>
      </w:r>
      <w:r w:rsidR="007D2CC4">
        <w:rPr>
          <w:rFonts w:ascii="Arial" w:hAnsi="Arial" w:cs="Arial"/>
        </w:rPr>
        <w:t>do</w:t>
      </w:r>
      <w:r w:rsidR="00257E9D">
        <w:rPr>
          <w:rFonts w:ascii="Arial" w:hAnsi="Arial" w:cs="Arial"/>
        </w:rPr>
        <w:t>es</w:t>
      </w:r>
      <w:r w:rsidR="007D2CC4">
        <w:rPr>
          <w:rFonts w:ascii="Arial" w:hAnsi="Arial" w:cs="Arial"/>
        </w:rPr>
        <w:t xml:space="preserve"> not cause</w:t>
      </w:r>
      <w:r w:rsidR="00DB3904">
        <w:rPr>
          <w:rFonts w:ascii="Arial" w:hAnsi="Arial" w:cs="Arial"/>
        </w:rPr>
        <w:t xml:space="preserve"> the serious prejudice </w:t>
      </w:r>
      <w:r w:rsidR="007D2CC4">
        <w:rPr>
          <w:rFonts w:ascii="Arial" w:hAnsi="Arial" w:cs="Arial"/>
        </w:rPr>
        <w:t xml:space="preserve">such </w:t>
      </w:r>
      <w:r w:rsidR="00DB3904">
        <w:rPr>
          <w:rFonts w:ascii="Arial" w:hAnsi="Arial" w:cs="Arial"/>
        </w:rPr>
        <w:t xml:space="preserve">as </w:t>
      </w:r>
      <w:r w:rsidR="007D2CC4">
        <w:rPr>
          <w:rFonts w:ascii="Arial" w:hAnsi="Arial" w:cs="Arial"/>
        </w:rPr>
        <w:t>suffered by</w:t>
      </w:r>
      <w:r w:rsidR="00DB3904">
        <w:rPr>
          <w:rFonts w:ascii="Arial" w:hAnsi="Arial" w:cs="Arial"/>
        </w:rPr>
        <w:t xml:space="preserve"> the implicated person in the </w:t>
      </w:r>
      <w:r w:rsidR="00DB3904" w:rsidRPr="007D2CC4">
        <w:rPr>
          <w:rFonts w:ascii="Arial" w:hAnsi="Arial" w:cs="Arial"/>
          <w:bCs/>
          <w:iCs/>
        </w:rPr>
        <w:t>Masuku</w:t>
      </w:r>
      <w:r w:rsidR="00DB3904" w:rsidRPr="00DB3904">
        <w:rPr>
          <w:rFonts w:ascii="Arial" w:hAnsi="Arial" w:cs="Arial"/>
          <w:b/>
          <w:i/>
        </w:rPr>
        <w:t xml:space="preserve"> </w:t>
      </w:r>
      <w:r w:rsidR="00DB3904">
        <w:rPr>
          <w:rFonts w:ascii="Arial" w:hAnsi="Arial" w:cs="Arial"/>
        </w:rPr>
        <w:t>judgement.</w:t>
      </w:r>
      <w:r w:rsidR="008B7EEB">
        <w:rPr>
          <w:rFonts w:ascii="Arial" w:hAnsi="Arial" w:cs="Arial"/>
        </w:rPr>
        <w:t xml:space="preserve"> I </w:t>
      </w:r>
      <w:r w:rsidR="008B7EEB">
        <w:rPr>
          <w:rFonts w:ascii="Arial" w:hAnsi="Arial" w:cs="Arial"/>
        </w:rPr>
        <w:lastRenderedPageBreak/>
        <w:t>am therefore of the view that paragraph 80 of the report is also not reviewable under the principle of legality.</w:t>
      </w:r>
    </w:p>
    <w:p w14:paraId="41814C7F" w14:textId="5EF62C59" w:rsidR="00DB3904" w:rsidRDefault="00DB3904" w:rsidP="00441A48">
      <w:pPr>
        <w:spacing w:before="360" w:after="360" w:line="480" w:lineRule="auto"/>
        <w:ind w:left="720" w:hanging="720"/>
        <w:jc w:val="both"/>
        <w:rPr>
          <w:rFonts w:ascii="Arial" w:hAnsi="Arial" w:cs="Arial"/>
        </w:rPr>
      </w:pPr>
      <w:r>
        <w:rPr>
          <w:rFonts w:ascii="Arial" w:hAnsi="Arial" w:cs="Arial"/>
        </w:rPr>
        <w:t>[73]</w:t>
      </w:r>
      <w:r>
        <w:rPr>
          <w:rFonts w:ascii="Arial" w:hAnsi="Arial" w:cs="Arial"/>
        </w:rPr>
        <w:tab/>
        <w:t>However, insofar as it may be found that First Respondent is  prejudiced by the impugned portions of the report to the extent that the report is reviewable under the principle of legality,</w:t>
      </w:r>
      <w:r w:rsidR="009F7187">
        <w:rPr>
          <w:rFonts w:ascii="Arial" w:hAnsi="Arial" w:cs="Arial"/>
        </w:rPr>
        <w:t xml:space="preserve"> in my view the fact that the Investigator did not interview First Respondent and/or afforded the First Respondent an opportunity to “</w:t>
      </w:r>
      <w:r w:rsidR="009F7187" w:rsidRPr="009F7187">
        <w:rPr>
          <w:rFonts w:ascii="Arial" w:hAnsi="Arial" w:cs="Arial"/>
          <w:i/>
        </w:rPr>
        <w:t>state his case</w:t>
      </w:r>
      <w:r w:rsidR="009F7187">
        <w:rPr>
          <w:rFonts w:ascii="Arial" w:hAnsi="Arial" w:cs="Arial"/>
        </w:rPr>
        <w:t xml:space="preserve">” do not render the references to First Respondent in the report as </w:t>
      </w:r>
      <w:r w:rsidR="0079630A">
        <w:rPr>
          <w:rFonts w:ascii="Arial" w:hAnsi="Arial" w:cs="Arial"/>
        </w:rPr>
        <w:t>ir</w:t>
      </w:r>
      <w:r w:rsidR="009F7187">
        <w:rPr>
          <w:rFonts w:ascii="Arial" w:hAnsi="Arial" w:cs="Arial"/>
        </w:rPr>
        <w:t xml:space="preserve">rational, with due regard to the means employed by the Investigator and the objectives of the Investigator for the following reasons: </w:t>
      </w:r>
    </w:p>
    <w:p w14:paraId="186069E6" w14:textId="4BA4D170" w:rsidR="00527FB9" w:rsidRDefault="00527FB9" w:rsidP="00527FB9">
      <w:pPr>
        <w:spacing w:before="360" w:after="360" w:line="480" w:lineRule="auto"/>
        <w:ind w:left="1440" w:hanging="720"/>
        <w:jc w:val="both"/>
        <w:rPr>
          <w:rFonts w:ascii="Arial" w:hAnsi="Arial"/>
          <w:bCs/>
        </w:rPr>
      </w:pPr>
      <w:r>
        <w:rPr>
          <w:rFonts w:ascii="Arial" w:hAnsi="Arial"/>
          <w:bCs/>
        </w:rPr>
        <w:t>[a]</w:t>
      </w:r>
      <w:r>
        <w:rPr>
          <w:rFonts w:ascii="Arial" w:hAnsi="Arial"/>
          <w:bCs/>
        </w:rPr>
        <w:tab/>
        <w:t xml:space="preserve">On the version of the First Respondent as advanced in the papers (which changed in certain respects substantially from the Founding Affidavit to the Replying Affidavit when regard is had </w:t>
      </w:r>
      <w:r w:rsidRPr="007D2CC4">
        <w:rPr>
          <w:rFonts w:ascii="Arial" w:hAnsi="Arial"/>
          <w:i/>
        </w:rPr>
        <w:t>inter alia</w:t>
      </w:r>
      <w:r>
        <w:rPr>
          <w:rFonts w:ascii="Arial" w:hAnsi="Arial"/>
          <w:bCs/>
        </w:rPr>
        <w:t xml:space="preserve"> to the issue of the amount of R780 000.00 paid into the bond by Matsepe) he clearly would have denied all allegations and he would have maintained that he is innocent. Does that mean that the investigator should then have accepted the version of First Respondent and removed all reference to him from the report, notwithstanding </w:t>
      </w:r>
      <w:r w:rsidRPr="007D2CC4">
        <w:rPr>
          <w:rFonts w:ascii="Arial" w:hAnsi="Arial"/>
          <w:i/>
        </w:rPr>
        <w:t>prima facie</w:t>
      </w:r>
      <w:r>
        <w:rPr>
          <w:rFonts w:ascii="Arial" w:hAnsi="Arial"/>
          <w:bCs/>
        </w:rPr>
        <w:t xml:space="preserve"> evidence to the contrary?  To argue so, having regard to the objective of the investigation and the relevant empowering provisions, would in itself be so irrational that it behoves no further </w:t>
      </w:r>
      <w:r>
        <w:rPr>
          <w:rFonts w:ascii="Arial" w:hAnsi="Arial"/>
          <w:bCs/>
        </w:rPr>
        <w:lastRenderedPageBreak/>
        <w:t xml:space="preserve">argument. </w:t>
      </w:r>
      <w:r w:rsidR="008B7EEB">
        <w:rPr>
          <w:rFonts w:ascii="Arial" w:hAnsi="Arial"/>
          <w:bCs/>
        </w:rPr>
        <w:t>The Investigator was mandated to investigate, not adjudicate conflicting versions.</w:t>
      </w:r>
    </w:p>
    <w:p w14:paraId="06F7C9FB" w14:textId="61174ECE" w:rsidR="00953175" w:rsidRDefault="00953175" w:rsidP="00527FB9">
      <w:pPr>
        <w:spacing w:before="360" w:after="360" w:line="480" w:lineRule="auto"/>
        <w:ind w:left="1440" w:hanging="720"/>
        <w:jc w:val="both"/>
        <w:rPr>
          <w:rFonts w:ascii="Arial" w:hAnsi="Arial"/>
          <w:bCs/>
        </w:rPr>
      </w:pPr>
      <w:r>
        <w:rPr>
          <w:rFonts w:ascii="Arial" w:hAnsi="Arial"/>
          <w:bCs/>
        </w:rPr>
        <w:t>[b]     There are a number of witnesses referred to in the report that provided information on the complicity of first Respondent in maleficence supported by documentary evidence and records of electronic evidence. For the investigator to form a prima facie view of the involvement of First Respondent in the course of the investigation based on the available information obtained from various sources, which substantially collaborate such view as expressed</w:t>
      </w:r>
      <w:r w:rsidR="008B7EEB">
        <w:rPr>
          <w:rFonts w:ascii="Arial" w:hAnsi="Arial"/>
          <w:bCs/>
        </w:rPr>
        <w:t xml:space="preserve"> by the investigator</w:t>
      </w:r>
      <w:r>
        <w:rPr>
          <w:rFonts w:ascii="Arial" w:hAnsi="Arial"/>
          <w:bCs/>
        </w:rPr>
        <w:t xml:space="preserve"> in paragraph 80 </w:t>
      </w:r>
      <w:r w:rsidR="008B7EEB">
        <w:rPr>
          <w:rFonts w:ascii="Arial" w:hAnsi="Arial"/>
          <w:bCs/>
        </w:rPr>
        <w:t>of the report is not irrational.</w:t>
      </w:r>
    </w:p>
    <w:p w14:paraId="45CB5427" w14:textId="582F5F40" w:rsidR="00527FB9" w:rsidRDefault="00527FB9" w:rsidP="00527FB9">
      <w:pPr>
        <w:spacing w:before="360" w:after="360" w:line="480" w:lineRule="auto"/>
        <w:ind w:left="1440" w:hanging="720"/>
        <w:jc w:val="both"/>
        <w:rPr>
          <w:rFonts w:ascii="Arial" w:hAnsi="Arial"/>
          <w:bCs/>
        </w:rPr>
      </w:pPr>
      <w:r>
        <w:rPr>
          <w:rFonts w:ascii="Arial" w:hAnsi="Arial"/>
          <w:bCs/>
        </w:rPr>
        <w:t>[</w:t>
      </w:r>
      <w:r w:rsidR="00953175">
        <w:rPr>
          <w:rFonts w:ascii="Arial" w:hAnsi="Arial"/>
          <w:bCs/>
        </w:rPr>
        <w:t>c</w:t>
      </w:r>
      <w:r>
        <w:rPr>
          <w:rFonts w:ascii="Arial" w:hAnsi="Arial"/>
          <w:bCs/>
        </w:rPr>
        <w:t>]</w:t>
      </w:r>
      <w:r>
        <w:rPr>
          <w:rFonts w:ascii="Arial" w:hAnsi="Arial"/>
          <w:bCs/>
        </w:rPr>
        <w:tab/>
        <w:t xml:space="preserve">In my view the following quote of Lord Denning in the matter of </w:t>
      </w:r>
      <w:r w:rsidRPr="00527FB9">
        <w:rPr>
          <w:rFonts w:ascii="Arial" w:hAnsi="Arial"/>
          <w:bCs/>
          <w:i/>
        </w:rPr>
        <w:t>Moran v Lloyds</w:t>
      </w:r>
      <w:r w:rsidRPr="00BA66B6">
        <w:rPr>
          <w:rFonts w:ascii="Arial" w:hAnsi="Arial"/>
          <w:b/>
          <w:bCs/>
          <w:i/>
        </w:rPr>
        <w:t xml:space="preserve"> </w:t>
      </w:r>
      <w:r w:rsidRPr="00C37ED0">
        <w:rPr>
          <w:rFonts w:ascii="Arial" w:hAnsi="Arial"/>
          <w:iCs/>
        </w:rPr>
        <w:t xml:space="preserve">as approved </w:t>
      </w:r>
      <w:r w:rsidRPr="00527FB9">
        <w:rPr>
          <w:rFonts w:ascii="Arial" w:hAnsi="Arial"/>
          <w:iCs/>
        </w:rPr>
        <w:t>in</w:t>
      </w:r>
      <w:r w:rsidRPr="00527FB9">
        <w:rPr>
          <w:rFonts w:ascii="Arial" w:hAnsi="Arial"/>
          <w:bCs/>
          <w:i/>
        </w:rPr>
        <w:t xml:space="preserve"> Langa &amp; Others v Hlope 2009 (4) SA 382 (SCA) par. 40</w:t>
      </w:r>
      <w:r w:rsidRPr="00527FB9">
        <w:rPr>
          <w:rFonts w:ascii="Arial" w:hAnsi="Arial"/>
          <w:bCs/>
        </w:rPr>
        <w:t xml:space="preserve"> </w:t>
      </w:r>
      <w:r>
        <w:rPr>
          <w:rFonts w:ascii="Arial" w:hAnsi="Arial"/>
          <w:bCs/>
        </w:rPr>
        <w:t xml:space="preserve">is relevant namely:  </w:t>
      </w:r>
    </w:p>
    <w:p w14:paraId="24682D78" w14:textId="77777777" w:rsidR="00527FB9" w:rsidRPr="000749E5" w:rsidRDefault="00527FB9" w:rsidP="00527FB9">
      <w:pPr>
        <w:spacing w:before="360" w:after="360" w:line="480" w:lineRule="auto"/>
        <w:ind w:left="2160"/>
        <w:jc w:val="both"/>
        <w:rPr>
          <w:rFonts w:ascii="Arial" w:hAnsi="Arial"/>
          <w:bCs/>
          <w:i/>
        </w:rPr>
      </w:pPr>
      <w:r>
        <w:rPr>
          <w:rFonts w:ascii="Arial" w:hAnsi="Arial"/>
          <w:bCs/>
        </w:rPr>
        <w:t>“</w:t>
      </w:r>
      <w:r w:rsidRPr="000749E5">
        <w:rPr>
          <w:rFonts w:ascii="Arial" w:hAnsi="Arial"/>
          <w:bCs/>
          <w:i/>
        </w:rPr>
        <w:t>Today we have to deal with a modern phenomenon.  We often find that a man (who fears the worst) turns around and accuse those – who hold</w:t>
      </w:r>
      <w:r>
        <w:rPr>
          <w:rFonts w:ascii="Arial" w:hAnsi="Arial"/>
          <w:bCs/>
          <w:i/>
        </w:rPr>
        <w:t xml:space="preserve"> a </w:t>
      </w:r>
      <w:r w:rsidRPr="000749E5">
        <w:rPr>
          <w:rFonts w:ascii="Arial" w:hAnsi="Arial"/>
          <w:bCs/>
          <w:i/>
        </w:rPr>
        <w:t xml:space="preserve">preliminary enquiry – of misconduct or unfairness or bias or want of natural justice. He seeks to stop the impending charges against him. It is easy enough for him to make such an accusation. Once made, it has to be answered …. so he gets which he most wants – time to make his dispositions – time to put </w:t>
      </w:r>
      <w:r>
        <w:rPr>
          <w:rFonts w:ascii="Arial" w:hAnsi="Arial"/>
          <w:bCs/>
          <w:i/>
        </w:rPr>
        <w:t>h</w:t>
      </w:r>
      <w:r w:rsidRPr="000749E5">
        <w:rPr>
          <w:rFonts w:ascii="Arial" w:hAnsi="Arial"/>
          <w:bCs/>
          <w:i/>
        </w:rPr>
        <w:t xml:space="preserve">is money in a safe place – time to head of the day when he has to meet the charge, and who knows?  If he can stop the </w:t>
      </w:r>
      <w:r w:rsidRPr="000749E5">
        <w:rPr>
          <w:rFonts w:ascii="Arial" w:hAnsi="Arial"/>
          <w:bCs/>
          <w:i/>
        </w:rPr>
        <w:lastRenderedPageBreak/>
        <w:t xml:space="preserve">preliminary enquiry in its tracks, it may never start up again.  </w:t>
      </w:r>
    </w:p>
    <w:p w14:paraId="4BA50B24" w14:textId="77777777" w:rsidR="00527FB9" w:rsidRPr="00BA66B6" w:rsidRDefault="00527FB9" w:rsidP="00527FB9">
      <w:pPr>
        <w:spacing w:before="360" w:after="360" w:line="480" w:lineRule="auto"/>
        <w:ind w:left="2160"/>
        <w:jc w:val="both"/>
        <w:rPr>
          <w:rFonts w:ascii="Arial" w:hAnsi="Arial"/>
          <w:bCs/>
        </w:rPr>
      </w:pPr>
      <w:r w:rsidRPr="000749E5">
        <w:rPr>
          <w:rFonts w:ascii="Arial" w:hAnsi="Arial"/>
          <w:bCs/>
          <w:i/>
        </w:rPr>
        <w:t>To my mind the law should not permit any such tactics.  They should be stopped at the outset. It is no good for the tactician to appeal to ‘rules of natural justice’.  They have no application to a preliminary enquiry of this kind.  The enquiry is made with a view to seeing whether there is a charge to be made.  It does not decide anything in the least.  It does not do anything which adversely affects the man concerned or prejudices him in any way.  If there is, there will be a hearing, in which an impartial body will look into the rights and wrongs of the case. In all such cases, all that is necessary is that those who are holding the preliminary enquiry should be honest men – acting in good faith – doing their best to come to the right decision</w:t>
      </w:r>
      <w:r>
        <w:rPr>
          <w:rFonts w:ascii="Arial" w:hAnsi="Arial"/>
          <w:bCs/>
        </w:rPr>
        <w:t xml:space="preserve">”.  </w:t>
      </w:r>
    </w:p>
    <w:p w14:paraId="15A946E9" w14:textId="77777777" w:rsidR="00527FB9" w:rsidRDefault="00527FB9" w:rsidP="00527FB9">
      <w:pPr>
        <w:spacing w:before="360" w:after="360" w:line="480" w:lineRule="auto"/>
        <w:ind w:left="720" w:hanging="720"/>
        <w:jc w:val="both"/>
        <w:rPr>
          <w:rFonts w:ascii="Arial" w:hAnsi="Arial" w:cs="Arial"/>
        </w:rPr>
      </w:pPr>
      <w:r>
        <w:rPr>
          <w:rFonts w:ascii="Arial" w:hAnsi="Arial" w:cs="Arial"/>
        </w:rPr>
        <w:t>[74]</w:t>
      </w:r>
      <w:r>
        <w:rPr>
          <w:rFonts w:ascii="Arial" w:hAnsi="Arial" w:cs="Arial"/>
        </w:rPr>
        <w:tab/>
        <w:t xml:space="preserve">In this regard, I am of the view that the matter of </w:t>
      </w:r>
      <w:r w:rsidRPr="00527FB9">
        <w:rPr>
          <w:rFonts w:ascii="Arial" w:hAnsi="Arial" w:cs="Arial"/>
          <w:i/>
        </w:rPr>
        <w:t>Treasury v Kubukeli 2016 (2) SA 507 (SCA)</w:t>
      </w:r>
      <w:r>
        <w:rPr>
          <w:rFonts w:ascii="Arial" w:hAnsi="Arial" w:cs="Arial"/>
        </w:rPr>
        <w:t xml:space="preserve"> and more specifically paragraphs [25] to [27] is on all fours with the matter </w:t>
      </w:r>
      <w:r w:rsidRPr="007D2CC4">
        <w:rPr>
          <w:rFonts w:ascii="Arial" w:hAnsi="Arial" w:cs="Arial"/>
          <w:bCs/>
          <w:i/>
        </w:rPr>
        <w:t>in casu</w:t>
      </w:r>
      <w:r>
        <w:rPr>
          <w:rFonts w:ascii="Arial" w:hAnsi="Arial" w:cs="Arial"/>
        </w:rPr>
        <w:t>.</w:t>
      </w:r>
    </w:p>
    <w:p w14:paraId="1A122287" w14:textId="337D5ED7" w:rsidR="00527FB9" w:rsidRDefault="00257E9D" w:rsidP="00527FB9">
      <w:pPr>
        <w:spacing w:before="360" w:after="360" w:line="480" w:lineRule="auto"/>
        <w:ind w:left="720" w:hanging="720"/>
        <w:jc w:val="both"/>
        <w:rPr>
          <w:rFonts w:ascii="Arial" w:hAnsi="Arial" w:cs="Arial"/>
        </w:rPr>
      </w:pPr>
      <w:r>
        <w:rPr>
          <w:rFonts w:ascii="Arial" w:hAnsi="Arial" w:cs="Arial"/>
        </w:rPr>
        <w:t>[75]</w:t>
      </w:r>
      <w:r>
        <w:rPr>
          <w:rFonts w:ascii="Arial" w:hAnsi="Arial" w:cs="Arial"/>
        </w:rPr>
        <w:tab/>
        <w:t xml:space="preserve">It follows from the </w:t>
      </w:r>
      <w:r w:rsidR="00527FB9">
        <w:rPr>
          <w:rFonts w:ascii="Arial" w:hAnsi="Arial" w:cs="Arial"/>
        </w:rPr>
        <w:t xml:space="preserve">foregoing that applying the objective test in respect of the issue of legality, i.e. whether the means is rationally linked to the purpose for which the empowerment was given, that the Second Respondent’s failure to afford the First Respondent an opportunity to be heard was not irrational, and thus pass the test </w:t>
      </w:r>
      <w:r w:rsidR="00527FB9">
        <w:rPr>
          <w:rFonts w:ascii="Arial" w:hAnsi="Arial" w:cs="Arial"/>
        </w:rPr>
        <w:lastRenderedPageBreak/>
        <w:t>under the issue of legality.  The appeal accordingly stands to be upheld.</w:t>
      </w:r>
    </w:p>
    <w:p w14:paraId="44C34C44" w14:textId="77777777" w:rsidR="000B4880" w:rsidRDefault="00527FB9" w:rsidP="000B4880">
      <w:pPr>
        <w:spacing w:before="360" w:after="360" w:line="480" w:lineRule="auto"/>
        <w:ind w:left="720" w:hanging="720"/>
        <w:jc w:val="both"/>
        <w:rPr>
          <w:rFonts w:ascii="Arial" w:hAnsi="Arial" w:cs="Arial"/>
        </w:rPr>
      </w:pPr>
      <w:r>
        <w:rPr>
          <w:rFonts w:ascii="Arial" w:hAnsi="Arial" w:cs="Arial"/>
        </w:rPr>
        <w:t>[76]</w:t>
      </w:r>
      <w:r>
        <w:rPr>
          <w:rFonts w:ascii="Arial" w:hAnsi="Arial" w:cs="Arial"/>
        </w:rPr>
        <w:tab/>
        <w:t xml:space="preserve">In the circumstances </w:t>
      </w:r>
      <w:r w:rsidR="000B4880">
        <w:rPr>
          <w:rFonts w:ascii="Arial" w:hAnsi="Arial" w:cs="Arial"/>
        </w:rPr>
        <w:t>the following order is granted:</w:t>
      </w:r>
    </w:p>
    <w:p w14:paraId="1351A186" w14:textId="77777777" w:rsidR="000B4880" w:rsidRDefault="00527FB9" w:rsidP="000B4880">
      <w:pPr>
        <w:tabs>
          <w:tab w:val="left" w:pos="1134"/>
        </w:tabs>
        <w:spacing w:before="360" w:after="360" w:line="480" w:lineRule="auto"/>
        <w:ind w:left="1276" w:hanging="556"/>
        <w:jc w:val="both"/>
        <w:rPr>
          <w:rFonts w:ascii="Arial" w:hAnsi="Arial" w:cs="Arial"/>
        </w:rPr>
      </w:pPr>
      <w:r>
        <w:rPr>
          <w:rFonts w:ascii="Arial" w:hAnsi="Arial" w:cs="Arial"/>
        </w:rPr>
        <w:t xml:space="preserve">1. </w:t>
      </w:r>
      <w:r w:rsidR="000B4880">
        <w:rPr>
          <w:rFonts w:ascii="Arial" w:hAnsi="Arial" w:cs="Arial"/>
        </w:rPr>
        <w:t xml:space="preserve">  The appeal is upheld with costs including the costs of two counsel;</w:t>
      </w:r>
    </w:p>
    <w:p w14:paraId="3DAE5CD5" w14:textId="4C7F7CDB" w:rsidR="000B4880" w:rsidRDefault="006A50AF" w:rsidP="006A50AF">
      <w:pPr>
        <w:spacing w:before="360" w:after="360" w:line="480" w:lineRule="auto"/>
        <w:ind w:left="1276" w:hanging="556"/>
        <w:jc w:val="both"/>
        <w:rPr>
          <w:rFonts w:ascii="Arial" w:hAnsi="Arial" w:cs="Arial"/>
        </w:rPr>
      </w:pPr>
      <w:r>
        <w:rPr>
          <w:rFonts w:ascii="Arial" w:hAnsi="Arial" w:cs="Arial"/>
        </w:rPr>
        <w:t xml:space="preserve">2. </w:t>
      </w:r>
      <w:r>
        <w:rPr>
          <w:rFonts w:ascii="Arial" w:hAnsi="Arial" w:cs="Arial"/>
        </w:rPr>
        <w:tab/>
      </w:r>
      <w:r w:rsidR="000B4880">
        <w:rPr>
          <w:rFonts w:ascii="Arial" w:hAnsi="Arial" w:cs="Arial"/>
        </w:rPr>
        <w:t xml:space="preserve">The order of the court </w:t>
      </w:r>
      <w:r w:rsidR="000B4880" w:rsidRPr="000B4880">
        <w:rPr>
          <w:rFonts w:ascii="Arial" w:hAnsi="Arial" w:cs="Arial"/>
          <w:b/>
          <w:i/>
        </w:rPr>
        <w:t>a quo</w:t>
      </w:r>
      <w:r w:rsidR="000B4880">
        <w:rPr>
          <w:rFonts w:ascii="Arial" w:hAnsi="Arial" w:cs="Arial"/>
        </w:rPr>
        <w:t xml:space="preserve"> is set aside and substituted with an order:</w:t>
      </w:r>
    </w:p>
    <w:p w14:paraId="75E3F5C4" w14:textId="2D3E5EBC" w:rsidR="00953175" w:rsidRPr="006A50AF" w:rsidRDefault="000B4880" w:rsidP="006A50AF">
      <w:pPr>
        <w:spacing w:before="360" w:after="360" w:line="480" w:lineRule="auto"/>
        <w:ind w:left="1276"/>
        <w:jc w:val="both"/>
        <w:rPr>
          <w:rFonts w:ascii="Arial" w:hAnsi="Arial" w:cs="Arial"/>
        </w:rPr>
      </w:pPr>
      <w:r w:rsidRPr="006A50AF">
        <w:rPr>
          <w:rFonts w:ascii="Arial" w:hAnsi="Arial" w:cs="Arial"/>
        </w:rPr>
        <w:t>“</w:t>
      </w:r>
      <w:r w:rsidRPr="006A50AF">
        <w:rPr>
          <w:rFonts w:ascii="Arial" w:hAnsi="Arial" w:cs="Arial"/>
          <w:i/>
        </w:rPr>
        <w:t>The application is dismissed with costs, such costs to include the costs consequent on the employment of two counsel”</w:t>
      </w:r>
      <w:r w:rsidRPr="006A50AF">
        <w:rPr>
          <w:rFonts w:ascii="Arial" w:hAnsi="Arial" w:cs="Arial"/>
        </w:rPr>
        <w:t>.</w:t>
      </w:r>
      <w:r w:rsidR="007D2CC4" w:rsidRPr="006A50AF">
        <w:rPr>
          <w:rFonts w:ascii="Arial" w:hAnsi="Arial" w:cs="Arial"/>
          <w:b/>
        </w:rPr>
        <w:t xml:space="preserve"> </w:t>
      </w:r>
    </w:p>
    <w:p w14:paraId="15F32536" w14:textId="58B41B02" w:rsidR="00C2164D" w:rsidRDefault="00AF33FD" w:rsidP="00AF33FD">
      <w:pPr>
        <w:pStyle w:val="ListParagraph"/>
        <w:tabs>
          <w:tab w:val="left" w:pos="1221"/>
        </w:tabs>
        <w:ind w:left="0"/>
        <w:rPr>
          <w:rFonts w:ascii="Arial" w:hAnsi="Arial" w:cs="Arial"/>
          <w:b/>
        </w:rPr>
      </w:pPr>
      <w:r>
        <w:rPr>
          <w:rFonts w:ascii="Arial" w:hAnsi="Arial" w:cs="Arial"/>
          <w:b/>
        </w:rPr>
        <w:tab/>
      </w:r>
    </w:p>
    <w:p w14:paraId="2BE7477C" w14:textId="77777777" w:rsidR="009416C1" w:rsidRDefault="009416C1" w:rsidP="00B36876">
      <w:pPr>
        <w:pStyle w:val="ListParagraph"/>
        <w:ind w:left="0"/>
        <w:jc w:val="right"/>
        <w:rPr>
          <w:rFonts w:ascii="Arial" w:hAnsi="Arial" w:cs="Arial"/>
          <w:b/>
        </w:rPr>
      </w:pPr>
    </w:p>
    <w:p w14:paraId="4A62B398" w14:textId="2DB401F4" w:rsidR="00EE6C08" w:rsidRDefault="00EE6C08" w:rsidP="009C690D">
      <w:pPr>
        <w:tabs>
          <w:tab w:val="left" w:pos="-1440"/>
          <w:tab w:val="left" w:pos="-720"/>
          <w:tab w:val="left" w:pos="0"/>
          <w:tab w:val="left" w:pos="1008"/>
          <w:tab w:val="left" w:pos="1872"/>
          <w:tab w:val="left" w:pos="3168"/>
          <w:tab w:val="left" w:pos="3600"/>
        </w:tabs>
        <w:suppressAutoHyphens/>
        <w:rPr>
          <w:rFonts w:ascii="Arial" w:hAnsi="Arial"/>
          <w:b/>
        </w:rPr>
      </w:pPr>
    </w:p>
    <w:p w14:paraId="4790A942" w14:textId="77777777" w:rsidR="004060BB" w:rsidRDefault="004060BB" w:rsidP="009C690D">
      <w:pPr>
        <w:tabs>
          <w:tab w:val="left" w:pos="-1440"/>
          <w:tab w:val="left" w:pos="-720"/>
          <w:tab w:val="left" w:pos="0"/>
          <w:tab w:val="left" w:pos="1008"/>
          <w:tab w:val="left" w:pos="1872"/>
          <w:tab w:val="left" w:pos="3168"/>
          <w:tab w:val="left" w:pos="3600"/>
        </w:tabs>
        <w:suppressAutoHyphens/>
        <w:rPr>
          <w:rFonts w:ascii="Arial" w:hAnsi="Arial"/>
          <w:b/>
        </w:rPr>
      </w:pPr>
    </w:p>
    <w:p w14:paraId="13BA170E" w14:textId="77777777" w:rsidR="0027599F" w:rsidRDefault="001554DD"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COUNSEL </w:t>
      </w:r>
      <w:r w:rsidR="0027599F">
        <w:rPr>
          <w:rFonts w:ascii="Arial" w:hAnsi="Arial"/>
          <w:b/>
        </w:rPr>
        <w:t>FOR</w:t>
      </w:r>
      <w:r w:rsidR="00546DFE">
        <w:rPr>
          <w:rFonts w:ascii="Arial" w:hAnsi="Arial"/>
          <w:b/>
        </w:rPr>
        <w:t xml:space="preserve"> </w:t>
      </w:r>
      <w:r w:rsidR="00310FD9">
        <w:rPr>
          <w:rFonts w:ascii="Arial" w:hAnsi="Arial"/>
          <w:b/>
        </w:rPr>
        <w:t>AP</w:t>
      </w:r>
      <w:r w:rsidR="00E534ED">
        <w:rPr>
          <w:rFonts w:ascii="Arial" w:hAnsi="Arial"/>
          <w:b/>
        </w:rPr>
        <w:t>P</w:t>
      </w:r>
      <w:r w:rsidR="002C7F2C">
        <w:rPr>
          <w:rFonts w:ascii="Arial" w:hAnsi="Arial"/>
          <w:b/>
        </w:rPr>
        <w:t>ELLANT</w:t>
      </w:r>
      <w:r w:rsidR="0027599F">
        <w:rPr>
          <w:rFonts w:ascii="Arial" w:hAnsi="Arial"/>
          <w:b/>
        </w:rPr>
        <w:tab/>
      </w:r>
      <w:r w:rsidR="0027599F">
        <w:rPr>
          <w:rFonts w:ascii="Arial" w:hAnsi="Arial"/>
          <w:b/>
        </w:rPr>
        <w:tab/>
      </w:r>
      <w:r w:rsidR="001F6FF4">
        <w:rPr>
          <w:rFonts w:ascii="Arial" w:hAnsi="Arial"/>
          <w:b/>
        </w:rPr>
        <w:t xml:space="preserve">Adv. </w:t>
      </w:r>
      <w:r w:rsidR="002C7F2C">
        <w:rPr>
          <w:rFonts w:ascii="Arial" w:hAnsi="Arial"/>
          <w:b/>
        </w:rPr>
        <w:t>H Maenetje SC</w:t>
      </w:r>
    </w:p>
    <w:p w14:paraId="651331E6" w14:textId="77777777" w:rsidR="002C7F2C" w:rsidRDefault="002C7F2C"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Adv</w:t>
      </w:r>
      <w:r w:rsidR="00063B7F">
        <w:rPr>
          <w:rFonts w:ascii="Arial" w:hAnsi="Arial"/>
          <w:b/>
        </w:rPr>
        <w:t>.</w:t>
      </w:r>
      <w:r>
        <w:rPr>
          <w:rFonts w:ascii="Arial" w:hAnsi="Arial"/>
          <w:b/>
        </w:rPr>
        <w:t xml:space="preserve"> I Goodman</w:t>
      </w:r>
    </w:p>
    <w:p w14:paraId="2C6E3F24" w14:textId="77777777" w:rsidR="00541897" w:rsidRDefault="002C7F2C"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Adv</w:t>
      </w:r>
      <w:r w:rsidR="00063B7F">
        <w:rPr>
          <w:rFonts w:ascii="Arial" w:hAnsi="Arial"/>
          <w:b/>
        </w:rPr>
        <w:t>.</w:t>
      </w:r>
      <w:r>
        <w:rPr>
          <w:rFonts w:ascii="Arial" w:hAnsi="Arial"/>
          <w:b/>
        </w:rPr>
        <w:t xml:space="preserve"> L Kutumela</w:t>
      </w:r>
    </w:p>
    <w:p w14:paraId="1C7901DA" w14:textId="77777777" w:rsidR="002C7F2C" w:rsidRDefault="002C7F2C" w:rsidP="009C690D">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Adv</w:t>
      </w:r>
      <w:r w:rsidR="00063B7F">
        <w:rPr>
          <w:rFonts w:ascii="Arial" w:hAnsi="Arial"/>
          <w:b/>
        </w:rPr>
        <w:t>.</w:t>
      </w:r>
      <w:r>
        <w:rPr>
          <w:rFonts w:ascii="Arial" w:hAnsi="Arial"/>
          <w:b/>
        </w:rPr>
        <w:t xml:space="preserve"> R Tshetlo</w:t>
      </w:r>
    </w:p>
    <w:p w14:paraId="6948BD64" w14:textId="77777777" w:rsidR="002C7F2C" w:rsidRDefault="002C7F2C" w:rsidP="009C690D">
      <w:pPr>
        <w:tabs>
          <w:tab w:val="left" w:pos="-1440"/>
          <w:tab w:val="left" w:pos="-720"/>
          <w:tab w:val="left" w:pos="0"/>
          <w:tab w:val="left" w:pos="1008"/>
          <w:tab w:val="left" w:pos="1872"/>
          <w:tab w:val="left" w:pos="3168"/>
          <w:tab w:val="left" w:pos="3600"/>
        </w:tabs>
        <w:suppressAutoHyphens/>
        <w:rPr>
          <w:rFonts w:ascii="Arial" w:hAnsi="Arial"/>
          <w:b/>
        </w:rPr>
      </w:pPr>
    </w:p>
    <w:p w14:paraId="2696A42F" w14:textId="77777777" w:rsidR="00C2164D" w:rsidRDefault="0027599F"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ATTORNEY FOR </w:t>
      </w:r>
      <w:r w:rsidR="00310FD9">
        <w:rPr>
          <w:rFonts w:ascii="Arial" w:hAnsi="Arial"/>
          <w:b/>
        </w:rPr>
        <w:t>APP</w:t>
      </w:r>
      <w:r w:rsidR="002C7F2C">
        <w:rPr>
          <w:rFonts w:ascii="Arial" w:hAnsi="Arial"/>
          <w:b/>
        </w:rPr>
        <w:t>ELLANT</w:t>
      </w:r>
      <w:r>
        <w:rPr>
          <w:rFonts w:ascii="Arial" w:hAnsi="Arial"/>
          <w:b/>
        </w:rPr>
        <w:t>:</w:t>
      </w:r>
      <w:r>
        <w:rPr>
          <w:rFonts w:ascii="Arial" w:hAnsi="Arial"/>
          <w:b/>
        </w:rPr>
        <w:tab/>
      </w:r>
      <w:r w:rsidR="00926D67">
        <w:rPr>
          <w:rFonts w:ascii="Arial" w:hAnsi="Arial"/>
          <w:b/>
        </w:rPr>
        <w:tab/>
      </w:r>
      <w:r w:rsidR="002C7F2C">
        <w:rPr>
          <w:rFonts w:ascii="Arial" w:hAnsi="Arial"/>
          <w:b/>
        </w:rPr>
        <w:t>Werksmans Attorneys</w:t>
      </w:r>
    </w:p>
    <w:p w14:paraId="7C256667" w14:textId="77777777" w:rsidR="00E534ED" w:rsidRDefault="00E534ED"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41D67AA0" w14:textId="77777777" w:rsidR="002C7F2C" w:rsidRDefault="002C7F2C"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5C2B13AE" w14:textId="77777777" w:rsidR="00063B7F" w:rsidRDefault="00063B7F"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7B9EE5F4" w14:textId="77777777" w:rsidR="002C7F2C" w:rsidRDefault="00E534ED"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 xml:space="preserve">COUNSEL FOR </w:t>
      </w:r>
      <w:r w:rsidR="002C7F2C">
        <w:rPr>
          <w:rFonts w:ascii="Arial" w:hAnsi="Arial"/>
          <w:b/>
        </w:rPr>
        <w:t xml:space="preserve">FIRST </w:t>
      </w:r>
    </w:p>
    <w:p w14:paraId="19E8C97D" w14:textId="77777777" w:rsidR="00E534ED" w:rsidRDefault="00E534ED"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RESPONDENT:</w:t>
      </w:r>
      <w:r>
        <w:rPr>
          <w:rFonts w:ascii="Arial" w:hAnsi="Arial"/>
          <w:b/>
        </w:rPr>
        <w:tab/>
      </w:r>
      <w:r>
        <w:rPr>
          <w:rFonts w:ascii="Arial" w:hAnsi="Arial"/>
          <w:b/>
        </w:rPr>
        <w:tab/>
      </w:r>
      <w:r w:rsidR="002C7F2C">
        <w:rPr>
          <w:rFonts w:ascii="Arial" w:hAnsi="Arial"/>
          <w:b/>
        </w:rPr>
        <w:tab/>
      </w:r>
      <w:r w:rsidR="002C7F2C">
        <w:rPr>
          <w:rFonts w:ascii="Arial" w:hAnsi="Arial"/>
          <w:b/>
        </w:rPr>
        <w:tab/>
      </w:r>
      <w:r>
        <w:rPr>
          <w:rFonts w:ascii="Arial" w:hAnsi="Arial"/>
          <w:b/>
        </w:rPr>
        <w:t xml:space="preserve">Adv. </w:t>
      </w:r>
      <w:r w:rsidR="002C7F2C">
        <w:rPr>
          <w:rFonts w:ascii="Arial" w:hAnsi="Arial"/>
          <w:b/>
        </w:rPr>
        <w:t>W Mokhare SC</w:t>
      </w:r>
    </w:p>
    <w:p w14:paraId="12868007" w14:textId="77777777" w:rsidR="002C7F2C" w:rsidRDefault="002C7F2C"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Adv. C Lithole</w:t>
      </w:r>
    </w:p>
    <w:p w14:paraId="4CEA482F" w14:textId="77777777" w:rsidR="002C7F2C" w:rsidRDefault="002C7F2C"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52E02364" w14:textId="77777777" w:rsidR="002C7F2C" w:rsidRDefault="002C7F2C"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ab/>
      </w:r>
    </w:p>
    <w:p w14:paraId="7BBA97E1" w14:textId="77777777" w:rsidR="00E534ED" w:rsidRDefault="00E534ED" w:rsidP="00C2164D">
      <w:pPr>
        <w:tabs>
          <w:tab w:val="left" w:pos="-1440"/>
          <w:tab w:val="left" w:pos="-720"/>
          <w:tab w:val="left" w:pos="0"/>
          <w:tab w:val="left" w:pos="1008"/>
          <w:tab w:val="left" w:pos="1872"/>
          <w:tab w:val="left" w:pos="3168"/>
          <w:tab w:val="left" w:pos="3600"/>
        </w:tabs>
        <w:suppressAutoHyphens/>
        <w:ind w:left="4320" w:hanging="4320"/>
        <w:rPr>
          <w:rFonts w:ascii="Arial" w:hAnsi="Arial"/>
          <w:b/>
        </w:rPr>
      </w:pPr>
    </w:p>
    <w:p w14:paraId="406189CD" w14:textId="77777777" w:rsidR="00541897" w:rsidRDefault="00E534ED" w:rsidP="00E534ED">
      <w:pPr>
        <w:tabs>
          <w:tab w:val="left" w:pos="-1440"/>
          <w:tab w:val="left" w:pos="-720"/>
          <w:tab w:val="left" w:pos="0"/>
          <w:tab w:val="left" w:pos="1008"/>
          <w:tab w:val="left" w:pos="1872"/>
          <w:tab w:val="left" w:pos="3168"/>
          <w:tab w:val="left" w:pos="3600"/>
        </w:tabs>
        <w:suppressAutoHyphens/>
        <w:ind w:left="4320" w:hanging="4320"/>
        <w:rPr>
          <w:rFonts w:ascii="Arial" w:hAnsi="Arial"/>
          <w:b/>
        </w:rPr>
      </w:pPr>
      <w:r>
        <w:rPr>
          <w:rFonts w:ascii="Arial" w:hAnsi="Arial"/>
          <w:b/>
        </w:rPr>
        <w:t>ATTORNEY FOR RESPONDENT:</w:t>
      </w:r>
      <w:r>
        <w:rPr>
          <w:rFonts w:ascii="Arial" w:hAnsi="Arial"/>
          <w:b/>
        </w:rPr>
        <w:tab/>
        <w:t>M</w:t>
      </w:r>
      <w:r w:rsidR="002C7F2C">
        <w:rPr>
          <w:rFonts w:ascii="Arial" w:hAnsi="Arial"/>
          <w:b/>
        </w:rPr>
        <w:t>aluleke Inc.</w:t>
      </w:r>
    </w:p>
    <w:p w14:paraId="78F04912" w14:textId="77777777" w:rsidR="001F0899" w:rsidRDefault="001F0899" w:rsidP="0027599F">
      <w:pPr>
        <w:tabs>
          <w:tab w:val="left" w:pos="-1440"/>
          <w:tab w:val="left" w:pos="-720"/>
          <w:tab w:val="left" w:pos="0"/>
          <w:tab w:val="left" w:pos="1008"/>
          <w:tab w:val="left" w:pos="1872"/>
          <w:tab w:val="left" w:pos="3168"/>
          <w:tab w:val="left" w:pos="3600"/>
        </w:tabs>
        <w:suppressAutoHyphens/>
        <w:rPr>
          <w:rFonts w:ascii="Arial" w:hAnsi="Arial"/>
          <w:b/>
        </w:rPr>
      </w:pPr>
    </w:p>
    <w:p w14:paraId="3530424F" w14:textId="77777777" w:rsidR="00EE0EA9" w:rsidRDefault="00EE0EA9" w:rsidP="00EE0EA9">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DATE HEARD: </w:t>
      </w:r>
      <w:r>
        <w:rPr>
          <w:rFonts w:ascii="Arial" w:hAnsi="Arial"/>
          <w:b/>
        </w:rPr>
        <w:tab/>
      </w:r>
      <w:r>
        <w:rPr>
          <w:rFonts w:ascii="Arial" w:hAnsi="Arial"/>
          <w:b/>
        </w:rPr>
        <w:tab/>
      </w:r>
      <w:r>
        <w:rPr>
          <w:rFonts w:ascii="Arial" w:hAnsi="Arial"/>
          <w:b/>
        </w:rPr>
        <w:tab/>
      </w:r>
      <w:r>
        <w:rPr>
          <w:rFonts w:ascii="Arial" w:hAnsi="Arial"/>
          <w:b/>
        </w:rPr>
        <w:tab/>
        <w:t>15 February 2023</w:t>
      </w:r>
    </w:p>
    <w:p w14:paraId="176C9377" w14:textId="77777777" w:rsidR="00EE0EA9" w:rsidRDefault="00EE0EA9" w:rsidP="00EE0EA9">
      <w:pPr>
        <w:tabs>
          <w:tab w:val="left" w:pos="-1440"/>
          <w:tab w:val="left" w:pos="-720"/>
          <w:tab w:val="left" w:pos="0"/>
          <w:tab w:val="left" w:pos="1008"/>
          <w:tab w:val="left" w:pos="1872"/>
          <w:tab w:val="left" w:pos="3168"/>
          <w:tab w:val="left" w:pos="3600"/>
        </w:tabs>
        <w:suppressAutoHyphens/>
        <w:rPr>
          <w:rFonts w:ascii="Arial" w:hAnsi="Arial"/>
          <w:b/>
        </w:rPr>
      </w:pPr>
    </w:p>
    <w:p w14:paraId="3B61E9A3" w14:textId="50461337" w:rsidR="00EE0EA9" w:rsidRDefault="00EE0EA9" w:rsidP="00EE0EA9">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DATE OF JUDGMENT:</w:t>
      </w:r>
      <w:r>
        <w:rPr>
          <w:rFonts w:ascii="Arial" w:hAnsi="Arial"/>
          <w:b/>
        </w:rPr>
        <w:tab/>
      </w:r>
      <w:r>
        <w:rPr>
          <w:rFonts w:ascii="Arial" w:hAnsi="Arial"/>
          <w:b/>
        </w:rPr>
        <w:tab/>
      </w:r>
      <w:r>
        <w:rPr>
          <w:rFonts w:ascii="Arial" w:hAnsi="Arial"/>
          <w:b/>
        </w:rPr>
        <w:tab/>
      </w:r>
      <w:r w:rsidR="008F0368">
        <w:rPr>
          <w:rFonts w:ascii="Arial" w:hAnsi="Arial"/>
          <w:b/>
        </w:rPr>
        <w:t>02 May 2023</w:t>
      </w:r>
    </w:p>
    <w:p w14:paraId="364CEEE7" w14:textId="77777777" w:rsidR="003D551C" w:rsidRPr="0027599F" w:rsidRDefault="00FE037F" w:rsidP="0027599F">
      <w:pPr>
        <w:tabs>
          <w:tab w:val="left" w:pos="-1440"/>
          <w:tab w:val="left" w:pos="-720"/>
          <w:tab w:val="left" w:pos="0"/>
          <w:tab w:val="left" w:pos="1008"/>
          <w:tab w:val="left" w:pos="1872"/>
          <w:tab w:val="left" w:pos="3168"/>
          <w:tab w:val="left" w:pos="3600"/>
        </w:tabs>
        <w:suppressAutoHyphens/>
        <w:rPr>
          <w:rFonts w:ascii="Arial" w:hAnsi="Arial"/>
          <w:b/>
        </w:rPr>
      </w:pPr>
      <w:r>
        <w:rPr>
          <w:rFonts w:ascii="Arial" w:hAnsi="Arial"/>
          <w:b/>
        </w:rPr>
        <w:t xml:space="preserve"> </w:t>
      </w:r>
    </w:p>
    <w:sectPr w:rsidR="003D551C" w:rsidRPr="0027599F" w:rsidSect="00223898">
      <w:footerReference w:type="even" r:id="rId12"/>
      <w:footerReference w:type="default" r:id="rId13"/>
      <w:pgSz w:w="11900" w:h="16840"/>
      <w:pgMar w:top="709" w:right="1800" w:bottom="144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350C" w14:textId="77777777" w:rsidR="004317B1" w:rsidRDefault="004317B1" w:rsidP="009E164C">
      <w:r>
        <w:separator/>
      </w:r>
    </w:p>
  </w:endnote>
  <w:endnote w:type="continuationSeparator" w:id="0">
    <w:p w14:paraId="573F188D" w14:textId="77777777" w:rsidR="004317B1" w:rsidRDefault="004317B1" w:rsidP="009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CCE9" w14:textId="77777777"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3D2C6" w14:textId="77777777" w:rsidR="00A92844" w:rsidRDefault="00A92844" w:rsidP="009E65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A83E" w14:textId="50A3B36F" w:rsidR="00A92844" w:rsidRDefault="00A92844" w:rsidP="00321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793">
      <w:rPr>
        <w:rStyle w:val="PageNumber"/>
        <w:noProof/>
      </w:rPr>
      <w:t>2</w:t>
    </w:r>
    <w:r>
      <w:rPr>
        <w:rStyle w:val="PageNumber"/>
      </w:rPr>
      <w:fldChar w:fldCharType="end"/>
    </w:r>
  </w:p>
  <w:p w14:paraId="653828EA" w14:textId="77777777" w:rsidR="00A92844" w:rsidRDefault="00A92844" w:rsidP="009E65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2D01" w14:textId="77777777" w:rsidR="004317B1" w:rsidRDefault="004317B1" w:rsidP="009E164C">
      <w:r>
        <w:separator/>
      </w:r>
    </w:p>
  </w:footnote>
  <w:footnote w:type="continuationSeparator" w:id="0">
    <w:p w14:paraId="4C3131B5" w14:textId="77777777" w:rsidR="004317B1" w:rsidRDefault="004317B1" w:rsidP="009E164C">
      <w:r>
        <w:continuationSeparator/>
      </w:r>
    </w:p>
  </w:footnote>
  <w:footnote w:id="1">
    <w:p w14:paraId="07DF5818" w14:textId="77777777" w:rsidR="003A322E" w:rsidRPr="008E1B05" w:rsidRDefault="003A322E">
      <w:pPr>
        <w:pStyle w:val="FootnoteText"/>
        <w:rPr>
          <w:rFonts w:ascii="Arial" w:hAnsi="Arial" w:cs="Arial"/>
          <w:sz w:val="20"/>
          <w:szCs w:val="20"/>
        </w:rPr>
      </w:pPr>
      <w:r w:rsidRPr="008E1B05">
        <w:rPr>
          <w:rStyle w:val="FootnoteReference"/>
          <w:rFonts w:ascii="Arial" w:hAnsi="Arial" w:cs="Arial"/>
          <w:sz w:val="20"/>
          <w:szCs w:val="20"/>
        </w:rPr>
        <w:footnoteRef/>
      </w:r>
      <w:r w:rsidRPr="008E1B05">
        <w:rPr>
          <w:rFonts w:ascii="Arial" w:hAnsi="Arial" w:cs="Arial"/>
          <w:sz w:val="20"/>
          <w:szCs w:val="20"/>
        </w:rPr>
        <w:t xml:space="preserve"> First respondent’s amended notice of motion dated 20 February 2019</w:t>
      </w:r>
    </w:p>
  </w:footnote>
  <w:footnote w:id="2">
    <w:p w14:paraId="1E433EA7" w14:textId="77777777" w:rsidR="00696943" w:rsidRPr="008E1B05" w:rsidRDefault="00696943">
      <w:pPr>
        <w:pStyle w:val="FootnoteText"/>
        <w:rPr>
          <w:rFonts w:ascii="Arial" w:hAnsi="Arial" w:cs="Arial"/>
          <w:sz w:val="20"/>
          <w:szCs w:val="20"/>
        </w:rPr>
      </w:pPr>
      <w:r w:rsidRPr="008E1B05">
        <w:rPr>
          <w:rStyle w:val="FootnoteReference"/>
          <w:rFonts w:ascii="Arial" w:hAnsi="Arial" w:cs="Arial"/>
          <w:sz w:val="20"/>
          <w:szCs w:val="20"/>
        </w:rPr>
        <w:footnoteRef/>
      </w:r>
      <w:r w:rsidRPr="008E1B05">
        <w:rPr>
          <w:rFonts w:ascii="Arial" w:hAnsi="Arial" w:cs="Arial"/>
          <w:sz w:val="20"/>
          <w:szCs w:val="20"/>
        </w:rPr>
        <w:t xml:space="preserve"> Paragraph 41 of the judgment</w:t>
      </w:r>
    </w:p>
  </w:footnote>
  <w:footnote w:id="3">
    <w:p w14:paraId="14C74D69" w14:textId="77777777" w:rsidR="00A50822" w:rsidRPr="008E1B05" w:rsidRDefault="00A50822">
      <w:pPr>
        <w:pStyle w:val="FootnoteText"/>
        <w:rPr>
          <w:rFonts w:ascii="Arial" w:hAnsi="Arial" w:cs="Arial"/>
          <w:sz w:val="20"/>
          <w:szCs w:val="20"/>
        </w:rPr>
      </w:pPr>
      <w:r w:rsidRPr="008E1B05">
        <w:rPr>
          <w:rStyle w:val="FootnoteReference"/>
          <w:rFonts w:ascii="Arial" w:hAnsi="Arial" w:cs="Arial"/>
          <w:sz w:val="20"/>
          <w:szCs w:val="20"/>
        </w:rPr>
        <w:footnoteRef/>
      </w:r>
      <w:r w:rsidRPr="008E1B05">
        <w:rPr>
          <w:rFonts w:ascii="Arial" w:hAnsi="Arial" w:cs="Arial"/>
          <w:sz w:val="20"/>
          <w:szCs w:val="20"/>
        </w:rPr>
        <w:t xml:space="preserve"> </w:t>
      </w:r>
      <w:r w:rsidR="00032A36" w:rsidRPr="008E1B05">
        <w:rPr>
          <w:rFonts w:ascii="Arial" w:hAnsi="Arial" w:cs="Arial"/>
          <w:sz w:val="20"/>
          <w:szCs w:val="20"/>
        </w:rPr>
        <w:t>At paras 53 and 54</w:t>
      </w:r>
    </w:p>
  </w:footnote>
  <w:footnote w:id="4">
    <w:p w14:paraId="3CF16639" w14:textId="77777777" w:rsidR="00FC51D0" w:rsidRPr="00FC51D0" w:rsidRDefault="00FC51D0">
      <w:pPr>
        <w:pStyle w:val="FootnoteText"/>
        <w:rPr>
          <w:rFonts w:ascii="Arial" w:hAnsi="Arial" w:cs="Arial"/>
        </w:rPr>
      </w:pPr>
      <w:r w:rsidRPr="00FC51D0">
        <w:rPr>
          <w:rStyle w:val="FootnoteReference"/>
          <w:rFonts w:ascii="Arial" w:hAnsi="Arial" w:cs="Arial"/>
        </w:rPr>
        <w:footnoteRef/>
      </w:r>
      <w:r w:rsidRPr="00FC51D0">
        <w:rPr>
          <w:rFonts w:ascii="Arial" w:hAnsi="Arial" w:cs="Arial"/>
        </w:rPr>
        <w:t xml:space="preserve"> </w:t>
      </w:r>
      <w:r>
        <w:rPr>
          <w:rFonts w:ascii="Arial" w:hAnsi="Arial" w:cs="Arial"/>
        </w:rPr>
        <w:t>S 3 (1) of the PAJA</w:t>
      </w:r>
    </w:p>
  </w:footnote>
  <w:footnote w:id="5">
    <w:p w14:paraId="13EB7193" w14:textId="77777777" w:rsidR="00FC51D0" w:rsidRPr="00FC51D0" w:rsidRDefault="00FC51D0">
      <w:pPr>
        <w:pStyle w:val="FootnoteText"/>
        <w:rPr>
          <w:rFonts w:ascii="Arial" w:hAnsi="Arial" w:cs="Arial"/>
        </w:rPr>
      </w:pPr>
      <w:r w:rsidRPr="00FC51D0">
        <w:rPr>
          <w:rStyle w:val="FootnoteReference"/>
          <w:rFonts w:ascii="Arial" w:hAnsi="Arial" w:cs="Arial"/>
        </w:rPr>
        <w:footnoteRef/>
      </w:r>
      <w:r w:rsidRPr="00FC51D0">
        <w:rPr>
          <w:rFonts w:ascii="Arial" w:hAnsi="Arial" w:cs="Arial"/>
        </w:rPr>
        <w:t xml:space="preserve"> </w:t>
      </w:r>
      <w:r>
        <w:rPr>
          <w:rFonts w:ascii="Arial" w:hAnsi="Arial" w:cs="Arial"/>
        </w:rPr>
        <w:t>S 6 (1)</w:t>
      </w:r>
    </w:p>
  </w:footnote>
  <w:footnote w:id="6">
    <w:p w14:paraId="4A70D836" w14:textId="77777777" w:rsidR="00A74199" w:rsidRPr="008E1B05" w:rsidRDefault="00A74199">
      <w:pPr>
        <w:pStyle w:val="FootnoteText"/>
        <w:rPr>
          <w:rFonts w:ascii="Arial" w:hAnsi="Arial" w:cs="Arial"/>
          <w:sz w:val="20"/>
          <w:szCs w:val="20"/>
        </w:rPr>
      </w:pPr>
      <w:r w:rsidRPr="008E1B05">
        <w:rPr>
          <w:rStyle w:val="FootnoteReference"/>
          <w:rFonts w:ascii="Arial" w:hAnsi="Arial" w:cs="Arial"/>
          <w:sz w:val="20"/>
          <w:szCs w:val="20"/>
        </w:rPr>
        <w:footnoteRef/>
      </w:r>
      <w:r w:rsidRPr="008E1B05">
        <w:rPr>
          <w:rFonts w:ascii="Arial" w:hAnsi="Arial" w:cs="Arial"/>
          <w:sz w:val="20"/>
          <w:szCs w:val="20"/>
        </w:rPr>
        <w:t xml:space="preserve"> S 33 (1) of the Constitution</w:t>
      </w:r>
    </w:p>
  </w:footnote>
  <w:footnote w:id="7">
    <w:p w14:paraId="66237837" w14:textId="77777777" w:rsidR="00A74199" w:rsidRPr="008E1B05" w:rsidRDefault="00A74199">
      <w:pPr>
        <w:pStyle w:val="FootnoteText"/>
        <w:rPr>
          <w:rFonts w:ascii="Arial" w:hAnsi="Arial" w:cs="Arial"/>
          <w:sz w:val="20"/>
          <w:szCs w:val="20"/>
        </w:rPr>
      </w:pPr>
      <w:r w:rsidRPr="008E1B05">
        <w:rPr>
          <w:rStyle w:val="FootnoteReference"/>
          <w:rFonts w:ascii="Arial" w:hAnsi="Arial" w:cs="Arial"/>
          <w:sz w:val="20"/>
          <w:szCs w:val="20"/>
        </w:rPr>
        <w:footnoteRef/>
      </w:r>
      <w:r w:rsidRPr="008E1B05">
        <w:rPr>
          <w:rFonts w:ascii="Arial" w:hAnsi="Arial" w:cs="Arial"/>
          <w:sz w:val="20"/>
          <w:szCs w:val="20"/>
        </w:rPr>
        <w:t xml:space="preserve"> S 33 (3) of the Constitution.</w:t>
      </w:r>
    </w:p>
  </w:footnote>
  <w:footnote w:id="8">
    <w:p w14:paraId="79C7C5B2" w14:textId="77777777" w:rsidR="00996979" w:rsidRPr="00996979" w:rsidRDefault="00996979">
      <w:pPr>
        <w:pStyle w:val="FootnoteText"/>
        <w:rPr>
          <w:rFonts w:ascii="Arial" w:hAnsi="Arial" w:cs="Arial"/>
        </w:rPr>
      </w:pPr>
      <w:r w:rsidRPr="008E1B05">
        <w:rPr>
          <w:rStyle w:val="FootnoteReference"/>
          <w:rFonts w:ascii="Arial" w:hAnsi="Arial" w:cs="Arial"/>
          <w:sz w:val="20"/>
          <w:szCs w:val="20"/>
        </w:rPr>
        <w:footnoteRef/>
      </w:r>
      <w:r w:rsidRPr="008E1B05">
        <w:rPr>
          <w:rFonts w:ascii="Arial" w:hAnsi="Arial" w:cs="Arial"/>
          <w:sz w:val="20"/>
          <w:szCs w:val="20"/>
        </w:rPr>
        <w:t xml:space="preserve"> State Information Technology Agency  SOC Ltd v Gijima Holdings (Pty) Ltd 2017 (2) SA 63 (SCA) para 33</w:t>
      </w:r>
    </w:p>
  </w:footnote>
  <w:footnote w:id="9">
    <w:p w14:paraId="7FF83732" w14:textId="77777777" w:rsidR="00780E53" w:rsidRPr="008E1B05" w:rsidRDefault="00780E53">
      <w:pPr>
        <w:pStyle w:val="FootnoteText"/>
        <w:rPr>
          <w:rFonts w:ascii="Arial" w:hAnsi="Arial" w:cs="Arial"/>
          <w:sz w:val="20"/>
          <w:szCs w:val="20"/>
        </w:rPr>
      </w:pPr>
      <w:r w:rsidRPr="008E1B05">
        <w:rPr>
          <w:rStyle w:val="FootnoteReference"/>
          <w:rFonts w:ascii="Arial" w:hAnsi="Arial" w:cs="Arial"/>
          <w:sz w:val="20"/>
          <w:szCs w:val="20"/>
        </w:rPr>
        <w:footnoteRef/>
      </w:r>
      <w:r w:rsidRPr="008E1B05">
        <w:rPr>
          <w:rFonts w:ascii="Arial" w:hAnsi="Arial" w:cs="Arial"/>
          <w:sz w:val="20"/>
          <w:szCs w:val="20"/>
        </w:rPr>
        <w:t xml:space="preserve"> At para 85</w:t>
      </w:r>
    </w:p>
  </w:footnote>
  <w:footnote w:id="10">
    <w:p w14:paraId="706A6AFA" w14:textId="77777777" w:rsidR="00401604" w:rsidRPr="00401604" w:rsidRDefault="00401604">
      <w:pPr>
        <w:pStyle w:val="FootnoteText"/>
        <w:rPr>
          <w:rFonts w:ascii="Arial" w:hAnsi="Arial" w:cs="Arial"/>
        </w:rPr>
      </w:pPr>
      <w:r w:rsidRPr="008E1B05">
        <w:rPr>
          <w:rStyle w:val="FootnoteReference"/>
          <w:rFonts w:ascii="Arial" w:hAnsi="Arial" w:cs="Arial"/>
          <w:sz w:val="20"/>
          <w:szCs w:val="20"/>
        </w:rPr>
        <w:footnoteRef/>
      </w:r>
      <w:r w:rsidRPr="008E1B05">
        <w:rPr>
          <w:rFonts w:ascii="Arial" w:hAnsi="Arial" w:cs="Arial"/>
          <w:sz w:val="20"/>
          <w:szCs w:val="20"/>
        </w:rPr>
        <w:t xml:space="preserve"> C. Hoexter, “A matter of Feel? Public Powers and Functions in South Africa” chapter 7 p 149 in Elliot, Varutas and Starks 9eds) The Unity of Public Law? Doctrinal, theoretical and comparative perspectives (2018) Hart, London</w:t>
      </w:r>
    </w:p>
  </w:footnote>
  <w:footnote w:id="11">
    <w:p w14:paraId="3D96F5BA" w14:textId="77777777" w:rsidR="00026D91" w:rsidRPr="0026358E" w:rsidRDefault="00026D91">
      <w:pPr>
        <w:pStyle w:val="FootnoteText"/>
        <w:rPr>
          <w:rFonts w:ascii="Arial" w:hAnsi="Arial" w:cs="Arial"/>
          <w:sz w:val="20"/>
          <w:szCs w:val="20"/>
        </w:rPr>
      </w:pPr>
      <w:r w:rsidRPr="00026D91">
        <w:rPr>
          <w:rStyle w:val="FootnoteReference"/>
          <w:rFonts w:ascii="Arial" w:hAnsi="Arial" w:cs="Arial"/>
        </w:rPr>
        <w:footnoteRef/>
      </w:r>
      <w:r w:rsidRPr="00026D91">
        <w:rPr>
          <w:rFonts w:ascii="Arial" w:hAnsi="Arial" w:cs="Arial"/>
        </w:rPr>
        <w:t xml:space="preserve"> </w:t>
      </w:r>
      <w:r w:rsidRPr="0026358E">
        <w:rPr>
          <w:rFonts w:ascii="Arial" w:hAnsi="Arial" w:cs="Arial"/>
          <w:sz w:val="20"/>
          <w:szCs w:val="20"/>
        </w:rPr>
        <w:t>At para 28</w:t>
      </w:r>
    </w:p>
  </w:footnote>
  <w:footnote w:id="12">
    <w:p w14:paraId="635DB29D" w14:textId="77777777" w:rsidR="004153F3" w:rsidRPr="004153F3" w:rsidRDefault="004153F3">
      <w:pPr>
        <w:pStyle w:val="FootnoteText"/>
        <w:rPr>
          <w:rFonts w:ascii="Arial" w:hAnsi="Arial" w:cs="Arial"/>
          <w:sz w:val="20"/>
          <w:szCs w:val="20"/>
        </w:rPr>
      </w:pPr>
      <w:r w:rsidRPr="004153F3">
        <w:rPr>
          <w:rStyle w:val="FootnoteReference"/>
          <w:rFonts w:ascii="Arial" w:hAnsi="Arial" w:cs="Arial"/>
          <w:sz w:val="20"/>
          <w:szCs w:val="20"/>
        </w:rPr>
        <w:footnoteRef/>
      </w:r>
      <w:r w:rsidRPr="004153F3">
        <w:rPr>
          <w:rFonts w:ascii="Arial" w:hAnsi="Arial" w:cs="Arial"/>
          <w:sz w:val="20"/>
          <w:szCs w:val="20"/>
        </w:rPr>
        <w:t xml:space="preserve"> </w:t>
      </w:r>
      <w:r>
        <w:rPr>
          <w:rFonts w:ascii="Arial" w:hAnsi="Arial" w:cs="Arial"/>
          <w:sz w:val="20"/>
          <w:szCs w:val="20"/>
        </w:rPr>
        <w:t>Administrative Law in South Africa, 2</w:t>
      </w:r>
      <w:r w:rsidRPr="004153F3">
        <w:rPr>
          <w:rFonts w:ascii="Arial" w:hAnsi="Arial" w:cs="Arial"/>
          <w:sz w:val="20"/>
          <w:szCs w:val="20"/>
          <w:vertAlign w:val="superscript"/>
        </w:rPr>
        <w:t>nd</w:t>
      </w:r>
      <w:r>
        <w:rPr>
          <w:rFonts w:ascii="Arial" w:hAnsi="Arial" w:cs="Arial"/>
          <w:sz w:val="20"/>
          <w:szCs w:val="20"/>
        </w:rPr>
        <w:t xml:space="preserve"> Ed p 362</w:t>
      </w:r>
    </w:p>
  </w:footnote>
  <w:footnote w:id="13">
    <w:p w14:paraId="1C9A2D45" w14:textId="77777777" w:rsidR="004153F3" w:rsidRPr="004153F3" w:rsidRDefault="004153F3">
      <w:pPr>
        <w:pStyle w:val="FootnoteText"/>
        <w:rPr>
          <w:rFonts w:ascii="Arial" w:hAnsi="Arial" w:cs="Arial"/>
          <w:sz w:val="20"/>
          <w:szCs w:val="20"/>
        </w:rPr>
      </w:pPr>
      <w:r w:rsidRPr="004153F3">
        <w:rPr>
          <w:rStyle w:val="FootnoteReference"/>
          <w:rFonts w:ascii="Arial" w:hAnsi="Arial" w:cs="Arial"/>
          <w:sz w:val="20"/>
          <w:szCs w:val="20"/>
        </w:rPr>
        <w:footnoteRef/>
      </w:r>
      <w:r w:rsidRPr="004153F3">
        <w:rPr>
          <w:rFonts w:ascii="Arial" w:hAnsi="Arial" w:cs="Arial"/>
          <w:sz w:val="20"/>
          <w:szCs w:val="20"/>
        </w:rPr>
        <w:t xml:space="preserve"> </w:t>
      </w:r>
      <w:r>
        <w:rPr>
          <w:rFonts w:ascii="Arial" w:hAnsi="Arial" w:cs="Arial"/>
          <w:sz w:val="20"/>
          <w:szCs w:val="20"/>
        </w:rPr>
        <w:t>At p 363</w:t>
      </w:r>
    </w:p>
  </w:footnote>
  <w:footnote w:id="14">
    <w:p w14:paraId="61C769AF" w14:textId="77777777" w:rsidR="0026358E" w:rsidRPr="0026358E" w:rsidRDefault="0026358E">
      <w:pPr>
        <w:pStyle w:val="FootnoteText"/>
        <w:rPr>
          <w:rFonts w:ascii="Arial" w:hAnsi="Arial" w:cs="Arial"/>
          <w:sz w:val="20"/>
          <w:szCs w:val="20"/>
        </w:rPr>
      </w:pPr>
      <w:r w:rsidRPr="0026358E">
        <w:rPr>
          <w:rStyle w:val="FootnoteReference"/>
          <w:rFonts w:ascii="Arial" w:hAnsi="Arial" w:cs="Arial"/>
          <w:sz w:val="20"/>
          <w:szCs w:val="20"/>
        </w:rPr>
        <w:footnoteRef/>
      </w:r>
      <w:r w:rsidRPr="0026358E">
        <w:rPr>
          <w:rFonts w:ascii="Arial" w:hAnsi="Arial" w:cs="Arial"/>
          <w:sz w:val="20"/>
          <w:szCs w:val="20"/>
        </w:rPr>
        <w:t xml:space="preserve"> </w:t>
      </w:r>
      <w:r>
        <w:rPr>
          <w:rFonts w:ascii="Arial" w:hAnsi="Arial" w:cs="Arial"/>
          <w:sz w:val="20"/>
          <w:szCs w:val="20"/>
        </w:rPr>
        <w:t>At 420</w:t>
      </w:r>
    </w:p>
  </w:footnote>
  <w:footnote w:id="15">
    <w:p w14:paraId="3A2E5290" w14:textId="77777777" w:rsidR="005755F7" w:rsidRPr="005755F7" w:rsidRDefault="005755F7">
      <w:pPr>
        <w:pStyle w:val="FootnoteText"/>
        <w:rPr>
          <w:rFonts w:ascii="Arial" w:hAnsi="Arial" w:cs="Arial"/>
          <w:sz w:val="20"/>
          <w:szCs w:val="20"/>
        </w:rPr>
      </w:pPr>
      <w:r w:rsidRPr="005755F7">
        <w:rPr>
          <w:rStyle w:val="FootnoteReference"/>
          <w:rFonts w:ascii="Arial" w:hAnsi="Arial" w:cs="Arial"/>
          <w:sz w:val="20"/>
          <w:szCs w:val="20"/>
        </w:rPr>
        <w:footnoteRef/>
      </w:r>
      <w:r w:rsidRPr="005755F7">
        <w:rPr>
          <w:rFonts w:ascii="Arial" w:hAnsi="Arial" w:cs="Arial"/>
          <w:sz w:val="20"/>
          <w:szCs w:val="20"/>
        </w:rPr>
        <w:t xml:space="preserve"> </w:t>
      </w:r>
      <w:r>
        <w:rPr>
          <w:rFonts w:ascii="Arial" w:hAnsi="Arial" w:cs="Arial"/>
          <w:sz w:val="20"/>
          <w:szCs w:val="20"/>
        </w:rPr>
        <w:t>At para 24</w:t>
      </w:r>
    </w:p>
  </w:footnote>
  <w:footnote w:id="16">
    <w:p w14:paraId="1E223F0C" w14:textId="77777777" w:rsidR="00F0255B" w:rsidRPr="00F0255B" w:rsidRDefault="00F0255B">
      <w:pPr>
        <w:pStyle w:val="FootnoteText"/>
        <w:rPr>
          <w:rFonts w:ascii="Arial" w:hAnsi="Arial" w:cs="Arial"/>
          <w:sz w:val="20"/>
          <w:szCs w:val="20"/>
        </w:rPr>
      </w:pPr>
      <w:r w:rsidRPr="00F0255B">
        <w:rPr>
          <w:rStyle w:val="FootnoteReference"/>
          <w:rFonts w:ascii="Arial" w:hAnsi="Arial" w:cs="Arial"/>
          <w:sz w:val="20"/>
          <w:szCs w:val="20"/>
        </w:rPr>
        <w:footnoteRef/>
      </w:r>
      <w:r w:rsidRPr="00F0255B">
        <w:rPr>
          <w:rFonts w:ascii="Arial" w:hAnsi="Arial" w:cs="Arial"/>
          <w:sz w:val="20"/>
          <w:szCs w:val="20"/>
        </w:rPr>
        <w:t xml:space="preserve"> </w:t>
      </w:r>
      <w:r>
        <w:rPr>
          <w:rFonts w:ascii="Arial" w:hAnsi="Arial" w:cs="Arial"/>
          <w:sz w:val="20"/>
          <w:szCs w:val="20"/>
        </w:rPr>
        <w:t>See: para</w:t>
      </w:r>
      <w:r w:rsidR="00CE4F98">
        <w:rPr>
          <w:rFonts w:ascii="Arial" w:hAnsi="Arial" w:cs="Arial"/>
          <w:sz w:val="20"/>
          <w:szCs w:val="20"/>
        </w:rPr>
        <w:t xml:space="preserve"> </w:t>
      </w:r>
      <w:r>
        <w:rPr>
          <w:rFonts w:ascii="Arial" w:hAnsi="Arial" w:cs="Arial"/>
          <w:sz w:val="20"/>
          <w:szCs w:val="20"/>
        </w:rPr>
        <w:t>3 above for the investigator’s terms of reference</w:t>
      </w:r>
    </w:p>
  </w:footnote>
  <w:footnote w:id="17">
    <w:p w14:paraId="22D975F2" w14:textId="77777777" w:rsidR="00351B4C" w:rsidRPr="00CE4F98" w:rsidRDefault="00351B4C">
      <w:pPr>
        <w:pStyle w:val="FootnoteText"/>
        <w:rPr>
          <w:rFonts w:ascii="Arial" w:hAnsi="Arial" w:cs="Arial"/>
          <w:sz w:val="20"/>
          <w:szCs w:val="20"/>
        </w:rPr>
      </w:pPr>
      <w:r w:rsidRPr="00CE4F98">
        <w:rPr>
          <w:rStyle w:val="FootnoteReference"/>
          <w:rFonts w:ascii="Arial" w:hAnsi="Arial" w:cs="Arial"/>
          <w:sz w:val="20"/>
          <w:szCs w:val="20"/>
        </w:rPr>
        <w:footnoteRef/>
      </w:r>
      <w:r w:rsidRPr="00CE4F98">
        <w:rPr>
          <w:rFonts w:ascii="Arial" w:hAnsi="Arial" w:cs="Arial"/>
          <w:sz w:val="20"/>
          <w:szCs w:val="20"/>
        </w:rPr>
        <w:t xml:space="preserve"> Merriam-Webster Dictionary</w:t>
      </w:r>
    </w:p>
  </w:footnote>
  <w:footnote w:id="18">
    <w:p w14:paraId="0B8E7C71" w14:textId="77777777" w:rsidR="00351B4C" w:rsidRPr="00351B4C" w:rsidRDefault="00351B4C">
      <w:pPr>
        <w:pStyle w:val="FootnoteText"/>
        <w:rPr>
          <w:rFonts w:ascii="Arial" w:hAnsi="Arial" w:cs="Arial"/>
          <w:sz w:val="20"/>
          <w:szCs w:val="20"/>
        </w:rPr>
      </w:pPr>
      <w:r w:rsidRPr="00351B4C">
        <w:rPr>
          <w:rStyle w:val="FootnoteReference"/>
          <w:rFonts w:ascii="Arial" w:hAnsi="Arial" w:cs="Arial"/>
          <w:sz w:val="20"/>
          <w:szCs w:val="20"/>
        </w:rPr>
        <w:footnoteRef/>
      </w:r>
      <w:r w:rsidRPr="00351B4C">
        <w:rPr>
          <w:rFonts w:ascii="Arial" w:hAnsi="Arial" w:cs="Arial"/>
          <w:sz w:val="20"/>
          <w:szCs w:val="20"/>
        </w:rPr>
        <w:t xml:space="preserve"> </w:t>
      </w:r>
      <w:r>
        <w:rPr>
          <w:rFonts w:ascii="Arial" w:hAnsi="Arial" w:cs="Arial"/>
          <w:sz w:val="20"/>
          <w:szCs w:val="20"/>
        </w:rPr>
        <w:t>Cambridge Dictionary</w:t>
      </w:r>
    </w:p>
  </w:footnote>
  <w:footnote w:id="19">
    <w:p w14:paraId="74489F03" w14:textId="77777777" w:rsidR="00CE4F98" w:rsidRPr="00CE4F98" w:rsidRDefault="00CE4F98">
      <w:pPr>
        <w:pStyle w:val="FootnoteText"/>
        <w:rPr>
          <w:rFonts w:ascii="Arial" w:hAnsi="Arial" w:cs="Arial"/>
          <w:sz w:val="20"/>
          <w:szCs w:val="20"/>
        </w:rPr>
      </w:pPr>
      <w:r w:rsidRPr="00CE4F98">
        <w:rPr>
          <w:rStyle w:val="FootnoteReference"/>
          <w:rFonts w:ascii="Arial" w:hAnsi="Arial" w:cs="Arial"/>
          <w:sz w:val="20"/>
          <w:szCs w:val="20"/>
        </w:rPr>
        <w:footnoteRef/>
      </w:r>
      <w:r w:rsidRPr="00CE4F98">
        <w:rPr>
          <w:rFonts w:ascii="Arial" w:hAnsi="Arial" w:cs="Arial"/>
          <w:sz w:val="20"/>
          <w:szCs w:val="20"/>
        </w:rPr>
        <w:t xml:space="preserve"> </w:t>
      </w:r>
      <w:r>
        <w:rPr>
          <w:rFonts w:ascii="Arial" w:hAnsi="Arial" w:cs="Arial"/>
          <w:sz w:val="20"/>
          <w:szCs w:val="20"/>
        </w:rPr>
        <w:t>Collins Dictionary</w:t>
      </w:r>
    </w:p>
  </w:footnote>
  <w:footnote w:id="20">
    <w:p w14:paraId="21093D7D" w14:textId="77777777" w:rsidR="00CE4F98" w:rsidRDefault="00CE4F98">
      <w:pPr>
        <w:pStyle w:val="FootnoteText"/>
      </w:pPr>
      <w:r w:rsidRPr="00CE4F98">
        <w:rPr>
          <w:rStyle w:val="FootnoteReference"/>
          <w:rFonts w:ascii="Arial" w:hAnsi="Arial" w:cs="Arial"/>
          <w:sz w:val="20"/>
          <w:szCs w:val="20"/>
        </w:rPr>
        <w:footnoteRef/>
      </w:r>
      <w:r>
        <w:t xml:space="preserve"> </w:t>
      </w:r>
      <w:r w:rsidRPr="00CE4F98">
        <w:rPr>
          <w:rFonts w:ascii="Arial" w:hAnsi="Arial" w:cs="Arial"/>
          <w:sz w:val="20"/>
          <w:szCs w:val="20"/>
        </w:rPr>
        <w:t xml:space="preserve">Oxford </w:t>
      </w:r>
      <w:r>
        <w:rPr>
          <w:rFonts w:ascii="Arial" w:hAnsi="Arial" w:cs="Arial"/>
          <w:sz w:val="20"/>
          <w:szCs w:val="20"/>
        </w:rPr>
        <w:t>Dictionary</w:t>
      </w:r>
    </w:p>
  </w:footnote>
  <w:footnote w:id="21">
    <w:p w14:paraId="7A88A093" w14:textId="77777777" w:rsidR="00CE4F98" w:rsidRPr="00CE4F98" w:rsidRDefault="00CE4F98">
      <w:pPr>
        <w:pStyle w:val="FootnoteText"/>
        <w:rPr>
          <w:rFonts w:ascii="Arial" w:hAnsi="Arial" w:cs="Arial"/>
          <w:sz w:val="20"/>
          <w:szCs w:val="20"/>
        </w:rPr>
      </w:pPr>
      <w:r w:rsidRPr="00CE4F98">
        <w:rPr>
          <w:rStyle w:val="FootnoteReference"/>
          <w:rFonts w:ascii="Arial" w:hAnsi="Arial" w:cs="Arial"/>
          <w:sz w:val="20"/>
          <w:szCs w:val="20"/>
        </w:rPr>
        <w:footnoteRef/>
      </w:r>
      <w:r w:rsidRPr="00CE4F98">
        <w:rPr>
          <w:rFonts w:ascii="Arial" w:hAnsi="Arial" w:cs="Arial"/>
          <w:sz w:val="20"/>
          <w:szCs w:val="20"/>
        </w:rPr>
        <w:t xml:space="preserve"> </w:t>
      </w:r>
      <w:r>
        <w:rPr>
          <w:rFonts w:ascii="Arial" w:hAnsi="Arial" w:cs="Arial"/>
          <w:sz w:val="20"/>
          <w:szCs w:val="20"/>
        </w:rPr>
        <w:t>S 136 of the FSR Act</w:t>
      </w:r>
    </w:p>
  </w:footnote>
  <w:footnote w:id="22">
    <w:p w14:paraId="66852222" w14:textId="77777777" w:rsidR="00051B1E" w:rsidRPr="00051B1E" w:rsidRDefault="00051B1E">
      <w:pPr>
        <w:pStyle w:val="FootnoteText"/>
        <w:rPr>
          <w:rFonts w:ascii="Arial" w:hAnsi="Arial" w:cs="Arial"/>
          <w:sz w:val="20"/>
          <w:szCs w:val="20"/>
        </w:rPr>
      </w:pPr>
      <w:r w:rsidRPr="00051B1E">
        <w:rPr>
          <w:rStyle w:val="FootnoteReference"/>
          <w:rFonts w:ascii="Arial" w:hAnsi="Arial" w:cs="Arial"/>
          <w:sz w:val="20"/>
          <w:szCs w:val="20"/>
        </w:rPr>
        <w:footnoteRef/>
      </w:r>
      <w:r w:rsidRPr="00051B1E">
        <w:rPr>
          <w:rFonts w:ascii="Arial" w:hAnsi="Arial" w:cs="Arial"/>
          <w:sz w:val="20"/>
          <w:szCs w:val="20"/>
        </w:rPr>
        <w:t xml:space="preserve"> </w:t>
      </w:r>
      <w:r>
        <w:rPr>
          <w:rFonts w:ascii="Arial" w:hAnsi="Arial" w:cs="Arial"/>
          <w:sz w:val="20"/>
          <w:szCs w:val="20"/>
        </w:rPr>
        <w:t xml:space="preserve">S </w:t>
      </w:r>
      <w:r w:rsidR="004201C0">
        <w:rPr>
          <w:rFonts w:ascii="Arial" w:hAnsi="Arial" w:cs="Arial"/>
          <w:sz w:val="20"/>
          <w:szCs w:val="20"/>
        </w:rPr>
        <w:t>3 of the Commissions Act, 8 of 1947</w:t>
      </w:r>
    </w:p>
  </w:footnote>
  <w:footnote w:id="23">
    <w:p w14:paraId="1C7B6093" w14:textId="77777777" w:rsidR="00B65591" w:rsidRPr="00C252BC" w:rsidRDefault="00B65591">
      <w:pPr>
        <w:pStyle w:val="FootnoteText"/>
        <w:rPr>
          <w:rFonts w:ascii="Arial" w:hAnsi="Arial" w:cs="Arial"/>
          <w:sz w:val="20"/>
          <w:szCs w:val="20"/>
        </w:rPr>
      </w:pPr>
      <w:r>
        <w:rPr>
          <w:rStyle w:val="FootnoteReference"/>
        </w:rPr>
        <w:footnoteRef/>
      </w:r>
      <w:r>
        <w:t xml:space="preserve">  </w:t>
      </w:r>
      <w:r w:rsidR="00C252BC">
        <w:t xml:space="preserve"> </w:t>
      </w:r>
      <w:r w:rsidRPr="00C252BC">
        <w:rPr>
          <w:rFonts w:ascii="Arial" w:hAnsi="Arial" w:cs="Arial"/>
          <w:sz w:val="20"/>
          <w:szCs w:val="20"/>
        </w:rPr>
        <w:t>Promotion of Administrative Justice Act, Act no. 3 of 2000 (“PAJA”)</w:t>
      </w:r>
    </w:p>
  </w:footnote>
  <w:footnote w:id="24">
    <w:p w14:paraId="4434A24C" w14:textId="77777777" w:rsidR="00B65591" w:rsidRPr="00C252BC" w:rsidRDefault="00B65591" w:rsidP="00B65591">
      <w:pPr>
        <w:pStyle w:val="FootnoteText"/>
        <w:ind w:left="284" w:hanging="284"/>
        <w:jc w:val="both"/>
        <w:rPr>
          <w:rFonts w:ascii="Arial" w:hAnsi="Arial" w:cs="Arial"/>
          <w:sz w:val="20"/>
          <w:szCs w:val="20"/>
        </w:rPr>
      </w:pPr>
      <w:r w:rsidRPr="00C252BC">
        <w:rPr>
          <w:rStyle w:val="FootnoteReference"/>
          <w:rFonts w:ascii="Arial" w:hAnsi="Arial" w:cs="Arial"/>
          <w:sz w:val="20"/>
          <w:szCs w:val="20"/>
        </w:rPr>
        <w:footnoteRef/>
      </w:r>
      <w:r w:rsidRPr="00C252BC">
        <w:rPr>
          <w:rFonts w:ascii="Arial" w:hAnsi="Arial" w:cs="Arial"/>
          <w:sz w:val="20"/>
          <w:szCs w:val="20"/>
        </w:rPr>
        <w:t xml:space="preserve">Fair-Trade Independent Tobacco Association v President of South                                  </w:t>
      </w:r>
      <w:r w:rsidR="00C252BC">
        <w:rPr>
          <w:rFonts w:ascii="Arial" w:hAnsi="Arial" w:cs="Arial"/>
          <w:sz w:val="20"/>
          <w:szCs w:val="20"/>
        </w:rPr>
        <w:t xml:space="preserve"> </w:t>
      </w:r>
      <w:r w:rsidRPr="00C252BC">
        <w:rPr>
          <w:rFonts w:ascii="Arial" w:hAnsi="Arial" w:cs="Arial"/>
          <w:sz w:val="20"/>
          <w:szCs w:val="20"/>
        </w:rPr>
        <w:t>Africa &amp; Another 2020 (6) SA 513 (GP) par. [5] (“FITA judgment”)</w:t>
      </w:r>
    </w:p>
  </w:footnote>
  <w:footnote w:id="25">
    <w:p w14:paraId="32430E9C" w14:textId="77777777" w:rsidR="00E62EF7" w:rsidRPr="00C252BC" w:rsidRDefault="00E62EF7">
      <w:pPr>
        <w:pStyle w:val="FootnoteText"/>
        <w:rPr>
          <w:rFonts w:ascii="Arial" w:hAnsi="Arial" w:cs="Arial"/>
          <w:sz w:val="20"/>
          <w:szCs w:val="20"/>
        </w:rPr>
      </w:pPr>
      <w:r>
        <w:rPr>
          <w:rStyle w:val="FootnoteReference"/>
        </w:rPr>
        <w:footnoteRef/>
      </w:r>
      <w:r>
        <w:t xml:space="preserve"> </w:t>
      </w:r>
      <w:r w:rsidRPr="00C252BC">
        <w:rPr>
          <w:rFonts w:ascii="Arial" w:hAnsi="Arial" w:cs="Arial"/>
          <w:sz w:val="20"/>
          <w:szCs w:val="20"/>
        </w:rPr>
        <w:t>Section 7 FSA</w:t>
      </w:r>
    </w:p>
  </w:footnote>
  <w:footnote w:id="26">
    <w:p w14:paraId="519437B5" w14:textId="77777777" w:rsidR="00C252BC" w:rsidRPr="00C252BC" w:rsidRDefault="00C252BC">
      <w:pPr>
        <w:pStyle w:val="FootnoteText"/>
        <w:rPr>
          <w:rFonts w:ascii="Arial" w:hAnsi="Arial" w:cs="Arial"/>
          <w:sz w:val="20"/>
          <w:szCs w:val="20"/>
        </w:rPr>
      </w:pPr>
      <w:r>
        <w:rPr>
          <w:rStyle w:val="FootnoteReference"/>
        </w:rPr>
        <w:footnoteRef/>
      </w:r>
      <w:r>
        <w:t xml:space="preserve"> </w:t>
      </w:r>
      <w:r w:rsidRPr="00C252BC">
        <w:rPr>
          <w:rFonts w:ascii="Arial" w:hAnsi="Arial" w:cs="Arial"/>
          <w:sz w:val="20"/>
          <w:szCs w:val="20"/>
        </w:rPr>
        <w:t>Ju</w:t>
      </w:r>
      <w:r>
        <w:rPr>
          <w:rFonts w:ascii="Arial" w:hAnsi="Arial" w:cs="Arial"/>
          <w:sz w:val="20"/>
          <w:szCs w:val="20"/>
        </w:rPr>
        <w:t>dg</w:t>
      </w:r>
      <w:r w:rsidRPr="00C252BC">
        <w:rPr>
          <w:rFonts w:ascii="Arial" w:hAnsi="Arial" w:cs="Arial"/>
          <w:sz w:val="20"/>
          <w:szCs w:val="20"/>
        </w:rPr>
        <w:t xml:space="preserve">ment Swanepoel J, par. [64] last sentence </w:t>
      </w:r>
    </w:p>
  </w:footnote>
  <w:footnote w:id="27">
    <w:p w14:paraId="3E2A0E12" w14:textId="77777777" w:rsidR="00C252BC" w:rsidRPr="00C252BC" w:rsidRDefault="00C252BC">
      <w:pPr>
        <w:pStyle w:val="FootnoteText"/>
        <w:rPr>
          <w:rFonts w:ascii="Arial" w:hAnsi="Arial" w:cs="Arial"/>
          <w:sz w:val="20"/>
          <w:szCs w:val="20"/>
        </w:rPr>
      </w:pPr>
      <w:r w:rsidRPr="00C252BC">
        <w:rPr>
          <w:rStyle w:val="FootnoteReference"/>
          <w:rFonts w:ascii="Arial" w:hAnsi="Arial" w:cs="Arial"/>
          <w:sz w:val="20"/>
          <w:szCs w:val="20"/>
        </w:rPr>
        <w:footnoteRef/>
      </w:r>
      <w:r w:rsidRPr="00C252BC">
        <w:rPr>
          <w:rFonts w:ascii="Arial" w:hAnsi="Arial" w:cs="Arial"/>
          <w:sz w:val="20"/>
          <w:szCs w:val="20"/>
        </w:rPr>
        <w:t xml:space="preserve"> FSA Section 134(1)</w:t>
      </w:r>
    </w:p>
  </w:footnote>
  <w:footnote w:id="28">
    <w:p w14:paraId="6E6A90EB" w14:textId="77777777" w:rsidR="00B12FFE" w:rsidRPr="00B12FFE" w:rsidRDefault="00B12FFE">
      <w:pPr>
        <w:pStyle w:val="FootnoteText"/>
        <w:rPr>
          <w:rFonts w:ascii="Arial" w:hAnsi="Arial" w:cs="Arial"/>
          <w:sz w:val="20"/>
          <w:szCs w:val="20"/>
        </w:rPr>
      </w:pPr>
      <w:r>
        <w:rPr>
          <w:rStyle w:val="FootnoteReference"/>
        </w:rPr>
        <w:footnoteRef/>
      </w:r>
      <w:r>
        <w:t xml:space="preserve"> </w:t>
      </w:r>
      <w:r w:rsidR="007B3226">
        <w:rPr>
          <w:rFonts w:ascii="Arial" w:hAnsi="Arial" w:cs="Arial"/>
          <w:sz w:val="20"/>
          <w:szCs w:val="20"/>
        </w:rPr>
        <w:t>Judg</w:t>
      </w:r>
      <w:r w:rsidRPr="00B12FFE">
        <w:rPr>
          <w:rFonts w:ascii="Arial" w:hAnsi="Arial" w:cs="Arial"/>
          <w:sz w:val="20"/>
          <w:szCs w:val="20"/>
        </w:rPr>
        <w:t>ment Swanepoel J</w:t>
      </w:r>
      <w:r>
        <w:rPr>
          <w:rFonts w:ascii="Arial" w:hAnsi="Arial" w:cs="Arial"/>
          <w:sz w:val="20"/>
          <w:szCs w:val="20"/>
        </w:rPr>
        <w:t>,</w:t>
      </w:r>
      <w:r w:rsidRPr="00B12FFE">
        <w:rPr>
          <w:rFonts w:ascii="Arial" w:hAnsi="Arial" w:cs="Arial"/>
          <w:sz w:val="20"/>
          <w:szCs w:val="20"/>
        </w:rPr>
        <w:t xml:space="preserve"> par</w:t>
      </w:r>
      <w:r w:rsidR="007B3226">
        <w:rPr>
          <w:rFonts w:ascii="Arial" w:hAnsi="Arial" w:cs="Arial"/>
          <w:sz w:val="20"/>
          <w:szCs w:val="20"/>
        </w:rPr>
        <w:t>a</w:t>
      </w:r>
      <w:r w:rsidRPr="00B12FFE">
        <w:rPr>
          <w:rFonts w:ascii="Arial" w:hAnsi="Arial" w:cs="Arial"/>
          <w:sz w:val="20"/>
          <w:szCs w:val="20"/>
        </w:rPr>
        <w:t>. [42] – [50]</w:t>
      </w:r>
    </w:p>
  </w:footnote>
  <w:footnote w:id="29">
    <w:p w14:paraId="0946730C" w14:textId="77777777" w:rsidR="00B12FFE" w:rsidRPr="00B12FFE" w:rsidRDefault="00B12FFE">
      <w:pPr>
        <w:pStyle w:val="FootnoteText"/>
        <w:rPr>
          <w:rFonts w:ascii="Arial" w:hAnsi="Arial" w:cs="Arial"/>
          <w:sz w:val="20"/>
          <w:szCs w:val="20"/>
        </w:rPr>
      </w:pPr>
      <w:r>
        <w:rPr>
          <w:rStyle w:val="FootnoteReference"/>
        </w:rPr>
        <w:footnoteRef/>
      </w:r>
      <w:r>
        <w:t xml:space="preserve"> </w:t>
      </w:r>
      <w:r w:rsidR="007B3226">
        <w:rPr>
          <w:rFonts w:ascii="Arial" w:hAnsi="Arial" w:cs="Arial"/>
          <w:sz w:val="20"/>
          <w:szCs w:val="20"/>
        </w:rPr>
        <w:t>Judg</w:t>
      </w:r>
      <w:r w:rsidRPr="00B12FFE">
        <w:rPr>
          <w:rFonts w:ascii="Arial" w:hAnsi="Arial" w:cs="Arial"/>
          <w:sz w:val="20"/>
          <w:szCs w:val="20"/>
        </w:rPr>
        <w:t>ment Swanpoel J, para. [46] and [48]</w:t>
      </w:r>
    </w:p>
  </w:footnote>
  <w:footnote w:id="30">
    <w:p w14:paraId="6EB84795" w14:textId="7DC1CA22" w:rsidR="00B12FFE" w:rsidRPr="00B12FFE" w:rsidRDefault="00B12FFE" w:rsidP="00B12FFE">
      <w:pPr>
        <w:pStyle w:val="FootnoteText"/>
        <w:ind w:left="284" w:hanging="284"/>
        <w:jc w:val="both"/>
        <w:rPr>
          <w:rFonts w:ascii="Arial" w:hAnsi="Arial" w:cs="Arial"/>
          <w:sz w:val="20"/>
          <w:szCs w:val="20"/>
        </w:rPr>
      </w:pPr>
      <w:r>
        <w:rPr>
          <w:rStyle w:val="FootnoteReference"/>
        </w:rPr>
        <w:footnoteRef/>
      </w:r>
      <w:r>
        <w:t xml:space="preserve"> </w:t>
      </w:r>
      <w:r w:rsidR="007B3226">
        <w:rPr>
          <w:rFonts w:ascii="Arial" w:hAnsi="Arial" w:cs="Arial"/>
          <w:sz w:val="20"/>
          <w:szCs w:val="20"/>
        </w:rPr>
        <w:t>Par.</w:t>
      </w:r>
      <w:r w:rsidRPr="00B12FFE">
        <w:rPr>
          <w:rFonts w:ascii="Arial" w:hAnsi="Arial" w:cs="Arial"/>
          <w:sz w:val="20"/>
          <w:szCs w:val="20"/>
        </w:rPr>
        <w:t>{25] of Masuku ju</w:t>
      </w:r>
      <w:r w:rsidR="002779D2">
        <w:rPr>
          <w:rFonts w:ascii="Arial" w:hAnsi="Arial" w:cs="Arial"/>
          <w:sz w:val="20"/>
          <w:szCs w:val="20"/>
        </w:rPr>
        <w:t>dgment referred to in par. [36]</w:t>
      </w:r>
      <w:r w:rsidRPr="00B12FFE">
        <w:rPr>
          <w:rFonts w:ascii="Arial" w:hAnsi="Arial" w:cs="Arial"/>
          <w:sz w:val="20"/>
          <w:szCs w:val="20"/>
        </w:rPr>
        <w:t xml:space="preserve"> of the judgment of </w:t>
      </w:r>
      <w:r w:rsidR="002779D2">
        <w:rPr>
          <w:rFonts w:ascii="Arial" w:hAnsi="Arial" w:cs="Arial"/>
          <w:sz w:val="20"/>
          <w:szCs w:val="20"/>
        </w:rPr>
        <w:t xml:space="preserve"> </w:t>
      </w:r>
      <w:r w:rsidRPr="00B12FFE">
        <w:rPr>
          <w:rFonts w:ascii="Arial" w:hAnsi="Arial" w:cs="Arial"/>
          <w:sz w:val="20"/>
          <w:szCs w:val="20"/>
        </w:rPr>
        <w:t>Swanepoel J.</w:t>
      </w:r>
    </w:p>
  </w:footnote>
  <w:footnote w:id="31">
    <w:p w14:paraId="2E9F101F" w14:textId="77777777" w:rsidR="007B3226" w:rsidRPr="007B3226" w:rsidRDefault="007B3226" w:rsidP="007B3226">
      <w:pPr>
        <w:pStyle w:val="FootnoteText"/>
        <w:jc w:val="both"/>
        <w:rPr>
          <w:rFonts w:ascii="Arial" w:hAnsi="Arial" w:cs="Arial"/>
          <w:sz w:val="20"/>
          <w:szCs w:val="20"/>
        </w:rPr>
      </w:pPr>
      <w:r>
        <w:rPr>
          <w:rStyle w:val="FootnoteReference"/>
        </w:rPr>
        <w:footnoteRef/>
      </w:r>
      <w:r>
        <w:t xml:space="preserve">  </w:t>
      </w:r>
      <w:r w:rsidRPr="007B3226">
        <w:rPr>
          <w:rFonts w:ascii="Arial" w:hAnsi="Arial" w:cs="Arial"/>
          <w:sz w:val="20"/>
          <w:szCs w:val="20"/>
        </w:rPr>
        <w:t>National Treasury and Another v Kubukeli 2016 (2) SA 507 (SCA) para. 25 - 27</w:t>
      </w:r>
    </w:p>
  </w:footnote>
  <w:footnote w:id="32">
    <w:p w14:paraId="273A4BCE" w14:textId="77777777" w:rsidR="00890481" w:rsidRPr="00890481" w:rsidRDefault="00890481">
      <w:pPr>
        <w:pStyle w:val="FootnoteText"/>
        <w:rPr>
          <w:rFonts w:ascii="Arial" w:hAnsi="Arial" w:cs="Arial"/>
          <w:sz w:val="20"/>
          <w:szCs w:val="20"/>
        </w:rPr>
      </w:pPr>
      <w:r>
        <w:rPr>
          <w:rStyle w:val="FootnoteReference"/>
        </w:rPr>
        <w:footnoteRef/>
      </w:r>
      <w:r>
        <w:t xml:space="preserve"> </w:t>
      </w:r>
      <w:r w:rsidRPr="00890481">
        <w:rPr>
          <w:rFonts w:ascii="Arial" w:hAnsi="Arial" w:cs="Arial"/>
          <w:sz w:val="20"/>
          <w:szCs w:val="20"/>
        </w:rPr>
        <w:t>Judgment Swanepoel J., par. [34]</w:t>
      </w:r>
    </w:p>
  </w:footnote>
  <w:footnote w:id="33">
    <w:p w14:paraId="027AEFD0" w14:textId="77777777" w:rsidR="00F77FB6" w:rsidRPr="00EE1088" w:rsidRDefault="00F77FB6" w:rsidP="00EE1088">
      <w:pPr>
        <w:pStyle w:val="FootnoteText"/>
        <w:ind w:left="284" w:hanging="284"/>
        <w:rPr>
          <w:rFonts w:ascii="Arial" w:hAnsi="Arial" w:cs="Arial"/>
          <w:sz w:val="20"/>
          <w:szCs w:val="20"/>
        </w:rPr>
      </w:pPr>
      <w:r>
        <w:rPr>
          <w:rStyle w:val="FootnoteReference"/>
        </w:rPr>
        <w:footnoteRef/>
      </w:r>
      <w:r>
        <w:t xml:space="preserve"> </w:t>
      </w:r>
      <w:r w:rsidR="00EE1088">
        <w:t xml:space="preserve"> </w:t>
      </w:r>
      <w:r w:rsidR="00EE1088" w:rsidRPr="00EE1088">
        <w:rPr>
          <w:rFonts w:ascii="Arial" w:hAnsi="Arial" w:cs="Arial"/>
          <w:sz w:val="20"/>
          <w:szCs w:val="20"/>
        </w:rPr>
        <w:t>Viking Pony Africa Pumps (Pty) Ltd t/a Tricom Africa v Hidro-Tech Systems (Pty) Ltd &amp; Another 2011 (1) SA 327 (CC) at [37]</w:t>
      </w:r>
    </w:p>
  </w:footnote>
  <w:footnote w:id="34">
    <w:p w14:paraId="414EA719" w14:textId="77777777" w:rsidR="00644216" w:rsidRDefault="00644216">
      <w:pPr>
        <w:pStyle w:val="FootnoteText"/>
      </w:pPr>
      <w:r>
        <w:rPr>
          <w:rStyle w:val="FootnoteReference"/>
        </w:rPr>
        <w:footnoteRef/>
      </w:r>
      <w:r>
        <w:t xml:space="preserve"> </w:t>
      </w:r>
      <w:r w:rsidR="00936255" w:rsidRPr="00936255">
        <w:rPr>
          <w:rFonts w:ascii="Arial" w:hAnsi="Arial" w:cs="Arial"/>
          <w:sz w:val="20"/>
          <w:szCs w:val="20"/>
        </w:rPr>
        <w:t xml:space="preserve">Judgement, Swanepoel J, par. [36] </w:t>
      </w:r>
    </w:p>
  </w:footnote>
  <w:footnote w:id="35">
    <w:p w14:paraId="016D4E31" w14:textId="77777777" w:rsidR="00936255" w:rsidRPr="00936255" w:rsidRDefault="00936255">
      <w:pPr>
        <w:pStyle w:val="FootnoteText"/>
        <w:rPr>
          <w:rFonts w:ascii="Arial" w:hAnsi="Arial" w:cs="Arial"/>
          <w:sz w:val="20"/>
          <w:szCs w:val="20"/>
        </w:rPr>
      </w:pPr>
      <w:r>
        <w:rPr>
          <w:rStyle w:val="FootnoteReference"/>
        </w:rPr>
        <w:footnoteRef/>
      </w:r>
      <w:r>
        <w:t xml:space="preserve"> </w:t>
      </w:r>
      <w:r w:rsidRPr="00936255">
        <w:rPr>
          <w:rFonts w:ascii="Arial" w:hAnsi="Arial" w:cs="Arial"/>
          <w:sz w:val="20"/>
          <w:szCs w:val="20"/>
        </w:rPr>
        <w:t>Masuku judgement, par. [25] to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584"/>
    <w:multiLevelType w:val="hybridMultilevel"/>
    <w:tmpl w:val="1C1EED3E"/>
    <w:lvl w:ilvl="0" w:tplc="48BA9372">
      <w:start w:val="1"/>
      <w:numFmt w:val="upperLetter"/>
      <w:lvlText w:val="(%1."/>
      <w:lvlJc w:val="left"/>
      <w:pPr>
        <w:ind w:left="4700" w:hanging="38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nsid w:val="03395C44"/>
    <w:multiLevelType w:val="hybridMultilevel"/>
    <w:tmpl w:val="ECDA1572"/>
    <w:lvl w:ilvl="0" w:tplc="25DE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2514E7"/>
    <w:multiLevelType w:val="hybridMultilevel"/>
    <w:tmpl w:val="46AE12BC"/>
    <w:lvl w:ilvl="0" w:tplc="70AE67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947211B"/>
    <w:multiLevelType w:val="hybridMultilevel"/>
    <w:tmpl w:val="CDC81740"/>
    <w:lvl w:ilvl="0" w:tplc="795424B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C4CD0"/>
    <w:multiLevelType w:val="hybridMultilevel"/>
    <w:tmpl w:val="73E48E16"/>
    <w:lvl w:ilvl="0" w:tplc="C1A0BC40">
      <w:start w:val="27"/>
      <w:numFmt w:val="lowerLetter"/>
      <w:lvlText w:val="(%1)"/>
      <w:lvlJc w:val="left"/>
      <w:pPr>
        <w:ind w:left="1840" w:hanging="40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21731CE"/>
    <w:multiLevelType w:val="hybridMultilevel"/>
    <w:tmpl w:val="C444057A"/>
    <w:lvl w:ilvl="0" w:tplc="541E9B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23434"/>
    <w:multiLevelType w:val="hybridMultilevel"/>
    <w:tmpl w:val="81EC9C0E"/>
    <w:lvl w:ilvl="0" w:tplc="E548993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7427890"/>
    <w:multiLevelType w:val="hybridMultilevel"/>
    <w:tmpl w:val="14A66E04"/>
    <w:lvl w:ilvl="0" w:tplc="96D867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62580"/>
    <w:multiLevelType w:val="multilevel"/>
    <w:tmpl w:val="C670335A"/>
    <w:lvl w:ilvl="0">
      <w:start w:val="25"/>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1AF853B8"/>
    <w:multiLevelType w:val="hybridMultilevel"/>
    <w:tmpl w:val="E430BF60"/>
    <w:lvl w:ilvl="0" w:tplc="09DEFDD8">
      <w:start w:val="1"/>
      <w:numFmt w:val="lowerRoman"/>
      <w:lvlText w:val="(%1)"/>
      <w:lvlJc w:val="left"/>
      <w:pPr>
        <w:ind w:left="3207" w:hanging="72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0">
    <w:nsid w:val="1BFE2491"/>
    <w:multiLevelType w:val="hybridMultilevel"/>
    <w:tmpl w:val="F7B47CB8"/>
    <w:lvl w:ilvl="0" w:tplc="E5D008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1E986962"/>
    <w:multiLevelType w:val="hybridMultilevel"/>
    <w:tmpl w:val="B4244DA2"/>
    <w:lvl w:ilvl="0" w:tplc="B40CCC5E">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nsid w:val="1F820280"/>
    <w:multiLevelType w:val="hybridMultilevel"/>
    <w:tmpl w:val="813E88E4"/>
    <w:lvl w:ilvl="0" w:tplc="D4A2E5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0AC288B"/>
    <w:multiLevelType w:val="hybridMultilevel"/>
    <w:tmpl w:val="9D6A879C"/>
    <w:lvl w:ilvl="0" w:tplc="5E14A072">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3AD51FB"/>
    <w:multiLevelType w:val="hybridMultilevel"/>
    <w:tmpl w:val="CA00EF9A"/>
    <w:lvl w:ilvl="0" w:tplc="95CA12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263E5FD2"/>
    <w:multiLevelType w:val="hybridMultilevel"/>
    <w:tmpl w:val="4ED6D626"/>
    <w:lvl w:ilvl="0" w:tplc="0324ED08">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A74EBC"/>
    <w:multiLevelType w:val="hybridMultilevel"/>
    <w:tmpl w:val="194E3F4A"/>
    <w:lvl w:ilvl="0" w:tplc="D30C1D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8C7523"/>
    <w:multiLevelType w:val="hybridMultilevel"/>
    <w:tmpl w:val="19DA1824"/>
    <w:lvl w:ilvl="0" w:tplc="997812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32F409CE"/>
    <w:multiLevelType w:val="hybridMultilevel"/>
    <w:tmpl w:val="4D1EDB64"/>
    <w:lvl w:ilvl="0" w:tplc="8668BA1C">
      <w:start w:val="1"/>
      <w:numFmt w:val="decimal"/>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20">
    <w:nsid w:val="342B1A0D"/>
    <w:multiLevelType w:val="hybridMultilevel"/>
    <w:tmpl w:val="AE36F240"/>
    <w:lvl w:ilvl="0" w:tplc="FA9A9C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37365AE2"/>
    <w:multiLevelType w:val="hybridMultilevel"/>
    <w:tmpl w:val="6DE2DCB4"/>
    <w:lvl w:ilvl="0" w:tplc="3B42C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F30BD9"/>
    <w:multiLevelType w:val="hybridMultilevel"/>
    <w:tmpl w:val="E626F8EC"/>
    <w:lvl w:ilvl="0" w:tplc="DB20F18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3C7C25A9"/>
    <w:multiLevelType w:val="hybridMultilevel"/>
    <w:tmpl w:val="D3DAD0BA"/>
    <w:lvl w:ilvl="0" w:tplc="FF8E8020">
      <w:start w:val="1"/>
      <w:numFmt w:val="lowerLetter"/>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nsid w:val="3F1A17D5"/>
    <w:multiLevelType w:val="multilevel"/>
    <w:tmpl w:val="F282FD92"/>
    <w:lvl w:ilvl="0">
      <w:start w:val="24"/>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408C6CA9"/>
    <w:multiLevelType w:val="multilevel"/>
    <w:tmpl w:val="55EA465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41BF043B"/>
    <w:multiLevelType w:val="hybridMultilevel"/>
    <w:tmpl w:val="803ABF32"/>
    <w:lvl w:ilvl="0" w:tplc="8F2AE788">
      <w:start w:val="1"/>
      <w:numFmt w:val="decimal"/>
      <w:lvlText w:val="%1."/>
      <w:lvlJc w:val="left"/>
      <w:pPr>
        <w:ind w:left="1500" w:hanging="1140"/>
      </w:pPr>
      <w:rPr>
        <w:rFonts w:ascii="Arial" w:hAnsi="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58522E"/>
    <w:multiLevelType w:val="multilevel"/>
    <w:tmpl w:val="D004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DA2A24"/>
    <w:multiLevelType w:val="hybridMultilevel"/>
    <w:tmpl w:val="E65E52B4"/>
    <w:lvl w:ilvl="0" w:tplc="4A9468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5FA4905"/>
    <w:multiLevelType w:val="hybridMultilevel"/>
    <w:tmpl w:val="A8EE2FB0"/>
    <w:lvl w:ilvl="0" w:tplc="367C826A">
      <w:start w:val="1"/>
      <w:numFmt w:val="lowerLetter"/>
      <w:lvlText w:val="(%1)"/>
      <w:lvlJc w:val="left"/>
      <w:pPr>
        <w:ind w:left="2423" w:hanging="58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nsid w:val="512E0FA4"/>
    <w:multiLevelType w:val="hybridMultilevel"/>
    <w:tmpl w:val="885A8D3A"/>
    <w:lvl w:ilvl="0" w:tplc="68CA984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531934DD"/>
    <w:multiLevelType w:val="hybridMultilevel"/>
    <w:tmpl w:val="522C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8B3274"/>
    <w:multiLevelType w:val="hybridMultilevel"/>
    <w:tmpl w:val="5908F490"/>
    <w:lvl w:ilvl="0" w:tplc="CFA2F6F4">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542317A5"/>
    <w:multiLevelType w:val="multilevel"/>
    <w:tmpl w:val="851ADC2E"/>
    <w:lvl w:ilvl="0">
      <w:start w:val="13"/>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598A5E6D"/>
    <w:multiLevelType w:val="hybridMultilevel"/>
    <w:tmpl w:val="57FAA452"/>
    <w:lvl w:ilvl="0" w:tplc="6D06F940">
      <w:start w:val="1"/>
      <w:numFmt w:val="lowerLetter"/>
      <w:lvlText w:val="(%1)"/>
      <w:lvlJc w:val="left"/>
      <w:pPr>
        <w:ind w:left="1080" w:hanging="360"/>
      </w:pPr>
      <w:rPr>
        <w:rFonts w:hint="default"/>
        <w:b w:val="0"/>
        <w:i/>
        <w:iCs/>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B440D2A"/>
    <w:multiLevelType w:val="hybridMultilevel"/>
    <w:tmpl w:val="71A66268"/>
    <w:lvl w:ilvl="0" w:tplc="2D384BC6">
      <w:start w:val="1"/>
      <w:numFmt w:val="lowerLetter"/>
      <w:lvlText w:val="(%1)"/>
      <w:lvlJc w:val="left"/>
      <w:pPr>
        <w:ind w:left="2516" w:hanging="360"/>
      </w:pPr>
      <w:rPr>
        <w:rFonts w:hint="default"/>
      </w:rPr>
    </w:lvl>
    <w:lvl w:ilvl="1" w:tplc="08090019" w:tentative="1">
      <w:start w:val="1"/>
      <w:numFmt w:val="lowerLetter"/>
      <w:lvlText w:val="%2."/>
      <w:lvlJc w:val="left"/>
      <w:pPr>
        <w:ind w:left="3236" w:hanging="360"/>
      </w:pPr>
    </w:lvl>
    <w:lvl w:ilvl="2" w:tplc="0809001B" w:tentative="1">
      <w:start w:val="1"/>
      <w:numFmt w:val="lowerRoman"/>
      <w:lvlText w:val="%3."/>
      <w:lvlJc w:val="right"/>
      <w:pPr>
        <w:ind w:left="3956" w:hanging="180"/>
      </w:pPr>
    </w:lvl>
    <w:lvl w:ilvl="3" w:tplc="0809000F" w:tentative="1">
      <w:start w:val="1"/>
      <w:numFmt w:val="decimal"/>
      <w:lvlText w:val="%4."/>
      <w:lvlJc w:val="left"/>
      <w:pPr>
        <w:ind w:left="4676" w:hanging="360"/>
      </w:pPr>
    </w:lvl>
    <w:lvl w:ilvl="4" w:tplc="08090019" w:tentative="1">
      <w:start w:val="1"/>
      <w:numFmt w:val="lowerLetter"/>
      <w:lvlText w:val="%5."/>
      <w:lvlJc w:val="left"/>
      <w:pPr>
        <w:ind w:left="5396" w:hanging="360"/>
      </w:pPr>
    </w:lvl>
    <w:lvl w:ilvl="5" w:tplc="0809001B" w:tentative="1">
      <w:start w:val="1"/>
      <w:numFmt w:val="lowerRoman"/>
      <w:lvlText w:val="%6."/>
      <w:lvlJc w:val="right"/>
      <w:pPr>
        <w:ind w:left="6116" w:hanging="180"/>
      </w:pPr>
    </w:lvl>
    <w:lvl w:ilvl="6" w:tplc="0809000F" w:tentative="1">
      <w:start w:val="1"/>
      <w:numFmt w:val="decimal"/>
      <w:lvlText w:val="%7."/>
      <w:lvlJc w:val="left"/>
      <w:pPr>
        <w:ind w:left="6836" w:hanging="360"/>
      </w:pPr>
    </w:lvl>
    <w:lvl w:ilvl="7" w:tplc="08090019" w:tentative="1">
      <w:start w:val="1"/>
      <w:numFmt w:val="lowerLetter"/>
      <w:lvlText w:val="%8."/>
      <w:lvlJc w:val="left"/>
      <w:pPr>
        <w:ind w:left="7556" w:hanging="360"/>
      </w:pPr>
    </w:lvl>
    <w:lvl w:ilvl="8" w:tplc="0809001B" w:tentative="1">
      <w:start w:val="1"/>
      <w:numFmt w:val="lowerRoman"/>
      <w:lvlText w:val="%9."/>
      <w:lvlJc w:val="right"/>
      <w:pPr>
        <w:ind w:left="8276" w:hanging="180"/>
      </w:pPr>
    </w:lvl>
  </w:abstractNum>
  <w:abstractNum w:abstractNumId="36">
    <w:nsid w:val="5B591D29"/>
    <w:multiLevelType w:val="hybridMultilevel"/>
    <w:tmpl w:val="5C5837DC"/>
    <w:lvl w:ilvl="0" w:tplc="045469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E1513A5"/>
    <w:multiLevelType w:val="hybridMultilevel"/>
    <w:tmpl w:val="50DED732"/>
    <w:lvl w:ilvl="0" w:tplc="07A0C2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893A2F"/>
    <w:multiLevelType w:val="multilevel"/>
    <w:tmpl w:val="CBAE9070"/>
    <w:lvl w:ilvl="0">
      <w:start w:val="16"/>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60D753CE"/>
    <w:multiLevelType w:val="hybridMultilevel"/>
    <w:tmpl w:val="40209E4C"/>
    <w:lvl w:ilvl="0" w:tplc="F8403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185561"/>
    <w:multiLevelType w:val="hybridMultilevel"/>
    <w:tmpl w:val="A36845E4"/>
    <w:lvl w:ilvl="0" w:tplc="6B9A76A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5CC0D7B"/>
    <w:multiLevelType w:val="hybridMultilevel"/>
    <w:tmpl w:val="BCDCB998"/>
    <w:lvl w:ilvl="0" w:tplc="CFD25986">
      <w:start w:val="1"/>
      <w:numFmt w:val="lowerRoman"/>
      <w:lvlText w:val="(%1)"/>
      <w:lvlJc w:val="left"/>
      <w:pPr>
        <w:ind w:left="1800" w:hanging="72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7894D93"/>
    <w:multiLevelType w:val="hybridMultilevel"/>
    <w:tmpl w:val="F29838EA"/>
    <w:lvl w:ilvl="0" w:tplc="CFC8DD00">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67CD6C1E"/>
    <w:multiLevelType w:val="hybridMultilevel"/>
    <w:tmpl w:val="53148F2C"/>
    <w:lvl w:ilvl="0" w:tplc="3042DE6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68B959DB"/>
    <w:multiLevelType w:val="hybridMultilevel"/>
    <w:tmpl w:val="6EB8100C"/>
    <w:lvl w:ilvl="0" w:tplc="AAE0F8DA">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75284D5C"/>
    <w:multiLevelType w:val="hybridMultilevel"/>
    <w:tmpl w:val="9D323346"/>
    <w:lvl w:ilvl="0" w:tplc="10864D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77206942"/>
    <w:multiLevelType w:val="hybridMultilevel"/>
    <w:tmpl w:val="4F803DB0"/>
    <w:lvl w:ilvl="0" w:tplc="8DAED57A">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nsid w:val="794A669B"/>
    <w:multiLevelType w:val="hybridMultilevel"/>
    <w:tmpl w:val="C798992C"/>
    <w:lvl w:ilvl="0" w:tplc="0190563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25"/>
  </w:num>
  <w:num w:numId="3">
    <w:abstractNumId w:val="33"/>
  </w:num>
  <w:num w:numId="4">
    <w:abstractNumId w:val="38"/>
  </w:num>
  <w:num w:numId="5">
    <w:abstractNumId w:val="24"/>
  </w:num>
  <w:num w:numId="6">
    <w:abstractNumId w:val="8"/>
  </w:num>
  <w:num w:numId="7">
    <w:abstractNumId w:val="37"/>
  </w:num>
  <w:num w:numId="8">
    <w:abstractNumId w:val="46"/>
  </w:num>
  <w:num w:numId="9">
    <w:abstractNumId w:val="2"/>
  </w:num>
  <w:num w:numId="10">
    <w:abstractNumId w:val="26"/>
  </w:num>
  <w:num w:numId="11">
    <w:abstractNumId w:val="10"/>
  </w:num>
  <w:num w:numId="12">
    <w:abstractNumId w:val="45"/>
  </w:num>
  <w:num w:numId="13">
    <w:abstractNumId w:val="35"/>
  </w:num>
  <w:num w:numId="14">
    <w:abstractNumId w:val="23"/>
  </w:num>
  <w:num w:numId="15">
    <w:abstractNumId w:val="32"/>
  </w:num>
  <w:num w:numId="16">
    <w:abstractNumId w:val="19"/>
  </w:num>
  <w:num w:numId="17">
    <w:abstractNumId w:val="13"/>
  </w:num>
  <w:num w:numId="18">
    <w:abstractNumId w:val="18"/>
  </w:num>
  <w:num w:numId="19">
    <w:abstractNumId w:val="0"/>
  </w:num>
  <w:num w:numId="20">
    <w:abstractNumId w:val="14"/>
  </w:num>
  <w:num w:numId="21">
    <w:abstractNumId w:val="11"/>
  </w:num>
  <w:num w:numId="22">
    <w:abstractNumId w:val="9"/>
  </w:num>
  <w:num w:numId="23">
    <w:abstractNumId w:val="15"/>
  </w:num>
  <w:num w:numId="24">
    <w:abstractNumId w:val="20"/>
  </w:num>
  <w:num w:numId="25">
    <w:abstractNumId w:val="29"/>
  </w:num>
  <w:num w:numId="26">
    <w:abstractNumId w:val="31"/>
  </w:num>
  <w:num w:numId="27">
    <w:abstractNumId w:val="21"/>
  </w:num>
  <w:num w:numId="28">
    <w:abstractNumId w:val="27"/>
  </w:num>
  <w:num w:numId="29">
    <w:abstractNumId w:val="7"/>
  </w:num>
  <w:num w:numId="30">
    <w:abstractNumId w:val="12"/>
  </w:num>
  <w:num w:numId="31">
    <w:abstractNumId w:val="28"/>
  </w:num>
  <w:num w:numId="32">
    <w:abstractNumId w:val="36"/>
  </w:num>
  <w:num w:numId="33">
    <w:abstractNumId w:val="44"/>
  </w:num>
  <w:num w:numId="34">
    <w:abstractNumId w:val="40"/>
  </w:num>
  <w:num w:numId="35">
    <w:abstractNumId w:val="6"/>
  </w:num>
  <w:num w:numId="36">
    <w:abstractNumId w:val="22"/>
  </w:num>
  <w:num w:numId="37">
    <w:abstractNumId w:val="34"/>
  </w:num>
  <w:num w:numId="38">
    <w:abstractNumId w:val="30"/>
  </w:num>
  <w:num w:numId="39">
    <w:abstractNumId w:val="47"/>
  </w:num>
  <w:num w:numId="40">
    <w:abstractNumId w:val="41"/>
  </w:num>
  <w:num w:numId="41">
    <w:abstractNumId w:val="39"/>
  </w:num>
  <w:num w:numId="42">
    <w:abstractNumId w:val="17"/>
  </w:num>
  <w:num w:numId="43">
    <w:abstractNumId w:val="4"/>
  </w:num>
  <w:num w:numId="44">
    <w:abstractNumId w:val="3"/>
  </w:num>
  <w:num w:numId="45">
    <w:abstractNumId w:val="43"/>
  </w:num>
  <w:num w:numId="46">
    <w:abstractNumId w:val="42"/>
  </w:num>
  <w:num w:numId="47">
    <w:abstractNumId w:val="5"/>
  </w:num>
  <w:num w:numId="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CD"/>
    <w:rsid w:val="0000089A"/>
    <w:rsid w:val="00001106"/>
    <w:rsid w:val="000016A6"/>
    <w:rsid w:val="00001814"/>
    <w:rsid w:val="00001A42"/>
    <w:rsid w:val="0000260F"/>
    <w:rsid w:val="00002A8A"/>
    <w:rsid w:val="000039C8"/>
    <w:rsid w:val="00003F43"/>
    <w:rsid w:val="000045F6"/>
    <w:rsid w:val="0000499B"/>
    <w:rsid w:val="00005065"/>
    <w:rsid w:val="000056CE"/>
    <w:rsid w:val="0000574D"/>
    <w:rsid w:val="00005979"/>
    <w:rsid w:val="0000598F"/>
    <w:rsid w:val="00005C02"/>
    <w:rsid w:val="00006630"/>
    <w:rsid w:val="00006FB0"/>
    <w:rsid w:val="000077E9"/>
    <w:rsid w:val="0000794A"/>
    <w:rsid w:val="0001056C"/>
    <w:rsid w:val="000105BF"/>
    <w:rsid w:val="0001073A"/>
    <w:rsid w:val="0001077F"/>
    <w:rsid w:val="0001131B"/>
    <w:rsid w:val="000116C3"/>
    <w:rsid w:val="00011A1C"/>
    <w:rsid w:val="000124AB"/>
    <w:rsid w:val="000125D6"/>
    <w:rsid w:val="000126D1"/>
    <w:rsid w:val="000128DC"/>
    <w:rsid w:val="0001366A"/>
    <w:rsid w:val="000136C6"/>
    <w:rsid w:val="0001393D"/>
    <w:rsid w:val="00013D4C"/>
    <w:rsid w:val="000150D8"/>
    <w:rsid w:val="000150ED"/>
    <w:rsid w:val="0001521C"/>
    <w:rsid w:val="0001730C"/>
    <w:rsid w:val="000204E5"/>
    <w:rsid w:val="000205B7"/>
    <w:rsid w:val="00020ACE"/>
    <w:rsid w:val="00020C62"/>
    <w:rsid w:val="00021891"/>
    <w:rsid w:val="0002229E"/>
    <w:rsid w:val="00022AC8"/>
    <w:rsid w:val="00023631"/>
    <w:rsid w:val="00023C06"/>
    <w:rsid w:val="00024C9A"/>
    <w:rsid w:val="00026D91"/>
    <w:rsid w:val="0002730F"/>
    <w:rsid w:val="00027497"/>
    <w:rsid w:val="000308C0"/>
    <w:rsid w:val="00030E84"/>
    <w:rsid w:val="000315D8"/>
    <w:rsid w:val="00032153"/>
    <w:rsid w:val="00032A36"/>
    <w:rsid w:val="00033D7F"/>
    <w:rsid w:val="00033E3B"/>
    <w:rsid w:val="0003419C"/>
    <w:rsid w:val="00035928"/>
    <w:rsid w:val="0003607B"/>
    <w:rsid w:val="00036579"/>
    <w:rsid w:val="00037516"/>
    <w:rsid w:val="000405C4"/>
    <w:rsid w:val="00041120"/>
    <w:rsid w:val="00042B6F"/>
    <w:rsid w:val="000430DD"/>
    <w:rsid w:val="000450B4"/>
    <w:rsid w:val="0004709F"/>
    <w:rsid w:val="000477AA"/>
    <w:rsid w:val="00047B83"/>
    <w:rsid w:val="00047D26"/>
    <w:rsid w:val="00050381"/>
    <w:rsid w:val="00050C22"/>
    <w:rsid w:val="00050CAB"/>
    <w:rsid w:val="00051563"/>
    <w:rsid w:val="00051B1E"/>
    <w:rsid w:val="00051D1C"/>
    <w:rsid w:val="00052329"/>
    <w:rsid w:val="00053948"/>
    <w:rsid w:val="00053E97"/>
    <w:rsid w:val="00053F38"/>
    <w:rsid w:val="00054118"/>
    <w:rsid w:val="00054A93"/>
    <w:rsid w:val="00054C64"/>
    <w:rsid w:val="00054E0F"/>
    <w:rsid w:val="000566F3"/>
    <w:rsid w:val="00057275"/>
    <w:rsid w:val="00057B6D"/>
    <w:rsid w:val="0006022D"/>
    <w:rsid w:val="00062210"/>
    <w:rsid w:val="00063B7F"/>
    <w:rsid w:val="00063E4B"/>
    <w:rsid w:val="00064045"/>
    <w:rsid w:val="00065136"/>
    <w:rsid w:val="000653A5"/>
    <w:rsid w:val="00065812"/>
    <w:rsid w:val="00065DB9"/>
    <w:rsid w:val="00065F93"/>
    <w:rsid w:val="00066E05"/>
    <w:rsid w:val="00066E7A"/>
    <w:rsid w:val="0007038D"/>
    <w:rsid w:val="00070990"/>
    <w:rsid w:val="00073780"/>
    <w:rsid w:val="00073888"/>
    <w:rsid w:val="0007573C"/>
    <w:rsid w:val="00076387"/>
    <w:rsid w:val="000766F5"/>
    <w:rsid w:val="0007750B"/>
    <w:rsid w:val="00077C6D"/>
    <w:rsid w:val="0008016D"/>
    <w:rsid w:val="00080798"/>
    <w:rsid w:val="0008094C"/>
    <w:rsid w:val="00080DF2"/>
    <w:rsid w:val="00081C7B"/>
    <w:rsid w:val="0008272D"/>
    <w:rsid w:val="00082BFB"/>
    <w:rsid w:val="00082C6E"/>
    <w:rsid w:val="000830AE"/>
    <w:rsid w:val="00085029"/>
    <w:rsid w:val="00085290"/>
    <w:rsid w:val="000858AD"/>
    <w:rsid w:val="00085F97"/>
    <w:rsid w:val="00090A55"/>
    <w:rsid w:val="00091988"/>
    <w:rsid w:val="000928A2"/>
    <w:rsid w:val="00092EFB"/>
    <w:rsid w:val="00093027"/>
    <w:rsid w:val="0009446B"/>
    <w:rsid w:val="00094A0F"/>
    <w:rsid w:val="00094C9F"/>
    <w:rsid w:val="0009509F"/>
    <w:rsid w:val="000950C4"/>
    <w:rsid w:val="000952DF"/>
    <w:rsid w:val="00095416"/>
    <w:rsid w:val="000968AE"/>
    <w:rsid w:val="00097A3E"/>
    <w:rsid w:val="000A0A01"/>
    <w:rsid w:val="000A1629"/>
    <w:rsid w:val="000A1710"/>
    <w:rsid w:val="000A1882"/>
    <w:rsid w:val="000A1F88"/>
    <w:rsid w:val="000A2A61"/>
    <w:rsid w:val="000A3D4E"/>
    <w:rsid w:val="000A43E7"/>
    <w:rsid w:val="000A47B2"/>
    <w:rsid w:val="000A4A55"/>
    <w:rsid w:val="000A56DA"/>
    <w:rsid w:val="000A5825"/>
    <w:rsid w:val="000A6666"/>
    <w:rsid w:val="000A6B9E"/>
    <w:rsid w:val="000A6BEF"/>
    <w:rsid w:val="000A6D6A"/>
    <w:rsid w:val="000A7C17"/>
    <w:rsid w:val="000A7EE0"/>
    <w:rsid w:val="000B03C3"/>
    <w:rsid w:val="000B047B"/>
    <w:rsid w:val="000B20B5"/>
    <w:rsid w:val="000B4880"/>
    <w:rsid w:val="000B4BA0"/>
    <w:rsid w:val="000B582F"/>
    <w:rsid w:val="000B60E4"/>
    <w:rsid w:val="000B6535"/>
    <w:rsid w:val="000B6D7A"/>
    <w:rsid w:val="000C27B6"/>
    <w:rsid w:val="000C2B48"/>
    <w:rsid w:val="000C3F93"/>
    <w:rsid w:val="000C41CD"/>
    <w:rsid w:val="000C4ADB"/>
    <w:rsid w:val="000C4B5A"/>
    <w:rsid w:val="000C5FC5"/>
    <w:rsid w:val="000C626A"/>
    <w:rsid w:val="000C64F7"/>
    <w:rsid w:val="000C73E6"/>
    <w:rsid w:val="000C77EC"/>
    <w:rsid w:val="000D010E"/>
    <w:rsid w:val="000D0479"/>
    <w:rsid w:val="000D079D"/>
    <w:rsid w:val="000D0C13"/>
    <w:rsid w:val="000D1B40"/>
    <w:rsid w:val="000D1E3C"/>
    <w:rsid w:val="000D2340"/>
    <w:rsid w:val="000D24A6"/>
    <w:rsid w:val="000D3668"/>
    <w:rsid w:val="000D3BF6"/>
    <w:rsid w:val="000D438A"/>
    <w:rsid w:val="000D43CF"/>
    <w:rsid w:val="000D52AE"/>
    <w:rsid w:val="000D5B39"/>
    <w:rsid w:val="000D63BE"/>
    <w:rsid w:val="000E0887"/>
    <w:rsid w:val="000E0991"/>
    <w:rsid w:val="000E167B"/>
    <w:rsid w:val="000E1903"/>
    <w:rsid w:val="000E1F4C"/>
    <w:rsid w:val="000E22AA"/>
    <w:rsid w:val="000E2899"/>
    <w:rsid w:val="000E2A17"/>
    <w:rsid w:val="000E301B"/>
    <w:rsid w:val="000E3694"/>
    <w:rsid w:val="000E5315"/>
    <w:rsid w:val="000E5AD6"/>
    <w:rsid w:val="000E5C40"/>
    <w:rsid w:val="000E683B"/>
    <w:rsid w:val="000E6B74"/>
    <w:rsid w:val="000F0CEA"/>
    <w:rsid w:val="000F158D"/>
    <w:rsid w:val="000F2B16"/>
    <w:rsid w:val="000F30EF"/>
    <w:rsid w:val="000F479E"/>
    <w:rsid w:val="000F4893"/>
    <w:rsid w:val="000F49B3"/>
    <w:rsid w:val="000F509F"/>
    <w:rsid w:val="000F557E"/>
    <w:rsid w:val="000F5D27"/>
    <w:rsid w:val="000F6000"/>
    <w:rsid w:val="001010A2"/>
    <w:rsid w:val="00101736"/>
    <w:rsid w:val="00102992"/>
    <w:rsid w:val="00103A13"/>
    <w:rsid w:val="001042C5"/>
    <w:rsid w:val="0010530A"/>
    <w:rsid w:val="0010578D"/>
    <w:rsid w:val="001059B3"/>
    <w:rsid w:val="00105B05"/>
    <w:rsid w:val="00105BB8"/>
    <w:rsid w:val="00105F89"/>
    <w:rsid w:val="0010603B"/>
    <w:rsid w:val="00106085"/>
    <w:rsid w:val="0010623C"/>
    <w:rsid w:val="0010709E"/>
    <w:rsid w:val="001076D4"/>
    <w:rsid w:val="00107C07"/>
    <w:rsid w:val="001102F3"/>
    <w:rsid w:val="00111308"/>
    <w:rsid w:val="00111336"/>
    <w:rsid w:val="001116B0"/>
    <w:rsid w:val="001129BC"/>
    <w:rsid w:val="00112E02"/>
    <w:rsid w:val="00113347"/>
    <w:rsid w:val="001134AF"/>
    <w:rsid w:val="0011529D"/>
    <w:rsid w:val="00115362"/>
    <w:rsid w:val="0011538B"/>
    <w:rsid w:val="00115682"/>
    <w:rsid w:val="001156C0"/>
    <w:rsid w:val="00115E1C"/>
    <w:rsid w:val="0011651C"/>
    <w:rsid w:val="00116867"/>
    <w:rsid w:val="00116971"/>
    <w:rsid w:val="00117478"/>
    <w:rsid w:val="00117C3D"/>
    <w:rsid w:val="0012016B"/>
    <w:rsid w:val="00121482"/>
    <w:rsid w:val="001214AF"/>
    <w:rsid w:val="00121AB1"/>
    <w:rsid w:val="00122B47"/>
    <w:rsid w:val="00123B9E"/>
    <w:rsid w:val="00126593"/>
    <w:rsid w:val="0013006D"/>
    <w:rsid w:val="0013199A"/>
    <w:rsid w:val="00131A0F"/>
    <w:rsid w:val="00131F1C"/>
    <w:rsid w:val="0013299A"/>
    <w:rsid w:val="0013375A"/>
    <w:rsid w:val="00135A45"/>
    <w:rsid w:val="00135E56"/>
    <w:rsid w:val="00136360"/>
    <w:rsid w:val="001363E4"/>
    <w:rsid w:val="001364D6"/>
    <w:rsid w:val="0013699C"/>
    <w:rsid w:val="0014020E"/>
    <w:rsid w:val="00140317"/>
    <w:rsid w:val="00140773"/>
    <w:rsid w:val="00142A50"/>
    <w:rsid w:val="001433B2"/>
    <w:rsid w:val="00143520"/>
    <w:rsid w:val="00143724"/>
    <w:rsid w:val="00144536"/>
    <w:rsid w:val="00145065"/>
    <w:rsid w:val="00146B38"/>
    <w:rsid w:val="00146FF5"/>
    <w:rsid w:val="00151396"/>
    <w:rsid w:val="0015157D"/>
    <w:rsid w:val="00151DF5"/>
    <w:rsid w:val="001525A9"/>
    <w:rsid w:val="001527E9"/>
    <w:rsid w:val="001534E0"/>
    <w:rsid w:val="00153FE6"/>
    <w:rsid w:val="001554DD"/>
    <w:rsid w:val="0015588B"/>
    <w:rsid w:val="001566D4"/>
    <w:rsid w:val="00156A86"/>
    <w:rsid w:val="00156C59"/>
    <w:rsid w:val="00157023"/>
    <w:rsid w:val="0015702C"/>
    <w:rsid w:val="0015773B"/>
    <w:rsid w:val="001579B6"/>
    <w:rsid w:val="00160411"/>
    <w:rsid w:val="00160758"/>
    <w:rsid w:val="00160815"/>
    <w:rsid w:val="00163337"/>
    <w:rsid w:val="00163359"/>
    <w:rsid w:val="0016374D"/>
    <w:rsid w:val="0016437F"/>
    <w:rsid w:val="0016439A"/>
    <w:rsid w:val="0016472B"/>
    <w:rsid w:val="00164E1E"/>
    <w:rsid w:val="00165387"/>
    <w:rsid w:val="0016545F"/>
    <w:rsid w:val="001658B5"/>
    <w:rsid w:val="0016661A"/>
    <w:rsid w:val="00167644"/>
    <w:rsid w:val="001704BF"/>
    <w:rsid w:val="001705DB"/>
    <w:rsid w:val="0017195E"/>
    <w:rsid w:val="00171B61"/>
    <w:rsid w:val="00171F16"/>
    <w:rsid w:val="00172623"/>
    <w:rsid w:val="00172863"/>
    <w:rsid w:val="00173DD6"/>
    <w:rsid w:val="00173E51"/>
    <w:rsid w:val="00174594"/>
    <w:rsid w:val="00174B98"/>
    <w:rsid w:val="001753BC"/>
    <w:rsid w:val="001759E2"/>
    <w:rsid w:val="00176524"/>
    <w:rsid w:val="0017737D"/>
    <w:rsid w:val="001777E0"/>
    <w:rsid w:val="00177ADD"/>
    <w:rsid w:val="00181192"/>
    <w:rsid w:val="00181306"/>
    <w:rsid w:val="00181916"/>
    <w:rsid w:val="0018274E"/>
    <w:rsid w:val="00182C22"/>
    <w:rsid w:val="00182FCC"/>
    <w:rsid w:val="001846B7"/>
    <w:rsid w:val="001856DA"/>
    <w:rsid w:val="0018654D"/>
    <w:rsid w:val="00191479"/>
    <w:rsid w:val="00191DE6"/>
    <w:rsid w:val="00193423"/>
    <w:rsid w:val="0019389C"/>
    <w:rsid w:val="00193AFC"/>
    <w:rsid w:val="00193C9E"/>
    <w:rsid w:val="001941F8"/>
    <w:rsid w:val="001956F9"/>
    <w:rsid w:val="0019666E"/>
    <w:rsid w:val="00196741"/>
    <w:rsid w:val="00196A77"/>
    <w:rsid w:val="00196B55"/>
    <w:rsid w:val="00196ED5"/>
    <w:rsid w:val="0019703B"/>
    <w:rsid w:val="001970E3"/>
    <w:rsid w:val="001971CE"/>
    <w:rsid w:val="001A01EF"/>
    <w:rsid w:val="001A4EED"/>
    <w:rsid w:val="001A70AB"/>
    <w:rsid w:val="001B0698"/>
    <w:rsid w:val="001B07C9"/>
    <w:rsid w:val="001B086F"/>
    <w:rsid w:val="001B0C18"/>
    <w:rsid w:val="001B1A78"/>
    <w:rsid w:val="001B2083"/>
    <w:rsid w:val="001B24BE"/>
    <w:rsid w:val="001B2A44"/>
    <w:rsid w:val="001B3486"/>
    <w:rsid w:val="001B4081"/>
    <w:rsid w:val="001B4CA6"/>
    <w:rsid w:val="001B55EE"/>
    <w:rsid w:val="001B5634"/>
    <w:rsid w:val="001B7D65"/>
    <w:rsid w:val="001C0C7F"/>
    <w:rsid w:val="001C197A"/>
    <w:rsid w:val="001C2585"/>
    <w:rsid w:val="001C3560"/>
    <w:rsid w:val="001C3C65"/>
    <w:rsid w:val="001C4767"/>
    <w:rsid w:val="001C4B04"/>
    <w:rsid w:val="001C4BA2"/>
    <w:rsid w:val="001C5B29"/>
    <w:rsid w:val="001C62E9"/>
    <w:rsid w:val="001C6348"/>
    <w:rsid w:val="001C6B94"/>
    <w:rsid w:val="001C6F2C"/>
    <w:rsid w:val="001D081A"/>
    <w:rsid w:val="001D1277"/>
    <w:rsid w:val="001D2D1D"/>
    <w:rsid w:val="001D4095"/>
    <w:rsid w:val="001D6925"/>
    <w:rsid w:val="001D7C10"/>
    <w:rsid w:val="001E09AC"/>
    <w:rsid w:val="001E2AC5"/>
    <w:rsid w:val="001E2CA4"/>
    <w:rsid w:val="001E2F1C"/>
    <w:rsid w:val="001E30D1"/>
    <w:rsid w:val="001E3133"/>
    <w:rsid w:val="001E3169"/>
    <w:rsid w:val="001E3DBB"/>
    <w:rsid w:val="001E5882"/>
    <w:rsid w:val="001E5ECD"/>
    <w:rsid w:val="001E6A08"/>
    <w:rsid w:val="001F0899"/>
    <w:rsid w:val="001F1313"/>
    <w:rsid w:val="001F20F2"/>
    <w:rsid w:val="001F24FD"/>
    <w:rsid w:val="001F561E"/>
    <w:rsid w:val="001F5CBD"/>
    <w:rsid w:val="001F61BF"/>
    <w:rsid w:val="001F6779"/>
    <w:rsid w:val="001F6E2A"/>
    <w:rsid w:val="001F6FF4"/>
    <w:rsid w:val="00200600"/>
    <w:rsid w:val="0020138A"/>
    <w:rsid w:val="00202C6B"/>
    <w:rsid w:val="0020323F"/>
    <w:rsid w:val="00203735"/>
    <w:rsid w:val="00203770"/>
    <w:rsid w:val="00203807"/>
    <w:rsid w:val="00204FAF"/>
    <w:rsid w:val="0020537B"/>
    <w:rsid w:val="002053B9"/>
    <w:rsid w:val="00205535"/>
    <w:rsid w:val="00205781"/>
    <w:rsid w:val="00205E06"/>
    <w:rsid w:val="00206F1D"/>
    <w:rsid w:val="00207620"/>
    <w:rsid w:val="00207A02"/>
    <w:rsid w:val="00207F17"/>
    <w:rsid w:val="002105DF"/>
    <w:rsid w:val="00210C7A"/>
    <w:rsid w:val="002123D9"/>
    <w:rsid w:val="00213E67"/>
    <w:rsid w:val="00214260"/>
    <w:rsid w:val="00214A0B"/>
    <w:rsid w:val="0021532E"/>
    <w:rsid w:val="00215C28"/>
    <w:rsid w:val="0021601D"/>
    <w:rsid w:val="00216056"/>
    <w:rsid w:val="00216363"/>
    <w:rsid w:val="00220361"/>
    <w:rsid w:val="0022043E"/>
    <w:rsid w:val="002216F8"/>
    <w:rsid w:val="00221AD7"/>
    <w:rsid w:val="00223898"/>
    <w:rsid w:val="002238B2"/>
    <w:rsid w:val="002238BE"/>
    <w:rsid w:val="00223ACF"/>
    <w:rsid w:val="00223F44"/>
    <w:rsid w:val="00223F7A"/>
    <w:rsid w:val="002245DA"/>
    <w:rsid w:val="002247B0"/>
    <w:rsid w:val="0022531C"/>
    <w:rsid w:val="00225BD2"/>
    <w:rsid w:val="002279FA"/>
    <w:rsid w:val="002302A6"/>
    <w:rsid w:val="00232E84"/>
    <w:rsid w:val="002347EE"/>
    <w:rsid w:val="00234D5F"/>
    <w:rsid w:val="00234FE1"/>
    <w:rsid w:val="00235C91"/>
    <w:rsid w:val="00235C92"/>
    <w:rsid w:val="002370E3"/>
    <w:rsid w:val="002403A5"/>
    <w:rsid w:val="00240503"/>
    <w:rsid w:val="00240B3E"/>
    <w:rsid w:val="0024163D"/>
    <w:rsid w:val="00242291"/>
    <w:rsid w:val="002428E5"/>
    <w:rsid w:val="00243E7A"/>
    <w:rsid w:val="002440E8"/>
    <w:rsid w:val="0024421B"/>
    <w:rsid w:val="002442FD"/>
    <w:rsid w:val="002443B9"/>
    <w:rsid w:val="002449A3"/>
    <w:rsid w:val="00244FFA"/>
    <w:rsid w:val="002459CD"/>
    <w:rsid w:val="00246413"/>
    <w:rsid w:val="00246C05"/>
    <w:rsid w:val="00246D0D"/>
    <w:rsid w:val="00246F7F"/>
    <w:rsid w:val="00250CE5"/>
    <w:rsid w:val="0025118B"/>
    <w:rsid w:val="00251CEE"/>
    <w:rsid w:val="0025263E"/>
    <w:rsid w:val="00253E34"/>
    <w:rsid w:val="00254CF9"/>
    <w:rsid w:val="002565A0"/>
    <w:rsid w:val="00257E9D"/>
    <w:rsid w:val="0026071B"/>
    <w:rsid w:val="00260FC3"/>
    <w:rsid w:val="00261219"/>
    <w:rsid w:val="00262F1C"/>
    <w:rsid w:val="0026358E"/>
    <w:rsid w:val="00264F99"/>
    <w:rsid w:val="002655C9"/>
    <w:rsid w:val="00265EBF"/>
    <w:rsid w:val="002668E5"/>
    <w:rsid w:val="002669B6"/>
    <w:rsid w:val="00266FCC"/>
    <w:rsid w:val="002713AD"/>
    <w:rsid w:val="00272B02"/>
    <w:rsid w:val="002731D9"/>
    <w:rsid w:val="00274AD3"/>
    <w:rsid w:val="002758CE"/>
    <w:rsid w:val="0027599F"/>
    <w:rsid w:val="00275D8A"/>
    <w:rsid w:val="002768D1"/>
    <w:rsid w:val="002776AC"/>
    <w:rsid w:val="002777BA"/>
    <w:rsid w:val="002779D2"/>
    <w:rsid w:val="002801A8"/>
    <w:rsid w:val="00280513"/>
    <w:rsid w:val="00280793"/>
    <w:rsid w:val="00281038"/>
    <w:rsid w:val="002815B7"/>
    <w:rsid w:val="00281DF6"/>
    <w:rsid w:val="0028232E"/>
    <w:rsid w:val="00282D9D"/>
    <w:rsid w:val="00283A43"/>
    <w:rsid w:val="00284C97"/>
    <w:rsid w:val="00284DB1"/>
    <w:rsid w:val="00285074"/>
    <w:rsid w:val="002867FC"/>
    <w:rsid w:val="0028686D"/>
    <w:rsid w:val="002874C9"/>
    <w:rsid w:val="00290640"/>
    <w:rsid w:val="00290860"/>
    <w:rsid w:val="00291769"/>
    <w:rsid w:val="00291F25"/>
    <w:rsid w:val="00292045"/>
    <w:rsid w:val="00293AD6"/>
    <w:rsid w:val="00294315"/>
    <w:rsid w:val="002946DD"/>
    <w:rsid w:val="00294F57"/>
    <w:rsid w:val="00295A40"/>
    <w:rsid w:val="00295DD1"/>
    <w:rsid w:val="002966FA"/>
    <w:rsid w:val="00297DDE"/>
    <w:rsid w:val="002A027E"/>
    <w:rsid w:val="002A06B1"/>
    <w:rsid w:val="002A0797"/>
    <w:rsid w:val="002A0B89"/>
    <w:rsid w:val="002A1291"/>
    <w:rsid w:val="002A139C"/>
    <w:rsid w:val="002A1B3A"/>
    <w:rsid w:val="002A1DA1"/>
    <w:rsid w:val="002A213F"/>
    <w:rsid w:val="002A26B2"/>
    <w:rsid w:val="002A317E"/>
    <w:rsid w:val="002A36BD"/>
    <w:rsid w:val="002A5DE4"/>
    <w:rsid w:val="002A6B4A"/>
    <w:rsid w:val="002A73C7"/>
    <w:rsid w:val="002A751A"/>
    <w:rsid w:val="002B085D"/>
    <w:rsid w:val="002B0F6E"/>
    <w:rsid w:val="002B1C18"/>
    <w:rsid w:val="002B3331"/>
    <w:rsid w:val="002B4616"/>
    <w:rsid w:val="002B5138"/>
    <w:rsid w:val="002B5D21"/>
    <w:rsid w:val="002B5EEB"/>
    <w:rsid w:val="002B69BC"/>
    <w:rsid w:val="002B775C"/>
    <w:rsid w:val="002C082F"/>
    <w:rsid w:val="002C29F5"/>
    <w:rsid w:val="002C3478"/>
    <w:rsid w:val="002C3AE3"/>
    <w:rsid w:val="002C3C24"/>
    <w:rsid w:val="002C47B9"/>
    <w:rsid w:val="002C5C1A"/>
    <w:rsid w:val="002C5D50"/>
    <w:rsid w:val="002C60FE"/>
    <w:rsid w:val="002C68B0"/>
    <w:rsid w:val="002C7D7B"/>
    <w:rsid w:val="002C7F2C"/>
    <w:rsid w:val="002D12B2"/>
    <w:rsid w:val="002D4209"/>
    <w:rsid w:val="002D5CBB"/>
    <w:rsid w:val="002D5E4B"/>
    <w:rsid w:val="002D6040"/>
    <w:rsid w:val="002D6794"/>
    <w:rsid w:val="002D775B"/>
    <w:rsid w:val="002D7F62"/>
    <w:rsid w:val="002E17A0"/>
    <w:rsid w:val="002E1BA7"/>
    <w:rsid w:val="002E259D"/>
    <w:rsid w:val="002E2D99"/>
    <w:rsid w:val="002E3315"/>
    <w:rsid w:val="002E357C"/>
    <w:rsid w:val="002E4330"/>
    <w:rsid w:val="002E5118"/>
    <w:rsid w:val="002E5C42"/>
    <w:rsid w:val="002E6239"/>
    <w:rsid w:val="002E6CD9"/>
    <w:rsid w:val="002E74D9"/>
    <w:rsid w:val="002F0C99"/>
    <w:rsid w:val="002F130E"/>
    <w:rsid w:val="002F187D"/>
    <w:rsid w:val="002F32F4"/>
    <w:rsid w:val="002F34AA"/>
    <w:rsid w:val="002F3AA8"/>
    <w:rsid w:val="002F47D1"/>
    <w:rsid w:val="002F52C8"/>
    <w:rsid w:val="002F551D"/>
    <w:rsid w:val="002F567C"/>
    <w:rsid w:val="002F56EB"/>
    <w:rsid w:val="002F5719"/>
    <w:rsid w:val="002F573B"/>
    <w:rsid w:val="002F5C1B"/>
    <w:rsid w:val="002F618D"/>
    <w:rsid w:val="002F63A0"/>
    <w:rsid w:val="002F6464"/>
    <w:rsid w:val="002F712B"/>
    <w:rsid w:val="002F76A3"/>
    <w:rsid w:val="002F776D"/>
    <w:rsid w:val="002F7A55"/>
    <w:rsid w:val="00300186"/>
    <w:rsid w:val="003001E5"/>
    <w:rsid w:val="00300856"/>
    <w:rsid w:val="00301341"/>
    <w:rsid w:val="00303715"/>
    <w:rsid w:val="00304F5D"/>
    <w:rsid w:val="00305307"/>
    <w:rsid w:val="0030661A"/>
    <w:rsid w:val="00306C6E"/>
    <w:rsid w:val="00307169"/>
    <w:rsid w:val="00307D77"/>
    <w:rsid w:val="00310227"/>
    <w:rsid w:val="003105D1"/>
    <w:rsid w:val="003105E7"/>
    <w:rsid w:val="00310A49"/>
    <w:rsid w:val="00310FD9"/>
    <w:rsid w:val="00311661"/>
    <w:rsid w:val="00311756"/>
    <w:rsid w:val="00311C0A"/>
    <w:rsid w:val="003135AC"/>
    <w:rsid w:val="00313BA7"/>
    <w:rsid w:val="00313E8E"/>
    <w:rsid w:val="00313FA7"/>
    <w:rsid w:val="00314625"/>
    <w:rsid w:val="00314774"/>
    <w:rsid w:val="00314AE8"/>
    <w:rsid w:val="00315872"/>
    <w:rsid w:val="00315B2D"/>
    <w:rsid w:val="00315BFA"/>
    <w:rsid w:val="0031720A"/>
    <w:rsid w:val="003210BA"/>
    <w:rsid w:val="00321A2F"/>
    <w:rsid w:val="00321B54"/>
    <w:rsid w:val="003236FA"/>
    <w:rsid w:val="003237AF"/>
    <w:rsid w:val="00324379"/>
    <w:rsid w:val="00324933"/>
    <w:rsid w:val="003252F5"/>
    <w:rsid w:val="00325630"/>
    <w:rsid w:val="00326875"/>
    <w:rsid w:val="0032690B"/>
    <w:rsid w:val="00326D44"/>
    <w:rsid w:val="0032702A"/>
    <w:rsid w:val="00332047"/>
    <w:rsid w:val="003328AF"/>
    <w:rsid w:val="00332DBB"/>
    <w:rsid w:val="00333318"/>
    <w:rsid w:val="00333953"/>
    <w:rsid w:val="00333FF0"/>
    <w:rsid w:val="00334179"/>
    <w:rsid w:val="00335127"/>
    <w:rsid w:val="003353B7"/>
    <w:rsid w:val="00335A2E"/>
    <w:rsid w:val="00336454"/>
    <w:rsid w:val="00336463"/>
    <w:rsid w:val="00336782"/>
    <w:rsid w:val="00336DE0"/>
    <w:rsid w:val="00337754"/>
    <w:rsid w:val="00337E89"/>
    <w:rsid w:val="00340049"/>
    <w:rsid w:val="00340729"/>
    <w:rsid w:val="00340B23"/>
    <w:rsid w:val="00341411"/>
    <w:rsid w:val="00343147"/>
    <w:rsid w:val="003436F0"/>
    <w:rsid w:val="003452F5"/>
    <w:rsid w:val="0034553A"/>
    <w:rsid w:val="00345897"/>
    <w:rsid w:val="00346300"/>
    <w:rsid w:val="0034765D"/>
    <w:rsid w:val="00347BB4"/>
    <w:rsid w:val="00351B4C"/>
    <w:rsid w:val="003522B4"/>
    <w:rsid w:val="00353250"/>
    <w:rsid w:val="0035536F"/>
    <w:rsid w:val="003558B6"/>
    <w:rsid w:val="0035639B"/>
    <w:rsid w:val="00356834"/>
    <w:rsid w:val="00357900"/>
    <w:rsid w:val="00357C5D"/>
    <w:rsid w:val="00360B74"/>
    <w:rsid w:val="00360F21"/>
    <w:rsid w:val="003636E3"/>
    <w:rsid w:val="003640CA"/>
    <w:rsid w:val="00364649"/>
    <w:rsid w:val="00364E8C"/>
    <w:rsid w:val="00367571"/>
    <w:rsid w:val="003703C3"/>
    <w:rsid w:val="00370B65"/>
    <w:rsid w:val="00370CB1"/>
    <w:rsid w:val="00370DC1"/>
    <w:rsid w:val="003722DE"/>
    <w:rsid w:val="00372B74"/>
    <w:rsid w:val="00372C25"/>
    <w:rsid w:val="00372F13"/>
    <w:rsid w:val="003733BB"/>
    <w:rsid w:val="003736C0"/>
    <w:rsid w:val="00373DFF"/>
    <w:rsid w:val="00374056"/>
    <w:rsid w:val="0037416D"/>
    <w:rsid w:val="0037442C"/>
    <w:rsid w:val="00375ACF"/>
    <w:rsid w:val="00375F7C"/>
    <w:rsid w:val="003768FB"/>
    <w:rsid w:val="00376AFC"/>
    <w:rsid w:val="00377097"/>
    <w:rsid w:val="00377525"/>
    <w:rsid w:val="003777CF"/>
    <w:rsid w:val="00377B50"/>
    <w:rsid w:val="00381FF7"/>
    <w:rsid w:val="00382349"/>
    <w:rsid w:val="003826DD"/>
    <w:rsid w:val="00382976"/>
    <w:rsid w:val="003831F6"/>
    <w:rsid w:val="00383850"/>
    <w:rsid w:val="00383C58"/>
    <w:rsid w:val="0038521B"/>
    <w:rsid w:val="00385487"/>
    <w:rsid w:val="003864E9"/>
    <w:rsid w:val="0039090E"/>
    <w:rsid w:val="003910F2"/>
    <w:rsid w:val="003931CC"/>
    <w:rsid w:val="00393A18"/>
    <w:rsid w:val="0039416B"/>
    <w:rsid w:val="00394451"/>
    <w:rsid w:val="003947B9"/>
    <w:rsid w:val="003957A0"/>
    <w:rsid w:val="00396463"/>
    <w:rsid w:val="00396AD1"/>
    <w:rsid w:val="00397483"/>
    <w:rsid w:val="003A06DA"/>
    <w:rsid w:val="003A16F3"/>
    <w:rsid w:val="003A2F9A"/>
    <w:rsid w:val="003A322E"/>
    <w:rsid w:val="003A330A"/>
    <w:rsid w:val="003A3A96"/>
    <w:rsid w:val="003A411A"/>
    <w:rsid w:val="003A712C"/>
    <w:rsid w:val="003A730B"/>
    <w:rsid w:val="003B10E0"/>
    <w:rsid w:val="003B1A86"/>
    <w:rsid w:val="003B21C0"/>
    <w:rsid w:val="003B2A59"/>
    <w:rsid w:val="003B3C8D"/>
    <w:rsid w:val="003B44A3"/>
    <w:rsid w:val="003B4568"/>
    <w:rsid w:val="003B4D30"/>
    <w:rsid w:val="003B5722"/>
    <w:rsid w:val="003B5B93"/>
    <w:rsid w:val="003C0077"/>
    <w:rsid w:val="003C0993"/>
    <w:rsid w:val="003C22A9"/>
    <w:rsid w:val="003C25F7"/>
    <w:rsid w:val="003C26E1"/>
    <w:rsid w:val="003C2817"/>
    <w:rsid w:val="003C403C"/>
    <w:rsid w:val="003C46A2"/>
    <w:rsid w:val="003C4B93"/>
    <w:rsid w:val="003C4BC6"/>
    <w:rsid w:val="003C529D"/>
    <w:rsid w:val="003C56E4"/>
    <w:rsid w:val="003C5D88"/>
    <w:rsid w:val="003C613B"/>
    <w:rsid w:val="003C6DD1"/>
    <w:rsid w:val="003C754A"/>
    <w:rsid w:val="003C7596"/>
    <w:rsid w:val="003D0647"/>
    <w:rsid w:val="003D0DD2"/>
    <w:rsid w:val="003D1C49"/>
    <w:rsid w:val="003D1D02"/>
    <w:rsid w:val="003D2823"/>
    <w:rsid w:val="003D2AF5"/>
    <w:rsid w:val="003D2B33"/>
    <w:rsid w:val="003D3FE2"/>
    <w:rsid w:val="003D41EE"/>
    <w:rsid w:val="003D4E45"/>
    <w:rsid w:val="003D551C"/>
    <w:rsid w:val="003D5CD3"/>
    <w:rsid w:val="003D5DED"/>
    <w:rsid w:val="003D6913"/>
    <w:rsid w:val="003D7310"/>
    <w:rsid w:val="003D75C3"/>
    <w:rsid w:val="003D7B1A"/>
    <w:rsid w:val="003D7CC6"/>
    <w:rsid w:val="003D7D8E"/>
    <w:rsid w:val="003E034C"/>
    <w:rsid w:val="003E0A27"/>
    <w:rsid w:val="003E0D38"/>
    <w:rsid w:val="003E2EEC"/>
    <w:rsid w:val="003E34AD"/>
    <w:rsid w:val="003E3915"/>
    <w:rsid w:val="003E43B9"/>
    <w:rsid w:val="003E4BEB"/>
    <w:rsid w:val="003E4E9C"/>
    <w:rsid w:val="003E5837"/>
    <w:rsid w:val="003E72AD"/>
    <w:rsid w:val="003E7A1D"/>
    <w:rsid w:val="003F0A53"/>
    <w:rsid w:val="003F15CA"/>
    <w:rsid w:val="003F1736"/>
    <w:rsid w:val="003F1839"/>
    <w:rsid w:val="003F1FDC"/>
    <w:rsid w:val="003F2339"/>
    <w:rsid w:val="003F29F8"/>
    <w:rsid w:val="003F2FD5"/>
    <w:rsid w:val="003F3366"/>
    <w:rsid w:val="003F485D"/>
    <w:rsid w:val="003F4D8F"/>
    <w:rsid w:val="003F5056"/>
    <w:rsid w:val="003F55CA"/>
    <w:rsid w:val="003F5A4D"/>
    <w:rsid w:val="00400BCA"/>
    <w:rsid w:val="00401161"/>
    <w:rsid w:val="00401295"/>
    <w:rsid w:val="004012B9"/>
    <w:rsid w:val="004015C4"/>
    <w:rsid w:val="00401604"/>
    <w:rsid w:val="00402FDD"/>
    <w:rsid w:val="0040347D"/>
    <w:rsid w:val="00403E8C"/>
    <w:rsid w:val="004045DA"/>
    <w:rsid w:val="0040460F"/>
    <w:rsid w:val="00404D92"/>
    <w:rsid w:val="00405308"/>
    <w:rsid w:val="004060BB"/>
    <w:rsid w:val="0040736C"/>
    <w:rsid w:val="004077C6"/>
    <w:rsid w:val="00410337"/>
    <w:rsid w:val="004113D3"/>
    <w:rsid w:val="004114C4"/>
    <w:rsid w:val="004114E5"/>
    <w:rsid w:val="00411A65"/>
    <w:rsid w:val="00411BBD"/>
    <w:rsid w:val="00411F69"/>
    <w:rsid w:val="004127F4"/>
    <w:rsid w:val="004131EE"/>
    <w:rsid w:val="00413B2B"/>
    <w:rsid w:val="004153F3"/>
    <w:rsid w:val="0041554B"/>
    <w:rsid w:val="0041644C"/>
    <w:rsid w:val="00416586"/>
    <w:rsid w:val="00420123"/>
    <w:rsid w:val="004201C0"/>
    <w:rsid w:val="0042094B"/>
    <w:rsid w:val="004215CF"/>
    <w:rsid w:val="00421EDA"/>
    <w:rsid w:val="00423A6A"/>
    <w:rsid w:val="0042434C"/>
    <w:rsid w:val="00424891"/>
    <w:rsid w:val="00424A21"/>
    <w:rsid w:val="00425080"/>
    <w:rsid w:val="004251E2"/>
    <w:rsid w:val="004253B8"/>
    <w:rsid w:val="004253DE"/>
    <w:rsid w:val="004257C3"/>
    <w:rsid w:val="0042696B"/>
    <w:rsid w:val="00426E11"/>
    <w:rsid w:val="004303C5"/>
    <w:rsid w:val="004306BD"/>
    <w:rsid w:val="0043102F"/>
    <w:rsid w:val="00431159"/>
    <w:rsid w:val="004317B1"/>
    <w:rsid w:val="00431AE5"/>
    <w:rsid w:val="004332C4"/>
    <w:rsid w:val="00433314"/>
    <w:rsid w:val="004339C4"/>
    <w:rsid w:val="00433D36"/>
    <w:rsid w:val="00433D50"/>
    <w:rsid w:val="00434332"/>
    <w:rsid w:val="00434390"/>
    <w:rsid w:val="00434418"/>
    <w:rsid w:val="004348B6"/>
    <w:rsid w:val="0043522A"/>
    <w:rsid w:val="0043560D"/>
    <w:rsid w:val="00436BD4"/>
    <w:rsid w:val="00436C29"/>
    <w:rsid w:val="00436DCD"/>
    <w:rsid w:val="004373C3"/>
    <w:rsid w:val="00437572"/>
    <w:rsid w:val="00437C53"/>
    <w:rsid w:val="00440529"/>
    <w:rsid w:val="00440685"/>
    <w:rsid w:val="00441955"/>
    <w:rsid w:val="00441A48"/>
    <w:rsid w:val="00442D76"/>
    <w:rsid w:val="00443036"/>
    <w:rsid w:val="00443FEE"/>
    <w:rsid w:val="00444687"/>
    <w:rsid w:val="00444821"/>
    <w:rsid w:val="00445EF1"/>
    <w:rsid w:val="00446599"/>
    <w:rsid w:val="00446DB6"/>
    <w:rsid w:val="00446F9C"/>
    <w:rsid w:val="00447378"/>
    <w:rsid w:val="00447A68"/>
    <w:rsid w:val="00447ED6"/>
    <w:rsid w:val="00450D2C"/>
    <w:rsid w:val="00450D48"/>
    <w:rsid w:val="004517DF"/>
    <w:rsid w:val="00451CE5"/>
    <w:rsid w:val="004529A9"/>
    <w:rsid w:val="00454214"/>
    <w:rsid w:val="00454365"/>
    <w:rsid w:val="004556E4"/>
    <w:rsid w:val="00456714"/>
    <w:rsid w:val="00456A56"/>
    <w:rsid w:val="00456F02"/>
    <w:rsid w:val="00457775"/>
    <w:rsid w:val="00460ABB"/>
    <w:rsid w:val="00461C3D"/>
    <w:rsid w:val="00462D99"/>
    <w:rsid w:val="004630EA"/>
    <w:rsid w:val="00465173"/>
    <w:rsid w:val="0046576B"/>
    <w:rsid w:val="00465F3B"/>
    <w:rsid w:val="00465F95"/>
    <w:rsid w:val="00467878"/>
    <w:rsid w:val="00470601"/>
    <w:rsid w:val="004711D5"/>
    <w:rsid w:val="004713F8"/>
    <w:rsid w:val="00471D05"/>
    <w:rsid w:val="0047266F"/>
    <w:rsid w:val="00472715"/>
    <w:rsid w:val="00472793"/>
    <w:rsid w:val="0047318F"/>
    <w:rsid w:val="00473590"/>
    <w:rsid w:val="004746F8"/>
    <w:rsid w:val="004749A2"/>
    <w:rsid w:val="00474A1C"/>
    <w:rsid w:val="00475745"/>
    <w:rsid w:val="004757C2"/>
    <w:rsid w:val="004764EF"/>
    <w:rsid w:val="004766B5"/>
    <w:rsid w:val="00477816"/>
    <w:rsid w:val="00477A0C"/>
    <w:rsid w:val="004805E8"/>
    <w:rsid w:val="0048153D"/>
    <w:rsid w:val="00482CC0"/>
    <w:rsid w:val="004831B4"/>
    <w:rsid w:val="00484C1D"/>
    <w:rsid w:val="00485D63"/>
    <w:rsid w:val="004860B0"/>
    <w:rsid w:val="00486C6C"/>
    <w:rsid w:val="004870CF"/>
    <w:rsid w:val="0048747F"/>
    <w:rsid w:val="00487E65"/>
    <w:rsid w:val="00490BF1"/>
    <w:rsid w:val="004919AF"/>
    <w:rsid w:val="00491CEC"/>
    <w:rsid w:val="00491FFA"/>
    <w:rsid w:val="0049440A"/>
    <w:rsid w:val="00495BAE"/>
    <w:rsid w:val="00495EC3"/>
    <w:rsid w:val="00497DE3"/>
    <w:rsid w:val="004A0884"/>
    <w:rsid w:val="004A19EE"/>
    <w:rsid w:val="004A4181"/>
    <w:rsid w:val="004A4428"/>
    <w:rsid w:val="004A44A5"/>
    <w:rsid w:val="004A5335"/>
    <w:rsid w:val="004A5B9D"/>
    <w:rsid w:val="004A757C"/>
    <w:rsid w:val="004A7AC4"/>
    <w:rsid w:val="004A7CAF"/>
    <w:rsid w:val="004B0D8C"/>
    <w:rsid w:val="004B10BF"/>
    <w:rsid w:val="004B12E9"/>
    <w:rsid w:val="004B16ED"/>
    <w:rsid w:val="004B27F6"/>
    <w:rsid w:val="004B3096"/>
    <w:rsid w:val="004B393D"/>
    <w:rsid w:val="004B39CE"/>
    <w:rsid w:val="004B493C"/>
    <w:rsid w:val="004B4CD8"/>
    <w:rsid w:val="004B6A29"/>
    <w:rsid w:val="004B7284"/>
    <w:rsid w:val="004B73CB"/>
    <w:rsid w:val="004B7701"/>
    <w:rsid w:val="004B7F6A"/>
    <w:rsid w:val="004C0089"/>
    <w:rsid w:val="004C08B6"/>
    <w:rsid w:val="004C100C"/>
    <w:rsid w:val="004C174B"/>
    <w:rsid w:val="004C2639"/>
    <w:rsid w:val="004C2D49"/>
    <w:rsid w:val="004C3F45"/>
    <w:rsid w:val="004C40C5"/>
    <w:rsid w:val="004C4979"/>
    <w:rsid w:val="004C4A37"/>
    <w:rsid w:val="004C507A"/>
    <w:rsid w:val="004C5A53"/>
    <w:rsid w:val="004C5B35"/>
    <w:rsid w:val="004C6AD5"/>
    <w:rsid w:val="004C6D6E"/>
    <w:rsid w:val="004C7420"/>
    <w:rsid w:val="004C770F"/>
    <w:rsid w:val="004C78F7"/>
    <w:rsid w:val="004C7AA5"/>
    <w:rsid w:val="004D084B"/>
    <w:rsid w:val="004D0CCF"/>
    <w:rsid w:val="004D1CC9"/>
    <w:rsid w:val="004D21AD"/>
    <w:rsid w:val="004D252C"/>
    <w:rsid w:val="004D25D9"/>
    <w:rsid w:val="004D2C10"/>
    <w:rsid w:val="004D2EA1"/>
    <w:rsid w:val="004D41BB"/>
    <w:rsid w:val="004D4BAA"/>
    <w:rsid w:val="004D4DC9"/>
    <w:rsid w:val="004D5479"/>
    <w:rsid w:val="004D594C"/>
    <w:rsid w:val="004D6C21"/>
    <w:rsid w:val="004E0FE5"/>
    <w:rsid w:val="004E162B"/>
    <w:rsid w:val="004E1846"/>
    <w:rsid w:val="004E2692"/>
    <w:rsid w:val="004E26EF"/>
    <w:rsid w:val="004E27DD"/>
    <w:rsid w:val="004E4BBD"/>
    <w:rsid w:val="004E50D2"/>
    <w:rsid w:val="004E53F6"/>
    <w:rsid w:val="004E6BBB"/>
    <w:rsid w:val="004E70BA"/>
    <w:rsid w:val="004E7B6E"/>
    <w:rsid w:val="004F107A"/>
    <w:rsid w:val="004F11DF"/>
    <w:rsid w:val="004F2BE8"/>
    <w:rsid w:val="004F3754"/>
    <w:rsid w:val="004F3CCA"/>
    <w:rsid w:val="004F4169"/>
    <w:rsid w:val="004F4C1E"/>
    <w:rsid w:val="004F57BF"/>
    <w:rsid w:val="004F5AF4"/>
    <w:rsid w:val="004F5F0A"/>
    <w:rsid w:val="004F676F"/>
    <w:rsid w:val="004F7160"/>
    <w:rsid w:val="004F71C3"/>
    <w:rsid w:val="004F731D"/>
    <w:rsid w:val="00500D2C"/>
    <w:rsid w:val="00500D8D"/>
    <w:rsid w:val="00501C22"/>
    <w:rsid w:val="00501E01"/>
    <w:rsid w:val="0050253A"/>
    <w:rsid w:val="0050288D"/>
    <w:rsid w:val="00503802"/>
    <w:rsid w:val="005052E1"/>
    <w:rsid w:val="00505473"/>
    <w:rsid w:val="00505EDA"/>
    <w:rsid w:val="00505F75"/>
    <w:rsid w:val="00506685"/>
    <w:rsid w:val="00507F86"/>
    <w:rsid w:val="005120E5"/>
    <w:rsid w:val="00512C21"/>
    <w:rsid w:val="0051376B"/>
    <w:rsid w:val="00513899"/>
    <w:rsid w:val="005151C8"/>
    <w:rsid w:val="005164C2"/>
    <w:rsid w:val="00517C1D"/>
    <w:rsid w:val="00521794"/>
    <w:rsid w:val="0052191F"/>
    <w:rsid w:val="0052216C"/>
    <w:rsid w:val="0052334E"/>
    <w:rsid w:val="00523363"/>
    <w:rsid w:val="00523793"/>
    <w:rsid w:val="00524148"/>
    <w:rsid w:val="00525741"/>
    <w:rsid w:val="0052627B"/>
    <w:rsid w:val="005265AC"/>
    <w:rsid w:val="005268F3"/>
    <w:rsid w:val="00527094"/>
    <w:rsid w:val="00527FB9"/>
    <w:rsid w:val="0053130E"/>
    <w:rsid w:val="00532843"/>
    <w:rsid w:val="00532BD8"/>
    <w:rsid w:val="0053462A"/>
    <w:rsid w:val="005346D3"/>
    <w:rsid w:val="00535535"/>
    <w:rsid w:val="00535F9F"/>
    <w:rsid w:val="00535FBA"/>
    <w:rsid w:val="00536044"/>
    <w:rsid w:val="005361FC"/>
    <w:rsid w:val="00536AD2"/>
    <w:rsid w:val="005409B8"/>
    <w:rsid w:val="00541897"/>
    <w:rsid w:val="00541CE5"/>
    <w:rsid w:val="00542A19"/>
    <w:rsid w:val="00542FC6"/>
    <w:rsid w:val="00543C55"/>
    <w:rsid w:val="00543D6F"/>
    <w:rsid w:val="00544CFE"/>
    <w:rsid w:val="00544DD2"/>
    <w:rsid w:val="0054557D"/>
    <w:rsid w:val="005465FC"/>
    <w:rsid w:val="00546DFE"/>
    <w:rsid w:val="00547EC5"/>
    <w:rsid w:val="005505E3"/>
    <w:rsid w:val="0055068E"/>
    <w:rsid w:val="00550874"/>
    <w:rsid w:val="005508AD"/>
    <w:rsid w:val="005509E4"/>
    <w:rsid w:val="00550C9D"/>
    <w:rsid w:val="00551A3C"/>
    <w:rsid w:val="005522CD"/>
    <w:rsid w:val="00552A6F"/>
    <w:rsid w:val="00552E73"/>
    <w:rsid w:val="005532DE"/>
    <w:rsid w:val="00553516"/>
    <w:rsid w:val="00554CE2"/>
    <w:rsid w:val="00554FEF"/>
    <w:rsid w:val="00555076"/>
    <w:rsid w:val="0055539C"/>
    <w:rsid w:val="005559B4"/>
    <w:rsid w:val="00556027"/>
    <w:rsid w:val="005566D3"/>
    <w:rsid w:val="0055673B"/>
    <w:rsid w:val="00557632"/>
    <w:rsid w:val="00557DDB"/>
    <w:rsid w:val="00561088"/>
    <w:rsid w:val="00561903"/>
    <w:rsid w:val="00562187"/>
    <w:rsid w:val="00562CF4"/>
    <w:rsid w:val="005637FC"/>
    <w:rsid w:val="005638A4"/>
    <w:rsid w:val="00563FAC"/>
    <w:rsid w:val="005648A1"/>
    <w:rsid w:val="00564FAE"/>
    <w:rsid w:val="00565854"/>
    <w:rsid w:val="00565AD4"/>
    <w:rsid w:val="0056634B"/>
    <w:rsid w:val="005672D9"/>
    <w:rsid w:val="00567618"/>
    <w:rsid w:val="005677AC"/>
    <w:rsid w:val="0056797B"/>
    <w:rsid w:val="00567ADD"/>
    <w:rsid w:val="00567EE2"/>
    <w:rsid w:val="0057027D"/>
    <w:rsid w:val="005702FE"/>
    <w:rsid w:val="005709FD"/>
    <w:rsid w:val="00573622"/>
    <w:rsid w:val="00573BA4"/>
    <w:rsid w:val="00574299"/>
    <w:rsid w:val="00574746"/>
    <w:rsid w:val="005747AA"/>
    <w:rsid w:val="005755F7"/>
    <w:rsid w:val="00575AF3"/>
    <w:rsid w:val="00575CEF"/>
    <w:rsid w:val="00575FB1"/>
    <w:rsid w:val="0057650D"/>
    <w:rsid w:val="005765FD"/>
    <w:rsid w:val="00576A11"/>
    <w:rsid w:val="00576E33"/>
    <w:rsid w:val="00581261"/>
    <w:rsid w:val="005814E9"/>
    <w:rsid w:val="00581A88"/>
    <w:rsid w:val="005827A9"/>
    <w:rsid w:val="0058313C"/>
    <w:rsid w:val="00583E78"/>
    <w:rsid w:val="00584180"/>
    <w:rsid w:val="0058487A"/>
    <w:rsid w:val="005850B9"/>
    <w:rsid w:val="00585804"/>
    <w:rsid w:val="005873BB"/>
    <w:rsid w:val="005912C5"/>
    <w:rsid w:val="00591CD9"/>
    <w:rsid w:val="00592677"/>
    <w:rsid w:val="005927CB"/>
    <w:rsid w:val="005946B9"/>
    <w:rsid w:val="005948D3"/>
    <w:rsid w:val="00595CA0"/>
    <w:rsid w:val="00597B96"/>
    <w:rsid w:val="00597D6E"/>
    <w:rsid w:val="005A0259"/>
    <w:rsid w:val="005A041C"/>
    <w:rsid w:val="005A1982"/>
    <w:rsid w:val="005A19D3"/>
    <w:rsid w:val="005A1D32"/>
    <w:rsid w:val="005A276C"/>
    <w:rsid w:val="005A31E8"/>
    <w:rsid w:val="005A415B"/>
    <w:rsid w:val="005A57B9"/>
    <w:rsid w:val="005A7614"/>
    <w:rsid w:val="005A7AA8"/>
    <w:rsid w:val="005A7DB4"/>
    <w:rsid w:val="005B00FA"/>
    <w:rsid w:val="005B035C"/>
    <w:rsid w:val="005B0679"/>
    <w:rsid w:val="005B0F88"/>
    <w:rsid w:val="005B0FCE"/>
    <w:rsid w:val="005B1381"/>
    <w:rsid w:val="005B21C9"/>
    <w:rsid w:val="005B34B4"/>
    <w:rsid w:val="005B4ADA"/>
    <w:rsid w:val="005B527E"/>
    <w:rsid w:val="005B58DE"/>
    <w:rsid w:val="005B5E23"/>
    <w:rsid w:val="005B5F7A"/>
    <w:rsid w:val="005B6D51"/>
    <w:rsid w:val="005B719B"/>
    <w:rsid w:val="005B7493"/>
    <w:rsid w:val="005B7501"/>
    <w:rsid w:val="005B7928"/>
    <w:rsid w:val="005C00C0"/>
    <w:rsid w:val="005C0665"/>
    <w:rsid w:val="005C199B"/>
    <w:rsid w:val="005C1C9F"/>
    <w:rsid w:val="005C2E28"/>
    <w:rsid w:val="005C3A4A"/>
    <w:rsid w:val="005C4294"/>
    <w:rsid w:val="005C445A"/>
    <w:rsid w:val="005C4D5A"/>
    <w:rsid w:val="005C5721"/>
    <w:rsid w:val="005C7464"/>
    <w:rsid w:val="005C74BD"/>
    <w:rsid w:val="005C7ACE"/>
    <w:rsid w:val="005D05C5"/>
    <w:rsid w:val="005D0E81"/>
    <w:rsid w:val="005D1127"/>
    <w:rsid w:val="005D14A4"/>
    <w:rsid w:val="005D220C"/>
    <w:rsid w:val="005D2DBB"/>
    <w:rsid w:val="005D3E4C"/>
    <w:rsid w:val="005D43AA"/>
    <w:rsid w:val="005D646B"/>
    <w:rsid w:val="005D6A36"/>
    <w:rsid w:val="005E1425"/>
    <w:rsid w:val="005E146A"/>
    <w:rsid w:val="005E2486"/>
    <w:rsid w:val="005E3197"/>
    <w:rsid w:val="005E354B"/>
    <w:rsid w:val="005E398D"/>
    <w:rsid w:val="005E3B41"/>
    <w:rsid w:val="005E4014"/>
    <w:rsid w:val="005E4AB6"/>
    <w:rsid w:val="005E6011"/>
    <w:rsid w:val="005E61DB"/>
    <w:rsid w:val="005E64ED"/>
    <w:rsid w:val="005E6674"/>
    <w:rsid w:val="005E6ABA"/>
    <w:rsid w:val="005E750E"/>
    <w:rsid w:val="005E79F3"/>
    <w:rsid w:val="005F1E47"/>
    <w:rsid w:val="005F44B9"/>
    <w:rsid w:val="005F4FFE"/>
    <w:rsid w:val="005F6C14"/>
    <w:rsid w:val="005F753E"/>
    <w:rsid w:val="00601A0A"/>
    <w:rsid w:val="006022E2"/>
    <w:rsid w:val="00602F08"/>
    <w:rsid w:val="0060316A"/>
    <w:rsid w:val="006031F5"/>
    <w:rsid w:val="0060397D"/>
    <w:rsid w:val="00603D4B"/>
    <w:rsid w:val="00604C08"/>
    <w:rsid w:val="00605064"/>
    <w:rsid w:val="00605171"/>
    <w:rsid w:val="00605CE4"/>
    <w:rsid w:val="006066E8"/>
    <w:rsid w:val="00606972"/>
    <w:rsid w:val="00607446"/>
    <w:rsid w:val="00607879"/>
    <w:rsid w:val="00610759"/>
    <w:rsid w:val="00610C77"/>
    <w:rsid w:val="00610F14"/>
    <w:rsid w:val="006118A7"/>
    <w:rsid w:val="006132EA"/>
    <w:rsid w:val="00613EB9"/>
    <w:rsid w:val="00615E52"/>
    <w:rsid w:val="00615F84"/>
    <w:rsid w:val="00621358"/>
    <w:rsid w:val="0062201F"/>
    <w:rsid w:val="006227BD"/>
    <w:rsid w:val="00623394"/>
    <w:rsid w:val="00623D21"/>
    <w:rsid w:val="006255FD"/>
    <w:rsid w:val="00625EEA"/>
    <w:rsid w:val="006269B8"/>
    <w:rsid w:val="00626DB1"/>
    <w:rsid w:val="0062753B"/>
    <w:rsid w:val="00627E69"/>
    <w:rsid w:val="00632118"/>
    <w:rsid w:val="006324D4"/>
    <w:rsid w:val="00632636"/>
    <w:rsid w:val="006335DE"/>
    <w:rsid w:val="00633980"/>
    <w:rsid w:val="00633CC0"/>
    <w:rsid w:val="0063487B"/>
    <w:rsid w:val="00635482"/>
    <w:rsid w:val="00635A51"/>
    <w:rsid w:val="00636AEC"/>
    <w:rsid w:val="00636BE0"/>
    <w:rsid w:val="006370BC"/>
    <w:rsid w:val="0063779E"/>
    <w:rsid w:val="006400BB"/>
    <w:rsid w:val="0064103E"/>
    <w:rsid w:val="00641218"/>
    <w:rsid w:val="00641F20"/>
    <w:rsid w:val="006424D8"/>
    <w:rsid w:val="00642845"/>
    <w:rsid w:val="0064336C"/>
    <w:rsid w:val="0064385E"/>
    <w:rsid w:val="00644216"/>
    <w:rsid w:val="00644BF6"/>
    <w:rsid w:val="00644C8C"/>
    <w:rsid w:val="00645346"/>
    <w:rsid w:val="00646AA8"/>
    <w:rsid w:val="00646B33"/>
    <w:rsid w:val="00646EB5"/>
    <w:rsid w:val="0064728D"/>
    <w:rsid w:val="0064766F"/>
    <w:rsid w:val="00650812"/>
    <w:rsid w:val="00651076"/>
    <w:rsid w:val="006511B1"/>
    <w:rsid w:val="00652748"/>
    <w:rsid w:val="00652B51"/>
    <w:rsid w:val="00653A3E"/>
    <w:rsid w:val="00654443"/>
    <w:rsid w:val="006552A7"/>
    <w:rsid w:val="006556E0"/>
    <w:rsid w:val="00655890"/>
    <w:rsid w:val="00655BF9"/>
    <w:rsid w:val="00656827"/>
    <w:rsid w:val="00656DD8"/>
    <w:rsid w:val="006570BF"/>
    <w:rsid w:val="006575AC"/>
    <w:rsid w:val="00657697"/>
    <w:rsid w:val="00657D62"/>
    <w:rsid w:val="00661238"/>
    <w:rsid w:val="00661CE4"/>
    <w:rsid w:val="00663615"/>
    <w:rsid w:val="00663E50"/>
    <w:rsid w:val="00665A4E"/>
    <w:rsid w:val="00665CDC"/>
    <w:rsid w:val="0066625B"/>
    <w:rsid w:val="006668E3"/>
    <w:rsid w:val="0066748C"/>
    <w:rsid w:val="00670028"/>
    <w:rsid w:val="00671439"/>
    <w:rsid w:val="00671ACC"/>
    <w:rsid w:val="00671C46"/>
    <w:rsid w:val="00672AD7"/>
    <w:rsid w:val="00673279"/>
    <w:rsid w:val="006743B1"/>
    <w:rsid w:val="00674A09"/>
    <w:rsid w:val="00675A29"/>
    <w:rsid w:val="00676092"/>
    <w:rsid w:val="006770F3"/>
    <w:rsid w:val="00677743"/>
    <w:rsid w:val="00681EE4"/>
    <w:rsid w:val="006823CF"/>
    <w:rsid w:val="00682A4C"/>
    <w:rsid w:val="0068358F"/>
    <w:rsid w:val="00684794"/>
    <w:rsid w:val="006850D3"/>
    <w:rsid w:val="00685B98"/>
    <w:rsid w:val="00687141"/>
    <w:rsid w:val="00687800"/>
    <w:rsid w:val="00690651"/>
    <w:rsid w:val="00690BC1"/>
    <w:rsid w:val="00691419"/>
    <w:rsid w:val="00691452"/>
    <w:rsid w:val="00691B29"/>
    <w:rsid w:val="00693D1A"/>
    <w:rsid w:val="00693D5C"/>
    <w:rsid w:val="00695783"/>
    <w:rsid w:val="00696943"/>
    <w:rsid w:val="00696F77"/>
    <w:rsid w:val="006974DC"/>
    <w:rsid w:val="00697636"/>
    <w:rsid w:val="00697BC3"/>
    <w:rsid w:val="006A08E0"/>
    <w:rsid w:val="006A10FB"/>
    <w:rsid w:val="006A132D"/>
    <w:rsid w:val="006A2324"/>
    <w:rsid w:val="006A281B"/>
    <w:rsid w:val="006A50AF"/>
    <w:rsid w:val="006A78DD"/>
    <w:rsid w:val="006A7B98"/>
    <w:rsid w:val="006A7CF4"/>
    <w:rsid w:val="006A7E47"/>
    <w:rsid w:val="006B0395"/>
    <w:rsid w:val="006B060A"/>
    <w:rsid w:val="006B0CFA"/>
    <w:rsid w:val="006B111E"/>
    <w:rsid w:val="006B20D2"/>
    <w:rsid w:val="006B32D4"/>
    <w:rsid w:val="006B4981"/>
    <w:rsid w:val="006B4D26"/>
    <w:rsid w:val="006B4E7C"/>
    <w:rsid w:val="006B4FFB"/>
    <w:rsid w:val="006B5ABF"/>
    <w:rsid w:val="006C0CA8"/>
    <w:rsid w:val="006C1FA2"/>
    <w:rsid w:val="006C3204"/>
    <w:rsid w:val="006C3992"/>
    <w:rsid w:val="006C3D86"/>
    <w:rsid w:val="006C4BDD"/>
    <w:rsid w:val="006C662E"/>
    <w:rsid w:val="006C6A9A"/>
    <w:rsid w:val="006C72EB"/>
    <w:rsid w:val="006C7367"/>
    <w:rsid w:val="006C78CF"/>
    <w:rsid w:val="006C7E88"/>
    <w:rsid w:val="006D0F20"/>
    <w:rsid w:val="006D1A01"/>
    <w:rsid w:val="006D29EE"/>
    <w:rsid w:val="006D3F71"/>
    <w:rsid w:val="006D4025"/>
    <w:rsid w:val="006D40D0"/>
    <w:rsid w:val="006D44D7"/>
    <w:rsid w:val="006D503C"/>
    <w:rsid w:val="006D5D5F"/>
    <w:rsid w:val="006D5F23"/>
    <w:rsid w:val="006D656C"/>
    <w:rsid w:val="006D659D"/>
    <w:rsid w:val="006D7198"/>
    <w:rsid w:val="006D77AB"/>
    <w:rsid w:val="006E01EA"/>
    <w:rsid w:val="006E0317"/>
    <w:rsid w:val="006E0ADA"/>
    <w:rsid w:val="006E3565"/>
    <w:rsid w:val="006E3F4A"/>
    <w:rsid w:val="006E53F6"/>
    <w:rsid w:val="006E5502"/>
    <w:rsid w:val="006E5BC7"/>
    <w:rsid w:val="006E5EA5"/>
    <w:rsid w:val="006E68F4"/>
    <w:rsid w:val="006F0108"/>
    <w:rsid w:val="006F0C82"/>
    <w:rsid w:val="006F26DE"/>
    <w:rsid w:val="006F3604"/>
    <w:rsid w:val="006F3647"/>
    <w:rsid w:val="006F3650"/>
    <w:rsid w:val="006F381D"/>
    <w:rsid w:val="006F402F"/>
    <w:rsid w:val="006F4894"/>
    <w:rsid w:val="006F5E9A"/>
    <w:rsid w:val="006F65C7"/>
    <w:rsid w:val="006F7180"/>
    <w:rsid w:val="006F7F18"/>
    <w:rsid w:val="007004AB"/>
    <w:rsid w:val="0070096F"/>
    <w:rsid w:val="00701E0D"/>
    <w:rsid w:val="0070237A"/>
    <w:rsid w:val="00702A27"/>
    <w:rsid w:val="00703130"/>
    <w:rsid w:val="0070313D"/>
    <w:rsid w:val="00704548"/>
    <w:rsid w:val="00704831"/>
    <w:rsid w:val="00704A9D"/>
    <w:rsid w:val="0070570A"/>
    <w:rsid w:val="00705803"/>
    <w:rsid w:val="0070655F"/>
    <w:rsid w:val="00706FA3"/>
    <w:rsid w:val="00707570"/>
    <w:rsid w:val="00707D9D"/>
    <w:rsid w:val="007100D6"/>
    <w:rsid w:val="00712090"/>
    <w:rsid w:val="00712165"/>
    <w:rsid w:val="00712B1A"/>
    <w:rsid w:val="00713141"/>
    <w:rsid w:val="007136B8"/>
    <w:rsid w:val="007136C7"/>
    <w:rsid w:val="00713707"/>
    <w:rsid w:val="00714126"/>
    <w:rsid w:val="007149A8"/>
    <w:rsid w:val="00714FA7"/>
    <w:rsid w:val="00715551"/>
    <w:rsid w:val="0071596D"/>
    <w:rsid w:val="00716C2C"/>
    <w:rsid w:val="00716FE2"/>
    <w:rsid w:val="0071795A"/>
    <w:rsid w:val="0072104A"/>
    <w:rsid w:val="007228EB"/>
    <w:rsid w:val="00722941"/>
    <w:rsid w:val="00722F04"/>
    <w:rsid w:val="00723827"/>
    <w:rsid w:val="007239A3"/>
    <w:rsid w:val="0072485E"/>
    <w:rsid w:val="00724FED"/>
    <w:rsid w:val="007256A9"/>
    <w:rsid w:val="007257F7"/>
    <w:rsid w:val="007259BB"/>
    <w:rsid w:val="007265CB"/>
    <w:rsid w:val="007271EA"/>
    <w:rsid w:val="0072735B"/>
    <w:rsid w:val="00727496"/>
    <w:rsid w:val="0073024D"/>
    <w:rsid w:val="007309FA"/>
    <w:rsid w:val="00731706"/>
    <w:rsid w:val="00731902"/>
    <w:rsid w:val="0073220D"/>
    <w:rsid w:val="00732C2C"/>
    <w:rsid w:val="00733BB0"/>
    <w:rsid w:val="007347E8"/>
    <w:rsid w:val="00734891"/>
    <w:rsid w:val="007349CB"/>
    <w:rsid w:val="00734A36"/>
    <w:rsid w:val="00734D10"/>
    <w:rsid w:val="007350A4"/>
    <w:rsid w:val="007350D1"/>
    <w:rsid w:val="0073527F"/>
    <w:rsid w:val="00735664"/>
    <w:rsid w:val="00735951"/>
    <w:rsid w:val="00736074"/>
    <w:rsid w:val="0074124D"/>
    <w:rsid w:val="00742308"/>
    <w:rsid w:val="007430B3"/>
    <w:rsid w:val="00743581"/>
    <w:rsid w:val="0074380E"/>
    <w:rsid w:val="007440D6"/>
    <w:rsid w:val="007463C6"/>
    <w:rsid w:val="00747D85"/>
    <w:rsid w:val="007505C7"/>
    <w:rsid w:val="007507D6"/>
    <w:rsid w:val="00750D8E"/>
    <w:rsid w:val="00751F12"/>
    <w:rsid w:val="0075214C"/>
    <w:rsid w:val="00752AE1"/>
    <w:rsid w:val="00752F4F"/>
    <w:rsid w:val="00752FC9"/>
    <w:rsid w:val="00753B9A"/>
    <w:rsid w:val="00753CDE"/>
    <w:rsid w:val="00753EF2"/>
    <w:rsid w:val="00753F64"/>
    <w:rsid w:val="00756D19"/>
    <w:rsid w:val="00756F01"/>
    <w:rsid w:val="007576C3"/>
    <w:rsid w:val="0075795A"/>
    <w:rsid w:val="00760971"/>
    <w:rsid w:val="00761370"/>
    <w:rsid w:val="00761647"/>
    <w:rsid w:val="00761648"/>
    <w:rsid w:val="007628E6"/>
    <w:rsid w:val="00762EF5"/>
    <w:rsid w:val="007636E4"/>
    <w:rsid w:val="00763DA8"/>
    <w:rsid w:val="00765522"/>
    <w:rsid w:val="007660B0"/>
    <w:rsid w:val="007671A0"/>
    <w:rsid w:val="00767750"/>
    <w:rsid w:val="00771026"/>
    <w:rsid w:val="00773045"/>
    <w:rsid w:val="0077376A"/>
    <w:rsid w:val="00773E7A"/>
    <w:rsid w:val="00774144"/>
    <w:rsid w:val="00774231"/>
    <w:rsid w:val="0077521B"/>
    <w:rsid w:val="00775504"/>
    <w:rsid w:val="00777948"/>
    <w:rsid w:val="00777F74"/>
    <w:rsid w:val="00780652"/>
    <w:rsid w:val="007806E2"/>
    <w:rsid w:val="00780D77"/>
    <w:rsid w:val="00780E53"/>
    <w:rsid w:val="007813CD"/>
    <w:rsid w:val="0078157F"/>
    <w:rsid w:val="00781E39"/>
    <w:rsid w:val="007827E9"/>
    <w:rsid w:val="00782D2A"/>
    <w:rsid w:val="007838FD"/>
    <w:rsid w:val="0078432C"/>
    <w:rsid w:val="00785477"/>
    <w:rsid w:val="00785DC6"/>
    <w:rsid w:val="00786A51"/>
    <w:rsid w:val="007876DF"/>
    <w:rsid w:val="00790045"/>
    <w:rsid w:val="00790E06"/>
    <w:rsid w:val="00790E64"/>
    <w:rsid w:val="00791761"/>
    <w:rsid w:val="00791C92"/>
    <w:rsid w:val="00791DD6"/>
    <w:rsid w:val="00792146"/>
    <w:rsid w:val="00793CD5"/>
    <w:rsid w:val="00794300"/>
    <w:rsid w:val="00794C7C"/>
    <w:rsid w:val="00794FCE"/>
    <w:rsid w:val="00795426"/>
    <w:rsid w:val="00795E7A"/>
    <w:rsid w:val="0079630A"/>
    <w:rsid w:val="007963F8"/>
    <w:rsid w:val="00796AE2"/>
    <w:rsid w:val="00796E90"/>
    <w:rsid w:val="007A127F"/>
    <w:rsid w:val="007A1551"/>
    <w:rsid w:val="007A1705"/>
    <w:rsid w:val="007A21F1"/>
    <w:rsid w:val="007A3407"/>
    <w:rsid w:val="007A348D"/>
    <w:rsid w:val="007A3993"/>
    <w:rsid w:val="007A4854"/>
    <w:rsid w:val="007A5BD8"/>
    <w:rsid w:val="007A73E6"/>
    <w:rsid w:val="007A7D20"/>
    <w:rsid w:val="007B0F42"/>
    <w:rsid w:val="007B131C"/>
    <w:rsid w:val="007B204F"/>
    <w:rsid w:val="007B20D0"/>
    <w:rsid w:val="007B2558"/>
    <w:rsid w:val="007B2AAB"/>
    <w:rsid w:val="007B2E69"/>
    <w:rsid w:val="007B3189"/>
    <w:rsid w:val="007B3226"/>
    <w:rsid w:val="007B471E"/>
    <w:rsid w:val="007B4E66"/>
    <w:rsid w:val="007B57F5"/>
    <w:rsid w:val="007B584D"/>
    <w:rsid w:val="007B6421"/>
    <w:rsid w:val="007B7E65"/>
    <w:rsid w:val="007C09E3"/>
    <w:rsid w:val="007C0C4E"/>
    <w:rsid w:val="007C0E2F"/>
    <w:rsid w:val="007C0F1A"/>
    <w:rsid w:val="007C11E0"/>
    <w:rsid w:val="007C1954"/>
    <w:rsid w:val="007C1E49"/>
    <w:rsid w:val="007C1EB5"/>
    <w:rsid w:val="007C30D8"/>
    <w:rsid w:val="007C3104"/>
    <w:rsid w:val="007C35FD"/>
    <w:rsid w:val="007C3AB8"/>
    <w:rsid w:val="007C4B76"/>
    <w:rsid w:val="007C5E90"/>
    <w:rsid w:val="007C6B9D"/>
    <w:rsid w:val="007C6F45"/>
    <w:rsid w:val="007C79F2"/>
    <w:rsid w:val="007C7BEC"/>
    <w:rsid w:val="007D12D4"/>
    <w:rsid w:val="007D1C87"/>
    <w:rsid w:val="007D1C98"/>
    <w:rsid w:val="007D2C36"/>
    <w:rsid w:val="007D2CC4"/>
    <w:rsid w:val="007D3C28"/>
    <w:rsid w:val="007D4031"/>
    <w:rsid w:val="007D491F"/>
    <w:rsid w:val="007D58C3"/>
    <w:rsid w:val="007D609E"/>
    <w:rsid w:val="007D6E21"/>
    <w:rsid w:val="007D74CC"/>
    <w:rsid w:val="007D756C"/>
    <w:rsid w:val="007D7AB5"/>
    <w:rsid w:val="007D7D35"/>
    <w:rsid w:val="007E01C1"/>
    <w:rsid w:val="007E0FA5"/>
    <w:rsid w:val="007E1992"/>
    <w:rsid w:val="007E1ECC"/>
    <w:rsid w:val="007E2A99"/>
    <w:rsid w:val="007E2EF1"/>
    <w:rsid w:val="007E50D8"/>
    <w:rsid w:val="007E56BC"/>
    <w:rsid w:val="007F009B"/>
    <w:rsid w:val="007F043D"/>
    <w:rsid w:val="007F0E06"/>
    <w:rsid w:val="007F23EF"/>
    <w:rsid w:val="007F2541"/>
    <w:rsid w:val="007F332C"/>
    <w:rsid w:val="007F42E2"/>
    <w:rsid w:val="007F468E"/>
    <w:rsid w:val="007F4989"/>
    <w:rsid w:val="007F4E65"/>
    <w:rsid w:val="007F6075"/>
    <w:rsid w:val="007F6C4D"/>
    <w:rsid w:val="007F7040"/>
    <w:rsid w:val="007F713B"/>
    <w:rsid w:val="007F7459"/>
    <w:rsid w:val="008000ED"/>
    <w:rsid w:val="00800621"/>
    <w:rsid w:val="0080093A"/>
    <w:rsid w:val="008009B4"/>
    <w:rsid w:val="008011FA"/>
    <w:rsid w:val="008037F8"/>
    <w:rsid w:val="00803C3A"/>
    <w:rsid w:val="008040D5"/>
    <w:rsid w:val="0080424A"/>
    <w:rsid w:val="00804288"/>
    <w:rsid w:val="00804884"/>
    <w:rsid w:val="00805862"/>
    <w:rsid w:val="008065A1"/>
    <w:rsid w:val="008073B3"/>
    <w:rsid w:val="00812799"/>
    <w:rsid w:val="00812ECC"/>
    <w:rsid w:val="0081351C"/>
    <w:rsid w:val="00813C5C"/>
    <w:rsid w:val="00814094"/>
    <w:rsid w:val="008158EC"/>
    <w:rsid w:val="00815D7A"/>
    <w:rsid w:val="008162B2"/>
    <w:rsid w:val="00817C31"/>
    <w:rsid w:val="0082080D"/>
    <w:rsid w:val="0082346D"/>
    <w:rsid w:val="00823C31"/>
    <w:rsid w:val="00824682"/>
    <w:rsid w:val="00824752"/>
    <w:rsid w:val="00824D4E"/>
    <w:rsid w:val="00824EE3"/>
    <w:rsid w:val="00825B03"/>
    <w:rsid w:val="00826117"/>
    <w:rsid w:val="008266C9"/>
    <w:rsid w:val="00827A66"/>
    <w:rsid w:val="00827B9F"/>
    <w:rsid w:val="00830C79"/>
    <w:rsid w:val="00831053"/>
    <w:rsid w:val="00832233"/>
    <w:rsid w:val="00832C18"/>
    <w:rsid w:val="0083572B"/>
    <w:rsid w:val="008370E9"/>
    <w:rsid w:val="008371DB"/>
    <w:rsid w:val="00837485"/>
    <w:rsid w:val="00837C27"/>
    <w:rsid w:val="0084079D"/>
    <w:rsid w:val="00840C0C"/>
    <w:rsid w:val="00840F0E"/>
    <w:rsid w:val="00841517"/>
    <w:rsid w:val="00841640"/>
    <w:rsid w:val="008423EB"/>
    <w:rsid w:val="008427BD"/>
    <w:rsid w:val="00842956"/>
    <w:rsid w:val="00842CF5"/>
    <w:rsid w:val="00843653"/>
    <w:rsid w:val="00843EA7"/>
    <w:rsid w:val="008446B6"/>
    <w:rsid w:val="0084584B"/>
    <w:rsid w:val="00845B7F"/>
    <w:rsid w:val="00846093"/>
    <w:rsid w:val="00846444"/>
    <w:rsid w:val="00846A05"/>
    <w:rsid w:val="00847B83"/>
    <w:rsid w:val="00847DFC"/>
    <w:rsid w:val="00850292"/>
    <w:rsid w:val="008502AF"/>
    <w:rsid w:val="0085044D"/>
    <w:rsid w:val="00850CED"/>
    <w:rsid w:val="008513C2"/>
    <w:rsid w:val="00852CC0"/>
    <w:rsid w:val="0085316D"/>
    <w:rsid w:val="00853237"/>
    <w:rsid w:val="008545E0"/>
    <w:rsid w:val="0085475F"/>
    <w:rsid w:val="00855070"/>
    <w:rsid w:val="0085621E"/>
    <w:rsid w:val="00857239"/>
    <w:rsid w:val="008572F5"/>
    <w:rsid w:val="00857FD8"/>
    <w:rsid w:val="0086052A"/>
    <w:rsid w:val="008612E5"/>
    <w:rsid w:val="00861A08"/>
    <w:rsid w:val="008622BA"/>
    <w:rsid w:val="00863292"/>
    <w:rsid w:val="00865668"/>
    <w:rsid w:val="00867B66"/>
    <w:rsid w:val="0087063E"/>
    <w:rsid w:val="00871180"/>
    <w:rsid w:val="008721C8"/>
    <w:rsid w:val="00872544"/>
    <w:rsid w:val="00872600"/>
    <w:rsid w:val="00872802"/>
    <w:rsid w:val="008743A2"/>
    <w:rsid w:val="008759AC"/>
    <w:rsid w:val="0087614F"/>
    <w:rsid w:val="008816B8"/>
    <w:rsid w:val="00881B3A"/>
    <w:rsid w:val="00881D86"/>
    <w:rsid w:val="00883562"/>
    <w:rsid w:val="00883A0F"/>
    <w:rsid w:val="008847FC"/>
    <w:rsid w:val="008851E4"/>
    <w:rsid w:val="008853EF"/>
    <w:rsid w:val="008855CA"/>
    <w:rsid w:val="00885784"/>
    <w:rsid w:val="00885F93"/>
    <w:rsid w:val="0088617E"/>
    <w:rsid w:val="00886FF4"/>
    <w:rsid w:val="00887150"/>
    <w:rsid w:val="00887857"/>
    <w:rsid w:val="00887C9E"/>
    <w:rsid w:val="00890481"/>
    <w:rsid w:val="008912CA"/>
    <w:rsid w:val="008928FC"/>
    <w:rsid w:val="0089299D"/>
    <w:rsid w:val="00892C1D"/>
    <w:rsid w:val="00892CAB"/>
    <w:rsid w:val="008940FE"/>
    <w:rsid w:val="0089540C"/>
    <w:rsid w:val="008968CC"/>
    <w:rsid w:val="00897354"/>
    <w:rsid w:val="00897B87"/>
    <w:rsid w:val="00897C41"/>
    <w:rsid w:val="008A0031"/>
    <w:rsid w:val="008A01B9"/>
    <w:rsid w:val="008A0C83"/>
    <w:rsid w:val="008A0EA6"/>
    <w:rsid w:val="008A112B"/>
    <w:rsid w:val="008A11EE"/>
    <w:rsid w:val="008A129B"/>
    <w:rsid w:val="008A1A56"/>
    <w:rsid w:val="008A225B"/>
    <w:rsid w:val="008A29C4"/>
    <w:rsid w:val="008A2FEA"/>
    <w:rsid w:val="008A3555"/>
    <w:rsid w:val="008A4C97"/>
    <w:rsid w:val="008A4E3B"/>
    <w:rsid w:val="008A5988"/>
    <w:rsid w:val="008A622B"/>
    <w:rsid w:val="008A6230"/>
    <w:rsid w:val="008A72FD"/>
    <w:rsid w:val="008B006B"/>
    <w:rsid w:val="008B146F"/>
    <w:rsid w:val="008B173A"/>
    <w:rsid w:val="008B1CF9"/>
    <w:rsid w:val="008B2FA8"/>
    <w:rsid w:val="008B40D0"/>
    <w:rsid w:val="008B43F4"/>
    <w:rsid w:val="008B5AE7"/>
    <w:rsid w:val="008B64AA"/>
    <w:rsid w:val="008B7A2B"/>
    <w:rsid w:val="008B7EEB"/>
    <w:rsid w:val="008C0698"/>
    <w:rsid w:val="008C09DF"/>
    <w:rsid w:val="008C1477"/>
    <w:rsid w:val="008C2F68"/>
    <w:rsid w:val="008C3DF1"/>
    <w:rsid w:val="008C447C"/>
    <w:rsid w:val="008C47AA"/>
    <w:rsid w:val="008C4AD7"/>
    <w:rsid w:val="008C4AF7"/>
    <w:rsid w:val="008C4B82"/>
    <w:rsid w:val="008C5E66"/>
    <w:rsid w:val="008C70DF"/>
    <w:rsid w:val="008D047E"/>
    <w:rsid w:val="008D19B5"/>
    <w:rsid w:val="008D1B47"/>
    <w:rsid w:val="008D5398"/>
    <w:rsid w:val="008D5B52"/>
    <w:rsid w:val="008D6346"/>
    <w:rsid w:val="008E107E"/>
    <w:rsid w:val="008E1335"/>
    <w:rsid w:val="008E13F4"/>
    <w:rsid w:val="008E1B05"/>
    <w:rsid w:val="008E2073"/>
    <w:rsid w:val="008E27AC"/>
    <w:rsid w:val="008E2D8D"/>
    <w:rsid w:val="008E35D6"/>
    <w:rsid w:val="008E752B"/>
    <w:rsid w:val="008E76E7"/>
    <w:rsid w:val="008F00F3"/>
    <w:rsid w:val="008F0368"/>
    <w:rsid w:val="008F0C4E"/>
    <w:rsid w:val="008F13CB"/>
    <w:rsid w:val="008F1461"/>
    <w:rsid w:val="008F2409"/>
    <w:rsid w:val="008F2BE5"/>
    <w:rsid w:val="008F429A"/>
    <w:rsid w:val="008F486B"/>
    <w:rsid w:val="008F5B57"/>
    <w:rsid w:val="008F65E8"/>
    <w:rsid w:val="008F6EBA"/>
    <w:rsid w:val="008F7181"/>
    <w:rsid w:val="008F7804"/>
    <w:rsid w:val="008F7BE4"/>
    <w:rsid w:val="00900421"/>
    <w:rsid w:val="00900668"/>
    <w:rsid w:val="00903036"/>
    <w:rsid w:val="00903135"/>
    <w:rsid w:val="00903683"/>
    <w:rsid w:val="00903C50"/>
    <w:rsid w:val="0090411D"/>
    <w:rsid w:val="00904AA1"/>
    <w:rsid w:val="009050B5"/>
    <w:rsid w:val="00905899"/>
    <w:rsid w:val="00905B1E"/>
    <w:rsid w:val="00905C48"/>
    <w:rsid w:val="009061A7"/>
    <w:rsid w:val="00907299"/>
    <w:rsid w:val="009077BF"/>
    <w:rsid w:val="009107B1"/>
    <w:rsid w:val="009114E4"/>
    <w:rsid w:val="00913773"/>
    <w:rsid w:val="00913A5A"/>
    <w:rsid w:val="00913E26"/>
    <w:rsid w:val="009152B5"/>
    <w:rsid w:val="00915DED"/>
    <w:rsid w:val="009160D5"/>
    <w:rsid w:val="0091631C"/>
    <w:rsid w:val="00916C7A"/>
    <w:rsid w:val="00917979"/>
    <w:rsid w:val="00917EAC"/>
    <w:rsid w:val="009204A5"/>
    <w:rsid w:val="0092068A"/>
    <w:rsid w:val="009207F9"/>
    <w:rsid w:val="009217F8"/>
    <w:rsid w:val="009218D2"/>
    <w:rsid w:val="009224C1"/>
    <w:rsid w:val="00922577"/>
    <w:rsid w:val="0092262A"/>
    <w:rsid w:val="00922FDF"/>
    <w:rsid w:val="00923755"/>
    <w:rsid w:val="00923868"/>
    <w:rsid w:val="0092389B"/>
    <w:rsid w:val="00923A5F"/>
    <w:rsid w:val="009252A7"/>
    <w:rsid w:val="00925416"/>
    <w:rsid w:val="0092561B"/>
    <w:rsid w:val="00926499"/>
    <w:rsid w:val="00926D67"/>
    <w:rsid w:val="009272F9"/>
    <w:rsid w:val="009276C4"/>
    <w:rsid w:val="00927DFC"/>
    <w:rsid w:val="00927E50"/>
    <w:rsid w:val="0093095C"/>
    <w:rsid w:val="00930974"/>
    <w:rsid w:val="00930CD3"/>
    <w:rsid w:val="00931779"/>
    <w:rsid w:val="00933568"/>
    <w:rsid w:val="00933E1D"/>
    <w:rsid w:val="0093442F"/>
    <w:rsid w:val="00935B01"/>
    <w:rsid w:val="00936255"/>
    <w:rsid w:val="0093626E"/>
    <w:rsid w:val="0093758C"/>
    <w:rsid w:val="00937687"/>
    <w:rsid w:val="00937A93"/>
    <w:rsid w:val="00940C36"/>
    <w:rsid w:val="00940C9E"/>
    <w:rsid w:val="009416C1"/>
    <w:rsid w:val="00941B4A"/>
    <w:rsid w:val="00942616"/>
    <w:rsid w:val="009430EF"/>
    <w:rsid w:val="0094349C"/>
    <w:rsid w:val="009445A9"/>
    <w:rsid w:val="009446F6"/>
    <w:rsid w:val="00946646"/>
    <w:rsid w:val="009474E6"/>
    <w:rsid w:val="00947BD3"/>
    <w:rsid w:val="00950890"/>
    <w:rsid w:val="00952B15"/>
    <w:rsid w:val="00952B19"/>
    <w:rsid w:val="00953099"/>
    <w:rsid w:val="00953175"/>
    <w:rsid w:val="0095405C"/>
    <w:rsid w:val="009548A0"/>
    <w:rsid w:val="00954E03"/>
    <w:rsid w:val="009566D1"/>
    <w:rsid w:val="00957FF2"/>
    <w:rsid w:val="0096051B"/>
    <w:rsid w:val="0096070E"/>
    <w:rsid w:val="00960DBB"/>
    <w:rsid w:val="009611F1"/>
    <w:rsid w:val="00963D14"/>
    <w:rsid w:val="00963E9C"/>
    <w:rsid w:val="00964699"/>
    <w:rsid w:val="009652BC"/>
    <w:rsid w:val="00965884"/>
    <w:rsid w:val="0096610E"/>
    <w:rsid w:val="009668D8"/>
    <w:rsid w:val="00967407"/>
    <w:rsid w:val="0096796F"/>
    <w:rsid w:val="00970A9B"/>
    <w:rsid w:val="00972DC2"/>
    <w:rsid w:val="009732B8"/>
    <w:rsid w:val="009747DD"/>
    <w:rsid w:val="00974E9A"/>
    <w:rsid w:val="00974EA6"/>
    <w:rsid w:val="00975A4C"/>
    <w:rsid w:val="00975FD7"/>
    <w:rsid w:val="00976190"/>
    <w:rsid w:val="009767EC"/>
    <w:rsid w:val="00977EB2"/>
    <w:rsid w:val="009813F1"/>
    <w:rsid w:val="009830ED"/>
    <w:rsid w:val="00983271"/>
    <w:rsid w:val="0098330F"/>
    <w:rsid w:val="00983DDE"/>
    <w:rsid w:val="00983F39"/>
    <w:rsid w:val="00984D13"/>
    <w:rsid w:val="0098546F"/>
    <w:rsid w:val="00986565"/>
    <w:rsid w:val="00986576"/>
    <w:rsid w:val="00986E28"/>
    <w:rsid w:val="009879FA"/>
    <w:rsid w:val="0099080F"/>
    <w:rsid w:val="009922D5"/>
    <w:rsid w:val="00996711"/>
    <w:rsid w:val="00996979"/>
    <w:rsid w:val="00996F85"/>
    <w:rsid w:val="00997B0D"/>
    <w:rsid w:val="00997CC1"/>
    <w:rsid w:val="00997F43"/>
    <w:rsid w:val="009A15A5"/>
    <w:rsid w:val="009A1F65"/>
    <w:rsid w:val="009A2830"/>
    <w:rsid w:val="009A2940"/>
    <w:rsid w:val="009A511D"/>
    <w:rsid w:val="009A532D"/>
    <w:rsid w:val="009A6D37"/>
    <w:rsid w:val="009A7731"/>
    <w:rsid w:val="009B0E8C"/>
    <w:rsid w:val="009B126D"/>
    <w:rsid w:val="009B293A"/>
    <w:rsid w:val="009B3B4F"/>
    <w:rsid w:val="009B3E8C"/>
    <w:rsid w:val="009B579E"/>
    <w:rsid w:val="009B6DC3"/>
    <w:rsid w:val="009B6E9F"/>
    <w:rsid w:val="009B6EDA"/>
    <w:rsid w:val="009B7E6A"/>
    <w:rsid w:val="009C08E7"/>
    <w:rsid w:val="009C389A"/>
    <w:rsid w:val="009C3DE8"/>
    <w:rsid w:val="009C4FDD"/>
    <w:rsid w:val="009C5871"/>
    <w:rsid w:val="009C65DE"/>
    <w:rsid w:val="009C690D"/>
    <w:rsid w:val="009C6DA5"/>
    <w:rsid w:val="009D0652"/>
    <w:rsid w:val="009D0D60"/>
    <w:rsid w:val="009D2A27"/>
    <w:rsid w:val="009D2C4F"/>
    <w:rsid w:val="009D3177"/>
    <w:rsid w:val="009D51D1"/>
    <w:rsid w:val="009D5513"/>
    <w:rsid w:val="009D59E8"/>
    <w:rsid w:val="009D60C2"/>
    <w:rsid w:val="009D6603"/>
    <w:rsid w:val="009E035A"/>
    <w:rsid w:val="009E0FB2"/>
    <w:rsid w:val="009E136E"/>
    <w:rsid w:val="009E164C"/>
    <w:rsid w:val="009E2223"/>
    <w:rsid w:val="009E2C51"/>
    <w:rsid w:val="009E34EC"/>
    <w:rsid w:val="009E3618"/>
    <w:rsid w:val="009E6515"/>
    <w:rsid w:val="009E69D4"/>
    <w:rsid w:val="009E7B3C"/>
    <w:rsid w:val="009E7F70"/>
    <w:rsid w:val="009E7FEE"/>
    <w:rsid w:val="009F00E2"/>
    <w:rsid w:val="009F0114"/>
    <w:rsid w:val="009F2C46"/>
    <w:rsid w:val="009F365B"/>
    <w:rsid w:val="009F4967"/>
    <w:rsid w:val="009F570D"/>
    <w:rsid w:val="009F5DE0"/>
    <w:rsid w:val="009F7077"/>
    <w:rsid w:val="009F7187"/>
    <w:rsid w:val="009F7422"/>
    <w:rsid w:val="009F74C0"/>
    <w:rsid w:val="009F7A9E"/>
    <w:rsid w:val="00A005D4"/>
    <w:rsid w:val="00A0159F"/>
    <w:rsid w:val="00A0192F"/>
    <w:rsid w:val="00A028E7"/>
    <w:rsid w:val="00A034AA"/>
    <w:rsid w:val="00A03CC8"/>
    <w:rsid w:val="00A0489F"/>
    <w:rsid w:val="00A10847"/>
    <w:rsid w:val="00A109ED"/>
    <w:rsid w:val="00A10D52"/>
    <w:rsid w:val="00A11A53"/>
    <w:rsid w:val="00A11B9F"/>
    <w:rsid w:val="00A1269A"/>
    <w:rsid w:val="00A12965"/>
    <w:rsid w:val="00A135E9"/>
    <w:rsid w:val="00A13E44"/>
    <w:rsid w:val="00A145C5"/>
    <w:rsid w:val="00A151DC"/>
    <w:rsid w:val="00A1582D"/>
    <w:rsid w:val="00A16466"/>
    <w:rsid w:val="00A20142"/>
    <w:rsid w:val="00A206AD"/>
    <w:rsid w:val="00A21EA3"/>
    <w:rsid w:val="00A227C2"/>
    <w:rsid w:val="00A2427F"/>
    <w:rsid w:val="00A248E6"/>
    <w:rsid w:val="00A24E92"/>
    <w:rsid w:val="00A2531C"/>
    <w:rsid w:val="00A25838"/>
    <w:rsid w:val="00A25FF0"/>
    <w:rsid w:val="00A26C36"/>
    <w:rsid w:val="00A27A0C"/>
    <w:rsid w:val="00A303FE"/>
    <w:rsid w:val="00A319EA"/>
    <w:rsid w:val="00A3262F"/>
    <w:rsid w:val="00A33C56"/>
    <w:rsid w:val="00A33DC5"/>
    <w:rsid w:val="00A3441A"/>
    <w:rsid w:val="00A36924"/>
    <w:rsid w:val="00A37237"/>
    <w:rsid w:val="00A400AA"/>
    <w:rsid w:val="00A40F97"/>
    <w:rsid w:val="00A417F7"/>
    <w:rsid w:val="00A42312"/>
    <w:rsid w:val="00A446C9"/>
    <w:rsid w:val="00A447B6"/>
    <w:rsid w:val="00A44EFA"/>
    <w:rsid w:val="00A45507"/>
    <w:rsid w:val="00A45BB6"/>
    <w:rsid w:val="00A45F2E"/>
    <w:rsid w:val="00A47179"/>
    <w:rsid w:val="00A477BD"/>
    <w:rsid w:val="00A47880"/>
    <w:rsid w:val="00A47ACF"/>
    <w:rsid w:val="00A50012"/>
    <w:rsid w:val="00A50822"/>
    <w:rsid w:val="00A511BA"/>
    <w:rsid w:val="00A51715"/>
    <w:rsid w:val="00A51E6C"/>
    <w:rsid w:val="00A520BE"/>
    <w:rsid w:val="00A52B95"/>
    <w:rsid w:val="00A53288"/>
    <w:rsid w:val="00A53300"/>
    <w:rsid w:val="00A53522"/>
    <w:rsid w:val="00A53EF3"/>
    <w:rsid w:val="00A547D1"/>
    <w:rsid w:val="00A54B00"/>
    <w:rsid w:val="00A56024"/>
    <w:rsid w:val="00A562F4"/>
    <w:rsid w:val="00A56505"/>
    <w:rsid w:val="00A56E7B"/>
    <w:rsid w:val="00A57043"/>
    <w:rsid w:val="00A5790B"/>
    <w:rsid w:val="00A624DE"/>
    <w:rsid w:val="00A62561"/>
    <w:rsid w:val="00A6509D"/>
    <w:rsid w:val="00A66383"/>
    <w:rsid w:val="00A679DA"/>
    <w:rsid w:val="00A67BBE"/>
    <w:rsid w:val="00A70951"/>
    <w:rsid w:val="00A7126F"/>
    <w:rsid w:val="00A728A4"/>
    <w:rsid w:val="00A74199"/>
    <w:rsid w:val="00A74460"/>
    <w:rsid w:val="00A74C07"/>
    <w:rsid w:val="00A74EF5"/>
    <w:rsid w:val="00A7536D"/>
    <w:rsid w:val="00A7574E"/>
    <w:rsid w:val="00A75CB1"/>
    <w:rsid w:val="00A76070"/>
    <w:rsid w:val="00A7610A"/>
    <w:rsid w:val="00A77A2D"/>
    <w:rsid w:val="00A82C99"/>
    <w:rsid w:val="00A834CC"/>
    <w:rsid w:val="00A8430F"/>
    <w:rsid w:val="00A84940"/>
    <w:rsid w:val="00A84E7F"/>
    <w:rsid w:val="00A84F5F"/>
    <w:rsid w:val="00A85A5F"/>
    <w:rsid w:val="00A8709B"/>
    <w:rsid w:val="00A87651"/>
    <w:rsid w:val="00A8775F"/>
    <w:rsid w:val="00A87767"/>
    <w:rsid w:val="00A9006B"/>
    <w:rsid w:val="00A90595"/>
    <w:rsid w:val="00A90812"/>
    <w:rsid w:val="00A90942"/>
    <w:rsid w:val="00A90A61"/>
    <w:rsid w:val="00A91063"/>
    <w:rsid w:val="00A91A12"/>
    <w:rsid w:val="00A92844"/>
    <w:rsid w:val="00A92B24"/>
    <w:rsid w:val="00A936A8"/>
    <w:rsid w:val="00A9389F"/>
    <w:rsid w:val="00A938BC"/>
    <w:rsid w:val="00A93FEA"/>
    <w:rsid w:val="00A94C8A"/>
    <w:rsid w:val="00A94EEC"/>
    <w:rsid w:val="00A95693"/>
    <w:rsid w:val="00A968B1"/>
    <w:rsid w:val="00AA09C6"/>
    <w:rsid w:val="00AA1856"/>
    <w:rsid w:val="00AA2186"/>
    <w:rsid w:val="00AA2F05"/>
    <w:rsid w:val="00AA306E"/>
    <w:rsid w:val="00AA38AB"/>
    <w:rsid w:val="00AA4052"/>
    <w:rsid w:val="00AA69E8"/>
    <w:rsid w:val="00AA6E8E"/>
    <w:rsid w:val="00AA7616"/>
    <w:rsid w:val="00AB1855"/>
    <w:rsid w:val="00AB1AB6"/>
    <w:rsid w:val="00AB2109"/>
    <w:rsid w:val="00AB215E"/>
    <w:rsid w:val="00AB21A7"/>
    <w:rsid w:val="00AB264A"/>
    <w:rsid w:val="00AB28E5"/>
    <w:rsid w:val="00AB2AF7"/>
    <w:rsid w:val="00AB3630"/>
    <w:rsid w:val="00AB3C2F"/>
    <w:rsid w:val="00AB504F"/>
    <w:rsid w:val="00AB51DA"/>
    <w:rsid w:val="00AB5815"/>
    <w:rsid w:val="00AB6442"/>
    <w:rsid w:val="00AB6C0B"/>
    <w:rsid w:val="00AB7DAA"/>
    <w:rsid w:val="00AC0333"/>
    <w:rsid w:val="00AC1017"/>
    <w:rsid w:val="00AC235B"/>
    <w:rsid w:val="00AC2B69"/>
    <w:rsid w:val="00AC3FD9"/>
    <w:rsid w:val="00AC4722"/>
    <w:rsid w:val="00AC4AFF"/>
    <w:rsid w:val="00AC6859"/>
    <w:rsid w:val="00AC6B35"/>
    <w:rsid w:val="00AC6BF1"/>
    <w:rsid w:val="00AD195D"/>
    <w:rsid w:val="00AD1E59"/>
    <w:rsid w:val="00AD2FCA"/>
    <w:rsid w:val="00AD4F62"/>
    <w:rsid w:val="00AD555E"/>
    <w:rsid w:val="00AD6060"/>
    <w:rsid w:val="00AD7A36"/>
    <w:rsid w:val="00AD7ABF"/>
    <w:rsid w:val="00AD7DEC"/>
    <w:rsid w:val="00AD7E27"/>
    <w:rsid w:val="00AE0BD0"/>
    <w:rsid w:val="00AE177D"/>
    <w:rsid w:val="00AE2407"/>
    <w:rsid w:val="00AE2747"/>
    <w:rsid w:val="00AE4146"/>
    <w:rsid w:val="00AE4565"/>
    <w:rsid w:val="00AE45C7"/>
    <w:rsid w:val="00AE4C9F"/>
    <w:rsid w:val="00AE62CF"/>
    <w:rsid w:val="00AE6641"/>
    <w:rsid w:val="00AE6990"/>
    <w:rsid w:val="00AE6AB2"/>
    <w:rsid w:val="00AE6F26"/>
    <w:rsid w:val="00AE70BC"/>
    <w:rsid w:val="00AE70CD"/>
    <w:rsid w:val="00AE7851"/>
    <w:rsid w:val="00AE78DA"/>
    <w:rsid w:val="00AF082E"/>
    <w:rsid w:val="00AF1241"/>
    <w:rsid w:val="00AF264A"/>
    <w:rsid w:val="00AF2739"/>
    <w:rsid w:val="00AF33FD"/>
    <w:rsid w:val="00AF4D68"/>
    <w:rsid w:val="00AF543C"/>
    <w:rsid w:val="00AF5A97"/>
    <w:rsid w:val="00AF5B90"/>
    <w:rsid w:val="00AF6032"/>
    <w:rsid w:val="00AF6A92"/>
    <w:rsid w:val="00AF6F4F"/>
    <w:rsid w:val="00B00600"/>
    <w:rsid w:val="00B0114D"/>
    <w:rsid w:val="00B01582"/>
    <w:rsid w:val="00B01AEB"/>
    <w:rsid w:val="00B01CC5"/>
    <w:rsid w:val="00B04052"/>
    <w:rsid w:val="00B058B7"/>
    <w:rsid w:val="00B06022"/>
    <w:rsid w:val="00B06741"/>
    <w:rsid w:val="00B07D1F"/>
    <w:rsid w:val="00B107CA"/>
    <w:rsid w:val="00B10862"/>
    <w:rsid w:val="00B10BC2"/>
    <w:rsid w:val="00B10F1A"/>
    <w:rsid w:val="00B11012"/>
    <w:rsid w:val="00B11A5E"/>
    <w:rsid w:val="00B11CE6"/>
    <w:rsid w:val="00B11D66"/>
    <w:rsid w:val="00B120C9"/>
    <w:rsid w:val="00B12B4D"/>
    <w:rsid w:val="00B12FFE"/>
    <w:rsid w:val="00B144A0"/>
    <w:rsid w:val="00B147BD"/>
    <w:rsid w:val="00B15010"/>
    <w:rsid w:val="00B1559E"/>
    <w:rsid w:val="00B16206"/>
    <w:rsid w:val="00B179D1"/>
    <w:rsid w:val="00B17ECE"/>
    <w:rsid w:val="00B20BCC"/>
    <w:rsid w:val="00B20F51"/>
    <w:rsid w:val="00B229B4"/>
    <w:rsid w:val="00B22B05"/>
    <w:rsid w:val="00B2362B"/>
    <w:rsid w:val="00B240C4"/>
    <w:rsid w:val="00B24E36"/>
    <w:rsid w:val="00B24FAC"/>
    <w:rsid w:val="00B254D1"/>
    <w:rsid w:val="00B25E70"/>
    <w:rsid w:val="00B30CBB"/>
    <w:rsid w:val="00B3154F"/>
    <w:rsid w:val="00B31F2C"/>
    <w:rsid w:val="00B33BDA"/>
    <w:rsid w:val="00B364D6"/>
    <w:rsid w:val="00B36513"/>
    <w:rsid w:val="00B36876"/>
    <w:rsid w:val="00B3718E"/>
    <w:rsid w:val="00B37568"/>
    <w:rsid w:val="00B37B23"/>
    <w:rsid w:val="00B37CFF"/>
    <w:rsid w:val="00B4160A"/>
    <w:rsid w:val="00B41721"/>
    <w:rsid w:val="00B42CA3"/>
    <w:rsid w:val="00B42CE0"/>
    <w:rsid w:val="00B4349D"/>
    <w:rsid w:val="00B44C4B"/>
    <w:rsid w:val="00B45EF4"/>
    <w:rsid w:val="00B4619D"/>
    <w:rsid w:val="00B47711"/>
    <w:rsid w:val="00B5010D"/>
    <w:rsid w:val="00B5020D"/>
    <w:rsid w:val="00B505C4"/>
    <w:rsid w:val="00B51011"/>
    <w:rsid w:val="00B516E9"/>
    <w:rsid w:val="00B54A19"/>
    <w:rsid w:val="00B54CC1"/>
    <w:rsid w:val="00B54E91"/>
    <w:rsid w:val="00B551C3"/>
    <w:rsid w:val="00B55464"/>
    <w:rsid w:val="00B556AD"/>
    <w:rsid w:val="00B561FF"/>
    <w:rsid w:val="00B60B2F"/>
    <w:rsid w:val="00B60F9B"/>
    <w:rsid w:val="00B61B2A"/>
    <w:rsid w:val="00B6357D"/>
    <w:rsid w:val="00B63835"/>
    <w:rsid w:val="00B65591"/>
    <w:rsid w:val="00B65A72"/>
    <w:rsid w:val="00B65B81"/>
    <w:rsid w:val="00B65E39"/>
    <w:rsid w:val="00B65FE0"/>
    <w:rsid w:val="00B66303"/>
    <w:rsid w:val="00B6691D"/>
    <w:rsid w:val="00B6755D"/>
    <w:rsid w:val="00B67C5B"/>
    <w:rsid w:val="00B716BC"/>
    <w:rsid w:val="00B72CE5"/>
    <w:rsid w:val="00B73EE8"/>
    <w:rsid w:val="00B7403D"/>
    <w:rsid w:val="00B74C8E"/>
    <w:rsid w:val="00B74EC0"/>
    <w:rsid w:val="00B75F08"/>
    <w:rsid w:val="00B762E9"/>
    <w:rsid w:val="00B76415"/>
    <w:rsid w:val="00B76DFE"/>
    <w:rsid w:val="00B77DD5"/>
    <w:rsid w:val="00B80239"/>
    <w:rsid w:val="00B8104C"/>
    <w:rsid w:val="00B811B4"/>
    <w:rsid w:val="00B81491"/>
    <w:rsid w:val="00B814A5"/>
    <w:rsid w:val="00B82019"/>
    <w:rsid w:val="00B82439"/>
    <w:rsid w:val="00B827DF"/>
    <w:rsid w:val="00B83819"/>
    <w:rsid w:val="00B84630"/>
    <w:rsid w:val="00B84A48"/>
    <w:rsid w:val="00B856A4"/>
    <w:rsid w:val="00B85BFA"/>
    <w:rsid w:val="00B87127"/>
    <w:rsid w:val="00B87A3B"/>
    <w:rsid w:val="00B928C3"/>
    <w:rsid w:val="00B93109"/>
    <w:rsid w:val="00B93355"/>
    <w:rsid w:val="00B94824"/>
    <w:rsid w:val="00B949F2"/>
    <w:rsid w:val="00B97A70"/>
    <w:rsid w:val="00B97AD8"/>
    <w:rsid w:val="00B97CFD"/>
    <w:rsid w:val="00BA0C3D"/>
    <w:rsid w:val="00BA0D5C"/>
    <w:rsid w:val="00BA224D"/>
    <w:rsid w:val="00BA32EF"/>
    <w:rsid w:val="00BA4052"/>
    <w:rsid w:val="00BA6EA0"/>
    <w:rsid w:val="00BA7875"/>
    <w:rsid w:val="00BA7F00"/>
    <w:rsid w:val="00BB0036"/>
    <w:rsid w:val="00BB0362"/>
    <w:rsid w:val="00BB1EB8"/>
    <w:rsid w:val="00BB2CCE"/>
    <w:rsid w:val="00BB395F"/>
    <w:rsid w:val="00BB43C9"/>
    <w:rsid w:val="00BB479A"/>
    <w:rsid w:val="00BB5769"/>
    <w:rsid w:val="00BB5F2F"/>
    <w:rsid w:val="00BB7A51"/>
    <w:rsid w:val="00BC1192"/>
    <w:rsid w:val="00BC1E55"/>
    <w:rsid w:val="00BC3D8D"/>
    <w:rsid w:val="00BC716C"/>
    <w:rsid w:val="00BD0E46"/>
    <w:rsid w:val="00BD1862"/>
    <w:rsid w:val="00BD2256"/>
    <w:rsid w:val="00BD228C"/>
    <w:rsid w:val="00BD2C59"/>
    <w:rsid w:val="00BD3A71"/>
    <w:rsid w:val="00BD4067"/>
    <w:rsid w:val="00BD5689"/>
    <w:rsid w:val="00BD5D89"/>
    <w:rsid w:val="00BD6623"/>
    <w:rsid w:val="00BD695A"/>
    <w:rsid w:val="00BD6DFF"/>
    <w:rsid w:val="00BD72EE"/>
    <w:rsid w:val="00BD7A99"/>
    <w:rsid w:val="00BE1412"/>
    <w:rsid w:val="00BE1A78"/>
    <w:rsid w:val="00BE1FE9"/>
    <w:rsid w:val="00BE2426"/>
    <w:rsid w:val="00BE4276"/>
    <w:rsid w:val="00BE474B"/>
    <w:rsid w:val="00BE47B6"/>
    <w:rsid w:val="00BE480B"/>
    <w:rsid w:val="00BE519C"/>
    <w:rsid w:val="00BE74D0"/>
    <w:rsid w:val="00BF1647"/>
    <w:rsid w:val="00BF31A6"/>
    <w:rsid w:val="00BF3387"/>
    <w:rsid w:val="00BF445E"/>
    <w:rsid w:val="00BF4796"/>
    <w:rsid w:val="00BF534A"/>
    <w:rsid w:val="00BF59CC"/>
    <w:rsid w:val="00BF6663"/>
    <w:rsid w:val="00BF6CEB"/>
    <w:rsid w:val="00BF7CE0"/>
    <w:rsid w:val="00C007A7"/>
    <w:rsid w:val="00C01468"/>
    <w:rsid w:val="00C01AE2"/>
    <w:rsid w:val="00C01C96"/>
    <w:rsid w:val="00C0380E"/>
    <w:rsid w:val="00C05DD4"/>
    <w:rsid w:val="00C06CCA"/>
    <w:rsid w:val="00C06DAA"/>
    <w:rsid w:val="00C06FFF"/>
    <w:rsid w:val="00C10A6A"/>
    <w:rsid w:val="00C113F4"/>
    <w:rsid w:val="00C11EB4"/>
    <w:rsid w:val="00C12DD1"/>
    <w:rsid w:val="00C1569D"/>
    <w:rsid w:val="00C15A75"/>
    <w:rsid w:val="00C15E4A"/>
    <w:rsid w:val="00C1615A"/>
    <w:rsid w:val="00C16F9E"/>
    <w:rsid w:val="00C1722F"/>
    <w:rsid w:val="00C17BCB"/>
    <w:rsid w:val="00C17D68"/>
    <w:rsid w:val="00C17E48"/>
    <w:rsid w:val="00C20282"/>
    <w:rsid w:val="00C20C4D"/>
    <w:rsid w:val="00C2164D"/>
    <w:rsid w:val="00C21825"/>
    <w:rsid w:val="00C21923"/>
    <w:rsid w:val="00C23653"/>
    <w:rsid w:val="00C23C1D"/>
    <w:rsid w:val="00C2454D"/>
    <w:rsid w:val="00C252BC"/>
    <w:rsid w:val="00C25E34"/>
    <w:rsid w:val="00C26C82"/>
    <w:rsid w:val="00C2743C"/>
    <w:rsid w:val="00C27A99"/>
    <w:rsid w:val="00C31BE9"/>
    <w:rsid w:val="00C3474B"/>
    <w:rsid w:val="00C34D05"/>
    <w:rsid w:val="00C358CB"/>
    <w:rsid w:val="00C37B07"/>
    <w:rsid w:val="00C407C5"/>
    <w:rsid w:val="00C40ADA"/>
    <w:rsid w:val="00C40FC9"/>
    <w:rsid w:val="00C42484"/>
    <w:rsid w:val="00C442E9"/>
    <w:rsid w:val="00C44DB1"/>
    <w:rsid w:val="00C45577"/>
    <w:rsid w:val="00C45D98"/>
    <w:rsid w:val="00C46428"/>
    <w:rsid w:val="00C47613"/>
    <w:rsid w:val="00C479E9"/>
    <w:rsid w:val="00C47CB8"/>
    <w:rsid w:val="00C47D6B"/>
    <w:rsid w:val="00C500C3"/>
    <w:rsid w:val="00C506F7"/>
    <w:rsid w:val="00C50B0C"/>
    <w:rsid w:val="00C50B6D"/>
    <w:rsid w:val="00C513A1"/>
    <w:rsid w:val="00C515F8"/>
    <w:rsid w:val="00C51957"/>
    <w:rsid w:val="00C5196F"/>
    <w:rsid w:val="00C52AFA"/>
    <w:rsid w:val="00C53FC9"/>
    <w:rsid w:val="00C54039"/>
    <w:rsid w:val="00C55244"/>
    <w:rsid w:val="00C553EC"/>
    <w:rsid w:val="00C55469"/>
    <w:rsid w:val="00C57299"/>
    <w:rsid w:val="00C5743B"/>
    <w:rsid w:val="00C60826"/>
    <w:rsid w:val="00C60BF7"/>
    <w:rsid w:val="00C60ED6"/>
    <w:rsid w:val="00C61013"/>
    <w:rsid w:val="00C61AD7"/>
    <w:rsid w:val="00C63555"/>
    <w:rsid w:val="00C63B64"/>
    <w:rsid w:val="00C63BFE"/>
    <w:rsid w:val="00C63C8C"/>
    <w:rsid w:val="00C63DEC"/>
    <w:rsid w:val="00C641D0"/>
    <w:rsid w:val="00C668D4"/>
    <w:rsid w:val="00C66F8F"/>
    <w:rsid w:val="00C6772A"/>
    <w:rsid w:val="00C677F5"/>
    <w:rsid w:val="00C67A83"/>
    <w:rsid w:val="00C67F10"/>
    <w:rsid w:val="00C70DAC"/>
    <w:rsid w:val="00C71AF7"/>
    <w:rsid w:val="00C71D4C"/>
    <w:rsid w:val="00C72ECB"/>
    <w:rsid w:val="00C73C38"/>
    <w:rsid w:val="00C73D66"/>
    <w:rsid w:val="00C75573"/>
    <w:rsid w:val="00C7756A"/>
    <w:rsid w:val="00C77B30"/>
    <w:rsid w:val="00C77B67"/>
    <w:rsid w:val="00C77CFA"/>
    <w:rsid w:val="00C8128C"/>
    <w:rsid w:val="00C81DA9"/>
    <w:rsid w:val="00C822ED"/>
    <w:rsid w:val="00C82D20"/>
    <w:rsid w:val="00C845B3"/>
    <w:rsid w:val="00C84678"/>
    <w:rsid w:val="00C85B17"/>
    <w:rsid w:val="00C8686D"/>
    <w:rsid w:val="00C86A2E"/>
    <w:rsid w:val="00C86AD6"/>
    <w:rsid w:val="00C871C1"/>
    <w:rsid w:val="00C879E9"/>
    <w:rsid w:val="00C906F2"/>
    <w:rsid w:val="00C90970"/>
    <w:rsid w:val="00C910C0"/>
    <w:rsid w:val="00C91607"/>
    <w:rsid w:val="00C92A02"/>
    <w:rsid w:val="00C92D52"/>
    <w:rsid w:val="00C93D82"/>
    <w:rsid w:val="00C967DA"/>
    <w:rsid w:val="00C96976"/>
    <w:rsid w:val="00C97A18"/>
    <w:rsid w:val="00CA0A33"/>
    <w:rsid w:val="00CA20FE"/>
    <w:rsid w:val="00CA358B"/>
    <w:rsid w:val="00CA59CA"/>
    <w:rsid w:val="00CA6550"/>
    <w:rsid w:val="00CB144B"/>
    <w:rsid w:val="00CB15EC"/>
    <w:rsid w:val="00CB2048"/>
    <w:rsid w:val="00CB268E"/>
    <w:rsid w:val="00CB296C"/>
    <w:rsid w:val="00CB29B7"/>
    <w:rsid w:val="00CB360A"/>
    <w:rsid w:val="00CB3E44"/>
    <w:rsid w:val="00CB4CD6"/>
    <w:rsid w:val="00CB5BEC"/>
    <w:rsid w:val="00CB5E03"/>
    <w:rsid w:val="00CB6366"/>
    <w:rsid w:val="00CB6BC2"/>
    <w:rsid w:val="00CC0189"/>
    <w:rsid w:val="00CC0B0B"/>
    <w:rsid w:val="00CC19CF"/>
    <w:rsid w:val="00CC1E1D"/>
    <w:rsid w:val="00CC2033"/>
    <w:rsid w:val="00CC5819"/>
    <w:rsid w:val="00CC6069"/>
    <w:rsid w:val="00CC626B"/>
    <w:rsid w:val="00CC70FE"/>
    <w:rsid w:val="00CC77A5"/>
    <w:rsid w:val="00CC789B"/>
    <w:rsid w:val="00CD0F2C"/>
    <w:rsid w:val="00CD1613"/>
    <w:rsid w:val="00CD1F62"/>
    <w:rsid w:val="00CD27C5"/>
    <w:rsid w:val="00CD2D92"/>
    <w:rsid w:val="00CD2FA0"/>
    <w:rsid w:val="00CD388D"/>
    <w:rsid w:val="00CD41B7"/>
    <w:rsid w:val="00CD488F"/>
    <w:rsid w:val="00CD4AE1"/>
    <w:rsid w:val="00CD573E"/>
    <w:rsid w:val="00CD58F6"/>
    <w:rsid w:val="00CD7E01"/>
    <w:rsid w:val="00CE0275"/>
    <w:rsid w:val="00CE0D8A"/>
    <w:rsid w:val="00CE13BC"/>
    <w:rsid w:val="00CE2228"/>
    <w:rsid w:val="00CE3158"/>
    <w:rsid w:val="00CE44DB"/>
    <w:rsid w:val="00CE46E0"/>
    <w:rsid w:val="00CE4F98"/>
    <w:rsid w:val="00CE5C0D"/>
    <w:rsid w:val="00CE7812"/>
    <w:rsid w:val="00CE79A4"/>
    <w:rsid w:val="00CE7AC9"/>
    <w:rsid w:val="00CF0B18"/>
    <w:rsid w:val="00CF27DE"/>
    <w:rsid w:val="00CF2823"/>
    <w:rsid w:val="00CF3238"/>
    <w:rsid w:val="00CF43AB"/>
    <w:rsid w:val="00CF43CB"/>
    <w:rsid w:val="00CF49E2"/>
    <w:rsid w:val="00CF4DED"/>
    <w:rsid w:val="00CF7187"/>
    <w:rsid w:val="00CF76A7"/>
    <w:rsid w:val="00CF7D9E"/>
    <w:rsid w:val="00D00168"/>
    <w:rsid w:val="00D0033E"/>
    <w:rsid w:val="00D0146E"/>
    <w:rsid w:val="00D019B5"/>
    <w:rsid w:val="00D02421"/>
    <w:rsid w:val="00D030AD"/>
    <w:rsid w:val="00D03491"/>
    <w:rsid w:val="00D03B20"/>
    <w:rsid w:val="00D03D2A"/>
    <w:rsid w:val="00D04608"/>
    <w:rsid w:val="00D060B0"/>
    <w:rsid w:val="00D07012"/>
    <w:rsid w:val="00D07B33"/>
    <w:rsid w:val="00D10C42"/>
    <w:rsid w:val="00D1117C"/>
    <w:rsid w:val="00D1177C"/>
    <w:rsid w:val="00D11F5A"/>
    <w:rsid w:val="00D1300E"/>
    <w:rsid w:val="00D13255"/>
    <w:rsid w:val="00D136C7"/>
    <w:rsid w:val="00D13958"/>
    <w:rsid w:val="00D14C53"/>
    <w:rsid w:val="00D16554"/>
    <w:rsid w:val="00D1660C"/>
    <w:rsid w:val="00D16A70"/>
    <w:rsid w:val="00D16CB1"/>
    <w:rsid w:val="00D17AFF"/>
    <w:rsid w:val="00D21C17"/>
    <w:rsid w:val="00D22C5A"/>
    <w:rsid w:val="00D2320E"/>
    <w:rsid w:val="00D23D32"/>
    <w:rsid w:val="00D24216"/>
    <w:rsid w:val="00D24761"/>
    <w:rsid w:val="00D25D66"/>
    <w:rsid w:val="00D2744A"/>
    <w:rsid w:val="00D279BE"/>
    <w:rsid w:val="00D301BD"/>
    <w:rsid w:val="00D3069A"/>
    <w:rsid w:val="00D31132"/>
    <w:rsid w:val="00D323B5"/>
    <w:rsid w:val="00D34848"/>
    <w:rsid w:val="00D3494C"/>
    <w:rsid w:val="00D35915"/>
    <w:rsid w:val="00D36527"/>
    <w:rsid w:val="00D36C9D"/>
    <w:rsid w:val="00D40F04"/>
    <w:rsid w:val="00D41D97"/>
    <w:rsid w:val="00D42ECC"/>
    <w:rsid w:val="00D44210"/>
    <w:rsid w:val="00D443EA"/>
    <w:rsid w:val="00D4527E"/>
    <w:rsid w:val="00D45F88"/>
    <w:rsid w:val="00D46383"/>
    <w:rsid w:val="00D46655"/>
    <w:rsid w:val="00D47696"/>
    <w:rsid w:val="00D47BFF"/>
    <w:rsid w:val="00D47C19"/>
    <w:rsid w:val="00D50CFB"/>
    <w:rsid w:val="00D50CFF"/>
    <w:rsid w:val="00D5187E"/>
    <w:rsid w:val="00D51A8E"/>
    <w:rsid w:val="00D522CB"/>
    <w:rsid w:val="00D53472"/>
    <w:rsid w:val="00D545E9"/>
    <w:rsid w:val="00D5487E"/>
    <w:rsid w:val="00D55469"/>
    <w:rsid w:val="00D561F6"/>
    <w:rsid w:val="00D5628D"/>
    <w:rsid w:val="00D56459"/>
    <w:rsid w:val="00D56B1F"/>
    <w:rsid w:val="00D5790B"/>
    <w:rsid w:val="00D60275"/>
    <w:rsid w:val="00D6055E"/>
    <w:rsid w:val="00D607B0"/>
    <w:rsid w:val="00D613AD"/>
    <w:rsid w:val="00D62271"/>
    <w:rsid w:val="00D62F7F"/>
    <w:rsid w:val="00D64300"/>
    <w:rsid w:val="00D649E0"/>
    <w:rsid w:val="00D64C21"/>
    <w:rsid w:val="00D660CB"/>
    <w:rsid w:val="00D6620F"/>
    <w:rsid w:val="00D662F9"/>
    <w:rsid w:val="00D6682B"/>
    <w:rsid w:val="00D66AD1"/>
    <w:rsid w:val="00D672BB"/>
    <w:rsid w:val="00D678B7"/>
    <w:rsid w:val="00D704BE"/>
    <w:rsid w:val="00D70B35"/>
    <w:rsid w:val="00D715F8"/>
    <w:rsid w:val="00D72BE7"/>
    <w:rsid w:val="00D73C85"/>
    <w:rsid w:val="00D73DD5"/>
    <w:rsid w:val="00D74481"/>
    <w:rsid w:val="00D7452D"/>
    <w:rsid w:val="00D7547A"/>
    <w:rsid w:val="00D757B0"/>
    <w:rsid w:val="00D76A30"/>
    <w:rsid w:val="00D77EB2"/>
    <w:rsid w:val="00D8108A"/>
    <w:rsid w:val="00D8113D"/>
    <w:rsid w:val="00D816B3"/>
    <w:rsid w:val="00D816C2"/>
    <w:rsid w:val="00D84F41"/>
    <w:rsid w:val="00D85110"/>
    <w:rsid w:val="00D8563E"/>
    <w:rsid w:val="00D85D3E"/>
    <w:rsid w:val="00D85DC1"/>
    <w:rsid w:val="00D85EDE"/>
    <w:rsid w:val="00D879E6"/>
    <w:rsid w:val="00D90E3B"/>
    <w:rsid w:val="00D917D2"/>
    <w:rsid w:val="00D919E8"/>
    <w:rsid w:val="00D91A9E"/>
    <w:rsid w:val="00D928D0"/>
    <w:rsid w:val="00D93598"/>
    <w:rsid w:val="00D93C12"/>
    <w:rsid w:val="00D940C2"/>
    <w:rsid w:val="00D94317"/>
    <w:rsid w:val="00D94EA3"/>
    <w:rsid w:val="00D95944"/>
    <w:rsid w:val="00D9648B"/>
    <w:rsid w:val="00DA0562"/>
    <w:rsid w:val="00DA0CB4"/>
    <w:rsid w:val="00DA2104"/>
    <w:rsid w:val="00DA27A6"/>
    <w:rsid w:val="00DA2C01"/>
    <w:rsid w:val="00DA3A13"/>
    <w:rsid w:val="00DA4749"/>
    <w:rsid w:val="00DA4DE4"/>
    <w:rsid w:val="00DA4E20"/>
    <w:rsid w:val="00DA6365"/>
    <w:rsid w:val="00DA673F"/>
    <w:rsid w:val="00DA6F0E"/>
    <w:rsid w:val="00DA6F71"/>
    <w:rsid w:val="00DA739E"/>
    <w:rsid w:val="00DA7CA5"/>
    <w:rsid w:val="00DB02D6"/>
    <w:rsid w:val="00DB16E2"/>
    <w:rsid w:val="00DB1C28"/>
    <w:rsid w:val="00DB2CEE"/>
    <w:rsid w:val="00DB3904"/>
    <w:rsid w:val="00DB4B17"/>
    <w:rsid w:val="00DB4B37"/>
    <w:rsid w:val="00DB4C6D"/>
    <w:rsid w:val="00DB58B3"/>
    <w:rsid w:val="00DB64E2"/>
    <w:rsid w:val="00DB76FC"/>
    <w:rsid w:val="00DC077F"/>
    <w:rsid w:val="00DC0CA8"/>
    <w:rsid w:val="00DC0D50"/>
    <w:rsid w:val="00DC0D83"/>
    <w:rsid w:val="00DC1113"/>
    <w:rsid w:val="00DC139D"/>
    <w:rsid w:val="00DC5E0A"/>
    <w:rsid w:val="00DC6218"/>
    <w:rsid w:val="00DC64F3"/>
    <w:rsid w:val="00DC76F7"/>
    <w:rsid w:val="00DC783E"/>
    <w:rsid w:val="00DD05BB"/>
    <w:rsid w:val="00DD0CBC"/>
    <w:rsid w:val="00DD1631"/>
    <w:rsid w:val="00DD1C7C"/>
    <w:rsid w:val="00DD1EFD"/>
    <w:rsid w:val="00DD28DA"/>
    <w:rsid w:val="00DD33F4"/>
    <w:rsid w:val="00DD41E1"/>
    <w:rsid w:val="00DD4D8C"/>
    <w:rsid w:val="00DD4F4C"/>
    <w:rsid w:val="00DD584D"/>
    <w:rsid w:val="00DD5FE8"/>
    <w:rsid w:val="00DD6AB3"/>
    <w:rsid w:val="00DD6C06"/>
    <w:rsid w:val="00DD78B0"/>
    <w:rsid w:val="00DE1D3D"/>
    <w:rsid w:val="00DE23E4"/>
    <w:rsid w:val="00DE2963"/>
    <w:rsid w:val="00DE3250"/>
    <w:rsid w:val="00DE370A"/>
    <w:rsid w:val="00DE37BD"/>
    <w:rsid w:val="00DE3CC8"/>
    <w:rsid w:val="00DE3EA3"/>
    <w:rsid w:val="00DE5C75"/>
    <w:rsid w:val="00DE5E0E"/>
    <w:rsid w:val="00DE69C0"/>
    <w:rsid w:val="00DE7058"/>
    <w:rsid w:val="00DE7FF8"/>
    <w:rsid w:val="00DF0743"/>
    <w:rsid w:val="00DF1E35"/>
    <w:rsid w:val="00DF20F4"/>
    <w:rsid w:val="00DF2759"/>
    <w:rsid w:val="00DF2F9D"/>
    <w:rsid w:val="00DF3840"/>
    <w:rsid w:val="00DF3936"/>
    <w:rsid w:val="00DF60E0"/>
    <w:rsid w:val="00DF63AD"/>
    <w:rsid w:val="00DF64DE"/>
    <w:rsid w:val="00DF7EA4"/>
    <w:rsid w:val="00E01140"/>
    <w:rsid w:val="00E012DF"/>
    <w:rsid w:val="00E01F7C"/>
    <w:rsid w:val="00E02014"/>
    <w:rsid w:val="00E02360"/>
    <w:rsid w:val="00E026F6"/>
    <w:rsid w:val="00E042A4"/>
    <w:rsid w:val="00E04590"/>
    <w:rsid w:val="00E0461B"/>
    <w:rsid w:val="00E046FB"/>
    <w:rsid w:val="00E04EBF"/>
    <w:rsid w:val="00E0506F"/>
    <w:rsid w:val="00E053AA"/>
    <w:rsid w:val="00E070B0"/>
    <w:rsid w:val="00E07653"/>
    <w:rsid w:val="00E07867"/>
    <w:rsid w:val="00E108EB"/>
    <w:rsid w:val="00E10CEC"/>
    <w:rsid w:val="00E12154"/>
    <w:rsid w:val="00E12580"/>
    <w:rsid w:val="00E13262"/>
    <w:rsid w:val="00E137DA"/>
    <w:rsid w:val="00E160C4"/>
    <w:rsid w:val="00E16B92"/>
    <w:rsid w:val="00E171B4"/>
    <w:rsid w:val="00E17EE3"/>
    <w:rsid w:val="00E207FA"/>
    <w:rsid w:val="00E20EED"/>
    <w:rsid w:val="00E21DC6"/>
    <w:rsid w:val="00E2202B"/>
    <w:rsid w:val="00E2211E"/>
    <w:rsid w:val="00E2288F"/>
    <w:rsid w:val="00E22B36"/>
    <w:rsid w:val="00E23269"/>
    <w:rsid w:val="00E23602"/>
    <w:rsid w:val="00E237A0"/>
    <w:rsid w:val="00E238CA"/>
    <w:rsid w:val="00E254E4"/>
    <w:rsid w:val="00E25BDD"/>
    <w:rsid w:val="00E2607F"/>
    <w:rsid w:val="00E26848"/>
    <w:rsid w:val="00E270C6"/>
    <w:rsid w:val="00E30079"/>
    <w:rsid w:val="00E30866"/>
    <w:rsid w:val="00E3111D"/>
    <w:rsid w:val="00E31336"/>
    <w:rsid w:val="00E31942"/>
    <w:rsid w:val="00E32E93"/>
    <w:rsid w:val="00E33107"/>
    <w:rsid w:val="00E36D35"/>
    <w:rsid w:val="00E3752C"/>
    <w:rsid w:val="00E37C28"/>
    <w:rsid w:val="00E4030B"/>
    <w:rsid w:val="00E406FB"/>
    <w:rsid w:val="00E4169B"/>
    <w:rsid w:val="00E4266A"/>
    <w:rsid w:val="00E426C4"/>
    <w:rsid w:val="00E42B10"/>
    <w:rsid w:val="00E43B44"/>
    <w:rsid w:val="00E445A0"/>
    <w:rsid w:val="00E446A9"/>
    <w:rsid w:val="00E4559E"/>
    <w:rsid w:val="00E46357"/>
    <w:rsid w:val="00E472FC"/>
    <w:rsid w:val="00E47C1D"/>
    <w:rsid w:val="00E505B2"/>
    <w:rsid w:val="00E51018"/>
    <w:rsid w:val="00E519C3"/>
    <w:rsid w:val="00E51C49"/>
    <w:rsid w:val="00E51EA8"/>
    <w:rsid w:val="00E52A3B"/>
    <w:rsid w:val="00E534ED"/>
    <w:rsid w:val="00E541F0"/>
    <w:rsid w:val="00E54393"/>
    <w:rsid w:val="00E54843"/>
    <w:rsid w:val="00E54F2B"/>
    <w:rsid w:val="00E55447"/>
    <w:rsid w:val="00E55C06"/>
    <w:rsid w:val="00E55E74"/>
    <w:rsid w:val="00E56BED"/>
    <w:rsid w:val="00E60D8D"/>
    <w:rsid w:val="00E617FA"/>
    <w:rsid w:val="00E61D64"/>
    <w:rsid w:val="00E62EF7"/>
    <w:rsid w:val="00E63CF7"/>
    <w:rsid w:val="00E63D3E"/>
    <w:rsid w:val="00E6414D"/>
    <w:rsid w:val="00E645A1"/>
    <w:rsid w:val="00E66841"/>
    <w:rsid w:val="00E66A61"/>
    <w:rsid w:val="00E67188"/>
    <w:rsid w:val="00E7137F"/>
    <w:rsid w:val="00E7204F"/>
    <w:rsid w:val="00E72E68"/>
    <w:rsid w:val="00E73FFE"/>
    <w:rsid w:val="00E7460B"/>
    <w:rsid w:val="00E74F1C"/>
    <w:rsid w:val="00E75B24"/>
    <w:rsid w:val="00E75C68"/>
    <w:rsid w:val="00E765F0"/>
    <w:rsid w:val="00E76A68"/>
    <w:rsid w:val="00E77D24"/>
    <w:rsid w:val="00E77F29"/>
    <w:rsid w:val="00E80E45"/>
    <w:rsid w:val="00E830DD"/>
    <w:rsid w:val="00E832DA"/>
    <w:rsid w:val="00E835DE"/>
    <w:rsid w:val="00E83B81"/>
    <w:rsid w:val="00E83C24"/>
    <w:rsid w:val="00E84338"/>
    <w:rsid w:val="00E84567"/>
    <w:rsid w:val="00E84694"/>
    <w:rsid w:val="00E84851"/>
    <w:rsid w:val="00E84F69"/>
    <w:rsid w:val="00E85A74"/>
    <w:rsid w:val="00E90DDD"/>
    <w:rsid w:val="00E911FF"/>
    <w:rsid w:val="00E922C1"/>
    <w:rsid w:val="00E92770"/>
    <w:rsid w:val="00E92D9B"/>
    <w:rsid w:val="00E93C83"/>
    <w:rsid w:val="00E94C31"/>
    <w:rsid w:val="00E958BD"/>
    <w:rsid w:val="00E961EC"/>
    <w:rsid w:val="00E963A7"/>
    <w:rsid w:val="00E96D66"/>
    <w:rsid w:val="00E97E86"/>
    <w:rsid w:val="00EA0001"/>
    <w:rsid w:val="00EA0FB3"/>
    <w:rsid w:val="00EA19CD"/>
    <w:rsid w:val="00EA2727"/>
    <w:rsid w:val="00EA2898"/>
    <w:rsid w:val="00EA312E"/>
    <w:rsid w:val="00EA3911"/>
    <w:rsid w:val="00EA42C9"/>
    <w:rsid w:val="00EA43D7"/>
    <w:rsid w:val="00EA4C1B"/>
    <w:rsid w:val="00EA4CE6"/>
    <w:rsid w:val="00EA6431"/>
    <w:rsid w:val="00EA73A9"/>
    <w:rsid w:val="00EA7444"/>
    <w:rsid w:val="00EA7896"/>
    <w:rsid w:val="00EB1EEA"/>
    <w:rsid w:val="00EB3477"/>
    <w:rsid w:val="00EB41E5"/>
    <w:rsid w:val="00EB4BDA"/>
    <w:rsid w:val="00EB5E79"/>
    <w:rsid w:val="00EB7012"/>
    <w:rsid w:val="00EC10B3"/>
    <w:rsid w:val="00EC1F55"/>
    <w:rsid w:val="00EC245A"/>
    <w:rsid w:val="00EC3C1F"/>
    <w:rsid w:val="00EC4504"/>
    <w:rsid w:val="00EC456D"/>
    <w:rsid w:val="00EC4DC0"/>
    <w:rsid w:val="00EC4E92"/>
    <w:rsid w:val="00EC5D24"/>
    <w:rsid w:val="00EC5D59"/>
    <w:rsid w:val="00EC6A6D"/>
    <w:rsid w:val="00ED002D"/>
    <w:rsid w:val="00ED0268"/>
    <w:rsid w:val="00ED04F9"/>
    <w:rsid w:val="00ED162A"/>
    <w:rsid w:val="00ED1958"/>
    <w:rsid w:val="00ED2342"/>
    <w:rsid w:val="00ED3079"/>
    <w:rsid w:val="00ED385A"/>
    <w:rsid w:val="00ED4022"/>
    <w:rsid w:val="00ED4109"/>
    <w:rsid w:val="00ED4495"/>
    <w:rsid w:val="00ED4799"/>
    <w:rsid w:val="00ED4D56"/>
    <w:rsid w:val="00ED553F"/>
    <w:rsid w:val="00ED5911"/>
    <w:rsid w:val="00ED616B"/>
    <w:rsid w:val="00ED6D86"/>
    <w:rsid w:val="00EE0758"/>
    <w:rsid w:val="00EE0EA9"/>
    <w:rsid w:val="00EE1088"/>
    <w:rsid w:val="00EE2184"/>
    <w:rsid w:val="00EE28F4"/>
    <w:rsid w:val="00EE3041"/>
    <w:rsid w:val="00EE3D25"/>
    <w:rsid w:val="00EE42CB"/>
    <w:rsid w:val="00EE5241"/>
    <w:rsid w:val="00EE5A67"/>
    <w:rsid w:val="00EE5ECF"/>
    <w:rsid w:val="00EE6BA9"/>
    <w:rsid w:val="00EE6C08"/>
    <w:rsid w:val="00EE7A2E"/>
    <w:rsid w:val="00EE7F23"/>
    <w:rsid w:val="00EF0BAB"/>
    <w:rsid w:val="00EF0DB7"/>
    <w:rsid w:val="00EF169F"/>
    <w:rsid w:val="00EF16BF"/>
    <w:rsid w:val="00EF208D"/>
    <w:rsid w:val="00EF2684"/>
    <w:rsid w:val="00EF28A4"/>
    <w:rsid w:val="00EF2D07"/>
    <w:rsid w:val="00EF3894"/>
    <w:rsid w:val="00EF3FEC"/>
    <w:rsid w:val="00EF40E0"/>
    <w:rsid w:val="00EF4F51"/>
    <w:rsid w:val="00EF5572"/>
    <w:rsid w:val="00EF5FCD"/>
    <w:rsid w:val="00EF6327"/>
    <w:rsid w:val="00EF67DB"/>
    <w:rsid w:val="00EF6968"/>
    <w:rsid w:val="00EF7373"/>
    <w:rsid w:val="00EF7484"/>
    <w:rsid w:val="00EF7A76"/>
    <w:rsid w:val="00F01109"/>
    <w:rsid w:val="00F01B8C"/>
    <w:rsid w:val="00F01FED"/>
    <w:rsid w:val="00F0218E"/>
    <w:rsid w:val="00F0250F"/>
    <w:rsid w:val="00F0255B"/>
    <w:rsid w:val="00F02C2C"/>
    <w:rsid w:val="00F0328C"/>
    <w:rsid w:val="00F0334A"/>
    <w:rsid w:val="00F0336C"/>
    <w:rsid w:val="00F0341D"/>
    <w:rsid w:val="00F05AF0"/>
    <w:rsid w:val="00F060C5"/>
    <w:rsid w:val="00F064CB"/>
    <w:rsid w:val="00F06E6F"/>
    <w:rsid w:val="00F07154"/>
    <w:rsid w:val="00F100F9"/>
    <w:rsid w:val="00F1074F"/>
    <w:rsid w:val="00F1363D"/>
    <w:rsid w:val="00F13CFE"/>
    <w:rsid w:val="00F14FEC"/>
    <w:rsid w:val="00F14FF3"/>
    <w:rsid w:val="00F1543B"/>
    <w:rsid w:val="00F15BD4"/>
    <w:rsid w:val="00F16B77"/>
    <w:rsid w:val="00F16E56"/>
    <w:rsid w:val="00F17619"/>
    <w:rsid w:val="00F21753"/>
    <w:rsid w:val="00F21DEE"/>
    <w:rsid w:val="00F2277F"/>
    <w:rsid w:val="00F227E8"/>
    <w:rsid w:val="00F236D7"/>
    <w:rsid w:val="00F23976"/>
    <w:rsid w:val="00F23A87"/>
    <w:rsid w:val="00F24C80"/>
    <w:rsid w:val="00F253EB"/>
    <w:rsid w:val="00F25A20"/>
    <w:rsid w:val="00F25EB3"/>
    <w:rsid w:val="00F26D85"/>
    <w:rsid w:val="00F315B4"/>
    <w:rsid w:val="00F32D2E"/>
    <w:rsid w:val="00F32E4D"/>
    <w:rsid w:val="00F33692"/>
    <w:rsid w:val="00F33844"/>
    <w:rsid w:val="00F339D0"/>
    <w:rsid w:val="00F34BB6"/>
    <w:rsid w:val="00F352B9"/>
    <w:rsid w:val="00F35CCE"/>
    <w:rsid w:val="00F35DF2"/>
    <w:rsid w:val="00F37A9D"/>
    <w:rsid w:val="00F40C71"/>
    <w:rsid w:val="00F40CA3"/>
    <w:rsid w:val="00F417CD"/>
    <w:rsid w:val="00F43377"/>
    <w:rsid w:val="00F43D35"/>
    <w:rsid w:val="00F452B7"/>
    <w:rsid w:val="00F45370"/>
    <w:rsid w:val="00F45A79"/>
    <w:rsid w:val="00F45D6D"/>
    <w:rsid w:val="00F46437"/>
    <w:rsid w:val="00F46CAB"/>
    <w:rsid w:val="00F46EE0"/>
    <w:rsid w:val="00F47FDB"/>
    <w:rsid w:val="00F50DD7"/>
    <w:rsid w:val="00F513C7"/>
    <w:rsid w:val="00F51D38"/>
    <w:rsid w:val="00F53374"/>
    <w:rsid w:val="00F534DB"/>
    <w:rsid w:val="00F537D7"/>
    <w:rsid w:val="00F548DC"/>
    <w:rsid w:val="00F54BD7"/>
    <w:rsid w:val="00F5586B"/>
    <w:rsid w:val="00F55CD7"/>
    <w:rsid w:val="00F56671"/>
    <w:rsid w:val="00F57591"/>
    <w:rsid w:val="00F577EC"/>
    <w:rsid w:val="00F57A98"/>
    <w:rsid w:val="00F6030A"/>
    <w:rsid w:val="00F61539"/>
    <w:rsid w:val="00F61DC5"/>
    <w:rsid w:val="00F62A16"/>
    <w:rsid w:val="00F62D5C"/>
    <w:rsid w:val="00F638BF"/>
    <w:rsid w:val="00F63B92"/>
    <w:rsid w:val="00F6431D"/>
    <w:rsid w:val="00F64E71"/>
    <w:rsid w:val="00F650A1"/>
    <w:rsid w:val="00F65857"/>
    <w:rsid w:val="00F6589F"/>
    <w:rsid w:val="00F65B5F"/>
    <w:rsid w:val="00F6628B"/>
    <w:rsid w:val="00F67319"/>
    <w:rsid w:val="00F67564"/>
    <w:rsid w:val="00F67E87"/>
    <w:rsid w:val="00F717FD"/>
    <w:rsid w:val="00F7243C"/>
    <w:rsid w:val="00F7268F"/>
    <w:rsid w:val="00F72F0B"/>
    <w:rsid w:val="00F72FF5"/>
    <w:rsid w:val="00F7379C"/>
    <w:rsid w:val="00F73B5E"/>
    <w:rsid w:val="00F77811"/>
    <w:rsid w:val="00F77FB6"/>
    <w:rsid w:val="00F81C21"/>
    <w:rsid w:val="00F829E5"/>
    <w:rsid w:val="00F82AEB"/>
    <w:rsid w:val="00F84653"/>
    <w:rsid w:val="00F85E59"/>
    <w:rsid w:val="00F8608A"/>
    <w:rsid w:val="00F865FD"/>
    <w:rsid w:val="00F86CCF"/>
    <w:rsid w:val="00F87DC5"/>
    <w:rsid w:val="00F90C5D"/>
    <w:rsid w:val="00F9116D"/>
    <w:rsid w:val="00F925BE"/>
    <w:rsid w:val="00F947BC"/>
    <w:rsid w:val="00F952C0"/>
    <w:rsid w:val="00F96568"/>
    <w:rsid w:val="00F96809"/>
    <w:rsid w:val="00F9694E"/>
    <w:rsid w:val="00F96CD3"/>
    <w:rsid w:val="00F96FD7"/>
    <w:rsid w:val="00F97027"/>
    <w:rsid w:val="00F9717A"/>
    <w:rsid w:val="00F974BF"/>
    <w:rsid w:val="00F97620"/>
    <w:rsid w:val="00FA01B5"/>
    <w:rsid w:val="00FA05C5"/>
    <w:rsid w:val="00FA0800"/>
    <w:rsid w:val="00FA1676"/>
    <w:rsid w:val="00FA48DA"/>
    <w:rsid w:val="00FA49C6"/>
    <w:rsid w:val="00FA4DCB"/>
    <w:rsid w:val="00FA55FC"/>
    <w:rsid w:val="00FA56A3"/>
    <w:rsid w:val="00FA5979"/>
    <w:rsid w:val="00FA6BCB"/>
    <w:rsid w:val="00FA74EB"/>
    <w:rsid w:val="00FA783B"/>
    <w:rsid w:val="00FA7C5B"/>
    <w:rsid w:val="00FA7EC7"/>
    <w:rsid w:val="00FB02CE"/>
    <w:rsid w:val="00FB05A4"/>
    <w:rsid w:val="00FB0A06"/>
    <w:rsid w:val="00FB14E5"/>
    <w:rsid w:val="00FB1796"/>
    <w:rsid w:val="00FB1E9D"/>
    <w:rsid w:val="00FB216C"/>
    <w:rsid w:val="00FB350A"/>
    <w:rsid w:val="00FB39B0"/>
    <w:rsid w:val="00FB3F52"/>
    <w:rsid w:val="00FB4009"/>
    <w:rsid w:val="00FB4258"/>
    <w:rsid w:val="00FB50C6"/>
    <w:rsid w:val="00FB5AE8"/>
    <w:rsid w:val="00FB5F73"/>
    <w:rsid w:val="00FB710F"/>
    <w:rsid w:val="00FB7EA6"/>
    <w:rsid w:val="00FB7EEE"/>
    <w:rsid w:val="00FC01B1"/>
    <w:rsid w:val="00FC099F"/>
    <w:rsid w:val="00FC0F8F"/>
    <w:rsid w:val="00FC194B"/>
    <w:rsid w:val="00FC1A2A"/>
    <w:rsid w:val="00FC1F96"/>
    <w:rsid w:val="00FC1FB8"/>
    <w:rsid w:val="00FC3351"/>
    <w:rsid w:val="00FC51D0"/>
    <w:rsid w:val="00FC58FA"/>
    <w:rsid w:val="00FC62FC"/>
    <w:rsid w:val="00FC790E"/>
    <w:rsid w:val="00FC7A77"/>
    <w:rsid w:val="00FD0C41"/>
    <w:rsid w:val="00FD1A29"/>
    <w:rsid w:val="00FD1AF9"/>
    <w:rsid w:val="00FD29F2"/>
    <w:rsid w:val="00FD3013"/>
    <w:rsid w:val="00FD3876"/>
    <w:rsid w:val="00FD3B8A"/>
    <w:rsid w:val="00FD4040"/>
    <w:rsid w:val="00FD4193"/>
    <w:rsid w:val="00FD472C"/>
    <w:rsid w:val="00FD4839"/>
    <w:rsid w:val="00FD4868"/>
    <w:rsid w:val="00FD6356"/>
    <w:rsid w:val="00FD6D0E"/>
    <w:rsid w:val="00FD7558"/>
    <w:rsid w:val="00FD764E"/>
    <w:rsid w:val="00FE0279"/>
    <w:rsid w:val="00FE037F"/>
    <w:rsid w:val="00FE1B39"/>
    <w:rsid w:val="00FE22B3"/>
    <w:rsid w:val="00FE2FC1"/>
    <w:rsid w:val="00FE34DF"/>
    <w:rsid w:val="00FE45EA"/>
    <w:rsid w:val="00FE5ACB"/>
    <w:rsid w:val="00FE6754"/>
    <w:rsid w:val="00FE6869"/>
    <w:rsid w:val="00FE7793"/>
    <w:rsid w:val="00FE7877"/>
    <w:rsid w:val="00FF0A19"/>
    <w:rsid w:val="00FF109F"/>
    <w:rsid w:val="00FF1391"/>
    <w:rsid w:val="00FF153C"/>
    <w:rsid w:val="00FF28B3"/>
    <w:rsid w:val="00FF443B"/>
    <w:rsid w:val="00FF4B84"/>
    <w:rsid w:val="00FF55D1"/>
    <w:rsid w:val="00FF5791"/>
    <w:rsid w:val="00FF5D21"/>
    <w:rsid w:val="00FF6A16"/>
    <w:rsid w:val="00FF6B73"/>
    <w:rsid w:val="00FF7A4F"/>
    <w:rsid w:val="00FF7B8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695AD"/>
  <w15:docId w15:val="{28C06DF2-C2DF-4D81-8B48-D812F655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3AD"/>
    <w:pPr>
      <w:ind w:left="720"/>
      <w:contextualSpacing/>
    </w:pPr>
  </w:style>
  <w:style w:type="paragraph" w:styleId="NormalWeb">
    <w:name w:val="Normal (Web)"/>
    <w:basedOn w:val="Normal"/>
    <w:uiPriority w:val="99"/>
    <w:unhideWhenUsed/>
    <w:rsid w:val="001C6F2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E164C"/>
  </w:style>
  <w:style w:type="character" w:customStyle="1" w:styleId="FootnoteTextChar">
    <w:name w:val="Footnote Text Char"/>
    <w:basedOn w:val="DefaultParagraphFont"/>
    <w:link w:val="FootnoteText"/>
    <w:uiPriority w:val="99"/>
    <w:rsid w:val="009E164C"/>
  </w:style>
  <w:style w:type="character" w:styleId="FootnoteReference">
    <w:name w:val="footnote reference"/>
    <w:basedOn w:val="DefaultParagraphFont"/>
    <w:uiPriority w:val="99"/>
    <w:unhideWhenUsed/>
    <w:rsid w:val="009E164C"/>
    <w:rPr>
      <w:vertAlign w:val="superscript"/>
    </w:rPr>
  </w:style>
  <w:style w:type="paragraph" w:customStyle="1" w:styleId="allsa-para-10">
    <w:name w:val="allsa-para-10"/>
    <w:basedOn w:val="Normal"/>
    <w:rsid w:val="009E164C"/>
    <w:pPr>
      <w:spacing w:before="100" w:beforeAutospacing="1" w:after="100" w:afterAutospacing="1"/>
    </w:pPr>
    <w:rPr>
      <w:rFonts w:ascii="Times New Roman" w:hAnsi="Times New Roman" w:cs="Times New Roman"/>
      <w:sz w:val="20"/>
      <w:szCs w:val="20"/>
    </w:rPr>
  </w:style>
  <w:style w:type="paragraph" w:customStyle="1" w:styleId="arunninghead">
    <w:name w:val="arunninghead"/>
    <w:basedOn w:val="Normal"/>
    <w:rsid w:val="009E164C"/>
    <w:pPr>
      <w:spacing w:before="100" w:beforeAutospacing="1" w:after="100" w:afterAutospacing="1"/>
    </w:pPr>
    <w:rPr>
      <w:rFonts w:ascii="Times New Roman" w:hAnsi="Times New Roman" w:cs="Times New Roman"/>
      <w:sz w:val="20"/>
      <w:szCs w:val="20"/>
    </w:rPr>
  </w:style>
  <w:style w:type="character" w:customStyle="1" w:styleId="popup-link">
    <w:name w:val="popup-link"/>
    <w:basedOn w:val="DefaultParagraphFont"/>
    <w:rsid w:val="009E164C"/>
  </w:style>
  <w:style w:type="character" w:customStyle="1" w:styleId="apple-converted-space">
    <w:name w:val="apple-converted-space"/>
    <w:basedOn w:val="DefaultParagraphFont"/>
    <w:rsid w:val="009E164C"/>
  </w:style>
  <w:style w:type="character" w:customStyle="1" w:styleId="footnote-link">
    <w:name w:val="footnote-link"/>
    <w:basedOn w:val="DefaultParagraphFont"/>
    <w:rsid w:val="00841640"/>
  </w:style>
  <w:style w:type="paragraph" w:customStyle="1" w:styleId="bodytext">
    <w:name w:val="bodytext"/>
    <w:basedOn w:val="Normal"/>
    <w:rsid w:val="00C15A75"/>
    <w:pPr>
      <w:spacing w:before="100" w:beforeAutospacing="1" w:after="100" w:afterAutospacing="1"/>
    </w:pPr>
    <w:rPr>
      <w:rFonts w:ascii="Times New Roman" w:hAnsi="Times New Roman" w:cs="Times New Roman"/>
      <w:sz w:val="20"/>
      <w:szCs w:val="20"/>
    </w:rPr>
  </w:style>
  <w:style w:type="paragraph" w:customStyle="1" w:styleId="qt-1">
    <w:name w:val="qt-1"/>
    <w:basedOn w:val="Normal"/>
    <w:rsid w:val="00C15A75"/>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9E6515"/>
    <w:pPr>
      <w:tabs>
        <w:tab w:val="center" w:pos="4320"/>
        <w:tab w:val="right" w:pos="8640"/>
      </w:tabs>
    </w:pPr>
  </w:style>
  <w:style w:type="character" w:customStyle="1" w:styleId="FooterChar">
    <w:name w:val="Footer Char"/>
    <w:basedOn w:val="DefaultParagraphFont"/>
    <w:link w:val="Footer"/>
    <w:uiPriority w:val="99"/>
    <w:rsid w:val="009E6515"/>
  </w:style>
  <w:style w:type="character" w:styleId="PageNumber">
    <w:name w:val="page number"/>
    <w:basedOn w:val="DefaultParagraphFont"/>
    <w:uiPriority w:val="99"/>
    <w:semiHidden/>
    <w:unhideWhenUsed/>
    <w:rsid w:val="009E6515"/>
  </w:style>
  <w:style w:type="paragraph" w:customStyle="1" w:styleId="parafullout-6pt">
    <w:name w:val="parafullout-6pt"/>
    <w:basedOn w:val="Normal"/>
    <w:rsid w:val="00832233"/>
    <w:pPr>
      <w:spacing w:before="100" w:beforeAutospacing="1" w:after="100" w:afterAutospacing="1"/>
    </w:pPr>
    <w:rPr>
      <w:rFonts w:ascii="Times New Roman" w:hAnsi="Times New Roman" w:cs="Times New Roman"/>
      <w:sz w:val="20"/>
      <w:szCs w:val="20"/>
    </w:rPr>
  </w:style>
  <w:style w:type="paragraph" w:customStyle="1" w:styleId="para1quadindent">
    <w:name w:val="para1quadindent"/>
    <w:basedOn w:val="Normal"/>
    <w:rsid w:val="0083223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rsid w:val="00333FF0"/>
    <w:rPr>
      <w:color w:val="0000FF" w:themeColor="hyperlink"/>
      <w:u w:val="single"/>
    </w:rPr>
  </w:style>
  <w:style w:type="paragraph" w:customStyle="1" w:styleId="para-100">
    <w:name w:val="para-100"/>
    <w:basedOn w:val="Normal"/>
    <w:rsid w:val="00347BB4"/>
    <w:pPr>
      <w:spacing w:before="100" w:beforeAutospacing="1" w:after="100" w:afterAutospacing="1"/>
    </w:pPr>
    <w:rPr>
      <w:rFonts w:ascii="Times New Roman" w:eastAsia="Times New Roman" w:hAnsi="Times New Roman" w:cs="Times New Roman"/>
      <w:lang w:eastAsia="en-GB"/>
    </w:rPr>
  </w:style>
  <w:style w:type="paragraph" w:customStyle="1" w:styleId="para-10">
    <w:name w:val="para-10"/>
    <w:basedOn w:val="Normal"/>
    <w:rsid w:val="003C22A9"/>
    <w:pPr>
      <w:spacing w:before="100" w:beforeAutospacing="1" w:after="100" w:afterAutospacing="1"/>
    </w:pPr>
    <w:rPr>
      <w:rFonts w:ascii="Times New Roman" w:eastAsia="Times New Roman" w:hAnsi="Times New Roman" w:cs="Times New Roman"/>
      <w:lang w:eastAsia="en-GB"/>
    </w:rPr>
  </w:style>
  <w:style w:type="paragraph" w:customStyle="1" w:styleId="q-normal-1-1">
    <w:name w:val="q-normal-1-1"/>
    <w:basedOn w:val="Normal"/>
    <w:rsid w:val="003C22A9"/>
    <w:pPr>
      <w:spacing w:before="100" w:beforeAutospacing="1" w:after="100" w:afterAutospacing="1"/>
    </w:pPr>
    <w:rPr>
      <w:rFonts w:ascii="Times New Roman" w:eastAsia="Times New Roman" w:hAnsi="Times New Roman" w:cs="Times New Roman"/>
      <w:lang w:eastAsia="en-GB"/>
    </w:rPr>
  </w:style>
  <w:style w:type="paragraph" w:customStyle="1" w:styleId="allsa-quoteindent3">
    <w:name w:val="allsa-quoteindent3"/>
    <w:basedOn w:val="Normal"/>
    <w:rsid w:val="00BF1647"/>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D25D9"/>
    <w:rPr>
      <w:sz w:val="16"/>
      <w:szCs w:val="16"/>
    </w:rPr>
  </w:style>
  <w:style w:type="paragraph" w:styleId="CommentText">
    <w:name w:val="annotation text"/>
    <w:basedOn w:val="Normal"/>
    <w:link w:val="CommentTextChar"/>
    <w:uiPriority w:val="99"/>
    <w:semiHidden/>
    <w:unhideWhenUsed/>
    <w:rsid w:val="004D25D9"/>
    <w:rPr>
      <w:sz w:val="20"/>
      <w:szCs w:val="20"/>
    </w:rPr>
  </w:style>
  <w:style w:type="character" w:customStyle="1" w:styleId="CommentTextChar">
    <w:name w:val="Comment Text Char"/>
    <w:basedOn w:val="DefaultParagraphFont"/>
    <w:link w:val="CommentText"/>
    <w:uiPriority w:val="99"/>
    <w:semiHidden/>
    <w:rsid w:val="004D25D9"/>
    <w:rPr>
      <w:sz w:val="20"/>
      <w:szCs w:val="20"/>
    </w:rPr>
  </w:style>
  <w:style w:type="paragraph" w:styleId="CommentSubject">
    <w:name w:val="annotation subject"/>
    <w:basedOn w:val="CommentText"/>
    <w:next w:val="CommentText"/>
    <w:link w:val="CommentSubjectChar"/>
    <w:uiPriority w:val="99"/>
    <w:semiHidden/>
    <w:unhideWhenUsed/>
    <w:rsid w:val="004D25D9"/>
    <w:rPr>
      <w:b/>
      <w:bCs/>
    </w:rPr>
  </w:style>
  <w:style w:type="character" w:customStyle="1" w:styleId="CommentSubjectChar">
    <w:name w:val="Comment Subject Char"/>
    <w:basedOn w:val="CommentTextChar"/>
    <w:link w:val="CommentSubject"/>
    <w:uiPriority w:val="99"/>
    <w:semiHidden/>
    <w:rsid w:val="004D25D9"/>
    <w:rPr>
      <w:b/>
      <w:bCs/>
      <w:sz w:val="20"/>
      <w:szCs w:val="20"/>
    </w:rPr>
  </w:style>
  <w:style w:type="paragraph" w:styleId="BalloonText">
    <w:name w:val="Balloon Text"/>
    <w:basedOn w:val="Normal"/>
    <w:link w:val="BalloonTextChar"/>
    <w:uiPriority w:val="99"/>
    <w:semiHidden/>
    <w:unhideWhenUsed/>
    <w:rsid w:val="00421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EDA"/>
    <w:rPr>
      <w:rFonts w:ascii="Times New Roman" w:hAnsi="Times New Roman" w:cs="Times New Roman"/>
      <w:sz w:val="18"/>
      <w:szCs w:val="18"/>
    </w:rPr>
  </w:style>
  <w:style w:type="character" w:customStyle="1" w:styleId="lphit">
    <w:name w:val="lphit"/>
    <w:basedOn w:val="DefaultParagraphFont"/>
    <w:rsid w:val="00484C1D"/>
  </w:style>
  <w:style w:type="character" w:customStyle="1" w:styleId="ListParagraphChar">
    <w:name w:val="List Paragraph Char"/>
    <w:link w:val="ListParagraph"/>
    <w:uiPriority w:val="34"/>
    <w:rsid w:val="00E62EF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434">
      <w:bodyDiv w:val="1"/>
      <w:marLeft w:val="0"/>
      <w:marRight w:val="0"/>
      <w:marTop w:val="0"/>
      <w:marBottom w:val="0"/>
      <w:divBdr>
        <w:top w:val="none" w:sz="0" w:space="0" w:color="auto"/>
        <w:left w:val="none" w:sz="0" w:space="0" w:color="auto"/>
        <w:bottom w:val="none" w:sz="0" w:space="0" w:color="auto"/>
        <w:right w:val="none" w:sz="0" w:space="0" w:color="auto"/>
      </w:divBdr>
    </w:div>
    <w:div w:id="46422795">
      <w:bodyDiv w:val="1"/>
      <w:marLeft w:val="0"/>
      <w:marRight w:val="0"/>
      <w:marTop w:val="0"/>
      <w:marBottom w:val="0"/>
      <w:divBdr>
        <w:top w:val="none" w:sz="0" w:space="0" w:color="auto"/>
        <w:left w:val="none" w:sz="0" w:space="0" w:color="auto"/>
        <w:bottom w:val="none" w:sz="0" w:space="0" w:color="auto"/>
        <w:right w:val="none" w:sz="0" w:space="0" w:color="auto"/>
      </w:divBdr>
      <w:divsChild>
        <w:div w:id="1492797925">
          <w:marLeft w:val="0"/>
          <w:marRight w:val="0"/>
          <w:marTop w:val="0"/>
          <w:marBottom w:val="0"/>
          <w:divBdr>
            <w:top w:val="none" w:sz="0" w:space="0" w:color="auto"/>
            <w:left w:val="none" w:sz="0" w:space="0" w:color="auto"/>
            <w:bottom w:val="none" w:sz="0" w:space="0" w:color="auto"/>
            <w:right w:val="none" w:sz="0" w:space="0" w:color="auto"/>
          </w:divBdr>
          <w:divsChild>
            <w:div w:id="180242476">
              <w:marLeft w:val="0"/>
              <w:marRight w:val="0"/>
              <w:marTop w:val="0"/>
              <w:marBottom w:val="0"/>
              <w:divBdr>
                <w:top w:val="none" w:sz="0" w:space="0" w:color="auto"/>
                <w:left w:val="none" w:sz="0" w:space="0" w:color="auto"/>
                <w:bottom w:val="none" w:sz="0" w:space="0" w:color="auto"/>
                <w:right w:val="none" w:sz="0" w:space="0" w:color="auto"/>
              </w:divBdr>
              <w:divsChild>
                <w:div w:id="1780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222">
      <w:bodyDiv w:val="1"/>
      <w:marLeft w:val="0"/>
      <w:marRight w:val="0"/>
      <w:marTop w:val="0"/>
      <w:marBottom w:val="0"/>
      <w:divBdr>
        <w:top w:val="none" w:sz="0" w:space="0" w:color="auto"/>
        <w:left w:val="none" w:sz="0" w:space="0" w:color="auto"/>
        <w:bottom w:val="none" w:sz="0" w:space="0" w:color="auto"/>
        <w:right w:val="none" w:sz="0" w:space="0" w:color="auto"/>
      </w:divBdr>
      <w:divsChild>
        <w:div w:id="291209019">
          <w:marLeft w:val="0"/>
          <w:marRight w:val="0"/>
          <w:marTop w:val="0"/>
          <w:marBottom w:val="0"/>
          <w:divBdr>
            <w:top w:val="none" w:sz="0" w:space="0" w:color="auto"/>
            <w:left w:val="none" w:sz="0" w:space="0" w:color="auto"/>
            <w:bottom w:val="none" w:sz="0" w:space="0" w:color="auto"/>
            <w:right w:val="none" w:sz="0" w:space="0" w:color="auto"/>
          </w:divBdr>
          <w:divsChild>
            <w:div w:id="2117750406">
              <w:marLeft w:val="0"/>
              <w:marRight w:val="0"/>
              <w:marTop w:val="0"/>
              <w:marBottom w:val="0"/>
              <w:divBdr>
                <w:top w:val="none" w:sz="0" w:space="0" w:color="auto"/>
                <w:left w:val="none" w:sz="0" w:space="0" w:color="auto"/>
                <w:bottom w:val="none" w:sz="0" w:space="0" w:color="auto"/>
                <w:right w:val="none" w:sz="0" w:space="0" w:color="auto"/>
              </w:divBdr>
              <w:divsChild>
                <w:div w:id="1671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72">
      <w:bodyDiv w:val="1"/>
      <w:marLeft w:val="0"/>
      <w:marRight w:val="0"/>
      <w:marTop w:val="0"/>
      <w:marBottom w:val="0"/>
      <w:divBdr>
        <w:top w:val="none" w:sz="0" w:space="0" w:color="auto"/>
        <w:left w:val="none" w:sz="0" w:space="0" w:color="auto"/>
        <w:bottom w:val="none" w:sz="0" w:space="0" w:color="auto"/>
        <w:right w:val="none" w:sz="0" w:space="0" w:color="auto"/>
      </w:divBdr>
    </w:div>
    <w:div w:id="629093047">
      <w:bodyDiv w:val="1"/>
      <w:marLeft w:val="0"/>
      <w:marRight w:val="0"/>
      <w:marTop w:val="0"/>
      <w:marBottom w:val="0"/>
      <w:divBdr>
        <w:top w:val="none" w:sz="0" w:space="0" w:color="auto"/>
        <w:left w:val="none" w:sz="0" w:space="0" w:color="auto"/>
        <w:bottom w:val="none" w:sz="0" w:space="0" w:color="auto"/>
        <w:right w:val="none" w:sz="0" w:space="0" w:color="auto"/>
      </w:divBdr>
      <w:divsChild>
        <w:div w:id="23750624">
          <w:marLeft w:val="0"/>
          <w:marRight w:val="0"/>
          <w:marTop w:val="0"/>
          <w:marBottom w:val="0"/>
          <w:divBdr>
            <w:top w:val="none" w:sz="0" w:space="0" w:color="auto"/>
            <w:left w:val="none" w:sz="0" w:space="0" w:color="auto"/>
            <w:bottom w:val="none" w:sz="0" w:space="0" w:color="auto"/>
            <w:right w:val="none" w:sz="0" w:space="0" w:color="auto"/>
          </w:divBdr>
          <w:divsChild>
            <w:div w:id="55709991">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1834174467">
                  <w:marLeft w:val="0"/>
                  <w:marRight w:val="0"/>
                  <w:marTop w:val="0"/>
                  <w:marBottom w:val="0"/>
                  <w:divBdr>
                    <w:top w:val="none" w:sz="0" w:space="0" w:color="auto"/>
                    <w:left w:val="none" w:sz="0" w:space="0" w:color="auto"/>
                    <w:bottom w:val="none" w:sz="0" w:space="0" w:color="auto"/>
                    <w:right w:val="none" w:sz="0" w:space="0" w:color="auto"/>
                  </w:divBdr>
                </w:div>
              </w:divsChild>
            </w:div>
            <w:div w:id="949354719">
              <w:marLeft w:val="0"/>
              <w:marRight w:val="0"/>
              <w:marTop w:val="0"/>
              <w:marBottom w:val="0"/>
              <w:divBdr>
                <w:top w:val="none" w:sz="0" w:space="0" w:color="auto"/>
                <w:left w:val="none" w:sz="0" w:space="0" w:color="auto"/>
                <w:bottom w:val="none" w:sz="0" w:space="0" w:color="auto"/>
                <w:right w:val="none" w:sz="0" w:space="0" w:color="auto"/>
              </w:divBdr>
              <w:divsChild>
                <w:div w:id="73745244">
                  <w:marLeft w:val="0"/>
                  <w:marRight w:val="0"/>
                  <w:marTop w:val="0"/>
                  <w:marBottom w:val="0"/>
                  <w:divBdr>
                    <w:top w:val="none" w:sz="0" w:space="0" w:color="auto"/>
                    <w:left w:val="none" w:sz="0" w:space="0" w:color="auto"/>
                    <w:bottom w:val="none" w:sz="0" w:space="0" w:color="auto"/>
                    <w:right w:val="none" w:sz="0" w:space="0" w:color="auto"/>
                  </w:divBdr>
                </w:div>
              </w:divsChild>
            </w:div>
            <w:div w:id="1055933769">
              <w:marLeft w:val="0"/>
              <w:marRight w:val="0"/>
              <w:marTop w:val="0"/>
              <w:marBottom w:val="0"/>
              <w:divBdr>
                <w:top w:val="none" w:sz="0" w:space="0" w:color="auto"/>
                <w:left w:val="none" w:sz="0" w:space="0" w:color="auto"/>
                <w:bottom w:val="none" w:sz="0" w:space="0" w:color="auto"/>
                <w:right w:val="none" w:sz="0" w:space="0" w:color="auto"/>
              </w:divBdr>
              <w:divsChild>
                <w:div w:id="14258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7399">
          <w:marLeft w:val="0"/>
          <w:marRight w:val="0"/>
          <w:marTop w:val="0"/>
          <w:marBottom w:val="0"/>
          <w:divBdr>
            <w:top w:val="none" w:sz="0" w:space="0" w:color="auto"/>
            <w:left w:val="none" w:sz="0" w:space="0" w:color="auto"/>
            <w:bottom w:val="none" w:sz="0" w:space="0" w:color="auto"/>
            <w:right w:val="none" w:sz="0" w:space="0" w:color="auto"/>
          </w:divBdr>
          <w:divsChild>
            <w:div w:id="1268343179">
              <w:marLeft w:val="0"/>
              <w:marRight w:val="0"/>
              <w:marTop w:val="0"/>
              <w:marBottom w:val="0"/>
              <w:divBdr>
                <w:top w:val="none" w:sz="0" w:space="0" w:color="auto"/>
                <w:left w:val="none" w:sz="0" w:space="0" w:color="auto"/>
                <w:bottom w:val="none" w:sz="0" w:space="0" w:color="auto"/>
                <w:right w:val="none" w:sz="0" w:space="0" w:color="auto"/>
              </w:divBdr>
              <w:divsChild>
                <w:div w:id="600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52392">
      <w:bodyDiv w:val="1"/>
      <w:marLeft w:val="0"/>
      <w:marRight w:val="0"/>
      <w:marTop w:val="0"/>
      <w:marBottom w:val="0"/>
      <w:divBdr>
        <w:top w:val="none" w:sz="0" w:space="0" w:color="auto"/>
        <w:left w:val="none" w:sz="0" w:space="0" w:color="auto"/>
        <w:bottom w:val="none" w:sz="0" w:space="0" w:color="auto"/>
        <w:right w:val="none" w:sz="0" w:space="0" w:color="auto"/>
      </w:divBdr>
      <w:divsChild>
        <w:div w:id="2064795571">
          <w:marLeft w:val="0"/>
          <w:marRight w:val="0"/>
          <w:marTop w:val="0"/>
          <w:marBottom w:val="0"/>
          <w:divBdr>
            <w:top w:val="none" w:sz="0" w:space="0" w:color="auto"/>
            <w:left w:val="none" w:sz="0" w:space="0" w:color="auto"/>
            <w:bottom w:val="none" w:sz="0" w:space="0" w:color="auto"/>
            <w:right w:val="none" w:sz="0" w:space="0" w:color="auto"/>
          </w:divBdr>
          <w:divsChild>
            <w:div w:id="1031954145">
              <w:marLeft w:val="0"/>
              <w:marRight w:val="0"/>
              <w:marTop w:val="0"/>
              <w:marBottom w:val="0"/>
              <w:divBdr>
                <w:top w:val="none" w:sz="0" w:space="0" w:color="auto"/>
                <w:left w:val="none" w:sz="0" w:space="0" w:color="auto"/>
                <w:bottom w:val="none" w:sz="0" w:space="0" w:color="auto"/>
                <w:right w:val="none" w:sz="0" w:space="0" w:color="auto"/>
              </w:divBdr>
              <w:divsChild>
                <w:div w:id="228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032">
      <w:bodyDiv w:val="1"/>
      <w:marLeft w:val="0"/>
      <w:marRight w:val="0"/>
      <w:marTop w:val="0"/>
      <w:marBottom w:val="0"/>
      <w:divBdr>
        <w:top w:val="none" w:sz="0" w:space="0" w:color="auto"/>
        <w:left w:val="none" w:sz="0" w:space="0" w:color="auto"/>
        <w:bottom w:val="none" w:sz="0" w:space="0" w:color="auto"/>
        <w:right w:val="none" w:sz="0" w:space="0" w:color="auto"/>
      </w:divBdr>
    </w:div>
    <w:div w:id="794300479">
      <w:bodyDiv w:val="1"/>
      <w:marLeft w:val="0"/>
      <w:marRight w:val="0"/>
      <w:marTop w:val="0"/>
      <w:marBottom w:val="0"/>
      <w:divBdr>
        <w:top w:val="none" w:sz="0" w:space="0" w:color="auto"/>
        <w:left w:val="none" w:sz="0" w:space="0" w:color="auto"/>
        <w:bottom w:val="none" w:sz="0" w:space="0" w:color="auto"/>
        <w:right w:val="none" w:sz="0" w:space="0" w:color="auto"/>
      </w:divBdr>
    </w:div>
    <w:div w:id="909539636">
      <w:bodyDiv w:val="1"/>
      <w:marLeft w:val="0"/>
      <w:marRight w:val="0"/>
      <w:marTop w:val="0"/>
      <w:marBottom w:val="0"/>
      <w:divBdr>
        <w:top w:val="none" w:sz="0" w:space="0" w:color="auto"/>
        <w:left w:val="none" w:sz="0" w:space="0" w:color="auto"/>
        <w:bottom w:val="none" w:sz="0" w:space="0" w:color="auto"/>
        <w:right w:val="none" w:sz="0" w:space="0" w:color="auto"/>
      </w:divBdr>
      <w:divsChild>
        <w:div w:id="597829953">
          <w:marLeft w:val="0"/>
          <w:marRight w:val="0"/>
          <w:marTop w:val="0"/>
          <w:marBottom w:val="0"/>
          <w:divBdr>
            <w:top w:val="none" w:sz="0" w:space="0" w:color="auto"/>
            <w:left w:val="none" w:sz="0" w:space="0" w:color="auto"/>
            <w:bottom w:val="none" w:sz="0" w:space="0" w:color="auto"/>
            <w:right w:val="none" w:sz="0" w:space="0" w:color="auto"/>
          </w:divBdr>
          <w:divsChild>
            <w:div w:id="2002079247">
              <w:marLeft w:val="0"/>
              <w:marRight w:val="0"/>
              <w:marTop w:val="0"/>
              <w:marBottom w:val="0"/>
              <w:divBdr>
                <w:top w:val="none" w:sz="0" w:space="0" w:color="auto"/>
                <w:left w:val="none" w:sz="0" w:space="0" w:color="auto"/>
                <w:bottom w:val="none" w:sz="0" w:space="0" w:color="auto"/>
                <w:right w:val="none" w:sz="0" w:space="0" w:color="auto"/>
              </w:divBdr>
              <w:divsChild>
                <w:div w:id="325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1743">
      <w:bodyDiv w:val="1"/>
      <w:marLeft w:val="0"/>
      <w:marRight w:val="0"/>
      <w:marTop w:val="0"/>
      <w:marBottom w:val="0"/>
      <w:divBdr>
        <w:top w:val="none" w:sz="0" w:space="0" w:color="auto"/>
        <w:left w:val="none" w:sz="0" w:space="0" w:color="auto"/>
        <w:bottom w:val="none" w:sz="0" w:space="0" w:color="auto"/>
        <w:right w:val="none" w:sz="0" w:space="0" w:color="auto"/>
      </w:divBdr>
    </w:div>
    <w:div w:id="1013918759">
      <w:bodyDiv w:val="1"/>
      <w:marLeft w:val="0"/>
      <w:marRight w:val="0"/>
      <w:marTop w:val="0"/>
      <w:marBottom w:val="0"/>
      <w:divBdr>
        <w:top w:val="none" w:sz="0" w:space="0" w:color="auto"/>
        <w:left w:val="none" w:sz="0" w:space="0" w:color="auto"/>
        <w:bottom w:val="none" w:sz="0" w:space="0" w:color="auto"/>
        <w:right w:val="none" w:sz="0" w:space="0" w:color="auto"/>
      </w:divBdr>
      <w:divsChild>
        <w:div w:id="48693593">
          <w:marLeft w:val="0"/>
          <w:marRight w:val="0"/>
          <w:marTop w:val="0"/>
          <w:marBottom w:val="0"/>
          <w:divBdr>
            <w:top w:val="none" w:sz="0" w:space="0" w:color="auto"/>
            <w:left w:val="none" w:sz="0" w:space="0" w:color="auto"/>
            <w:bottom w:val="none" w:sz="0" w:space="0" w:color="auto"/>
            <w:right w:val="none" w:sz="0" w:space="0" w:color="auto"/>
          </w:divBdr>
          <w:divsChild>
            <w:div w:id="862598892">
              <w:marLeft w:val="0"/>
              <w:marRight w:val="0"/>
              <w:marTop w:val="0"/>
              <w:marBottom w:val="0"/>
              <w:divBdr>
                <w:top w:val="none" w:sz="0" w:space="0" w:color="auto"/>
                <w:left w:val="none" w:sz="0" w:space="0" w:color="auto"/>
                <w:bottom w:val="none" w:sz="0" w:space="0" w:color="auto"/>
                <w:right w:val="none" w:sz="0" w:space="0" w:color="auto"/>
              </w:divBdr>
              <w:divsChild>
                <w:div w:id="705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3813">
      <w:bodyDiv w:val="1"/>
      <w:marLeft w:val="0"/>
      <w:marRight w:val="0"/>
      <w:marTop w:val="0"/>
      <w:marBottom w:val="0"/>
      <w:divBdr>
        <w:top w:val="none" w:sz="0" w:space="0" w:color="auto"/>
        <w:left w:val="none" w:sz="0" w:space="0" w:color="auto"/>
        <w:bottom w:val="none" w:sz="0" w:space="0" w:color="auto"/>
        <w:right w:val="none" w:sz="0" w:space="0" w:color="auto"/>
      </w:divBdr>
      <w:divsChild>
        <w:div w:id="1870872959">
          <w:marLeft w:val="0"/>
          <w:marRight w:val="0"/>
          <w:marTop w:val="0"/>
          <w:marBottom w:val="0"/>
          <w:divBdr>
            <w:top w:val="none" w:sz="0" w:space="0" w:color="auto"/>
            <w:left w:val="none" w:sz="0" w:space="0" w:color="auto"/>
            <w:bottom w:val="none" w:sz="0" w:space="0" w:color="auto"/>
            <w:right w:val="none" w:sz="0" w:space="0" w:color="auto"/>
          </w:divBdr>
          <w:divsChild>
            <w:div w:id="1265066377">
              <w:marLeft w:val="0"/>
              <w:marRight w:val="0"/>
              <w:marTop w:val="0"/>
              <w:marBottom w:val="0"/>
              <w:divBdr>
                <w:top w:val="none" w:sz="0" w:space="0" w:color="auto"/>
                <w:left w:val="none" w:sz="0" w:space="0" w:color="auto"/>
                <w:bottom w:val="none" w:sz="0" w:space="0" w:color="auto"/>
                <w:right w:val="none" w:sz="0" w:space="0" w:color="auto"/>
              </w:divBdr>
              <w:divsChild>
                <w:div w:id="737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12149">
      <w:bodyDiv w:val="1"/>
      <w:marLeft w:val="0"/>
      <w:marRight w:val="0"/>
      <w:marTop w:val="0"/>
      <w:marBottom w:val="0"/>
      <w:divBdr>
        <w:top w:val="none" w:sz="0" w:space="0" w:color="auto"/>
        <w:left w:val="none" w:sz="0" w:space="0" w:color="auto"/>
        <w:bottom w:val="none" w:sz="0" w:space="0" w:color="auto"/>
        <w:right w:val="none" w:sz="0" w:space="0" w:color="auto"/>
      </w:divBdr>
    </w:div>
    <w:div w:id="1315253315">
      <w:bodyDiv w:val="1"/>
      <w:marLeft w:val="0"/>
      <w:marRight w:val="0"/>
      <w:marTop w:val="0"/>
      <w:marBottom w:val="0"/>
      <w:divBdr>
        <w:top w:val="none" w:sz="0" w:space="0" w:color="auto"/>
        <w:left w:val="none" w:sz="0" w:space="0" w:color="auto"/>
        <w:bottom w:val="none" w:sz="0" w:space="0" w:color="auto"/>
        <w:right w:val="none" w:sz="0" w:space="0" w:color="auto"/>
      </w:divBdr>
    </w:div>
    <w:div w:id="1476599961">
      <w:bodyDiv w:val="1"/>
      <w:marLeft w:val="0"/>
      <w:marRight w:val="0"/>
      <w:marTop w:val="0"/>
      <w:marBottom w:val="0"/>
      <w:divBdr>
        <w:top w:val="none" w:sz="0" w:space="0" w:color="auto"/>
        <w:left w:val="none" w:sz="0" w:space="0" w:color="auto"/>
        <w:bottom w:val="none" w:sz="0" w:space="0" w:color="auto"/>
        <w:right w:val="none" w:sz="0" w:space="0" w:color="auto"/>
      </w:divBdr>
    </w:div>
    <w:div w:id="1495800578">
      <w:bodyDiv w:val="1"/>
      <w:marLeft w:val="0"/>
      <w:marRight w:val="0"/>
      <w:marTop w:val="0"/>
      <w:marBottom w:val="0"/>
      <w:divBdr>
        <w:top w:val="none" w:sz="0" w:space="0" w:color="auto"/>
        <w:left w:val="none" w:sz="0" w:space="0" w:color="auto"/>
        <w:bottom w:val="none" w:sz="0" w:space="0" w:color="auto"/>
        <w:right w:val="none" w:sz="0" w:space="0" w:color="auto"/>
      </w:divBdr>
    </w:div>
    <w:div w:id="1514685350">
      <w:bodyDiv w:val="1"/>
      <w:marLeft w:val="0"/>
      <w:marRight w:val="0"/>
      <w:marTop w:val="0"/>
      <w:marBottom w:val="0"/>
      <w:divBdr>
        <w:top w:val="none" w:sz="0" w:space="0" w:color="auto"/>
        <w:left w:val="none" w:sz="0" w:space="0" w:color="auto"/>
        <w:bottom w:val="none" w:sz="0" w:space="0" w:color="auto"/>
        <w:right w:val="none" w:sz="0" w:space="0" w:color="auto"/>
      </w:divBdr>
      <w:divsChild>
        <w:div w:id="143816531">
          <w:marLeft w:val="0"/>
          <w:marRight w:val="0"/>
          <w:marTop w:val="0"/>
          <w:marBottom w:val="0"/>
          <w:divBdr>
            <w:top w:val="none" w:sz="0" w:space="0" w:color="auto"/>
            <w:left w:val="none" w:sz="0" w:space="0" w:color="auto"/>
            <w:bottom w:val="none" w:sz="0" w:space="0" w:color="auto"/>
            <w:right w:val="none" w:sz="0" w:space="0" w:color="auto"/>
          </w:divBdr>
          <w:divsChild>
            <w:div w:id="195505752">
              <w:marLeft w:val="0"/>
              <w:marRight w:val="0"/>
              <w:marTop w:val="0"/>
              <w:marBottom w:val="0"/>
              <w:divBdr>
                <w:top w:val="none" w:sz="0" w:space="0" w:color="auto"/>
                <w:left w:val="none" w:sz="0" w:space="0" w:color="auto"/>
                <w:bottom w:val="none" w:sz="0" w:space="0" w:color="auto"/>
                <w:right w:val="none" w:sz="0" w:space="0" w:color="auto"/>
              </w:divBdr>
              <w:divsChild>
                <w:div w:id="1712415708">
                  <w:marLeft w:val="0"/>
                  <w:marRight w:val="0"/>
                  <w:marTop w:val="0"/>
                  <w:marBottom w:val="0"/>
                  <w:divBdr>
                    <w:top w:val="none" w:sz="0" w:space="0" w:color="auto"/>
                    <w:left w:val="none" w:sz="0" w:space="0" w:color="auto"/>
                    <w:bottom w:val="none" w:sz="0" w:space="0" w:color="auto"/>
                    <w:right w:val="none" w:sz="0" w:space="0" w:color="auto"/>
                  </w:divBdr>
                  <w:divsChild>
                    <w:div w:id="27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7857">
      <w:bodyDiv w:val="1"/>
      <w:marLeft w:val="0"/>
      <w:marRight w:val="0"/>
      <w:marTop w:val="0"/>
      <w:marBottom w:val="0"/>
      <w:divBdr>
        <w:top w:val="none" w:sz="0" w:space="0" w:color="auto"/>
        <w:left w:val="none" w:sz="0" w:space="0" w:color="auto"/>
        <w:bottom w:val="none" w:sz="0" w:space="0" w:color="auto"/>
        <w:right w:val="none" w:sz="0" w:space="0" w:color="auto"/>
      </w:divBdr>
    </w:div>
    <w:div w:id="1679425768">
      <w:bodyDiv w:val="1"/>
      <w:marLeft w:val="0"/>
      <w:marRight w:val="0"/>
      <w:marTop w:val="0"/>
      <w:marBottom w:val="0"/>
      <w:divBdr>
        <w:top w:val="none" w:sz="0" w:space="0" w:color="auto"/>
        <w:left w:val="none" w:sz="0" w:space="0" w:color="auto"/>
        <w:bottom w:val="none" w:sz="0" w:space="0" w:color="auto"/>
        <w:right w:val="none" w:sz="0" w:space="0" w:color="auto"/>
      </w:divBdr>
      <w:divsChild>
        <w:div w:id="855311646">
          <w:marLeft w:val="0"/>
          <w:marRight w:val="0"/>
          <w:marTop w:val="0"/>
          <w:marBottom w:val="0"/>
          <w:divBdr>
            <w:top w:val="none" w:sz="0" w:space="0" w:color="auto"/>
            <w:left w:val="none" w:sz="0" w:space="0" w:color="auto"/>
            <w:bottom w:val="none" w:sz="0" w:space="0" w:color="auto"/>
            <w:right w:val="none" w:sz="0" w:space="0" w:color="auto"/>
          </w:divBdr>
          <w:divsChild>
            <w:div w:id="61685399">
              <w:marLeft w:val="0"/>
              <w:marRight w:val="0"/>
              <w:marTop w:val="0"/>
              <w:marBottom w:val="0"/>
              <w:divBdr>
                <w:top w:val="none" w:sz="0" w:space="0" w:color="auto"/>
                <w:left w:val="none" w:sz="0" w:space="0" w:color="auto"/>
                <w:bottom w:val="none" w:sz="0" w:space="0" w:color="auto"/>
                <w:right w:val="none" w:sz="0" w:space="0" w:color="auto"/>
              </w:divBdr>
              <w:divsChild>
                <w:div w:id="1049187040">
                  <w:marLeft w:val="0"/>
                  <w:marRight w:val="0"/>
                  <w:marTop w:val="0"/>
                  <w:marBottom w:val="0"/>
                  <w:divBdr>
                    <w:top w:val="none" w:sz="0" w:space="0" w:color="auto"/>
                    <w:left w:val="none" w:sz="0" w:space="0" w:color="auto"/>
                    <w:bottom w:val="none" w:sz="0" w:space="0" w:color="auto"/>
                    <w:right w:val="none" w:sz="0" w:space="0" w:color="auto"/>
                  </w:divBdr>
                  <w:divsChild>
                    <w:div w:id="229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65074">
      <w:bodyDiv w:val="1"/>
      <w:marLeft w:val="0"/>
      <w:marRight w:val="0"/>
      <w:marTop w:val="0"/>
      <w:marBottom w:val="0"/>
      <w:divBdr>
        <w:top w:val="none" w:sz="0" w:space="0" w:color="auto"/>
        <w:left w:val="none" w:sz="0" w:space="0" w:color="auto"/>
        <w:bottom w:val="none" w:sz="0" w:space="0" w:color="auto"/>
        <w:right w:val="none" w:sz="0" w:space="0" w:color="auto"/>
      </w:divBdr>
    </w:div>
    <w:div w:id="1786000072">
      <w:bodyDiv w:val="1"/>
      <w:marLeft w:val="0"/>
      <w:marRight w:val="0"/>
      <w:marTop w:val="0"/>
      <w:marBottom w:val="0"/>
      <w:divBdr>
        <w:top w:val="none" w:sz="0" w:space="0" w:color="auto"/>
        <w:left w:val="none" w:sz="0" w:space="0" w:color="auto"/>
        <w:bottom w:val="none" w:sz="0" w:space="0" w:color="auto"/>
        <w:right w:val="none" w:sz="0" w:space="0" w:color="auto"/>
      </w:divBdr>
      <w:divsChild>
        <w:div w:id="496532054">
          <w:marLeft w:val="0"/>
          <w:marRight w:val="0"/>
          <w:marTop w:val="0"/>
          <w:marBottom w:val="0"/>
          <w:divBdr>
            <w:top w:val="none" w:sz="0" w:space="0" w:color="auto"/>
            <w:left w:val="none" w:sz="0" w:space="0" w:color="auto"/>
            <w:bottom w:val="none" w:sz="0" w:space="0" w:color="auto"/>
            <w:right w:val="none" w:sz="0" w:space="0" w:color="auto"/>
          </w:divBdr>
          <w:divsChild>
            <w:div w:id="1887375655">
              <w:marLeft w:val="0"/>
              <w:marRight w:val="0"/>
              <w:marTop w:val="0"/>
              <w:marBottom w:val="0"/>
              <w:divBdr>
                <w:top w:val="none" w:sz="0" w:space="0" w:color="auto"/>
                <w:left w:val="none" w:sz="0" w:space="0" w:color="auto"/>
                <w:bottom w:val="none" w:sz="0" w:space="0" w:color="auto"/>
                <w:right w:val="none" w:sz="0" w:space="0" w:color="auto"/>
              </w:divBdr>
              <w:divsChild>
                <w:div w:id="1113134057">
                  <w:marLeft w:val="0"/>
                  <w:marRight w:val="0"/>
                  <w:marTop w:val="0"/>
                  <w:marBottom w:val="0"/>
                  <w:divBdr>
                    <w:top w:val="none" w:sz="0" w:space="0" w:color="auto"/>
                    <w:left w:val="none" w:sz="0" w:space="0" w:color="auto"/>
                    <w:bottom w:val="none" w:sz="0" w:space="0" w:color="auto"/>
                    <w:right w:val="none" w:sz="0" w:space="0" w:color="auto"/>
                  </w:divBdr>
                  <w:divsChild>
                    <w:div w:id="1782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187">
          <w:marLeft w:val="0"/>
          <w:marRight w:val="0"/>
          <w:marTop w:val="0"/>
          <w:marBottom w:val="0"/>
          <w:divBdr>
            <w:top w:val="none" w:sz="0" w:space="0" w:color="auto"/>
            <w:left w:val="none" w:sz="0" w:space="0" w:color="auto"/>
            <w:bottom w:val="none" w:sz="0" w:space="0" w:color="auto"/>
            <w:right w:val="none" w:sz="0" w:space="0" w:color="auto"/>
          </w:divBdr>
          <w:divsChild>
            <w:div w:id="2067799500">
              <w:marLeft w:val="0"/>
              <w:marRight w:val="0"/>
              <w:marTop w:val="0"/>
              <w:marBottom w:val="0"/>
              <w:divBdr>
                <w:top w:val="none" w:sz="0" w:space="0" w:color="auto"/>
                <w:left w:val="none" w:sz="0" w:space="0" w:color="auto"/>
                <w:bottom w:val="none" w:sz="0" w:space="0" w:color="auto"/>
                <w:right w:val="none" w:sz="0" w:space="0" w:color="auto"/>
              </w:divBdr>
              <w:divsChild>
                <w:div w:id="1525242706">
                  <w:marLeft w:val="0"/>
                  <w:marRight w:val="0"/>
                  <w:marTop w:val="0"/>
                  <w:marBottom w:val="0"/>
                  <w:divBdr>
                    <w:top w:val="none" w:sz="0" w:space="0" w:color="auto"/>
                    <w:left w:val="none" w:sz="0" w:space="0" w:color="auto"/>
                    <w:bottom w:val="none" w:sz="0" w:space="0" w:color="auto"/>
                    <w:right w:val="none" w:sz="0" w:space="0" w:color="auto"/>
                  </w:divBdr>
                  <w:divsChild>
                    <w:div w:id="1864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0745">
      <w:bodyDiv w:val="1"/>
      <w:marLeft w:val="0"/>
      <w:marRight w:val="0"/>
      <w:marTop w:val="0"/>
      <w:marBottom w:val="0"/>
      <w:divBdr>
        <w:top w:val="none" w:sz="0" w:space="0" w:color="auto"/>
        <w:left w:val="none" w:sz="0" w:space="0" w:color="auto"/>
        <w:bottom w:val="none" w:sz="0" w:space="0" w:color="auto"/>
        <w:right w:val="none" w:sz="0" w:space="0" w:color="auto"/>
      </w:divBdr>
      <w:divsChild>
        <w:div w:id="414085261">
          <w:marLeft w:val="0"/>
          <w:marRight w:val="0"/>
          <w:marTop w:val="0"/>
          <w:marBottom w:val="0"/>
          <w:divBdr>
            <w:top w:val="none" w:sz="0" w:space="0" w:color="auto"/>
            <w:left w:val="none" w:sz="0" w:space="0" w:color="auto"/>
            <w:bottom w:val="none" w:sz="0" w:space="0" w:color="auto"/>
            <w:right w:val="none" w:sz="0" w:space="0" w:color="auto"/>
          </w:divBdr>
          <w:divsChild>
            <w:div w:id="1433742590">
              <w:marLeft w:val="0"/>
              <w:marRight w:val="0"/>
              <w:marTop w:val="0"/>
              <w:marBottom w:val="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39744">
          <w:marLeft w:val="0"/>
          <w:marRight w:val="0"/>
          <w:marTop w:val="0"/>
          <w:marBottom w:val="0"/>
          <w:divBdr>
            <w:top w:val="none" w:sz="0" w:space="0" w:color="auto"/>
            <w:left w:val="none" w:sz="0" w:space="0" w:color="auto"/>
            <w:bottom w:val="none" w:sz="0" w:space="0" w:color="auto"/>
            <w:right w:val="none" w:sz="0" w:space="0" w:color="auto"/>
          </w:divBdr>
          <w:divsChild>
            <w:div w:id="476578461">
              <w:marLeft w:val="0"/>
              <w:marRight w:val="0"/>
              <w:marTop w:val="0"/>
              <w:marBottom w:val="0"/>
              <w:divBdr>
                <w:top w:val="none" w:sz="0" w:space="0" w:color="auto"/>
                <w:left w:val="none" w:sz="0" w:space="0" w:color="auto"/>
                <w:bottom w:val="none" w:sz="0" w:space="0" w:color="auto"/>
                <w:right w:val="none" w:sz="0" w:space="0" w:color="auto"/>
              </w:divBdr>
              <w:divsChild>
                <w:div w:id="40133640">
                  <w:marLeft w:val="0"/>
                  <w:marRight w:val="0"/>
                  <w:marTop w:val="0"/>
                  <w:marBottom w:val="0"/>
                  <w:divBdr>
                    <w:top w:val="none" w:sz="0" w:space="0" w:color="auto"/>
                    <w:left w:val="none" w:sz="0" w:space="0" w:color="auto"/>
                    <w:bottom w:val="none" w:sz="0" w:space="0" w:color="auto"/>
                    <w:right w:val="none" w:sz="0" w:space="0" w:color="auto"/>
                  </w:divBdr>
                </w:div>
              </w:divsChild>
            </w:div>
            <w:div w:id="1361861001">
              <w:marLeft w:val="0"/>
              <w:marRight w:val="0"/>
              <w:marTop w:val="0"/>
              <w:marBottom w:val="0"/>
              <w:divBdr>
                <w:top w:val="none" w:sz="0" w:space="0" w:color="auto"/>
                <w:left w:val="none" w:sz="0" w:space="0" w:color="auto"/>
                <w:bottom w:val="none" w:sz="0" w:space="0" w:color="auto"/>
                <w:right w:val="none" w:sz="0" w:space="0" w:color="auto"/>
              </w:divBdr>
              <w:divsChild>
                <w:div w:id="664019752">
                  <w:marLeft w:val="0"/>
                  <w:marRight w:val="0"/>
                  <w:marTop w:val="0"/>
                  <w:marBottom w:val="0"/>
                  <w:divBdr>
                    <w:top w:val="none" w:sz="0" w:space="0" w:color="auto"/>
                    <w:left w:val="none" w:sz="0" w:space="0" w:color="auto"/>
                    <w:bottom w:val="none" w:sz="0" w:space="0" w:color="auto"/>
                    <w:right w:val="none" w:sz="0" w:space="0" w:color="auto"/>
                  </w:divBdr>
                </w:div>
              </w:divsChild>
            </w:div>
            <w:div w:id="1762797054">
              <w:marLeft w:val="0"/>
              <w:marRight w:val="0"/>
              <w:marTop w:val="0"/>
              <w:marBottom w:val="0"/>
              <w:divBdr>
                <w:top w:val="none" w:sz="0" w:space="0" w:color="auto"/>
                <w:left w:val="none" w:sz="0" w:space="0" w:color="auto"/>
                <w:bottom w:val="none" w:sz="0" w:space="0" w:color="auto"/>
                <w:right w:val="none" w:sz="0" w:space="0" w:color="auto"/>
              </w:divBdr>
              <w:divsChild>
                <w:div w:id="515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3183">
      <w:bodyDiv w:val="1"/>
      <w:marLeft w:val="0"/>
      <w:marRight w:val="0"/>
      <w:marTop w:val="0"/>
      <w:marBottom w:val="0"/>
      <w:divBdr>
        <w:top w:val="none" w:sz="0" w:space="0" w:color="auto"/>
        <w:left w:val="none" w:sz="0" w:space="0" w:color="auto"/>
        <w:bottom w:val="none" w:sz="0" w:space="0" w:color="auto"/>
        <w:right w:val="none" w:sz="0" w:space="0" w:color="auto"/>
      </w:divBdr>
    </w:div>
    <w:div w:id="1931430454">
      <w:bodyDiv w:val="1"/>
      <w:marLeft w:val="0"/>
      <w:marRight w:val="0"/>
      <w:marTop w:val="0"/>
      <w:marBottom w:val="0"/>
      <w:divBdr>
        <w:top w:val="none" w:sz="0" w:space="0" w:color="auto"/>
        <w:left w:val="none" w:sz="0" w:space="0" w:color="auto"/>
        <w:bottom w:val="none" w:sz="0" w:space="0" w:color="auto"/>
        <w:right w:val="none" w:sz="0" w:space="0" w:color="auto"/>
      </w:divBdr>
    </w:div>
    <w:div w:id="1971519750">
      <w:bodyDiv w:val="1"/>
      <w:marLeft w:val="0"/>
      <w:marRight w:val="0"/>
      <w:marTop w:val="0"/>
      <w:marBottom w:val="0"/>
      <w:divBdr>
        <w:top w:val="none" w:sz="0" w:space="0" w:color="auto"/>
        <w:left w:val="none" w:sz="0" w:space="0" w:color="auto"/>
        <w:bottom w:val="none" w:sz="0" w:space="0" w:color="auto"/>
        <w:right w:val="none" w:sz="0" w:space="0" w:color="auto"/>
      </w:divBdr>
    </w:div>
    <w:div w:id="2028677096">
      <w:bodyDiv w:val="1"/>
      <w:marLeft w:val="0"/>
      <w:marRight w:val="0"/>
      <w:marTop w:val="0"/>
      <w:marBottom w:val="0"/>
      <w:divBdr>
        <w:top w:val="none" w:sz="0" w:space="0" w:color="auto"/>
        <w:left w:val="none" w:sz="0" w:space="0" w:color="auto"/>
        <w:bottom w:val="none" w:sz="0" w:space="0" w:color="auto"/>
        <w:right w:val="none" w:sz="0" w:space="0" w:color="auto"/>
      </w:divBdr>
    </w:div>
    <w:div w:id="2046055432">
      <w:bodyDiv w:val="1"/>
      <w:marLeft w:val="0"/>
      <w:marRight w:val="0"/>
      <w:marTop w:val="0"/>
      <w:marBottom w:val="0"/>
      <w:divBdr>
        <w:top w:val="none" w:sz="0" w:space="0" w:color="auto"/>
        <w:left w:val="none" w:sz="0" w:space="0" w:color="auto"/>
        <w:bottom w:val="none" w:sz="0" w:space="0" w:color="auto"/>
        <w:right w:val="none" w:sz="0" w:space="0" w:color="auto"/>
      </w:divBdr>
      <w:divsChild>
        <w:div w:id="1778063812">
          <w:marLeft w:val="0"/>
          <w:marRight w:val="0"/>
          <w:marTop w:val="0"/>
          <w:marBottom w:val="0"/>
          <w:divBdr>
            <w:top w:val="none" w:sz="0" w:space="0" w:color="auto"/>
            <w:left w:val="none" w:sz="0" w:space="0" w:color="auto"/>
            <w:bottom w:val="none" w:sz="0" w:space="0" w:color="auto"/>
            <w:right w:val="none" w:sz="0" w:space="0" w:color="auto"/>
          </w:divBdr>
          <w:divsChild>
            <w:div w:id="1370716461">
              <w:marLeft w:val="0"/>
              <w:marRight w:val="0"/>
              <w:marTop w:val="0"/>
              <w:marBottom w:val="0"/>
              <w:divBdr>
                <w:top w:val="none" w:sz="0" w:space="0" w:color="auto"/>
                <w:left w:val="none" w:sz="0" w:space="0" w:color="auto"/>
                <w:bottom w:val="none" w:sz="0" w:space="0" w:color="auto"/>
                <w:right w:val="none" w:sz="0" w:space="0" w:color="auto"/>
              </w:divBdr>
              <w:divsChild>
                <w:div w:id="1530486185">
                  <w:marLeft w:val="0"/>
                  <w:marRight w:val="0"/>
                  <w:marTop w:val="0"/>
                  <w:marBottom w:val="0"/>
                  <w:divBdr>
                    <w:top w:val="none" w:sz="0" w:space="0" w:color="auto"/>
                    <w:left w:val="none" w:sz="0" w:space="0" w:color="auto"/>
                    <w:bottom w:val="none" w:sz="0" w:space="0" w:color="auto"/>
                    <w:right w:val="none" w:sz="0" w:space="0" w:color="auto"/>
                  </w:divBdr>
                  <w:divsChild>
                    <w:div w:id="12568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4136">
          <w:marLeft w:val="0"/>
          <w:marRight w:val="0"/>
          <w:marTop w:val="0"/>
          <w:marBottom w:val="0"/>
          <w:divBdr>
            <w:top w:val="none" w:sz="0" w:space="0" w:color="auto"/>
            <w:left w:val="none" w:sz="0" w:space="0" w:color="auto"/>
            <w:bottom w:val="none" w:sz="0" w:space="0" w:color="auto"/>
            <w:right w:val="none" w:sz="0" w:space="0" w:color="auto"/>
          </w:divBdr>
          <w:divsChild>
            <w:div w:id="1640110989">
              <w:marLeft w:val="0"/>
              <w:marRight w:val="0"/>
              <w:marTop w:val="0"/>
              <w:marBottom w:val="0"/>
              <w:divBdr>
                <w:top w:val="none" w:sz="0" w:space="0" w:color="auto"/>
                <w:left w:val="none" w:sz="0" w:space="0" w:color="auto"/>
                <w:bottom w:val="none" w:sz="0" w:space="0" w:color="auto"/>
                <w:right w:val="none" w:sz="0" w:space="0" w:color="auto"/>
              </w:divBdr>
              <w:divsChild>
                <w:div w:id="173812535">
                  <w:marLeft w:val="0"/>
                  <w:marRight w:val="0"/>
                  <w:marTop w:val="0"/>
                  <w:marBottom w:val="0"/>
                  <w:divBdr>
                    <w:top w:val="none" w:sz="0" w:space="0" w:color="auto"/>
                    <w:left w:val="none" w:sz="0" w:space="0" w:color="auto"/>
                    <w:bottom w:val="none" w:sz="0" w:space="0" w:color="auto"/>
                    <w:right w:val="none" w:sz="0" w:space="0" w:color="auto"/>
                  </w:divBdr>
                  <w:divsChild>
                    <w:div w:id="19285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69972">
      <w:bodyDiv w:val="1"/>
      <w:marLeft w:val="0"/>
      <w:marRight w:val="0"/>
      <w:marTop w:val="0"/>
      <w:marBottom w:val="0"/>
      <w:divBdr>
        <w:top w:val="none" w:sz="0" w:space="0" w:color="auto"/>
        <w:left w:val="none" w:sz="0" w:space="0" w:color="auto"/>
        <w:bottom w:val="none" w:sz="0" w:space="0" w:color="auto"/>
        <w:right w:val="none" w:sz="0" w:space="0" w:color="auto"/>
      </w:divBdr>
    </w:div>
    <w:div w:id="2121993823">
      <w:bodyDiv w:val="1"/>
      <w:marLeft w:val="0"/>
      <w:marRight w:val="0"/>
      <w:marTop w:val="0"/>
      <w:marBottom w:val="0"/>
      <w:divBdr>
        <w:top w:val="none" w:sz="0" w:space="0" w:color="auto"/>
        <w:left w:val="none" w:sz="0" w:space="0" w:color="auto"/>
        <w:bottom w:val="none" w:sz="0" w:space="0" w:color="auto"/>
        <w:right w:val="none" w:sz="0" w:space="0" w:color="auto"/>
      </w:divBdr>
    </w:div>
    <w:div w:id="2128497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EA98-8560-400C-9A9A-5CA77E82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8342</Words>
  <Characters>47552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CLUTE SWANEPOEL</dc:creator>
  <cp:lastModifiedBy>Mokone</cp:lastModifiedBy>
  <cp:revision>2</cp:revision>
  <cp:lastPrinted>2023-05-02T09:11:00Z</cp:lastPrinted>
  <dcterms:created xsi:type="dcterms:W3CDTF">2023-05-22T13:36:00Z</dcterms:created>
  <dcterms:modified xsi:type="dcterms:W3CDTF">2023-05-22T13:36:00Z</dcterms:modified>
</cp:coreProperties>
</file>