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D1F2D" w14:textId="77777777" w:rsidR="00B50E11" w:rsidRDefault="00B50E11" w:rsidP="00B50E11">
      <w:pPr>
        <w:pStyle w:val="Body"/>
        <w:jc w:val="center"/>
      </w:pPr>
      <w:r>
        <w:rPr>
          <w:noProof/>
        </w:rPr>
        <w:drawing>
          <wp:inline distT="0" distB="0" distL="0" distR="0" wp14:anchorId="6B5B6C71" wp14:editId="62DC2DCF">
            <wp:extent cx="1601887" cy="1638056"/>
            <wp:effectExtent l="0" t="0" r="0" b="635"/>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stretch>
                      <a:fillRect/>
                    </a:stretch>
                  </pic:blipFill>
                  <pic:spPr>
                    <a:xfrm>
                      <a:off x="0" y="0"/>
                      <a:ext cx="1645271" cy="1682420"/>
                    </a:xfrm>
                    <a:prstGeom prst="rect">
                      <a:avLst/>
                    </a:prstGeom>
                    <a:ln w="12700" cap="flat">
                      <a:noFill/>
                      <a:miter lim="400000"/>
                    </a:ln>
                    <a:effectLst/>
                  </pic:spPr>
                </pic:pic>
              </a:graphicData>
            </a:graphic>
          </wp:inline>
        </w:drawing>
      </w:r>
    </w:p>
    <w:p w14:paraId="1D01E514" w14:textId="2FB9206C" w:rsidR="00B50E11" w:rsidRPr="0031449E" w:rsidRDefault="00B50E11" w:rsidP="00B50E11">
      <w:pPr>
        <w:pStyle w:val="Body"/>
        <w:jc w:val="center"/>
        <w:outlineLvl w:val="0"/>
        <w:rPr>
          <w:rFonts w:cs="Arial"/>
          <w:b/>
          <w:bCs/>
          <w:sz w:val="24"/>
          <w:szCs w:val="24"/>
        </w:rPr>
      </w:pPr>
      <w:r w:rsidRPr="0031449E">
        <w:rPr>
          <w:rFonts w:cs="Arial"/>
          <w:b/>
          <w:bCs/>
          <w:sz w:val="24"/>
          <w:szCs w:val="24"/>
          <w:u w:val="single"/>
        </w:rPr>
        <w:t xml:space="preserve">IN THE HIGH </w:t>
      </w:r>
      <w:r w:rsidR="00E87C23">
        <w:rPr>
          <w:rFonts w:cs="Arial"/>
          <w:b/>
          <w:bCs/>
          <w:sz w:val="24"/>
          <w:szCs w:val="24"/>
          <w:u w:val="single"/>
        </w:rPr>
        <w:t>COURT</w:t>
      </w:r>
      <w:r w:rsidRPr="0031449E">
        <w:rPr>
          <w:rFonts w:cs="Arial"/>
          <w:b/>
          <w:bCs/>
          <w:sz w:val="24"/>
          <w:szCs w:val="24"/>
          <w:u w:val="single"/>
        </w:rPr>
        <w:t xml:space="preserve"> OF SOUTH AFRICA</w:t>
      </w:r>
    </w:p>
    <w:p w14:paraId="350B431D" w14:textId="2423D79F" w:rsidR="00C519B2" w:rsidRPr="00E12A80" w:rsidRDefault="00B50E11" w:rsidP="00E12A80">
      <w:pPr>
        <w:pStyle w:val="Body"/>
        <w:jc w:val="center"/>
        <w:rPr>
          <w:rFonts w:cs="Arial"/>
          <w:b/>
          <w:bCs/>
          <w:sz w:val="24"/>
          <w:szCs w:val="24"/>
          <w:u w:val="single"/>
        </w:rPr>
      </w:pPr>
      <w:r w:rsidRPr="0031449E">
        <w:rPr>
          <w:rFonts w:cs="Arial"/>
          <w:b/>
          <w:bCs/>
          <w:sz w:val="24"/>
          <w:szCs w:val="24"/>
          <w:u w:val="single"/>
          <w:lang w:val="de-DE"/>
        </w:rPr>
        <w:t>(GAUTENG DIVISION, PRETORIA)</w:t>
      </w:r>
      <w:r w:rsidR="00E331B6">
        <w:rPr>
          <w:rFonts w:cs="Arial"/>
          <w:b/>
          <w:bCs/>
          <w:sz w:val="24"/>
          <w:szCs w:val="24"/>
          <w:u w:val="single"/>
          <w:lang w:val="de-D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6"/>
      </w:tblGrid>
      <w:tr w:rsidR="00C519B2" w:rsidRPr="004164F3" w14:paraId="7564B942" w14:textId="77777777" w:rsidTr="000E10F9">
        <w:trPr>
          <w:trHeight w:val="1743"/>
        </w:trPr>
        <w:tc>
          <w:tcPr>
            <w:tcW w:w="3866" w:type="dxa"/>
          </w:tcPr>
          <w:p w14:paraId="0C1A8C99" w14:textId="77777777" w:rsidR="00C519B2" w:rsidRPr="004164F3" w:rsidRDefault="00C519B2" w:rsidP="00C64B6A">
            <w:pPr>
              <w:rPr>
                <w:rFonts w:ascii="Arial Unicode MS" w:eastAsia="Arial Unicode MS" w:hAnsi="Arial Unicode MS" w:cs="Arial Unicode MS"/>
                <w:b/>
                <w:sz w:val="16"/>
                <w:szCs w:val="16"/>
              </w:rPr>
            </w:pPr>
            <w:r w:rsidRPr="004164F3">
              <w:rPr>
                <w:rFonts w:ascii="Arial Unicode MS" w:eastAsia="Arial Unicode MS" w:hAnsi="Arial Unicode MS" w:cs="Arial Unicode MS"/>
                <w:b/>
                <w:sz w:val="16"/>
                <w:szCs w:val="16"/>
              </w:rPr>
              <w:t>DELETE WHICHEVER IS NOT APPLICABLE</w:t>
            </w:r>
          </w:p>
          <w:p w14:paraId="719093FC" w14:textId="1E9C5970"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(1)</w:t>
            </w:r>
            <w:r w:rsidR="00E87C2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REPORTABLE:</w:t>
            </w:r>
            <w:r w:rsidRPr="004164F3">
              <w:rPr>
                <w:rFonts w:ascii="Arial Unicode MS" w:eastAsia="Arial Unicode MS" w:hAnsi="Arial Unicode MS" w:cs="Arial Unicode MS"/>
                <w:sz w:val="16"/>
                <w:szCs w:val="16"/>
              </w:rPr>
              <w:tab/>
            </w:r>
            <w:r w:rsidRPr="009926E5">
              <w:rPr>
                <w:rFonts w:ascii="Arial Unicode MS" w:eastAsia="Arial Unicode MS" w:hAnsi="Arial Unicode MS" w:cs="Arial Unicode MS"/>
                <w:strike/>
                <w:sz w:val="16"/>
                <w:szCs w:val="16"/>
              </w:rPr>
              <w:t>YE</w:t>
            </w:r>
            <w:r w:rsidR="009B3D4B" w:rsidRPr="009926E5">
              <w:rPr>
                <w:rFonts w:ascii="Arial Unicode MS" w:eastAsia="Arial Unicode MS" w:hAnsi="Arial Unicode MS" w:cs="Arial Unicode MS"/>
                <w:strike/>
                <w:sz w:val="16"/>
                <w:szCs w:val="16"/>
              </w:rPr>
              <w:t>S</w:t>
            </w:r>
            <w:r w:rsidRPr="00A26F7C">
              <w:rPr>
                <w:rFonts w:ascii="Arial Unicode MS" w:eastAsia="Arial Unicode MS" w:hAnsi="Arial Unicode MS" w:cs="Arial Unicode MS"/>
                <w:sz w:val="16"/>
                <w:szCs w:val="16"/>
              </w:rPr>
              <w:t>/</w:t>
            </w:r>
            <w:r w:rsidRPr="009926E5">
              <w:rPr>
                <w:rFonts w:ascii="Arial Unicode MS" w:eastAsia="Arial Unicode MS" w:hAnsi="Arial Unicode MS" w:cs="Arial Unicode MS"/>
                <w:b/>
                <w:bCs/>
                <w:sz w:val="16"/>
                <w:szCs w:val="16"/>
              </w:rPr>
              <w:t>NO</w:t>
            </w:r>
          </w:p>
          <w:p w14:paraId="528A128C" w14:textId="7CB85296"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(2)</w:t>
            </w:r>
            <w:r w:rsidR="00E87C2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 xml:space="preserve">OF INTEREST TO OTHER JUDGES: </w:t>
            </w:r>
            <w:r w:rsidR="00E87C23" w:rsidRPr="000E55BD">
              <w:rPr>
                <w:rFonts w:ascii="Arial Unicode MS" w:eastAsia="Arial Unicode MS" w:hAnsi="Arial Unicode MS" w:cs="Arial Unicode MS"/>
                <w:b/>
                <w:bCs/>
                <w:sz w:val="16"/>
                <w:szCs w:val="16"/>
              </w:rPr>
              <w:t xml:space="preserve"> </w:t>
            </w:r>
            <w:r w:rsidRPr="009926E5">
              <w:rPr>
                <w:rFonts w:ascii="Arial Unicode MS" w:eastAsia="Arial Unicode MS" w:hAnsi="Arial Unicode MS" w:cs="Arial Unicode MS"/>
                <w:strike/>
                <w:sz w:val="16"/>
                <w:szCs w:val="16"/>
              </w:rPr>
              <w:t>YES/</w:t>
            </w:r>
            <w:r w:rsidRPr="009926E5">
              <w:rPr>
                <w:rFonts w:ascii="Arial Unicode MS" w:eastAsia="Arial Unicode MS" w:hAnsi="Arial Unicode MS" w:cs="Arial Unicode MS"/>
                <w:b/>
                <w:bCs/>
                <w:sz w:val="16"/>
                <w:szCs w:val="16"/>
              </w:rPr>
              <w:t>NO</w:t>
            </w:r>
          </w:p>
          <w:p w14:paraId="15F66332" w14:textId="25EEA8AD"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(3)</w:t>
            </w:r>
            <w:r w:rsidR="00E87C2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REVISED</w:t>
            </w:r>
            <w:r w:rsidR="000E55BD">
              <w:rPr>
                <w:rFonts w:ascii="Arial Unicode MS" w:eastAsia="Arial Unicode MS" w:hAnsi="Arial Unicode MS" w:cs="Arial Unicode MS"/>
                <w:sz w:val="16"/>
                <w:szCs w:val="16"/>
              </w:rPr>
              <w:t xml:space="preserve">: </w:t>
            </w:r>
            <w:r w:rsidR="009926E5" w:rsidRPr="009926E5">
              <w:rPr>
                <w:rFonts w:ascii="Arial Unicode MS" w:eastAsia="Arial Unicode MS" w:hAnsi="Arial Unicode MS" w:cs="Arial Unicode MS"/>
                <w:b/>
                <w:bCs/>
                <w:sz w:val="16"/>
                <w:szCs w:val="16"/>
              </w:rPr>
              <w:t>NO</w:t>
            </w:r>
          </w:p>
          <w:p w14:paraId="284842F1" w14:textId="216923F3" w:rsidR="00C519B2" w:rsidRDefault="00C519B2" w:rsidP="00C64B6A">
            <w:pPr>
              <w:spacing w:before="120"/>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DATE:</w:t>
            </w:r>
            <w:r w:rsidRPr="004164F3">
              <w:rPr>
                <w:rFonts w:ascii="Arial Unicode MS" w:eastAsia="Arial Unicode MS" w:hAnsi="Arial Unicode MS" w:cs="Arial Unicode MS"/>
                <w:sz w:val="16"/>
                <w:szCs w:val="16"/>
              </w:rPr>
              <w:tab/>
            </w:r>
            <w:r w:rsidR="009926E5" w:rsidRPr="00361C33">
              <w:rPr>
                <w:rFonts w:ascii="Arial Unicode MS" w:eastAsia="Arial Unicode MS" w:hAnsi="Arial Unicode MS" w:cs="Arial Unicode MS"/>
                <w:b/>
                <w:bCs/>
                <w:sz w:val="16"/>
                <w:szCs w:val="16"/>
              </w:rPr>
              <w:t>28</w:t>
            </w:r>
            <w:r w:rsidR="00607209" w:rsidRPr="00361C33">
              <w:rPr>
                <w:rFonts w:ascii="Arial Unicode MS" w:eastAsia="Arial Unicode MS" w:hAnsi="Arial Unicode MS" w:cs="Arial Unicode MS"/>
                <w:b/>
                <w:bCs/>
                <w:sz w:val="16"/>
                <w:szCs w:val="16"/>
              </w:rPr>
              <w:t xml:space="preserve"> </w:t>
            </w:r>
            <w:r w:rsidR="008107AD" w:rsidRPr="00361C33">
              <w:rPr>
                <w:rFonts w:ascii="Arial Unicode MS" w:eastAsia="Arial Unicode MS" w:hAnsi="Arial Unicode MS" w:cs="Arial Unicode MS"/>
                <w:b/>
                <w:bCs/>
                <w:sz w:val="16"/>
                <w:szCs w:val="16"/>
              </w:rPr>
              <w:t>April</w:t>
            </w:r>
            <w:r w:rsidR="007E1AF2" w:rsidRPr="00361C33">
              <w:rPr>
                <w:rFonts w:ascii="Arial Unicode MS" w:eastAsia="Arial Unicode MS" w:hAnsi="Arial Unicode MS" w:cs="Arial Unicode MS"/>
                <w:b/>
                <w:bCs/>
                <w:sz w:val="16"/>
                <w:szCs w:val="16"/>
              </w:rPr>
              <w:t xml:space="preserve"> 2023</w:t>
            </w:r>
          </w:p>
          <w:p w14:paraId="0499F4D1" w14:textId="77777777" w:rsidR="00E965B7" w:rsidRDefault="00E965B7" w:rsidP="00C64B6A">
            <w:pPr>
              <w:rPr>
                <w:rFonts w:ascii="Arial Unicode MS" w:eastAsia="Arial Unicode MS" w:hAnsi="Arial Unicode MS" w:cs="Arial Unicode MS"/>
                <w:sz w:val="16"/>
                <w:szCs w:val="16"/>
              </w:rPr>
            </w:pPr>
          </w:p>
          <w:p w14:paraId="773CDFDB" w14:textId="38B14B13"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SIGNATURE:</w:t>
            </w:r>
            <w:r w:rsidRPr="004164F3">
              <w:rPr>
                <w:rFonts w:ascii="Arial Unicode MS" w:eastAsia="Arial Unicode MS" w:hAnsi="Arial Unicode MS" w:cs="Arial Unicode MS"/>
                <w:sz w:val="16"/>
                <w:szCs w:val="16"/>
              </w:rPr>
              <w:tab/>
            </w:r>
          </w:p>
        </w:tc>
      </w:tr>
    </w:tbl>
    <w:p w14:paraId="46E43E32" w14:textId="4DDC7870" w:rsidR="00B50E11" w:rsidRPr="0031449E" w:rsidRDefault="00B50E11" w:rsidP="0025737D">
      <w:pPr>
        <w:pStyle w:val="Body"/>
        <w:jc w:val="right"/>
        <w:outlineLvl w:val="0"/>
        <w:rPr>
          <w:rFonts w:cs="Arial"/>
          <w:sz w:val="24"/>
          <w:szCs w:val="24"/>
        </w:rPr>
      </w:pPr>
      <w:r w:rsidRPr="0031449E">
        <w:rPr>
          <w:rFonts w:cs="Arial"/>
          <w:sz w:val="24"/>
          <w:szCs w:val="24"/>
        </w:rPr>
        <w:tab/>
      </w:r>
      <w:r w:rsidRPr="0031449E">
        <w:rPr>
          <w:rFonts w:cs="Arial"/>
          <w:b/>
          <w:bCs/>
          <w:sz w:val="24"/>
          <w:szCs w:val="24"/>
        </w:rPr>
        <w:t xml:space="preserve">Case No. </w:t>
      </w:r>
      <w:r w:rsidR="001E6ABF">
        <w:rPr>
          <w:rFonts w:cs="Arial"/>
          <w:b/>
          <w:bCs/>
          <w:sz w:val="24"/>
          <w:szCs w:val="24"/>
        </w:rPr>
        <w:t>48248/2020</w:t>
      </w:r>
    </w:p>
    <w:tbl>
      <w:tblPr>
        <w:tblStyle w:val="TableGrid"/>
        <w:tblW w:w="9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2325"/>
        <w:gridCol w:w="142"/>
      </w:tblGrid>
      <w:tr w:rsidR="00B50E11" w:rsidRPr="0031449E" w14:paraId="22698168" w14:textId="77777777" w:rsidTr="001E6ABF">
        <w:trPr>
          <w:gridAfter w:val="1"/>
          <w:wAfter w:w="142" w:type="dxa"/>
        </w:trPr>
        <w:tc>
          <w:tcPr>
            <w:tcW w:w="7020" w:type="dxa"/>
          </w:tcPr>
          <w:p w14:paraId="3D32D802" w14:textId="77777777" w:rsidR="00B50E11" w:rsidRPr="0031449E" w:rsidRDefault="00B50E11" w:rsidP="00E12A80">
            <w:pPr>
              <w:pStyle w:val="Body"/>
              <w:spacing w:before="240" w:after="240" w:line="360" w:lineRule="auto"/>
              <w:jc w:val="both"/>
              <w:rPr>
                <w:rFonts w:cs="Arial"/>
                <w:sz w:val="24"/>
                <w:szCs w:val="24"/>
              </w:rPr>
            </w:pPr>
            <w:r w:rsidRPr="0031449E">
              <w:rPr>
                <w:rFonts w:cs="Arial"/>
                <w:sz w:val="24"/>
                <w:szCs w:val="24"/>
              </w:rPr>
              <w:t>In the matter between:</w:t>
            </w:r>
          </w:p>
        </w:tc>
        <w:tc>
          <w:tcPr>
            <w:tcW w:w="2325" w:type="dxa"/>
          </w:tcPr>
          <w:p w14:paraId="6295A861" w14:textId="77777777" w:rsidR="00B50E11" w:rsidRPr="0031449E" w:rsidRDefault="00B50E11" w:rsidP="00E12A8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jc w:val="both"/>
              <w:rPr>
                <w:rFonts w:cs="Arial"/>
                <w:b/>
                <w:sz w:val="24"/>
                <w:szCs w:val="24"/>
              </w:rPr>
            </w:pPr>
          </w:p>
        </w:tc>
      </w:tr>
      <w:tr w:rsidR="00B50E11" w:rsidRPr="0031449E" w14:paraId="4638A8A4" w14:textId="77777777" w:rsidTr="001E6ABF">
        <w:trPr>
          <w:gridAfter w:val="1"/>
          <w:wAfter w:w="142" w:type="dxa"/>
          <w:trHeight w:val="1045"/>
        </w:trPr>
        <w:tc>
          <w:tcPr>
            <w:tcW w:w="7020" w:type="dxa"/>
          </w:tcPr>
          <w:p w14:paraId="548AA6FE" w14:textId="10D96995" w:rsidR="007F7FED" w:rsidRPr="00E55C66" w:rsidRDefault="00B13443" w:rsidP="00D4013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rPr>
                <w:rFonts w:cs="Arial"/>
                <w:b/>
                <w:bCs/>
                <w:sz w:val="24"/>
                <w:szCs w:val="24"/>
              </w:rPr>
            </w:pPr>
            <w:r>
              <w:rPr>
                <w:rFonts w:cs="Arial"/>
                <w:b/>
                <w:bCs/>
                <w:sz w:val="24"/>
                <w:szCs w:val="24"/>
              </w:rPr>
              <w:t>TATA</w:t>
            </w:r>
            <w:r w:rsidR="001E6ABF">
              <w:rPr>
                <w:rFonts w:cs="Arial"/>
                <w:b/>
                <w:bCs/>
                <w:sz w:val="24"/>
                <w:szCs w:val="24"/>
              </w:rPr>
              <w:t xml:space="preserve"> CHEMICALS SOUTH AFRICA </w:t>
            </w:r>
            <w:r w:rsidR="001E6ABF" w:rsidRPr="00E55C66">
              <w:rPr>
                <w:rFonts w:cs="Arial"/>
                <w:b/>
                <w:bCs/>
                <w:sz w:val="24"/>
                <w:szCs w:val="24"/>
              </w:rPr>
              <w:t>(</w:t>
            </w:r>
            <w:r w:rsidR="00765BC3">
              <w:rPr>
                <w:rFonts w:cs="Arial"/>
                <w:b/>
                <w:bCs/>
                <w:sz w:val="24"/>
                <w:szCs w:val="24"/>
              </w:rPr>
              <w:t>PTY) LTD</w:t>
            </w:r>
          </w:p>
        </w:tc>
        <w:tc>
          <w:tcPr>
            <w:tcW w:w="2325" w:type="dxa"/>
          </w:tcPr>
          <w:p w14:paraId="263479FD" w14:textId="6E010AEB" w:rsidR="00B50E11" w:rsidRPr="0031449E" w:rsidRDefault="001E6ABF" w:rsidP="00E12A8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jc w:val="right"/>
              <w:rPr>
                <w:rFonts w:cs="Arial"/>
                <w:b/>
                <w:sz w:val="24"/>
                <w:szCs w:val="24"/>
              </w:rPr>
            </w:pPr>
            <w:r>
              <w:rPr>
                <w:rFonts w:cs="Arial"/>
                <w:b/>
                <w:sz w:val="24"/>
                <w:szCs w:val="24"/>
              </w:rPr>
              <w:t xml:space="preserve"> First </w:t>
            </w:r>
            <w:r w:rsidR="000218AC">
              <w:rPr>
                <w:rFonts w:cs="Arial"/>
                <w:b/>
                <w:sz w:val="24"/>
                <w:szCs w:val="24"/>
              </w:rPr>
              <w:t>A</w:t>
            </w:r>
            <w:r w:rsidR="00F867F4">
              <w:rPr>
                <w:rFonts w:cs="Arial"/>
                <w:b/>
                <w:sz w:val="24"/>
                <w:szCs w:val="24"/>
              </w:rPr>
              <w:t>pplicant</w:t>
            </w:r>
          </w:p>
        </w:tc>
      </w:tr>
      <w:tr w:rsidR="001E6ABF" w:rsidRPr="0031449E" w14:paraId="55299126" w14:textId="77777777" w:rsidTr="001E6ABF">
        <w:trPr>
          <w:gridAfter w:val="1"/>
          <w:wAfter w:w="142" w:type="dxa"/>
          <w:trHeight w:val="1045"/>
        </w:trPr>
        <w:tc>
          <w:tcPr>
            <w:tcW w:w="7020" w:type="dxa"/>
          </w:tcPr>
          <w:p w14:paraId="041DCB3B" w14:textId="40424669" w:rsidR="001E6ABF" w:rsidRDefault="00B13443" w:rsidP="00D4013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rPr>
                <w:rFonts w:cs="Arial"/>
                <w:b/>
                <w:bCs/>
                <w:sz w:val="24"/>
                <w:szCs w:val="24"/>
              </w:rPr>
            </w:pPr>
            <w:r>
              <w:rPr>
                <w:rFonts w:cs="Arial"/>
                <w:b/>
                <w:bCs/>
                <w:sz w:val="24"/>
                <w:szCs w:val="24"/>
              </w:rPr>
              <w:t>TATA</w:t>
            </w:r>
            <w:r w:rsidR="001E6ABF">
              <w:rPr>
                <w:rFonts w:cs="Arial"/>
                <w:b/>
                <w:bCs/>
                <w:sz w:val="24"/>
                <w:szCs w:val="24"/>
              </w:rPr>
              <w:t xml:space="preserve"> CHEMICALS SODA ASH PARTNERS</w:t>
            </w:r>
          </w:p>
        </w:tc>
        <w:tc>
          <w:tcPr>
            <w:tcW w:w="2325" w:type="dxa"/>
          </w:tcPr>
          <w:p w14:paraId="060A5347" w14:textId="6BEECA20" w:rsidR="001E6ABF" w:rsidRDefault="001E6ABF" w:rsidP="00E12A8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jc w:val="right"/>
              <w:rPr>
                <w:rFonts w:cs="Arial"/>
                <w:b/>
                <w:sz w:val="24"/>
                <w:szCs w:val="24"/>
              </w:rPr>
            </w:pPr>
            <w:r>
              <w:rPr>
                <w:rFonts w:cs="Arial"/>
                <w:b/>
                <w:sz w:val="24"/>
                <w:szCs w:val="24"/>
              </w:rPr>
              <w:t>Second Applicant</w:t>
            </w:r>
          </w:p>
        </w:tc>
      </w:tr>
      <w:tr w:rsidR="00B50E11" w:rsidRPr="0031449E" w14:paraId="2DE3831D" w14:textId="77777777" w:rsidTr="001E6ABF">
        <w:trPr>
          <w:gridAfter w:val="1"/>
          <w:wAfter w:w="142" w:type="dxa"/>
        </w:trPr>
        <w:tc>
          <w:tcPr>
            <w:tcW w:w="7020" w:type="dxa"/>
          </w:tcPr>
          <w:p w14:paraId="52E06D21" w14:textId="65F278A7" w:rsidR="00B50E11" w:rsidRPr="0031449E" w:rsidRDefault="00416EA1" w:rsidP="00E12A80">
            <w:pPr>
              <w:pStyle w:val="Body"/>
              <w:spacing w:before="240" w:after="240" w:line="360" w:lineRule="auto"/>
              <w:jc w:val="both"/>
              <w:rPr>
                <w:rFonts w:eastAsia="Tahoma" w:cs="Arial"/>
                <w:sz w:val="24"/>
                <w:szCs w:val="24"/>
              </w:rPr>
            </w:pPr>
            <w:r w:rsidRPr="0031449E">
              <w:rPr>
                <w:rFonts w:cs="Arial"/>
                <w:sz w:val="24"/>
                <w:szCs w:val="24"/>
              </w:rPr>
              <w:t>A</w:t>
            </w:r>
            <w:r w:rsidR="00B50E11" w:rsidRPr="0031449E">
              <w:rPr>
                <w:rFonts w:cs="Arial"/>
                <w:sz w:val="24"/>
                <w:szCs w:val="24"/>
              </w:rPr>
              <w:t>nd</w:t>
            </w:r>
          </w:p>
        </w:tc>
        <w:tc>
          <w:tcPr>
            <w:tcW w:w="2325" w:type="dxa"/>
          </w:tcPr>
          <w:p w14:paraId="06C77BC2" w14:textId="032FD205" w:rsidR="00B50E11" w:rsidRPr="0031449E" w:rsidRDefault="00B50E11" w:rsidP="00E12A8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jc w:val="right"/>
              <w:rPr>
                <w:rFonts w:cs="Arial"/>
                <w:b/>
                <w:sz w:val="24"/>
                <w:szCs w:val="24"/>
              </w:rPr>
            </w:pPr>
          </w:p>
        </w:tc>
      </w:tr>
      <w:tr w:rsidR="00B50E11" w:rsidRPr="0031449E" w14:paraId="4829D036" w14:textId="77777777" w:rsidTr="001E6ABF">
        <w:trPr>
          <w:gridAfter w:val="1"/>
          <w:wAfter w:w="142" w:type="dxa"/>
        </w:trPr>
        <w:tc>
          <w:tcPr>
            <w:tcW w:w="7020" w:type="dxa"/>
          </w:tcPr>
          <w:p w14:paraId="3ACBB1CA" w14:textId="59ECA8A0" w:rsidR="00B50E11" w:rsidRPr="00DA7A8D" w:rsidRDefault="001E6ABF" w:rsidP="00D4013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right="-405"/>
              <w:jc w:val="both"/>
              <w:rPr>
                <w:rFonts w:cs="Arial"/>
                <w:b/>
                <w:bCs/>
                <w:sz w:val="24"/>
                <w:szCs w:val="24"/>
                <w:lang w:val="de-DE"/>
              </w:rPr>
            </w:pPr>
            <w:r>
              <w:rPr>
                <w:rFonts w:cs="Arial"/>
                <w:b/>
                <w:bCs/>
                <w:sz w:val="24"/>
                <w:szCs w:val="24"/>
                <w:lang w:val="de-DE"/>
              </w:rPr>
              <w:t>INTERNATIONAL TRADE ADMINISTRATION COMMISSION</w:t>
            </w:r>
          </w:p>
        </w:tc>
        <w:tc>
          <w:tcPr>
            <w:tcW w:w="2325" w:type="dxa"/>
          </w:tcPr>
          <w:p w14:paraId="7853F6A3" w14:textId="6875EFD6" w:rsidR="00B50E11" w:rsidRPr="0031449E" w:rsidRDefault="001E6ABF" w:rsidP="001E6AB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rPr>
                <w:rFonts w:cs="Arial"/>
                <w:b/>
                <w:sz w:val="24"/>
                <w:szCs w:val="24"/>
              </w:rPr>
            </w:pPr>
            <w:r>
              <w:rPr>
                <w:rFonts w:cs="Arial"/>
                <w:b/>
                <w:sz w:val="24"/>
                <w:szCs w:val="24"/>
              </w:rPr>
              <w:t xml:space="preserve">    </w:t>
            </w:r>
            <w:r w:rsidR="002A3982">
              <w:rPr>
                <w:rFonts w:cs="Arial"/>
                <w:b/>
                <w:sz w:val="24"/>
                <w:szCs w:val="24"/>
              </w:rPr>
              <w:t>1</w:t>
            </w:r>
            <w:r w:rsidR="00621654" w:rsidRPr="002A3982">
              <w:rPr>
                <w:rFonts w:cs="Arial"/>
                <w:b/>
                <w:sz w:val="24"/>
                <w:szCs w:val="24"/>
                <w:vertAlign w:val="superscript"/>
              </w:rPr>
              <w:t>ST</w:t>
            </w:r>
            <w:r w:rsidR="00621654">
              <w:rPr>
                <w:rFonts w:cs="Arial"/>
                <w:b/>
                <w:sz w:val="24"/>
                <w:szCs w:val="24"/>
              </w:rPr>
              <w:t xml:space="preserve"> R</w:t>
            </w:r>
            <w:r w:rsidR="00F867F4">
              <w:rPr>
                <w:rFonts w:cs="Arial"/>
                <w:b/>
                <w:sz w:val="24"/>
                <w:szCs w:val="24"/>
              </w:rPr>
              <w:t>espondent</w:t>
            </w:r>
          </w:p>
        </w:tc>
      </w:tr>
      <w:tr w:rsidR="0027008F" w:rsidRPr="0031449E" w14:paraId="0432C152" w14:textId="77777777" w:rsidTr="001E6ABF">
        <w:trPr>
          <w:gridAfter w:val="1"/>
          <w:wAfter w:w="142" w:type="dxa"/>
        </w:trPr>
        <w:tc>
          <w:tcPr>
            <w:tcW w:w="7020" w:type="dxa"/>
          </w:tcPr>
          <w:p w14:paraId="7F45D086" w14:textId="3B00E158" w:rsidR="0027008F" w:rsidRDefault="001E6ABF" w:rsidP="00E12A8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jc w:val="both"/>
              <w:rPr>
                <w:rFonts w:cs="Arial"/>
                <w:b/>
                <w:bCs/>
                <w:sz w:val="24"/>
                <w:szCs w:val="24"/>
                <w:lang w:val="de-DE"/>
              </w:rPr>
            </w:pPr>
            <w:r>
              <w:rPr>
                <w:rFonts w:cs="Arial"/>
                <w:b/>
                <w:bCs/>
                <w:sz w:val="24"/>
                <w:szCs w:val="24"/>
                <w:lang w:val="de-DE"/>
              </w:rPr>
              <w:t>MINISTER OF TRADE AND INDUSTRY</w:t>
            </w:r>
          </w:p>
        </w:tc>
        <w:tc>
          <w:tcPr>
            <w:tcW w:w="2325" w:type="dxa"/>
          </w:tcPr>
          <w:p w14:paraId="345D8E8F" w14:textId="393E9847" w:rsidR="0027008F" w:rsidRDefault="002A3982" w:rsidP="00E12A8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jc w:val="right"/>
              <w:rPr>
                <w:rFonts w:cs="Arial"/>
                <w:b/>
                <w:sz w:val="24"/>
                <w:szCs w:val="24"/>
              </w:rPr>
            </w:pPr>
            <w:r>
              <w:rPr>
                <w:rFonts w:cs="Arial"/>
                <w:b/>
                <w:sz w:val="24"/>
                <w:szCs w:val="24"/>
              </w:rPr>
              <w:t>2</w:t>
            </w:r>
            <w:r w:rsidR="00621654" w:rsidRPr="002A3982">
              <w:rPr>
                <w:rFonts w:cs="Arial"/>
                <w:b/>
                <w:sz w:val="24"/>
                <w:szCs w:val="24"/>
                <w:vertAlign w:val="superscript"/>
              </w:rPr>
              <w:t>ND</w:t>
            </w:r>
            <w:r w:rsidR="00621654">
              <w:rPr>
                <w:rFonts w:cs="Arial"/>
                <w:b/>
                <w:sz w:val="24"/>
                <w:szCs w:val="24"/>
              </w:rPr>
              <w:t xml:space="preserve"> R</w:t>
            </w:r>
            <w:r w:rsidR="00F867F4">
              <w:rPr>
                <w:rFonts w:cs="Arial"/>
                <w:b/>
                <w:sz w:val="24"/>
                <w:szCs w:val="24"/>
              </w:rPr>
              <w:t>espondent</w:t>
            </w:r>
          </w:p>
        </w:tc>
      </w:tr>
      <w:tr w:rsidR="002A3982" w:rsidRPr="0031449E" w14:paraId="2CABC4E3" w14:textId="77777777" w:rsidTr="001E6ABF">
        <w:trPr>
          <w:gridAfter w:val="1"/>
          <w:wAfter w:w="142" w:type="dxa"/>
        </w:trPr>
        <w:tc>
          <w:tcPr>
            <w:tcW w:w="7020" w:type="dxa"/>
          </w:tcPr>
          <w:p w14:paraId="731E5175" w14:textId="531964C2" w:rsidR="00660826" w:rsidRDefault="001E6ABF" w:rsidP="00E87C2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jc w:val="both"/>
              <w:rPr>
                <w:rFonts w:cs="Arial"/>
                <w:b/>
                <w:bCs/>
                <w:sz w:val="24"/>
                <w:szCs w:val="24"/>
                <w:lang w:val="de-DE"/>
              </w:rPr>
            </w:pPr>
            <w:r>
              <w:rPr>
                <w:rFonts w:cs="Arial"/>
                <w:b/>
                <w:bCs/>
                <w:sz w:val="24"/>
                <w:szCs w:val="24"/>
                <w:lang w:val="de-DE"/>
              </w:rPr>
              <w:t>MINISTER OF FINANCE</w:t>
            </w:r>
          </w:p>
        </w:tc>
        <w:tc>
          <w:tcPr>
            <w:tcW w:w="2325" w:type="dxa"/>
          </w:tcPr>
          <w:p w14:paraId="6D27D88F" w14:textId="4AE8F65D" w:rsidR="002A3982" w:rsidRDefault="00E12A80" w:rsidP="00E12A8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jc w:val="right"/>
              <w:rPr>
                <w:rFonts w:cs="Arial"/>
                <w:b/>
                <w:sz w:val="24"/>
                <w:szCs w:val="24"/>
              </w:rPr>
            </w:pPr>
            <w:r>
              <w:rPr>
                <w:rFonts w:cs="Arial"/>
                <w:b/>
                <w:sz w:val="24"/>
                <w:szCs w:val="24"/>
              </w:rPr>
              <w:t>3</w:t>
            </w:r>
            <w:r w:rsidRPr="00E12A80">
              <w:rPr>
                <w:rFonts w:cs="Arial"/>
                <w:b/>
                <w:sz w:val="24"/>
                <w:szCs w:val="24"/>
                <w:vertAlign w:val="superscript"/>
              </w:rPr>
              <w:t>RD</w:t>
            </w:r>
            <w:r>
              <w:rPr>
                <w:rFonts w:cs="Arial"/>
                <w:b/>
                <w:sz w:val="24"/>
                <w:szCs w:val="24"/>
              </w:rPr>
              <w:t xml:space="preserve"> R</w:t>
            </w:r>
            <w:r w:rsidR="00F867F4">
              <w:rPr>
                <w:rFonts w:cs="Arial"/>
                <w:b/>
                <w:sz w:val="24"/>
                <w:szCs w:val="24"/>
              </w:rPr>
              <w:t>espondent</w:t>
            </w:r>
          </w:p>
        </w:tc>
      </w:tr>
      <w:tr w:rsidR="001E6ABF" w:rsidRPr="0031449E" w14:paraId="251BCA5B" w14:textId="77777777" w:rsidTr="001E6ABF">
        <w:trPr>
          <w:gridAfter w:val="1"/>
          <w:wAfter w:w="142" w:type="dxa"/>
        </w:trPr>
        <w:tc>
          <w:tcPr>
            <w:tcW w:w="7020" w:type="dxa"/>
          </w:tcPr>
          <w:p w14:paraId="7B74E18E" w14:textId="54F71673" w:rsidR="001E6ABF" w:rsidRDefault="001E6ABF" w:rsidP="00E87C2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jc w:val="both"/>
              <w:rPr>
                <w:rFonts w:cs="Arial"/>
                <w:b/>
                <w:bCs/>
                <w:sz w:val="24"/>
                <w:szCs w:val="24"/>
                <w:lang w:val="de-DE"/>
              </w:rPr>
            </w:pPr>
            <w:r>
              <w:rPr>
                <w:rFonts w:cs="Arial"/>
                <w:b/>
                <w:bCs/>
                <w:sz w:val="24"/>
                <w:szCs w:val="24"/>
                <w:lang w:val="de-DE"/>
              </w:rPr>
              <w:t>BOTSWANA ASH (PTY) LTD</w:t>
            </w:r>
          </w:p>
        </w:tc>
        <w:tc>
          <w:tcPr>
            <w:tcW w:w="2325" w:type="dxa"/>
          </w:tcPr>
          <w:p w14:paraId="4DFE053D" w14:textId="08A3D273" w:rsidR="001E6ABF" w:rsidRDefault="001E6ABF" w:rsidP="00E12A8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jc w:val="right"/>
              <w:rPr>
                <w:rFonts w:cs="Arial"/>
                <w:b/>
                <w:sz w:val="24"/>
                <w:szCs w:val="24"/>
              </w:rPr>
            </w:pPr>
            <w:r>
              <w:rPr>
                <w:rFonts w:cs="Arial"/>
                <w:b/>
                <w:sz w:val="24"/>
                <w:szCs w:val="24"/>
              </w:rPr>
              <w:t>4</w:t>
            </w:r>
            <w:r w:rsidRPr="001E6ABF">
              <w:rPr>
                <w:rFonts w:cs="Arial"/>
                <w:b/>
                <w:sz w:val="24"/>
                <w:szCs w:val="24"/>
                <w:vertAlign w:val="superscript"/>
              </w:rPr>
              <w:t>TH</w:t>
            </w:r>
            <w:r>
              <w:rPr>
                <w:rFonts w:cs="Arial"/>
                <w:b/>
                <w:sz w:val="24"/>
                <w:szCs w:val="24"/>
              </w:rPr>
              <w:t xml:space="preserve"> Respondent</w:t>
            </w:r>
          </w:p>
        </w:tc>
      </w:tr>
      <w:tr w:rsidR="00260F2D" w:rsidRPr="00665EC9" w14:paraId="58735F72" w14:textId="77777777" w:rsidTr="008107AD">
        <w:trPr>
          <w:trHeight w:val="1045"/>
        </w:trPr>
        <w:tc>
          <w:tcPr>
            <w:tcW w:w="9487" w:type="dxa"/>
            <w:gridSpan w:val="3"/>
          </w:tcPr>
          <w:p w14:paraId="1E19AEEA" w14:textId="5A5807F8" w:rsidR="000C45CF" w:rsidRDefault="000C45CF" w:rsidP="008107AD">
            <w:pPr>
              <w:pBdr>
                <w:top w:val="none" w:sz="0" w:space="0" w:color="auto"/>
                <w:left w:val="none" w:sz="0" w:space="0" w:color="auto"/>
                <w:bottom w:val="single" w:sz="12" w:space="1" w:color="auto"/>
                <w:right w:val="none" w:sz="0" w:space="0" w:color="auto"/>
                <w:between w:val="none" w:sz="0" w:space="0" w:color="auto"/>
                <w:bar w:val="none" w:sz="0" w:color="auto"/>
              </w:pBdr>
              <w:spacing w:line="276" w:lineRule="auto"/>
              <w:jc w:val="both"/>
              <w:rPr>
                <w:rFonts w:ascii="Arial" w:hAnsi="Arial" w:cs="Arial"/>
                <w:b/>
                <w:bCs/>
              </w:rPr>
            </w:pPr>
          </w:p>
          <w:p w14:paraId="10DC388E" w14:textId="77777777" w:rsidR="000C45CF" w:rsidRDefault="000C45CF" w:rsidP="008107A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b/>
                <w:bCs/>
              </w:rPr>
            </w:pPr>
          </w:p>
          <w:p w14:paraId="3DC19059" w14:textId="7E36A170" w:rsidR="00260F2D" w:rsidRPr="00665EC9" w:rsidRDefault="00260F2D" w:rsidP="008107A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cs="Arial"/>
                <w:b/>
                <w:bCs/>
                <w:sz w:val="22"/>
                <w:szCs w:val="22"/>
              </w:rPr>
            </w:pPr>
            <w:r w:rsidRPr="00665EC9">
              <w:rPr>
                <w:rFonts w:ascii="Arial" w:hAnsi="Arial" w:cs="Arial"/>
                <w:b/>
                <w:bCs/>
              </w:rPr>
              <w:tab/>
            </w:r>
            <w:r w:rsidRPr="00665EC9">
              <w:rPr>
                <w:rFonts w:ascii="Arial" w:hAnsi="Arial" w:cs="Arial"/>
                <w:b/>
                <w:bCs/>
              </w:rPr>
              <w:tab/>
            </w:r>
            <w:r w:rsidRPr="00665EC9">
              <w:rPr>
                <w:rFonts w:ascii="Arial" w:hAnsi="Arial" w:cs="Arial"/>
                <w:b/>
                <w:bCs/>
              </w:rPr>
              <w:tab/>
            </w:r>
            <w:r w:rsidRPr="00665EC9">
              <w:rPr>
                <w:rFonts w:ascii="Arial" w:hAnsi="Arial" w:cs="Arial"/>
                <w:b/>
                <w:bCs/>
              </w:rPr>
              <w:tab/>
            </w:r>
            <w:r w:rsidRPr="00665EC9">
              <w:rPr>
                <w:rFonts w:ascii="Arial" w:hAnsi="Arial" w:cs="Arial"/>
                <w:b/>
                <w:bCs/>
              </w:rPr>
              <w:tab/>
            </w:r>
            <w:r w:rsidRPr="00665EC9">
              <w:rPr>
                <w:rFonts w:ascii="Arial" w:hAnsi="Arial" w:cs="Arial"/>
                <w:b/>
                <w:bCs/>
              </w:rPr>
              <w:tab/>
            </w:r>
            <w:r w:rsidRPr="00665EC9">
              <w:rPr>
                <w:rFonts w:ascii="Arial" w:hAnsi="Arial" w:cs="Arial"/>
                <w:b/>
                <w:bCs/>
              </w:rPr>
              <w:tab/>
            </w:r>
            <w:r w:rsidRPr="00665EC9">
              <w:rPr>
                <w:rFonts w:ascii="Arial" w:hAnsi="Arial" w:cs="Arial"/>
                <w:b/>
                <w:bCs/>
              </w:rPr>
              <w:tab/>
            </w:r>
            <w:r w:rsidRPr="00665EC9">
              <w:rPr>
                <w:rFonts w:ascii="Arial" w:hAnsi="Arial" w:cs="Arial"/>
                <w:b/>
                <w:bC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8"/>
              <w:gridCol w:w="7483"/>
            </w:tblGrid>
            <w:tr w:rsidR="00260F2D" w:rsidRPr="00665EC9" w14:paraId="1B2970AA" w14:textId="77777777" w:rsidTr="00361C33">
              <w:tc>
                <w:tcPr>
                  <w:tcW w:w="1790" w:type="dxa"/>
                </w:tcPr>
                <w:p w14:paraId="45CB6FFD" w14:textId="77777777" w:rsidR="00260F2D" w:rsidRPr="00361C33" w:rsidRDefault="00260F2D" w:rsidP="008107A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w:hAnsi="Times" w:cs="Arial"/>
                      <w:b/>
                      <w:bCs/>
                      <w:i/>
                      <w:iCs/>
                      <w:sz w:val="24"/>
                      <w:szCs w:val="24"/>
                    </w:rPr>
                  </w:pPr>
                  <w:r w:rsidRPr="00361C33">
                    <w:rPr>
                      <w:rFonts w:ascii="Times" w:eastAsia="Times New Roman" w:hAnsi="Times" w:cs="Arial"/>
                      <w:b/>
                      <w:bCs/>
                      <w:i/>
                      <w:iCs/>
                      <w:sz w:val="24"/>
                      <w:szCs w:val="24"/>
                      <w:lang w:val="en-ZA"/>
                    </w:rPr>
                    <w:t>Coram:</w:t>
                  </w:r>
                  <w:r w:rsidRPr="00361C33">
                    <w:rPr>
                      <w:rFonts w:ascii="Times" w:eastAsia="Times New Roman" w:hAnsi="Times" w:cs="Arial"/>
                      <w:i/>
                      <w:iCs/>
                      <w:sz w:val="24"/>
                      <w:szCs w:val="24"/>
                      <w:lang w:val="en-ZA"/>
                    </w:rPr>
                    <w:t>          </w:t>
                  </w:r>
                </w:p>
              </w:tc>
              <w:tc>
                <w:tcPr>
                  <w:tcW w:w="7513" w:type="dxa"/>
                </w:tcPr>
                <w:p w14:paraId="28940598" w14:textId="68144A2E" w:rsidR="00260F2D" w:rsidRPr="005D1D30" w:rsidRDefault="00260F2D" w:rsidP="008107AD">
                  <w:pPr>
                    <w:pBdr>
                      <w:top w:val="none" w:sz="0" w:space="0" w:color="auto"/>
                      <w:left w:val="none" w:sz="0" w:space="0" w:color="auto"/>
                      <w:bottom w:val="none" w:sz="0" w:space="0" w:color="auto"/>
                      <w:right w:val="none" w:sz="0" w:space="0" w:color="auto"/>
                      <w:between w:val="none" w:sz="0" w:space="0" w:color="auto"/>
                      <w:bar w:val="none" w:sz="0" w:color="auto"/>
                    </w:pBdr>
                    <w:tabs>
                      <w:tab w:val="left" w:pos="1417"/>
                    </w:tabs>
                    <w:spacing w:after="120" w:line="276" w:lineRule="auto"/>
                    <w:ind w:left="2268" w:hanging="2268"/>
                    <w:rPr>
                      <w:rFonts w:ascii="Arial" w:eastAsia="Times New Roman" w:hAnsi="Arial" w:cs="Arial"/>
                      <w:color w:val="000000"/>
                      <w:sz w:val="24"/>
                      <w:szCs w:val="24"/>
                    </w:rPr>
                  </w:pPr>
                  <w:r w:rsidRPr="005D1D30">
                    <w:rPr>
                      <w:rFonts w:ascii="Arial" w:eastAsia="Times New Roman" w:hAnsi="Arial" w:cs="Arial"/>
                      <w:color w:val="000000"/>
                      <w:sz w:val="24"/>
                      <w:szCs w:val="24"/>
                      <w:lang w:val="en-ZA"/>
                    </w:rPr>
                    <w:t xml:space="preserve">Millar </w:t>
                  </w:r>
                  <w:r>
                    <w:rPr>
                      <w:rFonts w:ascii="Arial" w:eastAsia="Times New Roman" w:hAnsi="Arial" w:cs="Arial"/>
                      <w:color w:val="000000"/>
                      <w:sz w:val="24"/>
                      <w:szCs w:val="24"/>
                      <w:lang w:val="en-ZA"/>
                    </w:rPr>
                    <w:t>J</w:t>
                  </w:r>
                </w:p>
                <w:p w14:paraId="51A75309" w14:textId="77777777" w:rsidR="00260F2D" w:rsidRPr="005D1D30" w:rsidRDefault="00260F2D" w:rsidP="008107A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b/>
                      <w:bCs/>
                      <w:sz w:val="24"/>
                      <w:szCs w:val="24"/>
                    </w:rPr>
                  </w:pPr>
                </w:p>
              </w:tc>
            </w:tr>
            <w:tr w:rsidR="00260F2D" w:rsidRPr="00665EC9" w14:paraId="2CF55DA0" w14:textId="77777777" w:rsidTr="00361C33">
              <w:tc>
                <w:tcPr>
                  <w:tcW w:w="1790" w:type="dxa"/>
                </w:tcPr>
                <w:p w14:paraId="1FD3EEEB" w14:textId="77777777" w:rsidR="00260F2D" w:rsidRPr="00361C33" w:rsidRDefault="00260F2D" w:rsidP="008107A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w:hAnsi="Times" w:cs="Arial"/>
                      <w:b/>
                      <w:bCs/>
                      <w:i/>
                      <w:iCs/>
                      <w:sz w:val="24"/>
                      <w:szCs w:val="24"/>
                    </w:rPr>
                  </w:pPr>
                  <w:r w:rsidRPr="00361C33">
                    <w:rPr>
                      <w:rFonts w:ascii="Times" w:eastAsia="Times New Roman" w:hAnsi="Times" w:cs="Arial"/>
                      <w:b/>
                      <w:bCs/>
                      <w:i/>
                      <w:iCs/>
                      <w:sz w:val="24"/>
                      <w:szCs w:val="24"/>
                      <w:lang w:val="en-ZA"/>
                    </w:rPr>
                    <w:t>Heard on</w:t>
                  </w:r>
                  <w:r w:rsidRPr="00361C33">
                    <w:rPr>
                      <w:rFonts w:ascii="Times" w:eastAsia="Times New Roman" w:hAnsi="Times" w:cs="Arial"/>
                      <w:i/>
                      <w:iCs/>
                      <w:sz w:val="24"/>
                      <w:szCs w:val="24"/>
                      <w:lang w:val="en-ZA"/>
                    </w:rPr>
                    <w:t>:      </w:t>
                  </w:r>
                </w:p>
              </w:tc>
              <w:tc>
                <w:tcPr>
                  <w:tcW w:w="7513" w:type="dxa"/>
                </w:tcPr>
                <w:p w14:paraId="208179F3" w14:textId="571BF322" w:rsidR="00260F2D" w:rsidRPr="005D1D30" w:rsidRDefault="001E6ABF" w:rsidP="008107AD">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268" w:hanging="2268"/>
                    <w:jc w:val="both"/>
                    <w:rPr>
                      <w:rFonts w:ascii="Arial" w:eastAsia="Times New Roman" w:hAnsi="Arial" w:cs="Arial"/>
                      <w:color w:val="000000"/>
                      <w:sz w:val="24"/>
                      <w:szCs w:val="24"/>
                    </w:rPr>
                  </w:pPr>
                  <w:r>
                    <w:rPr>
                      <w:rFonts w:ascii="Arial" w:eastAsia="Times New Roman" w:hAnsi="Arial" w:cs="Arial"/>
                      <w:color w:val="000000"/>
                      <w:sz w:val="24"/>
                      <w:szCs w:val="24"/>
                    </w:rPr>
                    <w:t>3</w:t>
                  </w:r>
                  <w:r w:rsidR="002133E4">
                    <w:rPr>
                      <w:rFonts w:ascii="Arial" w:eastAsia="Times New Roman" w:hAnsi="Arial" w:cs="Arial"/>
                      <w:color w:val="000000"/>
                      <w:sz w:val="24"/>
                      <w:szCs w:val="24"/>
                    </w:rPr>
                    <w:t>1</w:t>
                  </w:r>
                  <w:r w:rsidR="00D02E78">
                    <w:rPr>
                      <w:rFonts w:ascii="Arial" w:eastAsia="Times New Roman" w:hAnsi="Arial" w:cs="Arial"/>
                      <w:color w:val="000000"/>
                      <w:sz w:val="24"/>
                      <w:szCs w:val="24"/>
                    </w:rPr>
                    <w:t xml:space="preserve"> </w:t>
                  </w:r>
                  <w:r w:rsidR="007E1AF2">
                    <w:rPr>
                      <w:rFonts w:ascii="Arial" w:eastAsia="Times New Roman" w:hAnsi="Arial" w:cs="Arial"/>
                      <w:color w:val="000000"/>
                      <w:sz w:val="24"/>
                      <w:szCs w:val="24"/>
                    </w:rPr>
                    <w:t>January 2023</w:t>
                  </w:r>
                  <w:r w:rsidR="002133E4">
                    <w:rPr>
                      <w:rFonts w:ascii="Arial" w:eastAsia="Times New Roman" w:hAnsi="Arial" w:cs="Arial"/>
                      <w:color w:val="000000"/>
                      <w:sz w:val="24"/>
                      <w:szCs w:val="24"/>
                    </w:rPr>
                    <w:t xml:space="preserve"> </w:t>
                  </w:r>
                </w:p>
                <w:p w14:paraId="22302B2F" w14:textId="77777777" w:rsidR="00260F2D" w:rsidRPr="005D1D30" w:rsidRDefault="00260F2D" w:rsidP="008107A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b/>
                      <w:bCs/>
                      <w:sz w:val="24"/>
                      <w:szCs w:val="24"/>
                    </w:rPr>
                  </w:pPr>
                </w:p>
              </w:tc>
            </w:tr>
            <w:tr w:rsidR="00260F2D" w:rsidRPr="00665EC9" w14:paraId="2291878F" w14:textId="77777777" w:rsidTr="00361C33">
              <w:trPr>
                <w:trHeight w:val="60"/>
              </w:trPr>
              <w:tc>
                <w:tcPr>
                  <w:tcW w:w="1790" w:type="dxa"/>
                </w:tcPr>
                <w:p w14:paraId="5C159BC4" w14:textId="77777777" w:rsidR="00260F2D" w:rsidRPr="00361C33" w:rsidRDefault="00260F2D" w:rsidP="008107A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w:hAnsi="Times" w:cs="Arial"/>
                      <w:b/>
                      <w:bCs/>
                      <w:i/>
                      <w:iCs/>
                      <w:sz w:val="24"/>
                      <w:szCs w:val="24"/>
                    </w:rPr>
                  </w:pPr>
                  <w:r w:rsidRPr="00361C33">
                    <w:rPr>
                      <w:rFonts w:ascii="Times" w:eastAsia="Times New Roman" w:hAnsi="Times" w:cs="Arial"/>
                      <w:b/>
                      <w:bCs/>
                      <w:i/>
                      <w:iCs/>
                      <w:sz w:val="24"/>
                      <w:szCs w:val="24"/>
                      <w:lang w:val="en-ZA"/>
                    </w:rPr>
                    <w:t xml:space="preserve">Delivered:   </w:t>
                  </w:r>
                </w:p>
              </w:tc>
              <w:tc>
                <w:tcPr>
                  <w:tcW w:w="7513" w:type="dxa"/>
                </w:tcPr>
                <w:p w14:paraId="44058379" w14:textId="72D1F486" w:rsidR="00260F2D" w:rsidRPr="00385E64" w:rsidRDefault="00953D16" w:rsidP="008107A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120" w:line="276" w:lineRule="auto"/>
                    <w:ind w:right="37" w:hanging="21"/>
                    <w:jc w:val="both"/>
                    <w:rPr>
                      <w:rFonts w:ascii="Arial" w:eastAsia="Times New Roman" w:hAnsi="Arial" w:cs="Arial"/>
                      <w:color w:val="000000"/>
                      <w:sz w:val="24"/>
                      <w:szCs w:val="24"/>
                      <w:lang w:val="en-ZA"/>
                    </w:rPr>
                  </w:pPr>
                  <w:r>
                    <w:rPr>
                      <w:rFonts w:ascii="Arial" w:eastAsia="Times New Roman" w:hAnsi="Arial" w:cs="Arial"/>
                      <w:color w:val="000000"/>
                      <w:sz w:val="24"/>
                      <w:szCs w:val="24"/>
                      <w:lang w:val="en-ZA"/>
                    </w:rPr>
                    <w:t xml:space="preserve">28 April </w:t>
                  </w:r>
                  <w:r w:rsidR="007E1AF2">
                    <w:rPr>
                      <w:rFonts w:ascii="Arial" w:eastAsia="Times New Roman" w:hAnsi="Arial" w:cs="Arial"/>
                      <w:color w:val="000000"/>
                      <w:sz w:val="24"/>
                      <w:szCs w:val="24"/>
                      <w:lang w:val="en-ZA"/>
                    </w:rPr>
                    <w:t>2023</w:t>
                  </w:r>
                  <w:r w:rsidR="00260F2D" w:rsidRPr="005D1D30">
                    <w:rPr>
                      <w:rFonts w:ascii="Arial" w:eastAsia="Times New Roman" w:hAnsi="Arial" w:cs="Arial"/>
                      <w:color w:val="000000"/>
                      <w:sz w:val="24"/>
                      <w:szCs w:val="24"/>
                      <w:lang w:val="en-ZA"/>
                    </w:rPr>
                    <w:t xml:space="preserve"> - This judgment was handed down electronically by circulation to the parties' representatives by email, by being uploaded to the </w:t>
                  </w:r>
                  <w:r w:rsidR="00260F2D" w:rsidRPr="005D1D30">
                    <w:rPr>
                      <w:rFonts w:ascii="Arial" w:eastAsia="Times New Roman" w:hAnsi="Arial" w:cs="Arial"/>
                      <w:i/>
                      <w:iCs/>
                      <w:color w:val="000000"/>
                      <w:sz w:val="24"/>
                      <w:szCs w:val="24"/>
                      <w:lang w:val="en-ZA"/>
                    </w:rPr>
                    <w:t>CaseLines</w:t>
                  </w:r>
                  <w:r w:rsidR="00260F2D" w:rsidRPr="005D1D30">
                    <w:rPr>
                      <w:rFonts w:ascii="Arial" w:eastAsia="Times New Roman" w:hAnsi="Arial" w:cs="Arial"/>
                      <w:color w:val="000000"/>
                      <w:sz w:val="24"/>
                      <w:szCs w:val="24"/>
                      <w:lang w:val="en-ZA"/>
                    </w:rPr>
                    <w:t xml:space="preserve"> system of the GD and by release to SAFLII. The date and time for hand-down is deemed to be </w:t>
                  </w:r>
                  <w:r>
                    <w:rPr>
                      <w:rFonts w:ascii="Arial" w:eastAsia="Times New Roman" w:hAnsi="Arial" w:cs="Arial"/>
                      <w:color w:val="000000"/>
                      <w:sz w:val="24"/>
                      <w:szCs w:val="24"/>
                      <w:lang w:val="en-ZA"/>
                    </w:rPr>
                    <w:t>09H00</w:t>
                  </w:r>
                  <w:r w:rsidR="00260F2D" w:rsidRPr="005D1D30">
                    <w:rPr>
                      <w:rFonts w:ascii="Arial" w:eastAsia="Times New Roman" w:hAnsi="Arial" w:cs="Arial"/>
                      <w:color w:val="000000"/>
                      <w:sz w:val="24"/>
                      <w:szCs w:val="24"/>
                      <w:lang w:val="en-ZA"/>
                    </w:rPr>
                    <w:t xml:space="preserve"> on </w:t>
                  </w:r>
                  <w:r>
                    <w:rPr>
                      <w:rFonts w:ascii="Arial" w:eastAsia="Times New Roman" w:hAnsi="Arial" w:cs="Arial"/>
                      <w:color w:val="000000"/>
                      <w:sz w:val="24"/>
                      <w:szCs w:val="24"/>
                      <w:lang w:val="en-ZA"/>
                    </w:rPr>
                    <w:t xml:space="preserve">28 April </w:t>
                  </w:r>
                  <w:r w:rsidR="007E1AF2">
                    <w:rPr>
                      <w:rFonts w:ascii="Arial" w:eastAsia="Times New Roman" w:hAnsi="Arial" w:cs="Arial"/>
                      <w:color w:val="000000"/>
                      <w:sz w:val="24"/>
                      <w:szCs w:val="24"/>
                      <w:lang w:val="en-ZA"/>
                    </w:rPr>
                    <w:t xml:space="preserve"> 2023</w:t>
                  </w:r>
                </w:p>
              </w:tc>
            </w:tr>
            <w:tr w:rsidR="008107AD" w:rsidRPr="00665EC9" w14:paraId="6FE0CA0F" w14:textId="77777777" w:rsidTr="00361C33">
              <w:trPr>
                <w:trHeight w:val="60"/>
              </w:trPr>
              <w:tc>
                <w:tcPr>
                  <w:tcW w:w="1790" w:type="dxa"/>
                </w:tcPr>
                <w:p w14:paraId="4EF42B0C" w14:textId="77777777" w:rsidR="0032736C" w:rsidRPr="00361C33" w:rsidRDefault="0032736C" w:rsidP="008107A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w:eastAsia="Times New Roman" w:hAnsi="Times" w:cs="Arial"/>
                      <w:b/>
                      <w:bCs/>
                      <w:i/>
                      <w:iCs/>
                      <w:sz w:val="24"/>
                      <w:szCs w:val="24"/>
                      <w:lang w:val="en-ZA"/>
                    </w:rPr>
                  </w:pPr>
                </w:p>
                <w:p w14:paraId="5BCA254B" w14:textId="38166A2E" w:rsidR="008107AD" w:rsidRPr="00361C33" w:rsidRDefault="008107AD" w:rsidP="008107A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w:eastAsia="Times New Roman" w:hAnsi="Times" w:cs="Arial"/>
                      <w:b/>
                      <w:bCs/>
                      <w:i/>
                      <w:iCs/>
                      <w:sz w:val="24"/>
                      <w:szCs w:val="24"/>
                      <w:lang w:val="en-ZA"/>
                    </w:rPr>
                  </w:pPr>
                  <w:r w:rsidRPr="00361C33">
                    <w:rPr>
                      <w:rFonts w:ascii="Times" w:eastAsia="Times New Roman" w:hAnsi="Times" w:cs="Arial"/>
                      <w:b/>
                      <w:bCs/>
                      <w:i/>
                      <w:iCs/>
                      <w:sz w:val="24"/>
                      <w:szCs w:val="24"/>
                      <w:lang w:val="en-ZA"/>
                    </w:rPr>
                    <w:t>Summary:</w:t>
                  </w:r>
                </w:p>
              </w:tc>
              <w:tc>
                <w:tcPr>
                  <w:tcW w:w="7513" w:type="dxa"/>
                </w:tcPr>
                <w:p w14:paraId="70859DF5" w14:textId="77777777" w:rsidR="0032736C" w:rsidRDefault="0032736C" w:rsidP="008107A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120" w:line="276" w:lineRule="auto"/>
                    <w:ind w:right="37" w:hanging="21"/>
                    <w:jc w:val="both"/>
                    <w:rPr>
                      <w:rFonts w:ascii="Arial" w:eastAsia="Times New Roman" w:hAnsi="Arial" w:cs="Arial"/>
                      <w:color w:val="000000"/>
                      <w:sz w:val="24"/>
                      <w:szCs w:val="24"/>
                      <w:lang w:val="en-ZA"/>
                    </w:rPr>
                  </w:pPr>
                </w:p>
                <w:p w14:paraId="75058589" w14:textId="515AA217" w:rsidR="008107AD" w:rsidRPr="00361C33" w:rsidRDefault="0032736C" w:rsidP="00361C33">
                  <w:pPr>
                    <w:tabs>
                      <w:tab w:val="left" w:pos="0"/>
                    </w:tabs>
                    <w:spacing w:after="120" w:line="276" w:lineRule="auto"/>
                    <w:ind w:right="37" w:hanging="21"/>
                    <w:jc w:val="both"/>
                    <w:rPr>
                      <w:rFonts w:ascii="Arial" w:eastAsia="Times New Roman" w:hAnsi="Arial" w:cs="Arial"/>
                      <w:color w:val="000000"/>
                      <w:sz w:val="24"/>
                      <w:szCs w:val="24"/>
                      <w:lang w:val="en-ZA"/>
                    </w:rPr>
                  </w:pPr>
                  <w:r w:rsidRPr="0032736C">
                    <w:rPr>
                      <w:rFonts w:ascii="Arial" w:eastAsia="Times New Roman" w:hAnsi="Arial" w:cs="Arial"/>
                      <w:color w:val="000000"/>
                      <w:sz w:val="24"/>
                      <w:szCs w:val="24"/>
                      <w:lang w:val="en-ZA"/>
                    </w:rPr>
                    <w:t>Application for review</w:t>
                  </w:r>
                  <w:r>
                    <w:rPr>
                      <w:rFonts w:ascii="Arial" w:eastAsia="Times New Roman" w:hAnsi="Arial" w:cs="Arial"/>
                      <w:color w:val="000000"/>
                      <w:sz w:val="24"/>
                      <w:szCs w:val="24"/>
                      <w:lang w:val="en-ZA"/>
                    </w:rPr>
                    <w:t xml:space="preserve"> of the imposition of anti-dumping duties</w:t>
                  </w:r>
                  <w:r w:rsidR="00361C33">
                    <w:rPr>
                      <w:rFonts w:ascii="Arial" w:eastAsia="Times New Roman" w:hAnsi="Arial" w:cs="Arial"/>
                      <w:color w:val="000000"/>
                      <w:sz w:val="24"/>
                      <w:szCs w:val="24"/>
                      <w:lang w:val="en-ZA"/>
                    </w:rPr>
                    <w:t xml:space="preserve"> – calculation of period for which duties applicable – whether sunset review initiated timeously and whether withdrawal of company specific duty permissible – 5 year period to be calculated in accordance with the Regulations  and the decision of the Supreme Court of Appeal in Associated Meat Importers v ITAC – sunset review initiated timeously and decision to withdraw company specific duty in consequence of non- co-operation found to be permissible – application dismissed with costs.</w:t>
                  </w:r>
                </w:p>
              </w:tc>
            </w:tr>
          </w:tbl>
          <w:p w14:paraId="440A412E" w14:textId="77777777" w:rsidR="00260F2D" w:rsidRPr="00665EC9" w:rsidRDefault="00260F2D" w:rsidP="0063569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b/>
                <w:bCs/>
                <w:sz w:val="24"/>
                <w:szCs w:val="24"/>
              </w:rPr>
            </w:pPr>
          </w:p>
        </w:tc>
      </w:tr>
    </w:tbl>
    <w:p w14:paraId="44684878" w14:textId="2A0FB819" w:rsidR="00B70620" w:rsidRPr="0032736C" w:rsidRDefault="00B70620" w:rsidP="00361C33">
      <w:pPr>
        <w:pStyle w:val="LegalTramLines"/>
        <w:pBdr>
          <w:top w:val="single" w:sz="12" w:space="31" w:color="auto"/>
          <w:bottom w:val="single" w:sz="12" w:space="18" w:color="auto"/>
        </w:pBdr>
        <w:spacing w:after="240"/>
        <w:rPr>
          <w:rFonts w:ascii="Arial" w:hAnsi="Arial" w:cs="Arial"/>
        </w:rPr>
      </w:pPr>
      <w:r w:rsidRPr="00217B1F">
        <w:rPr>
          <w:rFonts w:ascii="Arial" w:hAnsi="Arial" w:cs="Arial"/>
        </w:rPr>
        <w:t>ORDER</w:t>
      </w:r>
    </w:p>
    <w:p w14:paraId="6FB1000D" w14:textId="77777777" w:rsidR="00B70620" w:rsidRPr="005D79B5" w:rsidRDefault="00B70620" w:rsidP="00B70620">
      <w:pPr>
        <w:pStyle w:val="LegalMAINHEADING"/>
        <w:spacing w:before="0" w:after="120" w:line="360" w:lineRule="auto"/>
        <w:rPr>
          <w:rFonts w:cs="Arial"/>
          <w:b w:val="0"/>
          <w:caps w:val="0"/>
          <w:lang w:eastAsia="en-US"/>
        </w:rPr>
      </w:pPr>
      <w:r w:rsidRPr="005D79B5">
        <w:rPr>
          <w:rFonts w:cs="Arial"/>
          <w:caps w:val="0"/>
          <w:lang w:eastAsia="en-US"/>
        </w:rPr>
        <w:t>It is Ordered</w:t>
      </w:r>
      <w:r w:rsidRPr="005D79B5">
        <w:rPr>
          <w:rFonts w:cs="Arial"/>
          <w:b w:val="0"/>
          <w:caps w:val="0"/>
          <w:lang w:eastAsia="en-US"/>
        </w:rPr>
        <w:t>:</w:t>
      </w:r>
    </w:p>
    <w:p w14:paraId="745BF877" w14:textId="77777777" w:rsidR="00B70620" w:rsidRPr="005D79B5" w:rsidRDefault="00B70620" w:rsidP="00B70620">
      <w:pPr>
        <w:rPr>
          <w:lang w:val="en-GB"/>
        </w:rPr>
      </w:pPr>
    </w:p>
    <w:p w14:paraId="4043D4B1" w14:textId="67F6D2E6" w:rsidR="00953D16" w:rsidRPr="00995931" w:rsidRDefault="00995931" w:rsidP="00995931">
      <w:pPr>
        <w:spacing w:line="360" w:lineRule="auto"/>
        <w:ind w:left="1500" w:hanging="1140"/>
        <w:jc w:val="both"/>
        <w:rPr>
          <w:rFonts w:ascii="Arial" w:hAnsi="Arial" w:cs="Arial"/>
          <w:iCs/>
          <w:color w:val="000000" w:themeColor="text1"/>
        </w:rPr>
      </w:pPr>
      <w:bookmarkStart w:id="0" w:name="_Hlk102030155"/>
      <w:r>
        <w:rPr>
          <w:rFonts w:ascii="Arial" w:hAnsi="Arial" w:cs="Arial"/>
          <w:iCs/>
          <w:color w:val="000000" w:themeColor="text1"/>
        </w:rPr>
        <w:t>1.</w:t>
      </w:r>
      <w:r>
        <w:rPr>
          <w:rFonts w:ascii="Arial" w:hAnsi="Arial" w:cs="Arial"/>
          <w:iCs/>
          <w:color w:val="000000" w:themeColor="text1"/>
        </w:rPr>
        <w:tab/>
      </w:r>
      <w:r w:rsidR="00953D16" w:rsidRPr="00995931">
        <w:rPr>
          <w:rFonts w:ascii="Arial" w:hAnsi="Arial" w:cs="Arial"/>
          <w:iCs/>
          <w:color w:val="000000" w:themeColor="text1"/>
        </w:rPr>
        <w:t>The application is dismissed.</w:t>
      </w:r>
    </w:p>
    <w:p w14:paraId="19D2CDF0" w14:textId="77777777" w:rsidR="00953D16" w:rsidRPr="001E082A" w:rsidRDefault="00953D16" w:rsidP="00953D16">
      <w:pPr>
        <w:pStyle w:val="ListParagraph"/>
        <w:spacing w:line="360" w:lineRule="auto"/>
        <w:ind w:left="1500"/>
        <w:jc w:val="both"/>
        <w:rPr>
          <w:rFonts w:ascii="Arial" w:hAnsi="Arial" w:cs="Arial"/>
          <w:iCs/>
          <w:color w:val="000000" w:themeColor="text1"/>
        </w:rPr>
      </w:pPr>
    </w:p>
    <w:p w14:paraId="2F38396B" w14:textId="773BAF08" w:rsidR="00B70620" w:rsidRPr="00995931" w:rsidRDefault="00995931" w:rsidP="00995931">
      <w:pPr>
        <w:spacing w:line="360" w:lineRule="auto"/>
        <w:ind w:left="1500" w:hanging="1140"/>
        <w:jc w:val="both"/>
        <w:rPr>
          <w:rFonts w:ascii="Arial" w:hAnsi="Arial" w:cs="Arial"/>
          <w:iCs/>
          <w:color w:val="000000" w:themeColor="text1"/>
        </w:rPr>
      </w:pPr>
      <w:r>
        <w:rPr>
          <w:rFonts w:ascii="Arial" w:hAnsi="Arial" w:cs="Arial"/>
          <w:iCs/>
          <w:color w:val="000000" w:themeColor="text1"/>
        </w:rPr>
        <w:t>2.</w:t>
      </w:r>
      <w:r>
        <w:rPr>
          <w:rFonts w:ascii="Arial" w:hAnsi="Arial" w:cs="Arial"/>
          <w:iCs/>
          <w:color w:val="000000" w:themeColor="text1"/>
        </w:rPr>
        <w:tab/>
      </w:r>
      <w:r w:rsidR="00953D16" w:rsidRPr="00995931">
        <w:rPr>
          <w:rFonts w:ascii="Arial" w:hAnsi="Arial" w:cs="Arial"/>
          <w:iCs/>
          <w:color w:val="000000" w:themeColor="text1"/>
        </w:rPr>
        <w:t xml:space="preserve">The applicants, jointly and severally, the one paying the other to be absolved, are ordered to pay the costs of the respondents on the scale </w:t>
      </w:r>
      <w:bookmarkStart w:id="1" w:name="_GoBack"/>
      <w:bookmarkEnd w:id="1"/>
      <w:r w:rsidR="00953D16" w:rsidRPr="00995931">
        <w:rPr>
          <w:rFonts w:ascii="Arial" w:hAnsi="Arial" w:cs="Arial"/>
          <w:iCs/>
          <w:color w:val="000000" w:themeColor="text1"/>
        </w:rPr>
        <w:t>as between party and party, such costs to include the costs consequent upon the employment of two counsel (where engaged).</w:t>
      </w:r>
      <w:bookmarkEnd w:id="0"/>
    </w:p>
    <w:p w14:paraId="6EB3A850" w14:textId="77777777" w:rsidR="0032736C" w:rsidRPr="0032736C" w:rsidRDefault="0032736C" w:rsidP="0032736C">
      <w:pPr>
        <w:pStyle w:val="ListParagraph"/>
        <w:rPr>
          <w:rFonts w:ascii="Arial" w:hAnsi="Arial" w:cs="Arial"/>
          <w:iCs/>
          <w:color w:val="000000" w:themeColor="text1"/>
        </w:rPr>
      </w:pPr>
    </w:p>
    <w:p w14:paraId="213AFAC9" w14:textId="77777777" w:rsidR="0032736C" w:rsidRPr="0032736C" w:rsidRDefault="0032736C" w:rsidP="0032736C">
      <w:pPr>
        <w:pStyle w:val="ListParagraph"/>
        <w:spacing w:line="360" w:lineRule="auto"/>
        <w:ind w:left="1500"/>
        <w:jc w:val="both"/>
        <w:rPr>
          <w:rFonts w:ascii="Arial" w:hAnsi="Arial" w:cs="Arial"/>
          <w:iCs/>
          <w:color w:val="000000" w:themeColor="text1"/>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E87C23" w:rsidRPr="0031449E" w14:paraId="4ADC5BDB" w14:textId="77777777" w:rsidTr="00195908">
        <w:tc>
          <w:tcPr>
            <w:tcW w:w="9350" w:type="dxa"/>
          </w:tcPr>
          <w:p w14:paraId="1A8C2A0E" w14:textId="19B078BD" w:rsidR="00E87C23" w:rsidRDefault="00E87C23" w:rsidP="00E87C2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ahoma" w:cs="Arial"/>
                <w:b/>
                <w:bCs/>
                <w:sz w:val="32"/>
                <w:szCs w:val="24"/>
                <w:lang w:val="de-DE"/>
              </w:rPr>
            </w:pPr>
            <w:r>
              <w:rPr>
                <w:rFonts w:eastAsia="Tahoma" w:cs="Arial"/>
                <w:b/>
                <w:bCs/>
                <w:sz w:val="32"/>
                <w:szCs w:val="24"/>
                <w:lang w:val="de-DE"/>
              </w:rPr>
              <w:t xml:space="preserve"> </w:t>
            </w:r>
          </w:p>
          <w:p w14:paraId="0E360EA4" w14:textId="29EA24F1" w:rsidR="00E87C23" w:rsidRPr="00E965B7" w:rsidRDefault="00E87C23" w:rsidP="00E965B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center"/>
              <w:rPr>
                <w:rFonts w:eastAsia="Tahoma" w:cs="Arial"/>
                <w:b/>
                <w:bCs/>
                <w:sz w:val="24"/>
                <w:szCs w:val="24"/>
                <w:lang w:val="de-DE"/>
              </w:rPr>
            </w:pPr>
            <w:r w:rsidRPr="000C45CF">
              <w:rPr>
                <w:rFonts w:eastAsia="Tahoma" w:cs="Arial"/>
                <w:b/>
                <w:bCs/>
                <w:sz w:val="24"/>
                <w:szCs w:val="24"/>
                <w:lang w:val="de-DE"/>
              </w:rPr>
              <w:t>JUDGMENT</w:t>
            </w:r>
            <w:r w:rsidR="00F07FAF" w:rsidRPr="000C45CF">
              <w:rPr>
                <w:rFonts w:eastAsia="Tahoma" w:cs="Arial"/>
                <w:b/>
                <w:bCs/>
                <w:sz w:val="24"/>
                <w:szCs w:val="24"/>
                <w:lang w:val="de-DE"/>
              </w:rPr>
              <w:t xml:space="preserve"> </w:t>
            </w:r>
          </w:p>
        </w:tc>
      </w:tr>
    </w:tbl>
    <w:p w14:paraId="02BCB5D5" w14:textId="77777777" w:rsidR="00E87C23" w:rsidRDefault="00E87C23" w:rsidP="00E87C23">
      <w:pPr>
        <w:pStyle w:val="Body"/>
        <w:jc w:val="both"/>
        <w:rPr>
          <w:b/>
          <w:sz w:val="22"/>
          <w:szCs w:val="22"/>
        </w:rPr>
      </w:pPr>
    </w:p>
    <w:p w14:paraId="1C98549E" w14:textId="77777777" w:rsidR="00E87C23" w:rsidRDefault="00E87C23" w:rsidP="00E87C23">
      <w:pPr>
        <w:pStyle w:val="Body"/>
        <w:jc w:val="both"/>
        <w:rPr>
          <w:b/>
          <w:sz w:val="22"/>
          <w:szCs w:val="22"/>
          <w:u w:val="single"/>
        </w:rPr>
      </w:pPr>
      <w:r w:rsidRPr="00C519B2">
        <w:rPr>
          <w:b/>
          <w:sz w:val="22"/>
          <w:szCs w:val="22"/>
          <w:u w:val="single"/>
        </w:rPr>
        <w:lastRenderedPageBreak/>
        <w:t>MILLAR J</w:t>
      </w:r>
    </w:p>
    <w:p w14:paraId="614F38BC" w14:textId="5292C95E" w:rsidR="00765BC3" w:rsidRDefault="00765BC3" w:rsidP="00765BC3"/>
    <w:p w14:paraId="6443F150" w14:textId="1B3BC8EA" w:rsidR="002133E4" w:rsidRDefault="00361C33" w:rsidP="00765BC3">
      <w:pPr>
        <w:rPr>
          <w:rFonts w:ascii="Arial" w:hAnsi="Arial" w:cs="Arial"/>
          <w:b/>
          <w:bCs/>
          <w:u w:val="single"/>
        </w:rPr>
      </w:pPr>
      <w:r>
        <w:rPr>
          <w:rFonts w:ascii="Arial" w:hAnsi="Arial" w:cs="Arial"/>
          <w:b/>
          <w:bCs/>
          <w:u w:val="single"/>
        </w:rPr>
        <w:t>INTRODUCTION</w:t>
      </w:r>
    </w:p>
    <w:p w14:paraId="26982CD3" w14:textId="77777777" w:rsidR="002133E4" w:rsidRPr="002133E4" w:rsidRDefault="002133E4" w:rsidP="00765BC3">
      <w:pPr>
        <w:rPr>
          <w:rFonts w:ascii="Arial" w:hAnsi="Arial" w:cs="Arial"/>
          <w:b/>
          <w:bCs/>
          <w:u w:val="single"/>
        </w:rPr>
      </w:pPr>
    </w:p>
    <w:p w14:paraId="1327DD08" w14:textId="77777777" w:rsidR="002133E4" w:rsidRDefault="002133E4" w:rsidP="00765BC3"/>
    <w:p w14:paraId="41609AF7" w14:textId="7B3A0CBF" w:rsidR="00223799" w:rsidRPr="00995931" w:rsidRDefault="00995931" w:rsidP="00995931">
      <w:pPr>
        <w:spacing w:line="360" w:lineRule="auto"/>
        <w:ind w:left="851" w:hanging="851"/>
        <w:jc w:val="both"/>
        <w:rPr>
          <w:rFonts w:ascii="Arial" w:hAnsi="Arial" w:cs="Arial"/>
          <w:color w:val="000000" w:themeColor="text1"/>
        </w:rPr>
      </w:pPr>
      <w:r w:rsidRPr="008107AD">
        <w:rPr>
          <w:rFonts w:ascii="Arial" w:hAnsi="Arial" w:cs="Arial"/>
          <w:color w:val="000000" w:themeColor="text1"/>
        </w:rPr>
        <w:t>[1].</w:t>
      </w:r>
      <w:r w:rsidRPr="008107AD">
        <w:rPr>
          <w:rFonts w:ascii="Arial" w:hAnsi="Arial" w:cs="Arial"/>
          <w:color w:val="000000" w:themeColor="text1"/>
        </w:rPr>
        <w:tab/>
      </w:r>
      <w:r w:rsidR="00223799" w:rsidRPr="00995931">
        <w:rPr>
          <w:rFonts w:ascii="Arial" w:hAnsi="Arial" w:cs="Arial"/>
        </w:rPr>
        <w:t>This is an application by the first and second applicants</w:t>
      </w:r>
      <w:r w:rsidR="0063067F" w:rsidRPr="00995931">
        <w:rPr>
          <w:rFonts w:ascii="Arial" w:hAnsi="Arial" w:cs="Arial"/>
        </w:rPr>
        <w:t xml:space="preserve"> </w:t>
      </w:r>
      <w:r w:rsidR="00223799" w:rsidRPr="00995931">
        <w:rPr>
          <w:rFonts w:ascii="Arial" w:hAnsi="Arial" w:cs="Arial"/>
        </w:rPr>
        <w:t>(</w:t>
      </w:r>
      <w:r w:rsidR="00B13443" w:rsidRPr="00995931">
        <w:rPr>
          <w:rFonts w:ascii="Arial" w:hAnsi="Arial" w:cs="Arial"/>
        </w:rPr>
        <w:t>TATA</w:t>
      </w:r>
      <w:r w:rsidR="00223799" w:rsidRPr="00995931">
        <w:rPr>
          <w:rFonts w:ascii="Arial" w:hAnsi="Arial" w:cs="Arial"/>
        </w:rPr>
        <w:t>)</w:t>
      </w:r>
      <w:r w:rsidR="00223799" w:rsidRPr="008107AD">
        <w:rPr>
          <w:rStyle w:val="FootnoteReference"/>
          <w:rFonts w:ascii="Arial" w:hAnsi="Arial" w:cs="Arial"/>
        </w:rPr>
        <w:footnoteReference w:id="1"/>
      </w:r>
      <w:r w:rsidR="00223799" w:rsidRPr="00995931">
        <w:rPr>
          <w:rFonts w:ascii="Arial" w:hAnsi="Arial" w:cs="Arial"/>
        </w:rPr>
        <w:t xml:space="preserve"> for an order reviewing</w:t>
      </w:r>
      <w:r w:rsidR="007A3393" w:rsidRPr="00995931">
        <w:rPr>
          <w:rFonts w:ascii="Arial" w:hAnsi="Arial" w:cs="Arial"/>
        </w:rPr>
        <w:t xml:space="preserve"> </w:t>
      </w:r>
      <w:r w:rsidR="00223799" w:rsidRPr="00995931">
        <w:rPr>
          <w:rFonts w:ascii="Arial" w:hAnsi="Arial" w:cs="Arial"/>
        </w:rPr>
        <w:t>and setting aside certain duties imposed in respect of the importation into the Republic</w:t>
      </w:r>
      <w:r w:rsidR="005E739F" w:rsidRPr="00995931">
        <w:rPr>
          <w:rFonts w:ascii="Arial" w:hAnsi="Arial" w:cs="Arial"/>
        </w:rPr>
        <w:t xml:space="preserve"> by them</w:t>
      </w:r>
      <w:r w:rsidR="00223799" w:rsidRPr="00995931">
        <w:rPr>
          <w:rFonts w:ascii="Arial" w:hAnsi="Arial" w:cs="Arial"/>
        </w:rPr>
        <w:t xml:space="preserve"> of </w:t>
      </w:r>
      <w:r w:rsidR="005E739F" w:rsidRPr="00995931">
        <w:rPr>
          <w:rFonts w:ascii="Arial" w:hAnsi="Arial" w:cs="Arial"/>
        </w:rPr>
        <w:t>disodium carbonate</w:t>
      </w:r>
      <w:r w:rsidR="000E10F9" w:rsidRPr="00995931">
        <w:rPr>
          <w:rFonts w:ascii="Arial" w:hAnsi="Arial" w:cs="Arial"/>
        </w:rPr>
        <w:t xml:space="preserve"> </w:t>
      </w:r>
      <w:r w:rsidR="005E739F" w:rsidRPr="00995931">
        <w:rPr>
          <w:rFonts w:ascii="Arial" w:hAnsi="Arial" w:cs="Arial"/>
        </w:rPr>
        <w:t xml:space="preserve">(also known as </w:t>
      </w:r>
      <w:r w:rsidR="00223799" w:rsidRPr="00995931">
        <w:rPr>
          <w:rFonts w:ascii="Arial" w:hAnsi="Arial" w:cs="Arial"/>
        </w:rPr>
        <w:t>soda</w:t>
      </w:r>
      <w:r w:rsidR="003120FA" w:rsidRPr="00995931">
        <w:rPr>
          <w:rFonts w:ascii="Arial" w:hAnsi="Arial" w:cs="Arial"/>
        </w:rPr>
        <w:t xml:space="preserve"> </w:t>
      </w:r>
      <w:r w:rsidR="00223799" w:rsidRPr="00995931">
        <w:rPr>
          <w:rFonts w:ascii="Arial" w:hAnsi="Arial" w:cs="Arial"/>
        </w:rPr>
        <w:t>ash</w:t>
      </w:r>
      <w:r w:rsidR="005E739F" w:rsidRPr="00995931">
        <w:rPr>
          <w:rFonts w:ascii="Arial" w:hAnsi="Arial" w:cs="Arial"/>
        </w:rPr>
        <w:t>)</w:t>
      </w:r>
      <w:r w:rsidR="00223799" w:rsidRPr="00995931">
        <w:rPr>
          <w:rFonts w:ascii="Arial" w:hAnsi="Arial" w:cs="Arial"/>
        </w:rPr>
        <w:t xml:space="preserve"> from the United States of America</w:t>
      </w:r>
      <w:r w:rsidR="009D376F" w:rsidRPr="00995931">
        <w:rPr>
          <w:rFonts w:ascii="Arial" w:hAnsi="Arial" w:cs="Arial"/>
        </w:rPr>
        <w:t xml:space="preserve"> (USA)</w:t>
      </w:r>
      <w:r w:rsidR="00223799" w:rsidRPr="00995931">
        <w:rPr>
          <w:rFonts w:ascii="Arial" w:hAnsi="Arial" w:cs="Arial"/>
        </w:rPr>
        <w:t>.</w:t>
      </w:r>
    </w:p>
    <w:p w14:paraId="7377D30D" w14:textId="77777777" w:rsidR="005E739F" w:rsidRPr="00361C33" w:rsidRDefault="005E739F" w:rsidP="00361C33">
      <w:pPr>
        <w:spacing w:line="360" w:lineRule="auto"/>
        <w:jc w:val="both"/>
        <w:rPr>
          <w:rFonts w:ascii="Arial" w:hAnsi="Arial" w:cs="Arial"/>
          <w:color w:val="000000" w:themeColor="text1"/>
        </w:rPr>
      </w:pPr>
    </w:p>
    <w:p w14:paraId="1B5B5239" w14:textId="2320B06D" w:rsidR="000B2542" w:rsidRPr="00995931" w:rsidRDefault="00995931" w:rsidP="00995931">
      <w:pPr>
        <w:spacing w:line="360" w:lineRule="auto"/>
        <w:ind w:left="851" w:hanging="851"/>
        <w:jc w:val="both"/>
        <w:rPr>
          <w:rFonts w:ascii="Arial" w:hAnsi="Arial" w:cs="Arial"/>
          <w:color w:val="000000" w:themeColor="text1"/>
        </w:rPr>
      </w:pPr>
      <w:r w:rsidRPr="005E739F">
        <w:rPr>
          <w:rFonts w:ascii="Arial" w:hAnsi="Arial" w:cs="Arial"/>
          <w:color w:val="000000" w:themeColor="text1"/>
        </w:rPr>
        <w:t>[2].</w:t>
      </w:r>
      <w:r w:rsidRPr="005E739F">
        <w:rPr>
          <w:rFonts w:ascii="Arial" w:hAnsi="Arial" w:cs="Arial"/>
          <w:color w:val="000000" w:themeColor="text1"/>
        </w:rPr>
        <w:tab/>
      </w:r>
      <w:r w:rsidR="00223799" w:rsidRPr="00995931">
        <w:rPr>
          <w:rFonts w:ascii="Arial" w:hAnsi="Arial" w:cs="Arial"/>
        </w:rPr>
        <w:t xml:space="preserve">The duty which </w:t>
      </w:r>
      <w:r w:rsidR="00B13443" w:rsidRPr="00995931">
        <w:rPr>
          <w:rFonts w:ascii="Arial" w:hAnsi="Arial" w:cs="Arial"/>
        </w:rPr>
        <w:t>TATA</w:t>
      </w:r>
      <w:r w:rsidR="00223799" w:rsidRPr="00995931">
        <w:rPr>
          <w:rFonts w:ascii="Arial" w:hAnsi="Arial" w:cs="Arial"/>
        </w:rPr>
        <w:t xml:space="preserve"> wishes to have set aside is a</w:t>
      </w:r>
      <w:r w:rsidR="005E739F" w:rsidRPr="00995931">
        <w:rPr>
          <w:rFonts w:ascii="Arial" w:hAnsi="Arial" w:cs="Arial"/>
        </w:rPr>
        <w:t xml:space="preserve"> residual</w:t>
      </w:r>
      <w:r w:rsidR="00223799" w:rsidRPr="00995931">
        <w:rPr>
          <w:rFonts w:ascii="Arial" w:hAnsi="Arial" w:cs="Arial"/>
        </w:rPr>
        <w:t xml:space="preserve"> </w:t>
      </w:r>
      <w:r w:rsidR="005E739F" w:rsidRPr="00995931">
        <w:rPr>
          <w:rFonts w:ascii="Arial" w:hAnsi="Arial" w:cs="Arial"/>
        </w:rPr>
        <w:t>‘anti-dumping’ duty of 40% imposed on their imports from</w:t>
      </w:r>
      <w:r w:rsidR="009D376F" w:rsidRPr="00995931">
        <w:rPr>
          <w:rFonts w:ascii="Arial" w:hAnsi="Arial" w:cs="Arial"/>
        </w:rPr>
        <w:t xml:space="preserve"> the United states of America</w:t>
      </w:r>
      <w:r w:rsidR="005E739F" w:rsidRPr="00995931">
        <w:rPr>
          <w:rFonts w:ascii="Arial" w:hAnsi="Arial" w:cs="Arial"/>
        </w:rPr>
        <w:t>. The first respondent (</w:t>
      </w:r>
      <w:r w:rsidR="00B13443" w:rsidRPr="00995931">
        <w:rPr>
          <w:rFonts w:ascii="Arial" w:hAnsi="Arial" w:cs="Arial"/>
        </w:rPr>
        <w:t>ITAC</w:t>
      </w:r>
      <w:r w:rsidR="005E739F" w:rsidRPr="00995931">
        <w:rPr>
          <w:rFonts w:ascii="Arial" w:hAnsi="Arial" w:cs="Arial"/>
        </w:rPr>
        <w:t>)</w:t>
      </w:r>
      <w:r w:rsidR="0063067F">
        <w:rPr>
          <w:rStyle w:val="FootnoteReference"/>
          <w:rFonts w:ascii="Arial" w:hAnsi="Arial" w:cs="Arial"/>
        </w:rPr>
        <w:footnoteReference w:id="2"/>
      </w:r>
      <w:r w:rsidR="005E739F" w:rsidRPr="00995931">
        <w:rPr>
          <w:rFonts w:ascii="Arial" w:hAnsi="Arial" w:cs="Arial"/>
        </w:rPr>
        <w:t>, the second respondent (</w:t>
      </w:r>
      <w:r w:rsidR="00B13443" w:rsidRPr="00995931">
        <w:rPr>
          <w:rFonts w:ascii="Arial" w:hAnsi="Arial" w:cs="Arial"/>
        </w:rPr>
        <w:t>MOTAI</w:t>
      </w:r>
      <w:r w:rsidR="005E739F" w:rsidRPr="00995931">
        <w:rPr>
          <w:rFonts w:ascii="Arial" w:hAnsi="Arial" w:cs="Arial"/>
        </w:rPr>
        <w:t>) and fourth respondent (</w:t>
      </w:r>
      <w:r w:rsidR="00B13443" w:rsidRPr="00995931">
        <w:rPr>
          <w:rFonts w:ascii="Arial" w:hAnsi="Arial" w:cs="Arial"/>
        </w:rPr>
        <w:t>BOTASH</w:t>
      </w:r>
      <w:r w:rsidR="005E739F" w:rsidRPr="00995931">
        <w:rPr>
          <w:rFonts w:ascii="Arial" w:hAnsi="Arial" w:cs="Arial"/>
        </w:rPr>
        <w:t>) oppose the application.</w:t>
      </w:r>
    </w:p>
    <w:p w14:paraId="67CBAE03" w14:textId="77777777" w:rsidR="009B7EE6" w:rsidRPr="00361C33" w:rsidRDefault="009B7EE6" w:rsidP="00361C33">
      <w:pPr>
        <w:rPr>
          <w:rFonts w:ascii="Arial" w:hAnsi="Arial" w:cs="Arial"/>
          <w:color w:val="000000" w:themeColor="text1"/>
        </w:rPr>
      </w:pPr>
    </w:p>
    <w:p w14:paraId="1AAD5C85" w14:textId="1D96930F" w:rsidR="00F1648F" w:rsidRPr="00995931" w:rsidRDefault="00995931" w:rsidP="00995931">
      <w:pPr>
        <w:spacing w:line="360" w:lineRule="auto"/>
        <w:ind w:left="851" w:hanging="851"/>
        <w:jc w:val="both"/>
        <w:rPr>
          <w:rFonts w:ascii="Arial" w:hAnsi="Arial" w:cs="Arial"/>
          <w:color w:val="000000" w:themeColor="text1"/>
        </w:rPr>
      </w:pPr>
      <w:r w:rsidRPr="007A3393">
        <w:rPr>
          <w:rFonts w:ascii="Arial" w:hAnsi="Arial" w:cs="Arial"/>
          <w:color w:val="000000" w:themeColor="text1"/>
        </w:rPr>
        <w:t>[3].</w:t>
      </w:r>
      <w:r w:rsidRPr="007A3393">
        <w:rPr>
          <w:rFonts w:ascii="Arial" w:hAnsi="Arial" w:cs="Arial"/>
          <w:color w:val="000000" w:themeColor="text1"/>
        </w:rPr>
        <w:tab/>
      </w:r>
      <w:r w:rsidR="005E739F" w:rsidRPr="00995931">
        <w:rPr>
          <w:rFonts w:ascii="Arial" w:hAnsi="Arial" w:cs="Arial"/>
          <w:color w:val="000000" w:themeColor="text1"/>
        </w:rPr>
        <w:t xml:space="preserve">The application </w:t>
      </w:r>
      <w:r w:rsidR="00F1648F" w:rsidRPr="00995931">
        <w:rPr>
          <w:rFonts w:ascii="Arial" w:hAnsi="Arial" w:cs="Arial"/>
          <w:color w:val="000000" w:themeColor="text1"/>
        </w:rPr>
        <w:t xml:space="preserve">for review </w:t>
      </w:r>
      <w:r w:rsidR="005E739F" w:rsidRPr="00995931">
        <w:rPr>
          <w:rFonts w:ascii="Arial" w:hAnsi="Arial" w:cs="Arial"/>
          <w:color w:val="000000" w:themeColor="text1"/>
        </w:rPr>
        <w:t xml:space="preserve">was brought </w:t>
      </w:r>
      <w:r w:rsidR="00F1648F" w:rsidRPr="00995931">
        <w:rPr>
          <w:rFonts w:ascii="Arial" w:hAnsi="Arial" w:cs="Arial"/>
          <w:color w:val="000000" w:themeColor="text1"/>
        </w:rPr>
        <w:t>in terms of the Promotion of Administrative Justice</w:t>
      </w:r>
      <w:r w:rsidR="00741C22" w:rsidRPr="00995931">
        <w:rPr>
          <w:rFonts w:ascii="Arial" w:hAnsi="Arial" w:cs="Arial"/>
          <w:color w:val="000000" w:themeColor="text1"/>
        </w:rPr>
        <w:t xml:space="preserve"> Act</w:t>
      </w:r>
      <w:r w:rsidR="00F1648F">
        <w:rPr>
          <w:rStyle w:val="FootnoteReference"/>
          <w:rFonts w:ascii="Arial" w:hAnsi="Arial" w:cs="Arial"/>
          <w:color w:val="000000" w:themeColor="text1"/>
        </w:rPr>
        <w:footnoteReference w:id="3"/>
      </w:r>
      <w:r w:rsidR="00F1648F" w:rsidRPr="00995931">
        <w:rPr>
          <w:rFonts w:ascii="Arial" w:hAnsi="Arial" w:cs="Arial"/>
          <w:color w:val="000000" w:themeColor="text1"/>
        </w:rPr>
        <w:t xml:space="preserve"> (PAJA) </w:t>
      </w:r>
      <w:r w:rsidR="005E739F" w:rsidRPr="00995931">
        <w:rPr>
          <w:rFonts w:ascii="Arial" w:hAnsi="Arial" w:cs="Arial"/>
          <w:color w:val="000000" w:themeColor="text1"/>
        </w:rPr>
        <w:t xml:space="preserve">on three grounds. </w:t>
      </w:r>
      <w:r w:rsidR="00F1648F" w:rsidRPr="00995931">
        <w:rPr>
          <w:rFonts w:ascii="Arial" w:hAnsi="Arial" w:cs="Arial"/>
          <w:color w:val="000000" w:themeColor="text1"/>
        </w:rPr>
        <w:t xml:space="preserve">Neither </w:t>
      </w:r>
      <w:r w:rsidR="00B13443" w:rsidRPr="00995931">
        <w:rPr>
          <w:rFonts w:ascii="Arial" w:hAnsi="Arial" w:cs="Arial"/>
          <w:color w:val="000000" w:themeColor="text1"/>
        </w:rPr>
        <w:t>MOTAI</w:t>
      </w:r>
      <w:r w:rsidR="00F1648F" w:rsidRPr="00995931">
        <w:rPr>
          <w:rFonts w:ascii="Arial" w:hAnsi="Arial" w:cs="Arial"/>
          <w:color w:val="000000" w:themeColor="text1"/>
        </w:rPr>
        <w:t xml:space="preserve"> nor </w:t>
      </w:r>
      <w:r w:rsidR="00B13443" w:rsidRPr="00995931">
        <w:rPr>
          <w:rFonts w:ascii="Arial" w:hAnsi="Arial" w:cs="Arial"/>
          <w:color w:val="000000" w:themeColor="text1"/>
        </w:rPr>
        <w:t>BOTASH</w:t>
      </w:r>
      <w:r w:rsidR="00F1648F" w:rsidRPr="00995931">
        <w:rPr>
          <w:rFonts w:ascii="Arial" w:hAnsi="Arial" w:cs="Arial"/>
          <w:color w:val="000000" w:themeColor="text1"/>
        </w:rPr>
        <w:t xml:space="preserve"> took issue with this.  </w:t>
      </w:r>
      <w:r w:rsidR="00B13443" w:rsidRPr="00995931">
        <w:rPr>
          <w:rFonts w:ascii="Arial" w:hAnsi="Arial" w:cs="Arial"/>
        </w:rPr>
        <w:t>ITAC</w:t>
      </w:r>
      <w:r w:rsidR="00F1648F" w:rsidRPr="00995931">
        <w:rPr>
          <w:rFonts w:ascii="Arial" w:hAnsi="Arial" w:cs="Arial"/>
        </w:rPr>
        <w:t xml:space="preserve"> however contended that having regard to the decision of the Constitutional Court in </w:t>
      </w:r>
      <w:r w:rsidR="00F1648F" w:rsidRPr="00995931">
        <w:rPr>
          <w:rFonts w:ascii="Arial" w:hAnsi="Arial" w:cs="Arial"/>
          <w:i/>
          <w:iCs/>
        </w:rPr>
        <w:t>International Trade Administration Commission v SCAW South Africa (Pty) Lt</w:t>
      </w:r>
      <w:r w:rsidR="0078301E" w:rsidRPr="00995931">
        <w:rPr>
          <w:rFonts w:ascii="Arial" w:hAnsi="Arial" w:cs="Arial"/>
          <w:i/>
          <w:iCs/>
        </w:rPr>
        <w:t xml:space="preserve"> </w:t>
      </w:r>
      <w:r w:rsidR="00F1648F">
        <w:rPr>
          <w:rStyle w:val="FootnoteReference"/>
          <w:rFonts w:ascii="Arial" w:hAnsi="Arial" w:cs="Arial"/>
          <w:i/>
          <w:iCs/>
        </w:rPr>
        <w:footnoteReference w:id="4"/>
      </w:r>
      <w:r w:rsidR="007A3393" w:rsidRPr="00995931">
        <w:rPr>
          <w:rFonts w:ascii="Arial" w:hAnsi="Arial" w:cs="Arial"/>
          <w:i/>
          <w:iCs/>
        </w:rPr>
        <w:t xml:space="preserve"> (SCAW)</w:t>
      </w:r>
      <w:r w:rsidR="00F1648F" w:rsidRPr="00995931">
        <w:rPr>
          <w:rFonts w:ascii="Arial" w:hAnsi="Arial" w:cs="Arial"/>
          <w:i/>
          <w:iCs/>
        </w:rPr>
        <w:t xml:space="preserve"> </w:t>
      </w:r>
      <w:r w:rsidR="00F1648F" w:rsidRPr="00995931">
        <w:rPr>
          <w:rFonts w:ascii="Arial" w:hAnsi="Arial" w:cs="Arial"/>
        </w:rPr>
        <w:t xml:space="preserve">that a review in terms of PAJA was not competent and that at best, </w:t>
      </w:r>
      <w:r w:rsidR="00B13443" w:rsidRPr="00995931">
        <w:rPr>
          <w:rFonts w:ascii="Arial" w:hAnsi="Arial" w:cs="Arial"/>
        </w:rPr>
        <w:t>TATA</w:t>
      </w:r>
      <w:r w:rsidR="00F1648F" w:rsidRPr="00995931">
        <w:rPr>
          <w:rFonts w:ascii="Arial" w:hAnsi="Arial" w:cs="Arial"/>
        </w:rPr>
        <w:t xml:space="preserve"> ought to have brought a legality review.</w:t>
      </w:r>
    </w:p>
    <w:p w14:paraId="772E4917" w14:textId="77777777" w:rsidR="007A3393" w:rsidRPr="00F1648F" w:rsidRDefault="007A3393" w:rsidP="007A3393">
      <w:pPr>
        <w:pStyle w:val="ListParagraph"/>
        <w:spacing w:line="360" w:lineRule="auto"/>
        <w:ind w:left="851"/>
        <w:jc w:val="both"/>
        <w:rPr>
          <w:rFonts w:ascii="Arial" w:hAnsi="Arial" w:cs="Arial"/>
          <w:color w:val="000000" w:themeColor="text1"/>
        </w:rPr>
      </w:pPr>
    </w:p>
    <w:p w14:paraId="00C1A9A2" w14:textId="5C649FE4" w:rsidR="00F1648F" w:rsidRPr="00995931" w:rsidRDefault="00995931" w:rsidP="00995931">
      <w:pPr>
        <w:spacing w:line="360" w:lineRule="auto"/>
        <w:ind w:left="851" w:hanging="851"/>
        <w:jc w:val="both"/>
        <w:rPr>
          <w:rFonts w:ascii="Arial" w:hAnsi="Arial" w:cs="Arial"/>
          <w:color w:val="000000" w:themeColor="text1"/>
        </w:rPr>
      </w:pPr>
      <w:r w:rsidRPr="00F1648F">
        <w:rPr>
          <w:rFonts w:ascii="Arial" w:hAnsi="Arial" w:cs="Arial"/>
          <w:color w:val="000000" w:themeColor="text1"/>
        </w:rPr>
        <w:t>[4].</w:t>
      </w:r>
      <w:r w:rsidRPr="00F1648F">
        <w:rPr>
          <w:rFonts w:ascii="Arial" w:hAnsi="Arial" w:cs="Arial"/>
          <w:color w:val="000000" w:themeColor="text1"/>
        </w:rPr>
        <w:tab/>
      </w:r>
      <w:r w:rsidR="00F1648F" w:rsidRPr="00995931">
        <w:rPr>
          <w:rFonts w:ascii="Arial" w:hAnsi="Arial" w:cs="Arial"/>
        </w:rPr>
        <w:t xml:space="preserve">The argument of </w:t>
      </w:r>
      <w:r w:rsidR="00B13443" w:rsidRPr="00995931">
        <w:rPr>
          <w:rFonts w:ascii="Arial" w:hAnsi="Arial" w:cs="Arial"/>
        </w:rPr>
        <w:t>ITAC</w:t>
      </w:r>
      <w:r w:rsidR="00F1648F" w:rsidRPr="00995931">
        <w:rPr>
          <w:rFonts w:ascii="Arial" w:hAnsi="Arial" w:cs="Arial"/>
        </w:rPr>
        <w:t xml:space="preserve"> was premised on the finding by the court that:</w:t>
      </w:r>
    </w:p>
    <w:p w14:paraId="1E23636E" w14:textId="750CE698" w:rsidR="00F1648F" w:rsidRDefault="00F1648F" w:rsidP="00F1648F">
      <w:pPr>
        <w:pStyle w:val="ListParagraph"/>
        <w:spacing w:line="360" w:lineRule="auto"/>
        <w:ind w:left="851"/>
        <w:jc w:val="both"/>
        <w:rPr>
          <w:rFonts w:ascii="Arial" w:hAnsi="Arial" w:cs="Arial"/>
        </w:rPr>
      </w:pPr>
    </w:p>
    <w:p w14:paraId="0AF73B59" w14:textId="1509AB68" w:rsidR="00F1648F" w:rsidRDefault="00F1648F" w:rsidP="00F1648F">
      <w:pPr>
        <w:pStyle w:val="ListParagraph"/>
        <w:spacing w:line="360" w:lineRule="auto"/>
        <w:ind w:left="1418"/>
        <w:jc w:val="both"/>
        <w:rPr>
          <w:rFonts w:ascii="Arial" w:hAnsi="Arial" w:cs="Arial"/>
          <w:sz w:val="22"/>
          <w:szCs w:val="22"/>
        </w:rPr>
      </w:pPr>
      <w:r w:rsidRPr="007A3393">
        <w:rPr>
          <w:rFonts w:ascii="Arial" w:hAnsi="Arial" w:cs="Arial"/>
          <w:i/>
          <w:iCs/>
          <w:sz w:val="22"/>
          <w:szCs w:val="22"/>
        </w:rPr>
        <w:t>“When a court is invited to intrude into the terrain of the executive, especially when the executive decision-making process is still uncompleted, it must do so only in the clearest of cases and only when irreparable harm is likely to ensure if interdictory relief is not granted.  This is particularly true when the decision entails</w:t>
      </w:r>
      <w:r w:rsidR="007A3393" w:rsidRPr="007A3393">
        <w:rPr>
          <w:rFonts w:ascii="Arial" w:hAnsi="Arial" w:cs="Arial"/>
          <w:i/>
          <w:iCs/>
          <w:sz w:val="22"/>
          <w:szCs w:val="22"/>
        </w:rPr>
        <w:t xml:space="preserve"> multiple considerations of national policy choices and specialist knowledge, in regard to which courts are ill-suited to judge.”</w:t>
      </w:r>
      <w:r w:rsidR="0078301E">
        <w:rPr>
          <w:rFonts w:ascii="Arial" w:hAnsi="Arial" w:cs="Arial"/>
          <w:i/>
          <w:iCs/>
          <w:sz w:val="22"/>
          <w:szCs w:val="22"/>
        </w:rPr>
        <w:t xml:space="preserve"> </w:t>
      </w:r>
      <w:r w:rsidR="007A3393">
        <w:rPr>
          <w:rStyle w:val="FootnoteReference"/>
          <w:rFonts w:ascii="Arial" w:hAnsi="Arial" w:cs="Arial"/>
          <w:i/>
          <w:iCs/>
          <w:sz w:val="22"/>
          <w:szCs w:val="22"/>
        </w:rPr>
        <w:footnoteReference w:id="5"/>
      </w:r>
    </w:p>
    <w:p w14:paraId="3D50150D" w14:textId="77777777" w:rsidR="006C45CC" w:rsidRDefault="006C45CC" w:rsidP="00F1648F">
      <w:pPr>
        <w:pStyle w:val="ListParagraph"/>
        <w:spacing w:line="360" w:lineRule="auto"/>
        <w:ind w:left="1418"/>
        <w:jc w:val="both"/>
        <w:rPr>
          <w:rFonts w:ascii="Arial" w:hAnsi="Arial" w:cs="Arial"/>
          <w:sz w:val="22"/>
          <w:szCs w:val="22"/>
        </w:rPr>
      </w:pPr>
    </w:p>
    <w:p w14:paraId="54166BBD" w14:textId="52DF8916" w:rsidR="006C45CC" w:rsidRPr="0078301E" w:rsidRDefault="006C45CC" w:rsidP="0078301E">
      <w:pPr>
        <w:spacing w:line="360" w:lineRule="auto"/>
        <w:ind w:left="851" w:hanging="131"/>
        <w:jc w:val="both"/>
        <w:rPr>
          <w:rFonts w:ascii="Arial" w:hAnsi="Arial" w:cs="Arial"/>
          <w:sz w:val="22"/>
          <w:szCs w:val="22"/>
        </w:rPr>
      </w:pPr>
      <w:r w:rsidRPr="0078301E">
        <w:rPr>
          <w:rFonts w:ascii="Arial" w:hAnsi="Arial" w:cs="Arial"/>
          <w:sz w:val="22"/>
          <w:szCs w:val="22"/>
        </w:rPr>
        <w:t>And</w:t>
      </w:r>
    </w:p>
    <w:p w14:paraId="6E68F1B2" w14:textId="20C912B1" w:rsidR="006C45CC" w:rsidRDefault="006C45CC" w:rsidP="00F1648F">
      <w:pPr>
        <w:pStyle w:val="ListParagraph"/>
        <w:spacing w:line="360" w:lineRule="auto"/>
        <w:ind w:left="1418"/>
        <w:jc w:val="both"/>
        <w:rPr>
          <w:rFonts w:ascii="Arial" w:hAnsi="Arial" w:cs="Arial"/>
          <w:sz w:val="22"/>
          <w:szCs w:val="22"/>
        </w:rPr>
      </w:pPr>
    </w:p>
    <w:p w14:paraId="5CDED11D" w14:textId="6B0923F1" w:rsidR="002133E4" w:rsidRDefault="002133E4" w:rsidP="00F1648F">
      <w:pPr>
        <w:pStyle w:val="ListParagraph"/>
        <w:spacing w:line="360" w:lineRule="auto"/>
        <w:ind w:left="1418"/>
        <w:jc w:val="both"/>
        <w:rPr>
          <w:rFonts w:ascii="Arial" w:hAnsi="Arial" w:cs="Arial"/>
          <w:sz w:val="22"/>
          <w:szCs w:val="22"/>
        </w:rPr>
      </w:pPr>
    </w:p>
    <w:p w14:paraId="58B4CFA8" w14:textId="2B8F4AA8" w:rsidR="002133E4" w:rsidRDefault="002133E4" w:rsidP="00F1648F">
      <w:pPr>
        <w:pStyle w:val="ListParagraph"/>
        <w:spacing w:line="360" w:lineRule="auto"/>
        <w:ind w:left="1418"/>
        <w:jc w:val="both"/>
        <w:rPr>
          <w:rFonts w:ascii="Arial" w:hAnsi="Arial" w:cs="Arial"/>
          <w:sz w:val="22"/>
          <w:szCs w:val="22"/>
        </w:rPr>
      </w:pPr>
    </w:p>
    <w:p w14:paraId="332FD4B7" w14:textId="77777777" w:rsidR="002133E4" w:rsidRDefault="002133E4" w:rsidP="00F1648F">
      <w:pPr>
        <w:pStyle w:val="ListParagraph"/>
        <w:spacing w:line="360" w:lineRule="auto"/>
        <w:ind w:left="1418"/>
        <w:jc w:val="both"/>
        <w:rPr>
          <w:rFonts w:ascii="Arial" w:hAnsi="Arial" w:cs="Arial"/>
          <w:sz w:val="22"/>
          <w:szCs w:val="22"/>
        </w:rPr>
      </w:pPr>
    </w:p>
    <w:p w14:paraId="25E7E249" w14:textId="43FEA1A8" w:rsidR="006C45CC" w:rsidRPr="006C45CC" w:rsidRDefault="006C45CC" w:rsidP="002423E5">
      <w:pPr>
        <w:pStyle w:val="ListParagraph"/>
        <w:spacing w:line="360" w:lineRule="auto"/>
        <w:ind w:left="1418"/>
        <w:jc w:val="both"/>
        <w:rPr>
          <w:rFonts w:ascii="Arial" w:hAnsi="Arial" w:cs="Arial"/>
          <w:i/>
          <w:iCs/>
          <w:sz w:val="22"/>
          <w:szCs w:val="22"/>
        </w:rPr>
      </w:pPr>
      <w:r w:rsidRPr="006C45CC">
        <w:rPr>
          <w:rFonts w:ascii="Arial" w:hAnsi="Arial" w:cs="Arial"/>
          <w:i/>
          <w:iCs/>
          <w:sz w:val="22"/>
          <w:szCs w:val="22"/>
        </w:rPr>
        <w:t xml:space="preserve">“It seems to me self-evident </w:t>
      </w:r>
      <w:r w:rsidRPr="006C45CC">
        <w:rPr>
          <w:rStyle w:val="FootnoteReference"/>
          <w:rFonts w:ascii="Arial" w:hAnsi="Arial" w:cs="Arial"/>
          <w:i/>
          <w:iCs/>
          <w:sz w:val="22"/>
          <w:szCs w:val="22"/>
        </w:rPr>
        <w:footnoteReference w:id="6"/>
      </w:r>
      <w:r w:rsidRPr="006C45CC">
        <w:rPr>
          <w:rFonts w:ascii="Arial" w:hAnsi="Arial" w:cs="Arial"/>
          <w:i/>
          <w:iCs/>
          <w:sz w:val="22"/>
          <w:szCs w:val="22"/>
        </w:rPr>
        <w:t>that the setting, changing or removal of an anti-dumping duty in order to regulate exports and imports is a patently executive function that flows from the power to formulate and implement domestic and international trade policy. That power resides in the kraal of the national executive authority.”</w:t>
      </w:r>
    </w:p>
    <w:p w14:paraId="7569C08D" w14:textId="77777777" w:rsidR="00F1648F" w:rsidRDefault="00F1648F" w:rsidP="00F1648F">
      <w:pPr>
        <w:pStyle w:val="ListParagraph"/>
        <w:spacing w:line="360" w:lineRule="auto"/>
        <w:ind w:left="851"/>
        <w:jc w:val="both"/>
        <w:rPr>
          <w:rFonts w:ascii="Arial" w:hAnsi="Arial" w:cs="Arial"/>
        </w:rPr>
      </w:pPr>
    </w:p>
    <w:p w14:paraId="194ACF13" w14:textId="2F3B78D0" w:rsidR="007A3393" w:rsidRPr="00995931" w:rsidRDefault="00995931" w:rsidP="00995931">
      <w:pPr>
        <w:spacing w:line="360" w:lineRule="auto"/>
        <w:ind w:left="851" w:hanging="851"/>
        <w:jc w:val="both"/>
        <w:rPr>
          <w:rFonts w:ascii="Arial" w:hAnsi="Arial" w:cs="Arial"/>
          <w:color w:val="000000" w:themeColor="text1"/>
        </w:rPr>
      </w:pPr>
      <w:r w:rsidRPr="009926E5">
        <w:rPr>
          <w:rFonts w:ascii="Arial" w:hAnsi="Arial" w:cs="Arial"/>
          <w:color w:val="000000" w:themeColor="text1"/>
        </w:rPr>
        <w:t>[5].</w:t>
      </w:r>
      <w:r w:rsidRPr="009926E5">
        <w:rPr>
          <w:rFonts w:ascii="Arial" w:hAnsi="Arial" w:cs="Arial"/>
          <w:color w:val="000000" w:themeColor="text1"/>
        </w:rPr>
        <w:tab/>
      </w:r>
      <w:r w:rsidR="007A3393" w:rsidRPr="00995931">
        <w:rPr>
          <w:rFonts w:ascii="Arial" w:hAnsi="Arial" w:cs="Arial"/>
          <w:color w:val="000000" w:themeColor="text1"/>
        </w:rPr>
        <w:t xml:space="preserve">The reliance on this passage in the circumstances of the present matter </w:t>
      </w:r>
      <w:r w:rsidR="0032736C" w:rsidRPr="00995931">
        <w:rPr>
          <w:rFonts w:ascii="Arial" w:hAnsi="Arial" w:cs="Arial"/>
          <w:color w:val="000000" w:themeColor="text1"/>
        </w:rPr>
        <w:t>is</w:t>
      </w:r>
      <w:r w:rsidR="007A3393" w:rsidRPr="00995931">
        <w:rPr>
          <w:rFonts w:ascii="Arial" w:hAnsi="Arial" w:cs="Arial"/>
          <w:color w:val="000000" w:themeColor="text1"/>
        </w:rPr>
        <w:t xml:space="preserve"> misplaced.  The facts are distinguishable.  In </w:t>
      </w:r>
      <w:r w:rsidR="007A3393" w:rsidRPr="00995931">
        <w:rPr>
          <w:rFonts w:ascii="Arial" w:hAnsi="Arial" w:cs="Arial"/>
          <w:i/>
          <w:iCs/>
          <w:color w:val="000000" w:themeColor="text1"/>
        </w:rPr>
        <w:t>SCAW</w:t>
      </w:r>
      <w:r w:rsidR="007A3393" w:rsidRPr="00995931">
        <w:rPr>
          <w:rFonts w:ascii="Arial" w:hAnsi="Arial" w:cs="Arial"/>
          <w:color w:val="000000" w:themeColor="text1"/>
        </w:rPr>
        <w:t xml:space="preserve">, an order had been granted by the High Court interdicting the making of a recommendation by </w:t>
      </w:r>
      <w:r w:rsidR="00B13443" w:rsidRPr="00995931">
        <w:rPr>
          <w:rFonts w:ascii="Arial" w:hAnsi="Arial" w:cs="Arial"/>
          <w:color w:val="000000" w:themeColor="text1"/>
        </w:rPr>
        <w:t>ITAC</w:t>
      </w:r>
      <w:r w:rsidR="007A3393" w:rsidRPr="00995931">
        <w:rPr>
          <w:rFonts w:ascii="Arial" w:hAnsi="Arial" w:cs="Arial"/>
          <w:color w:val="000000" w:themeColor="text1"/>
        </w:rPr>
        <w:t xml:space="preserve"> to </w:t>
      </w:r>
      <w:r w:rsidR="00B13443" w:rsidRPr="00995931">
        <w:rPr>
          <w:rFonts w:ascii="Arial" w:hAnsi="Arial" w:cs="Arial"/>
          <w:color w:val="000000" w:themeColor="text1"/>
        </w:rPr>
        <w:t>MOTAI</w:t>
      </w:r>
      <w:r w:rsidR="007A3393" w:rsidRPr="00995931">
        <w:rPr>
          <w:rFonts w:ascii="Arial" w:hAnsi="Arial" w:cs="Arial"/>
          <w:color w:val="000000" w:themeColor="text1"/>
        </w:rPr>
        <w:t xml:space="preserve">.  The recommendation had </w:t>
      </w:r>
      <w:r w:rsidR="00431C6C" w:rsidRPr="00995931">
        <w:rPr>
          <w:rFonts w:ascii="Arial" w:hAnsi="Arial" w:cs="Arial"/>
          <w:color w:val="000000" w:themeColor="text1"/>
        </w:rPr>
        <w:t>neither</w:t>
      </w:r>
      <w:r w:rsidR="007A3393" w:rsidRPr="00995931">
        <w:rPr>
          <w:rFonts w:ascii="Arial" w:hAnsi="Arial" w:cs="Arial"/>
          <w:color w:val="000000" w:themeColor="text1"/>
        </w:rPr>
        <w:t xml:space="preserve"> been </w:t>
      </w:r>
      <w:r w:rsidR="00431C6C" w:rsidRPr="00995931">
        <w:rPr>
          <w:rFonts w:ascii="Arial" w:hAnsi="Arial" w:cs="Arial"/>
          <w:color w:val="000000" w:themeColor="text1"/>
        </w:rPr>
        <w:t xml:space="preserve">made nor </w:t>
      </w:r>
      <w:r w:rsidR="007A3393" w:rsidRPr="00995931">
        <w:rPr>
          <w:rFonts w:ascii="Arial" w:hAnsi="Arial" w:cs="Arial"/>
          <w:color w:val="000000" w:themeColor="text1"/>
        </w:rPr>
        <w:t xml:space="preserve">accepted </w:t>
      </w:r>
      <w:r w:rsidR="00431C6C" w:rsidRPr="00995931">
        <w:rPr>
          <w:rFonts w:ascii="Arial" w:hAnsi="Arial" w:cs="Arial"/>
          <w:color w:val="000000" w:themeColor="text1"/>
        </w:rPr>
        <w:t>or</w:t>
      </w:r>
      <w:r w:rsidR="007A3393" w:rsidRPr="00995931">
        <w:rPr>
          <w:rFonts w:ascii="Arial" w:hAnsi="Arial" w:cs="Arial"/>
          <w:color w:val="000000" w:themeColor="text1"/>
        </w:rPr>
        <w:t xml:space="preserve"> any decision taken in consequence.  In the present matter, the recommendation was </w:t>
      </w:r>
      <w:r w:rsidR="002E1F5F" w:rsidRPr="00995931">
        <w:rPr>
          <w:rFonts w:ascii="Arial" w:hAnsi="Arial" w:cs="Arial"/>
          <w:color w:val="000000" w:themeColor="text1"/>
        </w:rPr>
        <w:t>accepted,</w:t>
      </w:r>
      <w:r w:rsidR="007A3393" w:rsidRPr="00995931">
        <w:rPr>
          <w:rFonts w:ascii="Arial" w:hAnsi="Arial" w:cs="Arial"/>
          <w:color w:val="000000" w:themeColor="text1"/>
        </w:rPr>
        <w:t xml:space="preserve"> and a decision taken to implement it. </w:t>
      </w:r>
      <w:r w:rsidR="006C45CC" w:rsidRPr="00995931">
        <w:rPr>
          <w:rFonts w:ascii="Arial" w:hAnsi="Arial" w:cs="Arial"/>
          <w:color w:val="000000" w:themeColor="text1"/>
        </w:rPr>
        <w:t>I</w:t>
      </w:r>
      <w:r w:rsidR="007A3393" w:rsidRPr="00995931">
        <w:rPr>
          <w:rFonts w:ascii="Arial" w:hAnsi="Arial" w:cs="Arial"/>
          <w:color w:val="000000" w:themeColor="text1"/>
        </w:rPr>
        <w:t xml:space="preserve">n the present matter, the executive </w:t>
      </w:r>
      <w:r w:rsidR="002E1F5F" w:rsidRPr="00995931">
        <w:rPr>
          <w:rFonts w:ascii="Arial" w:hAnsi="Arial" w:cs="Arial"/>
          <w:color w:val="000000" w:themeColor="text1"/>
        </w:rPr>
        <w:t>decision-making</w:t>
      </w:r>
      <w:r w:rsidR="007A3393" w:rsidRPr="00995931">
        <w:rPr>
          <w:rFonts w:ascii="Arial" w:hAnsi="Arial" w:cs="Arial"/>
          <w:color w:val="000000" w:themeColor="text1"/>
        </w:rPr>
        <w:t xml:space="preserve"> process was completed and the </w:t>
      </w:r>
      <w:r w:rsidR="000A5270" w:rsidRPr="00995931">
        <w:rPr>
          <w:rFonts w:ascii="Arial" w:hAnsi="Arial" w:cs="Arial"/>
          <w:color w:val="000000" w:themeColor="text1"/>
        </w:rPr>
        <w:t>decision,</w:t>
      </w:r>
      <w:r w:rsidR="007A3393" w:rsidRPr="00995931">
        <w:rPr>
          <w:rFonts w:ascii="Arial" w:hAnsi="Arial" w:cs="Arial"/>
          <w:color w:val="000000" w:themeColor="text1"/>
        </w:rPr>
        <w:t xml:space="preserve"> which is the subject of this review, to my mind, falls squarely within the ambit of PAJA</w:t>
      </w:r>
      <w:r w:rsidR="00E8765D" w:rsidRPr="00995931">
        <w:rPr>
          <w:rFonts w:ascii="Arial" w:hAnsi="Arial" w:cs="Arial"/>
          <w:color w:val="000000" w:themeColor="text1"/>
        </w:rPr>
        <w:t>.</w:t>
      </w:r>
      <w:r w:rsidR="009926E5">
        <w:rPr>
          <w:rStyle w:val="FootnoteReference"/>
          <w:rFonts w:ascii="Arial" w:hAnsi="Arial" w:cs="Arial"/>
          <w:color w:val="000000" w:themeColor="text1"/>
        </w:rPr>
        <w:footnoteReference w:id="7"/>
      </w:r>
      <w:r w:rsidR="009926E5" w:rsidRPr="00995931">
        <w:rPr>
          <w:rStyle w:val="FootnoteReference"/>
          <w:rFonts w:ascii="Arial" w:hAnsi="Arial" w:cs="Arial"/>
          <w:i/>
          <w:iCs/>
          <w:sz w:val="22"/>
          <w:szCs w:val="22"/>
        </w:rPr>
        <w:t xml:space="preserve"> </w:t>
      </w:r>
    </w:p>
    <w:p w14:paraId="248DB3FF" w14:textId="77777777" w:rsidR="009926E5" w:rsidRDefault="009926E5" w:rsidP="009926E5">
      <w:pPr>
        <w:pStyle w:val="ListParagraph"/>
        <w:spacing w:line="360" w:lineRule="auto"/>
        <w:ind w:left="851"/>
        <w:jc w:val="both"/>
        <w:rPr>
          <w:rFonts w:ascii="Arial" w:hAnsi="Arial" w:cs="Arial"/>
          <w:color w:val="000000" w:themeColor="text1"/>
        </w:rPr>
      </w:pPr>
    </w:p>
    <w:p w14:paraId="7D50F14B" w14:textId="2497E4BD" w:rsidR="003E2BF9" w:rsidRPr="00995931" w:rsidRDefault="00995931" w:rsidP="00995931">
      <w:pPr>
        <w:spacing w:line="360" w:lineRule="auto"/>
        <w:ind w:left="851" w:hanging="851"/>
        <w:jc w:val="both"/>
        <w:rPr>
          <w:rFonts w:ascii="Arial" w:hAnsi="Arial" w:cs="Arial"/>
          <w:color w:val="000000" w:themeColor="text1"/>
        </w:rPr>
      </w:pPr>
      <w:r w:rsidRPr="007A3393">
        <w:rPr>
          <w:rFonts w:ascii="Arial" w:hAnsi="Arial" w:cs="Arial"/>
          <w:color w:val="000000" w:themeColor="text1"/>
        </w:rPr>
        <w:t>[6].</w:t>
      </w:r>
      <w:r w:rsidRPr="007A3393">
        <w:rPr>
          <w:rFonts w:ascii="Arial" w:hAnsi="Arial" w:cs="Arial"/>
          <w:color w:val="000000" w:themeColor="text1"/>
        </w:rPr>
        <w:tab/>
      </w:r>
      <w:r w:rsidR="00B13443" w:rsidRPr="00995931">
        <w:rPr>
          <w:rFonts w:ascii="Arial" w:hAnsi="Arial" w:cs="Arial"/>
        </w:rPr>
        <w:t>TATA</w:t>
      </w:r>
      <w:r w:rsidR="007A3393" w:rsidRPr="00995931">
        <w:rPr>
          <w:rFonts w:ascii="Arial" w:hAnsi="Arial" w:cs="Arial"/>
        </w:rPr>
        <w:t xml:space="preserve"> asserted three grounds of review.</w:t>
      </w:r>
      <w:r w:rsidR="00F1648F" w:rsidRPr="00995931">
        <w:rPr>
          <w:rFonts w:ascii="Arial" w:hAnsi="Arial" w:cs="Arial"/>
        </w:rPr>
        <w:t xml:space="preserve"> </w:t>
      </w:r>
      <w:r w:rsidR="005E739F" w:rsidRPr="00995931">
        <w:rPr>
          <w:rFonts w:ascii="Arial" w:hAnsi="Arial" w:cs="Arial"/>
          <w:color w:val="000000" w:themeColor="text1"/>
        </w:rPr>
        <w:t xml:space="preserve">The first </w:t>
      </w:r>
      <w:r w:rsidR="009D376F" w:rsidRPr="00995931">
        <w:rPr>
          <w:rFonts w:ascii="Arial" w:hAnsi="Arial" w:cs="Arial"/>
          <w:color w:val="000000" w:themeColor="text1"/>
        </w:rPr>
        <w:t xml:space="preserve">is </w:t>
      </w:r>
      <w:r w:rsidR="005E739F" w:rsidRPr="00995931">
        <w:rPr>
          <w:rFonts w:ascii="Arial" w:hAnsi="Arial" w:cs="Arial"/>
          <w:color w:val="000000" w:themeColor="text1"/>
        </w:rPr>
        <w:t xml:space="preserve">that the continued imposition of the anti-dumping duty was unlawful, the second </w:t>
      </w:r>
      <w:r w:rsidR="009D376F" w:rsidRPr="00995931">
        <w:rPr>
          <w:rFonts w:ascii="Arial" w:hAnsi="Arial" w:cs="Arial"/>
          <w:color w:val="000000" w:themeColor="text1"/>
        </w:rPr>
        <w:t xml:space="preserve">is </w:t>
      </w:r>
      <w:r w:rsidR="005E739F" w:rsidRPr="00995931">
        <w:rPr>
          <w:rFonts w:ascii="Arial" w:hAnsi="Arial" w:cs="Arial"/>
          <w:color w:val="000000" w:themeColor="text1"/>
        </w:rPr>
        <w:t xml:space="preserve">that there was no basis established for the continuation or recurrence of injurious dumping and lastly that the approach that was adopted by </w:t>
      </w:r>
      <w:r w:rsidR="00B13443" w:rsidRPr="00995931">
        <w:rPr>
          <w:rFonts w:ascii="Arial" w:hAnsi="Arial" w:cs="Arial"/>
          <w:color w:val="000000" w:themeColor="text1"/>
        </w:rPr>
        <w:t>ITAC</w:t>
      </w:r>
      <w:r w:rsidR="005E739F" w:rsidRPr="00995931">
        <w:rPr>
          <w:rFonts w:ascii="Arial" w:hAnsi="Arial" w:cs="Arial"/>
          <w:color w:val="000000" w:themeColor="text1"/>
        </w:rPr>
        <w:t xml:space="preserve"> in the matter</w:t>
      </w:r>
      <w:r w:rsidR="009F5BA2" w:rsidRPr="00995931">
        <w:rPr>
          <w:rFonts w:ascii="Arial" w:hAnsi="Arial" w:cs="Arial"/>
          <w:color w:val="000000" w:themeColor="text1"/>
        </w:rPr>
        <w:t>, insofar as its recommendations were concerned,</w:t>
      </w:r>
      <w:r w:rsidR="005E739F" w:rsidRPr="00995931">
        <w:rPr>
          <w:rFonts w:ascii="Arial" w:hAnsi="Arial" w:cs="Arial"/>
          <w:color w:val="000000" w:themeColor="text1"/>
        </w:rPr>
        <w:t xml:space="preserve"> was flawed.</w:t>
      </w:r>
    </w:p>
    <w:p w14:paraId="2545D0AB" w14:textId="44963207" w:rsidR="003E2BF9" w:rsidRDefault="003E2BF9" w:rsidP="003E2BF9">
      <w:pPr>
        <w:pStyle w:val="ListParagraph"/>
        <w:rPr>
          <w:rFonts w:ascii="Arial" w:hAnsi="Arial" w:cs="Arial"/>
          <w:color w:val="000000" w:themeColor="text1"/>
        </w:rPr>
      </w:pPr>
    </w:p>
    <w:p w14:paraId="510A097D" w14:textId="77777777" w:rsidR="002423E5" w:rsidRDefault="002423E5" w:rsidP="003E2BF9">
      <w:pPr>
        <w:pStyle w:val="ListParagraph"/>
        <w:rPr>
          <w:rFonts w:ascii="Arial" w:hAnsi="Arial" w:cs="Arial"/>
          <w:color w:val="000000" w:themeColor="text1"/>
        </w:rPr>
      </w:pPr>
    </w:p>
    <w:p w14:paraId="1623FB7B" w14:textId="77777777" w:rsidR="0078301E" w:rsidRDefault="0078301E" w:rsidP="002133E4">
      <w:pPr>
        <w:rPr>
          <w:rFonts w:ascii="Arial" w:hAnsi="Arial" w:cs="Arial"/>
          <w:b/>
          <w:bCs/>
          <w:color w:val="000000" w:themeColor="text1"/>
          <w:u w:val="single"/>
        </w:rPr>
      </w:pPr>
    </w:p>
    <w:p w14:paraId="21A8747E" w14:textId="537F30CC" w:rsidR="00595FAB" w:rsidRPr="002133E4" w:rsidRDefault="00361C33" w:rsidP="002133E4">
      <w:pPr>
        <w:rPr>
          <w:rFonts w:ascii="Arial" w:hAnsi="Arial" w:cs="Arial"/>
          <w:b/>
          <w:bCs/>
          <w:color w:val="000000" w:themeColor="text1"/>
          <w:u w:val="single"/>
        </w:rPr>
      </w:pPr>
      <w:r>
        <w:rPr>
          <w:rFonts w:ascii="Arial" w:hAnsi="Arial" w:cs="Arial"/>
          <w:b/>
          <w:bCs/>
          <w:color w:val="000000" w:themeColor="text1"/>
          <w:u w:val="single"/>
        </w:rPr>
        <w:t>BACKGROUND</w:t>
      </w:r>
    </w:p>
    <w:p w14:paraId="042D5CF3" w14:textId="7D735B45" w:rsidR="002133E4" w:rsidRDefault="002133E4" w:rsidP="002133E4">
      <w:pPr>
        <w:rPr>
          <w:rFonts w:ascii="Arial" w:hAnsi="Arial" w:cs="Arial"/>
          <w:color w:val="000000" w:themeColor="text1"/>
        </w:rPr>
      </w:pPr>
    </w:p>
    <w:p w14:paraId="4D81721B" w14:textId="4475B89B" w:rsidR="0078301E" w:rsidRDefault="0078301E" w:rsidP="002133E4">
      <w:pPr>
        <w:rPr>
          <w:rFonts w:ascii="Arial" w:hAnsi="Arial" w:cs="Arial"/>
          <w:color w:val="000000" w:themeColor="text1"/>
        </w:rPr>
      </w:pPr>
    </w:p>
    <w:p w14:paraId="7337F3F0" w14:textId="091ADD2D" w:rsidR="002423E5" w:rsidRDefault="002423E5" w:rsidP="002133E4">
      <w:pPr>
        <w:rPr>
          <w:rFonts w:ascii="Arial" w:hAnsi="Arial" w:cs="Arial"/>
          <w:color w:val="000000" w:themeColor="text1"/>
        </w:rPr>
      </w:pPr>
    </w:p>
    <w:p w14:paraId="66A3B5E0" w14:textId="31854ADC" w:rsidR="002423E5" w:rsidRDefault="002423E5" w:rsidP="002133E4">
      <w:pPr>
        <w:rPr>
          <w:rFonts w:ascii="Arial" w:hAnsi="Arial" w:cs="Arial"/>
          <w:color w:val="000000" w:themeColor="text1"/>
        </w:rPr>
      </w:pPr>
    </w:p>
    <w:p w14:paraId="6195B6C2" w14:textId="47910C57" w:rsidR="002423E5" w:rsidRDefault="002423E5" w:rsidP="002133E4">
      <w:pPr>
        <w:rPr>
          <w:rFonts w:ascii="Arial" w:hAnsi="Arial" w:cs="Arial"/>
          <w:color w:val="000000" w:themeColor="text1"/>
        </w:rPr>
      </w:pPr>
    </w:p>
    <w:p w14:paraId="2293339C" w14:textId="042F9E86" w:rsidR="002423E5" w:rsidRDefault="002423E5" w:rsidP="002133E4">
      <w:pPr>
        <w:rPr>
          <w:rFonts w:ascii="Arial" w:hAnsi="Arial" w:cs="Arial"/>
          <w:color w:val="000000" w:themeColor="text1"/>
        </w:rPr>
      </w:pPr>
    </w:p>
    <w:p w14:paraId="31E12CA8" w14:textId="267B08CB" w:rsidR="002423E5" w:rsidRDefault="002423E5" w:rsidP="002133E4">
      <w:pPr>
        <w:rPr>
          <w:rFonts w:ascii="Arial" w:hAnsi="Arial" w:cs="Arial"/>
          <w:color w:val="000000" w:themeColor="text1"/>
        </w:rPr>
      </w:pPr>
    </w:p>
    <w:p w14:paraId="590D0C77" w14:textId="77777777" w:rsidR="002423E5" w:rsidRPr="002133E4" w:rsidRDefault="002423E5" w:rsidP="002133E4">
      <w:pPr>
        <w:rPr>
          <w:rFonts w:ascii="Arial" w:hAnsi="Arial" w:cs="Arial"/>
          <w:color w:val="000000" w:themeColor="text1"/>
        </w:rPr>
      </w:pPr>
    </w:p>
    <w:p w14:paraId="2BE70FF7" w14:textId="479C0592" w:rsidR="00322D7D" w:rsidRPr="00995931" w:rsidRDefault="00995931" w:rsidP="00995931">
      <w:pPr>
        <w:spacing w:line="360" w:lineRule="auto"/>
        <w:ind w:left="851" w:hanging="851"/>
        <w:jc w:val="both"/>
        <w:rPr>
          <w:rFonts w:ascii="Arial" w:hAnsi="Arial" w:cs="Arial"/>
          <w:color w:val="000000" w:themeColor="text1"/>
        </w:rPr>
      </w:pPr>
      <w:r w:rsidRPr="007A3393">
        <w:rPr>
          <w:rFonts w:ascii="Arial" w:hAnsi="Arial" w:cs="Arial"/>
          <w:color w:val="000000" w:themeColor="text1"/>
        </w:rPr>
        <w:t>[7].</w:t>
      </w:r>
      <w:r w:rsidRPr="007A3393">
        <w:rPr>
          <w:rFonts w:ascii="Arial" w:hAnsi="Arial" w:cs="Arial"/>
          <w:color w:val="000000" w:themeColor="text1"/>
        </w:rPr>
        <w:tab/>
      </w:r>
      <w:r w:rsidR="003E2BF9" w:rsidRPr="00995931">
        <w:rPr>
          <w:rFonts w:ascii="Arial" w:hAnsi="Arial" w:cs="Arial"/>
          <w:color w:val="000000" w:themeColor="text1"/>
        </w:rPr>
        <w:t>What are anti-dumping duties</w:t>
      </w:r>
      <w:r w:rsidR="000268DE" w:rsidRPr="00995931">
        <w:rPr>
          <w:rFonts w:ascii="Arial" w:hAnsi="Arial" w:cs="Arial"/>
          <w:color w:val="000000" w:themeColor="text1"/>
        </w:rPr>
        <w:t xml:space="preserve"> and what is the legal framework within which they are determined, </w:t>
      </w:r>
      <w:r w:rsidR="001327CE" w:rsidRPr="00995931">
        <w:rPr>
          <w:rFonts w:ascii="Arial" w:hAnsi="Arial" w:cs="Arial"/>
          <w:color w:val="000000" w:themeColor="text1"/>
        </w:rPr>
        <w:t>imposed,</w:t>
      </w:r>
      <w:r w:rsidR="000268DE" w:rsidRPr="00995931">
        <w:rPr>
          <w:rFonts w:ascii="Arial" w:hAnsi="Arial" w:cs="Arial"/>
          <w:color w:val="000000" w:themeColor="text1"/>
        </w:rPr>
        <w:t xml:space="preserve"> and renewed</w:t>
      </w:r>
      <w:r w:rsidR="003E2BF9" w:rsidRPr="00995931">
        <w:rPr>
          <w:rFonts w:ascii="Arial" w:hAnsi="Arial" w:cs="Arial"/>
          <w:color w:val="000000" w:themeColor="text1"/>
        </w:rPr>
        <w:t xml:space="preserve">? </w:t>
      </w:r>
      <w:r w:rsidR="000A5270" w:rsidRPr="00995931">
        <w:rPr>
          <w:rFonts w:ascii="Arial" w:hAnsi="Arial" w:cs="Arial"/>
          <w:color w:val="000000" w:themeColor="text1"/>
        </w:rPr>
        <w:t xml:space="preserve"> </w:t>
      </w:r>
      <w:r w:rsidR="003E2BF9" w:rsidRPr="00995931">
        <w:rPr>
          <w:rFonts w:ascii="Arial" w:hAnsi="Arial" w:cs="Arial"/>
          <w:color w:val="000000" w:themeColor="text1"/>
        </w:rPr>
        <w:t xml:space="preserve">The Constitutional Court in </w:t>
      </w:r>
      <w:r w:rsidR="003E2BF9" w:rsidRPr="00995931">
        <w:rPr>
          <w:rFonts w:ascii="Arial" w:hAnsi="Arial" w:cs="Arial"/>
          <w:i/>
          <w:iCs/>
          <w:color w:val="000000" w:themeColor="text1"/>
        </w:rPr>
        <w:t>SCAW</w:t>
      </w:r>
      <w:r w:rsidR="008C633E" w:rsidRPr="00995931">
        <w:rPr>
          <w:rFonts w:ascii="Arial" w:hAnsi="Arial" w:cs="Arial"/>
          <w:i/>
          <w:iCs/>
          <w:color w:val="000000" w:themeColor="text1"/>
        </w:rPr>
        <w:t xml:space="preserve"> </w:t>
      </w:r>
      <w:r w:rsidR="003E2BF9">
        <w:rPr>
          <w:rStyle w:val="FootnoteReference"/>
          <w:rFonts w:ascii="Arial" w:hAnsi="Arial" w:cs="Arial"/>
          <w:color w:val="000000" w:themeColor="text1"/>
        </w:rPr>
        <w:footnoteReference w:id="8"/>
      </w:r>
      <w:r w:rsidR="003E2BF9" w:rsidRPr="00995931">
        <w:rPr>
          <w:rFonts w:ascii="Arial" w:hAnsi="Arial" w:cs="Arial"/>
          <w:color w:val="000000" w:themeColor="text1"/>
        </w:rPr>
        <w:t xml:space="preserve"> </w:t>
      </w:r>
      <w:r w:rsidR="0078301E" w:rsidRPr="00995931">
        <w:rPr>
          <w:rFonts w:ascii="Arial" w:hAnsi="Arial" w:cs="Arial"/>
          <w:color w:val="000000" w:themeColor="text1"/>
        </w:rPr>
        <w:t xml:space="preserve"> </w:t>
      </w:r>
      <w:r w:rsidR="003E2BF9" w:rsidRPr="00995931">
        <w:rPr>
          <w:rFonts w:ascii="Arial" w:hAnsi="Arial" w:cs="Arial"/>
          <w:color w:val="000000" w:themeColor="text1"/>
        </w:rPr>
        <w:t xml:space="preserve">explained </w:t>
      </w:r>
      <w:r w:rsidR="000F01E7" w:rsidRPr="00995931">
        <w:rPr>
          <w:rFonts w:ascii="Arial" w:hAnsi="Arial" w:cs="Arial"/>
          <w:color w:val="000000" w:themeColor="text1"/>
        </w:rPr>
        <w:t>this as</w:t>
      </w:r>
      <w:r w:rsidR="003E2BF9" w:rsidRPr="00995931">
        <w:rPr>
          <w:rFonts w:ascii="Arial" w:hAnsi="Arial" w:cs="Arial"/>
          <w:color w:val="000000" w:themeColor="text1"/>
        </w:rPr>
        <w:t xml:space="preserve"> follows:</w:t>
      </w:r>
    </w:p>
    <w:p w14:paraId="2D63E394" w14:textId="6C1E6F3E" w:rsidR="0032736C" w:rsidRPr="002423E5" w:rsidRDefault="0032736C" w:rsidP="002423E5">
      <w:pPr>
        <w:rPr>
          <w:rFonts w:ascii="Arial" w:hAnsi="Arial" w:cs="Arial"/>
          <w:color w:val="000000" w:themeColor="text1"/>
        </w:rPr>
      </w:pPr>
    </w:p>
    <w:p w14:paraId="669E8C7D" w14:textId="77777777" w:rsidR="0032736C" w:rsidRPr="003E2BF9" w:rsidRDefault="0032736C" w:rsidP="003E2BF9">
      <w:pPr>
        <w:pStyle w:val="ListParagraph"/>
        <w:rPr>
          <w:rFonts w:ascii="Arial" w:hAnsi="Arial" w:cs="Arial"/>
          <w:color w:val="000000" w:themeColor="text1"/>
        </w:rPr>
      </w:pPr>
    </w:p>
    <w:p w14:paraId="48C9D2B3" w14:textId="618C32A6" w:rsidR="0009334D" w:rsidRPr="0009334D" w:rsidRDefault="003E2BF9" w:rsidP="000E10F9">
      <w:pPr>
        <w:spacing w:line="360" w:lineRule="auto"/>
        <w:ind w:left="2552" w:hanging="851"/>
        <w:jc w:val="both"/>
        <w:rPr>
          <w:rFonts w:ascii="Arial" w:hAnsi="Arial" w:cs="Arial"/>
          <w:i/>
          <w:iCs/>
          <w:sz w:val="22"/>
          <w:szCs w:val="22"/>
        </w:rPr>
      </w:pPr>
      <w:r>
        <w:rPr>
          <w:rFonts w:ascii="Arial" w:hAnsi="Arial" w:cs="Arial"/>
          <w:color w:val="000000" w:themeColor="text1"/>
        </w:rPr>
        <w:t xml:space="preserve">“ </w:t>
      </w:r>
      <w:r w:rsidR="0009334D" w:rsidRPr="0009334D">
        <w:rPr>
          <w:rFonts w:ascii="Arial" w:hAnsi="Arial" w:cs="Arial"/>
          <w:i/>
          <w:iCs/>
          <w:sz w:val="22"/>
          <w:szCs w:val="22"/>
        </w:rPr>
        <w:t xml:space="preserve">[1] </w:t>
      </w:r>
      <w:r w:rsidR="0009334D" w:rsidRPr="0009334D">
        <w:rPr>
          <w:rFonts w:ascii="Arial" w:hAnsi="Arial" w:cs="Arial"/>
          <w:i/>
          <w:iCs/>
          <w:sz w:val="22"/>
          <w:szCs w:val="22"/>
        </w:rPr>
        <w:tab/>
        <w:t>In the parlance of international trade, dumping means the introduction of goods into the commerce of a country or its common customs area at an export price less than the normal value of those goods. An international agreement binding on the Republic and so too our municipal law regulates dumping that harms or is likely to harm domestic trade and industry. At both levels, it is permissible to impose anti</w:t>
      </w:r>
      <w:r w:rsidR="006E111E">
        <w:rPr>
          <w:rFonts w:ascii="Arial" w:hAnsi="Arial" w:cs="Arial"/>
          <w:i/>
          <w:iCs/>
          <w:sz w:val="22"/>
          <w:szCs w:val="22"/>
        </w:rPr>
        <w:t>-</w:t>
      </w:r>
      <w:r w:rsidR="0009334D" w:rsidRPr="0009334D">
        <w:rPr>
          <w:rFonts w:ascii="Arial" w:hAnsi="Arial" w:cs="Arial"/>
          <w:i/>
          <w:iCs/>
          <w:sz w:val="22"/>
          <w:szCs w:val="22"/>
        </w:rPr>
        <w:t>dumping duties on offending export goods. Anti</w:t>
      </w:r>
      <w:r w:rsidR="006E111E">
        <w:rPr>
          <w:rFonts w:ascii="Arial" w:hAnsi="Arial" w:cs="Arial"/>
          <w:i/>
          <w:iCs/>
          <w:sz w:val="22"/>
          <w:szCs w:val="22"/>
        </w:rPr>
        <w:t>-</w:t>
      </w:r>
      <w:r w:rsidR="0009334D" w:rsidRPr="0009334D">
        <w:rPr>
          <w:rFonts w:ascii="Arial" w:hAnsi="Arial" w:cs="Arial"/>
          <w:i/>
          <w:iCs/>
          <w:sz w:val="22"/>
          <w:szCs w:val="22"/>
        </w:rPr>
        <w:t xml:space="preserve">dumping duties are harnessed to counteract or reduce harmful dumping and other adverse trade practices. </w:t>
      </w:r>
    </w:p>
    <w:p w14:paraId="01A4FD64" w14:textId="77777777" w:rsidR="0009334D" w:rsidRPr="0009334D" w:rsidRDefault="0009334D" w:rsidP="000E10F9">
      <w:pPr>
        <w:spacing w:line="360" w:lineRule="auto"/>
        <w:ind w:left="2552" w:hanging="851"/>
        <w:jc w:val="both"/>
        <w:rPr>
          <w:rFonts w:ascii="Arial" w:hAnsi="Arial" w:cs="Arial"/>
          <w:i/>
          <w:iCs/>
          <w:sz w:val="22"/>
          <w:szCs w:val="22"/>
        </w:rPr>
      </w:pPr>
    </w:p>
    <w:p w14:paraId="31998912" w14:textId="4A9270B7" w:rsidR="0009334D" w:rsidRPr="0009334D" w:rsidRDefault="0009334D" w:rsidP="000E10F9">
      <w:pPr>
        <w:spacing w:line="360" w:lineRule="auto"/>
        <w:ind w:left="2552" w:hanging="851"/>
        <w:jc w:val="both"/>
        <w:rPr>
          <w:rFonts w:ascii="Arial" w:hAnsi="Arial" w:cs="Arial"/>
          <w:i/>
          <w:iCs/>
          <w:sz w:val="22"/>
          <w:szCs w:val="22"/>
        </w:rPr>
      </w:pPr>
      <w:r w:rsidRPr="0009334D">
        <w:rPr>
          <w:rFonts w:ascii="Arial" w:hAnsi="Arial" w:cs="Arial"/>
          <w:i/>
          <w:iCs/>
          <w:sz w:val="22"/>
          <w:szCs w:val="22"/>
        </w:rPr>
        <w:t xml:space="preserve">[2] </w:t>
      </w:r>
      <w:r w:rsidRPr="0009334D">
        <w:rPr>
          <w:rFonts w:ascii="Arial" w:hAnsi="Arial" w:cs="Arial"/>
          <w:i/>
          <w:iCs/>
          <w:sz w:val="22"/>
          <w:szCs w:val="22"/>
        </w:rPr>
        <w:tab/>
        <w:t>South Africa is a member of the World Trade Organisation (WTO). Its international obligations on tariffs and trade arise from the WTO Agreement on Implementation of Article VI of the General Agreement on Tariffs and Trade, 1994 (Anti</w:t>
      </w:r>
      <w:r w:rsidR="006E111E">
        <w:rPr>
          <w:rFonts w:ascii="Arial" w:hAnsi="Arial" w:cs="Arial"/>
          <w:i/>
          <w:iCs/>
          <w:sz w:val="22"/>
          <w:szCs w:val="22"/>
        </w:rPr>
        <w:t>-</w:t>
      </w:r>
      <w:r w:rsidRPr="0009334D">
        <w:rPr>
          <w:rFonts w:ascii="Arial" w:hAnsi="Arial" w:cs="Arial"/>
          <w:i/>
          <w:iCs/>
          <w:sz w:val="22"/>
          <w:szCs w:val="22"/>
        </w:rPr>
        <w:t>Dumping Agreement). These obligations are honoured through domestic legislation that governs the imposition of antidumping duties and other trade remedies. In the main the legislation consists of the International Trade Administration Act, 2002 (the Act) the Anti</w:t>
      </w:r>
      <w:r w:rsidR="006E111E">
        <w:rPr>
          <w:rFonts w:ascii="Arial" w:hAnsi="Arial" w:cs="Arial"/>
          <w:i/>
          <w:iCs/>
          <w:sz w:val="22"/>
          <w:szCs w:val="22"/>
        </w:rPr>
        <w:t>-</w:t>
      </w:r>
      <w:r w:rsidRPr="0009334D">
        <w:rPr>
          <w:rFonts w:ascii="Arial" w:hAnsi="Arial" w:cs="Arial"/>
          <w:i/>
          <w:iCs/>
          <w:sz w:val="22"/>
          <w:szCs w:val="22"/>
        </w:rPr>
        <w:t>Dumping Regulations made under the Act which</w:t>
      </w:r>
      <w:r w:rsidR="006E111E">
        <w:rPr>
          <w:rFonts w:ascii="Arial" w:hAnsi="Arial" w:cs="Arial"/>
          <w:i/>
          <w:iCs/>
          <w:sz w:val="22"/>
          <w:szCs w:val="22"/>
        </w:rPr>
        <w:t xml:space="preserve"> </w:t>
      </w:r>
      <w:r w:rsidRPr="0009334D">
        <w:rPr>
          <w:rFonts w:ascii="Arial" w:hAnsi="Arial" w:cs="Arial"/>
          <w:i/>
          <w:iCs/>
          <w:sz w:val="22"/>
          <w:szCs w:val="22"/>
        </w:rPr>
        <w:t xml:space="preserve">must be read together with the Customs and Excise Act, 1964 (Customs and Excise Act) and where appropriate, the Board of Tariffs and Trade Act, 1986 (BTT Act). I address the legislative regime more fully later. </w:t>
      </w:r>
    </w:p>
    <w:p w14:paraId="6A2C43AA" w14:textId="77777777" w:rsidR="0009334D" w:rsidRPr="0009334D" w:rsidRDefault="0009334D" w:rsidP="0009334D">
      <w:pPr>
        <w:spacing w:line="360" w:lineRule="auto"/>
        <w:ind w:left="1080" w:hanging="270"/>
        <w:jc w:val="both"/>
        <w:rPr>
          <w:rFonts w:ascii="Arial" w:hAnsi="Arial" w:cs="Arial"/>
          <w:i/>
          <w:iCs/>
          <w:sz w:val="22"/>
          <w:szCs w:val="22"/>
        </w:rPr>
      </w:pPr>
    </w:p>
    <w:p w14:paraId="3F2CCB14" w14:textId="25C4EB8B" w:rsidR="0009334D" w:rsidRPr="0009334D" w:rsidRDefault="0009334D" w:rsidP="000E10F9">
      <w:pPr>
        <w:spacing w:line="360" w:lineRule="auto"/>
        <w:ind w:left="2552" w:hanging="851"/>
        <w:jc w:val="both"/>
        <w:rPr>
          <w:rFonts w:ascii="Arial" w:hAnsi="Arial" w:cs="Arial"/>
          <w:i/>
          <w:iCs/>
          <w:sz w:val="22"/>
          <w:szCs w:val="22"/>
        </w:rPr>
      </w:pPr>
      <w:r w:rsidRPr="0009334D">
        <w:rPr>
          <w:rFonts w:ascii="Arial" w:hAnsi="Arial" w:cs="Arial"/>
          <w:i/>
          <w:iCs/>
          <w:sz w:val="22"/>
          <w:szCs w:val="22"/>
        </w:rPr>
        <w:t xml:space="preserve">[3] </w:t>
      </w:r>
      <w:r w:rsidRPr="0009334D">
        <w:rPr>
          <w:rFonts w:ascii="Arial" w:hAnsi="Arial" w:cs="Arial"/>
          <w:i/>
          <w:iCs/>
          <w:sz w:val="22"/>
          <w:szCs w:val="22"/>
        </w:rPr>
        <w:tab/>
        <w:t>The Act has established and charged the International Trade Administration Commission (</w:t>
      </w:r>
      <w:r w:rsidR="00B13443">
        <w:rPr>
          <w:rFonts w:ascii="Arial" w:hAnsi="Arial" w:cs="Arial"/>
          <w:i/>
          <w:iCs/>
          <w:sz w:val="22"/>
          <w:szCs w:val="22"/>
        </w:rPr>
        <w:t>ITAC</w:t>
      </w:r>
      <w:r w:rsidRPr="0009334D">
        <w:rPr>
          <w:rFonts w:ascii="Arial" w:hAnsi="Arial" w:cs="Arial"/>
          <w:i/>
          <w:iCs/>
          <w:sz w:val="22"/>
          <w:szCs w:val="22"/>
        </w:rPr>
        <w:t>) with the duty to make recommendations to the Minister of Trade and Industry (the minister) who, in turn, may ask the Minister of Finance to lift or impose antidumping duties on specified goods introduced into the commerce of the Republic.”</w:t>
      </w:r>
    </w:p>
    <w:p w14:paraId="5BBB6CBE" w14:textId="3477993B" w:rsidR="001F39E0" w:rsidRDefault="001F39E0" w:rsidP="001F39E0">
      <w:pPr>
        <w:pStyle w:val="ListParagraph"/>
        <w:spacing w:line="360" w:lineRule="auto"/>
        <w:ind w:left="851"/>
        <w:jc w:val="both"/>
        <w:rPr>
          <w:rFonts w:ascii="Arial" w:hAnsi="Arial" w:cs="Arial"/>
          <w:color w:val="000000" w:themeColor="text1"/>
        </w:rPr>
      </w:pPr>
    </w:p>
    <w:p w14:paraId="3428284A" w14:textId="484097A0" w:rsidR="00361C33" w:rsidRPr="002423E5" w:rsidRDefault="006E111E" w:rsidP="002423E5">
      <w:pPr>
        <w:pStyle w:val="ListParagraph"/>
        <w:spacing w:line="360" w:lineRule="auto"/>
        <w:ind w:left="851"/>
        <w:jc w:val="both"/>
        <w:rPr>
          <w:rFonts w:ascii="Arial" w:hAnsi="Arial" w:cs="Arial"/>
          <w:color w:val="000000" w:themeColor="text1"/>
        </w:rPr>
      </w:pPr>
      <w:r>
        <w:rPr>
          <w:rFonts w:ascii="Arial" w:hAnsi="Arial" w:cs="Arial"/>
          <w:color w:val="000000" w:themeColor="text1"/>
        </w:rPr>
        <w:lastRenderedPageBreak/>
        <w:t>and</w:t>
      </w:r>
    </w:p>
    <w:p w14:paraId="72AF55AF" w14:textId="4B771BFA" w:rsidR="00361C33" w:rsidRDefault="00361C33" w:rsidP="000E10F9">
      <w:pPr>
        <w:spacing w:line="360" w:lineRule="auto"/>
        <w:ind w:left="2552" w:hanging="851"/>
        <w:jc w:val="both"/>
        <w:rPr>
          <w:rFonts w:ascii="Arial" w:hAnsi="Arial" w:cs="Arial"/>
          <w:i/>
          <w:iCs/>
          <w:color w:val="000000" w:themeColor="text1"/>
          <w:sz w:val="22"/>
          <w:szCs w:val="22"/>
        </w:rPr>
      </w:pPr>
    </w:p>
    <w:p w14:paraId="337913F9" w14:textId="77777777" w:rsidR="00361C33" w:rsidRDefault="00361C33" w:rsidP="000E10F9">
      <w:pPr>
        <w:spacing w:line="360" w:lineRule="auto"/>
        <w:ind w:left="2552" w:hanging="851"/>
        <w:jc w:val="both"/>
        <w:rPr>
          <w:rFonts w:ascii="Arial" w:hAnsi="Arial" w:cs="Arial"/>
          <w:i/>
          <w:iCs/>
          <w:color w:val="000000" w:themeColor="text1"/>
          <w:sz w:val="22"/>
          <w:szCs w:val="22"/>
        </w:rPr>
      </w:pPr>
    </w:p>
    <w:p w14:paraId="6F7CA246" w14:textId="533D9059" w:rsidR="000268DE" w:rsidRPr="000268DE" w:rsidRDefault="006E111E" w:rsidP="000E10F9">
      <w:pPr>
        <w:spacing w:line="360" w:lineRule="auto"/>
        <w:ind w:left="2552" w:hanging="851"/>
        <w:jc w:val="both"/>
        <w:rPr>
          <w:rFonts w:ascii="Arial" w:hAnsi="Arial" w:cs="Arial"/>
          <w:i/>
          <w:iCs/>
          <w:sz w:val="22"/>
          <w:szCs w:val="22"/>
        </w:rPr>
      </w:pPr>
      <w:r w:rsidRPr="000268DE">
        <w:rPr>
          <w:rFonts w:ascii="Arial" w:hAnsi="Arial" w:cs="Arial"/>
          <w:i/>
          <w:iCs/>
          <w:color w:val="000000" w:themeColor="text1"/>
          <w:sz w:val="22"/>
          <w:szCs w:val="22"/>
        </w:rPr>
        <w:t>“</w:t>
      </w:r>
      <w:r w:rsidR="000268DE" w:rsidRPr="000268DE">
        <w:rPr>
          <w:rFonts w:ascii="Arial" w:hAnsi="Arial" w:cs="Arial"/>
          <w:i/>
          <w:iCs/>
          <w:sz w:val="22"/>
          <w:szCs w:val="22"/>
        </w:rPr>
        <w:t xml:space="preserve">[34] </w:t>
      </w:r>
      <w:r w:rsidR="000268DE" w:rsidRPr="000268DE">
        <w:rPr>
          <w:rFonts w:ascii="Arial" w:hAnsi="Arial" w:cs="Arial"/>
          <w:i/>
          <w:iCs/>
          <w:sz w:val="22"/>
          <w:szCs w:val="22"/>
        </w:rPr>
        <w:tab/>
        <w:t xml:space="preserve">The Act repealed the whole of the BTT Act. However, a number of its provisions have not come into operation. It remains necessary to read its provisions together with the BTT Act because its transitional provisions require that </w:t>
      </w:r>
      <w:r w:rsidR="00B13443">
        <w:rPr>
          <w:rFonts w:ascii="Arial" w:hAnsi="Arial" w:cs="Arial"/>
          <w:i/>
          <w:iCs/>
          <w:sz w:val="22"/>
          <w:szCs w:val="22"/>
        </w:rPr>
        <w:t>ITAC</w:t>
      </w:r>
      <w:r w:rsidR="000268DE" w:rsidRPr="000268DE">
        <w:rPr>
          <w:rFonts w:ascii="Arial" w:hAnsi="Arial" w:cs="Arial"/>
          <w:i/>
          <w:iCs/>
          <w:sz w:val="22"/>
          <w:szCs w:val="22"/>
        </w:rPr>
        <w:t xml:space="preserve"> must investigate, evaluate and report on anti-dumping duties in accordance with the BTT Act as if it had not </w:t>
      </w:r>
      <w:r w:rsidR="009D376F" w:rsidRPr="000268DE">
        <w:rPr>
          <w:rFonts w:ascii="Arial" w:hAnsi="Arial" w:cs="Arial"/>
          <w:i/>
          <w:iCs/>
          <w:sz w:val="22"/>
          <w:szCs w:val="22"/>
        </w:rPr>
        <w:t>been repealed</w:t>
      </w:r>
      <w:r w:rsidR="000268DE" w:rsidRPr="000268DE">
        <w:rPr>
          <w:rFonts w:ascii="Arial" w:hAnsi="Arial" w:cs="Arial"/>
          <w:i/>
          <w:iCs/>
          <w:sz w:val="22"/>
          <w:szCs w:val="22"/>
        </w:rPr>
        <w:t xml:space="preserve">. The Act makes it clear that </w:t>
      </w:r>
      <w:r w:rsidR="00B13443">
        <w:rPr>
          <w:rFonts w:ascii="Arial" w:hAnsi="Arial" w:cs="Arial"/>
          <w:i/>
          <w:iCs/>
          <w:sz w:val="22"/>
          <w:szCs w:val="22"/>
        </w:rPr>
        <w:t>ITAC</w:t>
      </w:r>
      <w:r w:rsidR="000268DE" w:rsidRPr="000268DE">
        <w:rPr>
          <w:rFonts w:ascii="Arial" w:hAnsi="Arial" w:cs="Arial"/>
          <w:i/>
          <w:iCs/>
          <w:sz w:val="22"/>
          <w:szCs w:val="22"/>
        </w:rPr>
        <w:t xml:space="preserve"> is the successor in title to the Board. More importantly, the transitional provisions preserve the statutory functions of the two ministers provided for in the BTT Act and the Customs and Excise Act in relation to the determination of C anti-dumping duties. The consequence of this is that </w:t>
      </w:r>
      <w:r w:rsidR="00B13443">
        <w:rPr>
          <w:rFonts w:ascii="Arial" w:hAnsi="Arial" w:cs="Arial"/>
          <w:i/>
          <w:iCs/>
          <w:sz w:val="22"/>
          <w:szCs w:val="22"/>
        </w:rPr>
        <w:t>ITAC</w:t>
      </w:r>
      <w:r w:rsidR="000268DE" w:rsidRPr="000268DE">
        <w:rPr>
          <w:rFonts w:ascii="Arial" w:hAnsi="Arial" w:cs="Arial"/>
          <w:i/>
          <w:iCs/>
          <w:sz w:val="22"/>
          <w:szCs w:val="22"/>
        </w:rPr>
        <w:t xml:space="preserve"> is required to investigate and evaluate applications for anti-dumping duties in </w:t>
      </w:r>
      <w:r w:rsidR="000A5270" w:rsidRPr="000268DE">
        <w:rPr>
          <w:rFonts w:ascii="Arial" w:hAnsi="Arial" w:cs="Arial"/>
          <w:i/>
          <w:iCs/>
          <w:sz w:val="22"/>
          <w:szCs w:val="22"/>
        </w:rPr>
        <w:t>accordance with</w:t>
      </w:r>
      <w:r w:rsidR="000268DE" w:rsidRPr="000268DE">
        <w:rPr>
          <w:rFonts w:ascii="Arial" w:hAnsi="Arial" w:cs="Arial"/>
          <w:i/>
          <w:iCs/>
          <w:sz w:val="22"/>
          <w:szCs w:val="22"/>
        </w:rPr>
        <w:t xml:space="preserve"> s 32 of the Act read with the BTT Act, as if the latter Act had not been repealed. In order to complete the picture, one must add that ch</w:t>
      </w:r>
      <w:r w:rsidR="009D376F">
        <w:rPr>
          <w:rFonts w:ascii="Arial" w:hAnsi="Arial" w:cs="Arial"/>
          <w:i/>
          <w:iCs/>
          <w:sz w:val="22"/>
          <w:szCs w:val="22"/>
        </w:rPr>
        <w:t>.</w:t>
      </w:r>
      <w:r w:rsidR="000268DE" w:rsidRPr="000268DE">
        <w:rPr>
          <w:rFonts w:ascii="Arial" w:hAnsi="Arial" w:cs="Arial"/>
          <w:i/>
          <w:iCs/>
          <w:sz w:val="22"/>
          <w:szCs w:val="22"/>
        </w:rPr>
        <w:t xml:space="preserve"> VI of the Customs and Excise Act deals, amongst other things, with anti-dumping duties. Of importance, is that s 56(2) provides that the Minister of Finance may from time to time, by notice in the Gazette,  withdraw anti-dumping duties in accordance with the request from the minister. </w:t>
      </w:r>
    </w:p>
    <w:p w14:paraId="1B6A3E29" w14:textId="77777777" w:rsidR="000268DE" w:rsidRPr="000268DE" w:rsidRDefault="000268DE" w:rsidP="000E10F9">
      <w:pPr>
        <w:spacing w:line="360" w:lineRule="auto"/>
        <w:ind w:left="2552" w:hanging="851"/>
        <w:jc w:val="both"/>
        <w:rPr>
          <w:rFonts w:ascii="Arial" w:hAnsi="Arial" w:cs="Arial"/>
          <w:i/>
          <w:iCs/>
          <w:sz w:val="22"/>
          <w:szCs w:val="22"/>
        </w:rPr>
      </w:pPr>
    </w:p>
    <w:p w14:paraId="55DF5F91" w14:textId="27BF0EC8" w:rsidR="000268DE" w:rsidRPr="000268DE" w:rsidRDefault="000268DE" w:rsidP="000E10F9">
      <w:pPr>
        <w:spacing w:line="360" w:lineRule="auto"/>
        <w:ind w:left="2552" w:hanging="851"/>
        <w:jc w:val="both"/>
        <w:rPr>
          <w:rFonts w:ascii="Arial" w:hAnsi="Arial" w:cs="Arial"/>
          <w:i/>
          <w:iCs/>
          <w:sz w:val="22"/>
          <w:szCs w:val="22"/>
        </w:rPr>
      </w:pPr>
      <w:r w:rsidRPr="000268DE">
        <w:rPr>
          <w:rFonts w:ascii="Arial" w:hAnsi="Arial" w:cs="Arial"/>
          <w:i/>
          <w:iCs/>
          <w:sz w:val="22"/>
          <w:szCs w:val="22"/>
        </w:rPr>
        <w:t>[35]</w:t>
      </w:r>
      <w:r w:rsidRPr="000268DE">
        <w:rPr>
          <w:rFonts w:ascii="Arial" w:hAnsi="Arial" w:cs="Arial"/>
          <w:i/>
          <w:iCs/>
          <w:sz w:val="22"/>
          <w:szCs w:val="22"/>
        </w:rPr>
        <w:tab/>
        <w:t xml:space="preserve">It is now convenient to have a closer look at some of the applicable provisions of the Act. It defines 'anti-dumping' with a domestic tilt. 'Dumping' means the introduction of goods into the commerce of the Republic or the Common Customs Area at an export price less than the normal value of those goods. Much of the detailed provisions on anti-dumping are to be found in the Anti-dumping Regulations. Subpart IV of the regulations and, in particular, regs 53 – 59, provide for sunset reviews before the anti-dumping duties lapse.  </w:t>
      </w:r>
    </w:p>
    <w:p w14:paraId="7562321D" w14:textId="77777777" w:rsidR="000268DE" w:rsidRPr="000268DE" w:rsidRDefault="000268DE" w:rsidP="000268DE">
      <w:pPr>
        <w:spacing w:line="360" w:lineRule="auto"/>
        <w:ind w:left="1440" w:hanging="720"/>
        <w:jc w:val="both"/>
        <w:rPr>
          <w:rFonts w:ascii="Arial" w:hAnsi="Arial" w:cs="Arial"/>
          <w:i/>
          <w:iCs/>
          <w:sz w:val="22"/>
          <w:szCs w:val="22"/>
        </w:rPr>
      </w:pPr>
    </w:p>
    <w:p w14:paraId="532966B7" w14:textId="77777777" w:rsidR="000268DE" w:rsidRPr="000268DE" w:rsidRDefault="000268DE" w:rsidP="000E10F9">
      <w:pPr>
        <w:spacing w:line="360" w:lineRule="auto"/>
        <w:ind w:left="2552" w:hanging="851"/>
        <w:jc w:val="both"/>
        <w:rPr>
          <w:rFonts w:ascii="Arial" w:hAnsi="Arial" w:cs="Arial"/>
          <w:i/>
          <w:iCs/>
          <w:sz w:val="22"/>
          <w:szCs w:val="22"/>
        </w:rPr>
      </w:pPr>
      <w:r w:rsidRPr="000268DE">
        <w:rPr>
          <w:rFonts w:ascii="Arial" w:hAnsi="Arial" w:cs="Arial"/>
          <w:i/>
          <w:iCs/>
          <w:sz w:val="22"/>
          <w:szCs w:val="22"/>
        </w:rPr>
        <w:t xml:space="preserve">[36] </w:t>
      </w:r>
      <w:r w:rsidRPr="000268DE">
        <w:rPr>
          <w:rFonts w:ascii="Arial" w:hAnsi="Arial" w:cs="Arial"/>
          <w:i/>
          <w:iCs/>
          <w:sz w:val="22"/>
          <w:szCs w:val="22"/>
        </w:rPr>
        <w:tab/>
        <w:t xml:space="preserve">Absent a sunset review or a judicial review, the term of an anti-dumping duty is five years. That much all the litigants before us agree. This reading of the regulations is well supported by Article 11.3 of the Anti-dumping Agreement which provides in peremptory terms that any definitive anti-dumping duty 'shall' be terminated on </w:t>
      </w:r>
      <w:r w:rsidRPr="000268DE">
        <w:rPr>
          <w:rFonts w:ascii="Arial" w:hAnsi="Arial" w:cs="Arial"/>
          <w:i/>
          <w:iCs/>
          <w:sz w:val="22"/>
          <w:szCs w:val="22"/>
        </w:rPr>
        <w:lastRenderedPageBreak/>
        <w:t xml:space="preserve">a date not later than five years from its imposition. Also, Article 11.1 requires that E duties 'shall' remain in force only as long as and to the extent necessary to counteract injurious dumping. </w:t>
      </w:r>
    </w:p>
    <w:p w14:paraId="76564EC6" w14:textId="77777777" w:rsidR="000268DE" w:rsidRPr="000268DE" w:rsidRDefault="000268DE" w:rsidP="000E10F9">
      <w:pPr>
        <w:spacing w:line="360" w:lineRule="auto"/>
        <w:ind w:left="2552" w:hanging="851"/>
        <w:jc w:val="both"/>
        <w:rPr>
          <w:rFonts w:ascii="Arial" w:hAnsi="Arial" w:cs="Arial"/>
          <w:i/>
          <w:iCs/>
          <w:sz w:val="22"/>
          <w:szCs w:val="22"/>
        </w:rPr>
      </w:pPr>
    </w:p>
    <w:p w14:paraId="6818E907" w14:textId="76315E88" w:rsidR="000268DE" w:rsidRPr="000268DE" w:rsidRDefault="000268DE" w:rsidP="000E10F9">
      <w:pPr>
        <w:spacing w:line="360" w:lineRule="auto"/>
        <w:ind w:left="2552" w:hanging="851"/>
        <w:jc w:val="both"/>
        <w:rPr>
          <w:rFonts w:ascii="Arial" w:hAnsi="Arial" w:cs="Arial"/>
          <w:i/>
          <w:iCs/>
          <w:sz w:val="22"/>
          <w:szCs w:val="22"/>
        </w:rPr>
      </w:pPr>
      <w:r w:rsidRPr="000268DE">
        <w:rPr>
          <w:rFonts w:ascii="Arial" w:hAnsi="Arial" w:cs="Arial"/>
          <w:i/>
          <w:iCs/>
          <w:sz w:val="22"/>
          <w:szCs w:val="22"/>
        </w:rPr>
        <w:t xml:space="preserve">[37] </w:t>
      </w:r>
      <w:r w:rsidRPr="000268DE">
        <w:rPr>
          <w:rFonts w:ascii="Arial" w:hAnsi="Arial" w:cs="Arial"/>
          <w:i/>
          <w:iCs/>
          <w:sz w:val="22"/>
          <w:szCs w:val="22"/>
        </w:rPr>
        <w:tab/>
        <w:t xml:space="preserve">The Anti-dumping Regulations echo the related provisions of the Anti-dumping Agreement. Regulation 38.1 is emphatic that dumping duties 'lapse' after a </w:t>
      </w:r>
      <w:r w:rsidR="00A95337" w:rsidRPr="000268DE">
        <w:rPr>
          <w:rFonts w:ascii="Arial" w:hAnsi="Arial" w:cs="Arial"/>
          <w:i/>
          <w:iCs/>
          <w:sz w:val="22"/>
          <w:szCs w:val="22"/>
        </w:rPr>
        <w:t>five-year</w:t>
      </w:r>
      <w:r w:rsidRPr="000268DE">
        <w:rPr>
          <w:rFonts w:ascii="Arial" w:hAnsi="Arial" w:cs="Arial"/>
          <w:i/>
          <w:iCs/>
          <w:sz w:val="22"/>
          <w:szCs w:val="22"/>
        </w:rPr>
        <w:t xml:space="preserve"> period. Regulation 38.1 provides: 'Definitive anti-dumping duties will remain in place for a period of five years from the date of publication of the Commission's final recommendation unless otherwise specified or unless reviewed prior to the lapse of the </w:t>
      </w:r>
      <w:r w:rsidR="00A95337" w:rsidRPr="000268DE">
        <w:rPr>
          <w:rFonts w:ascii="Arial" w:hAnsi="Arial" w:cs="Arial"/>
          <w:i/>
          <w:iCs/>
          <w:sz w:val="22"/>
          <w:szCs w:val="22"/>
        </w:rPr>
        <w:t>five-year</w:t>
      </w:r>
      <w:r w:rsidRPr="000268DE">
        <w:rPr>
          <w:rFonts w:ascii="Arial" w:hAnsi="Arial" w:cs="Arial"/>
          <w:i/>
          <w:iCs/>
          <w:sz w:val="22"/>
          <w:szCs w:val="22"/>
        </w:rPr>
        <w:t xml:space="preserve"> period.' </w:t>
      </w:r>
    </w:p>
    <w:p w14:paraId="1EB0AF5A" w14:textId="77777777" w:rsidR="000268DE" w:rsidRPr="000268DE" w:rsidRDefault="000268DE" w:rsidP="000E10F9">
      <w:pPr>
        <w:spacing w:line="360" w:lineRule="auto"/>
        <w:ind w:left="2552" w:hanging="851"/>
        <w:jc w:val="both"/>
        <w:rPr>
          <w:rFonts w:ascii="Arial" w:hAnsi="Arial" w:cs="Arial"/>
          <w:i/>
          <w:iCs/>
          <w:sz w:val="22"/>
          <w:szCs w:val="22"/>
        </w:rPr>
      </w:pPr>
    </w:p>
    <w:p w14:paraId="7B43C232" w14:textId="20FA42D3" w:rsidR="000268DE" w:rsidRPr="000268DE" w:rsidRDefault="000268DE" w:rsidP="000E10F9">
      <w:pPr>
        <w:spacing w:line="360" w:lineRule="auto"/>
        <w:ind w:left="2552" w:hanging="851"/>
        <w:jc w:val="both"/>
        <w:rPr>
          <w:rFonts w:ascii="Arial" w:hAnsi="Arial" w:cs="Arial"/>
          <w:i/>
          <w:iCs/>
          <w:sz w:val="22"/>
          <w:szCs w:val="22"/>
        </w:rPr>
      </w:pPr>
      <w:r w:rsidRPr="000268DE">
        <w:rPr>
          <w:rFonts w:ascii="Arial" w:hAnsi="Arial" w:cs="Arial"/>
          <w:i/>
          <w:iCs/>
          <w:sz w:val="22"/>
          <w:szCs w:val="22"/>
        </w:rPr>
        <w:t xml:space="preserve">[38] </w:t>
      </w:r>
      <w:r w:rsidRPr="000268DE">
        <w:rPr>
          <w:rFonts w:ascii="Arial" w:hAnsi="Arial" w:cs="Arial"/>
          <w:i/>
          <w:iCs/>
          <w:sz w:val="22"/>
          <w:szCs w:val="22"/>
        </w:rPr>
        <w:tab/>
        <w:t xml:space="preserve">It is, however, so that the scheme of the Anti-dumping Agreement contemplates that if a sunset review is initiated before the date of expiry of the anti-dumping duty, it shall remain in force pending the outcome of that sunset review. Article 11.4 requires a sunset review to be carried out expeditiously and that it 'shall' normally be concluded within 12 months of the date of initiation. On the other hand, Article 5.10 makes plain that an investigation 'shall' be concluded within '1 year' and in no case more than '18 months' after its initiation. </w:t>
      </w:r>
    </w:p>
    <w:p w14:paraId="717DE256" w14:textId="77777777" w:rsidR="000268DE" w:rsidRPr="000268DE" w:rsidRDefault="000268DE" w:rsidP="000E10F9">
      <w:pPr>
        <w:spacing w:line="360" w:lineRule="auto"/>
        <w:ind w:left="2552" w:hanging="851"/>
        <w:jc w:val="both"/>
        <w:rPr>
          <w:rFonts w:ascii="Arial" w:hAnsi="Arial" w:cs="Arial"/>
          <w:i/>
          <w:iCs/>
          <w:sz w:val="22"/>
          <w:szCs w:val="22"/>
        </w:rPr>
      </w:pPr>
    </w:p>
    <w:p w14:paraId="0560E5EC" w14:textId="7988D5B6" w:rsidR="000268DE" w:rsidRPr="000268DE" w:rsidRDefault="000268DE" w:rsidP="000E10F9">
      <w:pPr>
        <w:spacing w:line="360" w:lineRule="auto"/>
        <w:ind w:left="2552" w:hanging="851"/>
        <w:jc w:val="both"/>
        <w:rPr>
          <w:rFonts w:ascii="Arial" w:hAnsi="Arial" w:cs="Arial"/>
          <w:i/>
          <w:iCs/>
          <w:sz w:val="22"/>
          <w:szCs w:val="22"/>
        </w:rPr>
      </w:pPr>
      <w:r w:rsidRPr="000268DE">
        <w:rPr>
          <w:rFonts w:ascii="Arial" w:hAnsi="Arial" w:cs="Arial"/>
          <w:i/>
          <w:iCs/>
          <w:sz w:val="22"/>
          <w:szCs w:val="22"/>
        </w:rPr>
        <w:t xml:space="preserve">[39] </w:t>
      </w:r>
      <w:r w:rsidRPr="000268DE">
        <w:rPr>
          <w:rFonts w:ascii="Arial" w:hAnsi="Arial" w:cs="Arial"/>
          <w:i/>
          <w:iCs/>
          <w:sz w:val="22"/>
          <w:szCs w:val="22"/>
        </w:rPr>
        <w:tab/>
        <w:t xml:space="preserve">The domestic regulations again echo the provisions of the Anti-dumping Agreement. Regulation 38.1 creates the caveat that the term of an anti-dumping duty may be extended if it is reviewed prior to the lapse of the </w:t>
      </w:r>
      <w:r w:rsidR="00A95337" w:rsidRPr="000268DE">
        <w:rPr>
          <w:rFonts w:ascii="Arial" w:hAnsi="Arial" w:cs="Arial"/>
          <w:i/>
          <w:iCs/>
          <w:sz w:val="22"/>
          <w:szCs w:val="22"/>
        </w:rPr>
        <w:t>five-year</w:t>
      </w:r>
      <w:r w:rsidRPr="000268DE">
        <w:rPr>
          <w:rFonts w:ascii="Arial" w:hAnsi="Arial" w:cs="Arial"/>
          <w:i/>
          <w:iCs/>
          <w:sz w:val="22"/>
          <w:szCs w:val="22"/>
        </w:rPr>
        <w:t xml:space="preserve"> period. This is again made clear by regs 53 and 54.1. In particular, reg 54.1 provides that the anti-dumping duty shall remain in force 'until the sunset review has been finalised', provided that the sunset review is initiated approximately six months before the lapse of the B anti-dumping duty. </w:t>
      </w:r>
    </w:p>
    <w:p w14:paraId="716138C4" w14:textId="77777777" w:rsidR="000268DE" w:rsidRPr="000268DE" w:rsidRDefault="000268DE" w:rsidP="000268DE">
      <w:pPr>
        <w:spacing w:line="360" w:lineRule="auto"/>
        <w:ind w:left="1440" w:hanging="720"/>
        <w:jc w:val="both"/>
        <w:rPr>
          <w:rFonts w:ascii="Arial" w:hAnsi="Arial" w:cs="Arial"/>
          <w:i/>
          <w:iCs/>
          <w:sz w:val="22"/>
          <w:szCs w:val="22"/>
        </w:rPr>
      </w:pPr>
    </w:p>
    <w:p w14:paraId="39CBB396" w14:textId="2B71D766" w:rsidR="000268DE" w:rsidRPr="000268DE" w:rsidRDefault="000268DE" w:rsidP="000E10F9">
      <w:pPr>
        <w:spacing w:line="360" w:lineRule="auto"/>
        <w:ind w:left="2552" w:hanging="851"/>
        <w:jc w:val="both"/>
        <w:rPr>
          <w:rFonts w:ascii="Arial" w:hAnsi="Arial" w:cs="Arial"/>
          <w:i/>
          <w:iCs/>
          <w:sz w:val="22"/>
          <w:szCs w:val="22"/>
        </w:rPr>
      </w:pPr>
      <w:r w:rsidRPr="000268DE">
        <w:rPr>
          <w:rFonts w:ascii="Arial" w:hAnsi="Arial" w:cs="Arial"/>
          <w:i/>
          <w:iCs/>
          <w:sz w:val="22"/>
          <w:szCs w:val="22"/>
        </w:rPr>
        <w:t xml:space="preserve">[40] </w:t>
      </w:r>
      <w:r w:rsidRPr="000268DE">
        <w:rPr>
          <w:rFonts w:ascii="Arial" w:hAnsi="Arial" w:cs="Arial"/>
          <w:i/>
          <w:iCs/>
          <w:sz w:val="22"/>
          <w:szCs w:val="22"/>
        </w:rPr>
        <w:tab/>
        <w:t xml:space="preserve">Regulation 20 provides that all investigations and reviews 'shall' be finalised within '18 months' after initiation.” </w:t>
      </w:r>
    </w:p>
    <w:p w14:paraId="16D23AA1" w14:textId="77777777" w:rsidR="006E111E" w:rsidRPr="000E10F9" w:rsidRDefault="006E111E" w:rsidP="000E10F9">
      <w:pPr>
        <w:spacing w:line="360" w:lineRule="auto"/>
        <w:jc w:val="both"/>
        <w:rPr>
          <w:rFonts w:ascii="Arial" w:hAnsi="Arial" w:cs="Arial"/>
          <w:color w:val="000000" w:themeColor="text1"/>
          <w:sz w:val="28"/>
          <w:szCs w:val="28"/>
        </w:rPr>
      </w:pPr>
    </w:p>
    <w:p w14:paraId="112C477B" w14:textId="510DEC88" w:rsidR="0025737D" w:rsidRPr="00995931" w:rsidRDefault="00995931" w:rsidP="00995931">
      <w:pPr>
        <w:spacing w:line="360" w:lineRule="auto"/>
        <w:ind w:left="851" w:hanging="851"/>
        <w:jc w:val="both"/>
        <w:rPr>
          <w:rFonts w:ascii="Arial" w:hAnsi="Arial" w:cs="Arial"/>
          <w:color w:val="000000" w:themeColor="text1"/>
        </w:rPr>
      </w:pPr>
      <w:r w:rsidRPr="00846A80">
        <w:rPr>
          <w:rFonts w:ascii="Arial" w:hAnsi="Arial" w:cs="Arial"/>
          <w:color w:val="000000" w:themeColor="text1"/>
        </w:rPr>
        <w:t>[8].</w:t>
      </w:r>
      <w:r w:rsidRPr="00846A80">
        <w:rPr>
          <w:rFonts w:ascii="Arial" w:hAnsi="Arial" w:cs="Arial"/>
          <w:color w:val="000000" w:themeColor="text1"/>
        </w:rPr>
        <w:tab/>
      </w:r>
      <w:r w:rsidR="008C633E" w:rsidRPr="00995931">
        <w:rPr>
          <w:rFonts w:ascii="Arial" w:hAnsi="Arial" w:cs="Arial"/>
          <w:color w:val="000000" w:themeColor="text1"/>
        </w:rPr>
        <w:t>Turning now to the present application.</w:t>
      </w:r>
      <w:r w:rsidR="000A11AD" w:rsidRPr="00995931">
        <w:rPr>
          <w:rFonts w:ascii="Arial" w:hAnsi="Arial" w:cs="Arial"/>
          <w:color w:val="000000" w:themeColor="text1"/>
        </w:rPr>
        <w:t xml:space="preserve"> On 21 June 2013 </w:t>
      </w:r>
      <w:r w:rsidR="00B13443" w:rsidRPr="00995931">
        <w:rPr>
          <w:rFonts w:ascii="Arial" w:hAnsi="Arial" w:cs="Arial"/>
          <w:color w:val="000000" w:themeColor="text1"/>
        </w:rPr>
        <w:t>ITAC</w:t>
      </w:r>
      <w:r w:rsidR="000A11AD" w:rsidRPr="00995931">
        <w:rPr>
          <w:rFonts w:ascii="Arial" w:hAnsi="Arial" w:cs="Arial"/>
          <w:color w:val="000000" w:themeColor="text1"/>
        </w:rPr>
        <w:t xml:space="preserve"> began an investigation into the dumping of soda ash imported from the USA </w:t>
      </w:r>
      <w:r w:rsidR="009D376F" w:rsidRPr="00995931">
        <w:rPr>
          <w:rFonts w:ascii="Arial" w:hAnsi="Arial" w:cs="Arial"/>
          <w:color w:val="000000" w:themeColor="text1"/>
        </w:rPr>
        <w:t>i</w:t>
      </w:r>
      <w:r w:rsidR="000A11AD" w:rsidRPr="00995931">
        <w:rPr>
          <w:rFonts w:ascii="Arial" w:hAnsi="Arial" w:cs="Arial"/>
          <w:color w:val="000000" w:themeColor="text1"/>
        </w:rPr>
        <w:t>nto</w:t>
      </w:r>
      <w:r w:rsidR="006746BF" w:rsidRPr="00995931">
        <w:rPr>
          <w:rFonts w:ascii="Arial" w:hAnsi="Arial" w:cs="Arial"/>
          <w:color w:val="000000" w:themeColor="text1"/>
        </w:rPr>
        <w:t xml:space="preserve"> the </w:t>
      </w:r>
      <w:r w:rsidR="00A95337" w:rsidRPr="00995931">
        <w:rPr>
          <w:rFonts w:ascii="Arial" w:hAnsi="Arial" w:cs="Arial"/>
          <w:color w:val="000000" w:themeColor="text1"/>
        </w:rPr>
        <w:t>Southern African</w:t>
      </w:r>
      <w:r w:rsidR="009D376F" w:rsidRPr="00995931">
        <w:rPr>
          <w:rFonts w:ascii="Arial" w:hAnsi="Arial" w:cs="Arial"/>
          <w:color w:val="000000" w:themeColor="text1"/>
        </w:rPr>
        <w:t xml:space="preserve"> Common Customs Area (SAC</w:t>
      </w:r>
      <w:r w:rsidR="00202A41" w:rsidRPr="00995931">
        <w:rPr>
          <w:rFonts w:ascii="Arial" w:hAnsi="Arial" w:cs="Arial"/>
          <w:color w:val="000000" w:themeColor="text1"/>
        </w:rPr>
        <w:t>U</w:t>
      </w:r>
      <w:r w:rsidR="009D376F" w:rsidRPr="00995931">
        <w:rPr>
          <w:rFonts w:ascii="Arial" w:hAnsi="Arial" w:cs="Arial"/>
          <w:color w:val="000000" w:themeColor="text1"/>
        </w:rPr>
        <w:t>)</w:t>
      </w:r>
      <w:r w:rsidR="006746BF" w:rsidRPr="00995931">
        <w:rPr>
          <w:rFonts w:ascii="Arial" w:hAnsi="Arial" w:cs="Arial"/>
          <w:color w:val="000000" w:themeColor="text1"/>
        </w:rPr>
        <w:t xml:space="preserve">. In consequence of the investigation, with which </w:t>
      </w:r>
      <w:r w:rsidR="00B13443" w:rsidRPr="00995931">
        <w:rPr>
          <w:rFonts w:ascii="Arial" w:hAnsi="Arial" w:cs="Arial"/>
          <w:color w:val="000000" w:themeColor="text1"/>
        </w:rPr>
        <w:t>TATA</w:t>
      </w:r>
      <w:r w:rsidR="006746BF" w:rsidRPr="00995931">
        <w:rPr>
          <w:rFonts w:ascii="Arial" w:hAnsi="Arial" w:cs="Arial"/>
          <w:color w:val="000000" w:themeColor="text1"/>
        </w:rPr>
        <w:t xml:space="preserve"> co</w:t>
      </w:r>
      <w:r w:rsidR="00361C33" w:rsidRPr="00995931">
        <w:rPr>
          <w:rFonts w:ascii="Arial" w:hAnsi="Arial" w:cs="Arial"/>
          <w:color w:val="000000" w:themeColor="text1"/>
        </w:rPr>
        <w:t>-</w:t>
      </w:r>
      <w:r w:rsidR="006746BF" w:rsidRPr="00995931">
        <w:rPr>
          <w:rFonts w:ascii="Arial" w:hAnsi="Arial" w:cs="Arial"/>
          <w:color w:val="000000" w:themeColor="text1"/>
        </w:rPr>
        <w:t xml:space="preserve">operated, provisional duties were imposed </w:t>
      </w:r>
      <w:r w:rsidR="006746BF" w:rsidRPr="00995931">
        <w:rPr>
          <w:rFonts w:ascii="Arial" w:hAnsi="Arial" w:cs="Arial"/>
          <w:color w:val="000000" w:themeColor="text1"/>
        </w:rPr>
        <w:lastRenderedPageBreak/>
        <w:t>from 20 December 2013. The rate at which the provisional duties were imposed was variable. For those importers who had co</w:t>
      </w:r>
      <w:r w:rsidR="00361C33" w:rsidRPr="00995931">
        <w:rPr>
          <w:rFonts w:ascii="Arial" w:hAnsi="Arial" w:cs="Arial"/>
          <w:color w:val="000000" w:themeColor="text1"/>
        </w:rPr>
        <w:t>-</w:t>
      </w:r>
      <w:r w:rsidR="006746BF" w:rsidRPr="00995931">
        <w:rPr>
          <w:rFonts w:ascii="Arial" w:hAnsi="Arial" w:cs="Arial"/>
          <w:color w:val="000000" w:themeColor="text1"/>
        </w:rPr>
        <w:t xml:space="preserve">operated with </w:t>
      </w:r>
      <w:r w:rsidR="00B13443" w:rsidRPr="00995931">
        <w:rPr>
          <w:rFonts w:ascii="Arial" w:hAnsi="Arial" w:cs="Arial"/>
          <w:color w:val="000000" w:themeColor="text1"/>
        </w:rPr>
        <w:t>ITAC</w:t>
      </w:r>
      <w:r w:rsidR="006746BF" w:rsidRPr="00995931">
        <w:rPr>
          <w:rFonts w:ascii="Arial" w:hAnsi="Arial" w:cs="Arial"/>
          <w:color w:val="000000" w:themeColor="text1"/>
        </w:rPr>
        <w:t xml:space="preserve">, a lower ‘company specific’ duty was imposed. In the case of </w:t>
      </w:r>
      <w:r w:rsidR="00B13443" w:rsidRPr="00995931">
        <w:rPr>
          <w:rFonts w:ascii="Arial" w:hAnsi="Arial" w:cs="Arial"/>
          <w:color w:val="000000" w:themeColor="text1"/>
        </w:rPr>
        <w:t>TATA</w:t>
      </w:r>
      <w:r w:rsidR="006746BF" w:rsidRPr="00995931">
        <w:rPr>
          <w:rFonts w:ascii="Arial" w:hAnsi="Arial" w:cs="Arial"/>
          <w:color w:val="000000" w:themeColor="text1"/>
        </w:rPr>
        <w:t xml:space="preserve"> this was 8%</w:t>
      </w:r>
      <w:r w:rsidR="00361C33" w:rsidRPr="00995931">
        <w:rPr>
          <w:rFonts w:ascii="Arial" w:hAnsi="Arial" w:cs="Arial"/>
          <w:color w:val="000000" w:themeColor="text1"/>
        </w:rPr>
        <w:t>.</w:t>
      </w:r>
      <w:r w:rsidR="006746BF">
        <w:rPr>
          <w:rStyle w:val="FootnoteReference"/>
          <w:rFonts w:ascii="Arial" w:hAnsi="Arial" w:cs="Arial"/>
          <w:color w:val="000000" w:themeColor="text1"/>
        </w:rPr>
        <w:footnoteReference w:id="9"/>
      </w:r>
      <w:r w:rsidR="00AF698F" w:rsidRPr="00995931">
        <w:rPr>
          <w:rFonts w:ascii="Arial" w:hAnsi="Arial" w:cs="Arial"/>
          <w:color w:val="000000" w:themeColor="text1"/>
        </w:rPr>
        <w:t xml:space="preserve"> For those companies that did not co</w:t>
      </w:r>
      <w:r w:rsidR="00361C33" w:rsidRPr="00995931">
        <w:rPr>
          <w:rFonts w:ascii="Arial" w:hAnsi="Arial" w:cs="Arial"/>
          <w:color w:val="000000" w:themeColor="text1"/>
        </w:rPr>
        <w:t>-</w:t>
      </w:r>
      <w:r w:rsidR="00AF698F" w:rsidRPr="00995931">
        <w:rPr>
          <w:rFonts w:ascii="Arial" w:hAnsi="Arial" w:cs="Arial"/>
          <w:color w:val="000000" w:themeColor="text1"/>
        </w:rPr>
        <w:t xml:space="preserve">operate with </w:t>
      </w:r>
      <w:r w:rsidR="00B13443" w:rsidRPr="00995931">
        <w:rPr>
          <w:rFonts w:ascii="Arial" w:hAnsi="Arial" w:cs="Arial"/>
          <w:color w:val="000000" w:themeColor="text1"/>
        </w:rPr>
        <w:t>ITAC</w:t>
      </w:r>
      <w:r w:rsidR="00AF698F" w:rsidRPr="00995931">
        <w:rPr>
          <w:rFonts w:ascii="Arial" w:hAnsi="Arial" w:cs="Arial"/>
          <w:color w:val="000000" w:themeColor="text1"/>
        </w:rPr>
        <w:t>, a residual duty of 40% was imposed.</w:t>
      </w:r>
    </w:p>
    <w:p w14:paraId="42D8019F" w14:textId="77777777" w:rsidR="002133E4" w:rsidRDefault="002133E4" w:rsidP="00AF698F">
      <w:pPr>
        <w:pStyle w:val="ListParagraph"/>
        <w:spacing w:line="360" w:lineRule="auto"/>
        <w:ind w:left="900"/>
        <w:jc w:val="both"/>
        <w:rPr>
          <w:rFonts w:ascii="Arial" w:hAnsi="Arial" w:cs="Arial"/>
          <w:color w:val="000000" w:themeColor="text1"/>
        </w:rPr>
      </w:pPr>
    </w:p>
    <w:p w14:paraId="4F1BFAD9" w14:textId="6AA98F45" w:rsidR="00846A80" w:rsidRPr="00995931" w:rsidRDefault="00995931" w:rsidP="00995931">
      <w:pPr>
        <w:spacing w:line="360" w:lineRule="auto"/>
        <w:ind w:left="851" w:hanging="851"/>
        <w:jc w:val="both"/>
        <w:rPr>
          <w:rFonts w:ascii="Arial" w:hAnsi="Arial" w:cs="Arial"/>
          <w:color w:val="000000" w:themeColor="text1"/>
        </w:rPr>
      </w:pPr>
      <w:r>
        <w:rPr>
          <w:rFonts w:ascii="Arial" w:hAnsi="Arial" w:cs="Arial"/>
          <w:color w:val="000000" w:themeColor="text1"/>
        </w:rPr>
        <w:t>[9].</w:t>
      </w:r>
      <w:r>
        <w:rPr>
          <w:rFonts w:ascii="Arial" w:hAnsi="Arial" w:cs="Arial"/>
          <w:color w:val="000000" w:themeColor="text1"/>
        </w:rPr>
        <w:tab/>
      </w:r>
      <w:r w:rsidR="00127014" w:rsidRPr="00995931">
        <w:rPr>
          <w:rFonts w:ascii="Arial" w:hAnsi="Arial" w:cs="Arial"/>
          <w:color w:val="000000" w:themeColor="text1"/>
        </w:rPr>
        <w:t>Provisional duties are imposed by the Minister of Finance</w:t>
      </w:r>
      <w:r w:rsidR="00E9116C" w:rsidRPr="00995931">
        <w:rPr>
          <w:rFonts w:ascii="Arial" w:hAnsi="Arial" w:cs="Arial"/>
          <w:color w:val="000000" w:themeColor="text1"/>
        </w:rPr>
        <w:t xml:space="preserve"> acting in terms of the Customs Act</w:t>
      </w:r>
      <w:r w:rsidR="0032736C" w:rsidRPr="00995931">
        <w:rPr>
          <w:rFonts w:ascii="Arial" w:hAnsi="Arial" w:cs="Arial"/>
          <w:color w:val="000000" w:themeColor="text1"/>
        </w:rPr>
        <w:t>.</w:t>
      </w:r>
      <w:r w:rsidR="00E9116C">
        <w:rPr>
          <w:rStyle w:val="FootnoteReference"/>
          <w:rFonts w:ascii="Arial" w:hAnsi="Arial" w:cs="Arial"/>
          <w:color w:val="000000" w:themeColor="text1"/>
        </w:rPr>
        <w:footnoteReference w:id="10"/>
      </w:r>
      <w:r w:rsidR="00E9116C" w:rsidRPr="00995931">
        <w:rPr>
          <w:rFonts w:ascii="Arial" w:hAnsi="Arial" w:cs="Arial"/>
          <w:color w:val="000000" w:themeColor="text1"/>
        </w:rPr>
        <w:t xml:space="preserve">  In terms of Section 57A, the Commissioner for the South African Revenue Services “may impose a provisional payment” upon request by </w:t>
      </w:r>
      <w:r w:rsidR="00B13443" w:rsidRPr="00995931">
        <w:rPr>
          <w:rFonts w:ascii="Arial" w:hAnsi="Arial" w:cs="Arial"/>
          <w:color w:val="000000" w:themeColor="text1"/>
        </w:rPr>
        <w:t>ITAC</w:t>
      </w:r>
      <w:r w:rsidR="00E9116C" w:rsidRPr="00995931">
        <w:rPr>
          <w:rFonts w:ascii="Arial" w:hAnsi="Arial" w:cs="Arial"/>
          <w:color w:val="000000" w:themeColor="text1"/>
        </w:rPr>
        <w:t>.  A provisional payment may only be imposed once an investigation has been initiated into the necessity of the imposition of a definitive anti-dumping duty.  The payment of provisional duties is made entirely without prejudice in that if no duty is subsequently imposed, the provisional payment is refundable</w:t>
      </w:r>
      <w:r w:rsidR="00E9116C">
        <w:rPr>
          <w:rStyle w:val="FootnoteReference"/>
          <w:rFonts w:ascii="Arial" w:hAnsi="Arial" w:cs="Arial"/>
          <w:color w:val="000000" w:themeColor="text1"/>
        </w:rPr>
        <w:footnoteReference w:id="11"/>
      </w:r>
      <w:r w:rsidR="00E9116C" w:rsidRPr="00995931">
        <w:rPr>
          <w:rFonts w:ascii="Arial" w:hAnsi="Arial" w:cs="Arial"/>
          <w:color w:val="000000" w:themeColor="text1"/>
        </w:rPr>
        <w:t xml:space="preserve"> or, if a duty is imposed retrospectively and is higher than the provisional amount which has been paid, then there is no obligation to pay the higher amount.</w:t>
      </w:r>
      <w:r w:rsidR="00E9116C">
        <w:rPr>
          <w:rStyle w:val="FootnoteReference"/>
          <w:rFonts w:ascii="Arial" w:hAnsi="Arial" w:cs="Arial"/>
          <w:color w:val="000000" w:themeColor="text1"/>
        </w:rPr>
        <w:footnoteReference w:id="12"/>
      </w:r>
      <w:r w:rsidR="00E9116C" w:rsidRPr="00995931">
        <w:rPr>
          <w:rFonts w:ascii="Arial" w:hAnsi="Arial" w:cs="Arial"/>
          <w:color w:val="000000" w:themeColor="text1"/>
        </w:rPr>
        <w:t xml:space="preserve"> </w:t>
      </w:r>
    </w:p>
    <w:p w14:paraId="7F734533" w14:textId="77777777" w:rsidR="00846A80" w:rsidRPr="00846A80" w:rsidRDefault="00846A80" w:rsidP="00846A80">
      <w:pPr>
        <w:pStyle w:val="ListParagraph"/>
        <w:rPr>
          <w:rFonts w:ascii="Arial" w:hAnsi="Arial" w:cs="Arial"/>
          <w:color w:val="000000" w:themeColor="text1"/>
        </w:rPr>
      </w:pPr>
    </w:p>
    <w:p w14:paraId="04ED3CC7" w14:textId="0E2E298F" w:rsidR="00127014" w:rsidRPr="00995931" w:rsidRDefault="00995931" w:rsidP="00995931">
      <w:pPr>
        <w:spacing w:line="360" w:lineRule="auto"/>
        <w:ind w:left="900" w:hanging="900"/>
        <w:jc w:val="both"/>
        <w:rPr>
          <w:rFonts w:ascii="Arial" w:hAnsi="Arial" w:cs="Arial"/>
          <w:color w:val="000000" w:themeColor="text1"/>
        </w:rPr>
      </w:pPr>
      <w:r>
        <w:rPr>
          <w:rFonts w:ascii="Arial" w:hAnsi="Arial" w:cs="Arial"/>
          <w:color w:val="000000" w:themeColor="text1"/>
        </w:rPr>
        <w:t>[10].</w:t>
      </w:r>
      <w:r>
        <w:rPr>
          <w:rFonts w:ascii="Arial" w:hAnsi="Arial" w:cs="Arial"/>
          <w:color w:val="000000" w:themeColor="text1"/>
        </w:rPr>
        <w:tab/>
      </w:r>
      <w:r w:rsidR="00E9116C" w:rsidRPr="00995931">
        <w:rPr>
          <w:rFonts w:ascii="Arial" w:hAnsi="Arial" w:cs="Arial"/>
          <w:color w:val="000000" w:themeColor="text1"/>
        </w:rPr>
        <w:t xml:space="preserve">The </w:t>
      </w:r>
      <w:r w:rsidR="0006138E" w:rsidRPr="00995931">
        <w:rPr>
          <w:rFonts w:ascii="Arial" w:hAnsi="Arial" w:cs="Arial"/>
          <w:color w:val="000000" w:themeColor="text1"/>
        </w:rPr>
        <w:t>payment of the provisional</w:t>
      </w:r>
      <w:r w:rsidR="001F7197" w:rsidRPr="00995931">
        <w:rPr>
          <w:rFonts w:ascii="Arial" w:hAnsi="Arial" w:cs="Arial"/>
          <w:color w:val="000000" w:themeColor="text1"/>
        </w:rPr>
        <w:t xml:space="preserve"> amount is “as security”</w:t>
      </w:r>
      <w:r w:rsidR="001F7197">
        <w:rPr>
          <w:rStyle w:val="FootnoteReference"/>
          <w:rFonts w:ascii="Arial" w:hAnsi="Arial" w:cs="Arial"/>
          <w:color w:val="000000" w:themeColor="text1"/>
        </w:rPr>
        <w:footnoteReference w:id="13"/>
      </w:r>
      <w:r w:rsidR="001F7197" w:rsidRPr="00995931">
        <w:rPr>
          <w:rFonts w:ascii="Arial" w:hAnsi="Arial" w:cs="Arial"/>
          <w:color w:val="000000" w:themeColor="text1"/>
        </w:rPr>
        <w:t xml:space="preserve"> and depending upon the particular circumstances, will not necessarily equal the definitive anti-dumping duty imposed.  </w:t>
      </w:r>
      <w:r w:rsidR="002D3D78" w:rsidRPr="00995931">
        <w:rPr>
          <w:rFonts w:ascii="Arial" w:hAnsi="Arial" w:cs="Arial"/>
          <w:color w:val="000000" w:themeColor="text1"/>
        </w:rPr>
        <w:t>If</w:t>
      </w:r>
      <w:r w:rsidR="001F7197" w:rsidRPr="00995931">
        <w:rPr>
          <w:rFonts w:ascii="Arial" w:hAnsi="Arial" w:cs="Arial"/>
          <w:color w:val="000000" w:themeColor="text1"/>
        </w:rPr>
        <w:t xml:space="preserve"> the final duty is greater than the amount of the provisional duty, the obligation to pay </w:t>
      </w:r>
      <w:r w:rsidR="00F81010" w:rsidRPr="00995931">
        <w:rPr>
          <w:rFonts w:ascii="Arial" w:hAnsi="Arial" w:cs="Arial"/>
          <w:color w:val="000000" w:themeColor="text1"/>
        </w:rPr>
        <w:t xml:space="preserve">for the period that the duty was provisional </w:t>
      </w:r>
      <w:r w:rsidR="001F7197" w:rsidRPr="00995931">
        <w:rPr>
          <w:rFonts w:ascii="Arial" w:hAnsi="Arial" w:cs="Arial"/>
          <w:color w:val="000000" w:themeColor="text1"/>
        </w:rPr>
        <w:t>would only be for the lesser amount actually paid</w:t>
      </w:r>
      <w:r w:rsidR="00F81010" w:rsidRPr="00995931">
        <w:rPr>
          <w:rFonts w:ascii="Arial" w:hAnsi="Arial" w:cs="Arial"/>
          <w:color w:val="000000" w:themeColor="text1"/>
        </w:rPr>
        <w:t>.</w:t>
      </w:r>
    </w:p>
    <w:p w14:paraId="7B6F9D8B" w14:textId="03FBE50C" w:rsidR="00322D7D" w:rsidRPr="002E1F5F" w:rsidRDefault="00322D7D" w:rsidP="002E1F5F">
      <w:pPr>
        <w:rPr>
          <w:rFonts w:ascii="Arial" w:hAnsi="Arial" w:cs="Arial"/>
          <w:color w:val="000000" w:themeColor="text1"/>
        </w:rPr>
      </w:pPr>
    </w:p>
    <w:p w14:paraId="718EA119" w14:textId="77777777" w:rsidR="00322D7D" w:rsidRPr="00127014" w:rsidRDefault="00322D7D" w:rsidP="00127014">
      <w:pPr>
        <w:pStyle w:val="ListParagraph"/>
        <w:rPr>
          <w:rFonts w:ascii="Arial" w:hAnsi="Arial" w:cs="Arial"/>
          <w:color w:val="000000" w:themeColor="text1"/>
        </w:rPr>
      </w:pPr>
    </w:p>
    <w:p w14:paraId="1EB99576" w14:textId="2018FA2D" w:rsidR="008D2675" w:rsidRPr="00995931" w:rsidRDefault="00995931" w:rsidP="00995931">
      <w:pPr>
        <w:spacing w:line="360" w:lineRule="auto"/>
        <w:ind w:left="900" w:hanging="900"/>
        <w:jc w:val="both"/>
        <w:rPr>
          <w:rFonts w:ascii="Arial" w:hAnsi="Arial" w:cs="Arial"/>
          <w:color w:val="000000" w:themeColor="text1"/>
        </w:rPr>
      </w:pPr>
      <w:r>
        <w:rPr>
          <w:rFonts w:ascii="Arial" w:hAnsi="Arial" w:cs="Arial"/>
          <w:color w:val="000000" w:themeColor="text1"/>
        </w:rPr>
        <w:lastRenderedPageBreak/>
        <w:t>[11].</w:t>
      </w:r>
      <w:r>
        <w:rPr>
          <w:rFonts w:ascii="Arial" w:hAnsi="Arial" w:cs="Arial"/>
          <w:color w:val="000000" w:themeColor="text1"/>
        </w:rPr>
        <w:tab/>
      </w:r>
      <w:r w:rsidR="00160231" w:rsidRPr="00995931">
        <w:rPr>
          <w:rFonts w:ascii="Arial" w:hAnsi="Arial" w:cs="Arial"/>
          <w:color w:val="000000" w:themeColor="text1"/>
        </w:rPr>
        <w:t>On</w:t>
      </w:r>
      <w:r w:rsidR="002A75C3" w:rsidRPr="00995931">
        <w:rPr>
          <w:rFonts w:ascii="Arial" w:hAnsi="Arial" w:cs="Arial"/>
          <w:color w:val="000000" w:themeColor="text1"/>
        </w:rPr>
        <w:t xml:space="preserve"> </w:t>
      </w:r>
      <w:r w:rsidR="00160231" w:rsidRPr="00995931">
        <w:rPr>
          <w:rFonts w:ascii="Arial" w:hAnsi="Arial" w:cs="Arial"/>
          <w:color w:val="000000" w:themeColor="text1"/>
        </w:rPr>
        <w:t>19 June 2014, the provisional duties</w:t>
      </w:r>
      <w:r w:rsidR="009B0113" w:rsidRPr="00995931">
        <w:rPr>
          <w:rFonts w:ascii="Arial" w:hAnsi="Arial" w:cs="Arial"/>
          <w:color w:val="000000" w:themeColor="text1"/>
        </w:rPr>
        <w:t>, both company specific and residual,</w:t>
      </w:r>
      <w:r w:rsidR="00160231" w:rsidRPr="00995931">
        <w:rPr>
          <w:rFonts w:ascii="Arial" w:hAnsi="Arial" w:cs="Arial"/>
          <w:color w:val="000000" w:themeColor="text1"/>
        </w:rPr>
        <w:t xml:space="preserve"> were confirmed as definitive anti-dumping duties.</w:t>
      </w:r>
      <w:r w:rsidR="00160231">
        <w:rPr>
          <w:rStyle w:val="FootnoteReference"/>
          <w:rFonts w:ascii="Arial" w:hAnsi="Arial" w:cs="Arial"/>
          <w:color w:val="000000" w:themeColor="text1"/>
        </w:rPr>
        <w:footnoteReference w:id="14"/>
      </w:r>
      <w:r w:rsidR="00D04376" w:rsidRPr="00995931">
        <w:rPr>
          <w:rFonts w:ascii="Arial" w:hAnsi="Arial" w:cs="Arial"/>
          <w:color w:val="000000" w:themeColor="text1"/>
        </w:rPr>
        <w:t xml:space="preserve"> </w:t>
      </w:r>
      <w:r w:rsidR="00860F1C" w:rsidRPr="00995931">
        <w:rPr>
          <w:rFonts w:ascii="Arial" w:hAnsi="Arial" w:cs="Arial"/>
          <w:color w:val="000000" w:themeColor="text1"/>
        </w:rPr>
        <w:t>The period for which the duties applied was 5 years.</w:t>
      </w:r>
      <w:r w:rsidR="00860F1C">
        <w:rPr>
          <w:rStyle w:val="FootnoteReference"/>
          <w:rFonts w:ascii="Arial" w:hAnsi="Arial" w:cs="Arial"/>
          <w:color w:val="000000" w:themeColor="text1"/>
        </w:rPr>
        <w:footnoteReference w:id="15"/>
      </w:r>
    </w:p>
    <w:p w14:paraId="190C4F17" w14:textId="0842E86C" w:rsidR="0078301E" w:rsidRDefault="0078301E" w:rsidP="002E1F5F">
      <w:pPr>
        <w:rPr>
          <w:rFonts w:ascii="Arial" w:hAnsi="Arial" w:cs="Arial"/>
          <w:color w:val="000000" w:themeColor="text1"/>
        </w:rPr>
      </w:pPr>
    </w:p>
    <w:p w14:paraId="09DB1A28" w14:textId="77777777" w:rsidR="0078301E" w:rsidRPr="002E1F5F" w:rsidRDefault="0078301E" w:rsidP="002E1F5F">
      <w:pPr>
        <w:rPr>
          <w:rFonts w:ascii="Arial" w:hAnsi="Arial" w:cs="Arial"/>
          <w:color w:val="000000" w:themeColor="text1"/>
        </w:rPr>
      </w:pPr>
    </w:p>
    <w:p w14:paraId="13D60143" w14:textId="6AAB048B" w:rsidR="00672288" w:rsidRPr="00995931" w:rsidRDefault="00995931" w:rsidP="00995931">
      <w:pPr>
        <w:spacing w:line="360" w:lineRule="auto"/>
        <w:ind w:left="900" w:hanging="900"/>
        <w:jc w:val="both"/>
        <w:rPr>
          <w:rFonts w:ascii="Arial" w:hAnsi="Arial" w:cs="Arial"/>
          <w:b/>
          <w:bCs/>
          <w:color w:val="000000" w:themeColor="text1"/>
          <w:sz w:val="28"/>
          <w:szCs w:val="28"/>
        </w:rPr>
      </w:pPr>
      <w:r w:rsidRPr="00672288">
        <w:rPr>
          <w:rFonts w:ascii="Arial" w:hAnsi="Arial" w:cs="Arial"/>
          <w:color w:val="000000" w:themeColor="text1"/>
        </w:rPr>
        <w:t>[12].</w:t>
      </w:r>
      <w:r w:rsidRPr="00672288">
        <w:rPr>
          <w:rFonts w:ascii="Arial" w:hAnsi="Arial" w:cs="Arial"/>
          <w:color w:val="000000" w:themeColor="text1"/>
        </w:rPr>
        <w:tab/>
      </w:r>
      <w:r w:rsidR="008D2675" w:rsidRPr="00995931">
        <w:rPr>
          <w:rFonts w:ascii="Arial" w:hAnsi="Arial" w:cs="Arial"/>
          <w:color w:val="000000" w:themeColor="text1"/>
        </w:rPr>
        <w:t>Thereafter, on</w:t>
      </w:r>
      <w:r w:rsidR="00672288" w:rsidRPr="00995931">
        <w:rPr>
          <w:rFonts w:ascii="Arial" w:hAnsi="Arial" w:cs="Arial"/>
          <w:color w:val="000000" w:themeColor="text1"/>
        </w:rPr>
        <w:t xml:space="preserve"> 25 May 2018, </w:t>
      </w:r>
      <w:r w:rsidR="00B13443" w:rsidRPr="00995931">
        <w:rPr>
          <w:rFonts w:ascii="Arial" w:hAnsi="Arial" w:cs="Arial"/>
          <w:color w:val="000000" w:themeColor="text1"/>
        </w:rPr>
        <w:t>ITAC</w:t>
      </w:r>
      <w:r w:rsidR="00672288" w:rsidRPr="00995931">
        <w:rPr>
          <w:rFonts w:ascii="Arial" w:hAnsi="Arial" w:cs="Arial"/>
          <w:color w:val="000000" w:themeColor="text1"/>
        </w:rPr>
        <w:t xml:space="preserve"> gave notice to interested parties that unless a substantiated request was made indicating the necessity for maintaining the anti-dumping dut</w:t>
      </w:r>
      <w:r w:rsidR="002D3D78" w:rsidRPr="00995931">
        <w:rPr>
          <w:rFonts w:ascii="Arial" w:hAnsi="Arial" w:cs="Arial"/>
          <w:color w:val="000000" w:themeColor="text1"/>
        </w:rPr>
        <w:t>ies</w:t>
      </w:r>
      <w:r w:rsidR="00672288" w:rsidRPr="00995931">
        <w:rPr>
          <w:rFonts w:ascii="Arial" w:hAnsi="Arial" w:cs="Arial"/>
          <w:color w:val="000000" w:themeColor="text1"/>
        </w:rPr>
        <w:t xml:space="preserve"> on the importation of soda</w:t>
      </w:r>
      <w:r w:rsidR="003120FA" w:rsidRPr="00995931">
        <w:rPr>
          <w:rFonts w:ascii="Arial" w:hAnsi="Arial" w:cs="Arial"/>
          <w:color w:val="000000" w:themeColor="text1"/>
        </w:rPr>
        <w:t xml:space="preserve"> </w:t>
      </w:r>
      <w:r w:rsidR="00672288" w:rsidRPr="00995931">
        <w:rPr>
          <w:rFonts w:ascii="Arial" w:hAnsi="Arial" w:cs="Arial"/>
          <w:color w:val="000000" w:themeColor="text1"/>
        </w:rPr>
        <w:t>ash, the dut</w:t>
      </w:r>
      <w:r w:rsidR="002D3D78" w:rsidRPr="00995931">
        <w:rPr>
          <w:rFonts w:ascii="Arial" w:hAnsi="Arial" w:cs="Arial"/>
          <w:color w:val="000000" w:themeColor="text1"/>
        </w:rPr>
        <w:t>ies</w:t>
      </w:r>
      <w:r w:rsidR="00672288" w:rsidRPr="00995931">
        <w:rPr>
          <w:rFonts w:ascii="Arial" w:hAnsi="Arial" w:cs="Arial"/>
          <w:color w:val="000000" w:themeColor="text1"/>
        </w:rPr>
        <w:t xml:space="preserve"> would expire on 18 June 2019.  Subsequently, </w:t>
      </w:r>
      <w:r w:rsidR="00B13443" w:rsidRPr="00995931">
        <w:rPr>
          <w:rFonts w:ascii="Arial" w:hAnsi="Arial" w:cs="Arial"/>
          <w:color w:val="000000" w:themeColor="text1"/>
        </w:rPr>
        <w:t>BOTASH</w:t>
      </w:r>
      <w:r w:rsidR="00672288" w:rsidRPr="00995931">
        <w:rPr>
          <w:rFonts w:ascii="Arial" w:hAnsi="Arial" w:cs="Arial"/>
          <w:color w:val="000000" w:themeColor="text1"/>
        </w:rPr>
        <w:t xml:space="preserve"> made a substantiated request and a sunset review was initiated on 26 April 2019.</w:t>
      </w:r>
    </w:p>
    <w:p w14:paraId="45FFEDC7" w14:textId="77777777" w:rsidR="00672288" w:rsidRPr="00672288" w:rsidRDefault="00672288" w:rsidP="00672288">
      <w:pPr>
        <w:pStyle w:val="ListParagraph"/>
        <w:rPr>
          <w:rFonts w:ascii="Arial" w:hAnsi="Arial" w:cs="Arial"/>
          <w:b/>
          <w:bCs/>
          <w:color w:val="000000" w:themeColor="text1"/>
          <w:sz w:val="28"/>
          <w:szCs w:val="28"/>
        </w:rPr>
      </w:pPr>
    </w:p>
    <w:p w14:paraId="41A3DA71" w14:textId="7ED88DD1" w:rsidR="00672288" w:rsidRPr="00995931" w:rsidRDefault="00995931" w:rsidP="00995931">
      <w:pPr>
        <w:spacing w:line="360" w:lineRule="auto"/>
        <w:ind w:left="900" w:hanging="900"/>
        <w:jc w:val="both"/>
        <w:rPr>
          <w:rFonts w:ascii="Arial" w:hAnsi="Arial" w:cs="Arial"/>
          <w:b/>
          <w:bCs/>
          <w:color w:val="000000" w:themeColor="text1"/>
          <w:sz w:val="28"/>
          <w:szCs w:val="28"/>
        </w:rPr>
      </w:pPr>
      <w:r w:rsidRPr="00672288">
        <w:rPr>
          <w:rFonts w:ascii="Arial" w:hAnsi="Arial" w:cs="Arial"/>
          <w:color w:val="000000" w:themeColor="text1"/>
        </w:rPr>
        <w:t>[13].</w:t>
      </w:r>
      <w:r w:rsidRPr="00672288">
        <w:rPr>
          <w:rFonts w:ascii="Arial" w:hAnsi="Arial" w:cs="Arial"/>
          <w:color w:val="000000" w:themeColor="text1"/>
        </w:rPr>
        <w:tab/>
      </w:r>
      <w:r w:rsidR="00672288" w:rsidRPr="00995931">
        <w:rPr>
          <w:rFonts w:ascii="Arial" w:hAnsi="Arial" w:cs="Arial"/>
          <w:color w:val="000000" w:themeColor="text1"/>
        </w:rPr>
        <w:t xml:space="preserve">It is not in issue between the parties that </w:t>
      </w:r>
      <w:r w:rsidR="00B13443" w:rsidRPr="00995931">
        <w:rPr>
          <w:rFonts w:ascii="Arial" w:hAnsi="Arial" w:cs="Arial"/>
          <w:color w:val="000000" w:themeColor="text1"/>
        </w:rPr>
        <w:t>TATA</w:t>
      </w:r>
      <w:r w:rsidR="00672288" w:rsidRPr="00995931">
        <w:rPr>
          <w:rFonts w:ascii="Arial" w:hAnsi="Arial" w:cs="Arial"/>
          <w:color w:val="000000" w:themeColor="text1"/>
        </w:rPr>
        <w:t xml:space="preserve"> did not</w:t>
      </w:r>
      <w:r w:rsidR="003120FA" w:rsidRPr="00995931">
        <w:rPr>
          <w:rFonts w:ascii="Arial" w:hAnsi="Arial" w:cs="Arial"/>
          <w:color w:val="000000" w:themeColor="text1"/>
        </w:rPr>
        <w:t>,</w:t>
      </w:r>
      <w:r w:rsidR="00672288" w:rsidRPr="00995931">
        <w:rPr>
          <w:rFonts w:ascii="Arial" w:hAnsi="Arial" w:cs="Arial"/>
          <w:color w:val="000000" w:themeColor="text1"/>
        </w:rPr>
        <w:t xml:space="preserve"> </w:t>
      </w:r>
      <w:r w:rsidR="002D3D78" w:rsidRPr="00995931">
        <w:rPr>
          <w:rFonts w:ascii="Arial" w:hAnsi="Arial" w:cs="Arial"/>
          <w:color w:val="000000" w:themeColor="text1"/>
        </w:rPr>
        <w:t>after 25 May 2018</w:t>
      </w:r>
      <w:r w:rsidR="003120FA" w:rsidRPr="00995931">
        <w:rPr>
          <w:rFonts w:ascii="Arial" w:hAnsi="Arial" w:cs="Arial"/>
          <w:color w:val="000000" w:themeColor="text1"/>
        </w:rPr>
        <w:t>,</w:t>
      </w:r>
      <w:r w:rsidR="00672288" w:rsidRPr="00995931">
        <w:rPr>
          <w:rFonts w:ascii="Arial" w:hAnsi="Arial" w:cs="Arial"/>
          <w:color w:val="000000" w:themeColor="text1"/>
        </w:rPr>
        <w:t xml:space="preserve"> co-operate in the way that it had </w:t>
      </w:r>
      <w:r w:rsidR="002D3D78" w:rsidRPr="00995931">
        <w:rPr>
          <w:rFonts w:ascii="Arial" w:hAnsi="Arial" w:cs="Arial"/>
          <w:color w:val="000000" w:themeColor="text1"/>
        </w:rPr>
        <w:t xml:space="preserve">during 2014 </w:t>
      </w:r>
      <w:r w:rsidR="00672288" w:rsidRPr="00995931">
        <w:rPr>
          <w:rFonts w:ascii="Arial" w:hAnsi="Arial" w:cs="Arial"/>
          <w:color w:val="000000" w:themeColor="text1"/>
        </w:rPr>
        <w:t>when the dut</w:t>
      </w:r>
      <w:r w:rsidR="002D3D78" w:rsidRPr="00995931">
        <w:rPr>
          <w:rFonts w:ascii="Arial" w:hAnsi="Arial" w:cs="Arial"/>
          <w:color w:val="000000" w:themeColor="text1"/>
        </w:rPr>
        <w:t>ies</w:t>
      </w:r>
      <w:r w:rsidR="00672288" w:rsidRPr="00995931">
        <w:rPr>
          <w:rFonts w:ascii="Arial" w:hAnsi="Arial" w:cs="Arial"/>
          <w:color w:val="000000" w:themeColor="text1"/>
        </w:rPr>
        <w:t xml:space="preserve"> had first been imposed. </w:t>
      </w:r>
      <w:r w:rsidR="002D3D78" w:rsidRPr="00995931">
        <w:rPr>
          <w:rFonts w:ascii="Arial" w:hAnsi="Arial" w:cs="Arial"/>
          <w:color w:val="000000" w:themeColor="text1"/>
        </w:rPr>
        <w:t xml:space="preserve">However, </w:t>
      </w:r>
      <w:r w:rsidR="00B13443" w:rsidRPr="00995931">
        <w:rPr>
          <w:rFonts w:ascii="Arial" w:hAnsi="Arial" w:cs="Arial"/>
          <w:color w:val="000000" w:themeColor="text1"/>
        </w:rPr>
        <w:t>TATA</w:t>
      </w:r>
      <w:r w:rsidR="00672288" w:rsidRPr="00995931">
        <w:rPr>
          <w:rFonts w:ascii="Arial" w:hAnsi="Arial" w:cs="Arial"/>
          <w:color w:val="000000" w:themeColor="text1"/>
        </w:rPr>
        <w:t xml:space="preserve"> made written representations to </w:t>
      </w:r>
      <w:r w:rsidR="00B13443" w:rsidRPr="00995931">
        <w:rPr>
          <w:rFonts w:ascii="Arial" w:hAnsi="Arial" w:cs="Arial"/>
          <w:color w:val="000000" w:themeColor="text1"/>
        </w:rPr>
        <w:t>ITAC</w:t>
      </w:r>
      <w:r w:rsidR="00672288" w:rsidRPr="00995931">
        <w:rPr>
          <w:rFonts w:ascii="Arial" w:hAnsi="Arial" w:cs="Arial"/>
          <w:color w:val="000000" w:themeColor="text1"/>
        </w:rPr>
        <w:t xml:space="preserve"> on 14 August 2019 and at a hearing on 8 October 2019, made oral representations on why the original dumping dut</w:t>
      </w:r>
      <w:r w:rsidR="002D3D78" w:rsidRPr="00995931">
        <w:rPr>
          <w:rFonts w:ascii="Arial" w:hAnsi="Arial" w:cs="Arial"/>
          <w:color w:val="000000" w:themeColor="text1"/>
        </w:rPr>
        <w:t>ies</w:t>
      </w:r>
      <w:r w:rsidR="00672288" w:rsidRPr="00995931">
        <w:rPr>
          <w:rFonts w:ascii="Arial" w:hAnsi="Arial" w:cs="Arial"/>
          <w:color w:val="000000" w:themeColor="text1"/>
        </w:rPr>
        <w:t xml:space="preserve"> had already expired prior to the initiation of the sunset review.</w:t>
      </w:r>
    </w:p>
    <w:p w14:paraId="648069F8" w14:textId="77777777" w:rsidR="00672288" w:rsidRPr="00672288" w:rsidRDefault="00672288" w:rsidP="00672288">
      <w:pPr>
        <w:pStyle w:val="ListParagraph"/>
        <w:rPr>
          <w:rFonts w:ascii="Arial" w:hAnsi="Arial" w:cs="Arial"/>
          <w:b/>
          <w:bCs/>
          <w:color w:val="000000" w:themeColor="text1"/>
          <w:sz w:val="28"/>
          <w:szCs w:val="28"/>
        </w:rPr>
      </w:pPr>
    </w:p>
    <w:p w14:paraId="0DAA9770" w14:textId="217046A2" w:rsidR="00672288" w:rsidRPr="00995931" w:rsidRDefault="00995931" w:rsidP="00995931">
      <w:pPr>
        <w:spacing w:line="360" w:lineRule="auto"/>
        <w:ind w:left="900" w:hanging="900"/>
        <w:jc w:val="both"/>
        <w:rPr>
          <w:rFonts w:ascii="Arial" w:hAnsi="Arial" w:cs="Arial"/>
          <w:color w:val="000000" w:themeColor="text1"/>
        </w:rPr>
      </w:pPr>
      <w:r>
        <w:rPr>
          <w:rFonts w:ascii="Arial" w:hAnsi="Arial" w:cs="Arial"/>
          <w:color w:val="000000" w:themeColor="text1"/>
        </w:rPr>
        <w:t>[14].</w:t>
      </w:r>
      <w:r>
        <w:rPr>
          <w:rFonts w:ascii="Arial" w:hAnsi="Arial" w:cs="Arial"/>
          <w:color w:val="000000" w:themeColor="text1"/>
        </w:rPr>
        <w:tab/>
      </w:r>
      <w:r w:rsidR="009515CF" w:rsidRPr="00995931">
        <w:rPr>
          <w:rFonts w:ascii="Arial" w:hAnsi="Arial" w:cs="Arial"/>
          <w:color w:val="000000" w:themeColor="text1"/>
        </w:rPr>
        <w:t xml:space="preserve">Thereafter, on 29 October 2019, </w:t>
      </w:r>
      <w:r w:rsidR="00B13443" w:rsidRPr="00995931">
        <w:rPr>
          <w:rFonts w:ascii="Arial" w:hAnsi="Arial" w:cs="Arial"/>
          <w:color w:val="000000" w:themeColor="text1"/>
        </w:rPr>
        <w:t>ITAC</w:t>
      </w:r>
      <w:r w:rsidR="009515CF" w:rsidRPr="00995931">
        <w:rPr>
          <w:rFonts w:ascii="Arial" w:hAnsi="Arial" w:cs="Arial"/>
          <w:color w:val="000000" w:themeColor="text1"/>
        </w:rPr>
        <w:t xml:space="preserve"> made 2 recommendations.  The first was that the anti-dumping dut</w:t>
      </w:r>
      <w:r w:rsidR="002D3D78" w:rsidRPr="00995931">
        <w:rPr>
          <w:rFonts w:ascii="Arial" w:hAnsi="Arial" w:cs="Arial"/>
          <w:color w:val="000000" w:themeColor="text1"/>
        </w:rPr>
        <w:t>ies</w:t>
      </w:r>
      <w:r w:rsidR="009515CF" w:rsidRPr="00995931">
        <w:rPr>
          <w:rFonts w:ascii="Arial" w:hAnsi="Arial" w:cs="Arial"/>
          <w:color w:val="000000" w:themeColor="text1"/>
        </w:rPr>
        <w:t xml:space="preserve"> be maintained and the second that since there had been no co-operation from any importers or exporters, specifically </w:t>
      </w:r>
      <w:r w:rsidR="00B13443" w:rsidRPr="00995931">
        <w:rPr>
          <w:rFonts w:ascii="Arial" w:hAnsi="Arial" w:cs="Arial"/>
          <w:color w:val="000000" w:themeColor="text1"/>
        </w:rPr>
        <w:t>TATA</w:t>
      </w:r>
      <w:r w:rsidR="009515CF" w:rsidRPr="00995931">
        <w:rPr>
          <w:rFonts w:ascii="Arial" w:hAnsi="Arial" w:cs="Arial"/>
          <w:color w:val="000000" w:themeColor="text1"/>
        </w:rPr>
        <w:t xml:space="preserve">, that the </w:t>
      </w:r>
      <w:r w:rsidR="002D3D78" w:rsidRPr="00995931">
        <w:rPr>
          <w:rFonts w:ascii="Arial" w:hAnsi="Arial" w:cs="Arial"/>
          <w:color w:val="000000" w:themeColor="text1"/>
        </w:rPr>
        <w:t xml:space="preserve">applicable </w:t>
      </w:r>
      <w:r w:rsidR="009515CF" w:rsidRPr="00995931">
        <w:rPr>
          <w:rFonts w:ascii="Arial" w:hAnsi="Arial" w:cs="Arial"/>
          <w:color w:val="000000" w:themeColor="text1"/>
        </w:rPr>
        <w:t xml:space="preserve">amount of </w:t>
      </w:r>
      <w:r w:rsidR="002D3D78" w:rsidRPr="00995931">
        <w:rPr>
          <w:rFonts w:ascii="Arial" w:hAnsi="Arial" w:cs="Arial"/>
          <w:color w:val="000000" w:themeColor="text1"/>
        </w:rPr>
        <w:t xml:space="preserve">the </w:t>
      </w:r>
      <w:r w:rsidR="009515CF" w:rsidRPr="00995931">
        <w:rPr>
          <w:rFonts w:ascii="Arial" w:hAnsi="Arial" w:cs="Arial"/>
          <w:color w:val="000000" w:themeColor="text1"/>
        </w:rPr>
        <w:t>dut</w:t>
      </w:r>
      <w:r w:rsidR="002D3D78" w:rsidRPr="00995931">
        <w:rPr>
          <w:rFonts w:ascii="Arial" w:hAnsi="Arial" w:cs="Arial"/>
          <w:color w:val="000000" w:themeColor="text1"/>
        </w:rPr>
        <w:t>ies</w:t>
      </w:r>
      <w:r w:rsidR="009515CF" w:rsidRPr="00995931">
        <w:rPr>
          <w:rFonts w:ascii="Arial" w:hAnsi="Arial" w:cs="Arial"/>
          <w:color w:val="000000" w:themeColor="text1"/>
        </w:rPr>
        <w:t xml:space="preserve"> that was to be retained was the residual duty of 40%.</w:t>
      </w:r>
      <w:r w:rsidR="0068607F" w:rsidRPr="00995931">
        <w:rPr>
          <w:rFonts w:ascii="Arial" w:hAnsi="Arial" w:cs="Arial"/>
          <w:color w:val="000000" w:themeColor="text1"/>
        </w:rPr>
        <w:t xml:space="preserve">  The effect of </w:t>
      </w:r>
      <w:r w:rsidR="00B13443" w:rsidRPr="00995931">
        <w:rPr>
          <w:rFonts w:ascii="Arial" w:hAnsi="Arial" w:cs="Arial"/>
          <w:color w:val="000000" w:themeColor="text1"/>
        </w:rPr>
        <w:t>TATA</w:t>
      </w:r>
      <w:r w:rsidR="0068607F" w:rsidRPr="00995931">
        <w:rPr>
          <w:rFonts w:ascii="Arial" w:hAnsi="Arial" w:cs="Arial"/>
          <w:color w:val="000000" w:themeColor="text1"/>
        </w:rPr>
        <w:t>’s failure to co-operate during the sunset review was that its previous company specific duty of only 8% was now increased to 40%.</w:t>
      </w:r>
    </w:p>
    <w:p w14:paraId="06AF7E4F" w14:textId="77777777" w:rsidR="0068607F" w:rsidRPr="0068607F" w:rsidRDefault="0068607F" w:rsidP="0068607F">
      <w:pPr>
        <w:pStyle w:val="ListParagraph"/>
        <w:rPr>
          <w:rFonts w:ascii="Arial" w:hAnsi="Arial" w:cs="Arial"/>
          <w:color w:val="000000" w:themeColor="text1"/>
        </w:rPr>
      </w:pPr>
    </w:p>
    <w:p w14:paraId="07E210E9" w14:textId="28A9EA8B" w:rsidR="0068607F" w:rsidRPr="00995931" w:rsidRDefault="00995931" w:rsidP="00995931">
      <w:pPr>
        <w:spacing w:line="360" w:lineRule="auto"/>
        <w:ind w:left="900" w:hanging="900"/>
        <w:jc w:val="both"/>
        <w:rPr>
          <w:rFonts w:ascii="Arial" w:hAnsi="Arial" w:cs="Arial"/>
          <w:color w:val="000000" w:themeColor="text1"/>
        </w:rPr>
      </w:pPr>
      <w:r>
        <w:rPr>
          <w:rFonts w:ascii="Arial" w:hAnsi="Arial" w:cs="Arial"/>
          <w:color w:val="000000" w:themeColor="text1"/>
        </w:rPr>
        <w:t>[15].</w:t>
      </w:r>
      <w:r>
        <w:rPr>
          <w:rFonts w:ascii="Arial" w:hAnsi="Arial" w:cs="Arial"/>
          <w:color w:val="000000" w:themeColor="text1"/>
        </w:rPr>
        <w:tab/>
      </w:r>
      <w:r w:rsidR="0068607F" w:rsidRPr="00995931">
        <w:rPr>
          <w:rFonts w:ascii="Arial" w:hAnsi="Arial" w:cs="Arial"/>
          <w:color w:val="000000" w:themeColor="text1"/>
        </w:rPr>
        <w:t>The amendment of the Gazette of 19 June 2014 was effected on 30 March 2020</w:t>
      </w:r>
      <w:r w:rsidR="0068607F">
        <w:rPr>
          <w:rStyle w:val="FootnoteReference"/>
          <w:rFonts w:ascii="Arial" w:hAnsi="Arial" w:cs="Arial"/>
          <w:color w:val="000000" w:themeColor="text1"/>
        </w:rPr>
        <w:footnoteReference w:id="16"/>
      </w:r>
      <w:r w:rsidR="0068607F" w:rsidRPr="00995931">
        <w:rPr>
          <w:rFonts w:ascii="Arial" w:hAnsi="Arial" w:cs="Arial"/>
          <w:color w:val="000000" w:themeColor="text1"/>
        </w:rPr>
        <w:t xml:space="preserve"> </w:t>
      </w:r>
      <w:r w:rsidR="0078301E" w:rsidRPr="00995931">
        <w:rPr>
          <w:rFonts w:ascii="Arial" w:hAnsi="Arial" w:cs="Arial"/>
          <w:color w:val="000000" w:themeColor="text1"/>
        </w:rPr>
        <w:t xml:space="preserve"> </w:t>
      </w:r>
      <w:r w:rsidR="0068607F" w:rsidRPr="00995931">
        <w:rPr>
          <w:rFonts w:ascii="Arial" w:hAnsi="Arial" w:cs="Arial"/>
          <w:color w:val="000000" w:themeColor="text1"/>
        </w:rPr>
        <w:t>by withdrawing the company specific duties and imposing</w:t>
      </w:r>
      <w:r w:rsidR="00477165" w:rsidRPr="00995931">
        <w:rPr>
          <w:rFonts w:ascii="Arial" w:hAnsi="Arial" w:cs="Arial"/>
          <w:color w:val="000000" w:themeColor="text1"/>
        </w:rPr>
        <w:t>,</w:t>
      </w:r>
      <w:r w:rsidR="0068607F" w:rsidRPr="00995931">
        <w:rPr>
          <w:rFonts w:ascii="Arial" w:hAnsi="Arial" w:cs="Arial"/>
          <w:color w:val="000000" w:themeColor="text1"/>
        </w:rPr>
        <w:t xml:space="preserve"> for a further 5 years and across the board</w:t>
      </w:r>
      <w:r w:rsidR="002A3DB6" w:rsidRPr="00995931">
        <w:rPr>
          <w:rFonts w:ascii="Arial" w:hAnsi="Arial" w:cs="Arial"/>
          <w:color w:val="000000" w:themeColor="text1"/>
        </w:rPr>
        <w:t>,</w:t>
      </w:r>
      <w:r w:rsidR="0068607F" w:rsidRPr="00995931">
        <w:rPr>
          <w:rFonts w:ascii="Arial" w:hAnsi="Arial" w:cs="Arial"/>
          <w:color w:val="000000" w:themeColor="text1"/>
        </w:rPr>
        <w:t xml:space="preserve"> a residual anti-dumping duty of 40%.</w:t>
      </w:r>
    </w:p>
    <w:p w14:paraId="40C0F902" w14:textId="77777777" w:rsidR="0032736C" w:rsidRPr="0032736C" w:rsidRDefault="0032736C" w:rsidP="0032736C">
      <w:pPr>
        <w:pStyle w:val="ListParagraph"/>
        <w:rPr>
          <w:rFonts w:ascii="Arial" w:hAnsi="Arial" w:cs="Arial"/>
          <w:color w:val="000000" w:themeColor="text1"/>
        </w:rPr>
      </w:pPr>
    </w:p>
    <w:p w14:paraId="564FAC59" w14:textId="77777777" w:rsidR="0032736C" w:rsidRDefault="0032736C" w:rsidP="0032736C">
      <w:pPr>
        <w:spacing w:line="360" w:lineRule="auto"/>
        <w:jc w:val="both"/>
        <w:rPr>
          <w:rFonts w:ascii="Arial" w:hAnsi="Arial" w:cs="Arial"/>
          <w:b/>
          <w:bCs/>
          <w:color w:val="000000" w:themeColor="text1"/>
          <w:u w:val="single"/>
        </w:rPr>
      </w:pPr>
    </w:p>
    <w:p w14:paraId="7F94AAF0" w14:textId="79738F78" w:rsidR="0032736C" w:rsidRPr="0032736C" w:rsidRDefault="00361C33" w:rsidP="0032736C">
      <w:pPr>
        <w:spacing w:line="360" w:lineRule="auto"/>
        <w:jc w:val="both"/>
        <w:rPr>
          <w:rFonts w:ascii="Arial" w:hAnsi="Arial" w:cs="Arial"/>
          <w:b/>
          <w:bCs/>
          <w:color w:val="000000" w:themeColor="text1"/>
          <w:u w:val="single"/>
        </w:rPr>
      </w:pPr>
      <w:r w:rsidRPr="0032736C">
        <w:rPr>
          <w:rFonts w:ascii="Arial" w:hAnsi="Arial" w:cs="Arial"/>
          <w:b/>
          <w:bCs/>
          <w:color w:val="000000" w:themeColor="text1"/>
          <w:u w:val="single"/>
        </w:rPr>
        <w:t>THE FIRST GROUND OF REVIEW</w:t>
      </w:r>
    </w:p>
    <w:p w14:paraId="7EEB36CB" w14:textId="4993B876" w:rsidR="0032736C" w:rsidRDefault="0032736C" w:rsidP="0032736C">
      <w:pPr>
        <w:spacing w:line="360" w:lineRule="auto"/>
        <w:jc w:val="both"/>
        <w:rPr>
          <w:rFonts w:ascii="Arial" w:hAnsi="Arial" w:cs="Arial"/>
          <w:color w:val="000000" w:themeColor="text1"/>
        </w:rPr>
      </w:pPr>
    </w:p>
    <w:p w14:paraId="43185072" w14:textId="77777777" w:rsidR="0032736C" w:rsidRPr="0032736C" w:rsidRDefault="0032736C" w:rsidP="0032736C">
      <w:pPr>
        <w:spacing w:line="360" w:lineRule="auto"/>
        <w:jc w:val="both"/>
        <w:rPr>
          <w:rFonts w:ascii="Arial" w:hAnsi="Arial" w:cs="Arial"/>
          <w:color w:val="000000" w:themeColor="text1"/>
        </w:rPr>
      </w:pPr>
    </w:p>
    <w:p w14:paraId="7AF7E2D8" w14:textId="5A9B1071" w:rsidR="0068607F" w:rsidRPr="00995931" w:rsidRDefault="00995931" w:rsidP="00995931">
      <w:pPr>
        <w:spacing w:line="360" w:lineRule="auto"/>
        <w:ind w:left="851" w:hanging="851"/>
        <w:jc w:val="both"/>
        <w:rPr>
          <w:rFonts w:ascii="Arial" w:hAnsi="Arial" w:cs="Arial"/>
          <w:color w:val="000000" w:themeColor="text1"/>
        </w:rPr>
      </w:pPr>
      <w:r w:rsidRPr="009515CF">
        <w:rPr>
          <w:rFonts w:ascii="Arial" w:hAnsi="Arial" w:cs="Arial"/>
          <w:color w:val="000000" w:themeColor="text1"/>
        </w:rPr>
        <w:lastRenderedPageBreak/>
        <w:t>[16].</w:t>
      </w:r>
      <w:r w:rsidRPr="009515CF">
        <w:rPr>
          <w:rFonts w:ascii="Arial" w:hAnsi="Arial" w:cs="Arial"/>
          <w:color w:val="000000" w:themeColor="text1"/>
        </w:rPr>
        <w:tab/>
      </w:r>
      <w:r w:rsidR="00477165" w:rsidRPr="00995931">
        <w:rPr>
          <w:rFonts w:ascii="Arial" w:hAnsi="Arial" w:cs="Arial"/>
          <w:color w:val="000000" w:themeColor="text1"/>
        </w:rPr>
        <w:t xml:space="preserve">The crux of the </w:t>
      </w:r>
      <w:r w:rsidR="009F5BA2" w:rsidRPr="00995931">
        <w:rPr>
          <w:rFonts w:ascii="Arial" w:hAnsi="Arial" w:cs="Arial"/>
          <w:color w:val="000000" w:themeColor="text1"/>
        </w:rPr>
        <w:t>first ground of review advanced</w:t>
      </w:r>
      <w:r w:rsidR="00477165" w:rsidRPr="00995931">
        <w:rPr>
          <w:rFonts w:ascii="Arial" w:hAnsi="Arial" w:cs="Arial"/>
          <w:color w:val="000000" w:themeColor="text1"/>
        </w:rPr>
        <w:t xml:space="preserve"> on behalf of </w:t>
      </w:r>
      <w:r w:rsidR="00B13443" w:rsidRPr="00995931">
        <w:rPr>
          <w:rFonts w:ascii="Arial" w:hAnsi="Arial" w:cs="Arial"/>
          <w:color w:val="000000" w:themeColor="text1"/>
        </w:rPr>
        <w:t>TATA</w:t>
      </w:r>
      <w:r w:rsidR="009F5BA2" w:rsidRPr="00995931">
        <w:rPr>
          <w:rFonts w:ascii="Arial" w:hAnsi="Arial" w:cs="Arial"/>
          <w:color w:val="000000" w:themeColor="text1"/>
        </w:rPr>
        <w:t xml:space="preserve"> was </w:t>
      </w:r>
      <w:r w:rsidR="00477165" w:rsidRPr="00995931">
        <w:rPr>
          <w:rFonts w:ascii="Arial" w:hAnsi="Arial" w:cs="Arial"/>
          <w:color w:val="000000" w:themeColor="text1"/>
        </w:rPr>
        <w:t>that the duties had expired before the initiation of the sunset review</w:t>
      </w:r>
      <w:r w:rsidR="009F5BA2" w:rsidRPr="00995931">
        <w:rPr>
          <w:rFonts w:ascii="Arial" w:hAnsi="Arial" w:cs="Arial"/>
          <w:color w:val="000000" w:themeColor="text1"/>
        </w:rPr>
        <w:t>.</w:t>
      </w:r>
      <w:r w:rsidR="00477165" w:rsidRPr="00995931">
        <w:rPr>
          <w:rFonts w:ascii="Arial" w:hAnsi="Arial" w:cs="Arial"/>
          <w:color w:val="000000" w:themeColor="text1"/>
        </w:rPr>
        <w:t xml:space="preserve"> </w:t>
      </w:r>
      <w:r w:rsidR="009F5BA2" w:rsidRPr="00995931">
        <w:rPr>
          <w:rFonts w:ascii="Arial" w:hAnsi="Arial" w:cs="Arial"/>
          <w:color w:val="000000" w:themeColor="text1"/>
        </w:rPr>
        <w:t>T</w:t>
      </w:r>
      <w:r w:rsidR="00477165" w:rsidRPr="00995931">
        <w:rPr>
          <w:rFonts w:ascii="Arial" w:hAnsi="Arial" w:cs="Arial"/>
          <w:color w:val="000000" w:themeColor="text1"/>
        </w:rPr>
        <w:t xml:space="preserve">he 5-year period for which the duties were to be extant commenced on 20 December 2013 and expired on 19 December 2018, 4 months before the initiation of the sunset review on 26 April 2019.  The argument proffered was that the 5-year period was to be </w:t>
      </w:r>
      <w:r w:rsidR="009F5BA2" w:rsidRPr="00995931">
        <w:rPr>
          <w:rFonts w:ascii="Arial" w:hAnsi="Arial" w:cs="Arial"/>
          <w:color w:val="000000" w:themeColor="text1"/>
        </w:rPr>
        <w:t>reckoned</w:t>
      </w:r>
      <w:r w:rsidR="00477165" w:rsidRPr="00995931">
        <w:rPr>
          <w:rFonts w:ascii="Arial" w:hAnsi="Arial" w:cs="Arial"/>
          <w:color w:val="000000" w:themeColor="text1"/>
        </w:rPr>
        <w:t xml:space="preserve"> </w:t>
      </w:r>
      <w:r w:rsidR="00E054BD" w:rsidRPr="00995931">
        <w:rPr>
          <w:rFonts w:ascii="Arial" w:hAnsi="Arial" w:cs="Arial"/>
          <w:color w:val="000000" w:themeColor="text1"/>
        </w:rPr>
        <w:t>as an actual payment period and thus of necessity was to be conflated together with the period for which the duties had been retrospectively imposed.</w:t>
      </w:r>
    </w:p>
    <w:p w14:paraId="693AAC1D" w14:textId="77777777" w:rsidR="000C3019" w:rsidRPr="00E054BD" w:rsidRDefault="000C3019" w:rsidP="00E054BD">
      <w:pPr>
        <w:spacing w:line="360" w:lineRule="auto"/>
        <w:jc w:val="both"/>
        <w:rPr>
          <w:rFonts w:ascii="Arial" w:hAnsi="Arial" w:cs="Arial"/>
          <w:color w:val="000000" w:themeColor="text1"/>
        </w:rPr>
      </w:pPr>
    </w:p>
    <w:p w14:paraId="3C429C45" w14:textId="02D4FFDF" w:rsidR="00D04376" w:rsidRPr="00995931" w:rsidRDefault="00995931" w:rsidP="00995931">
      <w:pPr>
        <w:spacing w:line="360" w:lineRule="auto"/>
        <w:ind w:left="900" w:hanging="900"/>
        <w:jc w:val="both"/>
        <w:rPr>
          <w:rFonts w:ascii="Arial" w:hAnsi="Arial" w:cs="Arial"/>
          <w:color w:val="000000" w:themeColor="text1"/>
        </w:rPr>
      </w:pPr>
      <w:r>
        <w:rPr>
          <w:rFonts w:ascii="Arial" w:hAnsi="Arial" w:cs="Arial"/>
          <w:color w:val="000000" w:themeColor="text1"/>
        </w:rPr>
        <w:t>[17].</w:t>
      </w:r>
      <w:r>
        <w:rPr>
          <w:rFonts w:ascii="Arial" w:hAnsi="Arial" w:cs="Arial"/>
          <w:color w:val="000000" w:themeColor="text1"/>
        </w:rPr>
        <w:tab/>
      </w:r>
      <w:r w:rsidR="00D04376" w:rsidRPr="00995931">
        <w:rPr>
          <w:rFonts w:ascii="Arial" w:hAnsi="Arial" w:cs="Arial"/>
          <w:color w:val="000000" w:themeColor="text1"/>
        </w:rPr>
        <w:t xml:space="preserve">Regulation 38 of the </w:t>
      </w:r>
      <w:r w:rsidR="00F853E2" w:rsidRPr="00995931">
        <w:rPr>
          <w:rFonts w:ascii="Arial" w:hAnsi="Arial" w:cs="Arial"/>
          <w:color w:val="000000" w:themeColor="text1"/>
        </w:rPr>
        <w:t xml:space="preserve">Anti-Dumping </w:t>
      </w:r>
      <w:r w:rsidR="00D04376" w:rsidRPr="00995931">
        <w:rPr>
          <w:rFonts w:ascii="Arial" w:hAnsi="Arial" w:cs="Arial"/>
          <w:color w:val="000000" w:themeColor="text1"/>
        </w:rPr>
        <w:t>Regulations</w:t>
      </w:r>
      <w:r w:rsidR="00F853E2">
        <w:rPr>
          <w:rStyle w:val="FootnoteReference"/>
          <w:rFonts w:ascii="Arial" w:hAnsi="Arial" w:cs="Arial"/>
          <w:color w:val="000000" w:themeColor="text1"/>
        </w:rPr>
        <w:footnoteReference w:id="17"/>
      </w:r>
      <w:r w:rsidR="00D04376" w:rsidRPr="00995931">
        <w:rPr>
          <w:rFonts w:ascii="Arial" w:hAnsi="Arial" w:cs="Arial"/>
          <w:color w:val="000000" w:themeColor="text1"/>
        </w:rPr>
        <w:t xml:space="preserve"> provides:</w:t>
      </w:r>
    </w:p>
    <w:p w14:paraId="3576FD61" w14:textId="77777777" w:rsidR="00D04376" w:rsidRPr="00D04376" w:rsidRDefault="00D04376" w:rsidP="00D04376">
      <w:pPr>
        <w:pStyle w:val="ListParagraph"/>
        <w:rPr>
          <w:rFonts w:ascii="Arial" w:hAnsi="Arial" w:cs="Arial"/>
          <w:color w:val="000000" w:themeColor="text1"/>
        </w:rPr>
      </w:pPr>
    </w:p>
    <w:p w14:paraId="0FD3EBCA" w14:textId="137502E1" w:rsidR="00D04376" w:rsidRDefault="00D04376" w:rsidP="00E8231E">
      <w:pPr>
        <w:pStyle w:val="ListParagraph"/>
        <w:tabs>
          <w:tab w:val="left" w:pos="2552"/>
        </w:tabs>
        <w:spacing w:line="360" w:lineRule="auto"/>
        <w:ind w:left="2268" w:hanging="850"/>
        <w:jc w:val="both"/>
        <w:rPr>
          <w:rFonts w:ascii="Arial" w:hAnsi="Arial" w:cs="Arial"/>
          <w:b/>
          <w:bCs/>
          <w:i/>
          <w:iCs/>
          <w:color w:val="000000" w:themeColor="text1"/>
          <w:sz w:val="22"/>
          <w:szCs w:val="22"/>
        </w:rPr>
      </w:pPr>
      <w:r w:rsidRPr="00D04376">
        <w:rPr>
          <w:rFonts w:ascii="Arial" w:hAnsi="Arial" w:cs="Arial"/>
          <w:i/>
          <w:iCs/>
          <w:color w:val="000000" w:themeColor="text1"/>
          <w:sz w:val="22"/>
          <w:szCs w:val="22"/>
        </w:rPr>
        <w:t>“</w:t>
      </w:r>
      <w:r w:rsidRPr="00D04376">
        <w:rPr>
          <w:rFonts w:ascii="Arial" w:hAnsi="Arial" w:cs="Arial"/>
          <w:b/>
          <w:bCs/>
          <w:i/>
          <w:iCs/>
          <w:color w:val="000000" w:themeColor="text1"/>
          <w:sz w:val="22"/>
          <w:szCs w:val="22"/>
        </w:rPr>
        <w:t>38.</w:t>
      </w:r>
      <w:r w:rsidRPr="00D04376">
        <w:rPr>
          <w:rFonts w:ascii="Arial" w:hAnsi="Arial" w:cs="Arial"/>
          <w:b/>
          <w:bCs/>
          <w:i/>
          <w:iCs/>
          <w:color w:val="000000" w:themeColor="text1"/>
          <w:sz w:val="22"/>
          <w:szCs w:val="22"/>
        </w:rPr>
        <w:tab/>
        <w:t>Definitive anti-dumping duties</w:t>
      </w:r>
    </w:p>
    <w:p w14:paraId="0AFC2538" w14:textId="77777777" w:rsidR="00E8231E" w:rsidRPr="00E8231E" w:rsidRDefault="00E8231E" w:rsidP="00E8231E">
      <w:pPr>
        <w:pStyle w:val="ListParagraph"/>
        <w:tabs>
          <w:tab w:val="left" w:pos="2552"/>
        </w:tabs>
        <w:spacing w:line="360" w:lineRule="auto"/>
        <w:ind w:left="2268" w:hanging="850"/>
        <w:jc w:val="both"/>
        <w:rPr>
          <w:rFonts w:ascii="Arial" w:hAnsi="Arial" w:cs="Arial"/>
          <w:b/>
          <w:bCs/>
          <w:i/>
          <w:iCs/>
          <w:color w:val="000000" w:themeColor="text1"/>
          <w:sz w:val="22"/>
          <w:szCs w:val="22"/>
        </w:rPr>
      </w:pPr>
    </w:p>
    <w:p w14:paraId="62BADB2B" w14:textId="5091445A" w:rsidR="00D04376" w:rsidRDefault="00D04376" w:rsidP="00E8231E">
      <w:pPr>
        <w:pStyle w:val="ListParagraph"/>
        <w:spacing w:line="360" w:lineRule="auto"/>
        <w:ind w:left="3261" w:hanging="993"/>
        <w:jc w:val="both"/>
        <w:rPr>
          <w:rFonts w:ascii="Arial" w:hAnsi="Arial" w:cs="Arial"/>
          <w:i/>
          <w:iCs/>
          <w:color w:val="000000" w:themeColor="text1"/>
          <w:sz w:val="22"/>
          <w:szCs w:val="22"/>
        </w:rPr>
      </w:pPr>
      <w:r w:rsidRPr="00D04376">
        <w:rPr>
          <w:rFonts w:ascii="Arial" w:hAnsi="Arial" w:cs="Arial"/>
          <w:i/>
          <w:iCs/>
          <w:color w:val="000000" w:themeColor="text1"/>
          <w:sz w:val="22"/>
          <w:szCs w:val="22"/>
        </w:rPr>
        <w:t>38.1</w:t>
      </w:r>
      <w:r w:rsidRPr="00D04376">
        <w:rPr>
          <w:rFonts w:ascii="Arial" w:hAnsi="Arial" w:cs="Arial"/>
          <w:i/>
          <w:iCs/>
          <w:color w:val="000000" w:themeColor="text1"/>
          <w:sz w:val="22"/>
          <w:szCs w:val="22"/>
        </w:rPr>
        <w:tab/>
        <w:t>Definitive anti-dumping duties will remain in place for a period of five years from the date of the publication of the Commission’s final recommendation unless otherwise specified or unless reviewed prior to the lapse of the five-year period.</w:t>
      </w:r>
    </w:p>
    <w:p w14:paraId="6FF80FC7" w14:textId="77777777" w:rsidR="00D04376" w:rsidRPr="00D04376" w:rsidRDefault="00D04376" w:rsidP="00E8231E">
      <w:pPr>
        <w:pStyle w:val="ListParagraph"/>
        <w:spacing w:line="360" w:lineRule="auto"/>
        <w:ind w:left="3261" w:hanging="993"/>
        <w:jc w:val="both"/>
        <w:rPr>
          <w:rFonts w:ascii="Arial" w:hAnsi="Arial" w:cs="Arial"/>
          <w:i/>
          <w:iCs/>
          <w:color w:val="000000" w:themeColor="text1"/>
          <w:sz w:val="22"/>
          <w:szCs w:val="22"/>
        </w:rPr>
      </w:pPr>
    </w:p>
    <w:p w14:paraId="4D0720C7" w14:textId="4EDB2BAD" w:rsidR="00D04376" w:rsidRPr="00D04376" w:rsidRDefault="00D04376" w:rsidP="00E8231E">
      <w:pPr>
        <w:pStyle w:val="ListParagraph"/>
        <w:spacing w:line="360" w:lineRule="auto"/>
        <w:ind w:left="3261" w:hanging="993"/>
        <w:jc w:val="both"/>
        <w:rPr>
          <w:rFonts w:ascii="Arial" w:hAnsi="Arial" w:cs="Arial"/>
          <w:i/>
          <w:iCs/>
          <w:color w:val="000000" w:themeColor="text1"/>
          <w:sz w:val="22"/>
          <w:szCs w:val="22"/>
        </w:rPr>
      </w:pPr>
      <w:r w:rsidRPr="00D04376">
        <w:rPr>
          <w:rFonts w:ascii="Arial" w:hAnsi="Arial" w:cs="Arial"/>
          <w:i/>
          <w:iCs/>
          <w:color w:val="000000" w:themeColor="text1"/>
          <w:sz w:val="22"/>
          <w:szCs w:val="22"/>
        </w:rPr>
        <w:t>38.2</w:t>
      </w:r>
      <w:r w:rsidRPr="00D04376">
        <w:rPr>
          <w:rFonts w:ascii="Arial" w:hAnsi="Arial" w:cs="Arial"/>
          <w:i/>
          <w:iCs/>
          <w:color w:val="000000" w:themeColor="text1"/>
          <w:sz w:val="22"/>
          <w:szCs w:val="22"/>
        </w:rPr>
        <w:tab/>
        <w:t>Definitive anti-dumping duties may be imposed with retroactive effect as provided for in terms of the Customs and Excise Act, 1964 (Act No 91 of 1964).”</w:t>
      </w:r>
    </w:p>
    <w:p w14:paraId="6271E31F" w14:textId="77777777" w:rsidR="00D04376" w:rsidRPr="00D04376" w:rsidRDefault="00D04376" w:rsidP="00D04376">
      <w:pPr>
        <w:pStyle w:val="ListParagraph"/>
        <w:rPr>
          <w:rFonts w:ascii="Arial" w:hAnsi="Arial" w:cs="Arial"/>
          <w:color w:val="000000" w:themeColor="text1"/>
        </w:rPr>
      </w:pPr>
    </w:p>
    <w:p w14:paraId="0A693938" w14:textId="1B0607C4" w:rsidR="0078301E" w:rsidRPr="00995931" w:rsidRDefault="00995931" w:rsidP="00995931">
      <w:pPr>
        <w:spacing w:line="360" w:lineRule="auto"/>
        <w:ind w:left="900" w:hanging="900"/>
        <w:jc w:val="both"/>
        <w:rPr>
          <w:rFonts w:ascii="Arial" w:hAnsi="Arial" w:cs="Arial"/>
          <w:color w:val="000000" w:themeColor="text1"/>
        </w:rPr>
      </w:pPr>
      <w:r>
        <w:rPr>
          <w:rFonts w:ascii="Arial" w:hAnsi="Arial" w:cs="Arial"/>
          <w:color w:val="000000" w:themeColor="text1"/>
        </w:rPr>
        <w:t>[18].</w:t>
      </w:r>
      <w:r>
        <w:rPr>
          <w:rFonts w:ascii="Arial" w:hAnsi="Arial" w:cs="Arial"/>
          <w:color w:val="000000" w:themeColor="text1"/>
        </w:rPr>
        <w:tab/>
      </w:r>
      <w:r w:rsidR="00D04376" w:rsidRPr="00995931">
        <w:rPr>
          <w:rFonts w:ascii="Arial" w:hAnsi="Arial" w:cs="Arial"/>
          <w:color w:val="000000" w:themeColor="text1"/>
        </w:rPr>
        <w:t>T</w:t>
      </w:r>
      <w:r w:rsidR="000C3019" w:rsidRPr="00995931">
        <w:rPr>
          <w:rFonts w:ascii="Arial" w:hAnsi="Arial" w:cs="Arial"/>
          <w:color w:val="000000" w:themeColor="text1"/>
        </w:rPr>
        <w:t xml:space="preserve">he period for which the anti-dumping duties are payable is a period of 5 years from the date of their </w:t>
      </w:r>
      <w:r w:rsidR="00D04376" w:rsidRPr="00995931">
        <w:rPr>
          <w:rFonts w:ascii="Arial" w:hAnsi="Arial" w:cs="Arial"/>
          <w:color w:val="000000" w:themeColor="text1"/>
        </w:rPr>
        <w:t>‘publication’</w:t>
      </w:r>
      <w:r w:rsidR="004B701C" w:rsidRPr="00995931">
        <w:rPr>
          <w:rFonts w:ascii="Arial" w:hAnsi="Arial" w:cs="Arial"/>
          <w:color w:val="000000" w:themeColor="text1"/>
        </w:rPr>
        <w:t xml:space="preserve"> as provided in Regulation 38(1)</w:t>
      </w:r>
      <w:r w:rsidR="00D04376" w:rsidRPr="00995931">
        <w:rPr>
          <w:rFonts w:ascii="Arial" w:hAnsi="Arial" w:cs="Arial"/>
          <w:color w:val="000000" w:themeColor="text1"/>
        </w:rPr>
        <w:t xml:space="preserve">.  In the present matter, the date of publication was 19 June 2014 and thus the </w:t>
      </w:r>
      <w:r w:rsidR="00B45255" w:rsidRPr="00995931">
        <w:rPr>
          <w:rFonts w:ascii="Arial" w:hAnsi="Arial" w:cs="Arial"/>
          <w:color w:val="000000" w:themeColor="text1"/>
        </w:rPr>
        <w:t>5-year</w:t>
      </w:r>
      <w:r w:rsidR="00D04376" w:rsidRPr="00995931">
        <w:rPr>
          <w:rFonts w:ascii="Arial" w:hAnsi="Arial" w:cs="Arial"/>
          <w:color w:val="000000" w:themeColor="text1"/>
        </w:rPr>
        <w:t xml:space="preserve"> period would expire on 18 June 2019.  Leaving aside the date of publication, it was argued for the applicants that Regulation 38</w:t>
      </w:r>
      <w:r w:rsidR="003120FA" w:rsidRPr="00995931">
        <w:rPr>
          <w:rFonts w:ascii="Arial" w:hAnsi="Arial" w:cs="Arial"/>
          <w:color w:val="000000" w:themeColor="text1"/>
        </w:rPr>
        <w:t>,</w:t>
      </w:r>
      <w:r w:rsidR="00D04376" w:rsidRPr="00995931">
        <w:rPr>
          <w:rFonts w:ascii="Arial" w:hAnsi="Arial" w:cs="Arial"/>
          <w:color w:val="000000" w:themeColor="text1"/>
        </w:rPr>
        <w:t xml:space="preserve"> properly construed</w:t>
      </w:r>
      <w:r w:rsidR="003120FA" w:rsidRPr="00995931">
        <w:rPr>
          <w:rFonts w:ascii="Arial" w:hAnsi="Arial" w:cs="Arial"/>
          <w:color w:val="000000" w:themeColor="text1"/>
        </w:rPr>
        <w:t>,</w:t>
      </w:r>
      <w:r w:rsidR="00D04376" w:rsidRPr="00995931">
        <w:rPr>
          <w:rFonts w:ascii="Arial" w:hAnsi="Arial" w:cs="Arial"/>
          <w:color w:val="000000" w:themeColor="text1"/>
        </w:rPr>
        <w:t xml:space="preserve"> could only ever mean the </w:t>
      </w:r>
      <w:r w:rsidR="004B701C" w:rsidRPr="00995931">
        <w:rPr>
          <w:rFonts w:ascii="Arial" w:hAnsi="Arial" w:cs="Arial"/>
          <w:color w:val="000000" w:themeColor="text1"/>
        </w:rPr>
        <w:t>5-year</w:t>
      </w:r>
      <w:r w:rsidR="00D04376" w:rsidRPr="00995931">
        <w:rPr>
          <w:rFonts w:ascii="Arial" w:hAnsi="Arial" w:cs="Arial"/>
          <w:color w:val="000000" w:themeColor="text1"/>
        </w:rPr>
        <w:t xml:space="preserve"> period</w:t>
      </w:r>
      <w:r w:rsidR="00B45255" w:rsidRPr="00995931">
        <w:rPr>
          <w:rFonts w:ascii="Arial" w:hAnsi="Arial" w:cs="Arial"/>
          <w:color w:val="000000" w:themeColor="text1"/>
        </w:rPr>
        <w:t xml:space="preserve">.  </w:t>
      </w:r>
    </w:p>
    <w:p w14:paraId="73C79EEB" w14:textId="77777777" w:rsidR="0078301E" w:rsidRDefault="0078301E" w:rsidP="0078301E">
      <w:pPr>
        <w:pStyle w:val="ListParagraph"/>
        <w:spacing w:line="360" w:lineRule="auto"/>
        <w:ind w:left="900"/>
        <w:jc w:val="both"/>
        <w:rPr>
          <w:rFonts w:ascii="Arial" w:hAnsi="Arial" w:cs="Arial"/>
          <w:color w:val="000000" w:themeColor="text1"/>
        </w:rPr>
      </w:pPr>
    </w:p>
    <w:p w14:paraId="6FDC4590" w14:textId="2E91CB11" w:rsidR="004B701C" w:rsidRPr="00995931" w:rsidRDefault="00995931" w:rsidP="00995931">
      <w:pPr>
        <w:spacing w:line="360" w:lineRule="auto"/>
        <w:ind w:left="900" w:hanging="900"/>
        <w:jc w:val="both"/>
        <w:rPr>
          <w:rFonts w:ascii="Arial" w:hAnsi="Arial" w:cs="Arial"/>
          <w:color w:val="000000" w:themeColor="text1"/>
        </w:rPr>
      </w:pPr>
      <w:r>
        <w:rPr>
          <w:rFonts w:ascii="Arial" w:hAnsi="Arial" w:cs="Arial"/>
          <w:color w:val="000000" w:themeColor="text1"/>
        </w:rPr>
        <w:t>[19].</w:t>
      </w:r>
      <w:r>
        <w:rPr>
          <w:rFonts w:ascii="Arial" w:hAnsi="Arial" w:cs="Arial"/>
          <w:color w:val="000000" w:themeColor="text1"/>
        </w:rPr>
        <w:tab/>
      </w:r>
      <w:r w:rsidR="00B45255" w:rsidRPr="00995931">
        <w:rPr>
          <w:rFonts w:ascii="Arial" w:hAnsi="Arial" w:cs="Arial"/>
          <w:color w:val="000000" w:themeColor="text1"/>
        </w:rPr>
        <w:t>Thus, if the duties were to be imposed retr</w:t>
      </w:r>
      <w:r w:rsidR="009542EF" w:rsidRPr="00995931">
        <w:rPr>
          <w:rFonts w:ascii="Arial" w:hAnsi="Arial" w:cs="Arial"/>
          <w:color w:val="000000" w:themeColor="text1"/>
        </w:rPr>
        <w:t>ospectively</w:t>
      </w:r>
      <w:r w:rsidR="00B45255" w:rsidRPr="00995931">
        <w:rPr>
          <w:rFonts w:ascii="Arial" w:hAnsi="Arial" w:cs="Arial"/>
          <w:color w:val="000000" w:themeColor="text1"/>
        </w:rPr>
        <w:t xml:space="preserve">, a situation permitted by Regulation 38(2), then the </w:t>
      </w:r>
      <w:r w:rsidR="000C3019" w:rsidRPr="00995931">
        <w:rPr>
          <w:rFonts w:ascii="Arial" w:hAnsi="Arial" w:cs="Arial"/>
          <w:color w:val="000000" w:themeColor="text1"/>
        </w:rPr>
        <w:t>‘imposition’</w:t>
      </w:r>
      <w:r w:rsidR="000C3019" w:rsidRPr="00A95337">
        <w:rPr>
          <w:rStyle w:val="FootnoteReference"/>
          <w:rFonts w:ascii="Arial" w:hAnsi="Arial" w:cs="Arial"/>
          <w:color w:val="000000" w:themeColor="text1"/>
        </w:rPr>
        <w:footnoteReference w:id="18"/>
      </w:r>
      <w:r w:rsidR="000C3019" w:rsidRPr="00995931">
        <w:rPr>
          <w:rFonts w:ascii="Arial" w:hAnsi="Arial" w:cs="Arial"/>
          <w:color w:val="000000" w:themeColor="text1"/>
        </w:rPr>
        <w:t xml:space="preserve"> </w:t>
      </w:r>
      <w:r w:rsidR="00B45255" w:rsidRPr="00995931">
        <w:rPr>
          <w:rFonts w:ascii="Arial" w:hAnsi="Arial" w:cs="Arial"/>
          <w:color w:val="000000" w:themeColor="text1"/>
        </w:rPr>
        <w:t>of the duty and the period for which it is to be levied should then be calculated from the date of retro</w:t>
      </w:r>
      <w:r w:rsidR="009542EF" w:rsidRPr="00995931">
        <w:rPr>
          <w:rFonts w:ascii="Arial" w:hAnsi="Arial" w:cs="Arial"/>
          <w:color w:val="000000" w:themeColor="text1"/>
        </w:rPr>
        <w:t>spective</w:t>
      </w:r>
      <w:r w:rsidR="00B45255" w:rsidRPr="00995931">
        <w:rPr>
          <w:rFonts w:ascii="Arial" w:hAnsi="Arial" w:cs="Arial"/>
          <w:color w:val="000000" w:themeColor="text1"/>
        </w:rPr>
        <w:t xml:space="preserve"> imposition</w:t>
      </w:r>
      <w:r w:rsidR="004B701C" w:rsidRPr="00995931">
        <w:rPr>
          <w:rFonts w:ascii="Arial" w:hAnsi="Arial" w:cs="Arial"/>
          <w:color w:val="000000" w:themeColor="text1"/>
        </w:rPr>
        <w:t xml:space="preserve">.  </w:t>
      </w:r>
      <w:r w:rsidR="00B13443" w:rsidRPr="00995931">
        <w:rPr>
          <w:rFonts w:ascii="Arial" w:hAnsi="Arial" w:cs="Arial"/>
          <w:color w:val="000000" w:themeColor="text1"/>
        </w:rPr>
        <w:t>TATA</w:t>
      </w:r>
      <w:r w:rsidR="004B701C" w:rsidRPr="00995931">
        <w:rPr>
          <w:rFonts w:ascii="Arial" w:hAnsi="Arial" w:cs="Arial"/>
          <w:color w:val="000000" w:themeColor="text1"/>
        </w:rPr>
        <w:t xml:space="preserve"> </w:t>
      </w:r>
      <w:r w:rsidR="0044597A" w:rsidRPr="00995931">
        <w:rPr>
          <w:rFonts w:ascii="Arial" w:hAnsi="Arial" w:cs="Arial"/>
          <w:color w:val="000000" w:themeColor="text1"/>
        </w:rPr>
        <w:t>argued</w:t>
      </w:r>
      <w:r w:rsidR="004B701C" w:rsidRPr="00995931">
        <w:rPr>
          <w:rFonts w:ascii="Arial" w:hAnsi="Arial" w:cs="Arial"/>
          <w:color w:val="000000" w:themeColor="text1"/>
        </w:rPr>
        <w:t xml:space="preserve"> </w:t>
      </w:r>
      <w:r w:rsidR="009542EF" w:rsidRPr="00995931">
        <w:rPr>
          <w:rFonts w:ascii="Arial" w:hAnsi="Arial" w:cs="Arial"/>
          <w:color w:val="000000" w:themeColor="text1"/>
        </w:rPr>
        <w:t xml:space="preserve">that </w:t>
      </w:r>
      <w:r w:rsidR="004B701C" w:rsidRPr="00995931">
        <w:rPr>
          <w:rFonts w:ascii="Arial" w:hAnsi="Arial" w:cs="Arial"/>
          <w:color w:val="000000" w:themeColor="text1"/>
        </w:rPr>
        <w:t>Regulation 53</w:t>
      </w:r>
      <w:r w:rsidR="0044597A" w:rsidRPr="00995931">
        <w:rPr>
          <w:rFonts w:ascii="Arial" w:hAnsi="Arial" w:cs="Arial"/>
          <w:color w:val="000000" w:themeColor="text1"/>
        </w:rPr>
        <w:t xml:space="preserve">, within the context of a sunset </w:t>
      </w:r>
      <w:r w:rsidR="0044597A" w:rsidRPr="00995931">
        <w:rPr>
          <w:rFonts w:ascii="Arial" w:hAnsi="Arial" w:cs="Arial"/>
          <w:color w:val="000000" w:themeColor="text1"/>
        </w:rPr>
        <w:lastRenderedPageBreak/>
        <w:t xml:space="preserve">review and the scheme of the Regulations as a whole, was consonant with their argument </w:t>
      </w:r>
      <w:r w:rsidR="009542EF" w:rsidRPr="00995931">
        <w:rPr>
          <w:rFonts w:ascii="Arial" w:hAnsi="Arial" w:cs="Arial"/>
          <w:color w:val="000000" w:themeColor="text1"/>
        </w:rPr>
        <w:t>regarding</w:t>
      </w:r>
      <w:r w:rsidR="0044597A" w:rsidRPr="00995931">
        <w:rPr>
          <w:rFonts w:ascii="Arial" w:hAnsi="Arial" w:cs="Arial"/>
          <w:color w:val="000000" w:themeColor="text1"/>
        </w:rPr>
        <w:t xml:space="preserve"> the calculation of the 5-year period.</w:t>
      </w:r>
    </w:p>
    <w:p w14:paraId="67DBB090" w14:textId="77777777" w:rsidR="0044597A" w:rsidRDefault="0044597A" w:rsidP="0044597A">
      <w:pPr>
        <w:pStyle w:val="ListParagraph"/>
        <w:spacing w:line="360" w:lineRule="auto"/>
        <w:ind w:left="900"/>
        <w:jc w:val="both"/>
        <w:rPr>
          <w:rFonts w:ascii="Arial" w:hAnsi="Arial" w:cs="Arial"/>
          <w:color w:val="000000" w:themeColor="text1"/>
        </w:rPr>
      </w:pPr>
    </w:p>
    <w:p w14:paraId="617A05CF" w14:textId="0BF21F4E" w:rsidR="004B701C" w:rsidRPr="00995931" w:rsidRDefault="00995931" w:rsidP="00995931">
      <w:pPr>
        <w:spacing w:line="360" w:lineRule="auto"/>
        <w:ind w:left="900" w:hanging="900"/>
        <w:jc w:val="both"/>
        <w:rPr>
          <w:rFonts w:ascii="Arial" w:hAnsi="Arial" w:cs="Arial"/>
          <w:color w:val="000000" w:themeColor="text1"/>
        </w:rPr>
      </w:pPr>
      <w:r>
        <w:rPr>
          <w:rFonts w:ascii="Arial" w:hAnsi="Arial" w:cs="Arial"/>
          <w:color w:val="000000" w:themeColor="text1"/>
        </w:rPr>
        <w:t>[20].</w:t>
      </w:r>
      <w:r>
        <w:rPr>
          <w:rFonts w:ascii="Arial" w:hAnsi="Arial" w:cs="Arial"/>
          <w:color w:val="000000" w:themeColor="text1"/>
        </w:rPr>
        <w:tab/>
      </w:r>
      <w:r w:rsidR="004B701C" w:rsidRPr="00995931">
        <w:rPr>
          <w:rFonts w:ascii="Arial" w:hAnsi="Arial" w:cs="Arial"/>
          <w:color w:val="000000" w:themeColor="text1"/>
        </w:rPr>
        <w:t>Regulation 53 provides:</w:t>
      </w:r>
    </w:p>
    <w:p w14:paraId="213DC76B" w14:textId="785D8969" w:rsidR="004B701C" w:rsidRDefault="004B701C" w:rsidP="004B701C">
      <w:pPr>
        <w:pStyle w:val="ListParagraph"/>
        <w:rPr>
          <w:rFonts w:ascii="Arial" w:hAnsi="Arial" w:cs="Arial"/>
          <w:color w:val="000000" w:themeColor="text1"/>
        </w:rPr>
      </w:pPr>
    </w:p>
    <w:p w14:paraId="376D743C" w14:textId="4BD1EF17" w:rsidR="004B701C" w:rsidRPr="0044597A" w:rsidRDefault="004B701C" w:rsidP="00E8231E">
      <w:pPr>
        <w:pStyle w:val="ListParagraph"/>
        <w:tabs>
          <w:tab w:val="center" w:pos="2268"/>
          <w:tab w:val="center" w:pos="2552"/>
        </w:tabs>
        <w:spacing w:line="360" w:lineRule="auto"/>
        <w:ind w:left="1418"/>
        <w:jc w:val="both"/>
        <w:rPr>
          <w:rFonts w:ascii="Arial" w:hAnsi="Arial" w:cs="Arial"/>
          <w:b/>
          <w:bCs/>
          <w:i/>
          <w:iCs/>
          <w:color w:val="000000" w:themeColor="text1"/>
          <w:sz w:val="22"/>
          <w:szCs w:val="22"/>
        </w:rPr>
      </w:pPr>
      <w:r w:rsidRPr="0044597A">
        <w:rPr>
          <w:rFonts w:ascii="Arial" w:hAnsi="Arial" w:cs="Arial"/>
          <w:b/>
          <w:bCs/>
          <w:i/>
          <w:iCs/>
          <w:color w:val="000000" w:themeColor="text1"/>
          <w:sz w:val="22"/>
          <w:szCs w:val="22"/>
        </w:rPr>
        <w:t>“53</w:t>
      </w:r>
      <w:r w:rsidRPr="0044597A">
        <w:rPr>
          <w:rFonts w:ascii="Arial" w:hAnsi="Arial" w:cs="Arial"/>
          <w:b/>
          <w:bCs/>
          <w:i/>
          <w:iCs/>
          <w:color w:val="000000" w:themeColor="text1"/>
          <w:sz w:val="22"/>
          <w:szCs w:val="22"/>
        </w:rPr>
        <w:tab/>
      </w:r>
      <w:r w:rsidR="00D245F3">
        <w:rPr>
          <w:rFonts w:ascii="Arial" w:hAnsi="Arial" w:cs="Arial"/>
          <w:b/>
          <w:bCs/>
          <w:i/>
          <w:iCs/>
          <w:color w:val="000000" w:themeColor="text1"/>
          <w:sz w:val="22"/>
          <w:szCs w:val="22"/>
        </w:rPr>
        <w:tab/>
      </w:r>
      <w:r w:rsidRPr="0044597A">
        <w:rPr>
          <w:rFonts w:ascii="Arial" w:hAnsi="Arial" w:cs="Arial"/>
          <w:b/>
          <w:bCs/>
          <w:i/>
          <w:iCs/>
          <w:color w:val="000000" w:themeColor="text1"/>
          <w:sz w:val="22"/>
          <w:szCs w:val="22"/>
        </w:rPr>
        <w:t>Duration of anti-dumping duties</w:t>
      </w:r>
    </w:p>
    <w:p w14:paraId="7263DB9B" w14:textId="7BECC6CF" w:rsidR="004B701C" w:rsidRPr="0044597A" w:rsidRDefault="004B701C" w:rsidP="00D245F3">
      <w:pPr>
        <w:pStyle w:val="ListParagraph"/>
        <w:spacing w:line="360" w:lineRule="auto"/>
        <w:ind w:left="1701"/>
        <w:jc w:val="both"/>
        <w:rPr>
          <w:rFonts w:ascii="Arial" w:hAnsi="Arial" w:cs="Arial"/>
          <w:i/>
          <w:iCs/>
          <w:color w:val="000000" w:themeColor="text1"/>
          <w:sz w:val="22"/>
          <w:szCs w:val="22"/>
        </w:rPr>
      </w:pPr>
    </w:p>
    <w:p w14:paraId="4593FCFE" w14:textId="5F4CF380" w:rsidR="004B701C" w:rsidRPr="0044597A" w:rsidRDefault="004B701C" w:rsidP="00D245F3">
      <w:pPr>
        <w:pStyle w:val="ListParagraph"/>
        <w:spacing w:line="360" w:lineRule="auto"/>
        <w:ind w:left="3119" w:hanging="851"/>
        <w:jc w:val="both"/>
        <w:rPr>
          <w:rFonts w:ascii="Arial" w:hAnsi="Arial" w:cs="Arial"/>
          <w:i/>
          <w:iCs/>
          <w:color w:val="000000" w:themeColor="text1"/>
          <w:sz w:val="22"/>
          <w:szCs w:val="22"/>
        </w:rPr>
      </w:pPr>
      <w:r w:rsidRPr="0044597A">
        <w:rPr>
          <w:rFonts w:ascii="Arial" w:hAnsi="Arial" w:cs="Arial"/>
          <w:i/>
          <w:iCs/>
          <w:color w:val="000000" w:themeColor="text1"/>
          <w:sz w:val="22"/>
          <w:szCs w:val="22"/>
        </w:rPr>
        <w:t>53.1</w:t>
      </w:r>
      <w:r w:rsidRPr="0044597A">
        <w:rPr>
          <w:rFonts w:ascii="Arial" w:hAnsi="Arial" w:cs="Arial"/>
          <w:i/>
          <w:iCs/>
          <w:color w:val="000000" w:themeColor="text1"/>
          <w:sz w:val="22"/>
          <w:szCs w:val="22"/>
        </w:rPr>
        <w:tab/>
        <w:t>Anti-dumping duties shall remain in place for a period not exceeding 5 years from the imposition or the last review thereof.</w:t>
      </w:r>
    </w:p>
    <w:p w14:paraId="2626631F" w14:textId="29B56C23" w:rsidR="004B701C" w:rsidRPr="0044597A" w:rsidRDefault="004B701C" w:rsidP="00D245F3">
      <w:pPr>
        <w:pStyle w:val="ListParagraph"/>
        <w:spacing w:line="360" w:lineRule="auto"/>
        <w:ind w:left="3119" w:hanging="851"/>
        <w:jc w:val="both"/>
        <w:rPr>
          <w:rFonts w:ascii="Arial" w:hAnsi="Arial" w:cs="Arial"/>
          <w:i/>
          <w:iCs/>
          <w:color w:val="000000" w:themeColor="text1"/>
          <w:sz w:val="22"/>
          <w:szCs w:val="22"/>
        </w:rPr>
      </w:pPr>
    </w:p>
    <w:p w14:paraId="416751C2" w14:textId="0995CC1A" w:rsidR="0044597A" w:rsidRPr="0044597A" w:rsidRDefault="004B701C" w:rsidP="00D245F3">
      <w:pPr>
        <w:pStyle w:val="ListParagraph"/>
        <w:spacing w:line="360" w:lineRule="auto"/>
        <w:ind w:left="3119" w:hanging="851"/>
        <w:jc w:val="both"/>
        <w:rPr>
          <w:rFonts w:ascii="Arial" w:hAnsi="Arial" w:cs="Arial"/>
          <w:i/>
          <w:iCs/>
          <w:color w:val="000000" w:themeColor="text1"/>
          <w:sz w:val="22"/>
          <w:szCs w:val="22"/>
        </w:rPr>
      </w:pPr>
      <w:r w:rsidRPr="0044597A">
        <w:rPr>
          <w:rFonts w:ascii="Arial" w:hAnsi="Arial" w:cs="Arial"/>
          <w:i/>
          <w:iCs/>
          <w:color w:val="000000" w:themeColor="text1"/>
          <w:sz w:val="22"/>
          <w:szCs w:val="22"/>
        </w:rPr>
        <w:t>53.2</w:t>
      </w:r>
      <w:r w:rsidRPr="0044597A">
        <w:rPr>
          <w:rFonts w:ascii="Arial" w:hAnsi="Arial" w:cs="Arial"/>
          <w:i/>
          <w:iCs/>
          <w:color w:val="000000" w:themeColor="text1"/>
          <w:sz w:val="22"/>
          <w:szCs w:val="22"/>
        </w:rPr>
        <w:tab/>
        <w:t>If a sunset review has been initiated prior to the lapse of an anti-d</w:t>
      </w:r>
      <w:r w:rsidR="0044597A" w:rsidRPr="0044597A">
        <w:rPr>
          <w:rFonts w:ascii="Arial" w:hAnsi="Arial" w:cs="Arial"/>
          <w:i/>
          <w:iCs/>
          <w:color w:val="000000" w:themeColor="text1"/>
          <w:sz w:val="22"/>
          <w:szCs w:val="22"/>
        </w:rPr>
        <w:t>umping duty, such anti-dumping duty shall remain in force until the sunset review has been finalized”.</w:t>
      </w:r>
    </w:p>
    <w:p w14:paraId="405EA015" w14:textId="6ABEFFF7" w:rsidR="0044597A" w:rsidRDefault="0044597A" w:rsidP="004B701C">
      <w:pPr>
        <w:pStyle w:val="ListParagraph"/>
        <w:rPr>
          <w:rFonts w:ascii="Arial" w:hAnsi="Arial" w:cs="Arial"/>
          <w:color w:val="000000" w:themeColor="text1"/>
        </w:rPr>
      </w:pPr>
    </w:p>
    <w:p w14:paraId="3C6E8F1B" w14:textId="77777777" w:rsidR="0025737D" w:rsidRDefault="0025737D" w:rsidP="004B701C">
      <w:pPr>
        <w:pStyle w:val="ListParagraph"/>
        <w:rPr>
          <w:rFonts w:ascii="Arial" w:hAnsi="Arial" w:cs="Arial"/>
          <w:color w:val="000000" w:themeColor="text1"/>
        </w:rPr>
      </w:pPr>
    </w:p>
    <w:p w14:paraId="17643743" w14:textId="44211962" w:rsidR="00B45255" w:rsidRPr="00995931" w:rsidRDefault="00995931" w:rsidP="00995931">
      <w:pPr>
        <w:spacing w:line="360" w:lineRule="auto"/>
        <w:ind w:left="900" w:hanging="900"/>
        <w:jc w:val="both"/>
        <w:rPr>
          <w:rFonts w:ascii="Arial" w:hAnsi="Arial" w:cs="Arial"/>
          <w:color w:val="000000" w:themeColor="text1"/>
        </w:rPr>
      </w:pPr>
      <w:r>
        <w:rPr>
          <w:rFonts w:ascii="Arial" w:hAnsi="Arial" w:cs="Arial"/>
          <w:color w:val="000000" w:themeColor="text1"/>
        </w:rPr>
        <w:t>[21].</w:t>
      </w:r>
      <w:r>
        <w:rPr>
          <w:rFonts w:ascii="Arial" w:hAnsi="Arial" w:cs="Arial"/>
          <w:color w:val="000000" w:themeColor="text1"/>
        </w:rPr>
        <w:tab/>
      </w:r>
      <w:r w:rsidR="00B45255" w:rsidRPr="00995931">
        <w:rPr>
          <w:rFonts w:ascii="Arial" w:hAnsi="Arial" w:cs="Arial"/>
          <w:color w:val="000000" w:themeColor="text1"/>
        </w:rPr>
        <w:t xml:space="preserve">In the present instance, the applicants argued that the </w:t>
      </w:r>
      <w:r w:rsidR="004B701C" w:rsidRPr="00995931">
        <w:rPr>
          <w:rFonts w:ascii="Arial" w:hAnsi="Arial" w:cs="Arial"/>
          <w:color w:val="000000" w:themeColor="text1"/>
        </w:rPr>
        <w:t>5-year</w:t>
      </w:r>
      <w:r w:rsidR="00B45255" w:rsidRPr="00995931">
        <w:rPr>
          <w:rFonts w:ascii="Arial" w:hAnsi="Arial" w:cs="Arial"/>
          <w:color w:val="000000" w:themeColor="text1"/>
        </w:rPr>
        <w:t xml:space="preserve"> period was to be calculated from 20 December 2013, and to expire on 19 December 2018.  </w:t>
      </w:r>
    </w:p>
    <w:p w14:paraId="7D6C1958" w14:textId="77777777" w:rsidR="0025737D" w:rsidRDefault="0025737D" w:rsidP="00B45255">
      <w:pPr>
        <w:pStyle w:val="ListParagraph"/>
        <w:spacing w:line="360" w:lineRule="auto"/>
        <w:ind w:left="900"/>
        <w:jc w:val="both"/>
        <w:rPr>
          <w:rFonts w:ascii="Arial" w:hAnsi="Arial" w:cs="Arial"/>
          <w:color w:val="000000" w:themeColor="text1"/>
        </w:rPr>
      </w:pPr>
    </w:p>
    <w:p w14:paraId="68964DFC" w14:textId="3ED787D3" w:rsidR="000C3019" w:rsidRPr="00995931" w:rsidRDefault="00995931" w:rsidP="00995931">
      <w:pPr>
        <w:spacing w:line="360" w:lineRule="auto"/>
        <w:ind w:left="900" w:hanging="900"/>
        <w:jc w:val="both"/>
        <w:rPr>
          <w:rFonts w:ascii="Arial" w:hAnsi="Arial" w:cs="Arial"/>
          <w:color w:val="000000" w:themeColor="text1"/>
        </w:rPr>
      </w:pPr>
      <w:r w:rsidRPr="00A95337">
        <w:rPr>
          <w:rFonts w:ascii="Arial" w:hAnsi="Arial" w:cs="Arial"/>
          <w:color w:val="000000" w:themeColor="text1"/>
        </w:rPr>
        <w:t>[22].</w:t>
      </w:r>
      <w:r w:rsidRPr="00A95337">
        <w:rPr>
          <w:rFonts w:ascii="Arial" w:hAnsi="Arial" w:cs="Arial"/>
          <w:color w:val="000000" w:themeColor="text1"/>
        </w:rPr>
        <w:tab/>
      </w:r>
      <w:r w:rsidR="00B45255" w:rsidRPr="00995931">
        <w:rPr>
          <w:rFonts w:ascii="Arial" w:hAnsi="Arial" w:cs="Arial"/>
          <w:color w:val="000000" w:themeColor="text1"/>
        </w:rPr>
        <w:t>It</w:t>
      </w:r>
      <w:r w:rsidR="00293CA3" w:rsidRPr="00995931">
        <w:rPr>
          <w:rFonts w:ascii="Arial" w:hAnsi="Arial" w:cs="Arial"/>
          <w:color w:val="000000" w:themeColor="text1"/>
        </w:rPr>
        <w:t xml:space="preserve"> is not in issue that the</w:t>
      </w:r>
      <w:r w:rsidR="00B45255" w:rsidRPr="00995931">
        <w:rPr>
          <w:rFonts w:ascii="Arial" w:hAnsi="Arial" w:cs="Arial"/>
          <w:color w:val="000000" w:themeColor="text1"/>
        </w:rPr>
        <w:t xml:space="preserve"> duties</w:t>
      </w:r>
      <w:r w:rsidR="00293CA3" w:rsidRPr="00995931">
        <w:rPr>
          <w:rFonts w:ascii="Arial" w:hAnsi="Arial" w:cs="Arial"/>
          <w:color w:val="000000" w:themeColor="text1"/>
        </w:rPr>
        <w:t xml:space="preserve"> may be extended if reviewed prior to the lapse of the 5-year period. </w:t>
      </w:r>
      <w:r w:rsidR="000C3019" w:rsidRPr="00995931">
        <w:rPr>
          <w:rFonts w:ascii="Arial" w:hAnsi="Arial" w:cs="Arial"/>
          <w:color w:val="000000" w:themeColor="text1"/>
        </w:rPr>
        <w:t>It is the meaning of ‘imposition’</w:t>
      </w:r>
      <w:r w:rsidR="00293CA3" w:rsidRPr="00995931">
        <w:rPr>
          <w:rFonts w:ascii="Arial" w:hAnsi="Arial" w:cs="Arial"/>
          <w:color w:val="000000" w:themeColor="text1"/>
        </w:rPr>
        <w:t xml:space="preserve"> and the date upon which the duties were imposed</w:t>
      </w:r>
      <w:r w:rsidR="000C3019" w:rsidRPr="00995931">
        <w:rPr>
          <w:rFonts w:ascii="Arial" w:hAnsi="Arial" w:cs="Arial"/>
          <w:color w:val="000000" w:themeColor="text1"/>
        </w:rPr>
        <w:t xml:space="preserve"> </w:t>
      </w:r>
      <w:r w:rsidR="0074440F" w:rsidRPr="00995931">
        <w:rPr>
          <w:rFonts w:ascii="Arial" w:hAnsi="Arial" w:cs="Arial"/>
          <w:color w:val="000000" w:themeColor="text1"/>
        </w:rPr>
        <w:t xml:space="preserve">and the date of expiry (or otherwise) </w:t>
      </w:r>
      <w:r w:rsidR="000C3019" w:rsidRPr="00995931">
        <w:rPr>
          <w:rFonts w:ascii="Arial" w:hAnsi="Arial" w:cs="Arial"/>
          <w:color w:val="000000" w:themeColor="text1"/>
        </w:rPr>
        <w:t xml:space="preserve">about which </w:t>
      </w:r>
      <w:r w:rsidR="00B13443" w:rsidRPr="00995931">
        <w:rPr>
          <w:rFonts w:ascii="Arial" w:hAnsi="Arial" w:cs="Arial"/>
          <w:color w:val="000000" w:themeColor="text1"/>
        </w:rPr>
        <w:t>TATA</w:t>
      </w:r>
      <w:r w:rsidR="000C3019" w:rsidRPr="00995931">
        <w:rPr>
          <w:rFonts w:ascii="Arial" w:hAnsi="Arial" w:cs="Arial"/>
          <w:color w:val="000000" w:themeColor="text1"/>
        </w:rPr>
        <w:t xml:space="preserve"> and the respondents disagree that is at the heart of this application.</w:t>
      </w:r>
      <w:r w:rsidR="00293CA3" w:rsidRPr="00995931">
        <w:rPr>
          <w:rFonts w:ascii="Arial" w:hAnsi="Arial" w:cs="Arial"/>
          <w:color w:val="000000" w:themeColor="text1"/>
        </w:rPr>
        <w:t xml:space="preserve"> </w:t>
      </w:r>
    </w:p>
    <w:p w14:paraId="57B40731" w14:textId="371551E9" w:rsidR="00293CA3" w:rsidRPr="003120FA" w:rsidRDefault="00293CA3" w:rsidP="003120FA">
      <w:pPr>
        <w:rPr>
          <w:rFonts w:ascii="Arial" w:hAnsi="Arial" w:cs="Arial"/>
          <w:color w:val="000000" w:themeColor="text1"/>
        </w:rPr>
      </w:pPr>
    </w:p>
    <w:p w14:paraId="47F424BF" w14:textId="77777777" w:rsidR="0025737D" w:rsidRPr="00A95337" w:rsidRDefault="0025737D" w:rsidP="00293CA3">
      <w:pPr>
        <w:pStyle w:val="ListParagraph"/>
        <w:rPr>
          <w:rFonts w:ascii="Arial" w:hAnsi="Arial" w:cs="Arial"/>
          <w:color w:val="000000" w:themeColor="text1"/>
        </w:rPr>
      </w:pPr>
    </w:p>
    <w:p w14:paraId="56FA3444" w14:textId="220380FE" w:rsidR="00293CA3" w:rsidRPr="00995931" w:rsidRDefault="00995931" w:rsidP="00995931">
      <w:pPr>
        <w:spacing w:line="360" w:lineRule="auto"/>
        <w:ind w:left="900" w:hanging="900"/>
        <w:jc w:val="both"/>
        <w:rPr>
          <w:rFonts w:ascii="Arial" w:hAnsi="Arial" w:cs="Arial"/>
          <w:color w:val="000000" w:themeColor="text1"/>
        </w:rPr>
      </w:pPr>
      <w:r w:rsidRPr="00A95337">
        <w:rPr>
          <w:rFonts w:ascii="Arial" w:hAnsi="Arial" w:cs="Arial"/>
          <w:color w:val="000000" w:themeColor="text1"/>
        </w:rPr>
        <w:t>[23].</w:t>
      </w:r>
      <w:r w:rsidRPr="00A95337">
        <w:rPr>
          <w:rFonts w:ascii="Arial" w:hAnsi="Arial" w:cs="Arial"/>
          <w:color w:val="000000" w:themeColor="text1"/>
        </w:rPr>
        <w:tab/>
      </w:r>
      <w:r w:rsidR="00293CA3" w:rsidRPr="00995931">
        <w:rPr>
          <w:rFonts w:ascii="Arial" w:hAnsi="Arial" w:cs="Arial"/>
          <w:color w:val="000000" w:themeColor="text1"/>
        </w:rPr>
        <w:t xml:space="preserve">In the present matter, the provisional duties became payable from 20 December 2013 and so on the argument of </w:t>
      </w:r>
      <w:r w:rsidR="00B13443" w:rsidRPr="00995931">
        <w:rPr>
          <w:rFonts w:ascii="Arial" w:hAnsi="Arial" w:cs="Arial"/>
          <w:color w:val="000000" w:themeColor="text1"/>
        </w:rPr>
        <w:t>TATA</w:t>
      </w:r>
      <w:r w:rsidR="00293CA3" w:rsidRPr="00995931">
        <w:rPr>
          <w:rFonts w:ascii="Arial" w:hAnsi="Arial" w:cs="Arial"/>
          <w:color w:val="000000" w:themeColor="text1"/>
        </w:rPr>
        <w:t>, the subsequent confirmation of those duties on 19 June 2014 and retroactive imposition mean</w:t>
      </w:r>
      <w:r w:rsidR="009542EF" w:rsidRPr="00995931">
        <w:rPr>
          <w:rFonts w:ascii="Arial" w:hAnsi="Arial" w:cs="Arial"/>
          <w:color w:val="000000" w:themeColor="text1"/>
        </w:rPr>
        <w:t>t</w:t>
      </w:r>
      <w:r w:rsidR="00293CA3" w:rsidRPr="00995931">
        <w:rPr>
          <w:rFonts w:ascii="Arial" w:hAnsi="Arial" w:cs="Arial"/>
          <w:color w:val="000000" w:themeColor="text1"/>
        </w:rPr>
        <w:t xml:space="preserve"> that the </w:t>
      </w:r>
      <w:r w:rsidR="00A019EC" w:rsidRPr="00995931">
        <w:rPr>
          <w:rFonts w:ascii="Arial" w:hAnsi="Arial" w:cs="Arial"/>
          <w:color w:val="000000" w:themeColor="text1"/>
        </w:rPr>
        <w:t>5-year</w:t>
      </w:r>
      <w:r w:rsidR="00293CA3" w:rsidRPr="00995931">
        <w:rPr>
          <w:rFonts w:ascii="Arial" w:hAnsi="Arial" w:cs="Arial"/>
          <w:color w:val="000000" w:themeColor="text1"/>
        </w:rPr>
        <w:t xml:space="preserve"> period for which the duties are to apply commenced on 20 December 2013 and lapsed on 19 December 2018.</w:t>
      </w:r>
    </w:p>
    <w:p w14:paraId="14E6457A" w14:textId="7C3289B3" w:rsidR="00293CA3" w:rsidRDefault="00293CA3" w:rsidP="00293CA3">
      <w:pPr>
        <w:pStyle w:val="ListParagraph"/>
        <w:rPr>
          <w:rFonts w:ascii="Arial" w:hAnsi="Arial" w:cs="Arial"/>
          <w:color w:val="000000" w:themeColor="text1"/>
        </w:rPr>
      </w:pPr>
    </w:p>
    <w:p w14:paraId="39D9A1D2" w14:textId="77777777" w:rsidR="0025737D" w:rsidRPr="00A95337" w:rsidRDefault="0025737D" w:rsidP="00293CA3">
      <w:pPr>
        <w:pStyle w:val="ListParagraph"/>
        <w:rPr>
          <w:rFonts w:ascii="Arial" w:hAnsi="Arial" w:cs="Arial"/>
          <w:color w:val="000000" w:themeColor="text1"/>
        </w:rPr>
      </w:pPr>
    </w:p>
    <w:p w14:paraId="22B25D14" w14:textId="2D22C8F9" w:rsidR="00846A80" w:rsidRPr="00995931" w:rsidRDefault="00995931" w:rsidP="00995931">
      <w:pPr>
        <w:spacing w:line="360" w:lineRule="auto"/>
        <w:ind w:left="900" w:hanging="900"/>
        <w:jc w:val="both"/>
        <w:rPr>
          <w:rFonts w:ascii="Arial" w:hAnsi="Arial" w:cs="Arial"/>
          <w:color w:val="000000" w:themeColor="text1"/>
        </w:rPr>
      </w:pPr>
      <w:r>
        <w:rPr>
          <w:rFonts w:ascii="Arial" w:hAnsi="Arial" w:cs="Arial"/>
          <w:color w:val="000000" w:themeColor="text1"/>
        </w:rPr>
        <w:t>[24].</w:t>
      </w:r>
      <w:r>
        <w:rPr>
          <w:rFonts w:ascii="Arial" w:hAnsi="Arial" w:cs="Arial"/>
          <w:color w:val="000000" w:themeColor="text1"/>
        </w:rPr>
        <w:tab/>
      </w:r>
      <w:r w:rsidR="00293CA3" w:rsidRPr="00995931">
        <w:rPr>
          <w:rFonts w:ascii="Arial" w:hAnsi="Arial" w:cs="Arial"/>
          <w:color w:val="000000" w:themeColor="text1"/>
        </w:rPr>
        <w:t xml:space="preserve">The way in which the 5-year period is to be calculated is crucial to the determination of this matter. If the period is calculated as contended by </w:t>
      </w:r>
      <w:r w:rsidR="00E8765D" w:rsidRPr="00995931">
        <w:rPr>
          <w:rFonts w:ascii="Arial" w:hAnsi="Arial" w:cs="Arial"/>
          <w:color w:val="000000" w:themeColor="text1"/>
        </w:rPr>
        <w:t>TATA,</w:t>
      </w:r>
      <w:r w:rsidR="00293CA3" w:rsidRPr="00995931">
        <w:rPr>
          <w:rFonts w:ascii="Arial" w:hAnsi="Arial" w:cs="Arial"/>
          <w:color w:val="000000" w:themeColor="text1"/>
        </w:rPr>
        <w:t xml:space="preserve"> then the initiation of the sunset review</w:t>
      </w:r>
      <w:r w:rsidR="00B45255">
        <w:rPr>
          <w:rStyle w:val="FootnoteReference"/>
          <w:rFonts w:ascii="Arial" w:hAnsi="Arial" w:cs="Arial"/>
          <w:color w:val="000000" w:themeColor="text1"/>
        </w:rPr>
        <w:footnoteReference w:id="19"/>
      </w:r>
      <w:r w:rsidR="00293CA3" w:rsidRPr="00995931">
        <w:rPr>
          <w:rFonts w:ascii="Arial" w:hAnsi="Arial" w:cs="Arial"/>
          <w:color w:val="000000" w:themeColor="text1"/>
        </w:rPr>
        <w:t xml:space="preserve"> on 26 April 2019 was not timeous</w:t>
      </w:r>
      <w:r w:rsidR="008D2675" w:rsidRPr="00995931">
        <w:rPr>
          <w:rFonts w:ascii="Arial" w:hAnsi="Arial" w:cs="Arial"/>
          <w:color w:val="000000" w:themeColor="text1"/>
        </w:rPr>
        <w:t xml:space="preserve">.  </w:t>
      </w:r>
      <w:r w:rsidR="008D2675" w:rsidRPr="00995931">
        <w:rPr>
          <w:rFonts w:ascii="Arial" w:hAnsi="Arial" w:cs="Arial"/>
          <w:color w:val="000000" w:themeColor="text1"/>
        </w:rPr>
        <w:lastRenderedPageBreak/>
        <w:t xml:space="preserve">On </w:t>
      </w:r>
      <w:r w:rsidR="00B13443" w:rsidRPr="00995931">
        <w:rPr>
          <w:rFonts w:ascii="Arial" w:hAnsi="Arial" w:cs="Arial"/>
          <w:color w:val="000000" w:themeColor="text1"/>
        </w:rPr>
        <w:t>TATA</w:t>
      </w:r>
      <w:r w:rsidR="008D2675" w:rsidRPr="00995931">
        <w:rPr>
          <w:rFonts w:ascii="Arial" w:hAnsi="Arial" w:cs="Arial"/>
          <w:color w:val="000000" w:themeColor="text1"/>
        </w:rPr>
        <w:t xml:space="preserve">’s argument, the sunset review ought to have been initiated in terms of Regulation 54(1) </w:t>
      </w:r>
      <w:r w:rsidR="00D245F3" w:rsidRPr="00995931">
        <w:rPr>
          <w:rFonts w:ascii="Arial" w:hAnsi="Arial" w:cs="Arial"/>
          <w:color w:val="000000" w:themeColor="text1"/>
        </w:rPr>
        <w:t xml:space="preserve">on a date prior to 19 December 2018.  </w:t>
      </w:r>
    </w:p>
    <w:p w14:paraId="15F12332" w14:textId="77777777" w:rsidR="00846A80" w:rsidRDefault="00846A80" w:rsidP="00846A80">
      <w:pPr>
        <w:pStyle w:val="ListParagraph"/>
        <w:spacing w:line="360" w:lineRule="auto"/>
        <w:ind w:left="900"/>
        <w:jc w:val="both"/>
        <w:rPr>
          <w:rFonts w:ascii="Arial" w:hAnsi="Arial" w:cs="Arial"/>
          <w:color w:val="000000" w:themeColor="text1"/>
        </w:rPr>
      </w:pPr>
    </w:p>
    <w:p w14:paraId="27E58683" w14:textId="1E0A8B74" w:rsidR="008D2675" w:rsidRPr="00995931" w:rsidRDefault="00995931" w:rsidP="00995931">
      <w:pPr>
        <w:spacing w:line="360" w:lineRule="auto"/>
        <w:ind w:left="900" w:hanging="900"/>
        <w:jc w:val="both"/>
        <w:rPr>
          <w:rFonts w:ascii="Arial" w:hAnsi="Arial" w:cs="Arial"/>
          <w:color w:val="000000" w:themeColor="text1"/>
        </w:rPr>
      </w:pPr>
      <w:r>
        <w:rPr>
          <w:rFonts w:ascii="Arial" w:hAnsi="Arial" w:cs="Arial"/>
          <w:color w:val="000000" w:themeColor="text1"/>
        </w:rPr>
        <w:t>[25].</w:t>
      </w:r>
      <w:r>
        <w:rPr>
          <w:rFonts w:ascii="Arial" w:hAnsi="Arial" w:cs="Arial"/>
          <w:color w:val="000000" w:themeColor="text1"/>
        </w:rPr>
        <w:tab/>
      </w:r>
      <w:r w:rsidR="008D2675" w:rsidRPr="00995931">
        <w:rPr>
          <w:rFonts w:ascii="Arial" w:hAnsi="Arial" w:cs="Arial"/>
          <w:color w:val="000000" w:themeColor="text1"/>
        </w:rPr>
        <w:t xml:space="preserve">Since it was initiated after that date, </w:t>
      </w:r>
      <w:r w:rsidR="00293CA3" w:rsidRPr="00995931">
        <w:rPr>
          <w:rFonts w:ascii="Arial" w:hAnsi="Arial" w:cs="Arial"/>
          <w:color w:val="000000" w:themeColor="text1"/>
        </w:rPr>
        <w:t xml:space="preserve">the </w:t>
      </w:r>
      <w:r w:rsidR="00A019EC" w:rsidRPr="00995931">
        <w:rPr>
          <w:rFonts w:ascii="Arial" w:hAnsi="Arial" w:cs="Arial"/>
          <w:color w:val="000000" w:themeColor="text1"/>
        </w:rPr>
        <w:t xml:space="preserve">obligation to </w:t>
      </w:r>
      <w:r w:rsidR="008D2675" w:rsidRPr="00995931">
        <w:rPr>
          <w:rFonts w:ascii="Arial" w:hAnsi="Arial" w:cs="Arial"/>
          <w:color w:val="000000" w:themeColor="text1"/>
        </w:rPr>
        <w:t xml:space="preserve">continue to </w:t>
      </w:r>
      <w:r w:rsidR="00A019EC" w:rsidRPr="00995931">
        <w:rPr>
          <w:rFonts w:ascii="Arial" w:hAnsi="Arial" w:cs="Arial"/>
          <w:color w:val="000000" w:themeColor="text1"/>
        </w:rPr>
        <w:t>pay any duty</w:t>
      </w:r>
      <w:r w:rsidR="00B45255" w:rsidRPr="00995931">
        <w:rPr>
          <w:rFonts w:ascii="Arial" w:hAnsi="Arial" w:cs="Arial"/>
          <w:color w:val="000000" w:themeColor="text1"/>
        </w:rPr>
        <w:t xml:space="preserve"> </w:t>
      </w:r>
      <w:r w:rsidR="008D2675" w:rsidRPr="00995931">
        <w:rPr>
          <w:rFonts w:ascii="Arial" w:hAnsi="Arial" w:cs="Arial"/>
          <w:color w:val="000000" w:themeColor="text1"/>
        </w:rPr>
        <w:t xml:space="preserve">after 19 December 2018 </w:t>
      </w:r>
      <w:r w:rsidR="00A019EC" w:rsidRPr="00995931">
        <w:rPr>
          <w:rFonts w:ascii="Arial" w:hAnsi="Arial" w:cs="Arial"/>
          <w:color w:val="000000" w:themeColor="text1"/>
        </w:rPr>
        <w:t>lapsed</w:t>
      </w:r>
      <w:r w:rsidR="008D2675" w:rsidRPr="00995931">
        <w:rPr>
          <w:rFonts w:ascii="Arial" w:hAnsi="Arial" w:cs="Arial"/>
          <w:color w:val="000000" w:themeColor="text1"/>
        </w:rPr>
        <w:t xml:space="preserve"> because the duty did not remain in force</w:t>
      </w:r>
      <w:r w:rsidR="00D245F3" w:rsidRPr="00995931">
        <w:rPr>
          <w:rFonts w:ascii="Arial" w:hAnsi="Arial" w:cs="Arial"/>
          <w:color w:val="000000" w:themeColor="text1"/>
        </w:rPr>
        <w:t xml:space="preserve">.  </w:t>
      </w:r>
      <w:r w:rsidR="008D2675" w:rsidRPr="00995931">
        <w:rPr>
          <w:rFonts w:ascii="Arial" w:hAnsi="Arial" w:cs="Arial"/>
          <w:color w:val="000000" w:themeColor="text1"/>
        </w:rPr>
        <w:t>Regulation 53(2)</w:t>
      </w:r>
      <w:r w:rsidR="00202A41">
        <w:rPr>
          <w:rStyle w:val="FootnoteReference"/>
          <w:rFonts w:ascii="Arial" w:hAnsi="Arial" w:cs="Arial"/>
          <w:color w:val="000000" w:themeColor="text1"/>
        </w:rPr>
        <w:footnoteReference w:id="20"/>
      </w:r>
      <w:r w:rsidR="008D2675" w:rsidRPr="00995931">
        <w:rPr>
          <w:rFonts w:ascii="Arial" w:hAnsi="Arial" w:cs="Arial"/>
          <w:color w:val="000000" w:themeColor="text1"/>
        </w:rPr>
        <w:t xml:space="preserve"> </w:t>
      </w:r>
      <w:r w:rsidR="00D245F3" w:rsidRPr="00995931">
        <w:rPr>
          <w:rFonts w:ascii="Arial" w:hAnsi="Arial" w:cs="Arial"/>
          <w:color w:val="000000" w:themeColor="text1"/>
        </w:rPr>
        <w:t xml:space="preserve">only finds application, pending the timeous initiation and </w:t>
      </w:r>
      <w:r w:rsidR="008D2675" w:rsidRPr="00995931">
        <w:rPr>
          <w:rFonts w:ascii="Arial" w:hAnsi="Arial" w:cs="Arial"/>
          <w:color w:val="000000" w:themeColor="text1"/>
        </w:rPr>
        <w:t xml:space="preserve">finalization of </w:t>
      </w:r>
      <w:r w:rsidR="00D245F3" w:rsidRPr="00995931">
        <w:rPr>
          <w:rFonts w:ascii="Arial" w:hAnsi="Arial" w:cs="Arial"/>
          <w:color w:val="000000" w:themeColor="text1"/>
        </w:rPr>
        <w:t>a</w:t>
      </w:r>
      <w:r w:rsidR="008D2675" w:rsidRPr="00995931">
        <w:rPr>
          <w:rFonts w:ascii="Arial" w:hAnsi="Arial" w:cs="Arial"/>
          <w:color w:val="000000" w:themeColor="text1"/>
        </w:rPr>
        <w:t xml:space="preserve"> sunset review.</w:t>
      </w:r>
      <w:r w:rsidR="00202A41" w:rsidRPr="00995931">
        <w:rPr>
          <w:rFonts w:ascii="Arial" w:hAnsi="Arial" w:cs="Arial"/>
          <w:color w:val="000000" w:themeColor="text1"/>
        </w:rPr>
        <w:t xml:space="preserve"> Thus, if the sunset review is not initiated timeously, the entire process is invalidated, and the anti-dumping duty does not remain extant pending the sunset review.</w:t>
      </w:r>
    </w:p>
    <w:p w14:paraId="454D7413" w14:textId="77777777" w:rsidR="0025737D" w:rsidRPr="0078301E" w:rsidRDefault="0025737D" w:rsidP="0078301E">
      <w:pPr>
        <w:rPr>
          <w:rFonts w:ascii="Arial" w:hAnsi="Arial" w:cs="Arial"/>
          <w:color w:val="000000" w:themeColor="text1"/>
        </w:rPr>
      </w:pPr>
    </w:p>
    <w:p w14:paraId="42A02633" w14:textId="1774DEEE" w:rsidR="00293CA3" w:rsidRPr="00995931" w:rsidRDefault="00995931" w:rsidP="00995931">
      <w:pPr>
        <w:spacing w:line="360" w:lineRule="auto"/>
        <w:ind w:left="900" w:hanging="900"/>
        <w:jc w:val="both"/>
        <w:rPr>
          <w:rFonts w:ascii="Arial" w:hAnsi="Arial" w:cs="Arial"/>
          <w:color w:val="000000" w:themeColor="text1"/>
        </w:rPr>
      </w:pPr>
      <w:r w:rsidRPr="00A95337">
        <w:rPr>
          <w:rFonts w:ascii="Arial" w:hAnsi="Arial" w:cs="Arial"/>
          <w:color w:val="000000" w:themeColor="text1"/>
        </w:rPr>
        <w:t>[26].</w:t>
      </w:r>
      <w:r w:rsidRPr="00A95337">
        <w:rPr>
          <w:rFonts w:ascii="Arial" w:hAnsi="Arial" w:cs="Arial"/>
          <w:color w:val="000000" w:themeColor="text1"/>
        </w:rPr>
        <w:tab/>
      </w:r>
      <w:r w:rsidR="008D2675" w:rsidRPr="00995931">
        <w:rPr>
          <w:rFonts w:ascii="Arial" w:hAnsi="Arial" w:cs="Arial"/>
          <w:color w:val="000000" w:themeColor="text1"/>
        </w:rPr>
        <w:t xml:space="preserve">Accordingly, </w:t>
      </w:r>
      <w:r w:rsidR="00846A80" w:rsidRPr="00995931">
        <w:rPr>
          <w:rFonts w:ascii="Arial" w:hAnsi="Arial" w:cs="Arial"/>
          <w:color w:val="000000" w:themeColor="text1"/>
        </w:rPr>
        <w:t xml:space="preserve">the argument on behalf of TATA was that </w:t>
      </w:r>
      <w:r w:rsidR="00B13443" w:rsidRPr="00995931">
        <w:rPr>
          <w:rFonts w:ascii="Arial" w:hAnsi="Arial" w:cs="Arial"/>
          <w:color w:val="000000" w:themeColor="text1"/>
        </w:rPr>
        <w:t>ITAC</w:t>
      </w:r>
      <w:r w:rsidR="00A019EC" w:rsidRPr="00995931">
        <w:rPr>
          <w:rFonts w:ascii="Arial" w:hAnsi="Arial" w:cs="Arial"/>
          <w:color w:val="000000" w:themeColor="text1"/>
        </w:rPr>
        <w:t xml:space="preserve"> was required to commence with an investigation </w:t>
      </w:r>
      <w:r w:rsidR="00A019EC" w:rsidRPr="00995931">
        <w:rPr>
          <w:rFonts w:ascii="Arial" w:hAnsi="Arial" w:cs="Arial"/>
          <w:i/>
          <w:iCs/>
          <w:color w:val="000000" w:themeColor="text1"/>
        </w:rPr>
        <w:t>de novo</w:t>
      </w:r>
      <w:r w:rsidR="00A019EC" w:rsidRPr="00995931">
        <w:rPr>
          <w:rFonts w:ascii="Arial" w:hAnsi="Arial" w:cs="Arial"/>
          <w:color w:val="000000" w:themeColor="text1"/>
        </w:rPr>
        <w:t xml:space="preserve"> and </w:t>
      </w:r>
      <w:r w:rsidR="00D245F3" w:rsidRPr="00995931">
        <w:rPr>
          <w:rFonts w:ascii="Arial" w:hAnsi="Arial" w:cs="Arial"/>
          <w:color w:val="000000" w:themeColor="text1"/>
        </w:rPr>
        <w:t xml:space="preserve">the anti-dumping duties gazetted on 19 June 2014 were no longer of any force or effect.  </w:t>
      </w:r>
      <w:r w:rsidR="00E8765D" w:rsidRPr="00995931">
        <w:rPr>
          <w:rFonts w:ascii="Arial" w:hAnsi="Arial" w:cs="Arial"/>
          <w:color w:val="000000" w:themeColor="text1"/>
        </w:rPr>
        <w:t xml:space="preserve">If a new </w:t>
      </w:r>
      <w:r w:rsidR="00D245F3" w:rsidRPr="00995931">
        <w:rPr>
          <w:rFonts w:ascii="Arial" w:hAnsi="Arial" w:cs="Arial"/>
          <w:color w:val="000000" w:themeColor="text1"/>
        </w:rPr>
        <w:t xml:space="preserve"> investigation</w:t>
      </w:r>
      <w:r w:rsidR="00E8765D" w:rsidRPr="00995931">
        <w:rPr>
          <w:rFonts w:ascii="Arial" w:hAnsi="Arial" w:cs="Arial"/>
          <w:color w:val="000000" w:themeColor="text1"/>
        </w:rPr>
        <w:t xml:space="preserve"> were commenced</w:t>
      </w:r>
      <w:r w:rsidR="00D245F3" w:rsidRPr="00995931">
        <w:rPr>
          <w:rFonts w:ascii="Arial" w:hAnsi="Arial" w:cs="Arial"/>
          <w:color w:val="000000" w:themeColor="text1"/>
        </w:rPr>
        <w:t xml:space="preserve">, </w:t>
      </w:r>
      <w:r w:rsidR="00A019EC" w:rsidRPr="00995931">
        <w:rPr>
          <w:rFonts w:ascii="Arial" w:hAnsi="Arial" w:cs="Arial"/>
          <w:color w:val="000000" w:themeColor="text1"/>
        </w:rPr>
        <w:t xml:space="preserve">there would be no duty payable at all by </w:t>
      </w:r>
      <w:r w:rsidR="00B13443" w:rsidRPr="00995931">
        <w:rPr>
          <w:rFonts w:ascii="Arial" w:hAnsi="Arial" w:cs="Arial"/>
          <w:color w:val="000000" w:themeColor="text1"/>
        </w:rPr>
        <w:t>TATA</w:t>
      </w:r>
      <w:r w:rsidR="00A019EC" w:rsidRPr="00995931">
        <w:rPr>
          <w:rFonts w:ascii="Arial" w:hAnsi="Arial" w:cs="Arial"/>
          <w:color w:val="000000" w:themeColor="text1"/>
        </w:rPr>
        <w:t xml:space="preserve"> or any other importer of soda ash.</w:t>
      </w:r>
    </w:p>
    <w:p w14:paraId="67D7130A" w14:textId="77777777" w:rsidR="0025737D" w:rsidRPr="0078301E" w:rsidRDefault="0025737D" w:rsidP="0078301E">
      <w:pPr>
        <w:rPr>
          <w:rFonts w:ascii="Arial" w:hAnsi="Arial" w:cs="Arial"/>
          <w:color w:val="000000" w:themeColor="text1"/>
          <w:u w:val="single"/>
        </w:rPr>
      </w:pPr>
    </w:p>
    <w:p w14:paraId="6D8F1A4C" w14:textId="1E6E9B0E" w:rsidR="00797FA6" w:rsidRPr="00995931" w:rsidRDefault="00995931" w:rsidP="00995931">
      <w:pPr>
        <w:spacing w:line="360" w:lineRule="auto"/>
        <w:ind w:left="900" w:hanging="900"/>
        <w:jc w:val="both"/>
        <w:rPr>
          <w:rFonts w:ascii="Arial" w:hAnsi="Arial" w:cs="Arial"/>
          <w:color w:val="000000" w:themeColor="text1"/>
          <w:sz w:val="22"/>
          <w:szCs w:val="22"/>
        </w:rPr>
      </w:pPr>
      <w:r w:rsidRPr="00797FA6">
        <w:rPr>
          <w:rFonts w:ascii="Arial" w:hAnsi="Arial" w:cs="Arial"/>
          <w:color w:val="000000" w:themeColor="text1"/>
        </w:rPr>
        <w:t>[27].</w:t>
      </w:r>
      <w:r w:rsidRPr="00797FA6">
        <w:rPr>
          <w:rFonts w:ascii="Arial" w:hAnsi="Arial" w:cs="Arial"/>
          <w:color w:val="000000" w:themeColor="text1"/>
        </w:rPr>
        <w:tab/>
      </w:r>
      <w:r w:rsidR="00B13443" w:rsidRPr="00995931">
        <w:rPr>
          <w:rFonts w:ascii="Arial" w:hAnsi="Arial" w:cs="Arial"/>
          <w:color w:val="000000" w:themeColor="text1"/>
        </w:rPr>
        <w:t>TATA</w:t>
      </w:r>
      <w:r w:rsidR="00A019EC" w:rsidRPr="00995931">
        <w:rPr>
          <w:rFonts w:ascii="Arial" w:hAnsi="Arial" w:cs="Arial"/>
          <w:color w:val="000000" w:themeColor="text1"/>
        </w:rPr>
        <w:t xml:space="preserve"> relied on </w:t>
      </w:r>
      <w:r w:rsidR="009542EF" w:rsidRPr="00995931">
        <w:rPr>
          <w:rFonts w:ascii="Arial" w:hAnsi="Arial" w:cs="Arial"/>
          <w:color w:val="000000" w:themeColor="text1"/>
        </w:rPr>
        <w:t xml:space="preserve">the decision of the Supreme Court of Appeal in </w:t>
      </w:r>
      <w:r w:rsidR="00A019EC" w:rsidRPr="00995931">
        <w:rPr>
          <w:rFonts w:ascii="Arial" w:hAnsi="Arial" w:cs="Arial"/>
          <w:i/>
          <w:iCs/>
          <w:color w:val="000000" w:themeColor="text1"/>
        </w:rPr>
        <w:t>Progress Office Machines CC v South African Revenue Service and Others</w:t>
      </w:r>
      <w:r w:rsidR="0078301E" w:rsidRPr="00995931">
        <w:rPr>
          <w:rFonts w:ascii="Arial" w:hAnsi="Arial" w:cs="Arial"/>
          <w:i/>
          <w:iCs/>
          <w:color w:val="000000" w:themeColor="text1"/>
        </w:rPr>
        <w:t xml:space="preserve">. </w:t>
      </w:r>
      <w:r w:rsidR="00A019EC">
        <w:rPr>
          <w:rStyle w:val="FootnoteReference"/>
          <w:rFonts w:ascii="Arial" w:hAnsi="Arial" w:cs="Arial"/>
          <w:i/>
          <w:iCs/>
          <w:color w:val="000000" w:themeColor="text1"/>
        </w:rPr>
        <w:footnoteReference w:id="21"/>
      </w:r>
      <w:r w:rsidR="00A019EC" w:rsidRPr="00995931">
        <w:rPr>
          <w:rFonts w:ascii="Arial" w:hAnsi="Arial" w:cs="Arial"/>
          <w:i/>
          <w:iCs/>
          <w:color w:val="000000" w:themeColor="text1"/>
        </w:rPr>
        <w:t xml:space="preserve"> </w:t>
      </w:r>
      <w:r w:rsidR="00797FA6" w:rsidRPr="00995931">
        <w:rPr>
          <w:rFonts w:ascii="Arial" w:hAnsi="Arial" w:cs="Arial"/>
          <w:color w:val="000000" w:themeColor="text1"/>
        </w:rPr>
        <w:t xml:space="preserve">The context within which </w:t>
      </w:r>
      <w:r w:rsidR="00797FA6" w:rsidRPr="00995931">
        <w:rPr>
          <w:rFonts w:ascii="Arial" w:hAnsi="Arial" w:cs="Arial"/>
          <w:i/>
          <w:iCs/>
          <w:color w:val="000000" w:themeColor="text1"/>
        </w:rPr>
        <w:t>P</w:t>
      </w:r>
      <w:r w:rsidR="003120FA" w:rsidRPr="00995931">
        <w:rPr>
          <w:rFonts w:ascii="Arial" w:hAnsi="Arial" w:cs="Arial"/>
          <w:i/>
          <w:iCs/>
          <w:color w:val="000000" w:themeColor="text1"/>
        </w:rPr>
        <w:t>rogress Office Machines</w:t>
      </w:r>
      <w:r w:rsidR="00797FA6" w:rsidRPr="00995931">
        <w:rPr>
          <w:rFonts w:ascii="Arial" w:hAnsi="Arial" w:cs="Arial"/>
          <w:color w:val="000000" w:themeColor="text1"/>
        </w:rPr>
        <w:t xml:space="preserve"> was decided was in respect of anti-dumping duties that had been retroactively imposed from 27 November 1998 by notice published in the Government Gazette on 28 May 1999.  </w:t>
      </w:r>
      <w:r w:rsidR="00797FA6" w:rsidRPr="00995931">
        <w:rPr>
          <w:rFonts w:ascii="Arial" w:hAnsi="Arial" w:cs="Arial"/>
          <w:i/>
          <w:iCs/>
          <w:color w:val="000000" w:themeColor="text1"/>
        </w:rPr>
        <w:t>P</w:t>
      </w:r>
      <w:r w:rsidR="00135D96" w:rsidRPr="00995931">
        <w:rPr>
          <w:rFonts w:ascii="Arial" w:hAnsi="Arial" w:cs="Arial"/>
          <w:i/>
          <w:iCs/>
          <w:color w:val="000000" w:themeColor="text1"/>
        </w:rPr>
        <w:t>OM</w:t>
      </w:r>
      <w:r w:rsidR="00797FA6" w:rsidRPr="00995931">
        <w:rPr>
          <w:rFonts w:ascii="Arial" w:hAnsi="Arial" w:cs="Arial"/>
          <w:color w:val="000000" w:themeColor="text1"/>
        </w:rPr>
        <w:t xml:space="preserve"> had argued successfully that the 5-year period was to be reckoned from 27 November 1998 and not 28 May 1999.  Accordingly, the 5-year period expired on 26 November 2003.  However, the ITA only came into operation on 1 June 2003 and the Regulations on 14 November 2003.  Neither were in force at the time that this case was decided.</w:t>
      </w:r>
      <w:r w:rsidR="00797FA6">
        <w:rPr>
          <w:rStyle w:val="FootnoteReference"/>
          <w:rFonts w:ascii="Arial" w:hAnsi="Arial" w:cs="Arial"/>
          <w:color w:val="000000" w:themeColor="text1"/>
        </w:rPr>
        <w:footnoteReference w:id="22"/>
      </w:r>
    </w:p>
    <w:p w14:paraId="3F586FCA" w14:textId="39B959B7" w:rsidR="00797FA6" w:rsidRDefault="00797FA6" w:rsidP="00797FA6">
      <w:pPr>
        <w:pStyle w:val="ListParagraph"/>
        <w:rPr>
          <w:rFonts w:ascii="Arial" w:hAnsi="Arial" w:cs="Arial"/>
          <w:color w:val="000000" w:themeColor="text1"/>
        </w:rPr>
      </w:pPr>
    </w:p>
    <w:p w14:paraId="390C63CA" w14:textId="77777777" w:rsidR="0032736C" w:rsidRPr="00361C33" w:rsidRDefault="0032736C" w:rsidP="00361C33">
      <w:pPr>
        <w:rPr>
          <w:rFonts w:ascii="Arial" w:hAnsi="Arial" w:cs="Arial"/>
          <w:color w:val="000000" w:themeColor="text1"/>
        </w:rPr>
      </w:pPr>
    </w:p>
    <w:p w14:paraId="7189679A" w14:textId="2DA2109A" w:rsidR="00797FA6" w:rsidRPr="00995931" w:rsidRDefault="00995931" w:rsidP="00995931">
      <w:pPr>
        <w:spacing w:line="360" w:lineRule="auto"/>
        <w:ind w:left="851" w:hanging="851"/>
        <w:jc w:val="both"/>
        <w:rPr>
          <w:rFonts w:ascii="Arial" w:hAnsi="Arial" w:cs="Arial"/>
          <w:color w:val="000000" w:themeColor="text1"/>
        </w:rPr>
      </w:pPr>
      <w:r w:rsidRPr="000C7EBE">
        <w:rPr>
          <w:rFonts w:ascii="Arial" w:hAnsi="Arial" w:cs="Arial"/>
          <w:color w:val="000000" w:themeColor="text1"/>
        </w:rPr>
        <w:t>[28].</w:t>
      </w:r>
      <w:r w:rsidRPr="000C7EBE">
        <w:rPr>
          <w:rFonts w:ascii="Arial" w:hAnsi="Arial" w:cs="Arial"/>
          <w:color w:val="000000" w:themeColor="text1"/>
        </w:rPr>
        <w:tab/>
      </w:r>
      <w:r w:rsidR="00797FA6" w:rsidRPr="00995931">
        <w:rPr>
          <w:rFonts w:ascii="Arial" w:hAnsi="Arial" w:cs="Arial"/>
          <w:color w:val="000000" w:themeColor="text1"/>
        </w:rPr>
        <w:t>Having neither the ITA Act nor the Regulations</w:t>
      </w:r>
      <w:r w:rsidR="007159FA" w:rsidRPr="00995931">
        <w:rPr>
          <w:rFonts w:ascii="Arial" w:hAnsi="Arial" w:cs="Arial"/>
          <w:color w:val="000000" w:themeColor="text1"/>
        </w:rPr>
        <w:t xml:space="preserve"> extant in the case</w:t>
      </w:r>
      <w:r w:rsidR="00797FA6" w:rsidRPr="00995931">
        <w:rPr>
          <w:rFonts w:ascii="Arial" w:hAnsi="Arial" w:cs="Arial"/>
          <w:color w:val="000000" w:themeColor="text1"/>
        </w:rPr>
        <w:t xml:space="preserve">, the court in </w:t>
      </w:r>
      <w:r w:rsidR="00797FA6" w:rsidRPr="00995931">
        <w:rPr>
          <w:rFonts w:ascii="Arial" w:hAnsi="Arial" w:cs="Arial"/>
          <w:i/>
          <w:iCs/>
          <w:color w:val="000000" w:themeColor="text1"/>
        </w:rPr>
        <w:t>Progress Office Machines</w:t>
      </w:r>
      <w:r w:rsidR="00797FA6" w:rsidRPr="00995931">
        <w:rPr>
          <w:rFonts w:ascii="Arial" w:hAnsi="Arial" w:cs="Arial"/>
          <w:color w:val="000000" w:themeColor="text1"/>
        </w:rPr>
        <w:t xml:space="preserve"> looked to Article 11.3 of the W</w:t>
      </w:r>
      <w:r w:rsidR="00135D96" w:rsidRPr="00995931">
        <w:rPr>
          <w:rFonts w:ascii="Arial" w:hAnsi="Arial" w:cs="Arial"/>
          <w:color w:val="000000" w:themeColor="text1"/>
        </w:rPr>
        <w:t>orld Trade Organization (WTO)</w:t>
      </w:r>
      <w:r w:rsidR="00797FA6" w:rsidRPr="00995931">
        <w:rPr>
          <w:rFonts w:ascii="Arial" w:hAnsi="Arial" w:cs="Arial"/>
          <w:color w:val="000000" w:themeColor="text1"/>
        </w:rPr>
        <w:t xml:space="preserve"> Anti-Dumping Agreement which provides:</w:t>
      </w:r>
    </w:p>
    <w:p w14:paraId="6CEC23AF" w14:textId="77777777" w:rsidR="00797FA6" w:rsidRPr="00797FA6" w:rsidRDefault="00797FA6" w:rsidP="00797FA6">
      <w:pPr>
        <w:pStyle w:val="ListParagraph"/>
        <w:rPr>
          <w:rFonts w:ascii="Arial" w:hAnsi="Arial" w:cs="Arial"/>
          <w:color w:val="000000" w:themeColor="text1"/>
          <w:sz w:val="22"/>
          <w:szCs w:val="22"/>
        </w:rPr>
      </w:pPr>
    </w:p>
    <w:p w14:paraId="008C3D20" w14:textId="77777777" w:rsidR="002423E5" w:rsidRDefault="002423E5" w:rsidP="00E8231E">
      <w:pPr>
        <w:pStyle w:val="ListParagraph"/>
        <w:spacing w:line="360" w:lineRule="auto"/>
        <w:ind w:left="2268" w:hanging="850"/>
        <w:jc w:val="both"/>
        <w:rPr>
          <w:rFonts w:ascii="Arial" w:hAnsi="Arial" w:cs="Arial"/>
          <w:i/>
          <w:iCs/>
          <w:color w:val="000000" w:themeColor="text1"/>
          <w:sz w:val="22"/>
          <w:szCs w:val="22"/>
        </w:rPr>
      </w:pPr>
    </w:p>
    <w:p w14:paraId="50FBF4D3" w14:textId="7105A4B2" w:rsidR="00797FA6" w:rsidRPr="000C7EBE" w:rsidRDefault="00797FA6" w:rsidP="00E8231E">
      <w:pPr>
        <w:pStyle w:val="ListParagraph"/>
        <w:spacing w:line="360" w:lineRule="auto"/>
        <w:ind w:left="2268" w:hanging="850"/>
        <w:jc w:val="both"/>
        <w:rPr>
          <w:rFonts w:ascii="Arial" w:hAnsi="Arial" w:cs="Arial"/>
          <w:i/>
          <w:iCs/>
          <w:color w:val="000000" w:themeColor="text1"/>
          <w:sz w:val="22"/>
          <w:szCs w:val="22"/>
        </w:rPr>
      </w:pPr>
      <w:r w:rsidRPr="000C7EBE">
        <w:rPr>
          <w:rFonts w:ascii="Arial" w:hAnsi="Arial" w:cs="Arial"/>
          <w:i/>
          <w:iCs/>
          <w:color w:val="000000" w:themeColor="text1"/>
          <w:sz w:val="22"/>
          <w:szCs w:val="22"/>
        </w:rPr>
        <w:lastRenderedPageBreak/>
        <w:t>“11.3</w:t>
      </w:r>
      <w:r w:rsidRPr="000C7EBE">
        <w:rPr>
          <w:rFonts w:ascii="Arial" w:hAnsi="Arial" w:cs="Arial"/>
          <w:i/>
          <w:iCs/>
          <w:color w:val="000000" w:themeColor="text1"/>
          <w:sz w:val="22"/>
          <w:szCs w:val="22"/>
        </w:rPr>
        <w:tab/>
        <w:t xml:space="preserve">Notwithstanding the provisions of paragraphs 1 and 2, any definitive anti-dumping duty shall be terminated on a date not later than five years from its imposition or from the date on the most recent review under paragraph 2 if that review has covered both dumping and injury, or under this paragraph, unless the authorities determine, in a review initiated before that date on their own initiative or </w:t>
      </w:r>
      <w:r w:rsidR="000C7EBE" w:rsidRPr="000C7EBE">
        <w:rPr>
          <w:rFonts w:ascii="Arial" w:hAnsi="Arial" w:cs="Arial"/>
          <w:i/>
          <w:iCs/>
          <w:color w:val="000000" w:themeColor="text1"/>
          <w:sz w:val="22"/>
          <w:szCs w:val="22"/>
        </w:rPr>
        <w:t>upon a duly substantiated request made by or on behalf of the domestic industry within a reasonable period of time prior to that date, that the expiry of the duty would be likely to lead to continuation or recurrence of dumping and injury.  The duty may remain in force pending the outcome of such a review.”</w:t>
      </w:r>
    </w:p>
    <w:p w14:paraId="37FD82B7" w14:textId="1D814B9E" w:rsidR="000C7EBE" w:rsidRPr="000C7EBE" w:rsidRDefault="000C7EBE" w:rsidP="000C7EBE">
      <w:pPr>
        <w:spacing w:line="360" w:lineRule="auto"/>
        <w:jc w:val="both"/>
        <w:rPr>
          <w:rFonts w:ascii="Arial" w:hAnsi="Arial" w:cs="Arial"/>
          <w:color w:val="000000" w:themeColor="text1"/>
          <w:sz w:val="22"/>
          <w:szCs w:val="22"/>
        </w:rPr>
      </w:pPr>
    </w:p>
    <w:p w14:paraId="2B71AE35" w14:textId="1ED6714A" w:rsidR="00A019EC" w:rsidRPr="00995931" w:rsidRDefault="00995931" w:rsidP="00995931">
      <w:pPr>
        <w:spacing w:line="360" w:lineRule="auto"/>
        <w:ind w:left="851" w:hanging="851"/>
        <w:jc w:val="both"/>
        <w:rPr>
          <w:rFonts w:ascii="Arial" w:hAnsi="Arial" w:cs="Arial"/>
          <w:color w:val="000000" w:themeColor="text1"/>
          <w:u w:val="single"/>
        </w:rPr>
      </w:pPr>
      <w:r w:rsidRPr="00A019EC">
        <w:rPr>
          <w:rFonts w:ascii="Arial" w:hAnsi="Arial" w:cs="Arial"/>
          <w:color w:val="000000" w:themeColor="text1"/>
        </w:rPr>
        <w:t>[29].</w:t>
      </w:r>
      <w:r w:rsidRPr="00A019EC">
        <w:rPr>
          <w:rFonts w:ascii="Arial" w:hAnsi="Arial" w:cs="Arial"/>
          <w:color w:val="000000" w:themeColor="text1"/>
        </w:rPr>
        <w:tab/>
      </w:r>
      <w:r w:rsidR="000C7EBE" w:rsidRPr="00995931">
        <w:rPr>
          <w:rFonts w:ascii="Arial" w:hAnsi="Arial" w:cs="Arial"/>
          <w:color w:val="000000" w:themeColor="text1"/>
        </w:rPr>
        <w:t>In considering the 5-year period referred to in Article 11.3, the court then looked to the Customs Act and</w:t>
      </w:r>
      <w:r w:rsidR="00650FD2" w:rsidRPr="00995931">
        <w:rPr>
          <w:rFonts w:ascii="Arial" w:hAnsi="Arial" w:cs="Arial"/>
          <w:color w:val="000000" w:themeColor="text1"/>
        </w:rPr>
        <w:t xml:space="preserve"> held</w:t>
      </w:r>
      <w:r w:rsidR="00650FD2">
        <w:rPr>
          <w:rStyle w:val="FootnoteReference"/>
          <w:rFonts w:ascii="Arial" w:hAnsi="Arial" w:cs="Arial"/>
          <w:color w:val="000000" w:themeColor="text1"/>
        </w:rPr>
        <w:footnoteReference w:id="23"/>
      </w:r>
      <w:r w:rsidR="00A019EC" w:rsidRPr="00995931">
        <w:rPr>
          <w:rFonts w:ascii="Arial" w:hAnsi="Arial" w:cs="Arial"/>
          <w:color w:val="000000" w:themeColor="text1"/>
        </w:rPr>
        <w:t>:</w:t>
      </w:r>
    </w:p>
    <w:p w14:paraId="13CD25EC" w14:textId="77777777" w:rsidR="00FE20FB" w:rsidRPr="00372E0B" w:rsidRDefault="00FE20FB" w:rsidP="00372E0B">
      <w:pPr>
        <w:spacing w:line="360" w:lineRule="auto"/>
        <w:jc w:val="both"/>
        <w:rPr>
          <w:rFonts w:ascii="Arial" w:hAnsi="Arial" w:cs="Arial"/>
          <w:i/>
          <w:iCs/>
          <w:color w:val="000000" w:themeColor="text1"/>
          <w:sz w:val="22"/>
          <w:szCs w:val="22"/>
        </w:rPr>
      </w:pPr>
    </w:p>
    <w:p w14:paraId="01BB9285" w14:textId="77777777" w:rsidR="002423E5" w:rsidRDefault="002423E5" w:rsidP="00E8231E">
      <w:pPr>
        <w:pStyle w:val="ListParagraph"/>
        <w:spacing w:line="360" w:lineRule="auto"/>
        <w:ind w:left="2268" w:hanging="850"/>
        <w:jc w:val="both"/>
        <w:rPr>
          <w:rFonts w:ascii="Arial" w:hAnsi="Arial" w:cs="Arial"/>
          <w:i/>
          <w:iCs/>
          <w:color w:val="000000" w:themeColor="text1"/>
          <w:sz w:val="22"/>
          <w:szCs w:val="22"/>
        </w:rPr>
      </w:pPr>
    </w:p>
    <w:p w14:paraId="1AFEEF00" w14:textId="1F119CDD" w:rsidR="00FE20FB" w:rsidRPr="00FE20FB" w:rsidRDefault="00FE20FB" w:rsidP="00E8231E">
      <w:pPr>
        <w:pStyle w:val="ListParagraph"/>
        <w:spacing w:line="360" w:lineRule="auto"/>
        <w:ind w:left="2268" w:hanging="850"/>
        <w:jc w:val="both"/>
        <w:rPr>
          <w:rFonts w:ascii="Arial" w:hAnsi="Arial" w:cs="Arial"/>
          <w:i/>
          <w:iCs/>
          <w:color w:val="000000" w:themeColor="text1"/>
          <w:sz w:val="22"/>
          <w:szCs w:val="22"/>
        </w:rPr>
      </w:pPr>
      <w:r w:rsidRPr="00FE20FB">
        <w:rPr>
          <w:rFonts w:ascii="Arial" w:hAnsi="Arial" w:cs="Arial"/>
          <w:i/>
          <w:iCs/>
          <w:color w:val="000000" w:themeColor="text1"/>
          <w:sz w:val="22"/>
          <w:szCs w:val="22"/>
        </w:rPr>
        <w:t>“[17]</w:t>
      </w:r>
      <w:r w:rsidRPr="00FE20FB">
        <w:rPr>
          <w:rFonts w:ascii="Arial" w:hAnsi="Arial" w:cs="Arial"/>
          <w:i/>
          <w:iCs/>
          <w:color w:val="000000" w:themeColor="text1"/>
          <w:sz w:val="22"/>
          <w:szCs w:val="22"/>
        </w:rPr>
        <w:tab/>
        <w:t>Perhaps the strongest indication for holding that the duty was ‘imposed’ on 27 November 1998 is to be found in s 57A(3) which leaves no doubt that the duty imposed is a ‘definitive’ anti-dumping duty for the payment of which any provisional payment already imposed serves as security.  It was fully effective on that date just as if it had been ‘imposed’ on that very day.  The definitive anti-dumping duty, it is common cause, endures for five years from its imposition.”</w:t>
      </w:r>
    </w:p>
    <w:p w14:paraId="66419C22" w14:textId="77777777" w:rsidR="006C034E" w:rsidRPr="00B90C40" w:rsidRDefault="006C034E" w:rsidP="00B90C40">
      <w:pPr>
        <w:spacing w:line="360" w:lineRule="auto"/>
        <w:jc w:val="both"/>
        <w:rPr>
          <w:rFonts w:ascii="Arial" w:hAnsi="Arial" w:cs="Arial"/>
          <w:color w:val="000000" w:themeColor="text1"/>
          <w:sz w:val="22"/>
          <w:szCs w:val="22"/>
        </w:rPr>
      </w:pPr>
    </w:p>
    <w:p w14:paraId="62E35D7F" w14:textId="70098A87" w:rsidR="00A019EC" w:rsidRPr="00995931" w:rsidRDefault="00995931" w:rsidP="00995931">
      <w:pPr>
        <w:spacing w:line="360" w:lineRule="auto"/>
        <w:ind w:left="851" w:hanging="851"/>
        <w:jc w:val="both"/>
        <w:rPr>
          <w:rFonts w:ascii="Arial" w:hAnsi="Arial" w:cs="Arial"/>
          <w:color w:val="000000" w:themeColor="text1"/>
          <w:sz w:val="22"/>
          <w:szCs w:val="22"/>
        </w:rPr>
      </w:pPr>
      <w:r w:rsidRPr="00127014">
        <w:rPr>
          <w:rFonts w:ascii="Arial" w:hAnsi="Arial" w:cs="Arial"/>
          <w:color w:val="000000" w:themeColor="text1"/>
        </w:rPr>
        <w:t>[30].</w:t>
      </w:r>
      <w:r w:rsidRPr="00127014">
        <w:rPr>
          <w:rFonts w:ascii="Arial" w:hAnsi="Arial" w:cs="Arial"/>
          <w:color w:val="000000" w:themeColor="text1"/>
        </w:rPr>
        <w:tab/>
      </w:r>
      <w:r w:rsidR="00A019EC" w:rsidRPr="00995931">
        <w:rPr>
          <w:rFonts w:ascii="Arial" w:hAnsi="Arial" w:cs="Arial"/>
          <w:color w:val="000000" w:themeColor="text1"/>
        </w:rPr>
        <w:t xml:space="preserve">They also sought to rely on the minority judgment in </w:t>
      </w:r>
      <w:r w:rsidR="00A019EC" w:rsidRPr="00995931">
        <w:rPr>
          <w:rFonts w:ascii="Arial" w:hAnsi="Arial" w:cs="Arial"/>
          <w:i/>
          <w:iCs/>
          <w:color w:val="000000" w:themeColor="text1"/>
        </w:rPr>
        <w:t xml:space="preserve">Association of Meat Importers and Exporters and Others v </w:t>
      </w:r>
      <w:r w:rsidR="00B13443" w:rsidRPr="00995931">
        <w:rPr>
          <w:rFonts w:ascii="Arial" w:hAnsi="Arial" w:cs="Arial"/>
          <w:i/>
          <w:iCs/>
          <w:color w:val="000000" w:themeColor="text1"/>
        </w:rPr>
        <w:t>ITAC</w:t>
      </w:r>
      <w:r w:rsidR="00A019EC">
        <w:rPr>
          <w:rStyle w:val="FootnoteReference"/>
          <w:rFonts w:ascii="Arial" w:hAnsi="Arial" w:cs="Arial"/>
          <w:i/>
          <w:iCs/>
          <w:color w:val="000000" w:themeColor="text1"/>
        </w:rPr>
        <w:footnoteReference w:id="24"/>
      </w:r>
      <w:r w:rsidR="00135D96" w:rsidRPr="00995931">
        <w:rPr>
          <w:rFonts w:ascii="Arial" w:hAnsi="Arial" w:cs="Arial"/>
          <w:i/>
          <w:iCs/>
          <w:color w:val="000000" w:themeColor="text1"/>
        </w:rPr>
        <w:t xml:space="preserve"> (AMIE)</w:t>
      </w:r>
      <w:r w:rsidR="00A019EC" w:rsidRPr="00995931">
        <w:rPr>
          <w:rFonts w:ascii="Arial" w:hAnsi="Arial" w:cs="Arial"/>
          <w:color w:val="000000" w:themeColor="text1"/>
        </w:rPr>
        <w:t xml:space="preserve"> in which the view was expressed that:</w:t>
      </w:r>
    </w:p>
    <w:p w14:paraId="5702469B" w14:textId="77777777" w:rsidR="00372E0B" w:rsidRDefault="00372E0B" w:rsidP="00A019EC">
      <w:pPr>
        <w:pStyle w:val="ListParagraph"/>
        <w:spacing w:line="360" w:lineRule="auto"/>
        <w:ind w:left="900"/>
        <w:jc w:val="both"/>
        <w:rPr>
          <w:rFonts w:ascii="Arial" w:hAnsi="Arial" w:cs="Arial"/>
          <w:color w:val="000000" w:themeColor="text1"/>
        </w:rPr>
      </w:pPr>
    </w:p>
    <w:p w14:paraId="154A11D9" w14:textId="77777777" w:rsidR="002423E5" w:rsidRDefault="002423E5" w:rsidP="00E8231E">
      <w:pPr>
        <w:pStyle w:val="ListParagraph"/>
        <w:spacing w:line="360" w:lineRule="auto"/>
        <w:ind w:left="2268" w:hanging="850"/>
        <w:jc w:val="both"/>
        <w:rPr>
          <w:rFonts w:ascii="Arial" w:hAnsi="Arial" w:cs="Arial"/>
          <w:i/>
          <w:iCs/>
          <w:color w:val="000000" w:themeColor="text1"/>
          <w:sz w:val="22"/>
          <w:szCs w:val="22"/>
        </w:rPr>
      </w:pPr>
    </w:p>
    <w:p w14:paraId="459D0888" w14:textId="77777777" w:rsidR="002423E5" w:rsidRDefault="002423E5" w:rsidP="00E8231E">
      <w:pPr>
        <w:pStyle w:val="ListParagraph"/>
        <w:spacing w:line="360" w:lineRule="auto"/>
        <w:ind w:left="2268" w:hanging="850"/>
        <w:jc w:val="both"/>
        <w:rPr>
          <w:rFonts w:ascii="Arial" w:hAnsi="Arial" w:cs="Arial"/>
          <w:i/>
          <w:iCs/>
          <w:color w:val="000000" w:themeColor="text1"/>
          <w:sz w:val="22"/>
          <w:szCs w:val="22"/>
        </w:rPr>
      </w:pPr>
    </w:p>
    <w:p w14:paraId="5E8C921D" w14:textId="559B65CB" w:rsidR="009B7B26" w:rsidRDefault="00A019EC" w:rsidP="00E8231E">
      <w:pPr>
        <w:pStyle w:val="ListParagraph"/>
        <w:spacing w:line="360" w:lineRule="auto"/>
        <w:ind w:left="2268" w:hanging="850"/>
        <w:jc w:val="both"/>
        <w:rPr>
          <w:rFonts w:ascii="Arial" w:hAnsi="Arial" w:cs="Arial"/>
          <w:i/>
          <w:iCs/>
          <w:sz w:val="22"/>
          <w:szCs w:val="22"/>
        </w:rPr>
      </w:pPr>
      <w:r w:rsidRPr="007F16B2">
        <w:rPr>
          <w:rFonts w:ascii="Arial" w:hAnsi="Arial" w:cs="Arial"/>
          <w:i/>
          <w:iCs/>
          <w:color w:val="000000" w:themeColor="text1"/>
          <w:sz w:val="22"/>
          <w:szCs w:val="22"/>
        </w:rPr>
        <w:t>“</w:t>
      </w:r>
      <w:r w:rsidR="00142C68" w:rsidRPr="007F16B2">
        <w:rPr>
          <w:rFonts w:ascii="Arial" w:hAnsi="Arial" w:cs="Arial"/>
          <w:i/>
          <w:iCs/>
          <w:color w:val="000000" w:themeColor="text1"/>
          <w:sz w:val="22"/>
          <w:szCs w:val="22"/>
        </w:rPr>
        <w:t>[</w:t>
      </w:r>
      <w:r w:rsidR="007F16B2" w:rsidRPr="007F16B2">
        <w:rPr>
          <w:rFonts w:ascii="Arial" w:hAnsi="Arial" w:cs="Arial"/>
          <w:i/>
          <w:iCs/>
          <w:sz w:val="22"/>
          <w:szCs w:val="22"/>
        </w:rPr>
        <w:t>107]</w:t>
      </w:r>
      <w:r w:rsidR="007F16B2" w:rsidRPr="007F16B2">
        <w:rPr>
          <w:rFonts w:ascii="Arial" w:hAnsi="Arial" w:cs="Arial"/>
          <w:i/>
          <w:iCs/>
          <w:sz w:val="22"/>
          <w:szCs w:val="22"/>
        </w:rPr>
        <w:tab/>
        <w:t xml:space="preserve">When one reads the Second Schedule there Is no indication that the anti-dumping duties contained therein are of limited duration. However, in terms of South Africa's international obligations under the Agreement on Implementation of Article VI of the General Agreement on Tariffs and Trade 1994 ('the Anti-Dumping Agreement') 'any </w:t>
      </w:r>
      <w:r w:rsidR="007F16B2" w:rsidRPr="007F16B2">
        <w:rPr>
          <w:rFonts w:ascii="Arial" w:hAnsi="Arial" w:cs="Arial"/>
          <w:i/>
          <w:iCs/>
          <w:sz w:val="22"/>
          <w:szCs w:val="22"/>
        </w:rPr>
        <w:lastRenderedPageBreak/>
        <w:t xml:space="preserve">definitive anti-dumping duty shall be terminated on a date not later than five years from its imposition'. </w:t>
      </w:r>
      <w:r w:rsidR="009B7B26" w:rsidRPr="007F16B2">
        <w:rPr>
          <w:rFonts w:ascii="Arial" w:hAnsi="Arial" w:cs="Arial"/>
          <w:i/>
          <w:iCs/>
          <w:sz w:val="22"/>
          <w:szCs w:val="22"/>
        </w:rPr>
        <w:t>Accordingly,</w:t>
      </w:r>
      <w:r w:rsidR="007F16B2" w:rsidRPr="007F16B2">
        <w:rPr>
          <w:rFonts w:ascii="Arial" w:hAnsi="Arial" w:cs="Arial"/>
          <w:i/>
          <w:iCs/>
          <w:sz w:val="22"/>
          <w:szCs w:val="22"/>
        </w:rPr>
        <w:t xml:space="preserve"> when the duties in issue in this case were imposed South Africa was under a binding international obligation to limited their duration to a date not later than five years from their imposition. This court held in Progress </w:t>
      </w:r>
      <w:r w:rsidR="007F16B2" w:rsidRPr="007F16B2">
        <w:rPr>
          <w:rFonts w:ascii="Arial" w:hAnsi="Arial" w:cs="Arial"/>
          <w:i/>
          <w:iCs/>
          <w:noProof/>
          <w:sz w:val="22"/>
          <w:szCs w:val="22"/>
        </w:rPr>
        <w:drawing>
          <wp:inline distT="0" distB="0" distL="0" distR="0" wp14:anchorId="4C84A065" wp14:editId="170A32C9">
            <wp:extent cx="4572" cy="4572"/>
            <wp:effectExtent l="0" t="0" r="0" b="0"/>
            <wp:docPr id="6413" name="Picture 6413"/>
            <wp:cNvGraphicFramePr/>
            <a:graphic xmlns:a="http://schemas.openxmlformats.org/drawingml/2006/main">
              <a:graphicData uri="http://schemas.openxmlformats.org/drawingml/2006/picture">
                <pic:pic xmlns:pic="http://schemas.openxmlformats.org/drawingml/2006/picture">
                  <pic:nvPicPr>
                    <pic:cNvPr id="6413" name="Picture 6413"/>
                    <pic:cNvPicPr/>
                  </pic:nvPicPr>
                  <pic:blipFill>
                    <a:blip r:embed="rId9"/>
                    <a:stretch>
                      <a:fillRect/>
                    </a:stretch>
                  </pic:blipFill>
                  <pic:spPr>
                    <a:xfrm>
                      <a:off x="0" y="0"/>
                      <a:ext cx="4572" cy="4572"/>
                    </a:xfrm>
                    <a:prstGeom prst="rect">
                      <a:avLst/>
                    </a:prstGeom>
                  </pic:spPr>
                </pic:pic>
              </a:graphicData>
            </a:graphic>
          </wp:inline>
        </w:drawing>
      </w:r>
      <w:r w:rsidR="007F16B2" w:rsidRPr="007F16B2">
        <w:rPr>
          <w:rFonts w:ascii="Arial" w:hAnsi="Arial" w:cs="Arial"/>
          <w:i/>
          <w:iCs/>
          <w:sz w:val="22"/>
          <w:szCs w:val="22"/>
        </w:rPr>
        <w:t xml:space="preserve">Office Machines CC v South African Revenue Service &amp; others, that South Africa's obligations under the Antidumping Agreement were binding and the Constitutional Court endorsed that in Scaw Metals.  </w:t>
      </w:r>
      <w:r w:rsidR="009B7B26" w:rsidRPr="007F16B2">
        <w:rPr>
          <w:rFonts w:ascii="Arial" w:hAnsi="Arial" w:cs="Arial"/>
          <w:i/>
          <w:iCs/>
          <w:sz w:val="22"/>
          <w:szCs w:val="22"/>
        </w:rPr>
        <w:t>Accordingly,</w:t>
      </w:r>
      <w:r w:rsidR="007F16B2" w:rsidRPr="007F16B2">
        <w:rPr>
          <w:rFonts w:ascii="Arial" w:hAnsi="Arial" w:cs="Arial"/>
          <w:i/>
          <w:iCs/>
          <w:sz w:val="22"/>
          <w:szCs w:val="22"/>
        </w:rPr>
        <w:t xml:space="preserve"> when the duties in issue in this case were imposed South Africa was under an obligation in international law to </w:t>
      </w:r>
      <w:r w:rsidR="007F16B2" w:rsidRPr="007F16B2">
        <w:rPr>
          <w:rFonts w:ascii="Arial" w:hAnsi="Arial" w:cs="Arial"/>
          <w:i/>
          <w:iCs/>
          <w:noProof/>
          <w:sz w:val="22"/>
          <w:szCs w:val="22"/>
        </w:rPr>
        <w:drawing>
          <wp:inline distT="0" distB="0" distL="0" distR="0" wp14:anchorId="7D4B18AA" wp14:editId="44FE352F">
            <wp:extent cx="9144" cy="18288"/>
            <wp:effectExtent l="0" t="0" r="0" b="0"/>
            <wp:docPr id="14126" name="Picture 14126"/>
            <wp:cNvGraphicFramePr/>
            <a:graphic xmlns:a="http://schemas.openxmlformats.org/drawingml/2006/main">
              <a:graphicData uri="http://schemas.openxmlformats.org/drawingml/2006/picture">
                <pic:pic xmlns:pic="http://schemas.openxmlformats.org/drawingml/2006/picture">
                  <pic:nvPicPr>
                    <pic:cNvPr id="14126" name="Picture 14126"/>
                    <pic:cNvPicPr/>
                  </pic:nvPicPr>
                  <pic:blipFill>
                    <a:blip r:embed="rId10"/>
                    <a:stretch>
                      <a:fillRect/>
                    </a:stretch>
                  </pic:blipFill>
                  <pic:spPr>
                    <a:xfrm>
                      <a:off x="0" y="0"/>
                      <a:ext cx="9144" cy="18288"/>
                    </a:xfrm>
                    <a:prstGeom prst="rect">
                      <a:avLst/>
                    </a:prstGeom>
                  </pic:spPr>
                </pic:pic>
              </a:graphicData>
            </a:graphic>
          </wp:inline>
        </w:drawing>
      </w:r>
      <w:r w:rsidR="007F16B2" w:rsidRPr="007F16B2">
        <w:rPr>
          <w:rFonts w:ascii="Arial" w:hAnsi="Arial" w:cs="Arial"/>
          <w:i/>
          <w:iCs/>
          <w:sz w:val="22"/>
          <w:szCs w:val="22"/>
        </w:rPr>
        <w:t>terminate them by not later than five years from their imposition.</w:t>
      </w:r>
      <w:r w:rsidR="009B7B26">
        <w:rPr>
          <w:rFonts w:ascii="Arial" w:hAnsi="Arial" w:cs="Arial"/>
          <w:i/>
          <w:iCs/>
          <w:sz w:val="22"/>
          <w:szCs w:val="22"/>
        </w:rPr>
        <w:t>”</w:t>
      </w:r>
    </w:p>
    <w:p w14:paraId="71423149" w14:textId="77777777" w:rsidR="009B7B26" w:rsidRDefault="009B7B26" w:rsidP="00A019EC">
      <w:pPr>
        <w:pStyle w:val="ListParagraph"/>
        <w:spacing w:line="360" w:lineRule="auto"/>
        <w:ind w:left="900"/>
        <w:jc w:val="both"/>
        <w:rPr>
          <w:rFonts w:ascii="Arial" w:hAnsi="Arial" w:cs="Arial"/>
          <w:i/>
          <w:iCs/>
          <w:sz w:val="22"/>
          <w:szCs w:val="22"/>
        </w:rPr>
      </w:pPr>
    </w:p>
    <w:p w14:paraId="2C59D076" w14:textId="77777777" w:rsidR="009B7B26" w:rsidRDefault="009B7B26" w:rsidP="00A019EC">
      <w:pPr>
        <w:pStyle w:val="ListParagraph"/>
        <w:spacing w:line="360" w:lineRule="auto"/>
        <w:ind w:left="900"/>
        <w:jc w:val="both"/>
        <w:rPr>
          <w:rFonts w:ascii="Arial" w:hAnsi="Arial" w:cs="Arial"/>
          <w:i/>
          <w:iCs/>
          <w:sz w:val="22"/>
          <w:szCs w:val="22"/>
        </w:rPr>
      </w:pPr>
      <w:r>
        <w:rPr>
          <w:rFonts w:ascii="Arial" w:hAnsi="Arial" w:cs="Arial"/>
          <w:i/>
          <w:iCs/>
          <w:sz w:val="22"/>
          <w:szCs w:val="22"/>
        </w:rPr>
        <w:t xml:space="preserve">And </w:t>
      </w:r>
    </w:p>
    <w:p w14:paraId="4DB1D2DE" w14:textId="77777777" w:rsidR="009B7B26" w:rsidRDefault="009B7B26" w:rsidP="00A019EC">
      <w:pPr>
        <w:pStyle w:val="ListParagraph"/>
        <w:spacing w:line="360" w:lineRule="auto"/>
        <w:ind w:left="900"/>
        <w:jc w:val="both"/>
        <w:rPr>
          <w:rFonts w:ascii="Arial" w:hAnsi="Arial" w:cs="Arial"/>
          <w:i/>
          <w:iCs/>
          <w:sz w:val="22"/>
          <w:szCs w:val="22"/>
        </w:rPr>
      </w:pPr>
    </w:p>
    <w:p w14:paraId="726B7E18" w14:textId="062C80A8" w:rsidR="00A019EC" w:rsidRPr="007F16B2" w:rsidRDefault="009B7B26" w:rsidP="00E8231E">
      <w:pPr>
        <w:pStyle w:val="ListParagraph"/>
        <w:spacing w:line="360" w:lineRule="auto"/>
        <w:ind w:left="2268" w:hanging="850"/>
        <w:jc w:val="both"/>
        <w:rPr>
          <w:rFonts w:ascii="Arial" w:hAnsi="Arial" w:cs="Arial"/>
          <w:i/>
          <w:iCs/>
          <w:color w:val="000000" w:themeColor="text1"/>
          <w:sz w:val="22"/>
          <w:szCs w:val="22"/>
        </w:rPr>
      </w:pPr>
      <w:r>
        <w:rPr>
          <w:rFonts w:ascii="Arial" w:hAnsi="Arial" w:cs="Arial"/>
          <w:i/>
          <w:iCs/>
          <w:sz w:val="22"/>
          <w:szCs w:val="22"/>
        </w:rPr>
        <w:t xml:space="preserve">“[109] </w:t>
      </w:r>
      <w:r w:rsidR="00E8231E">
        <w:rPr>
          <w:rFonts w:ascii="Arial" w:hAnsi="Arial" w:cs="Arial"/>
          <w:i/>
          <w:iCs/>
          <w:sz w:val="22"/>
          <w:szCs w:val="22"/>
        </w:rPr>
        <w:tab/>
      </w:r>
      <w:r>
        <w:rPr>
          <w:rFonts w:ascii="Arial" w:hAnsi="Arial" w:cs="Arial"/>
          <w:i/>
          <w:iCs/>
          <w:sz w:val="22"/>
          <w:szCs w:val="22"/>
        </w:rPr>
        <w:t>In Progress Office Machines, this Court answered by holding the date of imposition of the duty is the date from which the duty became payable, that is, the date of its retrospective application. That decision binds us. It is plainly not open to us on a straightforward issue of construction, where the court was faced with two possibilities and selected one of them, to depart from that finding simply because we would reach a different conclusion.”</w:t>
      </w:r>
      <w:r w:rsidR="007F16B2" w:rsidRPr="007F16B2">
        <w:rPr>
          <w:rFonts w:ascii="Arial" w:hAnsi="Arial" w:cs="Arial"/>
          <w:i/>
          <w:iCs/>
          <w:sz w:val="22"/>
          <w:szCs w:val="22"/>
        </w:rPr>
        <w:t xml:space="preserve"> </w:t>
      </w:r>
    </w:p>
    <w:p w14:paraId="11C8CD18" w14:textId="77777777" w:rsidR="0025737D" w:rsidRPr="0078301E" w:rsidRDefault="0025737D" w:rsidP="0078301E">
      <w:pPr>
        <w:spacing w:line="360" w:lineRule="auto"/>
        <w:jc w:val="both"/>
        <w:rPr>
          <w:rFonts w:ascii="Arial" w:hAnsi="Arial" w:cs="Arial"/>
          <w:color w:val="000000" w:themeColor="text1"/>
          <w:sz w:val="22"/>
          <w:szCs w:val="22"/>
        </w:rPr>
      </w:pPr>
    </w:p>
    <w:p w14:paraId="1FC120A4" w14:textId="615B3AEF" w:rsidR="00984887" w:rsidRPr="00995931" w:rsidRDefault="00995931" w:rsidP="00995931">
      <w:pPr>
        <w:spacing w:line="360" w:lineRule="auto"/>
        <w:ind w:left="900" w:hanging="900"/>
        <w:jc w:val="both"/>
        <w:rPr>
          <w:rFonts w:ascii="Arial" w:hAnsi="Arial" w:cs="Arial"/>
          <w:color w:val="000000" w:themeColor="text1"/>
        </w:rPr>
      </w:pPr>
      <w:r>
        <w:rPr>
          <w:rFonts w:ascii="Arial" w:hAnsi="Arial" w:cs="Arial"/>
          <w:color w:val="000000" w:themeColor="text1"/>
        </w:rPr>
        <w:t>[31].</w:t>
      </w:r>
      <w:r>
        <w:rPr>
          <w:rFonts w:ascii="Arial" w:hAnsi="Arial" w:cs="Arial"/>
          <w:color w:val="000000" w:themeColor="text1"/>
        </w:rPr>
        <w:tab/>
      </w:r>
      <w:r w:rsidR="00363CD3" w:rsidRPr="00995931">
        <w:rPr>
          <w:rFonts w:ascii="Arial" w:hAnsi="Arial" w:cs="Arial"/>
          <w:color w:val="000000" w:themeColor="text1"/>
        </w:rPr>
        <w:t xml:space="preserve">It was argued on behalf of </w:t>
      </w:r>
      <w:r w:rsidR="00B13443" w:rsidRPr="00995931">
        <w:rPr>
          <w:rFonts w:ascii="Arial" w:hAnsi="Arial" w:cs="Arial"/>
          <w:color w:val="000000" w:themeColor="text1"/>
        </w:rPr>
        <w:t>TATA</w:t>
      </w:r>
      <w:r w:rsidR="00363CD3" w:rsidRPr="00995931">
        <w:rPr>
          <w:rFonts w:ascii="Arial" w:hAnsi="Arial" w:cs="Arial"/>
          <w:color w:val="000000" w:themeColor="text1"/>
        </w:rPr>
        <w:t xml:space="preserve"> that since the Supreme Court of Appeal did not overrule the decision in </w:t>
      </w:r>
      <w:r w:rsidR="00363CD3" w:rsidRPr="00995931">
        <w:rPr>
          <w:rFonts w:ascii="Arial" w:hAnsi="Arial" w:cs="Arial"/>
          <w:i/>
          <w:iCs/>
          <w:color w:val="000000" w:themeColor="text1"/>
        </w:rPr>
        <w:t>Progress</w:t>
      </w:r>
      <w:r w:rsidR="003120FA" w:rsidRPr="00995931">
        <w:rPr>
          <w:rFonts w:ascii="Arial" w:hAnsi="Arial" w:cs="Arial"/>
          <w:i/>
          <w:iCs/>
          <w:color w:val="000000" w:themeColor="text1"/>
        </w:rPr>
        <w:t xml:space="preserve"> Office Machines</w:t>
      </w:r>
      <w:r w:rsidR="00363CD3" w:rsidRPr="00995931">
        <w:rPr>
          <w:rFonts w:ascii="Arial" w:hAnsi="Arial" w:cs="Arial"/>
          <w:color w:val="000000" w:themeColor="text1"/>
        </w:rPr>
        <w:t xml:space="preserve">, that decision was binding upon it, and it was obliged to follow it unless it concluded that the decision was wrong. I was referred to </w:t>
      </w:r>
      <w:r w:rsidR="00363CD3" w:rsidRPr="00995931">
        <w:rPr>
          <w:rFonts w:ascii="Arial" w:hAnsi="Arial" w:cs="Arial"/>
          <w:i/>
          <w:iCs/>
          <w:color w:val="000000" w:themeColor="text1"/>
        </w:rPr>
        <w:t>Ruta v Minister of Home Affairs</w:t>
      </w:r>
      <w:r w:rsidR="00363CD3">
        <w:rPr>
          <w:rStyle w:val="FootnoteReference"/>
          <w:rFonts w:ascii="Arial" w:hAnsi="Arial" w:cs="Arial"/>
          <w:color w:val="000000" w:themeColor="text1"/>
        </w:rPr>
        <w:footnoteReference w:id="25"/>
      </w:r>
      <w:r w:rsidR="00363CD3" w:rsidRPr="00995931">
        <w:rPr>
          <w:rFonts w:ascii="Arial" w:hAnsi="Arial" w:cs="Arial"/>
          <w:color w:val="000000" w:themeColor="text1"/>
        </w:rPr>
        <w:t xml:space="preserve"> in which the Constitutional Court held that:</w:t>
      </w:r>
    </w:p>
    <w:p w14:paraId="3A61A890" w14:textId="77777777" w:rsidR="00363CD3" w:rsidRDefault="00363CD3" w:rsidP="00363CD3">
      <w:pPr>
        <w:pStyle w:val="ListParagraph"/>
        <w:spacing w:line="360" w:lineRule="auto"/>
        <w:ind w:left="900"/>
        <w:jc w:val="both"/>
        <w:rPr>
          <w:rFonts w:ascii="Arial" w:hAnsi="Arial" w:cs="Arial"/>
          <w:color w:val="000000" w:themeColor="text1"/>
        </w:rPr>
      </w:pPr>
    </w:p>
    <w:p w14:paraId="594A5719" w14:textId="56E41556" w:rsidR="00363CD3" w:rsidRPr="00E61771" w:rsidRDefault="00363CD3" w:rsidP="00E8231E">
      <w:pPr>
        <w:spacing w:after="7" w:line="376" w:lineRule="auto"/>
        <w:ind w:left="1418" w:right="4"/>
        <w:jc w:val="both"/>
        <w:rPr>
          <w:rFonts w:ascii="Arial" w:hAnsi="Arial" w:cs="Arial"/>
          <w:i/>
          <w:iCs/>
          <w:sz w:val="22"/>
          <w:szCs w:val="22"/>
        </w:rPr>
      </w:pPr>
      <w:r w:rsidRPr="004D1C80">
        <w:rPr>
          <w:rFonts w:ascii="Arial" w:hAnsi="Arial" w:cs="Arial"/>
          <w:i/>
          <w:iCs/>
          <w:color w:val="000000" w:themeColor="text1"/>
          <w:sz w:val="22"/>
          <w:szCs w:val="22"/>
        </w:rPr>
        <w:t>“</w:t>
      </w:r>
      <w:r w:rsidR="00E8765D">
        <w:rPr>
          <w:rFonts w:ascii="Arial" w:eastAsia="Verdana" w:hAnsi="Arial" w:cs="Arial"/>
          <w:i/>
          <w:iCs/>
          <w:sz w:val="22"/>
          <w:szCs w:val="22"/>
        </w:rPr>
        <w:t>….</w:t>
      </w:r>
      <w:r w:rsidR="008A7B19" w:rsidRPr="004D1C80">
        <w:rPr>
          <w:rFonts w:ascii="Arial" w:eastAsia="Verdana" w:hAnsi="Arial" w:cs="Arial"/>
          <w:i/>
          <w:iCs/>
          <w:sz w:val="22"/>
          <w:szCs w:val="22"/>
        </w:rPr>
        <w:t xml:space="preserve"> The Supreme Court of Appeal has itself emphasised that respect for precedent, which requires courts to follow  the decisions of coordinate and higher courts, lies at the heart of judicial practice. This is because it is intrinsically functional to the rule of law, which in turn is foundational to the Constitution.  Why intrinsic? Because without precedent, certainty, </w:t>
      </w:r>
      <w:r w:rsidR="00E61771" w:rsidRPr="004D1C80">
        <w:rPr>
          <w:rFonts w:ascii="Arial" w:eastAsia="Verdana" w:hAnsi="Arial" w:cs="Arial"/>
          <w:i/>
          <w:iCs/>
          <w:sz w:val="22"/>
          <w:szCs w:val="22"/>
        </w:rPr>
        <w:t>predictability,</w:t>
      </w:r>
      <w:r w:rsidR="008A7B19" w:rsidRPr="004D1C80">
        <w:rPr>
          <w:rFonts w:ascii="Arial" w:eastAsia="Verdana" w:hAnsi="Arial" w:cs="Arial"/>
          <w:i/>
          <w:iCs/>
          <w:sz w:val="22"/>
          <w:szCs w:val="22"/>
        </w:rPr>
        <w:t xml:space="preserve"> and coherence</w:t>
      </w:r>
      <w:r w:rsidR="004D1C80" w:rsidRPr="004D1C80">
        <w:rPr>
          <w:rFonts w:ascii="Arial" w:eastAsia="Verdana" w:hAnsi="Arial" w:cs="Arial"/>
          <w:i/>
          <w:iCs/>
          <w:sz w:val="22"/>
          <w:szCs w:val="22"/>
        </w:rPr>
        <w:t xml:space="preserve"> would dissipate. The courts would operate without </w:t>
      </w:r>
      <w:r w:rsidR="004D1C80" w:rsidRPr="004D1C80">
        <w:rPr>
          <w:rFonts w:ascii="Arial" w:eastAsia="Verdana" w:hAnsi="Arial" w:cs="Arial"/>
          <w:i/>
          <w:iCs/>
          <w:sz w:val="22"/>
          <w:szCs w:val="22"/>
        </w:rPr>
        <w:lastRenderedPageBreak/>
        <w:t>map or navigation, vulnerable to whim and fancy. Law would not rule.</w:t>
      </w:r>
      <w:r w:rsidR="004D1C80">
        <w:rPr>
          <w:rFonts w:ascii="Arial" w:eastAsia="Verdana" w:hAnsi="Arial" w:cs="Arial"/>
          <w:i/>
          <w:iCs/>
          <w:sz w:val="22"/>
          <w:szCs w:val="22"/>
        </w:rPr>
        <w:t>”</w:t>
      </w:r>
      <w:r w:rsidR="00E61771">
        <w:rPr>
          <w:rFonts w:ascii="Arial" w:eastAsia="Verdana" w:hAnsi="Arial" w:cs="Arial"/>
          <w:i/>
          <w:iCs/>
          <w:sz w:val="22"/>
          <w:szCs w:val="22"/>
        </w:rPr>
        <w:t xml:space="preserve"> (footnotes omitted)</w:t>
      </w:r>
    </w:p>
    <w:p w14:paraId="066BD178" w14:textId="77777777" w:rsidR="00984887" w:rsidRDefault="00984887" w:rsidP="00984887">
      <w:pPr>
        <w:pStyle w:val="ListParagraph"/>
        <w:spacing w:line="360" w:lineRule="auto"/>
        <w:ind w:left="900"/>
        <w:jc w:val="both"/>
        <w:rPr>
          <w:rFonts w:ascii="Arial" w:hAnsi="Arial" w:cs="Arial"/>
          <w:color w:val="000000" w:themeColor="text1"/>
        </w:rPr>
      </w:pPr>
    </w:p>
    <w:p w14:paraId="215E2BA5" w14:textId="326FF0EA" w:rsidR="00984887" w:rsidRPr="00995931" w:rsidRDefault="00995931" w:rsidP="00995931">
      <w:pPr>
        <w:spacing w:line="360" w:lineRule="auto"/>
        <w:ind w:left="851" w:hanging="851"/>
        <w:jc w:val="both"/>
        <w:rPr>
          <w:rFonts w:ascii="Arial" w:hAnsi="Arial" w:cs="Arial"/>
          <w:color w:val="000000" w:themeColor="text1"/>
        </w:rPr>
      </w:pPr>
      <w:r w:rsidRPr="00346AAA">
        <w:rPr>
          <w:rFonts w:ascii="Arial" w:hAnsi="Arial" w:cs="Arial"/>
          <w:color w:val="000000" w:themeColor="text1"/>
        </w:rPr>
        <w:t>[32].</w:t>
      </w:r>
      <w:r w:rsidRPr="00346AAA">
        <w:rPr>
          <w:rFonts w:ascii="Arial" w:hAnsi="Arial" w:cs="Arial"/>
          <w:color w:val="000000" w:themeColor="text1"/>
        </w:rPr>
        <w:tab/>
      </w:r>
      <w:r w:rsidR="004D45B5" w:rsidRPr="00995931">
        <w:rPr>
          <w:rFonts w:ascii="Arial" w:hAnsi="Arial" w:cs="Arial"/>
          <w:color w:val="000000" w:themeColor="text1"/>
        </w:rPr>
        <w:t>I</w:t>
      </w:r>
      <w:r w:rsidR="00984887" w:rsidRPr="00995931">
        <w:rPr>
          <w:rFonts w:ascii="Arial" w:hAnsi="Arial" w:cs="Arial"/>
          <w:color w:val="000000" w:themeColor="text1"/>
        </w:rPr>
        <w:t xml:space="preserve">n </w:t>
      </w:r>
      <w:r w:rsidR="00984887" w:rsidRPr="00995931">
        <w:rPr>
          <w:rFonts w:ascii="Arial" w:hAnsi="Arial" w:cs="Arial"/>
          <w:i/>
          <w:iCs/>
          <w:color w:val="000000" w:themeColor="text1"/>
        </w:rPr>
        <w:t xml:space="preserve">AMIE </w:t>
      </w:r>
      <w:r w:rsidR="00984887" w:rsidRPr="00995931">
        <w:rPr>
          <w:rFonts w:ascii="Arial" w:hAnsi="Arial" w:cs="Arial"/>
          <w:color w:val="000000" w:themeColor="text1"/>
        </w:rPr>
        <w:t>the Supreme Court of Appeal held:</w:t>
      </w:r>
    </w:p>
    <w:p w14:paraId="011E6E93" w14:textId="77777777" w:rsidR="00984887" w:rsidRDefault="00984887" w:rsidP="00984887">
      <w:pPr>
        <w:pStyle w:val="ListParagraph"/>
        <w:spacing w:line="360" w:lineRule="auto"/>
        <w:ind w:left="900"/>
        <w:jc w:val="both"/>
        <w:rPr>
          <w:rFonts w:ascii="Arial" w:hAnsi="Arial" w:cs="Arial"/>
          <w:color w:val="000000" w:themeColor="text1"/>
        </w:rPr>
      </w:pPr>
    </w:p>
    <w:p w14:paraId="64F89F99" w14:textId="3A25A476" w:rsidR="00AB652A" w:rsidRPr="00AB652A" w:rsidRDefault="00984887" w:rsidP="00E8231E">
      <w:pPr>
        <w:tabs>
          <w:tab w:val="center" w:pos="709"/>
        </w:tabs>
        <w:spacing w:after="27" w:line="360" w:lineRule="auto"/>
        <w:ind w:left="2268" w:right="95" w:hanging="850"/>
        <w:jc w:val="both"/>
        <w:rPr>
          <w:rFonts w:ascii="Arial" w:eastAsia="Calibri" w:hAnsi="Arial" w:cs="Arial"/>
          <w:i/>
          <w:iCs/>
          <w:color w:val="000000"/>
          <w:sz w:val="22"/>
          <w:szCs w:val="22"/>
          <w:lang w:eastAsia="en-ZA"/>
        </w:rPr>
      </w:pPr>
      <w:r w:rsidRPr="00AB652A">
        <w:rPr>
          <w:rFonts w:ascii="Arial" w:hAnsi="Arial" w:cs="Arial"/>
          <w:i/>
          <w:iCs/>
          <w:color w:val="000000" w:themeColor="text1"/>
          <w:sz w:val="22"/>
          <w:szCs w:val="22"/>
        </w:rPr>
        <w:t>“</w:t>
      </w:r>
      <w:r w:rsidR="00AB652A" w:rsidRPr="00AB652A">
        <w:rPr>
          <w:rFonts w:ascii="Arial" w:eastAsia="Calibri" w:hAnsi="Arial" w:cs="Arial"/>
          <w:i/>
          <w:iCs/>
          <w:color w:val="000000"/>
          <w:sz w:val="22"/>
          <w:szCs w:val="22"/>
          <w:lang w:eastAsia="en-ZA"/>
        </w:rPr>
        <w:t>[80]</w:t>
      </w:r>
      <w:r w:rsidR="00AB652A" w:rsidRPr="00AB652A">
        <w:rPr>
          <w:rFonts w:ascii="Arial" w:eastAsia="Calibri" w:hAnsi="Arial" w:cs="Arial"/>
          <w:i/>
          <w:iCs/>
          <w:color w:val="000000"/>
          <w:sz w:val="22"/>
          <w:szCs w:val="22"/>
          <w:lang w:eastAsia="en-ZA"/>
        </w:rPr>
        <w:tab/>
        <w:t xml:space="preserve">It should be apparent that if the date upon which an anti-dumping duty is 'imposed' for purposes of regulation 53.1 </w:t>
      </w:r>
      <w:r w:rsidR="00AB652A">
        <w:rPr>
          <w:rFonts w:ascii="Arial" w:eastAsia="Calibri" w:hAnsi="Arial" w:cs="Arial"/>
          <w:i/>
          <w:iCs/>
          <w:color w:val="000000"/>
          <w:sz w:val="22"/>
          <w:szCs w:val="22"/>
          <w:lang w:eastAsia="en-ZA"/>
        </w:rPr>
        <w:t>is</w:t>
      </w:r>
      <w:r w:rsidR="00AB652A" w:rsidRPr="00AB652A">
        <w:rPr>
          <w:rFonts w:ascii="Arial" w:eastAsia="Calibri" w:hAnsi="Arial" w:cs="Arial"/>
          <w:i/>
          <w:iCs/>
          <w:color w:val="000000"/>
          <w:sz w:val="22"/>
          <w:szCs w:val="22"/>
          <w:lang w:eastAsia="en-ZA"/>
        </w:rPr>
        <w:t xml:space="preserve"> the </w:t>
      </w:r>
      <w:r w:rsidR="00363CD3" w:rsidRPr="00AB652A">
        <w:rPr>
          <w:rFonts w:ascii="Arial" w:eastAsia="Calibri" w:hAnsi="Arial" w:cs="Arial"/>
          <w:i/>
          <w:iCs/>
          <w:color w:val="000000"/>
          <w:sz w:val="22"/>
          <w:szCs w:val="22"/>
          <w:lang w:eastAsia="en-ZA"/>
        </w:rPr>
        <w:t>antedate</w:t>
      </w:r>
      <w:r w:rsidR="00AB652A" w:rsidRPr="00AB652A">
        <w:rPr>
          <w:rFonts w:ascii="Arial" w:eastAsia="Calibri" w:hAnsi="Arial" w:cs="Arial"/>
          <w:i/>
          <w:iCs/>
          <w:color w:val="000000"/>
          <w:sz w:val="22"/>
          <w:szCs w:val="22"/>
          <w:lang w:eastAsia="en-ZA"/>
        </w:rPr>
        <w:t xml:space="preserve"> from which there is liability, the regulation would be hopelessly Inconsistent with regulation 38.1 — the default period under regulation 38.1 would always exceed the max</w:t>
      </w:r>
      <w:r w:rsidR="00AB652A">
        <w:rPr>
          <w:rFonts w:ascii="Arial" w:eastAsia="Calibri" w:hAnsi="Arial" w:cs="Arial"/>
          <w:i/>
          <w:iCs/>
          <w:color w:val="000000"/>
          <w:sz w:val="22"/>
          <w:szCs w:val="22"/>
          <w:lang w:eastAsia="en-ZA"/>
        </w:rPr>
        <w:t>i</w:t>
      </w:r>
      <w:r w:rsidR="00AB652A" w:rsidRPr="00AB652A">
        <w:rPr>
          <w:rFonts w:ascii="Arial" w:eastAsia="Calibri" w:hAnsi="Arial" w:cs="Arial"/>
          <w:i/>
          <w:iCs/>
          <w:color w:val="000000"/>
          <w:sz w:val="22"/>
          <w:szCs w:val="22"/>
          <w:lang w:eastAsia="en-ZA"/>
        </w:rPr>
        <w:t xml:space="preserve">mum period for its existence under regulation 53.1. That </w:t>
      </w:r>
      <w:r w:rsidR="00AB652A">
        <w:rPr>
          <w:rFonts w:ascii="Arial" w:eastAsia="Calibri" w:hAnsi="Arial" w:cs="Arial"/>
          <w:i/>
          <w:iCs/>
          <w:color w:val="000000"/>
          <w:sz w:val="22"/>
          <w:szCs w:val="22"/>
          <w:lang w:eastAsia="en-ZA"/>
        </w:rPr>
        <w:t xml:space="preserve">could </w:t>
      </w:r>
      <w:r w:rsidR="00AB652A" w:rsidRPr="00AB652A">
        <w:rPr>
          <w:rFonts w:ascii="Arial" w:eastAsia="Calibri" w:hAnsi="Arial" w:cs="Arial"/>
          <w:i/>
          <w:iCs/>
          <w:color w:val="000000"/>
          <w:sz w:val="22"/>
          <w:szCs w:val="22"/>
          <w:lang w:eastAsia="en-ZA"/>
        </w:rPr>
        <w:t xml:space="preserve">never have been intended and would be absurd. On the other hand, </w:t>
      </w:r>
      <w:r w:rsidR="00AB652A">
        <w:rPr>
          <w:rFonts w:ascii="Arial" w:eastAsia="Calibri" w:hAnsi="Arial" w:cs="Arial"/>
          <w:i/>
          <w:iCs/>
          <w:color w:val="000000"/>
          <w:sz w:val="22"/>
          <w:szCs w:val="22"/>
          <w:lang w:eastAsia="en-ZA"/>
        </w:rPr>
        <w:t xml:space="preserve">if </w:t>
      </w:r>
      <w:r w:rsidR="00AB652A" w:rsidRPr="00AB652A">
        <w:rPr>
          <w:rFonts w:ascii="Arial" w:eastAsia="Calibri" w:hAnsi="Arial" w:cs="Arial"/>
          <w:i/>
          <w:iCs/>
          <w:color w:val="000000"/>
          <w:sz w:val="22"/>
          <w:szCs w:val="22"/>
          <w:lang w:eastAsia="en-ZA"/>
        </w:rPr>
        <w:t xml:space="preserve">the date of 'imposition' is the date the schedule is amended by notice in the Gazette, the two regulations are consistent — the default period </w:t>
      </w:r>
      <w:r w:rsidR="00AB652A">
        <w:rPr>
          <w:rFonts w:ascii="Arial" w:eastAsia="Calibri" w:hAnsi="Arial" w:cs="Arial"/>
          <w:i/>
          <w:iCs/>
          <w:color w:val="000000"/>
          <w:sz w:val="22"/>
          <w:szCs w:val="22"/>
          <w:lang w:eastAsia="en-ZA"/>
        </w:rPr>
        <w:t>will</w:t>
      </w:r>
      <w:r w:rsidR="00AB652A" w:rsidRPr="00AB652A">
        <w:rPr>
          <w:rFonts w:ascii="Arial" w:eastAsia="Calibri" w:hAnsi="Arial" w:cs="Arial"/>
          <w:i/>
          <w:iCs/>
          <w:color w:val="000000"/>
          <w:sz w:val="22"/>
          <w:szCs w:val="22"/>
          <w:lang w:eastAsia="en-ZA"/>
        </w:rPr>
        <w:t xml:space="preserve"> never expire after the guillotine comes down. Indeed, the would harmonise perfectly if the publication of </w:t>
      </w:r>
      <w:r w:rsidR="00B13443">
        <w:rPr>
          <w:rFonts w:ascii="Arial" w:eastAsia="Calibri" w:hAnsi="Arial" w:cs="Arial"/>
          <w:i/>
          <w:iCs/>
          <w:color w:val="000000"/>
          <w:sz w:val="22"/>
          <w:szCs w:val="22"/>
          <w:lang w:eastAsia="en-ZA"/>
        </w:rPr>
        <w:t>ITAC</w:t>
      </w:r>
      <w:r w:rsidR="00AB652A" w:rsidRPr="00AB652A">
        <w:rPr>
          <w:rFonts w:ascii="Arial" w:eastAsia="Calibri" w:hAnsi="Arial" w:cs="Arial"/>
          <w:i/>
          <w:iCs/>
          <w:color w:val="000000"/>
          <w:sz w:val="22"/>
          <w:szCs w:val="22"/>
          <w:lang w:eastAsia="en-ZA"/>
        </w:rPr>
        <w:t xml:space="preserve">s final recommendation is to be taken as the date it </w:t>
      </w:r>
      <w:r w:rsidR="00AB652A">
        <w:rPr>
          <w:rFonts w:ascii="Arial" w:eastAsia="Calibri" w:hAnsi="Arial" w:cs="Arial"/>
          <w:i/>
          <w:iCs/>
          <w:color w:val="000000"/>
          <w:sz w:val="22"/>
          <w:szCs w:val="22"/>
          <w:lang w:eastAsia="en-ZA"/>
        </w:rPr>
        <w:t>is</w:t>
      </w:r>
      <w:r w:rsidR="00AB652A" w:rsidRPr="00AB652A">
        <w:rPr>
          <w:rFonts w:ascii="Arial" w:eastAsia="Calibri" w:hAnsi="Arial" w:cs="Arial"/>
          <w:i/>
          <w:iCs/>
          <w:color w:val="000000"/>
          <w:sz w:val="22"/>
          <w:szCs w:val="22"/>
          <w:lang w:eastAsia="en-ZA"/>
        </w:rPr>
        <w:t xml:space="preserve"> given effect by the relevant Minister</w:t>
      </w:r>
      <w:r w:rsidR="00AB652A">
        <w:rPr>
          <w:rFonts w:ascii="Arial" w:eastAsia="Calibri" w:hAnsi="Arial" w:cs="Arial"/>
          <w:i/>
          <w:iCs/>
          <w:color w:val="000000"/>
          <w:sz w:val="22"/>
          <w:szCs w:val="22"/>
          <w:lang w:eastAsia="en-ZA"/>
        </w:rPr>
        <w:t>……</w:t>
      </w:r>
      <w:r w:rsidR="00E8231E">
        <w:rPr>
          <w:rFonts w:ascii="Arial" w:eastAsia="Calibri" w:hAnsi="Arial" w:cs="Arial"/>
          <w:i/>
          <w:iCs/>
          <w:color w:val="000000"/>
          <w:sz w:val="22"/>
          <w:szCs w:val="22"/>
          <w:lang w:eastAsia="en-ZA"/>
        </w:rPr>
        <w:t>”</w:t>
      </w:r>
    </w:p>
    <w:p w14:paraId="310F8DCB" w14:textId="77777777" w:rsidR="00AB652A" w:rsidRPr="00AB652A" w:rsidRDefault="00AB652A" w:rsidP="00AB652A">
      <w:pPr>
        <w:tabs>
          <w:tab w:val="center" w:pos="709"/>
        </w:tabs>
        <w:spacing w:after="27" w:line="276" w:lineRule="auto"/>
        <w:ind w:left="-1" w:right="95"/>
        <w:jc w:val="both"/>
        <w:rPr>
          <w:rFonts w:ascii="Arial" w:eastAsia="Calibri" w:hAnsi="Arial" w:cs="Arial"/>
          <w:i/>
          <w:iCs/>
          <w:color w:val="000000"/>
          <w:sz w:val="22"/>
          <w:szCs w:val="22"/>
          <w:lang w:eastAsia="en-ZA"/>
        </w:rPr>
      </w:pPr>
    </w:p>
    <w:p w14:paraId="3CBF7D16" w14:textId="01BB00BC" w:rsidR="00AB652A" w:rsidRPr="00AB652A" w:rsidRDefault="00AB652A" w:rsidP="00E8231E">
      <w:pPr>
        <w:spacing w:after="47" w:line="360" w:lineRule="auto"/>
        <w:ind w:left="2268" w:right="3" w:hanging="850"/>
        <w:jc w:val="both"/>
        <w:rPr>
          <w:rFonts w:ascii="Arial" w:eastAsia="Calibri" w:hAnsi="Arial" w:cs="Arial"/>
          <w:i/>
          <w:iCs/>
          <w:color w:val="000000"/>
          <w:sz w:val="22"/>
          <w:szCs w:val="22"/>
          <w:lang w:eastAsia="en-ZA"/>
        </w:rPr>
      </w:pPr>
      <w:r w:rsidRPr="00AB652A">
        <w:rPr>
          <w:rFonts w:ascii="Arial" w:eastAsia="Calibri" w:hAnsi="Arial" w:cs="Arial"/>
          <w:i/>
          <w:iCs/>
          <w:color w:val="000000"/>
          <w:sz w:val="22"/>
          <w:szCs w:val="22"/>
          <w:lang w:eastAsia="en-ZA"/>
        </w:rPr>
        <w:t>[81]</w:t>
      </w:r>
      <w:r w:rsidRPr="00AB652A">
        <w:rPr>
          <w:rFonts w:ascii="Arial" w:eastAsia="Calibri" w:hAnsi="Arial" w:cs="Arial"/>
          <w:i/>
          <w:iCs/>
          <w:color w:val="000000"/>
          <w:sz w:val="22"/>
          <w:szCs w:val="22"/>
          <w:lang w:eastAsia="en-ZA"/>
        </w:rPr>
        <w:tab/>
        <w:t xml:space="preserve">It is a well-established principle of construction (in truth an inference that might be drawn) that legislation must be construed in favour of consistency, and against </w:t>
      </w:r>
      <w:r>
        <w:rPr>
          <w:rFonts w:ascii="Arial" w:eastAsia="Calibri" w:hAnsi="Arial" w:cs="Arial"/>
          <w:i/>
          <w:iCs/>
          <w:color w:val="000000"/>
          <w:sz w:val="22"/>
          <w:szCs w:val="22"/>
          <w:lang w:eastAsia="en-ZA"/>
        </w:rPr>
        <w:t>i</w:t>
      </w:r>
      <w:r w:rsidRPr="00AB652A">
        <w:rPr>
          <w:rFonts w:ascii="Arial" w:eastAsia="Calibri" w:hAnsi="Arial" w:cs="Arial"/>
          <w:i/>
          <w:iCs/>
          <w:color w:val="000000"/>
          <w:sz w:val="22"/>
          <w:szCs w:val="22"/>
          <w:lang w:eastAsia="en-ZA"/>
        </w:rPr>
        <w:t xml:space="preserve">nconsistency, </w:t>
      </w:r>
      <w:r>
        <w:rPr>
          <w:rFonts w:ascii="Arial" w:eastAsia="Calibri" w:hAnsi="Arial" w:cs="Arial"/>
          <w:i/>
          <w:iCs/>
          <w:color w:val="000000"/>
          <w:sz w:val="22"/>
          <w:szCs w:val="22"/>
          <w:lang w:eastAsia="en-ZA"/>
        </w:rPr>
        <w:t>i</w:t>
      </w:r>
      <w:r w:rsidRPr="00AB652A">
        <w:rPr>
          <w:rFonts w:ascii="Arial" w:eastAsia="Calibri" w:hAnsi="Arial" w:cs="Arial"/>
          <w:i/>
          <w:iCs/>
          <w:color w:val="000000"/>
          <w:sz w:val="22"/>
          <w:szCs w:val="22"/>
          <w:lang w:eastAsia="en-ZA"/>
        </w:rPr>
        <w:t xml:space="preserve">f the language allows it, The only sensible construction that brings about consistency </w:t>
      </w:r>
      <w:r w:rsidR="009B7B26">
        <w:rPr>
          <w:rFonts w:ascii="Arial" w:eastAsia="Calibri" w:hAnsi="Arial" w:cs="Arial"/>
          <w:i/>
          <w:iCs/>
          <w:color w:val="000000"/>
          <w:sz w:val="22"/>
          <w:szCs w:val="22"/>
          <w:lang w:eastAsia="en-ZA"/>
        </w:rPr>
        <w:t>i</w:t>
      </w:r>
      <w:r w:rsidRPr="00AB652A">
        <w:rPr>
          <w:rFonts w:ascii="Arial" w:eastAsia="Calibri" w:hAnsi="Arial" w:cs="Arial"/>
          <w:i/>
          <w:iCs/>
          <w:color w:val="000000"/>
          <w:sz w:val="22"/>
          <w:szCs w:val="22"/>
          <w:lang w:eastAsia="en-ZA"/>
        </w:rPr>
        <w:t xml:space="preserve">s </w:t>
      </w:r>
      <w:r>
        <w:rPr>
          <w:rFonts w:ascii="Arial" w:eastAsia="Calibri" w:hAnsi="Arial" w:cs="Arial"/>
          <w:i/>
          <w:iCs/>
          <w:color w:val="000000"/>
          <w:sz w:val="22"/>
          <w:szCs w:val="22"/>
          <w:lang w:eastAsia="en-ZA"/>
        </w:rPr>
        <w:t>i</w:t>
      </w:r>
      <w:r w:rsidRPr="00AB652A">
        <w:rPr>
          <w:rFonts w:ascii="Arial" w:eastAsia="Calibri" w:hAnsi="Arial" w:cs="Arial"/>
          <w:i/>
          <w:iCs/>
          <w:color w:val="000000"/>
          <w:sz w:val="22"/>
          <w:szCs w:val="22"/>
          <w:lang w:eastAsia="en-ZA"/>
        </w:rPr>
        <w:t>f 'Imposition' in regulation 53 means the date upon which Schedule 2 Is amended by notice in the Gazette,</w:t>
      </w:r>
    </w:p>
    <w:p w14:paraId="192E94C1" w14:textId="77777777" w:rsidR="00AB652A" w:rsidRPr="00AB652A" w:rsidRDefault="00AB652A" w:rsidP="00E8231E">
      <w:pPr>
        <w:spacing w:after="47" w:line="360" w:lineRule="auto"/>
        <w:ind w:left="2268" w:right="3" w:hanging="850"/>
        <w:jc w:val="both"/>
        <w:rPr>
          <w:rFonts w:ascii="Arial" w:eastAsia="Calibri" w:hAnsi="Arial" w:cs="Arial"/>
          <w:i/>
          <w:iCs/>
          <w:color w:val="000000"/>
          <w:sz w:val="22"/>
          <w:szCs w:val="22"/>
          <w:lang w:eastAsia="en-ZA"/>
        </w:rPr>
      </w:pPr>
    </w:p>
    <w:p w14:paraId="2B0D68D6" w14:textId="77F77C49" w:rsidR="00AB652A" w:rsidRPr="00AB652A" w:rsidRDefault="00AB652A" w:rsidP="00E8231E">
      <w:pPr>
        <w:spacing w:after="27" w:line="360" w:lineRule="auto"/>
        <w:ind w:left="2268" w:right="35" w:hanging="850"/>
        <w:jc w:val="both"/>
        <w:rPr>
          <w:i/>
          <w:iCs/>
          <w:sz w:val="22"/>
          <w:szCs w:val="22"/>
        </w:rPr>
      </w:pPr>
      <w:r w:rsidRPr="00AB652A">
        <w:rPr>
          <w:rFonts w:ascii="Arial" w:eastAsia="Calibri" w:hAnsi="Arial" w:cs="Arial"/>
          <w:i/>
          <w:iCs/>
          <w:color w:val="000000"/>
          <w:sz w:val="22"/>
          <w:szCs w:val="22"/>
          <w:lang w:eastAsia="en-ZA"/>
        </w:rPr>
        <w:t>[82]</w:t>
      </w:r>
      <w:r w:rsidRPr="00AB652A">
        <w:rPr>
          <w:rFonts w:ascii="Arial" w:eastAsia="Calibri" w:hAnsi="Arial" w:cs="Arial"/>
          <w:i/>
          <w:iCs/>
          <w:color w:val="000000"/>
          <w:sz w:val="22"/>
          <w:szCs w:val="22"/>
          <w:lang w:eastAsia="en-ZA"/>
        </w:rPr>
        <w:tab/>
        <w:t xml:space="preserve">To give the regulation that meaning will not mean this country </w:t>
      </w:r>
      <w:r>
        <w:rPr>
          <w:rFonts w:ascii="Arial" w:eastAsia="Calibri" w:hAnsi="Arial" w:cs="Arial"/>
          <w:i/>
          <w:iCs/>
          <w:color w:val="000000"/>
          <w:sz w:val="22"/>
          <w:szCs w:val="22"/>
          <w:lang w:eastAsia="en-ZA"/>
        </w:rPr>
        <w:t>i</w:t>
      </w:r>
      <w:r w:rsidRPr="00AB652A">
        <w:rPr>
          <w:rFonts w:ascii="Arial" w:eastAsia="Calibri" w:hAnsi="Arial" w:cs="Arial"/>
          <w:i/>
          <w:iCs/>
          <w:color w:val="000000"/>
          <w:sz w:val="22"/>
          <w:szCs w:val="22"/>
          <w:lang w:eastAsia="en-ZA"/>
        </w:rPr>
        <w:t xml:space="preserve">s </w:t>
      </w:r>
      <w:r>
        <w:rPr>
          <w:rFonts w:ascii="Arial" w:eastAsia="Calibri" w:hAnsi="Arial" w:cs="Arial"/>
          <w:i/>
          <w:iCs/>
          <w:color w:val="000000"/>
          <w:sz w:val="22"/>
          <w:szCs w:val="22"/>
          <w:lang w:eastAsia="en-ZA"/>
        </w:rPr>
        <w:t>i</w:t>
      </w:r>
      <w:r w:rsidRPr="00AB652A">
        <w:rPr>
          <w:rFonts w:ascii="Arial" w:eastAsia="Calibri" w:hAnsi="Arial" w:cs="Arial"/>
          <w:i/>
          <w:iCs/>
          <w:color w:val="000000"/>
          <w:sz w:val="22"/>
          <w:szCs w:val="22"/>
          <w:lang w:eastAsia="en-ZA"/>
        </w:rPr>
        <w:t xml:space="preserve">n breach of its obligations under Article 11.3 </w:t>
      </w:r>
      <w:r>
        <w:rPr>
          <w:rFonts w:ascii="Arial" w:eastAsia="Calibri" w:hAnsi="Arial" w:cs="Arial"/>
          <w:i/>
          <w:iCs/>
          <w:color w:val="000000"/>
          <w:sz w:val="22"/>
          <w:szCs w:val="22"/>
          <w:lang w:eastAsia="en-ZA"/>
        </w:rPr>
        <w:t xml:space="preserve">of the WTO agreement. The meaning given to Article 11.3 </w:t>
      </w:r>
      <w:r w:rsidRPr="00AB652A">
        <w:rPr>
          <w:rFonts w:ascii="Arial" w:eastAsia="Calibri" w:hAnsi="Arial" w:cs="Arial"/>
          <w:i/>
          <w:iCs/>
          <w:color w:val="000000"/>
          <w:sz w:val="22"/>
          <w:szCs w:val="22"/>
          <w:lang w:eastAsia="en-ZA"/>
        </w:rPr>
        <w:t xml:space="preserve">in Progress Office Machines is authoritative only so far as </w:t>
      </w:r>
      <w:r w:rsidRPr="00AB652A">
        <w:rPr>
          <w:rFonts w:ascii="Arial" w:eastAsia="Calibri" w:hAnsi="Arial" w:cs="Arial"/>
          <w:i/>
          <w:iCs/>
          <w:noProof/>
          <w:color w:val="000000"/>
          <w:sz w:val="22"/>
          <w:szCs w:val="22"/>
        </w:rPr>
        <w:drawing>
          <wp:inline distT="0" distB="0" distL="0" distR="0" wp14:anchorId="6DC82DC7" wp14:editId="339113BE">
            <wp:extent cx="13716" cy="13716"/>
            <wp:effectExtent l="0" t="0" r="0" b="0"/>
            <wp:docPr id="13163" name="Picture 13163"/>
            <wp:cNvGraphicFramePr/>
            <a:graphic xmlns:a="http://schemas.openxmlformats.org/drawingml/2006/main">
              <a:graphicData uri="http://schemas.openxmlformats.org/drawingml/2006/picture">
                <pic:pic xmlns:pic="http://schemas.openxmlformats.org/drawingml/2006/picture">
                  <pic:nvPicPr>
                    <pic:cNvPr id="13163" name="Picture 13163"/>
                    <pic:cNvPicPr/>
                  </pic:nvPicPr>
                  <pic:blipFill>
                    <a:blip r:embed="rId11"/>
                    <a:stretch>
                      <a:fillRect/>
                    </a:stretch>
                  </pic:blipFill>
                  <pic:spPr>
                    <a:xfrm>
                      <a:off x="0" y="0"/>
                      <a:ext cx="13716" cy="13716"/>
                    </a:xfrm>
                    <a:prstGeom prst="rect">
                      <a:avLst/>
                    </a:prstGeom>
                  </pic:spPr>
                </pic:pic>
              </a:graphicData>
            </a:graphic>
          </wp:inline>
        </w:drawing>
      </w:r>
      <w:r w:rsidRPr="00AB652A">
        <w:rPr>
          <w:rFonts w:ascii="Arial" w:eastAsia="Calibri" w:hAnsi="Arial" w:cs="Arial"/>
          <w:i/>
          <w:iCs/>
          <w:color w:val="000000"/>
          <w:sz w:val="22"/>
          <w:szCs w:val="22"/>
          <w:lang w:eastAsia="en-ZA"/>
        </w:rPr>
        <w:t xml:space="preserve">that Article is applied domestically but </w:t>
      </w:r>
      <w:r>
        <w:rPr>
          <w:rFonts w:ascii="Arial" w:eastAsia="Calibri" w:hAnsi="Arial" w:cs="Arial"/>
          <w:i/>
          <w:iCs/>
          <w:color w:val="000000"/>
          <w:sz w:val="22"/>
          <w:szCs w:val="22"/>
          <w:lang w:eastAsia="en-ZA"/>
        </w:rPr>
        <w:t>i</w:t>
      </w:r>
      <w:r w:rsidRPr="00AB652A">
        <w:rPr>
          <w:rFonts w:ascii="Arial" w:eastAsia="Calibri" w:hAnsi="Arial" w:cs="Arial"/>
          <w:i/>
          <w:iCs/>
          <w:color w:val="000000"/>
          <w:sz w:val="22"/>
          <w:szCs w:val="22"/>
          <w:lang w:eastAsia="en-ZA"/>
        </w:rPr>
        <w:t xml:space="preserve">s </w:t>
      </w:r>
      <w:r>
        <w:rPr>
          <w:rFonts w:ascii="Arial" w:eastAsia="Calibri" w:hAnsi="Arial" w:cs="Arial"/>
          <w:i/>
          <w:iCs/>
          <w:color w:val="000000"/>
          <w:sz w:val="22"/>
          <w:szCs w:val="22"/>
          <w:lang w:eastAsia="en-ZA"/>
        </w:rPr>
        <w:t>i</w:t>
      </w:r>
      <w:r w:rsidRPr="00AB652A">
        <w:rPr>
          <w:rFonts w:ascii="Arial" w:eastAsia="Calibri" w:hAnsi="Arial" w:cs="Arial"/>
          <w:i/>
          <w:iCs/>
          <w:color w:val="000000"/>
          <w:sz w:val="22"/>
          <w:szCs w:val="22"/>
          <w:lang w:eastAsia="en-ZA"/>
        </w:rPr>
        <w:t xml:space="preserve">mmaterial so far as this country's relations </w:t>
      </w:r>
      <w:r>
        <w:rPr>
          <w:rFonts w:ascii="Arial" w:eastAsia="Calibri" w:hAnsi="Arial" w:cs="Arial"/>
          <w:i/>
          <w:iCs/>
          <w:color w:val="000000"/>
          <w:sz w:val="22"/>
          <w:szCs w:val="22"/>
          <w:lang w:eastAsia="en-ZA"/>
        </w:rPr>
        <w:t>w</w:t>
      </w:r>
      <w:r w:rsidRPr="00AB652A">
        <w:rPr>
          <w:rFonts w:ascii="Arial" w:eastAsia="Calibri" w:hAnsi="Arial" w:cs="Arial"/>
          <w:i/>
          <w:iCs/>
          <w:color w:val="000000"/>
          <w:sz w:val="22"/>
          <w:szCs w:val="22"/>
          <w:lang w:eastAsia="en-ZA"/>
        </w:rPr>
        <w:t>ith its WTO partners are concerned. Perhaps they might see things In the same way as this court did in Progress Office Machines - which case the regulations no doubt call for amendment — but perhaps they might not — in which case all is well and good.</w:t>
      </w:r>
      <w:r>
        <w:rPr>
          <w:rFonts w:ascii="Arial" w:eastAsia="Calibri" w:hAnsi="Arial" w:cs="Arial"/>
          <w:i/>
          <w:iCs/>
          <w:color w:val="000000"/>
          <w:sz w:val="22"/>
          <w:szCs w:val="22"/>
          <w:lang w:eastAsia="en-ZA"/>
        </w:rPr>
        <w:t xml:space="preserve"> It is not</w:t>
      </w:r>
      <w:r w:rsidRPr="00AB652A">
        <w:rPr>
          <w:rFonts w:ascii="Arial" w:eastAsia="Calibri" w:hAnsi="Arial" w:cs="Arial"/>
          <w:i/>
          <w:iCs/>
          <w:color w:val="000000"/>
          <w:sz w:val="22"/>
          <w:szCs w:val="22"/>
          <w:lang w:eastAsia="en-ZA"/>
        </w:rPr>
        <w:t xml:space="preserve"> for us to speculate on how the WTO members understand their agreement.</w:t>
      </w:r>
      <w:r w:rsidRPr="00AB652A">
        <w:rPr>
          <w:rFonts w:ascii="Arial" w:eastAsia="Calibri" w:hAnsi="Arial" w:cs="Arial"/>
          <w:i/>
          <w:iCs/>
          <w:noProof/>
          <w:color w:val="000000"/>
          <w:sz w:val="22"/>
          <w:szCs w:val="22"/>
        </w:rPr>
        <w:drawing>
          <wp:inline distT="0" distB="0" distL="0" distR="0" wp14:anchorId="5FAF41F4" wp14:editId="618216FD">
            <wp:extent cx="9144" cy="27432"/>
            <wp:effectExtent l="0" t="0" r="0" b="0"/>
            <wp:docPr id="6215" name="Picture 6215"/>
            <wp:cNvGraphicFramePr/>
            <a:graphic xmlns:a="http://schemas.openxmlformats.org/drawingml/2006/main">
              <a:graphicData uri="http://schemas.openxmlformats.org/drawingml/2006/picture">
                <pic:pic xmlns:pic="http://schemas.openxmlformats.org/drawingml/2006/picture">
                  <pic:nvPicPr>
                    <pic:cNvPr id="6215" name="Picture 6215"/>
                    <pic:cNvPicPr/>
                  </pic:nvPicPr>
                  <pic:blipFill>
                    <a:blip r:embed="rId12"/>
                    <a:stretch>
                      <a:fillRect/>
                    </a:stretch>
                  </pic:blipFill>
                  <pic:spPr>
                    <a:xfrm>
                      <a:off x="0" y="0"/>
                      <a:ext cx="9144" cy="27432"/>
                    </a:xfrm>
                    <a:prstGeom prst="rect">
                      <a:avLst/>
                    </a:prstGeom>
                  </pic:spPr>
                </pic:pic>
              </a:graphicData>
            </a:graphic>
          </wp:inline>
        </w:drawing>
      </w:r>
      <w:r w:rsidRPr="00AB652A">
        <w:rPr>
          <w:rFonts w:ascii="Arial" w:eastAsia="Calibri" w:hAnsi="Arial" w:cs="Arial"/>
          <w:i/>
          <w:iCs/>
          <w:color w:val="000000"/>
          <w:sz w:val="22"/>
          <w:szCs w:val="22"/>
          <w:lang w:eastAsia="en-ZA"/>
        </w:rPr>
        <w:t>”</w:t>
      </w:r>
    </w:p>
    <w:p w14:paraId="499D8411" w14:textId="77777777" w:rsidR="002423E5" w:rsidRPr="008F59C0" w:rsidRDefault="002423E5" w:rsidP="00984887">
      <w:pPr>
        <w:pStyle w:val="ListParagraph"/>
        <w:spacing w:line="360" w:lineRule="auto"/>
        <w:ind w:left="900"/>
        <w:jc w:val="both"/>
        <w:rPr>
          <w:rFonts w:ascii="Arial" w:hAnsi="Arial" w:cs="Arial"/>
          <w:color w:val="000000" w:themeColor="text1"/>
        </w:rPr>
      </w:pPr>
    </w:p>
    <w:p w14:paraId="2C875483" w14:textId="26B9475A" w:rsidR="00554BD1" w:rsidRPr="00995931" w:rsidRDefault="00995931" w:rsidP="00995931">
      <w:pPr>
        <w:spacing w:line="360" w:lineRule="auto"/>
        <w:ind w:left="851" w:hanging="851"/>
        <w:jc w:val="both"/>
        <w:rPr>
          <w:rFonts w:ascii="Arial" w:hAnsi="Arial" w:cs="Arial"/>
          <w:color w:val="000000" w:themeColor="text1"/>
        </w:rPr>
      </w:pPr>
      <w:r>
        <w:rPr>
          <w:rFonts w:ascii="Arial" w:hAnsi="Arial" w:cs="Arial"/>
          <w:color w:val="000000" w:themeColor="text1"/>
        </w:rPr>
        <w:lastRenderedPageBreak/>
        <w:t>[33].</w:t>
      </w:r>
      <w:r>
        <w:rPr>
          <w:rFonts w:ascii="Arial" w:hAnsi="Arial" w:cs="Arial"/>
          <w:color w:val="000000" w:themeColor="text1"/>
        </w:rPr>
        <w:tab/>
      </w:r>
      <w:r w:rsidR="00346AAA" w:rsidRPr="00995931">
        <w:rPr>
          <w:rFonts w:ascii="Arial" w:hAnsi="Arial" w:cs="Arial"/>
          <w:color w:val="000000" w:themeColor="text1"/>
        </w:rPr>
        <w:t xml:space="preserve">It was argued by </w:t>
      </w:r>
      <w:r w:rsidR="00B13443" w:rsidRPr="00995931">
        <w:rPr>
          <w:rFonts w:ascii="Arial" w:hAnsi="Arial" w:cs="Arial"/>
          <w:color w:val="000000" w:themeColor="text1"/>
        </w:rPr>
        <w:t>TATA</w:t>
      </w:r>
      <w:r w:rsidR="00346AAA" w:rsidRPr="00995931">
        <w:rPr>
          <w:rFonts w:ascii="Arial" w:hAnsi="Arial" w:cs="Arial"/>
          <w:color w:val="000000" w:themeColor="text1"/>
        </w:rPr>
        <w:t xml:space="preserve"> that while the decision in </w:t>
      </w:r>
      <w:r w:rsidR="00346AAA" w:rsidRPr="00995931">
        <w:rPr>
          <w:rFonts w:ascii="Arial" w:hAnsi="Arial" w:cs="Arial"/>
          <w:i/>
          <w:iCs/>
          <w:color w:val="000000" w:themeColor="text1"/>
        </w:rPr>
        <w:t>AMIE</w:t>
      </w:r>
      <w:r w:rsidR="00346AAA" w:rsidRPr="00995931">
        <w:rPr>
          <w:rFonts w:ascii="Arial" w:hAnsi="Arial" w:cs="Arial"/>
          <w:color w:val="000000" w:themeColor="text1"/>
        </w:rPr>
        <w:t xml:space="preserve"> was also binding on this court, because it did not expressly decide that </w:t>
      </w:r>
      <w:r w:rsidR="00346AAA" w:rsidRPr="00995931">
        <w:rPr>
          <w:rFonts w:ascii="Arial" w:hAnsi="Arial" w:cs="Arial"/>
          <w:i/>
          <w:iCs/>
          <w:color w:val="000000" w:themeColor="text1"/>
        </w:rPr>
        <w:t>Progress</w:t>
      </w:r>
      <w:r w:rsidR="005007E2" w:rsidRPr="00995931">
        <w:rPr>
          <w:rFonts w:ascii="Arial" w:hAnsi="Arial" w:cs="Arial"/>
          <w:color w:val="000000" w:themeColor="text1"/>
        </w:rPr>
        <w:t xml:space="preserve"> </w:t>
      </w:r>
      <w:r w:rsidR="003120FA" w:rsidRPr="00995931">
        <w:rPr>
          <w:rFonts w:ascii="Arial" w:hAnsi="Arial" w:cs="Arial"/>
          <w:i/>
          <w:iCs/>
          <w:color w:val="000000" w:themeColor="text1"/>
        </w:rPr>
        <w:t xml:space="preserve">Office Machines </w:t>
      </w:r>
      <w:r w:rsidR="00346AAA" w:rsidRPr="00995931">
        <w:rPr>
          <w:rFonts w:ascii="Arial" w:hAnsi="Arial" w:cs="Arial"/>
          <w:color w:val="000000" w:themeColor="text1"/>
        </w:rPr>
        <w:t xml:space="preserve">was wrong, </w:t>
      </w:r>
      <w:r w:rsidR="004D45B5" w:rsidRPr="00995931">
        <w:rPr>
          <w:rFonts w:ascii="Arial" w:hAnsi="Arial" w:cs="Arial"/>
          <w:color w:val="000000" w:themeColor="text1"/>
        </w:rPr>
        <w:t>the decisions stood to be considered alongside each other.</w:t>
      </w:r>
      <w:r w:rsidR="00346AAA" w:rsidRPr="00995931">
        <w:rPr>
          <w:rFonts w:ascii="Arial" w:hAnsi="Arial" w:cs="Arial"/>
          <w:color w:val="000000" w:themeColor="text1"/>
        </w:rPr>
        <w:t xml:space="preserve"> It was argued by </w:t>
      </w:r>
      <w:r w:rsidR="00B13443" w:rsidRPr="00995931">
        <w:rPr>
          <w:rFonts w:ascii="Arial" w:hAnsi="Arial" w:cs="Arial"/>
          <w:color w:val="000000" w:themeColor="text1"/>
        </w:rPr>
        <w:t>TATA</w:t>
      </w:r>
      <w:r w:rsidR="00346AAA" w:rsidRPr="00995931">
        <w:rPr>
          <w:rFonts w:ascii="Arial" w:hAnsi="Arial" w:cs="Arial"/>
          <w:color w:val="000000" w:themeColor="text1"/>
        </w:rPr>
        <w:t xml:space="preserve"> that the reasoning adopted by the Court in paragraph [80] of </w:t>
      </w:r>
      <w:r w:rsidR="00346AAA" w:rsidRPr="00995931">
        <w:rPr>
          <w:rFonts w:ascii="Arial" w:hAnsi="Arial" w:cs="Arial"/>
          <w:i/>
          <w:iCs/>
          <w:color w:val="000000" w:themeColor="text1"/>
        </w:rPr>
        <w:t>AMIE</w:t>
      </w:r>
      <w:r w:rsidR="00346AAA" w:rsidRPr="00995931">
        <w:rPr>
          <w:rFonts w:ascii="Arial" w:hAnsi="Arial" w:cs="Arial"/>
          <w:color w:val="000000" w:themeColor="text1"/>
        </w:rPr>
        <w:t xml:space="preserve"> was not persuasive on the basis that</w:t>
      </w:r>
      <w:r w:rsidR="00554BD1" w:rsidRPr="00995931">
        <w:rPr>
          <w:rFonts w:ascii="Arial" w:hAnsi="Arial" w:cs="Arial"/>
          <w:color w:val="000000" w:themeColor="text1"/>
        </w:rPr>
        <w:t>:</w:t>
      </w:r>
    </w:p>
    <w:p w14:paraId="22814652" w14:textId="77777777" w:rsidR="00554BD1" w:rsidRDefault="00554BD1" w:rsidP="00554BD1">
      <w:pPr>
        <w:spacing w:line="360" w:lineRule="auto"/>
        <w:jc w:val="both"/>
        <w:rPr>
          <w:rFonts w:ascii="Arial" w:hAnsi="Arial" w:cs="Arial"/>
          <w:color w:val="000000" w:themeColor="text1"/>
        </w:rPr>
      </w:pPr>
    </w:p>
    <w:p w14:paraId="17AE6E6E" w14:textId="4751089F" w:rsidR="00984887" w:rsidRPr="005C4478" w:rsidRDefault="00554BD1" w:rsidP="00E8231E">
      <w:pPr>
        <w:spacing w:line="360" w:lineRule="auto"/>
        <w:ind w:left="1418"/>
        <w:jc w:val="both"/>
        <w:rPr>
          <w:rFonts w:ascii="Arial" w:hAnsi="Arial" w:cs="Arial"/>
          <w:i/>
          <w:iCs/>
          <w:color w:val="000000" w:themeColor="text1"/>
          <w:sz w:val="22"/>
          <w:szCs w:val="22"/>
        </w:rPr>
      </w:pPr>
      <w:r w:rsidRPr="005C4478">
        <w:rPr>
          <w:rFonts w:ascii="Arial" w:hAnsi="Arial" w:cs="Arial"/>
          <w:i/>
          <w:iCs/>
          <w:color w:val="000000" w:themeColor="text1"/>
          <w:sz w:val="22"/>
          <w:szCs w:val="22"/>
        </w:rPr>
        <w:t xml:space="preserve">“First, it was wrong to determine the ‘date of imposition’ of the definitive duty with reference to the date of publication of a report by </w:t>
      </w:r>
      <w:r w:rsidR="00B13443">
        <w:rPr>
          <w:rFonts w:ascii="Arial" w:hAnsi="Arial" w:cs="Arial"/>
          <w:i/>
          <w:iCs/>
          <w:color w:val="000000" w:themeColor="text1"/>
          <w:sz w:val="22"/>
          <w:szCs w:val="22"/>
        </w:rPr>
        <w:t>ITAC</w:t>
      </w:r>
      <w:r w:rsidRPr="005C4478">
        <w:rPr>
          <w:rFonts w:ascii="Arial" w:hAnsi="Arial" w:cs="Arial"/>
          <w:i/>
          <w:iCs/>
          <w:color w:val="000000" w:themeColor="text1"/>
          <w:sz w:val="22"/>
          <w:szCs w:val="22"/>
        </w:rPr>
        <w:t xml:space="preserve"> (an administrative organ), where the act giving rise to the imposition of the duty is a legislative act by the Minister of Finance, exercised in terms of powers under the Customs Act.</w:t>
      </w:r>
    </w:p>
    <w:p w14:paraId="1DBA68FA" w14:textId="77777777" w:rsidR="00554BD1" w:rsidRPr="005C4478" w:rsidRDefault="00554BD1" w:rsidP="00E8231E">
      <w:pPr>
        <w:spacing w:line="360" w:lineRule="auto"/>
        <w:ind w:left="1418"/>
        <w:jc w:val="both"/>
        <w:rPr>
          <w:rFonts w:ascii="Arial" w:hAnsi="Arial" w:cs="Arial"/>
          <w:i/>
          <w:iCs/>
          <w:color w:val="000000" w:themeColor="text1"/>
          <w:sz w:val="22"/>
          <w:szCs w:val="22"/>
        </w:rPr>
      </w:pPr>
    </w:p>
    <w:p w14:paraId="1CE485A1" w14:textId="6D110A44" w:rsidR="00554BD1" w:rsidRPr="005C4478" w:rsidRDefault="00554BD1" w:rsidP="00E8231E">
      <w:pPr>
        <w:spacing w:line="360" w:lineRule="auto"/>
        <w:ind w:left="1418"/>
        <w:jc w:val="both"/>
        <w:rPr>
          <w:rFonts w:ascii="Arial" w:hAnsi="Arial" w:cs="Arial"/>
          <w:i/>
          <w:iCs/>
          <w:color w:val="000000" w:themeColor="text1"/>
          <w:sz w:val="22"/>
          <w:szCs w:val="22"/>
        </w:rPr>
      </w:pPr>
      <w:r w:rsidRPr="005C4478">
        <w:rPr>
          <w:rFonts w:ascii="Arial" w:hAnsi="Arial" w:cs="Arial"/>
          <w:i/>
          <w:iCs/>
          <w:color w:val="000000" w:themeColor="text1"/>
          <w:sz w:val="22"/>
          <w:szCs w:val="22"/>
        </w:rPr>
        <w:t xml:space="preserve">Second, the approach adopted in AMIE will, or may, give rise to various issues. The ITA Act and the Regulations do not expressly require </w:t>
      </w:r>
      <w:r w:rsidR="00B13443">
        <w:rPr>
          <w:rFonts w:ascii="Arial" w:hAnsi="Arial" w:cs="Arial"/>
          <w:i/>
          <w:iCs/>
          <w:color w:val="000000" w:themeColor="text1"/>
          <w:sz w:val="22"/>
          <w:szCs w:val="22"/>
        </w:rPr>
        <w:t>ITAC</w:t>
      </w:r>
      <w:r w:rsidRPr="005C4478">
        <w:rPr>
          <w:rFonts w:ascii="Arial" w:hAnsi="Arial" w:cs="Arial"/>
          <w:i/>
          <w:iCs/>
          <w:color w:val="000000" w:themeColor="text1"/>
          <w:sz w:val="22"/>
          <w:szCs w:val="22"/>
        </w:rPr>
        <w:t xml:space="preserve"> to publish its final recommendation in the Government Gazette. In the absence of a statutory obligation on </w:t>
      </w:r>
      <w:r w:rsidR="00B13443">
        <w:rPr>
          <w:rFonts w:ascii="Arial" w:hAnsi="Arial" w:cs="Arial"/>
          <w:i/>
          <w:iCs/>
          <w:color w:val="000000" w:themeColor="text1"/>
          <w:sz w:val="22"/>
          <w:szCs w:val="22"/>
        </w:rPr>
        <w:t>ITAC</w:t>
      </w:r>
      <w:r w:rsidRPr="005C4478">
        <w:rPr>
          <w:rFonts w:ascii="Arial" w:hAnsi="Arial" w:cs="Arial"/>
          <w:i/>
          <w:iCs/>
          <w:color w:val="000000" w:themeColor="text1"/>
          <w:sz w:val="22"/>
          <w:szCs w:val="22"/>
        </w:rPr>
        <w:t xml:space="preserve"> to publish its final report, it cannot be assumed that </w:t>
      </w:r>
      <w:r w:rsidR="00B13443">
        <w:rPr>
          <w:rFonts w:ascii="Arial" w:hAnsi="Arial" w:cs="Arial"/>
          <w:i/>
          <w:iCs/>
          <w:color w:val="000000" w:themeColor="text1"/>
          <w:sz w:val="22"/>
          <w:szCs w:val="22"/>
        </w:rPr>
        <w:t>ITAC</w:t>
      </w:r>
      <w:r w:rsidRPr="005C4478">
        <w:rPr>
          <w:rFonts w:ascii="Arial" w:hAnsi="Arial" w:cs="Arial"/>
          <w:i/>
          <w:iCs/>
          <w:color w:val="000000" w:themeColor="text1"/>
          <w:sz w:val="22"/>
          <w:szCs w:val="22"/>
        </w:rPr>
        <w:t xml:space="preserve"> will always publish its report. In the absence of any “publication” by </w:t>
      </w:r>
      <w:r w:rsidR="00B13443">
        <w:rPr>
          <w:rFonts w:ascii="Arial" w:hAnsi="Arial" w:cs="Arial"/>
          <w:i/>
          <w:iCs/>
          <w:color w:val="000000" w:themeColor="text1"/>
          <w:sz w:val="22"/>
          <w:szCs w:val="22"/>
        </w:rPr>
        <w:t>ITAC</w:t>
      </w:r>
      <w:r w:rsidRPr="005C4478">
        <w:rPr>
          <w:rFonts w:ascii="Arial" w:hAnsi="Arial" w:cs="Arial"/>
          <w:i/>
          <w:iCs/>
          <w:color w:val="000000" w:themeColor="text1"/>
          <w:sz w:val="22"/>
          <w:szCs w:val="22"/>
        </w:rPr>
        <w:t>, the potential uncertainty is obvious.</w:t>
      </w:r>
    </w:p>
    <w:p w14:paraId="693F3A86" w14:textId="77777777" w:rsidR="00554BD1" w:rsidRPr="005C4478" w:rsidRDefault="00554BD1" w:rsidP="00E8231E">
      <w:pPr>
        <w:spacing w:line="360" w:lineRule="auto"/>
        <w:ind w:left="1418"/>
        <w:jc w:val="both"/>
        <w:rPr>
          <w:rFonts w:ascii="Arial" w:hAnsi="Arial" w:cs="Arial"/>
          <w:i/>
          <w:iCs/>
          <w:color w:val="000000" w:themeColor="text1"/>
          <w:sz w:val="22"/>
          <w:szCs w:val="22"/>
        </w:rPr>
      </w:pPr>
    </w:p>
    <w:p w14:paraId="706E99A6" w14:textId="002510EE" w:rsidR="00554BD1" w:rsidRPr="005C4478" w:rsidRDefault="00554BD1" w:rsidP="00E8231E">
      <w:pPr>
        <w:spacing w:line="360" w:lineRule="auto"/>
        <w:ind w:left="1418"/>
        <w:jc w:val="both"/>
        <w:rPr>
          <w:rFonts w:ascii="Arial" w:hAnsi="Arial" w:cs="Arial"/>
          <w:i/>
          <w:iCs/>
          <w:color w:val="000000" w:themeColor="text1"/>
          <w:sz w:val="22"/>
          <w:szCs w:val="22"/>
        </w:rPr>
      </w:pPr>
      <w:r w:rsidRPr="005C4478">
        <w:rPr>
          <w:rFonts w:ascii="Arial" w:hAnsi="Arial" w:cs="Arial"/>
          <w:i/>
          <w:iCs/>
          <w:color w:val="000000" w:themeColor="text1"/>
          <w:sz w:val="22"/>
          <w:szCs w:val="22"/>
        </w:rPr>
        <w:t xml:space="preserve">Third, the majority in AMIE simply assumed and accepted </w:t>
      </w:r>
      <w:r w:rsidR="00B13443">
        <w:rPr>
          <w:rFonts w:ascii="Arial" w:hAnsi="Arial" w:cs="Arial"/>
          <w:i/>
          <w:iCs/>
          <w:color w:val="000000" w:themeColor="text1"/>
          <w:sz w:val="22"/>
          <w:szCs w:val="22"/>
        </w:rPr>
        <w:t>ITAC</w:t>
      </w:r>
      <w:r w:rsidR="005C4478" w:rsidRPr="005C4478">
        <w:rPr>
          <w:rFonts w:ascii="Arial" w:hAnsi="Arial" w:cs="Arial"/>
          <w:i/>
          <w:iCs/>
          <w:color w:val="000000" w:themeColor="text1"/>
          <w:sz w:val="22"/>
          <w:szCs w:val="22"/>
        </w:rPr>
        <w:t xml:space="preserve">’s publication “will necessarily occur before the respective notices of the Minister of Finance and the Minister of Trade and Industry are published. This is however not always the case. The present matter serves as an example that </w:t>
      </w:r>
      <w:r w:rsidR="00B13443">
        <w:rPr>
          <w:rFonts w:ascii="Arial" w:hAnsi="Arial" w:cs="Arial"/>
          <w:i/>
          <w:iCs/>
          <w:color w:val="000000" w:themeColor="text1"/>
          <w:sz w:val="22"/>
          <w:szCs w:val="22"/>
        </w:rPr>
        <w:t>ITAC</w:t>
      </w:r>
      <w:r w:rsidR="005C4478" w:rsidRPr="005C4478">
        <w:rPr>
          <w:rFonts w:ascii="Arial" w:hAnsi="Arial" w:cs="Arial"/>
          <w:i/>
          <w:iCs/>
          <w:color w:val="000000" w:themeColor="text1"/>
          <w:sz w:val="22"/>
          <w:szCs w:val="22"/>
        </w:rPr>
        <w:t>’s report is not necessarily published prior to the amendment to Schedule No. 2 to the Customs Act, effected by the Minister of Finance.”</w:t>
      </w:r>
    </w:p>
    <w:p w14:paraId="7F7C48FB" w14:textId="77777777" w:rsidR="00F9431B" w:rsidRPr="00F9431B" w:rsidRDefault="00F9431B" w:rsidP="00F9431B">
      <w:pPr>
        <w:pStyle w:val="ListParagraph"/>
        <w:spacing w:line="360" w:lineRule="auto"/>
        <w:ind w:left="900"/>
        <w:jc w:val="both"/>
        <w:rPr>
          <w:rFonts w:ascii="Arial" w:hAnsi="Arial" w:cs="Arial"/>
          <w:color w:val="000000" w:themeColor="text1"/>
        </w:rPr>
      </w:pPr>
    </w:p>
    <w:p w14:paraId="68E38EF4" w14:textId="4009F533" w:rsidR="00ED4CFF" w:rsidRPr="00995931" w:rsidRDefault="00995931" w:rsidP="00995931">
      <w:pPr>
        <w:spacing w:line="360" w:lineRule="auto"/>
        <w:ind w:left="851" w:hanging="851"/>
        <w:jc w:val="both"/>
        <w:rPr>
          <w:rFonts w:ascii="Arial" w:hAnsi="Arial" w:cs="Arial"/>
          <w:b/>
          <w:bCs/>
          <w:color w:val="000000" w:themeColor="text1"/>
          <w:sz w:val="22"/>
          <w:szCs w:val="22"/>
        </w:rPr>
      </w:pPr>
      <w:r w:rsidRPr="00ED4CFF">
        <w:rPr>
          <w:rFonts w:ascii="Arial" w:hAnsi="Arial" w:cs="Arial"/>
          <w:color w:val="000000" w:themeColor="text1"/>
        </w:rPr>
        <w:t>[34].</w:t>
      </w:r>
      <w:r w:rsidRPr="00ED4CFF">
        <w:rPr>
          <w:rFonts w:ascii="Arial" w:hAnsi="Arial" w:cs="Arial"/>
          <w:color w:val="000000" w:themeColor="text1"/>
        </w:rPr>
        <w:tab/>
      </w:r>
      <w:r w:rsidR="00FA175F" w:rsidRPr="00995931">
        <w:rPr>
          <w:rFonts w:ascii="Arial" w:hAnsi="Arial" w:cs="Arial"/>
          <w:color w:val="000000" w:themeColor="text1"/>
        </w:rPr>
        <w:t xml:space="preserve">In the present matter, the final recommendation of </w:t>
      </w:r>
      <w:r w:rsidR="00B13443" w:rsidRPr="00995931">
        <w:rPr>
          <w:rFonts w:ascii="Arial" w:hAnsi="Arial" w:cs="Arial"/>
          <w:color w:val="000000" w:themeColor="text1"/>
        </w:rPr>
        <w:t>ITAC</w:t>
      </w:r>
      <w:r w:rsidR="00FA175F" w:rsidRPr="00995931">
        <w:rPr>
          <w:rFonts w:ascii="Arial" w:hAnsi="Arial" w:cs="Arial"/>
          <w:color w:val="000000" w:themeColor="text1"/>
        </w:rPr>
        <w:t xml:space="preserve"> was made </w:t>
      </w:r>
      <w:r w:rsidR="00441FE0" w:rsidRPr="00995931">
        <w:rPr>
          <w:rFonts w:ascii="Arial" w:hAnsi="Arial" w:cs="Arial"/>
          <w:color w:val="000000" w:themeColor="text1"/>
        </w:rPr>
        <w:t>on 29</w:t>
      </w:r>
      <w:r w:rsidR="00FA175F" w:rsidRPr="00995931">
        <w:rPr>
          <w:rFonts w:ascii="Arial" w:hAnsi="Arial" w:cs="Arial"/>
          <w:b/>
          <w:bCs/>
          <w:color w:val="000000" w:themeColor="text1"/>
        </w:rPr>
        <w:t xml:space="preserve"> </w:t>
      </w:r>
      <w:r w:rsidR="00FA175F" w:rsidRPr="00995931">
        <w:rPr>
          <w:rFonts w:ascii="Arial" w:hAnsi="Arial" w:cs="Arial"/>
          <w:color w:val="000000" w:themeColor="text1"/>
        </w:rPr>
        <w:t xml:space="preserve">October 2019. Schedule 2 was then amended by publication in the Government Gazette on </w:t>
      </w:r>
      <w:r w:rsidR="00ED4CFF" w:rsidRPr="00995931">
        <w:rPr>
          <w:rFonts w:ascii="Arial" w:hAnsi="Arial" w:cs="Arial"/>
          <w:color w:val="000000" w:themeColor="text1"/>
        </w:rPr>
        <w:t xml:space="preserve">30 March 2020 </w:t>
      </w:r>
      <w:r w:rsidR="00FA175F" w:rsidRPr="00995931">
        <w:rPr>
          <w:rFonts w:ascii="Arial" w:hAnsi="Arial" w:cs="Arial"/>
          <w:color w:val="000000" w:themeColor="text1"/>
        </w:rPr>
        <w:t>and the final recommendation ‘published’ on 3 April 2020. It was argued that</w:t>
      </w:r>
      <w:r w:rsidR="00ED4CFF" w:rsidRPr="00995931">
        <w:rPr>
          <w:rFonts w:ascii="Arial" w:hAnsi="Arial" w:cs="Arial"/>
          <w:color w:val="000000" w:themeColor="text1"/>
        </w:rPr>
        <w:t>:</w:t>
      </w:r>
    </w:p>
    <w:p w14:paraId="21741C25" w14:textId="77777777" w:rsidR="00ED4CFF" w:rsidRDefault="00ED4CFF" w:rsidP="00ED4CFF">
      <w:pPr>
        <w:pStyle w:val="ListParagraph"/>
        <w:spacing w:line="360" w:lineRule="auto"/>
        <w:ind w:left="851"/>
        <w:jc w:val="both"/>
        <w:rPr>
          <w:rFonts w:ascii="Arial" w:hAnsi="Arial" w:cs="Arial"/>
          <w:color w:val="000000" w:themeColor="text1"/>
        </w:rPr>
      </w:pPr>
    </w:p>
    <w:p w14:paraId="6FB50DD5" w14:textId="488368F4" w:rsidR="009F5BA2" w:rsidRPr="00FA175F" w:rsidRDefault="00FA175F" w:rsidP="00ED4CFF">
      <w:pPr>
        <w:pStyle w:val="ListParagraph"/>
        <w:spacing w:line="360" w:lineRule="auto"/>
        <w:ind w:left="1418"/>
        <w:jc w:val="both"/>
        <w:rPr>
          <w:rFonts w:ascii="Arial" w:hAnsi="Arial" w:cs="Arial"/>
          <w:b/>
          <w:bCs/>
          <w:color w:val="000000" w:themeColor="text1"/>
          <w:sz w:val="22"/>
          <w:szCs w:val="22"/>
        </w:rPr>
      </w:pPr>
      <w:r w:rsidRPr="00FA175F">
        <w:rPr>
          <w:rFonts w:ascii="Arial" w:hAnsi="Arial" w:cs="Arial"/>
          <w:i/>
          <w:iCs/>
          <w:color w:val="000000" w:themeColor="text1"/>
          <w:sz w:val="22"/>
          <w:szCs w:val="22"/>
        </w:rPr>
        <w:t xml:space="preserve">“The “guillotine” in Regulation 53.1 would come down on the duty on 30 March 2025, that is to say prior to the lapsing of the 5-year period provided for in Regulation 38.1, which would occur on 3 April 2025. Thus, if </w:t>
      </w:r>
      <w:r w:rsidR="00B13443">
        <w:rPr>
          <w:rFonts w:ascii="Arial" w:hAnsi="Arial" w:cs="Arial"/>
          <w:i/>
          <w:iCs/>
          <w:color w:val="000000" w:themeColor="text1"/>
          <w:sz w:val="22"/>
          <w:szCs w:val="22"/>
        </w:rPr>
        <w:t>ITAC</w:t>
      </w:r>
      <w:r w:rsidRPr="00FA175F">
        <w:rPr>
          <w:rFonts w:ascii="Arial" w:hAnsi="Arial" w:cs="Arial"/>
          <w:i/>
          <w:iCs/>
          <w:color w:val="000000" w:themeColor="text1"/>
          <w:sz w:val="22"/>
          <w:szCs w:val="22"/>
        </w:rPr>
        <w:t xml:space="preserve"> “published” after the amendment of Schedule 2, it would give rise to a mirror-image of the inconsistency between Regulation 53.1 and 38.1 that so troubled the majority in of the court in AMIE”.</w:t>
      </w:r>
    </w:p>
    <w:p w14:paraId="04276264" w14:textId="77777777" w:rsidR="0025737D" w:rsidRPr="00FA175F" w:rsidRDefault="0025737D" w:rsidP="00FA175F">
      <w:pPr>
        <w:pStyle w:val="ListParagraph"/>
        <w:spacing w:line="360" w:lineRule="auto"/>
        <w:ind w:left="900"/>
        <w:jc w:val="both"/>
        <w:rPr>
          <w:rFonts w:ascii="Arial" w:hAnsi="Arial" w:cs="Arial"/>
          <w:b/>
          <w:bCs/>
          <w:color w:val="000000" w:themeColor="text1"/>
          <w:sz w:val="22"/>
          <w:szCs w:val="22"/>
        </w:rPr>
      </w:pPr>
    </w:p>
    <w:p w14:paraId="5625FFB3" w14:textId="60E09163" w:rsidR="00BC44C5" w:rsidRPr="00995931" w:rsidRDefault="00995931" w:rsidP="00995931">
      <w:pPr>
        <w:spacing w:line="360" w:lineRule="auto"/>
        <w:ind w:left="851" w:hanging="851"/>
        <w:jc w:val="both"/>
        <w:rPr>
          <w:rFonts w:ascii="Arial" w:hAnsi="Arial" w:cs="Arial"/>
          <w:color w:val="000000" w:themeColor="text1"/>
          <w:sz w:val="22"/>
          <w:szCs w:val="22"/>
        </w:rPr>
      </w:pPr>
      <w:r w:rsidRPr="008B40A8">
        <w:rPr>
          <w:rFonts w:ascii="Arial" w:hAnsi="Arial" w:cs="Arial"/>
          <w:color w:val="000000" w:themeColor="text1"/>
        </w:rPr>
        <w:t>[35].</w:t>
      </w:r>
      <w:r w:rsidRPr="008B40A8">
        <w:rPr>
          <w:rFonts w:ascii="Arial" w:hAnsi="Arial" w:cs="Arial"/>
          <w:color w:val="000000" w:themeColor="text1"/>
        </w:rPr>
        <w:tab/>
      </w:r>
      <w:r w:rsidR="00FA175F" w:rsidRPr="00995931">
        <w:rPr>
          <w:rFonts w:ascii="Arial" w:hAnsi="Arial" w:cs="Arial"/>
          <w:color w:val="000000" w:themeColor="text1"/>
        </w:rPr>
        <w:t>I</w:t>
      </w:r>
      <w:r w:rsidR="00836D43" w:rsidRPr="00995931">
        <w:rPr>
          <w:rFonts w:ascii="Arial" w:hAnsi="Arial" w:cs="Arial"/>
          <w:color w:val="000000" w:themeColor="text1"/>
        </w:rPr>
        <w:t>s there an inconsistency?</w:t>
      </w:r>
      <w:r w:rsidR="00BC44C5" w:rsidRPr="00995931">
        <w:rPr>
          <w:rFonts w:ascii="Arial" w:hAnsi="Arial" w:cs="Arial"/>
          <w:color w:val="000000" w:themeColor="text1"/>
        </w:rPr>
        <w:t xml:space="preserve"> Regulation 38.1 falls under Sub Part IV – Final Investigation Phase and deals with the initial investigation and imposition of anti-dumping duties. This part of the process precedes the sunset review phase and relates to when the duties were first imposed. This is not an issue in the present matter as the final report referred to in Regulation 38.1 was published </w:t>
      </w:r>
      <w:r w:rsidR="008B40A8" w:rsidRPr="00995931">
        <w:rPr>
          <w:rFonts w:ascii="Arial" w:hAnsi="Arial" w:cs="Arial"/>
          <w:color w:val="000000" w:themeColor="text1"/>
        </w:rPr>
        <w:t>prior to the imposition of definitive anti-dumping duties and the amendment of Schedule 2 on 19 June 2014.</w:t>
      </w:r>
      <w:r w:rsidR="00BC44C5" w:rsidRPr="00995931">
        <w:rPr>
          <w:rFonts w:ascii="Arial" w:hAnsi="Arial" w:cs="Arial"/>
          <w:color w:val="000000" w:themeColor="text1"/>
        </w:rPr>
        <w:t xml:space="preserve"> </w:t>
      </w:r>
    </w:p>
    <w:p w14:paraId="0ACF6AFE" w14:textId="77777777" w:rsidR="00BC44C5" w:rsidRPr="002133E4" w:rsidRDefault="00BC44C5" w:rsidP="002133E4">
      <w:pPr>
        <w:rPr>
          <w:rFonts w:ascii="Arial" w:hAnsi="Arial" w:cs="Arial"/>
          <w:color w:val="000000" w:themeColor="text1"/>
        </w:rPr>
      </w:pPr>
    </w:p>
    <w:p w14:paraId="53A65746" w14:textId="4FD9A9A1" w:rsidR="00FA175F" w:rsidRPr="00995931" w:rsidRDefault="00995931" w:rsidP="00995931">
      <w:pPr>
        <w:spacing w:line="360" w:lineRule="auto"/>
        <w:ind w:left="851" w:hanging="851"/>
        <w:jc w:val="both"/>
        <w:rPr>
          <w:rFonts w:ascii="Arial" w:hAnsi="Arial" w:cs="Arial"/>
          <w:b/>
          <w:bCs/>
          <w:color w:val="000000" w:themeColor="text1"/>
          <w:sz w:val="22"/>
          <w:szCs w:val="22"/>
        </w:rPr>
      </w:pPr>
      <w:r w:rsidRPr="002133E4">
        <w:rPr>
          <w:rFonts w:ascii="Arial" w:hAnsi="Arial" w:cs="Arial"/>
          <w:color w:val="000000" w:themeColor="text1"/>
        </w:rPr>
        <w:t>[36].</w:t>
      </w:r>
      <w:r w:rsidRPr="002133E4">
        <w:rPr>
          <w:rFonts w:ascii="Arial" w:hAnsi="Arial" w:cs="Arial"/>
          <w:color w:val="000000" w:themeColor="text1"/>
        </w:rPr>
        <w:tab/>
      </w:r>
      <w:r w:rsidR="00BC44C5" w:rsidRPr="00995931">
        <w:rPr>
          <w:rFonts w:ascii="Arial" w:hAnsi="Arial" w:cs="Arial"/>
          <w:color w:val="000000" w:themeColor="text1"/>
        </w:rPr>
        <w:t xml:space="preserve">Regulations 53 to 59 deal with </w:t>
      </w:r>
      <w:r w:rsidR="00ED4CFF" w:rsidRPr="00995931">
        <w:rPr>
          <w:rFonts w:ascii="Arial" w:hAnsi="Arial" w:cs="Arial"/>
          <w:color w:val="000000" w:themeColor="text1"/>
        </w:rPr>
        <w:t>s</w:t>
      </w:r>
      <w:r w:rsidR="00BC44C5" w:rsidRPr="00995931">
        <w:rPr>
          <w:rFonts w:ascii="Arial" w:hAnsi="Arial" w:cs="Arial"/>
          <w:color w:val="000000" w:themeColor="text1"/>
        </w:rPr>
        <w:t>unset reviews. The only obligation to ‘publish’ is of the intention to initiate</w:t>
      </w:r>
      <w:r w:rsidR="00BC44C5">
        <w:rPr>
          <w:rStyle w:val="FootnoteReference"/>
          <w:rFonts w:ascii="Arial" w:hAnsi="Arial" w:cs="Arial"/>
          <w:color w:val="000000" w:themeColor="text1"/>
        </w:rPr>
        <w:footnoteReference w:id="26"/>
      </w:r>
      <w:r w:rsidR="00BC44C5" w:rsidRPr="00995931">
        <w:rPr>
          <w:rFonts w:ascii="Arial" w:hAnsi="Arial" w:cs="Arial"/>
          <w:color w:val="000000" w:themeColor="text1"/>
        </w:rPr>
        <w:t xml:space="preserve"> a sunset review</w:t>
      </w:r>
      <w:r w:rsidR="00E424A7" w:rsidRPr="00995931">
        <w:rPr>
          <w:rFonts w:ascii="Arial" w:hAnsi="Arial" w:cs="Arial"/>
          <w:color w:val="000000" w:themeColor="text1"/>
        </w:rPr>
        <w:t>. The sunset review consists of a single investigation phase</w:t>
      </w:r>
      <w:r w:rsidR="00E424A7">
        <w:rPr>
          <w:rStyle w:val="FootnoteReference"/>
          <w:rFonts w:ascii="Arial" w:hAnsi="Arial" w:cs="Arial"/>
          <w:color w:val="000000" w:themeColor="text1"/>
        </w:rPr>
        <w:footnoteReference w:id="27"/>
      </w:r>
      <w:r w:rsidR="00E424A7" w:rsidRPr="00995931">
        <w:rPr>
          <w:rFonts w:ascii="Arial" w:hAnsi="Arial" w:cs="Arial"/>
          <w:color w:val="000000" w:themeColor="text1"/>
        </w:rPr>
        <w:t xml:space="preserve"> which then results in a final recommendation which “</w:t>
      </w:r>
      <w:r w:rsidR="00E424A7" w:rsidRPr="00995931">
        <w:rPr>
          <w:rFonts w:ascii="Arial" w:hAnsi="Arial" w:cs="Arial"/>
          <w:i/>
          <w:iCs/>
          <w:color w:val="000000" w:themeColor="text1"/>
        </w:rPr>
        <w:t>may result in the withdrawal, amendment or reconfirmation of the original anti-dumping duty</w:t>
      </w:r>
      <w:r w:rsidR="00E424A7" w:rsidRPr="00995931">
        <w:rPr>
          <w:rFonts w:ascii="Arial" w:hAnsi="Arial" w:cs="Arial"/>
          <w:color w:val="000000" w:themeColor="text1"/>
        </w:rPr>
        <w:t>.”</w:t>
      </w:r>
      <w:r w:rsidR="00E424A7">
        <w:rPr>
          <w:rStyle w:val="FootnoteReference"/>
          <w:rFonts w:ascii="Arial" w:hAnsi="Arial" w:cs="Arial"/>
          <w:color w:val="000000" w:themeColor="text1"/>
        </w:rPr>
        <w:footnoteReference w:id="28"/>
      </w:r>
    </w:p>
    <w:p w14:paraId="5B0BAC87" w14:textId="77777777" w:rsidR="002133E4" w:rsidRPr="00045367" w:rsidRDefault="002133E4" w:rsidP="002133E4">
      <w:pPr>
        <w:pStyle w:val="ListParagraph"/>
        <w:spacing w:line="360" w:lineRule="auto"/>
        <w:ind w:left="851"/>
        <w:jc w:val="both"/>
        <w:rPr>
          <w:rFonts w:ascii="Arial" w:hAnsi="Arial" w:cs="Arial"/>
          <w:b/>
          <w:bCs/>
          <w:color w:val="000000" w:themeColor="text1"/>
          <w:sz w:val="22"/>
          <w:szCs w:val="22"/>
        </w:rPr>
      </w:pPr>
    </w:p>
    <w:p w14:paraId="0418E331" w14:textId="3F441F66" w:rsidR="00E424A7" w:rsidRPr="00995931" w:rsidRDefault="00995931" w:rsidP="00995931">
      <w:pPr>
        <w:spacing w:line="360" w:lineRule="auto"/>
        <w:ind w:left="851" w:hanging="851"/>
        <w:jc w:val="both"/>
        <w:rPr>
          <w:rFonts w:ascii="Arial" w:hAnsi="Arial" w:cs="Arial"/>
          <w:b/>
          <w:bCs/>
          <w:color w:val="000000" w:themeColor="text1"/>
          <w:sz w:val="22"/>
          <w:szCs w:val="22"/>
        </w:rPr>
      </w:pPr>
      <w:r w:rsidRPr="00E424A7">
        <w:rPr>
          <w:rFonts w:ascii="Arial" w:hAnsi="Arial" w:cs="Arial"/>
          <w:color w:val="000000" w:themeColor="text1"/>
        </w:rPr>
        <w:t>[37].</w:t>
      </w:r>
      <w:r w:rsidRPr="00E424A7">
        <w:rPr>
          <w:rFonts w:ascii="Arial" w:hAnsi="Arial" w:cs="Arial"/>
          <w:color w:val="000000" w:themeColor="text1"/>
        </w:rPr>
        <w:tab/>
      </w:r>
      <w:r w:rsidR="00836D43" w:rsidRPr="00995931">
        <w:rPr>
          <w:rFonts w:ascii="Arial" w:hAnsi="Arial" w:cs="Arial"/>
          <w:color w:val="000000" w:themeColor="text1"/>
        </w:rPr>
        <w:t xml:space="preserve">Once the final investigation report has been published and duties imposed, the requirements of </w:t>
      </w:r>
      <w:r w:rsidR="008B40A8" w:rsidRPr="00995931">
        <w:rPr>
          <w:rFonts w:ascii="Arial" w:hAnsi="Arial" w:cs="Arial"/>
          <w:color w:val="000000" w:themeColor="text1"/>
        </w:rPr>
        <w:t>R</w:t>
      </w:r>
      <w:r w:rsidR="00836D43" w:rsidRPr="00995931">
        <w:rPr>
          <w:rFonts w:ascii="Arial" w:hAnsi="Arial" w:cs="Arial"/>
          <w:color w:val="000000" w:themeColor="text1"/>
        </w:rPr>
        <w:t xml:space="preserve">egulation 38.1 are fulfilled. The </w:t>
      </w:r>
      <w:r w:rsidR="008B40A8" w:rsidRPr="00995931">
        <w:rPr>
          <w:rFonts w:ascii="Arial" w:hAnsi="Arial" w:cs="Arial"/>
          <w:color w:val="000000" w:themeColor="text1"/>
        </w:rPr>
        <w:t>R</w:t>
      </w:r>
      <w:r w:rsidR="00836D43" w:rsidRPr="00995931">
        <w:rPr>
          <w:rFonts w:ascii="Arial" w:hAnsi="Arial" w:cs="Arial"/>
          <w:color w:val="000000" w:themeColor="text1"/>
        </w:rPr>
        <w:t xml:space="preserve">egulation is not of application when it comes to sunset reviews and so it is </w:t>
      </w:r>
      <w:r w:rsidR="00045367" w:rsidRPr="00995931">
        <w:rPr>
          <w:rFonts w:ascii="Arial" w:hAnsi="Arial" w:cs="Arial"/>
          <w:color w:val="000000" w:themeColor="text1"/>
        </w:rPr>
        <w:t xml:space="preserve">inapposite to juxtapose and then conflate the periods referred to in the respective </w:t>
      </w:r>
      <w:r w:rsidR="0025737D" w:rsidRPr="00995931">
        <w:rPr>
          <w:rFonts w:ascii="Arial" w:hAnsi="Arial" w:cs="Arial"/>
          <w:color w:val="000000" w:themeColor="text1"/>
        </w:rPr>
        <w:t>R</w:t>
      </w:r>
      <w:r w:rsidR="00045367" w:rsidRPr="00995931">
        <w:rPr>
          <w:rFonts w:ascii="Arial" w:hAnsi="Arial" w:cs="Arial"/>
          <w:color w:val="000000" w:themeColor="text1"/>
        </w:rPr>
        <w:t xml:space="preserve">egulations. For this </w:t>
      </w:r>
      <w:r w:rsidR="00B10AF6" w:rsidRPr="00995931">
        <w:rPr>
          <w:rFonts w:ascii="Arial" w:hAnsi="Arial" w:cs="Arial"/>
          <w:color w:val="000000" w:themeColor="text1"/>
        </w:rPr>
        <w:t>reason,</w:t>
      </w:r>
      <w:r w:rsidR="00045367" w:rsidRPr="00995931">
        <w:rPr>
          <w:rFonts w:ascii="Arial" w:hAnsi="Arial" w:cs="Arial"/>
          <w:color w:val="000000" w:themeColor="text1"/>
        </w:rPr>
        <w:t xml:space="preserve"> I am not persuaded that there is any inconsi</w:t>
      </w:r>
      <w:r w:rsidR="00B10AF6" w:rsidRPr="00995931">
        <w:rPr>
          <w:rFonts w:ascii="Arial" w:hAnsi="Arial" w:cs="Arial"/>
          <w:color w:val="000000" w:themeColor="text1"/>
        </w:rPr>
        <w:t>stency or conflict created with regard to the period for which the duties were to be extant.</w:t>
      </w:r>
    </w:p>
    <w:p w14:paraId="1DA4E32F" w14:textId="77777777" w:rsidR="00E424A7" w:rsidRPr="002133E4" w:rsidRDefault="00E424A7" w:rsidP="002133E4">
      <w:pPr>
        <w:spacing w:line="360" w:lineRule="auto"/>
        <w:jc w:val="both"/>
        <w:rPr>
          <w:rFonts w:ascii="Arial" w:hAnsi="Arial" w:cs="Arial"/>
          <w:b/>
          <w:bCs/>
          <w:color w:val="000000" w:themeColor="text1"/>
          <w:sz w:val="22"/>
          <w:szCs w:val="22"/>
        </w:rPr>
      </w:pPr>
    </w:p>
    <w:p w14:paraId="55E70393" w14:textId="25F36117" w:rsidR="00266548" w:rsidRPr="00995931" w:rsidRDefault="00995931" w:rsidP="00995931">
      <w:pPr>
        <w:spacing w:line="360" w:lineRule="auto"/>
        <w:ind w:left="900" w:hanging="900"/>
        <w:jc w:val="both"/>
        <w:rPr>
          <w:rFonts w:ascii="Arial" w:hAnsi="Arial" w:cs="Arial"/>
          <w:color w:val="000000" w:themeColor="text1"/>
          <w:sz w:val="22"/>
          <w:szCs w:val="22"/>
        </w:rPr>
      </w:pPr>
      <w:r w:rsidRPr="00266548">
        <w:rPr>
          <w:rFonts w:ascii="Arial" w:hAnsi="Arial" w:cs="Arial"/>
          <w:color w:val="000000" w:themeColor="text1"/>
        </w:rPr>
        <w:t>[38].</w:t>
      </w:r>
      <w:r w:rsidRPr="00266548">
        <w:rPr>
          <w:rFonts w:ascii="Arial" w:hAnsi="Arial" w:cs="Arial"/>
          <w:color w:val="000000" w:themeColor="text1"/>
        </w:rPr>
        <w:tab/>
      </w:r>
      <w:r w:rsidR="00F9431B" w:rsidRPr="00995931">
        <w:rPr>
          <w:rFonts w:ascii="Arial" w:hAnsi="Arial" w:cs="Arial"/>
          <w:color w:val="000000" w:themeColor="text1"/>
        </w:rPr>
        <w:t xml:space="preserve">It is not open to this court to disregard the judgment of the court in </w:t>
      </w:r>
      <w:r w:rsidR="00F9431B" w:rsidRPr="00995931">
        <w:rPr>
          <w:rFonts w:ascii="Arial" w:hAnsi="Arial" w:cs="Arial"/>
          <w:i/>
          <w:iCs/>
          <w:color w:val="000000" w:themeColor="text1"/>
        </w:rPr>
        <w:t>AMIE</w:t>
      </w:r>
      <w:r w:rsidR="00266548" w:rsidRPr="00995931">
        <w:rPr>
          <w:rFonts w:ascii="Arial" w:hAnsi="Arial" w:cs="Arial"/>
          <w:color w:val="000000" w:themeColor="text1"/>
        </w:rPr>
        <w:t xml:space="preserve"> or to decide on its persuasiveness or otherwise</w:t>
      </w:r>
      <w:r w:rsidR="00F9431B" w:rsidRPr="00995931">
        <w:rPr>
          <w:rFonts w:ascii="Arial" w:hAnsi="Arial" w:cs="Arial"/>
          <w:color w:val="000000" w:themeColor="text1"/>
        </w:rPr>
        <w:t>.</w:t>
      </w:r>
      <w:r w:rsidR="00266548" w:rsidRPr="00995931">
        <w:rPr>
          <w:rFonts w:ascii="Arial" w:hAnsi="Arial" w:cs="Arial"/>
          <w:color w:val="000000" w:themeColor="text1"/>
        </w:rPr>
        <w:t xml:space="preserve"> The clear point of distinction between </w:t>
      </w:r>
      <w:r w:rsidR="00266548" w:rsidRPr="00995931">
        <w:rPr>
          <w:rFonts w:ascii="Arial" w:hAnsi="Arial" w:cs="Arial"/>
          <w:i/>
          <w:iCs/>
          <w:color w:val="000000" w:themeColor="text1"/>
        </w:rPr>
        <w:t>Progress</w:t>
      </w:r>
      <w:r w:rsidR="003120FA" w:rsidRPr="00995931">
        <w:rPr>
          <w:rFonts w:ascii="Arial" w:hAnsi="Arial" w:cs="Arial"/>
          <w:i/>
          <w:iCs/>
          <w:color w:val="000000" w:themeColor="text1"/>
        </w:rPr>
        <w:t xml:space="preserve"> Office Machines</w:t>
      </w:r>
      <w:r w:rsidR="00266548" w:rsidRPr="00995931">
        <w:rPr>
          <w:rFonts w:ascii="Arial" w:hAnsi="Arial" w:cs="Arial"/>
          <w:color w:val="000000" w:themeColor="text1"/>
        </w:rPr>
        <w:t xml:space="preserve"> and </w:t>
      </w:r>
      <w:r w:rsidR="008B40A8" w:rsidRPr="00995931">
        <w:rPr>
          <w:rFonts w:ascii="Arial" w:hAnsi="Arial" w:cs="Arial"/>
          <w:i/>
          <w:iCs/>
          <w:color w:val="000000" w:themeColor="text1"/>
        </w:rPr>
        <w:t>AMIE</w:t>
      </w:r>
      <w:r w:rsidR="008B40A8" w:rsidRPr="00995931">
        <w:rPr>
          <w:rFonts w:ascii="Arial" w:hAnsi="Arial" w:cs="Arial"/>
          <w:color w:val="000000" w:themeColor="text1"/>
        </w:rPr>
        <w:t xml:space="preserve"> lies</w:t>
      </w:r>
      <w:r w:rsidR="00266548" w:rsidRPr="00995931">
        <w:rPr>
          <w:rFonts w:ascii="Arial" w:hAnsi="Arial" w:cs="Arial"/>
          <w:color w:val="000000" w:themeColor="text1"/>
        </w:rPr>
        <w:t xml:space="preserve"> with the </w:t>
      </w:r>
      <w:r w:rsidR="00846A80" w:rsidRPr="00995931">
        <w:rPr>
          <w:rFonts w:ascii="Arial" w:hAnsi="Arial" w:cs="Arial"/>
          <w:color w:val="000000" w:themeColor="text1"/>
        </w:rPr>
        <w:t>interpretation before and after the regulations took effect.</w:t>
      </w:r>
      <w:r w:rsidR="00266548" w:rsidRPr="00995931">
        <w:rPr>
          <w:rFonts w:ascii="Arial" w:hAnsi="Arial" w:cs="Arial"/>
          <w:color w:val="000000" w:themeColor="text1"/>
        </w:rPr>
        <w:t xml:space="preserve"> In </w:t>
      </w:r>
      <w:r w:rsidR="00266548" w:rsidRPr="00995931">
        <w:rPr>
          <w:rFonts w:ascii="Arial" w:hAnsi="Arial" w:cs="Arial"/>
          <w:i/>
          <w:iCs/>
          <w:color w:val="000000" w:themeColor="text1"/>
        </w:rPr>
        <w:t>Progress</w:t>
      </w:r>
      <w:r w:rsidR="00266548" w:rsidRPr="00995931">
        <w:rPr>
          <w:rFonts w:ascii="Arial" w:hAnsi="Arial" w:cs="Arial"/>
          <w:color w:val="000000" w:themeColor="text1"/>
        </w:rPr>
        <w:t xml:space="preserve"> they were not</w:t>
      </w:r>
      <w:r w:rsidR="00846A80" w:rsidRPr="00995931">
        <w:rPr>
          <w:rFonts w:ascii="Arial" w:hAnsi="Arial" w:cs="Arial"/>
          <w:color w:val="000000" w:themeColor="text1"/>
        </w:rPr>
        <w:t xml:space="preserve"> of application</w:t>
      </w:r>
      <w:r w:rsidR="00266548" w:rsidRPr="00995931">
        <w:rPr>
          <w:rFonts w:ascii="Arial" w:hAnsi="Arial" w:cs="Arial"/>
          <w:color w:val="000000" w:themeColor="text1"/>
        </w:rPr>
        <w:t xml:space="preserve"> because they were not extant at the time insofar as the issue before the Court was concerned. The position with </w:t>
      </w:r>
      <w:r w:rsidR="00266548" w:rsidRPr="00995931">
        <w:rPr>
          <w:rFonts w:ascii="Arial" w:hAnsi="Arial" w:cs="Arial"/>
          <w:i/>
          <w:iCs/>
          <w:color w:val="000000" w:themeColor="text1"/>
        </w:rPr>
        <w:t>AMIE</w:t>
      </w:r>
      <w:r w:rsidR="00266548" w:rsidRPr="00995931">
        <w:rPr>
          <w:rFonts w:ascii="Arial" w:hAnsi="Arial" w:cs="Arial"/>
          <w:color w:val="000000" w:themeColor="text1"/>
        </w:rPr>
        <w:t xml:space="preserve"> is fundamentally different as when that matter was decided, the </w:t>
      </w:r>
      <w:r w:rsidR="0025737D" w:rsidRPr="00995931">
        <w:rPr>
          <w:rFonts w:ascii="Arial" w:hAnsi="Arial" w:cs="Arial"/>
          <w:color w:val="000000" w:themeColor="text1"/>
        </w:rPr>
        <w:t>R</w:t>
      </w:r>
      <w:r w:rsidR="00266548" w:rsidRPr="00995931">
        <w:rPr>
          <w:rFonts w:ascii="Arial" w:hAnsi="Arial" w:cs="Arial"/>
          <w:color w:val="000000" w:themeColor="text1"/>
        </w:rPr>
        <w:t>egulations were extant and were considered by the court.</w:t>
      </w:r>
    </w:p>
    <w:p w14:paraId="114EAD6F" w14:textId="77777777" w:rsidR="0025737D" w:rsidRPr="002133E4" w:rsidRDefault="0025737D" w:rsidP="002133E4">
      <w:pPr>
        <w:rPr>
          <w:rFonts w:ascii="Arial" w:hAnsi="Arial" w:cs="Arial"/>
          <w:color w:val="000000" w:themeColor="text1"/>
        </w:rPr>
      </w:pPr>
    </w:p>
    <w:p w14:paraId="5AC9F353" w14:textId="55360E35" w:rsidR="00127014" w:rsidRPr="00995931" w:rsidRDefault="00995931" w:rsidP="00995931">
      <w:pPr>
        <w:spacing w:line="360" w:lineRule="auto"/>
        <w:ind w:left="900" w:hanging="900"/>
        <w:jc w:val="both"/>
        <w:rPr>
          <w:rFonts w:ascii="Arial" w:hAnsi="Arial" w:cs="Arial"/>
          <w:color w:val="000000" w:themeColor="text1"/>
          <w:sz w:val="22"/>
          <w:szCs w:val="22"/>
        </w:rPr>
      </w:pPr>
      <w:r w:rsidRPr="004D45B5">
        <w:rPr>
          <w:rFonts w:ascii="Arial" w:hAnsi="Arial" w:cs="Arial"/>
          <w:color w:val="000000" w:themeColor="text1"/>
        </w:rPr>
        <w:lastRenderedPageBreak/>
        <w:t>[39].</w:t>
      </w:r>
      <w:r w:rsidRPr="004D45B5">
        <w:rPr>
          <w:rFonts w:ascii="Arial" w:hAnsi="Arial" w:cs="Arial"/>
          <w:color w:val="000000" w:themeColor="text1"/>
        </w:rPr>
        <w:tab/>
      </w:r>
      <w:r w:rsidR="00266548" w:rsidRPr="00995931">
        <w:rPr>
          <w:rFonts w:ascii="Arial" w:hAnsi="Arial" w:cs="Arial"/>
          <w:color w:val="000000" w:themeColor="text1"/>
        </w:rPr>
        <w:t xml:space="preserve">The </w:t>
      </w:r>
      <w:r w:rsidR="008B40A8" w:rsidRPr="00995931">
        <w:rPr>
          <w:rFonts w:ascii="Arial" w:hAnsi="Arial" w:cs="Arial"/>
          <w:color w:val="000000" w:themeColor="text1"/>
        </w:rPr>
        <w:t>R</w:t>
      </w:r>
      <w:r w:rsidR="00266548" w:rsidRPr="00995931">
        <w:rPr>
          <w:rFonts w:ascii="Arial" w:hAnsi="Arial" w:cs="Arial"/>
          <w:color w:val="000000" w:themeColor="text1"/>
        </w:rPr>
        <w:t>egulations cannot be disregarded in favour of an interpretation reached before they became extant and without consideration</w:t>
      </w:r>
      <w:r w:rsidR="00B72DD4" w:rsidRPr="00995931">
        <w:rPr>
          <w:rFonts w:ascii="Arial" w:hAnsi="Arial" w:cs="Arial"/>
          <w:color w:val="000000" w:themeColor="text1"/>
        </w:rPr>
        <w:t xml:space="preserve"> </w:t>
      </w:r>
      <w:r w:rsidR="00266548" w:rsidRPr="00995931">
        <w:rPr>
          <w:rFonts w:ascii="Arial" w:hAnsi="Arial" w:cs="Arial"/>
          <w:color w:val="000000" w:themeColor="text1"/>
        </w:rPr>
        <w:t xml:space="preserve">of </w:t>
      </w:r>
      <w:r w:rsidR="00C13329" w:rsidRPr="00995931">
        <w:rPr>
          <w:rFonts w:ascii="Arial" w:hAnsi="Arial" w:cs="Arial"/>
          <w:color w:val="000000" w:themeColor="text1"/>
        </w:rPr>
        <w:t xml:space="preserve">all of </w:t>
      </w:r>
      <w:r w:rsidR="00266548" w:rsidRPr="00995931">
        <w:rPr>
          <w:rFonts w:ascii="Arial" w:hAnsi="Arial" w:cs="Arial"/>
          <w:color w:val="000000" w:themeColor="text1"/>
        </w:rPr>
        <w:t xml:space="preserve">them. The very reason the Court came to the decision that it did in </w:t>
      </w:r>
      <w:r w:rsidR="00266548" w:rsidRPr="00995931">
        <w:rPr>
          <w:rFonts w:ascii="Arial" w:hAnsi="Arial" w:cs="Arial"/>
          <w:i/>
          <w:iCs/>
          <w:color w:val="000000" w:themeColor="text1"/>
        </w:rPr>
        <w:t>Progress</w:t>
      </w:r>
      <w:r w:rsidR="003120FA" w:rsidRPr="00995931">
        <w:rPr>
          <w:rFonts w:ascii="Arial" w:hAnsi="Arial" w:cs="Arial"/>
          <w:i/>
          <w:iCs/>
          <w:color w:val="000000" w:themeColor="text1"/>
        </w:rPr>
        <w:t xml:space="preserve"> Office Machines</w:t>
      </w:r>
      <w:r w:rsidR="00266548" w:rsidRPr="00995931">
        <w:rPr>
          <w:rFonts w:ascii="Arial" w:hAnsi="Arial" w:cs="Arial"/>
          <w:color w:val="000000" w:themeColor="text1"/>
        </w:rPr>
        <w:t xml:space="preserve"> was because the </w:t>
      </w:r>
      <w:r w:rsidR="00B72DD4" w:rsidRPr="00995931">
        <w:rPr>
          <w:rFonts w:ascii="Arial" w:hAnsi="Arial" w:cs="Arial"/>
          <w:color w:val="000000" w:themeColor="text1"/>
        </w:rPr>
        <w:t>Regulations were not part of the municipal law</w:t>
      </w:r>
      <w:r w:rsidR="000D6B36">
        <w:rPr>
          <w:rStyle w:val="FootnoteReference"/>
          <w:rFonts w:ascii="Arial" w:hAnsi="Arial" w:cs="Arial"/>
          <w:color w:val="000000" w:themeColor="text1"/>
        </w:rPr>
        <w:footnoteReference w:id="29"/>
      </w:r>
      <w:r w:rsidR="00B72DD4" w:rsidRPr="00995931">
        <w:rPr>
          <w:rFonts w:ascii="Arial" w:hAnsi="Arial" w:cs="Arial"/>
          <w:color w:val="000000" w:themeColor="text1"/>
        </w:rPr>
        <w:t xml:space="preserve"> applicable to the particular dispute and the </w:t>
      </w:r>
      <w:r w:rsidR="00266548" w:rsidRPr="00995931">
        <w:rPr>
          <w:rFonts w:ascii="Arial" w:hAnsi="Arial" w:cs="Arial"/>
          <w:color w:val="000000" w:themeColor="text1"/>
        </w:rPr>
        <w:t xml:space="preserve">WTO Agreement was </w:t>
      </w:r>
      <w:r w:rsidR="00B72DD4" w:rsidRPr="00995931">
        <w:rPr>
          <w:rFonts w:ascii="Arial" w:hAnsi="Arial" w:cs="Arial"/>
          <w:color w:val="000000" w:themeColor="text1"/>
        </w:rPr>
        <w:t>the only source from which an interpretation could be drawn.</w:t>
      </w:r>
      <w:r w:rsidR="00266548">
        <w:rPr>
          <w:rStyle w:val="FootnoteReference"/>
          <w:rFonts w:ascii="Arial" w:hAnsi="Arial" w:cs="Arial"/>
          <w:color w:val="000000" w:themeColor="text1"/>
        </w:rPr>
        <w:footnoteReference w:id="30"/>
      </w:r>
      <w:r w:rsidR="00C13329" w:rsidRPr="00995931">
        <w:rPr>
          <w:rFonts w:ascii="Arial" w:hAnsi="Arial" w:cs="Arial"/>
          <w:color w:val="000000" w:themeColor="text1"/>
        </w:rPr>
        <w:t xml:space="preserve"> </w:t>
      </w:r>
      <w:r w:rsidR="00B72DD4" w:rsidRPr="00995931">
        <w:rPr>
          <w:rFonts w:ascii="Arial" w:hAnsi="Arial" w:cs="Arial"/>
          <w:color w:val="000000" w:themeColor="text1"/>
        </w:rPr>
        <w:t xml:space="preserve"> </w:t>
      </w:r>
      <w:r w:rsidR="00C13329" w:rsidRPr="00995931">
        <w:rPr>
          <w:rFonts w:ascii="Arial" w:hAnsi="Arial" w:cs="Arial"/>
          <w:color w:val="000000" w:themeColor="text1"/>
        </w:rPr>
        <w:t xml:space="preserve">It is on this fundamental point that </w:t>
      </w:r>
      <w:r w:rsidR="00C13329" w:rsidRPr="00995931">
        <w:rPr>
          <w:rFonts w:ascii="Arial" w:hAnsi="Arial" w:cs="Arial"/>
          <w:i/>
          <w:iCs/>
          <w:color w:val="000000" w:themeColor="text1"/>
        </w:rPr>
        <w:t>AMIE</w:t>
      </w:r>
      <w:r w:rsidR="00C13329" w:rsidRPr="00995931">
        <w:rPr>
          <w:rFonts w:ascii="Arial" w:hAnsi="Arial" w:cs="Arial"/>
          <w:color w:val="000000" w:themeColor="text1"/>
        </w:rPr>
        <w:t xml:space="preserve"> is to be distinguished from </w:t>
      </w:r>
      <w:r w:rsidR="00C13329" w:rsidRPr="00995931">
        <w:rPr>
          <w:rFonts w:ascii="Arial" w:hAnsi="Arial" w:cs="Arial"/>
          <w:i/>
          <w:iCs/>
          <w:color w:val="000000" w:themeColor="text1"/>
        </w:rPr>
        <w:t>Progress</w:t>
      </w:r>
      <w:r w:rsidR="003120FA" w:rsidRPr="00995931">
        <w:rPr>
          <w:rFonts w:ascii="Arial" w:hAnsi="Arial" w:cs="Arial"/>
          <w:i/>
          <w:iCs/>
          <w:color w:val="000000" w:themeColor="text1"/>
        </w:rPr>
        <w:t xml:space="preserve"> Office Machines</w:t>
      </w:r>
      <w:r w:rsidR="00C13329" w:rsidRPr="00995931">
        <w:rPr>
          <w:rFonts w:ascii="Arial" w:hAnsi="Arial" w:cs="Arial"/>
          <w:color w:val="000000" w:themeColor="text1"/>
        </w:rPr>
        <w:t xml:space="preserve"> and why </w:t>
      </w:r>
      <w:r w:rsidR="00C13329" w:rsidRPr="00995931">
        <w:rPr>
          <w:rFonts w:ascii="Arial" w:hAnsi="Arial" w:cs="Arial"/>
          <w:i/>
          <w:iCs/>
          <w:color w:val="000000" w:themeColor="text1"/>
        </w:rPr>
        <w:t>AMIE</w:t>
      </w:r>
      <w:r w:rsidR="00C13329" w:rsidRPr="00995931">
        <w:rPr>
          <w:rFonts w:ascii="Arial" w:hAnsi="Arial" w:cs="Arial"/>
          <w:color w:val="000000" w:themeColor="text1"/>
        </w:rPr>
        <w:t xml:space="preserve"> is binding authority for the calculation for the </w:t>
      </w:r>
      <w:r w:rsidR="00397FE5" w:rsidRPr="00995931">
        <w:rPr>
          <w:rFonts w:ascii="Arial" w:hAnsi="Arial" w:cs="Arial"/>
          <w:color w:val="000000" w:themeColor="text1"/>
        </w:rPr>
        <w:t>5-year</w:t>
      </w:r>
      <w:r w:rsidR="00C13329" w:rsidRPr="00995931">
        <w:rPr>
          <w:rFonts w:ascii="Arial" w:hAnsi="Arial" w:cs="Arial"/>
          <w:color w:val="000000" w:themeColor="text1"/>
        </w:rPr>
        <w:t xml:space="preserve"> </w:t>
      </w:r>
      <w:r w:rsidR="00554BD1" w:rsidRPr="00995931">
        <w:rPr>
          <w:rFonts w:ascii="Arial" w:hAnsi="Arial" w:cs="Arial"/>
          <w:color w:val="000000" w:themeColor="text1"/>
        </w:rPr>
        <w:t>period</w:t>
      </w:r>
      <w:r w:rsidR="00C13329" w:rsidRPr="00995931">
        <w:rPr>
          <w:rFonts w:ascii="Arial" w:hAnsi="Arial" w:cs="Arial"/>
          <w:color w:val="000000" w:themeColor="text1"/>
        </w:rPr>
        <w:t xml:space="preserve"> for which the duties are extant as from the time of ‘publication’ referred to in Regulation 38.1 and not from the</w:t>
      </w:r>
      <w:r w:rsidR="00397FE5" w:rsidRPr="00995931">
        <w:rPr>
          <w:rFonts w:ascii="Arial" w:hAnsi="Arial" w:cs="Arial"/>
          <w:color w:val="000000" w:themeColor="text1"/>
        </w:rPr>
        <w:t xml:space="preserve"> </w:t>
      </w:r>
      <w:r w:rsidR="00B10AF6" w:rsidRPr="00995931">
        <w:rPr>
          <w:rFonts w:ascii="Arial" w:hAnsi="Arial" w:cs="Arial"/>
          <w:color w:val="000000" w:themeColor="text1"/>
        </w:rPr>
        <w:t xml:space="preserve">retrospective </w:t>
      </w:r>
      <w:r w:rsidR="00397FE5" w:rsidRPr="00995931">
        <w:rPr>
          <w:rFonts w:ascii="Arial" w:hAnsi="Arial" w:cs="Arial"/>
          <w:color w:val="000000" w:themeColor="text1"/>
        </w:rPr>
        <w:t xml:space="preserve">‘imposition’ </w:t>
      </w:r>
      <w:r w:rsidR="00B10AF6" w:rsidRPr="00995931">
        <w:rPr>
          <w:rFonts w:ascii="Arial" w:hAnsi="Arial" w:cs="Arial"/>
          <w:color w:val="000000" w:themeColor="text1"/>
        </w:rPr>
        <w:t>date.</w:t>
      </w:r>
    </w:p>
    <w:p w14:paraId="0F9CB863" w14:textId="77777777" w:rsidR="0025737D" w:rsidRPr="004D45B5" w:rsidRDefault="0025737D" w:rsidP="004D45B5">
      <w:pPr>
        <w:spacing w:line="360" w:lineRule="auto"/>
        <w:jc w:val="both"/>
        <w:rPr>
          <w:rFonts w:ascii="Arial" w:hAnsi="Arial" w:cs="Arial"/>
          <w:color w:val="000000" w:themeColor="text1"/>
          <w:sz w:val="22"/>
          <w:szCs w:val="22"/>
        </w:rPr>
      </w:pPr>
    </w:p>
    <w:p w14:paraId="0B7DE524" w14:textId="4DA4C786" w:rsidR="0082147C" w:rsidRPr="00995931" w:rsidRDefault="00995931" w:rsidP="00995931">
      <w:pPr>
        <w:spacing w:line="360" w:lineRule="auto"/>
        <w:ind w:left="900" w:hanging="900"/>
        <w:jc w:val="both"/>
        <w:rPr>
          <w:rFonts w:ascii="Arial" w:hAnsi="Arial" w:cs="Arial"/>
          <w:color w:val="000000" w:themeColor="text1"/>
        </w:rPr>
      </w:pPr>
      <w:r>
        <w:rPr>
          <w:rFonts w:ascii="Arial" w:hAnsi="Arial" w:cs="Arial"/>
          <w:color w:val="000000" w:themeColor="text1"/>
        </w:rPr>
        <w:t>[40].</w:t>
      </w:r>
      <w:r>
        <w:rPr>
          <w:rFonts w:ascii="Arial" w:hAnsi="Arial" w:cs="Arial"/>
          <w:color w:val="000000" w:themeColor="text1"/>
        </w:rPr>
        <w:tab/>
      </w:r>
      <w:r w:rsidR="001C032F" w:rsidRPr="00995931">
        <w:rPr>
          <w:rFonts w:ascii="Arial" w:hAnsi="Arial" w:cs="Arial"/>
          <w:color w:val="000000" w:themeColor="text1"/>
        </w:rPr>
        <w:t xml:space="preserve">It was also argued on behalf of </w:t>
      </w:r>
      <w:r w:rsidR="00B13443" w:rsidRPr="00995931">
        <w:rPr>
          <w:rFonts w:ascii="Arial" w:hAnsi="Arial" w:cs="Arial"/>
          <w:color w:val="000000" w:themeColor="text1"/>
        </w:rPr>
        <w:t>TATA</w:t>
      </w:r>
      <w:r w:rsidR="001C032F" w:rsidRPr="00995931">
        <w:rPr>
          <w:rFonts w:ascii="Arial" w:hAnsi="Arial" w:cs="Arial"/>
          <w:color w:val="000000" w:themeColor="text1"/>
        </w:rPr>
        <w:t xml:space="preserve"> that the interpretation to be given to the words “unless otherwise specified” in Regulation 38.1, was that when</w:t>
      </w:r>
      <w:r w:rsidR="00324DEF" w:rsidRPr="00995931">
        <w:rPr>
          <w:rFonts w:ascii="Arial" w:hAnsi="Arial" w:cs="Arial"/>
          <w:color w:val="000000" w:themeColor="text1"/>
        </w:rPr>
        <w:t xml:space="preserve"> schedule 2 was amended to have retrospective effect, this is in its terms falls squarely within the exception.  It was also argued that such an interpretation would be consonant with Regulation 38.2.  </w:t>
      </w:r>
      <w:r w:rsidR="007237FA" w:rsidRPr="00995931">
        <w:rPr>
          <w:rFonts w:ascii="Arial" w:hAnsi="Arial" w:cs="Arial"/>
          <w:color w:val="000000" w:themeColor="text1"/>
        </w:rPr>
        <w:t xml:space="preserve">On a plain reading of Regulation 38.1, the words “unless otherwise specified” quite clearly relate to the ‘publication’ and not to the total period for which the duties would be payable </w:t>
      </w:r>
      <w:r w:rsidR="003C6333" w:rsidRPr="00995931">
        <w:rPr>
          <w:rFonts w:ascii="Arial" w:hAnsi="Arial" w:cs="Arial"/>
          <w:color w:val="000000" w:themeColor="text1"/>
        </w:rPr>
        <w:t>considering</w:t>
      </w:r>
      <w:r w:rsidR="007237FA" w:rsidRPr="00995931">
        <w:rPr>
          <w:rFonts w:ascii="Arial" w:hAnsi="Arial" w:cs="Arial"/>
          <w:color w:val="000000" w:themeColor="text1"/>
        </w:rPr>
        <w:t xml:space="preserve"> any retrospective period.  </w:t>
      </w:r>
    </w:p>
    <w:p w14:paraId="7465104A" w14:textId="77777777" w:rsidR="0082147C" w:rsidRDefault="0082147C" w:rsidP="0082147C">
      <w:pPr>
        <w:pStyle w:val="ListParagraph"/>
        <w:spacing w:line="360" w:lineRule="auto"/>
        <w:ind w:left="900"/>
        <w:jc w:val="both"/>
        <w:rPr>
          <w:rFonts w:ascii="Arial" w:hAnsi="Arial" w:cs="Arial"/>
          <w:color w:val="000000" w:themeColor="text1"/>
        </w:rPr>
      </w:pPr>
    </w:p>
    <w:p w14:paraId="06162CF9" w14:textId="5E52ED3B" w:rsidR="00BB2283" w:rsidRPr="00995931" w:rsidRDefault="00995931" w:rsidP="00995931">
      <w:pPr>
        <w:spacing w:line="360" w:lineRule="auto"/>
        <w:ind w:left="900" w:hanging="900"/>
        <w:jc w:val="both"/>
        <w:rPr>
          <w:rFonts w:ascii="Arial" w:hAnsi="Arial" w:cs="Arial"/>
          <w:color w:val="000000" w:themeColor="text1"/>
        </w:rPr>
      </w:pPr>
      <w:r>
        <w:rPr>
          <w:rFonts w:ascii="Arial" w:hAnsi="Arial" w:cs="Arial"/>
          <w:color w:val="000000" w:themeColor="text1"/>
        </w:rPr>
        <w:t>[41].</w:t>
      </w:r>
      <w:r>
        <w:rPr>
          <w:rFonts w:ascii="Arial" w:hAnsi="Arial" w:cs="Arial"/>
          <w:color w:val="000000" w:themeColor="text1"/>
        </w:rPr>
        <w:tab/>
      </w:r>
      <w:r w:rsidR="007237FA" w:rsidRPr="00995931">
        <w:rPr>
          <w:rFonts w:ascii="Arial" w:hAnsi="Arial" w:cs="Arial"/>
          <w:color w:val="000000" w:themeColor="text1"/>
        </w:rPr>
        <w:t xml:space="preserve">The Regulation is in its terms clear and unequivocal that anti-dumping duties will remain in place for a period of 5 years </w:t>
      </w:r>
      <w:r w:rsidR="007237FA" w:rsidRPr="00995931">
        <w:rPr>
          <w:rFonts w:ascii="Arial" w:hAnsi="Arial" w:cs="Arial"/>
          <w:b/>
          <w:bCs/>
          <w:color w:val="000000" w:themeColor="text1"/>
          <w:u w:val="single"/>
        </w:rPr>
        <w:t xml:space="preserve">from </w:t>
      </w:r>
      <w:r w:rsidR="007237FA" w:rsidRPr="00995931">
        <w:rPr>
          <w:rFonts w:ascii="Arial" w:hAnsi="Arial" w:cs="Arial"/>
          <w:color w:val="000000" w:themeColor="text1"/>
        </w:rPr>
        <w:t xml:space="preserve">the date of the publication of </w:t>
      </w:r>
      <w:r w:rsidR="00B13443" w:rsidRPr="00995931">
        <w:rPr>
          <w:rFonts w:ascii="Arial" w:hAnsi="Arial" w:cs="Arial"/>
          <w:color w:val="000000" w:themeColor="text1"/>
        </w:rPr>
        <w:t>ITAC</w:t>
      </w:r>
      <w:r w:rsidR="007237FA" w:rsidRPr="00995931">
        <w:rPr>
          <w:rFonts w:ascii="Arial" w:hAnsi="Arial" w:cs="Arial"/>
          <w:color w:val="000000" w:themeColor="text1"/>
        </w:rPr>
        <w:t>’s final recommendation and not as a composite period.</w:t>
      </w:r>
      <w:r w:rsidR="00FF3062" w:rsidRPr="00995931">
        <w:rPr>
          <w:rFonts w:ascii="Arial" w:hAnsi="Arial" w:cs="Arial"/>
          <w:color w:val="000000" w:themeColor="text1"/>
        </w:rPr>
        <w:t xml:space="preserve">  Since s</w:t>
      </w:r>
      <w:r w:rsidR="00566292" w:rsidRPr="00995931">
        <w:rPr>
          <w:rFonts w:ascii="Arial" w:hAnsi="Arial" w:cs="Arial"/>
          <w:color w:val="000000" w:themeColor="text1"/>
        </w:rPr>
        <w:t xml:space="preserve"> 57A(3) </w:t>
      </w:r>
      <w:r w:rsidR="00FF3062" w:rsidRPr="00995931">
        <w:rPr>
          <w:rFonts w:ascii="Arial" w:hAnsi="Arial" w:cs="Arial"/>
          <w:color w:val="000000" w:themeColor="text1"/>
        </w:rPr>
        <w:t>of the Customs Act</w:t>
      </w:r>
      <w:r w:rsidR="00FF3062" w:rsidRPr="00995931">
        <w:rPr>
          <w:rFonts w:ascii="Arial" w:hAnsi="Arial" w:cs="Arial"/>
          <w:color w:val="000000" w:themeColor="text1"/>
          <w:sz w:val="32"/>
          <w:szCs w:val="32"/>
        </w:rPr>
        <w:t xml:space="preserve"> </w:t>
      </w:r>
      <w:r w:rsidR="00FF3062" w:rsidRPr="00995931">
        <w:rPr>
          <w:rFonts w:ascii="Arial" w:hAnsi="Arial" w:cs="Arial"/>
          <w:color w:val="000000" w:themeColor="text1"/>
        </w:rPr>
        <w:t xml:space="preserve">does not contain any reference to the </w:t>
      </w:r>
      <w:r w:rsidR="003C6333" w:rsidRPr="00995931">
        <w:rPr>
          <w:rFonts w:ascii="Arial" w:hAnsi="Arial" w:cs="Arial"/>
          <w:color w:val="000000" w:themeColor="text1"/>
        </w:rPr>
        <w:t>period</w:t>
      </w:r>
      <w:r w:rsidR="00FF3062" w:rsidRPr="00995931">
        <w:rPr>
          <w:rFonts w:ascii="Arial" w:hAnsi="Arial" w:cs="Arial"/>
          <w:color w:val="000000" w:themeColor="text1"/>
        </w:rPr>
        <w:t xml:space="preserve"> for which duties are to remain extant, the interpretation of the Regulation does not</w:t>
      </w:r>
      <w:r w:rsidR="006542EB" w:rsidRPr="00995931">
        <w:rPr>
          <w:rFonts w:ascii="Arial" w:hAnsi="Arial" w:cs="Arial"/>
          <w:color w:val="000000" w:themeColor="text1"/>
        </w:rPr>
        <w:t xml:space="preserve"> in any way affect the interpretation of the Act</w:t>
      </w:r>
      <w:r w:rsidR="00BB2283" w:rsidRPr="00995931">
        <w:rPr>
          <w:rFonts w:ascii="Arial" w:hAnsi="Arial" w:cs="Arial"/>
          <w:color w:val="000000" w:themeColor="text1"/>
        </w:rPr>
        <w:t>.</w:t>
      </w:r>
      <w:r w:rsidR="006542EB">
        <w:rPr>
          <w:rStyle w:val="FootnoteReference"/>
          <w:rFonts w:ascii="Arial" w:hAnsi="Arial" w:cs="Arial"/>
          <w:color w:val="000000" w:themeColor="text1"/>
        </w:rPr>
        <w:footnoteReference w:id="31"/>
      </w:r>
      <w:r w:rsidR="00BB2283" w:rsidRPr="00995931">
        <w:rPr>
          <w:rFonts w:ascii="Arial" w:hAnsi="Arial" w:cs="Arial"/>
          <w:color w:val="000000" w:themeColor="text1"/>
        </w:rPr>
        <w:t xml:space="preserve"> </w:t>
      </w:r>
    </w:p>
    <w:p w14:paraId="1BC8058E" w14:textId="0A5A7646" w:rsidR="00BB2283" w:rsidRDefault="00BB2283" w:rsidP="00BB2283">
      <w:pPr>
        <w:pStyle w:val="ListParagraph"/>
        <w:rPr>
          <w:rFonts w:ascii="Arial" w:hAnsi="Arial" w:cs="Arial"/>
          <w:color w:val="000000" w:themeColor="text1"/>
        </w:rPr>
      </w:pPr>
    </w:p>
    <w:p w14:paraId="4B7819C5" w14:textId="77777777" w:rsidR="0025737D" w:rsidRPr="00BB2283" w:rsidRDefault="0025737D" w:rsidP="00BB2283">
      <w:pPr>
        <w:pStyle w:val="ListParagraph"/>
        <w:rPr>
          <w:rFonts w:ascii="Arial" w:hAnsi="Arial" w:cs="Arial"/>
          <w:color w:val="000000" w:themeColor="text1"/>
        </w:rPr>
      </w:pPr>
    </w:p>
    <w:p w14:paraId="75597FF0" w14:textId="3BA24D65" w:rsidR="007237FA" w:rsidRPr="00995931" w:rsidRDefault="00995931" w:rsidP="00995931">
      <w:pPr>
        <w:spacing w:line="360" w:lineRule="auto"/>
        <w:ind w:left="900" w:hanging="900"/>
        <w:jc w:val="both"/>
        <w:rPr>
          <w:rFonts w:ascii="Arial" w:hAnsi="Arial" w:cs="Arial"/>
          <w:color w:val="000000" w:themeColor="text1"/>
        </w:rPr>
      </w:pPr>
      <w:r>
        <w:rPr>
          <w:rFonts w:ascii="Arial" w:hAnsi="Arial" w:cs="Arial"/>
          <w:color w:val="000000" w:themeColor="text1"/>
        </w:rPr>
        <w:t>[42].</w:t>
      </w:r>
      <w:r>
        <w:rPr>
          <w:rFonts w:ascii="Arial" w:hAnsi="Arial" w:cs="Arial"/>
          <w:color w:val="000000" w:themeColor="text1"/>
        </w:rPr>
        <w:tab/>
      </w:r>
      <w:r w:rsidR="00BB2283" w:rsidRPr="00995931">
        <w:rPr>
          <w:rFonts w:ascii="Arial" w:hAnsi="Arial" w:cs="Arial"/>
          <w:color w:val="000000" w:themeColor="text1"/>
        </w:rPr>
        <w:t xml:space="preserve">Insofar as the WTO Agreement is concerned, while the judgment in </w:t>
      </w:r>
      <w:r w:rsidR="00BB2283" w:rsidRPr="00995931">
        <w:rPr>
          <w:rFonts w:ascii="Arial" w:hAnsi="Arial" w:cs="Arial"/>
          <w:i/>
          <w:iCs/>
          <w:color w:val="000000" w:themeColor="text1"/>
        </w:rPr>
        <w:t xml:space="preserve">Progress </w:t>
      </w:r>
      <w:r w:rsidR="00BB2283" w:rsidRPr="00995931">
        <w:rPr>
          <w:rFonts w:ascii="Arial" w:hAnsi="Arial" w:cs="Arial"/>
          <w:color w:val="000000" w:themeColor="text1"/>
        </w:rPr>
        <w:t xml:space="preserve">may well be consonant with that agreement, this was considered by the court </w:t>
      </w:r>
      <w:r w:rsidR="00BB2283" w:rsidRPr="00995931">
        <w:rPr>
          <w:rFonts w:ascii="Arial" w:hAnsi="Arial" w:cs="Arial"/>
          <w:color w:val="000000" w:themeColor="text1"/>
        </w:rPr>
        <w:lastRenderedPageBreak/>
        <w:t xml:space="preserve">in </w:t>
      </w:r>
      <w:r w:rsidR="00BB2283" w:rsidRPr="00995931">
        <w:rPr>
          <w:rFonts w:ascii="Arial" w:hAnsi="Arial" w:cs="Arial"/>
          <w:i/>
          <w:iCs/>
          <w:color w:val="000000" w:themeColor="text1"/>
        </w:rPr>
        <w:t>AMIE</w:t>
      </w:r>
      <w:r w:rsidR="00BB2283" w:rsidRPr="00995931">
        <w:rPr>
          <w:rFonts w:ascii="Arial" w:hAnsi="Arial" w:cs="Arial"/>
          <w:color w:val="000000" w:themeColor="text1"/>
        </w:rPr>
        <w:t xml:space="preserve">. While the Regulations remain extant, they are to be applied and the court in </w:t>
      </w:r>
      <w:r w:rsidR="00BB2283" w:rsidRPr="00995931">
        <w:rPr>
          <w:rFonts w:ascii="Arial" w:hAnsi="Arial" w:cs="Arial"/>
          <w:i/>
          <w:iCs/>
          <w:color w:val="000000" w:themeColor="text1"/>
        </w:rPr>
        <w:t>AMIE</w:t>
      </w:r>
      <w:r w:rsidR="00BB2283" w:rsidRPr="00995931">
        <w:rPr>
          <w:rFonts w:ascii="Arial" w:hAnsi="Arial" w:cs="Arial"/>
          <w:color w:val="000000" w:themeColor="text1"/>
        </w:rPr>
        <w:t xml:space="preserve"> has clearly and unequivocally confirmed this</w:t>
      </w:r>
      <w:r w:rsidR="003F2698" w:rsidRPr="00995931">
        <w:rPr>
          <w:rFonts w:ascii="Arial" w:hAnsi="Arial" w:cs="Arial"/>
          <w:color w:val="000000" w:themeColor="text1"/>
        </w:rPr>
        <w:t xml:space="preserve"> and I am bound by it</w:t>
      </w:r>
      <w:r w:rsidR="001D59C7" w:rsidRPr="00995931">
        <w:rPr>
          <w:rFonts w:ascii="Arial" w:hAnsi="Arial" w:cs="Arial"/>
          <w:color w:val="000000" w:themeColor="text1"/>
        </w:rPr>
        <w:t>.</w:t>
      </w:r>
      <w:r w:rsidR="001D59C7">
        <w:rPr>
          <w:rStyle w:val="FootnoteReference"/>
          <w:rFonts w:ascii="Arial" w:hAnsi="Arial" w:cs="Arial"/>
          <w:color w:val="000000" w:themeColor="text1"/>
        </w:rPr>
        <w:footnoteReference w:id="32"/>
      </w:r>
    </w:p>
    <w:p w14:paraId="6E2C4AE6" w14:textId="59817933" w:rsidR="00BB2283" w:rsidRDefault="00BB2283" w:rsidP="00BB2283">
      <w:pPr>
        <w:pStyle w:val="ListParagraph"/>
        <w:rPr>
          <w:rFonts w:ascii="Arial" w:hAnsi="Arial" w:cs="Arial"/>
          <w:color w:val="000000" w:themeColor="text1"/>
        </w:rPr>
      </w:pPr>
    </w:p>
    <w:p w14:paraId="5713832D" w14:textId="77777777" w:rsidR="0025737D" w:rsidRPr="00BB2283" w:rsidRDefault="0025737D" w:rsidP="00BB2283">
      <w:pPr>
        <w:pStyle w:val="ListParagraph"/>
        <w:rPr>
          <w:rFonts w:ascii="Arial" w:hAnsi="Arial" w:cs="Arial"/>
          <w:color w:val="000000" w:themeColor="text1"/>
        </w:rPr>
      </w:pPr>
    </w:p>
    <w:p w14:paraId="6B5F1D6C" w14:textId="7ABC2170" w:rsidR="004D45B5" w:rsidRPr="00995931" w:rsidRDefault="00995931" w:rsidP="00995931">
      <w:pPr>
        <w:spacing w:line="360" w:lineRule="auto"/>
        <w:ind w:left="900" w:hanging="900"/>
        <w:jc w:val="both"/>
        <w:rPr>
          <w:rFonts w:ascii="Arial" w:hAnsi="Arial" w:cs="Arial"/>
          <w:color w:val="000000" w:themeColor="text1"/>
        </w:rPr>
      </w:pPr>
      <w:r w:rsidRPr="00BB2283">
        <w:rPr>
          <w:rFonts w:ascii="Arial" w:hAnsi="Arial" w:cs="Arial"/>
          <w:color w:val="000000" w:themeColor="text1"/>
        </w:rPr>
        <w:t>[43].</w:t>
      </w:r>
      <w:r w:rsidRPr="00BB2283">
        <w:rPr>
          <w:rFonts w:ascii="Arial" w:hAnsi="Arial" w:cs="Arial"/>
          <w:color w:val="000000" w:themeColor="text1"/>
        </w:rPr>
        <w:tab/>
      </w:r>
      <w:r w:rsidR="004D45B5" w:rsidRPr="00995931">
        <w:rPr>
          <w:rFonts w:ascii="Arial" w:hAnsi="Arial" w:cs="Arial"/>
          <w:color w:val="000000" w:themeColor="text1"/>
        </w:rPr>
        <w:t xml:space="preserve">For the reasons set out above, </w:t>
      </w:r>
      <w:r w:rsidR="00F77866" w:rsidRPr="00995931">
        <w:rPr>
          <w:rFonts w:ascii="Arial" w:hAnsi="Arial" w:cs="Arial"/>
          <w:color w:val="000000" w:themeColor="text1"/>
        </w:rPr>
        <w:t xml:space="preserve">in my view, </w:t>
      </w:r>
      <w:r w:rsidR="004D45B5" w:rsidRPr="00995931">
        <w:rPr>
          <w:rFonts w:ascii="Arial" w:hAnsi="Arial" w:cs="Arial"/>
          <w:color w:val="000000" w:themeColor="text1"/>
        </w:rPr>
        <w:t>first ground of review is</w:t>
      </w:r>
      <w:r w:rsidR="003C6333" w:rsidRPr="00995931">
        <w:rPr>
          <w:rFonts w:ascii="Arial" w:hAnsi="Arial" w:cs="Arial"/>
          <w:color w:val="000000" w:themeColor="text1"/>
        </w:rPr>
        <w:t xml:space="preserve"> accordingly</w:t>
      </w:r>
      <w:r w:rsidR="004D45B5" w:rsidRPr="00995931">
        <w:rPr>
          <w:rFonts w:ascii="Arial" w:hAnsi="Arial" w:cs="Arial"/>
          <w:color w:val="000000" w:themeColor="text1"/>
        </w:rPr>
        <w:t xml:space="preserve"> without merit</w:t>
      </w:r>
      <w:r w:rsidR="00B72DD4" w:rsidRPr="00995931">
        <w:rPr>
          <w:rFonts w:ascii="Arial" w:hAnsi="Arial" w:cs="Arial"/>
          <w:color w:val="000000" w:themeColor="text1"/>
        </w:rPr>
        <w:t xml:space="preserve"> and must fail</w:t>
      </w:r>
      <w:r w:rsidR="004D45B5" w:rsidRPr="00995931">
        <w:rPr>
          <w:rFonts w:ascii="Arial" w:hAnsi="Arial" w:cs="Arial"/>
          <w:color w:val="000000" w:themeColor="text1"/>
        </w:rPr>
        <w:t>.</w:t>
      </w:r>
    </w:p>
    <w:p w14:paraId="03F2CF3A" w14:textId="74E429EA" w:rsidR="002133E4" w:rsidRDefault="002133E4" w:rsidP="002133E4">
      <w:pPr>
        <w:spacing w:line="360" w:lineRule="auto"/>
        <w:jc w:val="both"/>
        <w:rPr>
          <w:rFonts w:ascii="Arial" w:hAnsi="Arial" w:cs="Arial"/>
          <w:color w:val="000000" w:themeColor="text1"/>
          <w:sz w:val="22"/>
          <w:szCs w:val="22"/>
        </w:rPr>
      </w:pPr>
    </w:p>
    <w:p w14:paraId="7028E5A6" w14:textId="77777777" w:rsidR="002423E5" w:rsidRDefault="002423E5" w:rsidP="002133E4">
      <w:pPr>
        <w:spacing w:line="360" w:lineRule="auto"/>
        <w:jc w:val="both"/>
        <w:rPr>
          <w:rFonts w:ascii="Arial" w:hAnsi="Arial" w:cs="Arial"/>
          <w:color w:val="000000" w:themeColor="text1"/>
          <w:sz w:val="22"/>
          <w:szCs w:val="22"/>
        </w:rPr>
      </w:pPr>
    </w:p>
    <w:p w14:paraId="6A14801A" w14:textId="566B7E96" w:rsidR="002133E4" w:rsidRPr="002133E4" w:rsidRDefault="002423E5" w:rsidP="002133E4">
      <w:pPr>
        <w:spacing w:line="360" w:lineRule="auto"/>
        <w:jc w:val="both"/>
        <w:rPr>
          <w:rFonts w:ascii="Arial" w:hAnsi="Arial" w:cs="Arial"/>
          <w:b/>
          <w:bCs/>
          <w:color w:val="000000" w:themeColor="text1"/>
          <w:u w:val="single"/>
        </w:rPr>
      </w:pPr>
      <w:r>
        <w:rPr>
          <w:rFonts w:ascii="Arial" w:hAnsi="Arial" w:cs="Arial"/>
          <w:b/>
          <w:bCs/>
          <w:color w:val="000000" w:themeColor="text1"/>
          <w:u w:val="single"/>
        </w:rPr>
        <w:t>THE S</w:t>
      </w:r>
      <w:r w:rsidRPr="002133E4">
        <w:rPr>
          <w:rFonts w:ascii="Arial" w:hAnsi="Arial" w:cs="Arial"/>
          <w:b/>
          <w:bCs/>
          <w:color w:val="000000" w:themeColor="text1"/>
          <w:u w:val="single"/>
        </w:rPr>
        <w:t xml:space="preserve">ECOND </w:t>
      </w:r>
      <w:r>
        <w:rPr>
          <w:rFonts w:ascii="Arial" w:hAnsi="Arial" w:cs="Arial"/>
          <w:b/>
          <w:bCs/>
          <w:color w:val="000000" w:themeColor="text1"/>
          <w:u w:val="single"/>
        </w:rPr>
        <w:t>G</w:t>
      </w:r>
      <w:r w:rsidRPr="002133E4">
        <w:rPr>
          <w:rFonts w:ascii="Arial" w:hAnsi="Arial" w:cs="Arial"/>
          <w:b/>
          <w:bCs/>
          <w:color w:val="000000" w:themeColor="text1"/>
          <w:u w:val="single"/>
        </w:rPr>
        <w:t xml:space="preserve">ROUND OF </w:t>
      </w:r>
      <w:r>
        <w:rPr>
          <w:rFonts w:ascii="Arial" w:hAnsi="Arial" w:cs="Arial"/>
          <w:b/>
          <w:bCs/>
          <w:color w:val="000000" w:themeColor="text1"/>
          <w:u w:val="single"/>
        </w:rPr>
        <w:t>R</w:t>
      </w:r>
      <w:r w:rsidRPr="002133E4">
        <w:rPr>
          <w:rFonts w:ascii="Arial" w:hAnsi="Arial" w:cs="Arial"/>
          <w:b/>
          <w:bCs/>
          <w:color w:val="000000" w:themeColor="text1"/>
          <w:u w:val="single"/>
        </w:rPr>
        <w:t>EVIEW</w:t>
      </w:r>
    </w:p>
    <w:p w14:paraId="5D71CE9B" w14:textId="6BFF0404" w:rsidR="0025737D" w:rsidRDefault="0025737D" w:rsidP="004D45B5">
      <w:pPr>
        <w:pStyle w:val="ListParagraph"/>
        <w:spacing w:line="360" w:lineRule="auto"/>
        <w:ind w:left="900"/>
        <w:jc w:val="both"/>
        <w:rPr>
          <w:rFonts w:ascii="Arial" w:hAnsi="Arial" w:cs="Arial"/>
          <w:color w:val="000000" w:themeColor="text1"/>
          <w:sz w:val="22"/>
          <w:szCs w:val="22"/>
        </w:rPr>
      </w:pPr>
    </w:p>
    <w:p w14:paraId="314A1141" w14:textId="77777777" w:rsidR="002423E5" w:rsidRPr="004D45B5" w:rsidRDefault="002423E5" w:rsidP="004D45B5">
      <w:pPr>
        <w:pStyle w:val="ListParagraph"/>
        <w:spacing w:line="360" w:lineRule="auto"/>
        <w:ind w:left="900"/>
        <w:jc w:val="both"/>
        <w:rPr>
          <w:rFonts w:ascii="Arial" w:hAnsi="Arial" w:cs="Arial"/>
          <w:color w:val="000000" w:themeColor="text1"/>
          <w:sz w:val="22"/>
          <w:szCs w:val="22"/>
        </w:rPr>
      </w:pPr>
    </w:p>
    <w:p w14:paraId="4A7A89D9" w14:textId="5D23041B" w:rsidR="004D45B5" w:rsidRPr="00995931" w:rsidRDefault="00995931" w:rsidP="00995931">
      <w:pPr>
        <w:spacing w:line="360" w:lineRule="auto"/>
        <w:ind w:left="900" w:hanging="900"/>
        <w:jc w:val="both"/>
        <w:rPr>
          <w:rFonts w:ascii="Arial" w:hAnsi="Arial" w:cs="Arial"/>
          <w:color w:val="000000" w:themeColor="text1"/>
          <w:sz w:val="22"/>
          <w:szCs w:val="22"/>
        </w:rPr>
      </w:pPr>
      <w:r w:rsidRPr="00F77866">
        <w:rPr>
          <w:rFonts w:ascii="Arial" w:hAnsi="Arial" w:cs="Arial"/>
          <w:color w:val="000000" w:themeColor="text1"/>
        </w:rPr>
        <w:t>[44].</w:t>
      </w:r>
      <w:r w:rsidRPr="00F77866">
        <w:rPr>
          <w:rFonts w:ascii="Arial" w:hAnsi="Arial" w:cs="Arial"/>
          <w:color w:val="000000" w:themeColor="text1"/>
        </w:rPr>
        <w:tab/>
      </w:r>
      <w:r w:rsidR="004D45B5" w:rsidRPr="00995931">
        <w:rPr>
          <w:rFonts w:ascii="Arial" w:hAnsi="Arial" w:cs="Arial"/>
          <w:color w:val="000000" w:themeColor="text1"/>
        </w:rPr>
        <w:t>Turning now to the second ground of review. Was there any factual basis established for the finding that there would be a continuation or recurrence of injurious dumping?</w:t>
      </w:r>
    </w:p>
    <w:p w14:paraId="3D191F6C" w14:textId="21BC142F" w:rsidR="00F77866" w:rsidRDefault="00F77866" w:rsidP="00F77866">
      <w:pPr>
        <w:pStyle w:val="ListParagraph"/>
        <w:rPr>
          <w:rFonts w:ascii="Arial" w:hAnsi="Arial" w:cs="Arial"/>
          <w:color w:val="000000" w:themeColor="text1"/>
          <w:sz w:val="22"/>
          <w:szCs w:val="22"/>
        </w:rPr>
      </w:pPr>
    </w:p>
    <w:p w14:paraId="475F00E7" w14:textId="77777777" w:rsidR="0025737D" w:rsidRPr="00F77866" w:rsidRDefault="0025737D" w:rsidP="00F77866">
      <w:pPr>
        <w:pStyle w:val="ListParagraph"/>
        <w:rPr>
          <w:rFonts w:ascii="Arial" w:hAnsi="Arial" w:cs="Arial"/>
          <w:color w:val="000000" w:themeColor="text1"/>
          <w:sz w:val="22"/>
          <w:szCs w:val="22"/>
        </w:rPr>
      </w:pPr>
    </w:p>
    <w:p w14:paraId="1922ECC3" w14:textId="72B75EE8" w:rsidR="0078301E" w:rsidRPr="00995931" w:rsidRDefault="00995931" w:rsidP="00995931">
      <w:pPr>
        <w:spacing w:line="360" w:lineRule="auto"/>
        <w:ind w:left="900" w:hanging="900"/>
        <w:jc w:val="both"/>
        <w:rPr>
          <w:rFonts w:ascii="Arial" w:hAnsi="Arial" w:cs="Arial"/>
          <w:color w:val="000000" w:themeColor="text1"/>
          <w:sz w:val="22"/>
          <w:szCs w:val="22"/>
        </w:rPr>
      </w:pPr>
      <w:r w:rsidRPr="002423E5">
        <w:rPr>
          <w:rFonts w:ascii="Arial" w:hAnsi="Arial" w:cs="Arial"/>
          <w:color w:val="000000" w:themeColor="text1"/>
        </w:rPr>
        <w:t>[45].</w:t>
      </w:r>
      <w:r w:rsidRPr="002423E5">
        <w:rPr>
          <w:rFonts w:ascii="Arial" w:hAnsi="Arial" w:cs="Arial"/>
          <w:color w:val="000000" w:themeColor="text1"/>
        </w:rPr>
        <w:tab/>
      </w:r>
      <w:r w:rsidR="00F77866" w:rsidRPr="00995931">
        <w:rPr>
          <w:rFonts w:ascii="Arial" w:hAnsi="Arial" w:cs="Arial"/>
          <w:color w:val="000000" w:themeColor="text1"/>
        </w:rPr>
        <w:t xml:space="preserve">It was argued for </w:t>
      </w:r>
      <w:r w:rsidR="00B13443" w:rsidRPr="00995931">
        <w:rPr>
          <w:rFonts w:ascii="Arial" w:hAnsi="Arial" w:cs="Arial"/>
          <w:color w:val="000000" w:themeColor="text1"/>
        </w:rPr>
        <w:t>TATA</w:t>
      </w:r>
      <w:r w:rsidR="00F77866" w:rsidRPr="00995931">
        <w:rPr>
          <w:rFonts w:ascii="Arial" w:hAnsi="Arial" w:cs="Arial"/>
          <w:color w:val="000000" w:themeColor="text1"/>
        </w:rPr>
        <w:t xml:space="preserve"> that </w:t>
      </w:r>
      <w:r w:rsidR="00B13443" w:rsidRPr="00995931">
        <w:rPr>
          <w:rFonts w:ascii="Arial" w:hAnsi="Arial" w:cs="Arial"/>
          <w:color w:val="000000" w:themeColor="text1"/>
        </w:rPr>
        <w:t>ITAC</w:t>
      </w:r>
      <w:r w:rsidR="00F77866" w:rsidRPr="00995931">
        <w:rPr>
          <w:rFonts w:ascii="Arial" w:hAnsi="Arial" w:cs="Arial"/>
          <w:color w:val="000000" w:themeColor="text1"/>
        </w:rPr>
        <w:t xml:space="preserve"> </w:t>
      </w:r>
      <w:r w:rsidR="00DC7A05" w:rsidRPr="00995931">
        <w:rPr>
          <w:rFonts w:ascii="Arial" w:hAnsi="Arial" w:cs="Arial"/>
          <w:color w:val="000000" w:themeColor="text1"/>
        </w:rPr>
        <w:t>was required “to provide interested parties with a reasoned conclusion and a “sufficient factual basis” for its determination” so that it could understand the “gist of the case against it”.</w:t>
      </w:r>
      <w:r w:rsidR="00DC7A05">
        <w:rPr>
          <w:rStyle w:val="FootnoteReference"/>
          <w:rFonts w:ascii="Arial" w:hAnsi="Arial" w:cs="Arial"/>
          <w:color w:val="000000" w:themeColor="text1"/>
        </w:rPr>
        <w:footnoteReference w:id="33"/>
      </w:r>
      <w:r w:rsidR="00DC7A05" w:rsidRPr="00995931">
        <w:rPr>
          <w:rFonts w:ascii="Arial" w:hAnsi="Arial" w:cs="Arial"/>
          <w:color w:val="000000" w:themeColor="text1"/>
        </w:rPr>
        <w:t xml:space="preserve">  </w:t>
      </w:r>
      <w:r w:rsidR="00167161" w:rsidRPr="00995931">
        <w:rPr>
          <w:rFonts w:ascii="Arial" w:hAnsi="Arial" w:cs="Arial"/>
          <w:color w:val="000000" w:themeColor="text1"/>
        </w:rPr>
        <w:t xml:space="preserve">In support of this argument, </w:t>
      </w:r>
      <w:r w:rsidR="00624CDA" w:rsidRPr="00995931">
        <w:rPr>
          <w:rFonts w:ascii="Arial" w:hAnsi="Arial" w:cs="Arial"/>
          <w:color w:val="000000" w:themeColor="text1"/>
        </w:rPr>
        <w:t>they relied on the provisions of Article 11.4 read together with Article 6.9 of the WTO Agreement</w:t>
      </w:r>
      <w:r w:rsidR="00624CDA">
        <w:rPr>
          <w:rStyle w:val="FootnoteReference"/>
          <w:rFonts w:ascii="Arial" w:hAnsi="Arial" w:cs="Arial"/>
          <w:color w:val="000000" w:themeColor="text1"/>
        </w:rPr>
        <w:footnoteReference w:id="34"/>
      </w:r>
      <w:r w:rsidR="00624CDA" w:rsidRPr="00995931">
        <w:rPr>
          <w:rFonts w:ascii="Arial" w:hAnsi="Arial" w:cs="Arial"/>
          <w:color w:val="000000" w:themeColor="text1"/>
        </w:rPr>
        <w:t xml:space="preserve"> and to the decision in </w:t>
      </w:r>
      <w:r w:rsidR="00624CDA" w:rsidRPr="00995931">
        <w:rPr>
          <w:rFonts w:ascii="Arial" w:hAnsi="Arial" w:cs="Arial"/>
          <w:i/>
          <w:iCs/>
          <w:color w:val="000000" w:themeColor="text1"/>
        </w:rPr>
        <w:t xml:space="preserve">US – </w:t>
      </w:r>
      <w:r w:rsidR="0025737D" w:rsidRPr="00995931">
        <w:rPr>
          <w:rFonts w:ascii="Arial" w:hAnsi="Arial" w:cs="Arial"/>
          <w:i/>
          <w:iCs/>
          <w:color w:val="000000" w:themeColor="text1"/>
        </w:rPr>
        <w:t>S</w:t>
      </w:r>
      <w:r w:rsidR="00624CDA" w:rsidRPr="00995931">
        <w:rPr>
          <w:rFonts w:ascii="Arial" w:hAnsi="Arial" w:cs="Arial"/>
          <w:i/>
          <w:iCs/>
          <w:color w:val="000000" w:themeColor="text1"/>
        </w:rPr>
        <w:t>unset Review of Anti-dumping Duties on Corrosion-Resistant Carbon Steel (2004)</w:t>
      </w:r>
      <w:r w:rsidR="00624CDA">
        <w:rPr>
          <w:rStyle w:val="FootnoteReference"/>
          <w:rFonts w:ascii="Arial" w:hAnsi="Arial" w:cs="Arial"/>
          <w:color w:val="000000" w:themeColor="text1"/>
        </w:rPr>
        <w:footnoteReference w:id="35"/>
      </w:r>
      <w:r w:rsidR="00624CDA" w:rsidRPr="00995931">
        <w:rPr>
          <w:rFonts w:ascii="Arial" w:hAnsi="Arial" w:cs="Arial"/>
          <w:color w:val="000000" w:themeColor="text1"/>
        </w:rPr>
        <w:t xml:space="preserve"> in which it was held: </w:t>
      </w:r>
    </w:p>
    <w:p w14:paraId="4D981F5A" w14:textId="5FF7A453" w:rsidR="0078301E" w:rsidRDefault="0078301E" w:rsidP="00624CDA">
      <w:pPr>
        <w:pStyle w:val="ListParagraph"/>
        <w:rPr>
          <w:rFonts w:ascii="Arial" w:hAnsi="Arial" w:cs="Arial"/>
          <w:color w:val="000000" w:themeColor="text1"/>
          <w:sz w:val="22"/>
          <w:szCs w:val="22"/>
        </w:rPr>
      </w:pPr>
    </w:p>
    <w:p w14:paraId="3A67DBD2" w14:textId="77777777" w:rsidR="0078301E" w:rsidRPr="00624CDA" w:rsidRDefault="0078301E" w:rsidP="00624CDA">
      <w:pPr>
        <w:pStyle w:val="ListParagraph"/>
        <w:rPr>
          <w:rFonts w:ascii="Arial" w:hAnsi="Arial" w:cs="Arial"/>
          <w:color w:val="000000" w:themeColor="text1"/>
          <w:sz w:val="22"/>
          <w:szCs w:val="22"/>
        </w:rPr>
      </w:pPr>
    </w:p>
    <w:p w14:paraId="7DC99A1D" w14:textId="2D34F1A7" w:rsidR="00624CDA" w:rsidRPr="00624CDA" w:rsidRDefault="00624CDA" w:rsidP="00E8231E">
      <w:pPr>
        <w:pStyle w:val="ListParagraph"/>
        <w:spacing w:line="360" w:lineRule="auto"/>
        <w:ind w:left="1418"/>
        <w:jc w:val="both"/>
        <w:rPr>
          <w:rFonts w:ascii="Arial" w:hAnsi="Arial" w:cs="Arial"/>
          <w:i/>
          <w:iCs/>
          <w:color w:val="000000" w:themeColor="text1"/>
          <w:sz w:val="22"/>
          <w:szCs w:val="22"/>
        </w:rPr>
      </w:pPr>
      <w:r w:rsidRPr="00624CDA">
        <w:rPr>
          <w:rFonts w:ascii="Arial" w:hAnsi="Arial" w:cs="Arial"/>
          <w:i/>
          <w:iCs/>
          <w:color w:val="000000" w:themeColor="text1"/>
          <w:sz w:val="22"/>
          <w:szCs w:val="22"/>
        </w:rPr>
        <w:lastRenderedPageBreak/>
        <w:t>“It is clear that an investigation authority must have a sufficient factual basis to allow it to draw reasoned and adequate conclusions concerning the likelihood of such continuation or recurrence.”</w:t>
      </w:r>
    </w:p>
    <w:p w14:paraId="3722F982" w14:textId="77777777" w:rsidR="00167161" w:rsidRPr="00191167" w:rsidRDefault="00167161" w:rsidP="00167161">
      <w:pPr>
        <w:pStyle w:val="ListParagraph"/>
        <w:rPr>
          <w:rFonts w:ascii="Arial" w:hAnsi="Arial" w:cs="Arial"/>
          <w:color w:val="000000" w:themeColor="text1"/>
        </w:rPr>
      </w:pPr>
    </w:p>
    <w:p w14:paraId="3B88C287" w14:textId="0B8960A1" w:rsidR="00191167" w:rsidRPr="00995931" w:rsidRDefault="00995931" w:rsidP="00995931">
      <w:pPr>
        <w:spacing w:line="360" w:lineRule="auto"/>
        <w:ind w:left="851" w:hanging="851"/>
        <w:jc w:val="both"/>
        <w:rPr>
          <w:rFonts w:ascii="Arial" w:hAnsi="Arial" w:cs="Arial"/>
          <w:color w:val="000000" w:themeColor="text1"/>
        </w:rPr>
      </w:pPr>
      <w:r>
        <w:rPr>
          <w:rFonts w:ascii="Arial" w:hAnsi="Arial" w:cs="Arial"/>
          <w:color w:val="000000" w:themeColor="text1"/>
        </w:rPr>
        <w:t>[46].</w:t>
      </w:r>
      <w:r>
        <w:rPr>
          <w:rFonts w:ascii="Arial" w:hAnsi="Arial" w:cs="Arial"/>
          <w:color w:val="000000" w:themeColor="text1"/>
        </w:rPr>
        <w:tab/>
      </w:r>
      <w:r w:rsidR="00191167" w:rsidRPr="00995931">
        <w:rPr>
          <w:rFonts w:ascii="Arial" w:hAnsi="Arial" w:cs="Arial"/>
          <w:color w:val="000000" w:themeColor="text1"/>
        </w:rPr>
        <w:t xml:space="preserve">It was argued that </w:t>
      </w:r>
      <w:r w:rsidR="00B13443" w:rsidRPr="00995931">
        <w:rPr>
          <w:rFonts w:ascii="Arial" w:hAnsi="Arial" w:cs="Arial"/>
          <w:color w:val="000000" w:themeColor="text1"/>
        </w:rPr>
        <w:t>ITAC</w:t>
      </w:r>
      <w:r w:rsidR="00191167" w:rsidRPr="00995931">
        <w:rPr>
          <w:rFonts w:ascii="Arial" w:hAnsi="Arial" w:cs="Arial"/>
          <w:color w:val="000000" w:themeColor="text1"/>
        </w:rPr>
        <w:t>’s essential facts</w:t>
      </w:r>
      <w:r w:rsidR="00C11D79">
        <w:rPr>
          <w:rStyle w:val="FootnoteReference"/>
          <w:rFonts w:ascii="Arial" w:hAnsi="Arial" w:cs="Arial"/>
          <w:color w:val="000000" w:themeColor="text1"/>
        </w:rPr>
        <w:footnoteReference w:id="36"/>
      </w:r>
      <w:r w:rsidR="00191167" w:rsidRPr="00995931">
        <w:rPr>
          <w:rFonts w:ascii="Arial" w:hAnsi="Arial" w:cs="Arial"/>
          <w:color w:val="000000" w:themeColor="text1"/>
        </w:rPr>
        <w:t xml:space="preserve"> letter failed in this regard because it did not contain the particularity which the applicants contend it ought to have.  The letter provided:</w:t>
      </w:r>
    </w:p>
    <w:p w14:paraId="77D132F9" w14:textId="77777777" w:rsidR="00E8231E" w:rsidRDefault="00E8231E" w:rsidP="00191167">
      <w:pPr>
        <w:spacing w:line="360" w:lineRule="auto"/>
        <w:ind w:left="1134"/>
        <w:jc w:val="both"/>
        <w:rPr>
          <w:rFonts w:ascii="Arial" w:hAnsi="Arial" w:cs="Arial"/>
          <w:color w:val="000000" w:themeColor="text1"/>
        </w:rPr>
      </w:pPr>
    </w:p>
    <w:p w14:paraId="67ED2F95" w14:textId="0BB347AB" w:rsidR="00191167" w:rsidRPr="00191167" w:rsidRDefault="00191167" w:rsidP="00E8231E">
      <w:pPr>
        <w:spacing w:line="360" w:lineRule="auto"/>
        <w:ind w:left="1418"/>
        <w:jc w:val="both"/>
        <w:rPr>
          <w:rFonts w:ascii="Arial" w:hAnsi="Arial" w:cs="Arial"/>
          <w:i/>
          <w:iCs/>
          <w:color w:val="000000" w:themeColor="text1"/>
          <w:sz w:val="22"/>
          <w:szCs w:val="22"/>
        </w:rPr>
      </w:pPr>
      <w:r w:rsidRPr="00191167">
        <w:rPr>
          <w:rFonts w:ascii="Arial" w:hAnsi="Arial" w:cs="Arial"/>
          <w:color w:val="000000" w:themeColor="text1"/>
        </w:rPr>
        <w:t>“</w:t>
      </w:r>
      <w:r w:rsidRPr="00191167">
        <w:rPr>
          <w:rFonts w:ascii="Arial" w:hAnsi="Arial" w:cs="Arial"/>
          <w:b/>
          <w:bCs/>
          <w:i/>
          <w:iCs/>
          <w:color w:val="000000" w:themeColor="text1"/>
          <w:sz w:val="22"/>
          <w:szCs w:val="22"/>
        </w:rPr>
        <w:t>Recurrence of material injury</w:t>
      </w:r>
    </w:p>
    <w:p w14:paraId="7A120808" w14:textId="77777777" w:rsidR="00191167" w:rsidRPr="00191167" w:rsidRDefault="00191167" w:rsidP="00E8231E">
      <w:pPr>
        <w:pStyle w:val="ListParagraph"/>
        <w:spacing w:line="360" w:lineRule="auto"/>
        <w:ind w:left="1418" w:firstLine="540"/>
        <w:jc w:val="both"/>
        <w:rPr>
          <w:rFonts w:ascii="Arial" w:hAnsi="Arial" w:cs="Arial"/>
          <w:i/>
          <w:iCs/>
          <w:color w:val="000000" w:themeColor="text1"/>
          <w:sz w:val="22"/>
          <w:szCs w:val="22"/>
        </w:rPr>
      </w:pPr>
    </w:p>
    <w:p w14:paraId="2AF891A1" w14:textId="51194E18" w:rsidR="00191167" w:rsidRPr="00191167" w:rsidRDefault="00191167" w:rsidP="00E8231E">
      <w:pPr>
        <w:spacing w:line="360" w:lineRule="auto"/>
        <w:ind w:left="1418"/>
        <w:jc w:val="both"/>
        <w:rPr>
          <w:rFonts w:ascii="Arial" w:hAnsi="Arial" w:cs="Arial"/>
          <w:i/>
          <w:iCs/>
          <w:color w:val="000000" w:themeColor="text1"/>
          <w:sz w:val="22"/>
          <w:szCs w:val="22"/>
        </w:rPr>
      </w:pPr>
      <w:r w:rsidRPr="00191167">
        <w:rPr>
          <w:rFonts w:ascii="Arial" w:hAnsi="Arial" w:cs="Arial"/>
          <w:i/>
          <w:iCs/>
          <w:color w:val="000000" w:themeColor="text1"/>
          <w:sz w:val="22"/>
          <w:szCs w:val="22"/>
        </w:rPr>
        <w:t>The Commission is considering making a final finding that the expiry of the duties would likely lead to the recurrence of material injury.</w:t>
      </w:r>
    </w:p>
    <w:p w14:paraId="52D5BD05" w14:textId="6CC13B89" w:rsidR="00191167" w:rsidRPr="00191167" w:rsidRDefault="00191167" w:rsidP="00E8231E">
      <w:pPr>
        <w:pStyle w:val="ListParagraph"/>
        <w:spacing w:line="360" w:lineRule="auto"/>
        <w:ind w:left="1418" w:firstLine="540"/>
        <w:jc w:val="both"/>
        <w:rPr>
          <w:rFonts w:ascii="Arial" w:hAnsi="Arial" w:cs="Arial"/>
          <w:i/>
          <w:iCs/>
          <w:color w:val="000000" w:themeColor="text1"/>
          <w:sz w:val="22"/>
          <w:szCs w:val="22"/>
        </w:rPr>
      </w:pPr>
    </w:p>
    <w:p w14:paraId="4C15E4FD" w14:textId="4627A2F4" w:rsidR="00191167" w:rsidRPr="00191167" w:rsidRDefault="00191167" w:rsidP="00E8231E">
      <w:pPr>
        <w:spacing w:line="360" w:lineRule="auto"/>
        <w:ind w:left="1418"/>
        <w:jc w:val="both"/>
        <w:rPr>
          <w:rFonts w:ascii="Arial" w:hAnsi="Arial" w:cs="Arial"/>
          <w:b/>
          <w:bCs/>
          <w:i/>
          <w:iCs/>
          <w:color w:val="000000" w:themeColor="text1"/>
          <w:sz w:val="22"/>
          <w:szCs w:val="22"/>
        </w:rPr>
      </w:pPr>
      <w:r w:rsidRPr="00191167">
        <w:rPr>
          <w:rFonts w:ascii="Arial" w:hAnsi="Arial" w:cs="Arial"/>
          <w:b/>
          <w:bCs/>
          <w:i/>
          <w:iCs/>
          <w:color w:val="000000" w:themeColor="text1"/>
          <w:sz w:val="22"/>
          <w:szCs w:val="22"/>
        </w:rPr>
        <w:t>Determination</w:t>
      </w:r>
    </w:p>
    <w:p w14:paraId="79A33D22" w14:textId="066D4109" w:rsidR="00191167" w:rsidRPr="00191167" w:rsidRDefault="00191167" w:rsidP="00E8231E">
      <w:pPr>
        <w:pStyle w:val="ListParagraph"/>
        <w:spacing w:line="360" w:lineRule="auto"/>
        <w:ind w:left="1418" w:firstLine="540"/>
        <w:jc w:val="both"/>
        <w:rPr>
          <w:rFonts w:ascii="Arial" w:hAnsi="Arial" w:cs="Arial"/>
          <w:i/>
          <w:iCs/>
          <w:color w:val="000000" w:themeColor="text1"/>
          <w:sz w:val="22"/>
          <w:szCs w:val="22"/>
        </w:rPr>
      </w:pPr>
    </w:p>
    <w:p w14:paraId="2864972A" w14:textId="228AC0A9" w:rsidR="00191167" w:rsidRPr="00191167" w:rsidRDefault="00191167" w:rsidP="00E8231E">
      <w:pPr>
        <w:spacing w:line="360" w:lineRule="auto"/>
        <w:ind w:left="1418"/>
        <w:jc w:val="both"/>
        <w:rPr>
          <w:rFonts w:ascii="Arial" w:hAnsi="Arial" w:cs="Arial"/>
          <w:i/>
          <w:iCs/>
          <w:color w:val="000000" w:themeColor="text1"/>
          <w:sz w:val="22"/>
          <w:szCs w:val="22"/>
        </w:rPr>
      </w:pPr>
      <w:r w:rsidRPr="00191167">
        <w:rPr>
          <w:rFonts w:ascii="Arial" w:hAnsi="Arial" w:cs="Arial"/>
          <w:i/>
          <w:iCs/>
          <w:color w:val="000000" w:themeColor="text1"/>
          <w:sz w:val="22"/>
          <w:szCs w:val="22"/>
        </w:rPr>
        <w:t>The Commission is considering making a final determination that the expiry of the anti-dumping duties would likely lead to the continuation or recurrence of dumping on the subject product originating in or imported from the USA and the recurrence of material injury.”</w:t>
      </w:r>
    </w:p>
    <w:p w14:paraId="5D399CB1" w14:textId="77777777" w:rsidR="0025737D" w:rsidRPr="00191167" w:rsidRDefault="0025737D" w:rsidP="00191167">
      <w:pPr>
        <w:spacing w:line="360" w:lineRule="auto"/>
        <w:jc w:val="both"/>
        <w:rPr>
          <w:rFonts w:ascii="Arial" w:hAnsi="Arial" w:cs="Arial"/>
          <w:color w:val="000000" w:themeColor="text1"/>
        </w:rPr>
      </w:pPr>
    </w:p>
    <w:p w14:paraId="6E592ABD" w14:textId="721C5894" w:rsidR="00191167" w:rsidRPr="00995931" w:rsidRDefault="00995931" w:rsidP="00995931">
      <w:pPr>
        <w:spacing w:line="360" w:lineRule="auto"/>
        <w:ind w:left="851" w:hanging="851"/>
        <w:jc w:val="both"/>
        <w:rPr>
          <w:rFonts w:ascii="Arial" w:hAnsi="Arial" w:cs="Arial"/>
          <w:color w:val="000000" w:themeColor="text1"/>
        </w:rPr>
      </w:pPr>
      <w:r w:rsidRPr="00191167">
        <w:rPr>
          <w:rFonts w:ascii="Arial" w:hAnsi="Arial" w:cs="Arial"/>
          <w:color w:val="000000" w:themeColor="text1"/>
        </w:rPr>
        <w:t>[47].</w:t>
      </w:r>
      <w:r w:rsidRPr="00191167">
        <w:rPr>
          <w:rFonts w:ascii="Arial" w:hAnsi="Arial" w:cs="Arial"/>
          <w:color w:val="000000" w:themeColor="text1"/>
        </w:rPr>
        <w:tab/>
      </w:r>
      <w:r w:rsidR="00191167" w:rsidRPr="00995931">
        <w:rPr>
          <w:rFonts w:ascii="Arial" w:hAnsi="Arial" w:cs="Arial"/>
          <w:color w:val="000000" w:themeColor="text1"/>
        </w:rPr>
        <w:t xml:space="preserve">The response from </w:t>
      </w:r>
      <w:r w:rsidR="00B13443" w:rsidRPr="00995931">
        <w:rPr>
          <w:rFonts w:ascii="Arial" w:hAnsi="Arial" w:cs="Arial"/>
          <w:color w:val="000000" w:themeColor="text1"/>
        </w:rPr>
        <w:t>ITAC</w:t>
      </w:r>
      <w:r w:rsidR="00191167" w:rsidRPr="00995931">
        <w:rPr>
          <w:rFonts w:ascii="Arial" w:hAnsi="Arial" w:cs="Arial"/>
          <w:color w:val="000000" w:themeColor="text1"/>
        </w:rPr>
        <w:t xml:space="preserve"> </w:t>
      </w:r>
      <w:r w:rsidR="003C6333" w:rsidRPr="00995931">
        <w:rPr>
          <w:rFonts w:ascii="Arial" w:hAnsi="Arial" w:cs="Arial"/>
          <w:color w:val="000000" w:themeColor="text1"/>
        </w:rPr>
        <w:t>regarding</w:t>
      </w:r>
      <w:r w:rsidR="00191167" w:rsidRPr="00995931">
        <w:rPr>
          <w:rFonts w:ascii="Arial" w:hAnsi="Arial" w:cs="Arial"/>
          <w:color w:val="000000" w:themeColor="text1"/>
        </w:rPr>
        <w:t xml:space="preserve"> this aspect was furnished to </w:t>
      </w:r>
      <w:r w:rsidR="00B13443" w:rsidRPr="00995931">
        <w:rPr>
          <w:rFonts w:ascii="Arial" w:hAnsi="Arial" w:cs="Arial"/>
          <w:color w:val="000000" w:themeColor="text1"/>
        </w:rPr>
        <w:t>TATA</w:t>
      </w:r>
      <w:r w:rsidR="00191167" w:rsidRPr="00995931">
        <w:rPr>
          <w:rFonts w:ascii="Arial" w:hAnsi="Arial" w:cs="Arial"/>
          <w:color w:val="000000" w:themeColor="text1"/>
        </w:rPr>
        <w:t xml:space="preserve"> in a letter of 9 September 2019 in which it was stated:</w:t>
      </w:r>
    </w:p>
    <w:p w14:paraId="1C715E7E" w14:textId="77777777" w:rsidR="00191167" w:rsidRDefault="00191167" w:rsidP="00191167">
      <w:pPr>
        <w:pStyle w:val="ListParagraph"/>
        <w:spacing w:line="360" w:lineRule="auto"/>
        <w:ind w:left="900"/>
        <w:jc w:val="both"/>
        <w:rPr>
          <w:rFonts w:ascii="Arial" w:hAnsi="Arial" w:cs="Arial"/>
          <w:color w:val="000000" w:themeColor="text1"/>
          <w:sz w:val="22"/>
          <w:szCs w:val="22"/>
        </w:rPr>
      </w:pPr>
    </w:p>
    <w:p w14:paraId="25EB9D1E" w14:textId="460A072C" w:rsidR="00191167" w:rsidRPr="00191167" w:rsidRDefault="00191167" w:rsidP="00191167">
      <w:pPr>
        <w:pStyle w:val="ListParagraph"/>
        <w:spacing w:line="360" w:lineRule="auto"/>
        <w:ind w:left="1440"/>
        <w:jc w:val="both"/>
        <w:rPr>
          <w:rFonts w:ascii="Arial" w:hAnsi="Arial" w:cs="Arial"/>
          <w:i/>
          <w:iCs/>
          <w:color w:val="000000" w:themeColor="text1"/>
          <w:sz w:val="22"/>
          <w:szCs w:val="22"/>
        </w:rPr>
      </w:pPr>
      <w:r w:rsidRPr="00191167">
        <w:rPr>
          <w:rFonts w:ascii="Arial" w:hAnsi="Arial" w:cs="Arial"/>
          <w:i/>
          <w:iCs/>
          <w:color w:val="000000" w:themeColor="text1"/>
          <w:sz w:val="22"/>
          <w:szCs w:val="22"/>
        </w:rPr>
        <w:t>“The information on which the Commission made this finding, is contained in the Application, a non-confidential version of which has been made available to all interested parties.</w:t>
      </w:r>
    </w:p>
    <w:p w14:paraId="09C20062" w14:textId="72955836" w:rsidR="00191167" w:rsidRPr="00191167" w:rsidRDefault="00191167" w:rsidP="00191167">
      <w:pPr>
        <w:pStyle w:val="ListParagraph"/>
        <w:spacing w:line="360" w:lineRule="auto"/>
        <w:ind w:left="1440"/>
        <w:jc w:val="both"/>
        <w:rPr>
          <w:rFonts w:ascii="Arial" w:hAnsi="Arial" w:cs="Arial"/>
          <w:i/>
          <w:iCs/>
          <w:color w:val="000000" w:themeColor="text1"/>
          <w:sz w:val="22"/>
          <w:szCs w:val="22"/>
        </w:rPr>
      </w:pPr>
    </w:p>
    <w:p w14:paraId="6665FAB0" w14:textId="3E52C48E" w:rsidR="00191167" w:rsidRDefault="00191167" w:rsidP="00191167">
      <w:pPr>
        <w:pStyle w:val="ListParagraph"/>
        <w:spacing w:line="360" w:lineRule="auto"/>
        <w:ind w:left="1440"/>
        <w:jc w:val="both"/>
        <w:rPr>
          <w:rFonts w:ascii="Arial" w:hAnsi="Arial" w:cs="Arial"/>
          <w:i/>
          <w:iCs/>
          <w:color w:val="000000" w:themeColor="text1"/>
          <w:sz w:val="22"/>
          <w:szCs w:val="22"/>
        </w:rPr>
      </w:pPr>
      <w:r w:rsidRPr="00191167">
        <w:rPr>
          <w:rFonts w:ascii="Arial" w:hAnsi="Arial" w:cs="Arial"/>
          <w:i/>
          <w:iCs/>
          <w:color w:val="000000" w:themeColor="text1"/>
          <w:sz w:val="22"/>
          <w:szCs w:val="22"/>
        </w:rPr>
        <w:t>All comments regarding the information pertaining to the recurrence of material injury submitted by interested parties, will be taken into consideration by the Commission in making its final determination.”</w:t>
      </w:r>
    </w:p>
    <w:p w14:paraId="32758CFD" w14:textId="77777777" w:rsidR="0025737D" w:rsidRPr="002133E4" w:rsidRDefault="0025737D" w:rsidP="002133E4">
      <w:pPr>
        <w:spacing w:line="360" w:lineRule="auto"/>
        <w:jc w:val="both"/>
        <w:rPr>
          <w:rFonts w:ascii="Arial" w:hAnsi="Arial" w:cs="Arial"/>
          <w:i/>
          <w:iCs/>
          <w:color w:val="000000" w:themeColor="text1"/>
          <w:sz w:val="22"/>
          <w:szCs w:val="22"/>
        </w:rPr>
      </w:pPr>
    </w:p>
    <w:p w14:paraId="6ABC0C24" w14:textId="6E89F42B" w:rsidR="00BB6451" w:rsidRPr="00995931" w:rsidRDefault="00995931" w:rsidP="00995931">
      <w:pPr>
        <w:spacing w:line="360" w:lineRule="auto"/>
        <w:ind w:left="851" w:hanging="851"/>
        <w:jc w:val="both"/>
        <w:rPr>
          <w:rFonts w:ascii="Arial" w:hAnsi="Arial" w:cs="Arial"/>
          <w:color w:val="000000" w:themeColor="text1"/>
          <w:sz w:val="22"/>
          <w:szCs w:val="22"/>
        </w:rPr>
      </w:pPr>
      <w:r w:rsidRPr="002133E4">
        <w:rPr>
          <w:rFonts w:ascii="Arial" w:hAnsi="Arial" w:cs="Arial"/>
          <w:color w:val="000000" w:themeColor="text1"/>
        </w:rPr>
        <w:t>[48].</w:t>
      </w:r>
      <w:r w:rsidRPr="002133E4">
        <w:rPr>
          <w:rFonts w:ascii="Arial" w:hAnsi="Arial" w:cs="Arial"/>
          <w:color w:val="000000" w:themeColor="text1"/>
        </w:rPr>
        <w:tab/>
      </w:r>
      <w:r w:rsidR="00BB6451" w:rsidRPr="00995931">
        <w:rPr>
          <w:rFonts w:ascii="Arial" w:hAnsi="Arial" w:cs="Arial"/>
          <w:color w:val="000000" w:themeColor="text1"/>
        </w:rPr>
        <w:t xml:space="preserve">It was argued for </w:t>
      </w:r>
      <w:r w:rsidR="00B13443" w:rsidRPr="00995931">
        <w:rPr>
          <w:rFonts w:ascii="Arial" w:hAnsi="Arial" w:cs="Arial"/>
          <w:color w:val="000000" w:themeColor="text1"/>
        </w:rPr>
        <w:t>TATA</w:t>
      </w:r>
      <w:r w:rsidR="00BB6451" w:rsidRPr="00995931">
        <w:rPr>
          <w:rFonts w:ascii="Arial" w:hAnsi="Arial" w:cs="Arial"/>
          <w:color w:val="000000" w:themeColor="text1"/>
        </w:rPr>
        <w:t xml:space="preserve"> </w:t>
      </w:r>
      <w:r w:rsidR="00E47528" w:rsidRPr="00995931">
        <w:rPr>
          <w:rFonts w:ascii="Arial" w:hAnsi="Arial" w:cs="Arial"/>
          <w:color w:val="000000" w:themeColor="text1"/>
        </w:rPr>
        <w:t>it</w:t>
      </w:r>
      <w:r w:rsidR="00BB6451" w:rsidRPr="00995931">
        <w:rPr>
          <w:rFonts w:ascii="Arial" w:hAnsi="Arial" w:cs="Arial"/>
          <w:color w:val="000000" w:themeColor="text1"/>
        </w:rPr>
        <w:t xml:space="preserve"> was not afforded a procedurally fair process and that </w:t>
      </w:r>
      <w:r w:rsidR="00B13443" w:rsidRPr="00995931">
        <w:rPr>
          <w:rFonts w:ascii="Arial" w:hAnsi="Arial" w:cs="Arial"/>
          <w:color w:val="000000" w:themeColor="text1"/>
        </w:rPr>
        <w:t>ITAC</w:t>
      </w:r>
      <w:r w:rsidR="00BB6451" w:rsidRPr="00995931">
        <w:rPr>
          <w:rFonts w:ascii="Arial" w:hAnsi="Arial" w:cs="Arial"/>
          <w:color w:val="000000" w:themeColor="text1"/>
        </w:rPr>
        <w:t xml:space="preserve"> was required to </w:t>
      </w:r>
      <w:r w:rsidR="00BB6451" w:rsidRPr="00995931">
        <w:rPr>
          <w:rFonts w:ascii="Arial" w:hAnsi="Arial" w:cs="Arial"/>
          <w:i/>
          <w:iCs/>
          <w:color w:val="000000" w:themeColor="text1"/>
          <w:sz w:val="22"/>
          <w:szCs w:val="22"/>
        </w:rPr>
        <w:t xml:space="preserve">“process, evaluate and consider the information provided by </w:t>
      </w:r>
      <w:r w:rsidR="00B13443" w:rsidRPr="00995931">
        <w:rPr>
          <w:rFonts w:ascii="Arial" w:hAnsi="Arial" w:cs="Arial"/>
          <w:i/>
          <w:iCs/>
          <w:color w:val="000000" w:themeColor="text1"/>
          <w:sz w:val="22"/>
          <w:szCs w:val="22"/>
        </w:rPr>
        <w:t>BOTASH</w:t>
      </w:r>
      <w:r w:rsidR="00BB6451" w:rsidRPr="00995931">
        <w:rPr>
          <w:rFonts w:ascii="Arial" w:hAnsi="Arial" w:cs="Arial"/>
          <w:i/>
          <w:iCs/>
          <w:color w:val="000000" w:themeColor="text1"/>
          <w:sz w:val="22"/>
          <w:szCs w:val="22"/>
        </w:rPr>
        <w:t xml:space="preserve"> in its application and then to provide interested parties with an opportunity </w:t>
      </w:r>
      <w:r w:rsidR="00BB6451" w:rsidRPr="00995931">
        <w:rPr>
          <w:rFonts w:ascii="Arial" w:hAnsi="Arial" w:cs="Arial"/>
          <w:i/>
          <w:iCs/>
          <w:color w:val="000000" w:themeColor="text1"/>
          <w:sz w:val="22"/>
          <w:szCs w:val="22"/>
        </w:rPr>
        <w:lastRenderedPageBreak/>
        <w:t xml:space="preserve">to answer to </w:t>
      </w:r>
      <w:r w:rsidR="00B13443" w:rsidRPr="00995931">
        <w:rPr>
          <w:rFonts w:ascii="Arial" w:hAnsi="Arial" w:cs="Arial"/>
          <w:i/>
          <w:iCs/>
          <w:color w:val="000000" w:themeColor="text1"/>
          <w:sz w:val="22"/>
          <w:szCs w:val="22"/>
        </w:rPr>
        <w:t>ITAC</w:t>
      </w:r>
      <w:r w:rsidR="00BB6451" w:rsidRPr="00995931">
        <w:rPr>
          <w:rFonts w:ascii="Arial" w:hAnsi="Arial" w:cs="Arial"/>
          <w:i/>
          <w:iCs/>
          <w:color w:val="000000" w:themeColor="text1"/>
          <w:sz w:val="22"/>
          <w:szCs w:val="22"/>
        </w:rPr>
        <w:t xml:space="preserve">’s reasoned conclusions and preliminary findings, having evaluated </w:t>
      </w:r>
      <w:r w:rsidR="00B13443" w:rsidRPr="00995931">
        <w:rPr>
          <w:rFonts w:ascii="Arial" w:hAnsi="Arial" w:cs="Arial"/>
          <w:i/>
          <w:iCs/>
          <w:color w:val="000000" w:themeColor="text1"/>
          <w:sz w:val="22"/>
          <w:szCs w:val="22"/>
        </w:rPr>
        <w:t>BOTASH</w:t>
      </w:r>
      <w:r w:rsidR="00BB6451" w:rsidRPr="00995931">
        <w:rPr>
          <w:rFonts w:ascii="Arial" w:hAnsi="Arial" w:cs="Arial"/>
          <w:i/>
          <w:iCs/>
          <w:color w:val="000000" w:themeColor="text1"/>
          <w:sz w:val="22"/>
          <w:szCs w:val="22"/>
        </w:rPr>
        <w:t>’s information.”</w:t>
      </w:r>
    </w:p>
    <w:p w14:paraId="47A4B6FE" w14:textId="77777777" w:rsidR="00BB6451" w:rsidRPr="00BB6451" w:rsidRDefault="00BB6451" w:rsidP="00BB6451">
      <w:pPr>
        <w:pStyle w:val="ListParagraph"/>
        <w:rPr>
          <w:rFonts w:ascii="Arial" w:hAnsi="Arial" w:cs="Arial"/>
          <w:b/>
          <w:bCs/>
          <w:color w:val="000000" w:themeColor="text1"/>
        </w:rPr>
      </w:pPr>
    </w:p>
    <w:p w14:paraId="6C37FF35" w14:textId="6DFAF540" w:rsidR="00B83C34" w:rsidRPr="00995931" w:rsidRDefault="00995931" w:rsidP="00995931">
      <w:pPr>
        <w:spacing w:line="360" w:lineRule="auto"/>
        <w:ind w:left="851" w:hanging="851"/>
        <w:jc w:val="both"/>
        <w:rPr>
          <w:rFonts w:ascii="Arial" w:hAnsi="Arial" w:cs="Arial"/>
          <w:color w:val="000000" w:themeColor="text1"/>
        </w:rPr>
      </w:pPr>
      <w:r w:rsidRPr="00E8231E">
        <w:rPr>
          <w:rFonts w:ascii="Arial" w:hAnsi="Arial" w:cs="Arial"/>
          <w:color w:val="000000" w:themeColor="text1"/>
        </w:rPr>
        <w:t>[49].</w:t>
      </w:r>
      <w:r w:rsidRPr="00E8231E">
        <w:rPr>
          <w:rFonts w:ascii="Arial" w:hAnsi="Arial" w:cs="Arial"/>
          <w:color w:val="000000" w:themeColor="text1"/>
        </w:rPr>
        <w:tab/>
      </w:r>
      <w:r w:rsidR="00B83C34" w:rsidRPr="00995931">
        <w:rPr>
          <w:rFonts w:ascii="Arial" w:hAnsi="Arial" w:cs="Arial"/>
          <w:color w:val="000000" w:themeColor="text1"/>
        </w:rPr>
        <w:t>This argument disregards the provisions of Regulation 56 which provides:</w:t>
      </w:r>
    </w:p>
    <w:p w14:paraId="532F5140" w14:textId="594CEC19" w:rsidR="00B83C34" w:rsidRDefault="00B83C34" w:rsidP="00B83C34">
      <w:pPr>
        <w:pStyle w:val="ListParagraph"/>
        <w:spacing w:line="360" w:lineRule="auto"/>
        <w:ind w:left="900"/>
        <w:jc w:val="both"/>
        <w:rPr>
          <w:rFonts w:ascii="Arial" w:hAnsi="Arial" w:cs="Arial"/>
          <w:b/>
          <w:bCs/>
          <w:color w:val="000000" w:themeColor="text1"/>
        </w:rPr>
      </w:pPr>
    </w:p>
    <w:p w14:paraId="770A71D7" w14:textId="2F9D8214" w:rsidR="00B83C34" w:rsidRDefault="00B83C34" w:rsidP="00E8231E">
      <w:pPr>
        <w:pStyle w:val="ListParagraph"/>
        <w:spacing w:line="360" w:lineRule="auto"/>
        <w:ind w:left="2268" w:hanging="850"/>
        <w:jc w:val="both"/>
        <w:rPr>
          <w:rFonts w:ascii="Arial" w:hAnsi="Arial" w:cs="Arial"/>
          <w:b/>
          <w:bCs/>
          <w:i/>
          <w:iCs/>
          <w:color w:val="000000" w:themeColor="text1"/>
          <w:sz w:val="22"/>
          <w:szCs w:val="22"/>
        </w:rPr>
      </w:pPr>
      <w:r w:rsidRPr="00E8231E">
        <w:rPr>
          <w:rFonts w:ascii="Arial" w:hAnsi="Arial" w:cs="Arial"/>
          <w:b/>
          <w:bCs/>
          <w:color w:val="000000" w:themeColor="text1"/>
          <w:sz w:val="22"/>
          <w:szCs w:val="22"/>
        </w:rPr>
        <w:t>“</w:t>
      </w:r>
      <w:r w:rsidRPr="00E8231E">
        <w:rPr>
          <w:rFonts w:ascii="Arial" w:hAnsi="Arial" w:cs="Arial"/>
          <w:b/>
          <w:bCs/>
          <w:i/>
          <w:iCs/>
          <w:color w:val="000000" w:themeColor="text1"/>
          <w:sz w:val="22"/>
          <w:szCs w:val="22"/>
        </w:rPr>
        <w:t>56.</w:t>
      </w:r>
      <w:r w:rsidRPr="00E8231E">
        <w:rPr>
          <w:rFonts w:ascii="Arial" w:hAnsi="Arial" w:cs="Arial"/>
          <w:b/>
          <w:bCs/>
          <w:i/>
          <w:iCs/>
          <w:color w:val="000000" w:themeColor="text1"/>
          <w:sz w:val="22"/>
          <w:szCs w:val="22"/>
        </w:rPr>
        <w:tab/>
        <w:t>Review procedure</w:t>
      </w:r>
    </w:p>
    <w:p w14:paraId="48940A6A" w14:textId="77777777" w:rsidR="00E8231E" w:rsidRPr="00E8231E" w:rsidRDefault="00E8231E" w:rsidP="00E8231E">
      <w:pPr>
        <w:pStyle w:val="ListParagraph"/>
        <w:spacing w:line="360" w:lineRule="auto"/>
        <w:ind w:left="2268" w:hanging="850"/>
        <w:jc w:val="both"/>
        <w:rPr>
          <w:rFonts w:ascii="Arial" w:hAnsi="Arial" w:cs="Arial"/>
          <w:b/>
          <w:bCs/>
          <w:i/>
          <w:iCs/>
          <w:color w:val="000000" w:themeColor="text1"/>
          <w:sz w:val="22"/>
          <w:szCs w:val="22"/>
        </w:rPr>
      </w:pPr>
    </w:p>
    <w:p w14:paraId="0606C601" w14:textId="7260537B" w:rsidR="00B83C34" w:rsidRDefault="00B83C34" w:rsidP="00E8231E">
      <w:pPr>
        <w:pStyle w:val="ListParagraph"/>
        <w:spacing w:line="360" w:lineRule="auto"/>
        <w:ind w:left="3119" w:hanging="851"/>
        <w:jc w:val="both"/>
        <w:rPr>
          <w:rFonts w:ascii="Arial" w:hAnsi="Arial" w:cs="Arial"/>
          <w:i/>
          <w:iCs/>
          <w:color w:val="000000" w:themeColor="text1"/>
          <w:sz w:val="22"/>
          <w:szCs w:val="22"/>
        </w:rPr>
      </w:pPr>
      <w:r w:rsidRPr="00E8231E">
        <w:rPr>
          <w:rFonts w:ascii="Arial" w:hAnsi="Arial" w:cs="Arial"/>
          <w:i/>
          <w:iCs/>
          <w:color w:val="000000" w:themeColor="text1"/>
          <w:sz w:val="22"/>
          <w:szCs w:val="22"/>
        </w:rPr>
        <w:t>56.1</w:t>
      </w:r>
      <w:r w:rsidRPr="00E8231E">
        <w:rPr>
          <w:rFonts w:ascii="Arial" w:hAnsi="Arial" w:cs="Arial"/>
          <w:i/>
          <w:iCs/>
          <w:color w:val="000000" w:themeColor="text1"/>
          <w:sz w:val="22"/>
          <w:szCs w:val="22"/>
        </w:rPr>
        <w:tab/>
        <w:t>A sunset review shall consist of a single investigation phase.</w:t>
      </w:r>
    </w:p>
    <w:p w14:paraId="746F80C1" w14:textId="77777777" w:rsidR="00E8231E" w:rsidRPr="00E8231E" w:rsidRDefault="00E8231E" w:rsidP="00E8231E">
      <w:pPr>
        <w:pStyle w:val="ListParagraph"/>
        <w:spacing w:line="360" w:lineRule="auto"/>
        <w:ind w:left="3119" w:hanging="851"/>
        <w:jc w:val="both"/>
        <w:rPr>
          <w:rFonts w:ascii="Arial" w:hAnsi="Arial" w:cs="Arial"/>
          <w:i/>
          <w:iCs/>
          <w:color w:val="000000" w:themeColor="text1"/>
          <w:sz w:val="22"/>
          <w:szCs w:val="22"/>
        </w:rPr>
      </w:pPr>
    </w:p>
    <w:p w14:paraId="5D37DE0D" w14:textId="73B18F66" w:rsidR="00B83C34" w:rsidRPr="00E8231E" w:rsidRDefault="00B83C34" w:rsidP="00E8231E">
      <w:pPr>
        <w:pStyle w:val="ListParagraph"/>
        <w:spacing w:line="360" w:lineRule="auto"/>
        <w:ind w:left="3119" w:hanging="851"/>
        <w:jc w:val="both"/>
        <w:rPr>
          <w:rFonts w:ascii="Arial" w:hAnsi="Arial" w:cs="Arial"/>
          <w:i/>
          <w:iCs/>
          <w:color w:val="000000" w:themeColor="text1"/>
          <w:sz w:val="22"/>
          <w:szCs w:val="22"/>
        </w:rPr>
      </w:pPr>
      <w:r w:rsidRPr="00E8231E">
        <w:rPr>
          <w:rFonts w:ascii="Arial" w:hAnsi="Arial" w:cs="Arial"/>
          <w:i/>
          <w:iCs/>
          <w:color w:val="000000" w:themeColor="text1"/>
          <w:sz w:val="22"/>
          <w:szCs w:val="22"/>
        </w:rPr>
        <w:t>56.2</w:t>
      </w:r>
      <w:r w:rsidRPr="00E8231E">
        <w:rPr>
          <w:rFonts w:ascii="Arial" w:hAnsi="Arial" w:cs="Arial"/>
          <w:i/>
          <w:iCs/>
          <w:color w:val="000000" w:themeColor="text1"/>
          <w:sz w:val="22"/>
          <w:szCs w:val="22"/>
        </w:rPr>
        <w:tab/>
        <w:t>The Commission may verify such information as it deems necessary to confirm the accuracy and the adequacy of any information submitted by any interested party.”</w:t>
      </w:r>
    </w:p>
    <w:p w14:paraId="43DD47F8" w14:textId="77777777" w:rsidR="00B83C34" w:rsidRDefault="00B83C34" w:rsidP="00B83C34">
      <w:pPr>
        <w:pStyle w:val="ListParagraph"/>
        <w:spacing w:line="360" w:lineRule="auto"/>
        <w:ind w:left="900"/>
        <w:jc w:val="both"/>
        <w:rPr>
          <w:rFonts w:ascii="Arial" w:hAnsi="Arial" w:cs="Arial"/>
          <w:b/>
          <w:bCs/>
          <w:color w:val="000000" w:themeColor="text1"/>
        </w:rPr>
      </w:pPr>
    </w:p>
    <w:p w14:paraId="40EFA838" w14:textId="2783FACC" w:rsidR="00BB6451" w:rsidRPr="00995931" w:rsidRDefault="00995931" w:rsidP="00995931">
      <w:pPr>
        <w:spacing w:line="360" w:lineRule="auto"/>
        <w:ind w:left="851" w:hanging="851"/>
        <w:jc w:val="both"/>
        <w:rPr>
          <w:rFonts w:ascii="Arial" w:hAnsi="Arial" w:cs="Arial"/>
          <w:color w:val="000000" w:themeColor="text1"/>
        </w:rPr>
      </w:pPr>
      <w:r>
        <w:rPr>
          <w:rFonts w:ascii="Arial" w:hAnsi="Arial" w:cs="Arial"/>
          <w:color w:val="000000" w:themeColor="text1"/>
        </w:rPr>
        <w:t>[50].</w:t>
      </w:r>
      <w:r>
        <w:rPr>
          <w:rFonts w:ascii="Arial" w:hAnsi="Arial" w:cs="Arial"/>
          <w:color w:val="000000" w:themeColor="text1"/>
        </w:rPr>
        <w:tab/>
      </w:r>
      <w:r w:rsidR="00BB6451" w:rsidRPr="00995931">
        <w:rPr>
          <w:rFonts w:ascii="Arial" w:hAnsi="Arial" w:cs="Arial"/>
          <w:color w:val="000000" w:themeColor="text1"/>
        </w:rPr>
        <w:t xml:space="preserve">It was argued by </w:t>
      </w:r>
      <w:r w:rsidR="00B13443" w:rsidRPr="00995931">
        <w:rPr>
          <w:rFonts w:ascii="Arial" w:hAnsi="Arial" w:cs="Arial"/>
          <w:color w:val="000000" w:themeColor="text1"/>
        </w:rPr>
        <w:t>ITAC</w:t>
      </w:r>
      <w:r w:rsidR="00BB6451" w:rsidRPr="00995931">
        <w:rPr>
          <w:rFonts w:ascii="Arial" w:hAnsi="Arial" w:cs="Arial"/>
          <w:color w:val="000000" w:themeColor="text1"/>
        </w:rPr>
        <w:t xml:space="preserve"> and the other respondents that </w:t>
      </w:r>
      <w:r w:rsidR="003C6333" w:rsidRPr="00995931">
        <w:rPr>
          <w:rFonts w:ascii="Arial" w:hAnsi="Arial" w:cs="Arial"/>
          <w:color w:val="000000" w:themeColor="text1"/>
        </w:rPr>
        <w:t>having regard to the provisions of Regulation 56 which set out the procedure to be followed, it was not open to TATA to argue that because the procedure followed did not accord with what it considered to be a fair pro</w:t>
      </w:r>
      <w:r w:rsidR="0017416E" w:rsidRPr="00995931">
        <w:rPr>
          <w:rFonts w:ascii="Arial" w:hAnsi="Arial" w:cs="Arial"/>
          <w:color w:val="000000" w:themeColor="text1"/>
        </w:rPr>
        <w:t>cedure, that it was not. It is well established that fairness is to be assessed in the circumstances,</w:t>
      </w:r>
      <w:r w:rsidR="0017416E">
        <w:rPr>
          <w:rStyle w:val="FootnoteReference"/>
          <w:rFonts w:ascii="Arial" w:hAnsi="Arial" w:cs="Arial"/>
          <w:color w:val="000000" w:themeColor="text1"/>
        </w:rPr>
        <w:footnoteReference w:id="37"/>
      </w:r>
      <w:r w:rsidR="0017416E" w:rsidRPr="00995931">
        <w:rPr>
          <w:rFonts w:ascii="Arial" w:hAnsi="Arial" w:cs="Arial"/>
          <w:color w:val="000000" w:themeColor="text1"/>
        </w:rPr>
        <w:t xml:space="preserve"> this is so particularly where there is a prescribed procedure that is set out in the legislation.</w:t>
      </w:r>
    </w:p>
    <w:p w14:paraId="5D003E32" w14:textId="77777777" w:rsidR="00FE2557" w:rsidRDefault="00FE2557" w:rsidP="00FE2557">
      <w:pPr>
        <w:pStyle w:val="ListParagraph"/>
        <w:spacing w:line="360" w:lineRule="auto"/>
        <w:ind w:left="900"/>
        <w:jc w:val="both"/>
        <w:rPr>
          <w:rFonts w:ascii="Arial" w:hAnsi="Arial" w:cs="Arial"/>
          <w:color w:val="000000" w:themeColor="text1"/>
        </w:rPr>
      </w:pPr>
    </w:p>
    <w:p w14:paraId="5B53BF09" w14:textId="0576725E" w:rsidR="00F412E8" w:rsidRPr="00995931" w:rsidRDefault="00995931" w:rsidP="00995931">
      <w:pPr>
        <w:spacing w:line="360" w:lineRule="auto"/>
        <w:ind w:left="851" w:hanging="851"/>
        <w:jc w:val="both"/>
        <w:rPr>
          <w:rFonts w:ascii="Arial" w:hAnsi="Arial" w:cs="Arial"/>
          <w:color w:val="000000" w:themeColor="text1"/>
        </w:rPr>
      </w:pPr>
      <w:r w:rsidRPr="00FE2557">
        <w:rPr>
          <w:rFonts w:ascii="Arial" w:hAnsi="Arial" w:cs="Arial"/>
          <w:color w:val="000000" w:themeColor="text1"/>
        </w:rPr>
        <w:t>[51].</w:t>
      </w:r>
      <w:r w:rsidRPr="00FE2557">
        <w:rPr>
          <w:rFonts w:ascii="Arial" w:hAnsi="Arial" w:cs="Arial"/>
          <w:color w:val="000000" w:themeColor="text1"/>
        </w:rPr>
        <w:tab/>
      </w:r>
      <w:r w:rsidR="00A636B7" w:rsidRPr="00995931">
        <w:rPr>
          <w:rFonts w:ascii="Arial" w:hAnsi="Arial" w:cs="Arial"/>
          <w:color w:val="000000" w:themeColor="text1"/>
        </w:rPr>
        <w:t xml:space="preserve">ITAC was obliged to set out the </w:t>
      </w:r>
      <w:r w:rsidR="00BE10A8" w:rsidRPr="00995931">
        <w:rPr>
          <w:rFonts w:ascii="Arial" w:hAnsi="Arial" w:cs="Arial"/>
          <w:color w:val="000000" w:themeColor="text1"/>
        </w:rPr>
        <w:t xml:space="preserve">‘essential </w:t>
      </w:r>
      <w:r w:rsidR="002A36F9" w:rsidRPr="00995931">
        <w:rPr>
          <w:rFonts w:ascii="Arial" w:hAnsi="Arial" w:cs="Arial"/>
          <w:color w:val="000000" w:themeColor="text1"/>
        </w:rPr>
        <w:t>facts’ or put differently the ‘gist’</w:t>
      </w:r>
      <w:r w:rsidR="00141727">
        <w:rPr>
          <w:rStyle w:val="FootnoteReference"/>
          <w:rFonts w:ascii="Arial" w:hAnsi="Arial" w:cs="Arial"/>
          <w:color w:val="000000" w:themeColor="text1"/>
        </w:rPr>
        <w:footnoteReference w:id="38"/>
      </w:r>
      <w:r w:rsidR="002A36F9" w:rsidRPr="00995931">
        <w:rPr>
          <w:rFonts w:ascii="Arial" w:hAnsi="Arial" w:cs="Arial"/>
          <w:color w:val="000000" w:themeColor="text1"/>
        </w:rPr>
        <w:t xml:space="preserve"> of what was before it. It was required </w:t>
      </w:r>
      <w:r w:rsidR="00BE10A8" w:rsidRPr="00995931">
        <w:rPr>
          <w:rFonts w:ascii="Arial" w:hAnsi="Arial" w:cs="Arial"/>
          <w:color w:val="000000" w:themeColor="text1"/>
        </w:rPr>
        <w:t xml:space="preserve"> to afford TATA an opportunity to comment. This it did. It was also obliged to </w:t>
      </w:r>
      <w:r w:rsidR="00FE2557" w:rsidRPr="00995931">
        <w:rPr>
          <w:rFonts w:ascii="Arial" w:hAnsi="Arial" w:cs="Arial"/>
          <w:color w:val="000000" w:themeColor="text1"/>
        </w:rPr>
        <w:t>consider</w:t>
      </w:r>
      <w:r w:rsidR="00BE10A8" w:rsidRPr="00995931">
        <w:rPr>
          <w:rFonts w:ascii="Arial" w:hAnsi="Arial" w:cs="Arial"/>
          <w:color w:val="000000" w:themeColor="text1"/>
        </w:rPr>
        <w:t xml:space="preserve"> ‘relevant’ comments from ‘co</w:t>
      </w:r>
      <w:r w:rsidR="00361C33" w:rsidRPr="00995931">
        <w:rPr>
          <w:rFonts w:ascii="Arial" w:hAnsi="Arial" w:cs="Arial"/>
          <w:color w:val="000000" w:themeColor="text1"/>
        </w:rPr>
        <w:t>-</w:t>
      </w:r>
      <w:r w:rsidR="00BE10A8" w:rsidRPr="00995931">
        <w:rPr>
          <w:rFonts w:ascii="Arial" w:hAnsi="Arial" w:cs="Arial"/>
          <w:color w:val="000000" w:themeColor="text1"/>
        </w:rPr>
        <w:t>operating parties’ and her</w:t>
      </w:r>
      <w:r w:rsidR="00FE2557" w:rsidRPr="00995931">
        <w:rPr>
          <w:rFonts w:ascii="Arial" w:hAnsi="Arial" w:cs="Arial"/>
          <w:color w:val="000000" w:themeColor="text1"/>
        </w:rPr>
        <w:t>e</w:t>
      </w:r>
      <w:r w:rsidR="00BE10A8" w:rsidRPr="00995931">
        <w:rPr>
          <w:rFonts w:ascii="Arial" w:hAnsi="Arial" w:cs="Arial"/>
          <w:color w:val="000000" w:themeColor="text1"/>
        </w:rPr>
        <w:t xml:space="preserve"> too it did so.</w:t>
      </w:r>
      <w:r w:rsidR="00FE2557" w:rsidRPr="00995931">
        <w:rPr>
          <w:rFonts w:ascii="Arial" w:hAnsi="Arial" w:cs="Arial"/>
          <w:color w:val="000000" w:themeColor="text1"/>
        </w:rPr>
        <w:t xml:space="preserve"> </w:t>
      </w:r>
      <w:r w:rsidR="00F412E8" w:rsidRPr="00995931">
        <w:rPr>
          <w:rFonts w:ascii="Arial" w:hAnsi="Arial" w:cs="Arial"/>
          <w:color w:val="000000" w:themeColor="text1"/>
        </w:rPr>
        <w:t xml:space="preserve">For the reasons that have been set out above, I find that the second ground of review </w:t>
      </w:r>
      <w:r w:rsidR="00FE2557" w:rsidRPr="00995931">
        <w:rPr>
          <w:rFonts w:ascii="Arial" w:hAnsi="Arial" w:cs="Arial"/>
          <w:color w:val="000000" w:themeColor="text1"/>
        </w:rPr>
        <w:t xml:space="preserve">also </w:t>
      </w:r>
      <w:r w:rsidR="00F412E8" w:rsidRPr="00995931">
        <w:rPr>
          <w:rFonts w:ascii="Arial" w:hAnsi="Arial" w:cs="Arial"/>
          <w:color w:val="000000" w:themeColor="text1"/>
        </w:rPr>
        <w:t xml:space="preserve">has no merit and must </w:t>
      </w:r>
      <w:r w:rsidR="00FE2557" w:rsidRPr="00995931">
        <w:rPr>
          <w:rFonts w:ascii="Arial" w:hAnsi="Arial" w:cs="Arial"/>
          <w:color w:val="000000" w:themeColor="text1"/>
        </w:rPr>
        <w:t xml:space="preserve">also </w:t>
      </w:r>
      <w:r w:rsidR="00F412E8" w:rsidRPr="00995931">
        <w:rPr>
          <w:rFonts w:ascii="Arial" w:hAnsi="Arial" w:cs="Arial"/>
          <w:color w:val="000000" w:themeColor="text1"/>
        </w:rPr>
        <w:t>fail.</w:t>
      </w:r>
    </w:p>
    <w:p w14:paraId="36D4AAF1" w14:textId="6CA728A0" w:rsidR="00F412E8" w:rsidRDefault="00F412E8" w:rsidP="00F412E8">
      <w:pPr>
        <w:pStyle w:val="ListParagraph"/>
        <w:rPr>
          <w:rFonts w:ascii="Arial" w:hAnsi="Arial" w:cs="Arial"/>
          <w:color w:val="000000" w:themeColor="text1"/>
        </w:rPr>
      </w:pPr>
    </w:p>
    <w:p w14:paraId="63CE713E" w14:textId="77777777" w:rsidR="002423E5" w:rsidRDefault="002423E5" w:rsidP="00F412E8">
      <w:pPr>
        <w:pStyle w:val="ListParagraph"/>
        <w:rPr>
          <w:rFonts w:ascii="Arial" w:hAnsi="Arial" w:cs="Arial"/>
          <w:color w:val="000000" w:themeColor="text1"/>
        </w:rPr>
      </w:pPr>
    </w:p>
    <w:p w14:paraId="71A5549D" w14:textId="4769F5CB" w:rsidR="0025737D" w:rsidRPr="002133E4" w:rsidRDefault="002423E5" w:rsidP="002133E4">
      <w:pPr>
        <w:rPr>
          <w:rFonts w:ascii="Arial" w:hAnsi="Arial" w:cs="Arial"/>
          <w:b/>
          <w:bCs/>
          <w:color w:val="000000" w:themeColor="text1"/>
          <w:u w:val="single"/>
        </w:rPr>
      </w:pPr>
      <w:r>
        <w:rPr>
          <w:rFonts w:ascii="Arial" w:hAnsi="Arial" w:cs="Arial"/>
          <w:b/>
          <w:bCs/>
          <w:color w:val="000000" w:themeColor="text1"/>
          <w:u w:val="single"/>
        </w:rPr>
        <w:t>THE T</w:t>
      </w:r>
      <w:r w:rsidRPr="002133E4">
        <w:rPr>
          <w:rFonts w:ascii="Arial" w:hAnsi="Arial" w:cs="Arial"/>
          <w:b/>
          <w:bCs/>
          <w:color w:val="000000" w:themeColor="text1"/>
          <w:u w:val="single"/>
        </w:rPr>
        <w:t xml:space="preserve">HIRD </w:t>
      </w:r>
      <w:r>
        <w:rPr>
          <w:rFonts w:ascii="Arial" w:hAnsi="Arial" w:cs="Arial"/>
          <w:b/>
          <w:bCs/>
          <w:color w:val="000000" w:themeColor="text1"/>
          <w:u w:val="single"/>
        </w:rPr>
        <w:t>G</w:t>
      </w:r>
      <w:r w:rsidRPr="002133E4">
        <w:rPr>
          <w:rFonts w:ascii="Arial" w:hAnsi="Arial" w:cs="Arial"/>
          <w:b/>
          <w:bCs/>
          <w:color w:val="000000" w:themeColor="text1"/>
          <w:u w:val="single"/>
        </w:rPr>
        <w:t xml:space="preserve">ROUND OF </w:t>
      </w:r>
      <w:r>
        <w:rPr>
          <w:rFonts w:ascii="Arial" w:hAnsi="Arial" w:cs="Arial"/>
          <w:b/>
          <w:bCs/>
          <w:color w:val="000000" w:themeColor="text1"/>
          <w:u w:val="single"/>
        </w:rPr>
        <w:t>R</w:t>
      </w:r>
      <w:r w:rsidRPr="002133E4">
        <w:rPr>
          <w:rFonts w:ascii="Arial" w:hAnsi="Arial" w:cs="Arial"/>
          <w:b/>
          <w:bCs/>
          <w:color w:val="000000" w:themeColor="text1"/>
          <w:u w:val="single"/>
        </w:rPr>
        <w:t>EVIEW</w:t>
      </w:r>
    </w:p>
    <w:p w14:paraId="5853AB10" w14:textId="01DB3FC1" w:rsidR="002133E4" w:rsidRDefault="002133E4" w:rsidP="002133E4">
      <w:pPr>
        <w:rPr>
          <w:rFonts w:ascii="Arial" w:hAnsi="Arial" w:cs="Arial"/>
          <w:color w:val="000000" w:themeColor="text1"/>
        </w:rPr>
      </w:pPr>
    </w:p>
    <w:p w14:paraId="532975A0" w14:textId="760F1EFF" w:rsidR="002423E5" w:rsidRDefault="002423E5" w:rsidP="002133E4">
      <w:pPr>
        <w:rPr>
          <w:rFonts w:ascii="Arial" w:hAnsi="Arial" w:cs="Arial"/>
          <w:color w:val="000000" w:themeColor="text1"/>
        </w:rPr>
      </w:pPr>
    </w:p>
    <w:p w14:paraId="3D251A24" w14:textId="77777777" w:rsidR="002423E5" w:rsidRPr="002133E4" w:rsidRDefault="002423E5" w:rsidP="002133E4">
      <w:pPr>
        <w:rPr>
          <w:rFonts w:ascii="Arial" w:hAnsi="Arial" w:cs="Arial"/>
          <w:color w:val="000000" w:themeColor="text1"/>
        </w:rPr>
      </w:pPr>
    </w:p>
    <w:p w14:paraId="7C75AC77" w14:textId="2E0ACAF5" w:rsidR="004D45B5" w:rsidRPr="00995931" w:rsidRDefault="00995931" w:rsidP="00995931">
      <w:pPr>
        <w:spacing w:line="360" w:lineRule="auto"/>
        <w:ind w:left="851" w:hanging="851"/>
        <w:jc w:val="both"/>
        <w:rPr>
          <w:rFonts w:ascii="Arial" w:hAnsi="Arial" w:cs="Arial"/>
          <w:color w:val="000000" w:themeColor="text1"/>
          <w:sz w:val="22"/>
          <w:szCs w:val="22"/>
        </w:rPr>
      </w:pPr>
      <w:r w:rsidRPr="00BB6451">
        <w:rPr>
          <w:rFonts w:ascii="Arial" w:hAnsi="Arial" w:cs="Arial"/>
          <w:color w:val="000000" w:themeColor="text1"/>
        </w:rPr>
        <w:t>[52].</w:t>
      </w:r>
      <w:r w:rsidRPr="00BB6451">
        <w:rPr>
          <w:rFonts w:ascii="Arial" w:hAnsi="Arial" w:cs="Arial"/>
          <w:color w:val="000000" w:themeColor="text1"/>
        </w:rPr>
        <w:tab/>
      </w:r>
      <w:r w:rsidR="004D45B5" w:rsidRPr="00995931">
        <w:rPr>
          <w:rFonts w:ascii="Arial" w:hAnsi="Arial" w:cs="Arial"/>
          <w:color w:val="000000" w:themeColor="text1"/>
        </w:rPr>
        <w:t xml:space="preserve">The third and final ground advanced for the review was that the approach adopted by </w:t>
      </w:r>
      <w:r w:rsidR="00B13443" w:rsidRPr="00995931">
        <w:rPr>
          <w:rFonts w:ascii="Arial" w:hAnsi="Arial" w:cs="Arial"/>
          <w:color w:val="000000" w:themeColor="text1"/>
        </w:rPr>
        <w:t>ITAC</w:t>
      </w:r>
      <w:r w:rsidR="004D45B5" w:rsidRPr="00995931">
        <w:rPr>
          <w:rFonts w:ascii="Arial" w:hAnsi="Arial" w:cs="Arial"/>
          <w:color w:val="000000" w:themeColor="text1"/>
        </w:rPr>
        <w:t xml:space="preserve"> was fundamentally flawed. This ground was predicated upon the decision to withdraw the company specific duties of 8% which </w:t>
      </w:r>
      <w:r w:rsidR="00B13443" w:rsidRPr="00995931">
        <w:rPr>
          <w:rFonts w:ascii="Arial" w:hAnsi="Arial" w:cs="Arial"/>
          <w:color w:val="000000" w:themeColor="text1"/>
        </w:rPr>
        <w:t>TATA</w:t>
      </w:r>
      <w:r w:rsidR="004D45B5" w:rsidRPr="00995931">
        <w:rPr>
          <w:rFonts w:ascii="Arial" w:hAnsi="Arial" w:cs="Arial"/>
          <w:color w:val="000000" w:themeColor="text1"/>
        </w:rPr>
        <w:t xml:space="preserve"> had enjoyed and to subject them to the residual duties of 40% after 30 March 2020.</w:t>
      </w:r>
    </w:p>
    <w:p w14:paraId="1B206637" w14:textId="6EAC09A9" w:rsidR="00BB6451" w:rsidRDefault="00BB6451" w:rsidP="00BB6451">
      <w:pPr>
        <w:pStyle w:val="ListParagraph"/>
        <w:rPr>
          <w:rFonts w:ascii="Arial" w:hAnsi="Arial" w:cs="Arial"/>
          <w:color w:val="000000" w:themeColor="text1"/>
          <w:sz w:val="22"/>
          <w:szCs w:val="22"/>
        </w:rPr>
      </w:pPr>
    </w:p>
    <w:p w14:paraId="58FB97B2" w14:textId="77777777" w:rsidR="0025737D" w:rsidRPr="00BB6451" w:rsidRDefault="0025737D" w:rsidP="00BB6451">
      <w:pPr>
        <w:pStyle w:val="ListParagraph"/>
        <w:rPr>
          <w:rFonts w:ascii="Arial" w:hAnsi="Arial" w:cs="Arial"/>
          <w:color w:val="000000" w:themeColor="text1"/>
          <w:sz w:val="22"/>
          <w:szCs w:val="22"/>
        </w:rPr>
      </w:pPr>
    </w:p>
    <w:p w14:paraId="5C64EDC5" w14:textId="3CB1F65F" w:rsidR="00BB6451" w:rsidRPr="00995931" w:rsidRDefault="00995931" w:rsidP="00995931">
      <w:pPr>
        <w:spacing w:line="360" w:lineRule="auto"/>
        <w:ind w:left="851" w:hanging="851"/>
        <w:jc w:val="both"/>
        <w:rPr>
          <w:rFonts w:ascii="Arial" w:hAnsi="Arial" w:cs="Arial"/>
          <w:b/>
          <w:bCs/>
          <w:color w:val="000000" w:themeColor="text1"/>
        </w:rPr>
      </w:pPr>
      <w:r w:rsidRPr="00BB6451">
        <w:rPr>
          <w:rFonts w:ascii="Arial" w:hAnsi="Arial" w:cs="Arial"/>
          <w:color w:val="000000" w:themeColor="text1"/>
        </w:rPr>
        <w:t>[53].</w:t>
      </w:r>
      <w:r w:rsidRPr="00BB6451">
        <w:rPr>
          <w:rFonts w:ascii="Arial" w:hAnsi="Arial" w:cs="Arial"/>
          <w:color w:val="000000" w:themeColor="text1"/>
        </w:rPr>
        <w:tab/>
      </w:r>
      <w:r w:rsidR="00BB6451" w:rsidRPr="00995931">
        <w:rPr>
          <w:rFonts w:ascii="Arial" w:hAnsi="Arial" w:cs="Arial"/>
          <w:color w:val="000000" w:themeColor="text1"/>
        </w:rPr>
        <w:t xml:space="preserve">It was not in issue that unlike when the original investigation had been undertaken and </w:t>
      </w:r>
      <w:r w:rsidR="00B13443" w:rsidRPr="00995931">
        <w:rPr>
          <w:rFonts w:ascii="Arial" w:hAnsi="Arial" w:cs="Arial"/>
          <w:color w:val="000000" w:themeColor="text1"/>
        </w:rPr>
        <w:t>TATA</w:t>
      </w:r>
      <w:r w:rsidR="00BB6451" w:rsidRPr="00995931">
        <w:rPr>
          <w:rFonts w:ascii="Arial" w:hAnsi="Arial" w:cs="Arial"/>
          <w:color w:val="000000" w:themeColor="text1"/>
        </w:rPr>
        <w:t xml:space="preserve"> had co-operated, it had not done so in respect of the present </w:t>
      </w:r>
      <w:r w:rsidR="0025737D" w:rsidRPr="00995931">
        <w:rPr>
          <w:rFonts w:ascii="Arial" w:hAnsi="Arial" w:cs="Arial"/>
          <w:color w:val="000000" w:themeColor="text1"/>
        </w:rPr>
        <w:t>s</w:t>
      </w:r>
      <w:r w:rsidR="00BB6451" w:rsidRPr="00995931">
        <w:rPr>
          <w:rFonts w:ascii="Arial" w:hAnsi="Arial" w:cs="Arial"/>
          <w:color w:val="000000" w:themeColor="text1"/>
        </w:rPr>
        <w:t xml:space="preserve">unset </w:t>
      </w:r>
      <w:r w:rsidR="0025737D" w:rsidRPr="00995931">
        <w:rPr>
          <w:rFonts w:ascii="Arial" w:hAnsi="Arial" w:cs="Arial"/>
          <w:color w:val="000000" w:themeColor="text1"/>
        </w:rPr>
        <w:t>r</w:t>
      </w:r>
      <w:r w:rsidR="00BB6451" w:rsidRPr="00995931">
        <w:rPr>
          <w:rFonts w:ascii="Arial" w:hAnsi="Arial" w:cs="Arial"/>
          <w:color w:val="000000" w:themeColor="text1"/>
        </w:rPr>
        <w:t xml:space="preserve">eview.  When the original investigation was undertaken and it had co-operated and had supplied required information to </w:t>
      </w:r>
      <w:r w:rsidR="00B13443" w:rsidRPr="00995931">
        <w:rPr>
          <w:rFonts w:ascii="Arial" w:hAnsi="Arial" w:cs="Arial"/>
          <w:color w:val="000000" w:themeColor="text1"/>
        </w:rPr>
        <w:t>ITAC</w:t>
      </w:r>
      <w:r w:rsidR="00BB6451" w:rsidRPr="00995931">
        <w:rPr>
          <w:rFonts w:ascii="Arial" w:hAnsi="Arial" w:cs="Arial"/>
          <w:color w:val="000000" w:themeColor="text1"/>
        </w:rPr>
        <w:t>, it had benefited in consequence of doing so with the imposition of a company specific duty, substantially lower than the residual duty imposed upon those parties who had not co-operated.</w:t>
      </w:r>
    </w:p>
    <w:p w14:paraId="7F4B8050" w14:textId="77777777" w:rsidR="0025737D" w:rsidRPr="00BB6451" w:rsidRDefault="0025737D" w:rsidP="00D11A47">
      <w:pPr>
        <w:spacing w:line="360" w:lineRule="auto"/>
        <w:jc w:val="both"/>
        <w:rPr>
          <w:rFonts w:ascii="Arial" w:hAnsi="Arial" w:cs="Arial"/>
          <w:i/>
          <w:iCs/>
          <w:color w:val="000000" w:themeColor="text1"/>
          <w:sz w:val="22"/>
          <w:szCs w:val="22"/>
        </w:rPr>
      </w:pPr>
    </w:p>
    <w:p w14:paraId="5055796F" w14:textId="0B64FCCC" w:rsidR="00D11A47" w:rsidRPr="00995931" w:rsidRDefault="00995931" w:rsidP="00995931">
      <w:pPr>
        <w:spacing w:line="360" w:lineRule="auto"/>
        <w:ind w:left="851" w:hanging="851"/>
        <w:jc w:val="both"/>
        <w:rPr>
          <w:rFonts w:ascii="Arial" w:hAnsi="Arial" w:cs="Arial"/>
          <w:color w:val="000000" w:themeColor="text1"/>
        </w:rPr>
      </w:pPr>
      <w:r w:rsidRPr="00D11A47">
        <w:rPr>
          <w:rFonts w:ascii="Arial" w:hAnsi="Arial" w:cs="Arial"/>
          <w:color w:val="000000" w:themeColor="text1"/>
        </w:rPr>
        <w:t>[54].</w:t>
      </w:r>
      <w:r w:rsidRPr="00D11A47">
        <w:rPr>
          <w:rFonts w:ascii="Arial" w:hAnsi="Arial" w:cs="Arial"/>
          <w:color w:val="000000" w:themeColor="text1"/>
        </w:rPr>
        <w:tab/>
      </w:r>
      <w:r w:rsidR="00BB6451" w:rsidRPr="00995931">
        <w:rPr>
          <w:rFonts w:ascii="Arial" w:hAnsi="Arial" w:cs="Arial"/>
          <w:color w:val="000000" w:themeColor="text1"/>
        </w:rPr>
        <w:t xml:space="preserve">In its argument for this ground of review, </w:t>
      </w:r>
      <w:r w:rsidR="00B13443" w:rsidRPr="00995931">
        <w:rPr>
          <w:rFonts w:ascii="Arial" w:hAnsi="Arial" w:cs="Arial"/>
          <w:color w:val="000000" w:themeColor="text1"/>
        </w:rPr>
        <w:t>TATA</w:t>
      </w:r>
      <w:r w:rsidR="00BB6451" w:rsidRPr="00995931">
        <w:rPr>
          <w:rFonts w:ascii="Arial" w:hAnsi="Arial" w:cs="Arial"/>
          <w:color w:val="000000" w:themeColor="text1"/>
        </w:rPr>
        <w:t xml:space="preserve"> relied </w:t>
      </w:r>
      <w:r w:rsidR="00373C77" w:rsidRPr="00995931">
        <w:rPr>
          <w:rFonts w:ascii="Arial" w:hAnsi="Arial" w:cs="Arial"/>
          <w:color w:val="000000" w:themeColor="text1"/>
        </w:rPr>
        <w:t>almost exclusively upon the interpretation of Articles 11, 11.2 and 11.3 of the W</w:t>
      </w:r>
      <w:r w:rsidR="00041722" w:rsidRPr="00995931">
        <w:rPr>
          <w:rFonts w:ascii="Arial" w:hAnsi="Arial" w:cs="Arial"/>
          <w:color w:val="000000" w:themeColor="text1"/>
        </w:rPr>
        <w:t>T</w:t>
      </w:r>
      <w:r w:rsidR="00373C77" w:rsidRPr="00995931">
        <w:rPr>
          <w:rFonts w:ascii="Arial" w:hAnsi="Arial" w:cs="Arial"/>
          <w:color w:val="000000" w:themeColor="text1"/>
        </w:rPr>
        <w:t>O Agreement</w:t>
      </w:r>
      <w:r w:rsidR="00D11A47" w:rsidRPr="00995931">
        <w:rPr>
          <w:rFonts w:ascii="Arial" w:hAnsi="Arial" w:cs="Arial"/>
          <w:color w:val="000000" w:themeColor="text1"/>
        </w:rPr>
        <w:t xml:space="preserve"> and the difference in construction between Regulation 47.1 and 59. </w:t>
      </w:r>
      <w:r w:rsidR="00041722" w:rsidRPr="00995931">
        <w:rPr>
          <w:rFonts w:ascii="Arial" w:hAnsi="Arial" w:cs="Arial"/>
          <w:color w:val="000000" w:themeColor="text1"/>
        </w:rPr>
        <w:t>Since the WTO Agreement is not part of our municipal law, this ground must of necessity be considered with regard to the Regulations which are.</w:t>
      </w:r>
      <w:r w:rsidR="00D11A47" w:rsidRPr="00995931">
        <w:rPr>
          <w:rFonts w:ascii="Arial" w:hAnsi="Arial" w:cs="Arial"/>
          <w:color w:val="000000" w:themeColor="text1"/>
        </w:rPr>
        <w:t xml:space="preserve"> </w:t>
      </w:r>
    </w:p>
    <w:p w14:paraId="5EA344DD" w14:textId="77777777" w:rsidR="0025737D" w:rsidRPr="002133E4" w:rsidRDefault="0025737D" w:rsidP="002133E4">
      <w:pPr>
        <w:spacing w:line="360" w:lineRule="auto"/>
        <w:jc w:val="both"/>
        <w:rPr>
          <w:rFonts w:ascii="Arial" w:hAnsi="Arial" w:cs="Arial"/>
          <w:color w:val="000000" w:themeColor="text1"/>
        </w:rPr>
      </w:pPr>
    </w:p>
    <w:p w14:paraId="3733C57E" w14:textId="516CA2EE" w:rsidR="00D11A47" w:rsidRPr="00995931" w:rsidRDefault="00995931" w:rsidP="00995931">
      <w:pPr>
        <w:spacing w:line="360" w:lineRule="auto"/>
        <w:ind w:left="851" w:hanging="851"/>
        <w:jc w:val="both"/>
        <w:rPr>
          <w:rFonts w:ascii="Arial" w:hAnsi="Arial" w:cs="Arial"/>
          <w:color w:val="000000" w:themeColor="text1"/>
        </w:rPr>
      </w:pPr>
      <w:r>
        <w:rPr>
          <w:rFonts w:ascii="Arial" w:hAnsi="Arial" w:cs="Arial"/>
          <w:color w:val="000000" w:themeColor="text1"/>
        </w:rPr>
        <w:t>[55].</w:t>
      </w:r>
      <w:r>
        <w:rPr>
          <w:rFonts w:ascii="Arial" w:hAnsi="Arial" w:cs="Arial"/>
          <w:color w:val="000000" w:themeColor="text1"/>
        </w:rPr>
        <w:tab/>
      </w:r>
      <w:r w:rsidR="00D11A47" w:rsidRPr="00995931">
        <w:rPr>
          <w:rFonts w:ascii="Arial" w:hAnsi="Arial" w:cs="Arial"/>
          <w:color w:val="000000" w:themeColor="text1"/>
        </w:rPr>
        <w:t>Regulation 47.1 deals with Interim Reviews and provides:</w:t>
      </w:r>
    </w:p>
    <w:p w14:paraId="582C45DE" w14:textId="77777777" w:rsidR="00D11A47" w:rsidRPr="00D11A47" w:rsidRDefault="00D11A47" w:rsidP="00D11A47">
      <w:pPr>
        <w:pStyle w:val="ListParagraph"/>
        <w:rPr>
          <w:rFonts w:ascii="Arial" w:hAnsi="Arial" w:cs="Arial"/>
          <w:color w:val="000000" w:themeColor="text1"/>
        </w:rPr>
      </w:pPr>
    </w:p>
    <w:p w14:paraId="3D496238" w14:textId="77777777" w:rsidR="002423E5" w:rsidRDefault="002423E5" w:rsidP="00E8231E">
      <w:pPr>
        <w:pStyle w:val="ListParagraph"/>
        <w:spacing w:line="360" w:lineRule="auto"/>
        <w:ind w:left="2268" w:hanging="850"/>
        <w:jc w:val="both"/>
        <w:rPr>
          <w:rFonts w:ascii="Arial" w:hAnsi="Arial" w:cs="Arial"/>
          <w:i/>
          <w:iCs/>
          <w:color w:val="000000" w:themeColor="text1"/>
          <w:sz w:val="22"/>
          <w:szCs w:val="22"/>
        </w:rPr>
      </w:pPr>
    </w:p>
    <w:p w14:paraId="20DAFCA5" w14:textId="572EE664" w:rsidR="00D11A47" w:rsidRPr="00D11A47" w:rsidRDefault="00D11A47" w:rsidP="00E8231E">
      <w:pPr>
        <w:pStyle w:val="ListParagraph"/>
        <w:spacing w:line="360" w:lineRule="auto"/>
        <w:ind w:left="2268" w:hanging="850"/>
        <w:jc w:val="both"/>
        <w:rPr>
          <w:rFonts w:ascii="Arial" w:hAnsi="Arial" w:cs="Arial"/>
          <w:i/>
          <w:iCs/>
          <w:color w:val="000000" w:themeColor="text1"/>
          <w:sz w:val="22"/>
          <w:szCs w:val="22"/>
        </w:rPr>
      </w:pPr>
      <w:r w:rsidRPr="00D11A47">
        <w:rPr>
          <w:rFonts w:ascii="Arial" w:hAnsi="Arial" w:cs="Arial"/>
          <w:i/>
          <w:iCs/>
          <w:color w:val="000000" w:themeColor="text1"/>
          <w:sz w:val="22"/>
          <w:szCs w:val="22"/>
        </w:rPr>
        <w:t>“</w:t>
      </w:r>
      <w:r w:rsidRPr="00D11A47">
        <w:rPr>
          <w:rFonts w:ascii="Arial" w:hAnsi="Arial" w:cs="Arial"/>
          <w:b/>
          <w:bCs/>
          <w:i/>
          <w:iCs/>
          <w:color w:val="000000" w:themeColor="text1"/>
          <w:sz w:val="22"/>
          <w:szCs w:val="22"/>
        </w:rPr>
        <w:t xml:space="preserve">47   </w:t>
      </w:r>
      <w:r w:rsidR="00E8231E">
        <w:rPr>
          <w:rFonts w:ascii="Arial" w:hAnsi="Arial" w:cs="Arial"/>
          <w:b/>
          <w:bCs/>
          <w:i/>
          <w:iCs/>
          <w:color w:val="000000" w:themeColor="text1"/>
          <w:sz w:val="22"/>
          <w:szCs w:val="22"/>
        </w:rPr>
        <w:tab/>
      </w:r>
      <w:r w:rsidRPr="00D11A47">
        <w:rPr>
          <w:rFonts w:ascii="Arial" w:hAnsi="Arial" w:cs="Arial"/>
          <w:b/>
          <w:bCs/>
          <w:i/>
          <w:iCs/>
          <w:color w:val="000000" w:themeColor="text1"/>
          <w:sz w:val="22"/>
          <w:szCs w:val="22"/>
        </w:rPr>
        <w:t>Final recommendation</w:t>
      </w:r>
    </w:p>
    <w:p w14:paraId="04AB0F58" w14:textId="77777777" w:rsidR="00D11A47" w:rsidRPr="00D11A47" w:rsidRDefault="00D11A47" w:rsidP="00E8231E">
      <w:pPr>
        <w:pStyle w:val="ListParagraph"/>
        <w:spacing w:line="360" w:lineRule="auto"/>
        <w:ind w:left="1418"/>
        <w:jc w:val="both"/>
        <w:rPr>
          <w:rFonts w:ascii="Arial" w:hAnsi="Arial" w:cs="Arial"/>
          <w:i/>
          <w:iCs/>
          <w:color w:val="000000" w:themeColor="text1"/>
          <w:sz w:val="22"/>
          <w:szCs w:val="22"/>
        </w:rPr>
      </w:pPr>
    </w:p>
    <w:p w14:paraId="2F25BE2E" w14:textId="69ED4055" w:rsidR="00D11A47" w:rsidRPr="00D11A47" w:rsidRDefault="00D11A47" w:rsidP="00E8231E">
      <w:pPr>
        <w:pStyle w:val="ListParagraph"/>
        <w:spacing w:line="360" w:lineRule="auto"/>
        <w:ind w:left="3119" w:hanging="851"/>
        <w:jc w:val="both"/>
        <w:rPr>
          <w:rFonts w:ascii="Arial" w:hAnsi="Arial" w:cs="Arial"/>
          <w:i/>
          <w:iCs/>
          <w:color w:val="000000" w:themeColor="text1"/>
          <w:sz w:val="22"/>
          <w:szCs w:val="22"/>
        </w:rPr>
      </w:pPr>
      <w:r w:rsidRPr="00D11A47">
        <w:rPr>
          <w:rFonts w:ascii="Arial" w:hAnsi="Arial" w:cs="Arial"/>
          <w:i/>
          <w:iCs/>
          <w:color w:val="000000" w:themeColor="text1"/>
          <w:sz w:val="22"/>
          <w:szCs w:val="22"/>
        </w:rPr>
        <w:t>47.1</w:t>
      </w:r>
      <w:r w:rsidRPr="00D11A47">
        <w:rPr>
          <w:rFonts w:ascii="Arial" w:hAnsi="Arial" w:cs="Arial"/>
          <w:i/>
          <w:iCs/>
          <w:color w:val="000000" w:themeColor="text1"/>
          <w:sz w:val="22"/>
          <w:szCs w:val="22"/>
        </w:rPr>
        <w:tab/>
        <w:t xml:space="preserve">The Commission’s final finding, in the form of a recommendation to the Minister, may result in an increase, decrease, the withdrawal or the reconfirmation of the existing anti-dumping duty.” </w:t>
      </w:r>
    </w:p>
    <w:p w14:paraId="58276824" w14:textId="77777777" w:rsidR="0025737D" w:rsidRPr="002133E4" w:rsidRDefault="0025737D" w:rsidP="002133E4">
      <w:pPr>
        <w:rPr>
          <w:rFonts w:ascii="Arial" w:hAnsi="Arial" w:cs="Arial"/>
          <w:color w:val="000000" w:themeColor="text1"/>
        </w:rPr>
      </w:pPr>
    </w:p>
    <w:p w14:paraId="31BE8F77" w14:textId="6A135D91" w:rsidR="00D11A47" w:rsidRPr="00995931" w:rsidRDefault="00995931" w:rsidP="00995931">
      <w:pPr>
        <w:spacing w:line="360" w:lineRule="auto"/>
        <w:ind w:left="900" w:hanging="900"/>
        <w:jc w:val="both"/>
        <w:rPr>
          <w:rFonts w:ascii="Arial" w:hAnsi="Arial" w:cs="Arial"/>
          <w:color w:val="000000" w:themeColor="text1"/>
        </w:rPr>
      </w:pPr>
      <w:r>
        <w:rPr>
          <w:rFonts w:ascii="Arial" w:hAnsi="Arial" w:cs="Arial"/>
          <w:color w:val="000000" w:themeColor="text1"/>
        </w:rPr>
        <w:t>[56].</w:t>
      </w:r>
      <w:r>
        <w:rPr>
          <w:rFonts w:ascii="Arial" w:hAnsi="Arial" w:cs="Arial"/>
          <w:color w:val="000000" w:themeColor="text1"/>
        </w:rPr>
        <w:tab/>
      </w:r>
      <w:r w:rsidR="00D11A47" w:rsidRPr="00995931">
        <w:rPr>
          <w:rFonts w:ascii="Arial" w:hAnsi="Arial" w:cs="Arial"/>
          <w:color w:val="000000" w:themeColor="text1"/>
        </w:rPr>
        <w:t xml:space="preserve">Regulation 59 which deals with </w:t>
      </w:r>
      <w:r w:rsidR="0025737D" w:rsidRPr="00995931">
        <w:rPr>
          <w:rFonts w:ascii="Arial" w:hAnsi="Arial" w:cs="Arial"/>
          <w:color w:val="000000" w:themeColor="text1"/>
        </w:rPr>
        <w:t>s</w:t>
      </w:r>
      <w:r w:rsidR="00D11A47" w:rsidRPr="00995931">
        <w:rPr>
          <w:rFonts w:ascii="Arial" w:hAnsi="Arial" w:cs="Arial"/>
          <w:color w:val="000000" w:themeColor="text1"/>
        </w:rPr>
        <w:t xml:space="preserve">unset </w:t>
      </w:r>
      <w:r w:rsidR="0025737D" w:rsidRPr="00995931">
        <w:rPr>
          <w:rFonts w:ascii="Arial" w:hAnsi="Arial" w:cs="Arial"/>
          <w:color w:val="000000" w:themeColor="text1"/>
        </w:rPr>
        <w:t>r</w:t>
      </w:r>
      <w:r w:rsidR="00D11A47" w:rsidRPr="00995931">
        <w:rPr>
          <w:rFonts w:ascii="Arial" w:hAnsi="Arial" w:cs="Arial"/>
          <w:color w:val="000000" w:themeColor="text1"/>
        </w:rPr>
        <w:t>eviews, provides:</w:t>
      </w:r>
    </w:p>
    <w:p w14:paraId="76928645" w14:textId="77777777" w:rsidR="00D11A47" w:rsidRPr="00BB6451" w:rsidRDefault="00D11A47" w:rsidP="00D11A47">
      <w:pPr>
        <w:pStyle w:val="ListParagraph"/>
        <w:rPr>
          <w:rFonts w:ascii="Arial" w:hAnsi="Arial" w:cs="Arial"/>
          <w:color w:val="000000" w:themeColor="text1"/>
        </w:rPr>
      </w:pPr>
    </w:p>
    <w:p w14:paraId="0356307B" w14:textId="77777777" w:rsidR="002423E5" w:rsidRDefault="002423E5" w:rsidP="00E8231E">
      <w:pPr>
        <w:spacing w:line="360" w:lineRule="auto"/>
        <w:ind w:left="2268" w:hanging="850"/>
        <w:jc w:val="both"/>
        <w:rPr>
          <w:rFonts w:ascii="Arial" w:hAnsi="Arial" w:cs="Arial"/>
          <w:i/>
          <w:iCs/>
          <w:color w:val="000000" w:themeColor="text1"/>
          <w:sz w:val="22"/>
          <w:szCs w:val="22"/>
        </w:rPr>
      </w:pPr>
    </w:p>
    <w:p w14:paraId="6E35EE30" w14:textId="4349DAA8" w:rsidR="00D11A47" w:rsidRPr="00BB6451" w:rsidRDefault="00D11A47" w:rsidP="00E8231E">
      <w:pPr>
        <w:spacing w:line="360" w:lineRule="auto"/>
        <w:ind w:left="2268" w:hanging="850"/>
        <w:jc w:val="both"/>
        <w:rPr>
          <w:rFonts w:ascii="Arial" w:hAnsi="Arial" w:cs="Arial"/>
          <w:i/>
          <w:iCs/>
          <w:color w:val="000000" w:themeColor="text1"/>
          <w:sz w:val="22"/>
          <w:szCs w:val="22"/>
        </w:rPr>
      </w:pPr>
      <w:r w:rsidRPr="00BB6451">
        <w:rPr>
          <w:rFonts w:ascii="Arial" w:hAnsi="Arial" w:cs="Arial"/>
          <w:i/>
          <w:iCs/>
          <w:color w:val="000000" w:themeColor="text1"/>
          <w:sz w:val="22"/>
          <w:szCs w:val="22"/>
        </w:rPr>
        <w:t>“</w:t>
      </w:r>
      <w:r w:rsidRPr="00BB6451">
        <w:rPr>
          <w:rFonts w:ascii="Arial" w:hAnsi="Arial" w:cs="Arial"/>
          <w:b/>
          <w:bCs/>
          <w:i/>
          <w:iCs/>
          <w:color w:val="000000" w:themeColor="text1"/>
          <w:sz w:val="22"/>
          <w:szCs w:val="22"/>
        </w:rPr>
        <w:t>59</w:t>
      </w:r>
      <w:r w:rsidRPr="00BB6451">
        <w:rPr>
          <w:rFonts w:ascii="Arial" w:hAnsi="Arial" w:cs="Arial"/>
          <w:b/>
          <w:bCs/>
          <w:i/>
          <w:iCs/>
          <w:color w:val="000000" w:themeColor="text1"/>
          <w:sz w:val="22"/>
          <w:szCs w:val="22"/>
        </w:rPr>
        <w:tab/>
        <w:t>Final recommendation</w:t>
      </w:r>
    </w:p>
    <w:p w14:paraId="25FFA1A6" w14:textId="77777777" w:rsidR="00D11A47" w:rsidRPr="00BB6451" w:rsidRDefault="00D11A47" w:rsidP="00D11A47">
      <w:pPr>
        <w:spacing w:line="360" w:lineRule="auto"/>
        <w:ind w:left="1418"/>
        <w:jc w:val="both"/>
        <w:rPr>
          <w:rFonts w:ascii="Arial" w:hAnsi="Arial" w:cs="Arial"/>
          <w:i/>
          <w:iCs/>
          <w:color w:val="000000" w:themeColor="text1"/>
          <w:sz w:val="22"/>
          <w:szCs w:val="22"/>
        </w:rPr>
      </w:pPr>
    </w:p>
    <w:p w14:paraId="5AE91AAB" w14:textId="77777777" w:rsidR="00D11A47" w:rsidRDefault="00D11A47" w:rsidP="00D11A47">
      <w:pPr>
        <w:spacing w:line="360" w:lineRule="auto"/>
        <w:ind w:left="2127"/>
        <w:jc w:val="both"/>
        <w:rPr>
          <w:rFonts w:ascii="Arial" w:hAnsi="Arial" w:cs="Arial"/>
          <w:i/>
          <w:iCs/>
          <w:color w:val="000000" w:themeColor="text1"/>
          <w:sz w:val="22"/>
          <w:szCs w:val="22"/>
        </w:rPr>
      </w:pPr>
      <w:r w:rsidRPr="00BB6451">
        <w:rPr>
          <w:rFonts w:ascii="Arial" w:hAnsi="Arial" w:cs="Arial"/>
          <w:i/>
          <w:iCs/>
          <w:color w:val="000000" w:themeColor="text1"/>
          <w:sz w:val="22"/>
          <w:szCs w:val="22"/>
        </w:rPr>
        <w:tab/>
        <w:t>The Commission’s recommendation may result in the withdrawal, amendment or reconfirmation of the original anti-dumping duty.”</w:t>
      </w:r>
    </w:p>
    <w:p w14:paraId="0F720EE2" w14:textId="77777777" w:rsidR="0025737D" w:rsidRPr="002133E4" w:rsidRDefault="0025737D" w:rsidP="002133E4">
      <w:pPr>
        <w:spacing w:line="360" w:lineRule="auto"/>
        <w:jc w:val="both"/>
        <w:rPr>
          <w:rFonts w:ascii="Arial" w:hAnsi="Arial" w:cs="Arial"/>
          <w:color w:val="000000" w:themeColor="text1"/>
        </w:rPr>
      </w:pPr>
    </w:p>
    <w:p w14:paraId="14561B01" w14:textId="6F7A014F" w:rsidR="002A36F9" w:rsidRPr="00995931" w:rsidRDefault="00995931" w:rsidP="00995931">
      <w:pPr>
        <w:spacing w:line="360" w:lineRule="auto"/>
        <w:ind w:left="900" w:hanging="900"/>
        <w:jc w:val="both"/>
        <w:rPr>
          <w:rFonts w:ascii="Arial" w:hAnsi="Arial" w:cs="Arial"/>
          <w:color w:val="000000" w:themeColor="text1"/>
        </w:rPr>
      </w:pPr>
      <w:r>
        <w:rPr>
          <w:rFonts w:ascii="Arial" w:hAnsi="Arial" w:cs="Arial"/>
          <w:color w:val="000000" w:themeColor="text1"/>
        </w:rPr>
        <w:t>[57].</w:t>
      </w:r>
      <w:r>
        <w:rPr>
          <w:rFonts w:ascii="Arial" w:hAnsi="Arial" w:cs="Arial"/>
          <w:color w:val="000000" w:themeColor="text1"/>
        </w:rPr>
        <w:tab/>
      </w:r>
      <w:r w:rsidR="00D11A47" w:rsidRPr="00995931">
        <w:rPr>
          <w:rFonts w:ascii="Arial" w:hAnsi="Arial" w:cs="Arial"/>
          <w:color w:val="000000" w:themeColor="text1"/>
        </w:rPr>
        <w:t xml:space="preserve">The review in the present matter was a </w:t>
      </w:r>
      <w:r w:rsidR="002A36F9" w:rsidRPr="00995931">
        <w:rPr>
          <w:rFonts w:ascii="Arial" w:hAnsi="Arial" w:cs="Arial"/>
          <w:color w:val="000000" w:themeColor="text1"/>
        </w:rPr>
        <w:t>S</w:t>
      </w:r>
      <w:r w:rsidR="00D11A47" w:rsidRPr="00995931">
        <w:rPr>
          <w:rFonts w:ascii="Arial" w:hAnsi="Arial" w:cs="Arial"/>
          <w:color w:val="000000" w:themeColor="text1"/>
        </w:rPr>
        <w:t xml:space="preserve">unset </w:t>
      </w:r>
      <w:r w:rsidR="002A36F9" w:rsidRPr="00995931">
        <w:rPr>
          <w:rFonts w:ascii="Arial" w:hAnsi="Arial" w:cs="Arial"/>
          <w:color w:val="000000" w:themeColor="text1"/>
        </w:rPr>
        <w:t>R</w:t>
      </w:r>
      <w:r w:rsidR="00D11A47" w:rsidRPr="00995931">
        <w:rPr>
          <w:rFonts w:ascii="Arial" w:hAnsi="Arial" w:cs="Arial"/>
          <w:color w:val="000000" w:themeColor="text1"/>
        </w:rPr>
        <w:t xml:space="preserve">eview and not an Interim Review.  The Regulations are framed differently for each type of review and cannot be juxtaposed and conflated </w:t>
      </w:r>
      <w:r w:rsidR="002A36F9" w:rsidRPr="00995931">
        <w:rPr>
          <w:rFonts w:ascii="Arial" w:hAnsi="Arial" w:cs="Arial"/>
          <w:color w:val="000000" w:themeColor="text1"/>
        </w:rPr>
        <w:t>to</w:t>
      </w:r>
      <w:r w:rsidR="00D11A47" w:rsidRPr="00995931">
        <w:rPr>
          <w:rFonts w:ascii="Arial" w:hAnsi="Arial" w:cs="Arial"/>
          <w:color w:val="000000" w:themeColor="text1"/>
        </w:rPr>
        <w:t xml:space="preserve"> arrive at an interpretation of the Regulation</w:t>
      </w:r>
      <w:r w:rsidR="002A36F9" w:rsidRPr="00995931">
        <w:rPr>
          <w:rFonts w:ascii="Arial" w:hAnsi="Arial" w:cs="Arial"/>
          <w:color w:val="000000" w:themeColor="text1"/>
        </w:rPr>
        <w:t>s</w:t>
      </w:r>
      <w:r w:rsidR="002A36F9">
        <w:rPr>
          <w:rStyle w:val="FootnoteReference"/>
          <w:rFonts w:ascii="Arial" w:hAnsi="Arial" w:cs="Arial"/>
          <w:color w:val="000000" w:themeColor="text1"/>
        </w:rPr>
        <w:footnoteReference w:id="39"/>
      </w:r>
      <w:r w:rsidR="00D11A47" w:rsidRPr="00995931">
        <w:rPr>
          <w:rFonts w:ascii="Arial" w:hAnsi="Arial" w:cs="Arial"/>
          <w:color w:val="000000" w:themeColor="text1"/>
        </w:rPr>
        <w:t xml:space="preserve"> which serves the case for </w:t>
      </w:r>
      <w:r w:rsidR="00B13443" w:rsidRPr="00995931">
        <w:rPr>
          <w:rFonts w:ascii="Arial" w:hAnsi="Arial" w:cs="Arial"/>
          <w:color w:val="000000" w:themeColor="text1"/>
        </w:rPr>
        <w:t>TATA</w:t>
      </w:r>
      <w:r w:rsidR="00041722" w:rsidRPr="00995931">
        <w:rPr>
          <w:rFonts w:ascii="Arial" w:hAnsi="Arial" w:cs="Arial"/>
          <w:color w:val="000000" w:themeColor="text1"/>
        </w:rPr>
        <w:t xml:space="preserve"> in trying now to argue that it ought to be able to avoid the consequences of non-co</w:t>
      </w:r>
      <w:r w:rsidR="00361C33" w:rsidRPr="00995931">
        <w:rPr>
          <w:rFonts w:ascii="Arial" w:hAnsi="Arial" w:cs="Arial"/>
          <w:color w:val="000000" w:themeColor="text1"/>
        </w:rPr>
        <w:t>-</w:t>
      </w:r>
      <w:r w:rsidR="00041722" w:rsidRPr="00995931">
        <w:rPr>
          <w:rFonts w:ascii="Arial" w:hAnsi="Arial" w:cs="Arial"/>
          <w:color w:val="000000" w:themeColor="text1"/>
        </w:rPr>
        <w:t>operation.</w:t>
      </w:r>
      <w:r w:rsidR="005A34A1" w:rsidRPr="00995931">
        <w:rPr>
          <w:rFonts w:ascii="Arial" w:hAnsi="Arial" w:cs="Arial"/>
          <w:color w:val="000000" w:themeColor="text1"/>
        </w:rPr>
        <w:t xml:space="preserve"> Such an argument seems to me to be entirely contrived.</w:t>
      </w:r>
      <w:r w:rsidR="00D11A47" w:rsidRPr="00995931">
        <w:rPr>
          <w:rFonts w:ascii="Arial" w:hAnsi="Arial" w:cs="Arial"/>
          <w:color w:val="000000" w:themeColor="text1"/>
        </w:rPr>
        <w:t xml:space="preserve">  </w:t>
      </w:r>
    </w:p>
    <w:p w14:paraId="05029882" w14:textId="77777777" w:rsidR="002A36F9" w:rsidRDefault="002A36F9" w:rsidP="002A36F9">
      <w:pPr>
        <w:pStyle w:val="ListParagraph"/>
        <w:spacing w:line="360" w:lineRule="auto"/>
        <w:ind w:left="900"/>
        <w:jc w:val="both"/>
        <w:rPr>
          <w:rFonts w:ascii="Arial" w:hAnsi="Arial" w:cs="Arial"/>
          <w:color w:val="000000" w:themeColor="text1"/>
        </w:rPr>
      </w:pPr>
    </w:p>
    <w:p w14:paraId="0BFF31DC" w14:textId="49D1C6D2" w:rsidR="00D11A47" w:rsidRPr="00995931" w:rsidRDefault="00995931" w:rsidP="00995931">
      <w:pPr>
        <w:spacing w:line="360" w:lineRule="auto"/>
        <w:ind w:left="900" w:hanging="900"/>
        <w:jc w:val="both"/>
        <w:rPr>
          <w:rFonts w:ascii="Arial" w:hAnsi="Arial" w:cs="Arial"/>
          <w:color w:val="000000" w:themeColor="text1"/>
        </w:rPr>
      </w:pPr>
      <w:r>
        <w:rPr>
          <w:rFonts w:ascii="Arial" w:hAnsi="Arial" w:cs="Arial"/>
          <w:color w:val="000000" w:themeColor="text1"/>
        </w:rPr>
        <w:t>[58].</w:t>
      </w:r>
      <w:r>
        <w:rPr>
          <w:rFonts w:ascii="Arial" w:hAnsi="Arial" w:cs="Arial"/>
          <w:color w:val="000000" w:themeColor="text1"/>
        </w:rPr>
        <w:tab/>
      </w:r>
      <w:r w:rsidR="00D11A47" w:rsidRPr="00995931">
        <w:rPr>
          <w:rFonts w:ascii="Arial" w:hAnsi="Arial" w:cs="Arial"/>
          <w:color w:val="000000" w:themeColor="text1"/>
        </w:rPr>
        <w:t>Regulation 59 is clear in its terms</w:t>
      </w:r>
      <w:r w:rsidR="00776528" w:rsidRPr="00995931">
        <w:rPr>
          <w:rFonts w:ascii="Arial" w:hAnsi="Arial" w:cs="Arial"/>
          <w:color w:val="000000" w:themeColor="text1"/>
        </w:rPr>
        <w:t xml:space="preserve">.  </w:t>
      </w:r>
      <w:r w:rsidR="001E082A" w:rsidRPr="00995931">
        <w:rPr>
          <w:rFonts w:ascii="Arial" w:hAnsi="Arial" w:cs="Arial"/>
          <w:color w:val="000000" w:themeColor="text1"/>
        </w:rPr>
        <w:t xml:space="preserve">The nub of the argument for </w:t>
      </w:r>
      <w:r w:rsidR="00B13443" w:rsidRPr="00995931">
        <w:rPr>
          <w:rFonts w:ascii="Arial" w:hAnsi="Arial" w:cs="Arial"/>
          <w:color w:val="000000" w:themeColor="text1"/>
        </w:rPr>
        <w:t>TATA</w:t>
      </w:r>
      <w:r w:rsidR="001E082A" w:rsidRPr="00995931">
        <w:rPr>
          <w:rFonts w:ascii="Arial" w:hAnsi="Arial" w:cs="Arial"/>
          <w:color w:val="000000" w:themeColor="text1"/>
        </w:rPr>
        <w:t xml:space="preserve"> on this </w:t>
      </w:r>
      <w:r w:rsidR="002A36F9" w:rsidRPr="00995931">
        <w:rPr>
          <w:rFonts w:ascii="Arial" w:hAnsi="Arial" w:cs="Arial"/>
          <w:color w:val="000000" w:themeColor="text1"/>
        </w:rPr>
        <w:t>ground</w:t>
      </w:r>
      <w:r w:rsidR="001E082A" w:rsidRPr="00995931">
        <w:rPr>
          <w:rFonts w:ascii="Arial" w:hAnsi="Arial" w:cs="Arial"/>
          <w:color w:val="000000" w:themeColor="text1"/>
        </w:rPr>
        <w:t xml:space="preserve"> of review was that Regulation 59 should be interpreted on the basis that the prior company specific duty would continue alternatively that there should be a one-sided recalculation of duties based on the information provided by </w:t>
      </w:r>
      <w:r w:rsidR="00B13443" w:rsidRPr="00995931">
        <w:rPr>
          <w:rFonts w:ascii="Arial" w:hAnsi="Arial" w:cs="Arial"/>
          <w:color w:val="000000" w:themeColor="text1"/>
        </w:rPr>
        <w:t>BOTASH</w:t>
      </w:r>
      <w:r w:rsidR="001E082A" w:rsidRPr="00995931">
        <w:rPr>
          <w:rFonts w:ascii="Arial" w:hAnsi="Arial" w:cs="Arial"/>
          <w:color w:val="000000" w:themeColor="text1"/>
        </w:rPr>
        <w:t xml:space="preserve">.  The recalculation it was argued, would have resulted in a company specific duty of 11.34% being imposed and that this was, </w:t>
      </w:r>
      <w:r w:rsidR="002A36F9" w:rsidRPr="00995931">
        <w:rPr>
          <w:rFonts w:ascii="Arial" w:hAnsi="Arial" w:cs="Arial"/>
          <w:color w:val="000000" w:themeColor="text1"/>
        </w:rPr>
        <w:t>if</w:t>
      </w:r>
      <w:r w:rsidR="001E082A" w:rsidRPr="00995931">
        <w:rPr>
          <w:rFonts w:ascii="Arial" w:hAnsi="Arial" w:cs="Arial"/>
          <w:color w:val="000000" w:themeColor="text1"/>
        </w:rPr>
        <w:t xml:space="preserve"> the review was unsuccessful on the first ground, the appropriate duty to have been imposed upon </w:t>
      </w:r>
      <w:r w:rsidR="00B13443" w:rsidRPr="00995931">
        <w:rPr>
          <w:rFonts w:ascii="Arial" w:hAnsi="Arial" w:cs="Arial"/>
          <w:color w:val="000000" w:themeColor="text1"/>
        </w:rPr>
        <w:t>TATA</w:t>
      </w:r>
      <w:r w:rsidR="001E082A" w:rsidRPr="00995931">
        <w:rPr>
          <w:rFonts w:ascii="Arial" w:hAnsi="Arial" w:cs="Arial"/>
          <w:color w:val="000000" w:themeColor="text1"/>
        </w:rPr>
        <w:t>.</w:t>
      </w:r>
    </w:p>
    <w:p w14:paraId="2AB3333C" w14:textId="77777777" w:rsidR="0025737D" w:rsidRPr="002133E4" w:rsidRDefault="0025737D" w:rsidP="002133E4">
      <w:pPr>
        <w:spacing w:line="360" w:lineRule="auto"/>
        <w:jc w:val="both"/>
        <w:rPr>
          <w:rFonts w:ascii="Arial" w:hAnsi="Arial" w:cs="Arial"/>
          <w:color w:val="000000" w:themeColor="text1"/>
        </w:rPr>
      </w:pPr>
    </w:p>
    <w:p w14:paraId="7F162A12" w14:textId="11C5C037" w:rsidR="001E082A" w:rsidRPr="00995931" w:rsidRDefault="00995931" w:rsidP="00995931">
      <w:pPr>
        <w:spacing w:line="360" w:lineRule="auto"/>
        <w:ind w:left="900" w:hanging="900"/>
        <w:jc w:val="both"/>
        <w:rPr>
          <w:rFonts w:ascii="Arial" w:hAnsi="Arial" w:cs="Arial"/>
          <w:color w:val="000000" w:themeColor="text1"/>
        </w:rPr>
      </w:pPr>
      <w:r>
        <w:rPr>
          <w:rFonts w:ascii="Arial" w:hAnsi="Arial" w:cs="Arial"/>
          <w:color w:val="000000" w:themeColor="text1"/>
        </w:rPr>
        <w:t>[59].</w:t>
      </w:r>
      <w:r>
        <w:rPr>
          <w:rFonts w:ascii="Arial" w:hAnsi="Arial" w:cs="Arial"/>
          <w:color w:val="000000" w:themeColor="text1"/>
        </w:rPr>
        <w:tab/>
      </w:r>
      <w:r w:rsidR="001E082A" w:rsidRPr="00995931">
        <w:rPr>
          <w:rFonts w:ascii="Arial" w:hAnsi="Arial" w:cs="Arial"/>
          <w:color w:val="000000" w:themeColor="text1"/>
        </w:rPr>
        <w:t>This final argument completely overlooks the provisions of Regulation 58.2 which provides:</w:t>
      </w:r>
    </w:p>
    <w:p w14:paraId="572EF022" w14:textId="77777777" w:rsidR="001E082A" w:rsidRPr="001E082A" w:rsidRDefault="001E082A" w:rsidP="001E082A">
      <w:pPr>
        <w:pStyle w:val="ListParagraph"/>
        <w:rPr>
          <w:rFonts w:ascii="Arial" w:hAnsi="Arial" w:cs="Arial"/>
          <w:color w:val="000000" w:themeColor="text1"/>
        </w:rPr>
      </w:pPr>
    </w:p>
    <w:p w14:paraId="28D6E57F" w14:textId="384139D2" w:rsidR="001E082A" w:rsidRPr="001E082A" w:rsidRDefault="001E082A" w:rsidP="00E8231E">
      <w:pPr>
        <w:pStyle w:val="ListParagraph"/>
        <w:spacing w:line="360" w:lineRule="auto"/>
        <w:ind w:left="2268" w:hanging="850"/>
        <w:jc w:val="both"/>
        <w:rPr>
          <w:rFonts w:ascii="Arial" w:hAnsi="Arial" w:cs="Arial"/>
          <w:i/>
          <w:iCs/>
          <w:color w:val="000000" w:themeColor="text1"/>
          <w:sz w:val="22"/>
          <w:szCs w:val="22"/>
        </w:rPr>
      </w:pPr>
      <w:r w:rsidRPr="001E082A">
        <w:rPr>
          <w:rFonts w:ascii="Arial" w:hAnsi="Arial" w:cs="Arial"/>
          <w:i/>
          <w:iCs/>
          <w:color w:val="000000" w:themeColor="text1"/>
          <w:sz w:val="22"/>
          <w:szCs w:val="22"/>
        </w:rPr>
        <w:t>“58.2</w:t>
      </w:r>
      <w:r w:rsidRPr="001E082A">
        <w:rPr>
          <w:rFonts w:ascii="Arial" w:hAnsi="Arial" w:cs="Arial"/>
          <w:i/>
          <w:iCs/>
          <w:color w:val="000000" w:themeColor="text1"/>
          <w:sz w:val="22"/>
          <w:szCs w:val="22"/>
        </w:rPr>
        <w:tab/>
        <w:t>Where the SACU industry has supplied the required information and the exporter or foreign producer does not co</w:t>
      </w:r>
      <w:r w:rsidR="00361C33">
        <w:rPr>
          <w:rFonts w:ascii="Arial" w:hAnsi="Arial" w:cs="Arial"/>
          <w:i/>
          <w:iCs/>
          <w:color w:val="000000" w:themeColor="text1"/>
          <w:sz w:val="22"/>
          <w:szCs w:val="22"/>
        </w:rPr>
        <w:t>-</w:t>
      </w:r>
      <w:r w:rsidRPr="001E082A">
        <w:rPr>
          <w:rFonts w:ascii="Arial" w:hAnsi="Arial" w:cs="Arial"/>
          <w:i/>
          <w:iCs/>
          <w:color w:val="000000" w:themeColor="text1"/>
          <w:sz w:val="22"/>
          <w:szCs w:val="22"/>
        </w:rPr>
        <w:t>operate within the time frames contemplated in section 42, the Commission may rely on the facts available to reach its final decision.”</w:t>
      </w:r>
    </w:p>
    <w:p w14:paraId="0C47D3B5" w14:textId="77777777" w:rsidR="0025737D" w:rsidRPr="001E082A" w:rsidRDefault="0025737D" w:rsidP="001E082A">
      <w:pPr>
        <w:spacing w:line="360" w:lineRule="auto"/>
        <w:jc w:val="both"/>
        <w:rPr>
          <w:rFonts w:ascii="Arial" w:hAnsi="Arial" w:cs="Arial"/>
          <w:color w:val="000000" w:themeColor="text1"/>
          <w:sz w:val="22"/>
          <w:szCs w:val="22"/>
        </w:rPr>
      </w:pPr>
    </w:p>
    <w:p w14:paraId="378B4366" w14:textId="213784E6" w:rsidR="00234BD8" w:rsidRPr="00995931" w:rsidRDefault="00995931" w:rsidP="00995931">
      <w:pPr>
        <w:spacing w:line="360" w:lineRule="auto"/>
        <w:ind w:left="900" w:hanging="900"/>
        <w:jc w:val="both"/>
        <w:rPr>
          <w:rFonts w:ascii="Arial" w:hAnsi="Arial" w:cs="Arial"/>
          <w:color w:val="000000" w:themeColor="text1"/>
        </w:rPr>
      </w:pPr>
      <w:r>
        <w:rPr>
          <w:rFonts w:ascii="Arial" w:hAnsi="Arial" w:cs="Arial"/>
          <w:color w:val="000000" w:themeColor="text1"/>
        </w:rPr>
        <w:t>[60].</w:t>
      </w:r>
      <w:r>
        <w:rPr>
          <w:rFonts w:ascii="Arial" w:hAnsi="Arial" w:cs="Arial"/>
          <w:color w:val="000000" w:themeColor="text1"/>
        </w:rPr>
        <w:tab/>
      </w:r>
      <w:r w:rsidR="001E082A" w:rsidRPr="00995931">
        <w:rPr>
          <w:rFonts w:ascii="Arial" w:hAnsi="Arial" w:cs="Arial"/>
          <w:color w:val="000000" w:themeColor="text1"/>
        </w:rPr>
        <w:t xml:space="preserve">Having taken part in the initial investigation phase, </w:t>
      </w:r>
      <w:r w:rsidR="00B13443" w:rsidRPr="00995931">
        <w:rPr>
          <w:rFonts w:ascii="Arial" w:hAnsi="Arial" w:cs="Arial"/>
          <w:color w:val="000000" w:themeColor="text1"/>
        </w:rPr>
        <w:t>TATA</w:t>
      </w:r>
      <w:r w:rsidR="001E082A" w:rsidRPr="00995931">
        <w:rPr>
          <w:rFonts w:ascii="Arial" w:hAnsi="Arial" w:cs="Arial"/>
          <w:color w:val="000000" w:themeColor="text1"/>
        </w:rPr>
        <w:t xml:space="preserve"> was </w:t>
      </w:r>
      <w:r w:rsidR="002A36F9" w:rsidRPr="00995931">
        <w:rPr>
          <w:rFonts w:ascii="Arial" w:hAnsi="Arial" w:cs="Arial"/>
          <w:color w:val="000000" w:themeColor="text1"/>
        </w:rPr>
        <w:t>aware</w:t>
      </w:r>
      <w:r w:rsidR="001E082A" w:rsidRPr="00995931">
        <w:rPr>
          <w:rFonts w:ascii="Arial" w:hAnsi="Arial" w:cs="Arial"/>
          <w:color w:val="000000" w:themeColor="text1"/>
        </w:rPr>
        <w:t xml:space="preserve"> of both the requirements of the Customs Act and Regulations.  It must also have been aware of the judgments in both </w:t>
      </w:r>
      <w:r w:rsidR="001E082A" w:rsidRPr="00995931">
        <w:rPr>
          <w:rFonts w:ascii="Arial" w:hAnsi="Arial" w:cs="Arial"/>
          <w:i/>
          <w:iCs/>
          <w:color w:val="000000" w:themeColor="text1"/>
        </w:rPr>
        <w:t>Progress</w:t>
      </w:r>
      <w:r w:rsidR="009942AE" w:rsidRPr="00995931">
        <w:rPr>
          <w:rFonts w:ascii="Arial" w:hAnsi="Arial" w:cs="Arial"/>
          <w:i/>
          <w:iCs/>
          <w:color w:val="000000" w:themeColor="text1"/>
        </w:rPr>
        <w:t xml:space="preserve"> Office Machines</w:t>
      </w:r>
      <w:r w:rsidR="001E082A" w:rsidRPr="00995931">
        <w:rPr>
          <w:rFonts w:ascii="Arial" w:hAnsi="Arial" w:cs="Arial"/>
          <w:color w:val="000000" w:themeColor="text1"/>
        </w:rPr>
        <w:t xml:space="preserve"> and </w:t>
      </w:r>
      <w:r w:rsidR="001E082A" w:rsidRPr="00995931">
        <w:rPr>
          <w:rFonts w:ascii="Arial" w:hAnsi="Arial" w:cs="Arial"/>
          <w:i/>
          <w:iCs/>
          <w:color w:val="000000" w:themeColor="text1"/>
        </w:rPr>
        <w:t>AMIE</w:t>
      </w:r>
      <w:r w:rsidR="001E082A" w:rsidRPr="00995931">
        <w:rPr>
          <w:rFonts w:ascii="Arial" w:hAnsi="Arial" w:cs="Arial"/>
          <w:color w:val="000000" w:themeColor="text1"/>
        </w:rPr>
        <w:t xml:space="preserve"> </w:t>
      </w:r>
      <w:r w:rsidR="002A36F9" w:rsidRPr="00995931">
        <w:rPr>
          <w:rFonts w:ascii="Arial" w:hAnsi="Arial" w:cs="Arial"/>
          <w:color w:val="000000" w:themeColor="text1"/>
        </w:rPr>
        <w:t>.</w:t>
      </w:r>
      <w:r w:rsidR="001E082A" w:rsidRPr="00995931">
        <w:rPr>
          <w:rFonts w:ascii="Arial" w:hAnsi="Arial" w:cs="Arial"/>
          <w:color w:val="000000" w:themeColor="text1"/>
        </w:rPr>
        <w:t xml:space="preserve"> </w:t>
      </w:r>
      <w:r w:rsidR="002A36F9" w:rsidRPr="00995931">
        <w:rPr>
          <w:rFonts w:ascii="Arial" w:hAnsi="Arial" w:cs="Arial"/>
          <w:color w:val="000000" w:themeColor="text1"/>
        </w:rPr>
        <w:t>H</w:t>
      </w:r>
      <w:r w:rsidR="001E082A" w:rsidRPr="00995931">
        <w:rPr>
          <w:rFonts w:ascii="Arial" w:hAnsi="Arial" w:cs="Arial"/>
          <w:color w:val="000000" w:themeColor="text1"/>
        </w:rPr>
        <w:t xml:space="preserve">aving regard to the way in which it responded to the </w:t>
      </w:r>
      <w:r w:rsidR="0025737D" w:rsidRPr="00995931">
        <w:rPr>
          <w:rFonts w:ascii="Arial" w:hAnsi="Arial" w:cs="Arial"/>
          <w:color w:val="000000" w:themeColor="text1"/>
        </w:rPr>
        <w:t>sunset review once initiated and</w:t>
      </w:r>
      <w:r w:rsidR="001E082A" w:rsidRPr="00995931">
        <w:rPr>
          <w:rFonts w:ascii="Arial" w:hAnsi="Arial" w:cs="Arial"/>
          <w:color w:val="000000" w:themeColor="text1"/>
        </w:rPr>
        <w:t xml:space="preserve"> subsequently,</w:t>
      </w:r>
      <w:r w:rsidR="002A36F9" w:rsidRPr="00995931">
        <w:rPr>
          <w:rFonts w:ascii="Arial" w:hAnsi="Arial" w:cs="Arial"/>
          <w:color w:val="000000" w:themeColor="text1"/>
        </w:rPr>
        <w:t xml:space="preserve"> there can be no doubt </w:t>
      </w:r>
      <w:r w:rsidR="0025737D" w:rsidRPr="00995931">
        <w:rPr>
          <w:rFonts w:ascii="Arial" w:hAnsi="Arial" w:cs="Arial"/>
          <w:color w:val="000000" w:themeColor="text1"/>
        </w:rPr>
        <w:t>that there was an</w:t>
      </w:r>
      <w:r w:rsidR="001E082A" w:rsidRPr="00995931">
        <w:rPr>
          <w:rFonts w:ascii="Arial" w:hAnsi="Arial" w:cs="Arial"/>
          <w:color w:val="000000" w:themeColor="text1"/>
        </w:rPr>
        <w:t xml:space="preserve"> advertent decision not to co-operate during the </w:t>
      </w:r>
      <w:r w:rsidR="0025737D" w:rsidRPr="00995931">
        <w:rPr>
          <w:rFonts w:ascii="Arial" w:hAnsi="Arial" w:cs="Arial"/>
          <w:color w:val="000000" w:themeColor="text1"/>
        </w:rPr>
        <w:t>s</w:t>
      </w:r>
      <w:r w:rsidR="001E082A" w:rsidRPr="00995931">
        <w:rPr>
          <w:rFonts w:ascii="Arial" w:hAnsi="Arial" w:cs="Arial"/>
          <w:color w:val="000000" w:themeColor="text1"/>
        </w:rPr>
        <w:t xml:space="preserve">unset </w:t>
      </w:r>
      <w:r w:rsidR="0025737D" w:rsidRPr="00995931">
        <w:rPr>
          <w:rFonts w:ascii="Arial" w:hAnsi="Arial" w:cs="Arial"/>
          <w:color w:val="000000" w:themeColor="text1"/>
        </w:rPr>
        <w:t>r</w:t>
      </w:r>
      <w:r w:rsidR="001E082A" w:rsidRPr="00995931">
        <w:rPr>
          <w:rFonts w:ascii="Arial" w:hAnsi="Arial" w:cs="Arial"/>
          <w:color w:val="000000" w:themeColor="text1"/>
        </w:rPr>
        <w:t xml:space="preserve">eview.  </w:t>
      </w:r>
    </w:p>
    <w:p w14:paraId="79530361" w14:textId="77777777" w:rsidR="0025737D" w:rsidRPr="002133E4" w:rsidRDefault="0025737D" w:rsidP="002133E4">
      <w:pPr>
        <w:spacing w:line="360" w:lineRule="auto"/>
        <w:jc w:val="both"/>
        <w:rPr>
          <w:rFonts w:ascii="Arial" w:hAnsi="Arial" w:cs="Arial"/>
          <w:color w:val="000000" w:themeColor="text1"/>
        </w:rPr>
      </w:pPr>
    </w:p>
    <w:p w14:paraId="39C37550" w14:textId="79F54F19" w:rsidR="00234BD8" w:rsidRPr="00995931" w:rsidRDefault="00995931" w:rsidP="00995931">
      <w:pPr>
        <w:spacing w:line="360" w:lineRule="auto"/>
        <w:ind w:left="900" w:hanging="900"/>
        <w:jc w:val="both"/>
        <w:rPr>
          <w:rFonts w:ascii="Arial" w:hAnsi="Arial" w:cs="Arial"/>
          <w:color w:val="000000" w:themeColor="text1"/>
        </w:rPr>
      </w:pPr>
      <w:r>
        <w:rPr>
          <w:rFonts w:ascii="Arial" w:hAnsi="Arial" w:cs="Arial"/>
          <w:color w:val="000000" w:themeColor="text1"/>
        </w:rPr>
        <w:lastRenderedPageBreak/>
        <w:t>[61].</w:t>
      </w:r>
      <w:r>
        <w:rPr>
          <w:rFonts w:ascii="Arial" w:hAnsi="Arial" w:cs="Arial"/>
          <w:color w:val="000000" w:themeColor="text1"/>
        </w:rPr>
        <w:tab/>
      </w:r>
      <w:r w:rsidR="00234BD8" w:rsidRPr="00995931">
        <w:rPr>
          <w:rFonts w:ascii="Arial" w:hAnsi="Arial" w:cs="Arial"/>
          <w:color w:val="000000" w:themeColor="text1"/>
        </w:rPr>
        <w:t xml:space="preserve">It had an opportunity to participate in the </w:t>
      </w:r>
      <w:r w:rsidR="0025737D" w:rsidRPr="00995931">
        <w:rPr>
          <w:rFonts w:ascii="Arial" w:hAnsi="Arial" w:cs="Arial"/>
          <w:color w:val="000000" w:themeColor="text1"/>
        </w:rPr>
        <w:t>s</w:t>
      </w:r>
      <w:r w:rsidR="00234BD8" w:rsidRPr="00995931">
        <w:rPr>
          <w:rFonts w:ascii="Arial" w:hAnsi="Arial" w:cs="Arial"/>
          <w:color w:val="000000" w:themeColor="text1"/>
        </w:rPr>
        <w:t xml:space="preserve">unset </w:t>
      </w:r>
      <w:r w:rsidR="0025737D" w:rsidRPr="00995931">
        <w:rPr>
          <w:rFonts w:ascii="Arial" w:hAnsi="Arial" w:cs="Arial"/>
          <w:color w:val="000000" w:themeColor="text1"/>
        </w:rPr>
        <w:t>r</w:t>
      </w:r>
      <w:r w:rsidR="00234BD8" w:rsidRPr="00995931">
        <w:rPr>
          <w:rFonts w:ascii="Arial" w:hAnsi="Arial" w:cs="Arial"/>
          <w:color w:val="000000" w:themeColor="text1"/>
        </w:rPr>
        <w:t>eview process but chose to limit that participation</w:t>
      </w:r>
      <w:r w:rsidR="001E082A" w:rsidRPr="00995931">
        <w:rPr>
          <w:rFonts w:ascii="Arial" w:hAnsi="Arial" w:cs="Arial"/>
          <w:color w:val="000000" w:themeColor="text1"/>
        </w:rPr>
        <w:t xml:space="preserve"> </w:t>
      </w:r>
      <w:r w:rsidR="00234BD8" w:rsidRPr="00995931">
        <w:rPr>
          <w:rFonts w:ascii="Arial" w:hAnsi="Arial" w:cs="Arial"/>
          <w:color w:val="000000" w:themeColor="text1"/>
        </w:rPr>
        <w:t xml:space="preserve">to attempting to persuade </w:t>
      </w:r>
      <w:r w:rsidR="00B13443" w:rsidRPr="00995931">
        <w:rPr>
          <w:rFonts w:ascii="Arial" w:hAnsi="Arial" w:cs="Arial"/>
          <w:color w:val="000000" w:themeColor="text1"/>
        </w:rPr>
        <w:t>ITAC</w:t>
      </w:r>
      <w:r w:rsidR="00234BD8" w:rsidRPr="00995931">
        <w:rPr>
          <w:rFonts w:ascii="Arial" w:hAnsi="Arial" w:cs="Arial"/>
          <w:color w:val="000000" w:themeColor="text1"/>
        </w:rPr>
        <w:t xml:space="preserve"> that the duty had in fact lapsed.  Regulation 58.2 read together with Regulation 59 makes clear what the consequences of non-co-operation may </w:t>
      </w:r>
      <w:r w:rsidR="002A36F9" w:rsidRPr="00995931">
        <w:rPr>
          <w:rFonts w:ascii="Arial" w:hAnsi="Arial" w:cs="Arial"/>
          <w:color w:val="000000" w:themeColor="text1"/>
        </w:rPr>
        <w:t>entail,</w:t>
      </w:r>
      <w:r w:rsidR="00234BD8" w:rsidRPr="00995931">
        <w:rPr>
          <w:rFonts w:ascii="Arial" w:hAnsi="Arial" w:cs="Arial"/>
          <w:color w:val="000000" w:themeColor="text1"/>
        </w:rPr>
        <w:t xml:space="preserve"> and it does not now behoove </w:t>
      </w:r>
      <w:r w:rsidR="00B13443" w:rsidRPr="00995931">
        <w:rPr>
          <w:rFonts w:ascii="Arial" w:hAnsi="Arial" w:cs="Arial"/>
          <w:color w:val="000000" w:themeColor="text1"/>
        </w:rPr>
        <w:t>TATA</w:t>
      </w:r>
      <w:r w:rsidR="00234BD8" w:rsidRPr="00995931">
        <w:rPr>
          <w:rFonts w:ascii="Arial" w:hAnsi="Arial" w:cs="Arial"/>
          <w:color w:val="000000" w:themeColor="text1"/>
        </w:rPr>
        <w:t xml:space="preserve"> to complain that the company specific duty levied upon it in consequence of its co-operation has now been withdrawn</w:t>
      </w:r>
      <w:r w:rsidR="002A36F9" w:rsidRPr="00995931">
        <w:rPr>
          <w:rFonts w:ascii="Arial" w:hAnsi="Arial" w:cs="Arial"/>
          <w:color w:val="000000" w:themeColor="text1"/>
        </w:rPr>
        <w:t xml:space="preserve"> </w:t>
      </w:r>
      <w:r w:rsidR="00041722" w:rsidRPr="00995931">
        <w:rPr>
          <w:rFonts w:ascii="Arial" w:hAnsi="Arial" w:cs="Arial"/>
          <w:color w:val="000000" w:themeColor="text1"/>
        </w:rPr>
        <w:t>(</w:t>
      </w:r>
      <w:r w:rsidR="002A36F9" w:rsidRPr="00995931">
        <w:rPr>
          <w:rFonts w:ascii="Arial" w:hAnsi="Arial" w:cs="Arial"/>
          <w:color w:val="000000" w:themeColor="text1"/>
        </w:rPr>
        <w:t>in consequence of non-co</w:t>
      </w:r>
      <w:r w:rsidR="00361C33" w:rsidRPr="00995931">
        <w:rPr>
          <w:rFonts w:ascii="Arial" w:hAnsi="Arial" w:cs="Arial"/>
          <w:color w:val="000000" w:themeColor="text1"/>
        </w:rPr>
        <w:t>-</w:t>
      </w:r>
      <w:r w:rsidR="002A36F9" w:rsidRPr="00995931">
        <w:rPr>
          <w:rFonts w:ascii="Arial" w:hAnsi="Arial" w:cs="Arial"/>
          <w:color w:val="000000" w:themeColor="text1"/>
        </w:rPr>
        <w:t>operation)</w:t>
      </w:r>
      <w:r w:rsidR="005A34A1" w:rsidRPr="00995931">
        <w:rPr>
          <w:rFonts w:ascii="Arial" w:hAnsi="Arial" w:cs="Arial"/>
          <w:color w:val="000000" w:themeColor="text1"/>
        </w:rPr>
        <w:t xml:space="preserve">. </w:t>
      </w:r>
      <w:r w:rsidR="009942AE" w:rsidRPr="00995931">
        <w:rPr>
          <w:rFonts w:ascii="Arial" w:hAnsi="Arial" w:cs="Arial"/>
          <w:color w:val="000000" w:themeColor="text1"/>
        </w:rPr>
        <w:t>Self-evidently</w:t>
      </w:r>
      <w:r w:rsidR="005A34A1" w:rsidRPr="00995931">
        <w:rPr>
          <w:rFonts w:ascii="Arial" w:hAnsi="Arial" w:cs="Arial"/>
          <w:color w:val="000000" w:themeColor="text1"/>
        </w:rPr>
        <w:t xml:space="preserve"> it is also not open to it to argue for the imposition of any other ‘specific’ duty considering its non-co</w:t>
      </w:r>
      <w:r w:rsidR="00361C33" w:rsidRPr="00995931">
        <w:rPr>
          <w:rFonts w:ascii="Arial" w:hAnsi="Arial" w:cs="Arial"/>
          <w:color w:val="000000" w:themeColor="text1"/>
        </w:rPr>
        <w:t>-</w:t>
      </w:r>
      <w:r w:rsidR="005A34A1" w:rsidRPr="00995931">
        <w:rPr>
          <w:rFonts w:ascii="Arial" w:hAnsi="Arial" w:cs="Arial"/>
          <w:color w:val="000000" w:themeColor="text1"/>
        </w:rPr>
        <w:t>operation.</w:t>
      </w:r>
      <w:r w:rsidR="00234BD8" w:rsidRPr="00995931">
        <w:rPr>
          <w:rFonts w:ascii="Arial" w:hAnsi="Arial" w:cs="Arial"/>
          <w:color w:val="000000" w:themeColor="text1"/>
        </w:rPr>
        <w:t xml:space="preserve"> </w:t>
      </w:r>
      <w:r w:rsidR="005A34A1" w:rsidRPr="00995931">
        <w:rPr>
          <w:rFonts w:ascii="Arial" w:hAnsi="Arial" w:cs="Arial"/>
          <w:color w:val="000000" w:themeColor="text1"/>
        </w:rPr>
        <w:t>The third ground of review is without merit and must also fail.</w:t>
      </w:r>
    </w:p>
    <w:p w14:paraId="373D787E" w14:textId="35B223EA" w:rsidR="001D59C7" w:rsidRPr="005A34A1" w:rsidRDefault="001D59C7" w:rsidP="001D59C7">
      <w:pPr>
        <w:pStyle w:val="ListParagraph"/>
        <w:spacing w:line="360" w:lineRule="auto"/>
        <w:ind w:left="900"/>
        <w:jc w:val="both"/>
        <w:rPr>
          <w:rFonts w:ascii="Arial" w:hAnsi="Arial" w:cs="Arial"/>
          <w:color w:val="000000" w:themeColor="text1"/>
        </w:rPr>
      </w:pPr>
    </w:p>
    <w:p w14:paraId="7E2F76AF" w14:textId="77777777" w:rsidR="002423E5" w:rsidRDefault="002423E5" w:rsidP="00234BD8">
      <w:pPr>
        <w:spacing w:line="360" w:lineRule="auto"/>
        <w:jc w:val="both"/>
        <w:rPr>
          <w:rFonts w:ascii="Arial" w:hAnsi="Arial" w:cs="Arial"/>
          <w:b/>
          <w:bCs/>
          <w:color w:val="000000" w:themeColor="text1"/>
          <w:u w:val="single"/>
        </w:rPr>
      </w:pPr>
    </w:p>
    <w:p w14:paraId="4F9D2CF8" w14:textId="7B516F80" w:rsidR="0025737D" w:rsidRDefault="00361C33" w:rsidP="00234BD8">
      <w:pPr>
        <w:spacing w:line="360" w:lineRule="auto"/>
        <w:jc w:val="both"/>
        <w:rPr>
          <w:rFonts w:ascii="Arial" w:hAnsi="Arial" w:cs="Arial"/>
          <w:b/>
          <w:bCs/>
          <w:color w:val="000000" w:themeColor="text1"/>
          <w:u w:val="single"/>
        </w:rPr>
      </w:pPr>
      <w:r w:rsidRPr="002133E4">
        <w:rPr>
          <w:rFonts w:ascii="Arial" w:hAnsi="Arial" w:cs="Arial"/>
          <w:b/>
          <w:bCs/>
          <w:color w:val="000000" w:themeColor="text1"/>
          <w:u w:val="single"/>
        </w:rPr>
        <w:t>COSTS</w:t>
      </w:r>
    </w:p>
    <w:p w14:paraId="72C07959" w14:textId="77777777" w:rsidR="002423E5" w:rsidRPr="002133E4" w:rsidRDefault="002423E5" w:rsidP="00234BD8">
      <w:pPr>
        <w:spacing w:line="360" w:lineRule="auto"/>
        <w:jc w:val="both"/>
        <w:rPr>
          <w:rFonts w:ascii="Arial" w:hAnsi="Arial" w:cs="Arial"/>
          <w:b/>
          <w:bCs/>
          <w:color w:val="000000" w:themeColor="text1"/>
          <w:u w:val="single"/>
        </w:rPr>
      </w:pPr>
    </w:p>
    <w:p w14:paraId="0DDAE2D6" w14:textId="2AEBB313" w:rsidR="00F412E8" w:rsidRPr="00995931" w:rsidRDefault="00995931" w:rsidP="00995931">
      <w:pPr>
        <w:spacing w:line="360" w:lineRule="auto"/>
        <w:ind w:left="900" w:hanging="900"/>
        <w:jc w:val="both"/>
        <w:rPr>
          <w:rFonts w:ascii="Arial" w:hAnsi="Arial" w:cs="Arial"/>
          <w:color w:val="000000" w:themeColor="text1"/>
        </w:rPr>
      </w:pPr>
      <w:r>
        <w:rPr>
          <w:rFonts w:ascii="Arial" w:hAnsi="Arial" w:cs="Arial"/>
          <w:color w:val="000000" w:themeColor="text1"/>
        </w:rPr>
        <w:t>[62].</w:t>
      </w:r>
      <w:r>
        <w:rPr>
          <w:rFonts w:ascii="Arial" w:hAnsi="Arial" w:cs="Arial"/>
          <w:color w:val="000000" w:themeColor="text1"/>
        </w:rPr>
        <w:tab/>
      </w:r>
      <w:r w:rsidR="00B83C34" w:rsidRPr="00995931">
        <w:rPr>
          <w:rFonts w:ascii="Arial" w:hAnsi="Arial" w:cs="Arial"/>
          <w:color w:val="000000" w:themeColor="text1"/>
        </w:rPr>
        <w:t>The parties were agreed that the costs should follow the result and that the engagement of more than one counsel by those parties who did, was appropriate and in the circumstances the costs of two counsel where employed should be permitted.   It is for this reason that I intend to make the costs order that I do.</w:t>
      </w:r>
    </w:p>
    <w:p w14:paraId="234D00CF" w14:textId="77777777" w:rsidR="002133E4" w:rsidRDefault="002133E4" w:rsidP="002133E4">
      <w:pPr>
        <w:rPr>
          <w:rFonts w:ascii="Arial" w:hAnsi="Arial" w:cs="Arial"/>
          <w:b/>
          <w:bCs/>
          <w:color w:val="000000" w:themeColor="text1"/>
          <w:u w:val="single"/>
        </w:rPr>
      </w:pPr>
    </w:p>
    <w:p w14:paraId="52BA3D3E" w14:textId="77777777" w:rsidR="002423E5" w:rsidRDefault="002423E5" w:rsidP="002133E4">
      <w:pPr>
        <w:rPr>
          <w:rFonts w:ascii="Arial" w:hAnsi="Arial" w:cs="Arial"/>
          <w:b/>
          <w:bCs/>
          <w:color w:val="000000" w:themeColor="text1"/>
          <w:u w:val="single"/>
        </w:rPr>
      </w:pPr>
    </w:p>
    <w:p w14:paraId="47E24ECF" w14:textId="5CFC3641" w:rsidR="0025737D" w:rsidRPr="002133E4" w:rsidRDefault="00361C33" w:rsidP="002133E4">
      <w:pPr>
        <w:rPr>
          <w:rFonts w:ascii="Arial" w:hAnsi="Arial" w:cs="Arial"/>
          <w:b/>
          <w:bCs/>
          <w:color w:val="000000" w:themeColor="text1"/>
          <w:u w:val="single"/>
        </w:rPr>
      </w:pPr>
      <w:r w:rsidRPr="002133E4">
        <w:rPr>
          <w:rFonts w:ascii="Arial" w:hAnsi="Arial" w:cs="Arial"/>
          <w:b/>
          <w:bCs/>
          <w:color w:val="000000" w:themeColor="text1"/>
          <w:u w:val="single"/>
        </w:rPr>
        <w:t>ORDER</w:t>
      </w:r>
    </w:p>
    <w:p w14:paraId="565C4F6B" w14:textId="4DCC675D" w:rsidR="002133E4" w:rsidRDefault="002133E4" w:rsidP="002133E4">
      <w:pPr>
        <w:rPr>
          <w:rFonts w:ascii="Arial" w:hAnsi="Arial" w:cs="Arial"/>
          <w:color w:val="000000" w:themeColor="text1"/>
        </w:rPr>
      </w:pPr>
    </w:p>
    <w:p w14:paraId="35A62D95" w14:textId="77777777" w:rsidR="002423E5" w:rsidRDefault="002423E5" w:rsidP="002133E4">
      <w:pPr>
        <w:rPr>
          <w:rFonts w:ascii="Arial" w:hAnsi="Arial" w:cs="Arial"/>
          <w:color w:val="000000" w:themeColor="text1"/>
        </w:rPr>
      </w:pPr>
    </w:p>
    <w:p w14:paraId="1F268C1D" w14:textId="77777777" w:rsidR="00361C33" w:rsidRPr="002133E4" w:rsidRDefault="00361C33" w:rsidP="002133E4">
      <w:pPr>
        <w:rPr>
          <w:rFonts w:ascii="Arial" w:hAnsi="Arial" w:cs="Arial"/>
          <w:color w:val="000000" w:themeColor="text1"/>
        </w:rPr>
      </w:pPr>
    </w:p>
    <w:p w14:paraId="7AC623B3" w14:textId="616D621A" w:rsidR="000B2542" w:rsidRPr="00995931" w:rsidRDefault="00995931" w:rsidP="00995931">
      <w:pPr>
        <w:spacing w:line="360" w:lineRule="auto"/>
        <w:ind w:left="900" w:hanging="900"/>
        <w:jc w:val="both"/>
        <w:rPr>
          <w:rFonts w:ascii="Arial" w:hAnsi="Arial" w:cs="Arial"/>
          <w:color w:val="000000" w:themeColor="text1"/>
        </w:rPr>
      </w:pPr>
      <w:r w:rsidRPr="001E082A">
        <w:rPr>
          <w:rFonts w:ascii="Arial" w:hAnsi="Arial" w:cs="Arial"/>
          <w:color w:val="000000" w:themeColor="text1"/>
        </w:rPr>
        <w:t>[63].</w:t>
      </w:r>
      <w:r w:rsidRPr="001E082A">
        <w:rPr>
          <w:rFonts w:ascii="Arial" w:hAnsi="Arial" w:cs="Arial"/>
          <w:color w:val="000000" w:themeColor="text1"/>
        </w:rPr>
        <w:tab/>
      </w:r>
      <w:r w:rsidR="00A019EC" w:rsidRPr="00995931">
        <w:rPr>
          <w:rFonts w:ascii="Arial" w:hAnsi="Arial" w:cs="Arial"/>
          <w:color w:val="000000" w:themeColor="text1"/>
        </w:rPr>
        <w:t>I</w:t>
      </w:r>
      <w:r w:rsidR="000B2542" w:rsidRPr="00995931">
        <w:rPr>
          <w:rFonts w:ascii="Arial" w:hAnsi="Arial" w:cs="Arial"/>
          <w:color w:val="000000" w:themeColor="text1"/>
        </w:rPr>
        <w:t>n the circumstances it is ordered:</w:t>
      </w:r>
    </w:p>
    <w:p w14:paraId="1E547314" w14:textId="042AEAEC" w:rsidR="000B2542" w:rsidRPr="001E082A" w:rsidRDefault="000B2542" w:rsidP="000B2542">
      <w:pPr>
        <w:pStyle w:val="ListParagraph"/>
        <w:spacing w:line="360" w:lineRule="auto"/>
        <w:ind w:left="851"/>
        <w:jc w:val="both"/>
        <w:rPr>
          <w:rFonts w:ascii="Arial" w:hAnsi="Arial" w:cs="Arial"/>
          <w:iCs/>
          <w:color w:val="000000" w:themeColor="text1"/>
        </w:rPr>
      </w:pPr>
    </w:p>
    <w:p w14:paraId="6FC7603D" w14:textId="764FE5B3" w:rsidR="000B2542" w:rsidRPr="001E082A" w:rsidRDefault="0025737D" w:rsidP="00B83C34">
      <w:pPr>
        <w:pStyle w:val="ListParagraph"/>
        <w:spacing w:line="360" w:lineRule="auto"/>
        <w:ind w:left="1701" w:hanging="850"/>
        <w:jc w:val="both"/>
        <w:rPr>
          <w:rFonts w:ascii="Arial" w:hAnsi="Arial" w:cs="Arial"/>
          <w:iCs/>
          <w:color w:val="000000" w:themeColor="text1"/>
        </w:rPr>
      </w:pPr>
      <w:r>
        <w:rPr>
          <w:rFonts w:ascii="Arial" w:hAnsi="Arial" w:cs="Arial"/>
          <w:iCs/>
          <w:color w:val="000000" w:themeColor="text1"/>
        </w:rPr>
        <w:t>6</w:t>
      </w:r>
      <w:r w:rsidR="0032736C">
        <w:rPr>
          <w:rFonts w:ascii="Arial" w:hAnsi="Arial" w:cs="Arial"/>
          <w:iCs/>
          <w:color w:val="000000" w:themeColor="text1"/>
        </w:rPr>
        <w:t>4</w:t>
      </w:r>
      <w:r w:rsidR="000B2542" w:rsidRPr="001E082A">
        <w:rPr>
          <w:rFonts w:ascii="Arial" w:hAnsi="Arial" w:cs="Arial"/>
          <w:iCs/>
          <w:color w:val="000000" w:themeColor="text1"/>
        </w:rPr>
        <w:t xml:space="preserve">.1 </w:t>
      </w:r>
      <w:r w:rsidR="00B83C34">
        <w:rPr>
          <w:rFonts w:ascii="Arial" w:hAnsi="Arial" w:cs="Arial"/>
          <w:iCs/>
          <w:color w:val="000000" w:themeColor="text1"/>
        </w:rPr>
        <w:tab/>
      </w:r>
      <w:r w:rsidR="000B2542" w:rsidRPr="001E082A">
        <w:rPr>
          <w:rFonts w:ascii="Arial" w:hAnsi="Arial" w:cs="Arial"/>
          <w:iCs/>
          <w:color w:val="000000" w:themeColor="text1"/>
        </w:rPr>
        <w:t xml:space="preserve">The application </w:t>
      </w:r>
      <w:r w:rsidR="00B83C34">
        <w:rPr>
          <w:rFonts w:ascii="Arial" w:hAnsi="Arial" w:cs="Arial"/>
          <w:iCs/>
          <w:color w:val="000000" w:themeColor="text1"/>
        </w:rPr>
        <w:t>is dismissed.</w:t>
      </w:r>
    </w:p>
    <w:p w14:paraId="4D6A3DAD" w14:textId="77777777" w:rsidR="000B2542" w:rsidRPr="001E082A" w:rsidRDefault="000B2542" w:rsidP="00B83C34">
      <w:pPr>
        <w:pStyle w:val="ListParagraph"/>
        <w:spacing w:line="360" w:lineRule="auto"/>
        <w:ind w:left="1701" w:hanging="850"/>
        <w:jc w:val="both"/>
        <w:rPr>
          <w:rFonts w:ascii="Arial" w:hAnsi="Arial" w:cs="Arial"/>
          <w:iCs/>
          <w:color w:val="000000" w:themeColor="text1"/>
        </w:rPr>
      </w:pPr>
    </w:p>
    <w:p w14:paraId="28CF9338" w14:textId="682C3AE8" w:rsidR="000B2542" w:rsidRPr="001E082A" w:rsidRDefault="0025737D" w:rsidP="00B83C34">
      <w:pPr>
        <w:pStyle w:val="ListParagraph"/>
        <w:spacing w:line="360" w:lineRule="auto"/>
        <w:ind w:left="1701" w:hanging="850"/>
        <w:jc w:val="both"/>
        <w:rPr>
          <w:rFonts w:ascii="Arial" w:hAnsi="Arial" w:cs="Arial"/>
          <w:iCs/>
          <w:color w:val="000000" w:themeColor="text1"/>
        </w:rPr>
      </w:pPr>
      <w:r>
        <w:rPr>
          <w:rFonts w:ascii="Arial" w:hAnsi="Arial" w:cs="Arial"/>
          <w:iCs/>
          <w:color w:val="000000" w:themeColor="text1"/>
        </w:rPr>
        <w:t>6</w:t>
      </w:r>
      <w:r w:rsidR="0032736C">
        <w:rPr>
          <w:rFonts w:ascii="Arial" w:hAnsi="Arial" w:cs="Arial"/>
          <w:iCs/>
          <w:color w:val="000000" w:themeColor="text1"/>
        </w:rPr>
        <w:t>4</w:t>
      </w:r>
      <w:r w:rsidR="000B2542" w:rsidRPr="001E082A">
        <w:rPr>
          <w:rFonts w:ascii="Arial" w:hAnsi="Arial" w:cs="Arial"/>
          <w:iCs/>
          <w:color w:val="000000" w:themeColor="text1"/>
        </w:rPr>
        <w:t>.2</w:t>
      </w:r>
      <w:r w:rsidR="000B2542" w:rsidRPr="001E082A">
        <w:rPr>
          <w:rFonts w:ascii="Arial" w:hAnsi="Arial" w:cs="Arial"/>
          <w:iCs/>
          <w:color w:val="000000" w:themeColor="text1"/>
        </w:rPr>
        <w:tab/>
        <w:t>The</w:t>
      </w:r>
      <w:r w:rsidR="00B83C34">
        <w:rPr>
          <w:rFonts w:ascii="Arial" w:hAnsi="Arial" w:cs="Arial"/>
          <w:iCs/>
          <w:color w:val="000000" w:themeColor="text1"/>
        </w:rPr>
        <w:t xml:space="preserve"> applicants, jointly and severally, the one paying the other to be absolved, are ordered to pay the costs of the respondents on the scale as between party and party, such costs to include the costs consequent upon the employment of two counsel (where engaged).</w:t>
      </w:r>
    </w:p>
    <w:p w14:paraId="48748E3E" w14:textId="77777777" w:rsidR="00D3705F" w:rsidRDefault="00D3705F" w:rsidP="00D3705F">
      <w:pPr>
        <w:pStyle w:val="Body"/>
        <w:rPr>
          <w:rFonts w:cs="Arial"/>
          <w:b/>
          <w:bCs/>
          <w:sz w:val="24"/>
          <w:szCs w:val="24"/>
        </w:rPr>
      </w:pPr>
    </w:p>
    <w:p w14:paraId="3A81ACF3" w14:textId="77777777" w:rsidR="00D3705F" w:rsidRDefault="00D3705F" w:rsidP="00D3705F">
      <w:pPr>
        <w:pStyle w:val="Body"/>
        <w:rPr>
          <w:rFonts w:cs="Arial"/>
          <w:b/>
          <w:bCs/>
          <w:sz w:val="24"/>
          <w:szCs w:val="24"/>
        </w:rPr>
      </w:pPr>
    </w:p>
    <w:p w14:paraId="1BD4CA9C" w14:textId="77777777" w:rsidR="00D3705F" w:rsidRPr="00DB4BAE" w:rsidRDefault="00D3705F" w:rsidP="00D3705F">
      <w:pPr>
        <w:pStyle w:val="Body"/>
        <w:ind w:left="720"/>
        <w:jc w:val="right"/>
        <w:rPr>
          <w:rFonts w:cs="Arial"/>
          <w:sz w:val="24"/>
          <w:szCs w:val="24"/>
        </w:rPr>
      </w:pPr>
      <w:r w:rsidRPr="00DB4BAE">
        <w:rPr>
          <w:rFonts w:cs="Arial"/>
          <w:b/>
          <w:bCs/>
          <w:sz w:val="24"/>
          <w:szCs w:val="24"/>
        </w:rPr>
        <w:t>_____________________________</w:t>
      </w:r>
    </w:p>
    <w:p w14:paraId="4D6D7E77" w14:textId="77777777" w:rsidR="00D3705F" w:rsidRPr="00DB4BAE" w:rsidRDefault="00D3705F" w:rsidP="002423E5">
      <w:pPr>
        <w:pStyle w:val="BodyA"/>
        <w:jc w:val="right"/>
        <w:rPr>
          <w:rFonts w:ascii="Arial" w:hAnsi="Arial" w:cs="Arial"/>
          <w:b/>
          <w:bCs/>
          <w:sz w:val="24"/>
          <w:szCs w:val="24"/>
        </w:rPr>
      </w:pPr>
      <w:r w:rsidRPr="00DB4BAE">
        <w:rPr>
          <w:rFonts w:ascii="Arial" w:hAnsi="Arial" w:cs="Arial"/>
          <w:b/>
          <w:bCs/>
          <w:sz w:val="24"/>
          <w:szCs w:val="24"/>
        </w:rPr>
        <w:t>A MILLAR</w:t>
      </w:r>
    </w:p>
    <w:p w14:paraId="7C99731E" w14:textId="77777777" w:rsidR="00D3705F" w:rsidRPr="00DB4BAE" w:rsidRDefault="00D3705F" w:rsidP="00D3705F">
      <w:pPr>
        <w:pStyle w:val="BodyA"/>
        <w:spacing w:before="120"/>
        <w:ind w:left="720"/>
        <w:jc w:val="right"/>
        <w:rPr>
          <w:rFonts w:ascii="Arial" w:hAnsi="Arial" w:cs="Arial"/>
          <w:b/>
          <w:bCs/>
          <w:sz w:val="24"/>
          <w:szCs w:val="24"/>
        </w:rPr>
      </w:pPr>
      <w:r w:rsidRPr="00DB4BAE">
        <w:rPr>
          <w:rFonts w:ascii="Arial" w:hAnsi="Arial" w:cs="Arial"/>
          <w:b/>
          <w:bCs/>
          <w:sz w:val="24"/>
          <w:szCs w:val="24"/>
        </w:rPr>
        <w:lastRenderedPageBreak/>
        <w:t xml:space="preserve"> JUDGE OF THE HIGH COURT</w:t>
      </w:r>
    </w:p>
    <w:p w14:paraId="25E24893" w14:textId="77777777" w:rsidR="00D3705F" w:rsidRPr="00DB4BAE" w:rsidRDefault="00D3705F" w:rsidP="00D3705F">
      <w:pPr>
        <w:spacing w:before="120"/>
        <w:ind w:left="720"/>
        <w:jc w:val="right"/>
        <w:rPr>
          <w:rFonts w:ascii="Arial" w:eastAsia="Arial Unicode MS" w:hAnsi="Arial" w:cs="Arial"/>
          <w:b/>
        </w:rPr>
      </w:pPr>
      <w:r w:rsidRPr="00DB4BAE">
        <w:rPr>
          <w:rFonts w:ascii="Arial" w:eastAsia="Arial Unicode MS" w:hAnsi="Arial" w:cs="Arial"/>
          <w:b/>
        </w:rPr>
        <w:t>GAUTENG DIVISION, PRETORIA</w:t>
      </w:r>
    </w:p>
    <w:p w14:paraId="56DD2C72" w14:textId="3317E443" w:rsidR="00765BC3" w:rsidRPr="00D3705F" w:rsidRDefault="00765BC3" w:rsidP="00595FAB">
      <w:pPr>
        <w:spacing w:line="480" w:lineRule="auto"/>
        <w:jc w:val="both"/>
        <w:rPr>
          <w:rFonts w:ascii="Arial" w:hAnsi="Arial" w:cs="Arial"/>
        </w:rPr>
      </w:pPr>
    </w:p>
    <w:p w14:paraId="7DFF070C" w14:textId="77777777" w:rsidR="00765BC3" w:rsidRDefault="00765BC3" w:rsidP="00765BC3">
      <w:pPr>
        <w:pStyle w:val="ListParagraph"/>
        <w:spacing w:line="360" w:lineRule="auto"/>
        <w:ind w:left="1440"/>
        <w:jc w:val="both"/>
        <w:rPr>
          <w:rFonts w:ascii="Arial" w:hAnsi="Arial" w:cs="Arial"/>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232"/>
      </w:tblGrid>
      <w:tr w:rsidR="00D3705F" w14:paraId="204F9602" w14:textId="77777777" w:rsidTr="00005D63">
        <w:tc>
          <w:tcPr>
            <w:tcW w:w="4950" w:type="dxa"/>
          </w:tcPr>
          <w:p w14:paraId="1F870FB8" w14:textId="629932DD" w:rsidR="00D3705F" w:rsidRPr="00D3705F" w:rsidRDefault="00D3705F" w:rsidP="00672288">
            <w:pPr>
              <w:spacing w:after="160" w:line="360" w:lineRule="auto"/>
              <w:jc w:val="both"/>
              <w:rPr>
                <w:rFonts w:ascii="Arial" w:hAnsi="Arial" w:cs="Arial"/>
                <w:bCs/>
                <w:sz w:val="24"/>
                <w:szCs w:val="24"/>
              </w:rPr>
            </w:pPr>
            <w:r w:rsidRPr="00D3705F">
              <w:rPr>
                <w:rFonts w:ascii="Arial" w:hAnsi="Arial" w:cs="Arial"/>
                <w:sz w:val="24"/>
                <w:szCs w:val="24"/>
              </w:rPr>
              <w:t>HEARD ON:</w:t>
            </w:r>
            <w:r w:rsidRPr="00D3705F">
              <w:rPr>
                <w:rFonts w:ascii="Arial" w:hAnsi="Arial" w:cs="Arial"/>
                <w:sz w:val="24"/>
                <w:szCs w:val="24"/>
              </w:rPr>
              <w:tab/>
            </w:r>
          </w:p>
        </w:tc>
        <w:tc>
          <w:tcPr>
            <w:tcW w:w="4400" w:type="dxa"/>
          </w:tcPr>
          <w:p w14:paraId="1B72DB31" w14:textId="6350A96B" w:rsidR="00D3705F" w:rsidRPr="00D3705F" w:rsidRDefault="001E6ABF" w:rsidP="00672288">
            <w:pPr>
              <w:spacing w:after="160" w:line="360" w:lineRule="auto"/>
              <w:jc w:val="both"/>
              <w:rPr>
                <w:rFonts w:ascii="Arial" w:hAnsi="Arial" w:cs="Arial"/>
                <w:bCs/>
                <w:sz w:val="24"/>
                <w:szCs w:val="24"/>
              </w:rPr>
            </w:pPr>
            <w:r>
              <w:rPr>
                <w:rFonts w:ascii="Arial" w:hAnsi="Arial" w:cs="Arial"/>
                <w:bCs/>
                <w:sz w:val="24"/>
                <w:szCs w:val="24"/>
              </w:rPr>
              <w:t>3</w:t>
            </w:r>
            <w:r w:rsidR="002423E5">
              <w:rPr>
                <w:rFonts w:ascii="Arial" w:hAnsi="Arial" w:cs="Arial"/>
                <w:bCs/>
                <w:sz w:val="24"/>
                <w:szCs w:val="24"/>
              </w:rPr>
              <w:t>1</w:t>
            </w:r>
            <w:r w:rsidR="00C477DE">
              <w:rPr>
                <w:rFonts w:ascii="Arial" w:hAnsi="Arial" w:cs="Arial"/>
                <w:bCs/>
                <w:sz w:val="24"/>
                <w:szCs w:val="24"/>
              </w:rPr>
              <w:t xml:space="preserve"> JANUARY 2023</w:t>
            </w:r>
          </w:p>
        </w:tc>
      </w:tr>
      <w:tr w:rsidR="00D3705F" w14:paraId="3C2CCCCE" w14:textId="77777777" w:rsidTr="00005D63">
        <w:tc>
          <w:tcPr>
            <w:tcW w:w="4950" w:type="dxa"/>
          </w:tcPr>
          <w:p w14:paraId="40B5417C" w14:textId="698948E5" w:rsidR="00D3705F" w:rsidRPr="00D3705F" w:rsidRDefault="00D3705F" w:rsidP="00672288">
            <w:pPr>
              <w:spacing w:after="160" w:line="360" w:lineRule="auto"/>
              <w:jc w:val="both"/>
              <w:rPr>
                <w:rFonts w:ascii="Arial" w:hAnsi="Arial" w:cs="Arial"/>
                <w:bCs/>
                <w:sz w:val="24"/>
                <w:szCs w:val="24"/>
              </w:rPr>
            </w:pPr>
            <w:r w:rsidRPr="00D3705F">
              <w:rPr>
                <w:rFonts w:ascii="Arial" w:hAnsi="Arial" w:cs="Arial"/>
                <w:sz w:val="24"/>
                <w:szCs w:val="24"/>
              </w:rPr>
              <w:t>JUDGMENT DELIVERED ON:</w:t>
            </w:r>
          </w:p>
        </w:tc>
        <w:tc>
          <w:tcPr>
            <w:tcW w:w="4400" w:type="dxa"/>
          </w:tcPr>
          <w:p w14:paraId="049DFE2E" w14:textId="25098583" w:rsidR="00D3705F" w:rsidRPr="00D3705F" w:rsidRDefault="00953D16" w:rsidP="00672288">
            <w:pPr>
              <w:spacing w:after="160" w:line="360" w:lineRule="auto"/>
              <w:jc w:val="both"/>
              <w:rPr>
                <w:rFonts w:ascii="Arial" w:hAnsi="Arial" w:cs="Arial"/>
                <w:bCs/>
                <w:sz w:val="24"/>
                <w:szCs w:val="24"/>
              </w:rPr>
            </w:pPr>
            <w:r>
              <w:rPr>
                <w:rFonts w:ascii="Arial" w:hAnsi="Arial" w:cs="Arial"/>
                <w:bCs/>
                <w:sz w:val="24"/>
                <w:szCs w:val="24"/>
              </w:rPr>
              <w:t xml:space="preserve">28 APRIL </w:t>
            </w:r>
            <w:r w:rsidR="00C477DE">
              <w:rPr>
                <w:rFonts w:ascii="Arial" w:hAnsi="Arial" w:cs="Arial"/>
                <w:bCs/>
                <w:sz w:val="24"/>
                <w:szCs w:val="24"/>
              </w:rPr>
              <w:t>2023</w:t>
            </w:r>
          </w:p>
        </w:tc>
      </w:tr>
      <w:tr w:rsidR="00E9478D" w14:paraId="3BB1318D" w14:textId="77777777" w:rsidTr="00005D63">
        <w:tc>
          <w:tcPr>
            <w:tcW w:w="4950" w:type="dxa"/>
          </w:tcPr>
          <w:p w14:paraId="0A562A10" w14:textId="0712D4F1" w:rsidR="00E9478D" w:rsidRPr="00E9478D" w:rsidRDefault="00E9478D" w:rsidP="00672288">
            <w:pPr>
              <w:spacing w:after="160" w:line="360" w:lineRule="auto"/>
              <w:jc w:val="both"/>
              <w:rPr>
                <w:rFonts w:ascii="Arial" w:hAnsi="Arial" w:cs="Arial"/>
                <w:bCs/>
                <w:sz w:val="24"/>
                <w:szCs w:val="24"/>
              </w:rPr>
            </w:pPr>
          </w:p>
        </w:tc>
        <w:tc>
          <w:tcPr>
            <w:tcW w:w="4400" w:type="dxa"/>
          </w:tcPr>
          <w:p w14:paraId="26984C3B" w14:textId="77777777" w:rsidR="00E9478D" w:rsidRPr="00E9478D" w:rsidRDefault="00E9478D" w:rsidP="00672288">
            <w:pPr>
              <w:spacing w:after="160" w:line="360" w:lineRule="auto"/>
              <w:jc w:val="both"/>
              <w:rPr>
                <w:rFonts w:ascii="Arial" w:hAnsi="Arial" w:cs="Arial"/>
                <w:bCs/>
                <w:sz w:val="24"/>
                <w:szCs w:val="24"/>
              </w:rPr>
            </w:pPr>
          </w:p>
        </w:tc>
      </w:tr>
      <w:tr w:rsidR="00E9478D" w14:paraId="396882F2" w14:textId="77777777" w:rsidTr="00005D63">
        <w:tc>
          <w:tcPr>
            <w:tcW w:w="4950" w:type="dxa"/>
          </w:tcPr>
          <w:p w14:paraId="17C6B7F4" w14:textId="04D30D3B" w:rsidR="00E9478D" w:rsidRPr="00C16DB2" w:rsidRDefault="00E9478D" w:rsidP="00672288">
            <w:pPr>
              <w:spacing w:after="160" w:line="360" w:lineRule="auto"/>
              <w:jc w:val="both"/>
              <w:rPr>
                <w:rFonts w:ascii="Arial" w:hAnsi="Arial" w:cs="Arial"/>
                <w:b/>
                <w:sz w:val="24"/>
                <w:szCs w:val="24"/>
              </w:rPr>
            </w:pPr>
            <w:r w:rsidRPr="00C16DB2">
              <w:rPr>
                <w:rFonts w:ascii="Arial" w:eastAsia="Courier New" w:hAnsi="Arial" w:cs="Arial"/>
                <w:b/>
                <w:color w:val="000000"/>
                <w:sz w:val="24"/>
                <w:szCs w:val="24"/>
              </w:rPr>
              <w:t>FOR THE AP</w:t>
            </w:r>
            <w:r w:rsidR="00C16DB2" w:rsidRPr="00C16DB2">
              <w:rPr>
                <w:rFonts w:ascii="Arial" w:eastAsia="Courier New" w:hAnsi="Arial" w:cs="Arial"/>
                <w:b/>
                <w:color w:val="000000"/>
                <w:sz w:val="24"/>
                <w:szCs w:val="24"/>
              </w:rPr>
              <w:t>P</w:t>
            </w:r>
            <w:r w:rsidRPr="00C16DB2">
              <w:rPr>
                <w:rFonts w:ascii="Arial" w:eastAsia="Courier New" w:hAnsi="Arial" w:cs="Arial"/>
                <w:b/>
                <w:color w:val="000000"/>
                <w:sz w:val="24"/>
                <w:szCs w:val="24"/>
              </w:rPr>
              <w:t>LICANT:</w:t>
            </w:r>
          </w:p>
        </w:tc>
        <w:tc>
          <w:tcPr>
            <w:tcW w:w="4400" w:type="dxa"/>
          </w:tcPr>
          <w:p w14:paraId="3D8BDB4A" w14:textId="2C0930E2" w:rsidR="00E9478D" w:rsidRPr="00E9478D" w:rsidRDefault="00E9478D" w:rsidP="00672288">
            <w:pPr>
              <w:spacing w:after="160" w:line="360" w:lineRule="auto"/>
              <w:rPr>
                <w:rFonts w:ascii="Arial" w:hAnsi="Arial" w:cs="Arial"/>
                <w:bCs/>
                <w:sz w:val="24"/>
                <w:szCs w:val="24"/>
              </w:rPr>
            </w:pPr>
            <w:r w:rsidRPr="00E9478D">
              <w:rPr>
                <w:rFonts w:ascii="Arial" w:eastAsia="Courier New" w:hAnsi="Arial" w:cs="Arial"/>
                <w:bCs/>
                <w:color w:val="000000"/>
                <w:sz w:val="24"/>
                <w:szCs w:val="24"/>
              </w:rPr>
              <w:t xml:space="preserve">ADV A </w:t>
            </w:r>
            <w:r w:rsidR="001E6ABF">
              <w:rPr>
                <w:rFonts w:ascii="Arial" w:eastAsia="Courier New" w:hAnsi="Arial" w:cs="Arial"/>
                <w:bCs/>
                <w:color w:val="000000"/>
                <w:sz w:val="24"/>
                <w:szCs w:val="24"/>
              </w:rPr>
              <w:t>JOUBERT SC</w:t>
            </w:r>
          </w:p>
        </w:tc>
      </w:tr>
      <w:tr w:rsidR="00E9478D" w14:paraId="184CBAEF" w14:textId="77777777" w:rsidTr="00005D63">
        <w:tc>
          <w:tcPr>
            <w:tcW w:w="4950" w:type="dxa"/>
          </w:tcPr>
          <w:p w14:paraId="79744851" w14:textId="77777777" w:rsidR="00E9478D" w:rsidRPr="00E9478D" w:rsidRDefault="00E9478D" w:rsidP="00672288">
            <w:pPr>
              <w:spacing w:after="160" w:line="360" w:lineRule="auto"/>
              <w:jc w:val="both"/>
              <w:rPr>
                <w:rFonts w:ascii="Arial" w:hAnsi="Arial" w:cs="Arial"/>
                <w:bCs/>
                <w:sz w:val="24"/>
                <w:szCs w:val="24"/>
              </w:rPr>
            </w:pPr>
          </w:p>
        </w:tc>
        <w:tc>
          <w:tcPr>
            <w:tcW w:w="4400" w:type="dxa"/>
          </w:tcPr>
          <w:p w14:paraId="7D07336C" w14:textId="5F7A0810" w:rsidR="00E9478D" w:rsidRPr="00E9478D" w:rsidRDefault="00E9478D" w:rsidP="00672288">
            <w:pPr>
              <w:spacing w:after="160" w:line="360" w:lineRule="auto"/>
              <w:rPr>
                <w:rFonts w:ascii="Arial" w:hAnsi="Arial" w:cs="Arial"/>
                <w:bCs/>
                <w:sz w:val="24"/>
                <w:szCs w:val="24"/>
              </w:rPr>
            </w:pPr>
            <w:r w:rsidRPr="00E9478D">
              <w:rPr>
                <w:rFonts w:ascii="Arial" w:eastAsia="Courier New" w:hAnsi="Arial" w:cs="Arial"/>
                <w:bCs/>
                <w:color w:val="000000"/>
                <w:sz w:val="24"/>
                <w:szCs w:val="24"/>
              </w:rPr>
              <w:t xml:space="preserve">ADV </w:t>
            </w:r>
            <w:r w:rsidR="001E6ABF">
              <w:rPr>
                <w:rFonts w:ascii="Arial" w:eastAsia="Courier New" w:hAnsi="Arial" w:cs="Arial"/>
                <w:bCs/>
                <w:color w:val="000000"/>
                <w:sz w:val="24"/>
                <w:szCs w:val="24"/>
              </w:rPr>
              <w:t>E MULLER</w:t>
            </w:r>
          </w:p>
        </w:tc>
      </w:tr>
      <w:tr w:rsidR="00E9478D" w14:paraId="10AD81D9" w14:textId="77777777" w:rsidTr="00005D63">
        <w:trPr>
          <w:trHeight w:val="821"/>
        </w:trPr>
        <w:tc>
          <w:tcPr>
            <w:tcW w:w="4950" w:type="dxa"/>
          </w:tcPr>
          <w:p w14:paraId="52AC30AD" w14:textId="00FBF5EC" w:rsidR="00E9478D" w:rsidRPr="00E9478D" w:rsidRDefault="00E9478D" w:rsidP="00672288">
            <w:pPr>
              <w:spacing w:after="160" w:line="360" w:lineRule="auto"/>
              <w:jc w:val="both"/>
              <w:rPr>
                <w:rFonts w:ascii="Arial" w:hAnsi="Arial" w:cs="Arial"/>
                <w:bCs/>
                <w:sz w:val="24"/>
                <w:szCs w:val="24"/>
              </w:rPr>
            </w:pPr>
            <w:r w:rsidRPr="00E9478D">
              <w:rPr>
                <w:rFonts w:ascii="Arial" w:eastAsia="Courier New" w:hAnsi="Arial" w:cs="Arial"/>
                <w:bCs/>
                <w:color w:val="000000"/>
                <w:sz w:val="24"/>
                <w:szCs w:val="24"/>
              </w:rPr>
              <w:t>INSTRUCTED BY:</w:t>
            </w:r>
          </w:p>
        </w:tc>
        <w:tc>
          <w:tcPr>
            <w:tcW w:w="4400" w:type="dxa"/>
          </w:tcPr>
          <w:p w14:paraId="552A7EF7" w14:textId="3EE1030B" w:rsidR="00E9478D" w:rsidRPr="00E9478D" w:rsidRDefault="001E6ABF" w:rsidP="00672288">
            <w:pPr>
              <w:spacing w:line="360" w:lineRule="auto"/>
              <w:rPr>
                <w:rFonts w:ascii="Arial" w:eastAsia="Courier New" w:hAnsi="Arial" w:cs="Arial"/>
                <w:bCs/>
                <w:color w:val="000000"/>
                <w:sz w:val="24"/>
                <w:szCs w:val="24"/>
              </w:rPr>
            </w:pPr>
            <w:r>
              <w:rPr>
                <w:rFonts w:ascii="Arial" w:eastAsia="Courier New" w:hAnsi="Arial" w:cs="Arial"/>
                <w:bCs/>
                <w:color w:val="000000"/>
                <w:sz w:val="24"/>
                <w:szCs w:val="24"/>
              </w:rPr>
              <w:t>BAKER &amp; McKENZIE</w:t>
            </w:r>
          </w:p>
          <w:p w14:paraId="32D42C1F" w14:textId="77777777" w:rsidR="00E9478D" w:rsidRPr="00E9478D" w:rsidRDefault="00E9478D" w:rsidP="00672288">
            <w:pPr>
              <w:spacing w:after="160" w:line="360" w:lineRule="auto"/>
              <w:rPr>
                <w:rFonts w:ascii="Arial" w:hAnsi="Arial" w:cs="Arial"/>
                <w:bCs/>
                <w:sz w:val="24"/>
                <w:szCs w:val="24"/>
              </w:rPr>
            </w:pPr>
          </w:p>
        </w:tc>
      </w:tr>
      <w:tr w:rsidR="00E9478D" w14:paraId="08FF256F" w14:textId="77777777" w:rsidTr="00005D63">
        <w:tc>
          <w:tcPr>
            <w:tcW w:w="4950" w:type="dxa"/>
          </w:tcPr>
          <w:p w14:paraId="6B5B1A7A" w14:textId="46EB18DA" w:rsidR="00E9478D" w:rsidRPr="00E9478D" w:rsidRDefault="00E9478D" w:rsidP="00672288">
            <w:pPr>
              <w:spacing w:after="160" w:line="360" w:lineRule="auto"/>
              <w:jc w:val="both"/>
              <w:rPr>
                <w:rFonts w:ascii="Arial" w:hAnsi="Arial" w:cs="Arial"/>
                <w:bCs/>
                <w:sz w:val="24"/>
                <w:szCs w:val="24"/>
              </w:rPr>
            </w:pPr>
            <w:r w:rsidRPr="00E9478D">
              <w:rPr>
                <w:rFonts w:ascii="Arial" w:hAnsi="Arial" w:cs="Arial"/>
                <w:bCs/>
                <w:sz w:val="24"/>
                <w:szCs w:val="24"/>
              </w:rPr>
              <w:t>REFERENCE:</w:t>
            </w:r>
          </w:p>
        </w:tc>
        <w:tc>
          <w:tcPr>
            <w:tcW w:w="4400" w:type="dxa"/>
          </w:tcPr>
          <w:p w14:paraId="2113A073" w14:textId="43EF7563" w:rsidR="00E9478D" w:rsidRPr="00E9478D" w:rsidRDefault="000F535B" w:rsidP="00672288">
            <w:pPr>
              <w:spacing w:after="160" w:line="360" w:lineRule="auto"/>
              <w:rPr>
                <w:rFonts w:ascii="Arial" w:hAnsi="Arial" w:cs="Arial"/>
                <w:bCs/>
                <w:sz w:val="24"/>
                <w:szCs w:val="24"/>
              </w:rPr>
            </w:pPr>
            <w:r>
              <w:rPr>
                <w:rFonts w:ascii="Arial" w:hAnsi="Arial" w:cs="Arial"/>
                <w:bCs/>
                <w:sz w:val="24"/>
                <w:szCs w:val="24"/>
              </w:rPr>
              <w:t xml:space="preserve">MS </w:t>
            </w:r>
            <w:r w:rsidR="001E6ABF">
              <w:rPr>
                <w:rFonts w:ascii="Arial" w:hAnsi="Arial" w:cs="Arial"/>
                <w:bCs/>
                <w:sz w:val="24"/>
                <w:szCs w:val="24"/>
              </w:rPr>
              <w:t>V SUBBAN</w:t>
            </w:r>
          </w:p>
        </w:tc>
      </w:tr>
      <w:tr w:rsidR="00E9478D" w14:paraId="719A67BA" w14:textId="77777777" w:rsidTr="00005D63">
        <w:tc>
          <w:tcPr>
            <w:tcW w:w="4950" w:type="dxa"/>
          </w:tcPr>
          <w:p w14:paraId="414F942D" w14:textId="77777777" w:rsidR="00715D2A" w:rsidRDefault="00715D2A" w:rsidP="00672288">
            <w:pPr>
              <w:spacing w:after="160" w:line="360" w:lineRule="auto"/>
              <w:jc w:val="both"/>
              <w:rPr>
                <w:rFonts w:ascii="Arial" w:hAnsi="Arial" w:cs="Arial"/>
                <w:b/>
                <w:sz w:val="24"/>
                <w:szCs w:val="24"/>
              </w:rPr>
            </w:pPr>
          </w:p>
          <w:p w14:paraId="54A01CF7" w14:textId="50324503" w:rsidR="00E9478D" w:rsidRPr="00C16DB2" w:rsidRDefault="00E9478D" w:rsidP="00672288">
            <w:pPr>
              <w:spacing w:after="160" w:line="360" w:lineRule="auto"/>
              <w:jc w:val="both"/>
              <w:rPr>
                <w:rFonts w:ascii="Arial" w:hAnsi="Arial" w:cs="Arial"/>
                <w:b/>
                <w:sz w:val="24"/>
                <w:szCs w:val="24"/>
              </w:rPr>
            </w:pPr>
            <w:r w:rsidRPr="00C16DB2">
              <w:rPr>
                <w:rFonts w:ascii="Arial" w:hAnsi="Arial" w:cs="Arial"/>
                <w:b/>
                <w:sz w:val="24"/>
                <w:szCs w:val="24"/>
              </w:rPr>
              <w:t xml:space="preserve">FOR THE </w:t>
            </w:r>
            <w:r w:rsidR="00005D63">
              <w:rPr>
                <w:rFonts w:ascii="Arial" w:hAnsi="Arial" w:cs="Arial"/>
                <w:b/>
                <w:sz w:val="24"/>
                <w:szCs w:val="24"/>
              </w:rPr>
              <w:t xml:space="preserve">FIRST </w:t>
            </w:r>
            <w:r w:rsidRPr="00C16DB2">
              <w:rPr>
                <w:rFonts w:ascii="Arial" w:hAnsi="Arial" w:cs="Arial"/>
                <w:b/>
                <w:sz w:val="24"/>
                <w:szCs w:val="24"/>
              </w:rPr>
              <w:t>RESPONDENT:</w:t>
            </w:r>
          </w:p>
        </w:tc>
        <w:tc>
          <w:tcPr>
            <w:tcW w:w="4400" w:type="dxa"/>
          </w:tcPr>
          <w:p w14:paraId="4EE01F55" w14:textId="77777777" w:rsidR="00715D2A" w:rsidRDefault="00715D2A" w:rsidP="00672288">
            <w:pPr>
              <w:spacing w:after="160" w:line="360" w:lineRule="auto"/>
              <w:rPr>
                <w:rFonts w:ascii="Arial" w:eastAsia="Courier New" w:hAnsi="Arial" w:cs="Arial"/>
                <w:bCs/>
                <w:color w:val="000000"/>
                <w:sz w:val="24"/>
                <w:szCs w:val="24"/>
                <w:lang w:eastAsia="en-ZA"/>
              </w:rPr>
            </w:pPr>
          </w:p>
          <w:p w14:paraId="1D84255F" w14:textId="18D04EA3" w:rsidR="00E9478D" w:rsidRPr="00E9478D" w:rsidRDefault="00E9478D" w:rsidP="00672288">
            <w:pPr>
              <w:spacing w:after="160" w:line="360" w:lineRule="auto"/>
              <w:rPr>
                <w:rFonts w:ascii="Arial" w:hAnsi="Arial" w:cs="Arial"/>
                <w:bCs/>
                <w:sz w:val="24"/>
                <w:szCs w:val="24"/>
              </w:rPr>
            </w:pPr>
            <w:r w:rsidRPr="00E9478D">
              <w:rPr>
                <w:rFonts w:ascii="Arial" w:eastAsia="Courier New" w:hAnsi="Arial" w:cs="Arial"/>
                <w:bCs/>
                <w:color w:val="000000"/>
                <w:sz w:val="24"/>
                <w:szCs w:val="24"/>
                <w:lang w:eastAsia="en-ZA"/>
              </w:rPr>
              <w:t xml:space="preserve">ADV </w:t>
            </w:r>
            <w:r w:rsidR="00005D63">
              <w:rPr>
                <w:rFonts w:ascii="Arial" w:eastAsia="Courier New" w:hAnsi="Arial" w:cs="Arial"/>
                <w:bCs/>
                <w:color w:val="000000"/>
                <w:sz w:val="24"/>
                <w:szCs w:val="24"/>
                <w:lang w:eastAsia="en-ZA"/>
              </w:rPr>
              <w:t xml:space="preserve">N MAENETJE </w:t>
            </w:r>
            <w:r w:rsidRPr="00E9478D">
              <w:rPr>
                <w:rFonts w:ascii="Arial" w:eastAsia="Courier New" w:hAnsi="Arial" w:cs="Arial"/>
                <w:bCs/>
                <w:color w:val="000000"/>
                <w:sz w:val="24"/>
                <w:szCs w:val="24"/>
                <w:lang w:eastAsia="en-ZA"/>
              </w:rPr>
              <w:t>SC</w:t>
            </w:r>
          </w:p>
        </w:tc>
      </w:tr>
      <w:tr w:rsidR="00E9478D" w14:paraId="056B10D0" w14:textId="77777777" w:rsidTr="00005D63">
        <w:tc>
          <w:tcPr>
            <w:tcW w:w="4950" w:type="dxa"/>
          </w:tcPr>
          <w:p w14:paraId="1F51FACB" w14:textId="77777777" w:rsidR="00E9478D" w:rsidRPr="00E9478D" w:rsidRDefault="00E9478D" w:rsidP="00672288">
            <w:pPr>
              <w:spacing w:after="160" w:line="360" w:lineRule="auto"/>
              <w:jc w:val="both"/>
              <w:rPr>
                <w:rFonts w:ascii="Arial" w:hAnsi="Arial" w:cs="Arial"/>
                <w:bCs/>
                <w:sz w:val="24"/>
                <w:szCs w:val="24"/>
              </w:rPr>
            </w:pPr>
          </w:p>
        </w:tc>
        <w:tc>
          <w:tcPr>
            <w:tcW w:w="4400" w:type="dxa"/>
          </w:tcPr>
          <w:p w14:paraId="270EFF76" w14:textId="25CA7CE0" w:rsidR="00E9478D" w:rsidRPr="00E9478D" w:rsidRDefault="00E9478D" w:rsidP="00672288">
            <w:pPr>
              <w:spacing w:after="160" w:line="360" w:lineRule="auto"/>
              <w:rPr>
                <w:rFonts w:ascii="Arial" w:hAnsi="Arial" w:cs="Arial"/>
                <w:bCs/>
                <w:sz w:val="24"/>
                <w:szCs w:val="24"/>
              </w:rPr>
            </w:pPr>
            <w:r w:rsidRPr="00E9478D">
              <w:rPr>
                <w:rFonts w:ascii="Arial" w:eastAsia="Courier New" w:hAnsi="Arial" w:cs="Arial"/>
                <w:bCs/>
                <w:color w:val="000000"/>
                <w:sz w:val="24"/>
                <w:szCs w:val="24"/>
                <w:lang w:eastAsia="en-ZA"/>
              </w:rPr>
              <w:t xml:space="preserve">ADV </w:t>
            </w:r>
            <w:r w:rsidR="00005D63">
              <w:rPr>
                <w:rFonts w:ascii="Arial" w:eastAsia="Courier New" w:hAnsi="Arial" w:cs="Arial"/>
                <w:bCs/>
                <w:color w:val="000000"/>
                <w:sz w:val="24"/>
                <w:szCs w:val="24"/>
                <w:lang w:eastAsia="en-ZA"/>
              </w:rPr>
              <w:t>I</w:t>
            </w:r>
            <w:r w:rsidRPr="00E9478D">
              <w:rPr>
                <w:rFonts w:ascii="Arial" w:eastAsia="Courier New" w:hAnsi="Arial" w:cs="Arial"/>
                <w:bCs/>
                <w:color w:val="000000"/>
                <w:sz w:val="24"/>
                <w:szCs w:val="24"/>
                <w:lang w:eastAsia="en-ZA"/>
              </w:rPr>
              <w:t xml:space="preserve"> </w:t>
            </w:r>
            <w:r w:rsidR="00005D63">
              <w:rPr>
                <w:rFonts w:ascii="Arial" w:eastAsia="Courier New" w:hAnsi="Arial" w:cs="Arial"/>
                <w:bCs/>
                <w:color w:val="000000"/>
                <w:sz w:val="24"/>
                <w:szCs w:val="24"/>
                <w:lang w:eastAsia="en-ZA"/>
              </w:rPr>
              <w:t>CLOETE</w:t>
            </w:r>
          </w:p>
        </w:tc>
      </w:tr>
      <w:tr w:rsidR="00E9478D" w14:paraId="14D757F1" w14:textId="77777777" w:rsidTr="00005D63">
        <w:tc>
          <w:tcPr>
            <w:tcW w:w="4950" w:type="dxa"/>
          </w:tcPr>
          <w:p w14:paraId="0D95057F" w14:textId="02D03F28" w:rsidR="00E9478D" w:rsidRPr="00E9478D" w:rsidRDefault="00E9478D" w:rsidP="00672288">
            <w:pPr>
              <w:spacing w:after="160" w:line="360" w:lineRule="auto"/>
              <w:jc w:val="both"/>
              <w:rPr>
                <w:rFonts w:ascii="Arial" w:hAnsi="Arial" w:cs="Arial"/>
                <w:bCs/>
                <w:sz w:val="24"/>
                <w:szCs w:val="24"/>
              </w:rPr>
            </w:pPr>
            <w:r w:rsidRPr="00E9478D">
              <w:rPr>
                <w:rFonts w:ascii="Arial" w:hAnsi="Arial" w:cs="Arial"/>
                <w:bCs/>
                <w:sz w:val="24"/>
                <w:szCs w:val="24"/>
              </w:rPr>
              <w:t>INSTRUCTED BY:</w:t>
            </w:r>
          </w:p>
        </w:tc>
        <w:tc>
          <w:tcPr>
            <w:tcW w:w="4400" w:type="dxa"/>
          </w:tcPr>
          <w:p w14:paraId="29008ABE" w14:textId="69BDBE14" w:rsidR="00E9478D" w:rsidRPr="00E9478D" w:rsidRDefault="001E6ABF" w:rsidP="00672288">
            <w:pPr>
              <w:spacing w:after="160" w:line="360" w:lineRule="auto"/>
              <w:rPr>
                <w:rFonts w:ascii="Arial" w:hAnsi="Arial" w:cs="Arial"/>
                <w:bCs/>
                <w:sz w:val="24"/>
                <w:szCs w:val="24"/>
              </w:rPr>
            </w:pPr>
            <w:r>
              <w:rPr>
                <w:rFonts w:ascii="Arial" w:hAnsi="Arial" w:cs="Arial"/>
                <w:bCs/>
                <w:sz w:val="24"/>
                <w:szCs w:val="24"/>
              </w:rPr>
              <w:t>THE STATE ATTORNEY - PRETORIA</w:t>
            </w:r>
          </w:p>
        </w:tc>
      </w:tr>
      <w:tr w:rsidR="00E9478D" w14:paraId="43B04F75" w14:textId="77777777" w:rsidTr="00005D63">
        <w:tc>
          <w:tcPr>
            <w:tcW w:w="4950" w:type="dxa"/>
          </w:tcPr>
          <w:p w14:paraId="46C53DA6" w14:textId="3ED8D5ED" w:rsidR="00E9478D" w:rsidRPr="00E9478D" w:rsidRDefault="00E9478D" w:rsidP="00672288">
            <w:pPr>
              <w:spacing w:after="160" w:line="360" w:lineRule="auto"/>
              <w:jc w:val="both"/>
              <w:rPr>
                <w:rFonts w:ascii="Arial" w:hAnsi="Arial" w:cs="Arial"/>
                <w:bCs/>
                <w:sz w:val="24"/>
                <w:szCs w:val="24"/>
              </w:rPr>
            </w:pPr>
            <w:r w:rsidRPr="00E9478D">
              <w:rPr>
                <w:rFonts w:ascii="Arial" w:hAnsi="Arial" w:cs="Arial"/>
                <w:bCs/>
                <w:sz w:val="24"/>
                <w:szCs w:val="24"/>
              </w:rPr>
              <w:t>REFERENCE:</w:t>
            </w:r>
          </w:p>
        </w:tc>
        <w:tc>
          <w:tcPr>
            <w:tcW w:w="4400" w:type="dxa"/>
          </w:tcPr>
          <w:p w14:paraId="17DAE5D8" w14:textId="7AD92BBB" w:rsidR="00E9478D" w:rsidRPr="00E9478D" w:rsidRDefault="000F535B" w:rsidP="00672288">
            <w:pPr>
              <w:spacing w:after="160" w:line="360" w:lineRule="auto"/>
              <w:rPr>
                <w:rFonts w:ascii="Arial" w:hAnsi="Arial" w:cs="Arial"/>
                <w:bCs/>
                <w:sz w:val="24"/>
                <w:szCs w:val="24"/>
              </w:rPr>
            </w:pPr>
            <w:r>
              <w:rPr>
                <w:rFonts w:ascii="Arial" w:hAnsi="Arial" w:cs="Arial"/>
                <w:bCs/>
                <w:sz w:val="24"/>
                <w:szCs w:val="24"/>
              </w:rPr>
              <w:t xml:space="preserve">MS </w:t>
            </w:r>
            <w:r w:rsidR="00A26F7C">
              <w:rPr>
                <w:rFonts w:ascii="Arial" w:hAnsi="Arial" w:cs="Arial"/>
                <w:bCs/>
                <w:sz w:val="24"/>
                <w:szCs w:val="24"/>
              </w:rPr>
              <w:t>S KHOSA</w:t>
            </w:r>
          </w:p>
        </w:tc>
      </w:tr>
      <w:tr w:rsidR="00C16DB2" w14:paraId="1142F40E" w14:textId="77777777" w:rsidTr="00005D63">
        <w:tc>
          <w:tcPr>
            <w:tcW w:w="4950" w:type="dxa"/>
          </w:tcPr>
          <w:p w14:paraId="4208BF98" w14:textId="77777777" w:rsidR="00C16DB2" w:rsidRPr="00E9478D" w:rsidRDefault="00C16DB2" w:rsidP="00672288">
            <w:pPr>
              <w:spacing w:after="160" w:line="360" w:lineRule="auto"/>
              <w:jc w:val="both"/>
              <w:rPr>
                <w:rFonts w:ascii="Arial" w:hAnsi="Arial" w:cs="Arial"/>
                <w:bCs/>
              </w:rPr>
            </w:pPr>
          </w:p>
        </w:tc>
        <w:tc>
          <w:tcPr>
            <w:tcW w:w="4400" w:type="dxa"/>
          </w:tcPr>
          <w:p w14:paraId="64AB0DF2" w14:textId="77777777" w:rsidR="00C16DB2" w:rsidRPr="00E9478D" w:rsidRDefault="00C16DB2" w:rsidP="00672288">
            <w:pPr>
              <w:spacing w:after="160" w:line="360" w:lineRule="auto"/>
              <w:rPr>
                <w:rFonts w:ascii="Arial" w:eastAsia="Courier New" w:hAnsi="Arial" w:cs="Arial"/>
                <w:bCs/>
                <w:color w:val="000000"/>
                <w:lang w:eastAsia="en-ZA"/>
              </w:rPr>
            </w:pPr>
          </w:p>
        </w:tc>
      </w:tr>
      <w:tr w:rsidR="00E9478D" w14:paraId="25E54C6C" w14:textId="77777777" w:rsidTr="00005D63">
        <w:tc>
          <w:tcPr>
            <w:tcW w:w="4950" w:type="dxa"/>
          </w:tcPr>
          <w:p w14:paraId="0929EC31" w14:textId="0CA2B0F5" w:rsidR="00E9478D" w:rsidRPr="00C16DB2" w:rsidRDefault="00E9478D" w:rsidP="00672288">
            <w:pPr>
              <w:spacing w:after="160" w:line="360" w:lineRule="auto"/>
              <w:jc w:val="both"/>
              <w:rPr>
                <w:rFonts w:ascii="Arial" w:hAnsi="Arial" w:cs="Arial"/>
                <w:b/>
                <w:sz w:val="24"/>
                <w:szCs w:val="24"/>
              </w:rPr>
            </w:pPr>
            <w:r w:rsidRPr="00C16DB2">
              <w:rPr>
                <w:rFonts w:ascii="Arial" w:hAnsi="Arial" w:cs="Arial"/>
                <w:b/>
                <w:sz w:val="24"/>
                <w:szCs w:val="24"/>
              </w:rPr>
              <w:t>FOR THE</w:t>
            </w:r>
            <w:r w:rsidR="00C16DB2" w:rsidRPr="00C16DB2">
              <w:rPr>
                <w:rFonts w:ascii="Arial" w:hAnsi="Arial" w:cs="Arial"/>
                <w:b/>
                <w:sz w:val="24"/>
                <w:szCs w:val="24"/>
              </w:rPr>
              <w:t xml:space="preserve"> </w:t>
            </w:r>
            <w:r w:rsidR="00005D63">
              <w:rPr>
                <w:rFonts w:ascii="Arial" w:hAnsi="Arial" w:cs="Arial"/>
                <w:b/>
                <w:sz w:val="24"/>
                <w:szCs w:val="24"/>
              </w:rPr>
              <w:t>SECOND</w:t>
            </w:r>
            <w:r w:rsidRPr="00C16DB2">
              <w:rPr>
                <w:rFonts w:ascii="Arial" w:hAnsi="Arial" w:cs="Arial"/>
                <w:b/>
                <w:sz w:val="24"/>
                <w:szCs w:val="24"/>
              </w:rPr>
              <w:t xml:space="preserve"> RESPONDENT:</w:t>
            </w:r>
          </w:p>
        </w:tc>
        <w:tc>
          <w:tcPr>
            <w:tcW w:w="4400" w:type="dxa"/>
          </w:tcPr>
          <w:p w14:paraId="2856D2E4" w14:textId="272C3E40" w:rsidR="00E9478D" w:rsidRPr="00E9478D" w:rsidRDefault="00E9478D" w:rsidP="00672288">
            <w:pPr>
              <w:spacing w:after="160" w:line="360" w:lineRule="auto"/>
              <w:rPr>
                <w:rFonts w:ascii="Arial" w:hAnsi="Arial" w:cs="Arial"/>
                <w:bCs/>
                <w:sz w:val="24"/>
                <w:szCs w:val="24"/>
              </w:rPr>
            </w:pPr>
            <w:r w:rsidRPr="00E9478D">
              <w:rPr>
                <w:rFonts w:ascii="Arial" w:eastAsia="Courier New" w:hAnsi="Arial" w:cs="Arial"/>
                <w:bCs/>
                <w:color w:val="000000"/>
                <w:sz w:val="24"/>
                <w:szCs w:val="24"/>
                <w:lang w:eastAsia="en-ZA"/>
              </w:rPr>
              <w:t xml:space="preserve">ADV </w:t>
            </w:r>
            <w:r w:rsidR="00005D63">
              <w:rPr>
                <w:rFonts w:ascii="Arial" w:eastAsia="Courier New" w:hAnsi="Arial" w:cs="Arial"/>
                <w:bCs/>
                <w:color w:val="000000"/>
                <w:sz w:val="24"/>
                <w:szCs w:val="24"/>
                <w:lang w:eastAsia="en-ZA"/>
              </w:rPr>
              <w:t>V MALEKA</w:t>
            </w:r>
            <w:r w:rsidRPr="00E9478D">
              <w:rPr>
                <w:rFonts w:ascii="Arial" w:eastAsia="Courier New" w:hAnsi="Arial" w:cs="Arial"/>
                <w:bCs/>
                <w:color w:val="000000"/>
                <w:sz w:val="24"/>
                <w:szCs w:val="24"/>
                <w:lang w:eastAsia="en-ZA"/>
              </w:rPr>
              <w:t xml:space="preserve"> SC</w:t>
            </w:r>
          </w:p>
        </w:tc>
      </w:tr>
      <w:tr w:rsidR="00E9478D" w14:paraId="3FAF45DD" w14:textId="77777777" w:rsidTr="00005D63">
        <w:tc>
          <w:tcPr>
            <w:tcW w:w="4950" w:type="dxa"/>
          </w:tcPr>
          <w:p w14:paraId="311CF6DC" w14:textId="77777777" w:rsidR="00E9478D" w:rsidRPr="00E9478D" w:rsidRDefault="00E9478D" w:rsidP="00672288">
            <w:pPr>
              <w:spacing w:after="160" w:line="360" w:lineRule="auto"/>
              <w:jc w:val="both"/>
              <w:rPr>
                <w:rFonts w:ascii="Arial" w:hAnsi="Arial" w:cs="Arial"/>
                <w:bCs/>
                <w:sz w:val="24"/>
                <w:szCs w:val="24"/>
              </w:rPr>
            </w:pPr>
          </w:p>
        </w:tc>
        <w:tc>
          <w:tcPr>
            <w:tcW w:w="4400" w:type="dxa"/>
          </w:tcPr>
          <w:p w14:paraId="3F371862" w14:textId="0A7BCBB2" w:rsidR="00E9478D" w:rsidRPr="00E9478D" w:rsidRDefault="00E9478D" w:rsidP="00672288">
            <w:pPr>
              <w:spacing w:after="160" w:line="360" w:lineRule="auto"/>
              <w:rPr>
                <w:rFonts w:ascii="Arial" w:hAnsi="Arial" w:cs="Arial"/>
                <w:bCs/>
                <w:sz w:val="24"/>
                <w:szCs w:val="24"/>
              </w:rPr>
            </w:pPr>
            <w:r w:rsidRPr="00E9478D">
              <w:rPr>
                <w:rFonts w:ascii="Arial" w:eastAsia="Courier New" w:hAnsi="Arial" w:cs="Arial"/>
                <w:bCs/>
                <w:color w:val="000000"/>
                <w:sz w:val="24"/>
                <w:szCs w:val="24"/>
                <w:lang w:eastAsia="en-ZA"/>
              </w:rPr>
              <w:t xml:space="preserve">ADV </w:t>
            </w:r>
            <w:r w:rsidR="00005D63">
              <w:rPr>
                <w:rFonts w:ascii="Arial" w:eastAsia="Courier New" w:hAnsi="Arial" w:cs="Arial"/>
                <w:bCs/>
                <w:color w:val="000000"/>
                <w:sz w:val="24"/>
                <w:szCs w:val="24"/>
                <w:lang w:eastAsia="en-ZA"/>
              </w:rPr>
              <w:t>L MAITE</w:t>
            </w:r>
          </w:p>
        </w:tc>
      </w:tr>
      <w:tr w:rsidR="00E9478D" w14:paraId="6209F23F" w14:textId="77777777" w:rsidTr="00005D63">
        <w:tc>
          <w:tcPr>
            <w:tcW w:w="4950" w:type="dxa"/>
          </w:tcPr>
          <w:p w14:paraId="7E7346C4" w14:textId="79FD1084" w:rsidR="00E9478D" w:rsidRPr="00E9478D" w:rsidRDefault="00E9478D" w:rsidP="00672288">
            <w:pPr>
              <w:spacing w:after="160" w:line="360" w:lineRule="auto"/>
              <w:jc w:val="both"/>
              <w:rPr>
                <w:rFonts w:ascii="Arial" w:hAnsi="Arial" w:cs="Arial"/>
                <w:bCs/>
                <w:sz w:val="24"/>
                <w:szCs w:val="24"/>
              </w:rPr>
            </w:pPr>
            <w:r w:rsidRPr="00E9478D">
              <w:rPr>
                <w:rFonts w:ascii="Arial" w:hAnsi="Arial" w:cs="Arial"/>
                <w:bCs/>
                <w:sz w:val="24"/>
                <w:szCs w:val="24"/>
              </w:rPr>
              <w:t>INSTRUCTED BY:</w:t>
            </w:r>
          </w:p>
        </w:tc>
        <w:tc>
          <w:tcPr>
            <w:tcW w:w="4400" w:type="dxa"/>
          </w:tcPr>
          <w:p w14:paraId="276ED5B9" w14:textId="790E96A0" w:rsidR="00E9478D" w:rsidRPr="00E9478D" w:rsidRDefault="00005D63" w:rsidP="00672288">
            <w:pPr>
              <w:spacing w:after="160" w:line="360" w:lineRule="auto"/>
              <w:rPr>
                <w:rFonts w:ascii="Arial" w:hAnsi="Arial" w:cs="Arial"/>
                <w:bCs/>
                <w:sz w:val="24"/>
                <w:szCs w:val="24"/>
              </w:rPr>
            </w:pPr>
            <w:r>
              <w:rPr>
                <w:rFonts w:ascii="Arial" w:hAnsi="Arial" w:cs="Arial"/>
                <w:bCs/>
                <w:sz w:val="24"/>
                <w:szCs w:val="24"/>
              </w:rPr>
              <w:t>THE STATE ATTORNEY - PRETORIA</w:t>
            </w:r>
          </w:p>
        </w:tc>
      </w:tr>
      <w:tr w:rsidR="00E9478D" w14:paraId="125D6E70" w14:textId="77777777" w:rsidTr="00005D63">
        <w:tc>
          <w:tcPr>
            <w:tcW w:w="4950" w:type="dxa"/>
          </w:tcPr>
          <w:p w14:paraId="6DC4DAF7" w14:textId="452D0BC3" w:rsidR="00E9478D" w:rsidRPr="00E9478D" w:rsidRDefault="00E9478D" w:rsidP="00672288">
            <w:pPr>
              <w:spacing w:after="160" w:line="360" w:lineRule="auto"/>
              <w:jc w:val="both"/>
              <w:rPr>
                <w:rFonts w:ascii="Arial" w:hAnsi="Arial" w:cs="Arial"/>
                <w:bCs/>
                <w:sz w:val="24"/>
                <w:szCs w:val="24"/>
              </w:rPr>
            </w:pPr>
            <w:r w:rsidRPr="00E9478D">
              <w:rPr>
                <w:rFonts w:ascii="Arial" w:hAnsi="Arial" w:cs="Arial"/>
                <w:bCs/>
                <w:sz w:val="24"/>
                <w:szCs w:val="24"/>
              </w:rPr>
              <w:t>REFERENCE</w:t>
            </w:r>
            <w:r w:rsidR="000F535B">
              <w:rPr>
                <w:rFonts w:ascii="Arial" w:hAnsi="Arial" w:cs="Arial"/>
                <w:bCs/>
                <w:sz w:val="24"/>
                <w:szCs w:val="24"/>
              </w:rPr>
              <w:t>:</w:t>
            </w:r>
          </w:p>
        </w:tc>
        <w:tc>
          <w:tcPr>
            <w:tcW w:w="4400" w:type="dxa"/>
          </w:tcPr>
          <w:p w14:paraId="34112FA4" w14:textId="46F9B908" w:rsidR="00E9478D" w:rsidRPr="00E9478D" w:rsidRDefault="00005D63" w:rsidP="00672288">
            <w:pPr>
              <w:spacing w:after="160" w:line="360" w:lineRule="auto"/>
              <w:rPr>
                <w:rFonts w:ascii="Arial" w:hAnsi="Arial" w:cs="Arial"/>
                <w:bCs/>
                <w:sz w:val="24"/>
                <w:szCs w:val="24"/>
              </w:rPr>
            </w:pPr>
            <w:r>
              <w:rPr>
                <w:rFonts w:ascii="Arial" w:hAnsi="Arial" w:cs="Arial"/>
                <w:bCs/>
                <w:sz w:val="24"/>
                <w:szCs w:val="24"/>
              </w:rPr>
              <w:t xml:space="preserve">MS </w:t>
            </w:r>
            <w:r w:rsidR="00A26F7C">
              <w:rPr>
                <w:rFonts w:ascii="Arial" w:hAnsi="Arial" w:cs="Arial"/>
                <w:bCs/>
                <w:sz w:val="24"/>
                <w:szCs w:val="24"/>
              </w:rPr>
              <w:t>S KHOSA</w:t>
            </w:r>
          </w:p>
        </w:tc>
      </w:tr>
      <w:tr w:rsidR="00C16DB2" w14:paraId="7A50B23F" w14:textId="77777777" w:rsidTr="00005D63">
        <w:tc>
          <w:tcPr>
            <w:tcW w:w="4950" w:type="dxa"/>
          </w:tcPr>
          <w:p w14:paraId="7AE3B4A6" w14:textId="77777777" w:rsidR="00C16DB2" w:rsidRPr="00E9478D" w:rsidRDefault="00C16DB2" w:rsidP="00672288">
            <w:pPr>
              <w:spacing w:after="160" w:line="360" w:lineRule="auto"/>
              <w:jc w:val="both"/>
              <w:rPr>
                <w:rFonts w:ascii="Arial" w:hAnsi="Arial" w:cs="Arial"/>
                <w:bCs/>
              </w:rPr>
            </w:pPr>
          </w:p>
        </w:tc>
        <w:tc>
          <w:tcPr>
            <w:tcW w:w="4400" w:type="dxa"/>
          </w:tcPr>
          <w:p w14:paraId="0C963A8C" w14:textId="77777777" w:rsidR="00C16DB2" w:rsidRPr="00E9478D" w:rsidRDefault="00C16DB2" w:rsidP="00672288">
            <w:pPr>
              <w:spacing w:after="160" w:line="360" w:lineRule="auto"/>
              <w:rPr>
                <w:rFonts w:ascii="Arial" w:eastAsia="Courier New" w:hAnsi="Arial" w:cs="Arial"/>
                <w:bCs/>
                <w:color w:val="000000"/>
                <w:lang w:eastAsia="en-ZA"/>
              </w:rPr>
            </w:pPr>
          </w:p>
        </w:tc>
      </w:tr>
      <w:tr w:rsidR="00005D63" w14:paraId="421A4FA3" w14:textId="77777777" w:rsidTr="00005D63">
        <w:tc>
          <w:tcPr>
            <w:tcW w:w="4950" w:type="dxa"/>
          </w:tcPr>
          <w:p w14:paraId="0E78D197" w14:textId="77777777" w:rsidR="00005D63" w:rsidRPr="00005D63" w:rsidRDefault="00005D63" w:rsidP="00672288">
            <w:pPr>
              <w:spacing w:line="360" w:lineRule="auto"/>
              <w:ind w:right="288"/>
              <w:rPr>
                <w:rFonts w:ascii="Arial" w:eastAsia="Courier New" w:hAnsi="Arial" w:cs="Arial"/>
                <w:b/>
                <w:color w:val="000000"/>
                <w:sz w:val="24"/>
                <w:szCs w:val="24"/>
                <w:lang w:eastAsia="en-ZA"/>
              </w:rPr>
            </w:pPr>
            <w:r w:rsidRPr="00005D63">
              <w:rPr>
                <w:rFonts w:ascii="Arial" w:eastAsia="Courier New" w:hAnsi="Arial" w:cs="Arial"/>
                <w:b/>
                <w:color w:val="000000"/>
                <w:sz w:val="24"/>
                <w:szCs w:val="24"/>
                <w:lang w:eastAsia="en-ZA"/>
              </w:rPr>
              <w:t>NO APPEARANCE FOR THE THIRD RESPONDENT</w:t>
            </w:r>
          </w:p>
          <w:p w14:paraId="401A3F36" w14:textId="77777777" w:rsidR="00005D63" w:rsidRPr="00E9478D" w:rsidRDefault="00005D63" w:rsidP="00672288">
            <w:pPr>
              <w:spacing w:after="160" w:line="360" w:lineRule="auto"/>
              <w:jc w:val="both"/>
              <w:rPr>
                <w:rFonts w:ascii="Arial" w:hAnsi="Arial" w:cs="Arial"/>
                <w:bCs/>
              </w:rPr>
            </w:pPr>
          </w:p>
        </w:tc>
        <w:tc>
          <w:tcPr>
            <w:tcW w:w="4400" w:type="dxa"/>
          </w:tcPr>
          <w:p w14:paraId="49F7CA57" w14:textId="77777777" w:rsidR="00005D63" w:rsidRPr="00E9478D" w:rsidRDefault="00005D63" w:rsidP="00672288">
            <w:pPr>
              <w:spacing w:after="160" w:line="360" w:lineRule="auto"/>
              <w:rPr>
                <w:rFonts w:ascii="Arial" w:eastAsia="Courier New" w:hAnsi="Arial" w:cs="Arial"/>
                <w:bCs/>
                <w:color w:val="000000"/>
                <w:lang w:eastAsia="en-ZA"/>
              </w:rPr>
            </w:pPr>
          </w:p>
        </w:tc>
      </w:tr>
      <w:tr w:rsidR="00005D63" w14:paraId="767D82E4" w14:textId="77777777" w:rsidTr="00005D63">
        <w:tc>
          <w:tcPr>
            <w:tcW w:w="4950" w:type="dxa"/>
          </w:tcPr>
          <w:p w14:paraId="7C724266" w14:textId="77777777" w:rsidR="00005D63" w:rsidRPr="00E9478D" w:rsidRDefault="00005D63" w:rsidP="00672288">
            <w:pPr>
              <w:spacing w:after="160" w:line="360" w:lineRule="auto"/>
              <w:jc w:val="both"/>
              <w:rPr>
                <w:rFonts w:ascii="Arial" w:hAnsi="Arial" w:cs="Arial"/>
                <w:bCs/>
              </w:rPr>
            </w:pPr>
          </w:p>
        </w:tc>
        <w:tc>
          <w:tcPr>
            <w:tcW w:w="4400" w:type="dxa"/>
          </w:tcPr>
          <w:p w14:paraId="466A48F4" w14:textId="77777777" w:rsidR="00005D63" w:rsidRPr="00E9478D" w:rsidRDefault="00005D63" w:rsidP="00672288">
            <w:pPr>
              <w:spacing w:after="160" w:line="360" w:lineRule="auto"/>
              <w:rPr>
                <w:rFonts w:ascii="Arial" w:eastAsia="Courier New" w:hAnsi="Arial" w:cs="Arial"/>
                <w:bCs/>
                <w:color w:val="000000"/>
                <w:lang w:eastAsia="en-ZA"/>
              </w:rPr>
            </w:pPr>
          </w:p>
        </w:tc>
      </w:tr>
      <w:tr w:rsidR="00E9478D" w14:paraId="1C15B286" w14:textId="77777777" w:rsidTr="00005D63">
        <w:tc>
          <w:tcPr>
            <w:tcW w:w="4950" w:type="dxa"/>
          </w:tcPr>
          <w:p w14:paraId="02FA2508" w14:textId="5F202BD9" w:rsidR="00E9478D" w:rsidRPr="00C16DB2" w:rsidRDefault="00E9478D" w:rsidP="00672288">
            <w:pPr>
              <w:spacing w:after="160" w:line="360" w:lineRule="auto"/>
              <w:jc w:val="both"/>
              <w:rPr>
                <w:rFonts w:ascii="Arial" w:hAnsi="Arial" w:cs="Arial"/>
                <w:b/>
                <w:sz w:val="24"/>
                <w:szCs w:val="24"/>
              </w:rPr>
            </w:pPr>
            <w:r w:rsidRPr="00C16DB2">
              <w:rPr>
                <w:rFonts w:ascii="Arial" w:hAnsi="Arial" w:cs="Arial"/>
                <w:b/>
                <w:sz w:val="24"/>
                <w:szCs w:val="24"/>
              </w:rPr>
              <w:t xml:space="preserve">FOR THE </w:t>
            </w:r>
            <w:r w:rsidR="00005D63">
              <w:rPr>
                <w:rFonts w:ascii="Arial" w:hAnsi="Arial" w:cs="Arial"/>
                <w:b/>
                <w:sz w:val="24"/>
                <w:szCs w:val="24"/>
              </w:rPr>
              <w:t xml:space="preserve">FOURTH </w:t>
            </w:r>
            <w:r w:rsidRPr="00C16DB2">
              <w:rPr>
                <w:rFonts w:ascii="Arial" w:hAnsi="Arial" w:cs="Arial"/>
                <w:b/>
                <w:sz w:val="24"/>
                <w:szCs w:val="24"/>
              </w:rPr>
              <w:t>RESPONDENT:</w:t>
            </w:r>
          </w:p>
        </w:tc>
        <w:tc>
          <w:tcPr>
            <w:tcW w:w="4400" w:type="dxa"/>
          </w:tcPr>
          <w:p w14:paraId="516B4A7E" w14:textId="2902F4DB" w:rsidR="00E9478D" w:rsidRPr="00E9478D" w:rsidRDefault="00E9478D" w:rsidP="00672288">
            <w:pPr>
              <w:spacing w:after="160" w:line="360" w:lineRule="auto"/>
              <w:rPr>
                <w:rFonts w:ascii="Arial" w:hAnsi="Arial" w:cs="Arial"/>
                <w:bCs/>
                <w:sz w:val="24"/>
                <w:szCs w:val="24"/>
              </w:rPr>
            </w:pPr>
            <w:r w:rsidRPr="00E9478D">
              <w:rPr>
                <w:rFonts w:ascii="Arial" w:eastAsia="Courier New" w:hAnsi="Arial" w:cs="Arial"/>
                <w:bCs/>
                <w:color w:val="000000"/>
                <w:sz w:val="24"/>
                <w:szCs w:val="24"/>
                <w:lang w:eastAsia="en-ZA"/>
              </w:rPr>
              <w:t>ADV A</w:t>
            </w:r>
            <w:r w:rsidR="001E6ABF">
              <w:rPr>
                <w:rFonts w:ascii="Arial" w:eastAsia="Courier New" w:hAnsi="Arial" w:cs="Arial"/>
                <w:bCs/>
                <w:color w:val="000000"/>
                <w:sz w:val="24"/>
                <w:szCs w:val="24"/>
                <w:lang w:eastAsia="en-ZA"/>
              </w:rPr>
              <w:t xml:space="preserve"> COCKRELL</w:t>
            </w:r>
            <w:r w:rsidRPr="00E9478D">
              <w:rPr>
                <w:rFonts w:ascii="Arial" w:eastAsia="Courier New" w:hAnsi="Arial" w:cs="Arial"/>
                <w:bCs/>
                <w:color w:val="000000"/>
                <w:sz w:val="24"/>
                <w:szCs w:val="24"/>
                <w:lang w:eastAsia="en-ZA"/>
              </w:rPr>
              <w:t xml:space="preserve"> </w:t>
            </w:r>
            <w:r w:rsidR="00715D2A">
              <w:rPr>
                <w:rFonts w:ascii="Arial" w:eastAsia="Courier New" w:hAnsi="Arial" w:cs="Arial"/>
                <w:bCs/>
                <w:color w:val="000000"/>
                <w:sz w:val="24"/>
                <w:szCs w:val="24"/>
                <w:lang w:eastAsia="en-ZA"/>
              </w:rPr>
              <w:t>S</w:t>
            </w:r>
            <w:r w:rsidRPr="00E9478D">
              <w:rPr>
                <w:rFonts w:ascii="Arial" w:eastAsia="Courier New" w:hAnsi="Arial" w:cs="Arial"/>
                <w:bCs/>
                <w:color w:val="000000"/>
                <w:sz w:val="24"/>
                <w:szCs w:val="24"/>
                <w:lang w:eastAsia="en-ZA"/>
              </w:rPr>
              <w:t>C</w:t>
            </w:r>
          </w:p>
        </w:tc>
      </w:tr>
      <w:tr w:rsidR="00E9478D" w14:paraId="15295C89" w14:textId="77777777" w:rsidTr="00005D63">
        <w:tc>
          <w:tcPr>
            <w:tcW w:w="4950" w:type="dxa"/>
          </w:tcPr>
          <w:p w14:paraId="60BF5CAC" w14:textId="77777777" w:rsidR="00E9478D" w:rsidRPr="00E9478D" w:rsidRDefault="00E9478D" w:rsidP="00672288">
            <w:pPr>
              <w:spacing w:after="160" w:line="360" w:lineRule="auto"/>
              <w:jc w:val="both"/>
              <w:rPr>
                <w:rFonts w:ascii="Arial" w:hAnsi="Arial" w:cs="Arial"/>
                <w:bCs/>
                <w:sz w:val="24"/>
                <w:szCs w:val="24"/>
              </w:rPr>
            </w:pPr>
          </w:p>
        </w:tc>
        <w:tc>
          <w:tcPr>
            <w:tcW w:w="4400" w:type="dxa"/>
          </w:tcPr>
          <w:p w14:paraId="28530D13" w14:textId="319252E3" w:rsidR="00E9478D" w:rsidRPr="00E9478D" w:rsidRDefault="00E9478D" w:rsidP="00672288">
            <w:pPr>
              <w:spacing w:after="160" w:line="360" w:lineRule="auto"/>
              <w:rPr>
                <w:rFonts w:ascii="Arial" w:hAnsi="Arial" w:cs="Arial"/>
                <w:bCs/>
                <w:sz w:val="24"/>
                <w:szCs w:val="24"/>
              </w:rPr>
            </w:pPr>
          </w:p>
        </w:tc>
      </w:tr>
      <w:tr w:rsidR="00E9478D" w14:paraId="74B110B4" w14:textId="77777777" w:rsidTr="00005D63">
        <w:tc>
          <w:tcPr>
            <w:tcW w:w="4950" w:type="dxa"/>
          </w:tcPr>
          <w:p w14:paraId="63AB5FF3" w14:textId="41C4296D" w:rsidR="00E9478D" w:rsidRPr="00E9478D" w:rsidRDefault="00E9478D" w:rsidP="00672288">
            <w:pPr>
              <w:spacing w:after="160" w:line="360" w:lineRule="auto"/>
              <w:jc w:val="both"/>
              <w:rPr>
                <w:rFonts w:ascii="Arial" w:hAnsi="Arial" w:cs="Arial"/>
                <w:bCs/>
                <w:sz w:val="24"/>
                <w:szCs w:val="24"/>
              </w:rPr>
            </w:pPr>
            <w:r w:rsidRPr="00E9478D">
              <w:rPr>
                <w:rFonts w:ascii="Arial" w:hAnsi="Arial" w:cs="Arial"/>
                <w:bCs/>
                <w:sz w:val="24"/>
                <w:szCs w:val="24"/>
              </w:rPr>
              <w:t>INSTRUCTED BY</w:t>
            </w:r>
          </w:p>
        </w:tc>
        <w:tc>
          <w:tcPr>
            <w:tcW w:w="4400" w:type="dxa"/>
          </w:tcPr>
          <w:p w14:paraId="408CCD69" w14:textId="4636AFCD" w:rsidR="00E9478D" w:rsidRPr="00E9478D" w:rsidRDefault="00005D63" w:rsidP="00672288">
            <w:pPr>
              <w:spacing w:after="160" w:line="360" w:lineRule="auto"/>
              <w:rPr>
                <w:rFonts w:ascii="Arial" w:eastAsia="Courier New" w:hAnsi="Arial" w:cs="Arial"/>
                <w:bCs/>
                <w:color w:val="000000"/>
                <w:sz w:val="24"/>
                <w:szCs w:val="24"/>
                <w:lang w:eastAsia="en-ZA"/>
              </w:rPr>
            </w:pPr>
            <w:r>
              <w:rPr>
                <w:rFonts w:ascii="Arial" w:eastAsia="Courier New" w:hAnsi="Arial" w:cs="Arial"/>
                <w:bCs/>
                <w:color w:val="000000"/>
                <w:sz w:val="24"/>
                <w:szCs w:val="24"/>
                <w:lang w:eastAsia="en-ZA"/>
              </w:rPr>
              <w:t>WEBBER WENTZEL</w:t>
            </w:r>
          </w:p>
        </w:tc>
      </w:tr>
      <w:tr w:rsidR="00E9478D" w14:paraId="7856FA35" w14:textId="77777777" w:rsidTr="00672288">
        <w:trPr>
          <w:trHeight w:val="67"/>
        </w:trPr>
        <w:tc>
          <w:tcPr>
            <w:tcW w:w="4950" w:type="dxa"/>
          </w:tcPr>
          <w:p w14:paraId="492D6324" w14:textId="0619C4D0" w:rsidR="00E9478D" w:rsidRPr="00E9478D" w:rsidRDefault="00E9478D" w:rsidP="00672288">
            <w:pPr>
              <w:spacing w:after="160" w:line="360" w:lineRule="auto"/>
              <w:jc w:val="both"/>
              <w:rPr>
                <w:rFonts w:ascii="Arial" w:hAnsi="Arial" w:cs="Arial"/>
                <w:bCs/>
                <w:sz w:val="24"/>
                <w:szCs w:val="24"/>
              </w:rPr>
            </w:pPr>
            <w:r w:rsidRPr="00E9478D">
              <w:rPr>
                <w:rFonts w:ascii="Arial" w:hAnsi="Arial" w:cs="Arial"/>
                <w:bCs/>
                <w:sz w:val="24"/>
                <w:szCs w:val="24"/>
              </w:rPr>
              <w:t>REFERENCE:</w:t>
            </w:r>
          </w:p>
        </w:tc>
        <w:tc>
          <w:tcPr>
            <w:tcW w:w="4400" w:type="dxa"/>
          </w:tcPr>
          <w:p w14:paraId="6D412C8C" w14:textId="29DB4D8A" w:rsidR="00E9478D" w:rsidRPr="00E9478D" w:rsidRDefault="000F535B" w:rsidP="00672288">
            <w:pPr>
              <w:spacing w:after="160" w:line="360" w:lineRule="auto"/>
              <w:jc w:val="both"/>
              <w:rPr>
                <w:rFonts w:ascii="Arial" w:eastAsia="Courier New" w:hAnsi="Arial" w:cs="Arial"/>
                <w:bCs/>
                <w:color w:val="000000"/>
                <w:sz w:val="24"/>
                <w:szCs w:val="24"/>
                <w:lang w:eastAsia="en-ZA"/>
              </w:rPr>
            </w:pPr>
            <w:r>
              <w:rPr>
                <w:rFonts w:ascii="Arial" w:eastAsia="Courier New" w:hAnsi="Arial" w:cs="Arial"/>
                <w:bCs/>
                <w:color w:val="000000"/>
                <w:sz w:val="24"/>
                <w:szCs w:val="24"/>
                <w:lang w:eastAsia="en-ZA"/>
              </w:rPr>
              <w:t>M</w:t>
            </w:r>
            <w:r w:rsidR="00005D63">
              <w:rPr>
                <w:rFonts w:ascii="Arial" w:eastAsia="Courier New" w:hAnsi="Arial" w:cs="Arial"/>
                <w:bCs/>
                <w:color w:val="000000"/>
                <w:sz w:val="24"/>
                <w:szCs w:val="24"/>
                <w:lang w:eastAsia="en-ZA"/>
              </w:rPr>
              <w:t>R S MELTZER</w:t>
            </w:r>
          </w:p>
        </w:tc>
      </w:tr>
    </w:tbl>
    <w:p w14:paraId="56023C2B" w14:textId="703F0FE0" w:rsidR="0027008F" w:rsidRDefault="0027008F" w:rsidP="00715D2A">
      <w:pPr>
        <w:ind w:right="288"/>
        <w:rPr>
          <w:rFonts w:ascii="Arial" w:eastAsia="Courier New" w:hAnsi="Arial" w:cs="Arial"/>
          <w:b/>
          <w:color w:val="000000"/>
          <w:lang w:eastAsia="en-ZA"/>
        </w:rPr>
      </w:pPr>
    </w:p>
    <w:p w14:paraId="3E5101BB" w14:textId="44BC386D" w:rsidR="00005D63" w:rsidRDefault="00005D63" w:rsidP="00715D2A">
      <w:pPr>
        <w:ind w:right="288"/>
        <w:rPr>
          <w:rFonts w:ascii="Arial" w:eastAsia="Courier New" w:hAnsi="Arial" w:cs="Arial"/>
          <w:b/>
          <w:color w:val="000000"/>
          <w:lang w:eastAsia="en-ZA"/>
        </w:rPr>
      </w:pPr>
    </w:p>
    <w:p w14:paraId="48136541" w14:textId="77777777" w:rsidR="00005D63" w:rsidRPr="00715D2A" w:rsidRDefault="00005D63">
      <w:pPr>
        <w:ind w:right="288"/>
        <w:rPr>
          <w:rFonts w:ascii="Arial" w:eastAsia="Courier New" w:hAnsi="Arial" w:cs="Arial"/>
          <w:b/>
          <w:color w:val="000000"/>
          <w:lang w:eastAsia="en-ZA"/>
        </w:rPr>
      </w:pPr>
    </w:p>
    <w:sectPr w:rsidR="00005D63" w:rsidRPr="00715D2A" w:rsidSect="002133E4">
      <w:headerReference w:type="even" r:id="rId13"/>
      <w:headerReference w:type="default" r:id="rId14"/>
      <w:endnotePr>
        <w:numFmt w:val="decimal"/>
      </w:endnotePr>
      <w:pgSz w:w="11900" w:h="16840"/>
      <w:pgMar w:top="168" w:right="1440" w:bottom="1233"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DC8D7" w14:textId="77777777" w:rsidR="005E4E1E" w:rsidRDefault="005E4E1E" w:rsidP="008C18AE">
      <w:r>
        <w:separator/>
      </w:r>
    </w:p>
  </w:endnote>
  <w:endnote w:type="continuationSeparator" w:id="0">
    <w:p w14:paraId="33029773" w14:textId="77777777" w:rsidR="005E4E1E" w:rsidRDefault="005E4E1E" w:rsidP="008C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variable"/>
    <w:sig w:usb0="00000003" w:usb1="00000000" w:usb2="00000000" w:usb3="00000000" w:csb0="00000001" w:csb1="00000000"/>
  </w:font>
  <w:font w:name="Times">
    <w:altName w:val="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80887" w14:textId="77777777" w:rsidR="005E4E1E" w:rsidRDefault="005E4E1E" w:rsidP="008C18AE">
      <w:r>
        <w:separator/>
      </w:r>
    </w:p>
  </w:footnote>
  <w:footnote w:type="continuationSeparator" w:id="0">
    <w:p w14:paraId="22B0853C" w14:textId="77777777" w:rsidR="005E4E1E" w:rsidRDefault="005E4E1E" w:rsidP="008C18AE">
      <w:r>
        <w:continuationSeparator/>
      </w:r>
    </w:p>
  </w:footnote>
  <w:footnote w:id="1">
    <w:p w14:paraId="1D9DD2BA" w14:textId="2A310AD6" w:rsidR="00DC2C05" w:rsidRPr="00D245F3" w:rsidRDefault="00DC2C05" w:rsidP="00D245F3">
      <w:pPr>
        <w:pStyle w:val="FootnoteText"/>
        <w:ind w:left="284" w:hanging="284"/>
        <w:rPr>
          <w:rFonts w:ascii="Arial" w:hAnsi="Arial" w:cs="Arial"/>
          <w:sz w:val="20"/>
          <w:szCs w:val="20"/>
        </w:rPr>
      </w:pPr>
      <w:r w:rsidRPr="00D245F3">
        <w:rPr>
          <w:rStyle w:val="FootnoteReference"/>
          <w:rFonts w:ascii="Arial" w:hAnsi="Arial" w:cs="Arial"/>
          <w:sz w:val="20"/>
          <w:szCs w:val="20"/>
        </w:rPr>
        <w:footnoteRef/>
      </w:r>
      <w:r w:rsidRPr="00D245F3">
        <w:rPr>
          <w:rFonts w:ascii="Arial" w:hAnsi="Arial" w:cs="Arial"/>
          <w:sz w:val="20"/>
          <w:szCs w:val="20"/>
        </w:rPr>
        <w:t xml:space="preserve"> </w:t>
      </w:r>
      <w:r w:rsidRPr="00D245F3">
        <w:rPr>
          <w:rFonts w:ascii="Arial" w:hAnsi="Arial" w:cs="Arial"/>
          <w:sz w:val="20"/>
          <w:szCs w:val="20"/>
        </w:rPr>
        <w:tab/>
        <w:t>The first and second applicants are the importer and exporter respectively.</w:t>
      </w:r>
    </w:p>
  </w:footnote>
  <w:footnote w:id="2">
    <w:p w14:paraId="18C40D44" w14:textId="33C48FC3" w:rsidR="00DC2C05" w:rsidRDefault="00DC2C05" w:rsidP="00D245F3">
      <w:pPr>
        <w:pStyle w:val="FootnoteText"/>
        <w:ind w:left="284" w:hanging="284"/>
      </w:pPr>
      <w:r>
        <w:rPr>
          <w:rStyle w:val="FootnoteReference"/>
        </w:rPr>
        <w:footnoteRef/>
      </w:r>
      <w:r>
        <w:t xml:space="preserve"> </w:t>
      </w:r>
      <w:r>
        <w:tab/>
      </w:r>
      <w:r w:rsidRPr="0063067F">
        <w:rPr>
          <w:rFonts w:ascii="Arial" w:hAnsi="Arial" w:cs="Arial"/>
          <w:sz w:val="20"/>
          <w:szCs w:val="20"/>
        </w:rPr>
        <w:t>Established in terms of the International Trade Administration Commission Act 71 of 2002.</w:t>
      </w:r>
    </w:p>
  </w:footnote>
  <w:footnote w:id="3">
    <w:p w14:paraId="339271F6" w14:textId="6B979CDC" w:rsidR="00DC2C05" w:rsidRPr="007A3393" w:rsidRDefault="00DC2C05" w:rsidP="007A3393">
      <w:pPr>
        <w:pStyle w:val="FootnoteText"/>
        <w:ind w:left="284" w:hanging="284"/>
        <w:jc w:val="both"/>
        <w:rPr>
          <w:rFonts w:ascii="Arial" w:hAnsi="Arial" w:cs="Arial"/>
          <w:sz w:val="20"/>
          <w:szCs w:val="20"/>
        </w:rPr>
      </w:pPr>
      <w:r w:rsidRPr="007A3393">
        <w:rPr>
          <w:rStyle w:val="FootnoteReference"/>
          <w:rFonts w:ascii="Arial" w:hAnsi="Arial" w:cs="Arial"/>
          <w:sz w:val="20"/>
          <w:szCs w:val="20"/>
        </w:rPr>
        <w:footnoteRef/>
      </w:r>
      <w:r w:rsidRPr="007A3393">
        <w:rPr>
          <w:rFonts w:ascii="Arial" w:hAnsi="Arial" w:cs="Arial"/>
          <w:sz w:val="20"/>
          <w:szCs w:val="20"/>
        </w:rPr>
        <w:t xml:space="preserve"> </w:t>
      </w:r>
      <w:r>
        <w:rPr>
          <w:rFonts w:ascii="Arial" w:hAnsi="Arial" w:cs="Arial"/>
          <w:sz w:val="20"/>
          <w:szCs w:val="20"/>
        </w:rPr>
        <w:tab/>
      </w:r>
      <w:r w:rsidRPr="007A3393">
        <w:rPr>
          <w:rFonts w:ascii="Arial" w:hAnsi="Arial" w:cs="Arial"/>
          <w:sz w:val="20"/>
          <w:szCs w:val="20"/>
        </w:rPr>
        <w:t>3 of 2000</w:t>
      </w:r>
      <w:r w:rsidR="0078301E">
        <w:rPr>
          <w:rFonts w:ascii="Arial" w:hAnsi="Arial" w:cs="Arial"/>
          <w:sz w:val="20"/>
          <w:szCs w:val="20"/>
        </w:rPr>
        <w:t>.</w:t>
      </w:r>
    </w:p>
  </w:footnote>
  <w:footnote w:id="4">
    <w:p w14:paraId="1C60659F" w14:textId="713AF7CA" w:rsidR="00DC2C05" w:rsidRDefault="00DC2C05" w:rsidP="007A3393">
      <w:pPr>
        <w:pStyle w:val="FootnoteText"/>
        <w:ind w:left="284" w:hanging="284"/>
        <w:jc w:val="both"/>
      </w:pPr>
      <w:r w:rsidRPr="007A3393">
        <w:rPr>
          <w:rStyle w:val="FootnoteReference"/>
          <w:rFonts w:ascii="Arial" w:hAnsi="Arial" w:cs="Arial"/>
          <w:sz w:val="20"/>
          <w:szCs w:val="20"/>
        </w:rPr>
        <w:footnoteRef/>
      </w:r>
      <w:r w:rsidRPr="007A3393">
        <w:rPr>
          <w:rFonts w:ascii="Arial" w:hAnsi="Arial" w:cs="Arial"/>
          <w:sz w:val="20"/>
          <w:szCs w:val="20"/>
        </w:rPr>
        <w:t xml:space="preserve"> </w:t>
      </w:r>
      <w:r>
        <w:rPr>
          <w:rFonts w:ascii="Arial" w:hAnsi="Arial" w:cs="Arial"/>
          <w:sz w:val="20"/>
          <w:szCs w:val="20"/>
        </w:rPr>
        <w:tab/>
      </w:r>
      <w:r w:rsidRPr="007A3393">
        <w:rPr>
          <w:rFonts w:ascii="Arial" w:hAnsi="Arial" w:cs="Arial"/>
          <w:sz w:val="20"/>
          <w:szCs w:val="20"/>
        </w:rPr>
        <w:t>2012 (4) SA 618 (CC).</w:t>
      </w:r>
    </w:p>
  </w:footnote>
  <w:footnote w:id="5">
    <w:p w14:paraId="6F24E12F" w14:textId="4F753B26" w:rsidR="00DC2C05" w:rsidRPr="009926E5" w:rsidRDefault="00DC2C05" w:rsidP="00361C33">
      <w:pPr>
        <w:pStyle w:val="FootnoteText"/>
        <w:ind w:left="284" w:hanging="284"/>
        <w:jc w:val="both"/>
        <w:rPr>
          <w:rFonts w:ascii="Arial" w:hAnsi="Arial" w:cs="Arial"/>
          <w:sz w:val="20"/>
          <w:szCs w:val="20"/>
        </w:rPr>
      </w:pPr>
      <w:r w:rsidRPr="009926E5">
        <w:rPr>
          <w:rStyle w:val="FootnoteReference"/>
          <w:rFonts w:ascii="Arial" w:hAnsi="Arial" w:cs="Arial"/>
          <w:sz w:val="20"/>
          <w:szCs w:val="20"/>
        </w:rPr>
        <w:footnoteRef/>
      </w:r>
      <w:r w:rsidRPr="009926E5">
        <w:rPr>
          <w:rFonts w:ascii="Arial" w:hAnsi="Arial" w:cs="Arial"/>
          <w:sz w:val="20"/>
          <w:szCs w:val="20"/>
        </w:rPr>
        <w:t xml:space="preserve"> </w:t>
      </w:r>
      <w:r w:rsidR="00361C33">
        <w:rPr>
          <w:rFonts w:ascii="Arial" w:hAnsi="Arial" w:cs="Arial"/>
          <w:sz w:val="20"/>
          <w:szCs w:val="20"/>
        </w:rPr>
        <w:tab/>
      </w:r>
      <w:r w:rsidRPr="009926E5">
        <w:rPr>
          <w:rFonts w:ascii="Arial" w:hAnsi="Arial" w:cs="Arial"/>
          <w:i/>
          <w:iCs/>
          <w:sz w:val="20"/>
          <w:szCs w:val="20"/>
        </w:rPr>
        <w:t>SCAW</w:t>
      </w:r>
      <w:r w:rsidRPr="009926E5">
        <w:rPr>
          <w:rFonts w:ascii="Arial" w:hAnsi="Arial" w:cs="Arial"/>
          <w:sz w:val="20"/>
          <w:szCs w:val="20"/>
        </w:rPr>
        <w:t xml:space="preserve"> at para </w:t>
      </w:r>
      <w:r w:rsidR="000A5270" w:rsidRPr="009926E5">
        <w:rPr>
          <w:rFonts w:ascii="Arial" w:hAnsi="Arial" w:cs="Arial"/>
          <w:sz w:val="20"/>
          <w:szCs w:val="20"/>
        </w:rPr>
        <w:t>[</w:t>
      </w:r>
      <w:r w:rsidRPr="009926E5">
        <w:rPr>
          <w:rFonts w:ascii="Arial" w:hAnsi="Arial" w:cs="Arial"/>
          <w:sz w:val="20"/>
          <w:szCs w:val="20"/>
        </w:rPr>
        <w:t>101</w:t>
      </w:r>
      <w:r w:rsidR="000A5270" w:rsidRPr="009926E5">
        <w:rPr>
          <w:rFonts w:ascii="Arial" w:hAnsi="Arial" w:cs="Arial"/>
          <w:sz w:val="20"/>
          <w:szCs w:val="20"/>
        </w:rPr>
        <w:t>].</w:t>
      </w:r>
    </w:p>
  </w:footnote>
  <w:footnote w:id="6">
    <w:p w14:paraId="1A8C7137" w14:textId="598E021C" w:rsidR="006C45CC" w:rsidRPr="009926E5" w:rsidRDefault="006C45CC" w:rsidP="0078301E">
      <w:pPr>
        <w:pStyle w:val="FootnoteText"/>
        <w:ind w:left="284" w:hanging="284"/>
        <w:rPr>
          <w:rFonts w:ascii="Arial" w:hAnsi="Arial" w:cs="Arial"/>
          <w:sz w:val="20"/>
          <w:szCs w:val="20"/>
        </w:rPr>
      </w:pPr>
      <w:r w:rsidRPr="009926E5">
        <w:rPr>
          <w:rStyle w:val="FootnoteReference"/>
          <w:rFonts w:ascii="Arial" w:hAnsi="Arial" w:cs="Arial"/>
          <w:sz w:val="20"/>
          <w:szCs w:val="20"/>
        </w:rPr>
        <w:footnoteRef/>
      </w:r>
      <w:r w:rsidRPr="009926E5">
        <w:rPr>
          <w:rFonts w:ascii="Arial" w:hAnsi="Arial" w:cs="Arial"/>
          <w:sz w:val="20"/>
          <w:szCs w:val="20"/>
        </w:rPr>
        <w:t xml:space="preserve"> </w:t>
      </w:r>
      <w:r w:rsidR="002133E4">
        <w:rPr>
          <w:rFonts w:ascii="Arial" w:hAnsi="Arial" w:cs="Arial"/>
          <w:sz w:val="20"/>
          <w:szCs w:val="20"/>
        </w:rPr>
        <w:tab/>
      </w:r>
      <w:r w:rsidRPr="009926E5">
        <w:rPr>
          <w:rFonts w:ascii="Arial" w:hAnsi="Arial" w:cs="Arial"/>
          <w:sz w:val="20"/>
          <w:szCs w:val="20"/>
        </w:rPr>
        <w:t>Ibid para [103].</w:t>
      </w:r>
    </w:p>
  </w:footnote>
  <w:footnote w:id="7">
    <w:p w14:paraId="7736F130" w14:textId="37F3D898" w:rsidR="009926E5" w:rsidRPr="009926E5" w:rsidRDefault="009926E5" w:rsidP="0078301E">
      <w:pPr>
        <w:ind w:left="284" w:hanging="284"/>
        <w:jc w:val="both"/>
        <w:rPr>
          <w:rFonts w:ascii="Arial" w:hAnsi="Arial" w:cs="Arial"/>
          <w:color w:val="000000" w:themeColor="text1"/>
          <w:sz w:val="20"/>
          <w:szCs w:val="20"/>
        </w:rPr>
      </w:pPr>
      <w:r w:rsidRPr="009926E5">
        <w:rPr>
          <w:rStyle w:val="FootnoteReference"/>
          <w:rFonts w:ascii="Arial" w:hAnsi="Arial" w:cs="Arial"/>
          <w:sz w:val="20"/>
          <w:szCs w:val="20"/>
        </w:rPr>
        <w:footnoteRef/>
      </w:r>
      <w:r w:rsidRPr="009926E5">
        <w:rPr>
          <w:rFonts w:ascii="Arial" w:hAnsi="Arial" w:cs="Arial"/>
          <w:sz w:val="20"/>
          <w:szCs w:val="20"/>
        </w:rPr>
        <w:t xml:space="preserve"> </w:t>
      </w:r>
      <w:r w:rsidR="002133E4">
        <w:rPr>
          <w:rFonts w:ascii="Arial" w:hAnsi="Arial" w:cs="Arial"/>
          <w:sz w:val="20"/>
          <w:szCs w:val="20"/>
        </w:rPr>
        <w:tab/>
      </w:r>
      <w:r w:rsidRPr="009926E5">
        <w:rPr>
          <w:rFonts w:ascii="Arial" w:hAnsi="Arial" w:cs="Arial"/>
          <w:color w:val="000000" w:themeColor="text1"/>
          <w:sz w:val="20"/>
          <w:szCs w:val="20"/>
        </w:rPr>
        <w:t xml:space="preserve">This was recognized by the court in </w:t>
      </w:r>
      <w:r w:rsidRPr="009926E5">
        <w:rPr>
          <w:rFonts w:ascii="Arial" w:hAnsi="Arial" w:cs="Arial"/>
          <w:i/>
          <w:iCs/>
          <w:color w:val="000000" w:themeColor="text1"/>
          <w:sz w:val="20"/>
          <w:szCs w:val="20"/>
        </w:rPr>
        <w:t xml:space="preserve">SCAW </w:t>
      </w:r>
      <w:r w:rsidRPr="009926E5">
        <w:rPr>
          <w:rFonts w:ascii="Arial" w:hAnsi="Arial" w:cs="Arial"/>
          <w:color w:val="000000" w:themeColor="text1"/>
          <w:sz w:val="20"/>
          <w:szCs w:val="20"/>
        </w:rPr>
        <w:t>when it held:</w:t>
      </w:r>
      <w:r w:rsidRPr="009926E5">
        <w:rPr>
          <w:rFonts w:ascii="Arial" w:hAnsi="Arial" w:cs="Arial"/>
          <w:i/>
          <w:iCs/>
          <w:sz w:val="20"/>
          <w:szCs w:val="20"/>
        </w:rPr>
        <w:t xml:space="preserve"> “……. It is of course perfectly entitled to require that ITAC must act within the bounds of the Constitution and the law. Its right is to fairness in decision making. This it may exact from ITAC through judicial review.”</w:t>
      </w:r>
      <w:r>
        <w:rPr>
          <w:rFonts w:ascii="Arial" w:hAnsi="Arial" w:cs="Arial"/>
          <w:i/>
          <w:iCs/>
          <w:sz w:val="20"/>
          <w:szCs w:val="20"/>
        </w:rPr>
        <w:t xml:space="preserve"> </w:t>
      </w:r>
      <w:r>
        <w:rPr>
          <w:rFonts w:ascii="Arial" w:hAnsi="Arial" w:cs="Arial"/>
          <w:sz w:val="20"/>
          <w:szCs w:val="20"/>
        </w:rPr>
        <w:t xml:space="preserve">At para [104]. </w:t>
      </w:r>
      <w:r w:rsidRPr="009926E5">
        <w:rPr>
          <w:rFonts w:ascii="Arial" w:hAnsi="Arial" w:cs="Arial"/>
          <w:sz w:val="20"/>
          <w:szCs w:val="20"/>
        </w:rPr>
        <w:t>See also International Trade Administration Commission v South African Tyre Manufacturers [2011] ZASCA 137 (23 September 2011) at para 40.</w:t>
      </w:r>
    </w:p>
  </w:footnote>
  <w:footnote w:id="8">
    <w:p w14:paraId="3889AA06" w14:textId="6A740E9A" w:rsidR="00DC2C05" w:rsidRPr="003E2BF9" w:rsidRDefault="00DC2C05" w:rsidP="0078301E">
      <w:pPr>
        <w:pStyle w:val="FootnoteText"/>
        <w:ind w:left="284" w:hanging="284"/>
        <w:rPr>
          <w:rFonts w:ascii="Arial" w:hAnsi="Arial" w:cs="Arial"/>
          <w:sz w:val="20"/>
          <w:szCs w:val="20"/>
        </w:rPr>
      </w:pPr>
      <w:r w:rsidRPr="003E2BF9">
        <w:rPr>
          <w:rStyle w:val="FootnoteReference"/>
          <w:rFonts w:ascii="Arial" w:hAnsi="Arial" w:cs="Arial"/>
          <w:sz w:val="20"/>
          <w:szCs w:val="20"/>
        </w:rPr>
        <w:footnoteRef/>
      </w:r>
      <w:r w:rsidRPr="003E2BF9">
        <w:rPr>
          <w:rFonts w:ascii="Arial" w:hAnsi="Arial" w:cs="Arial"/>
          <w:sz w:val="20"/>
          <w:szCs w:val="20"/>
        </w:rPr>
        <w:t xml:space="preserve"> </w:t>
      </w:r>
      <w:r>
        <w:rPr>
          <w:rFonts w:ascii="Arial" w:hAnsi="Arial" w:cs="Arial"/>
          <w:sz w:val="20"/>
          <w:szCs w:val="20"/>
        </w:rPr>
        <w:tab/>
      </w:r>
      <w:r w:rsidR="006C2C45" w:rsidRPr="006C2C45">
        <w:rPr>
          <w:rFonts w:ascii="Arial" w:hAnsi="Arial" w:cs="Arial"/>
          <w:i/>
          <w:iCs/>
          <w:sz w:val="20"/>
          <w:szCs w:val="20"/>
        </w:rPr>
        <w:t>SCAW</w:t>
      </w:r>
      <w:r w:rsidR="006C2C45">
        <w:rPr>
          <w:rFonts w:ascii="Arial" w:hAnsi="Arial" w:cs="Arial"/>
          <w:sz w:val="20"/>
          <w:szCs w:val="20"/>
        </w:rPr>
        <w:t xml:space="preserve"> a</w:t>
      </w:r>
      <w:r w:rsidRPr="003E2BF9">
        <w:rPr>
          <w:rFonts w:ascii="Arial" w:hAnsi="Arial" w:cs="Arial"/>
          <w:sz w:val="20"/>
          <w:szCs w:val="20"/>
        </w:rPr>
        <w:t>t paras [1]-[3]</w:t>
      </w:r>
      <w:r w:rsidR="00441FE0">
        <w:rPr>
          <w:rFonts w:ascii="Arial" w:hAnsi="Arial" w:cs="Arial"/>
          <w:sz w:val="20"/>
          <w:szCs w:val="20"/>
        </w:rPr>
        <w:t xml:space="preserve"> and [34]</w:t>
      </w:r>
      <w:r w:rsidR="003120FA">
        <w:rPr>
          <w:rFonts w:ascii="Arial" w:hAnsi="Arial" w:cs="Arial"/>
          <w:sz w:val="20"/>
          <w:szCs w:val="20"/>
        </w:rPr>
        <w:t>-</w:t>
      </w:r>
      <w:r w:rsidR="00441FE0">
        <w:rPr>
          <w:rFonts w:ascii="Arial" w:hAnsi="Arial" w:cs="Arial"/>
          <w:sz w:val="20"/>
          <w:szCs w:val="20"/>
        </w:rPr>
        <w:t>[40]</w:t>
      </w:r>
      <w:r w:rsidRPr="003E2BF9">
        <w:rPr>
          <w:rFonts w:ascii="Arial" w:hAnsi="Arial" w:cs="Arial"/>
          <w:sz w:val="20"/>
          <w:szCs w:val="20"/>
        </w:rPr>
        <w:t>.</w:t>
      </w:r>
    </w:p>
  </w:footnote>
  <w:footnote w:id="9">
    <w:p w14:paraId="01792D33" w14:textId="4A535A11" w:rsidR="00DC2C05" w:rsidRPr="00C05042" w:rsidRDefault="00DC2C05" w:rsidP="00D245F3">
      <w:pPr>
        <w:pStyle w:val="FootnoteText"/>
        <w:ind w:left="284" w:hanging="284"/>
        <w:jc w:val="both"/>
        <w:rPr>
          <w:rFonts w:ascii="Arial" w:hAnsi="Arial" w:cs="Arial"/>
          <w:sz w:val="20"/>
          <w:szCs w:val="20"/>
        </w:rPr>
      </w:pPr>
      <w:r w:rsidRPr="00C05042">
        <w:rPr>
          <w:rStyle w:val="FootnoteReference"/>
          <w:rFonts w:ascii="Arial" w:hAnsi="Arial" w:cs="Arial"/>
          <w:sz w:val="20"/>
          <w:szCs w:val="20"/>
        </w:rPr>
        <w:footnoteRef/>
      </w:r>
      <w:r w:rsidRPr="00C05042">
        <w:rPr>
          <w:rFonts w:ascii="Arial" w:hAnsi="Arial" w:cs="Arial"/>
          <w:sz w:val="20"/>
          <w:szCs w:val="20"/>
        </w:rPr>
        <w:t xml:space="preserve"> </w:t>
      </w:r>
      <w:r>
        <w:rPr>
          <w:rFonts w:ascii="Arial" w:hAnsi="Arial" w:cs="Arial"/>
          <w:sz w:val="20"/>
          <w:szCs w:val="20"/>
        </w:rPr>
        <w:tab/>
      </w:r>
      <w:r w:rsidRPr="00C05042">
        <w:rPr>
          <w:rFonts w:ascii="Arial" w:hAnsi="Arial" w:cs="Arial"/>
          <w:sz w:val="20"/>
          <w:szCs w:val="20"/>
        </w:rPr>
        <w:t xml:space="preserve">Besides </w:t>
      </w:r>
      <w:r w:rsidR="00B13443">
        <w:rPr>
          <w:rFonts w:ascii="Arial" w:hAnsi="Arial" w:cs="Arial"/>
          <w:sz w:val="20"/>
          <w:szCs w:val="20"/>
        </w:rPr>
        <w:t>TATA</w:t>
      </w:r>
      <w:r w:rsidRPr="00C05042">
        <w:rPr>
          <w:rFonts w:ascii="Arial" w:hAnsi="Arial" w:cs="Arial"/>
          <w:sz w:val="20"/>
          <w:szCs w:val="20"/>
        </w:rPr>
        <w:t>, other companies also co</w:t>
      </w:r>
      <w:r>
        <w:rPr>
          <w:rFonts w:ascii="Arial" w:hAnsi="Arial" w:cs="Arial"/>
          <w:sz w:val="20"/>
          <w:szCs w:val="20"/>
        </w:rPr>
        <w:t>-</w:t>
      </w:r>
      <w:r w:rsidRPr="00C05042">
        <w:rPr>
          <w:rFonts w:ascii="Arial" w:hAnsi="Arial" w:cs="Arial"/>
          <w:sz w:val="20"/>
          <w:szCs w:val="20"/>
        </w:rPr>
        <w:t xml:space="preserve">operated with </w:t>
      </w:r>
      <w:r w:rsidR="00B13443">
        <w:rPr>
          <w:rFonts w:ascii="Arial" w:hAnsi="Arial" w:cs="Arial"/>
          <w:sz w:val="20"/>
          <w:szCs w:val="20"/>
        </w:rPr>
        <w:t>ITAC</w:t>
      </w:r>
      <w:r w:rsidRPr="00C05042">
        <w:rPr>
          <w:rFonts w:ascii="Arial" w:hAnsi="Arial" w:cs="Arial"/>
          <w:sz w:val="20"/>
          <w:szCs w:val="20"/>
        </w:rPr>
        <w:t xml:space="preserve"> and had their own company specific duties imposed.</w:t>
      </w:r>
    </w:p>
  </w:footnote>
  <w:footnote w:id="10">
    <w:p w14:paraId="6E7A5538" w14:textId="5407B44D" w:rsidR="00DC2C05" w:rsidRPr="002A75C3" w:rsidRDefault="00DC2C05" w:rsidP="005645E5">
      <w:pPr>
        <w:pStyle w:val="FootnoteText"/>
        <w:ind w:left="284" w:hanging="284"/>
        <w:jc w:val="both"/>
        <w:rPr>
          <w:rFonts w:ascii="Arial" w:hAnsi="Arial" w:cs="Arial"/>
          <w:sz w:val="20"/>
          <w:szCs w:val="20"/>
        </w:rPr>
      </w:pPr>
      <w:r w:rsidRPr="002A75C3">
        <w:rPr>
          <w:rStyle w:val="FootnoteReference"/>
          <w:rFonts w:ascii="Arial" w:hAnsi="Arial" w:cs="Arial"/>
          <w:sz w:val="20"/>
          <w:szCs w:val="20"/>
        </w:rPr>
        <w:footnoteRef/>
      </w:r>
      <w:r w:rsidRPr="002A75C3">
        <w:rPr>
          <w:rFonts w:ascii="Arial" w:hAnsi="Arial" w:cs="Arial"/>
          <w:sz w:val="20"/>
          <w:szCs w:val="20"/>
        </w:rPr>
        <w:t xml:space="preserve"> </w:t>
      </w:r>
      <w:r>
        <w:rPr>
          <w:rFonts w:ascii="Arial" w:hAnsi="Arial" w:cs="Arial"/>
          <w:sz w:val="20"/>
          <w:szCs w:val="20"/>
        </w:rPr>
        <w:tab/>
      </w:r>
      <w:r w:rsidRPr="002A75C3">
        <w:rPr>
          <w:rFonts w:ascii="Arial" w:hAnsi="Arial" w:cs="Arial"/>
          <w:sz w:val="20"/>
          <w:szCs w:val="20"/>
        </w:rPr>
        <w:t>Sections 55, 56(2) and 57A.</w:t>
      </w:r>
    </w:p>
  </w:footnote>
  <w:footnote w:id="11">
    <w:p w14:paraId="4057033F" w14:textId="469CC45D" w:rsidR="00DC2C05" w:rsidRPr="002A75C3" w:rsidRDefault="00DC2C05" w:rsidP="005645E5">
      <w:pPr>
        <w:pStyle w:val="FootnoteText"/>
        <w:ind w:left="284" w:hanging="284"/>
        <w:jc w:val="both"/>
        <w:rPr>
          <w:rFonts w:ascii="Arial" w:hAnsi="Arial" w:cs="Arial"/>
          <w:i/>
          <w:iCs/>
          <w:sz w:val="20"/>
          <w:szCs w:val="20"/>
        </w:rPr>
      </w:pPr>
      <w:r w:rsidRPr="002A75C3">
        <w:rPr>
          <w:rStyle w:val="FootnoteReference"/>
          <w:rFonts w:ascii="Arial" w:hAnsi="Arial" w:cs="Arial"/>
          <w:sz w:val="20"/>
          <w:szCs w:val="20"/>
        </w:rPr>
        <w:footnoteRef/>
      </w:r>
      <w:r w:rsidRPr="002A75C3">
        <w:rPr>
          <w:rFonts w:ascii="Arial" w:hAnsi="Arial" w:cs="Arial"/>
          <w:sz w:val="20"/>
          <w:szCs w:val="20"/>
        </w:rPr>
        <w:t xml:space="preserve"> </w:t>
      </w:r>
      <w:r>
        <w:rPr>
          <w:rFonts w:ascii="Arial" w:hAnsi="Arial" w:cs="Arial"/>
          <w:sz w:val="20"/>
          <w:szCs w:val="20"/>
        </w:rPr>
        <w:tab/>
      </w:r>
      <w:r w:rsidRPr="002A75C3">
        <w:rPr>
          <w:rFonts w:ascii="Arial" w:hAnsi="Arial" w:cs="Arial"/>
          <w:sz w:val="20"/>
          <w:szCs w:val="20"/>
        </w:rPr>
        <w:t xml:space="preserve">Section 57A(4) “ </w:t>
      </w:r>
      <w:r w:rsidRPr="002A75C3">
        <w:rPr>
          <w:rFonts w:ascii="Arial" w:hAnsi="Arial" w:cs="Arial"/>
          <w:i/>
          <w:iCs/>
          <w:sz w:val="20"/>
          <w:szCs w:val="20"/>
        </w:rPr>
        <w:t>If no anti-dumping . . . is imposed before expiry of the period for which a provisional payment in relation to the goods concerned has been imposed, the amount of such payment shall be refunded”.</w:t>
      </w:r>
    </w:p>
  </w:footnote>
  <w:footnote w:id="12">
    <w:p w14:paraId="353CF140" w14:textId="07260E30" w:rsidR="00DC2C05" w:rsidRPr="002A75C3" w:rsidRDefault="00DC2C05" w:rsidP="005645E5">
      <w:pPr>
        <w:pStyle w:val="FootnoteText"/>
        <w:ind w:left="284" w:hanging="284"/>
        <w:jc w:val="both"/>
        <w:rPr>
          <w:rFonts w:ascii="Arial" w:hAnsi="Arial" w:cs="Arial"/>
          <w:i/>
          <w:iCs/>
          <w:sz w:val="20"/>
          <w:szCs w:val="20"/>
        </w:rPr>
      </w:pPr>
      <w:r w:rsidRPr="002A75C3">
        <w:rPr>
          <w:rStyle w:val="FootnoteReference"/>
          <w:rFonts w:ascii="Arial" w:hAnsi="Arial" w:cs="Arial"/>
          <w:sz w:val="20"/>
          <w:szCs w:val="20"/>
        </w:rPr>
        <w:footnoteRef/>
      </w:r>
      <w:r w:rsidRPr="002A75C3">
        <w:rPr>
          <w:rFonts w:ascii="Arial" w:hAnsi="Arial" w:cs="Arial"/>
          <w:sz w:val="20"/>
          <w:szCs w:val="20"/>
        </w:rPr>
        <w:t xml:space="preserve"> </w:t>
      </w:r>
      <w:r>
        <w:rPr>
          <w:rFonts w:ascii="Arial" w:hAnsi="Arial" w:cs="Arial"/>
          <w:sz w:val="20"/>
          <w:szCs w:val="20"/>
        </w:rPr>
        <w:tab/>
      </w:r>
      <w:r w:rsidRPr="002A75C3">
        <w:rPr>
          <w:rFonts w:ascii="Arial" w:hAnsi="Arial" w:cs="Arial"/>
          <w:sz w:val="20"/>
          <w:szCs w:val="20"/>
        </w:rPr>
        <w:t xml:space="preserve">Section 57A(5) </w:t>
      </w:r>
      <w:r w:rsidRPr="002A75C3">
        <w:rPr>
          <w:rFonts w:ascii="Arial" w:hAnsi="Arial" w:cs="Arial"/>
          <w:i/>
          <w:iCs/>
          <w:sz w:val="20"/>
          <w:szCs w:val="20"/>
        </w:rPr>
        <w:t>“If the amount of any such provisional payment on the said goods –</w:t>
      </w:r>
    </w:p>
    <w:p w14:paraId="022BBBF2" w14:textId="0F097F9A" w:rsidR="00DC2C05" w:rsidRPr="002A75C3" w:rsidRDefault="00995931" w:rsidP="00995931">
      <w:pPr>
        <w:pStyle w:val="FootnoteText"/>
        <w:ind w:left="567" w:hanging="283"/>
        <w:jc w:val="both"/>
        <w:rPr>
          <w:rFonts w:ascii="Arial" w:hAnsi="Arial" w:cs="Arial"/>
          <w:i/>
          <w:iCs/>
          <w:sz w:val="20"/>
          <w:szCs w:val="20"/>
        </w:rPr>
      </w:pPr>
      <w:r w:rsidRPr="002A75C3">
        <w:rPr>
          <w:rFonts w:ascii="Arial" w:hAnsi="Arial" w:cs="Arial"/>
          <w:i/>
          <w:iCs/>
          <w:sz w:val="20"/>
          <w:szCs w:val="20"/>
        </w:rPr>
        <w:t>(a)</w:t>
      </w:r>
      <w:r w:rsidRPr="002A75C3">
        <w:rPr>
          <w:rFonts w:ascii="Arial" w:hAnsi="Arial" w:cs="Arial"/>
          <w:i/>
          <w:iCs/>
          <w:sz w:val="20"/>
          <w:szCs w:val="20"/>
        </w:rPr>
        <w:tab/>
      </w:r>
      <w:r w:rsidR="00DC2C05" w:rsidRPr="002A75C3">
        <w:rPr>
          <w:rFonts w:ascii="Arial" w:hAnsi="Arial" w:cs="Arial"/>
          <w:i/>
          <w:iCs/>
          <w:sz w:val="20"/>
          <w:szCs w:val="20"/>
        </w:rPr>
        <w:t>Exceeds the amount of any anti-dumping, . . .  retrospectively imposed on such goods under section 56, 56A or 57, the amount of the difference shall be refunded; or</w:t>
      </w:r>
    </w:p>
    <w:p w14:paraId="1BD541B2" w14:textId="0305C2A9" w:rsidR="00DC2C05" w:rsidRPr="002A75C3" w:rsidRDefault="00995931" w:rsidP="00995931">
      <w:pPr>
        <w:pStyle w:val="FootnoteText"/>
        <w:ind w:left="567" w:hanging="283"/>
        <w:jc w:val="both"/>
        <w:rPr>
          <w:rFonts w:ascii="Arial" w:hAnsi="Arial" w:cs="Arial"/>
          <w:sz w:val="20"/>
          <w:szCs w:val="20"/>
        </w:rPr>
      </w:pPr>
      <w:r w:rsidRPr="002A75C3">
        <w:rPr>
          <w:rFonts w:ascii="Arial" w:hAnsi="Arial" w:cs="Arial"/>
          <w:sz w:val="20"/>
          <w:szCs w:val="20"/>
        </w:rPr>
        <w:t>(b)</w:t>
      </w:r>
      <w:r w:rsidRPr="002A75C3">
        <w:rPr>
          <w:rFonts w:ascii="Arial" w:hAnsi="Arial" w:cs="Arial"/>
          <w:sz w:val="20"/>
          <w:szCs w:val="20"/>
        </w:rPr>
        <w:tab/>
      </w:r>
      <w:r w:rsidR="00DC2C05" w:rsidRPr="002A75C3">
        <w:rPr>
          <w:rFonts w:ascii="Arial" w:hAnsi="Arial" w:cs="Arial"/>
          <w:i/>
          <w:iCs/>
          <w:sz w:val="20"/>
          <w:szCs w:val="20"/>
        </w:rPr>
        <w:t>Is less than the amount of the anti-dumping. . .  so imposed, the amount of the difference shall not be collected</w:t>
      </w:r>
      <w:r w:rsidR="00DC2C05" w:rsidRPr="002A75C3">
        <w:rPr>
          <w:rFonts w:ascii="Arial" w:hAnsi="Arial" w:cs="Arial"/>
          <w:sz w:val="20"/>
          <w:szCs w:val="20"/>
        </w:rPr>
        <w:t>.”</w:t>
      </w:r>
    </w:p>
  </w:footnote>
  <w:footnote w:id="13">
    <w:p w14:paraId="0BA1A973" w14:textId="23327013" w:rsidR="00DC2C05" w:rsidRPr="00860F1C" w:rsidRDefault="00DC2C05" w:rsidP="005645E5">
      <w:pPr>
        <w:pStyle w:val="FootnoteText"/>
        <w:ind w:left="284" w:hanging="284"/>
        <w:jc w:val="both"/>
        <w:rPr>
          <w:rFonts w:ascii="Arial" w:hAnsi="Arial" w:cs="Arial"/>
          <w:sz w:val="20"/>
          <w:szCs w:val="20"/>
        </w:rPr>
      </w:pPr>
      <w:r w:rsidRPr="00860F1C">
        <w:rPr>
          <w:rStyle w:val="FootnoteReference"/>
          <w:rFonts w:ascii="Arial" w:hAnsi="Arial" w:cs="Arial"/>
          <w:sz w:val="20"/>
          <w:szCs w:val="20"/>
        </w:rPr>
        <w:footnoteRef/>
      </w:r>
      <w:r w:rsidRPr="00860F1C">
        <w:rPr>
          <w:rFonts w:ascii="Arial" w:hAnsi="Arial" w:cs="Arial"/>
          <w:sz w:val="20"/>
          <w:szCs w:val="20"/>
        </w:rPr>
        <w:t xml:space="preserve"> </w:t>
      </w:r>
      <w:r>
        <w:rPr>
          <w:rFonts w:ascii="Arial" w:hAnsi="Arial" w:cs="Arial"/>
          <w:sz w:val="20"/>
          <w:szCs w:val="20"/>
        </w:rPr>
        <w:tab/>
      </w:r>
      <w:r w:rsidRPr="00860F1C">
        <w:rPr>
          <w:rFonts w:ascii="Arial" w:hAnsi="Arial" w:cs="Arial"/>
          <w:sz w:val="20"/>
          <w:szCs w:val="20"/>
        </w:rPr>
        <w:t>Section 57A(3) “Such provisional payment shall be paid on goods subject thereto, at the time of entry for home consumption thereof, as security for any anti-dumping, countervailing or safeguard duty which may be retrospectively imposed on such goods under section 56, 56A or 57 and may be set off against the amount of the retrospective anti-dumping, countervailing or safeguard duty payable.”</w:t>
      </w:r>
    </w:p>
  </w:footnote>
  <w:footnote w:id="14">
    <w:p w14:paraId="1279ADCA" w14:textId="52E95893" w:rsidR="00DC2C05" w:rsidRPr="00860F1C" w:rsidRDefault="00DC2C05" w:rsidP="005645E5">
      <w:pPr>
        <w:pStyle w:val="FootnoteText"/>
        <w:ind w:left="284" w:hanging="284"/>
        <w:jc w:val="both"/>
        <w:rPr>
          <w:rFonts w:ascii="Arial" w:hAnsi="Arial" w:cs="Arial"/>
          <w:sz w:val="20"/>
          <w:szCs w:val="20"/>
        </w:rPr>
      </w:pPr>
      <w:r w:rsidRPr="00860F1C">
        <w:rPr>
          <w:rStyle w:val="FootnoteReference"/>
          <w:rFonts w:ascii="Arial" w:hAnsi="Arial" w:cs="Arial"/>
          <w:sz w:val="20"/>
          <w:szCs w:val="20"/>
        </w:rPr>
        <w:footnoteRef/>
      </w:r>
      <w:r>
        <w:rPr>
          <w:rFonts w:ascii="Arial" w:hAnsi="Arial" w:cs="Arial"/>
          <w:sz w:val="20"/>
          <w:szCs w:val="20"/>
        </w:rPr>
        <w:t xml:space="preserve"> </w:t>
      </w:r>
      <w:r>
        <w:rPr>
          <w:rFonts w:ascii="Arial" w:hAnsi="Arial" w:cs="Arial"/>
          <w:sz w:val="20"/>
          <w:szCs w:val="20"/>
        </w:rPr>
        <w:tab/>
      </w:r>
      <w:r w:rsidRPr="00860F1C">
        <w:rPr>
          <w:rFonts w:ascii="Arial" w:hAnsi="Arial" w:cs="Arial"/>
          <w:sz w:val="20"/>
          <w:szCs w:val="20"/>
        </w:rPr>
        <w:t xml:space="preserve">These were published in Government Gazette GG No 37756 on that day and that they were </w:t>
      </w:r>
      <w:r w:rsidRPr="00860F1C">
        <w:rPr>
          <w:rFonts w:ascii="Arial" w:hAnsi="Arial" w:cs="Arial"/>
          <w:i/>
          <w:iCs/>
          <w:sz w:val="20"/>
          <w:szCs w:val="20"/>
        </w:rPr>
        <w:t>“with retrospective effect from 20 December 2013”.</w:t>
      </w:r>
    </w:p>
  </w:footnote>
  <w:footnote w:id="15">
    <w:p w14:paraId="1682A187" w14:textId="5395AFB8" w:rsidR="00DC2C05" w:rsidRDefault="00DC2C05" w:rsidP="005645E5">
      <w:pPr>
        <w:pStyle w:val="FootnoteText"/>
        <w:ind w:left="284" w:hanging="284"/>
        <w:jc w:val="both"/>
      </w:pPr>
      <w:r w:rsidRPr="00860F1C">
        <w:rPr>
          <w:rStyle w:val="FootnoteReference"/>
          <w:rFonts w:ascii="Arial" w:hAnsi="Arial" w:cs="Arial"/>
          <w:sz w:val="20"/>
          <w:szCs w:val="20"/>
        </w:rPr>
        <w:footnoteRef/>
      </w:r>
      <w:r w:rsidRPr="00860F1C">
        <w:rPr>
          <w:rFonts w:ascii="Arial" w:hAnsi="Arial" w:cs="Arial"/>
          <w:sz w:val="20"/>
          <w:szCs w:val="20"/>
        </w:rPr>
        <w:t xml:space="preserve"> </w:t>
      </w:r>
      <w:r>
        <w:rPr>
          <w:rFonts w:ascii="Arial" w:hAnsi="Arial" w:cs="Arial"/>
          <w:sz w:val="20"/>
          <w:szCs w:val="20"/>
        </w:rPr>
        <w:tab/>
      </w:r>
      <w:r w:rsidRPr="00860F1C">
        <w:rPr>
          <w:rFonts w:ascii="Arial" w:hAnsi="Arial" w:cs="Arial"/>
          <w:i/>
          <w:iCs/>
          <w:sz w:val="20"/>
          <w:szCs w:val="20"/>
        </w:rPr>
        <w:t>Scaw</w:t>
      </w:r>
      <w:r w:rsidRPr="00860F1C">
        <w:rPr>
          <w:rFonts w:ascii="Arial" w:hAnsi="Arial" w:cs="Arial"/>
          <w:sz w:val="20"/>
          <w:szCs w:val="20"/>
        </w:rPr>
        <w:t xml:space="preserve"> supra at paras [36] – [37].</w:t>
      </w:r>
    </w:p>
  </w:footnote>
  <w:footnote w:id="16">
    <w:p w14:paraId="263AC039" w14:textId="30830800" w:rsidR="00DC2C05" w:rsidRPr="009542EF" w:rsidRDefault="00DC2C05" w:rsidP="005645E5">
      <w:pPr>
        <w:pStyle w:val="FootnoteText"/>
        <w:ind w:left="284" w:hanging="284"/>
        <w:rPr>
          <w:rFonts w:ascii="Arial" w:hAnsi="Arial" w:cs="Arial"/>
          <w:sz w:val="20"/>
          <w:szCs w:val="20"/>
        </w:rPr>
      </w:pPr>
      <w:r w:rsidRPr="009542EF">
        <w:rPr>
          <w:rStyle w:val="FootnoteReference"/>
          <w:rFonts w:ascii="Arial" w:hAnsi="Arial" w:cs="Arial"/>
          <w:sz w:val="20"/>
          <w:szCs w:val="20"/>
        </w:rPr>
        <w:footnoteRef/>
      </w:r>
      <w:r w:rsidRPr="009542EF">
        <w:rPr>
          <w:rFonts w:ascii="Arial" w:hAnsi="Arial" w:cs="Arial"/>
          <w:sz w:val="20"/>
          <w:szCs w:val="20"/>
        </w:rPr>
        <w:t xml:space="preserve"> </w:t>
      </w:r>
      <w:r>
        <w:rPr>
          <w:rFonts w:ascii="Arial" w:hAnsi="Arial" w:cs="Arial"/>
          <w:sz w:val="20"/>
          <w:szCs w:val="20"/>
        </w:rPr>
        <w:tab/>
      </w:r>
      <w:r w:rsidRPr="009542EF">
        <w:rPr>
          <w:rFonts w:ascii="Arial" w:hAnsi="Arial" w:cs="Arial"/>
          <w:sz w:val="20"/>
          <w:szCs w:val="20"/>
        </w:rPr>
        <w:t xml:space="preserve">Government Gazette </w:t>
      </w:r>
      <w:r>
        <w:rPr>
          <w:rFonts w:ascii="Arial" w:hAnsi="Arial" w:cs="Arial"/>
          <w:sz w:val="20"/>
          <w:szCs w:val="20"/>
        </w:rPr>
        <w:t>No. 11071 of 30 March 2020.</w:t>
      </w:r>
    </w:p>
  </w:footnote>
  <w:footnote w:id="17">
    <w:p w14:paraId="7CD892DB" w14:textId="2DD6BFE4" w:rsidR="00DC2C05" w:rsidRDefault="00DC2C05" w:rsidP="005645E5">
      <w:pPr>
        <w:pStyle w:val="FootnoteText"/>
        <w:ind w:left="284" w:hanging="284"/>
        <w:jc w:val="both"/>
      </w:pPr>
      <w:r w:rsidRPr="009542EF">
        <w:rPr>
          <w:rStyle w:val="FootnoteReference"/>
          <w:rFonts w:ascii="Arial" w:hAnsi="Arial" w:cs="Arial"/>
          <w:sz w:val="20"/>
          <w:szCs w:val="20"/>
        </w:rPr>
        <w:footnoteRef/>
      </w:r>
      <w:r w:rsidRPr="009542EF">
        <w:rPr>
          <w:rFonts w:ascii="Arial" w:hAnsi="Arial" w:cs="Arial"/>
          <w:sz w:val="20"/>
          <w:szCs w:val="20"/>
        </w:rPr>
        <w:t xml:space="preserve"> </w:t>
      </w:r>
      <w:r>
        <w:rPr>
          <w:rFonts w:ascii="Arial" w:hAnsi="Arial" w:cs="Arial"/>
          <w:sz w:val="20"/>
          <w:szCs w:val="20"/>
        </w:rPr>
        <w:tab/>
      </w:r>
      <w:r w:rsidRPr="009542EF">
        <w:rPr>
          <w:rFonts w:ascii="Arial" w:hAnsi="Arial" w:cs="Arial"/>
          <w:sz w:val="20"/>
          <w:szCs w:val="20"/>
        </w:rPr>
        <w:t>Published in Government Gazette No 25684 of 14 November 2003.</w:t>
      </w:r>
    </w:p>
  </w:footnote>
  <w:footnote w:id="18">
    <w:p w14:paraId="277BF3EF" w14:textId="33361FD3" w:rsidR="00DC2C05" w:rsidRPr="00C05042" w:rsidRDefault="00DC2C05" w:rsidP="005645E5">
      <w:pPr>
        <w:pStyle w:val="FootnoteText"/>
        <w:ind w:left="284" w:hanging="284"/>
        <w:jc w:val="both"/>
        <w:rPr>
          <w:rFonts w:ascii="Arial" w:hAnsi="Arial" w:cs="Arial"/>
          <w:sz w:val="20"/>
          <w:szCs w:val="20"/>
        </w:rPr>
      </w:pPr>
      <w:r w:rsidRPr="00C05042">
        <w:rPr>
          <w:rStyle w:val="FootnoteReference"/>
          <w:rFonts w:ascii="Arial" w:hAnsi="Arial" w:cs="Arial"/>
          <w:sz w:val="20"/>
          <w:szCs w:val="20"/>
        </w:rPr>
        <w:footnoteRef/>
      </w:r>
      <w:r w:rsidRPr="00C05042">
        <w:rPr>
          <w:rFonts w:ascii="Arial" w:hAnsi="Arial" w:cs="Arial"/>
          <w:sz w:val="20"/>
          <w:szCs w:val="20"/>
        </w:rPr>
        <w:t xml:space="preserve"> </w:t>
      </w:r>
      <w:r>
        <w:rPr>
          <w:rFonts w:ascii="Arial" w:hAnsi="Arial" w:cs="Arial"/>
          <w:sz w:val="20"/>
          <w:szCs w:val="20"/>
        </w:rPr>
        <w:tab/>
      </w:r>
      <w:r w:rsidRPr="00C05042">
        <w:rPr>
          <w:rFonts w:ascii="Arial" w:hAnsi="Arial" w:cs="Arial"/>
          <w:sz w:val="20"/>
          <w:szCs w:val="20"/>
        </w:rPr>
        <w:t>The ordinary meaning of which is “the action of imposing a charge, obligation, duty” The Shorter Oxford English Dictionary, Volume 1, Oxford Press, 2007.</w:t>
      </w:r>
    </w:p>
  </w:footnote>
  <w:footnote w:id="19">
    <w:p w14:paraId="5DF3F601" w14:textId="4FCE2A35" w:rsidR="00DC2C05" w:rsidRDefault="00DC2C05" w:rsidP="00D245F3">
      <w:pPr>
        <w:pStyle w:val="FootnoteText"/>
        <w:ind w:left="284" w:hanging="284"/>
        <w:jc w:val="both"/>
      </w:pPr>
      <w:r>
        <w:rPr>
          <w:rStyle w:val="FootnoteReference"/>
        </w:rPr>
        <w:footnoteRef/>
      </w:r>
      <w:r>
        <w:t xml:space="preserve"> </w:t>
      </w:r>
      <w:r>
        <w:tab/>
      </w:r>
      <w:r w:rsidRPr="00D245F3">
        <w:rPr>
          <w:rFonts w:ascii="Arial" w:hAnsi="Arial" w:cs="Arial"/>
          <w:sz w:val="20"/>
          <w:szCs w:val="20"/>
        </w:rPr>
        <w:t xml:space="preserve">Regulation 54(1) provides: </w:t>
      </w:r>
      <w:r w:rsidRPr="00D245F3">
        <w:rPr>
          <w:rFonts w:ascii="Arial" w:hAnsi="Arial" w:cs="Arial"/>
          <w:i/>
          <w:iCs/>
          <w:sz w:val="20"/>
          <w:szCs w:val="20"/>
        </w:rPr>
        <w:t>“A notice indicating that an anti-dumping duty will lapse on a specific date unless a sunset review is initiated shall be published in the Government Gazette approximately 6 months prior to the lapse of such anti-dumping duty.”</w:t>
      </w:r>
    </w:p>
  </w:footnote>
  <w:footnote w:id="20">
    <w:p w14:paraId="05D37082" w14:textId="6153D758" w:rsidR="00202A41" w:rsidRPr="00202A41" w:rsidRDefault="00202A41" w:rsidP="00202A41">
      <w:pPr>
        <w:pStyle w:val="FootnoteText"/>
        <w:ind w:left="284" w:hanging="284"/>
        <w:rPr>
          <w:rFonts w:ascii="Arial" w:hAnsi="Arial" w:cs="Arial"/>
          <w:sz w:val="20"/>
          <w:szCs w:val="20"/>
        </w:rPr>
      </w:pPr>
      <w:r w:rsidRPr="00202A41">
        <w:rPr>
          <w:rStyle w:val="FootnoteReference"/>
          <w:rFonts w:ascii="Arial" w:hAnsi="Arial" w:cs="Arial"/>
          <w:sz w:val="20"/>
          <w:szCs w:val="20"/>
        </w:rPr>
        <w:footnoteRef/>
      </w:r>
      <w:r w:rsidRPr="00202A41">
        <w:rPr>
          <w:rFonts w:ascii="Arial" w:hAnsi="Arial" w:cs="Arial"/>
          <w:sz w:val="20"/>
          <w:szCs w:val="20"/>
        </w:rPr>
        <w:t xml:space="preserve"> </w:t>
      </w:r>
      <w:r w:rsidR="00361C33">
        <w:rPr>
          <w:rFonts w:ascii="Arial" w:hAnsi="Arial" w:cs="Arial"/>
          <w:sz w:val="20"/>
          <w:szCs w:val="20"/>
        </w:rPr>
        <w:tab/>
      </w:r>
      <w:r w:rsidRPr="00202A41">
        <w:rPr>
          <w:rFonts w:ascii="Arial" w:hAnsi="Arial" w:cs="Arial"/>
          <w:i/>
          <w:iCs/>
          <w:sz w:val="20"/>
          <w:szCs w:val="20"/>
        </w:rPr>
        <w:t>“If a sunset review has been initiated prior to the lapse of an anti-dumping duty, such anti-dumping duty shall remain in force until the sunset review has been finalized.”</w:t>
      </w:r>
    </w:p>
  </w:footnote>
  <w:footnote w:id="21">
    <w:p w14:paraId="5F0F726F" w14:textId="0B523A7B" w:rsidR="00DC2C05" w:rsidRPr="00A019EC" w:rsidRDefault="00DC2C05" w:rsidP="005645E5">
      <w:pPr>
        <w:pStyle w:val="FootnoteText"/>
        <w:ind w:left="284" w:hanging="284"/>
        <w:rPr>
          <w:rFonts w:ascii="Arial" w:hAnsi="Arial" w:cs="Arial"/>
          <w:sz w:val="20"/>
          <w:szCs w:val="20"/>
        </w:rPr>
      </w:pPr>
      <w:r w:rsidRPr="00A019EC">
        <w:rPr>
          <w:rStyle w:val="FootnoteReference"/>
          <w:rFonts w:ascii="Arial" w:hAnsi="Arial" w:cs="Arial"/>
          <w:sz w:val="20"/>
          <w:szCs w:val="20"/>
        </w:rPr>
        <w:footnoteRef/>
      </w:r>
      <w:r w:rsidRPr="00A019EC">
        <w:rPr>
          <w:rFonts w:ascii="Arial" w:hAnsi="Arial" w:cs="Arial"/>
          <w:sz w:val="20"/>
          <w:szCs w:val="20"/>
        </w:rPr>
        <w:t xml:space="preserve"> </w:t>
      </w:r>
      <w:r>
        <w:rPr>
          <w:rFonts w:ascii="Arial" w:hAnsi="Arial" w:cs="Arial"/>
          <w:sz w:val="20"/>
          <w:szCs w:val="20"/>
        </w:rPr>
        <w:tab/>
      </w:r>
      <w:r w:rsidRPr="00023284">
        <w:rPr>
          <w:rFonts w:ascii="Arial" w:hAnsi="Arial" w:cs="Arial"/>
          <w:sz w:val="20"/>
          <w:szCs w:val="20"/>
        </w:rPr>
        <w:t>2008 (2) SA 13 (SCA)</w:t>
      </w:r>
      <w:r w:rsidR="003120FA">
        <w:rPr>
          <w:rFonts w:ascii="Arial" w:hAnsi="Arial" w:cs="Arial"/>
          <w:sz w:val="20"/>
          <w:szCs w:val="20"/>
        </w:rPr>
        <w:t>.</w:t>
      </w:r>
    </w:p>
  </w:footnote>
  <w:footnote w:id="22">
    <w:p w14:paraId="22AC254C" w14:textId="7FD0B886" w:rsidR="00DC2C05" w:rsidRPr="00135D96" w:rsidRDefault="00DC2C05" w:rsidP="005645E5">
      <w:pPr>
        <w:pStyle w:val="FootnoteText"/>
        <w:ind w:left="284" w:hanging="284"/>
        <w:jc w:val="both"/>
        <w:rPr>
          <w:rFonts w:ascii="Arial" w:hAnsi="Arial" w:cs="Arial"/>
          <w:sz w:val="20"/>
          <w:szCs w:val="20"/>
        </w:rPr>
      </w:pPr>
      <w:r w:rsidRPr="00135D96">
        <w:rPr>
          <w:rStyle w:val="FootnoteReference"/>
          <w:rFonts w:ascii="Arial" w:hAnsi="Arial" w:cs="Arial"/>
          <w:sz w:val="20"/>
          <w:szCs w:val="20"/>
        </w:rPr>
        <w:footnoteRef/>
      </w:r>
      <w:r w:rsidRPr="00135D96">
        <w:rPr>
          <w:rFonts w:ascii="Arial" w:hAnsi="Arial" w:cs="Arial"/>
          <w:sz w:val="20"/>
          <w:szCs w:val="20"/>
        </w:rPr>
        <w:t xml:space="preserve"> </w:t>
      </w:r>
      <w:r>
        <w:rPr>
          <w:rFonts w:ascii="Arial" w:hAnsi="Arial" w:cs="Arial"/>
          <w:sz w:val="20"/>
          <w:szCs w:val="20"/>
        </w:rPr>
        <w:tab/>
      </w:r>
      <w:r w:rsidRPr="00135D96">
        <w:rPr>
          <w:rFonts w:ascii="Arial" w:hAnsi="Arial" w:cs="Arial"/>
          <w:sz w:val="20"/>
          <w:szCs w:val="20"/>
        </w:rPr>
        <w:t xml:space="preserve">Regulation 68.1 provided that </w:t>
      </w:r>
      <w:r w:rsidRPr="00135D96">
        <w:rPr>
          <w:rFonts w:ascii="Arial" w:hAnsi="Arial" w:cs="Arial"/>
          <w:i/>
          <w:iCs/>
          <w:sz w:val="20"/>
          <w:szCs w:val="20"/>
        </w:rPr>
        <w:t>“These regulations shall apply to all investigations and reviews initiated after the promulgation of the regulations”.</w:t>
      </w:r>
      <w:r w:rsidRPr="00135D96">
        <w:rPr>
          <w:rFonts w:ascii="Arial" w:hAnsi="Arial" w:cs="Arial"/>
          <w:sz w:val="20"/>
          <w:szCs w:val="20"/>
        </w:rPr>
        <w:t xml:space="preserve">  </w:t>
      </w:r>
    </w:p>
  </w:footnote>
  <w:footnote w:id="23">
    <w:p w14:paraId="158A734F" w14:textId="3761BCB8" w:rsidR="00DC2C05" w:rsidRDefault="00DC2C05" w:rsidP="005645E5">
      <w:pPr>
        <w:pStyle w:val="FootnoteText"/>
        <w:ind w:left="284" w:hanging="284"/>
      </w:pPr>
      <w:r w:rsidRPr="00135D96">
        <w:rPr>
          <w:rStyle w:val="FootnoteReference"/>
          <w:rFonts w:ascii="Arial" w:hAnsi="Arial" w:cs="Arial"/>
          <w:sz w:val="20"/>
          <w:szCs w:val="20"/>
        </w:rPr>
        <w:footnoteRef/>
      </w:r>
      <w:r w:rsidRPr="00135D96">
        <w:rPr>
          <w:rFonts w:ascii="Arial" w:hAnsi="Arial" w:cs="Arial"/>
          <w:sz w:val="20"/>
          <w:szCs w:val="20"/>
        </w:rPr>
        <w:t xml:space="preserve"> </w:t>
      </w:r>
      <w:r w:rsidRPr="000A5270">
        <w:rPr>
          <w:rFonts w:ascii="Arial" w:hAnsi="Arial" w:cs="Arial"/>
          <w:i/>
          <w:iCs/>
          <w:sz w:val="20"/>
          <w:szCs w:val="20"/>
        </w:rPr>
        <w:tab/>
        <w:t>Progress</w:t>
      </w:r>
      <w:r w:rsidRPr="00135D96">
        <w:rPr>
          <w:rFonts w:ascii="Arial" w:hAnsi="Arial" w:cs="Arial"/>
          <w:i/>
          <w:iCs/>
          <w:sz w:val="20"/>
          <w:szCs w:val="20"/>
        </w:rPr>
        <w:t xml:space="preserve"> Office Machines</w:t>
      </w:r>
      <w:r w:rsidRPr="00135D96">
        <w:rPr>
          <w:rFonts w:ascii="Arial" w:hAnsi="Arial" w:cs="Arial"/>
          <w:sz w:val="20"/>
          <w:szCs w:val="20"/>
        </w:rPr>
        <w:t xml:space="preserve"> </w:t>
      </w:r>
      <w:r w:rsidRPr="009942AE">
        <w:rPr>
          <w:rFonts w:ascii="Arial" w:hAnsi="Arial" w:cs="Arial"/>
          <w:sz w:val="20"/>
          <w:szCs w:val="20"/>
        </w:rPr>
        <w:t>supra</w:t>
      </w:r>
      <w:r w:rsidRPr="00135D96">
        <w:rPr>
          <w:rFonts w:ascii="Arial" w:hAnsi="Arial" w:cs="Arial"/>
          <w:sz w:val="20"/>
          <w:szCs w:val="20"/>
        </w:rPr>
        <w:t>.</w:t>
      </w:r>
    </w:p>
  </w:footnote>
  <w:footnote w:id="24">
    <w:p w14:paraId="7C220668" w14:textId="16B030C9" w:rsidR="00DC2C05" w:rsidRPr="00363CD3" w:rsidRDefault="00DC2C05" w:rsidP="005645E5">
      <w:pPr>
        <w:pStyle w:val="FootnoteText"/>
        <w:ind w:left="284" w:hanging="284"/>
        <w:rPr>
          <w:rFonts w:ascii="Arial" w:hAnsi="Arial" w:cs="Arial"/>
          <w:sz w:val="20"/>
          <w:szCs w:val="20"/>
        </w:rPr>
      </w:pPr>
      <w:r w:rsidRPr="00363CD3">
        <w:rPr>
          <w:rStyle w:val="FootnoteReference"/>
          <w:rFonts w:ascii="Arial" w:hAnsi="Arial" w:cs="Arial"/>
          <w:sz w:val="20"/>
          <w:szCs w:val="20"/>
        </w:rPr>
        <w:footnoteRef/>
      </w:r>
      <w:r w:rsidRPr="00363CD3">
        <w:rPr>
          <w:rFonts w:ascii="Arial" w:hAnsi="Arial" w:cs="Arial"/>
          <w:sz w:val="20"/>
          <w:szCs w:val="20"/>
        </w:rPr>
        <w:t xml:space="preserve"> </w:t>
      </w:r>
      <w:r>
        <w:rPr>
          <w:rFonts w:ascii="Arial" w:hAnsi="Arial" w:cs="Arial"/>
          <w:sz w:val="20"/>
          <w:szCs w:val="20"/>
        </w:rPr>
        <w:tab/>
      </w:r>
      <w:r w:rsidRPr="00363CD3">
        <w:rPr>
          <w:rFonts w:ascii="Arial" w:hAnsi="Arial" w:cs="Arial"/>
          <w:sz w:val="20"/>
          <w:szCs w:val="20"/>
        </w:rPr>
        <w:t xml:space="preserve">[2013] 4 All SA 253 (SCA) at </w:t>
      </w:r>
      <w:r>
        <w:rPr>
          <w:rFonts w:ascii="Arial" w:hAnsi="Arial" w:cs="Arial"/>
          <w:sz w:val="20"/>
          <w:szCs w:val="20"/>
        </w:rPr>
        <w:t>278 - 279.</w:t>
      </w:r>
    </w:p>
  </w:footnote>
  <w:footnote w:id="25">
    <w:p w14:paraId="5BAEB408" w14:textId="4C4F5219" w:rsidR="00DC2C05" w:rsidRDefault="00DC2C05" w:rsidP="005645E5">
      <w:pPr>
        <w:pStyle w:val="FootnoteText"/>
        <w:ind w:left="284" w:hanging="284"/>
        <w:jc w:val="both"/>
      </w:pPr>
      <w:r w:rsidRPr="00363CD3">
        <w:rPr>
          <w:rStyle w:val="FootnoteReference"/>
          <w:rFonts w:ascii="Arial" w:hAnsi="Arial" w:cs="Arial"/>
          <w:sz w:val="20"/>
          <w:szCs w:val="20"/>
        </w:rPr>
        <w:footnoteRef/>
      </w:r>
      <w:r w:rsidRPr="00363CD3">
        <w:rPr>
          <w:rFonts w:ascii="Arial" w:hAnsi="Arial" w:cs="Arial"/>
          <w:sz w:val="20"/>
          <w:szCs w:val="20"/>
        </w:rPr>
        <w:t xml:space="preserve"> </w:t>
      </w:r>
      <w:r>
        <w:rPr>
          <w:rFonts w:ascii="Arial" w:hAnsi="Arial" w:cs="Arial"/>
          <w:sz w:val="20"/>
          <w:szCs w:val="20"/>
        </w:rPr>
        <w:tab/>
      </w:r>
      <w:r w:rsidRPr="00363CD3">
        <w:rPr>
          <w:rFonts w:ascii="Arial" w:hAnsi="Arial" w:cs="Arial"/>
          <w:sz w:val="20"/>
          <w:szCs w:val="20"/>
        </w:rPr>
        <w:t xml:space="preserve">2019 (2) SA 329 (CC) at para [21], </w:t>
      </w:r>
      <w:r w:rsidR="003C6333" w:rsidRPr="003120FA">
        <w:rPr>
          <w:rFonts w:ascii="Arial" w:hAnsi="Arial" w:cs="Arial"/>
          <w:i/>
          <w:iCs/>
          <w:sz w:val="20"/>
          <w:szCs w:val="20"/>
        </w:rPr>
        <w:t xml:space="preserve">Ex Parte Minister of Safety and Security and </w:t>
      </w:r>
      <w:r w:rsidR="003120FA" w:rsidRPr="003120FA">
        <w:rPr>
          <w:rFonts w:ascii="Arial" w:hAnsi="Arial" w:cs="Arial"/>
          <w:i/>
          <w:iCs/>
          <w:sz w:val="20"/>
          <w:szCs w:val="20"/>
        </w:rPr>
        <w:t>Others: In</w:t>
      </w:r>
      <w:r w:rsidR="003C6333" w:rsidRPr="003120FA">
        <w:rPr>
          <w:rFonts w:ascii="Arial" w:hAnsi="Arial" w:cs="Arial"/>
          <w:i/>
          <w:iCs/>
          <w:sz w:val="20"/>
          <w:szCs w:val="20"/>
        </w:rPr>
        <w:t xml:space="preserve"> re S v Walters and Another </w:t>
      </w:r>
      <w:r w:rsidR="003C6333">
        <w:rPr>
          <w:rFonts w:ascii="Arial" w:hAnsi="Arial" w:cs="Arial"/>
          <w:sz w:val="20"/>
          <w:szCs w:val="20"/>
        </w:rPr>
        <w:t>2002 (4) SA 613 (CC) at para 61.</w:t>
      </w:r>
    </w:p>
  </w:footnote>
  <w:footnote w:id="26">
    <w:p w14:paraId="269503AB" w14:textId="58CC995C" w:rsidR="00DC2C05" w:rsidRPr="00E424A7" w:rsidRDefault="00DC2C05" w:rsidP="005645E5">
      <w:pPr>
        <w:pStyle w:val="FootnoteText"/>
        <w:ind w:left="284" w:hanging="284"/>
        <w:jc w:val="both"/>
        <w:rPr>
          <w:rFonts w:ascii="Arial" w:hAnsi="Arial" w:cs="Arial"/>
          <w:sz w:val="20"/>
          <w:szCs w:val="20"/>
        </w:rPr>
      </w:pPr>
      <w:r w:rsidRPr="00E424A7">
        <w:rPr>
          <w:rStyle w:val="FootnoteReference"/>
          <w:rFonts w:ascii="Arial" w:hAnsi="Arial" w:cs="Arial"/>
          <w:sz w:val="20"/>
          <w:szCs w:val="20"/>
        </w:rPr>
        <w:footnoteRef/>
      </w:r>
      <w:r w:rsidRPr="00E424A7">
        <w:rPr>
          <w:rFonts w:ascii="Arial" w:hAnsi="Arial" w:cs="Arial"/>
          <w:sz w:val="20"/>
          <w:szCs w:val="20"/>
        </w:rPr>
        <w:t xml:space="preserve"> </w:t>
      </w:r>
      <w:r>
        <w:rPr>
          <w:rFonts w:ascii="Arial" w:hAnsi="Arial" w:cs="Arial"/>
          <w:sz w:val="20"/>
          <w:szCs w:val="20"/>
        </w:rPr>
        <w:tab/>
      </w:r>
      <w:r w:rsidRPr="00E424A7">
        <w:rPr>
          <w:rFonts w:ascii="Arial" w:hAnsi="Arial" w:cs="Arial"/>
          <w:sz w:val="20"/>
          <w:szCs w:val="20"/>
        </w:rPr>
        <w:t xml:space="preserve">Regulation 54.5 which provides </w:t>
      </w:r>
      <w:r w:rsidR="00B13443">
        <w:rPr>
          <w:rFonts w:ascii="Arial" w:hAnsi="Arial" w:cs="Arial"/>
          <w:sz w:val="20"/>
          <w:szCs w:val="20"/>
        </w:rPr>
        <w:t>“</w:t>
      </w:r>
      <w:r w:rsidR="00B13443" w:rsidRPr="00B13443">
        <w:rPr>
          <w:rFonts w:ascii="Arial" w:hAnsi="Arial" w:cs="Arial"/>
          <w:i/>
          <w:iCs/>
          <w:sz w:val="20"/>
          <w:szCs w:val="20"/>
        </w:rPr>
        <w:t>If the Commission decides to initiate a sunset review, it shall publish an initiation notice in the Government Gazette prior to the lapse of such duties.  Such notice shall contain the information as contemplated in section 41.”</w:t>
      </w:r>
    </w:p>
  </w:footnote>
  <w:footnote w:id="27">
    <w:p w14:paraId="2AB08A65" w14:textId="23E07D73" w:rsidR="00DC2C05" w:rsidRPr="00E424A7" w:rsidRDefault="00DC2C05" w:rsidP="005645E5">
      <w:pPr>
        <w:pStyle w:val="FootnoteText"/>
        <w:ind w:left="284" w:hanging="284"/>
        <w:jc w:val="both"/>
        <w:rPr>
          <w:rFonts w:ascii="Arial" w:hAnsi="Arial" w:cs="Arial"/>
          <w:sz w:val="20"/>
          <w:szCs w:val="20"/>
        </w:rPr>
      </w:pPr>
      <w:r w:rsidRPr="00E424A7">
        <w:rPr>
          <w:rStyle w:val="FootnoteReference"/>
          <w:rFonts w:ascii="Arial" w:hAnsi="Arial" w:cs="Arial"/>
          <w:sz w:val="20"/>
          <w:szCs w:val="20"/>
        </w:rPr>
        <w:footnoteRef/>
      </w:r>
      <w:r w:rsidRPr="00E424A7">
        <w:rPr>
          <w:rFonts w:ascii="Arial" w:hAnsi="Arial" w:cs="Arial"/>
          <w:sz w:val="20"/>
          <w:szCs w:val="20"/>
        </w:rPr>
        <w:t xml:space="preserve"> </w:t>
      </w:r>
      <w:r>
        <w:rPr>
          <w:rFonts w:ascii="Arial" w:hAnsi="Arial" w:cs="Arial"/>
          <w:sz w:val="20"/>
          <w:szCs w:val="20"/>
        </w:rPr>
        <w:tab/>
      </w:r>
      <w:r w:rsidRPr="00E424A7">
        <w:rPr>
          <w:rFonts w:ascii="Arial" w:hAnsi="Arial" w:cs="Arial"/>
          <w:sz w:val="20"/>
          <w:szCs w:val="20"/>
        </w:rPr>
        <w:t>Regulation 56.1</w:t>
      </w:r>
    </w:p>
  </w:footnote>
  <w:footnote w:id="28">
    <w:p w14:paraId="28B776C5" w14:textId="76397B02" w:rsidR="00DC2C05" w:rsidRDefault="00DC2C05" w:rsidP="005645E5">
      <w:pPr>
        <w:pStyle w:val="FootnoteText"/>
        <w:ind w:left="284" w:hanging="284"/>
        <w:jc w:val="both"/>
      </w:pPr>
      <w:r w:rsidRPr="00E424A7">
        <w:rPr>
          <w:rStyle w:val="FootnoteReference"/>
          <w:rFonts w:ascii="Arial" w:hAnsi="Arial" w:cs="Arial"/>
          <w:sz w:val="20"/>
          <w:szCs w:val="20"/>
        </w:rPr>
        <w:footnoteRef/>
      </w:r>
      <w:r w:rsidRPr="00E424A7">
        <w:rPr>
          <w:rFonts w:ascii="Arial" w:hAnsi="Arial" w:cs="Arial"/>
          <w:sz w:val="20"/>
          <w:szCs w:val="20"/>
        </w:rPr>
        <w:t xml:space="preserve"> </w:t>
      </w:r>
      <w:r>
        <w:rPr>
          <w:rFonts w:ascii="Arial" w:hAnsi="Arial" w:cs="Arial"/>
          <w:sz w:val="20"/>
          <w:szCs w:val="20"/>
        </w:rPr>
        <w:tab/>
      </w:r>
      <w:r w:rsidRPr="00E424A7">
        <w:rPr>
          <w:rFonts w:ascii="Arial" w:hAnsi="Arial" w:cs="Arial"/>
          <w:sz w:val="20"/>
          <w:szCs w:val="20"/>
        </w:rPr>
        <w:t>Regulation 59</w:t>
      </w:r>
    </w:p>
  </w:footnote>
  <w:footnote w:id="29">
    <w:p w14:paraId="0EB5C149" w14:textId="6F3FA6CC" w:rsidR="000D6B36" w:rsidRPr="000D6B36" w:rsidRDefault="000D6B36" w:rsidP="0078301E">
      <w:pPr>
        <w:pStyle w:val="FootnoteText"/>
        <w:ind w:left="284" w:hanging="284"/>
        <w:jc w:val="both"/>
        <w:rPr>
          <w:rFonts w:ascii="Arial" w:hAnsi="Arial" w:cs="Arial"/>
          <w:sz w:val="20"/>
          <w:szCs w:val="20"/>
        </w:rPr>
      </w:pPr>
      <w:r w:rsidRPr="000D6B36">
        <w:rPr>
          <w:rStyle w:val="FootnoteReference"/>
          <w:rFonts w:ascii="Arial" w:hAnsi="Arial" w:cs="Arial"/>
          <w:sz w:val="20"/>
          <w:szCs w:val="20"/>
        </w:rPr>
        <w:footnoteRef/>
      </w:r>
      <w:r w:rsidRPr="000D6B36">
        <w:rPr>
          <w:rFonts w:ascii="Arial" w:hAnsi="Arial" w:cs="Arial"/>
          <w:sz w:val="20"/>
          <w:szCs w:val="20"/>
        </w:rPr>
        <w:t xml:space="preserve"> </w:t>
      </w:r>
      <w:r w:rsidR="0078301E">
        <w:rPr>
          <w:rFonts w:ascii="Arial" w:hAnsi="Arial" w:cs="Arial"/>
          <w:sz w:val="20"/>
          <w:szCs w:val="20"/>
        </w:rPr>
        <w:tab/>
      </w:r>
      <w:r w:rsidRPr="000D6B36">
        <w:rPr>
          <w:rFonts w:ascii="Arial" w:hAnsi="Arial" w:cs="Arial"/>
          <w:sz w:val="20"/>
          <w:szCs w:val="20"/>
        </w:rPr>
        <w:t>In terms of Regulation 68.1 “</w:t>
      </w:r>
      <w:r w:rsidRPr="000D6B36">
        <w:rPr>
          <w:rFonts w:ascii="Arial" w:hAnsi="Arial" w:cs="Arial"/>
          <w:i/>
          <w:iCs/>
          <w:sz w:val="20"/>
          <w:szCs w:val="20"/>
        </w:rPr>
        <w:t xml:space="preserve">These regulations shall apply to all investigations and reviews initiated after the promulgation of the regulations” </w:t>
      </w:r>
      <w:r w:rsidRPr="000D6B36">
        <w:rPr>
          <w:rFonts w:ascii="Arial" w:hAnsi="Arial" w:cs="Arial"/>
          <w:sz w:val="20"/>
          <w:szCs w:val="20"/>
        </w:rPr>
        <w:t>– 14 November 2003.</w:t>
      </w:r>
      <w:r>
        <w:rPr>
          <w:rFonts w:ascii="Arial" w:hAnsi="Arial" w:cs="Arial"/>
          <w:sz w:val="20"/>
          <w:szCs w:val="20"/>
        </w:rPr>
        <w:t xml:space="preserve"> See also </w:t>
      </w:r>
      <w:r w:rsidRPr="000D6B36">
        <w:rPr>
          <w:rFonts w:ascii="Arial" w:hAnsi="Arial" w:cs="Arial"/>
          <w:i/>
          <w:iCs/>
          <w:sz w:val="20"/>
          <w:szCs w:val="20"/>
        </w:rPr>
        <w:t>Azanian Peoples’ Organization (AZAPO) v President of the Republic of South Africa</w:t>
      </w:r>
      <w:r>
        <w:rPr>
          <w:rFonts w:ascii="Arial" w:hAnsi="Arial" w:cs="Arial"/>
          <w:sz w:val="20"/>
          <w:szCs w:val="20"/>
        </w:rPr>
        <w:t xml:space="preserve"> 1996 (4) SA 671 (CC) at para </w:t>
      </w:r>
      <w:r w:rsidR="00831794">
        <w:rPr>
          <w:rFonts w:ascii="Arial" w:hAnsi="Arial" w:cs="Arial"/>
          <w:sz w:val="20"/>
          <w:szCs w:val="20"/>
        </w:rPr>
        <w:t>[26].</w:t>
      </w:r>
    </w:p>
  </w:footnote>
  <w:footnote w:id="30">
    <w:p w14:paraId="680CBBFC" w14:textId="5176553F" w:rsidR="00DC2C05" w:rsidRPr="000D6B36" w:rsidRDefault="00DC2C05" w:rsidP="0078301E">
      <w:pPr>
        <w:pStyle w:val="FootnoteText"/>
        <w:ind w:left="284" w:hanging="284"/>
        <w:jc w:val="both"/>
        <w:rPr>
          <w:rFonts w:ascii="Arial" w:hAnsi="Arial" w:cs="Arial"/>
          <w:sz w:val="20"/>
          <w:szCs w:val="20"/>
        </w:rPr>
      </w:pPr>
      <w:r w:rsidRPr="00C13329">
        <w:rPr>
          <w:rStyle w:val="FootnoteReference"/>
          <w:rFonts w:ascii="Arial" w:hAnsi="Arial" w:cs="Arial"/>
          <w:sz w:val="20"/>
          <w:szCs w:val="20"/>
        </w:rPr>
        <w:footnoteRef/>
      </w:r>
      <w:r w:rsidRPr="00C13329">
        <w:rPr>
          <w:rFonts w:ascii="Arial" w:hAnsi="Arial" w:cs="Arial"/>
          <w:sz w:val="20"/>
          <w:szCs w:val="20"/>
        </w:rPr>
        <w:t xml:space="preserve"> </w:t>
      </w:r>
      <w:r>
        <w:rPr>
          <w:rFonts w:ascii="Arial" w:hAnsi="Arial" w:cs="Arial"/>
          <w:sz w:val="20"/>
          <w:szCs w:val="20"/>
        </w:rPr>
        <w:tab/>
      </w:r>
      <w:r w:rsidRPr="00C13329">
        <w:rPr>
          <w:rFonts w:ascii="Arial" w:hAnsi="Arial" w:cs="Arial"/>
          <w:sz w:val="20"/>
          <w:szCs w:val="20"/>
        </w:rPr>
        <w:t xml:space="preserve">This was the finding in </w:t>
      </w:r>
      <w:r w:rsidRPr="00C13329">
        <w:rPr>
          <w:rFonts w:ascii="Arial" w:hAnsi="Arial" w:cs="Arial"/>
          <w:i/>
          <w:iCs/>
          <w:sz w:val="20"/>
          <w:szCs w:val="20"/>
        </w:rPr>
        <w:t>Progress</w:t>
      </w:r>
      <w:r w:rsidR="009942AE">
        <w:rPr>
          <w:rFonts w:ascii="Arial" w:hAnsi="Arial" w:cs="Arial"/>
          <w:i/>
          <w:iCs/>
          <w:sz w:val="20"/>
          <w:szCs w:val="20"/>
        </w:rPr>
        <w:t xml:space="preserve"> Office Machines</w:t>
      </w:r>
      <w:r w:rsidRPr="00C13329">
        <w:rPr>
          <w:rFonts w:ascii="Arial" w:hAnsi="Arial" w:cs="Arial"/>
          <w:sz w:val="20"/>
          <w:szCs w:val="20"/>
        </w:rPr>
        <w:t xml:space="preserve"> supra at para [6] in which it was </w:t>
      </w:r>
      <w:r w:rsidR="00846A80" w:rsidRPr="00C13329">
        <w:rPr>
          <w:rFonts w:ascii="Arial" w:hAnsi="Arial" w:cs="Arial"/>
          <w:sz w:val="20"/>
          <w:szCs w:val="20"/>
        </w:rPr>
        <w:t>held:</w:t>
      </w:r>
      <w:r w:rsidR="00846A80" w:rsidRPr="007237FA">
        <w:rPr>
          <w:rFonts w:ascii="Arial" w:hAnsi="Arial" w:cs="Arial"/>
          <w:i/>
          <w:iCs/>
          <w:sz w:val="20"/>
          <w:szCs w:val="20"/>
        </w:rPr>
        <w:t xml:space="preserve"> “The</w:t>
      </w:r>
      <w:r w:rsidRPr="007237FA">
        <w:rPr>
          <w:rFonts w:ascii="Arial" w:hAnsi="Arial" w:cs="Arial"/>
          <w:i/>
          <w:iCs/>
          <w:sz w:val="20"/>
          <w:szCs w:val="20"/>
        </w:rPr>
        <w:t xml:space="preserve"> WTO Agreement was approved by parliament on 6 April 1995 and is thus binding on the Republic in International Law, but it has not been enacted into municipal law.”</w:t>
      </w:r>
      <w:r w:rsidR="000D6B36">
        <w:rPr>
          <w:rFonts w:ascii="Arial" w:hAnsi="Arial" w:cs="Arial"/>
          <w:sz w:val="20"/>
          <w:szCs w:val="20"/>
        </w:rPr>
        <w:t xml:space="preserve"> </w:t>
      </w:r>
    </w:p>
  </w:footnote>
  <w:footnote w:id="31">
    <w:p w14:paraId="272B1024" w14:textId="5883B39D" w:rsidR="00DC2C05" w:rsidRPr="00BB2283" w:rsidRDefault="00DC2C05" w:rsidP="0078301E">
      <w:pPr>
        <w:pStyle w:val="FootnoteText"/>
        <w:ind w:left="284" w:hanging="284"/>
        <w:jc w:val="both"/>
        <w:rPr>
          <w:rFonts w:ascii="Arial" w:hAnsi="Arial" w:cs="Arial"/>
          <w:b/>
          <w:bCs/>
          <w:sz w:val="20"/>
          <w:szCs w:val="20"/>
        </w:rPr>
      </w:pPr>
      <w:r w:rsidRPr="005645E5">
        <w:rPr>
          <w:rStyle w:val="FootnoteReference"/>
          <w:sz w:val="18"/>
          <w:szCs w:val="18"/>
        </w:rPr>
        <w:footnoteRef/>
      </w:r>
      <w:r w:rsidRPr="005645E5">
        <w:rPr>
          <w:sz w:val="18"/>
          <w:szCs w:val="18"/>
        </w:rPr>
        <w:t xml:space="preserve"> </w:t>
      </w:r>
      <w:r>
        <w:tab/>
      </w:r>
      <w:r w:rsidRPr="009942AE">
        <w:rPr>
          <w:rFonts w:ascii="Arial" w:hAnsi="Arial" w:cs="Arial"/>
          <w:i/>
          <w:iCs/>
          <w:sz w:val="20"/>
          <w:szCs w:val="20"/>
        </w:rPr>
        <w:t>University of Stellenbosch Legal Aid Clinic &amp; Others v Minister of Justice &amp; Correctional Services and Others</w:t>
      </w:r>
      <w:r w:rsidRPr="007227F2">
        <w:rPr>
          <w:rFonts w:ascii="Arial" w:hAnsi="Arial" w:cs="Arial"/>
          <w:sz w:val="20"/>
          <w:szCs w:val="20"/>
        </w:rPr>
        <w:t xml:space="preserve"> 2016 (6) SA 596 (CC) at para [151]</w:t>
      </w:r>
      <w:r w:rsidR="007227F2" w:rsidRPr="007227F2">
        <w:rPr>
          <w:rFonts w:ascii="Arial" w:hAnsi="Arial" w:cs="Arial"/>
          <w:sz w:val="20"/>
          <w:szCs w:val="20"/>
        </w:rPr>
        <w:t>.</w:t>
      </w:r>
    </w:p>
  </w:footnote>
  <w:footnote w:id="32">
    <w:p w14:paraId="6EF56C0D" w14:textId="77EED080" w:rsidR="001D59C7" w:rsidRPr="001D59C7" w:rsidRDefault="001D59C7" w:rsidP="0078301E">
      <w:pPr>
        <w:pStyle w:val="FootnoteText"/>
        <w:ind w:left="284" w:hanging="284"/>
        <w:jc w:val="both"/>
        <w:rPr>
          <w:rFonts w:ascii="Arial" w:hAnsi="Arial" w:cs="Arial"/>
          <w:sz w:val="20"/>
          <w:szCs w:val="20"/>
        </w:rPr>
      </w:pPr>
      <w:r w:rsidRPr="001D59C7">
        <w:rPr>
          <w:rStyle w:val="FootnoteReference"/>
          <w:rFonts w:ascii="Arial" w:hAnsi="Arial" w:cs="Arial"/>
          <w:sz w:val="20"/>
          <w:szCs w:val="20"/>
        </w:rPr>
        <w:footnoteRef/>
      </w:r>
      <w:r w:rsidRPr="001D59C7">
        <w:rPr>
          <w:rFonts w:ascii="Arial" w:hAnsi="Arial" w:cs="Arial"/>
          <w:sz w:val="20"/>
          <w:szCs w:val="20"/>
        </w:rPr>
        <w:t xml:space="preserve"> </w:t>
      </w:r>
      <w:r w:rsidR="0078301E">
        <w:rPr>
          <w:rFonts w:ascii="Arial" w:hAnsi="Arial" w:cs="Arial"/>
          <w:sz w:val="20"/>
          <w:szCs w:val="20"/>
        </w:rPr>
        <w:tab/>
      </w:r>
      <w:r w:rsidRPr="0078301E">
        <w:rPr>
          <w:rFonts w:ascii="Arial" w:hAnsi="Arial" w:cs="Arial"/>
          <w:i/>
          <w:iCs/>
          <w:sz w:val="20"/>
          <w:szCs w:val="20"/>
        </w:rPr>
        <w:t>FirstRand Bank Ltd v Kona and Another</w:t>
      </w:r>
      <w:r w:rsidRPr="001D59C7">
        <w:rPr>
          <w:rFonts w:ascii="Arial" w:hAnsi="Arial" w:cs="Arial"/>
          <w:sz w:val="20"/>
          <w:szCs w:val="20"/>
        </w:rPr>
        <w:t xml:space="preserve"> 2015 (5) SA 237 (SCA) at para [21].</w:t>
      </w:r>
    </w:p>
  </w:footnote>
  <w:footnote w:id="33">
    <w:p w14:paraId="4337FDF5" w14:textId="5857395D" w:rsidR="00DC2C05" w:rsidRPr="007227F2" w:rsidRDefault="00DC2C05" w:rsidP="0078301E">
      <w:pPr>
        <w:pStyle w:val="FootnoteText"/>
        <w:ind w:left="284" w:hanging="284"/>
        <w:jc w:val="both"/>
      </w:pPr>
      <w:r w:rsidRPr="007227F2">
        <w:rPr>
          <w:rStyle w:val="FootnoteReference"/>
          <w:rFonts w:ascii="Arial" w:hAnsi="Arial" w:cs="Arial"/>
          <w:sz w:val="20"/>
          <w:szCs w:val="20"/>
        </w:rPr>
        <w:footnoteRef/>
      </w:r>
      <w:r w:rsidRPr="007227F2">
        <w:rPr>
          <w:rFonts w:ascii="Arial" w:hAnsi="Arial" w:cs="Arial"/>
          <w:sz w:val="20"/>
          <w:szCs w:val="20"/>
        </w:rPr>
        <w:t xml:space="preserve"> </w:t>
      </w:r>
      <w:r w:rsidRPr="007227F2">
        <w:rPr>
          <w:rFonts w:ascii="Arial" w:hAnsi="Arial" w:cs="Arial"/>
          <w:sz w:val="20"/>
          <w:szCs w:val="20"/>
        </w:rPr>
        <w:tab/>
      </w:r>
      <w:r w:rsidRPr="007227F2">
        <w:rPr>
          <w:rFonts w:ascii="Arial" w:hAnsi="Arial" w:cs="Arial"/>
          <w:i/>
          <w:iCs/>
          <w:sz w:val="20"/>
          <w:szCs w:val="20"/>
        </w:rPr>
        <w:t>Chairman, Board on Tariffs and Trade v Brenco Inc</w:t>
      </w:r>
      <w:r w:rsidRPr="007227F2">
        <w:rPr>
          <w:rFonts w:ascii="Arial" w:hAnsi="Arial" w:cs="Arial"/>
          <w:sz w:val="20"/>
          <w:szCs w:val="20"/>
        </w:rPr>
        <w:t xml:space="preserve"> 2001 (4) SA 511 (SCA) at para [42].</w:t>
      </w:r>
    </w:p>
  </w:footnote>
  <w:footnote w:id="34">
    <w:p w14:paraId="7855E8C6" w14:textId="3668A6B4" w:rsidR="00DC2C05" w:rsidRPr="00624CDA" w:rsidRDefault="00DC2C05" w:rsidP="0078301E">
      <w:pPr>
        <w:pStyle w:val="FootnoteText"/>
        <w:ind w:left="284" w:hanging="284"/>
        <w:jc w:val="both"/>
        <w:rPr>
          <w:rFonts w:ascii="Arial" w:hAnsi="Arial" w:cs="Arial"/>
          <w:i/>
          <w:iCs/>
          <w:sz w:val="20"/>
          <w:szCs w:val="20"/>
        </w:rPr>
      </w:pPr>
      <w:r w:rsidRPr="00624CDA">
        <w:rPr>
          <w:rStyle w:val="FootnoteReference"/>
          <w:rFonts w:ascii="Arial" w:hAnsi="Arial" w:cs="Arial"/>
          <w:sz w:val="20"/>
          <w:szCs w:val="20"/>
        </w:rPr>
        <w:footnoteRef/>
      </w:r>
      <w:r w:rsidRPr="00624CDA">
        <w:rPr>
          <w:rFonts w:ascii="Arial" w:hAnsi="Arial" w:cs="Arial"/>
          <w:sz w:val="20"/>
          <w:szCs w:val="20"/>
        </w:rPr>
        <w:t xml:space="preserve">  Article 11.4 provides: “</w:t>
      </w:r>
      <w:r w:rsidRPr="00624CDA">
        <w:rPr>
          <w:rFonts w:ascii="Arial" w:hAnsi="Arial" w:cs="Arial"/>
          <w:i/>
          <w:iCs/>
          <w:sz w:val="20"/>
          <w:szCs w:val="20"/>
        </w:rPr>
        <w:t>The provisions of Article 6 regarding evidence and procedure shall apply to any review carried out under this Article</w:t>
      </w:r>
      <w:r w:rsidRPr="00624CDA">
        <w:rPr>
          <w:rFonts w:ascii="Arial" w:hAnsi="Arial" w:cs="Arial"/>
          <w:sz w:val="20"/>
          <w:szCs w:val="20"/>
        </w:rPr>
        <w:t xml:space="preserve">” and Article 6.9 provides: </w:t>
      </w:r>
      <w:r w:rsidRPr="00624CDA">
        <w:rPr>
          <w:rFonts w:ascii="Arial" w:hAnsi="Arial" w:cs="Arial"/>
          <w:i/>
          <w:iCs/>
          <w:sz w:val="20"/>
          <w:szCs w:val="20"/>
        </w:rPr>
        <w:t>“The authorities shall, before a final determination is made, inform all interested parties of the essential facts under consideration which form the basis for the decision whether to apply definitive measures.  Such disclosure should take place in sufficient time for the parties to defend their interests.”</w:t>
      </w:r>
    </w:p>
  </w:footnote>
  <w:footnote w:id="35">
    <w:p w14:paraId="7C4676D6" w14:textId="345D1B3B" w:rsidR="00DC2C05" w:rsidRDefault="00DC2C05" w:rsidP="0078301E">
      <w:pPr>
        <w:pStyle w:val="FootnoteText"/>
        <w:ind w:left="284" w:hanging="284"/>
        <w:jc w:val="both"/>
        <w:rPr>
          <w:rFonts w:ascii="Arial" w:hAnsi="Arial" w:cs="Arial"/>
          <w:sz w:val="20"/>
          <w:szCs w:val="20"/>
        </w:rPr>
      </w:pPr>
      <w:r>
        <w:rPr>
          <w:rStyle w:val="FootnoteReference"/>
        </w:rPr>
        <w:footnoteRef/>
      </w:r>
      <w:r>
        <w:t xml:space="preserve"> </w:t>
      </w:r>
      <w:r>
        <w:tab/>
      </w:r>
      <w:r w:rsidR="00E47528" w:rsidRPr="00E47528">
        <w:rPr>
          <w:rFonts w:ascii="Arial" w:hAnsi="Arial" w:cs="Arial"/>
          <w:sz w:val="20"/>
          <w:szCs w:val="20"/>
        </w:rPr>
        <w:t>At para</w:t>
      </w:r>
      <w:r w:rsidRPr="00E47528">
        <w:rPr>
          <w:rFonts w:ascii="Arial" w:hAnsi="Arial" w:cs="Arial"/>
          <w:sz w:val="20"/>
          <w:szCs w:val="20"/>
        </w:rPr>
        <w:t xml:space="preserve"> [114]</w:t>
      </w:r>
      <w:r w:rsidR="002423E5">
        <w:rPr>
          <w:rFonts w:ascii="Arial" w:hAnsi="Arial" w:cs="Arial"/>
          <w:sz w:val="20"/>
          <w:szCs w:val="20"/>
        </w:rPr>
        <w:t>.</w:t>
      </w:r>
    </w:p>
    <w:p w14:paraId="7B6EF469" w14:textId="5F6AF27A" w:rsidR="00E47528" w:rsidRDefault="00E47528" w:rsidP="0078301E">
      <w:pPr>
        <w:pStyle w:val="FootnoteText"/>
        <w:ind w:left="284" w:hanging="284"/>
        <w:jc w:val="both"/>
      </w:pPr>
      <w:r w:rsidRPr="00BE10A8">
        <w:rPr>
          <w:rStyle w:val="FootnoteReference"/>
          <w:rFonts w:ascii="Arial" w:hAnsi="Arial" w:cs="Arial"/>
          <w:sz w:val="20"/>
          <w:szCs w:val="20"/>
        </w:rPr>
        <w:footnoteRef/>
      </w:r>
      <w:r w:rsidRPr="00BE10A8">
        <w:rPr>
          <w:rFonts w:ascii="Arial" w:hAnsi="Arial" w:cs="Arial"/>
          <w:sz w:val="20"/>
          <w:szCs w:val="20"/>
        </w:rPr>
        <w:t xml:space="preserve"> </w:t>
      </w:r>
      <w:r w:rsidR="0078301E">
        <w:rPr>
          <w:rFonts w:ascii="Arial" w:hAnsi="Arial" w:cs="Arial"/>
          <w:sz w:val="20"/>
          <w:szCs w:val="20"/>
        </w:rPr>
        <w:tab/>
      </w:r>
      <w:r w:rsidRPr="00BE10A8">
        <w:rPr>
          <w:rFonts w:ascii="Arial" w:hAnsi="Arial" w:cs="Arial"/>
          <w:sz w:val="20"/>
          <w:szCs w:val="20"/>
        </w:rPr>
        <w:t>A</w:t>
      </w:r>
      <w:r>
        <w:rPr>
          <w:rFonts w:ascii="Arial" w:hAnsi="Arial" w:cs="Arial"/>
          <w:sz w:val="20"/>
          <w:szCs w:val="20"/>
        </w:rPr>
        <w:t>s</w:t>
      </w:r>
      <w:r w:rsidRPr="00BE10A8">
        <w:rPr>
          <w:rFonts w:ascii="Arial" w:hAnsi="Arial" w:cs="Arial"/>
          <w:sz w:val="20"/>
          <w:szCs w:val="20"/>
        </w:rPr>
        <w:t xml:space="preserve"> require</w:t>
      </w:r>
      <w:r>
        <w:rPr>
          <w:rFonts w:ascii="Arial" w:hAnsi="Arial" w:cs="Arial"/>
          <w:sz w:val="20"/>
          <w:szCs w:val="20"/>
        </w:rPr>
        <w:t>d by</w:t>
      </w:r>
      <w:r w:rsidRPr="00BE10A8">
        <w:rPr>
          <w:rFonts w:ascii="Arial" w:hAnsi="Arial" w:cs="Arial"/>
          <w:sz w:val="20"/>
          <w:szCs w:val="20"/>
        </w:rPr>
        <w:t xml:space="preserve"> Regulation 43 which provides “</w:t>
      </w:r>
      <w:r w:rsidRPr="00BE10A8">
        <w:rPr>
          <w:rFonts w:ascii="Arial" w:hAnsi="Arial" w:cs="Arial"/>
          <w:i/>
          <w:iCs/>
          <w:sz w:val="20"/>
          <w:szCs w:val="20"/>
        </w:rPr>
        <w:t>43.1 All interested parties will be informed of the essential facts to be considered in the Commission's final determination.43.2 All parties will receive 14 days from the dispatch of the essential facts letter to comment thereon.43.3 The Commission may grant parties an extension on reasonable grounds shown. 43.4 In its final determination the Commission will consider all relevant comments on the essential facts letter made by co</w:t>
      </w:r>
      <w:r w:rsidR="00361C33">
        <w:rPr>
          <w:rFonts w:ascii="Arial" w:hAnsi="Arial" w:cs="Arial"/>
          <w:i/>
          <w:iCs/>
          <w:sz w:val="20"/>
          <w:szCs w:val="20"/>
        </w:rPr>
        <w:t>-</w:t>
      </w:r>
      <w:r w:rsidRPr="00BE10A8">
        <w:rPr>
          <w:rFonts w:ascii="Arial" w:hAnsi="Arial" w:cs="Arial"/>
          <w:i/>
          <w:iCs/>
          <w:sz w:val="20"/>
          <w:szCs w:val="20"/>
        </w:rPr>
        <w:t>operating interested parties, provided such comments are received by the deadline contemplated in subsections 2 and 3.”</w:t>
      </w:r>
    </w:p>
  </w:footnote>
  <w:footnote w:id="36">
    <w:p w14:paraId="4C9BDC2B" w14:textId="4901900D" w:rsidR="00C11D79" w:rsidRPr="00BE10A8" w:rsidRDefault="00C11D79" w:rsidP="00E47528">
      <w:pPr>
        <w:pStyle w:val="Heading2"/>
        <w:rPr>
          <w:rFonts w:ascii="Arial" w:hAnsi="Arial" w:cs="Arial"/>
          <w:b w:val="0"/>
          <w:bCs w:val="0"/>
          <w:sz w:val="20"/>
          <w:szCs w:val="20"/>
        </w:rPr>
      </w:pPr>
    </w:p>
  </w:footnote>
  <w:footnote w:id="37">
    <w:p w14:paraId="73F9E864" w14:textId="68C87CC5" w:rsidR="0017416E" w:rsidRPr="002A36F9" w:rsidRDefault="0017416E" w:rsidP="0078301E">
      <w:pPr>
        <w:spacing w:after="1" w:line="252" w:lineRule="auto"/>
        <w:ind w:left="284" w:hanging="284"/>
        <w:jc w:val="both"/>
      </w:pPr>
      <w:r w:rsidRPr="00A636B7">
        <w:rPr>
          <w:rStyle w:val="FootnoteReference"/>
          <w:rFonts w:ascii="Arial" w:hAnsi="Arial" w:cs="Arial"/>
          <w:sz w:val="20"/>
          <w:szCs w:val="20"/>
        </w:rPr>
        <w:footnoteRef/>
      </w:r>
      <w:r w:rsidRPr="00A636B7">
        <w:rPr>
          <w:rFonts w:ascii="Arial" w:hAnsi="Arial" w:cs="Arial"/>
          <w:sz w:val="20"/>
          <w:szCs w:val="20"/>
        </w:rPr>
        <w:t xml:space="preserve"> Section 3(2)</w:t>
      </w:r>
      <w:r w:rsidR="00A636B7" w:rsidRPr="00A636B7">
        <w:rPr>
          <w:rFonts w:ascii="Arial" w:hAnsi="Arial" w:cs="Arial"/>
          <w:sz w:val="20"/>
          <w:szCs w:val="20"/>
        </w:rPr>
        <w:t>(a)</w:t>
      </w:r>
      <w:r w:rsidRPr="00A636B7">
        <w:rPr>
          <w:rFonts w:ascii="Arial" w:hAnsi="Arial" w:cs="Arial"/>
          <w:sz w:val="20"/>
          <w:szCs w:val="20"/>
        </w:rPr>
        <w:t xml:space="preserve"> of PAJA which provides “</w:t>
      </w:r>
      <w:r w:rsidR="00A636B7" w:rsidRPr="00A636B7">
        <w:rPr>
          <w:rFonts w:ascii="Arial" w:hAnsi="Arial" w:cs="Arial"/>
          <w:i/>
          <w:iCs/>
          <w:sz w:val="20"/>
          <w:szCs w:val="20"/>
        </w:rPr>
        <w:t>A fair administrative procedure depends on the circumstances of each case</w:t>
      </w:r>
      <w:r w:rsidRPr="00A636B7">
        <w:rPr>
          <w:rFonts w:ascii="Arial" w:hAnsi="Arial" w:cs="Arial"/>
          <w:i/>
          <w:iCs/>
          <w:sz w:val="20"/>
          <w:szCs w:val="20"/>
        </w:rPr>
        <w:t>.”, Esau and Others v Minister of Co-operative Governance and Traditional Affairs and Others</w:t>
      </w:r>
      <w:r w:rsidRPr="00A636B7">
        <w:rPr>
          <w:rFonts w:ascii="Arial" w:hAnsi="Arial" w:cs="Arial"/>
          <w:sz w:val="20"/>
          <w:szCs w:val="20"/>
        </w:rPr>
        <w:t xml:space="preserve"> 2021 (3) SA 593 (SCA) at para [93] – “</w:t>
      </w:r>
      <w:r w:rsidR="002D48B9" w:rsidRPr="00A636B7">
        <w:rPr>
          <w:rFonts w:ascii="Arial" w:hAnsi="Arial" w:cs="Arial"/>
          <w:sz w:val="20"/>
          <w:szCs w:val="20"/>
        </w:rPr>
        <w:t>The rules of procedural fairness are not to be applied by rote, but flexibly and contextually, due regard being had to the empowering</w:t>
      </w:r>
      <w:r w:rsidR="003B5292" w:rsidRPr="00A636B7">
        <w:rPr>
          <w:rFonts w:ascii="Arial" w:hAnsi="Arial" w:cs="Arial"/>
          <w:sz w:val="20"/>
          <w:szCs w:val="20"/>
        </w:rPr>
        <w:t xml:space="preserve"> </w:t>
      </w:r>
      <w:r w:rsidR="002D48B9" w:rsidRPr="00A636B7">
        <w:rPr>
          <w:rFonts w:ascii="Arial" w:hAnsi="Arial" w:cs="Arial"/>
          <w:sz w:val="20"/>
          <w:szCs w:val="20"/>
        </w:rPr>
        <w:t xml:space="preserve">statute. The position was summed up in </w:t>
      </w:r>
      <w:r w:rsidR="002D48B9" w:rsidRPr="00A636B7">
        <w:rPr>
          <w:rFonts w:ascii="Arial" w:hAnsi="Arial" w:cs="Arial"/>
          <w:i/>
          <w:sz w:val="20"/>
          <w:szCs w:val="20"/>
        </w:rPr>
        <w:t>Russell v Duke of Norfolk and Others</w:t>
      </w:r>
      <w:r w:rsidR="002D48B9" w:rsidRPr="00A636B7">
        <w:rPr>
          <w:rFonts w:ascii="Arial" w:hAnsi="Arial" w:cs="Arial"/>
          <w:sz w:val="20"/>
          <w:szCs w:val="20"/>
        </w:rPr>
        <w:t xml:space="preserve">, in which the Court of Appeal stressed that the 'requirements of natural justice must depend on the circumstances of the case, the nature of the enquiry, the rules </w:t>
      </w:r>
      <w:r w:rsidR="002D48B9" w:rsidRPr="00A636B7">
        <w:rPr>
          <w:rFonts w:ascii="Arial" w:hAnsi="Arial" w:cs="Arial"/>
          <w:i/>
          <w:iCs/>
          <w:sz w:val="20"/>
          <w:szCs w:val="20"/>
        </w:rPr>
        <w:t>under which the tribunal is acting, the subject</w:t>
      </w:r>
      <w:r w:rsidR="003B5292" w:rsidRPr="00A636B7">
        <w:rPr>
          <w:rFonts w:ascii="Arial" w:hAnsi="Arial" w:cs="Arial"/>
          <w:i/>
          <w:iCs/>
          <w:sz w:val="20"/>
          <w:szCs w:val="20"/>
        </w:rPr>
        <w:t xml:space="preserve"> matter that is being dealt with, and so forth'. When all is said and done, the test is one of fundamental fairness.”(footnotes omitted)”</w:t>
      </w:r>
    </w:p>
  </w:footnote>
  <w:footnote w:id="38">
    <w:p w14:paraId="5F856B7C" w14:textId="39D1FC20" w:rsidR="00141727" w:rsidRPr="002A36F9" w:rsidRDefault="00141727" w:rsidP="0078301E">
      <w:pPr>
        <w:pStyle w:val="FootnoteText"/>
        <w:ind w:left="284" w:hanging="284"/>
        <w:rPr>
          <w:rFonts w:ascii="Arial" w:hAnsi="Arial" w:cs="Arial"/>
          <w:sz w:val="20"/>
          <w:szCs w:val="20"/>
        </w:rPr>
      </w:pPr>
      <w:r w:rsidRPr="002A36F9">
        <w:rPr>
          <w:rStyle w:val="FootnoteReference"/>
          <w:rFonts w:ascii="Arial" w:hAnsi="Arial" w:cs="Arial"/>
          <w:sz w:val="20"/>
          <w:szCs w:val="20"/>
        </w:rPr>
        <w:footnoteRef/>
      </w:r>
      <w:r w:rsidRPr="002A36F9">
        <w:rPr>
          <w:rFonts w:ascii="Arial" w:hAnsi="Arial" w:cs="Arial"/>
          <w:sz w:val="20"/>
          <w:szCs w:val="20"/>
        </w:rPr>
        <w:t xml:space="preserve"> </w:t>
      </w:r>
      <w:r w:rsidR="009E6B57">
        <w:rPr>
          <w:rFonts w:ascii="Arial" w:hAnsi="Arial" w:cs="Arial"/>
          <w:sz w:val="20"/>
          <w:szCs w:val="20"/>
        </w:rPr>
        <w:tab/>
      </w:r>
      <w:r w:rsidR="002A36F9" w:rsidRPr="002A36F9">
        <w:rPr>
          <w:rFonts w:ascii="Arial" w:hAnsi="Arial" w:cs="Arial"/>
          <w:i/>
          <w:iCs/>
          <w:sz w:val="20"/>
          <w:szCs w:val="20"/>
        </w:rPr>
        <w:t>Brenco</w:t>
      </w:r>
      <w:r w:rsidR="002A36F9" w:rsidRPr="002A36F9">
        <w:rPr>
          <w:rFonts w:ascii="Arial" w:hAnsi="Arial" w:cs="Arial"/>
          <w:sz w:val="20"/>
          <w:szCs w:val="20"/>
        </w:rPr>
        <w:t xml:space="preserve"> </w:t>
      </w:r>
      <w:r w:rsidR="002A36F9" w:rsidRPr="009942AE">
        <w:rPr>
          <w:rFonts w:ascii="Arial" w:hAnsi="Arial" w:cs="Arial"/>
          <w:i/>
          <w:iCs/>
          <w:sz w:val="20"/>
          <w:szCs w:val="20"/>
        </w:rPr>
        <w:t>supra</w:t>
      </w:r>
      <w:r w:rsidR="002A36F9" w:rsidRPr="002A36F9">
        <w:rPr>
          <w:rFonts w:ascii="Arial" w:hAnsi="Arial" w:cs="Arial"/>
          <w:sz w:val="20"/>
          <w:szCs w:val="20"/>
        </w:rPr>
        <w:t>.</w:t>
      </w:r>
    </w:p>
  </w:footnote>
  <w:footnote w:id="39">
    <w:p w14:paraId="0A82FF4B" w14:textId="47073A39" w:rsidR="002A36F9" w:rsidRPr="00041722" w:rsidRDefault="002A36F9" w:rsidP="002423E5">
      <w:pPr>
        <w:pStyle w:val="FootnoteText"/>
        <w:ind w:left="284" w:hanging="284"/>
        <w:jc w:val="both"/>
        <w:rPr>
          <w:rFonts w:ascii="Arial" w:hAnsi="Arial" w:cs="Arial"/>
          <w:sz w:val="20"/>
          <w:szCs w:val="20"/>
        </w:rPr>
      </w:pPr>
      <w:r w:rsidRPr="00041722">
        <w:rPr>
          <w:rStyle w:val="FootnoteReference"/>
          <w:rFonts w:ascii="Arial" w:hAnsi="Arial" w:cs="Arial"/>
          <w:sz w:val="20"/>
          <w:szCs w:val="20"/>
        </w:rPr>
        <w:footnoteRef/>
      </w:r>
      <w:r w:rsidRPr="00041722">
        <w:rPr>
          <w:rFonts w:ascii="Arial" w:hAnsi="Arial" w:cs="Arial"/>
          <w:sz w:val="20"/>
          <w:szCs w:val="20"/>
        </w:rPr>
        <w:t xml:space="preserve"> </w:t>
      </w:r>
      <w:r w:rsidR="002423E5">
        <w:rPr>
          <w:rFonts w:ascii="Arial" w:hAnsi="Arial" w:cs="Arial"/>
          <w:sz w:val="20"/>
          <w:szCs w:val="20"/>
        </w:rPr>
        <w:tab/>
      </w:r>
      <w:r w:rsidR="00041722" w:rsidRPr="00041722">
        <w:rPr>
          <w:rFonts w:ascii="Arial" w:hAnsi="Arial" w:cs="Arial"/>
          <w:sz w:val="20"/>
          <w:szCs w:val="20"/>
        </w:rPr>
        <w:t xml:space="preserve">Application of the now accepted principles of interpretation do not permit the interpretation which TATA seeks to cast on the Regulations. See </w:t>
      </w:r>
      <w:r w:rsidR="00041722" w:rsidRPr="00041722">
        <w:rPr>
          <w:rFonts w:ascii="Arial" w:hAnsi="Arial" w:cs="Arial"/>
          <w:i/>
          <w:iCs/>
          <w:sz w:val="20"/>
          <w:szCs w:val="20"/>
        </w:rPr>
        <w:t xml:space="preserve">Road traffic Management Corporation v Waymark (Pty) Limited </w:t>
      </w:r>
      <w:r w:rsidR="00041722" w:rsidRPr="00041722">
        <w:rPr>
          <w:rFonts w:ascii="Arial" w:hAnsi="Arial" w:cs="Arial"/>
          <w:sz w:val="20"/>
          <w:szCs w:val="20"/>
        </w:rPr>
        <w:t xml:space="preserve">2019 (5) SA 29 (CC) at para </w:t>
      </w:r>
      <w:r w:rsidR="00041722">
        <w:rPr>
          <w:rFonts w:ascii="Arial" w:hAnsi="Arial" w:cs="Arial"/>
          <w:sz w:val="20"/>
          <w:szCs w:val="20"/>
        </w:rPr>
        <w:t>[</w:t>
      </w:r>
      <w:r w:rsidR="00041722" w:rsidRPr="00041722">
        <w:rPr>
          <w:rFonts w:ascii="Arial" w:hAnsi="Arial" w:cs="Arial"/>
          <w:sz w:val="20"/>
          <w:szCs w:val="20"/>
        </w:rPr>
        <w:t>29</w:t>
      </w:r>
      <w:r w:rsidR="00041722">
        <w:rPr>
          <w:rFonts w:ascii="Arial" w:hAnsi="Arial" w:cs="Arial"/>
          <w:sz w:val="20"/>
          <w:szCs w:val="20"/>
        </w:rPr>
        <w:t>]-[30]</w:t>
      </w:r>
      <w:r w:rsidR="00041722" w:rsidRPr="00041722">
        <w:rPr>
          <w:rFonts w:ascii="Arial" w:hAnsi="Arial" w:cs="Arial"/>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3A27A" w14:textId="77777777" w:rsidR="00DC2C05" w:rsidRDefault="00DC2C05" w:rsidP="0019590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98F6DF" w14:textId="77777777" w:rsidR="00DC2C05" w:rsidRDefault="00DC2C05" w:rsidP="00B50E1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A28D8" w14:textId="77777777" w:rsidR="00DC2C05" w:rsidRDefault="00DC2C05" w:rsidP="0019590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5931">
      <w:rPr>
        <w:rStyle w:val="PageNumber"/>
        <w:noProof/>
      </w:rPr>
      <w:t>2</w:t>
    </w:r>
    <w:r>
      <w:rPr>
        <w:rStyle w:val="PageNumber"/>
      </w:rPr>
      <w:fldChar w:fldCharType="end"/>
    </w:r>
  </w:p>
  <w:p w14:paraId="7E704A95" w14:textId="77777777" w:rsidR="00DC2C05" w:rsidRDefault="00DC2C05" w:rsidP="00B50E1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2243"/>
    <w:multiLevelType w:val="hybridMultilevel"/>
    <w:tmpl w:val="56FC7E4E"/>
    <w:lvl w:ilvl="0" w:tplc="136C875E">
      <w:start w:val="76"/>
      <w:numFmt w:val="decimal"/>
      <w:lvlText w:val="[%1]"/>
      <w:lvlJc w:val="left"/>
      <w:pPr>
        <w:ind w:left="375"/>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1" w:tplc="8E12C274">
      <w:start w:val="1"/>
      <w:numFmt w:val="lowerRoman"/>
      <w:lvlText w:val="(%2)"/>
      <w:lvlJc w:val="left"/>
      <w:pPr>
        <w:ind w:left="684"/>
      </w:pPr>
      <w:rPr>
        <w:rFonts w:ascii="Verdana" w:eastAsia="Verdana" w:hAnsi="Verdana" w:cs="Verdana"/>
        <w:b w:val="0"/>
        <w:i w:val="0"/>
        <w:strike w:val="0"/>
        <w:dstrike w:val="0"/>
        <w:color w:val="000000"/>
        <w:sz w:val="13"/>
        <w:szCs w:val="13"/>
        <w:u w:val="none" w:color="000000"/>
        <w:bdr w:val="none" w:sz="0" w:space="0" w:color="auto"/>
        <w:shd w:val="clear" w:color="auto" w:fill="auto"/>
        <w:vertAlign w:val="baseline"/>
      </w:rPr>
    </w:lvl>
    <w:lvl w:ilvl="2" w:tplc="611E4466">
      <w:start w:val="27"/>
      <w:numFmt w:val="lowerLetter"/>
      <w:lvlText w:val="(%3)"/>
      <w:lvlJc w:val="left"/>
      <w:pPr>
        <w:ind w:left="919"/>
      </w:pPr>
      <w:rPr>
        <w:rFonts w:ascii="Verdana" w:eastAsia="Verdana" w:hAnsi="Verdana" w:cs="Verdana"/>
        <w:b w:val="0"/>
        <w:i/>
        <w:iCs/>
        <w:strike w:val="0"/>
        <w:dstrike w:val="0"/>
        <w:color w:val="000000"/>
        <w:sz w:val="13"/>
        <w:szCs w:val="13"/>
        <w:u w:val="none" w:color="000000"/>
        <w:bdr w:val="none" w:sz="0" w:space="0" w:color="auto"/>
        <w:shd w:val="clear" w:color="auto" w:fill="auto"/>
        <w:vertAlign w:val="baseline"/>
      </w:rPr>
    </w:lvl>
    <w:lvl w:ilvl="3" w:tplc="88582DE0">
      <w:start w:val="1"/>
      <w:numFmt w:val="decimal"/>
      <w:lvlText w:val="%4"/>
      <w:lvlJc w:val="left"/>
      <w:pPr>
        <w:ind w:left="2080"/>
      </w:pPr>
      <w:rPr>
        <w:rFonts w:ascii="Verdana" w:eastAsia="Verdana" w:hAnsi="Verdana" w:cs="Verdana"/>
        <w:b w:val="0"/>
        <w:i/>
        <w:iCs/>
        <w:strike w:val="0"/>
        <w:dstrike w:val="0"/>
        <w:color w:val="000000"/>
        <w:sz w:val="13"/>
        <w:szCs w:val="13"/>
        <w:u w:val="none" w:color="000000"/>
        <w:bdr w:val="none" w:sz="0" w:space="0" w:color="auto"/>
        <w:shd w:val="clear" w:color="auto" w:fill="auto"/>
        <w:vertAlign w:val="baseline"/>
      </w:rPr>
    </w:lvl>
    <w:lvl w:ilvl="4" w:tplc="69B81136">
      <w:start w:val="1"/>
      <w:numFmt w:val="lowerLetter"/>
      <w:lvlText w:val="%5"/>
      <w:lvlJc w:val="left"/>
      <w:pPr>
        <w:ind w:left="2800"/>
      </w:pPr>
      <w:rPr>
        <w:rFonts w:ascii="Verdana" w:eastAsia="Verdana" w:hAnsi="Verdana" w:cs="Verdana"/>
        <w:b w:val="0"/>
        <w:i/>
        <w:iCs/>
        <w:strike w:val="0"/>
        <w:dstrike w:val="0"/>
        <w:color w:val="000000"/>
        <w:sz w:val="13"/>
        <w:szCs w:val="13"/>
        <w:u w:val="none" w:color="000000"/>
        <w:bdr w:val="none" w:sz="0" w:space="0" w:color="auto"/>
        <w:shd w:val="clear" w:color="auto" w:fill="auto"/>
        <w:vertAlign w:val="baseline"/>
      </w:rPr>
    </w:lvl>
    <w:lvl w:ilvl="5" w:tplc="836A1AF6">
      <w:start w:val="1"/>
      <w:numFmt w:val="lowerRoman"/>
      <w:lvlText w:val="%6"/>
      <w:lvlJc w:val="left"/>
      <w:pPr>
        <w:ind w:left="3520"/>
      </w:pPr>
      <w:rPr>
        <w:rFonts w:ascii="Verdana" w:eastAsia="Verdana" w:hAnsi="Verdana" w:cs="Verdana"/>
        <w:b w:val="0"/>
        <w:i/>
        <w:iCs/>
        <w:strike w:val="0"/>
        <w:dstrike w:val="0"/>
        <w:color w:val="000000"/>
        <w:sz w:val="13"/>
        <w:szCs w:val="13"/>
        <w:u w:val="none" w:color="000000"/>
        <w:bdr w:val="none" w:sz="0" w:space="0" w:color="auto"/>
        <w:shd w:val="clear" w:color="auto" w:fill="auto"/>
        <w:vertAlign w:val="baseline"/>
      </w:rPr>
    </w:lvl>
    <w:lvl w:ilvl="6" w:tplc="A55066E4">
      <w:start w:val="1"/>
      <w:numFmt w:val="decimal"/>
      <w:lvlText w:val="%7"/>
      <w:lvlJc w:val="left"/>
      <w:pPr>
        <w:ind w:left="4240"/>
      </w:pPr>
      <w:rPr>
        <w:rFonts w:ascii="Verdana" w:eastAsia="Verdana" w:hAnsi="Verdana" w:cs="Verdana"/>
        <w:b w:val="0"/>
        <w:i/>
        <w:iCs/>
        <w:strike w:val="0"/>
        <w:dstrike w:val="0"/>
        <w:color w:val="000000"/>
        <w:sz w:val="13"/>
        <w:szCs w:val="13"/>
        <w:u w:val="none" w:color="000000"/>
        <w:bdr w:val="none" w:sz="0" w:space="0" w:color="auto"/>
        <w:shd w:val="clear" w:color="auto" w:fill="auto"/>
        <w:vertAlign w:val="baseline"/>
      </w:rPr>
    </w:lvl>
    <w:lvl w:ilvl="7" w:tplc="B82E3518">
      <w:start w:val="1"/>
      <w:numFmt w:val="lowerLetter"/>
      <w:lvlText w:val="%8"/>
      <w:lvlJc w:val="left"/>
      <w:pPr>
        <w:ind w:left="4960"/>
      </w:pPr>
      <w:rPr>
        <w:rFonts w:ascii="Verdana" w:eastAsia="Verdana" w:hAnsi="Verdana" w:cs="Verdana"/>
        <w:b w:val="0"/>
        <w:i/>
        <w:iCs/>
        <w:strike w:val="0"/>
        <w:dstrike w:val="0"/>
        <w:color w:val="000000"/>
        <w:sz w:val="13"/>
        <w:szCs w:val="13"/>
        <w:u w:val="none" w:color="000000"/>
        <w:bdr w:val="none" w:sz="0" w:space="0" w:color="auto"/>
        <w:shd w:val="clear" w:color="auto" w:fill="auto"/>
        <w:vertAlign w:val="baseline"/>
      </w:rPr>
    </w:lvl>
    <w:lvl w:ilvl="8" w:tplc="57E8E3C6">
      <w:start w:val="1"/>
      <w:numFmt w:val="lowerRoman"/>
      <w:lvlText w:val="%9"/>
      <w:lvlJc w:val="left"/>
      <w:pPr>
        <w:ind w:left="5680"/>
      </w:pPr>
      <w:rPr>
        <w:rFonts w:ascii="Verdana" w:eastAsia="Verdana" w:hAnsi="Verdana" w:cs="Verdana"/>
        <w:b w:val="0"/>
        <w:i/>
        <w:iCs/>
        <w:strike w:val="0"/>
        <w:dstrike w:val="0"/>
        <w:color w:val="000000"/>
        <w:sz w:val="13"/>
        <w:szCs w:val="13"/>
        <w:u w:val="none" w:color="000000"/>
        <w:bdr w:val="none" w:sz="0" w:space="0" w:color="auto"/>
        <w:shd w:val="clear" w:color="auto" w:fill="auto"/>
        <w:vertAlign w:val="baseline"/>
      </w:rPr>
    </w:lvl>
  </w:abstractNum>
  <w:abstractNum w:abstractNumId="1">
    <w:nsid w:val="0A9B0F09"/>
    <w:multiLevelType w:val="multilevel"/>
    <w:tmpl w:val="8F8EABE2"/>
    <w:lvl w:ilvl="0">
      <w:start w:val="1"/>
      <w:numFmt w:val="decimal"/>
      <w:lvlText w:val="%1."/>
      <w:lvlJc w:val="left"/>
      <w:pPr>
        <w:ind w:left="1500" w:hanging="1140"/>
      </w:pPr>
      <w:rPr>
        <w:rFonts w:hint="default"/>
      </w:rPr>
    </w:lvl>
    <w:lvl w:ilvl="1">
      <w:start w:val="1"/>
      <w:numFmt w:val="decimal"/>
      <w:isLgl/>
      <w:lvlText w:val="%1.%2"/>
      <w:lvlJc w:val="left"/>
      <w:pPr>
        <w:ind w:left="2160" w:hanging="660"/>
      </w:pPr>
      <w:rPr>
        <w:rFonts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500" w:hanging="720"/>
      </w:pPr>
      <w:rPr>
        <w:rFonts w:hint="default"/>
      </w:rPr>
    </w:lvl>
    <w:lvl w:ilvl="4">
      <w:start w:val="1"/>
      <w:numFmt w:val="decimal"/>
      <w:isLgl/>
      <w:lvlText w:val="%1.%2.%3.%4.%5"/>
      <w:lvlJc w:val="left"/>
      <w:pPr>
        <w:ind w:left="6000" w:hanging="1080"/>
      </w:pPr>
      <w:rPr>
        <w:rFonts w:hint="default"/>
      </w:rPr>
    </w:lvl>
    <w:lvl w:ilvl="5">
      <w:start w:val="1"/>
      <w:numFmt w:val="decimal"/>
      <w:isLgl/>
      <w:lvlText w:val="%1.%2.%3.%4.%5.%6"/>
      <w:lvlJc w:val="left"/>
      <w:pPr>
        <w:ind w:left="714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80" w:hanging="1440"/>
      </w:pPr>
      <w:rPr>
        <w:rFonts w:hint="default"/>
      </w:rPr>
    </w:lvl>
    <w:lvl w:ilvl="8">
      <w:start w:val="1"/>
      <w:numFmt w:val="decimal"/>
      <w:isLgl/>
      <w:lvlText w:val="%1.%2.%3.%4.%5.%6.%7.%8.%9"/>
      <w:lvlJc w:val="left"/>
      <w:pPr>
        <w:ind w:left="11280" w:hanging="1800"/>
      </w:pPr>
      <w:rPr>
        <w:rFonts w:hint="default"/>
      </w:rPr>
    </w:lvl>
  </w:abstractNum>
  <w:abstractNum w:abstractNumId="2">
    <w:nsid w:val="13722814"/>
    <w:multiLevelType w:val="hybridMultilevel"/>
    <w:tmpl w:val="B26683AA"/>
    <w:lvl w:ilvl="0" w:tplc="3F62193E">
      <w:start w:val="1"/>
      <w:numFmt w:val="decimal"/>
      <w:lvlText w:val="[%1]."/>
      <w:lvlJc w:val="left"/>
      <w:pPr>
        <w:ind w:left="720" w:hanging="360"/>
      </w:pPr>
      <w:rPr>
        <w:rFonts w:hint="default"/>
        <w:b w:val="0"/>
        <w:b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4337A3"/>
    <w:multiLevelType w:val="hybridMultilevel"/>
    <w:tmpl w:val="832A7AE4"/>
    <w:lvl w:ilvl="0" w:tplc="B1466DEC">
      <w:start w:val="1"/>
      <w:numFmt w:val="lowerLetter"/>
      <w:lvlText w:val="(%1)"/>
      <w:lvlJc w:val="left"/>
      <w:pPr>
        <w:ind w:left="1288" w:hanging="360"/>
      </w:pPr>
      <w:rPr>
        <w:rFonts w:hint="default"/>
      </w:rPr>
    </w:lvl>
    <w:lvl w:ilvl="1" w:tplc="08090019">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4">
    <w:nsid w:val="1D004CAA"/>
    <w:multiLevelType w:val="hybridMultilevel"/>
    <w:tmpl w:val="5516A036"/>
    <w:lvl w:ilvl="0" w:tplc="F4CE2590">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5">
    <w:nsid w:val="232D3050"/>
    <w:multiLevelType w:val="multilevel"/>
    <w:tmpl w:val="0D36367A"/>
    <w:lvl w:ilvl="0">
      <w:start w:val="1"/>
      <w:numFmt w:val="decimal"/>
      <w:lvlText w:val="%1."/>
      <w:lvlJc w:val="left"/>
      <w:pPr>
        <w:ind w:left="720" w:hanging="360"/>
      </w:pPr>
      <w:rPr>
        <w:rFonts w:hint="default"/>
        <w:b w:val="0"/>
        <w:bCs w:val="0"/>
        <w:i w:val="0"/>
        <w:iCs w:val="0"/>
        <w:sz w:val="24"/>
        <w:szCs w:val="24"/>
      </w:r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2A290EF5"/>
    <w:multiLevelType w:val="hybridMultilevel"/>
    <w:tmpl w:val="31B8E44A"/>
    <w:lvl w:ilvl="0" w:tplc="08A058F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33AD2A40"/>
    <w:multiLevelType w:val="multilevel"/>
    <w:tmpl w:val="5FF6D7CA"/>
    <w:lvl w:ilvl="0">
      <w:start w:val="1"/>
      <w:numFmt w:val="decimal"/>
      <w:lvlText w:val="%1."/>
      <w:lvlJc w:val="left"/>
      <w:pPr>
        <w:ind w:left="720" w:hanging="360"/>
      </w:pPr>
      <w:rPr>
        <w:rFonts w:hint="default"/>
        <w:b w:val="0"/>
        <w:bCs/>
        <w:i w:val="0"/>
        <w:iCs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5263FC8"/>
    <w:multiLevelType w:val="multilevel"/>
    <w:tmpl w:val="4E1A9742"/>
    <w:lvl w:ilvl="0">
      <w:start w:val="28"/>
      <w:numFmt w:val="decimal"/>
      <w:lvlText w:val="%1"/>
      <w:lvlJc w:val="left"/>
      <w:pPr>
        <w:ind w:left="460" w:hanging="460"/>
      </w:pPr>
      <w:rPr>
        <w:rFonts w:hint="default"/>
      </w:rPr>
    </w:lvl>
    <w:lvl w:ilvl="1">
      <w:start w:val="1"/>
      <w:numFmt w:val="decimal"/>
      <w:lvlText w:val="%1.%2"/>
      <w:lvlJc w:val="left"/>
      <w:pPr>
        <w:ind w:left="1360" w:hanging="4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9">
    <w:nsid w:val="43832CEF"/>
    <w:multiLevelType w:val="hybridMultilevel"/>
    <w:tmpl w:val="CF6AA342"/>
    <w:lvl w:ilvl="0" w:tplc="1B6A18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2071A0F"/>
    <w:multiLevelType w:val="hybridMultilevel"/>
    <w:tmpl w:val="C95454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4A61304"/>
    <w:multiLevelType w:val="multilevel"/>
    <w:tmpl w:val="59DE3662"/>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12">
    <w:nsid w:val="77D90C12"/>
    <w:multiLevelType w:val="hybridMultilevel"/>
    <w:tmpl w:val="1474F7FA"/>
    <w:lvl w:ilvl="0" w:tplc="D658781A">
      <w:start w:val="1"/>
      <w:numFmt w:val="decimal"/>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7"/>
  </w:num>
  <w:num w:numId="5">
    <w:abstractNumId w:val="12"/>
  </w:num>
  <w:num w:numId="6">
    <w:abstractNumId w:val="11"/>
  </w:num>
  <w:num w:numId="7">
    <w:abstractNumId w:val="10"/>
  </w:num>
  <w:num w:numId="8">
    <w:abstractNumId w:val="2"/>
  </w:num>
  <w:num w:numId="9">
    <w:abstractNumId w:val="6"/>
  </w:num>
  <w:num w:numId="10">
    <w:abstractNumId w:val="9"/>
  </w:num>
  <w:num w:numId="11">
    <w:abstractNumId w:val="8"/>
  </w:num>
  <w:num w:numId="12">
    <w:abstractNumId w:val="1"/>
  </w:num>
  <w:num w:numId="1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C6"/>
    <w:rsid w:val="000001B7"/>
    <w:rsid w:val="0000394C"/>
    <w:rsid w:val="00004A9C"/>
    <w:rsid w:val="00005D63"/>
    <w:rsid w:val="000060CB"/>
    <w:rsid w:val="00007B6A"/>
    <w:rsid w:val="000104B4"/>
    <w:rsid w:val="000153A2"/>
    <w:rsid w:val="000200A5"/>
    <w:rsid w:val="00020BF8"/>
    <w:rsid w:val="000218AC"/>
    <w:rsid w:val="0002295E"/>
    <w:rsid w:val="00022E29"/>
    <w:rsid w:val="00023284"/>
    <w:rsid w:val="000268DE"/>
    <w:rsid w:val="00030EDB"/>
    <w:rsid w:val="00033B19"/>
    <w:rsid w:val="0003697B"/>
    <w:rsid w:val="00041722"/>
    <w:rsid w:val="00045367"/>
    <w:rsid w:val="00050078"/>
    <w:rsid w:val="00050F49"/>
    <w:rsid w:val="00052547"/>
    <w:rsid w:val="000538FC"/>
    <w:rsid w:val="000578D1"/>
    <w:rsid w:val="0006138E"/>
    <w:rsid w:val="00062CEF"/>
    <w:rsid w:val="0006302B"/>
    <w:rsid w:val="00067975"/>
    <w:rsid w:val="00070EA4"/>
    <w:rsid w:val="000714B1"/>
    <w:rsid w:val="0007211D"/>
    <w:rsid w:val="000730BB"/>
    <w:rsid w:val="00080330"/>
    <w:rsid w:val="000829DC"/>
    <w:rsid w:val="0008376B"/>
    <w:rsid w:val="0008544C"/>
    <w:rsid w:val="00085E25"/>
    <w:rsid w:val="0008693D"/>
    <w:rsid w:val="00087C44"/>
    <w:rsid w:val="00092C66"/>
    <w:rsid w:val="0009334D"/>
    <w:rsid w:val="00093A0C"/>
    <w:rsid w:val="0009577C"/>
    <w:rsid w:val="000959B4"/>
    <w:rsid w:val="000964D1"/>
    <w:rsid w:val="000971DB"/>
    <w:rsid w:val="000A11AD"/>
    <w:rsid w:val="000A11F4"/>
    <w:rsid w:val="000A1578"/>
    <w:rsid w:val="000A1AA2"/>
    <w:rsid w:val="000A26D7"/>
    <w:rsid w:val="000A3965"/>
    <w:rsid w:val="000A5270"/>
    <w:rsid w:val="000A5272"/>
    <w:rsid w:val="000A6AC5"/>
    <w:rsid w:val="000B2542"/>
    <w:rsid w:val="000C091F"/>
    <w:rsid w:val="000C0E58"/>
    <w:rsid w:val="000C1577"/>
    <w:rsid w:val="000C1D16"/>
    <w:rsid w:val="000C3019"/>
    <w:rsid w:val="000C4554"/>
    <w:rsid w:val="000C45CF"/>
    <w:rsid w:val="000C7EBE"/>
    <w:rsid w:val="000D0136"/>
    <w:rsid w:val="000D0E63"/>
    <w:rsid w:val="000D6B36"/>
    <w:rsid w:val="000E07B1"/>
    <w:rsid w:val="000E10F9"/>
    <w:rsid w:val="000E172E"/>
    <w:rsid w:val="000E2882"/>
    <w:rsid w:val="000E5109"/>
    <w:rsid w:val="000E5543"/>
    <w:rsid w:val="000E55BD"/>
    <w:rsid w:val="000E5FB9"/>
    <w:rsid w:val="000E6633"/>
    <w:rsid w:val="000F01E7"/>
    <w:rsid w:val="000F535B"/>
    <w:rsid w:val="00101D88"/>
    <w:rsid w:val="001021EE"/>
    <w:rsid w:val="00103B10"/>
    <w:rsid w:val="00103EC1"/>
    <w:rsid w:val="00110784"/>
    <w:rsid w:val="00114724"/>
    <w:rsid w:val="0011570F"/>
    <w:rsid w:val="00121456"/>
    <w:rsid w:val="00121C78"/>
    <w:rsid w:val="00127014"/>
    <w:rsid w:val="00131289"/>
    <w:rsid w:val="001327CE"/>
    <w:rsid w:val="0013492F"/>
    <w:rsid w:val="00135D96"/>
    <w:rsid w:val="001410CA"/>
    <w:rsid w:val="00141727"/>
    <w:rsid w:val="00142C68"/>
    <w:rsid w:val="00144EA8"/>
    <w:rsid w:val="0014709B"/>
    <w:rsid w:val="00147C2B"/>
    <w:rsid w:val="00151F35"/>
    <w:rsid w:val="00155668"/>
    <w:rsid w:val="00160231"/>
    <w:rsid w:val="0016046F"/>
    <w:rsid w:val="00161F55"/>
    <w:rsid w:val="00163683"/>
    <w:rsid w:val="00167161"/>
    <w:rsid w:val="001721F5"/>
    <w:rsid w:val="0017317E"/>
    <w:rsid w:val="0017416E"/>
    <w:rsid w:val="0017465D"/>
    <w:rsid w:val="0018359A"/>
    <w:rsid w:val="001835A6"/>
    <w:rsid w:val="0018654C"/>
    <w:rsid w:val="00191167"/>
    <w:rsid w:val="00192F71"/>
    <w:rsid w:val="00193741"/>
    <w:rsid w:val="00194AFD"/>
    <w:rsid w:val="00194BAE"/>
    <w:rsid w:val="00195908"/>
    <w:rsid w:val="001A21CD"/>
    <w:rsid w:val="001A3451"/>
    <w:rsid w:val="001A52B0"/>
    <w:rsid w:val="001A6A41"/>
    <w:rsid w:val="001A7F86"/>
    <w:rsid w:val="001B288A"/>
    <w:rsid w:val="001B487B"/>
    <w:rsid w:val="001B76BC"/>
    <w:rsid w:val="001C032F"/>
    <w:rsid w:val="001C3AEB"/>
    <w:rsid w:val="001C7E6B"/>
    <w:rsid w:val="001D59C7"/>
    <w:rsid w:val="001D6C62"/>
    <w:rsid w:val="001D6F4F"/>
    <w:rsid w:val="001E082A"/>
    <w:rsid w:val="001E2843"/>
    <w:rsid w:val="001E2CE3"/>
    <w:rsid w:val="001E6710"/>
    <w:rsid w:val="001E6ABF"/>
    <w:rsid w:val="001F07DD"/>
    <w:rsid w:val="001F0B41"/>
    <w:rsid w:val="001F39E0"/>
    <w:rsid w:val="001F450A"/>
    <w:rsid w:val="001F4AE5"/>
    <w:rsid w:val="001F7197"/>
    <w:rsid w:val="002003EF"/>
    <w:rsid w:val="00201A93"/>
    <w:rsid w:val="00202A41"/>
    <w:rsid w:val="002040D5"/>
    <w:rsid w:val="00205098"/>
    <w:rsid w:val="00206012"/>
    <w:rsid w:val="002073B7"/>
    <w:rsid w:val="0020751F"/>
    <w:rsid w:val="0021216F"/>
    <w:rsid w:val="002129F5"/>
    <w:rsid w:val="002133E4"/>
    <w:rsid w:val="00222329"/>
    <w:rsid w:val="00223799"/>
    <w:rsid w:val="00227A0E"/>
    <w:rsid w:val="00231953"/>
    <w:rsid w:val="00232BFD"/>
    <w:rsid w:val="00232EA0"/>
    <w:rsid w:val="002332DE"/>
    <w:rsid w:val="00234BD8"/>
    <w:rsid w:val="00235638"/>
    <w:rsid w:val="00235C37"/>
    <w:rsid w:val="002423E5"/>
    <w:rsid w:val="00242E76"/>
    <w:rsid w:val="00244901"/>
    <w:rsid w:val="00254146"/>
    <w:rsid w:val="00255485"/>
    <w:rsid w:val="00256849"/>
    <w:rsid w:val="0025737D"/>
    <w:rsid w:val="00260F2D"/>
    <w:rsid w:val="00262240"/>
    <w:rsid w:val="00264079"/>
    <w:rsid w:val="00265336"/>
    <w:rsid w:val="00266548"/>
    <w:rsid w:val="00267036"/>
    <w:rsid w:val="0027008F"/>
    <w:rsid w:val="00270B1D"/>
    <w:rsid w:val="00273985"/>
    <w:rsid w:val="002740B5"/>
    <w:rsid w:val="0027691A"/>
    <w:rsid w:val="00280528"/>
    <w:rsid w:val="00281CA0"/>
    <w:rsid w:val="00282A6E"/>
    <w:rsid w:val="002830A2"/>
    <w:rsid w:val="00283B34"/>
    <w:rsid w:val="002868F7"/>
    <w:rsid w:val="002875FA"/>
    <w:rsid w:val="00287E6E"/>
    <w:rsid w:val="002914E5"/>
    <w:rsid w:val="00293A69"/>
    <w:rsid w:val="00293CA3"/>
    <w:rsid w:val="0029767F"/>
    <w:rsid w:val="002A2D7B"/>
    <w:rsid w:val="002A36F9"/>
    <w:rsid w:val="002A3982"/>
    <w:rsid w:val="002A3DB6"/>
    <w:rsid w:val="002A51AF"/>
    <w:rsid w:val="002A53F8"/>
    <w:rsid w:val="002A6A3F"/>
    <w:rsid w:val="002A75C3"/>
    <w:rsid w:val="002B0A35"/>
    <w:rsid w:val="002B4437"/>
    <w:rsid w:val="002B69B1"/>
    <w:rsid w:val="002C0FFB"/>
    <w:rsid w:val="002C413A"/>
    <w:rsid w:val="002C4D4E"/>
    <w:rsid w:val="002C7527"/>
    <w:rsid w:val="002C7AFB"/>
    <w:rsid w:val="002D0B72"/>
    <w:rsid w:val="002D1B87"/>
    <w:rsid w:val="002D288B"/>
    <w:rsid w:val="002D3D78"/>
    <w:rsid w:val="002D48B9"/>
    <w:rsid w:val="002D6A2A"/>
    <w:rsid w:val="002D6BF0"/>
    <w:rsid w:val="002E1F21"/>
    <w:rsid w:val="002E1F5F"/>
    <w:rsid w:val="002E2007"/>
    <w:rsid w:val="002E20D8"/>
    <w:rsid w:val="002E220C"/>
    <w:rsid w:val="002F3B32"/>
    <w:rsid w:val="002F610D"/>
    <w:rsid w:val="00307191"/>
    <w:rsid w:val="003120FA"/>
    <w:rsid w:val="003130F3"/>
    <w:rsid w:val="00313396"/>
    <w:rsid w:val="003155D7"/>
    <w:rsid w:val="00316515"/>
    <w:rsid w:val="003168C5"/>
    <w:rsid w:val="00322298"/>
    <w:rsid w:val="00322D7D"/>
    <w:rsid w:val="00323F5E"/>
    <w:rsid w:val="00324DEF"/>
    <w:rsid w:val="0032736C"/>
    <w:rsid w:val="00330DE1"/>
    <w:rsid w:val="00333325"/>
    <w:rsid w:val="003348C6"/>
    <w:rsid w:val="00334F20"/>
    <w:rsid w:val="00335D42"/>
    <w:rsid w:val="00336F9F"/>
    <w:rsid w:val="00342015"/>
    <w:rsid w:val="003445CB"/>
    <w:rsid w:val="003459A7"/>
    <w:rsid w:val="00346AAA"/>
    <w:rsid w:val="00353BB5"/>
    <w:rsid w:val="00353E5B"/>
    <w:rsid w:val="00360697"/>
    <w:rsid w:val="00361136"/>
    <w:rsid w:val="00361C33"/>
    <w:rsid w:val="00363165"/>
    <w:rsid w:val="00363CD3"/>
    <w:rsid w:val="00371BE5"/>
    <w:rsid w:val="003722A1"/>
    <w:rsid w:val="00372E0B"/>
    <w:rsid w:val="00373C77"/>
    <w:rsid w:val="00375DC6"/>
    <w:rsid w:val="0038358C"/>
    <w:rsid w:val="003838F9"/>
    <w:rsid w:val="00385391"/>
    <w:rsid w:val="00385695"/>
    <w:rsid w:val="00385FBC"/>
    <w:rsid w:val="00390120"/>
    <w:rsid w:val="00390B5F"/>
    <w:rsid w:val="00397445"/>
    <w:rsid w:val="00397FE5"/>
    <w:rsid w:val="003A0F8D"/>
    <w:rsid w:val="003A14B0"/>
    <w:rsid w:val="003A20FB"/>
    <w:rsid w:val="003A3574"/>
    <w:rsid w:val="003A5BC8"/>
    <w:rsid w:val="003B5292"/>
    <w:rsid w:val="003B6C23"/>
    <w:rsid w:val="003C20EF"/>
    <w:rsid w:val="003C415E"/>
    <w:rsid w:val="003C432D"/>
    <w:rsid w:val="003C6333"/>
    <w:rsid w:val="003D17D0"/>
    <w:rsid w:val="003D7268"/>
    <w:rsid w:val="003E2BF9"/>
    <w:rsid w:val="003E5CCD"/>
    <w:rsid w:val="003E6BDA"/>
    <w:rsid w:val="003E7D7E"/>
    <w:rsid w:val="003F0C07"/>
    <w:rsid w:val="003F136E"/>
    <w:rsid w:val="003F2236"/>
    <w:rsid w:val="003F2698"/>
    <w:rsid w:val="003F37AE"/>
    <w:rsid w:val="003F46D7"/>
    <w:rsid w:val="00402FAB"/>
    <w:rsid w:val="00406F88"/>
    <w:rsid w:val="004075F2"/>
    <w:rsid w:val="00412E0C"/>
    <w:rsid w:val="00413603"/>
    <w:rsid w:val="00413E2B"/>
    <w:rsid w:val="00416EA1"/>
    <w:rsid w:val="00417BE7"/>
    <w:rsid w:val="0042184A"/>
    <w:rsid w:val="004247F2"/>
    <w:rsid w:val="00425F53"/>
    <w:rsid w:val="00431C6C"/>
    <w:rsid w:val="00432B66"/>
    <w:rsid w:val="004367B8"/>
    <w:rsid w:val="00440D4B"/>
    <w:rsid w:val="0044117D"/>
    <w:rsid w:val="00441FE0"/>
    <w:rsid w:val="00442156"/>
    <w:rsid w:val="0044361B"/>
    <w:rsid w:val="00443ADE"/>
    <w:rsid w:val="00444C8B"/>
    <w:rsid w:val="0044572B"/>
    <w:rsid w:val="0044597A"/>
    <w:rsid w:val="00446EFE"/>
    <w:rsid w:val="0045149D"/>
    <w:rsid w:val="00452748"/>
    <w:rsid w:val="00452A4C"/>
    <w:rsid w:val="00453C16"/>
    <w:rsid w:val="00453CF3"/>
    <w:rsid w:val="00454072"/>
    <w:rsid w:val="00456CAB"/>
    <w:rsid w:val="00460F1A"/>
    <w:rsid w:val="00461E12"/>
    <w:rsid w:val="00463D10"/>
    <w:rsid w:val="00475569"/>
    <w:rsid w:val="00475A8E"/>
    <w:rsid w:val="00475DE0"/>
    <w:rsid w:val="00477165"/>
    <w:rsid w:val="0048191C"/>
    <w:rsid w:val="00482966"/>
    <w:rsid w:val="004854D5"/>
    <w:rsid w:val="0049074E"/>
    <w:rsid w:val="0049313B"/>
    <w:rsid w:val="00496F1D"/>
    <w:rsid w:val="004A1DD2"/>
    <w:rsid w:val="004A73EB"/>
    <w:rsid w:val="004B08C6"/>
    <w:rsid w:val="004B5013"/>
    <w:rsid w:val="004B701C"/>
    <w:rsid w:val="004C0936"/>
    <w:rsid w:val="004C0AC5"/>
    <w:rsid w:val="004C6A1E"/>
    <w:rsid w:val="004D12FE"/>
    <w:rsid w:val="004D1C80"/>
    <w:rsid w:val="004D3845"/>
    <w:rsid w:val="004D3E1C"/>
    <w:rsid w:val="004D45B5"/>
    <w:rsid w:val="004D5698"/>
    <w:rsid w:val="004D658A"/>
    <w:rsid w:val="004D67A2"/>
    <w:rsid w:val="004E41FB"/>
    <w:rsid w:val="004E581A"/>
    <w:rsid w:val="004E6C18"/>
    <w:rsid w:val="004F0167"/>
    <w:rsid w:val="004F1F56"/>
    <w:rsid w:val="004F53EA"/>
    <w:rsid w:val="004F6419"/>
    <w:rsid w:val="005007E2"/>
    <w:rsid w:val="00500DA0"/>
    <w:rsid w:val="0050250E"/>
    <w:rsid w:val="005069D9"/>
    <w:rsid w:val="00514611"/>
    <w:rsid w:val="005152B7"/>
    <w:rsid w:val="0051651C"/>
    <w:rsid w:val="00517801"/>
    <w:rsid w:val="0052011D"/>
    <w:rsid w:val="00522834"/>
    <w:rsid w:val="0052438F"/>
    <w:rsid w:val="0052535A"/>
    <w:rsid w:val="00531669"/>
    <w:rsid w:val="00535551"/>
    <w:rsid w:val="0053699C"/>
    <w:rsid w:val="00540198"/>
    <w:rsid w:val="00541219"/>
    <w:rsid w:val="00547503"/>
    <w:rsid w:val="005475F2"/>
    <w:rsid w:val="00547AC7"/>
    <w:rsid w:val="00551B4C"/>
    <w:rsid w:val="0055431B"/>
    <w:rsid w:val="00554BD1"/>
    <w:rsid w:val="005560EF"/>
    <w:rsid w:val="0056449D"/>
    <w:rsid w:val="005645E5"/>
    <w:rsid w:val="00566292"/>
    <w:rsid w:val="00567950"/>
    <w:rsid w:val="0057074A"/>
    <w:rsid w:val="0057076A"/>
    <w:rsid w:val="005720E9"/>
    <w:rsid w:val="00584468"/>
    <w:rsid w:val="00587548"/>
    <w:rsid w:val="00587BF3"/>
    <w:rsid w:val="00594578"/>
    <w:rsid w:val="00595099"/>
    <w:rsid w:val="00595FAB"/>
    <w:rsid w:val="005A2A1F"/>
    <w:rsid w:val="005A2F73"/>
    <w:rsid w:val="005A34A1"/>
    <w:rsid w:val="005B0DB3"/>
    <w:rsid w:val="005B118D"/>
    <w:rsid w:val="005B153A"/>
    <w:rsid w:val="005B6266"/>
    <w:rsid w:val="005B75C1"/>
    <w:rsid w:val="005C4478"/>
    <w:rsid w:val="005C7EFA"/>
    <w:rsid w:val="005D3007"/>
    <w:rsid w:val="005D3129"/>
    <w:rsid w:val="005D4335"/>
    <w:rsid w:val="005D4790"/>
    <w:rsid w:val="005E2259"/>
    <w:rsid w:val="005E230C"/>
    <w:rsid w:val="005E343C"/>
    <w:rsid w:val="005E448E"/>
    <w:rsid w:val="005E4E1E"/>
    <w:rsid w:val="005E739F"/>
    <w:rsid w:val="005F16FA"/>
    <w:rsid w:val="005F28F3"/>
    <w:rsid w:val="005F49B3"/>
    <w:rsid w:val="005F4BFF"/>
    <w:rsid w:val="005F51B9"/>
    <w:rsid w:val="005F653D"/>
    <w:rsid w:val="006009FF"/>
    <w:rsid w:val="006036F8"/>
    <w:rsid w:val="00603D7B"/>
    <w:rsid w:val="00605316"/>
    <w:rsid w:val="00607209"/>
    <w:rsid w:val="006077A9"/>
    <w:rsid w:val="006108CE"/>
    <w:rsid w:val="00612675"/>
    <w:rsid w:val="00612696"/>
    <w:rsid w:val="00613E4D"/>
    <w:rsid w:val="00615A0C"/>
    <w:rsid w:val="00621654"/>
    <w:rsid w:val="006216B4"/>
    <w:rsid w:val="00624CDA"/>
    <w:rsid w:val="006257C1"/>
    <w:rsid w:val="0063067F"/>
    <w:rsid w:val="0063569A"/>
    <w:rsid w:val="00637C14"/>
    <w:rsid w:val="006430C0"/>
    <w:rsid w:val="00644BB3"/>
    <w:rsid w:val="00646138"/>
    <w:rsid w:val="00650745"/>
    <w:rsid w:val="00650FD2"/>
    <w:rsid w:val="00651B9B"/>
    <w:rsid w:val="00653433"/>
    <w:rsid w:val="006542EB"/>
    <w:rsid w:val="00654FD2"/>
    <w:rsid w:val="00655236"/>
    <w:rsid w:val="00656569"/>
    <w:rsid w:val="00660826"/>
    <w:rsid w:val="00661AA8"/>
    <w:rsid w:val="006630FB"/>
    <w:rsid w:val="00665F7E"/>
    <w:rsid w:val="006710DC"/>
    <w:rsid w:val="00672288"/>
    <w:rsid w:val="0067399C"/>
    <w:rsid w:val="006746BF"/>
    <w:rsid w:val="00675035"/>
    <w:rsid w:val="00676987"/>
    <w:rsid w:val="00677BC9"/>
    <w:rsid w:val="00683071"/>
    <w:rsid w:val="0068607F"/>
    <w:rsid w:val="00686AFF"/>
    <w:rsid w:val="00695533"/>
    <w:rsid w:val="006A1AA8"/>
    <w:rsid w:val="006A2498"/>
    <w:rsid w:val="006A37E3"/>
    <w:rsid w:val="006A500D"/>
    <w:rsid w:val="006A5954"/>
    <w:rsid w:val="006A6DDB"/>
    <w:rsid w:val="006A770C"/>
    <w:rsid w:val="006B0014"/>
    <w:rsid w:val="006B3D1D"/>
    <w:rsid w:val="006B44D6"/>
    <w:rsid w:val="006B5516"/>
    <w:rsid w:val="006B67ED"/>
    <w:rsid w:val="006C034E"/>
    <w:rsid w:val="006C2C45"/>
    <w:rsid w:val="006C45CC"/>
    <w:rsid w:val="006C705A"/>
    <w:rsid w:val="006D1F36"/>
    <w:rsid w:val="006D6F58"/>
    <w:rsid w:val="006E111E"/>
    <w:rsid w:val="006E193E"/>
    <w:rsid w:val="006E4415"/>
    <w:rsid w:val="006E462C"/>
    <w:rsid w:val="006E6557"/>
    <w:rsid w:val="006F2787"/>
    <w:rsid w:val="006F40B5"/>
    <w:rsid w:val="00700E66"/>
    <w:rsid w:val="00701132"/>
    <w:rsid w:val="00701570"/>
    <w:rsid w:val="007022F9"/>
    <w:rsid w:val="00703511"/>
    <w:rsid w:val="00707C51"/>
    <w:rsid w:val="0071053D"/>
    <w:rsid w:val="00713A5D"/>
    <w:rsid w:val="007159FA"/>
    <w:rsid w:val="00715D2A"/>
    <w:rsid w:val="00720FEF"/>
    <w:rsid w:val="0072221F"/>
    <w:rsid w:val="0072253A"/>
    <w:rsid w:val="007227F2"/>
    <w:rsid w:val="007237FA"/>
    <w:rsid w:val="007240E6"/>
    <w:rsid w:val="007305A7"/>
    <w:rsid w:val="0073212D"/>
    <w:rsid w:val="00733746"/>
    <w:rsid w:val="00735EB8"/>
    <w:rsid w:val="00736CDA"/>
    <w:rsid w:val="00737291"/>
    <w:rsid w:val="00741C22"/>
    <w:rsid w:val="00742BAE"/>
    <w:rsid w:val="00743A35"/>
    <w:rsid w:val="0074440F"/>
    <w:rsid w:val="007458C9"/>
    <w:rsid w:val="00750CC1"/>
    <w:rsid w:val="00753AD4"/>
    <w:rsid w:val="00755484"/>
    <w:rsid w:val="00763002"/>
    <w:rsid w:val="00764D0D"/>
    <w:rsid w:val="00765BC3"/>
    <w:rsid w:val="0076608B"/>
    <w:rsid w:val="007679D5"/>
    <w:rsid w:val="00771E0F"/>
    <w:rsid w:val="007728D2"/>
    <w:rsid w:val="00773FEA"/>
    <w:rsid w:val="00776528"/>
    <w:rsid w:val="00777941"/>
    <w:rsid w:val="0078301E"/>
    <w:rsid w:val="007847DB"/>
    <w:rsid w:val="00785866"/>
    <w:rsid w:val="00785F78"/>
    <w:rsid w:val="007875AE"/>
    <w:rsid w:val="0078777C"/>
    <w:rsid w:val="007925FD"/>
    <w:rsid w:val="007970E1"/>
    <w:rsid w:val="00797FA6"/>
    <w:rsid w:val="007A288E"/>
    <w:rsid w:val="007A3393"/>
    <w:rsid w:val="007A53BB"/>
    <w:rsid w:val="007A6F48"/>
    <w:rsid w:val="007B1CEA"/>
    <w:rsid w:val="007B2C1E"/>
    <w:rsid w:val="007B46F6"/>
    <w:rsid w:val="007B63CD"/>
    <w:rsid w:val="007B78A3"/>
    <w:rsid w:val="007C373C"/>
    <w:rsid w:val="007C41A1"/>
    <w:rsid w:val="007C6C98"/>
    <w:rsid w:val="007C7D36"/>
    <w:rsid w:val="007D17B5"/>
    <w:rsid w:val="007D24A3"/>
    <w:rsid w:val="007D4803"/>
    <w:rsid w:val="007D7414"/>
    <w:rsid w:val="007E14BF"/>
    <w:rsid w:val="007E1AF2"/>
    <w:rsid w:val="007E5CFD"/>
    <w:rsid w:val="007E6B79"/>
    <w:rsid w:val="007E7B98"/>
    <w:rsid w:val="007F0BBF"/>
    <w:rsid w:val="007F16B2"/>
    <w:rsid w:val="007F267C"/>
    <w:rsid w:val="007F3E57"/>
    <w:rsid w:val="007F6920"/>
    <w:rsid w:val="007F7FED"/>
    <w:rsid w:val="0080634A"/>
    <w:rsid w:val="00806DFA"/>
    <w:rsid w:val="008107AD"/>
    <w:rsid w:val="0082147C"/>
    <w:rsid w:val="00821962"/>
    <w:rsid w:val="00822511"/>
    <w:rsid w:val="00831091"/>
    <w:rsid w:val="00831794"/>
    <w:rsid w:val="0083215B"/>
    <w:rsid w:val="0083630E"/>
    <w:rsid w:val="00836D43"/>
    <w:rsid w:val="0083710F"/>
    <w:rsid w:val="00837200"/>
    <w:rsid w:val="008402F6"/>
    <w:rsid w:val="00840547"/>
    <w:rsid w:val="008412BE"/>
    <w:rsid w:val="0084332A"/>
    <w:rsid w:val="008465D6"/>
    <w:rsid w:val="00846A80"/>
    <w:rsid w:val="00852B2D"/>
    <w:rsid w:val="00857310"/>
    <w:rsid w:val="00860899"/>
    <w:rsid w:val="00860F1C"/>
    <w:rsid w:val="008644CC"/>
    <w:rsid w:val="008649B6"/>
    <w:rsid w:val="00866025"/>
    <w:rsid w:val="008702E3"/>
    <w:rsid w:val="008812CB"/>
    <w:rsid w:val="0088233C"/>
    <w:rsid w:val="00883E47"/>
    <w:rsid w:val="0088782D"/>
    <w:rsid w:val="00892766"/>
    <w:rsid w:val="008956FD"/>
    <w:rsid w:val="008A3877"/>
    <w:rsid w:val="008A6396"/>
    <w:rsid w:val="008A7B19"/>
    <w:rsid w:val="008B1A58"/>
    <w:rsid w:val="008B1B71"/>
    <w:rsid w:val="008B2182"/>
    <w:rsid w:val="008B40A8"/>
    <w:rsid w:val="008B6AB5"/>
    <w:rsid w:val="008C18AE"/>
    <w:rsid w:val="008C2424"/>
    <w:rsid w:val="008C30DD"/>
    <w:rsid w:val="008C3603"/>
    <w:rsid w:val="008C45A5"/>
    <w:rsid w:val="008C633E"/>
    <w:rsid w:val="008D2675"/>
    <w:rsid w:val="008D34A8"/>
    <w:rsid w:val="008D4FD5"/>
    <w:rsid w:val="008D738D"/>
    <w:rsid w:val="008E295E"/>
    <w:rsid w:val="008E2CA8"/>
    <w:rsid w:val="008E3210"/>
    <w:rsid w:val="008E3838"/>
    <w:rsid w:val="008E3CBC"/>
    <w:rsid w:val="008E4705"/>
    <w:rsid w:val="008E5BBF"/>
    <w:rsid w:val="008E61F0"/>
    <w:rsid w:val="008F04D0"/>
    <w:rsid w:val="008F2EA2"/>
    <w:rsid w:val="008F59C0"/>
    <w:rsid w:val="009007B6"/>
    <w:rsid w:val="00901159"/>
    <w:rsid w:val="009026AA"/>
    <w:rsid w:val="00905EBE"/>
    <w:rsid w:val="00911000"/>
    <w:rsid w:val="00911F9D"/>
    <w:rsid w:val="009155B3"/>
    <w:rsid w:val="00916812"/>
    <w:rsid w:val="00916FDE"/>
    <w:rsid w:val="009227A6"/>
    <w:rsid w:val="00923678"/>
    <w:rsid w:val="00923E09"/>
    <w:rsid w:val="00926EAA"/>
    <w:rsid w:val="00934721"/>
    <w:rsid w:val="0093492C"/>
    <w:rsid w:val="0093762E"/>
    <w:rsid w:val="00940B57"/>
    <w:rsid w:val="00941562"/>
    <w:rsid w:val="00944BDE"/>
    <w:rsid w:val="0094618C"/>
    <w:rsid w:val="0095114B"/>
    <w:rsid w:val="009515CF"/>
    <w:rsid w:val="00953D16"/>
    <w:rsid w:val="009542EF"/>
    <w:rsid w:val="0095576C"/>
    <w:rsid w:val="009567D8"/>
    <w:rsid w:val="009601A4"/>
    <w:rsid w:val="00962B70"/>
    <w:rsid w:val="00965032"/>
    <w:rsid w:val="00972E77"/>
    <w:rsid w:val="009732B6"/>
    <w:rsid w:val="00974554"/>
    <w:rsid w:val="00974627"/>
    <w:rsid w:val="00974894"/>
    <w:rsid w:val="00976D15"/>
    <w:rsid w:val="00977E1A"/>
    <w:rsid w:val="00982553"/>
    <w:rsid w:val="009838D5"/>
    <w:rsid w:val="00984887"/>
    <w:rsid w:val="00987290"/>
    <w:rsid w:val="0098796F"/>
    <w:rsid w:val="00990570"/>
    <w:rsid w:val="009926E5"/>
    <w:rsid w:val="00992DEB"/>
    <w:rsid w:val="009942AE"/>
    <w:rsid w:val="009950C9"/>
    <w:rsid w:val="00995931"/>
    <w:rsid w:val="009A269B"/>
    <w:rsid w:val="009A2D04"/>
    <w:rsid w:val="009A33C1"/>
    <w:rsid w:val="009A79F1"/>
    <w:rsid w:val="009B0113"/>
    <w:rsid w:val="009B099B"/>
    <w:rsid w:val="009B2BC9"/>
    <w:rsid w:val="009B36AA"/>
    <w:rsid w:val="009B3D4B"/>
    <w:rsid w:val="009B3E83"/>
    <w:rsid w:val="009B4C31"/>
    <w:rsid w:val="009B7B26"/>
    <w:rsid w:val="009B7EE6"/>
    <w:rsid w:val="009C0A48"/>
    <w:rsid w:val="009C514B"/>
    <w:rsid w:val="009C6042"/>
    <w:rsid w:val="009D29E3"/>
    <w:rsid w:val="009D318B"/>
    <w:rsid w:val="009D376F"/>
    <w:rsid w:val="009D3ABC"/>
    <w:rsid w:val="009D57DB"/>
    <w:rsid w:val="009E1EF1"/>
    <w:rsid w:val="009E2FF8"/>
    <w:rsid w:val="009E6B57"/>
    <w:rsid w:val="009F22F0"/>
    <w:rsid w:val="009F43A4"/>
    <w:rsid w:val="009F5BA2"/>
    <w:rsid w:val="009F5E83"/>
    <w:rsid w:val="00A00768"/>
    <w:rsid w:val="00A01777"/>
    <w:rsid w:val="00A019EC"/>
    <w:rsid w:val="00A02FD9"/>
    <w:rsid w:val="00A055B0"/>
    <w:rsid w:val="00A06BF9"/>
    <w:rsid w:val="00A06E43"/>
    <w:rsid w:val="00A07432"/>
    <w:rsid w:val="00A12932"/>
    <w:rsid w:val="00A13793"/>
    <w:rsid w:val="00A14806"/>
    <w:rsid w:val="00A14959"/>
    <w:rsid w:val="00A156AE"/>
    <w:rsid w:val="00A15E04"/>
    <w:rsid w:val="00A161B0"/>
    <w:rsid w:val="00A165EA"/>
    <w:rsid w:val="00A22388"/>
    <w:rsid w:val="00A24B93"/>
    <w:rsid w:val="00A26F7C"/>
    <w:rsid w:val="00A30486"/>
    <w:rsid w:val="00A323D2"/>
    <w:rsid w:val="00A32C10"/>
    <w:rsid w:val="00A337E6"/>
    <w:rsid w:val="00A3600A"/>
    <w:rsid w:val="00A43F9C"/>
    <w:rsid w:val="00A4634B"/>
    <w:rsid w:val="00A52EE8"/>
    <w:rsid w:val="00A54C36"/>
    <w:rsid w:val="00A55C3C"/>
    <w:rsid w:val="00A56BC1"/>
    <w:rsid w:val="00A600CF"/>
    <w:rsid w:val="00A61AE8"/>
    <w:rsid w:val="00A62353"/>
    <w:rsid w:val="00A636B7"/>
    <w:rsid w:val="00A63F51"/>
    <w:rsid w:val="00A66FF5"/>
    <w:rsid w:val="00A67CBE"/>
    <w:rsid w:val="00A75EF4"/>
    <w:rsid w:val="00A77551"/>
    <w:rsid w:val="00A775F2"/>
    <w:rsid w:val="00A825CC"/>
    <w:rsid w:val="00A83A03"/>
    <w:rsid w:val="00A84193"/>
    <w:rsid w:val="00A8522E"/>
    <w:rsid w:val="00A9010C"/>
    <w:rsid w:val="00A901C5"/>
    <w:rsid w:val="00A95337"/>
    <w:rsid w:val="00AA475A"/>
    <w:rsid w:val="00AA5F45"/>
    <w:rsid w:val="00AA663B"/>
    <w:rsid w:val="00AB1510"/>
    <w:rsid w:val="00AB2DE7"/>
    <w:rsid w:val="00AB40AF"/>
    <w:rsid w:val="00AB4CA7"/>
    <w:rsid w:val="00AB636E"/>
    <w:rsid w:val="00AB652A"/>
    <w:rsid w:val="00AB6798"/>
    <w:rsid w:val="00AB6877"/>
    <w:rsid w:val="00AC09ED"/>
    <w:rsid w:val="00AD49F8"/>
    <w:rsid w:val="00AD7C32"/>
    <w:rsid w:val="00AE19AF"/>
    <w:rsid w:val="00AE1E5D"/>
    <w:rsid w:val="00AE4E9C"/>
    <w:rsid w:val="00AF1197"/>
    <w:rsid w:val="00AF1688"/>
    <w:rsid w:val="00AF3194"/>
    <w:rsid w:val="00AF698F"/>
    <w:rsid w:val="00B036F0"/>
    <w:rsid w:val="00B03BD1"/>
    <w:rsid w:val="00B05716"/>
    <w:rsid w:val="00B10AF6"/>
    <w:rsid w:val="00B11DEB"/>
    <w:rsid w:val="00B120C9"/>
    <w:rsid w:val="00B12662"/>
    <w:rsid w:val="00B13443"/>
    <w:rsid w:val="00B20170"/>
    <w:rsid w:val="00B21489"/>
    <w:rsid w:val="00B2186B"/>
    <w:rsid w:val="00B21E88"/>
    <w:rsid w:val="00B22495"/>
    <w:rsid w:val="00B244B7"/>
    <w:rsid w:val="00B3097A"/>
    <w:rsid w:val="00B3106B"/>
    <w:rsid w:val="00B361A3"/>
    <w:rsid w:val="00B404D0"/>
    <w:rsid w:val="00B44F10"/>
    <w:rsid w:val="00B45255"/>
    <w:rsid w:val="00B50E11"/>
    <w:rsid w:val="00B62CCE"/>
    <w:rsid w:val="00B64D36"/>
    <w:rsid w:val="00B70181"/>
    <w:rsid w:val="00B70620"/>
    <w:rsid w:val="00B72DD4"/>
    <w:rsid w:val="00B72F08"/>
    <w:rsid w:val="00B73443"/>
    <w:rsid w:val="00B75368"/>
    <w:rsid w:val="00B76129"/>
    <w:rsid w:val="00B8347D"/>
    <w:rsid w:val="00B83C34"/>
    <w:rsid w:val="00B86223"/>
    <w:rsid w:val="00B862D2"/>
    <w:rsid w:val="00B908DF"/>
    <w:rsid w:val="00B90C40"/>
    <w:rsid w:val="00B90D72"/>
    <w:rsid w:val="00B91270"/>
    <w:rsid w:val="00B92074"/>
    <w:rsid w:val="00B92366"/>
    <w:rsid w:val="00B92A41"/>
    <w:rsid w:val="00B9551D"/>
    <w:rsid w:val="00B95693"/>
    <w:rsid w:val="00B95E84"/>
    <w:rsid w:val="00BA1F62"/>
    <w:rsid w:val="00BA5982"/>
    <w:rsid w:val="00BB2283"/>
    <w:rsid w:val="00BB3F25"/>
    <w:rsid w:val="00BB3F9A"/>
    <w:rsid w:val="00BB6202"/>
    <w:rsid w:val="00BB6451"/>
    <w:rsid w:val="00BB769A"/>
    <w:rsid w:val="00BC0DEB"/>
    <w:rsid w:val="00BC44C5"/>
    <w:rsid w:val="00BD1DB5"/>
    <w:rsid w:val="00BD2454"/>
    <w:rsid w:val="00BD647C"/>
    <w:rsid w:val="00BE10A8"/>
    <w:rsid w:val="00BE257B"/>
    <w:rsid w:val="00BE6CCB"/>
    <w:rsid w:val="00BF09B4"/>
    <w:rsid w:val="00BF43E1"/>
    <w:rsid w:val="00C03C15"/>
    <w:rsid w:val="00C04C43"/>
    <w:rsid w:val="00C05042"/>
    <w:rsid w:val="00C06229"/>
    <w:rsid w:val="00C1009D"/>
    <w:rsid w:val="00C11D38"/>
    <w:rsid w:val="00C11D79"/>
    <w:rsid w:val="00C1227A"/>
    <w:rsid w:val="00C13329"/>
    <w:rsid w:val="00C16DB2"/>
    <w:rsid w:val="00C252A9"/>
    <w:rsid w:val="00C32A6F"/>
    <w:rsid w:val="00C33AAD"/>
    <w:rsid w:val="00C359FB"/>
    <w:rsid w:val="00C35AE1"/>
    <w:rsid w:val="00C4185B"/>
    <w:rsid w:val="00C44625"/>
    <w:rsid w:val="00C4520D"/>
    <w:rsid w:val="00C45291"/>
    <w:rsid w:val="00C45CF3"/>
    <w:rsid w:val="00C46E2F"/>
    <w:rsid w:val="00C476E5"/>
    <w:rsid w:val="00C477DE"/>
    <w:rsid w:val="00C50A22"/>
    <w:rsid w:val="00C519B2"/>
    <w:rsid w:val="00C52737"/>
    <w:rsid w:val="00C53A35"/>
    <w:rsid w:val="00C53B19"/>
    <w:rsid w:val="00C5727B"/>
    <w:rsid w:val="00C60890"/>
    <w:rsid w:val="00C63FFA"/>
    <w:rsid w:val="00C64B6A"/>
    <w:rsid w:val="00C67439"/>
    <w:rsid w:val="00C7071F"/>
    <w:rsid w:val="00C72619"/>
    <w:rsid w:val="00C72A6C"/>
    <w:rsid w:val="00C7361A"/>
    <w:rsid w:val="00C7460D"/>
    <w:rsid w:val="00C80336"/>
    <w:rsid w:val="00C82E72"/>
    <w:rsid w:val="00C8430A"/>
    <w:rsid w:val="00C87F56"/>
    <w:rsid w:val="00C9262D"/>
    <w:rsid w:val="00CA078B"/>
    <w:rsid w:val="00CA67E2"/>
    <w:rsid w:val="00CA6C2A"/>
    <w:rsid w:val="00CA7442"/>
    <w:rsid w:val="00CB1F1D"/>
    <w:rsid w:val="00CB2381"/>
    <w:rsid w:val="00CB2439"/>
    <w:rsid w:val="00CB6F8A"/>
    <w:rsid w:val="00CC3AB3"/>
    <w:rsid w:val="00CD1BDD"/>
    <w:rsid w:val="00CE09E5"/>
    <w:rsid w:val="00CE0CC7"/>
    <w:rsid w:val="00CE30E0"/>
    <w:rsid w:val="00CE3BED"/>
    <w:rsid w:val="00CF05BE"/>
    <w:rsid w:val="00CF08CE"/>
    <w:rsid w:val="00CF0F09"/>
    <w:rsid w:val="00CF1C9D"/>
    <w:rsid w:val="00CF51FB"/>
    <w:rsid w:val="00CF7090"/>
    <w:rsid w:val="00CF7D86"/>
    <w:rsid w:val="00CF7D99"/>
    <w:rsid w:val="00D00B2E"/>
    <w:rsid w:val="00D01565"/>
    <w:rsid w:val="00D026E5"/>
    <w:rsid w:val="00D02E78"/>
    <w:rsid w:val="00D04376"/>
    <w:rsid w:val="00D0642F"/>
    <w:rsid w:val="00D07002"/>
    <w:rsid w:val="00D10577"/>
    <w:rsid w:val="00D11A47"/>
    <w:rsid w:val="00D1280F"/>
    <w:rsid w:val="00D15C8C"/>
    <w:rsid w:val="00D16320"/>
    <w:rsid w:val="00D1638A"/>
    <w:rsid w:val="00D17425"/>
    <w:rsid w:val="00D17B06"/>
    <w:rsid w:val="00D2145B"/>
    <w:rsid w:val="00D23118"/>
    <w:rsid w:val="00D23AB6"/>
    <w:rsid w:val="00D245F3"/>
    <w:rsid w:val="00D2698D"/>
    <w:rsid w:val="00D314A6"/>
    <w:rsid w:val="00D31928"/>
    <w:rsid w:val="00D344C1"/>
    <w:rsid w:val="00D36006"/>
    <w:rsid w:val="00D3705F"/>
    <w:rsid w:val="00D373D9"/>
    <w:rsid w:val="00D40135"/>
    <w:rsid w:val="00D42B06"/>
    <w:rsid w:val="00D47041"/>
    <w:rsid w:val="00D523A1"/>
    <w:rsid w:val="00D526DF"/>
    <w:rsid w:val="00D61362"/>
    <w:rsid w:val="00D643F2"/>
    <w:rsid w:val="00D72025"/>
    <w:rsid w:val="00D725B6"/>
    <w:rsid w:val="00D72ED2"/>
    <w:rsid w:val="00D75D27"/>
    <w:rsid w:val="00D75F3B"/>
    <w:rsid w:val="00D77C76"/>
    <w:rsid w:val="00D911AC"/>
    <w:rsid w:val="00D91BA3"/>
    <w:rsid w:val="00D9427C"/>
    <w:rsid w:val="00D94ADD"/>
    <w:rsid w:val="00DA17B9"/>
    <w:rsid w:val="00DA44A9"/>
    <w:rsid w:val="00DA7A8D"/>
    <w:rsid w:val="00DB19FF"/>
    <w:rsid w:val="00DB60E6"/>
    <w:rsid w:val="00DC0738"/>
    <w:rsid w:val="00DC2C05"/>
    <w:rsid w:val="00DC7A05"/>
    <w:rsid w:val="00DD0D2F"/>
    <w:rsid w:val="00DD4D3D"/>
    <w:rsid w:val="00DD5A44"/>
    <w:rsid w:val="00DD7178"/>
    <w:rsid w:val="00DE0282"/>
    <w:rsid w:val="00DE0308"/>
    <w:rsid w:val="00DE0346"/>
    <w:rsid w:val="00DE1587"/>
    <w:rsid w:val="00DE39D7"/>
    <w:rsid w:val="00DF0D64"/>
    <w:rsid w:val="00DF1032"/>
    <w:rsid w:val="00DF1FC4"/>
    <w:rsid w:val="00DF4D83"/>
    <w:rsid w:val="00E01835"/>
    <w:rsid w:val="00E02EAF"/>
    <w:rsid w:val="00E03204"/>
    <w:rsid w:val="00E03B46"/>
    <w:rsid w:val="00E054BD"/>
    <w:rsid w:val="00E05A9C"/>
    <w:rsid w:val="00E067A2"/>
    <w:rsid w:val="00E077DF"/>
    <w:rsid w:val="00E07A72"/>
    <w:rsid w:val="00E12A80"/>
    <w:rsid w:val="00E15BCC"/>
    <w:rsid w:val="00E25A3E"/>
    <w:rsid w:val="00E2606B"/>
    <w:rsid w:val="00E3052B"/>
    <w:rsid w:val="00E31629"/>
    <w:rsid w:val="00E331B6"/>
    <w:rsid w:val="00E36FD9"/>
    <w:rsid w:val="00E424A7"/>
    <w:rsid w:val="00E43F8E"/>
    <w:rsid w:val="00E45186"/>
    <w:rsid w:val="00E47528"/>
    <w:rsid w:val="00E4759E"/>
    <w:rsid w:val="00E50554"/>
    <w:rsid w:val="00E507F0"/>
    <w:rsid w:val="00E51144"/>
    <w:rsid w:val="00E55848"/>
    <w:rsid w:val="00E55C66"/>
    <w:rsid w:val="00E61771"/>
    <w:rsid w:val="00E63F2E"/>
    <w:rsid w:val="00E64F4F"/>
    <w:rsid w:val="00E6515C"/>
    <w:rsid w:val="00E65FD4"/>
    <w:rsid w:val="00E7210A"/>
    <w:rsid w:val="00E72A79"/>
    <w:rsid w:val="00E73A04"/>
    <w:rsid w:val="00E802B6"/>
    <w:rsid w:val="00E8231E"/>
    <w:rsid w:val="00E82E00"/>
    <w:rsid w:val="00E82F1E"/>
    <w:rsid w:val="00E8500B"/>
    <w:rsid w:val="00E8695C"/>
    <w:rsid w:val="00E86AD4"/>
    <w:rsid w:val="00E8765D"/>
    <w:rsid w:val="00E87C23"/>
    <w:rsid w:val="00E87F75"/>
    <w:rsid w:val="00E904E4"/>
    <w:rsid w:val="00E9116C"/>
    <w:rsid w:val="00E916A7"/>
    <w:rsid w:val="00E932B5"/>
    <w:rsid w:val="00E9478D"/>
    <w:rsid w:val="00E94C86"/>
    <w:rsid w:val="00E95904"/>
    <w:rsid w:val="00E95FDF"/>
    <w:rsid w:val="00E965B7"/>
    <w:rsid w:val="00E972D3"/>
    <w:rsid w:val="00EA316A"/>
    <w:rsid w:val="00EA66AD"/>
    <w:rsid w:val="00EB239A"/>
    <w:rsid w:val="00EC4FE5"/>
    <w:rsid w:val="00EC72BA"/>
    <w:rsid w:val="00EC7C52"/>
    <w:rsid w:val="00ED011F"/>
    <w:rsid w:val="00ED23AA"/>
    <w:rsid w:val="00ED4CFF"/>
    <w:rsid w:val="00ED58E4"/>
    <w:rsid w:val="00ED68B8"/>
    <w:rsid w:val="00EE0738"/>
    <w:rsid w:val="00EE0DBB"/>
    <w:rsid w:val="00EE1161"/>
    <w:rsid w:val="00EE709D"/>
    <w:rsid w:val="00EE7699"/>
    <w:rsid w:val="00EE7C9E"/>
    <w:rsid w:val="00EF0C48"/>
    <w:rsid w:val="00EF46E6"/>
    <w:rsid w:val="00EF5F44"/>
    <w:rsid w:val="00EF626F"/>
    <w:rsid w:val="00F00B18"/>
    <w:rsid w:val="00F0330D"/>
    <w:rsid w:val="00F0562B"/>
    <w:rsid w:val="00F05FE9"/>
    <w:rsid w:val="00F06E7C"/>
    <w:rsid w:val="00F077A7"/>
    <w:rsid w:val="00F07FAF"/>
    <w:rsid w:val="00F10750"/>
    <w:rsid w:val="00F12440"/>
    <w:rsid w:val="00F142DB"/>
    <w:rsid w:val="00F16056"/>
    <w:rsid w:val="00F1648F"/>
    <w:rsid w:val="00F20D5C"/>
    <w:rsid w:val="00F21520"/>
    <w:rsid w:val="00F22289"/>
    <w:rsid w:val="00F25D67"/>
    <w:rsid w:val="00F26354"/>
    <w:rsid w:val="00F27F84"/>
    <w:rsid w:val="00F34654"/>
    <w:rsid w:val="00F3578B"/>
    <w:rsid w:val="00F357F6"/>
    <w:rsid w:val="00F3641B"/>
    <w:rsid w:val="00F412E8"/>
    <w:rsid w:val="00F43A15"/>
    <w:rsid w:val="00F43C52"/>
    <w:rsid w:val="00F44185"/>
    <w:rsid w:val="00F442D7"/>
    <w:rsid w:val="00F471C4"/>
    <w:rsid w:val="00F5238A"/>
    <w:rsid w:val="00F53553"/>
    <w:rsid w:val="00F5420B"/>
    <w:rsid w:val="00F55C9B"/>
    <w:rsid w:val="00F56324"/>
    <w:rsid w:val="00F57032"/>
    <w:rsid w:val="00F579ED"/>
    <w:rsid w:val="00F57BC1"/>
    <w:rsid w:val="00F63187"/>
    <w:rsid w:val="00F63AA6"/>
    <w:rsid w:val="00F64177"/>
    <w:rsid w:val="00F64284"/>
    <w:rsid w:val="00F67AE3"/>
    <w:rsid w:val="00F70A12"/>
    <w:rsid w:val="00F71C68"/>
    <w:rsid w:val="00F7380D"/>
    <w:rsid w:val="00F743E1"/>
    <w:rsid w:val="00F77866"/>
    <w:rsid w:val="00F81010"/>
    <w:rsid w:val="00F853E2"/>
    <w:rsid w:val="00F85632"/>
    <w:rsid w:val="00F867F4"/>
    <w:rsid w:val="00F87163"/>
    <w:rsid w:val="00F90936"/>
    <w:rsid w:val="00F9379B"/>
    <w:rsid w:val="00F93BA4"/>
    <w:rsid w:val="00F9431B"/>
    <w:rsid w:val="00F95B0D"/>
    <w:rsid w:val="00F96145"/>
    <w:rsid w:val="00F97E13"/>
    <w:rsid w:val="00FA1191"/>
    <w:rsid w:val="00FA175F"/>
    <w:rsid w:val="00FA547D"/>
    <w:rsid w:val="00FB0ED4"/>
    <w:rsid w:val="00FB6ECF"/>
    <w:rsid w:val="00FC01F2"/>
    <w:rsid w:val="00FC0385"/>
    <w:rsid w:val="00FC13A4"/>
    <w:rsid w:val="00FC34D5"/>
    <w:rsid w:val="00FC61F3"/>
    <w:rsid w:val="00FC76E7"/>
    <w:rsid w:val="00FD07EE"/>
    <w:rsid w:val="00FD36CE"/>
    <w:rsid w:val="00FD48A0"/>
    <w:rsid w:val="00FD5090"/>
    <w:rsid w:val="00FD5648"/>
    <w:rsid w:val="00FE07D3"/>
    <w:rsid w:val="00FE20FB"/>
    <w:rsid w:val="00FE2557"/>
    <w:rsid w:val="00FE4DF3"/>
    <w:rsid w:val="00FE53D2"/>
    <w:rsid w:val="00FE7668"/>
    <w:rsid w:val="00FF07BC"/>
    <w:rsid w:val="00FF1218"/>
    <w:rsid w:val="00FF3062"/>
    <w:rsid w:val="00FF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E26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52737"/>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E655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18AE"/>
  </w:style>
  <w:style w:type="character" w:customStyle="1" w:styleId="FootnoteTextChar">
    <w:name w:val="Footnote Text Char"/>
    <w:basedOn w:val="DefaultParagraphFont"/>
    <w:link w:val="FootnoteText"/>
    <w:uiPriority w:val="99"/>
    <w:rsid w:val="008C18AE"/>
  </w:style>
  <w:style w:type="character" w:styleId="FootnoteReference">
    <w:name w:val="footnote reference"/>
    <w:basedOn w:val="DefaultParagraphFont"/>
    <w:uiPriority w:val="99"/>
    <w:unhideWhenUsed/>
    <w:rsid w:val="008C18AE"/>
    <w:rPr>
      <w:vertAlign w:val="superscript"/>
    </w:rPr>
  </w:style>
  <w:style w:type="paragraph" w:styleId="ListParagraph">
    <w:name w:val="List Paragraph"/>
    <w:basedOn w:val="Normal"/>
    <w:uiPriority w:val="1"/>
    <w:qFormat/>
    <w:rsid w:val="00A165EA"/>
    <w:pPr>
      <w:ind w:left="720"/>
      <w:contextualSpacing/>
    </w:pPr>
  </w:style>
  <w:style w:type="paragraph" w:customStyle="1" w:styleId="Body">
    <w:name w:val="Body"/>
    <w:rsid w:val="00B50E11"/>
    <w:pPr>
      <w:pBdr>
        <w:top w:val="nil"/>
        <w:left w:val="nil"/>
        <w:bottom w:val="nil"/>
        <w:right w:val="nil"/>
        <w:between w:val="nil"/>
        <w:bar w:val="nil"/>
      </w:pBdr>
      <w:spacing w:line="480" w:lineRule="auto"/>
    </w:pPr>
    <w:rPr>
      <w:rFonts w:ascii="Arial" w:eastAsia="Arial Unicode MS" w:hAnsi="Arial" w:cs="Arial Unicode MS"/>
      <w:color w:val="000000"/>
      <w:sz w:val="26"/>
      <w:szCs w:val="26"/>
      <w:bdr w:val="nil"/>
    </w:rPr>
  </w:style>
  <w:style w:type="table" w:styleId="TableGrid">
    <w:name w:val="Table Grid"/>
    <w:basedOn w:val="TableNormal"/>
    <w:uiPriority w:val="39"/>
    <w:rsid w:val="00B50E11"/>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0E11"/>
    <w:pPr>
      <w:tabs>
        <w:tab w:val="center" w:pos="4513"/>
        <w:tab w:val="right" w:pos="9026"/>
      </w:tabs>
    </w:pPr>
  </w:style>
  <w:style w:type="character" w:customStyle="1" w:styleId="HeaderChar">
    <w:name w:val="Header Char"/>
    <w:basedOn w:val="DefaultParagraphFont"/>
    <w:link w:val="Header"/>
    <w:uiPriority w:val="99"/>
    <w:rsid w:val="00B50E11"/>
  </w:style>
  <w:style w:type="character" w:styleId="PageNumber">
    <w:name w:val="page number"/>
    <w:basedOn w:val="DefaultParagraphFont"/>
    <w:uiPriority w:val="99"/>
    <w:semiHidden/>
    <w:unhideWhenUsed/>
    <w:rsid w:val="00B50E11"/>
  </w:style>
  <w:style w:type="paragraph" w:customStyle="1" w:styleId="BodyA">
    <w:name w:val="Body A"/>
    <w:rsid w:val="00101D8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NormalWeb">
    <w:name w:val="Normal (Web)"/>
    <w:basedOn w:val="Normal"/>
    <w:uiPriority w:val="99"/>
    <w:unhideWhenUsed/>
    <w:rsid w:val="00A56BC1"/>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C519B2"/>
    <w:rPr>
      <w:rFonts w:ascii="Tahoma" w:hAnsi="Tahoma" w:cs="Tahoma"/>
      <w:sz w:val="16"/>
      <w:szCs w:val="16"/>
    </w:rPr>
  </w:style>
  <w:style w:type="character" w:customStyle="1" w:styleId="BalloonTextChar">
    <w:name w:val="Balloon Text Char"/>
    <w:basedOn w:val="DefaultParagraphFont"/>
    <w:link w:val="BalloonText"/>
    <w:uiPriority w:val="99"/>
    <w:semiHidden/>
    <w:rsid w:val="00C519B2"/>
    <w:rPr>
      <w:rFonts w:ascii="Tahoma" w:hAnsi="Tahoma" w:cs="Tahoma"/>
      <w:sz w:val="16"/>
      <w:szCs w:val="16"/>
    </w:rPr>
  </w:style>
  <w:style w:type="character" w:customStyle="1" w:styleId="apple-converted-space">
    <w:name w:val="apple-converted-space"/>
    <w:basedOn w:val="DefaultParagraphFont"/>
    <w:rsid w:val="003F46D7"/>
  </w:style>
  <w:style w:type="character" w:styleId="Hyperlink">
    <w:name w:val="Hyperlink"/>
    <w:basedOn w:val="DefaultParagraphFont"/>
    <w:uiPriority w:val="99"/>
    <w:semiHidden/>
    <w:unhideWhenUsed/>
    <w:rsid w:val="003F46D7"/>
    <w:rPr>
      <w:color w:val="0000FF"/>
      <w:u w:val="single"/>
    </w:rPr>
  </w:style>
  <w:style w:type="character" w:customStyle="1" w:styleId="Heading2Char">
    <w:name w:val="Heading 2 Char"/>
    <w:basedOn w:val="DefaultParagraphFont"/>
    <w:link w:val="Heading2"/>
    <w:uiPriority w:val="9"/>
    <w:rsid w:val="00C52737"/>
    <w:rPr>
      <w:rFonts w:ascii="Times New Roman" w:hAnsi="Times New Roman" w:cs="Times New Roman"/>
      <w:b/>
      <w:bCs/>
      <w:sz w:val="36"/>
      <w:szCs w:val="36"/>
    </w:rPr>
  </w:style>
  <w:style w:type="paragraph" w:styleId="EndnoteText">
    <w:name w:val="endnote text"/>
    <w:basedOn w:val="Normal"/>
    <w:link w:val="EndnoteTextChar"/>
    <w:uiPriority w:val="99"/>
    <w:semiHidden/>
    <w:unhideWhenUsed/>
    <w:rsid w:val="00D23118"/>
    <w:rPr>
      <w:sz w:val="20"/>
      <w:szCs w:val="20"/>
    </w:rPr>
  </w:style>
  <w:style w:type="character" w:customStyle="1" w:styleId="EndnoteTextChar">
    <w:name w:val="Endnote Text Char"/>
    <w:basedOn w:val="DefaultParagraphFont"/>
    <w:link w:val="EndnoteText"/>
    <w:uiPriority w:val="99"/>
    <w:semiHidden/>
    <w:rsid w:val="00D23118"/>
    <w:rPr>
      <w:sz w:val="20"/>
      <w:szCs w:val="20"/>
    </w:rPr>
  </w:style>
  <w:style w:type="character" w:styleId="EndnoteReference">
    <w:name w:val="endnote reference"/>
    <w:basedOn w:val="DefaultParagraphFont"/>
    <w:uiPriority w:val="99"/>
    <w:semiHidden/>
    <w:unhideWhenUsed/>
    <w:rsid w:val="00D23118"/>
    <w:rPr>
      <w:vertAlign w:val="superscript"/>
    </w:rPr>
  </w:style>
  <w:style w:type="paragraph" w:customStyle="1" w:styleId="LegalList1">
    <w:name w:val="Legal_List1"/>
    <w:basedOn w:val="Normal"/>
    <w:semiHidden/>
    <w:rsid w:val="00E87C23"/>
    <w:pPr>
      <w:suppressAutoHyphens/>
      <w:spacing w:after="360" w:line="480" w:lineRule="auto"/>
      <w:jc w:val="both"/>
      <w:outlineLvl w:val="0"/>
    </w:pPr>
    <w:rPr>
      <w:rFonts w:ascii="Arial" w:eastAsia="Times New Roman" w:hAnsi="Arial" w:cs="Times New Roman"/>
      <w:lang w:val="en-GB" w:eastAsia="en-GB"/>
    </w:rPr>
  </w:style>
  <w:style w:type="paragraph" w:customStyle="1" w:styleId="LegalMAINHEADING">
    <w:name w:val="Legal_MAINHEADING"/>
    <w:basedOn w:val="LegalNormal"/>
    <w:next w:val="LegalNormal"/>
    <w:semiHidden/>
    <w:rsid w:val="00E87C23"/>
    <w:pPr>
      <w:keepNext/>
      <w:spacing w:before="480"/>
    </w:pPr>
    <w:rPr>
      <w:b/>
      <w:caps/>
    </w:rPr>
  </w:style>
  <w:style w:type="paragraph" w:customStyle="1" w:styleId="LegalTramLines">
    <w:name w:val="Legal_TramLines"/>
    <w:basedOn w:val="LegalNormal"/>
    <w:next w:val="LegalNormal"/>
    <w:semiHidden/>
    <w:rsid w:val="00E87C23"/>
    <w:pPr>
      <w:pBdr>
        <w:top w:val="single" w:sz="4" w:space="18" w:color="auto"/>
        <w:bottom w:val="single" w:sz="4" w:space="18" w:color="auto"/>
      </w:pBdr>
      <w:spacing w:after="480" w:line="240" w:lineRule="auto"/>
      <w:jc w:val="center"/>
    </w:pPr>
    <w:rPr>
      <w:rFonts w:ascii="Arial Bold" w:hAnsi="Arial Bold"/>
      <w:b/>
    </w:rPr>
  </w:style>
  <w:style w:type="paragraph" w:customStyle="1" w:styleId="LegalNormal">
    <w:name w:val="Legal_Normal"/>
    <w:basedOn w:val="Normal"/>
    <w:rsid w:val="00E87C23"/>
    <w:pPr>
      <w:suppressAutoHyphens/>
      <w:spacing w:after="360" w:line="480" w:lineRule="auto"/>
      <w:jc w:val="both"/>
    </w:pPr>
    <w:rPr>
      <w:rFonts w:ascii="Arial" w:eastAsia="Times New Roman" w:hAnsi="Arial" w:cs="Times New Roman"/>
      <w:lang w:val="en-GB" w:eastAsia="en-GB"/>
    </w:rPr>
  </w:style>
  <w:style w:type="character" w:customStyle="1" w:styleId="Heading3Char">
    <w:name w:val="Heading 3 Char"/>
    <w:basedOn w:val="DefaultParagraphFont"/>
    <w:link w:val="Heading3"/>
    <w:uiPriority w:val="9"/>
    <w:semiHidden/>
    <w:rsid w:val="006E6557"/>
    <w:rPr>
      <w:rFonts w:asciiTheme="majorHAnsi" w:eastAsiaTheme="majorEastAsia" w:hAnsiTheme="majorHAnsi" w:cstheme="majorBidi"/>
      <w:color w:val="1F3763" w:themeColor="accent1" w:themeShade="7F"/>
    </w:rPr>
  </w:style>
  <w:style w:type="table" w:customStyle="1" w:styleId="TableGrid1">
    <w:name w:val="TableGrid1"/>
    <w:rsid w:val="00765BC3"/>
    <w:rPr>
      <w:rFonts w:eastAsiaTheme="minorEastAsia"/>
      <w:sz w:val="22"/>
      <w:szCs w:val="22"/>
      <w:lang w:val="en-ZA" w:eastAsia="en-ZA"/>
    </w:rPr>
    <w:tblPr>
      <w:tblCellMar>
        <w:top w:w="0" w:type="dxa"/>
        <w:left w:w="0" w:type="dxa"/>
        <w:bottom w:w="0" w:type="dxa"/>
        <w:right w:w="0" w:type="dxa"/>
      </w:tblCellMar>
    </w:tblPr>
  </w:style>
  <w:style w:type="paragraph" w:customStyle="1" w:styleId="WLGLevel1">
    <w:name w:val="WLGLevel1"/>
    <w:basedOn w:val="Normal"/>
    <w:qFormat/>
    <w:rsid w:val="00F7380D"/>
    <w:pPr>
      <w:numPr>
        <w:numId w:val="6"/>
      </w:numPr>
      <w:suppressAutoHyphens/>
      <w:spacing w:before="320" w:after="320" w:line="480" w:lineRule="auto"/>
      <w:jc w:val="both"/>
      <w:outlineLvl w:val="0"/>
    </w:pPr>
    <w:rPr>
      <w:rFonts w:ascii="Arial" w:eastAsia="Times New Roman" w:hAnsi="Arial" w:cs="Times New Roman"/>
      <w:szCs w:val="20"/>
      <w:lang w:val="en-ZA"/>
    </w:rPr>
  </w:style>
  <w:style w:type="paragraph" w:customStyle="1" w:styleId="WLGLevel2">
    <w:name w:val="WLGLevel2"/>
    <w:basedOn w:val="Normal"/>
    <w:qFormat/>
    <w:rsid w:val="00F7380D"/>
    <w:pPr>
      <w:numPr>
        <w:ilvl w:val="1"/>
        <w:numId w:val="6"/>
      </w:numPr>
      <w:suppressAutoHyphens/>
      <w:spacing w:after="320" w:line="480" w:lineRule="auto"/>
      <w:jc w:val="both"/>
      <w:outlineLvl w:val="1"/>
    </w:pPr>
    <w:rPr>
      <w:rFonts w:ascii="Arial" w:eastAsia="Times New Roman" w:hAnsi="Arial" w:cs="Times New Roman"/>
      <w:szCs w:val="20"/>
      <w:lang w:val="en-ZA"/>
    </w:rPr>
  </w:style>
  <w:style w:type="paragraph" w:customStyle="1" w:styleId="WLGLevel3">
    <w:name w:val="WLGLevel3"/>
    <w:basedOn w:val="Normal"/>
    <w:qFormat/>
    <w:rsid w:val="00F7380D"/>
    <w:pPr>
      <w:numPr>
        <w:ilvl w:val="2"/>
        <w:numId w:val="6"/>
      </w:numPr>
      <w:suppressAutoHyphens/>
      <w:spacing w:after="320" w:line="480" w:lineRule="auto"/>
      <w:jc w:val="both"/>
      <w:outlineLvl w:val="2"/>
    </w:pPr>
    <w:rPr>
      <w:rFonts w:ascii="Arial" w:eastAsia="Times New Roman" w:hAnsi="Arial" w:cs="Times New Roman"/>
      <w:szCs w:val="20"/>
      <w:lang w:val="en-ZA"/>
    </w:rPr>
  </w:style>
  <w:style w:type="paragraph" w:customStyle="1" w:styleId="WLGLevel4">
    <w:name w:val="WLGLevel4"/>
    <w:basedOn w:val="Normal"/>
    <w:qFormat/>
    <w:rsid w:val="00F7380D"/>
    <w:pPr>
      <w:numPr>
        <w:ilvl w:val="3"/>
        <w:numId w:val="6"/>
      </w:numPr>
      <w:suppressAutoHyphens/>
      <w:spacing w:after="320" w:line="480" w:lineRule="auto"/>
      <w:jc w:val="both"/>
      <w:outlineLvl w:val="3"/>
    </w:pPr>
    <w:rPr>
      <w:rFonts w:ascii="Arial" w:eastAsia="Times New Roman" w:hAnsi="Arial" w:cs="Times New Roman"/>
      <w:szCs w:val="20"/>
      <w:lang w:val="en-ZA"/>
    </w:rPr>
  </w:style>
  <w:style w:type="paragraph" w:customStyle="1" w:styleId="WLGLevel5">
    <w:name w:val="WLGLevel5"/>
    <w:basedOn w:val="Normal"/>
    <w:qFormat/>
    <w:rsid w:val="00F7380D"/>
    <w:pPr>
      <w:numPr>
        <w:ilvl w:val="4"/>
        <w:numId w:val="6"/>
      </w:numPr>
      <w:suppressAutoHyphens/>
      <w:spacing w:after="320" w:line="480" w:lineRule="auto"/>
      <w:jc w:val="both"/>
      <w:outlineLvl w:val="4"/>
    </w:pPr>
    <w:rPr>
      <w:rFonts w:ascii="Arial" w:eastAsia="Times New Roman" w:hAnsi="Arial" w:cs="Times New Roman"/>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98764">
      <w:bodyDiv w:val="1"/>
      <w:marLeft w:val="0"/>
      <w:marRight w:val="0"/>
      <w:marTop w:val="0"/>
      <w:marBottom w:val="0"/>
      <w:divBdr>
        <w:top w:val="none" w:sz="0" w:space="0" w:color="auto"/>
        <w:left w:val="none" w:sz="0" w:space="0" w:color="auto"/>
        <w:bottom w:val="none" w:sz="0" w:space="0" w:color="auto"/>
        <w:right w:val="none" w:sz="0" w:space="0" w:color="auto"/>
      </w:divBdr>
    </w:div>
    <w:div w:id="344865891">
      <w:bodyDiv w:val="1"/>
      <w:marLeft w:val="0"/>
      <w:marRight w:val="0"/>
      <w:marTop w:val="0"/>
      <w:marBottom w:val="0"/>
      <w:divBdr>
        <w:top w:val="none" w:sz="0" w:space="0" w:color="auto"/>
        <w:left w:val="none" w:sz="0" w:space="0" w:color="auto"/>
        <w:bottom w:val="none" w:sz="0" w:space="0" w:color="auto"/>
        <w:right w:val="none" w:sz="0" w:space="0" w:color="auto"/>
      </w:divBdr>
    </w:div>
    <w:div w:id="444543315">
      <w:bodyDiv w:val="1"/>
      <w:marLeft w:val="0"/>
      <w:marRight w:val="0"/>
      <w:marTop w:val="0"/>
      <w:marBottom w:val="0"/>
      <w:divBdr>
        <w:top w:val="none" w:sz="0" w:space="0" w:color="auto"/>
        <w:left w:val="none" w:sz="0" w:space="0" w:color="auto"/>
        <w:bottom w:val="none" w:sz="0" w:space="0" w:color="auto"/>
        <w:right w:val="none" w:sz="0" w:space="0" w:color="auto"/>
      </w:divBdr>
    </w:div>
    <w:div w:id="595023076">
      <w:bodyDiv w:val="1"/>
      <w:marLeft w:val="0"/>
      <w:marRight w:val="0"/>
      <w:marTop w:val="0"/>
      <w:marBottom w:val="0"/>
      <w:divBdr>
        <w:top w:val="none" w:sz="0" w:space="0" w:color="auto"/>
        <w:left w:val="none" w:sz="0" w:space="0" w:color="auto"/>
        <w:bottom w:val="none" w:sz="0" w:space="0" w:color="auto"/>
        <w:right w:val="none" w:sz="0" w:space="0" w:color="auto"/>
      </w:divBdr>
    </w:div>
    <w:div w:id="761491403">
      <w:bodyDiv w:val="1"/>
      <w:marLeft w:val="0"/>
      <w:marRight w:val="0"/>
      <w:marTop w:val="0"/>
      <w:marBottom w:val="0"/>
      <w:divBdr>
        <w:top w:val="none" w:sz="0" w:space="0" w:color="auto"/>
        <w:left w:val="none" w:sz="0" w:space="0" w:color="auto"/>
        <w:bottom w:val="none" w:sz="0" w:space="0" w:color="auto"/>
        <w:right w:val="none" w:sz="0" w:space="0" w:color="auto"/>
      </w:divBdr>
    </w:div>
    <w:div w:id="1854999173">
      <w:bodyDiv w:val="1"/>
      <w:marLeft w:val="0"/>
      <w:marRight w:val="0"/>
      <w:marTop w:val="0"/>
      <w:marBottom w:val="0"/>
      <w:divBdr>
        <w:top w:val="none" w:sz="0" w:space="0" w:color="auto"/>
        <w:left w:val="none" w:sz="0" w:space="0" w:color="auto"/>
        <w:bottom w:val="none" w:sz="0" w:space="0" w:color="auto"/>
        <w:right w:val="none" w:sz="0" w:space="0" w:color="auto"/>
      </w:divBdr>
      <w:divsChild>
        <w:div w:id="714280317">
          <w:marLeft w:val="0"/>
          <w:marRight w:val="0"/>
          <w:marTop w:val="0"/>
          <w:marBottom w:val="0"/>
          <w:divBdr>
            <w:top w:val="none" w:sz="0" w:space="0" w:color="auto"/>
            <w:left w:val="none" w:sz="0" w:space="0" w:color="auto"/>
            <w:bottom w:val="none" w:sz="0" w:space="0" w:color="auto"/>
            <w:right w:val="none" w:sz="0" w:space="0" w:color="auto"/>
          </w:divBdr>
          <w:divsChild>
            <w:div w:id="1372001312">
              <w:marLeft w:val="0"/>
              <w:marRight w:val="0"/>
              <w:marTop w:val="0"/>
              <w:marBottom w:val="0"/>
              <w:divBdr>
                <w:top w:val="none" w:sz="0" w:space="0" w:color="auto"/>
                <w:left w:val="none" w:sz="0" w:space="0" w:color="auto"/>
                <w:bottom w:val="none" w:sz="0" w:space="0" w:color="auto"/>
                <w:right w:val="none" w:sz="0" w:space="0" w:color="auto"/>
              </w:divBdr>
              <w:divsChild>
                <w:div w:id="1556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4582">
      <w:bodyDiv w:val="1"/>
      <w:marLeft w:val="0"/>
      <w:marRight w:val="0"/>
      <w:marTop w:val="0"/>
      <w:marBottom w:val="0"/>
      <w:divBdr>
        <w:top w:val="none" w:sz="0" w:space="0" w:color="auto"/>
        <w:left w:val="none" w:sz="0" w:space="0" w:color="auto"/>
        <w:bottom w:val="none" w:sz="0" w:space="0" w:color="auto"/>
        <w:right w:val="none" w:sz="0" w:space="0" w:color="auto"/>
      </w:divBdr>
    </w:div>
    <w:div w:id="1988320857">
      <w:bodyDiv w:val="1"/>
      <w:marLeft w:val="0"/>
      <w:marRight w:val="0"/>
      <w:marTop w:val="0"/>
      <w:marBottom w:val="0"/>
      <w:divBdr>
        <w:top w:val="none" w:sz="0" w:space="0" w:color="auto"/>
        <w:left w:val="none" w:sz="0" w:space="0" w:color="auto"/>
        <w:bottom w:val="none" w:sz="0" w:space="0" w:color="auto"/>
        <w:right w:val="none" w:sz="0" w:space="0" w:color="auto"/>
      </w:divBdr>
    </w:div>
    <w:div w:id="2136822873">
      <w:bodyDiv w:val="1"/>
      <w:marLeft w:val="0"/>
      <w:marRight w:val="0"/>
      <w:marTop w:val="0"/>
      <w:marBottom w:val="0"/>
      <w:divBdr>
        <w:top w:val="none" w:sz="0" w:space="0" w:color="auto"/>
        <w:left w:val="none" w:sz="0" w:space="0" w:color="auto"/>
        <w:bottom w:val="none" w:sz="0" w:space="0" w:color="auto"/>
        <w:right w:val="none" w:sz="0" w:space="0" w:color="auto"/>
      </w:divBdr>
      <w:divsChild>
        <w:div w:id="909536353">
          <w:marLeft w:val="0"/>
          <w:marRight w:val="0"/>
          <w:marTop w:val="0"/>
          <w:marBottom w:val="0"/>
          <w:divBdr>
            <w:top w:val="none" w:sz="0" w:space="0" w:color="auto"/>
            <w:left w:val="none" w:sz="0" w:space="0" w:color="auto"/>
            <w:bottom w:val="none" w:sz="0" w:space="0" w:color="auto"/>
            <w:right w:val="none" w:sz="0" w:space="0" w:color="auto"/>
          </w:divBdr>
          <w:divsChild>
            <w:div w:id="67576162">
              <w:marLeft w:val="0"/>
              <w:marRight w:val="0"/>
              <w:marTop w:val="0"/>
              <w:marBottom w:val="0"/>
              <w:divBdr>
                <w:top w:val="none" w:sz="0" w:space="0" w:color="auto"/>
                <w:left w:val="none" w:sz="0" w:space="0" w:color="auto"/>
                <w:bottom w:val="none" w:sz="0" w:space="0" w:color="auto"/>
                <w:right w:val="none" w:sz="0" w:space="0" w:color="auto"/>
              </w:divBdr>
              <w:divsChild>
                <w:div w:id="9654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8C23BD-2FEC-4B09-B5BD-3A1D70FD8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6034</Words>
  <Characters>34396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Millar</dc:creator>
  <cp:lastModifiedBy>Mokone</cp:lastModifiedBy>
  <cp:revision>3</cp:revision>
  <cp:lastPrinted>2023-04-27T07:21:00Z</cp:lastPrinted>
  <dcterms:created xsi:type="dcterms:W3CDTF">2023-05-22T13:58:00Z</dcterms:created>
  <dcterms:modified xsi:type="dcterms:W3CDTF">2023-05-22T13:59:00Z</dcterms:modified>
</cp:coreProperties>
</file>