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CE90" w14:textId="77777777" w:rsidR="008522C6" w:rsidRPr="00E35005" w:rsidRDefault="008522C6" w:rsidP="008522C6">
      <w:pPr>
        <w:jc w:val="center"/>
        <w:rPr>
          <w:b/>
          <w:sz w:val="24"/>
          <w:szCs w:val="24"/>
        </w:rPr>
      </w:pPr>
      <w:r w:rsidRPr="00E35005">
        <w:rPr>
          <w:b/>
          <w:sz w:val="24"/>
          <w:szCs w:val="24"/>
        </w:rPr>
        <w:t>REPUBLIC OF SOUTH AFRICA</w:t>
      </w:r>
    </w:p>
    <w:p w14:paraId="74DC5874" w14:textId="77777777" w:rsidR="008522C6" w:rsidRPr="00E35005" w:rsidRDefault="008522C6" w:rsidP="008522C6">
      <w:pPr>
        <w:spacing w:line="360" w:lineRule="auto"/>
        <w:jc w:val="center"/>
        <w:rPr>
          <w:b/>
          <w:sz w:val="24"/>
          <w:szCs w:val="24"/>
        </w:rPr>
      </w:pPr>
      <w:r w:rsidRPr="00E35005">
        <w:rPr>
          <w:b/>
          <w:noProof/>
          <w:sz w:val="24"/>
          <w:szCs w:val="24"/>
          <w:lang w:val="en-US" w:eastAsia="en-US"/>
        </w:rPr>
        <w:drawing>
          <wp:inline distT="0" distB="0" distL="0" distR="0" wp14:anchorId="40A38647" wp14:editId="5C631E71">
            <wp:extent cx="1362075" cy="1362075"/>
            <wp:effectExtent l="0" t="0" r="9525" b="9525"/>
            <wp:docPr id="1990499519" name="Picture 1990499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443A5ACB" w14:textId="77777777" w:rsidR="008522C6" w:rsidRPr="00E35005" w:rsidRDefault="008522C6" w:rsidP="008522C6">
      <w:pPr>
        <w:tabs>
          <w:tab w:val="left" w:pos="1860"/>
          <w:tab w:val="center" w:pos="4513"/>
        </w:tabs>
        <w:jc w:val="center"/>
        <w:rPr>
          <w:rFonts w:ascii="Arial" w:hAnsi="Arial" w:cs="Arial"/>
          <w:b/>
          <w:sz w:val="24"/>
          <w:szCs w:val="24"/>
        </w:rPr>
      </w:pPr>
      <w:r w:rsidRPr="00E35005">
        <w:rPr>
          <w:rFonts w:ascii="Arial" w:hAnsi="Arial" w:cs="Arial"/>
          <w:b/>
          <w:sz w:val="24"/>
          <w:szCs w:val="24"/>
        </w:rPr>
        <w:t>IN THE HIGH COURT OF SOUTH AFRICA</w:t>
      </w:r>
    </w:p>
    <w:p w14:paraId="0DB9F2F1" w14:textId="77777777" w:rsidR="008522C6" w:rsidRPr="00E35005" w:rsidRDefault="008522C6" w:rsidP="008522C6">
      <w:pPr>
        <w:tabs>
          <w:tab w:val="left" w:pos="1860"/>
          <w:tab w:val="center" w:pos="4513"/>
        </w:tabs>
        <w:jc w:val="center"/>
        <w:rPr>
          <w:rFonts w:ascii="Arial" w:hAnsi="Arial" w:cs="Arial"/>
          <w:b/>
          <w:sz w:val="24"/>
          <w:szCs w:val="24"/>
        </w:rPr>
      </w:pPr>
      <w:r w:rsidRPr="00E35005">
        <w:rPr>
          <w:rFonts w:ascii="Times New Roman" w:hAnsi="Times New Roman"/>
          <w:b/>
          <w:noProof/>
          <w:kern w:val="2"/>
          <w:sz w:val="24"/>
          <w:szCs w:val="24"/>
          <w:lang w:val="en-US" w:eastAsia="en-US"/>
        </w:rPr>
        <mc:AlternateContent>
          <mc:Choice Requires="wps">
            <w:drawing>
              <wp:anchor distT="0" distB="0" distL="114300" distR="114300" simplePos="0" relativeHeight="251661312" behindDoc="0" locked="0" layoutInCell="1" allowOverlap="1" wp14:anchorId="6193CE48" wp14:editId="7E5D9C4F">
                <wp:simplePos x="0" y="0"/>
                <wp:positionH relativeFrom="margin">
                  <wp:align>left</wp:align>
                </wp:positionH>
                <wp:positionV relativeFrom="paragraph">
                  <wp:posOffset>307340</wp:posOffset>
                </wp:positionV>
                <wp:extent cx="3419475" cy="1440180"/>
                <wp:effectExtent l="0" t="0" r="28575" b="26670"/>
                <wp:wrapNone/>
                <wp:docPr id="1666806401" name="Text Box 1666806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40180"/>
                        </a:xfrm>
                        <a:prstGeom prst="rect">
                          <a:avLst/>
                        </a:prstGeom>
                        <a:solidFill>
                          <a:srgbClr val="FFFFFF"/>
                        </a:solidFill>
                        <a:ln w="9525">
                          <a:solidFill>
                            <a:srgbClr val="000000"/>
                          </a:solidFill>
                          <a:miter lim="800000"/>
                          <a:headEnd/>
                          <a:tailEnd/>
                        </a:ln>
                      </wps:spPr>
                      <wps:txbx>
                        <w:txbxContent>
                          <w:p w14:paraId="4E6B8EDD" w14:textId="4388FCD0" w:rsidR="008522C6" w:rsidRDefault="00277E7A" w:rsidP="00277E7A">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(1)</w:t>
                            </w:r>
                            <w:r>
                              <w:rPr>
                                <w:rFonts w:ascii="Century Gothic" w:hAnsi="Century Gothic" w:cs="Times New Roman"/>
                                <w:szCs w:val="20"/>
                              </w:rPr>
                              <w:tab/>
                            </w:r>
                            <w:r w:rsidR="008522C6">
                              <w:rPr>
                                <w:rFonts w:ascii="Century Gothic" w:hAnsi="Century Gothic"/>
                                <w:szCs w:val="20"/>
                              </w:rPr>
                              <w:t>REPORTABLE:  YES</w:t>
                            </w:r>
                          </w:p>
                          <w:p w14:paraId="0F54982B" w14:textId="22D43F31" w:rsidR="008522C6" w:rsidRDefault="00277E7A" w:rsidP="00277E7A">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(2)</w:t>
                            </w:r>
                            <w:r>
                              <w:rPr>
                                <w:rFonts w:ascii="Century Gothic" w:hAnsi="Century Gothic" w:cs="Times New Roman"/>
                                <w:szCs w:val="20"/>
                              </w:rPr>
                              <w:tab/>
                            </w:r>
                            <w:r w:rsidR="008522C6">
                              <w:rPr>
                                <w:rFonts w:ascii="Century Gothic" w:hAnsi="Century Gothic"/>
                                <w:szCs w:val="20"/>
                              </w:rPr>
                              <w:t>OF INTEREST TO OTHER JUDGES: YES</w:t>
                            </w:r>
                          </w:p>
                          <w:p w14:paraId="3B5E61F8" w14:textId="212EFE08" w:rsidR="008522C6" w:rsidRDefault="00277E7A" w:rsidP="00277E7A">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(3)</w:t>
                            </w:r>
                            <w:r>
                              <w:rPr>
                                <w:rFonts w:ascii="Century Gothic" w:hAnsi="Century Gothic" w:cs="Times New Roman"/>
                                <w:szCs w:val="20"/>
                              </w:rPr>
                              <w:tab/>
                            </w:r>
                            <w:r w:rsidR="008522C6">
                              <w:rPr>
                                <w:rFonts w:ascii="Century Gothic" w:hAnsi="Century Gothic"/>
                                <w:szCs w:val="20"/>
                              </w:rPr>
                              <w:t>REVISED: YES</w:t>
                            </w:r>
                          </w:p>
                          <w:p w14:paraId="2EE13159" w14:textId="77777777" w:rsidR="008522C6" w:rsidRDefault="008522C6" w:rsidP="008522C6">
                            <w:pPr>
                              <w:rPr>
                                <w:rFonts w:ascii="Century Gothic" w:hAnsi="Century Gothic"/>
                                <w:b/>
                                <w:sz w:val="18"/>
                                <w:szCs w:val="18"/>
                              </w:rPr>
                            </w:pPr>
                          </w:p>
                          <w:p w14:paraId="102EFD66" w14:textId="42EE03EC" w:rsidR="008522C6" w:rsidRDefault="008522C6" w:rsidP="008522C6">
                            <w:pPr>
                              <w:rPr>
                                <w:rFonts w:ascii="Century Gothic" w:hAnsi="Century Gothic"/>
                                <w:b/>
                                <w:sz w:val="18"/>
                                <w:szCs w:val="18"/>
                                <w:lang w:eastAsia="en-GB"/>
                              </w:rPr>
                            </w:pPr>
                            <w:r>
                              <w:rPr>
                                <w:rFonts w:ascii="Century Gothic" w:hAnsi="Century Gothic"/>
                                <w:bCs/>
                                <w:sz w:val="18"/>
                                <w:szCs w:val="18"/>
                              </w:rPr>
                              <w:tab/>
                            </w:r>
                            <w:r w:rsidRPr="00414E87">
                              <w:rPr>
                                <w:rFonts w:ascii="Century Gothic" w:hAnsi="Century Gothic"/>
                                <w:bCs/>
                                <w:sz w:val="18"/>
                                <w:szCs w:val="18"/>
                              </w:rPr>
                              <w:t>2023/05/</w:t>
                            </w:r>
                            <w:r>
                              <w:rPr>
                                <w:rFonts w:ascii="Century Gothic" w:hAnsi="Century Gothic"/>
                                <w:bCs/>
                                <w:sz w:val="18"/>
                                <w:szCs w:val="18"/>
                              </w:rPr>
                              <w:t>23</w:t>
                            </w:r>
                            <w:r>
                              <w:rPr>
                                <w:rFonts w:ascii="Century Gothic" w:hAnsi="Century Gothic"/>
                                <w:bCs/>
                                <w:sz w:val="18"/>
                                <w:szCs w:val="18"/>
                              </w:rPr>
                              <w:tab/>
                            </w:r>
                            <w:r>
                              <w:rPr>
                                <w:rFonts w:ascii="Century Gothic" w:hAnsi="Century Gothic"/>
                                <w:b/>
                                <w:sz w:val="18"/>
                                <w:szCs w:val="18"/>
                              </w:rPr>
                              <w:tab/>
                            </w:r>
                          </w:p>
                          <w:p w14:paraId="75BBF244" w14:textId="77777777" w:rsidR="008522C6" w:rsidRDefault="008522C6" w:rsidP="008522C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464A0E18" w14:textId="77777777" w:rsidR="008522C6" w:rsidRDefault="008522C6" w:rsidP="008522C6">
                            <w:pPr>
                              <w:rPr>
                                <w:rFonts w:ascii="Century Gothic" w:hAnsi="Century Gothic"/>
                                <w:b/>
                                <w:sz w:val="18"/>
                                <w:szCs w:val="18"/>
                              </w:rPr>
                            </w:pPr>
                          </w:p>
                          <w:p w14:paraId="220B7E12" w14:textId="77777777" w:rsidR="008522C6" w:rsidRDefault="008522C6" w:rsidP="008522C6">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DF039BA" w14:textId="77777777" w:rsidR="008522C6" w:rsidRDefault="008522C6" w:rsidP="008522C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3CE48" id="_x0000_t202" coordsize="21600,21600" o:spt="202" path="m,l,21600r21600,l21600,xe">
                <v:stroke joinstyle="miter"/>
                <v:path gradientshapeok="t" o:connecttype="rect"/>
              </v:shapetype>
              <v:shape id="Text Box 1666806401" o:spid="_x0000_s1026" type="#_x0000_t202" style="position:absolute;left:0;text-align:left;margin-left:0;margin-top:24.2pt;width:269.25pt;height:113.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">
                <v:textbox>
                  <w:txbxContent>
                    <w:p w14:paraId="4E6B8EDD" w14:textId="4388FCD0" w:rsidR="008522C6" w:rsidRDefault="00277E7A" w:rsidP="00277E7A">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(1)</w:t>
                      </w:r>
                      <w:r>
                        <w:rPr>
                          <w:rFonts w:ascii="Century Gothic" w:hAnsi="Century Gothic" w:cs="Times New Roman"/>
                          <w:szCs w:val="20"/>
                        </w:rPr>
                        <w:tab/>
                      </w:r>
                      <w:r w:rsidR="008522C6">
                        <w:rPr>
                          <w:rFonts w:ascii="Century Gothic" w:hAnsi="Century Gothic"/>
                          <w:szCs w:val="20"/>
                        </w:rPr>
                        <w:t>REPORTABLE:  YES</w:t>
                      </w:r>
                    </w:p>
                    <w:p w14:paraId="0F54982B" w14:textId="22D43F31" w:rsidR="008522C6" w:rsidRDefault="00277E7A" w:rsidP="00277E7A">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(2)</w:t>
                      </w:r>
                      <w:r>
                        <w:rPr>
                          <w:rFonts w:ascii="Century Gothic" w:hAnsi="Century Gothic" w:cs="Times New Roman"/>
                          <w:szCs w:val="20"/>
                        </w:rPr>
                        <w:tab/>
                      </w:r>
                      <w:r w:rsidR="008522C6">
                        <w:rPr>
                          <w:rFonts w:ascii="Century Gothic" w:hAnsi="Century Gothic"/>
                          <w:szCs w:val="20"/>
                        </w:rPr>
                        <w:t>OF INTEREST TO OTHER JUDGES: YES</w:t>
                      </w:r>
                    </w:p>
                    <w:p w14:paraId="3B5E61F8" w14:textId="212EFE08" w:rsidR="008522C6" w:rsidRDefault="00277E7A" w:rsidP="00277E7A">
                      <w:pPr>
                        <w:tabs>
                          <w:tab w:val="left" w:pos="900"/>
                        </w:tabs>
                        <w:spacing w:after="0" w:line="240" w:lineRule="auto"/>
                        <w:ind w:left="900" w:hanging="720"/>
                        <w:rPr>
                          <w:rFonts w:ascii="Century Gothic" w:hAnsi="Century Gothic"/>
                          <w:szCs w:val="20"/>
                        </w:rPr>
                      </w:pPr>
                      <w:r>
                        <w:rPr>
                          <w:rFonts w:ascii="Century Gothic" w:hAnsi="Century Gothic" w:cs="Times New Roman"/>
                          <w:szCs w:val="20"/>
                        </w:rPr>
                        <w:t>(3)</w:t>
                      </w:r>
                      <w:r>
                        <w:rPr>
                          <w:rFonts w:ascii="Century Gothic" w:hAnsi="Century Gothic" w:cs="Times New Roman"/>
                          <w:szCs w:val="20"/>
                        </w:rPr>
                        <w:tab/>
                      </w:r>
                      <w:r w:rsidR="008522C6">
                        <w:rPr>
                          <w:rFonts w:ascii="Century Gothic" w:hAnsi="Century Gothic"/>
                          <w:szCs w:val="20"/>
                        </w:rPr>
                        <w:t>REVISED: YES</w:t>
                      </w:r>
                    </w:p>
                    <w:p w14:paraId="2EE13159" w14:textId="77777777" w:rsidR="008522C6" w:rsidRDefault="008522C6" w:rsidP="008522C6">
                      <w:pPr>
                        <w:rPr>
                          <w:rFonts w:ascii="Century Gothic" w:hAnsi="Century Gothic"/>
                          <w:b/>
                          <w:sz w:val="18"/>
                          <w:szCs w:val="18"/>
                        </w:rPr>
                      </w:pPr>
                    </w:p>
                    <w:p w14:paraId="102EFD66" w14:textId="42EE03EC" w:rsidR="008522C6" w:rsidRDefault="008522C6" w:rsidP="008522C6">
                      <w:pPr>
                        <w:rPr>
                          <w:rFonts w:ascii="Century Gothic" w:hAnsi="Century Gothic"/>
                          <w:b/>
                          <w:sz w:val="18"/>
                          <w:szCs w:val="18"/>
                          <w:lang w:eastAsia="en-GB"/>
                        </w:rPr>
                      </w:pPr>
                      <w:r>
                        <w:rPr>
                          <w:rFonts w:ascii="Century Gothic" w:hAnsi="Century Gothic"/>
                          <w:bCs/>
                          <w:sz w:val="18"/>
                          <w:szCs w:val="18"/>
                        </w:rPr>
                        <w:tab/>
                      </w:r>
                      <w:r w:rsidRPr="00414E87">
                        <w:rPr>
                          <w:rFonts w:ascii="Century Gothic" w:hAnsi="Century Gothic"/>
                          <w:bCs/>
                          <w:sz w:val="18"/>
                          <w:szCs w:val="18"/>
                        </w:rPr>
                        <w:t>2023/05/</w:t>
                      </w:r>
                      <w:r>
                        <w:rPr>
                          <w:rFonts w:ascii="Century Gothic" w:hAnsi="Century Gothic"/>
                          <w:bCs/>
                          <w:sz w:val="18"/>
                          <w:szCs w:val="18"/>
                        </w:rPr>
                        <w:t>23</w:t>
                      </w:r>
                      <w:r>
                        <w:rPr>
                          <w:rFonts w:ascii="Century Gothic" w:hAnsi="Century Gothic"/>
                          <w:bCs/>
                          <w:sz w:val="18"/>
                          <w:szCs w:val="18"/>
                        </w:rPr>
                        <w:tab/>
                      </w:r>
                      <w:r>
                        <w:rPr>
                          <w:rFonts w:ascii="Century Gothic" w:hAnsi="Century Gothic"/>
                          <w:b/>
                          <w:sz w:val="18"/>
                          <w:szCs w:val="18"/>
                        </w:rPr>
                        <w:tab/>
                      </w:r>
                    </w:p>
                    <w:p w14:paraId="75BBF244" w14:textId="77777777" w:rsidR="008522C6" w:rsidRDefault="008522C6" w:rsidP="008522C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p w14:paraId="464A0E18" w14:textId="77777777" w:rsidR="008522C6" w:rsidRDefault="008522C6" w:rsidP="008522C6">
                      <w:pPr>
                        <w:rPr>
                          <w:rFonts w:ascii="Century Gothic" w:hAnsi="Century Gothic"/>
                          <w:b/>
                          <w:sz w:val="18"/>
                          <w:szCs w:val="18"/>
                        </w:rPr>
                      </w:pPr>
                    </w:p>
                    <w:p w14:paraId="220B7E12" w14:textId="77777777" w:rsidR="008522C6" w:rsidRDefault="008522C6" w:rsidP="008522C6">
                      <w:pPr>
                        <w:ind w:firstLine="720"/>
                        <w:rPr>
                          <w:rFonts w:ascii="Century Gothic" w:hAnsi="Century Gothic"/>
                          <w:b/>
                          <w:sz w:val="18"/>
                          <w:szCs w:val="18"/>
                          <w:lang w:eastAsia="en-GB"/>
                        </w:rPr>
                      </w:pP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t>………………………...</w:t>
                      </w:r>
                    </w:p>
                    <w:p w14:paraId="2DF039BA" w14:textId="77777777" w:rsidR="008522C6" w:rsidRDefault="008522C6" w:rsidP="008522C6">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SIGNATURE</w:t>
                      </w:r>
                    </w:p>
                  </w:txbxContent>
                </v:textbox>
                <w10:wrap anchorx="margin"/>
              </v:shape>
            </w:pict>
          </mc:Fallback>
        </mc:AlternateContent>
      </w:r>
      <w:r w:rsidRPr="00E35005">
        <w:rPr>
          <w:rFonts w:ascii="Arial" w:hAnsi="Arial" w:cs="Arial"/>
          <w:b/>
          <w:sz w:val="24"/>
          <w:szCs w:val="24"/>
        </w:rPr>
        <w:t>GAUTENG LOCAL DIVISION, JOHANNESBURG</w:t>
      </w:r>
    </w:p>
    <w:p w14:paraId="31A9CF2F" w14:textId="77777777" w:rsidR="008522C6" w:rsidRPr="00E35005" w:rsidRDefault="008522C6" w:rsidP="008522C6">
      <w:pPr>
        <w:jc w:val="center"/>
        <w:rPr>
          <w:b/>
          <w:sz w:val="24"/>
          <w:szCs w:val="24"/>
        </w:rPr>
      </w:pPr>
    </w:p>
    <w:p w14:paraId="5A7E0A6D" w14:textId="77777777" w:rsidR="008522C6" w:rsidRPr="00E35005" w:rsidRDefault="008522C6" w:rsidP="008522C6">
      <w:pPr>
        <w:widowControl w:val="0"/>
        <w:wordWrap w:val="0"/>
        <w:autoSpaceDE w:val="0"/>
        <w:autoSpaceDN w:val="0"/>
        <w:spacing w:line="313" w:lineRule="auto"/>
        <w:ind w:left="795" w:hanging="795"/>
        <w:rPr>
          <w:rFonts w:cs="Arial"/>
          <w:w w:val="0"/>
          <w:kern w:val="2"/>
          <w:sz w:val="24"/>
          <w:szCs w:val="24"/>
          <w:lang w:val="en-US" w:eastAsia="ko-KR"/>
        </w:rPr>
      </w:pPr>
    </w:p>
    <w:p w14:paraId="3062D4F6" w14:textId="77777777" w:rsidR="008522C6" w:rsidRPr="00E35005" w:rsidRDefault="008522C6" w:rsidP="008522C6">
      <w:pPr>
        <w:widowControl w:val="0"/>
        <w:wordWrap w:val="0"/>
        <w:autoSpaceDE w:val="0"/>
        <w:autoSpaceDN w:val="0"/>
        <w:spacing w:line="313" w:lineRule="auto"/>
        <w:ind w:left="795" w:hanging="795"/>
        <w:rPr>
          <w:rFonts w:cs="Arial"/>
          <w:w w:val="0"/>
          <w:kern w:val="2"/>
          <w:sz w:val="24"/>
          <w:szCs w:val="24"/>
          <w:lang w:val="en-US" w:eastAsia="ko-KR"/>
        </w:rPr>
      </w:pPr>
    </w:p>
    <w:p w14:paraId="5A90A148" w14:textId="77777777" w:rsidR="008522C6" w:rsidRPr="00E35005" w:rsidRDefault="008522C6" w:rsidP="008522C6">
      <w:pPr>
        <w:widowControl w:val="0"/>
        <w:wordWrap w:val="0"/>
        <w:autoSpaceDE w:val="0"/>
        <w:autoSpaceDN w:val="0"/>
        <w:spacing w:line="313" w:lineRule="auto"/>
        <w:ind w:left="795" w:hanging="795"/>
        <w:rPr>
          <w:rFonts w:cs="Arial"/>
          <w:w w:val="0"/>
          <w:kern w:val="2"/>
          <w:sz w:val="24"/>
          <w:szCs w:val="24"/>
          <w:lang w:val="en-US" w:eastAsia="ko-KR"/>
        </w:rPr>
      </w:pPr>
    </w:p>
    <w:p w14:paraId="79881EAB" w14:textId="77777777" w:rsidR="008522C6" w:rsidRPr="003A1C72" w:rsidRDefault="008522C6" w:rsidP="008522C6">
      <w:pPr>
        <w:spacing w:after="0" w:line="480" w:lineRule="auto"/>
        <w:jc w:val="right"/>
        <w:rPr>
          <w:rFonts w:ascii="Arial" w:hAnsi="Arial" w:cs="Arial"/>
          <w:b/>
          <w:bCs/>
          <w:sz w:val="24"/>
          <w:szCs w:val="24"/>
          <w:lang w:val="en-US"/>
        </w:rPr>
      </w:pPr>
      <w:r w:rsidRPr="003A1C72">
        <w:rPr>
          <w:rFonts w:ascii="Arial" w:hAnsi="Arial" w:cs="Arial"/>
          <w:b/>
          <w:bCs/>
          <w:sz w:val="24"/>
          <w:szCs w:val="24"/>
          <w:lang w:val="en-US"/>
        </w:rPr>
        <w:t>CASE NO: 2</w:t>
      </w:r>
      <w:r>
        <w:rPr>
          <w:rFonts w:ascii="Arial" w:hAnsi="Arial" w:cs="Arial"/>
          <w:b/>
          <w:bCs/>
          <w:sz w:val="24"/>
          <w:szCs w:val="24"/>
          <w:lang w:val="en-US"/>
        </w:rPr>
        <w:t>021</w:t>
      </w:r>
      <w:r w:rsidRPr="003A1C72">
        <w:rPr>
          <w:rFonts w:ascii="Arial" w:hAnsi="Arial" w:cs="Arial"/>
          <w:b/>
          <w:bCs/>
          <w:sz w:val="24"/>
          <w:szCs w:val="24"/>
          <w:lang w:val="en-US"/>
        </w:rPr>
        <w:t>/</w:t>
      </w:r>
      <w:r>
        <w:rPr>
          <w:rFonts w:ascii="Arial" w:hAnsi="Arial" w:cs="Arial"/>
          <w:b/>
          <w:bCs/>
          <w:sz w:val="24"/>
          <w:szCs w:val="24"/>
          <w:lang w:val="en-US"/>
        </w:rPr>
        <w:t>50947</w:t>
      </w:r>
    </w:p>
    <w:p w14:paraId="760D8C51" w14:textId="77777777" w:rsidR="008522C6" w:rsidRPr="003A1C72" w:rsidRDefault="008522C6" w:rsidP="008522C6">
      <w:pPr>
        <w:spacing w:after="0" w:line="480" w:lineRule="auto"/>
        <w:rPr>
          <w:rFonts w:ascii="Arial" w:hAnsi="Arial" w:cs="Arial"/>
          <w:sz w:val="24"/>
          <w:szCs w:val="24"/>
          <w:lang w:val="en-US"/>
        </w:rPr>
      </w:pPr>
      <w:r w:rsidRPr="003A1C72">
        <w:rPr>
          <w:rFonts w:ascii="Arial" w:hAnsi="Arial" w:cs="Arial"/>
          <w:sz w:val="24"/>
          <w:szCs w:val="24"/>
          <w:lang w:val="en-US"/>
        </w:rPr>
        <w:t>In the matter between:</w:t>
      </w:r>
    </w:p>
    <w:p w14:paraId="00CCE58F" w14:textId="77777777" w:rsidR="008522C6" w:rsidRPr="003A1C72" w:rsidRDefault="008522C6" w:rsidP="008522C6">
      <w:pPr>
        <w:spacing w:after="0" w:line="480" w:lineRule="auto"/>
        <w:rPr>
          <w:rFonts w:ascii="Arial" w:hAnsi="Arial" w:cs="Arial"/>
          <w:sz w:val="24"/>
          <w:szCs w:val="24"/>
          <w:lang w:val="en-US"/>
        </w:rPr>
      </w:pPr>
    </w:p>
    <w:p w14:paraId="4F8F423D" w14:textId="77777777" w:rsidR="008522C6" w:rsidRPr="003A1C72" w:rsidRDefault="008522C6" w:rsidP="008522C6">
      <w:pPr>
        <w:spacing w:after="0" w:line="480" w:lineRule="auto"/>
        <w:rPr>
          <w:rFonts w:ascii="Arial" w:hAnsi="Arial" w:cs="Arial"/>
          <w:b/>
          <w:bCs/>
          <w:sz w:val="24"/>
          <w:szCs w:val="24"/>
          <w:lang w:val="en-US"/>
        </w:rPr>
      </w:pPr>
      <w:r>
        <w:rPr>
          <w:rFonts w:ascii="Arial" w:hAnsi="Arial" w:cs="Arial"/>
          <w:b/>
          <w:bCs/>
          <w:sz w:val="24"/>
          <w:szCs w:val="24"/>
          <w:lang w:val="en-US"/>
        </w:rPr>
        <w:t>MALVERN TRADING CC</w:t>
      </w:r>
      <w:r w:rsidRPr="003A1C72">
        <w:rPr>
          <w:rFonts w:ascii="Arial" w:hAnsi="Arial" w:cs="Arial"/>
          <w:b/>
          <w:bCs/>
          <w:sz w:val="24"/>
          <w:szCs w:val="24"/>
          <w:lang w:val="en-US"/>
        </w:rPr>
        <w:tab/>
      </w:r>
      <w:r w:rsidRPr="003A1C72">
        <w:rPr>
          <w:rFonts w:ascii="Arial" w:hAnsi="Arial" w:cs="Arial"/>
          <w:b/>
          <w:bCs/>
          <w:sz w:val="24"/>
          <w:szCs w:val="24"/>
          <w:lang w:val="en-US"/>
        </w:rPr>
        <w:tab/>
      </w:r>
      <w:r w:rsidRPr="003A1C72">
        <w:rPr>
          <w:rFonts w:ascii="Arial" w:hAnsi="Arial" w:cs="Arial"/>
          <w:b/>
          <w:bCs/>
          <w:sz w:val="24"/>
          <w:szCs w:val="24"/>
          <w:lang w:val="en-US"/>
        </w:rPr>
        <w:tab/>
      </w:r>
      <w:r w:rsidRPr="003A1C72">
        <w:rPr>
          <w:rFonts w:ascii="Arial" w:hAnsi="Arial" w:cs="Arial"/>
          <w:b/>
          <w:bCs/>
          <w:sz w:val="24"/>
          <w:szCs w:val="24"/>
          <w:lang w:val="en-US"/>
        </w:rPr>
        <w:tab/>
      </w:r>
      <w:r w:rsidRPr="003A1C72">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3A1C72">
        <w:rPr>
          <w:rFonts w:ascii="Arial" w:hAnsi="Arial" w:cs="Arial"/>
          <w:b/>
          <w:bCs/>
          <w:sz w:val="24"/>
          <w:szCs w:val="24"/>
          <w:lang w:val="en-US"/>
        </w:rPr>
        <w:t>APPLICANT</w:t>
      </w:r>
    </w:p>
    <w:p w14:paraId="45ED0D34" w14:textId="77777777" w:rsidR="008522C6" w:rsidRPr="003A1C72" w:rsidRDefault="008522C6" w:rsidP="008522C6">
      <w:pPr>
        <w:spacing w:after="0" w:line="480" w:lineRule="auto"/>
        <w:rPr>
          <w:rFonts w:ascii="Arial" w:hAnsi="Arial" w:cs="Arial"/>
          <w:sz w:val="24"/>
          <w:szCs w:val="24"/>
          <w:lang w:val="en-US"/>
        </w:rPr>
      </w:pPr>
    </w:p>
    <w:p w14:paraId="3220708A" w14:textId="77777777" w:rsidR="008522C6" w:rsidRPr="003A1C72" w:rsidRDefault="008522C6" w:rsidP="008522C6">
      <w:pPr>
        <w:spacing w:after="0" w:line="480" w:lineRule="auto"/>
        <w:rPr>
          <w:rFonts w:ascii="Arial" w:hAnsi="Arial" w:cs="Arial"/>
          <w:sz w:val="24"/>
          <w:szCs w:val="24"/>
          <w:lang w:val="en-US"/>
        </w:rPr>
      </w:pPr>
      <w:r w:rsidRPr="003A1C72">
        <w:rPr>
          <w:rFonts w:ascii="Arial" w:hAnsi="Arial" w:cs="Arial"/>
          <w:sz w:val="24"/>
          <w:szCs w:val="24"/>
          <w:lang w:val="en-US"/>
        </w:rPr>
        <w:t>and</w:t>
      </w:r>
    </w:p>
    <w:p w14:paraId="218A2026" w14:textId="77777777" w:rsidR="008522C6" w:rsidRPr="003A1C72" w:rsidRDefault="008522C6" w:rsidP="008522C6">
      <w:pPr>
        <w:spacing w:after="0" w:line="480" w:lineRule="auto"/>
        <w:rPr>
          <w:rFonts w:ascii="Arial" w:hAnsi="Arial" w:cs="Arial"/>
          <w:b/>
          <w:bCs/>
          <w:sz w:val="24"/>
          <w:szCs w:val="24"/>
          <w:lang w:val="en-US"/>
        </w:rPr>
      </w:pPr>
    </w:p>
    <w:p w14:paraId="4B000641" w14:textId="77777777" w:rsidR="008522C6" w:rsidRDefault="008522C6" w:rsidP="008522C6">
      <w:pPr>
        <w:pBdr>
          <w:bottom w:val="single" w:sz="12" w:space="1" w:color="auto"/>
        </w:pBdr>
        <w:spacing w:after="0" w:line="480" w:lineRule="auto"/>
        <w:rPr>
          <w:rFonts w:ascii="Arial" w:hAnsi="Arial" w:cs="Arial"/>
          <w:b/>
          <w:bCs/>
          <w:sz w:val="24"/>
          <w:szCs w:val="24"/>
          <w:lang w:val="en-US"/>
        </w:rPr>
      </w:pPr>
      <w:r>
        <w:rPr>
          <w:rFonts w:ascii="Arial" w:hAnsi="Arial" w:cs="Arial"/>
          <w:b/>
          <w:bCs/>
          <w:sz w:val="24"/>
          <w:szCs w:val="24"/>
          <w:lang w:val="en-US"/>
        </w:rPr>
        <w:t xml:space="preserve">ABSA BANK </w:t>
      </w:r>
      <w:r w:rsidRPr="003A1C72">
        <w:rPr>
          <w:rFonts w:ascii="Arial" w:hAnsi="Arial" w:cs="Arial"/>
          <w:b/>
          <w:bCs/>
          <w:sz w:val="24"/>
          <w:szCs w:val="24"/>
          <w:lang w:val="en-US"/>
        </w:rPr>
        <w:t>LTD</w:t>
      </w:r>
      <w:r>
        <w:rPr>
          <w:rFonts w:ascii="Arial" w:hAnsi="Arial" w:cs="Arial"/>
          <w:b/>
          <w:bCs/>
          <w:sz w:val="24"/>
          <w:szCs w:val="24"/>
          <w:lang w:val="en-US"/>
        </w:rPr>
        <w:tab/>
      </w:r>
      <w:r>
        <w:rPr>
          <w:rFonts w:ascii="Arial" w:hAnsi="Arial" w:cs="Arial"/>
          <w:b/>
          <w:bCs/>
          <w:sz w:val="24"/>
          <w:szCs w:val="24"/>
          <w:lang w:val="en-US"/>
        </w:rPr>
        <w:tab/>
      </w:r>
      <w:r w:rsidRPr="003A1C72">
        <w:rPr>
          <w:rFonts w:ascii="Arial" w:hAnsi="Arial" w:cs="Arial"/>
          <w:b/>
          <w:bCs/>
          <w:sz w:val="24"/>
          <w:szCs w:val="24"/>
          <w:lang w:val="en-US"/>
        </w:rPr>
        <w:tab/>
        <w:t xml:space="preserve">    </w:t>
      </w:r>
      <w:r w:rsidRPr="003A1C72">
        <w:rPr>
          <w:rFonts w:ascii="Arial" w:hAnsi="Arial" w:cs="Arial"/>
          <w:b/>
          <w:bCs/>
          <w:sz w:val="24"/>
          <w:szCs w:val="24"/>
          <w:lang w:val="en-US"/>
        </w:rPr>
        <w:tab/>
      </w:r>
      <w:r w:rsidRPr="003A1C72">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sidRPr="003A1C72">
        <w:rPr>
          <w:rFonts w:ascii="Arial" w:hAnsi="Arial" w:cs="Arial"/>
          <w:b/>
          <w:bCs/>
          <w:sz w:val="24"/>
          <w:szCs w:val="24"/>
          <w:lang w:val="en-US"/>
        </w:rPr>
        <w:tab/>
        <w:t>RESPONDENT</w:t>
      </w:r>
    </w:p>
    <w:p w14:paraId="5AFCCB25" w14:textId="77777777" w:rsidR="008522C6" w:rsidRDefault="008522C6" w:rsidP="008522C6">
      <w:pPr>
        <w:pBdr>
          <w:bottom w:val="single" w:sz="12" w:space="1" w:color="auto"/>
        </w:pBdr>
        <w:spacing w:after="0" w:line="480" w:lineRule="auto"/>
        <w:rPr>
          <w:rFonts w:ascii="Arial" w:hAnsi="Arial" w:cs="Arial"/>
          <w:b/>
          <w:bCs/>
          <w:color w:val="000000" w:themeColor="text1"/>
          <w:sz w:val="24"/>
          <w:szCs w:val="24"/>
        </w:rPr>
      </w:pPr>
    </w:p>
    <w:p w14:paraId="2F0A3AFC" w14:textId="77777777" w:rsidR="008522C6" w:rsidRDefault="008522C6" w:rsidP="008522C6">
      <w:pPr>
        <w:pBdr>
          <w:bottom w:val="single" w:sz="12" w:space="1" w:color="auto"/>
        </w:pBdr>
        <w:spacing w:after="0" w:line="480" w:lineRule="auto"/>
        <w:rPr>
          <w:rFonts w:ascii="Arial" w:hAnsi="Arial" w:cs="Arial"/>
          <w:b/>
          <w:bCs/>
          <w:color w:val="000000" w:themeColor="text1"/>
          <w:sz w:val="24"/>
          <w:szCs w:val="24"/>
        </w:rPr>
      </w:pPr>
    </w:p>
    <w:p w14:paraId="3685A8A5" w14:textId="77777777" w:rsidR="008522C6" w:rsidRDefault="008522C6" w:rsidP="008522C6">
      <w:pPr>
        <w:pBdr>
          <w:bottom w:val="single" w:sz="12" w:space="1" w:color="auto"/>
        </w:pBdr>
        <w:spacing w:after="0" w:line="480" w:lineRule="auto"/>
        <w:rPr>
          <w:rFonts w:ascii="Arial" w:hAnsi="Arial" w:cs="Arial"/>
          <w:bCs/>
          <w:color w:val="000000" w:themeColor="text1"/>
          <w:sz w:val="24"/>
          <w:szCs w:val="24"/>
        </w:rPr>
      </w:pPr>
      <w:r w:rsidRPr="00E35005">
        <w:rPr>
          <w:rFonts w:ascii="Arial" w:hAnsi="Arial" w:cs="Arial"/>
          <w:b/>
          <w:bCs/>
          <w:color w:val="000000" w:themeColor="text1"/>
          <w:sz w:val="24"/>
          <w:szCs w:val="24"/>
        </w:rPr>
        <w:t xml:space="preserve">Neutral citation: </w:t>
      </w:r>
      <w:r>
        <w:rPr>
          <w:rFonts w:ascii="Arial" w:hAnsi="Arial" w:cs="Arial"/>
          <w:bCs/>
          <w:i/>
          <w:color w:val="000000" w:themeColor="text1"/>
          <w:sz w:val="24"/>
          <w:szCs w:val="24"/>
        </w:rPr>
        <w:t xml:space="preserve">Malvern Trading CC V Absa Bank Ltd </w:t>
      </w:r>
      <w:r w:rsidRPr="00E35005">
        <w:rPr>
          <w:rFonts w:ascii="Arial" w:hAnsi="Arial" w:cs="Arial"/>
          <w:bCs/>
          <w:color w:val="000000" w:themeColor="text1"/>
          <w:sz w:val="24"/>
          <w:szCs w:val="24"/>
        </w:rPr>
        <w:t xml:space="preserve">(Case No: </w:t>
      </w:r>
      <w:r>
        <w:rPr>
          <w:rFonts w:ascii="Arial" w:hAnsi="Arial" w:cs="Arial"/>
          <w:bCs/>
          <w:color w:val="000000" w:themeColor="text1"/>
          <w:sz w:val="24"/>
          <w:szCs w:val="24"/>
        </w:rPr>
        <w:t>2021/50947</w:t>
      </w:r>
      <w:r w:rsidRPr="00E35005">
        <w:rPr>
          <w:rFonts w:ascii="Arial" w:hAnsi="Arial" w:cs="Arial"/>
          <w:bCs/>
          <w:color w:val="000000" w:themeColor="text1"/>
          <w:sz w:val="24"/>
          <w:szCs w:val="24"/>
        </w:rPr>
        <w:t xml:space="preserve"> [2023] ZAGPJHC</w:t>
      </w:r>
      <w:r>
        <w:rPr>
          <w:rFonts w:ascii="Arial" w:hAnsi="Arial" w:cs="Arial"/>
          <w:bCs/>
          <w:color w:val="000000" w:themeColor="text1"/>
          <w:sz w:val="24"/>
          <w:szCs w:val="24"/>
        </w:rPr>
        <w:t xml:space="preserve"> </w:t>
      </w:r>
      <w:r w:rsidRPr="00EF1EC6">
        <w:rPr>
          <w:rFonts w:ascii="Arial" w:hAnsi="Arial" w:cs="Arial"/>
          <w:bCs/>
          <w:color w:val="000000" w:themeColor="text1"/>
          <w:sz w:val="24"/>
          <w:szCs w:val="24"/>
        </w:rPr>
        <w:t>541</w:t>
      </w:r>
      <w:r w:rsidRPr="00E35005">
        <w:rPr>
          <w:rFonts w:ascii="Arial" w:hAnsi="Arial" w:cs="Arial"/>
          <w:bCs/>
          <w:color w:val="000000" w:themeColor="text1"/>
          <w:sz w:val="24"/>
          <w:szCs w:val="24"/>
        </w:rPr>
        <w:t xml:space="preserve"> (</w:t>
      </w:r>
      <w:r>
        <w:rPr>
          <w:rFonts w:ascii="Arial" w:hAnsi="Arial" w:cs="Arial"/>
          <w:bCs/>
          <w:color w:val="000000" w:themeColor="text1"/>
          <w:sz w:val="24"/>
          <w:szCs w:val="24"/>
        </w:rPr>
        <w:t xml:space="preserve">23 </w:t>
      </w:r>
      <w:r w:rsidRPr="00E35005">
        <w:rPr>
          <w:rFonts w:ascii="Arial" w:hAnsi="Arial" w:cs="Arial"/>
          <w:bCs/>
          <w:color w:val="000000" w:themeColor="text1"/>
          <w:sz w:val="24"/>
          <w:szCs w:val="24"/>
        </w:rPr>
        <w:t>May 2023</w:t>
      </w:r>
      <w:r>
        <w:rPr>
          <w:rFonts w:ascii="Arial" w:hAnsi="Arial" w:cs="Arial"/>
          <w:bCs/>
          <w:color w:val="000000" w:themeColor="text1"/>
          <w:sz w:val="24"/>
          <w:szCs w:val="24"/>
        </w:rPr>
        <w:t>)</w:t>
      </w:r>
    </w:p>
    <w:p w14:paraId="58FF1F95" w14:textId="77777777" w:rsidR="000F2B30" w:rsidRPr="003A1C72" w:rsidRDefault="000F2B30" w:rsidP="000F2B30">
      <w:pPr>
        <w:pBdr>
          <w:bottom w:val="single" w:sz="12" w:space="1" w:color="auto"/>
        </w:pBdr>
        <w:spacing w:after="0" w:line="480" w:lineRule="auto"/>
        <w:rPr>
          <w:rFonts w:ascii="Arial" w:hAnsi="Arial" w:cs="Arial"/>
          <w:b/>
          <w:bCs/>
          <w:sz w:val="24"/>
          <w:szCs w:val="24"/>
          <w:lang w:val="en-US"/>
        </w:rPr>
      </w:pPr>
    </w:p>
    <w:p w14:paraId="2D999260" w14:textId="77777777" w:rsidR="000F2B30" w:rsidRPr="003A1C72" w:rsidRDefault="000F2B30" w:rsidP="000F2B30">
      <w:pPr>
        <w:spacing w:after="0" w:line="240" w:lineRule="auto"/>
        <w:rPr>
          <w:rFonts w:ascii="Arial" w:hAnsi="Arial" w:cs="Arial"/>
          <w:b/>
          <w:bCs/>
          <w:sz w:val="24"/>
          <w:szCs w:val="24"/>
          <w:lang w:val="en-US"/>
        </w:rPr>
      </w:pPr>
    </w:p>
    <w:p w14:paraId="7791255E" w14:textId="77777777" w:rsidR="000F2B30" w:rsidRPr="003A1C72" w:rsidRDefault="000F2B30" w:rsidP="000F2B30">
      <w:pPr>
        <w:pBdr>
          <w:bottom w:val="single" w:sz="12" w:space="1" w:color="auto"/>
        </w:pBdr>
        <w:spacing w:after="0" w:line="480" w:lineRule="auto"/>
        <w:jc w:val="center"/>
        <w:rPr>
          <w:rFonts w:ascii="Arial" w:hAnsi="Arial" w:cs="Arial"/>
          <w:b/>
          <w:bCs/>
          <w:sz w:val="24"/>
          <w:szCs w:val="24"/>
          <w:lang w:val="en-US"/>
        </w:rPr>
      </w:pPr>
      <w:r w:rsidRPr="003A1C72">
        <w:rPr>
          <w:rFonts w:ascii="Arial" w:hAnsi="Arial" w:cs="Arial"/>
          <w:b/>
          <w:bCs/>
          <w:sz w:val="24"/>
          <w:szCs w:val="24"/>
          <w:lang w:val="en-US"/>
        </w:rPr>
        <w:t>JUDGMENT</w:t>
      </w:r>
    </w:p>
    <w:p w14:paraId="0A6CE948" w14:textId="77777777" w:rsidR="0025487E" w:rsidRDefault="007022B2" w:rsidP="0025487E">
      <w:pPr>
        <w:spacing w:before="480" w:after="480" w:line="240" w:lineRule="auto"/>
        <w:ind w:left="1440" w:hanging="1440"/>
        <w:jc w:val="both"/>
        <w:rPr>
          <w:rFonts w:ascii="Arial" w:hAnsi="Arial" w:cs="Arial"/>
          <w:i/>
          <w:iCs/>
          <w:sz w:val="24"/>
          <w:szCs w:val="24"/>
          <w:lang w:val="en-US"/>
        </w:rPr>
      </w:pPr>
      <w:r>
        <w:rPr>
          <w:rFonts w:ascii="Arial" w:hAnsi="Arial" w:cs="Arial"/>
          <w:b/>
          <w:bCs/>
          <w:sz w:val="24"/>
          <w:szCs w:val="24"/>
          <w:lang w:val="en-US"/>
        </w:rPr>
        <w:lastRenderedPageBreak/>
        <w:t>Summary</w:t>
      </w:r>
      <w:r w:rsidR="00EB162C">
        <w:rPr>
          <w:rFonts w:ascii="Arial" w:hAnsi="Arial" w:cs="Arial"/>
          <w:b/>
          <w:bCs/>
          <w:sz w:val="24"/>
          <w:szCs w:val="24"/>
          <w:lang w:val="en-US"/>
        </w:rPr>
        <w:t>:</w:t>
      </w:r>
      <w:r w:rsidR="00EB162C">
        <w:rPr>
          <w:rFonts w:ascii="Arial" w:hAnsi="Arial" w:cs="Arial"/>
          <w:b/>
          <w:bCs/>
          <w:sz w:val="24"/>
          <w:szCs w:val="24"/>
          <w:lang w:val="en-US"/>
        </w:rPr>
        <w:tab/>
      </w:r>
      <w:r w:rsidR="0025487E" w:rsidRPr="000E212B">
        <w:rPr>
          <w:rFonts w:ascii="Arial" w:hAnsi="Arial" w:cs="Arial"/>
          <w:i/>
          <w:iCs/>
          <w:sz w:val="24"/>
          <w:szCs w:val="24"/>
          <w:lang w:val="en-US"/>
        </w:rPr>
        <w:t xml:space="preserve">Close </w:t>
      </w:r>
      <w:r w:rsidR="0025487E">
        <w:rPr>
          <w:rFonts w:ascii="Arial" w:hAnsi="Arial" w:cs="Arial"/>
          <w:i/>
          <w:iCs/>
          <w:sz w:val="24"/>
          <w:szCs w:val="24"/>
          <w:lang w:val="en-US"/>
        </w:rPr>
        <w:t>C</w:t>
      </w:r>
      <w:r w:rsidR="0025487E" w:rsidRPr="000E212B">
        <w:rPr>
          <w:rFonts w:ascii="Arial" w:hAnsi="Arial" w:cs="Arial"/>
          <w:i/>
          <w:iCs/>
          <w:sz w:val="24"/>
          <w:szCs w:val="24"/>
          <w:lang w:val="en-US"/>
        </w:rPr>
        <w:t>orporations - C</w:t>
      </w:r>
      <w:r w:rsidR="0025487E" w:rsidRPr="00843781">
        <w:rPr>
          <w:rFonts w:ascii="Arial" w:hAnsi="Arial" w:cs="Arial"/>
          <w:i/>
          <w:iCs/>
          <w:sz w:val="24"/>
          <w:szCs w:val="24"/>
          <w:lang w:val="en-US"/>
        </w:rPr>
        <w:t>lose Corporation</w:t>
      </w:r>
      <w:r w:rsidR="0025487E">
        <w:rPr>
          <w:rFonts w:ascii="Arial" w:hAnsi="Arial" w:cs="Arial"/>
          <w:i/>
          <w:iCs/>
          <w:sz w:val="24"/>
          <w:szCs w:val="24"/>
          <w:lang w:val="en-US"/>
        </w:rPr>
        <w:t xml:space="preserve">s Act, Act 69 of 1984 </w:t>
      </w:r>
      <w:r w:rsidR="0025487E" w:rsidRPr="00037CDA">
        <w:rPr>
          <w:rFonts w:ascii="Arial" w:hAnsi="Arial" w:cs="Arial"/>
          <w:sz w:val="24"/>
          <w:szCs w:val="24"/>
          <w:lang w:val="en-US"/>
        </w:rPr>
        <w:t xml:space="preserve">– </w:t>
      </w:r>
      <w:r w:rsidR="0025487E" w:rsidRPr="005B3C84">
        <w:rPr>
          <w:rFonts w:ascii="Arial" w:hAnsi="Arial" w:cs="Arial"/>
          <w:i/>
          <w:iCs/>
          <w:sz w:val="24"/>
          <w:szCs w:val="24"/>
          <w:lang w:val="en-US"/>
        </w:rPr>
        <w:t>principle of dual jurisdiction generally applicable</w:t>
      </w:r>
      <w:r w:rsidR="0025487E">
        <w:rPr>
          <w:rFonts w:ascii="Arial" w:hAnsi="Arial" w:cs="Arial"/>
          <w:i/>
          <w:iCs/>
          <w:sz w:val="24"/>
          <w:szCs w:val="24"/>
          <w:lang w:val="en-US"/>
        </w:rPr>
        <w:t xml:space="preserve"> to close corporations</w:t>
      </w:r>
      <w:r w:rsidR="0025487E" w:rsidRPr="005B3C84">
        <w:rPr>
          <w:rFonts w:ascii="Arial" w:hAnsi="Arial" w:cs="Arial"/>
          <w:i/>
          <w:iCs/>
          <w:sz w:val="24"/>
          <w:szCs w:val="24"/>
          <w:lang w:val="en-US"/>
        </w:rPr>
        <w:t xml:space="preserve"> - close corporation deemed to be resident at its registered office or principal place of business – reasoning in Bisonboard Ltd v K Braun Woodworking Machinery (Pty) Ltd 1991 (1) SA 482 (A) applicable – legal position regarding jurisdiction over close corporations unaffected by debate regarding the effect of the 2008 Companies Act on the dual jurisdiction principle </w:t>
      </w:r>
      <w:r w:rsidR="0025487E">
        <w:rPr>
          <w:rFonts w:ascii="Arial" w:hAnsi="Arial" w:cs="Arial"/>
          <w:i/>
          <w:iCs/>
          <w:sz w:val="24"/>
          <w:szCs w:val="24"/>
          <w:lang w:val="en-US"/>
        </w:rPr>
        <w:t>applicable to</w:t>
      </w:r>
      <w:r w:rsidR="0025487E" w:rsidRPr="005B3C84">
        <w:rPr>
          <w:rFonts w:ascii="Arial" w:hAnsi="Arial" w:cs="Arial"/>
          <w:i/>
          <w:iCs/>
          <w:sz w:val="24"/>
          <w:szCs w:val="24"/>
          <w:lang w:val="en-US"/>
        </w:rPr>
        <w:t xml:space="preserve"> companies</w:t>
      </w:r>
      <w:r w:rsidR="0025487E">
        <w:rPr>
          <w:rFonts w:ascii="Arial" w:hAnsi="Arial" w:cs="Arial"/>
          <w:i/>
          <w:iCs/>
          <w:sz w:val="24"/>
          <w:szCs w:val="24"/>
          <w:lang w:val="en-US"/>
        </w:rPr>
        <w:t xml:space="preserve"> under the 1973 Companies Act - recognition of dual jurisdiction in respect of close corporations a constitutional imperative to protect the right of access to courts guaranteed by section 34 of the Constitution of the Republic of South Africa, 1996</w:t>
      </w:r>
      <w:r w:rsidR="0025487E" w:rsidRPr="005B3C84">
        <w:rPr>
          <w:rFonts w:ascii="Arial" w:hAnsi="Arial" w:cs="Arial"/>
          <w:i/>
          <w:iCs/>
          <w:sz w:val="24"/>
          <w:szCs w:val="24"/>
          <w:lang w:val="en-US"/>
        </w:rPr>
        <w:t>.</w:t>
      </w:r>
    </w:p>
    <w:p w14:paraId="0F3E252F" w14:textId="77777777" w:rsidR="0025487E" w:rsidRPr="00812D20" w:rsidRDefault="0025487E" w:rsidP="0025487E">
      <w:pPr>
        <w:spacing w:before="480" w:after="480" w:line="240" w:lineRule="auto"/>
        <w:ind w:left="1440" w:hanging="1440"/>
        <w:jc w:val="both"/>
        <w:rPr>
          <w:rFonts w:ascii="Arial" w:hAnsi="Arial" w:cs="Arial"/>
          <w:i/>
          <w:iCs/>
          <w:sz w:val="24"/>
          <w:szCs w:val="24"/>
          <w:lang w:val="en-US"/>
        </w:rPr>
      </w:pPr>
      <w:r>
        <w:rPr>
          <w:rFonts w:ascii="Arial" w:hAnsi="Arial" w:cs="Arial"/>
          <w:b/>
          <w:bCs/>
          <w:sz w:val="24"/>
          <w:szCs w:val="24"/>
          <w:lang w:val="en-US"/>
        </w:rPr>
        <w:tab/>
      </w:r>
      <w:r w:rsidRPr="00812D20">
        <w:rPr>
          <w:rFonts w:ascii="Arial" w:hAnsi="Arial" w:cs="Arial"/>
          <w:i/>
          <w:iCs/>
          <w:sz w:val="24"/>
          <w:szCs w:val="24"/>
          <w:lang w:val="en-US"/>
        </w:rPr>
        <w:t xml:space="preserve">Close Corporations Act, Act 69 of 1984, s 25 – Uniform Rule 4(1)(a)(v) - service of process on registered office of close corporation – no merit in contention that absence of close corporation from registered office invalidates otherwise valid service – knowledge of absence irrelevant to validity of service. </w:t>
      </w:r>
    </w:p>
    <w:p w14:paraId="5AF56C02" w14:textId="5E252E20" w:rsidR="00EB162C" w:rsidRDefault="0025487E" w:rsidP="0025487E">
      <w:pPr>
        <w:spacing w:before="480" w:after="480" w:line="240" w:lineRule="auto"/>
        <w:ind w:left="1440" w:hanging="1440"/>
        <w:jc w:val="both"/>
        <w:rPr>
          <w:rFonts w:ascii="Arial" w:hAnsi="Arial" w:cs="Arial"/>
          <w:i/>
          <w:iCs/>
          <w:sz w:val="24"/>
          <w:szCs w:val="24"/>
          <w:lang w:val="en-US"/>
        </w:rPr>
      </w:pPr>
      <w:r w:rsidRPr="00812D20">
        <w:rPr>
          <w:rFonts w:ascii="Arial" w:hAnsi="Arial" w:cs="Arial"/>
          <w:i/>
          <w:iCs/>
          <w:sz w:val="24"/>
          <w:szCs w:val="24"/>
          <w:lang w:val="en-US"/>
        </w:rPr>
        <w:tab/>
      </w:r>
      <w:r w:rsidRPr="00FE5205">
        <w:rPr>
          <w:rFonts w:ascii="Arial" w:hAnsi="Arial" w:cs="Arial"/>
          <w:i/>
          <w:iCs/>
          <w:sz w:val="24"/>
          <w:szCs w:val="24"/>
          <w:lang w:val="en-US"/>
        </w:rPr>
        <w:t xml:space="preserve">Domicilium citandi – choice of domicilium citandi does not </w:t>
      </w:r>
      <w:r>
        <w:rPr>
          <w:rFonts w:ascii="Arial" w:hAnsi="Arial" w:cs="Arial"/>
          <w:i/>
          <w:iCs/>
          <w:sz w:val="24"/>
          <w:szCs w:val="24"/>
          <w:lang w:val="en-US"/>
        </w:rPr>
        <w:t xml:space="preserve">in itself </w:t>
      </w:r>
      <w:r w:rsidRPr="00FE5205">
        <w:rPr>
          <w:rFonts w:ascii="Arial" w:hAnsi="Arial" w:cs="Arial"/>
          <w:i/>
          <w:iCs/>
          <w:sz w:val="24"/>
          <w:szCs w:val="24"/>
          <w:lang w:val="en-US"/>
        </w:rPr>
        <w:t xml:space="preserve">exclude other legitimate </w:t>
      </w:r>
      <w:r>
        <w:rPr>
          <w:rFonts w:ascii="Arial" w:hAnsi="Arial" w:cs="Arial"/>
          <w:i/>
          <w:iCs/>
          <w:sz w:val="24"/>
          <w:szCs w:val="24"/>
          <w:lang w:val="en-US"/>
        </w:rPr>
        <w:t>forms of service of process. Question whether parties can by agreement place limitation on form of service of process not decided.</w:t>
      </w:r>
    </w:p>
    <w:p w14:paraId="0B6B5990" w14:textId="77777777" w:rsidR="000F2B30" w:rsidRDefault="000F2B30" w:rsidP="005F387B">
      <w:pPr>
        <w:rPr>
          <w:rFonts w:ascii="Arial" w:hAnsi="Arial" w:cs="Arial"/>
          <w:b/>
          <w:bCs/>
          <w:sz w:val="24"/>
          <w:szCs w:val="24"/>
          <w:lang w:val="en-US"/>
        </w:rPr>
      </w:pPr>
    </w:p>
    <w:p w14:paraId="55CB3B4D" w14:textId="38C9EB80" w:rsidR="00DA2082" w:rsidRDefault="00197E2D" w:rsidP="005F387B">
      <w:pPr>
        <w:rPr>
          <w:rFonts w:ascii="Arial" w:hAnsi="Arial" w:cs="Arial"/>
          <w:b/>
          <w:bCs/>
          <w:sz w:val="24"/>
          <w:szCs w:val="24"/>
          <w:u w:val="single"/>
          <w:lang w:val="en-US"/>
        </w:rPr>
      </w:pPr>
      <w:r>
        <w:rPr>
          <w:rFonts w:ascii="Arial" w:hAnsi="Arial" w:cs="Arial"/>
          <w:b/>
          <w:bCs/>
          <w:sz w:val="24"/>
          <w:szCs w:val="24"/>
          <w:u w:val="single"/>
          <w:lang w:val="en-US"/>
        </w:rPr>
        <w:t xml:space="preserve">D </w:t>
      </w:r>
      <w:r w:rsidR="00DA2082" w:rsidRPr="00DA2082">
        <w:rPr>
          <w:rFonts w:ascii="Arial" w:hAnsi="Arial" w:cs="Arial"/>
          <w:b/>
          <w:bCs/>
          <w:sz w:val="24"/>
          <w:szCs w:val="24"/>
          <w:u w:val="single"/>
          <w:lang w:val="en-US"/>
        </w:rPr>
        <w:t>MARAIS AJ:</w:t>
      </w:r>
    </w:p>
    <w:p w14:paraId="619A9A69" w14:textId="77777777" w:rsidR="00CC3856" w:rsidRDefault="00CC3856" w:rsidP="005F387B">
      <w:pPr>
        <w:rPr>
          <w:rFonts w:ascii="Arial" w:hAnsi="Arial" w:cs="Arial"/>
          <w:b/>
          <w:bCs/>
          <w:sz w:val="24"/>
          <w:szCs w:val="24"/>
          <w:u w:val="single"/>
          <w:lang w:val="en-US"/>
        </w:rPr>
      </w:pPr>
    </w:p>
    <w:p w14:paraId="5FBBF539" w14:textId="6141EB1E" w:rsidR="00CC3856" w:rsidRPr="00DA2082" w:rsidRDefault="00CC3856" w:rsidP="005F387B">
      <w:pPr>
        <w:rPr>
          <w:rFonts w:ascii="Arial" w:hAnsi="Arial" w:cs="Arial"/>
          <w:b/>
          <w:bCs/>
          <w:sz w:val="24"/>
          <w:szCs w:val="24"/>
          <w:u w:val="single"/>
          <w:lang w:val="en-US"/>
        </w:rPr>
      </w:pPr>
      <w:r>
        <w:rPr>
          <w:rFonts w:ascii="Arial" w:hAnsi="Arial" w:cs="Arial"/>
          <w:b/>
          <w:bCs/>
          <w:sz w:val="24"/>
          <w:szCs w:val="24"/>
          <w:u w:val="single"/>
          <w:lang w:val="en-US"/>
        </w:rPr>
        <w:t>INTRODUCTION</w:t>
      </w:r>
    </w:p>
    <w:p w14:paraId="786BA976" w14:textId="2914E201" w:rsidR="009F57CA"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[1]</w:t>
      </w:r>
      <w:r>
        <w:rPr>
          <w:rFonts w:ascii="Arial" w:hAnsi="Arial" w:cs="Arial"/>
          <w:sz w:val="24"/>
          <w:szCs w:val="24"/>
          <w:lang w:val="en-US"/>
        </w:rPr>
        <w:tab/>
      </w:r>
      <w:r w:rsidR="000C3CBA" w:rsidRPr="00277E7A">
        <w:rPr>
          <w:rFonts w:ascii="Arial" w:hAnsi="Arial" w:cs="Arial"/>
          <w:sz w:val="24"/>
          <w:szCs w:val="24"/>
          <w:lang w:val="en-US"/>
        </w:rPr>
        <w:t>T</w:t>
      </w:r>
      <w:r w:rsidR="00AF70B9" w:rsidRPr="00277E7A">
        <w:rPr>
          <w:rFonts w:ascii="Arial" w:hAnsi="Arial" w:cs="Arial"/>
          <w:sz w:val="24"/>
          <w:szCs w:val="24"/>
          <w:lang w:val="en-US"/>
        </w:rPr>
        <w:t xml:space="preserve">he </w:t>
      </w:r>
      <w:r w:rsidR="00386186" w:rsidRPr="00277E7A">
        <w:rPr>
          <w:rFonts w:ascii="Arial" w:hAnsi="Arial" w:cs="Arial"/>
          <w:sz w:val="24"/>
          <w:szCs w:val="24"/>
          <w:lang w:val="en-US"/>
        </w:rPr>
        <w:t>applicant</w:t>
      </w:r>
      <w:r w:rsidR="000C3CBA" w:rsidRPr="00277E7A">
        <w:rPr>
          <w:rFonts w:ascii="Arial" w:hAnsi="Arial" w:cs="Arial"/>
          <w:sz w:val="24"/>
          <w:szCs w:val="24"/>
          <w:lang w:val="en-US"/>
        </w:rPr>
        <w:t>, Malvern Trading CC</w:t>
      </w:r>
      <w:r w:rsidR="005664D6" w:rsidRPr="00277E7A">
        <w:rPr>
          <w:rFonts w:ascii="Arial" w:hAnsi="Arial" w:cs="Arial"/>
          <w:sz w:val="24"/>
          <w:szCs w:val="24"/>
          <w:lang w:val="en-US"/>
        </w:rPr>
        <w:t xml:space="preserve"> (a duly incorporated close corporation),</w:t>
      </w:r>
      <w:r w:rsidR="009E200B" w:rsidRPr="00277E7A">
        <w:rPr>
          <w:rFonts w:ascii="Arial" w:hAnsi="Arial" w:cs="Arial"/>
          <w:sz w:val="24"/>
          <w:szCs w:val="24"/>
          <w:lang w:val="en-US"/>
        </w:rPr>
        <w:t xml:space="preserve"> </w:t>
      </w:r>
      <w:r w:rsidR="000910D5" w:rsidRPr="00277E7A">
        <w:rPr>
          <w:rFonts w:ascii="Arial" w:hAnsi="Arial" w:cs="Arial"/>
          <w:sz w:val="24"/>
          <w:szCs w:val="24"/>
          <w:lang w:val="en-US"/>
        </w:rPr>
        <w:t>applies</w:t>
      </w:r>
      <w:r w:rsidR="00AF70B9" w:rsidRPr="00277E7A">
        <w:rPr>
          <w:rFonts w:ascii="Arial" w:hAnsi="Arial" w:cs="Arial"/>
          <w:sz w:val="24"/>
          <w:szCs w:val="24"/>
          <w:lang w:val="en-US"/>
        </w:rPr>
        <w:t xml:space="preserve"> </w:t>
      </w:r>
      <w:r w:rsidR="00F809CD" w:rsidRPr="00277E7A">
        <w:rPr>
          <w:rFonts w:ascii="Arial" w:hAnsi="Arial" w:cs="Arial"/>
          <w:sz w:val="24"/>
          <w:szCs w:val="24"/>
          <w:lang w:val="en-US"/>
        </w:rPr>
        <w:t xml:space="preserve">in this application </w:t>
      </w:r>
      <w:r w:rsidR="00AF70B9" w:rsidRPr="00277E7A">
        <w:rPr>
          <w:rFonts w:ascii="Arial" w:hAnsi="Arial" w:cs="Arial"/>
          <w:sz w:val="24"/>
          <w:szCs w:val="24"/>
          <w:lang w:val="en-US"/>
        </w:rPr>
        <w:t>for the rescission of a</w:t>
      </w:r>
      <w:r w:rsidR="000910D5" w:rsidRPr="00277E7A">
        <w:rPr>
          <w:rFonts w:ascii="Arial" w:hAnsi="Arial" w:cs="Arial"/>
          <w:sz w:val="24"/>
          <w:szCs w:val="24"/>
          <w:lang w:val="en-US"/>
        </w:rPr>
        <w:t>n order</w:t>
      </w:r>
      <w:r w:rsidR="008227DC" w:rsidRPr="00277E7A">
        <w:rPr>
          <w:rFonts w:ascii="Arial" w:hAnsi="Arial" w:cs="Arial"/>
          <w:sz w:val="24"/>
          <w:szCs w:val="24"/>
          <w:lang w:val="en-US"/>
        </w:rPr>
        <w:t xml:space="preserve"> granted in favour of the </w:t>
      </w:r>
      <w:r w:rsidR="00386186" w:rsidRPr="00277E7A">
        <w:rPr>
          <w:rFonts w:ascii="Arial" w:hAnsi="Arial" w:cs="Arial"/>
          <w:sz w:val="24"/>
          <w:szCs w:val="24"/>
          <w:lang w:val="en-US"/>
        </w:rPr>
        <w:t>respondent</w:t>
      </w:r>
      <w:r w:rsidR="00B10C82" w:rsidRPr="00277E7A">
        <w:rPr>
          <w:rFonts w:ascii="Arial" w:hAnsi="Arial" w:cs="Arial"/>
          <w:sz w:val="24"/>
          <w:szCs w:val="24"/>
          <w:lang w:val="en-US"/>
        </w:rPr>
        <w:t xml:space="preserve"> </w:t>
      </w:r>
      <w:r w:rsidR="00F809CD" w:rsidRPr="00277E7A">
        <w:rPr>
          <w:rFonts w:ascii="Arial" w:hAnsi="Arial" w:cs="Arial"/>
          <w:sz w:val="24"/>
          <w:szCs w:val="24"/>
          <w:lang w:val="en-US"/>
        </w:rPr>
        <w:t xml:space="preserve">by default </w:t>
      </w:r>
      <w:r w:rsidR="00B10C82" w:rsidRPr="00277E7A">
        <w:rPr>
          <w:rFonts w:ascii="Arial" w:hAnsi="Arial" w:cs="Arial"/>
          <w:sz w:val="24"/>
          <w:szCs w:val="24"/>
          <w:lang w:val="en-US"/>
        </w:rPr>
        <w:t xml:space="preserve">on </w:t>
      </w:r>
      <w:r w:rsidR="00CD4CA9" w:rsidRPr="00277E7A">
        <w:rPr>
          <w:rFonts w:ascii="Arial" w:hAnsi="Arial" w:cs="Arial"/>
          <w:sz w:val="24"/>
          <w:szCs w:val="24"/>
          <w:lang w:val="en-US"/>
        </w:rPr>
        <w:t>3</w:t>
      </w:r>
      <w:r w:rsidR="00A048A9" w:rsidRPr="00277E7A">
        <w:rPr>
          <w:rFonts w:ascii="Arial" w:hAnsi="Arial" w:cs="Arial"/>
          <w:sz w:val="24"/>
          <w:szCs w:val="24"/>
          <w:lang w:val="en-US"/>
        </w:rPr>
        <w:t xml:space="preserve"> </w:t>
      </w:r>
      <w:r w:rsidR="00CD4CA9" w:rsidRPr="00277E7A">
        <w:rPr>
          <w:rFonts w:ascii="Arial" w:hAnsi="Arial" w:cs="Arial"/>
          <w:sz w:val="24"/>
          <w:szCs w:val="24"/>
          <w:lang w:val="en-US"/>
        </w:rPr>
        <w:t>March</w:t>
      </w:r>
      <w:r w:rsidR="00A048A9" w:rsidRPr="00277E7A">
        <w:rPr>
          <w:rFonts w:ascii="Arial" w:hAnsi="Arial" w:cs="Arial"/>
          <w:sz w:val="24"/>
          <w:szCs w:val="24"/>
          <w:lang w:val="en-US"/>
        </w:rPr>
        <w:t xml:space="preserve"> 2022</w:t>
      </w:r>
      <w:r w:rsidR="000B772F" w:rsidRPr="00277E7A">
        <w:rPr>
          <w:rFonts w:ascii="Arial" w:hAnsi="Arial" w:cs="Arial"/>
          <w:sz w:val="24"/>
          <w:szCs w:val="24"/>
          <w:lang w:val="en-US"/>
        </w:rPr>
        <w:t>,</w:t>
      </w:r>
      <w:r w:rsidR="009813F8" w:rsidRPr="00277E7A">
        <w:rPr>
          <w:rFonts w:ascii="Arial" w:hAnsi="Arial" w:cs="Arial"/>
          <w:sz w:val="24"/>
          <w:szCs w:val="24"/>
          <w:lang w:val="en-US"/>
        </w:rPr>
        <w:t xml:space="preserve"> for the delivery of a Mercedes Benz </w:t>
      </w:r>
      <w:r w:rsidR="009942C0" w:rsidRPr="00277E7A">
        <w:rPr>
          <w:rFonts w:ascii="Arial" w:hAnsi="Arial" w:cs="Arial"/>
          <w:sz w:val="24"/>
          <w:szCs w:val="24"/>
          <w:lang w:val="en-US"/>
        </w:rPr>
        <w:t>GLS 400d motor vehicle</w:t>
      </w:r>
      <w:r w:rsidR="00FE1162" w:rsidRPr="00277E7A">
        <w:rPr>
          <w:rFonts w:ascii="Arial" w:hAnsi="Arial" w:cs="Arial"/>
          <w:sz w:val="24"/>
          <w:szCs w:val="24"/>
          <w:lang w:val="en-US"/>
        </w:rPr>
        <w:t>.</w:t>
      </w:r>
    </w:p>
    <w:p w14:paraId="55B131A0" w14:textId="41D69293" w:rsidR="000E2853"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[2]</w:t>
      </w:r>
      <w:r>
        <w:rPr>
          <w:rFonts w:ascii="Arial" w:hAnsi="Arial" w:cs="Arial"/>
          <w:sz w:val="24"/>
          <w:szCs w:val="24"/>
          <w:lang w:val="en-US"/>
        </w:rPr>
        <w:tab/>
      </w:r>
      <w:r w:rsidR="00993710" w:rsidRPr="00277E7A">
        <w:rPr>
          <w:rFonts w:ascii="Arial" w:hAnsi="Arial" w:cs="Arial"/>
          <w:sz w:val="24"/>
          <w:szCs w:val="24"/>
          <w:lang w:val="en-US"/>
        </w:rPr>
        <w:t xml:space="preserve">The </w:t>
      </w:r>
      <w:r w:rsidR="00386186" w:rsidRPr="00277E7A">
        <w:rPr>
          <w:rFonts w:ascii="Arial" w:hAnsi="Arial" w:cs="Arial"/>
          <w:sz w:val="24"/>
          <w:szCs w:val="24"/>
          <w:lang w:val="en-US"/>
        </w:rPr>
        <w:t>res</w:t>
      </w:r>
      <w:bookmarkStart w:id="0" w:name="_GoBack"/>
      <w:bookmarkEnd w:id="0"/>
      <w:r w:rsidR="00386186" w:rsidRPr="00277E7A">
        <w:rPr>
          <w:rFonts w:ascii="Arial" w:hAnsi="Arial" w:cs="Arial"/>
          <w:sz w:val="24"/>
          <w:szCs w:val="24"/>
          <w:lang w:val="en-US"/>
        </w:rPr>
        <w:t>pondent</w:t>
      </w:r>
      <w:r w:rsidR="00993710" w:rsidRPr="00277E7A">
        <w:rPr>
          <w:rFonts w:ascii="Arial" w:hAnsi="Arial" w:cs="Arial"/>
          <w:sz w:val="24"/>
          <w:szCs w:val="24"/>
          <w:lang w:val="en-US"/>
        </w:rPr>
        <w:t xml:space="preserve"> issued a </w:t>
      </w:r>
      <w:r w:rsidR="001A2552" w:rsidRPr="00277E7A">
        <w:rPr>
          <w:rFonts w:ascii="Arial" w:hAnsi="Arial" w:cs="Arial"/>
          <w:sz w:val="24"/>
          <w:szCs w:val="24"/>
          <w:lang w:val="en-US"/>
        </w:rPr>
        <w:t>notice of motion</w:t>
      </w:r>
      <w:r w:rsidR="00993710" w:rsidRPr="00277E7A">
        <w:rPr>
          <w:rFonts w:ascii="Arial" w:hAnsi="Arial" w:cs="Arial"/>
          <w:sz w:val="24"/>
          <w:szCs w:val="24"/>
          <w:lang w:val="en-US"/>
        </w:rPr>
        <w:t xml:space="preserve"> in this court</w:t>
      </w:r>
      <w:r w:rsidR="00A329A2" w:rsidRPr="00277E7A">
        <w:rPr>
          <w:rFonts w:ascii="Arial" w:hAnsi="Arial" w:cs="Arial"/>
          <w:sz w:val="24"/>
          <w:szCs w:val="24"/>
          <w:lang w:val="en-US"/>
        </w:rPr>
        <w:t xml:space="preserve"> on </w:t>
      </w:r>
      <w:r w:rsidR="003F458E" w:rsidRPr="00277E7A">
        <w:rPr>
          <w:rFonts w:ascii="Arial" w:hAnsi="Arial" w:cs="Arial"/>
          <w:sz w:val="24"/>
          <w:szCs w:val="24"/>
          <w:lang w:val="en-US"/>
        </w:rPr>
        <w:t>26 October 2021</w:t>
      </w:r>
      <w:r w:rsidR="00A329A2" w:rsidRPr="00277E7A">
        <w:rPr>
          <w:rFonts w:ascii="Arial" w:hAnsi="Arial" w:cs="Arial"/>
          <w:sz w:val="24"/>
          <w:szCs w:val="24"/>
          <w:lang w:val="en-US"/>
        </w:rPr>
        <w:t xml:space="preserve"> against the</w:t>
      </w:r>
      <w:r w:rsidR="003F458E" w:rsidRPr="00277E7A">
        <w:rPr>
          <w:rFonts w:ascii="Arial" w:hAnsi="Arial" w:cs="Arial"/>
          <w:sz w:val="24"/>
          <w:szCs w:val="24"/>
          <w:lang w:val="en-US"/>
        </w:rPr>
        <w:t xml:space="preserve"> applicant</w:t>
      </w:r>
      <w:r w:rsidR="00C97B51" w:rsidRPr="00277E7A">
        <w:rPr>
          <w:rFonts w:ascii="Arial" w:hAnsi="Arial" w:cs="Arial"/>
          <w:sz w:val="24"/>
          <w:szCs w:val="24"/>
          <w:lang w:val="en-US"/>
        </w:rPr>
        <w:t xml:space="preserve"> in which the return of the motor vehicle</w:t>
      </w:r>
      <w:r w:rsidR="00FE1162" w:rsidRPr="00277E7A">
        <w:rPr>
          <w:rFonts w:ascii="Arial" w:hAnsi="Arial" w:cs="Arial"/>
          <w:sz w:val="24"/>
          <w:szCs w:val="24"/>
          <w:lang w:val="en-US"/>
        </w:rPr>
        <w:t xml:space="preserve"> was claimed. </w:t>
      </w:r>
      <w:r w:rsidR="00A80AF3" w:rsidRPr="00277E7A">
        <w:rPr>
          <w:rFonts w:ascii="Arial" w:hAnsi="Arial" w:cs="Arial"/>
          <w:sz w:val="24"/>
          <w:szCs w:val="24"/>
          <w:lang w:val="en-US"/>
        </w:rPr>
        <w:t xml:space="preserve">The respondent’s case was that it </w:t>
      </w:r>
      <w:r w:rsidR="001956D1" w:rsidRPr="00277E7A">
        <w:rPr>
          <w:rFonts w:ascii="Arial" w:hAnsi="Arial" w:cs="Arial"/>
          <w:sz w:val="24"/>
          <w:szCs w:val="24"/>
          <w:lang w:val="en-US"/>
        </w:rPr>
        <w:t xml:space="preserve">sold the motor vehicle to the applicant in terms of </w:t>
      </w:r>
      <w:r w:rsidR="001956D1" w:rsidRPr="00277E7A">
        <w:rPr>
          <w:rFonts w:ascii="Arial" w:hAnsi="Arial" w:cs="Arial"/>
          <w:sz w:val="24"/>
          <w:szCs w:val="24"/>
          <w:lang w:val="en-US"/>
        </w:rPr>
        <w:lastRenderedPageBreak/>
        <w:t xml:space="preserve">an installment agreement, that the applicant failed to </w:t>
      </w:r>
      <w:r w:rsidR="006200EF" w:rsidRPr="00277E7A">
        <w:rPr>
          <w:rFonts w:ascii="Arial" w:hAnsi="Arial" w:cs="Arial"/>
          <w:sz w:val="24"/>
          <w:szCs w:val="24"/>
          <w:lang w:val="en-US"/>
        </w:rPr>
        <w:t>pay</w:t>
      </w:r>
      <w:r w:rsidR="001956D1" w:rsidRPr="00277E7A">
        <w:rPr>
          <w:rFonts w:ascii="Arial" w:hAnsi="Arial" w:cs="Arial"/>
          <w:sz w:val="24"/>
          <w:szCs w:val="24"/>
          <w:lang w:val="en-US"/>
        </w:rPr>
        <w:t xml:space="preserve"> the agreed installments</w:t>
      </w:r>
      <w:r w:rsidR="006200EF" w:rsidRPr="00277E7A">
        <w:rPr>
          <w:rFonts w:ascii="Arial" w:hAnsi="Arial" w:cs="Arial"/>
          <w:sz w:val="24"/>
          <w:szCs w:val="24"/>
          <w:lang w:val="en-US"/>
        </w:rPr>
        <w:t>,</w:t>
      </w:r>
      <w:r w:rsidR="003D5811" w:rsidRPr="00277E7A">
        <w:rPr>
          <w:rFonts w:ascii="Arial" w:hAnsi="Arial" w:cs="Arial"/>
          <w:sz w:val="24"/>
          <w:szCs w:val="24"/>
          <w:lang w:val="en-US"/>
        </w:rPr>
        <w:t xml:space="preserve"> and that the agreement was cancelled </w:t>
      </w:r>
      <w:r w:rsidR="00CA1DB1" w:rsidRPr="00277E7A">
        <w:rPr>
          <w:rFonts w:ascii="Arial" w:hAnsi="Arial" w:cs="Arial"/>
          <w:sz w:val="24"/>
          <w:szCs w:val="24"/>
          <w:lang w:val="en-US"/>
        </w:rPr>
        <w:t>because</w:t>
      </w:r>
      <w:r w:rsidR="003D5811" w:rsidRPr="00277E7A">
        <w:rPr>
          <w:rFonts w:ascii="Arial" w:hAnsi="Arial" w:cs="Arial"/>
          <w:sz w:val="24"/>
          <w:szCs w:val="24"/>
          <w:lang w:val="en-US"/>
        </w:rPr>
        <w:t xml:space="preserve"> the applicant failed to remedy its default</w:t>
      </w:r>
      <w:r w:rsidR="003B4AA3" w:rsidRPr="00277E7A">
        <w:rPr>
          <w:rFonts w:ascii="Arial" w:hAnsi="Arial" w:cs="Arial"/>
          <w:sz w:val="24"/>
          <w:szCs w:val="24"/>
          <w:lang w:val="en-US"/>
        </w:rPr>
        <w:t xml:space="preserve"> after </w:t>
      </w:r>
      <w:r w:rsidR="006200EF" w:rsidRPr="00277E7A">
        <w:rPr>
          <w:rFonts w:ascii="Arial" w:hAnsi="Arial" w:cs="Arial"/>
          <w:sz w:val="24"/>
          <w:szCs w:val="24"/>
          <w:lang w:val="en-US"/>
        </w:rPr>
        <w:t xml:space="preserve">proper </w:t>
      </w:r>
      <w:r w:rsidR="003B4AA3" w:rsidRPr="00277E7A">
        <w:rPr>
          <w:rFonts w:ascii="Arial" w:hAnsi="Arial" w:cs="Arial"/>
          <w:sz w:val="24"/>
          <w:szCs w:val="24"/>
          <w:lang w:val="en-US"/>
        </w:rPr>
        <w:t>demand was made.</w:t>
      </w:r>
    </w:p>
    <w:p w14:paraId="38271465" w14:textId="778F6C99" w:rsidR="002D1764"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[3]</w:t>
      </w:r>
      <w:r>
        <w:rPr>
          <w:rFonts w:ascii="Arial" w:hAnsi="Arial" w:cs="Arial"/>
          <w:sz w:val="24"/>
          <w:szCs w:val="24"/>
          <w:lang w:val="en-US"/>
        </w:rPr>
        <w:tab/>
      </w:r>
      <w:r w:rsidR="0003292D" w:rsidRPr="00277E7A">
        <w:rPr>
          <w:rFonts w:ascii="Arial" w:hAnsi="Arial" w:cs="Arial"/>
          <w:sz w:val="24"/>
          <w:szCs w:val="24"/>
          <w:lang w:val="en-US"/>
        </w:rPr>
        <w:t xml:space="preserve">The applicant’s citation </w:t>
      </w:r>
      <w:r w:rsidR="001F1289" w:rsidRPr="00277E7A">
        <w:rPr>
          <w:rFonts w:ascii="Arial" w:hAnsi="Arial" w:cs="Arial"/>
          <w:sz w:val="24"/>
          <w:szCs w:val="24"/>
          <w:lang w:val="en-US"/>
        </w:rPr>
        <w:t>included an allegation that the applicant’s registered address was situated at an address in Windsor-West</w:t>
      </w:r>
      <w:r w:rsidR="00F9705F" w:rsidRPr="00277E7A">
        <w:rPr>
          <w:rFonts w:ascii="Arial" w:hAnsi="Arial" w:cs="Arial"/>
          <w:sz w:val="24"/>
          <w:szCs w:val="24"/>
          <w:lang w:val="en-US"/>
        </w:rPr>
        <w:t xml:space="preserve">, Johannesburg and that the applicant had chosen an address in Polokwane as a </w:t>
      </w:r>
      <w:r w:rsidR="00F9705F" w:rsidRPr="00277E7A">
        <w:rPr>
          <w:rFonts w:ascii="Arial" w:hAnsi="Arial" w:cs="Arial"/>
          <w:i/>
          <w:iCs/>
          <w:sz w:val="24"/>
          <w:szCs w:val="24"/>
          <w:lang w:val="en-US"/>
        </w:rPr>
        <w:t>domicilium citandi</w:t>
      </w:r>
      <w:r w:rsidR="002D1764" w:rsidRPr="00277E7A">
        <w:rPr>
          <w:rFonts w:ascii="Arial" w:hAnsi="Arial" w:cs="Arial"/>
          <w:sz w:val="24"/>
          <w:szCs w:val="24"/>
          <w:lang w:val="en-US"/>
        </w:rPr>
        <w:t>.</w:t>
      </w:r>
    </w:p>
    <w:p w14:paraId="33931ADE" w14:textId="4C9FC31A" w:rsidR="00683EB4"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w:t>
      </w:r>
      <w:r>
        <w:rPr>
          <w:rFonts w:ascii="Arial" w:hAnsi="Arial" w:cs="Arial"/>
          <w:sz w:val="24"/>
          <w:szCs w:val="24"/>
          <w:lang w:val="en-US"/>
        </w:rPr>
        <w:tab/>
      </w:r>
      <w:r w:rsidR="002D1764" w:rsidRPr="00277E7A">
        <w:rPr>
          <w:rFonts w:ascii="Arial" w:hAnsi="Arial" w:cs="Arial"/>
          <w:sz w:val="24"/>
          <w:szCs w:val="24"/>
          <w:lang w:val="en-US"/>
        </w:rPr>
        <w:t xml:space="preserve">It appears from the record that the notice of motion was served at the applicant’s alleged registered address in Johannesburg, and that </w:t>
      </w:r>
      <w:r w:rsidR="00D1671A" w:rsidRPr="00277E7A">
        <w:rPr>
          <w:rFonts w:ascii="Arial" w:hAnsi="Arial" w:cs="Arial"/>
          <w:sz w:val="24"/>
          <w:szCs w:val="24"/>
          <w:lang w:val="en-US"/>
        </w:rPr>
        <w:t xml:space="preserve">an attempted service at the chosen </w:t>
      </w:r>
      <w:r w:rsidR="00D1671A" w:rsidRPr="00277E7A">
        <w:rPr>
          <w:rFonts w:ascii="Arial" w:hAnsi="Arial" w:cs="Arial"/>
          <w:i/>
          <w:iCs/>
          <w:sz w:val="24"/>
          <w:szCs w:val="24"/>
          <w:lang w:val="en-US"/>
        </w:rPr>
        <w:t>domicilium citandi</w:t>
      </w:r>
      <w:r w:rsidR="00EC355D" w:rsidRPr="00277E7A">
        <w:rPr>
          <w:rFonts w:ascii="Arial" w:hAnsi="Arial" w:cs="Arial"/>
          <w:sz w:val="24"/>
          <w:szCs w:val="24"/>
          <w:lang w:val="en-US"/>
        </w:rPr>
        <w:t xml:space="preserve"> was unsuccessful due to a problem with the description of the address.</w:t>
      </w:r>
    </w:p>
    <w:p w14:paraId="260101E5" w14:textId="006336CF" w:rsidR="00CC3856"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w:t>
      </w:r>
      <w:r>
        <w:rPr>
          <w:rFonts w:ascii="Arial" w:hAnsi="Arial" w:cs="Arial"/>
          <w:sz w:val="24"/>
          <w:szCs w:val="24"/>
          <w:lang w:val="en-US"/>
        </w:rPr>
        <w:tab/>
      </w:r>
      <w:r w:rsidR="00683EB4" w:rsidRPr="00277E7A">
        <w:rPr>
          <w:rFonts w:ascii="Arial" w:hAnsi="Arial" w:cs="Arial"/>
          <w:sz w:val="24"/>
          <w:szCs w:val="24"/>
          <w:lang w:val="en-US"/>
        </w:rPr>
        <w:t>An order by default was granted in this matter after the applicant failed to give notice of intention to oppose.</w:t>
      </w:r>
    </w:p>
    <w:p w14:paraId="617AB6C8" w14:textId="671E7BEA" w:rsidR="004E178F" w:rsidRDefault="00CC3856" w:rsidP="00CC3856">
      <w:pPr>
        <w:rPr>
          <w:rFonts w:ascii="Arial" w:hAnsi="Arial" w:cs="Arial"/>
          <w:b/>
          <w:bCs/>
          <w:sz w:val="24"/>
          <w:szCs w:val="24"/>
          <w:u w:val="single"/>
          <w:lang w:val="en-US"/>
        </w:rPr>
      </w:pPr>
      <w:r>
        <w:rPr>
          <w:rFonts w:ascii="Arial" w:hAnsi="Arial" w:cs="Arial"/>
          <w:b/>
          <w:bCs/>
          <w:sz w:val="24"/>
          <w:szCs w:val="24"/>
          <w:u w:val="single"/>
          <w:lang w:val="en-US"/>
        </w:rPr>
        <w:t xml:space="preserve">NO DEFENCE </w:t>
      </w:r>
      <w:r w:rsidR="004B1151">
        <w:rPr>
          <w:rFonts w:ascii="Arial" w:hAnsi="Arial" w:cs="Arial"/>
          <w:b/>
          <w:bCs/>
          <w:sz w:val="24"/>
          <w:szCs w:val="24"/>
          <w:u w:val="single"/>
          <w:lang w:val="en-US"/>
        </w:rPr>
        <w:t>ON THE MERITS OF THE CLAIM</w:t>
      </w:r>
    </w:p>
    <w:p w14:paraId="5A8C8C43" w14:textId="77777777" w:rsidR="004E178F" w:rsidRPr="00CC3856" w:rsidRDefault="004E178F" w:rsidP="00CC3856">
      <w:pPr>
        <w:rPr>
          <w:rFonts w:ascii="Arial" w:hAnsi="Arial" w:cs="Arial"/>
          <w:b/>
          <w:bCs/>
          <w:sz w:val="24"/>
          <w:szCs w:val="24"/>
          <w:u w:val="single"/>
          <w:lang w:val="en-US"/>
        </w:rPr>
      </w:pPr>
    </w:p>
    <w:p w14:paraId="1A728FE7" w14:textId="20977117" w:rsidR="000E2853"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[6]</w:t>
      </w:r>
      <w:r>
        <w:rPr>
          <w:rFonts w:ascii="Arial" w:hAnsi="Arial" w:cs="Arial"/>
          <w:sz w:val="24"/>
          <w:szCs w:val="24"/>
          <w:lang w:val="en-US"/>
        </w:rPr>
        <w:tab/>
      </w:r>
      <w:r w:rsidR="00352E8F" w:rsidRPr="00277E7A">
        <w:rPr>
          <w:rFonts w:ascii="Arial" w:hAnsi="Arial" w:cs="Arial"/>
          <w:sz w:val="24"/>
          <w:szCs w:val="24"/>
          <w:lang w:val="en-US"/>
        </w:rPr>
        <w:t>It is admitted by the applicant that it failed to pay</w:t>
      </w:r>
      <w:r w:rsidR="00EC3DFE" w:rsidRPr="00277E7A">
        <w:rPr>
          <w:rFonts w:ascii="Arial" w:hAnsi="Arial" w:cs="Arial"/>
          <w:sz w:val="24"/>
          <w:szCs w:val="24"/>
          <w:lang w:val="en-US"/>
        </w:rPr>
        <w:t xml:space="preserve"> the agreed installments</w:t>
      </w:r>
      <w:r w:rsidR="005A736A" w:rsidRPr="00277E7A">
        <w:rPr>
          <w:rFonts w:ascii="Arial" w:hAnsi="Arial" w:cs="Arial"/>
          <w:sz w:val="24"/>
          <w:szCs w:val="24"/>
          <w:lang w:val="en-US"/>
        </w:rPr>
        <w:t xml:space="preserve"> </w:t>
      </w:r>
      <w:r w:rsidR="00834E34" w:rsidRPr="00277E7A">
        <w:rPr>
          <w:rFonts w:ascii="Arial" w:hAnsi="Arial" w:cs="Arial"/>
          <w:sz w:val="24"/>
          <w:szCs w:val="24"/>
          <w:lang w:val="en-US"/>
        </w:rPr>
        <w:t>a</w:t>
      </w:r>
      <w:r w:rsidR="00AE5D00" w:rsidRPr="00277E7A">
        <w:rPr>
          <w:rFonts w:ascii="Arial" w:hAnsi="Arial" w:cs="Arial"/>
          <w:sz w:val="24"/>
          <w:szCs w:val="24"/>
          <w:lang w:val="en-US"/>
        </w:rPr>
        <w:t xml:space="preserve">nd that the applicant was in breach of the agreement. It </w:t>
      </w:r>
      <w:r w:rsidR="00AA4014" w:rsidRPr="00277E7A">
        <w:rPr>
          <w:rFonts w:ascii="Arial" w:hAnsi="Arial" w:cs="Arial"/>
          <w:sz w:val="24"/>
          <w:szCs w:val="24"/>
          <w:lang w:val="en-US"/>
        </w:rPr>
        <w:t>explained</w:t>
      </w:r>
      <w:r w:rsidR="00AE5D00" w:rsidRPr="00277E7A">
        <w:rPr>
          <w:rFonts w:ascii="Arial" w:hAnsi="Arial" w:cs="Arial"/>
          <w:sz w:val="24"/>
          <w:szCs w:val="24"/>
          <w:lang w:val="en-US"/>
        </w:rPr>
        <w:t xml:space="preserve"> the default</w:t>
      </w:r>
      <w:r w:rsidR="00535B15" w:rsidRPr="00277E7A">
        <w:rPr>
          <w:rFonts w:ascii="Arial" w:hAnsi="Arial" w:cs="Arial"/>
          <w:sz w:val="24"/>
          <w:szCs w:val="24"/>
          <w:lang w:val="en-US"/>
        </w:rPr>
        <w:t xml:space="preserve">, </w:t>
      </w:r>
      <w:r w:rsidR="00BD3F3D" w:rsidRPr="00277E7A">
        <w:rPr>
          <w:rFonts w:ascii="Arial" w:hAnsi="Arial" w:cs="Arial"/>
          <w:sz w:val="24"/>
          <w:szCs w:val="24"/>
          <w:lang w:val="en-US"/>
        </w:rPr>
        <w:t>which did not raise any defence, but</w:t>
      </w:r>
      <w:r w:rsidR="00535B15" w:rsidRPr="00277E7A">
        <w:rPr>
          <w:rFonts w:ascii="Arial" w:hAnsi="Arial" w:cs="Arial"/>
          <w:sz w:val="24"/>
          <w:szCs w:val="24"/>
          <w:lang w:val="en-US"/>
        </w:rPr>
        <w:t xml:space="preserve"> confirmed that the respondent was justified in cancelling the agreement</w:t>
      </w:r>
      <w:r w:rsidR="00850D0F" w:rsidRPr="00277E7A">
        <w:rPr>
          <w:rFonts w:ascii="Arial" w:hAnsi="Arial" w:cs="Arial"/>
          <w:sz w:val="24"/>
          <w:szCs w:val="24"/>
          <w:lang w:val="en-US"/>
        </w:rPr>
        <w:t xml:space="preserve"> and issuing </w:t>
      </w:r>
      <w:r w:rsidR="00AA4014" w:rsidRPr="00277E7A">
        <w:rPr>
          <w:rFonts w:ascii="Arial" w:hAnsi="Arial" w:cs="Arial"/>
          <w:sz w:val="24"/>
          <w:szCs w:val="24"/>
          <w:lang w:val="en-US"/>
        </w:rPr>
        <w:t>the</w:t>
      </w:r>
      <w:r w:rsidR="00850D0F" w:rsidRPr="00277E7A">
        <w:rPr>
          <w:rFonts w:ascii="Arial" w:hAnsi="Arial" w:cs="Arial"/>
          <w:sz w:val="24"/>
          <w:szCs w:val="24"/>
          <w:lang w:val="en-US"/>
        </w:rPr>
        <w:t xml:space="preserve"> application for the return of the motor vehicle.</w:t>
      </w:r>
      <w:r w:rsidR="005A736A" w:rsidRPr="00277E7A">
        <w:rPr>
          <w:rFonts w:ascii="Arial" w:hAnsi="Arial" w:cs="Arial"/>
          <w:sz w:val="24"/>
          <w:szCs w:val="24"/>
          <w:lang w:val="en-US"/>
        </w:rPr>
        <w:t xml:space="preserve"> </w:t>
      </w:r>
    </w:p>
    <w:p w14:paraId="21E35646" w14:textId="77777777" w:rsidR="00862100" w:rsidRDefault="00862100" w:rsidP="004B1151">
      <w:pPr>
        <w:spacing w:before="480" w:after="480" w:line="480" w:lineRule="auto"/>
        <w:jc w:val="both"/>
        <w:rPr>
          <w:rFonts w:ascii="Arial" w:hAnsi="Arial" w:cs="Arial"/>
          <w:b/>
          <w:bCs/>
          <w:sz w:val="24"/>
          <w:szCs w:val="24"/>
          <w:u w:val="single"/>
          <w:lang w:val="en-US"/>
        </w:rPr>
      </w:pPr>
    </w:p>
    <w:p w14:paraId="3191A264" w14:textId="640B55B1" w:rsidR="004B1151" w:rsidRPr="004B1151" w:rsidRDefault="004B1151" w:rsidP="004B1151">
      <w:pPr>
        <w:spacing w:before="480" w:after="480" w:line="480" w:lineRule="auto"/>
        <w:jc w:val="both"/>
        <w:rPr>
          <w:rFonts w:ascii="Arial" w:hAnsi="Arial" w:cs="Arial"/>
          <w:b/>
          <w:bCs/>
          <w:sz w:val="24"/>
          <w:szCs w:val="24"/>
          <w:u w:val="single"/>
          <w:lang w:val="en-US"/>
        </w:rPr>
      </w:pPr>
      <w:r>
        <w:rPr>
          <w:rFonts w:ascii="Arial" w:hAnsi="Arial" w:cs="Arial"/>
          <w:b/>
          <w:bCs/>
          <w:sz w:val="24"/>
          <w:szCs w:val="24"/>
          <w:u w:val="single"/>
          <w:lang w:val="en-US"/>
        </w:rPr>
        <w:lastRenderedPageBreak/>
        <w:t>BASIS OF THE APPLICATION</w:t>
      </w:r>
    </w:p>
    <w:p w14:paraId="6ABF71FE" w14:textId="7619A584" w:rsidR="00AA4014" w:rsidRPr="00277E7A" w:rsidRDefault="00277E7A" w:rsidP="00277E7A">
      <w:pPr>
        <w:spacing w:before="480" w:after="480" w:line="480" w:lineRule="auto"/>
        <w:ind w:left="567" w:hanging="567"/>
        <w:jc w:val="both"/>
        <w:rPr>
          <w:rFonts w:ascii="Arial" w:hAnsi="Arial" w:cs="Arial"/>
          <w:sz w:val="24"/>
          <w:szCs w:val="24"/>
          <w:lang w:val="en-US"/>
        </w:rPr>
      </w:pPr>
      <w:r w:rsidRPr="000E2853">
        <w:rPr>
          <w:rFonts w:ascii="Arial" w:hAnsi="Arial" w:cs="Arial"/>
          <w:sz w:val="24"/>
          <w:szCs w:val="24"/>
          <w:lang w:val="en-US"/>
        </w:rPr>
        <w:t>[7]</w:t>
      </w:r>
      <w:r w:rsidRPr="000E2853">
        <w:rPr>
          <w:rFonts w:ascii="Arial" w:hAnsi="Arial" w:cs="Arial"/>
          <w:sz w:val="24"/>
          <w:szCs w:val="24"/>
          <w:lang w:val="en-US"/>
        </w:rPr>
        <w:tab/>
      </w:r>
      <w:r w:rsidR="00396D73" w:rsidRPr="00277E7A">
        <w:rPr>
          <w:rFonts w:ascii="Arial" w:hAnsi="Arial" w:cs="Arial"/>
          <w:sz w:val="24"/>
          <w:szCs w:val="24"/>
          <w:lang w:val="en-US"/>
        </w:rPr>
        <w:t>T</w:t>
      </w:r>
      <w:r w:rsidR="003159F2" w:rsidRPr="00277E7A">
        <w:rPr>
          <w:rFonts w:ascii="Arial" w:hAnsi="Arial" w:cs="Arial"/>
          <w:sz w:val="24"/>
          <w:szCs w:val="24"/>
          <w:lang w:val="en-US"/>
        </w:rPr>
        <w:t xml:space="preserve">he applicant’s complaint against the order </w:t>
      </w:r>
      <w:r w:rsidR="00441903" w:rsidRPr="00277E7A">
        <w:rPr>
          <w:rFonts w:ascii="Arial" w:hAnsi="Arial" w:cs="Arial"/>
          <w:sz w:val="24"/>
          <w:szCs w:val="24"/>
          <w:lang w:val="en-US"/>
        </w:rPr>
        <w:t>is in essence that the order was erroneously sought and granted in its absence</w:t>
      </w:r>
      <w:r w:rsidR="00FA76B9" w:rsidRPr="00277E7A">
        <w:rPr>
          <w:rFonts w:ascii="Arial" w:hAnsi="Arial" w:cs="Arial"/>
          <w:sz w:val="24"/>
          <w:szCs w:val="24"/>
          <w:lang w:val="en-US"/>
        </w:rPr>
        <w:t>, and ought to be rescinded in terms of Rule 42(1)(a)</w:t>
      </w:r>
      <w:r w:rsidR="00663AFF" w:rsidRPr="00277E7A">
        <w:rPr>
          <w:rFonts w:ascii="Arial" w:hAnsi="Arial" w:cs="Arial"/>
          <w:sz w:val="24"/>
          <w:szCs w:val="24"/>
          <w:lang w:val="en-US"/>
        </w:rPr>
        <w:t xml:space="preserve"> of the Uniform Rules of Court.</w:t>
      </w:r>
    </w:p>
    <w:p w14:paraId="05FB93B8" w14:textId="2DE25DC4" w:rsidR="00F733B0"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[8]</w:t>
      </w:r>
      <w:r>
        <w:rPr>
          <w:rFonts w:ascii="Arial" w:hAnsi="Arial" w:cs="Arial"/>
          <w:sz w:val="24"/>
          <w:szCs w:val="24"/>
          <w:lang w:val="en-US"/>
        </w:rPr>
        <w:tab/>
      </w:r>
      <w:r w:rsidR="00B768B7" w:rsidRPr="00277E7A">
        <w:rPr>
          <w:rFonts w:ascii="Arial" w:hAnsi="Arial" w:cs="Arial"/>
          <w:sz w:val="24"/>
          <w:szCs w:val="24"/>
          <w:lang w:val="en-US"/>
        </w:rPr>
        <w:t>The grounds</w:t>
      </w:r>
      <w:r w:rsidR="00A17A67" w:rsidRPr="00277E7A">
        <w:rPr>
          <w:rFonts w:ascii="Arial" w:hAnsi="Arial" w:cs="Arial"/>
          <w:sz w:val="24"/>
          <w:szCs w:val="24"/>
          <w:lang w:val="en-US"/>
        </w:rPr>
        <w:t xml:space="preserve"> relied upon by the applicant for the contention that the order was erroneously sought</w:t>
      </w:r>
      <w:r w:rsidR="005565F1" w:rsidRPr="00277E7A">
        <w:rPr>
          <w:rFonts w:ascii="Arial" w:hAnsi="Arial" w:cs="Arial"/>
          <w:sz w:val="24"/>
          <w:szCs w:val="24"/>
          <w:lang w:val="en-US"/>
        </w:rPr>
        <w:t xml:space="preserve"> and granted, were the following:</w:t>
      </w:r>
    </w:p>
    <w:p w14:paraId="5CB900EE" w14:textId="505BC8B3" w:rsidR="00C74845" w:rsidRPr="00277E7A" w:rsidRDefault="00277E7A" w:rsidP="00277E7A">
      <w:pPr>
        <w:spacing w:before="480" w:after="480" w:line="480" w:lineRule="auto"/>
        <w:ind w:left="1701" w:hanging="1134"/>
        <w:jc w:val="both"/>
        <w:rPr>
          <w:rFonts w:ascii="Arial" w:hAnsi="Arial" w:cs="Arial"/>
          <w:sz w:val="24"/>
          <w:szCs w:val="24"/>
          <w:lang w:val="en-US"/>
        </w:rPr>
      </w:pPr>
      <w:r>
        <w:rPr>
          <w:rFonts w:ascii="Arial" w:hAnsi="Arial" w:cs="Arial"/>
          <w:sz w:val="24"/>
          <w:szCs w:val="24"/>
          <w:lang w:val="en-US"/>
        </w:rPr>
        <w:t>[8.1]</w:t>
      </w:r>
      <w:r>
        <w:rPr>
          <w:rFonts w:ascii="Arial" w:hAnsi="Arial" w:cs="Arial"/>
          <w:sz w:val="24"/>
          <w:szCs w:val="24"/>
          <w:lang w:val="en-US"/>
        </w:rPr>
        <w:tab/>
      </w:r>
      <w:r w:rsidR="005565F1" w:rsidRPr="00277E7A">
        <w:rPr>
          <w:rFonts w:ascii="Arial" w:hAnsi="Arial" w:cs="Arial"/>
          <w:sz w:val="24"/>
          <w:szCs w:val="24"/>
          <w:lang w:val="en-US"/>
        </w:rPr>
        <w:t xml:space="preserve">It was alleged that because the </w:t>
      </w:r>
      <w:r w:rsidR="00CF529D" w:rsidRPr="00277E7A">
        <w:rPr>
          <w:rFonts w:ascii="Arial" w:hAnsi="Arial" w:cs="Arial"/>
          <w:sz w:val="24"/>
          <w:szCs w:val="24"/>
          <w:lang w:val="en-US"/>
        </w:rPr>
        <w:t>applicant was allegedly no longer present at the address where service was effected</w:t>
      </w:r>
      <w:r w:rsidR="00B63CC2" w:rsidRPr="00277E7A">
        <w:rPr>
          <w:rFonts w:ascii="Arial" w:hAnsi="Arial" w:cs="Arial"/>
          <w:sz w:val="24"/>
          <w:szCs w:val="24"/>
          <w:lang w:val="en-US"/>
        </w:rPr>
        <w:t xml:space="preserve"> (its principal place of busine</w:t>
      </w:r>
      <w:r w:rsidR="00A60502" w:rsidRPr="00277E7A">
        <w:rPr>
          <w:rFonts w:ascii="Arial" w:hAnsi="Arial" w:cs="Arial"/>
          <w:sz w:val="24"/>
          <w:szCs w:val="24"/>
          <w:lang w:val="en-US"/>
        </w:rPr>
        <w:t xml:space="preserve">ss </w:t>
      </w:r>
      <w:r w:rsidR="009C19EE" w:rsidRPr="00277E7A">
        <w:rPr>
          <w:rFonts w:ascii="Arial" w:hAnsi="Arial" w:cs="Arial"/>
          <w:sz w:val="24"/>
          <w:szCs w:val="24"/>
          <w:lang w:val="en-US"/>
        </w:rPr>
        <w:t xml:space="preserve">allegedly </w:t>
      </w:r>
      <w:r w:rsidR="00A60502" w:rsidRPr="00277E7A">
        <w:rPr>
          <w:rFonts w:ascii="Arial" w:hAnsi="Arial" w:cs="Arial"/>
          <w:sz w:val="24"/>
          <w:szCs w:val="24"/>
          <w:lang w:val="en-US"/>
        </w:rPr>
        <w:t>having moved to Polokwane), that service at the registered address was invalid;</w:t>
      </w:r>
    </w:p>
    <w:p w14:paraId="60B24736" w14:textId="2C4B653E" w:rsidR="00F41173" w:rsidRPr="00277E7A" w:rsidRDefault="00277E7A" w:rsidP="00277E7A">
      <w:pPr>
        <w:spacing w:before="480" w:after="480" w:line="480" w:lineRule="auto"/>
        <w:ind w:left="1701" w:hanging="1134"/>
        <w:jc w:val="both"/>
        <w:rPr>
          <w:rFonts w:ascii="Arial" w:hAnsi="Arial" w:cs="Arial"/>
          <w:sz w:val="24"/>
          <w:szCs w:val="24"/>
          <w:lang w:val="en-US"/>
        </w:rPr>
      </w:pPr>
      <w:r>
        <w:rPr>
          <w:rFonts w:ascii="Arial" w:hAnsi="Arial" w:cs="Arial"/>
          <w:sz w:val="24"/>
          <w:szCs w:val="24"/>
          <w:lang w:val="en-US"/>
        </w:rPr>
        <w:t>[8.2]</w:t>
      </w:r>
      <w:r>
        <w:rPr>
          <w:rFonts w:ascii="Arial" w:hAnsi="Arial" w:cs="Arial"/>
          <w:sz w:val="24"/>
          <w:szCs w:val="24"/>
          <w:lang w:val="en-US"/>
        </w:rPr>
        <w:tab/>
      </w:r>
      <w:r w:rsidR="00C74845" w:rsidRPr="00277E7A">
        <w:rPr>
          <w:rFonts w:ascii="Arial" w:hAnsi="Arial" w:cs="Arial"/>
          <w:sz w:val="24"/>
          <w:szCs w:val="24"/>
          <w:lang w:val="en-US"/>
        </w:rPr>
        <w:t xml:space="preserve">It was contended that because the applicant chose an address as a </w:t>
      </w:r>
      <w:r w:rsidR="00C74845" w:rsidRPr="00277E7A">
        <w:rPr>
          <w:rFonts w:ascii="Arial" w:hAnsi="Arial" w:cs="Arial"/>
          <w:i/>
          <w:iCs/>
          <w:sz w:val="24"/>
          <w:szCs w:val="24"/>
          <w:lang w:val="en-US"/>
        </w:rPr>
        <w:t>domicilium citandi</w:t>
      </w:r>
      <w:r w:rsidR="004D0CA2" w:rsidRPr="00277E7A">
        <w:rPr>
          <w:rFonts w:ascii="Arial" w:hAnsi="Arial" w:cs="Arial"/>
          <w:sz w:val="24"/>
          <w:szCs w:val="24"/>
          <w:lang w:val="en-US"/>
        </w:rPr>
        <w:t xml:space="preserve"> (being an address in Polokwane), the respondent was not entitled to serve the application at the </w:t>
      </w:r>
      <w:r w:rsidR="00D86B4B" w:rsidRPr="00277E7A">
        <w:rPr>
          <w:rFonts w:ascii="Arial" w:hAnsi="Arial" w:cs="Arial"/>
          <w:sz w:val="24"/>
          <w:szCs w:val="24"/>
          <w:lang w:val="en-US"/>
        </w:rPr>
        <w:t xml:space="preserve">applicant’s </w:t>
      </w:r>
      <w:r w:rsidR="004D0CA2" w:rsidRPr="00277E7A">
        <w:rPr>
          <w:rFonts w:ascii="Arial" w:hAnsi="Arial" w:cs="Arial"/>
          <w:sz w:val="24"/>
          <w:szCs w:val="24"/>
          <w:lang w:val="en-US"/>
        </w:rPr>
        <w:t>registered address in Johannesburg</w:t>
      </w:r>
      <w:r w:rsidR="00D86B4B" w:rsidRPr="00277E7A">
        <w:rPr>
          <w:rFonts w:ascii="Arial" w:hAnsi="Arial" w:cs="Arial"/>
          <w:sz w:val="24"/>
          <w:szCs w:val="24"/>
          <w:lang w:val="en-US"/>
        </w:rPr>
        <w:t>;</w:t>
      </w:r>
      <w:r w:rsidR="001B3BEA" w:rsidRPr="00277E7A">
        <w:rPr>
          <w:rFonts w:ascii="Arial" w:hAnsi="Arial" w:cs="Arial"/>
          <w:sz w:val="24"/>
          <w:szCs w:val="24"/>
          <w:lang w:val="en-US"/>
        </w:rPr>
        <w:t xml:space="preserve"> and</w:t>
      </w:r>
    </w:p>
    <w:p w14:paraId="3D450CB5" w14:textId="6C92580F" w:rsidR="005565F1" w:rsidRPr="00277E7A" w:rsidRDefault="00277E7A" w:rsidP="00277E7A">
      <w:pPr>
        <w:spacing w:before="480" w:after="480" w:line="480" w:lineRule="auto"/>
        <w:ind w:left="1701" w:hanging="1134"/>
        <w:jc w:val="both"/>
        <w:rPr>
          <w:rFonts w:ascii="Arial" w:hAnsi="Arial" w:cs="Arial"/>
          <w:sz w:val="24"/>
          <w:szCs w:val="24"/>
          <w:lang w:val="en-US"/>
        </w:rPr>
      </w:pPr>
      <w:r>
        <w:rPr>
          <w:rFonts w:ascii="Arial" w:hAnsi="Arial" w:cs="Arial"/>
          <w:sz w:val="24"/>
          <w:szCs w:val="24"/>
          <w:lang w:val="en-US"/>
        </w:rPr>
        <w:t>[8.3]</w:t>
      </w:r>
      <w:r>
        <w:rPr>
          <w:rFonts w:ascii="Arial" w:hAnsi="Arial" w:cs="Arial"/>
          <w:sz w:val="24"/>
          <w:szCs w:val="24"/>
          <w:lang w:val="en-US"/>
        </w:rPr>
        <w:tab/>
      </w:r>
      <w:r w:rsidR="001B3BEA" w:rsidRPr="00277E7A">
        <w:rPr>
          <w:rFonts w:ascii="Arial" w:hAnsi="Arial" w:cs="Arial"/>
          <w:sz w:val="24"/>
          <w:szCs w:val="24"/>
          <w:lang w:val="en-US"/>
        </w:rPr>
        <w:t xml:space="preserve">It was contended that as </w:t>
      </w:r>
      <w:r w:rsidR="00A21EB3" w:rsidRPr="00277E7A">
        <w:rPr>
          <w:rFonts w:ascii="Arial" w:hAnsi="Arial" w:cs="Arial"/>
          <w:sz w:val="24"/>
          <w:szCs w:val="24"/>
          <w:lang w:val="en-US"/>
        </w:rPr>
        <w:t xml:space="preserve">the applicant’s principal place of business was </w:t>
      </w:r>
      <w:r w:rsidR="00CA1DB1" w:rsidRPr="00277E7A">
        <w:rPr>
          <w:rFonts w:ascii="Arial" w:hAnsi="Arial" w:cs="Arial"/>
          <w:sz w:val="24"/>
          <w:szCs w:val="24"/>
          <w:lang w:val="en-US"/>
        </w:rPr>
        <w:t xml:space="preserve">allegedly </w:t>
      </w:r>
      <w:r w:rsidR="00A21EB3" w:rsidRPr="00277E7A">
        <w:rPr>
          <w:rFonts w:ascii="Arial" w:hAnsi="Arial" w:cs="Arial"/>
          <w:sz w:val="24"/>
          <w:szCs w:val="24"/>
          <w:lang w:val="en-US"/>
        </w:rPr>
        <w:t>situated in Polo</w:t>
      </w:r>
      <w:r w:rsidR="00F36FDA" w:rsidRPr="00277E7A">
        <w:rPr>
          <w:rFonts w:ascii="Arial" w:hAnsi="Arial" w:cs="Arial"/>
          <w:sz w:val="24"/>
          <w:szCs w:val="24"/>
          <w:lang w:val="en-US"/>
        </w:rPr>
        <w:t xml:space="preserve">kwane, this court did not have jurisdiction </w:t>
      </w:r>
      <w:r w:rsidR="00B45654" w:rsidRPr="00277E7A">
        <w:rPr>
          <w:rFonts w:ascii="Arial" w:hAnsi="Arial" w:cs="Arial"/>
          <w:sz w:val="24"/>
          <w:szCs w:val="24"/>
          <w:lang w:val="en-US"/>
        </w:rPr>
        <w:t>over the person of the applicant a</w:t>
      </w:r>
      <w:r w:rsidR="000C49CD" w:rsidRPr="00277E7A">
        <w:rPr>
          <w:rFonts w:ascii="Arial" w:hAnsi="Arial" w:cs="Arial"/>
          <w:sz w:val="24"/>
          <w:szCs w:val="24"/>
          <w:lang w:val="en-US"/>
        </w:rPr>
        <w:t>s</w:t>
      </w:r>
      <w:r w:rsidR="00D14358" w:rsidRPr="00277E7A">
        <w:rPr>
          <w:rFonts w:ascii="Arial" w:hAnsi="Arial" w:cs="Arial"/>
          <w:sz w:val="24"/>
          <w:szCs w:val="24"/>
          <w:lang w:val="en-US"/>
        </w:rPr>
        <w:t xml:space="preserve"> the </w:t>
      </w:r>
      <w:r w:rsidR="009A1214" w:rsidRPr="00277E7A">
        <w:rPr>
          <w:rFonts w:ascii="Arial" w:hAnsi="Arial" w:cs="Arial"/>
          <w:sz w:val="24"/>
          <w:szCs w:val="24"/>
          <w:lang w:val="en-US"/>
        </w:rPr>
        <w:t xml:space="preserve">respondent’s </w:t>
      </w:r>
      <w:r w:rsidR="00D14358" w:rsidRPr="00277E7A">
        <w:rPr>
          <w:rFonts w:ascii="Arial" w:hAnsi="Arial" w:cs="Arial"/>
          <w:sz w:val="24"/>
          <w:szCs w:val="24"/>
          <w:lang w:val="en-US"/>
        </w:rPr>
        <w:t>cause of action arose in Polokwane</w:t>
      </w:r>
      <w:r w:rsidR="009A1214" w:rsidRPr="00277E7A">
        <w:rPr>
          <w:rFonts w:ascii="Arial" w:hAnsi="Arial" w:cs="Arial"/>
          <w:sz w:val="24"/>
          <w:szCs w:val="24"/>
          <w:lang w:val="en-US"/>
        </w:rPr>
        <w:t>.</w:t>
      </w:r>
      <w:r w:rsidR="00065890" w:rsidRPr="00277E7A">
        <w:rPr>
          <w:rFonts w:ascii="Arial" w:hAnsi="Arial" w:cs="Arial"/>
          <w:sz w:val="24"/>
          <w:szCs w:val="24"/>
          <w:lang w:val="en-US"/>
        </w:rPr>
        <w:t xml:space="preserve"> In this regard it was contended that the location of the applicant’s registered offi</w:t>
      </w:r>
      <w:r w:rsidR="00E24849" w:rsidRPr="00277E7A">
        <w:rPr>
          <w:rFonts w:ascii="Arial" w:hAnsi="Arial" w:cs="Arial"/>
          <w:sz w:val="24"/>
          <w:szCs w:val="24"/>
          <w:lang w:val="en-US"/>
        </w:rPr>
        <w:t>ce in Johannesburg did not confer jurisdiction on this court.</w:t>
      </w:r>
    </w:p>
    <w:p w14:paraId="1769E85D" w14:textId="2B1F1B3A" w:rsidR="00CC3856" w:rsidRPr="0005127B" w:rsidRDefault="0005127B" w:rsidP="0005127B">
      <w:pPr>
        <w:spacing w:before="480" w:after="480" w:line="480" w:lineRule="auto"/>
        <w:jc w:val="both"/>
        <w:rPr>
          <w:rFonts w:ascii="Arial" w:hAnsi="Arial" w:cs="Arial"/>
          <w:b/>
          <w:bCs/>
          <w:sz w:val="24"/>
          <w:szCs w:val="24"/>
          <w:u w:val="single"/>
          <w:lang w:val="en-US"/>
        </w:rPr>
      </w:pPr>
      <w:r>
        <w:rPr>
          <w:rFonts w:ascii="Arial" w:hAnsi="Arial" w:cs="Arial"/>
          <w:b/>
          <w:bCs/>
          <w:sz w:val="24"/>
          <w:szCs w:val="24"/>
          <w:u w:val="single"/>
          <w:lang w:val="en-US"/>
        </w:rPr>
        <w:lastRenderedPageBreak/>
        <w:t xml:space="preserve">THE </w:t>
      </w:r>
      <w:r w:rsidR="00C20B64">
        <w:rPr>
          <w:rFonts w:ascii="Arial" w:hAnsi="Arial" w:cs="Arial"/>
          <w:b/>
          <w:bCs/>
          <w:sz w:val="24"/>
          <w:szCs w:val="24"/>
          <w:u w:val="single"/>
          <w:lang w:val="en-US"/>
        </w:rPr>
        <w:t>VALIDITY OF SERVICE ON THE REGISTERED ADDRESS</w:t>
      </w:r>
    </w:p>
    <w:p w14:paraId="3D09D0B9" w14:textId="6D45ED06" w:rsidR="009C0B11"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[9]</w:t>
      </w:r>
      <w:r>
        <w:rPr>
          <w:rFonts w:ascii="Arial" w:hAnsi="Arial" w:cs="Arial"/>
          <w:sz w:val="24"/>
          <w:szCs w:val="24"/>
          <w:lang w:val="en-US"/>
        </w:rPr>
        <w:tab/>
      </w:r>
      <w:r w:rsidR="00601AA3" w:rsidRPr="00277E7A">
        <w:rPr>
          <w:rFonts w:ascii="Arial" w:hAnsi="Arial" w:cs="Arial"/>
          <w:sz w:val="24"/>
          <w:szCs w:val="24"/>
          <w:lang w:val="en-US"/>
        </w:rPr>
        <w:t>Section 25</w:t>
      </w:r>
      <w:r w:rsidR="00014FFB" w:rsidRPr="00277E7A">
        <w:rPr>
          <w:rFonts w:ascii="Arial" w:hAnsi="Arial" w:cs="Arial"/>
          <w:sz w:val="24"/>
          <w:szCs w:val="24"/>
          <w:lang w:val="en-US"/>
        </w:rPr>
        <w:t>(1)</w:t>
      </w:r>
      <w:r w:rsidR="00601AA3" w:rsidRPr="00277E7A">
        <w:rPr>
          <w:rFonts w:ascii="Arial" w:hAnsi="Arial" w:cs="Arial"/>
          <w:sz w:val="24"/>
          <w:szCs w:val="24"/>
          <w:lang w:val="en-US"/>
        </w:rPr>
        <w:t xml:space="preserve"> of the Close Corporations Act</w:t>
      </w:r>
      <w:r w:rsidR="009C0B11" w:rsidRPr="00277E7A">
        <w:rPr>
          <w:rFonts w:ascii="Arial" w:hAnsi="Arial" w:cs="Arial"/>
          <w:sz w:val="24"/>
          <w:szCs w:val="24"/>
          <w:lang w:val="en-US"/>
        </w:rPr>
        <w:t>, Act 69 of 1984</w:t>
      </w:r>
      <w:r w:rsidR="00362205" w:rsidRPr="00277E7A">
        <w:rPr>
          <w:rFonts w:ascii="Arial" w:hAnsi="Arial" w:cs="Arial"/>
          <w:sz w:val="24"/>
          <w:szCs w:val="24"/>
          <w:lang w:val="en-US"/>
        </w:rPr>
        <w:t xml:space="preserve"> (“the CCA”) </w:t>
      </w:r>
      <w:r w:rsidR="00601AA3" w:rsidRPr="00277E7A">
        <w:rPr>
          <w:rFonts w:ascii="Arial" w:hAnsi="Arial" w:cs="Arial"/>
          <w:sz w:val="24"/>
          <w:szCs w:val="24"/>
          <w:lang w:val="en-US"/>
        </w:rPr>
        <w:t xml:space="preserve">requires a close corporation </w:t>
      </w:r>
      <w:r w:rsidR="000B776A" w:rsidRPr="00277E7A">
        <w:rPr>
          <w:rFonts w:ascii="Arial" w:hAnsi="Arial" w:cs="Arial"/>
          <w:sz w:val="24"/>
          <w:szCs w:val="24"/>
          <w:lang w:val="en-US"/>
        </w:rPr>
        <w:t>to have in the Republic a postal address and an office</w:t>
      </w:r>
      <w:r w:rsidR="009C0B11" w:rsidRPr="00277E7A">
        <w:rPr>
          <w:rFonts w:ascii="Arial" w:hAnsi="Arial" w:cs="Arial"/>
          <w:sz w:val="24"/>
          <w:szCs w:val="24"/>
          <w:lang w:val="en-US"/>
        </w:rPr>
        <w:t xml:space="preserve"> to which all communications and notices may be addressed, subject to the provisions of subsection (2).</w:t>
      </w:r>
    </w:p>
    <w:p w14:paraId="71858F82" w14:textId="04CEABB5" w:rsidR="00A47050"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[10]</w:t>
      </w:r>
      <w:r>
        <w:rPr>
          <w:rFonts w:ascii="Arial" w:hAnsi="Arial" w:cs="Arial"/>
          <w:sz w:val="24"/>
          <w:szCs w:val="24"/>
          <w:lang w:val="en-US"/>
        </w:rPr>
        <w:tab/>
      </w:r>
      <w:r w:rsidR="009C0B11" w:rsidRPr="00277E7A">
        <w:rPr>
          <w:rFonts w:ascii="Arial" w:hAnsi="Arial" w:cs="Arial"/>
          <w:sz w:val="24"/>
          <w:szCs w:val="24"/>
          <w:lang w:val="en-US"/>
        </w:rPr>
        <w:t>Section 25(2) provides as follows:</w:t>
      </w:r>
    </w:p>
    <w:p w14:paraId="2FEE4071" w14:textId="0E06A6F6" w:rsidR="001638C9" w:rsidRPr="006372C5" w:rsidRDefault="00B06899" w:rsidP="006372C5">
      <w:pPr>
        <w:pStyle w:val="DoubleIndent"/>
        <w:spacing w:before="240" w:after="240" w:line="240" w:lineRule="auto"/>
        <w:ind w:left="1701" w:right="1701"/>
        <w:rPr>
          <w:i/>
          <w:iCs/>
          <w:lang w:val="en-US"/>
        </w:rPr>
      </w:pPr>
      <w:r w:rsidRPr="006372C5">
        <w:rPr>
          <w:i/>
          <w:iCs/>
          <w:lang w:val="en-US"/>
        </w:rPr>
        <w:t>“</w:t>
      </w:r>
      <w:r w:rsidR="001638C9" w:rsidRPr="006372C5">
        <w:rPr>
          <w:i/>
          <w:iCs/>
          <w:lang w:val="en-US"/>
        </w:rPr>
        <w:t>(2) Any-</w:t>
      </w:r>
    </w:p>
    <w:p w14:paraId="24F8F4A8" w14:textId="77777777" w:rsidR="00B06899" w:rsidRPr="006372C5" w:rsidRDefault="001638C9" w:rsidP="008E6E4F">
      <w:pPr>
        <w:pStyle w:val="DoubleIndent"/>
        <w:spacing w:line="240" w:lineRule="auto"/>
        <w:ind w:left="1701" w:right="1701"/>
        <w:rPr>
          <w:i/>
          <w:iCs/>
          <w:lang w:val="en-US"/>
        </w:rPr>
      </w:pPr>
      <w:r w:rsidRPr="006372C5">
        <w:rPr>
          <w:i/>
          <w:iCs/>
          <w:lang w:val="en-US"/>
        </w:rPr>
        <w:t>(a)   notice, order, communication or other document which is in terms of this Act required or permitted to be served upon any corporation or member thereof, shall be deemed to have been served if it has been delivered at the registered office, or has been sent by registered post to the registered office or postal address, of the corporation; and</w:t>
      </w:r>
    </w:p>
    <w:p w14:paraId="3CFF8A3B" w14:textId="1E1A847E" w:rsidR="001638C9" w:rsidRDefault="001638C9" w:rsidP="008E6E4F">
      <w:pPr>
        <w:pStyle w:val="DoubleIndent"/>
        <w:spacing w:line="240" w:lineRule="auto"/>
        <w:ind w:left="1701" w:right="1701"/>
        <w:rPr>
          <w:lang w:val="en-US"/>
        </w:rPr>
      </w:pPr>
      <w:r w:rsidRPr="006372C5">
        <w:rPr>
          <w:i/>
          <w:iCs/>
          <w:lang w:val="en-US"/>
        </w:rPr>
        <w:t>(b)   process which is required to be served upon any corporation or member thereof shall, subject to applicable provisions in respect of such service in any law, be served by so delivering or sending it.</w:t>
      </w:r>
      <w:r w:rsidR="0020285F">
        <w:rPr>
          <w:lang w:val="en-US"/>
        </w:rPr>
        <w:t>”</w:t>
      </w:r>
    </w:p>
    <w:p w14:paraId="709076B7" w14:textId="77777777" w:rsidR="003018E6" w:rsidRPr="0020285F" w:rsidRDefault="003018E6" w:rsidP="008E6E4F">
      <w:pPr>
        <w:pStyle w:val="DoubleIndent"/>
        <w:spacing w:line="240" w:lineRule="auto"/>
        <w:ind w:left="1701" w:right="1701"/>
        <w:rPr>
          <w:lang w:val="en-US"/>
        </w:rPr>
      </w:pPr>
    </w:p>
    <w:p w14:paraId="6DAE8D38" w14:textId="13B81442" w:rsidR="00D17731"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[11]</w:t>
      </w:r>
      <w:r>
        <w:rPr>
          <w:rFonts w:ascii="Arial" w:hAnsi="Arial" w:cs="Arial"/>
          <w:sz w:val="24"/>
          <w:szCs w:val="24"/>
          <w:lang w:val="en-US"/>
        </w:rPr>
        <w:tab/>
      </w:r>
      <w:r w:rsidR="00A658F3" w:rsidRPr="00277E7A">
        <w:rPr>
          <w:rFonts w:ascii="Arial" w:hAnsi="Arial" w:cs="Arial"/>
          <w:sz w:val="24"/>
          <w:szCs w:val="24"/>
          <w:lang w:val="en-US"/>
        </w:rPr>
        <w:t xml:space="preserve">It is, therefore, clear </w:t>
      </w:r>
      <w:r w:rsidR="00AE5E0C" w:rsidRPr="00277E7A">
        <w:rPr>
          <w:rFonts w:ascii="Arial" w:hAnsi="Arial" w:cs="Arial"/>
          <w:sz w:val="24"/>
          <w:szCs w:val="24"/>
          <w:lang w:val="en-US"/>
        </w:rPr>
        <w:t xml:space="preserve">that </w:t>
      </w:r>
      <w:r w:rsidR="00A658F3" w:rsidRPr="00277E7A">
        <w:rPr>
          <w:rFonts w:ascii="Arial" w:hAnsi="Arial" w:cs="Arial"/>
          <w:sz w:val="24"/>
          <w:szCs w:val="24"/>
          <w:lang w:val="en-US"/>
        </w:rPr>
        <w:t>service by delivery to a close corporation’s registered office</w:t>
      </w:r>
      <w:r w:rsidR="006C2795" w:rsidRPr="00277E7A">
        <w:rPr>
          <w:rFonts w:ascii="Arial" w:hAnsi="Arial" w:cs="Arial"/>
          <w:sz w:val="24"/>
          <w:szCs w:val="24"/>
          <w:lang w:val="en-US"/>
        </w:rPr>
        <w:t xml:space="preserve"> in principle </w:t>
      </w:r>
      <w:r w:rsidR="00A658F3" w:rsidRPr="00277E7A">
        <w:rPr>
          <w:rFonts w:ascii="Arial" w:hAnsi="Arial" w:cs="Arial"/>
          <w:sz w:val="24"/>
          <w:szCs w:val="24"/>
          <w:lang w:val="en-US"/>
        </w:rPr>
        <w:t>constitutes valid service</w:t>
      </w:r>
      <w:r w:rsidR="00AE5E0C" w:rsidRPr="00277E7A">
        <w:rPr>
          <w:rFonts w:ascii="Arial" w:hAnsi="Arial" w:cs="Arial"/>
          <w:sz w:val="24"/>
          <w:szCs w:val="24"/>
          <w:lang w:val="en-US"/>
        </w:rPr>
        <w:t>. The fact that the close corporation is no longer present at its registered office</w:t>
      </w:r>
      <w:r w:rsidR="00AE465B" w:rsidRPr="00277E7A">
        <w:rPr>
          <w:rFonts w:ascii="Arial" w:hAnsi="Arial" w:cs="Arial"/>
          <w:sz w:val="24"/>
          <w:szCs w:val="24"/>
          <w:lang w:val="en-US"/>
        </w:rPr>
        <w:t>, as is alleged by the applicant in this matter</w:t>
      </w:r>
      <w:r w:rsidR="002055D3" w:rsidRPr="00277E7A">
        <w:rPr>
          <w:rFonts w:ascii="Arial" w:hAnsi="Arial" w:cs="Arial"/>
          <w:sz w:val="24"/>
          <w:szCs w:val="24"/>
          <w:lang w:val="en-US"/>
        </w:rPr>
        <w:t>,</w:t>
      </w:r>
      <w:r w:rsidR="00AE465B" w:rsidRPr="00277E7A">
        <w:rPr>
          <w:rFonts w:ascii="Arial" w:hAnsi="Arial" w:cs="Arial"/>
          <w:sz w:val="24"/>
          <w:szCs w:val="24"/>
          <w:lang w:val="en-US"/>
        </w:rPr>
        <w:t xml:space="preserve"> is</w:t>
      </w:r>
      <w:r w:rsidR="002055D3" w:rsidRPr="00277E7A">
        <w:rPr>
          <w:rFonts w:ascii="Arial" w:hAnsi="Arial" w:cs="Arial"/>
          <w:sz w:val="24"/>
          <w:szCs w:val="24"/>
          <w:lang w:val="en-US"/>
        </w:rPr>
        <w:t xml:space="preserve"> clearly irrelevant.</w:t>
      </w:r>
      <w:r w:rsidR="0096659D" w:rsidRPr="00277E7A">
        <w:rPr>
          <w:rFonts w:ascii="Arial" w:hAnsi="Arial" w:cs="Arial"/>
          <w:sz w:val="24"/>
          <w:szCs w:val="24"/>
          <w:lang w:val="en-US"/>
        </w:rPr>
        <w:t xml:space="preserve"> </w:t>
      </w:r>
    </w:p>
    <w:p w14:paraId="42F4B252" w14:textId="0BA896CA" w:rsidR="009C0B11" w:rsidRPr="00277E7A" w:rsidRDefault="00277E7A" w:rsidP="00277E7A">
      <w:pPr>
        <w:spacing w:before="480" w:after="480" w:line="480" w:lineRule="auto"/>
        <w:ind w:left="567" w:hanging="567"/>
        <w:jc w:val="both"/>
        <w:rPr>
          <w:rFonts w:ascii="Arial" w:hAnsi="Arial" w:cs="Arial"/>
          <w:sz w:val="24"/>
          <w:szCs w:val="24"/>
          <w:lang w:val="en-US"/>
        </w:rPr>
      </w:pPr>
      <w:r w:rsidRPr="00CE5391">
        <w:rPr>
          <w:rFonts w:ascii="Arial" w:hAnsi="Arial" w:cs="Arial"/>
          <w:sz w:val="24"/>
          <w:szCs w:val="24"/>
          <w:lang w:val="en-US"/>
        </w:rPr>
        <w:t>[12]</w:t>
      </w:r>
      <w:r w:rsidRPr="00CE5391">
        <w:rPr>
          <w:rFonts w:ascii="Arial" w:hAnsi="Arial" w:cs="Arial"/>
          <w:sz w:val="24"/>
          <w:szCs w:val="24"/>
          <w:lang w:val="en-US"/>
        </w:rPr>
        <w:tab/>
      </w:r>
      <w:r w:rsidR="00672755" w:rsidRPr="00277E7A">
        <w:rPr>
          <w:rFonts w:ascii="Arial" w:hAnsi="Arial" w:cs="Arial"/>
          <w:sz w:val="24"/>
          <w:szCs w:val="24"/>
          <w:lang w:val="en-US"/>
        </w:rPr>
        <w:t xml:space="preserve">There is indeed no requirement in the </w:t>
      </w:r>
      <w:r w:rsidR="00E22598" w:rsidRPr="00277E7A">
        <w:rPr>
          <w:rFonts w:ascii="Arial" w:hAnsi="Arial" w:cs="Arial"/>
          <w:sz w:val="24"/>
          <w:szCs w:val="24"/>
          <w:lang w:val="en-US"/>
        </w:rPr>
        <w:t>CCA</w:t>
      </w:r>
      <w:r w:rsidR="005C166D" w:rsidRPr="00277E7A">
        <w:rPr>
          <w:rFonts w:ascii="Arial" w:hAnsi="Arial" w:cs="Arial"/>
          <w:sz w:val="24"/>
          <w:szCs w:val="24"/>
          <w:lang w:val="en-US"/>
        </w:rPr>
        <w:t xml:space="preserve"> that the registered address must be the same address as its principal place of business.</w:t>
      </w:r>
      <w:r w:rsidR="00D17731" w:rsidRPr="00277E7A">
        <w:rPr>
          <w:rFonts w:ascii="Arial" w:hAnsi="Arial" w:cs="Arial"/>
          <w:sz w:val="24"/>
          <w:szCs w:val="24"/>
          <w:lang w:val="en-US"/>
        </w:rPr>
        <w:t xml:space="preserve"> In this regard, the position </w:t>
      </w:r>
      <w:r w:rsidR="00D17731" w:rsidRPr="00277E7A">
        <w:rPr>
          <w:rFonts w:ascii="Arial" w:hAnsi="Arial" w:cs="Arial"/>
          <w:sz w:val="24"/>
          <w:szCs w:val="24"/>
          <w:lang w:val="en-US"/>
        </w:rPr>
        <w:lastRenderedPageBreak/>
        <w:t xml:space="preserve">of a close corporation is similar, if not identical, to the position of a company under the Companies Act, </w:t>
      </w:r>
      <w:r w:rsidR="00D05146" w:rsidRPr="00277E7A">
        <w:rPr>
          <w:rFonts w:ascii="Arial" w:hAnsi="Arial" w:cs="Arial"/>
          <w:sz w:val="24"/>
          <w:szCs w:val="24"/>
          <w:lang w:val="en-US"/>
        </w:rPr>
        <w:t xml:space="preserve">Act 61 of </w:t>
      </w:r>
      <w:r w:rsidR="00D17731" w:rsidRPr="00277E7A">
        <w:rPr>
          <w:rFonts w:ascii="Arial" w:hAnsi="Arial" w:cs="Arial"/>
          <w:sz w:val="24"/>
          <w:szCs w:val="24"/>
          <w:lang w:val="en-US"/>
        </w:rPr>
        <w:t>1973</w:t>
      </w:r>
      <w:r w:rsidR="00D05146" w:rsidRPr="00277E7A">
        <w:rPr>
          <w:rFonts w:ascii="Arial" w:hAnsi="Arial" w:cs="Arial"/>
          <w:sz w:val="24"/>
          <w:szCs w:val="24"/>
          <w:lang w:val="en-US"/>
        </w:rPr>
        <w:t>, which similarly had no such re</w:t>
      </w:r>
      <w:r w:rsidR="00894F2F" w:rsidRPr="00277E7A">
        <w:rPr>
          <w:rFonts w:ascii="Arial" w:hAnsi="Arial" w:cs="Arial"/>
          <w:sz w:val="24"/>
          <w:szCs w:val="24"/>
          <w:lang w:val="en-US"/>
        </w:rPr>
        <w:t>quirement.</w:t>
      </w:r>
    </w:p>
    <w:p w14:paraId="3A8B2AEB" w14:textId="624DE884" w:rsidR="002055D3" w:rsidRPr="00277E7A" w:rsidRDefault="00277E7A" w:rsidP="00277E7A">
      <w:pPr>
        <w:spacing w:before="480" w:after="480" w:line="480" w:lineRule="auto"/>
        <w:ind w:left="567" w:hanging="567"/>
        <w:jc w:val="both"/>
        <w:rPr>
          <w:rFonts w:ascii="Arial" w:hAnsi="Arial" w:cs="Arial"/>
          <w:i/>
          <w:iCs/>
          <w:sz w:val="24"/>
          <w:szCs w:val="24"/>
          <w:lang w:val="en-US"/>
        </w:rPr>
      </w:pPr>
      <w:r w:rsidRPr="00630CC9">
        <w:rPr>
          <w:rFonts w:ascii="Arial" w:hAnsi="Arial" w:cs="Arial"/>
          <w:sz w:val="24"/>
          <w:szCs w:val="24"/>
          <w:lang w:val="en-US"/>
        </w:rPr>
        <w:t>[13]</w:t>
      </w:r>
      <w:r w:rsidRPr="00630CC9">
        <w:rPr>
          <w:rFonts w:ascii="Arial" w:hAnsi="Arial" w:cs="Arial"/>
          <w:sz w:val="24"/>
          <w:szCs w:val="24"/>
          <w:lang w:val="en-US"/>
        </w:rPr>
        <w:tab/>
      </w:r>
      <w:r w:rsidR="003B1BA6" w:rsidRPr="00277E7A">
        <w:rPr>
          <w:rFonts w:ascii="Arial" w:hAnsi="Arial" w:cs="Arial"/>
          <w:sz w:val="24"/>
          <w:szCs w:val="24"/>
          <w:lang w:val="en-US"/>
        </w:rPr>
        <w:t xml:space="preserve">The only further requirement </w:t>
      </w:r>
      <w:r w:rsidR="00EE3D9D" w:rsidRPr="00277E7A">
        <w:rPr>
          <w:rFonts w:ascii="Arial" w:hAnsi="Arial" w:cs="Arial"/>
          <w:sz w:val="24"/>
          <w:szCs w:val="24"/>
          <w:lang w:val="en-US"/>
        </w:rPr>
        <w:t>contained in section 25(2) is that service must be effected otherwise in accordance with the law, which brings the provisions of Rule</w:t>
      </w:r>
      <w:r w:rsidR="004C395B" w:rsidRPr="00277E7A">
        <w:rPr>
          <w:rFonts w:ascii="Arial" w:hAnsi="Arial" w:cs="Arial"/>
          <w:sz w:val="24"/>
          <w:szCs w:val="24"/>
          <w:lang w:val="en-US"/>
        </w:rPr>
        <w:t xml:space="preserve"> </w:t>
      </w:r>
      <w:r w:rsidR="00EE3D9D" w:rsidRPr="00277E7A">
        <w:rPr>
          <w:rFonts w:ascii="Arial" w:hAnsi="Arial" w:cs="Arial"/>
          <w:sz w:val="24"/>
          <w:szCs w:val="24"/>
          <w:lang w:val="en-US"/>
        </w:rPr>
        <w:t>4(</w:t>
      </w:r>
      <w:r w:rsidR="00630CC9" w:rsidRPr="00277E7A">
        <w:rPr>
          <w:rFonts w:ascii="Arial" w:hAnsi="Arial" w:cs="Arial"/>
          <w:sz w:val="24"/>
          <w:szCs w:val="24"/>
          <w:lang w:val="en-US"/>
        </w:rPr>
        <w:t>1</w:t>
      </w:r>
      <w:r w:rsidR="00EE3D9D" w:rsidRPr="00277E7A">
        <w:rPr>
          <w:rFonts w:ascii="Arial" w:hAnsi="Arial" w:cs="Arial"/>
          <w:sz w:val="24"/>
          <w:szCs w:val="24"/>
          <w:lang w:val="en-US"/>
        </w:rPr>
        <w:t>)(</w:t>
      </w:r>
      <w:r w:rsidR="00630CC9" w:rsidRPr="00277E7A">
        <w:rPr>
          <w:rFonts w:ascii="Arial" w:hAnsi="Arial" w:cs="Arial"/>
          <w:sz w:val="24"/>
          <w:szCs w:val="24"/>
          <w:lang w:val="en-US"/>
        </w:rPr>
        <w:t>a</w:t>
      </w:r>
      <w:r w:rsidR="00EE3D9D" w:rsidRPr="00277E7A">
        <w:rPr>
          <w:rFonts w:ascii="Arial" w:hAnsi="Arial" w:cs="Arial"/>
          <w:sz w:val="24"/>
          <w:szCs w:val="24"/>
          <w:lang w:val="en-US"/>
        </w:rPr>
        <w:t>)</w:t>
      </w:r>
      <w:r w:rsidR="00630CC9" w:rsidRPr="00277E7A">
        <w:rPr>
          <w:rFonts w:ascii="Arial" w:hAnsi="Arial" w:cs="Arial"/>
          <w:sz w:val="24"/>
          <w:szCs w:val="24"/>
          <w:lang w:val="en-US"/>
        </w:rPr>
        <w:t>(v)</w:t>
      </w:r>
      <w:r w:rsidR="00EE3D9D" w:rsidRPr="00277E7A">
        <w:rPr>
          <w:rFonts w:ascii="Arial" w:hAnsi="Arial" w:cs="Arial"/>
          <w:sz w:val="24"/>
          <w:szCs w:val="24"/>
          <w:lang w:val="en-US"/>
        </w:rPr>
        <w:t xml:space="preserve"> of the Uniform Rules of Court into play. This rule provides</w:t>
      </w:r>
      <w:r w:rsidR="003B5555" w:rsidRPr="00277E7A">
        <w:rPr>
          <w:rFonts w:ascii="Arial" w:hAnsi="Arial" w:cs="Arial"/>
          <w:sz w:val="24"/>
          <w:szCs w:val="24"/>
          <w:lang w:val="en-US"/>
        </w:rPr>
        <w:t xml:space="preserve"> that service </w:t>
      </w:r>
      <w:r w:rsidR="00B51208" w:rsidRPr="00277E7A">
        <w:rPr>
          <w:rFonts w:ascii="Arial" w:hAnsi="Arial" w:cs="Arial"/>
          <w:sz w:val="24"/>
          <w:szCs w:val="24"/>
          <w:lang w:val="en-US"/>
        </w:rPr>
        <w:t>can be effected:</w:t>
      </w:r>
    </w:p>
    <w:p w14:paraId="74C2A8EB" w14:textId="2D9E2997" w:rsidR="003B5555" w:rsidRDefault="00B51208" w:rsidP="00B51208">
      <w:pPr>
        <w:pStyle w:val="DoubleIndent"/>
        <w:spacing w:before="240" w:after="240" w:line="240" w:lineRule="auto"/>
        <w:ind w:left="1701" w:right="1701"/>
        <w:rPr>
          <w:i/>
          <w:iCs/>
        </w:rPr>
      </w:pPr>
      <w:r w:rsidRPr="00630CC9">
        <w:rPr>
          <w:i/>
          <w:iCs/>
        </w:rPr>
        <w:t>“</w:t>
      </w:r>
      <w:r w:rsidR="003B5555" w:rsidRPr="00630CC9">
        <w:rPr>
          <w:i/>
          <w:iCs/>
        </w:rPr>
        <w:t>in</w:t>
      </w:r>
      <w:r w:rsidR="00630CC9">
        <w:rPr>
          <w:i/>
          <w:iCs/>
        </w:rPr>
        <w:t xml:space="preserve"> </w:t>
      </w:r>
      <w:r w:rsidR="003B5555" w:rsidRPr="00630CC9">
        <w:rPr>
          <w:i/>
          <w:iCs/>
        </w:rPr>
        <w:t xml:space="preserve">the case of a corporation or company, by delivering a copy to a responsible employee thereof at its </w:t>
      </w:r>
      <w:r w:rsidR="003B5555" w:rsidRPr="00630CC9">
        <w:rPr>
          <w:i/>
          <w:iCs/>
          <w:lang w:val="en-US"/>
        </w:rPr>
        <w:t>registered</w:t>
      </w:r>
      <w:r w:rsidR="003B5555" w:rsidRPr="00630CC9">
        <w:rPr>
          <w:i/>
          <w:iCs/>
        </w:rPr>
        <w:t xml:space="preserve"> office or its principal place of business within the court’s jurisdiction, or if there be no such employee willing to accept service, by affixing a copy to the main door of such office or place of business, or in any manner provided by law</w:t>
      </w:r>
      <w:r w:rsidR="00630CC9" w:rsidRPr="00630CC9">
        <w:rPr>
          <w:i/>
          <w:iCs/>
        </w:rPr>
        <w:t>.”</w:t>
      </w:r>
    </w:p>
    <w:p w14:paraId="06DFA193" w14:textId="77777777" w:rsidR="003018E6" w:rsidRPr="00630CC9" w:rsidRDefault="003018E6" w:rsidP="00B51208">
      <w:pPr>
        <w:pStyle w:val="DoubleIndent"/>
        <w:spacing w:before="240" w:after="240" w:line="240" w:lineRule="auto"/>
        <w:ind w:left="1701" w:right="1701"/>
        <w:rPr>
          <w:i/>
          <w:iCs/>
          <w:lang w:val="en-US"/>
        </w:rPr>
      </w:pPr>
    </w:p>
    <w:p w14:paraId="31CC6F2A" w14:textId="7BDB1952" w:rsidR="00EE3D9D"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[14]</w:t>
      </w:r>
      <w:r>
        <w:rPr>
          <w:rFonts w:ascii="Arial" w:hAnsi="Arial" w:cs="Arial"/>
          <w:sz w:val="24"/>
          <w:szCs w:val="24"/>
          <w:lang w:val="en-US"/>
        </w:rPr>
        <w:tab/>
      </w:r>
      <w:r w:rsidR="006268A5" w:rsidRPr="00277E7A">
        <w:rPr>
          <w:rFonts w:ascii="Arial" w:hAnsi="Arial" w:cs="Arial"/>
          <w:sz w:val="24"/>
          <w:szCs w:val="24"/>
          <w:lang w:val="en-US"/>
        </w:rPr>
        <w:t xml:space="preserve">The return of service in this matter reveals that </w:t>
      </w:r>
      <w:r w:rsidR="00637F11" w:rsidRPr="00277E7A">
        <w:rPr>
          <w:rFonts w:ascii="Arial" w:hAnsi="Arial" w:cs="Arial"/>
          <w:sz w:val="24"/>
          <w:szCs w:val="24"/>
          <w:lang w:val="en-US"/>
        </w:rPr>
        <w:t>the notice of motion was served at the registered address of the applicant, by affixing it to the principal door,</w:t>
      </w:r>
      <w:r w:rsidR="00C311F2" w:rsidRPr="00277E7A">
        <w:rPr>
          <w:rFonts w:ascii="Arial" w:hAnsi="Arial" w:cs="Arial"/>
          <w:sz w:val="24"/>
          <w:szCs w:val="24"/>
          <w:lang w:val="en-US"/>
        </w:rPr>
        <w:t xml:space="preserve"> as no </w:t>
      </w:r>
      <w:r w:rsidR="00446568" w:rsidRPr="00277E7A">
        <w:rPr>
          <w:rFonts w:ascii="Arial" w:hAnsi="Arial" w:cs="Arial"/>
          <w:sz w:val="24"/>
          <w:szCs w:val="24"/>
          <w:lang w:val="en-US"/>
        </w:rPr>
        <w:t>other manner of service was possible</w:t>
      </w:r>
      <w:r w:rsidR="00772803" w:rsidRPr="00277E7A">
        <w:rPr>
          <w:rFonts w:ascii="Arial" w:hAnsi="Arial" w:cs="Arial"/>
          <w:sz w:val="24"/>
          <w:szCs w:val="24"/>
          <w:lang w:val="en-US"/>
        </w:rPr>
        <w:t>. It was recorded by the sheriff that the premises were vacant</w:t>
      </w:r>
      <w:r w:rsidR="00375E73" w:rsidRPr="00277E7A">
        <w:rPr>
          <w:rFonts w:ascii="Arial" w:hAnsi="Arial" w:cs="Arial"/>
          <w:sz w:val="24"/>
          <w:szCs w:val="24"/>
          <w:lang w:val="en-US"/>
        </w:rPr>
        <w:t>. There w</w:t>
      </w:r>
      <w:r w:rsidR="00741AD5" w:rsidRPr="00277E7A">
        <w:rPr>
          <w:rFonts w:ascii="Arial" w:hAnsi="Arial" w:cs="Arial"/>
          <w:sz w:val="24"/>
          <w:szCs w:val="24"/>
          <w:lang w:val="en-US"/>
        </w:rPr>
        <w:t>as</w:t>
      </w:r>
      <w:r w:rsidR="00375E73" w:rsidRPr="00277E7A">
        <w:rPr>
          <w:rFonts w:ascii="Arial" w:hAnsi="Arial" w:cs="Arial"/>
          <w:sz w:val="24"/>
          <w:szCs w:val="24"/>
          <w:lang w:val="en-US"/>
        </w:rPr>
        <w:t xml:space="preserve"> obviously no employee of the applicant present</w:t>
      </w:r>
      <w:r w:rsidR="00D44EC9" w:rsidRPr="00277E7A">
        <w:rPr>
          <w:rFonts w:ascii="Arial" w:hAnsi="Arial" w:cs="Arial"/>
          <w:sz w:val="24"/>
          <w:szCs w:val="24"/>
          <w:lang w:val="en-US"/>
        </w:rPr>
        <w:t xml:space="preserve"> who could accept service.</w:t>
      </w:r>
    </w:p>
    <w:p w14:paraId="0D95BE8A" w14:textId="0DF5D4E2" w:rsidR="004E4D16"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[15]</w:t>
      </w:r>
      <w:r>
        <w:rPr>
          <w:rFonts w:ascii="Arial" w:hAnsi="Arial" w:cs="Arial"/>
          <w:sz w:val="24"/>
          <w:szCs w:val="24"/>
          <w:lang w:val="en-US"/>
        </w:rPr>
        <w:tab/>
      </w:r>
      <w:r w:rsidR="00741AD5" w:rsidRPr="00277E7A">
        <w:rPr>
          <w:rFonts w:ascii="Arial" w:hAnsi="Arial" w:cs="Arial"/>
          <w:sz w:val="24"/>
          <w:szCs w:val="24"/>
          <w:lang w:val="en-US"/>
        </w:rPr>
        <w:t>Consequently,</w:t>
      </w:r>
      <w:r w:rsidR="00BD1879" w:rsidRPr="00277E7A">
        <w:rPr>
          <w:rFonts w:ascii="Arial" w:hAnsi="Arial" w:cs="Arial"/>
          <w:sz w:val="24"/>
          <w:szCs w:val="24"/>
          <w:lang w:val="en-US"/>
        </w:rPr>
        <w:t xml:space="preserve"> </w:t>
      </w:r>
      <w:r w:rsidR="00454E77" w:rsidRPr="00277E7A">
        <w:rPr>
          <w:rFonts w:ascii="Arial" w:hAnsi="Arial" w:cs="Arial"/>
          <w:sz w:val="24"/>
          <w:szCs w:val="24"/>
          <w:lang w:val="en-US"/>
        </w:rPr>
        <w:t>valid service was effected</w:t>
      </w:r>
      <w:r w:rsidR="008D185F" w:rsidRPr="00277E7A">
        <w:rPr>
          <w:rFonts w:ascii="Arial" w:hAnsi="Arial" w:cs="Arial"/>
          <w:sz w:val="24"/>
          <w:szCs w:val="24"/>
          <w:lang w:val="en-US"/>
        </w:rPr>
        <w:t xml:space="preserve"> in terms </w:t>
      </w:r>
      <w:r w:rsidR="00741AD5" w:rsidRPr="00277E7A">
        <w:rPr>
          <w:rFonts w:ascii="Arial" w:hAnsi="Arial" w:cs="Arial"/>
          <w:sz w:val="24"/>
          <w:szCs w:val="24"/>
          <w:lang w:val="en-US"/>
        </w:rPr>
        <w:t>R</w:t>
      </w:r>
      <w:r w:rsidR="008D185F" w:rsidRPr="00277E7A">
        <w:rPr>
          <w:rFonts w:ascii="Arial" w:hAnsi="Arial" w:cs="Arial"/>
          <w:sz w:val="24"/>
          <w:szCs w:val="24"/>
          <w:lang w:val="en-US"/>
        </w:rPr>
        <w:t>ule</w:t>
      </w:r>
      <w:r w:rsidR="007D5C78" w:rsidRPr="00277E7A">
        <w:rPr>
          <w:rFonts w:ascii="Arial" w:hAnsi="Arial" w:cs="Arial"/>
          <w:sz w:val="24"/>
          <w:szCs w:val="24"/>
          <w:lang w:val="en-US"/>
        </w:rPr>
        <w:t xml:space="preserve"> 4(1)(a)(v)</w:t>
      </w:r>
      <w:r w:rsidR="008D185F" w:rsidRPr="00277E7A">
        <w:rPr>
          <w:rFonts w:ascii="Arial" w:hAnsi="Arial" w:cs="Arial"/>
          <w:sz w:val="24"/>
          <w:szCs w:val="24"/>
          <w:lang w:val="en-US"/>
        </w:rPr>
        <w:t>.</w:t>
      </w:r>
    </w:p>
    <w:p w14:paraId="1A69FBBE" w14:textId="0D2BC6CB" w:rsidR="005E3BFC"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[16]</w:t>
      </w:r>
      <w:r>
        <w:rPr>
          <w:rFonts w:ascii="Arial" w:hAnsi="Arial" w:cs="Arial"/>
          <w:sz w:val="24"/>
          <w:szCs w:val="24"/>
          <w:lang w:val="en-US"/>
        </w:rPr>
        <w:tab/>
      </w:r>
      <w:r w:rsidR="004E4D16" w:rsidRPr="00277E7A">
        <w:rPr>
          <w:rFonts w:ascii="Arial" w:hAnsi="Arial" w:cs="Arial"/>
          <w:sz w:val="24"/>
          <w:szCs w:val="24"/>
          <w:lang w:val="en-US"/>
        </w:rPr>
        <w:t>The applicant’s founding affidavit, however, contains a complaint that</w:t>
      </w:r>
      <w:r w:rsidR="007864F7" w:rsidRPr="00277E7A">
        <w:rPr>
          <w:rFonts w:ascii="Arial" w:hAnsi="Arial" w:cs="Arial"/>
          <w:sz w:val="24"/>
          <w:szCs w:val="24"/>
          <w:lang w:val="en-US"/>
        </w:rPr>
        <w:t xml:space="preserve"> the respondent knew that the applicant</w:t>
      </w:r>
      <w:r w:rsidR="006202C3" w:rsidRPr="00277E7A">
        <w:rPr>
          <w:rFonts w:ascii="Arial" w:hAnsi="Arial" w:cs="Arial"/>
          <w:sz w:val="24"/>
          <w:szCs w:val="24"/>
          <w:lang w:val="en-US"/>
        </w:rPr>
        <w:t xml:space="preserve"> was no longer present at the registered address </w:t>
      </w:r>
      <w:r w:rsidR="00480E4C" w:rsidRPr="00277E7A">
        <w:rPr>
          <w:rFonts w:ascii="Arial" w:hAnsi="Arial" w:cs="Arial"/>
          <w:sz w:val="24"/>
          <w:szCs w:val="24"/>
          <w:lang w:val="en-US"/>
        </w:rPr>
        <w:t>(the sheriff having reported this fact in his return) and that the respondent was, therefore, not entitled to serve there</w:t>
      </w:r>
      <w:r w:rsidR="005E3BFC" w:rsidRPr="00277E7A">
        <w:rPr>
          <w:rFonts w:ascii="Arial" w:hAnsi="Arial" w:cs="Arial"/>
          <w:sz w:val="24"/>
          <w:szCs w:val="24"/>
          <w:lang w:val="en-US"/>
        </w:rPr>
        <w:t>.</w:t>
      </w:r>
    </w:p>
    <w:p w14:paraId="17CD1565" w14:textId="5A4AA935" w:rsidR="00A252D5"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lastRenderedPageBreak/>
        <w:t>[17]</w:t>
      </w:r>
      <w:r>
        <w:rPr>
          <w:rFonts w:ascii="Arial" w:hAnsi="Arial" w:cs="Arial"/>
          <w:sz w:val="24"/>
          <w:szCs w:val="24"/>
          <w:lang w:val="en-US"/>
        </w:rPr>
        <w:tab/>
      </w:r>
      <w:r w:rsidR="005E3BFC" w:rsidRPr="00277E7A">
        <w:rPr>
          <w:rFonts w:ascii="Arial" w:hAnsi="Arial" w:cs="Arial"/>
          <w:sz w:val="24"/>
          <w:szCs w:val="24"/>
          <w:lang w:val="en-US"/>
        </w:rPr>
        <w:t xml:space="preserve">This complaint has no merit. </w:t>
      </w:r>
      <w:r w:rsidR="00F827F7" w:rsidRPr="00277E7A">
        <w:rPr>
          <w:rFonts w:ascii="Arial" w:hAnsi="Arial" w:cs="Arial"/>
          <w:sz w:val="24"/>
          <w:szCs w:val="24"/>
          <w:lang w:val="en-US"/>
        </w:rPr>
        <w:t xml:space="preserve">The </w:t>
      </w:r>
      <w:r w:rsidR="00F827F7" w:rsidRPr="00277E7A">
        <w:rPr>
          <w:rFonts w:ascii="Arial" w:hAnsi="Arial" w:cs="Arial"/>
          <w:i/>
          <w:iCs/>
          <w:sz w:val="24"/>
          <w:szCs w:val="24"/>
          <w:lang w:val="en-US"/>
        </w:rPr>
        <w:t xml:space="preserve">rationale </w:t>
      </w:r>
      <w:r w:rsidR="00F827F7" w:rsidRPr="00277E7A">
        <w:rPr>
          <w:rFonts w:ascii="Arial" w:hAnsi="Arial" w:cs="Arial"/>
          <w:sz w:val="24"/>
          <w:szCs w:val="24"/>
          <w:lang w:val="en-US"/>
        </w:rPr>
        <w:t xml:space="preserve">behind a registered address is </w:t>
      </w:r>
      <w:r w:rsidR="00643B2F" w:rsidRPr="00277E7A">
        <w:rPr>
          <w:rFonts w:ascii="Arial" w:hAnsi="Arial" w:cs="Arial"/>
          <w:sz w:val="24"/>
          <w:szCs w:val="24"/>
          <w:lang w:val="en-US"/>
        </w:rPr>
        <w:t>indeed</w:t>
      </w:r>
      <w:r w:rsidR="00E20CCA" w:rsidRPr="00277E7A">
        <w:rPr>
          <w:rFonts w:ascii="Arial" w:hAnsi="Arial" w:cs="Arial"/>
          <w:sz w:val="24"/>
          <w:szCs w:val="24"/>
          <w:lang w:val="en-US"/>
        </w:rPr>
        <w:t xml:space="preserve"> that </w:t>
      </w:r>
      <w:r w:rsidR="00643B2F" w:rsidRPr="00277E7A">
        <w:rPr>
          <w:rFonts w:ascii="Arial" w:hAnsi="Arial" w:cs="Arial"/>
          <w:sz w:val="24"/>
          <w:szCs w:val="24"/>
          <w:lang w:val="en-US"/>
        </w:rPr>
        <w:t>third parties</w:t>
      </w:r>
      <w:r w:rsidR="00E20CCA" w:rsidRPr="00277E7A">
        <w:rPr>
          <w:rFonts w:ascii="Arial" w:hAnsi="Arial" w:cs="Arial"/>
          <w:sz w:val="24"/>
          <w:szCs w:val="24"/>
          <w:lang w:val="en-US"/>
        </w:rPr>
        <w:t xml:space="preserve"> can with ease</w:t>
      </w:r>
      <w:r w:rsidR="00535812" w:rsidRPr="00277E7A">
        <w:rPr>
          <w:rFonts w:ascii="Arial" w:hAnsi="Arial" w:cs="Arial"/>
          <w:sz w:val="24"/>
          <w:szCs w:val="24"/>
          <w:lang w:val="en-US"/>
        </w:rPr>
        <w:t xml:space="preserve"> communicate with a company or corporation or serve process at the registered address.</w:t>
      </w:r>
      <w:r w:rsidR="00EA75F6" w:rsidRPr="00277E7A">
        <w:rPr>
          <w:rFonts w:ascii="Arial" w:hAnsi="Arial" w:cs="Arial"/>
          <w:sz w:val="24"/>
          <w:szCs w:val="24"/>
          <w:lang w:val="en-US"/>
        </w:rPr>
        <w:t xml:space="preserve"> </w:t>
      </w:r>
      <w:r w:rsidR="00537889" w:rsidRPr="00277E7A">
        <w:rPr>
          <w:rFonts w:ascii="Arial" w:hAnsi="Arial" w:cs="Arial"/>
          <w:sz w:val="24"/>
          <w:szCs w:val="24"/>
          <w:lang w:val="en-US"/>
        </w:rPr>
        <w:t xml:space="preserve">This is in the context of the </w:t>
      </w:r>
      <w:r w:rsidR="00771E3E" w:rsidRPr="00277E7A">
        <w:rPr>
          <w:rFonts w:ascii="Arial" w:hAnsi="Arial" w:cs="Arial"/>
          <w:sz w:val="24"/>
          <w:szCs w:val="24"/>
          <w:lang w:val="en-US"/>
        </w:rPr>
        <w:t xml:space="preserve">fact that </w:t>
      </w:r>
      <w:r w:rsidR="00537889" w:rsidRPr="00277E7A">
        <w:rPr>
          <w:rFonts w:ascii="Arial" w:hAnsi="Arial" w:cs="Arial"/>
          <w:sz w:val="24"/>
          <w:szCs w:val="24"/>
          <w:lang w:val="en-US"/>
        </w:rPr>
        <w:t xml:space="preserve">it is often difficult for an outsider to determine </w:t>
      </w:r>
      <w:r w:rsidR="008D2EC3" w:rsidRPr="00277E7A">
        <w:rPr>
          <w:rFonts w:ascii="Arial" w:hAnsi="Arial" w:cs="Arial"/>
          <w:sz w:val="24"/>
          <w:szCs w:val="24"/>
          <w:lang w:val="en-US"/>
        </w:rPr>
        <w:t xml:space="preserve">the locality of a company or close </w:t>
      </w:r>
      <w:r w:rsidR="00537889" w:rsidRPr="00277E7A">
        <w:rPr>
          <w:rFonts w:ascii="Arial" w:hAnsi="Arial" w:cs="Arial"/>
          <w:sz w:val="24"/>
          <w:szCs w:val="24"/>
          <w:lang w:val="en-US"/>
        </w:rPr>
        <w:t>co</w:t>
      </w:r>
      <w:r w:rsidR="00771E3E" w:rsidRPr="00277E7A">
        <w:rPr>
          <w:rFonts w:ascii="Arial" w:hAnsi="Arial" w:cs="Arial"/>
          <w:sz w:val="24"/>
          <w:szCs w:val="24"/>
          <w:lang w:val="en-US"/>
        </w:rPr>
        <w:t>r</w:t>
      </w:r>
      <w:r w:rsidR="00537889" w:rsidRPr="00277E7A">
        <w:rPr>
          <w:rFonts w:ascii="Arial" w:hAnsi="Arial" w:cs="Arial"/>
          <w:sz w:val="24"/>
          <w:szCs w:val="24"/>
          <w:lang w:val="en-US"/>
        </w:rPr>
        <w:t>poration</w:t>
      </w:r>
      <w:r w:rsidR="00413AD5" w:rsidRPr="00277E7A">
        <w:rPr>
          <w:rFonts w:ascii="Arial" w:hAnsi="Arial" w:cs="Arial"/>
          <w:sz w:val="24"/>
          <w:szCs w:val="24"/>
          <w:lang w:val="en-US"/>
        </w:rPr>
        <w:t>’s</w:t>
      </w:r>
      <w:r w:rsidR="00771E3E" w:rsidRPr="00277E7A">
        <w:rPr>
          <w:rFonts w:ascii="Arial" w:hAnsi="Arial" w:cs="Arial"/>
          <w:sz w:val="24"/>
          <w:szCs w:val="24"/>
          <w:lang w:val="en-US"/>
        </w:rPr>
        <w:t xml:space="preserve"> principal place of business</w:t>
      </w:r>
      <w:r w:rsidR="008D2EC3" w:rsidRPr="00277E7A">
        <w:rPr>
          <w:rFonts w:ascii="Arial" w:hAnsi="Arial" w:cs="Arial"/>
          <w:sz w:val="24"/>
          <w:szCs w:val="24"/>
          <w:lang w:val="en-US"/>
        </w:rPr>
        <w:t xml:space="preserve">. </w:t>
      </w:r>
      <w:r w:rsidR="000076BD" w:rsidRPr="00277E7A">
        <w:rPr>
          <w:rFonts w:ascii="Arial" w:hAnsi="Arial" w:cs="Arial"/>
          <w:sz w:val="24"/>
          <w:szCs w:val="24"/>
          <w:lang w:val="en-US"/>
        </w:rPr>
        <w:t>Often, with</w:t>
      </w:r>
      <w:r w:rsidR="0001103E" w:rsidRPr="00277E7A">
        <w:rPr>
          <w:rFonts w:ascii="Arial" w:hAnsi="Arial" w:cs="Arial"/>
          <w:sz w:val="24"/>
          <w:szCs w:val="24"/>
          <w:lang w:val="en-US"/>
        </w:rPr>
        <w:t xml:space="preserve"> </w:t>
      </w:r>
      <w:r w:rsidR="002069D3" w:rsidRPr="00277E7A">
        <w:rPr>
          <w:rFonts w:ascii="Arial" w:hAnsi="Arial" w:cs="Arial"/>
          <w:sz w:val="24"/>
          <w:szCs w:val="24"/>
          <w:lang w:val="en-US"/>
        </w:rPr>
        <w:t>small companies or close corporations</w:t>
      </w:r>
      <w:r w:rsidR="00423BDA" w:rsidRPr="00277E7A">
        <w:rPr>
          <w:rFonts w:ascii="Arial" w:hAnsi="Arial" w:cs="Arial"/>
          <w:sz w:val="24"/>
          <w:szCs w:val="24"/>
          <w:lang w:val="en-US"/>
        </w:rPr>
        <w:t xml:space="preserve"> it will be almost impossible to determine where its principal place of business is situated. </w:t>
      </w:r>
      <w:r w:rsidR="00D31402" w:rsidRPr="00277E7A">
        <w:rPr>
          <w:rFonts w:ascii="Arial" w:hAnsi="Arial" w:cs="Arial"/>
          <w:sz w:val="24"/>
          <w:szCs w:val="24"/>
          <w:lang w:val="en-US"/>
        </w:rPr>
        <w:t>With large enterprises having various branch offices, the question</w:t>
      </w:r>
      <w:r w:rsidR="007E2811" w:rsidRPr="00277E7A">
        <w:rPr>
          <w:rFonts w:ascii="Arial" w:hAnsi="Arial" w:cs="Arial"/>
          <w:sz w:val="24"/>
          <w:szCs w:val="24"/>
          <w:lang w:val="en-US"/>
        </w:rPr>
        <w:t xml:space="preserve"> arises as to which office constitutes the principal place of business</w:t>
      </w:r>
      <w:r w:rsidR="009967CF" w:rsidRPr="00277E7A">
        <w:rPr>
          <w:rFonts w:ascii="Arial" w:hAnsi="Arial" w:cs="Arial"/>
          <w:sz w:val="24"/>
          <w:szCs w:val="24"/>
          <w:lang w:val="en-US"/>
        </w:rPr>
        <w:t xml:space="preserve">, a question which is often difficult for an outsider to </w:t>
      </w:r>
      <w:r w:rsidR="00AE5D9B" w:rsidRPr="00277E7A">
        <w:rPr>
          <w:rFonts w:ascii="Arial" w:hAnsi="Arial" w:cs="Arial"/>
          <w:sz w:val="24"/>
          <w:szCs w:val="24"/>
          <w:lang w:val="en-US"/>
        </w:rPr>
        <w:t>answer</w:t>
      </w:r>
      <w:r w:rsidR="009967CF" w:rsidRPr="00277E7A">
        <w:rPr>
          <w:rFonts w:ascii="Arial" w:hAnsi="Arial" w:cs="Arial"/>
          <w:sz w:val="24"/>
          <w:szCs w:val="24"/>
          <w:lang w:val="en-US"/>
        </w:rPr>
        <w:t>.</w:t>
      </w:r>
      <w:r w:rsidR="00880387" w:rsidRPr="00277E7A">
        <w:rPr>
          <w:rFonts w:ascii="Arial" w:hAnsi="Arial" w:cs="Arial"/>
          <w:sz w:val="24"/>
          <w:szCs w:val="24"/>
          <w:lang w:val="en-US"/>
        </w:rPr>
        <w:t xml:space="preserve"> For this reason</w:t>
      </w:r>
      <w:r w:rsidR="001E3DF7" w:rsidRPr="00277E7A">
        <w:rPr>
          <w:rFonts w:ascii="Arial" w:hAnsi="Arial" w:cs="Arial"/>
          <w:sz w:val="24"/>
          <w:szCs w:val="24"/>
          <w:lang w:val="en-US"/>
        </w:rPr>
        <w:t>,</w:t>
      </w:r>
      <w:r w:rsidR="00880387" w:rsidRPr="00277E7A">
        <w:rPr>
          <w:rFonts w:ascii="Arial" w:hAnsi="Arial" w:cs="Arial"/>
          <w:sz w:val="24"/>
          <w:szCs w:val="24"/>
          <w:lang w:val="en-US"/>
        </w:rPr>
        <w:t xml:space="preserve"> the legislature has deemed it necessary to determine that service at </w:t>
      </w:r>
      <w:r w:rsidR="00151DD0" w:rsidRPr="00277E7A">
        <w:rPr>
          <w:rFonts w:ascii="Arial" w:hAnsi="Arial" w:cs="Arial"/>
          <w:sz w:val="24"/>
          <w:szCs w:val="24"/>
          <w:lang w:val="en-US"/>
        </w:rPr>
        <w:t>a company or close corporation’s registered address is permitted.</w:t>
      </w:r>
    </w:p>
    <w:p w14:paraId="3E133423" w14:textId="1D4B1A1D" w:rsidR="000A6890"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[18]</w:t>
      </w:r>
      <w:r>
        <w:rPr>
          <w:rFonts w:ascii="Arial" w:hAnsi="Arial" w:cs="Arial"/>
          <w:sz w:val="24"/>
          <w:szCs w:val="24"/>
          <w:lang w:val="en-US"/>
        </w:rPr>
        <w:tab/>
      </w:r>
      <w:r w:rsidR="00A252D5" w:rsidRPr="00277E7A">
        <w:rPr>
          <w:rFonts w:ascii="Arial" w:hAnsi="Arial" w:cs="Arial"/>
          <w:sz w:val="24"/>
          <w:szCs w:val="24"/>
          <w:lang w:val="en-US"/>
        </w:rPr>
        <w:t>The present matter illustrates the</w:t>
      </w:r>
      <w:r w:rsidR="008005B3" w:rsidRPr="00277E7A">
        <w:rPr>
          <w:rFonts w:ascii="Arial" w:hAnsi="Arial" w:cs="Arial"/>
          <w:sz w:val="24"/>
          <w:szCs w:val="24"/>
          <w:lang w:val="en-US"/>
        </w:rPr>
        <w:t xml:space="preserve"> </w:t>
      </w:r>
      <w:r w:rsidR="008005B3" w:rsidRPr="00277E7A">
        <w:rPr>
          <w:rFonts w:ascii="Arial" w:hAnsi="Arial" w:cs="Arial"/>
          <w:i/>
          <w:iCs/>
          <w:sz w:val="24"/>
          <w:szCs w:val="24"/>
          <w:lang w:val="en-US"/>
        </w:rPr>
        <w:t>rationale</w:t>
      </w:r>
      <w:r w:rsidR="00E54B86" w:rsidRPr="00277E7A">
        <w:rPr>
          <w:rFonts w:ascii="Arial" w:hAnsi="Arial" w:cs="Arial"/>
          <w:i/>
          <w:iCs/>
          <w:sz w:val="24"/>
          <w:szCs w:val="24"/>
          <w:lang w:val="en-US"/>
        </w:rPr>
        <w:t xml:space="preserve"> </w:t>
      </w:r>
      <w:r w:rsidR="00E54B86" w:rsidRPr="00277E7A">
        <w:rPr>
          <w:rFonts w:ascii="Arial" w:hAnsi="Arial" w:cs="Arial"/>
          <w:sz w:val="24"/>
          <w:szCs w:val="24"/>
          <w:lang w:val="en-US"/>
        </w:rPr>
        <w:t>behind these provisions</w:t>
      </w:r>
      <w:r w:rsidR="00A252D5" w:rsidRPr="00277E7A">
        <w:rPr>
          <w:rFonts w:ascii="Arial" w:hAnsi="Arial" w:cs="Arial"/>
          <w:sz w:val="24"/>
          <w:szCs w:val="24"/>
          <w:lang w:val="en-US"/>
        </w:rPr>
        <w:t>. The evidence is that the applicant</w:t>
      </w:r>
      <w:r w:rsidR="00FD7BEE" w:rsidRPr="00277E7A">
        <w:rPr>
          <w:rFonts w:ascii="Arial" w:hAnsi="Arial" w:cs="Arial"/>
          <w:sz w:val="24"/>
          <w:szCs w:val="24"/>
          <w:lang w:val="en-US"/>
        </w:rPr>
        <w:t xml:space="preserve"> was</w:t>
      </w:r>
      <w:r w:rsidR="00A252D5" w:rsidRPr="00277E7A">
        <w:rPr>
          <w:rFonts w:ascii="Arial" w:hAnsi="Arial" w:cs="Arial"/>
          <w:sz w:val="24"/>
          <w:szCs w:val="24"/>
          <w:lang w:val="en-US"/>
        </w:rPr>
        <w:t xml:space="preserve"> disarray</w:t>
      </w:r>
      <w:r w:rsidR="008005B3" w:rsidRPr="00277E7A">
        <w:rPr>
          <w:rFonts w:ascii="Arial" w:hAnsi="Arial" w:cs="Arial"/>
          <w:sz w:val="24"/>
          <w:szCs w:val="24"/>
          <w:lang w:val="en-US"/>
        </w:rPr>
        <w:t xml:space="preserve"> for various reasons</w:t>
      </w:r>
      <w:r w:rsidR="00BB6370" w:rsidRPr="00277E7A">
        <w:rPr>
          <w:rFonts w:ascii="Arial" w:hAnsi="Arial" w:cs="Arial"/>
          <w:sz w:val="24"/>
          <w:szCs w:val="24"/>
          <w:lang w:val="en-US"/>
        </w:rPr>
        <w:t xml:space="preserve">, including regulatory action having been taken against it </w:t>
      </w:r>
      <w:r w:rsidR="00E260D9" w:rsidRPr="00277E7A">
        <w:rPr>
          <w:rFonts w:ascii="Arial" w:hAnsi="Arial" w:cs="Arial"/>
          <w:sz w:val="24"/>
          <w:szCs w:val="24"/>
          <w:lang w:val="en-US"/>
        </w:rPr>
        <w:t xml:space="preserve">and its banking accounts having been closed by various commercial banks. </w:t>
      </w:r>
      <w:r w:rsidR="0007471C" w:rsidRPr="00277E7A">
        <w:rPr>
          <w:rFonts w:ascii="Arial" w:hAnsi="Arial" w:cs="Arial"/>
          <w:sz w:val="24"/>
          <w:szCs w:val="24"/>
          <w:lang w:val="en-US"/>
        </w:rPr>
        <w:t>There was a suggestion by the applicant’s counsel during argument</w:t>
      </w:r>
      <w:r w:rsidR="007A57E8" w:rsidRPr="00277E7A">
        <w:rPr>
          <w:rFonts w:ascii="Arial" w:hAnsi="Arial" w:cs="Arial"/>
          <w:sz w:val="24"/>
          <w:szCs w:val="24"/>
          <w:lang w:val="en-US"/>
        </w:rPr>
        <w:t xml:space="preserve"> that the applicant at some point ceased operations.</w:t>
      </w:r>
      <w:r w:rsidR="003A7DB3" w:rsidRPr="00277E7A">
        <w:rPr>
          <w:rFonts w:ascii="Arial" w:hAnsi="Arial" w:cs="Arial"/>
          <w:sz w:val="24"/>
          <w:szCs w:val="24"/>
          <w:lang w:val="en-US"/>
        </w:rPr>
        <w:t xml:space="preserve"> It is common cause that the respondent attempted to serve the applica</w:t>
      </w:r>
      <w:r w:rsidR="001652FC" w:rsidRPr="00277E7A">
        <w:rPr>
          <w:rFonts w:ascii="Arial" w:hAnsi="Arial" w:cs="Arial"/>
          <w:sz w:val="24"/>
          <w:szCs w:val="24"/>
          <w:lang w:val="en-US"/>
        </w:rPr>
        <w:t>tion</w:t>
      </w:r>
      <w:r w:rsidR="003A7DB3" w:rsidRPr="00277E7A">
        <w:rPr>
          <w:rFonts w:ascii="Arial" w:hAnsi="Arial" w:cs="Arial"/>
          <w:sz w:val="24"/>
          <w:szCs w:val="24"/>
          <w:lang w:val="en-US"/>
        </w:rPr>
        <w:t xml:space="preserve"> at the applicant’s chosen </w:t>
      </w:r>
      <w:r w:rsidR="003A7DB3" w:rsidRPr="00277E7A">
        <w:rPr>
          <w:rFonts w:ascii="Arial" w:hAnsi="Arial" w:cs="Arial"/>
          <w:i/>
          <w:iCs/>
          <w:sz w:val="24"/>
          <w:szCs w:val="24"/>
          <w:lang w:val="en-US"/>
        </w:rPr>
        <w:t>domicilium citandi</w:t>
      </w:r>
      <w:r w:rsidR="008065A8" w:rsidRPr="00277E7A">
        <w:rPr>
          <w:rFonts w:ascii="Arial" w:hAnsi="Arial" w:cs="Arial"/>
          <w:sz w:val="24"/>
          <w:szCs w:val="24"/>
          <w:lang w:val="en-US"/>
        </w:rPr>
        <w:t xml:space="preserve"> but was unable to do so due to a problem with the address description.</w:t>
      </w:r>
      <w:r w:rsidR="00011C2C" w:rsidRPr="00277E7A">
        <w:rPr>
          <w:rFonts w:ascii="Arial" w:hAnsi="Arial" w:cs="Arial"/>
          <w:sz w:val="24"/>
          <w:szCs w:val="24"/>
          <w:lang w:val="en-US"/>
        </w:rPr>
        <w:t xml:space="preserve"> </w:t>
      </w:r>
    </w:p>
    <w:p w14:paraId="79AFC846" w14:textId="48BA1164" w:rsidR="00052E65" w:rsidRPr="00277E7A" w:rsidRDefault="00277E7A" w:rsidP="00277E7A">
      <w:pPr>
        <w:spacing w:before="480" w:after="480" w:line="480" w:lineRule="auto"/>
        <w:ind w:left="567" w:hanging="567"/>
        <w:jc w:val="both"/>
        <w:rPr>
          <w:rFonts w:ascii="Arial" w:hAnsi="Arial" w:cs="Arial"/>
          <w:sz w:val="24"/>
          <w:szCs w:val="24"/>
          <w:lang w:val="en-US"/>
        </w:rPr>
      </w:pPr>
      <w:r w:rsidRPr="008148E1">
        <w:rPr>
          <w:rFonts w:ascii="Arial" w:hAnsi="Arial" w:cs="Arial"/>
          <w:sz w:val="24"/>
          <w:szCs w:val="24"/>
          <w:lang w:val="en-US"/>
        </w:rPr>
        <w:t>[19]</w:t>
      </w:r>
      <w:r w:rsidRPr="008148E1">
        <w:rPr>
          <w:rFonts w:ascii="Arial" w:hAnsi="Arial" w:cs="Arial"/>
          <w:sz w:val="24"/>
          <w:szCs w:val="24"/>
          <w:lang w:val="en-US"/>
        </w:rPr>
        <w:tab/>
      </w:r>
      <w:r w:rsidR="00757ADF" w:rsidRPr="00277E7A">
        <w:rPr>
          <w:rFonts w:ascii="Arial" w:hAnsi="Arial" w:cs="Arial"/>
          <w:sz w:val="24"/>
          <w:szCs w:val="24"/>
          <w:lang w:val="en-US"/>
        </w:rPr>
        <w:t>There is no lega</w:t>
      </w:r>
      <w:r w:rsidR="005D105D" w:rsidRPr="00277E7A">
        <w:rPr>
          <w:rFonts w:ascii="Arial" w:hAnsi="Arial" w:cs="Arial"/>
          <w:sz w:val="24"/>
          <w:szCs w:val="24"/>
          <w:lang w:val="en-US"/>
        </w:rPr>
        <w:t>l principle that service is invalidated because the plaintiff or applicant has knowledge that the defendant or respondent is no longer present at the</w:t>
      </w:r>
      <w:r w:rsidR="0062452F" w:rsidRPr="00277E7A">
        <w:rPr>
          <w:rFonts w:ascii="Arial" w:hAnsi="Arial" w:cs="Arial"/>
          <w:sz w:val="24"/>
          <w:szCs w:val="24"/>
          <w:lang w:val="en-US"/>
        </w:rPr>
        <w:t xml:space="preserve"> registered address or a chosen </w:t>
      </w:r>
      <w:r w:rsidR="0062452F" w:rsidRPr="00277E7A">
        <w:rPr>
          <w:rFonts w:ascii="Arial" w:hAnsi="Arial" w:cs="Arial"/>
          <w:i/>
          <w:iCs/>
          <w:sz w:val="24"/>
          <w:szCs w:val="24"/>
          <w:lang w:val="en-US"/>
        </w:rPr>
        <w:t>domicilium citandi.</w:t>
      </w:r>
      <w:r w:rsidR="00757F09" w:rsidRPr="00277E7A">
        <w:rPr>
          <w:rFonts w:ascii="Arial" w:hAnsi="Arial" w:cs="Arial"/>
          <w:i/>
          <w:iCs/>
          <w:sz w:val="24"/>
          <w:szCs w:val="24"/>
          <w:lang w:val="en-US"/>
        </w:rPr>
        <w:t xml:space="preserve"> </w:t>
      </w:r>
      <w:r w:rsidR="00757F09" w:rsidRPr="00277E7A">
        <w:rPr>
          <w:rFonts w:ascii="Arial" w:hAnsi="Arial" w:cs="Arial"/>
          <w:sz w:val="24"/>
          <w:szCs w:val="24"/>
          <w:lang w:val="en-US"/>
        </w:rPr>
        <w:t>To contrary, the</w:t>
      </w:r>
      <w:r w:rsidR="0076169F" w:rsidRPr="00277E7A">
        <w:rPr>
          <w:rFonts w:ascii="Arial" w:hAnsi="Arial" w:cs="Arial"/>
          <w:sz w:val="24"/>
          <w:szCs w:val="24"/>
          <w:lang w:val="en-US"/>
        </w:rPr>
        <w:t xml:space="preserve"> recognition of </w:t>
      </w:r>
      <w:r w:rsidR="009F3E94" w:rsidRPr="00277E7A">
        <w:rPr>
          <w:rFonts w:ascii="Arial" w:hAnsi="Arial" w:cs="Arial"/>
          <w:sz w:val="24"/>
          <w:szCs w:val="24"/>
          <w:lang w:val="en-US"/>
        </w:rPr>
        <w:t xml:space="preserve">service on </w:t>
      </w:r>
      <w:r w:rsidR="0076169F" w:rsidRPr="00277E7A">
        <w:rPr>
          <w:rFonts w:ascii="Arial" w:hAnsi="Arial" w:cs="Arial"/>
          <w:sz w:val="24"/>
          <w:szCs w:val="24"/>
          <w:lang w:val="en-US"/>
        </w:rPr>
        <w:t xml:space="preserve">a chosen </w:t>
      </w:r>
      <w:r w:rsidR="0076169F" w:rsidRPr="00277E7A">
        <w:rPr>
          <w:rFonts w:ascii="Arial" w:hAnsi="Arial" w:cs="Arial"/>
          <w:i/>
          <w:iCs/>
          <w:sz w:val="24"/>
          <w:szCs w:val="24"/>
          <w:lang w:val="en-US"/>
        </w:rPr>
        <w:t>domicilium citandi</w:t>
      </w:r>
      <w:r w:rsidR="009F3E94" w:rsidRPr="00277E7A">
        <w:rPr>
          <w:rFonts w:ascii="Arial" w:hAnsi="Arial" w:cs="Arial"/>
          <w:sz w:val="24"/>
          <w:szCs w:val="24"/>
          <w:lang w:val="en-US"/>
        </w:rPr>
        <w:t xml:space="preserve"> </w:t>
      </w:r>
      <w:r w:rsidR="00573823" w:rsidRPr="00277E7A">
        <w:rPr>
          <w:rFonts w:ascii="Arial" w:hAnsi="Arial" w:cs="Arial"/>
          <w:sz w:val="24"/>
          <w:szCs w:val="24"/>
          <w:lang w:val="en-US"/>
        </w:rPr>
        <w:t>or registered address</w:t>
      </w:r>
      <w:r w:rsidR="00571040" w:rsidRPr="00277E7A">
        <w:rPr>
          <w:rFonts w:ascii="Arial" w:hAnsi="Arial" w:cs="Arial"/>
          <w:sz w:val="24"/>
          <w:szCs w:val="24"/>
          <w:lang w:val="en-US"/>
        </w:rPr>
        <w:t xml:space="preserve"> is fundamentally based on the acceptance that</w:t>
      </w:r>
      <w:r w:rsidR="00B260E6" w:rsidRPr="00277E7A">
        <w:rPr>
          <w:rFonts w:ascii="Arial" w:hAnsi="Arial" w:cs="Arial"/>
          <w:sz w:val="24"/>
          <w:szCs w:val="24"/>
          <w:lang w:val="en-US"/>
        </w:rPr>
        <w:t xml:space="preserve"> such service is valid despite the </w:t>
      </w:r>
      <w:r w:rsidR="00B260E6" w:rsidRPr="00277E7A">
        <w:rPr>
          <w:rFonts w:ascii="Arial" w:hAnsi="Arial" w:cs="Arial"/>
          <w:sz w:val="24"/>
          <w:szCs w:val="24"/>
          <w:lang w:val="en-US"/>
        </w:rPr>
        <w:lastRenderedPageBreak/>
        <w:t xml:space="preserve">absence of the party </w:t>
      </w:r>
      <w:r w:rsidR="00CE08BD" w:rsidRPr="00277E7A">
        <w:rPr>
          <w:rFonts w:ascii="Arial" w:hAnsi="Arial" w:cs="Arial"/>
          <w:sz w:val="24"/>
          <w:szCs w:val="24"/>
          <w:lang w:val="en-US"/>
        </w:rPr>
        <w:t xml:space="preserve">who is served, and despite knowledge on the part of the </w:t>
      </w:r>
      <w:r w:rsidR="00563760" w:rsidRPr="00277E7A">
        <w:rPr>
          <w:rFonts w:ascii="Arial" w:hAnsi="Arial" w:cs="Arial"/>
          <w:sz w:val="24"/>
          <w:szCs w:val="24"/>
          <w:lang w:val="en-US"/>
        </w:rPr>
        <w:t>plaintiff or applicant that the other party is absent.</w:t>
      </w:r>
      <w:r w:rsidR="00386AB4">
        <w:rPr>
          <w:rStyle w:val="FootnoteReference"/>
          <w:rFonts w:ascii="Arial" w:hAnsi="Arial" w:cs="Arial"/>
          <w:sz w:val="24"/>
          <w:szCs w:val="24"/>
          <w:lang w:val="en-US"/>
        </w:rPr>
        <w:footnoteReference w:id="1"/>
      </w:r>
    </w:p>
    <w:p w14:paraId="70F3362D" w14:textId="41CB8D14" w:rsidR="0080649D"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[20]</w:t>
      </w:r>
      <w:r>
        <w:rPr>
          <w:rFonts w:ascii="Arial" w:hAnsi="Arial" w:cs="Arial"/>
          <w:sz w:val="24"/>
          <w:szCs w:val="24"/>
          <w:lang w:val="en-US"/>
        </w:rPr>
        <w:tab/>
      </w:r>
      <w:r w:rsidR="00A42C26" w:rsidRPr="00277E7A">
        <w:rPr>
          <w:rFonts w:ascii="Arial" w:hAnsi="Arial" w:cs="Arial"/>
          <w:sz w:val="24"/>
          <w:szCs w:val="24"/>
          <w:lang w:val="en-US"/>
        </w:rPr>
        <w:t xml:space="preserve">Consequently, the first </w:t>
      </w:r>
      <w:r w:rsidR="0080649D" w:rsidRPr="00277E7A">
        <w:rPr>
          <w:rFonts w:ascii="Arial" w:hAnsi="Arial" w:cs="Arial"/>
          <w:sz w:val="24"/>
          <w:szCs w:val="24"/>
          <w:lang w:val="en-US"/>
        </w:rPr>
        <w:t>complaint raised by the applicant falls to be rejected.</w:t>
      </w:r>
    </w:p>
    <w:p w14:paraId="34639948" w14:textId="14367436" w:rsidR="0080649D" w:rsidRPr="00857E17" w:rsidRDefault="00857E17" w:rsidP="0080649D">
      <w:pPr>
        <w:spacing w:before="480" w:after="480" w:line="480" w:lineRule="auto"/>
        <w:jc w:val="both"/>
        <w:rPr>
          <w:rFonts w:ascii="Arial" w:hAnsi="Arial" w:cs="Arial"/>
          <w:b/>
          <w:bCs/>
          <w:i/>
          <w:iCs/>
          <w:sz w:val="24"/>
          <w:szCs w:val="24"/>
          <w:u w:val="single"/>
          <w:lang w:val="en-US"/>
        </w:rPr>
      </w:pPr>
      <w:r>
        <w:rPr>
          <w:rFonts w:ascii="Arial" w:hAnsi="Arial" w:cs="Arial"/>
          <w:b/>
          <w:bCs/>
          <w:sz w:val="24"/>
          <w:szCs w:val="24"/>
          <w:u w:val="single"/>
          <w:lang w:val="en-US"/>
        </w:rPr>
        <w:t xml:space="preserve">THE VALIDITY OF </w:t>
      </w:r>
      <w:r w:rsidR="002654BD">
        <w:rPr>
          <w:rFonts w:ascii="Arial" w:hAnsi="Arial" w:cs="Arial"/>
          <w:b/>
          <w:bCs/>
          <w:sz w:val="24"/>
          <w:szCs w:val="24"/>
          <w:u w:val="single"/>
          <w:lang w:val="en-US"/>
        </w:rPr>
        <w:t xml:space="preserve">ALTERNATIVE </w:t>
      </w:r>
      <w:r>
        <w:rPr>
          <w:rFonts w:ascii="Arial" w:hAnsi="Arial" w:cs="Arial"/>
          <w:b/>
          <w:bCs/>
          <w:sz w:val="24"/>
          <w:szCs w:val="24"/>
          <w:u w:val="single"/>
          <w:lang w:val="en-US"/>
        </w:rPr>
        <w:t xml:space="preserve">SERVICE WHERE A </w:t>
      </w:r>
      <w:r>
        <w:rPr>
          <w:rFonts w:ascii="Arial" w:hAnsi="Arial" w:cs="Arial"/>
          <w:b/>
          <w:bCs/>
          <w:i/>
          <w:iCs/>
          <w:sz w:val="24"/>
          <w:szCs w:val="24"/>
          <w:u w:val="single"/>
          <w:lang w:val="en-US"/>
        </w:rPr>
        <w:t>DOMICILIUM CITANDI</w:t>
      </w:r>
      <w:r w:rsidR="002654BD">
        <w:rPr>
          <w:rFonts w:ascii="Arial" w:hAnsi="Arial" w:cs="Arial"/>
          <w:b/>
          <w:bCs/>
          <w:i/>
          <w:iCs/>
          <w:sz w:val="24"/>
          <w:szCs w:val="24"/>
          <w:u w:val="single"/>
          <w:lang w:val="en-US"/>
        </w:rPr>
        <w:t xml:space="preserve"> </w:t>
      </w:r>
      <w:r w:rsidR="002654BD">
        <w:rPr>
          <w:rFonts w:ascii="Arial" w:hAnsi="Arial" w:cs="Arial"/>
          <w:b/>
          <w:bCs/>
          <w:sz w:val="24"/>
          <w:szCs w:val="24"/>
          <w:u w:val="single"/>
          <w:lang w:val="en-US"/>
        </w:rPr>
        <w:t>WAS CHOSEN</w:t>
      </w:r>
      <w:r w:rsidR="002654BD">
        <w:rPr>
          <w:rFonts w:ascii="Arial" w:hAnsi="Arial" w:cs="Arial"/>
          <w:b/>
          <w:bCs/>
          <w:i/>
          <w:iCs/>
          <w:sz w:val="24"/>
          <w:szCs w:val="24"/>
          <w:u w:val="single"/>
          <w:lang w:val="en-US"/>
        </w:rPr>
        <w:t xml:space="preserve"> </w:t>
      </w:r>
    </w:p>
    <w:p w14:paraId="3D1E1B4C" w14:textId="0E323C25" w:rsidR="00AC3B56" w:rsidRPr="00277E7A" w:rsidRDefault="00277E7A" w:rsidP="00277E7A">
      <w:pPr>
        <w:spacing w:before="480" w:after="480" w:line="480" w:lineRule="auto"/>
        <w:ind w:left="567" w:hanging="567"/>
        <w:jc w:val="both"/>
        <w:rPr>
          <w:rFonts w:ascii="Arial" w:hAnsi="Arial" w:cs="Arial"/>
          <w:sz w:val="24"/>
          <w:szCs w:val="24"/>
          <w:lang w:val="en-US"/>
        </w:rPr>
      </w:pPr>
      <w:r w:rsidRPr="00C94ACA">
        <w:rPr>
          <w:rFonts w:ascii="Arial" w:hAnsi="Arial" w:cs="Arial"/>
          <w:sz w:val="24"/>
          <w:szCs w:val="24"/>
          <w:lang w:val="en-US"/>
        </w:rPr>
        <w:t>[21]</w:t>
      </w:r>
      <w:r w:rsidRPr="00C94ACA">
        <w:rPr>
          <w:rFonts w:ascii="Arial" w:hAnsi="Arial" w:cs="Arial"/>
          <w:sz w:val="24"/>
          <w:szCs w:val="24"/>
          <w:lang w:val="en-US"/>
        </w:rPr>
        <w:tab/>
      </w:r>
      <w:r w:rsidR="002654BD" w:rsidRPr="00277E7A">
        <w:rPr>
          <w:rFonts w:ascii="Arial" w:hAnsi="Arial" w:cs="Arial"/>
          <w:sz w:val="24"/>
          <w:szCs w:val="24"/>
          <w:lang w:val="en-US"/>
        </w:rPr>
        <w:t xml:space="preserve">The applicant’s second point </w:t>
      </w:r>
      <w:r w:rsidR="000652B8" w:rsidRPr="00277E7A">
        <w:rPr>
          <w:rFonts w:ascii="Arial" w:hAnsi="Arial" w:cs="Arial"/>
          <w:sz w:val="24"/>
          <w:szCs w:val="24"/>
          <w:lang w:val="en-US"/>
        </w:rPr>
        <w:t xml:space="preserve">is that the respondent was constrained to serve the application at the applicant’s chosen </w:t>
      </w:r>
      <w:r w:rsidR="000652B8" w:rsidRPr="00277E7A">
        <w:rPr>
          <w:rFonts w:ascii="Arial" w:hAnsi="Arial" w:cs="Arial"/>
          <w:i/>
          <w:iCs/>
          <w:sz w:val="24"/>
          <w:szCs w:val="24"/>
          <w:lang w:val="en-US"/>
        </w:rPr>
        <w:t>domicilium citandi</w:t>
      </w:r>
      <w:r w:rsidR="00976E88" w:rsidRPr="00277E7A">
        <w:rPr>
          <w:rFonts w:ascii="Arial" w:hAnsi="Arial" w:cs="Arial"/>
          <w:sz w:val="24"/>
          <w:szCs w:val="24"/>
          <w:lang w:val="en-US"/>
        </w:rPr>
        <w:t xml:space="preserve"> and that any other </w:t>
      </w:r>
      <w:r w:rsidR="00C94ACA" w:rsidRPr="00277E7A">
        <w:rPr>
          <w:rFonts w:ascii="Arial" w:hAnsi="Arial" w:cs="Arial"/>
          <w:sz w:val="24"/>
          <w:szCs w:val="24"/>
          <w:lang w:val="en-US"/>
        </w:rPr>
        <w:t>manner of service was invalid.</w:t>
      </w:r>
    </w:p>
    <w:p w14:paraId="02479FBE" w14:textId="2676B303" w:rsidR="008F2A38" w:rsidRPr="00277E7A" w:rsidRDefault="00277E7A" w:rsidP="00277E7A">
      <w:pPr>
        <w:spacing w:before="480" w:after="480" w:line="480" w:lineRule="auto"/>
        <w:ind w:left="567" w:hanging="567"/>
        <w:jc w:val="both"/>
        <w:rPr>
          <w:rFonts w:ascii="Arial" w:hAnsi="Arial" w:cs="Arial"/>
          <w:sz w:val="24"/>
          <w:szCs w:val="24"/>
          <w:lang w:val="en-US"/>
        </w:rPr>
      </w:pPr>
      <w:r w:rsidRPr="005D00D2">
        <w:rPr>
          <w:rFonts w:ascii="Arial" w:hAnsi="Arial" w:cs="Arial"/>
          <w:sz w:val="24"/>
          <w:szCs w:val="24"/>
          <w:lang w:val="en-US"/>
        </w:rPr>
        <w:t>[22]</w:t>
      </w:r>
      <w:r w:rsidRPr="005D00D2">
        <w:rPr>
          <w:rFonts w:ascii="Arial" w:hAnsi="Arial" w:cs="Arial"/>
          <w:sz w:val="24"/>
          <w:szCs w:val="24"/>
          <w:lang w:val="en-US"/>
        </w:rPr>
        <w:tab/>
      </w:r>
      <w:r w:rsidR="00976E88" w:rsidRPr="00277E7A">
        <w:rPr>
          <w:rFonts w:ascii="Arial" w:hAnsi="Arial" w:cs="Arial"/>
          <w:sz w:val="24"/>
          <w:szCs w:val="24"/>
          <w:lang w:val="en-US"/>
        </w:rPr>
        <w:t xml:space="preserve">The applicant relied in this regard on the decision of a full bench of this court in </w:t>
      </w:r>
      <w:r w:rsidR="00976E88" w:rsidRPr="00277E7A">
        <w:rPr>
          <w:rFonts w:ascii="Arial" w:hAnsi="Arial" w:cs="Arial"/>
          <w:i/>
          <w:iCs/>
          <w:sz w:val="24"/>
          <w:szCs w:val="24"/>
          <w:lang w:val="en-US"/>
        </w:rPr>
        <w:t>Sheppard v Emmerich</w:t>
      </w:r>
      <w:r w:rsidR="00C94ACA" w:rsidRPr="00277E7A">
        <w:rPr>
          <w:rFonts w:ascii="Arial" w:hAnsi="Arial" w:cs="Arial"/>
          <w:i/>
          <w:iCs/>
          <w:sz w:val="24"/>
          <w:szCs w:val="24"/>
          <w:lang w:val="en-US"/>
        </w:rPr>
        <w:t xml:space="preserve"> </w:t>
      </w:r>
      <w:r w:rsidR="005867AF" w:rsidRPr="00277E7A">
        <w:rPr>
          <w:rFonts w:ascii="Arial" w:hAnsi="Arial" w:cs="Arial"/>
          <w:sz w:val="24"/>
          <w:szCs w:val="24"/>
          <w:lang w:val="en-US"/>
        </w:rPr>
        <w:t>in which</w:t>
      </w:r>
      <w:r w:rsidR="00C94ACA" w:rsidRPr="00277E7A">
        <w:rPr>
          <w:rFonts w:ascii="Arial" w:hAnsi="Arial" w:cs="Arial"/>
          <w:sz w:val="24"/>
          <w:szCs w:val="24"/>
          <w:lang w:val="en-US"/>
        </w:rPr>
        <w:t xml:space="preserve"> it </w:t>
      </w:r>
      <w:r w:rsidR="0045714E" w:rsidRPr="00277E7A">
        <w:rPr>
          <w:rFonts w:ascii="Arial" w:hAnsi="Arial" w:cs="Arial"/>
          <w:sz w:val="24"/>
          <w:szCs w:val="24"/>
          <w:lang w:val="en-US"/>
        </w:rPr>
        <w:t xml:space="preserve">was </w:t>
      </w:r>
      <w:r w:rsidR="00BA1251" w:rsidRPr="00277E7A">
        <w:rPr>
          <w:rFonts w:ascii="Arial" w:hAnsi="Arial" w:cs="Arial"/>
          <w:sz w:val="24"/>
          <w:szCs w:val="24"/>
          <w:lang w:val="en-US"/>
        </w:rPr>
        <w:t>held that</w:t>
      </w:r>
      <w:r w:rsidR="00BB210B" w:rsidRPr="00277E7A">
        <w:rPr>
          <w:rFonts w:ascii="Arial" w:hAnsi="Arial" w:cs="Arial"/>
          <w:sz w:val="24"/>
          <w:szCs w:val="24"/>
          <w:lang w:val="en-US"/>
        </w:rPr>
        <w:t xml:space="preserve"> if parties to an agreement agreed to a </w:t>
      </w:r>
      <w:r w:rsidR="001D7690" w:rsidRPr="00277E7A">
        <w:rPr>
          <w:rFonts w:ascii="Arial" w:hAnsi="Arial" w:cs="Arial"/>
          <w:sz w:val="24"/>
          <w:szCs w:val="24"/>
          <w:lang w:val="en-US"/>
        </w:rPr>
        <w:t>specific method of service, the</w:t>
      </w:r>
      <w:r w:rsidR="00D90952" w:rsidRPr="00277E7A">
        <w:rPr>
          <w:rFonts w:ascii="Arial" w:hAnsi="Arial" w:cs="Arial"/>
          <w:sz w:val="24"/>
          <w:szCs w:val="24"/>
          <w:lang w:val="en-US"/>
        </w:rPr>
        <w:t>y</w:t>
      </w:r>
      <w:r w:rsidR="001D7690" w:rsidRPr="00277E7A">
        <w:rPr>
          <w:rFonts w:ascii="Arial" w:hAnsi="Arial" w:cs="Arial"/>
          <w:sz w:val="24"/>
          <w:szCs w:val="24"/>
          <w:lang w:val="en-US"/>
        </w:rPr>
        <w:t xml:space="preserve"> will be bound </w:t>
      </w:r>
      <w:r w:rsidR="00D90952" w:rsidRPr="00277E7A">
        <w:rPr>
          <w:rFonts w:ascii="Arial" w:hAnsi="Arial" w:cs="Arial"/>
          <w:sz w:val="24"/>
          <w:szCs w:val="24"/>
          <w:lang w:val="en-US"/>
        </w:rPr>
        <w:t>to effect service in the agreed manner.</w:t>
      </w:r>
      <w:r w:rsidR="00256C21">
        <w:rPr>
          <w:rStyle w:val="FootnoteReference"/>
          <w:rFonts w:ascii="Arial" w:hAnsi="Arial" w:cs="Arial"/>
          <w:sz w:val="24"/>
          <w:szCs w:val="24"/>
          <w:lang w:val="en-US"/>
        </w:rPr>
        <w:footnoteReference w:id="2"/>
      </w:r>
      <w:r w:rsidR="006617E4" w:rsidRPr="00277E7A">
        <w:rPr>
          <w:rFonts w:ascii="Arial" w:hAnsi="Arial" w:cs="Arial"/>
          <w:sz w:val="24"/>
          <w:szCs w:val="24"/>
          <w:lang w:val="en-US"/>
        </w:rPr>
        <w:t xml:space="preserve"> </w:t>
      </w:r>
    </w:p>
    <w:p w14:paraId="53BD7D55" w14:textId="33E1ED8F" w:rsidR="00E21D17" w:rsidRPr="00277E7A" w:rsidRDefault="00277E7A" w:rsidP="00277E7A">
      <w:pPr>
        <w:spacing w:before="480" w:after="480" w:line="480" w:lineRule="auto"/>
        <w:ind w:left="567" w:hanging="567"/>
        <w:jc w:val="both"/>
        <w:rPr>
          <w:rFonts w:ascii="Arial" w:hAnsi="Arial" w:cs="Arial"/>
          <w:sz w:val="24"/>
          <w:szCs w:val="24"/>
          <w:lang w:val="en-US"/>
        </w:rPr>
      </w:pPr>
      <w:r w:rsidRPr="00560626">
        <w:rPr>
          <w:rFonts w:ascii="Arial" w:hAnsi="Arial" w:cs="Arial"/>
          <w:sz w:val="24"/>
          <w:szCs w:val="24"/>
          <w:lang w:val="en-US"/>
        </w:rPr>
        <w:t>[23]</w:t>
      </w:r>
      <w:r w:rsidRPr="00560626">
        <w:rPr>
          <w:rFonts w:ascii="Arial" w:hAnsi="Arial" w:cs="Arial"/>
          <w:sz w:val="24"/>
          <w:szCs w:val="24"/>
          <w:lang w:val="en-US"/>
        </w:rPr>
        <w:tab/>
      </w:r>
      <w:r w:rsidR="009A0DCA" w:rsidRPr="00277E7A">
        <w:rPr>
          <w:rFonts w:ascii="Arial" w:hAnsi="Arial" w:cs="Arial"/>
          <w:sz w:val="24"/>
          <w:szCs w:val="24"/>
          <w:lang w:val="en-US"/>
        </w:rPr>
        <w:t xml:space="preserve">The </w:t>
      </w:r>
      <w:r w:rsidR="00DE74DE" w:rsidRPr="00277E7A">
        <w:rPr>
          <w:rFonts w:ascii="Arial" w:hAnsi="Arial" w:cs="Arial"/>
          <w:sz w:val="24"/>
          <w:szCs w:val="24"/>
          <w:lang w:val="en-US"/>
        </w:rPr>
        <w:t>decision</w:t>
      </w:r>
      <w:r w:rsidR="007F23EE" w:rsidRPr="00277E7A">
        <w:rPr>
          <w:rFonts w:ascii="Arial" w:hAnsi="Arial" w:cs="Arial"/>
          <w:i/>
          <w:iCs/>
          <w:sz w:val="24"/>
          <w:szCs w:val="24"/>
          <w:lang w:val="en-US"/>
        </w:rPr>
        <w:t xml:space="preserve"> </w:t>
      </w:r>
      <w:r w:rsidR="007F23EE" w:rsidRPr="00277E7A">
        <w:rPr>
          <w:rFonts w:ascii="Arial" w:hAnsi="Arial" w:cs="Arial"/>
          <w:sz w:val="24"/>
          <w:szCs w:val="24"/>
          <w:lang w:val="en-US"/>
        </w:rPr>
        <w:t>in</w:t>
      </w:r>
      <w:r w:rsidR="00083B24" w:rsidRPr="00277E7A">
        <w:rPr>
          <w:rFonts w:ascii="Arial" w:hAnsi="Arial" w:cs="Arial"/>
          <w:sz w:val="24"/>
          <w:szCs w:val="24"/>
          <w:lang w:val="en-US"/>
        </w:rPr>
        <w:t xml:space="preserve"> </w:t>
      </w:r>
      <w:r w:rsidR="00083B24" w:rsidRPr="00277E7A">
        <w:rPr>
          <w:rFonts w:ascii="Arial" w:hAnsi="Arial" w:cs="Arial"/>
          <w:i/>
          <w:iCs/>
          <w:sz w:val="24"/>
          <w:szCs w:val="24"/>
          <w:lang w:val="en-US"/>
        </w:rPr>
        <w:t xml:space="preserve">Sheppard </w:t>
      </w:r>
      <w:r w:rsidR="007F23EE" w:rsidRPr="00277E7A">
        <w:rPr>
          <w:rFonts w:ascii="Arial" w:hAnsi="Arial" w:cs="Arial"/>
          <w:sz w:val="24"/>
          <w:szCs w:val="24"/>
          <w:lang w:val="en-US"/>
        </w:rPr>
        <w:t xml:space="preserve">must be </w:t>
      </w:r>
      <w:r w:rsidR="001A0004" w:rsidRPr="00277E7A">
        <w:rPr>
          <w:rFonts w:ascii="Arial" w:hAnsi="Arial" w:cs="Arial"/>
          <w:sz w:val="24"/>
          <w:szCs w:val="24"/>
          <w:lang w:val="en-US"/>
        </w:rPr>
        <w:t>seen in</w:t>
      </w:r>
      <w:r w:rsidR="002C17CA" w:rsidRPr="00277E7A">
        <w:rPr>
          <w:rFonts w:ascii="Arial" w:hAnsi="Arial" w:cs="Arial"/>
          <w:sz w:val="24"/>
          <w:szCs w:val="24"/>
          <w:lang w:val="en-US"/>
        </w:rPr>
        <w:t xml:space="preserve"> the context of the facts of that matter. I</w:t>
      </w:r>
      <w:r w:rsidR="006061F4" w:rsidRPr="00277E7A">
        <w:rPr>
          <w:rFonts w:ascii="Arial" w:hAnsi="Arial" w:cs="Arial"/>
          <w:sz w:val="24"/>
          <w:szCs w:val="24"/>
          <w:lang w:val="en-US"/>
        </w:rPr>
        <w:t xml:space="preserve">t was held that </w:t>
      </w:r>
      <w:r w:rsidR="00BE0242" w:rsidRPr="00277E7A">
        <w:rPr>
          <w:rFonts w:ascii="Arial" w:hAnsi="Arial" w:cs="Arial"/>
          <w:sz w:val="24"/>
          <w:szCs w:val="24"/>
          <w:lang w:val="en-US"/>
        </w:rPr>
        <w:t xml:space="preserve">where a defendant chose a </w:t>
      </w:r>
      <w:r w:rsidR="00BE0242" w:rsidRPr="00277E7A">
        <w:rPr>
          <w:rFonts w:ascii="Arial" w:hAnsi="Arial" w:cs="Arial"/>
          <w:i/>
          <w:iCs/>
          <w:sz w:val="24"/>
          <w:szCs w:val="24"/>
          <w:lang w:val="en-US"/>
        </w:rPr>
        <w:t>domicilium citandi</w:t>
      </w:r>
      <w:r w:rsidR="00DA65D2" w:rsidRPr="00277E7A">
        <w:rPr>
          <w:rFonts w:ascii="Arial" w:hAnsi="Arial" w:cs="Arial"/>
          <w:sz w:val="24"/>
          <w:szCs w:val="24"/>
          <w:lang w:val="en-US"/>
        </w:rPr>
        <w:t xml:space="preserve"> </w:t>
      </w:r>
      <w:r w:rsidR="00D4774A" w:rsidRPr="00277E7A">
        <w:rPr>
          <w:rFonts w:ascii="Arial" w:hAnsi="Arial" w:cs="Arial"/>
          <w:sz w:val="24"/>
          <w:szCs w:val="24"/>
          <w:lang w:val="en-US"/>
        </w:rPr>
        <w:t>the service must be</w:t>
      </w:r>
      <w:r w:rsidR="00494F93" w:rsidRPr="00277E7A">
        <w:rPr>
          <w:rFonts w:ascii="Arial" w:hAnsi="Arial" w:cs="Arial"/>
          <w:sz w:val="24"/>
          <w:szCs w:val="24"/>
          <w:lang w:val="en-US"/>
        </w:rPr>
        <w:t xml:space="preserve"> </w:t>
      </w:r>
      <w:r w:rsidR="00D4774A" w:rsidRPr="00277E7A">
        <w:rPr>
          <w:rFonts w:ascii="Arial" w:hAnsi="Arial" w:cs="Arial"/>
          <w:sz w:val="24"/>
          <w:szCs w:val="24"/>
          <w:lang w:val="en-US"/>
        </w:rPr>
        <w:t>effected</w:t>
      </w:r>
      <w:r w:rsidR="002F3689" w:rsidRPr="00277E7A">
        <w:rPr>
          <w:rFonts w:ascii="Arial" w:hAnsi="Arial" w:cs="Arial"/>
          <w:sz w:val="24"/>
          <w:szCs w:val="24"/>
          <w:lang w:val="en-US"/>
        </w:rPr>
        <w:t xml:space="preserve"> at the address described </w:t>
      </w:r>
      <w:r w:rsidR="00F5145D" w:rsidRPr="00277E7A">
        <w:rPr>
          <w:rFonts w:ascii="Arial" w:hAnsi="Arial" w:cs="Arial"/>
          <w:sz w:val="24"/>
          <w:szCs w:val="24"/>
          <w:lang w:val="en-US"/>
        </w:rPr>
        <w:t xml:space="preserve">in the chosen </w:t>
      </w:r>
      <w:r w:rsidR="00F5145D" w:rsidRPr="00277E7A">
        <w:rPr>
          <w:rFonts w:ascii="Arial" w:hAnsi="Arial" w:cs="Arial"/>
          <w:i/>
          <w:iCs/>
          <w:sz w:val="24"/>
          <w:szCs w:val="24"/>
          <w:lang w:val="en-US"/>
        </w:rPr>
        <w:t>domicilium citandi</w:t>
      </w:r>
      <w:r w:rsidR="00F5145D" w:rsidRPr="00277E7A">
        <w:rPr>
          <w:rFonts w:ascii="Arial" w:hAnsi="Arial" w:cs="Arial"/>
          <w:sz w:val="24"/>
          <w:szCs w:val="24"/>
          <w:lang w:val="en-US"/>
        </w:rPr>
        <w:t xml:space="preserve"> </w:t>
      </w:r>
      <w:r w:rsidR="00500C01" w:rsidRPr="00277E7A">
        <w:rPr>
          <w:rFonts w:ascii="Arial" w:hAnsi="Arial" w:cs="Arial"/>
          <w:sz w:val="24"/>
          <w:szCs w:val="24"/>
          <w:lang w:val="en-US"/>
        </w:rPr>
        <w:t xml:space="preserve">and if </w:t>
      </w:r>
      <w:r w:rsidR="00CB572E" w:rsidRPr="00277E7A">
        <w:rPr>
          <w:rFonts w:ascii="Arial" w:hAnsi="Arial" w:cs="Arial"/>
          <w:sz w:val="24"/>
          <w:szCs w:val="24"/>
          <w:lang w:val="en-US"/>
        </w:rPr>
        <w:t>the choice of an address was accompanied by additional requirements</w:t>
      </w:r>
      <w:r w:rsidR="00B018B5" w:rsidRPr="00277E7A">
        <w:rPr>
          <w:rFonts w:ascii="Arial" w:hAnsi="Arial" w:cs="Arial"/>
          <w:sz w:val="24"/>
          <w:szCs w:val="24"/>
          <w:lang w:val="en-US"/>
        </w:rPr>
        <w:t xml:space="preserve">, such requirements </w:t>
      </w:r>
      <w:r w:rsidR="00033DE7" w:rsidRPr="00277E7A">
        <w:rPr>
          <w:rFonts w:ascii="Arial" w:hAnsi="Arial" w:cs="Arial"/>
          <w:sz w:val="24"/>
          <w:szCs w:val="24"/>
          <w:lang w:val="en-US"/>
        </w:rPr>
        <w:t>must</w:t>
      </w:r>
      <w:r w:rsidR="00B018B5" w:rsidRPr="00277E7A">
        <w:rPr>
          <w:rFonts w:ascii="Arial" w:hAnsi="Arial" w:cs="Arial"/>
          <w:sz w:val="24"/>
          <w:szCs w:val="24"/>
          <w:lang w:val="en-US"/>
        </w:rPr>
        <w:t xml:space="preserve"> be met. Thus</w:t>
      </w:r>
      <w:r w:rsidR="000C2162" w:rsidRPr="00277E7A">
        <w:rPr>
          <w:rFonts w:ascii="Arial" w:hAnsi="Arial" w:cs="Arial"/>
          <w:sz w:val="24"/>
          <w:szCs w:val="24"/>
          <w:lang w:val="en-US"/>
        </w:rPr>
        <w:t>,</w:t>
      </w:r>
      <w:r w:rsidR="00B018B5" w:rsidRPr="00277E7A">
        <w:rPr>
          <w:rFonts w:ascii="Arial" w:hAnsi="Arial" w:cs="Arial"/>
          <w:sz w:val="24"/>
          <w:szCs w:val="24"/>
          <w:lang w:val="en-US"/>
        </w:rPr>
        <w:t xml:space="preserve"> </w:t>
      </w:r>
      <w:r w:rsidR="000C2162" w:rsidRPr="00277E7A">
        <w:rPr>
          <w:rFonts w:ascii="Arial" w:hAnsi="Arial" w:cs="Arial"/>
          <w:sz w:val="24"/>
          <w:szCs w:val="24"/>
          <w:lang w:val="en-US"/>
        </w:rPr>
        <w:t>where</w:t>
      </w:r>
      <w:r w:rsidR="00B018B5" w:rsidRPr="00277E7A">
        <w:rPr>
          <w:rFonts w:ascii="Arial" w:hAnsi="Arial" w:cs="Arial"/>
          <w:sz w:val="24"/>
          <w:szCs w:val="24"/>
          <w:lang w:val="en-US"/>
        </w:rPr>
        <w:t xml:space="preserve"> the chosen address was the address of a</w:t>
      </w:r>
      <w:r w:rsidR="007753D8" w:rsidRPr="00277E7A">
        <w:rPr>
          <w:rFonts w:ascii="Arial" w:hAnsi="Arial" w:cs="Arial"/>
          <w:sz w:val="24"/>
          <w:szCs w:val="24"/>
          <w:lang w:val="en-US"/>
        </w:rPr>
        <w:t xml:space="preserve"> firm of attorneys occupying several floors of a building</w:t>
      </w:r>
      <w:r w:rsidR="00BE3074" w:rsidRPr="00277E7A">
        <w:rPr>
          <w:rFonts w:ascii="Arial" w:hAnsi="Arial" w:cs="Arial"/>
          <w:sz w:val="24"/>
          <w:szCs w:val="24"/>
          <w:lang w:val="en-US"/>
        </w:rPr>
        <w:t xml:space="preserve">, but the </w:t>
      </w:r>
      <w:r w:rsidR="000C2162" w:rsidRPr="00277E7A">
        <w:rPr>
          <w:rFonts w:ascii="Arial" w:hAnsi="Arial" w:cs="Arial"/>
          <w:sz w:val="24"/>
          <w:szCs w:val="24"/>
          <w:lang w:val="en-US"/>
        </w:rPr>
        <w:t xml:space="preserve">chosen </w:t>
      </w:r>
      <w:r w:rsidR="00BE3074" w:rsidRPr="00277E7A">
        <w:rPr>
          <w:rFonts w:ascii="Arial" w:hAnsi="Arial" w:cs="Arial"/>
          <w:sz w:val="24"/>
          <w:szCs w:val="24"/>
          <w:lang w:val="en-US"/>
        </w:rPr>
        <w:t xml:space="preserve">address indicated that service must be effected on a specific floor, </w:t>
      </w:r>
      <w:r w:rsidR="009741DB" w:rsidRPr="00277E7A">
        <w:rPr>
          <w:rFonts w:ascii="Arial" w:hAnsi="Arial" w:cs="Arial"/>
          <w:sz w:val="24"/>
          <w:szCs w:val="24"/>
          <w:lang w:val="en-US"/>
        </w:rPr>
        <w:t xml:space="preserve">it was </w:t>
      </w:r>
      <w:r w:rsidR="0056331A" w:rsidRPr="00277E7A">
        <w:rPr>
          <w:rFonts w:ascii="Arial" w:hAnsi="Arial" w:cs="Arial"/>
          <w:sz w:val="24"/>
          <w:szCs w:val="24"/>
          <w:lang w:val="en-US"/>
        </w:rPr>
        <w:t xml:space="preserve">held </w:t>
      </w:r>
      <w:r w:rsidR="0006693C" w:rsidRPr="00277E7A">
        <w:rPr>
          <w:rFonts w:ascii="Arial" w:hAnsi="Arial" w:cs="Arial"/>
          <w:sz w:val="24"/>
          <w:szCs w:val="24"/>
          <w:lang w:val="en-US"/>
        </w:rPr>
        <w:t xml:space="preserve">that </w:t>
      </w:r>
      <w:r w:rsidR="00BE3074" w:rsidRPr="00277E7A">
        <w:rPr>
          <w:rFonts w:ascii="Arial" w:hAnsi="Arial" w:cs="Arial"/>
          <w:sz w:val="24"/>
          <w:szCs w:val="24"/>
          <w:lang w:val="en-US"/>
        </w:rPr>
        <w:t xml:space="preserve">valid </w:t>
      </w:r>
      <w:r w:rsidR="00BE3074" w:rsidRPr="00277E7A">
        <w:rPr>
          <w:rFonts w:ascii="Arial" w:hAnsi="Arial" w:cs="Arial"/>
          <w:sz w:val="24"/>
          <w:szCs w:val="24"/>
          <w:lang w:val="en-US"/>
        </w:rPr>
        <w:lastRenderedPageBreak/>
        <w:t>service c</w:t>
      </w:r>
      <w:r w:rsidR="0006693C" w:rsidRPr="00277E7A">
        <w:rPr>
          <w:rFonts w:ascii="Arial" w:hAnsi="Arial" w:cs="Arial"/>
          <w:sz w:val="24"/>
          <w:szCs w:val="24"/>
          <w:lang w:val="en-US"/>
        </w:rPr>
        <w:t>ould</w:t>
      </w:r>
      <w:r w:rsidR="00BE3074" w:rsidRPr="00277E7A">
        <w:rPr>
          <w:rFonts w:ascii="Arial" w:hAnsi="Arial" w:cs="Arial"/>
          <w:sz w:val="24"/>
          <w:szCs w:val="24"/>
          <w:lang w:val="en-US"/>
        </w:rPr>
        <w:t xml:space="preserve"> only be effected </w:t>
      </w:r>
      <w:r w:rsidR="007C2371" w:rsidRPr="00277E7A">
        <w:rPr>
          <w:rFonts w:ascii="Arial" w:hAnsi="Arial" w:cs="Arial"/>
          <w:sz w:val="24"/>
          <w:szCs w:val="24"/>
          <w:lang w:val="en-US"/>
        </w:rPr>
        <w:t>at the stipulated floor.</w:t>
      </w:r>
      <w:r w:rsidR="0056331A" w:rsidRPr="00277E7A">
        <w:rPr>
          <w:rFonts w:ascii="Arial" w:hAnsi="Arial" w:cs="Arial"/>
          <w:sz w:val="24"/>
          <w:szCs w:val="24"/>
          <w:lang w:val="en-US"/>
        </w:rPr>
        <w:t xml:space="preserve"> Furthermore, to the extent that the chosen address stipulated that the process must be directed at a specific person</w:t>
      </w:r>
      <w:r w:rsidR="00E572B7" w:rsidRPr="00277E7A">
        <w:rPr>
          <w:rFonts w:ascii="Arial" w:hAnsi="Arial" w:cs="Arial"/>
          <w:sz w:val="24"/>
          <w:szCs w:val="24"/>
          <w:lang w:val="en-US"/>
        </w:rPr>
        <w:t>, it was held that valid service could only be effected if the</w:t>
      </w:r>
      <w:r w:rsidR="00E96930" w:rsidRPr="00277E7A">
        <w:rPr>
          <w:rFonts w:ascii="Arial" w:hAnsi="Arial" w:cs="Arial"/>
          <w:sz w:val="24"/>
          <w:szCs w:val="24"/>
          <w:lang w:val="en-US"/>
        </w:rPr>
        <w:t xml:space="preserve"> service was directed at </w:t>
      </w:r>
      <w:r w:rsidR="000D1104" w:rsidRPr="00277E7A">
        <w:rPr>
          <w:rFonts w:ascii="Arial" w:hAnsi="Arial" w:cs="Arial"/>
          <w:sz w:val="24"/>
          <w:szCs w:val="24"/>
          <w:lang w:val="en-US"/>
        </w:rPr>
        <w:t>th</w:t>
      </w:r>
      <w:r w:rsidR="00CF1D15" w:rsidRPr="00277E7A">
        <w:rPr>
          <w:rFonts w:ascii="Arial" w:hAnsi="Arial" w:cs="Arial"/>
          <w:sz w:val="24"/>
          <w:szCs w:val="24"/>
          <w:lang w:val="en-US"/>
        </w:rPr>
        <w:t>at</w:t>
      </w:r>
      <w:r w:rsidR="000D1104" w:rsidRPr="00277E7A">
        <w:rPr>
          <w:rFonts w:ascii="Arial" w:hAnsi="Arial" w:cs="Arial"/>
          <w:sz w:val="24"/>
          <w:szCs w:val="24"/>
          <w:lang w:val="en-US"/>
        </w:rPr>
        <w:t xml:space="preserve"> person.</w:t>
      </w:r>
      <w:r w:rsidR="009741DB" w:rsidRPr="00277E7A">
        <w:rPr>
          <w:rFonts w:ascii="Arial" w:hAnsi="Arial" w:cs="Arial"/>
          <w:sz w:val="24"/>
          <w:szCs w:val="24"/>
          <w:lang w:val="en-US"/>
        </w:rPr>
        <w:t xml:space="preserve"> </w:t>
      </w:r>
      <w:r w:rsidR="00C1359D" w:rsidRPr="00277E7A">
        <w:rPr>
          <w:rFonts w:ascii="Arial" w:hAnsi="Arial" w:cs="Arial"/>
          <w:sz w:val="24"/>
          <w:szCs w:val="24"/>
          <w:lang w:val="en-US"/>
        </w:rPr>
        <w:t xml:space="preserve">Mere service at the attorneys’ office by affixing it </w:t>
      </w:r>
      <w:r w:rsidR="007A1624" w:rsidRPr="00277E7A">
        <w:rPr>
          <w:rFonts w:ascii="Arial" w:hAnsi="Arial" w:cs="Arial"/>
          <w:sz w:val="24"/>
          <w:szCs w:val="24"/>
          <w:lang w:val="en-US"/>
        </w:rPr>
        <w:t>to</w:t>
      </w:r>
      <w:r w:rsidR="00C1359D" w:rsidRPr="00277E7A">
        <w:rPr>
          <w:rFonts w:ascii="Arial" w:hAnsi="Arial" w:cs="Arial"/>
          <w:sz w:val="24"/>
          <w:szCs w:val="24"/>
          <w:lang w:val="en-US"/>
        </w:rPr>
        <w:t xml:space="preserve"> the </w:t>
      </w:r>
      <w:r w:rsidR="00067F27" w:rsidRPr="00277E7A">
        <w:rPr>
          <w:rFonts w:ascii="Arial" w:hAnsi="Arial" w:cs="Arial"/>
          <w:sz w:val="24"/>
          <w:szCs w:val="24"/>
          <w:lang w:val="en-US"/>
        </w:rPr>
        <w:t>main door</w:t>
      </w:r>
      <w:r w:rsidR="00CF1D15" w:rsidRPr="00277E7A">
        <w:rPr>
          <w:rFonts w:ascii="Arial" w:hAnsi="Arial" w:cs="Arial"/>
          <w:sz w:val="24"/>
          <w:szCs w:val="24"/>
          <w:lang w:val="en-US"/>
        </w:rPr>
        <w:t xml:space="preserve"> (situated on another floor)</w:t>
      </w:r>
      <w:r w:rsidR="00067F27" w:rsidRPr="00277E7A">
        <w:rPr>
          <w:rFonts w:ascii="Arial" w:hAnsi="Arial" w:cs="Arial"/>
          <w:sz w:val="24"/>
          <w:szCs w:val="24"/>
          <w:lang w:val="en-US"/>
        </w:rPr>
        <w:t xml:space="preserve"> was held to be invalid.</w:t>
      </w:r>
      <w:r w:rsidR="000A6A7A" w:rsidRPr="00277E7A">
        <w:rPr>
          <w:rFonts w:ascii="Arial" w:hAnsi="Arial" w:cs="Arial"/>
          <w:sz w:val="24"/>
          <w:szCs w:val="24"/>
          <w:lang w:val="en-US"/>
        </w:rPr>
        <w:t xml:space="preserve"> The issue was simply whether service in that matter was effected in accordance with the description of the agreed chosen </w:t>
      </w:r>
      <w:r w:rsidR="000A6A7A" w:rsidRPr="00277E7A">
        <w:rPr>
          <w:rFonts w:ascii="Arial" w:hAnsi="Arial" w:cs="Arial"/>
          <w:i/>
          <w:iCs/>
          <w:sz w:val="24"/>
          <w:szCs w:val="24"/>
          <w:lang w:val="en-US"/>
        </w:rPr>
        <w:t>domicilium citandi</w:t>
      </w:r>
      <w:r w:rsidR="000A6A7A" w:rsidRPr="00277E7A">
        <w:rPr>
          <w:rFonts w:ascii="Arial" w:hAnsi="Arial" w:cs="Arial"/>
          <w:sz w:val="24"/>
          <w:szCs w:val="24"/>
          <w:lang w:val="en-US"/>
        </w:rPr>
        <w:t>.</w:t>
      </w:r>
    </w:p>
    <w:p w14:paraId="76E16085" w14:textId="60B2B3AC" w:rsidR="00587C5F"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[24]</w:t>
      </w:r>
      <w:r>
        <w:rPr>
          <w:rFonts w:ascii="Arial" w:hAnsi="Arial" w:cs="Arial"/>
          <w:sz w:val="24"/>
          <w:szCs w:val="24"/>
          <w:lang w:val="en-US"/>
        </w:rPr>
        <w:tab/>
      </w:r>
      <w:r w:rsidR="0027504F" w:rsidRPr="00277E7A">
        <w:rPr>
          <w:rFonts w:ascii="Arial" w:hAnsi="Arial" w:cs="Arial"/>
          <w:sz w:val="24"/>
          <w:szCs w:val="24"/>
          <w:lang w:val="en-US"/>
        </w:rPr>
        <w:t xml:space="preserve">Given the </w:t>
      </w:r>
      <w:r w:rsidR="0051309B" w:rsidRPr="00277E7A">
        <w:rPr>
          <w:rFonts w:ascii="Arial" w:hAnsi="Arial" w:cs="Arial"/>
          <w:sz w:val="24"/>
          <w:szCs w:val="24"/>
          <w:lang w:val="en-US"/>
        </w:rPr>
        <w:t>context</w:t>
      </w:r>
      <w:r w:rsidR="00F7633C" w:rsidRPr="00277E7A">
        <w:rPr>
          <w:rFonts w:ascii="Arial" w:hAnsi="Arial" w:cs="Arial"/>
          <w:sz w:val="24"/>
          <w:szCs w:val="24"/>
          <w:lang w:val="en-US"/>
        </w:rPr>
        <w:t xml:space="preserve">, </w:t>
      </w:r>
      <w:r w:rsidR="00DD166C" w:rsidRPr="00277E7A">
        <w:rPr>
          <w:rFonts w:ascii="Arial" w:hAnsi="Arial" w:cs="Arial"/>
          <w:sz w:val="24"/>
          <w:szCs w:val="24"/>
          <w:lang w:val="en-US"/>
        </w:rPr>
        <w:t>I am not convinced that t</w:t>
      </w:r>
      <w:r w:rsidR="00D10067" w:rsidRPr="00277E7A">
        <w:rPr>
          <w:rFonts w:ascii="Arial" w:hAnsi="Arial" w:cs="Arial"/>
          <w:sz w:val="24"/>
          <w:szCs w:val="24"/>
          <w:lang w:val="en-US"/>
        </w:rPr>
        <w:t xml:space="preserve">he </w:t>
      </w:r>
      <w:r w:rsidR="00D10067" w:rsidRPr="00277E7A">
        <w:rPr>
          <w:rFonts w:ascii="Arial" w:hAnsi="Arial" w:cs="Arial"/>
          <w:i/>
          <w:iCs/>
          <w:sz w:val="24"/>
          <w:szCs w:val="24"/>
          <w:lang w:val="en-US"/>
        </w:rPr>
        <w:t xml:space="preserve">dictum in </w:t>
      </w:r>
      <w:r w:rsidR="00D10067" w:rsidRPr="00277E7A">
        <w:rPr>
          <w:rFonts w:ascii="Arial" w:hAnsi="Arial" w:cs="Arial"/>
          <w:sz w:val="24"/>
          <w:szCs w:val="24"/>
          <w:lang w:val="en-US"/>
        </w:rPr>
        <w:t xml:space="preserve">Sheppard </w:t>
      </w:r>
      <w:r w:rsidR="00DD166C" w:rsidRPr="00277E7A">
        <w:rPr>
          <w:rFonts w:ascii="Arial" w:hAnsi="Arial" w:cs="Arial"/>
          <w:sz w:val="24"/>
          <w:szCs w:val="24"/>
          <w:lang w:val="en-US"/>
        </w:rPr>
        <w:t xml:space="preserve">was intended to cover a situation </w:t>
      </w:r>
      <w:r w:rsidR="0027504F" w:rsidRPr="00277E7A">
        <w:rPr>
          <w:rFonts w:ascii="Arial" w:hAnsi="Arial" w:cs="Arial"/>
          <w:sz w:val="24"/>
          <w:szCs w:val="24"/>
          <w:lang w:val="en-US"/>
        </w:rPr>
        <w:t>where</w:t>
      </w:r>
      <w:r w:rsidR="00D10067" w:rsidRPr="00277E7A">
        <w:rPr>
          <w:rFonts w:ascii="Arial" w:hAnsi="Arial" w:cs="Arial"/>
          <w:sz w:val="24"/>
          <w:szCs w:val="24"/>
          <w:lang w:val="en-US"/>
        </w:rPr>
        <w:t xml:space="preserve"> the parties agreed that service at the chosen address would be the </w:t>
      </w:r>
      <w:r w:rsidR="00D10067" w:rsidRPr="00277E7A">
        <w:rPr>
          <w:rFonts w:ascii="Arial" w:hAnsi="Arial" w:cs="Arial"/>
          <w:i/>
          <w:iCs/>
          <w:sz w:val="24"/>
          <w:szCs w:val="24"/>
          <w:lang w:val="en-US"/>
        </w:rPr>
        <w:t>only</w:t>
      </w:r>
      <w:r w:rsidR="00D10067" w:rsidRPr="00277E7A">
        <w:rPr>
          <w:rFonts w:ascii="Arial" w:hAnsi="Arial" w:cs="Arial"/>
          <w:sz w:val="24"/>
          <w:szCs w:val="24"/>
          <w:lang w:val="en-US"/>
        </w:rPr>
        <w:t xml:space="preserve"> permissible method, to the exclusion of other lawful methods.</w:t>
      </w:r>
      <w:r w:rsidR="00691E27" w:rsidRPr="00277E7A">
        <w:rPr>
          <w:rFonts w:ascii="Arial" w:hAnsi="Arial" w:cs="Arial"/>
          <w:sz w:val="24"/>
          <w:szCs w:val="24"/>
          <w:lang w:val="en-US"/>
        </w:rPr>
        <w:t xml:space="preserve"> </w:t>
      </w:r>
      <w:r w:rsidR="00471C03" w:rsidRPr="00277E7A">
        <w:rPr>
          <w:rFonts w:ascii="Arial" w:hAnsi="Arial" w:cs="Arial"/>
          <w:sz w:val="24"/>
          <w:szCs w:val="24"/>
          <w:lang w:val="en-US"/>
        </w:rPr>
        <w:t xml:space="preserve">Due to the conclusion that I have reached, it is not necessary </w:t>
      </w:r>
      <w:r w:rsidR="00F63AF0" w:rsidRPr="00277E7A">
        <w:rPr>
          <w:rFonts w:ascii="Arial" w:hAnsi="Arial" w:cs="Arial"/>
          <w:sz w:val="24"/>
          <w:szCs w:val="24"/>
          <w:lang w:val="en-US"/>
        </w:rPr>
        <w:t>to decide</w:t>
      </w:r>
      <w:r w:rsidR="00700529" w:rsidRPr="00277E7A">
        <w:rPr>
          <w:rFonts w:ascii="Arial" w:hAnsi="Arial" w:cs="Arial"/>
          <w:sz w:val="24"/>
          <w:szCs w:val="24"/>
          <w:lang w:val="en-US"/>
        </w:rPr>
        <w:t xml:space="preserve"> whether parties can</w:t>
      </w:r>
      <w:r w:rsidR="009F7AB9" w:rsidRPr="00277E7A">
        <w:rPr>
          <w:rFonts w:ascii="Arial" w:hAnsi="Arial" w:cs="Arial"/>
          <w:sz w:val="24"/>
          <w:szCs w:val="24"/>
          <w:lang w:val="en-US"/>
        </w:rPr>
        <w:t xml:space="preserve"> </w:t>
      </w:r>
      <w:r w:rsidR="00026F5A" w:rsidRPr="00277E7A">
        <w:rPr>
          <w:rFonts w:ascii="Arial" w:hAnsi="Arial" w:cs="Arial"/>
          <w:sz w:val="24"/>
          <w:szCs w:val="24"/>
          <w:lang w:val="en-US"/>
        </w:rPr>
        <w:t xml:space="preserve">effectively </w:t>
      </w:r>
      <w:r w:rsidR="009F7AB9" w:rsidRPr="00277E7A">
        <w:rPr>
          <w:rFonts w:ascii="Arial" w:hAnsi="Arial" w:cs="Arial"/>
          <w:sz w:val="24"/>
          <w:szCs w:val="24"/>
          <w:lang w:val="en-US"/>
        </w:rPr>
        <w:t xml:space="preserve">exclude otherwise valid methods of service in favour of </w:t>
      </w:r>
      <w:r w:rsidR="003F6E29" w:rsidRPr="00277E7A">
        <w:rPr>
          <w:rFonts w:ascii="Arial" w:hAnsi="Arial" w:cs="Arial"/>
          <w:sz w:val="24"/>
          <w:szCs w:val="24"/>
          <w:lang w:val="en-US"/>
        </w:rPr>
        <w:t xml:space="preserve">service exclusively on a chosen </w:t>
      </w:r>
      <w:r w:rsidR="003F6E29" w:rsidRPr="00277E7A">
        <w:rPr>
          <w:rFonts w:ascii="Arial" w:hAnsi="Arial" w:cs="Arial"/>
          <w:i/>
          <w:iCs/>
          <w:sz w:val="24"/>
          <w:szCs w:val="24"/>
          <w:lang w:val="en-US"/>
        </w:rPr>
        <w:t>domicilium</w:t>
      </w:r>
      <w:r w:rsidR="003F6E29" w:rsidRPr="00277E7A">
        <w:rPr>
          <w:rFonts w:ascii="Arial" w:hAnsi="Arial" w:cs="Arial"/>
          <w:sz w:val="24"/>
          <w:szCs w:val="24"/>
          <w:lang w:val="en-US"/>
        </w:rPr>
        <w:t>.</w:t>
      </w:r>
      <w:r w:rsidR="0020498F" w:rsidRPr="00277E7A">
        <w:rPr>
          <w:rFonts w:ascii="Arial" w:hAnsi="Arial" w:cs="Arial"/>
          <w:sz w:val="24"/>
          <w:szCs w:val="24"/>
          <w:lang w:val="en-US"/>
        </w:rPr>
        <w:t xml:space="preserve"> </w:t>
      </w:r>
      <w:r w:rsidR="0038120B" w:rsidRPr="00277E7A">
        <w:rPr>
          <w:rFonts w:ascii="Arial" w:hAnsi="Arial" w:cs="Arial"/>
          <w:sz w:val="24"/>
          <w:szCs w:val="24"/>
          <w:lang w:val="en-US"/>
        </w:rPr>
        <w:t xml:space="preserve">This question was not </w:t>
      </w:r>
      <w:r w:rsidR="00B23302" w:rsidRPr="00277E7A">
        <w:rPr>
          <w:rFonts w:ascii="Arial" w:hAnsi="Arial" w:cs="Arial"/>
          <w:sz w:val="24"/>
          <w:szCs w:val="24"/>
          <w:lang w:val="en-US"/>
        </w:rPr>
        <w:t>adequately</w:t>
      </w:r>
      <w:r w:rsidR="0038120B" w:rsidRPr="00277E7A">
        <w:rPr>
          <w:rFonts w:ascii="Arial" w:hAnsi="Arial" w:cs="Arial"/>
          <w:sz w:val="24"/>
          <w:szCs w:val="24"/>
          <w:lang w:val="en-US"/>
        </w:rPr>
        <w:t xml:space="preserve"> canvassed before me, for the simple reason that the applicant’s point was, </w:t>
      </w:r>
      <w:r w:rsidR="0038120B" w:rsidRPr="00277E7A">
        <w:rPr>
          <w:rFonts w:ascii="Arial" w:hAnsi="Arial" w:cs="Arial"/>
          <w:i/>
          <w:iCs/>
          <w:sz w:val="24"/>
          <w:szCs w:val="24"/>
          <w:lang w:val="en-US"/>
        </w:rPr>
        <w:t>simpliciter</w:t>
      </w:r>
      <w:r w:rsidR="005E4941" w:rsidRPr="00277E7A">
        <w:rPr>
          <w:rFonts w:ascii="Arial" w:hAnsi="Arial" w:cs="Arial"/>
          <w:sz w:val="24"/>
          <w:szCs w:val="24"/>
          <w:lang w:val="en-US"/>
        </w:rPr>
        <w:t xml:space="preserve">, that the mere fact that a </w:t>
      </w:r>
      <w:r w:rsidR="005E4941" w:rsidRPr="00277E7A">
        <w:rPr>
          <w:rFonts w:ascii="Arial" w:hAnsi="Arial" w:cs="Arial"/>
          <w:i/>
          <w:iCs/>
          <w:sz w:val="24"/>
          <w:szCs w:val="24"/>
          <w:lang w:val="en-US"/>
        </w:rPr>
        <w:t>domicilium citandi</w:t>
      </w:r>
      <w:r w:rsidR="005E4941" w:rsidRPr="00277E7A">
        <w:rPr>
          <w:rFonts w:ascii="Arial" w:hAnsi="Arial" w:cs="Arial"/>
          <w:sz w:val="24"/>
          <w:szCs w:val="24"/>
          <w:lang w:val="en-US"/>
        </w:rPr>
        <w:t xml:space="preserve"> was chosen, prevented other forms of service.</w:t>
      </w:r>
    </w:p>
    <w:p w14:paraId="64C2E535" w14:textId="1B03F544" w:rsidR="00CB2E27"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[25]</w:t>
      </w:r>
      <w:r>
        <w:rPr>
          <w:rFonts w:ascii="Arial" w:hAnsi="Arial" w:cs="Arial"/>
          <w:sz w:val="24"/>
          <w:szCs w:val="24"/>
          <w:lang w:val="en-US"/>
        </w:rPr>
        <w:tab/>
      </w:r>
      <w:r w:rsidR="00882B8A" w:rsidRPr="00277E7A">
        <w:rPr>
          <w:rFonts w:ascii="Arial" w:hAnsi="Arial" w:cs="Arial"/>
          <w:sz w:val="24"/>
          <w:szCs w:val="24"/>
          <w:lang w:val="en-US"/>
        </w:rPr>
        <w:t>The applicant’s argument, in its simple form,</w:t>
      </w:r>
      <w:r w:rsidR="0027344E" w:rsidRPr="00277E7A">
        <w:rPr>
          <w:rFonts w:ascii="Arial" w:hAnsi="Arial" w:cs="Arial"/>
          <w:sz w:val="24"/>
          <w:szCs w:val="24"/>
          <w:lang w:val="en-US"/>
        </w:rPr>
        <w:t xml:space="preserve"> has no merit. In law, the choice of a </w:t>
      </w:r>
      <w:r w:rsidR="003761D0" w:rsidRPr="00277E7A">
        <w:rPr>
          <w:rFonts w:ascii="Arial" w:hAnsi="Arial" w:cs="Arial"/>
          <w:i/>
          <w:iCs/>
          <w:sz w:val="24"/>
          <w:szCs w:val="24"/>
          <w:lang w:val="en-US"/>
        </w:rPr>
        <w:t>domicilium citandi</w:t>
      </w:r>
      <w:r w:rsidR="00882B8A" w:rsidRPr="00277E7A">
        <w:rPr>
          <w:rFonts w:ascii="Arial" w:hAnsi="Arial" w:cs="Arial"/>
          <w:sz w:val="24"/>
          <w:szCs w:val="24"/>
          <w:lang w:val="en-US"/>
        </w:rPr>
        <w:t xml:space="preserve"> </w:t>
      </w:r>
      <w:r w:rsidR="00F42E5F" w:rsidRPr="00277E7A">
        <w:rPr>
          <w:rFonts w:ascii="Arial" w:hAnsi="Arial" w:cs="Arial"/>
          <w:sz w:val="24"/>
          <w:szCs w:val="24"/>
          <w:lang w:val="en-US"/>
        </w:rPr>
        <w:t>does</w:t>
      </w:r>
      <w:r w:rsidR="003761D0" w:rsidRPr="00277E7A">
        <w:rPr>
          <w:rFonts w:ascii="Arial" w:hAnsi="Arial" w:cs="Arial"/>
          <w:sz w:val="24"/>
          <w:szCs w:val="24"/>
          <w:lang w:val="en-US"/>
        </w:rPr>
        <w:t xml:space="preserve"> not prevent </w:t>
      </w:r>
      <w:r w:rsidR="00F42E5F" w:rsidRPr="00277E7A">
        <w:rPr>
          <w:rFonts w:ascii="Arial" w:hAnsi="Arial" w:cs="Arial"/>
          <w:sz w:val="24"/>
          <w:szCs w:val="24"/>
          <w:lang w:val="en-US"/>
        </w:rPr>
        <w:t xml:space="preserve">the use of </w:t>
      </w:r>
      <w:r w:rsidR="003761D0" w:rsidRPr="00277E7A">
        <w:rPr>
          <w:rFonts w:ascii="Arial" w:hAnsi="Arial" w:cs="Arial"/>
          <w:sz w:val="24"/>
          <w:szCs w:val="24"/>
          <w:lang w:val="en-US"/>
        </w:rPr>
        <w:t>other lawful methods of service.</w:t>
      </w:r>
      <w:r w:rsidR="003761D0">
        <w:rPr>
          <w:rStyle w:val="FootnoteReference"/>
          <w:rFonts w:ascii="Arial" w:hAnsi="Arial" w:cs="Arial"/>
          <w:sz w:val="24"/>
          <w:szCs w:val="24"/>
          <w:lang w:val="en-US"/>
        </w:rPr>
        <w:footnoteReference w:id="3"/>
      </w:r>
      <w:r w:rsidR="005E4941" w:rsidRPr="00277E7A">
        <w:rPr>
          <w:rFonts w:ascii="Arial" w:hAnsi="Arial" w:cs="Arial"/>
          <w:sz w:val="24"/>
          <w:szCs w:val="24"/>
          <w:lang w:val="en-US"/>
        </w:rPr>
        <w:t xml:space="preserve"> </w:t>
      </w:r>
      <w:r w:rsidR="00006D5D" w:rsidRPr="00277E7A">
        <w:rPr>
          <w:rFonts w:ascii="Arial" w:hAnsi="Arial" w:cs="Arial"/>
          <w:sz w:val="24"/>
          <w:szCs w:val="24"/>
          <w:lang w:val="en-US"/>
        </w:rPr>
        <w:t xml:space="preserve"> </w:t>
      </w:r>
      <w:r w:rsidR="00F63AF0" w:rsidRPr="00277E7A">
        <w:rPr>
          <w:rFonts w:ascii="Arial" w:hAnsi="Arial" w:cs="Arial"/>
          <w:sz w:val="24"/>
          <w:szCs w:val="24"/>
          <w:lang w:val="en-US"/>
        </w:rPr>
        <w:t xml:space="preserve"> </w:t>
      </w:r>
      <w:r w:rsidR="00D10067" w:rsidRPr="00277E7A">
        <w:rPr>
          <w:rFonts w:ascii="Arial" w:hAnsi="Arial" w:cs="Arial"/>
          <w:sz w:val="24"/>
          <w:szCs w:val="24"/>
          <w:lang w:val="en-US"/>
        </w:rPr>
        <w:t xml:space="preserve">    </w:t>
      </w:r>
    </w:p>
    <w:p w14:paraId="36D898AF" w14:textId="32DC9679" w:rsidR="003C2C19"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[26]</w:t>
      </w:r>
      <w:r>
        <w:rPr>
          <w:rFonts w:ascii="Arial" w:hAnsi="Arial" w:cs="Arial"/>
          <w:sz w:val="24"/>
          <w:szCs w:val="24"/>
          <w:lang w:val="en-US"/>
        </w:rPr>
        <w:tab/>
      </w:r>
      <w:r w:rsidR="00004B16" w:rsidRPr="00277E7A">
        <w:rPr>
          <w:rFonts w:ascii="Arial" w:hAnsi="Arial" w:cs="Arial"/>
          <w:sz w:val="24"/>
          <w:szCs w:val="24"/>
          <w:lang w:val="en-US"/>
        </w:rPr>
        <w:t>A</w:t>
      </w:r>
      <w:r w:rsidR="000514F6" w:rsidRPr="00277E7A">
        <w:rPr>
          <w:rFonts w:ascii="Arial" w:hAnsi="Arial" w:cs="Arial"/>
          <w:sz w:val="24"/>
          <w:szCs w:val="24"/>
          <w:lang w:val="en-US"/>
        </w:rPr>
        <w:t>ssuming</w:t>
      </w:r>
      <w:r w:rsidR="00B60C7D" w:rsidRPr="00277E7A">
        <w:rPr>
          <w:rFonts w:ascii="Arial" w:hAnsi="Arial" w:cs="Arial"/>
          <w:sz w:val="24"/>
          <w:szCs w:val="24"/>
          <w:lang w:val="en-US"/>
        </w:rPr>
        <w:t xml:space="preserve"> </w:t>
      </w:r>
      <w:r w:rsidR="000514F6" w:rsidRPr="00277E7A">
        <w:rPr>
          <w:rFonts w:ascii="Arial" w:hAnsi="Arial" w:cs="Arial"/>
          <w:sz w:val="24"/>
          <w:szCs w:val="24"/>
          <w:lang w:val="en-US"/>
        </w:rPr>
        <w:t>that parties can by agreement</w:t>
      </w:r>
      <w:r w:rsidR="00334F7C" w:rsidRPr="00277E7A">
        <w:rPr>
          <w:rFonts w:ascii="Arial" w:hAnsi="Arial" w:cs="Arial"/>
          <w:sz w:val="24"/>
          <w:szCs w:val="24"/>
          <w:lang w:val="en-US"/>
        </w:rPr>
        <w:t xml:space="preserve"> limit the lawful methods of service,</w:t>
      </w:r>
      <w:r w:rsidR="009C5AC2" w:rsidRPr="00277E7A">
        <w:rPr>
          <w:rFonts w:ascii="Arial" w:hAnsi="Arial" w:cs="Arial"/>
          <w:sz w:val="24"/>
          <w:szCs w:val="24"/>
          <w:lang w:val="en-US"/>
        </w:rPr>
        <w:t xml:space="preserve"> the question is whether</w:t>
      </w:r>
      <w:r w:rsidR="000E63B0" w:rsidRPr="00277E7A">
        <w:rPr>
          <w:rFonts w:ascii="Arial" w:hAnsi="Arial" w:cs="Arial"/>
          <w:sz w:val="24"/>
          <w:szCs w:val="24"/>
          <w:lang w:val="en-US"/>
        </w:rPr>
        <w:t xml:space="preserve"> the agreement </w:t>
      </w:r>
      <w:r w:rsidR="000E63B0" w:rsidRPr="00277E7A">
        <w:rPr>
          <w:rFonts w:ascii="Arial" w:hAnsi="Arial" w:cs="Arial"/>
          <w:i/>
          <w:iCs/>
          <w:sz w:val="24"/>
          <w:szCs w:val="24"/>
          <w:lang w:val="en-US"/>
        </w:rPr>
        <w:t xml:space="preserve">in casu </w:t>
      </w:r>
      <w:r w:rsidR="000E63B0" w:rsidRPr="00277E7A">
        <w:rPr>
          <w:rFonts w:ascii="Arial" w:hAnsi="Arial" w:cs="Arial"/>
          <w:sz w:val="24"/>
          <w:szCs w:val="24"/>
          <w:lang w:val="en-US"/>
        </w:rPr>
        <w:t>contains such</w:t>
      </w:r>
      <w:r w:rsidR="00B04735" w:rsidRPr="00277E7A">
        <w:rPr>
          <w:rFonts w:ascii="Arial" w:hAnsi="Arial" w:cs="Arial"/>
          <w:sz w:val="24"/>
          <w:szCs w:val="24"/>
          <w:lang w:val="en-US"/>
        </w:rPr>
        <w:t xml:space="preserve"> agreed limitation.</w:t>
      </w:r>
      <w:r w:rsidR="002F02BC" w:rsidRPr="00277E7A">
        <w:rPr>
          <w:rFonts w:ascii="Arial" w:hAnsi="Arial" w:cs="Arial"/>
          <w:sz w:val="24"/>
          <w:szCs w:val="24"/>
          <w:lang w:val="en-US"/>
        </w:rPr>
        <w:t xml:space="preserve"> The</w:t>
      </w:r>
      <w:r w:rsidR="00637AC0" w:rsidRPr="00277E7A">
        <w:rPr>
          <w:rFonts w:ascii="Arial" w:hAnsi="Arial" w:cs="Arial"/>
          <w:sz w:val="24"/>
          <w:szCs w:val="24"/>
          <w:lang w:val="en-US"/>
        </w:rPr>
        <w:t xml:space="preserve"> applicant</w:t>
      </w:r>
      <w:r w:rsidR="0021120D" w:rsidRPr="00277E7A">
        <w:rPr>
          <w:rFonts w:ascii="Arial" w:hAnsi="Arial" w:cs="Arial"/>
          <w:sz w:val="24"/>
          <w:szCs w:val="24"/>
          <w:lang w:val="en-US"/>
        </w:rPr>
        <w:t>, correctly,</w:t>
      </w:r>
      <w:r w:rsidR="00637AC0" w:rsidRPr="00277E7A">
        <w:rPr>
          <w:rFonts w:ascii="Arial" w:hAnsi="Arial" w:cs="Arial"/>
          <w:sz w:val="24"/>
          <w:szCs w:val="24"/>
          <w:lang w:val="en-US"/>
        </w:rPr>
        <w:t xml:space="preserve"> did not </w:t>
      </w:r>
      <w:r w:rsidR="003B3794" w:rsidRPr="00277E7A">
        <w:rPr>
          <w:rFonts w:ascii="Arial" w:hAnsi="Arial" w:cs="Arial"/>
          <w:sz w:val="24"/>
          <w:szCs w:val="24"/>
          <w:lang w:val="en-US"/>
        </w:rPr>
        <w:t>attempt to develop its argument in this regard</w:t>
      </w:r>
      <w:r w:rsidR="003E2D0E" w:rsidRPr="00277E7A">
        <w:rPr>
          <w:rFonts w:ascii="Arial" w:hAnsi="Arial" w:cs="Arial"/>
          <w:sz w:val="24"/>
          <w:szCs w:val="24"/>
          <w:lang w:val="en-US"/>
        </w:rPr>
        <w:t xml:space="preserve">, </w:t>
      </w:r>
      <w:r w:rsidR="000A156D" w:rsidRPr="00277E7A">
        <w:rPr>
          <w:rFonts w:ascii="Arial" w:hAnsi="Arial" w:cs="Arial"/>
          <w:sz w:val="24"/>
          <w:szCs w:val="24"/>
          <w:lang w:val="en-US"/>
        </w:rPr>
        <w:t xml:space="preserve">as the </w:t>
      </w:r>
      <w:r w:rsidR="000A156D" w:rsidRPr="00277E7A">
        <w:rPr>
          <w:rFonts w:ascii="Arial" w:hAnsi="Arial" w:cs="Arial"/>
          <w:sz w:val="24"/>
          <w:szCs w:val="24"/>
          <w:lang w:val="en-US"/>
        </w:rPr>
        <w:lastRenderedPageBreak/>
        <w:t xml:space="preserve">relevant clause in the agreement clearly provided an option to the respondent to serve </w:t>
      </w:r>
      <w:r w:rsidR="004A37D1" w:rsidRPr="00277E7A">
        <w:rPr>
          <w:rFonts w:ascii="Arial" w:hAnsi="Arial" w:cs="Arial"/>
          <w:sz w:val="24"/>
          <w:szCs w:val="24"/>
          <w:lang w:val="en-US"/>
        </w:rPr>
        <w:t xml:space="preserve">process at the applicant’s chosen </w:t>
      </w:r>
      <w:r w:rsidR="004A37D1" w:rsidRPr="00277E7A">
        <w:rPr>
          <w:rFonts w:ascii="Arial" w:hAnsi="Arial" w:cs="Arial"/>
          <w:i/>
          <w:iCs/>
          <w:sz w:val="24"/>
          <w:szCs w:val="24"/>
          <w:lang w:val="en-US"/>
        </w:rPr>
        <w:t>domicilium citandi</w:t>
      </w:r>
      <w:r w:rsidR="00C5024E" w:rsidRPr="00277E7A">
        <w:rPr>
          <w:rFonts w:ascii="Arial" w:hAnsi="Arial" w:cs="Arial"/>
          <w:sz w:val="24"/>
          <w:szCs w:val="24"/>
          <w:lang w:val="en-US"/>
        </w:rPr>
        <w:t>,</w:t>
      </w:r>
      <w:r w:rsidR="00FC2B6B" w:rsidRPr="00277E7A">
        <w:rPr>
          <w:rFonts w:ascii="Arial" w:hAnsi="Arial" w:cs="Arial"/>
          <w:sz w:val="24"/>
          <w:szCs w:val="24"/>
          <w:lang w:val="en-US"/>
        </w:rPr>
        <w:t xml:space="preserve"> </w:t>
      </w:r>
      <w:r w:rsidR="003E2D0E" w:rsidRPr="00277E7A">
        <w:rPr>
          <w:rFonts w:ascii="Arial" w:hAnsi="Arial" w:cs="Arial"/>
          <w:sz w:val="24"/>
          <w:szCs w:val="24"/>
          <w:lang w:val="en-US"/>
        </w:rPr>
        <w:t xml:space="preserve">as opposed to </w:t>
      </w:r>
      <w:r w:rsidR="00767F6B" w:rsidRPr="00277E7A">
        <w:rPr>
          <w:rFonts w:ascii="Arial" w:hAnsi="Arial" w:cs="Arial"/>
          <w:sz w:val="24"/>
          <w:szCs w:val="24"/>
          <w:lang w:val="en-US"/>
        </w:rPr>
        <w:t>a</w:t>
      </w:r>
      <w:r w:rsidR="00DA215E" w:rsidRPr="00277E7A">
        <w:rPr>
          <w:rFonts w:ascii="Arial" w:hAnsi="Arial" w:cs="Arial"/>
          <w:sz w:val="24"/>
          <w:szCs w:val="24"/>
          <w:lang w:val="en-US"/>
        </w:rPr>
        <w:t>n</w:t>
      </w:r>
      <w:r w:rsidR="003E2D0E" w:rsidRPr="00277E7A">
        <w:rPr>
          <w:rFonts w:ascii="Arial" w:hAnsi="Arial" w:cs="Arial"/>
          <w:sz w:val="24"/>
          <w:szCs w:val="24"/>
          <w:lang w:val="en-US"/>
        </w:rPr>
        <w:t xml:space="preserve"> </w:t>
      </w:r>
      <w:r w:rsidR="000018A0" w:rsidRPr="00277E7A">
        <w:rPr>
          <w:rFonts w:ascii="Arial" w:hAnsi="Arial" w:cs="Arial"/>
          <w:sz w:val="24"/>
          <w:szCs w:val="24"/>
          <w:lang w:val="en-US"/>
        </w:rPr>
        <w:t>obligation</w:t>
      </w:r>
      <w:r w:rsidR="003E2D0E" w:rsidRPr="00277E7A">
        <w:rPr>
          <w:rFonts w:ascii="Arial" w:hAnsi="Arial" w:cs="Arial"/>
          <w:sz w:val="24"/>
          <w:szCs w:val="24"/>
          <w:lang w:val="en-US"/>
        </w:rPr>
        <w:t>.</w:t>
      </w:r>
      <w:r w:rsidR="00C5024E" w:rsidRPr="00277E7A">
        <w:rPr>
          <w:rFonts w:ascii="Arial" w:hAnsi="Arial" w:cs="Arial"/>
          <w:sz w:val="24"/>
          <w:szCs w:val="24"/>
          <w:lang w:val="en-US"/>
        </w:rPr>
        <w:t xml:space="preserve"> </w:t>
      </w:r>
    </w:p>
    <w:p w14:paraId="6F21876A" w14:textId="3B9A888D" w:rsidR="0069537B"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[27]</w:t>
      </w:r>
      <w:r>
        <w:rPr>
          <w:rFonts w:ascii="Arial" w:hAnsi="Arial" w:cs="Arial"/>
          <w:sz w:val="24"/>
          <w:szCs w:val="24"/>
          <w:lang w:val="en-US"/>
        </w:rPr>
        <w:tab/>
      </w:r>
      <w:r w:rsidR="003C2C19" w:rsidRPr="00277E7A">
        <w:rPr>
          <w:rFonts w:ascii="Arial" w:hAnsi="Arial" w:cs="Arial"/>
          <w:sz w:val="24"/>
          <w:szCs w:val="24"/>
          <w:lang w:val="en-US"/>
        </w:rPr>
        <w:t xml:space="preserve">In the premises, the attack on the service of </w:t>
      </w:r>
      <w:r w:rsidR="0024662E" w:rsidRPr="00277E7A">
        <w:rPr>
          <w:rFonts w:ascii="Arial" w:hAnsi="Arial" w:cs="Arial"/>
          <w:sz w:val="24"/>
          <w:szCs w:val="24"/>
          <w:lang w:val="en-US"/>
        </w:rPr>
        <w:t>process in this matter at the registered address of the respondent is without merit</w:t>
      </w:r>
      <w:r w:rsidR="0069537B" w:rsidRPr="00277E7A">
        <w:rPr>
          <w:rFonts w:ascii="Arial" w:hAnsi="Arial" w:cs="Arial"/>
          <w:sz w:val="24"/>
          <w:szCs w:val="24"/>
          <w:lang w:val="en-US"/>
        </w:rPr>
        <w:t xml:space="preserve"> and </w:t>
      </w:r>
      <w:r w:rsidR="00B6785F" w:rsidRPr="00277E7A">
        <w:rPr>
          <w:rFonts w:ascii="Arial" w:hAnsi="Arial" w:cs="Arial"/>
          <w:sz w:val="24"/>
          <w:szCs w:val="24"/>
          <w:lang w:val="en-US"/>
        </w:rPr>
        <w:t xml:space="preserve">is </w:t>
      </w:r>
      <w:r w:rsidR="0069537B" w:rsidRPr="00277E7A">
        <w:rPr>
          <w:rFonts w:ascii="Arial" w:hAnsi="Arial" w:cs="Arial"/>
          <w:sz w:val="24"/>
          <w:szCs w:val="24"/>
          <w:lang w:val="en-US"/>
        </w:rPr>
        <w:t>rejected.</w:t>
      </w:r>
    </w:p>
    <w:p w14:paraId="75E8D6A0" w14:textId="226BD2BE" w:rsidR="0069537B" w:rsidRPr="0069537B" w:rsidRDefault="0069537B" w:rsidP="0069537B">
      <w:pPr>
        <w:spacing w:before="480" w:after="480" w:line="480" w:lineRule="auto"/>
        <w:jc w:val="both"/>
        <w:rPr>
          <w:rFonts w:ascii="Arial" w:hAnsi="Arial" w:cs="Arial"/>
          <w:b/>
          <w:bCs/>
          <w:sz w:val="24"/>
          <w:szCs w:val="24"/>
          <w:u w:val="single"/>
          <w:lang w:val="en-US"/>
        </w:rPr>
      </w:pPr>
      <w:r>
        <w:rPr>
          <w:rFonts w:ascii="Arial" w:hAnsi="Arial" w:cs="Arial"/>
          <w:b/>
          <w:bCs/>
          <w:sz w:val="24"/>
          <w:szCs w:val="24"/>
          <w:u w:val="single"/>
          <w:lang w:val="en-US"/>
        </w:rPr>
        <w:t>THE ISSUE OF JURISDICTION</w:t>
      </w:r>
    </w:p>
    <w:p w14:paraId="6AF36ECE" w14:textId="2B0FFBF9" w:rsidR="00BE4730"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[28]</w:t>
      </w:r>
      <w:r>
        <w:rPr>
          <w:rFonts w:ascii="Arial" w:hAnsi="Arial" w:cs="Arial"/>
          <w:sz w:val="24"/>
          <w:szCs w:val="24"/>
          <w:lang w:val="en-US"/>
        </w:rPr>
        <w:tab/>
      </w:r>
      <w:r w:rsidR="00F153FE" w:rsidRPr="00277E7A">
        <w:rPr>
          <w:rFonts w:ascii="Arial" w:hAnsi="Arial" w:cs="Arial"/>
          <w:sz w:val="24"/>
          <w:szCs w:val="24"/>
          <w:lang w:val="en-US"/>
        </w:rPr>
        <w:t xml:space="preserve">On the facts before the court, it </w:t>
      </w:r>
      <w:r w:rsidR="00F246CF" w:rsidRPr="00277E7A">
        <w:rPr>
          <w:rFonts w:ascii="Arial" w:hAnsi="Arial" w:cs="Arial"/>
          <w:sz w:val="24"/>
          <w:szCs w:val="24"/>
          <w:lang w:val="en-US"/>
        </w:rPr>
        <w:t>must be accepted that the applicant</w:t>
      </w:r>
      <w:r w:rsidR="0071301D" w:rsidRPr="00277E7A">
        <w:rPr>
          <w:rFonts w:ascii="Arial" w:hAnsi="Arial" w:cs="Arial"/>
          <w:sz w:val="24"/>
          <w:szCs w:val="24"/>
          <w:lang w:val="en-US"/>
        </w:rPr>
        <w:t xml:space="preserve"> had no </w:t>
      </w:r>
      <w:r w:rsidR="00EE3747" w:rsidRPr="00277E7A">
        <w:rPr>
          <w:rFonts w:ascii="Arial" w:hAnsi="Arial" w:cs="Arial"/>
          <w:sz w:val="24"/>
          <w:szCs w:val="24"/>
          <w:lang w:val="en-US"/>
        </w:rPr>
        <w:t xml:space="preserve">actual </w:t>
      </w:r>
      <w:r w:rsidR="0071301D" w:rsidRPr="00277E7A">
        <w:rPr>
          <w:rFonts w:ascii="Arial" w:hAnsi="Arial" w:cs="Arial"/>
          <w:sz w:val="24"/>
          <w:szCs w:val="24"/>
          <w:lang w:val="en-US"/>
        </w:rPr>
        <w:t xml:space="preserve">place of business in Gauteng </w:t>
      </w:r>
      <w:r w:rsidR="001A538C" w:rsidRPr="00277E7A">
        <w:rPr>
          <w:rFonts w:ascii="Arial" w:hAnsi="Arial" w:cs="Arial"/>
          <w:sz w:val="24"/>
          <w:szCs w:val="24"/>
          <w:lang w:val="en-US"/>
        </w:rPr>
        <w:t xml:space="preserve">at the time legal action commenced in this matter. </w:t>
      </w:r>
      <w:r w:rsidR="00EE3747" w:rsidRPr="00277E7A">
        <w:rPr>
          <w:rFonts w:ascii="Arial" w:hAnsi="Arial" w:cs="Arial"/>
          <w:sz w:val="24"/>
          <w:szCs w:val="24"/>
          <w:lang w:val="en-US"/>
        </w:rPr>
        <w:t>I</w:t>
      </w:r>
      <w:r w:rsidR="00B20E4C" w:rsidRPr="00277E7A">
        <w:rPr>
          <w:rFonts w:ascii="Arial" w:hAnsi="Arial" w:cs="Arial"/>
          <w:sz w:val="24"/>
          <w:szCs w:val="24"/>
          <w:lang w:val="en-US"/>
        </w:rPr>
        <w:t>t is also clear that the</w:t>
      </w:r>
      <w:r w:rsidR="00BE4730" w:rsidRPr="00277E7A">
        <w:rPr>
          <w:rFonts w:ascii="Arial" w:hAnsi="Arial" w:cs="Arial"/>
          <w:sz w:val="24"/>
          <w:szCs w:val="24"/>
          <w:lang w:val="en-US"/>
        </w:rPr>
        <w:t xml:space="preserve"> respondent’s cause of action also arose outside this court’s jurisdiction.</w:t>
      </w:r>
    </w:p>
    <w:p w14:paraId="628CB50F" w14:textId="5017A40E" w:rsidR="002942B0"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[29]</w:t>
      </w:r>
      <w:r>
        <w:rPr>
          <w:rFonts w:ascii="Arial" w:hAnsi="Arial" w:cs="Arial"/>
          <w:sz w:val="24"/>
          <w:szCs w:val="24"/>
          <w:lang w:val="en-US"/>
        </w:rPr>
        <w:tab/>
      </w:r>
      <w:r w:rsidR="00BE4730" w:rsidRPr="00277E7A">
        <w:rPr>
          <w:rFonts w:ascii="Arial" w:hAnsi="Arial" w:cs="Arial"/>
          <w:sz w:val="24"/>
          <w:szCs w:val="24"/>
          <w:lang w:val="en-US"/>
        </w:rPr>
        <w:t xml:space="preserve">Consequently, </w:t>
      </w:r>
      <w:r w:rsidR="00A52F33" w:rsidRPr="00277E7A">
        <w:rPr>
          <w:rFonts w:ascii="Arial" w:hAnsi="Arial" w:cs="Arial"/>
          <w:sz w:val="24"/>
          <w:szCs w:val="24"/>
          <w:lang w:val="en-US"/>
        </w:rPr>
        <w:t xml:space="preserve">this application hinges </w:t>
      </w:r>
      <w:r w:rsidR="00C30B61" w:rsidRPr="00277E7A">
        <w:rPr>
          <w:rFonts w:ascii="Arial" w:hAnsi="Arial" w:cs="Arial"/>
          <w:sz w:val="24"/>
          <w:szCs w:val="24"/>
          <w:lang w:val="en-US"/>
        </w:rPr>
        <w:t xml:space="preserve">entirely on the </w:t>
      </w:r>
      <w:r w:rsidR="00397534" w:rsidRPr="00277E7A">
        <w:rPr>
          <w:rFonts w:ascii="Arial" w:hAnsi="Arial" w:cs="Arial"/>
          <w:sz w:val="24"/>
          <w:szCs w:val="24"/>
          <w:lang w:val="en-US"/>
        </w:rPr>
        <w:t>question of</w:t>
      </w:r>
      <w:r w:rsidR="00C30B61" w:rsidRPr="00277E7A">
        <w:rPr>
          <w:rFonts w:ascii="Arial" w:hAnsi="Arial" w:cs="Arial"/>
          <w:sz w:val="24"/>
          <w:szCs w:val="24"/>
          <w:lang w:val="en-US"/>
        </w:rPr>
        <w:t xml:space="preserve"> whether in law the location of a registered address of a close corporation </w:t>
      </w:r>
      <w:r w:rsidR="004C5907" w:rsidRPr="00277E7A">
        <w:rPr>
          <w:rFonts w:ascii="Arial" w:hAnsi="Arial" w:cs="Arial"/>
          <w:sz w:val="24"/>
          <w:szCs w:val="24"/>
          <w:lang w:val="en-US"/>
        </w:rPr>
        <w:t>within the court’s jurisdiction confers jurisdiction on the</w:t>
      </w:r>
      <w:r w:rsidR="004D76DF" w:rsidRPr="00277E7A">
        <w:rPr>
          <w:rFonts w:ascii="Arial" w:hAnsi="Arial" w:cs="Arial"/>
          <w:sz w:val="24"/>
          <w:szCs w:val="24"/>
          <w:lang w:val="en-US"/>
        </w:rPr>
        <w:t xml:space="preserve"> court. While the</w:t>
      </w:r>
      <w:r w:rsidR="00397534" w:rsidRPr="00277E7A">
        <w:rPr>
          <w:rFonts w:ascii="Arial" w:hAnsi="Arial" w:cs="Arial"/>
          <w:sz w:val="24"/>
          <w:szCs w:val="24"/>
          <w:lang w:val="en-US"/>
        </w:rPr>
        <w:t>re</w:t>
      </w:r>
      <w:r w:rsidR="004D76DF" w:rsidRPr="00277E7A">
        <w:rPr>
          <w:rFonts w:ascii="Arial" w:hAnsi="Arial" w:cs="Arial"/>
          <w:sz w:val="24"/>
          <w:szCs w:val="24"/>
          <w:lang w:val="en-US"/>
        </w:rPr>
        <w:t xml:space="preserve"> is an abundance of authority on this issue in relation to companies</w:t>
      </w:r>
      <w:r w:rsidR="007E0115" w:rsidRPr="00277E7A">
        <w:rPr>
          <w:rFonts w:ascii="Arial" w:hAnsi="Arial" w:cs="Arial"/>
          <w:sz w:val="24"/>
          <w:szCs w:val="24"/>
          <w:lang w:val="en-US"/>
        </w:rPr>
        <w:t>, there appears to be no authority on this issue in relation to close corporations.</w:t>
      </w:r>
    </w:p>
    <w:p w14:paraId="6AF85C48" w14:textId="399095B9" w:rsidR="00280BCA"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[30]</w:t>
      </w:r>
      <w:r>
        <w:rPr>
          <w:rFonts w:ascii="Arial" w:hAnsi="Arial" w:cs="Arial"/>
          <w:sz w:val="24"/>
          <w:szCs w:val="24"/>
          <w:lang w:val="en-US"/>
        </w:rPr>
        <w:tab/>
      </w:r>
      <w:r w:rsidR="00280BCA" w:rsidRPr="00277E7A">
        <w:rPr>
          <w:rFonts w:ascii="Arial" w:hAnsi="Arial" w:cs="Arial"/>
          <w:sz w:val="24"/>
          <w:szCs w:val="24"/>
          <w:lang w:val="en-US"/>
        </w:rPr>
        <w:t>The point of departure is the provisions of section 21 of the Superior Courts Act, Act 10 of 2013, which in essence re-enacted section 19 of the Supreme Court Act 59 of 1959. This section provides that a Division of the High Court has jurisdiction over all persons residing or being in, and in relation to all causes arising and all offences triable within</w:t>
      </w:r>
      <w:r w:rsidR="00527B54" w:rsidRPr="00277E7A">
        <w:rPr>
          <w:rFonts w:ascii="Arial" w:hAnsi="Arial" w:cs="Arial"/>
          <w:sz w:val="24"/>
          <w:szCs w:val="24"/>
          <w:lang w:val="en-US"/>
        </w:rPr>
        <w:t>,</w:t>
      </w:r>
      <w:r w:rsidR="00280BCA" w:rsidRPr="00277E7A">
        <w:rPr>
          <w:rFonts w:ascii="Arial" w:hAnsi="Arial" w:cs="Arial"/>
          <w:sz w:val="24"/>
          <w:szCs w:val="24"/>
          <w:lang w:val="en-US"/>
        </w:rPr>
        <w:t xml:space="preserve"> its area of jurisdiction and all other matters of which it may according to law take cognizance.</w:t>
      </w:r>
    </w:p>
    <w:p w14:paraId="5E868DBC" w14:textId="1E7A6E13" w:rsidR="00280BCA"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lastRenderedPageBreak/>
        <w:t>[31]</w:t>
      </w:r>
      <w:r>
        <w:rPr>
          <w:rFonts w:ascii="Arial" w:hAnsi="Arial" w:cs="Arial"/>
          <w:sz w:val="24"/>
          <w:szCs w:val="24"/>
          <w:lang w:val="en-US"/>
        </w:rPr>
        <w:tab/>
      </w:r>
      <w:r w:rsidR="00280BCA" w:rsidRPr="00277E7A">
        <w:rPr>
          <w:rFonts w:ascii="Arial" w:hAnsi="Arial" w:cs="Arial"/>
          <w:sz w:val="24"/>
          <w:szCs w:val="24"/>
          <w:lang w:val="en-US"/>
        </w:rPr>
        <w:t xml:space="preserve">The </w:t>
      </w:r>
      <w:r w:rsidR="009726A3" w:rsidRPr="00277E7A">
        <w:rPr>
          <w:rFonts w:ascii="Arial" w:hAnsi="Arial" w:cs="Arial"/>
          <w:sz w:val="24"/>
          <w:szCs w:val="24"/>
          <w:lang w:val="en-US"/>
        </w:rPr>
        <w:t xml:space="preserve">central </w:t>
      </w:r>
      <w:r w:rsidR="00280BCA" w:rsidRPr="00277E7A">
        <w:rPr>
          <w:rFonts w:ascii="Arial" w:hAnsi="Arial" w:cs="Arial"/>
          <w:sz w:val="24"/>
          <w:szCs w:val="24"/>
          <w:lang w:val="en-US"/>
        </w:rPr>
        <w:t xml:space="preserve">question is whether the applicant </w:t>
      </w:r>
      <w:r w:rsidR="009726A3" w:rsidRPr="00277E7A">
        <w:rPr>
          <w:rFonts w:ascii="Arial" w:hAnsi="Arial" w:cs="Arial"/>
          <w:sz w:val="24"/>
          <w:szCs w:val="24"/>
          <w:lang w:val="en-US"/>
        </w:rPr>
        <w:t xml:space="preserve">is deemed to reside </w:t>
      </w:r>
      <w:r w:rsidR="00280BCA" w:rsidRPr="00277E7A">
        <w:rPr>
          <w:rFonts w:ascii="Arial" w:hAnsi="Arial" w:cs="Arial"/>
          <w:sz w:val="24"/>
          <w:szCs w:val="24"/>
          <w:lang w:val="en-US"/>
        </w:rPr>
        <w:t>within th</w:t>
      </w:r>
      <w:r w:rsidR="009726A3" w:rsidRPr="00277E7A">
        <w:rPr>
          <w:rFonts w:ascii="Arial" w:hAnsi="Arial" w:cs="Arial"/>
          <w:sz w:val="24"/>
          <w:szCs w:val="24"/>
          <w:lang w:val="en-US"/>
        </w:rPr>
        <w:t>is</w:t>
      </w:r>
      <w:r w:rsidR="00280BCA" w:rsidRPr="00277E7A">
        <w:rPr>
          <w:rFonts w:ascii="Arial" w:hAnsi="Arial" w:cs="Arial"/>
          <w:sz w:val="24"/>
          <w:szCs w:val="24"/>
          <w:lang w:val="en-US"/>
        </w:rPr>
        <w:t xml:space="preserve"> court’s jurisdiction</w:t>
      </w:r>
      <w:r w:rsidR="009726A3" w:rsidRPr="00277E7A">
        <w:rPr>
          <w:rFonts w:ascii="Arial" w:hAnsi="Arial" w:cs="Arial"/>
          <w:sz w:val="24"/>
          <w:szCs w:val="24"/>
          <w:lang w:val="en-US"/>
        </w:rPr>
        <w:t xml:space="preserve"> due to the</w:t>
      </w:r>
      <w:r w:rsidR="0061621E" w:rsidRPr="00277E7A">
        <w:rPr>
          <w:rFonts w:ascii="Arial" w:hAnsi="Arial" w:cs="Arial"/>
          <w:sz w:val="24"/>
          <w:szCs w:val="24"/>
          <w:lang w:val="en-US"/>
        </w:rPr>
        <w:t xml:space="preserve"> location of its registered office for purposes of section 21 of the S</w:t>
      </w:r>
      <w:r w:rsidR="008D6CA8" w:rsidRPr="00277E7A">
        <w:rPr>
          <w:rFonts w:ascii="Arial" w:hAnsi="Arial" w:cs="Arial"/>
          <w:sz w:val="24"/>
          <w:szCs w:val="24"/>
          <w:lang w:val="en-US"/>
        </w:rPr>
        <w:t>uperior Courts Act.</w:t>
      </w:r>
    </w:p>
    <w:p w14:paraId="54724DC8" w14:textId="1AE68122" w:rsidR="005F27C9"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[32]</w:t>
      </w:r>
      <w:r>
        <w:rPr>
          <w:rFonts w:ascii="Arial" w:hAnsi="Arial" w:cs="Arial"/>
          <w:sz w:val="24"/>
          <w:szCs w:val="24"/>
          <w:lang w:val="en-US"/>
        </w:rPr>
        <w:tab/>
      </w:r>
      <w:r w:rsidR="003E6C2E" w:rsidRPr="00277E7A">
        <w:rPr>
          <w:rFonts w:ascii="Arial" w:hAnsi="Arial" w:cs="Arial"/>
          <w:sz w:val="24"/>
          <w:szCs w:val="24"/>
          <w:lang w:val="en-US"/>
        </w:rPr>
        <w:t xml:space="preserve">In this regard I shall embark upon an exercise similar to </w:t>
      </w:r>
      <w:r w:rsidR="00E56230" w:rsidRPr="00277E7A">
        <w:rPr>
          <w:rFonts w:ascii="Arial" w:hAnsi="Arial" w:cs="Arial"/>
          <w:sz w:val="24"/>
          <w:szCs w:val="24"/>
          <w:lang w:val="en-US"/>
        </w:rPr>
        <w:t xml:space="preserve">what was done in </w:t>
      </w:r>
      <w:r w:rsidR="004C6A55" w:rsidRPr="00277E7A">
        <w:rPr>
          <w:rFonts w:ascii="Arial" w:hAnsi="Arial" w:cs="Arial"/>
          <w:i/>
          <w:iCs/>
          <w:sz w:val="24"/>
          <w:szCs w:val="24"/>
          <w:lang w:val="en-US"/>
        </w:rPr>
        <w:t>Dairy Board v John T Rennie &amp; Co (Pty) Ltd</w:t>
      </w:r>
      <w:r w:rsidR="004C6A55">
        <w:rPr>
          <w:rStyle w:val="FootnoteReference"/>
          <w:rFonts w:ascii="Arial" w:hAnsi="Arial" w:cs="Arial"/>
          <w:i/>
          <w:iCs/>
          <w:sz w:val="24"/>
          <w:szCs w:val="24"/>
          <w:lang w:val="en-US"/>
        </w:rPr>
        <w:footnoteReference w:id="4"/>
      </w:r>
      <w:r w:rsidR="00E81BD7" w:rsidRPr="00277E7A">
        <w:rPr>
          <w:rFonts w:ascii="Arial" w:hAnsi="Arial" w:cs="Arial"/>
          <w:sz w:val="24"/>
          <w:szCs w:val="24"/>
          <w:lang w:val="en-US"/>
        </w:rPr>
        <w:t xml:space="preserve"> in relation to the 1973 Companies Act </w:t>
      </w:r>
      <w:r w:rsidR="001F3B07" w:rsidRPr="00277E7A">
        <w:rPr>
          <w:rFonts w:ascii="Arial" w:hAnsi="Arial" w:cs="Arial"/>
          <w:sz w:val="24"/>
          <w:szCs w:val="24"/>
          <w:lang w:val="en-US"/>
        </w:rPr>
        <w:t xml:space="preserve">and </w:t>
      </w:r>
      <w:r w:rsidR="001F3B07" w:rsidRPr="00277E7A">
        <w:rPr>
          <w:rFonts w:ascii="Arial" w:hAnsi="Arial" w:cs="Arial"/>
          <w:sz w:val="24"/>
          <w:szCs w:val="24"/>
          <w:lang w:val="en-GB"/>
        </w:rPr>
        <w:t>analy</w:t>
      </w:r>
      <w:r w:rsidR="00CA7F04" w:rsidRPr="00277E7A">
        <w:rPr>
          <w:rFonts w:ascii="Arial" w:hAnsi="Arial" w:cs="Arial"/>
          <w:sz w:val="24"/>
          <w:szCs w:val="24"/>
          <w:lang w:val="en-GB"/>
        </w:rPr>
        <w:t>s</w:t>
      </w:r>
      <w:r w:rsidR="001F3B07" w:rsidRPr="00277E7A">
        <w:rPr>
          <w:rFonts w:ascii="Arial" w:hAnsi="Arial" w:cs="Arial"/>
          <w:sz w:val="24"/>
          <w:szCs w:val="24"/>
          <w:lang w:val="en-GB"/>
        </w:rPr>
        <w:t>e</w:t>
      </w:r>
      <w:r w:rsidR="001F3B07" w:rsidRPr="00277E7A">
        <w:rPr>
          <w:rFonts w:ascii="Arial" w:hAnsi="Arial" w:cs="Arial"/>
          <w:sz w:val="24"/>
          <w:szCs w:val="24"/>
          <w:lang w:val="en-US"/>
        </w:rPr>
        <w:t xml:space="preserve"> the relevant provisions of the</w:t>
      </w:r>
      <w:r w:rsidR="00064AF3" w:rsidRPr="00277E7A">
        <w:rPr>
          <w:rFonts w:ascii="Arial" w:hAnsi="Arial" w:cs="Arial"/>
          <w:sz w:val="24"/>
          <w:szCs w:val="24"/>
          <w:lang w:val="en-US"/>
        </w:rPr>
        <w:t xml:space="preserve"> CCA.</w:t>
      </w:r>
      <w:r w:rsidR="00F6770F" w:rsidRPr="00277E7A">
        <w:rPr>
          <w:rFonts w:ascii="Arial" w:hAnsi="Arial" w:cs="Arial"/>
          <w:sz w:val="24"/>
          <w:szCs w:val="24"/>
          <w:lang w:val="en-US"/>
        </w:rPr>
        <w:t xml:space="preserve"> I am mindful of the fact that </w:t>
      </w:r>
      <w:r w:rsidR="00430608" w:rsidRPr="00277E7A">
        <w:rPr>
          <w:rFonts w:ascii="Arial" w:hAnsi="Arial" w:cs="Arial"/>
          <w:sz w:val="24"/>
          <w:szCs w:val="24"/>
          <w:lang w:val="en-US"/>
        </w:rPr>
        <w:t>the reasoning in this judgment was only partially followed by the then Appellate Division in</w:t>
      </w:r>
      <w:r w:rsidR="001514A6" w:rsidRPr="00277E7A">
        <w:rPr>
          <w:rFonts w:ascii="Arial" w:hAnsi="Arial" w:cs="Arial"/>
          <w:i/>
          <w:iCs/>
          <w:sz w:val="24"/>
          <w:szCs w:val="24"/>
          <w:lang w:val="en-US"/>
        </w:rPr>
        <w:t xml:space="preserve"> </w:t>
      </w:r>
      <w:r w:rsidR="00262748" w:rsidRPr="00277E7A">
        <w:rPr>
          <w:rFonts w:ascii="Arial" w:hAnsi="Arial" w:cs="Arial"/>
          <w:i/>
          <w:iCs/>
          <w:sz w:val="24"/>
          <w:szCs w:val="24"/>
          <w:lang w:val="en-US"/>
        </w:rPr>
        <w:t>Bisonboard Ltd v K Braun Woodworking Machinery (Pty) Ltd</w:t>
      </w:r>
      <w:r w:rsidR="00FC1A3D" w:rsidRPr="00277E7A">
        <w:rPr>
          <w:rFonts w:ascii="Arial" w:hAnsi="Arial" w:cs="Arial"/>
          <w:sz w:val="24"/>
          <w:szCs w:val="24"/>
          <w:lang w:val="en-US"/>
        </w:rPr>
        <w:t>.</w:t>
      </w:r>
      <w:r w:rsidR="00262748">
        <w:rPr>
          <w:rStyle w:val="FootnoteReference"/>
          <w:rFonts w:ascii="Arial" w:hAnsi="Arial" w:cs="Arial"/>
          <w:sz w:val="24"/>
          <w:szCs w:val="24"/>
          <w:lang w:val="en-US"/>
        </w:rPr>
        <w:footnoteReference w:id="5"/>
      </w:r>
      <w:r w:rsidR="00430608" w:rsidRPr="00277E7A">
        <w:rPr>
          <w:rFonts w:ascii="Arial" w:hAnsi="Arial" w:cs="Arial"/>
          <w:sz w:val="24"/>
          <w:szCs w:val="24"/>
          <w:lang w:val="en-US"/>
        </w:rPr>
        <w:t xml:space="preserve"> </w:t>
      </w:r>
      <w:r w:rsidR="000204AC" w:rsidRPr="00277E7A">
        <w:rPr>
          <w:rFonts w:ascii="Arial" w:hAnsi="Arial" w:cs="Arial"/>
          <w:sz w:val="24"/>
          <w:szCs w:val="24"/>
          <w:lang w:val="en-US"/>
        </w:rPr>
        <w:t xml:space="preserve">In this regard </w:t>
      </w:r>
      <w:r w:rsidR="00460077" w:rsidRPr="00277E7A">
        <w:rPr>
          <w:rFonts w:ascii="Arial" w:hAnsi="Arial" w:cs="Arial"/>
          <w:sz w:val="24"/>
          <w:szCs w:val="24"/>
          <w:lang w:val="en-US"/>
        </w:rPr>
        <w:t>I will</w:t>
      </w:r>
      <w:r w:rsidR="000204AC" w:rsidRPr="00277E7A">
        <w:rPr>
          <w:rFonts w:ascii="Arial" w:hAnsi="Arial" w:cs="Arial"/>
          <w:sz w:val="24"/>
          <w:szCs w:val="24"/>
          <w:lang w:val="en-US"/>
        </w:rPr>
        <w:t xml:space="preserve"> avoid the </w:t>
      </w:r>
      <w:r w:rsidR="00460077" w:rsidRPr="00277E7A">
        <w:rPr>
          <w:rFonts w:ascii="Arial" w:hAnsi="Arial" w:cs="Arial"/>
          <w:sz w:val="24"/>
          <w:szCs w:val="24"/>
          <w:lang w:val="en-US"/>
        </w:rPr>
        <w:t xml:space="preserve">English Law notion </w:t>
      </w:r>
      <w:r w:rsidR="00BA6F44" w:rsidRPr="00277E7A">
        <w:rPr>
          <w:rFonts w:ascii="Arial" w:hAnsi="Arial" w:cs="Arial"/>
          <w:sz w:val="24"/>
          <w:szCs w:val="24"/>
          <w:lang w:val="en-US"/>
        </w:rPr>
        <w:t>that jurisdiction is fixed by the valid service of legal process</w:t>
      </w:r>
      <w:r w:rsidR="003162A2" w:rsidRPr="00277E7A">
        <w:rPr>
          <w:rFonts w:ascii="Arial" w:hAnsi="Arial" w:cs="Arial"/>
          <w:sz w:val="24"/>
          <w:szCs w:val="24"/>
          <w:lang w:val="en-US"/>
        </w:rPr>
        <w:t xml:space="preserve"> at a location within the jurisdiction of the relevant court</w:t>
      </w:r>
      <w:r w:rsidR="00BA6F44" w:rsidRPr="00277E7A">
        <w:rPr>
          <w:rFonts w:ascii="Arial" w:hAnsi="Arial" w:cs="Arial"/>
          <w:sz w:val="24"/>
          <w:szCs w:val="24"/>
          <w:lang w:val="en-US"/>
        </w:rPr>
        <w:t>, a notion that it not part of our law.</w:t>
      </w:r>
    </w:p>
    <w:p w14:paraId="1C3B08E5" w14:textId="55755BAE" w:rsidR="003A53D5" w:rsidRPr="00277E7A" w:rsidRDefault="00277E7A" w:rsidP="00277E7A">
      <w:pPr>
        <w:spacing w:before="480" w:after="480" w:line="480" w:lineRule="auto"/>
        <w:ind w:left="567" w:hanging="567"/>
        <w:jc w:val="both"/>
        <w:rPr>
          <w:rFonts w:ascii="Arial" w:hAnsi="Arial" w:cs="Arial"/>
          <w:sz w:val="24"/>
          <w:szCs w:val="24"/>
          <w:lang w:val="en-US"/>
        </w:rPr>
      </w:pPr>
      <w:r w:rsidRPr="000E382B">
        <w:rPr>
          <w:rFonts w:ascii="Arial" w:hAnsi="Arial" w:cs="Arial"/>
          <w:sz w:val="24"/>
          <w:szCs w:val="24"/>
          <w:lang w:val="en-US"/>
        </w:rPr>
        <w:t>[33]</w:t>
      </w:r>
      <w:r w:rsidRPr="000E382B">
        <w:rPr>
          <w:rFonts w:ascii="Arial" w:hAnsi="Arial" w:cs="Arial"/>
          <w:sz w:val="24"/>
          <w:szCs w:val="24"/>
          <w:lang w:val="en-US"/>
        </w:rPr>
        <w:tab/>
      </w:r>
      <w:r w:rsidR="005F27C9" w:rsidRPr="00277E7A">
        <w:rPr>
          <w:rFonts w:ascii="Arial" w:hAnsi="Arial" w:cs="Arial"/>
          <w:sz w:val="24"/>
          <w:szCs w:val="24"/>
          <w:lang w:val="en-US"/>
        </w:rPr>
        <w:t xml:space="preserve">The importance of the provisions of the CCA is that </w:t>
      </w:r>
      <w:r w:rsidR="00BF5CF0" w:rsidRPr="00277E7A">
        <w:rPr>
          <w:rFonts w:ascii="Arial" w:hAnsi="Arial" w:cs="Arial"/>
          <w:sz w:val="24"/>
          <w:szCs w:val="24"/>
          <w:lang w:val="en-US"/>
        </w:rPr>
        <w:t xml:space="preserve">they </w:t>
      </w:r>
      <w:r w:rsidR="00FC497C" w:rsidRPr="00277E7A">
        <w:rPr>
          <w:rFonts w:ascii="Arial" w:hAnsi="Arial" w:cs="Arial"/>
          <w:sz w:val="24"/>
          <w:szCs w:val="24"/>
          <w:lang w:val="en-US"/>
        </w:rPr>
        <w:t xml:space="preserve">may shed light on the </w:t>
      </w:r>
      <w:r w:rsidR="000054DD" w:rsidRPr="00277E7A">
        <w:rPr>
          <w:rFonts w:ascii="Arial" w:hAnsi="Arial" w:cs="Arial"/>
          <w:sz w:val="24"/>
          <w:szCs w:val="24"/>
          <w:lang w:val="en-US"/>
        </w:rPr>
        <w:t xml:space="preserve">nature of the </w:t>
      </w:r>
      <w:r w:rsidR="00C12C25" w:rsidRPr="00277E7A">
        <w:rPr>
          <w:rFonts w:ascii="Arial" w:hAnsi="Arial" w:cs="Arial"/>
          <w:sz w:val="24"/>
          <w:szCs w:val="24"/>
          <w:lang w:val="en-US"/>
        </w:rPr>
        <w:t xml:space="preserve">connection between </w:t>
      </w:r>
      <w:r w:rsidR="000054DD" w:rsidRPr="00277E7A">
        <w:rPr>
          <w:rFonts w:ascii="Arial" w:hAnsi="Arial" w:cs="Arial"/>
          <w:sz w:val="24"/>
          <w:szCs w:val="24"/>
          <w:lang w:val="en-US"/>
        </w:rPr>
        <w:t>a</w:t>
      </w:r>
      <w:r w:rsidR="00C12C25" w:rsidRPr="00277E7A">
        <w:rPr>
          <w:rFonts w:ascii="Arial" w:hAnsi="Arial" w:cs="Arial"/>
          <w:sz w:val="24"/>
          <w:szCs w:val="24"/>
          <w:lang w:val="en-US"/>
        </w:rPr>
        <w:t xml:space="preserve"> close corporation and its registered office, which </w:t>
      </w:r>
      <w:r w:rsidR="007D765B" w:rsidRPr="00277E7A">
        <w:rPr>
          <w:rFonts w:ascii="Arial" w:hAnsi="Arial" w:cs="Arial"/>
          <w:sz w:val="24"/>
          <w:szCs w:val="24"/>
          <w:lang w:val="en-US"/>
        </w:rPr>
        <w:t xml:space="preserve">may </w:t>
      </w:r>
      <w:r w:rsidR="000D39FF" w:rsidRPr="00277E7A">
        <w:rPr>
          <w:rFonts w:ascii="Arial" w:hAnsi="Arial" w:cs="Arial"/>
          <w:sz w:val="24"/>
          <w:szCs w:val="24"/>
          <w:lang w:val="en-US"/>
        </w:rPr>
        <w:t xml:space="preserve">or may not support the conclusion that </w:t>
      </w:r>
      <w:r w:rsidR="0071108F" w:rsidRPr="00277E7A">
        <w:rPr>
          <w:rFonts w:ascii="Arial" w:hAnsi="Arial" w:cs="Arial"/>
          <w:sz w:val="24"/>
          <w:szCs w:val="24"/>
          <w:lang w:val="en-US"/>
        </w:rPr>
        <w:t>a close corporation</w:t>
      </w:r>
      <w:r w:rsidR="00BF5CF0" w:rsidRPr="00277E7A">
        <w:rPr>
          <w:rFonts w:ascii="Arial" w:hAnsi="Arial" w:cs="Arial"/>
          <w:sz w:val="24"/>
          <w:szCs w:val="24"/>
          <w:lang w:val="en-US"/>
        </w:rPr>
        <w:t xml:space="preserve"> is</w:t>
      </w:r>
      <w:r w:rsidR="0071108F" w:rsidRPr="00277E7A">
        <w:rPr>
          <w:rFonts w:ascii="Arial" w:hAnsi="Arial" w:cs="Arial"/>
          <w:sz w:val="24"/>
          <w:szCs w:val="24"/>
          <w:lang w:val="en-US"/>
        </w:rPr>
        <w:t xml:space="preserve"> deemed to be resident at its registered office.</w:t>
      </w:r>
    </w:p>
    <w:p w14:paraId="49F9CC3E" w14:textId="1F561244" w:rsidR="00A819D3"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[34]</w:t>
      </w:r>
      <w:r>
        <w:rPr>
          <w:rFonts w:ascii="Arial" w:hAnsi="Arial" w:cs="Arial"/>
          <w:sz w:val="24"/>
          <w:szCs w:val="24"/>
          <w:lang w:val="en-US"/>
        </w:rPr>
        <w:tab/>
      </w:r>
      <w:r w:rsidR="00B914C1" w:rsidRPr="00277E7A">
        <w:rPr>
          <w:rFonts w:ascii="Arial" w:hAnsi="Arial" w:cs="Arial"/>
          <w:sz w:val="24"/>
          <w:szCs w:val="24"/>
          <w:lang w:val="en-US"/>
        </w:rPr>
        <w:t>The preamble to the CCA states that the purpose of the Act is t</w:t>
      </w:r>
      <w:r w:rsidR="000F4EBB" w:rsidRPr="00277E7A">
        <w:rPr>
          <w:rFonts w:ascii="Arial" w:hAnsi="Arial" w:cs="Arial"/>
          <w:sz w:val="24"/>
          <w:szCs w:val="24"/>
          <w:lang w:val="en-US"/>
        </w:rPr>
        <w:t>o provide for the formation, registration, incorporation, management, control and liquidation of close corporations; and for matters connected therewith.</w:t>
      </w:r>
      <w:r w:rsidR="00F7195A" w:rsidRPr="00277E7A">
        <w:rPr>
          <w:rFonts w:ascii="Arial" w:hAnsi="Arial" w:cs="Arial"/>
          <w:sz w:val="24"/>
          <w:szCs w:val="24"/>
          <w:lang w:val="en-US"/>
        </w:rPr>
        <w:t xml:space="preserve"> Th</w:t>
      </w:r>
      <w:r w:rsidR="0038257B" w:rsidRPr="00277E7A">
        <w:rPr>
          <w:rFonts w:ascii="Arial" w:hAnsi="Arial" w:cs="Arial"/>
          <w:sz w:val="24"/>
          <w:szCs w:val="24"/>
          <w:lang w:val="en-US"/>
        </w:rPr>
        <w:t>e purpose of the Act is important, as courts are enjoined to interpret legislation purposively</w:t>
      </w:r>
      <w:r w:rsidR="00025A1F" w:rsidRPr="00277E7A">
        <w:rPr>
          <w:rFonts w:ascii="Arial" w:hAnsi="Arial" w:cs="Arial"/>
          <w:sz w:val="24"/>
          <w:szCs w:val="24"/>
          <w:lang w:val="en-US"/>
        </w:rPr>
        <w:t xml:space="preserve">, in </w:t>
      </w:r>
      <w:r w:rsidR="00025A1F" w:rsidRPr="00277E7A">
        <w:rPr>
          <w:rFonts w:ascii="Arial" w:hAnsi="Arial" w:cs="Arial"/>
          <w:sz w:val="24"/>
          <w:szCs w:val="24"/>
          <w:lang w:val="en-US"/>
        </w:rPr>
        <w:lastRenderedPageBreak/>
        <w:t xml:space="preserve">accordance with the following principles, as set out in </w:t>
      </w:r>
      <w:r w:rsidR="00622D33" w:rsidRPr="00277E7A">
        <w:rPr>
          <w:rFonts w:ascii="Arial" w:hAnsi="Arial" w:cs="Arial"/>
          <w:i/>
          <w:iCs/>
          <w:sz w:val="24"/>
          <w:szCs w:val="24"/>
          <w:lang w:val="en-US"/>
        </w:rPr>
        <w:t>Natal Joint Municipal Pension Fund v Endumeni Municipality</w:t>
      </w:r>
      <w:r w:rsidR="00622D33">
        <w:rPr>
          <w:rStyle w:val="FootnoteReference"/>
          <w:rFonts w:ascii="Arial" w:hAnsi="Arial" w:cs="Arial"/>
          <w:i/>
          <w:iCs/>
          <w:sz w:val="24"/>
          <w:szCs w:val="24"/>
          <w:lang w:val="en-US"/>
        </w:rPr>
        <w:footnoteReference w:id="6"/>
      </w:r>
      <w:r w:rsidR="00EB59D7" w:rsidRPr="00277E7A">
        <w:rPr>
          <w:rFonts w:ascii="Arial" w:hAnsi="Arial" w:cs="Arial"/>
          <w:sz w:val="24"/>
          <w:szCs w:val="24"/>
          <w:lang w:val="en-US"/>
        </w:rPr>
        <w:t>:</w:t>
      </w:r>
    </w:p>
    <w:p w14:paraId="1BD52FCF" w14:textId="7193A53A" w:rsidR="00402A92" w:rsidRPr="00402A92" w:rsidRDefault="00EB59D7" w:rsidP="00EB59D7">
      <w:pPr>
        <w:pStyle w:val="ListParagraph"/>
        <w:spacing w:before="240" w:after="240" w:line="240" w:lineRule="auto"/>
        <w:ind w:left="1701" w:right="1701"/>
        <w:jc w:val="both"/>
        <w:rPr>
          <w:rFonts w:ascii="Arial" w:hAnsi="Arial" w:cs="Arial"/>
          <w:sz w:val="24"/>
          <w:szCs w:val="24"/>
          <w:lang w:val="en-US"/>
        </w:rPr>
      </w:pPr>
      <w:r>
        <w:rPr>
          <w:rFonts w:ascii="Arial" w:hAnsi="Arial" w:cs="Arial"/>
          <w:sz w:val="24"/>
          <w:szCs w:val="24"/>
          <w:lang w:val="en-US"/>
        </w:rPr>
        <w:t>“</w:t>
      </w:r>
      <w:r w:rsidR="00932764" w:rsidRPr="00EB59D7">
        <w:rPr>
          <w:rFonts w:ascii="Arial" w:hAnsi="Arial" w:cs="Arial"/>
          <w:i/>
          <w:iCs/>
          <w:sz w:val="24"/>
          <w:szCs w:val="24"/>
          <w:lang w:val="en-US"/>
        </w:rPr>
        <w:t>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Where more than one meaning is possible each possibility must be weighed in the light of all these factors. The process is objective, not subjective. A sensible meaning is to be preferred to one that leads to insensible or unbusinesslike results or undermines the apparent purpose of the document.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provision itself',</w:t>
      </w:r>
      <w:r w:rsidRPr="00EB59D7">
        <w:rPr>
          <w:rFonts w:ascii="Arial" w:hAnsi="Arial" w:cs="Arial"/>
          <w:i/>
          <w:iCs/>
          <w:sz w:val="24"/>
          <w:szCs w:val="24"/>
          <w:lang w:val="en-US"/>
        </w:rPr>
        <w:t xml:space="preserve"> </w:t>
      </w:r>
      <w:r w:rsidR="00932764" w:rsidRPr="00EB59D7">
        <w:rPr>
          <w:rFonts w:ascii="Arial" w:hAnsi="Arial" w:cs="Arial"/>
          <w:i/>
          <w:iCs/>
          <w:sz w:val="24"/>
          <w:szCs w:val="24"/>
          <w:lang w:val="en-US"/>
        </w:rPr>
        <w:t>read in context and having regard to the purpose of the provision and the background to the preparation and production of the document.</w:t>
      </w:r>
      <w:r>
        <w:rPr>
          <w:rFonts w:ascii="Arial" w:hAnsi="Arial" w:cs="Arial"/>
          <w:sz w:val="24"/>
          <w:szCs w:val="24"/>
          <w:lang w:val="en-US"/>
        </w:rPr>
        <w:t>”</w:t>
      </w:r>
    </w:p>
    <w:p w14:paraId="2F00195D" w14:textId="26335F21" w:rsidR="00C40220" w:rsidRDefault="00B914C1" w:rsidP="00932764">
      <w:pPr>
        <w:pStyle w:val="ListParagraph"/>
        <w:spacing w:before="480" w:after="480" w:line="480" w:lineRule="auto"/>
        <w:ind w:left="567"/>
        <w:jc w:val="both"/>
        <w:rPr>
          <w:rFonts w:ascii="Arial" w:hAnsi="Arial" w:cs="Arial"/>
          <w:sz w:val="24"/>
          <w:szCs w:val="24"/>
          <w:lang w:val="en-US"/>
        </w:rPr>
      </w:pPr>
      <w:r>
        <w:rPr>
          <w:rFonts w:ascii="Arial" w:hAnsi="Arial" w:cs="Arial"/>
          <w:sz w:val="24"/>
          <w:szCs w:val="24"/>
          <w:lang w:val="en-US"/>
        </w:rPr>
        <w:t xml:space="preserve">  </w:t>
      </w:r>
    </w:p>
    <w:p w14:paraId="3A6220DD" w14:textId="77777777" w:rsidR="003018E6" w:rsidRPr="00C40220" w:rsidRDefault="003018E6" w:rsidP="00932764">
      <w:pPr>
        <w:pStyle w:val="ListParagraph"/>
        <w:spacing w:before="480" w:after="480" w:line="480" w:lineRule="auto"/>
        <w:ind w:left="567"/>
        <w:jc w:val="both"/>
        <w:rPr>
          <w:rFonts w:ascii="Arial" w:hAnsi="Arial" w:cs="Arial"/>
          <w:sz w:val="24"/>
          <w:szCs w:val="24"/>
          <w:lang w:val="en-US"/>
        </w:rPr>
      </w:pPr>
    </w:p>
    <w:p w14:paraId="18145826" w14:textId="6E26E765" w:rsidR="009B251A"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[35]</w:t>
      </w:r>
      <w:r>
        <w:rPr>
          <w:rFonts w:ascii="Arial" w:hAnsi="Arial" w:cs="Arial"/>
          <w:sz w:val="24"/>
          <w:szCs w:val="24"/>
          <w:lang w:val="en-US"/>
        </w:rPr>
        <w:tab/>
      </w:r>
      <w:r w:rsidR="0096426F" w:rsidRPr="00277E7A">
        <w:rPr>
          <w:rFonts w:ascii="Arial" w:hAnsi="Arial" w:cs="Arial"/>
          <w:sz w:val="24"/>
          <w:szCs w:val="24"/>
          <w:lang w:val="en-US"/>
        </w:rPr>
        <w:t xml:space="preserve">As indicated above, </w:t>
      </w:r>
      <w:r w:rsidR="00A45701" w:rsidRPr="00277E7A">
        <w:rPr>
          <w:rFonts w:ascii="Arial" w:hAnsi="Arial" w:cs="Arial"/>
          <w:sz w:val="24"/>
          <w:szCs w:val="24"/>
          <w:lang w:val="en-US"/>
        </w:rPr>
        <w:t>section 25 of the C</w:t>
      </w:r>
      <w:r w:rsidR="005830C7" w:rsidRPr="00277E7A">
        <w:rPr>
          <w:rFonts w:ascii="Arial" w:hAnsi="Arial" w:cs="Arial"/>
          <w:sz w:val="24"/>
          <w:szCs w:val="24"/>
          <w:lang w:val="en-US"/>
        </w:rPr>
        <w:t>CA</w:t>
      </w:r>
      <w:r w:rsidR="0096426F" w:rsidRPr="00277E7A">
        <w:rPr>
          <w:rFonts w:ascii="Arial" w:hAnsi="Arial" w:cs="Arial"/>
          <w:sz w:val="24"/>
          <w:szCs w:val="24"/>
          <w:lang w:val="en-US"/>
        </w:rPr>
        <w:t xml:space="preserve"> makes provision for the registration of a registered office for a Close Corporation, </w:t>
      </w:r>
      <w:r w:rsidR="00C71B0C" w:rsidRPr="00277E7A">
        <w:rPr>
          <w:rFonts w:ascii="Arial" w:hAnsi="Arial" w:cs="Arial"/>
          <w:sz w:val="24"/>
          <w:szCs w:val="24"/>
          <w:lang w:val="en-US"/>
        </w:rPr>
        <w:t>at which address communication and notices may be sent or delivered, and where process can be served.</w:t>
      </w:r>
      <w:r w:rsidR="00660CE7" w:rsidRPr="00277E7A">
        <w:rPr>
          <w:rFonts w:ascii="Arial" w:hAnsi="Arial" w:cs="Arial"/>
          <w:sz w:val="24"/>
          <w:szCs w:val="24"/>
          <w:lang w:val="en-US"/>
        </w:rPr>
        <w:t xml:space="preserve"> </w:t>
      </w:r>
      <w:r w:rsidR="00B71CCC" w:rsidRPr="00277E7A">
        <w:rPr>
          <w:rFonts w:ascii="Arial" w:hAnsi="Arial" w:cs="Arial"/>
          <w:sz w:val="24"/>
          <w:szCs w:val="24"/>
          <w:lang w:val="en-US"/>
        </w:rPr>
        <w:t xml:space="preserve">This </w:t>
      </w:r>
      <w:r w:rsidR="00B71CCC" w:rsidRPr="00277E7A">
        <w:rPr>
          <w:rFonts w:ascii="Arial" w:hAnsi="Arial" w:cs="Arial"/>
          <w:sz w:val="24"/>
          <w:szCs w:val="24"/>
          <w:lang w:val="en-US"/>
        </w:rPr>
        <w:lastRenderedPageBreak/>
        <w:t xml:space="preserve">section creates a mechanism whereby the outside world </w:t>
      </w:r>
      <w:r w:rsidR="00423306" w:rsidRPr="00277E7A">
        <w:rPr>
          <w:rFonts w:ascii="Arial" w:hAnsi="Arial" w:cs="Arial"/>
          <w:sz w:val="24"/>
          <w:szCs w:val="24"/>
          <w:lang w:val="en-US"/>
        </w:rPr>
        <w:t xml:space="preserve">can have certainty </w:t>
      </w:r>
      <w:r w:rsidR="00227746" w:rsidRPr="00277E7A">
        <w:rPr>
          <w:rFonts w:ascii="Arial" w:hAnsi="Arial" w:cs="Arial"/>
          <w:sz w:val="24"/>
          <w:szCs w:val="24"/>
          <w:lang w:val="en-US"/>
        </w:rPr>
        <w:t>regarding the official whereabouts of a corporation</w:t>
      </w:r>
      <w:r w:rsidR="00BE3A1B" w:rsidRPr="00277E7A">
        <w:rPr>
          <w:rFonts w:ascii="Arial" w:hAnsi="Arial" w:cs="Arial"/>
          <w:sz w:val="24"/>
          <w:szCs w:val="24"/>
          <w:lang w:val="en-US"/>
        </w:rPr>
        <w:t>, where the corporation can be validly communicated with</w:t>
      </w:r>
      <w:r w:rsidR="00B54304" w:rsidRPr="00277E7A">
        <w:rPr>
          <w:rFonts w:ascii="Arial" w:hAnsi="Arial" w:cs="Arial"/>
          <w:sz w:val="24"/>
          <w:szCs w:val="24"/>
          <w:lang w:val="en-US"/>
        </w:rPr>
        <w:t xml:space="preserve"> and even where legal </w:t>
      </w:r>
      <w:r w:rsidR="00DF5A46" w:rsidRPr="00277E7A">
        <w:rPr>
          <w:rFonts w:ascii="Arial" w:hAnsi="Arial" w:cs="Arial"/>
          <w:sz w:val="24"/>
          <w:szCs w:val="24"/>
          <w:lang w:val="en-US"/>
        </w:rPr>
        <w:t>action</w:t>
      </w:r>
      <w:r w:rsidR="00B54304" w:rsidRPr="00277E7A">
        <w:rPr>
          <w:rFonts w:ascii="Arial" w:hAnsi="Arial" w:cs="Arial"/>
          <w:sz w:val="24"/>
          <w:szCs w:val="24"/>
          <w:lang w:val="en-US"/>
        </w:rPr>
        <w:t xml:space="preserve"> can be commenced.</w:t>
      </w:r>
      <w:r w:rsidR="00C534DF" w:rsidRPr="00277E7A">
        <w:rPr>
          <w:rFonts w:ascii="Arial" w:hAnsi="Arial" w:cs="Arial"/>
          <w:sz w:val="24"/>
          <w:szCs w:val="24"/>
          <w:lang w:val="en-US"/>
        </w:rPr>
        <w:t xml:space="preserve"> </w:t>
      </w:r>
    </w:p>
    <w:p w14:paraId="24C75D90" w14:textId="70C8E59C" w:rsidR="00C26B40" w:rsidRPr="00277E7A" w:rsidRDefault="00277E7A" w:rsidP="00277E7A">
      <w:pPr>
        <w:spacing w:before="480" w:after="480" w:line="480" w:lineRule="auto"/>
        <w:ind w:left="567" w:hanging="567"/>
        <w:jc w:val="both"/>
        <w:rPr>
          <w:rFonts w:ascii="Arial" w:hAnsi="Arial" w:cs="Arial"/>
          <w:sz w:val="24"/>
          <w:szCs w:val="24"/>
          <w:lang w:val="en-US"/>
        </w:rPr>
      </w:pPr>
      <w:r w:rsidRPr="00007E40">
        <w:rPr>
          <w:rFonts w:ascii="Arial" w:hAnsi="Arial" w:cs="Arial"/>
          <w:sz w:val="24"/>
          <w:szCs w:val="24"/>
          <w:lang w:val="en-US"/>
        </w:rPr>
        <w:t>[36]</w:t>
      </w:r>
      <w:r w:rsidRPr="00007E40">
        <w:rPr>
          <w:rFonts w:ascii="Arial" w:hAnsi="Arial" w:cs="Arial"/>
          <w:sz w:val="24"/>
          <w:szCs w:val="24"/>
          <w:lang w:val="en-US"/>
        </w:rPr>
        <w:tab/>
      </w:r>
      <w:r w:rsidR="00C534DF" w:rsidRPr="00277E7A">
        <w:rPr>
          <w:rFonts w:ascii="Arial" w:hAnsi="Arial" w:cs="Arial"/>
          <w:sz w:val="24"/>
          <w:szCs w:val="24"/>
          <w:lang w:val="en-US"/>
        </w:rPr>
        <w:t>Th</w:t>
      </w:r>
      <w:r w:rsidR="00E027AC" w:rsidRPr="00277E7A">
        <w:rPr>
          <w:rFonts w:ascii="Arial" w:hAnsi="Arial" w:cs="Arial"/>
          <w:sz w:val="24"/>
          <w:szCs w:val="24"/>
          <w:lang w:val="en-US"/>
        </w:rPr>
        <w:t xml:space="preserve">e legislature thereby created a mechanism </w:t>
      </w:r>
      <w:r w:rsidR="008B54B6" w:rsidRPr="00277E7A">
        <w:rPr>
          <w:rFonts w:ascii="Arial" w:hAnsi="Arial" w:cs="Arial"/>
          <w:sz w:val="24"/>
          <w:szCs w:val="24"/>
          <w:lang w:val="en-US"/>
        </w:rPr>
        <w:t>whereby a corporation is</w:t>
      </w:r>
      <w:r w:rsidR="005D20B3" w:rsidRPr="00277E7A">
        <w:rPr>
          <w:rFonts w:ascii="Arial" w:hAnsi="Arial" w:cs="Arial"/>
          <w:sz w:val="24"/>
          <w:szCs w:val="24"/>
          <w:lang w:val="en-US"/>
        </w:rPr>
        <w:t xml:space="preserve"> deemed to be present</w:t>
      </w:r>
      <w:r w:rsidR="00634179" w:rsidRPr="00277E7A">
        <w:rPr>
          <w:rFonts w:ascii="Arial" w:hAnsi="Arial" w:cs="Arial"/>
          <w:sz w:val="24"/>
          <w:szCs w:val="24"/>
          <w:lang w:val="en-US"/>
        </w:rPr>
        <w:t xml:space="preserve"> at its place of business. </w:t>
      </w:r>
      <w:r w:rsidR="005346AE" w:rsidRPr="00277E7A">
        <w:rPr>
          <w:rFonts w:ascii="Arial" w:hAnsi="Arial" w:cs="Arial"/>
          <w:sz w:val="24"/>
          <w:szCs w:val="24"/>
          <w:lang w:val="en-US"/>
        </w:rPr>
        <w:t>The phrase “d</w:t>
      </w:r>
      <w:r w:rsidR="00634179" w:rsidRPr="00277E7A">
        <w:rPr>
          <w:rFonts w:ascii="Arial" w:hAnsi="Arial" w:cs="Arial"/>
          <w:sz w:val="24"/>
          <w:szCs w:val="24"/>
          <w:lang w:val="en-US"/>
        </w:rPr>
        <w:t>eemed to be present” is</w:t>
      </w:r>
      <w:r w:rsidR="005346AE" w:rsidRPr="00277E7A">
        <w:rPr>
          <w:rFonts w:ascii="Arial" w:hAnsi="Arial" w:cs="Arial"/>
          <w:sz w:val="24"/>
          <w:szCs w:val="24"/>
          <w:lang w:val="en-US"/>
        </w:rPr>
        <w:t xml:space="preserve"> used in a loose sense, as I am mindful that</w:t>
      </w:r>
      <w:r w:rsidR="00A25461" w:rsidRPr="00277E7A">
        <w:rPr>
          <w:rFonts w:ascii="Arial" w:hAnsi="Arial" w:cs="Arial"/>
          <w:sz w:val="24"/>
          <w:szCs w:val="24"/>
          <w:lang w:val="en-US"/>
        </w:rPr>
        <w:t xml:space="preserve"> the use of</w:t>
      </w:r>
      <w:r w:rsidR="0022524F" w:rsidRPr="00277E7A">
        <w:rPr>
          <w:rFonts w:ascii="Arial" w:hAnsi="Arial" w:cs="Arial"/>
          <w:sz w:val="24"/>
          <w:szCs w:val="24"/>
          <w:lang w:val="en-US"/>
        </w:rPr>
        <w:t xml:space="preserve"> the concept of </w:t>
      </w:r>
      <w:r w:rsidR="00A25461" w:rsidRPr="00277E7A">
        <w:rPr>
          <w:rFonts w:ascii="Arial" w:hAnsi="Arial" w:cs="Arial"/>
          <w:sz w:val="24"/>
          <w:szCs w:val="24"/>
          <w:lang w:val="en-US"/>
        </w:rPr>
        <w:t>“being present’ in section 19 of the Supreme Court Act and section 21</w:t>
      </w:r>
      <w:r w:rsidR="00021D2E" w:rsidRPr="00277E7A">
        <w:rPr>
          <w:rFonts w:ascii="Arial" w:hAnsi="Arial" w:cs="Arial"/>
          <w:sz w:val="24"/>
          <w:szCs w:val="24"/>
          <w:lang w:val="en-US"/>
        </w:rPr>
        <w:t xml:space="preserve"> of the Superior Courts Act</w:t>
      </w:r>
      <w:r w:rsidR="0022524F" w:rsidRPr="00277E7A">
        <w:rPr>
          <w:rFonts w:ascii="Arial" w:hAnsi="Arial" w:cs="Arial"/>
          <w:sz w:val="24"/>
          <w:szCs w:val="24"/>
          <w:lang w:val="en-US"/>
        </w:rPr>
        <w:t xml:space="preserve"> has a </w:t>
      </w:r>
      <w:r w:rsidR="00B75C8A" w:rsidRPr="00277E7A">
        <w:rPr>
          <w:rFonts w:ascii="Arial" w:hAnsi="Arial" w:cs="Arial"/>
          <w:sz w:val="24"/>
          <w:szCs w:val="24"/>
          <w:lang w:val="en-US"/>
        </w:rPr>
        <w:t xml:space="preserve">history in jurisprudence and is subject to </w:t>
      </w:r>
      <w:r w:rsidR="00492DFB" w:rsidRPr="00277E7A">
        <w:rPr>
          <w:rFonts w:ascii="Arial" w:hAnsi="Arial" w:cs="Arial"/>
          <w:sz w:val="24"/>
          <w:szCs w:val="24"/>
          <w:lang w:val="en-US"/>
        </w:rPr>
        <w:t>further analysis, which need not be undertaken in this matter.</w:t>
      </w:r>
      <w:r w:rsidR="00A71BAA" w:rsidRPr="00277E7A">
        <w:rPr>
          <w:rFonts w:ascii="Arial" w:hAnsi="Arial" w:cs="Arial"/>
          <w:sz w:val="24"/>
          <w:szCs w:val="24"/>
          <w:lang w:val="en-US"/>
        </w:rPr>
        <w:t xml:space="preserve"> </w:t>
      </w:r>
      <w:r w:rsidR="00045C67" w:rsidRPr="00277E7A">
        <w:rPr>
          <w:rFonts w:ascii="Arial" w:hAnsi="Arial" w:cs="Arial"/>
          <w:sz w:val="24"/>
          <w:szCs w:val="24"/>
          <w:lang w:val="en-US"/>
        </w:rPr>
        <w:t xml:space="preserve">However, the clear intention on the part of the legislature that a corporation must be deemed to be present at its registered office is an important </w:t>
      </w:r>
      <w:r w:rsidR="004F1920" w:rsidRPr="00277E7A">
        <w:rPr>
          <w:rFonts w:ascii="Arial" w:hAnsi="Arial" w:cs="Arial"/>
          <w:sz w:val="24"/>
          <w:szCs w:val="24"/>
          <w:lang w:val="en-US"/>
        </w:rPr>
        <w:t>consideration</w:t>
      </w:r>
      <w:r w:rsidR="00072376" w:rsidRPr="00277E7A">
        <w:rPr>
          <w:rFonts w:ascii="Arial" w:hAnsi="Arial" w:cs="Arial"/>
          <w:sz w:val="24"/>
          <w:szCs w:val="24"/>
          <w:lang w:val="en-US"/>
        </w:rPr>
        <w:t xml:space="preserve">, which supports the legal fiction that a corporation </w:t>
      </w:r>
      <w:r w:rsidR="00F855E5" w:rsidRPr="00277E7A">
        <w:rPr>
          <w:rFonts w:ascii="Arial" w:hAnsi="Arial" w:cs="Arial"/>
          <w:sz w:val="24"/>
          <w:szCs w:val="24"/>
          <w:lang w:val="en-US"/>
        </w:rPr>
        <w:t>must be deemed to reside at its registered office.</w:t>
      </w:r>
      <w:r w:rsidR="00517B0B" w:rsidRPr="00277E7A">
        <w:rPr>
          <w:rFonts w:ascii="Arial" w:hAnsi="Arial" w:cs="Arial"/>
          <w:sz w:val="24"/>
          <w:szCs w:val="24"/>
          <w:lang w:val="en-US"/>
        </w:rPr>
        <w:t xml:space="preserve"> </w:t>
      </w:r>
      <w:r w:rsidR="00021D2E" w:rsidRPr="00277E7A">
        <w:rPr>
          <w:rFonts w:ascii="Arial" w:hAnsi="Arial" w:cs="Arial"/>
          <w:sz w:val="24"/>
          <w:szCs w:val="24"/>
          <w:lang w:val="en-US"/>
        </w:rPr>
        <w:t xml:space="preserve">  </w:t>
      </w:r>
    </w:p>
    <w:p w14:paraId="2B46D51B" w14:textId="157AF214" w:rsidR="009557C4"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[37]</w:t>
      </w:r>
      <w:r>
        <w:rPr>
          <w:rFonts w:ascii="Arial" w:hAnsi="Arial" w:cs="Arial"/>
          <w:sz w:val="24"/>
          <w:szCs w:val="24"/>
          <w:lang w:val="en-US"/>
        </w:rPr>
        <w:tab/>
      </w:r>
      <w:r w:rsidR="00336087" w:rsidRPr="00277E7A">
        <w:rPr>
          <w:rFonts w:ascii="Arial" w:hAnsi="Arial" w:cs="Arial"/>
          <w:sz w:val="24"/>
          <w:szCs w:val="24"/>
          <w:lang w:val="en-US"/>
        </w:rPr>
        <w:t>Section 15</w:t>
      </w:r>
      <w:r w:rsidR="00543AE0" w:rsidRPr="00277E7A">
        <w:rPr>
          <w:rFonts w:ascii="Arial" w:hAnsi="Arial" w:cs="Arial"/>
          <w:sz w:val="24"/>
          <w:szCs w:val="24"/>
          <w:lang w:val="en-US"/>
        </w:rPr>
        <w:t>(3)</w:t>
      </w:r>
      <w:r w:rsidR="00336087" w:rsidRPr="00277E7A">
        <w:rPr>
          <w:rFonts w:ascii="Arial" w:hAnsi="Arial" w:cs="Arial"/>
          <w:sz w:val="24"/>
          <w:szCs w:val="24"/>
          <w:lang w:val="en-US"/>
        </w:rPr>
        <w:t xml:space="preserve"> of the CCA</w:t>
      </w:r>
      <w:r w:rsidR="00375E63" w:rsidRPr="00277E7A">
        <w:rPr>
          <w:rFonts w:ascii="Arial" w:hAnsi="Arial" w:cs="Arial"/>
          <w:sz w:val="24"/>
          <w:szCs w:val="24"/>
          <w:lang w:val="en-US"/>
        </w:rPr>
        <w:t xml:space="preserve"> provides that upon failure to register an amended founding statement,</w:t>
      </w:r>
      <w:r w:rsidR="00543AE0" w:rsidRPr="00277E7A">
        <w:rPr>
          <w:rFonts w:ascii="Arial" w:hAnsi="Arial" w:cs="Arial"/>
          <w:sz w:val="24"/>
          <w:szCs w:val="24"/>
          <w:lang w:val="en-US"/>
        </w:rPr>
        <w:t xml:space="preserve"> the Registrar ma</w:t>
      </w:r>
      <w:r w:rsidR="00A274FC" w:rsidRPr="00277E7A">
        <w:rPr>
          <w:rFonts w:ascii="Arial" w:hAnsi="Arial" w:cs="Arial"/>
          <w:sz w:val="24"/>
          <w:szCs w:val="24"/>
          <w:lang w:val="en-US"/>
        </w:rPr>
        <w:t xml:space="preserve">y send </w:t>
      </w:r>
      <w:r w:rsidR="00C355EA" w:rsidRPr="00277E7A">
        <w:rPr>
          <w:rFonts w:ascii="Arial" w:hAnsi="Arial" w:cs="Arial"/>
          <w:sz w:val="24"/>
          <w:szCs w:val="24"/>
          <w:lang w:val="en-US"/>
        </w:rPr>
        <w:t>a</w:t>
      </w:r>
      <w:r w:rsidR="00A274FC" w:rsidRPr="00277E7A">
        <w:rPr>
          <w:rFonts w:ascii="Arial" w:hAnsi="Arial" w:cs="Arial"/>
          <w:sz w:val="24"/>
          <w:szCs w:val="24"/>
          <w:lang w:val="en-US"/>
        </w:rPr>
        <w:t xml:space="preserve"> notice to comply by registered mail to</w:t>
      </w:r>
      <w:r w:rsidR="00BA6246" w:rsidRPr="00277E7A">
        <w:rPr>
          <w:rFonts w:ascii="Arial" w:hAnsi="Arial" w:cs="Arial"/>
          <w:sz w:val="24"/>
          <w:szCs w:val="24"/>
          <w:lang w:val="en-US"/>
        </w:rPr>
        <w:t xml:space="preserve"> the corporation, and may upon failure to comply, </w:t>
      </w:r>
      <w:r w:rsidR="00600932" w:rsidRPr="00277E7A">
        <w:rPr>
          <w:rFonts w:ascii="Arial" w:hAnsi="Arial" w:cs="Arial"/>
          <w:sz w:val="24"/>
          <w:szCs w:val="24"/>
          <w:lang w:val="en-US"/>
        </w:rPr>
        <w:t xml:space="preserve">impose a </w:t>
      </w:r>
      <w:r w:rsidR="00636D4F" w:rsidRPr="00277E7A">
        <w:rPr>
          <w:rFonts w:ascii="Arial" w:hAnsi="Arial" w:cs="Arial"/>
          <w:sz w:val="24"/>
          <w:szCs w:val="24"/>
          <w:lang w:val="en-US"/>
        </w:rPr>
        <w:t xml:space="preserve">monetary </w:t>
      </w:r>
      <w:r w:rsidR="00600932" w:rsidRPr="00277E7A">
        <w:rPr>
          <w:rFonts w:ascii="Arial" w:hAnsi="Arial" w:cs="Arial"/>
          <w:sz w:val="24"/>
          <w:szCs w:val="24"/>
          <w:lang w:val="en-US"/>
        </w:rPr>
        <w:t xml:space="preserve">penalty </w:t>
      </w:r>
      <w:r w:rsidR="00D800EF" w:rsidRPr="00277E7A">
        <w:rPr>
          <w:rFonts w:ascii="Arial" w:hAnsi="Arial" w:cs="Arial"/>
          <w:sz w:val="24"/>
          <w:szCs w:val="24"/>
          <w:lang w:val="en-US"/>
        </w:rPr>
        <w:t xml:space="preserve">by written notice </w:t>
      </w:r>
      <w:r w:rsidR="00636D4F" w:rsidRPr="00277E7A">
        <w:rPr>
          <w:rFonts w:ascii="Arial" w:hAnsi="Arial" w:cs="Arial"/>
          <w:sz w:val="24"/>
          <w:szCs w:val="24"/>
          <w:lang w:val="en-US"/>
        </w:rPr>
        <w:t>on</w:t>
      </w:r>
      <w:r w:rsidR="00D800EF" w:rsidRPr="00277E7A">
        <w:rPr>
          <w:rFonts w:ascii="Arial" w:hAnsi="Arial" w:cs="Arial"/>
          <w:sz w:val="24"/>
          <w:szCs w:val="24"/>
          <w:lang w:val="en-US"/>
        </w:rPr>
        <w:t xml:space="preserve"> the corporation. Importantly section 13(3)(d) give</w:t>
      </w:r>
      <w:r w:rsidR="00C64157" w:rsidRPr="00277E7A">
        <w:rPr>
          <w:rFonts w:ascii="Arial" w:hAnsi="Arial" w:cs="Arial"/>
          <w:sz w:val="24"/>
          <w:szCs w:val="24"/>
          <w:lang w:val="en-US"/>
        </w:rPr>
        <w:t>s</w:t>
      </w:r>
      <w:r w:rsidR="00D800EF" w:rsidRPr="00277E7A">
        <w:rPr>
          <w:rFonts w:ascii="Arial" w:hAnsi="Arial" w:cs="Arial"/>
          <w:sz w:val="24"/>
          <w:szCs w:val="24"/>
          <w:lang w:val="en-US"/>
        </w:rPr>
        <w:t xml:space="preserve"> the Registrar the right to transmit the </w:t>
      </w:r>
      <w:r w:rsidR="00636D4F" w:rsidRPr="00277E7A">
        <w:rPr>
          <w:rFonts w:ascii="Arial" w:hAnsi="Arial" w:cs="Arial"/>
          <w:sz w:val="24"/>
          <w:szCs w:val="24"/>
          <w:lang w:val="en-US"/>
        </w:rPr>
        <w:t>penalty notice to the clerk of the magistrates’ court in which the corporation’s registered office is situated,</w:t>
      </w:r>
      <w:r w:rsidR="00776F7A" w:rsidRPr="00277E7A">
        <w:rPr>
          <w:rFonts w:ascii="Arial" w:hAnsi="Arial" w:cs="Arial"/>
          <w:sz w:val="24"/>
          <w:szCs w:val="24"/>
          <w:lang w:val="en-US"/>
        </w:rPr>
        <w:t xml:space="preserve"> who must record it</w:t>
      </w:r>
      <w:r w:rsidR="00AB559A" w:rsidRPr="00277E7A">
        <w:rPr>
          <w:rFonts w:ascii="Arial" w:hAnsi="Arial" w:cs="Arial"/>
          <w:sz w:val="24"/>
          <w:szCs w:val="24"/>
          <w:lang w:val="en-US"/>
        </w:rPr>
        <w:t>. Such recordal has the effect of a civil judgment against the corporation.</w:t>
      </w:r>
      <w:r w:rsidR="00411BC8" w:rsidRPr="00277E7A">
        <w:rPr>
          <w:rFonts w:ascii="Arial" w:hAnsi="Arial" w:cs="Arial"/>
          <w:sz w:val="24"/>
          <w:szCs w:val="24"/>
          <w:lang w:val="en-US"/>
        </w:rPr>
        <w:t xml:space="preserve"> </w:t>
      </w:r>
      <w:r w:rsidR="0094556E" w:rsidRPr="00277E7A">
        <w:rPr>
          <w:rFonts w:ascii="Arial" w:hAnsi="Arial" w:cs="Arial"/>
          <w:sz w:val="24"/>
          <w:szCs w:val="24"/>
          <w:lang w:val="en-US"/>
        </w:rPr>
        <w:t>The CCA thereby provides territorial ju</w:t>
      </w:r>
      <w:r w:rsidR="00500655" w:rsidRPr="00277E7A">
        <w:rPr>
          <w:rFonts w:ascii="Arial" w:hAnsi="Arial" w:cs="Arial"/>
          <w:sz w:val="24"/>
          <w:szCs w:val="24"/>
          <w:lang w:val="en-US"/>
        </w:rPr>
        <w:t xml:space="preserve">risdiction to </w:t>
      </w:r>
      <w:r w:rsidR="00CB5914" w:rsidRPr="00277E7A">
        <w:rPr>
          <w:rFonts w:ascii="Arial" w:hAnsi="Arial" w:cs="Arial"/>
          <w:sz w:val="24"/>
          <w:szCs w:val="24"/>
          <w:lang w:val="en-US"/>
        </w:rPr>
        <w:t>the</w:t>
      </w:r>
      <w:r w:rsidR="00500655" w:rsidRPr="00277E7A">
        <w:rPr>
          <w:rFonts w:ascii="Arial" w:hAnsi="Arial" w:cs="Arial"/>
          <w:sz w:val="24"/>
          <w:szCs w:val="24"/>
          <w:lang w:val="en-US"/>
        </w:rPr>
        <w:t xml:space="preserve"> magistrates’ court</w:t>
      </w:r>
      <w:r w:rsidR="00CB5914" w:rsidRPr="00277E7A">
        <w:rPr>
          <w:rFonts w:ascii="Arial" w:hAnsi="Arial" w:cs="Arial"/>
          <w:sz w:val="24"/>
          <w:szCs w:val="24"/>
          <w:lang w:val="en-US"/>
        </w:rPr>
        <w:t xml:space="preserve"> where </w:t>
      </w:r>
      <w:r w:rsidR="00CC0470" w:rsidRPr="00277E7A">
        <w:rPr>
          <w:rFonts w:ascii="Arial" w:hAnsi="Arial" w:cs="Arial"/>
          <w:sz w:val="24"/>
          <w:szCs w:val="24"/>
          <w:lang w:val="en-US"/>
        </w:rPr>
        <w:t>its registered office is situated</w:t>
      </w:r>
      <w:r w:rsidR="00C73FEF" w:rsidRPr="00277E7A">
        <w:rPr>
          <w:rFonts w:ascii="Arial" w:hAnsi="Arial" w:cs="Arial"/>
          <w:sz w:val="24"/>
          <w:szCs w:val="24"/>
          <w:lang w:val="en-US"/>
        </w:rPr>
        <w:t xml:space="preserve"> in this situation.</w:t>
      </w:r>
      <w:r w:rsidR="0094556E" w:rsidRPr="00277E7A">
        <w:rPr>
          <w:rFonts w:ascii="Arial" w:hAnsi="Arial" w:cs="Arial"/>
          <w:sz w:val="24"/>
          <w:szCs w:val="24"/>
          <w:lang w:val="en-US"/>
        </w:rPr>
        <w:t xml:space="preserve"> </w:t>
      </w:r>
      <w:r w:rsidR="00C64157" w:rsidRPr="00277E7A">
        <w:rPr>
          <w:rFonts w:ascii="Arial" w:hAnsi="Arial" w:cs="Arial"/>
          <w:sz w:val="24"/>
          <w:szCs w:val="24"/>
          <w:lang w:val="en-US"/>
        </w:rPr>
        <w:t xml:space="preserve"> </w:t>
      </w:r>
      <w:r w:rsidR="00636D4F" w:rsidRPr="00277E7A">
        <w:rPr>
          <w:rFonts w:ascii="Arial" w:hAnsi="Arial" w:cs="Arial"/>
          <w:sz w:val="24"/>
          <w:szCs w:val="24"/>
          <w:lang w:val="en-US"/>
        </w:rPr>
        <w:t xml:space="preserve"> </w:t>
      </w:r>
      <w:r w:rsidR="00D800EF" w:rsidRPr="00277E7A">
        <w:rPr>
          <w:rFonts w:ascii="Arial" w:hAnsi="Arial" w:cs="Arial"/>
          <w:sz w:val="24"/>
          <w:szCs w:val="24"/>
          <w:lang w:val="en-US"/>
        </w:rPr>
        <w:t xml:space="preserve"> </w:t>
      </w:r>
      <w:r w:rsidR="00BA6246" w:rsidRPr="00277E7A">
        <w:rPr>
          <w:rFonts w:ascii="Arial" w:hAnsi="Arial" w:cs="Arial"/>
          <w:sz w:val="24"/>
          <w:szCs w:val="24"/>
          <w:lang w:val="en-US"/>
        </w:rPr>
        <w:t xml:space="preserve"> </w:t>
      </w:r>
      <w:r w:rsidR="00375E63" w:rsidRPr="00277E7A">
        <w:rPr>
          <w:rFonts w:ascii="Arial" w:hAnsi="Arial" w:cs="Arial"/>
          <w:sz w:val="24"/>
          <w:szCs w:val="24"/>
          <w:lang w:val="en-US"/>
        </w:rPr>
        <w:t xml:space="preserve"> </w:t>
      </w:r>
      <w:r w:rsidR="00566983" w:rsidRPr="00277E7A">
        <w:rPr>
          <w:rFonts w:ascii="Arial" w:hAnsi="Arial" w:cs="Arial"/>
          <w:sz w:val="24"/>
          <w:szCs w:val="24"/>
          <w:lang w:val="en-US"/>
        </w:rPr>
        <w:t xml:space="preserve"> </w:t>
      </w:r>
    </w:p>
    <w:p w14:paraId="54557390" w14:textId="1DE481B3" w:rsidR="00C82145" w:rsidRPr="00277E7A" w:rsidRDefault="00277E7A" w:rsidP="00277E7A">
      <w:pPr>
        <w:spacing w:before="480" w:after="480" w:line="480" w:lineRule="auto"/>
        <w:ind w:left="567" w:hanging="567"/>
        <w:jc w:val="both"/>
        <w:rPr>
          <w:rFonts w:ascii="Arial" w:hAnsi="Arial" w:cs="Arial"/>
          <w:sz w:val="24"/>
          <w:szCs w:val="24"/>
          <w:lang w:val="en-US"/>
        </w:rPr>
      </w:pPr>
      <w:r w:rsidRPr="005F71C4">
        <w:rPr>
          <w:rFonts w:ascii="Arial" w:hAnsi="Arial" w:cs="Arial"/>
          <w:sz w:val="24"/>
          <w:szCs w:val="24"/>
          <w:lang w:val="en-US"/>
        </w:rPr>
        <w:t>[38]</w:t>
      </w:r>
      <w:r w:rsidRPr="005F71C4">
        <w:rPr>
          <w:rFonts w:ascii="Arial" w:hAnsi="Arial" w:cs="Arial"/>
          <w:sz w:val="24"/>
          <w:szCs w:val="24"/>
          <w:lang w:val="en-US"/>
        </w:rPr>
        <w:tab/>
      </w:r>
      <w:r w:rsidR="006A7BC6" w:rsidRPr="00277E7A">
        <w:rPr>
          <w:rFonts w:ascii="Arial" w:hAnsi="Arial" w:cs="Arial"/>
          <w:sz w:val="24"/>
          <w:szCs w:val="24"/>
          <w:lang w:val="en-US"/>
        </w:rPr>
        <w:t>Section 15A provides that a corporation must file an annual return</w:t>
      </w:r>
      <w:r w:rsidR="00711AFB" w:rsidRPr="00277E7A">
        <w:rPr>
          <w:rFonts w:ascii="Arial" w:hAnsi="Arial" w:cs="Arial"/>
          <w:sz w:val="24"/>
          <w:szCs w:val="24"/>
          <w:lang w:val="en-US"/>
        </w:rPr>
        <w:t xml:space="preserve">, confirming the information </w:t>
      </w:r>
      <w:r w:rsidR="00EB5BBE" w:rsidRPr="00277E7A">
        <w:rPr>
          <w:rFonts w:ascii="Arial" w:hAnsi="Arial" w:cs="Arial"/>
          <w:sz w:val="24"/>
          <w:szCs w:val="24"/>
          <w:lang w:val="en-US"/>
        </w:rPr>
        <w:t xml:space="preserve">a corporation is obliged to provide in terms of the Act, which must </w:t>
      </w:r>
      <w:r w:rsidR="00EB5BBE" w:rsidRPr="00277E7A">
        <w:rPr>
          <w:rFonts w:ascii="Arial" w:hAnsi="Arial" w:cs="Arial"/>
          <w:sz w:val="24"/>
          <w:szCs w:val="24"/>
          <w:lang w:val="en-US"/>
        </w:rPr>
        <w:lastRenderedPageBreak/>
        <w:t>be kept at the registered office</w:t>
      </w:r>
      <w:r w:rsidR="00ED7B08" w:rsidRPr="00277E7A">
        <w:rPr>
          <w:rFonts w:ascii="Arial" w:hAnsi="Arial" w:cs="Arial"/>
          <w:sz w:val="24"/>
          <w:szCs w:val="24"/>
          <w:lang w:val="en-US"/>
        </w:rPr>
        <w:t xml:space="preserve"> and must be open for inspection</w:t>
      </w:r>
      <w:r w:rsidR="00FF334A" w:rsidRPr="00277E7A">
        <w:rPr>
          <w:rFonts w:ascii="Arial" w:hAnsi="Arial" w:cs="Arial"/>
          <w:sz w:val="24"/>
          <w:szCs w:val="24"/>
          <w:lang w:val="en-US"/>
        </w:rPr>
        <w:t xml:space="preserve"> in accordance with section 16.</w:t>
      </w:r>
      <w:r w:rsidR="005F71C4" w:rsidRPr="00277E7A">
        <w:rPr>
          <w:rFonts w:ascii="Arial" w:hAnsi="Arial" w:cs="Arial"/>
          <w:sz w:val="24"/>
          <w:szCs w:val="24"/>
          <w:lang w:val="en-US"/>
        </w:rPr>
        <w:t xml:space="preserve"> </w:t>
      </w:r>
      <w:r w:rsidR="00FF334A" w:rsidRPr="00277E7A">
        <w:rPr>
          <w:rFonts w:ascii="Arial" w:hAnsi="Arial" w:cs="Arial"/>
          <w:sz w:val="24"/>
          <w:szCs w:val="24"/>
          <w:lang w:val="en-US"/>
        </w:rPr>
        <w:t xml:space="preserve">Section 16 provides that </w:t>
      </w:r>
      <w:r w:rsidR="00964081" w:rsidRPr="00277E7A">
        <w:rPr>
          <w:rFonts w:ascii="Arial" w:hAnsi="Arial" w:cs="Arial"/>
          <w:sz w:val="24"/>
          <w:szCs w:val="24"/>
          <w:lang w:val="en-US"/>
        </w:rPr>
        <w:t>a copy of the corporation’s founding statement and proof of registration</w:t>
      </w:r>
      <w:r w:rsidR="00A92615" w:rsidRPr="00277E7A">
        <w:rPr>
          <w:rFonts w:ascii="Arial" w:hAnsi="Arial" w:cs="Arial"/>
          <w:sz w:val="24"/>
          <w:szCs w:val="24"/>
          <w:lang w:val="en-US"/>
        </w:rPr>
        <w:t xml:space="preserve">, which is open for inspection </w:t>
      </w:r>
      <w:r w:rsidR="005F71C4" w:rsidRPr="00277E7A">
        <w:rPr>
          <w:rFonts w:ascii="Arial" w:hAnsi="Arial" w:cs="Arial"/>
          <w:sz w:val="24"/>
          <w:szCs w:val="24"/>
          <w:lang w:val="en-US"/>
        </w:rPr>
        <w:t>to the pu</w:t>
      </w:r>
      <w:r w:rsidR="004A486E" w:rsidRPr="00277E7A">
        <w:rPr>
          <w:rFonts w:ascii="Arial" w:hAnsi="Arial" w:cs="Arial"/>
          <w:sz w:val="24"/>
          <w:szCs w:val="24"/>
          <w:lang w:val="en-US"/>
        </w:rPr>
        <w:t xml:space="preserve">blic </w:t>
      </w:r>
      <w:r w:rsidR="00A92615" w:rsidRPr="00277E7A">
        <w:rPr>
          <w:rFonts w:ascii="Arial" w:hAnsi="Arial" w:cs="Arial"/>
          <w:sz w:val="24"/>
          <w:szCs w:val="24"/>
          <w:lang w:val="en-US"/>
        </w:rPr>
        <w:t>during business hours,</w:t>
      </w:r>
      <w:r w:rsidR="00964081" w:rsidRPr="00277E7A">
        <w:rPr>
          <w:rFonts w:ascii="Arial" w:hAnsi="Arial" w:cs="Arial"/>
          <w:sz w:val="24"/>
          <w:szCs w:val="24"/>
          <w:lang w:val="en-US"/>
        </w:rPr>
        <w:t xml:space="preserve"> must be kept at its registered office</w:t>
      </w:r>
      <w:r w:rsidR="00A92615" w:rsidRPr="00277E7A">
        <w:rPr>
          <w:rFonts w:ascii="Arial" w:hAnsi="Arial" w:cs="Arial"/>
          <w:sz w:val="24"/>
          <w:szCs w:val="24"/>
          <w:lang w:val="en-US"/>
        </w:rPr>
        <w:t>.</w:t>
      </w:r>
      <w:r w:rsidR="00ED7B08" w:rsidRPr="00277E7A">
        <w:rPr>
          <w:rFonts w:ascii="Arial" w:hAnsi="Arial" w:cs="Arial"/>
          <w:sz w:val="24"/>
          <w:szCs w:val="24"/>
          <w:lang w:val="en-US"/>
        </w:rPr>
        <w:t xml:space="preserve"> </w:t>
      </w:r>
    </w:p>
    <w:p w14:paraId="4EB216CE" w14:textId="41C58F74" w:rsidR="007C4539"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[39]</w:t>
      </w:r>
      <w:r>
        <w:rPr>
          <w:rFonts w:ascii="Arial" w:hAnsi="Arial" w:cs="Arial"/>
          <w:sz w:val="24"/>
          <w:szCs w:val="24"/>
          <w:lang w:val="en-US"/>
        </w:rPr>
        <w:tab/>
      </w:r>
      <w:r w:rsidR="00C82145" w:rsidRPr="00277E7A">
        <w:rPr>
          <w:rFonts w:ascii="Arial" w:hAnsi="Arial" w:cs="Arial"/>
          <w:sz w:val="24"/>
          <w:szCs w:val="24"/>
          <w:lang w:val="en-US"/>
        </w:rPr>
        <w:t xml:space="preserve">In terms of section </w:t>
      </w:r>
      <w:r w:rsidR="001609D4" w:rsidRPr="00277E7A">
        <w:rPr>
          <w:rFonts w:ascii="Arial" w:hAnsi="Arial" w:cs="Arial"/>
          <w:sz w:val="24"/>
          <w:szCs w:val="24"/>
          <w:lang w:val="en-US"/>
        </w:rPr>
        <w:t>44(2) of the CCA an association agreement</w:t>
      </w:r>
      <w:r w:rsidR="00CD4261" w:rsidRPr="00277E7A">
        <w:rPr>
          <w:rFonts w:ascii="Arial" w:hAnsi="Arial" w:cs="Arial"/>
          <w:sz w:val="24"/>
          <w:szCs w:val="24"/>
          <w:lang w:val="en-US"/>
        </w:rPr>
        <w:t xml:space="preserve">, </w:t>
      </w:r>
      <w:r w:rsidR="00EE1FB6" w:rsidRPr="00277E7A">
        <w:rPr>
          <w:rFonts w:ascii="Arial" w:hAnsi="Arial" w:cs="Arial"/>
          <w:sz w:val="24"/>
          <w:szCs w:val="24"/>
          <w:lang w:val="en-US"/>
        </w:rPr>
        <w:t>and in terms of section 44(3) a minute book in which resolutions of members are recorded</w:t>
      </w:r>
      <w:r w:rsidR="00CD4261" w:rsidRPr="00277E7A">
        <w:rPr>
          <w:rFonts w:ascii="Arial" w:hAnsi="Arial" w:cs="Arial"/>
          <w:sz w:val="24"/>
          <w:szCs w:val="24"/>
          <w:lang w:val="en-US"/>
        </w:rPr>
        <w:t>,</w:t>
      </w:r>
      <w:r w:rsidR="00EE1FB6" w:rsidRPr="00277E7A">
        <w:rPr>
          <w:rFonts w:ascii="Arial" w:hAnsi="Arial" w:cs="Arial"/>
          <w:sz w:val="24"/>
          <w:szCs w:val="24"/>
          <w:lang w:val="en-US"/>
        </w:rPr>
        <w:t xml:space="preserve"> must</w:t>
      </w:r>
      <w:r w:rsidR="00CD4261" w:rsidRPr="00277E7A">
        <w:rPr>
          <w:rFonts w:ascii="Arial" w:hAnsi="Arial" w:cs="Arial"/>
          <w:sz w:val="24"/>
          <w:szCs w:val="24"/>
          <w:lang w:val="en-US"/>
        </w:rPr>
        <w:t xml:space="preserve"> be kept at the </w:t>
      </w:r>
      <w:r w:rsidR="00AB548F" w:rsidRPr="00277E7A">
        <w:rPr>
          <w:rFonts w:ascii="Arial" w:hAnsi="Arial" w:cs="Arial"/>
          <w:sz w:val="24"/>
          <w:szCs w:val="24"/>
          <w:lang w:val="en-US"/>
        </w:rPr>
        <w:t>registered office.</w:t>
      </w:r>
      <w:r w:rsidR="00F96518" w:rsidRPr="00277E7A">
        <w:rPr>
          <w:rFonts w:ascii="Arial" w:hAnsi="Arial" w:cs="Arial"/>
          <w:sz w:val="24"/>
          <w:szCs w:val="24"/>
          <w:lang w:val="en-US"/>
        </w:rPr>
        <w:t xml:space="preserve"> </w:t>
      </w:r>
      <w:r w:rsidR="00550E95" w:rsidRPr="00277E7A">
        <w:rPr>
          <w:rFonts w:ascii="Arial" w:hAnsi="Arial" w:cs="Arial"/>
          <w:sz w:val="24"/>
          <w:szCs w:val="24"/>
          <w:lang w:val="en-US"/>
        </w:rPr>
        <w:t xml:space="preserve">The same applies, </w:t>
      </w:r>
      <w:r w:rsidR="00962481" w:rsidRPr="00277E7A">
        <w:rPr>
          <w:rFonts w:ascii="Arial" w:hAnsi="Arial" w:cs="Arial"/>
          <w:sz w:val="24"/>
          <w:szCs w:val="24"/>
          <w:lang w:val="en-US"/>
        </w:rPr>
        <w:t>i</w:t>
      </w:r>
      <w:r w:rsidR="00F96518" w:rsidRPr="00277E7A">
        <w:rPr>
          <w:rFonts w:ascii="Arial" w:hAnsi="Arial" w:cs="Arial"/>
          <w:sz w:val="24"/>
          <w:szCs w:val="24"/>
          <w:lang w:val="en-US"/>
        </w:rPr>
        <w:t>n terms of section 49(4)</w:t>
      </w:r>
      <w:r w:rsidR="00962481" w:rsidRPr="00277E7A">
        <w:rPr>
          <w:rFonts w:ascii="Arial" w:hAnsi="Arial" w:cs="Arial"/>
          <w:sz w:val="24"/>
          <w:szCs w:val="24"/>
          <w:lang w:val="en-US"/>
        </w:rPr>
        <w:t>,</w:t>
      </w:r>
      <w:r w:rsidR="00F96518" w:rsidRPr="00277E7A">
        <w:rPr>
          <w:rFonts w:ascii="Arial" w:hAnsi="Arial" w:cs="Arial"/>
          <w:sz w:val="24"/>
          <w:szCs w:val="24"/>
          <w:lang w:val="en-US"/>
        </w:rPr>
        <w:t xml:space="preserve"> </w:t>
      </w:r>
      <w:r w:rsidR="00962481" w:rsidRPr="00277E7A">
        <w:rPr>
          <w:rFonts w:ascii="Arial" w:hAnsi="Arial" w:cs="Arial"/>
          <w:sz w:val="24"/>
          <w:szCs w:val="24"/>
          <w:lang w:val="en-US"/>
        </w:rPr>
        <w:t xml:space="preserve">to </w:t>
      </w:r>
      <w:r w:rsidR="00F96518" w:rsidRPr="00277E7A">
        <w:rPr>
          <w:rFonts w:ascii="Arial" w:hAnsi="Arial" w:cs="Arial"/>
          <w:sz w:val="24"/>
          <w:szCs w:val="24"/>
          <w:lang w:val="en-US"/>
        </w:rPr>
        <w:t>any order issued in terms of that section (providing remedies for unfairly prejudicial conduct).</w:t>
      </w:r>
      <w:r w:rsidR="00042AE1" w:rsidRPr="00277E7A">
        <w:rPr>
          <w:rFonts w:ascii="Arial" w:hAnsi="Arial" w:cs="Arial"/>
          <w:sz w:val="24"/>
          <w:szCs w:val="24"/>
          <w:lang w:val="en-US"/>
        </w:rPr>
        <w:t xml:space="preserve"> Section 57(4) obliges a corporation to keep its accounting records at either its place of business</w:t>
      </w:r>
      <w:r w:rsidR="008D14D7" w:rsidRPr="00277E7A">
        <w:rPr>
          <w:rFonts w:ascii="Arial" w:hAnsi="Arial" w:cs="Arial"/>
          <w:sz w:val="24"/>
          <w:szCs w:val="24"/>
          <w:lang w:val="en-US"/>
        </w:rPr>
        <w:t>,</w:t>
      </w:r>
      <w:r w:rsidR="00042AE1" w:rsidRPr="00277E7A">
        <w:rPr>
          <w:rFonts w:ascii="Arial" w:hAnsi="Arial" w:cs="Arial"/>
          <w:sz w:val="24"/>
          <w:szCs w:val="24"/>
          <w:lang w:val="en-US"/>
        </w:rPr>
        <w:t xml:space="preserve"> or registered office.</w:t>
      </w:r>
      <w:r w:rsidR="00F95B3F" w:rsidRPr="00277E7A">
        <w:rPr>
          <w:rFonts w:ascii="Arial" w:hAnsi="Arial" w:cs="Arial"/>
          <w:sz w:val="24"/>
          <w:szCs w:val="24"/>
          <w:lang w:val="en-US"/>
        </w:rPr>
        <w:t xml:space="preserve"> </w:t>
      </w:r>
    </w:p>
    <w:p w14:paraId="05547C4D" w14:textId="489EF9CE" w:rsidR="007C2F0C"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[40]</w:t>
      </w:r>
      <w:r>
        <w:rPr>
          <w:rFonts w:ascii="Arial" w:hAnsi="Arial" w:cs="Arial"/>
          <w:sz w:val="24"/>
          <w:szCs w:val="24"/>
          <w:lang w:val="en-US"/>
        </w:rPr>
        <w:tab/>
      </w:r>
      <w:r w:rsidR="00603802" w:rsidRPr="00277E7A">
        <w:rPr>
          <w:rFonts w:ascii="Arial" w:hAnsi="Arial" w:cs="Arial"/>
          <w:sz w:val="24"/>
          <w:szCs w:val="24"/>
          <w:lang w:val="en-US"/>
        </w:rPr>
        <w:t>T</w:t>
      </w:r>
      <w:r w:rsidR="00522D3B" w:rsidRPr="00277E7A">
        <w:rPr>
          <w:rFonts w:ascii="Arial" w:hAnsi="Arial" w:cs="Arial"/>
          <w:sz w:val="24"/>
          <w:szCs w:val="24"/>
          <w:lang w:val="en-US"/>
        </w:rPr>
        <w:t xml:space="preserve">hese </w:t>
      </w:r>
      <w:r w:rsidR="00726B9E" w:rsidRPr="00277E7A">
        <w:rPr>
          <w:rFonts w:ascii="Arial" w:hAnsi="Arial" w:cs="Arial"/>
          <w:sz w:val="24"/>
          <w:szCs w:val="24"/>
          <w:lang w:val="en-US"/>
        </w:rPr>
        <w:t xml:space="preserve">mandatory </w:t>
      </w:r>
      <w:r w:rsidR="00522D3B" w:rsidRPr="00277E7A">
        <w:rPr>
          <w:rFonts w:ascii="Arial" w:hAnsi="Arial" w:cs="Arial"/>
          <w:sz w:val="24"/>
          <w:szCs w:val="24"/>
          <w:lang w:val="en-US"/>
        </w:rPr>
        <w:t>provisions</w:t>
      </w:r>
      <w:r w:rsidR="00726B9E" w:rsidRPr="00277E7A">
        <w:rPr>
          <w:rFonts w:ascii="Arial" w:hAnsi="Arial" w:cs="Arial"/>
          <w:sz w:val="24"/>
          <w:szCs w:val="24"/>
          <w:lang w:val="en-US"/>
        </w:rPr>
        <w:t xml:space="preserve"> </w:t>
      </w:r>
      <w:r w:rsidR="00CF67C7" w:rsidRPr="00277E7A">
        <w:rPr>
          <w:rFonts w:ascii="Arial" w:hAnsi="Arial" w:cs="Arial"/>
          <w:sz w:val="24"/>
          <w:szCs w:val="24"/>
          <w:lang w:val="en-US"/>
        </w:rPr>
        <w:t>enjoin</w:t>
      </w:r>
      <w:r w:rsidR="006B20AF" w:rsidRPr="00277E7A">
        <w:rPr>
          <w:rFonts w:ascii="Arial" w:hAnsi="Arial" w:cs="Arial"/>
          <w:sz w:val="24"/>
          <w:szCs w:val="24"/>
          <w:lang w:val="en-US"/>
        </w:rPr>
        <w:t xml:space="preserve"> </w:t>
      </w:r>
      <w:r w:rsidR="00CF67C7" w:rsidRPr="00277E7A">
        <w:rPr>
          <w:rFonts w:ascii="Arial" w:hAnsi="Arial" w:cs="Arial"/>
          <w:sz w:val="24"/>
          <w:szCs w:val="24"/>
          <w:lang w:val="en-US"/>
        </w:rPr>
        <w:t>a corporation to house those instruments</w:t>
      </w:r>
      <w:r w:rsidR="00495FA0" w:rsidRPr="00277E7A">
        <w:rPr>
          <w:rFonts w:ascii="Arial" w:hAnsi="Arial" w:cs="Arial"/>
          <w:sz w:val="24"/>
          <w:szCs w:val="24"/>
          <w:lang w:val="en-US"/>
        </w:rPr>
        <w:t>,</w:t>
      </w:r>
      <w:r w:rsidR="00CF67C7" w:rsidRPr="00277E7A">
        <w:rPr>
          <w:rFonts w:ascii="Arial" w:hAnsi="Arial" w:cs="Arial"/>
          <w:sz w:val="24"/>
          <w:szCs w:val="24"/>
          <w:lang w:val="en-US"/>
        </w:rPr>
        <w:t xml:space="preserve"> which </w:t>
      </w:r>
      <w:r w:rsidR="0056301A" w:rsidRPr="00277E7A">
        <w:rPr>
          <w:rFonts w:ascii="Arial" w:hAnsi="Arial" w:cs="Arial"/>
          <w:sz w:val="24"/>
          <w:szCs w:val="24"/>
          <w:lang w:val="en-US"/>
        </w:rPr>
        <w:t>are fundamental to its existence</w:t>
      </w:r>
      <w:r w:rsidR="007C4539" w:rsidRPr="00277E7A">
        <w:rPr>
          <w:rFonts w:ascii="Arial" w:hAnsi="Arial" w:cs="Arial"/>
          <w:sz w:val="24"/>
          <w:szCs w:val="24"/>
          <w:lang w:val="en-US"/>
        </w:rPr>
        <w:t xml:space="preserve"> and</w:t>
      </w:r>
      <w:r w:rsidR="00495FA0" w:rsidRPr="00277E7A">
        <w:rPr>
          <w:rFonts w:ascii="Arial" w:hAnsi="Arial" w:cs="Arial"/>
          <w:sz w:val="24"/>
          <w:szCs w:val="24"/>
          <w:lang w:val="en-US"/>
        </w:rPr>
        <w:t xml:space="preserve"> functioning</w:t>
      </w:r>
      <w:r w:rsidR="0056301A" w:rsidRPr="00277E7A">
        <w:rPr>
          <w:rFonts w:ascii="Arial" w:hAnsi="Arial" w:cs="Arial"/>
          <w:sz w:val="24"/>
          <w:szCs w:val="24"/>
          <w:lang w:val="en-US"/>
        </w:rPr>
        <w:t>, being the registered founding statement</w:t>
      </w:r>
      <w:r w:rsidR="00495FA0" w:rsidRPr="00277E7A">
        <w:rPr>
          <w:rFonts w:ascii="Arial" w:hAnsi="Arial" w:cs="Arial"/>
          <w:sz w:val="24"/>
          <w:szCs w:val="24"/>
          <w:lang w:val="en-US"/>
        </w:rPr>
        <w:t>, the minutes of members’ resolutions and accounting records</w:t>
      </w:r>
      <w:r w:rsidR="006F56B0" w:rsidRPr="00277E7A">
        <w:rPr>
          <w:rFonts w:ascii="Arial" w:hAnsi="Arial" w:cs="Arial"/>
          <w:sz w:val="24"/>
          <w:szCs w:val="24"/>
          <w:lang w:val="en-US"/>
        </w:rPr>
        <w:t xml:space="preserve"> (the latter being more flexible) at the corporations registered office.</w:t>
      </w:r>
      <w:r w:rsidR="00BC039B" w:rsidRPr="00277E7A">
        <w:rPr>
          <w:rFonts w:ascii="Arial" w:hAnsi="Arial" w:cs="Arial"/>
          <w:sz w:val="24"/>
          <w:szCs w:val="24"/>
          <w:lang w:val="en-US"/>
        </w:rPr>
        <w:t xml:space="preserve"> </w:t>
      </w:r>
      <w:r w:rsidR="00C955FB" w:rsidRPr="00277E7A">
        <w:rPr>
          <w:rFonts w:ascii="Arial" w:hAnsi="Arial" w:cs="Arial"/>
          <w:sz w:val="24"/>
          <w:szCs w:val="24"/>
          <w:lang w:val="en-US"/>
        </w:rPr>
        <w:t>I</w:t>
      </w:r>
      <w:r w:rsidR="003C0A56" w:rsidRPr="00277E7A">
        <w:rPr>
          <w:rFonts w:ascii="Arial" w:hAnsi="Arial" w:cs="Arial"/>
          <w:sz w:val="24"/>
          <w:szCs w:val="24"/>
          <w:lang w:val="en-US"/>
        </w:rPr>
        <w:t xml:space="preserve"> am of the view that this is also </w:t>
      </w:r>
      <w:r w:rsidR="00D80F8E" w:rsidRPr="00277E7A">
        <w:rPr>
          <w:rFonts w:ascii="Arial" w:hAnsi="Arial" w:cs="Arial"/>
          <w:sz w:val="24"/>
          <w:szCs w:val="24"/>
          <w:lang w:val="en-US"/>
        </w:rPr>
        <w:t>strong support for the notion of deemed residence at the registered office.</w:t>
      </w:r>
    </w:p>
    <w:p w14:paraId="2773DB6A" w14:textId="5D96812A" w:rsidR="00896167"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[41]</w:t>
      </w:r>
      <w:r>
        <w:rPr>
          <w:rFonts w:ascii="Arial" w:hAnsi="Arial" w:cs="Arial"/>
          <w:sz w:val="24"/>
          <w:szCs w:val="24"/>
          <w:lang w:val="en-US"/>
        </w:rPr>
        <w:tab/>
      </w:r>
      <w:r w:rsidR="007C2F0C" w:rsidRPr="00277E7A">
        <w:rPr>
          <w:rFonts w:ascii="Arial" w:hAnsi="Arial" w:cs="Arial"/>
          <w:sz w:val="24"/>
          <w:szCs w:val="24"/>
          <w:lang w:val="en-US"/>
        </w:rPr>
        <w:t>Section 69 of the CCA provides that if a demand for payment was delivered to a close corporation’s registered office</w:t>
      </w:r>
      <w:r w:rsidR="009160B7" w:rsidRPr="00277E7A">
        <w:rPr>
          <w:rFonts w:ascii="Arial" w:hAnsi="Arial" w:cs="Arial"/>
          <w:sz w:val="24"/>
          <w:szCs w:val="24"/>
          <w:lang w:val="en-US"/>
        </w:rPr>
        <w:t xml:space="preserve">, the close corporation would upon failure to pay, be deemed to be unable to pay its debts. This can </w:t>
      </w:r>
      <w:r w:rsidR="00C951F9" w:rsidRPr="00277E7A">
        <w:rPr>
          <w:rFonts w:ascii="Arial" w:hAnsi="Arial" w:cs="Arial"/>
          <w:sz w:val="24"/>
          <w:szCs w:val="24"/>
          <w:lang w:val="en-US"/>
        </w:rPr>
        <w:t>support an application for the liquidation of a close corporation.</w:t>
      </w:r>
    </w:p>
    <w:p w14:paraId="22B52BE1" w14:textId="109D6E7C" w:rsidR="00896167"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[42]</w:t>
      </w:r>
      <w:r>
        <w:rPr>
          <w:rFonts w:ascii="Arial" w:hAnsi="Arial" w:cs="Arial"/>
          <w:sz w:val="24"/>
          <w:szCs w:val="24"/>
          <w:lang w:val="en-US"/>
        </w:rPr>
        <w:tab/>
      </w:r>
      <w:r w:rsidR="005C3907" w:rsidRPr="00277E7A">
        <w:rPr>
          <w:rFonts w:ascii="Arial" w:hAnsi="Arial" w:cs="Arial"/>
          <w:sz w:val="24"/>
          <w:szCs w:val="24"/>
          <w:lang w:val="en-US"/>
        </w:rPr>
        <w:t xml:space="preserve">In my view the provisions of the CCA regarding </w:t>
      </w:r>
      <w:r w:rsidR="003D352F" w:rsidRPr="00277E7A">
        <w:rPr>
          <w:rFonts w:ascii="Arial" w:hAnsi="Arial" w:cs="Arial"/>
          <w:sz w:val="24"/>
          <w:szCs w:val="24"/>
          <w:lang w:val="en-US"/>
        </w:rPr>
        <w:t>the powers of individual members also have an important bearing on the issue at hand. E</w:t>
      </w:r>
      <w:r w:rsidR="00896167" w:rsidRPr="00277E7A">
        <w:rPr>
          <w:rFonts w:ascii="Arial" w:hAnsi="Arial" w:cs="Arial"/>
          <w:sz w:val="24"/>
          <w:szCs w:val="24"/>
          <w:lang w:val="en-US"/>
        </w:rPr>
        <w:t xml:space="preserve">ach member of a close </w:t>
      </w:r>
      <w:r w:rsidR="00896167" w:rsidRPr="00277E7A">
        <w:rPr>
          <w:rFonts w:ascii="Arial" w:hAnsi="Arial" w:cs="Arial"/>
          <w:sz w:val="24"/>
          <w:szCs w:val="24"/>
          <w:lang w:val="en-US"/>
        </w:rPr>
        <w:lastRenderedPageBreak/>
        <w:t>corporation in principle has the entitlement to take part in the management of the corporation, has equal rights regarding the management of the corporation and has equal rights to represent the corporation in the carrying on of the business.</w:t>
      </w:r>
      <w:r w:rsidR="00896167">
        <w:rPr>
          <w:rStyle w:val="FootnoteReference"/>
          <w:rFonts w:ascii="Arial" w:hAnsi="Arial" w:cs="Arial"/>
          <w:sz w:val="24"/>
          <w:szCs w:val="24"/>
          <w:lang w:val="en-US"/>
        </w:rPr>
        <w:footnoteReference w:id="7"/>
      </w:r>
      <w:r w:rsidR="00896167" w:rsidRPr="00277E7A">
        <w:rPr>
          <w:rFonts w:ascii="Arial" w:hAnsi="Arial" w:cs="Arial"/>
          <w:sz w:val="24"/>
          <w:szCs w:val="24"/>
          <w:lang w:val="en-US"/>
        </w:rPr>
        <w:t xml:space="preserve"> </w:t>
      </w:r>
    </w:p>
    <w:p w14:paraId="1B611D53" w14:textId="3CA3762F" w:rsidR="00896167"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[43]</w:t>
      </w:r>
      <w:r>
        <w:rPr>
          <w:rFonts w:ascii="Arial" w:hAnsi="Arial" w:cs="Arial"/>
          <w:sz w:val="24"/>
          <w:szCs w:val="24"/>
          <w:lang w:val="en-US"/>
        </w:rPr>
        <w:tab/>
      </w:r>
      <w:r w:rsidR="00896167" w:rsidRPr="00277E7A">
        <w:rPr>
          <w:rFonts w:ascii="Arial" w:hAnsi="Arial" w:cs="Arial"/>
          <w:sz w:val="24"/>
          <w:szCs w:val="24"/>
          <w:lang w:val="en-US"/>
        </w:rPr>
        <w:t>The notion of central control in the case of a close corporation is</w:t>
      </w:r>
      <w:r w:rsidR="00733C86" w:rsidRPr="00277E7A">
        <w:rPr>
          <w:rFonts w:ascii="Arial" w:hAnsi="Arial" w:cs="Arial"/>
          <w:sz w:val="24"/>
          <w:szCs w:val="24"/>
          <w:lang w:val="en-US"/>
        </w:rPr>
        <w:t>, therefore,</w:t>
      </w:r>
      <w:r w:rsidR="00896167" w:rsidRPr="00277E7A">
        <w:rPr>
          <w:rFonts w:ascii="Arial" w:hAnsi="Arial" w:cs="Arial"/>
          <w:sz w:val="24"/>
          <w:szCs w:val="24"/>
          <w:lang w:val="en-US"/>
        </w:rPr>
        <w:t xml:space="preserve"> considerably eroded, with the result that it may be difficult, if not impossible, for an outsider to determine where the corporation’s central control and principal place of business is situated. This situation may be compounded where the members are at loggerheads with each other, which is not uncommon. </w:t>
      </w:r>
    </w:p>
    <w:p w14:paraId="5F50B490" w14:textId="390906CB" w:rsidR="00EC01A4"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[44]</w:t>
      </w:r>
      <w:r>
        <w:rPr>
          <w:rFonts w:ascii="Arial" w:hAnsi="Arial" w:cs="Arial"/>
          <w:sz w:val="24"/>
          <w:szCs w:val="24"/>
          <w:lang w:val="en-US"/>
        </w:rPr>
        <w:tab/>
      </w:r>
      <w:r w:rsidR="00251F30" w:rsidRPr="00277E7A">
        <w:rPr>
          <w:rFonts w:ascii="Arial" w:hAnsi="Arial" w:cs="Arial"/>
          <w:sz w:val="24"/>
          <w:szCs w:val="24"/>
          <w:lang w:val="en-US"/>
        </w:rPr>
        <w:t xml:space="preserve">In my view the </w:t>
      </w:r>
      <w:r w:rsidR="00CD229D" w:rsidRPr="00277E7A">
        <w:rPr>
          <w:rFonts w:ascii="Arial" w:hAnsi="Arial" w:cs="Arial"/>
          <w:sz w:val="24"/>
          <w:szCs w:val="24"/>
          <w:lang w:val="en-US"/>
        </w:rPr>
        <w:t>statutory lessening of central cont</w:t>
      </w:r>
      <w:r w:rsidR="00251F30" w:rsidRPr="00277E7A">
        <w:rPr>
          <w:rFonts w:ascii="Arial" w:hAnsi="Arial" w:cs="Arial"/>
          <w:sz w:val="24"/>
          <w:szCs w:val="24"/>
          <w:lang w:val="en-US"/>
        </w:rPr>
        <w:t>r</w:t>
      </w:r>
      <w:r w:rsidR="00CD229D" w:rsidRPr="00277E7A">
        <w:rPr>
          <w:rFonts w:ascii="Arial" w:hAnsi="Arial" w:cs="Arial"/>
          <w:sz w:val="24"/>
          <w:szCs w:val="24"/>
          <w:lang w:val="en-US"/>
        </w:rPr>
        <w:t>ol</w:t>
      </w:r>
      <w:r w:rsidR="00251F30" w:rsidRPr="00277E7A">
        <w:rPr>
          <w:rFonts w:ascii="Arial" w:hAnsi="Arial" w:cs="Arial"/>
          <w:sz w:val="24"/>
          <w:szCs w:val="24"/>
          <w:lang w:val="en-US"/>
        </w:rPr>
        <w:t xml:space="preserve"> in the case of close corporations </w:t>
      </w:r>
      <w:r w:rsidR="0028548A" w:rsidRPr="00277E7A">
        <w:rPr>
          <w:rFonts w:ascii="Arial" w:hAnsi="Arial" w:cs="Arial"/>
          <w:sz w:val="24"/>
          <w:szCs w:val="24"/>
          <w:lang w:val="en-US"/>
        </w:rPr>
        <w:t xml:space="preserve">is an important consideration </w:t>
      </w:r>
      <w:r w:rsidR="00594031" w:rsidRPr="00277E7A">
        <w:rPr>
          <w:rFonts w:ascii="Arial" w:hAnsi="Arial" w:cs="Arial"/>
          <w:sz w:val="24"/>
          <w:szCs w:val="24"/>
          <w:lang w:val="en-US"/>
        </w:rPr>
        <w:t>in deeming a close corporation to be resident at its registered office.</w:t>
      </w:r>
      <w:r w:rsidR="00DB2AEE" w:rsidRPr="00277E7A">
        <w:rPr>
          <w:rFonts w:ascii="Arial" w:hAnsi="Arial" w:cs="Arial"/>
          <w:sz w:val="24"/>
          <w:szCs w:val="24"/>
          <w:lang w:val="en-US"/>
        </w:rPr>
        <w:t xml:space="preserve"> </w:t>
      </w:r>
      <w:r w:rsidR="00424658" w:rsidRPr="00277E7A">
        <w:rPr>
          <w:rFonts w:ascii="Arial" w:hAnsi="Arial" w:cs="Arial"/>
          <w:sz w:val="24"/>
          <w:szCs w:val="24"/>
          <w:lang w:val="en-US"/>
        </w:rPr>
        <w:t xml:space="preserve"> </w:t>
      </w:r>
    </w:p>
    <w:p w14:paraId="2B7A828B" w14:textId="781D11FB" w:rsidR="00043473"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[45]</w:t>
      </w:r>
      <w:r>
        <w:rPr>
          <w:rFonts w:ascii="Arial" w:hAnsi="Arial" w:cs="Arial"/>
          <w:sz w:val="24"/>
          <w:szCs w:val="24"/>
          <w:lang w:val="en-US"/>
        </w:rPr>
        <w:tab/>
      </w:r>
      <w:r w:rsidR="0094137E" w:rsidRPr="00277E7A">
        <w:rPr>
          <w:rFonts w:ascii="Arial" w:hAnsi="Arial" w:cs="Arial"/>
          <w:sz w:val="24"/>
          <w:szCs w:val="24"/>
          <w:lang w:val="en-US"/>
        </w:rPr>
        <w:t xml:space="preserve">Section 7 of the </w:t>
      </w:r>
      <w:r w:rsidR="005830C7" w:rsidRPr="00277E7A">
        <w:rPr>
          <w:rFonts w:ascii="Arial" w:hAnsi="Arial" w:cs="Arial"/>
          <w:sz w:val="24"/>
          <w:szCs w:val="24"/>
          <w:lang w:val="en-US"/>
        </w:rPr>
        <w:t>CCA</w:t>
      </w:r>
      <w:r w:rsidR="0094137E" w:rsidRPr="00277E7A">
        <w:rPr>
          <w:rFonts w:ascii="Arial" w:hAnsi="Arial" w:cs="Arial"/>
          <w:sz w:val="24"/>
          <w:szCs w:val="24"/>
          <w:lang w:val="en-US"/>
        </w:rPr>
        <w:t xml:space="preserve"> provides that, </w:t>
      </w:r>
      <w:r w:rsidR="0094137E" w:rsidRPr="00277E7A">
        <w:rPr>
          <w:rFonts w:ascii="Arial" w:hAnsi="Arial" w:cs="Arial"/>
          <w:i/>
          <w:iCs/>
          <w:sz w:val="24"/>
          <w:szCs w:val="24"/>
          <w:lang w:val="en-US"/>
        </w:rPr>
        <w:t>for the purpose of that Act</w:t>
      </w:r>
      <w:r w:rsidR="0094137E" w:rsidRPr="00277E7A">
        <w:rPr>
          <w:rFonts w:ascii="Arial" w:hAnsi="Arial" w:cs="Arial"/>
          <w:sz w:val="24"/>
          <w:szCs w:val="24"/>
          <w:lang w:val="en-US"/>
        </w:rPr>
        <w:t xml:space="preserve">, any High Court and any magistrates’ court within whose area of jurisdiction the registered office or main place of business of a close corporation is situated, shall have jurisdiction. </w:t>
      </w:r>
    </w:p>
    <w:p w14:paraId="3A1B0918" w14:textId="6E00BB1E" w:rsidR="0094137E"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[46]</w:t>
      </w:r>
      <w:r>
        <w:rPr>
          <w:rFonts w:ascii="Arial" w:hAnsi="Arial" w:cs="Arial"/>
          <w:sz w:val="24"/>
          <w:szCs w:val="24"/>
          <w:lang w:val="en-US"/>
        </w:rPr>
        <w:tab/>
      </w:r>
      <w:r w:rsidR="00043473" w:rsidRPr="00277E7A">
        <w:rPr>
          <w:rFonts w:ascii="Arial" w:hAnsi="Arial" w:cs="Arial"/>
          <w:sz w:val="24"/>
          <w:szCs w:val="24"/>
          <w:lang w:val="en-US"/>
        </w:rPr>
        <w:t>On a literal interpretation</w:t>
      </w:r>
      <w:r w:rsidR="00A441FC" w:rsidRPr="00277E7A">
        <w:rPr>
          <w:rFonts w:ascii="Arial" w:hAnsi="Arial" w:cs="Arial"/>
          <w:sz w:val="24"/>
          <w:szCs w:val="24"/>
          <w:lang w:val="en-US"/>
        </w:rPr>
        <w:t>, s</w:t>
      </w:r>
      <w:r w:rsidR="0094137E" w:rsidRPr="00277E7A">
        <w:rPr>
          <w:rFonts w:ascii="Arial" w:hAnsi="Arial" w:cs="Arial"/>
          <w:sz w:val="24"/>
          <w:szCs w:val="24"/>
          <w:lang w:val="en-US"/>
        </w:rPr>
        <w:t xml:space="preserve">ection 7 seemingly only confers jurisdiction on a court </w:t>
      </w:r>
      <w:r w:rsidR="0094137E" w:rsidRPr="00277E7A">
        <w:rPr>
          <w:rFonts w:ascii="Arial" w:hAnsi="Arial" w:cs="Arial"/>
          <w:i/>
          <w:iCs/>
          <w:sz w:val="24"/>
          <w:szCs w:val="24"/>
          <w:lang w:val="en-US"/>
        </w:rPr>
        <w:t>for purposes of</w:t>
      </w:r>
      <w:r w:rsidR="0094137E" w:rsidRPr="00277E7A">
        <w:rPr>
          <w:rFonts w:ascii="Arial" w:hAnsi="Arial" w:cs="Arial"/>
          <w:sz w:val="24"/>
          <w:szCs w:val="24"/>
          <w:lang w:val="en-US"/>
        </w:rPr>
        <w:t xml:space="preserve"> the </w:t>
      </w:r>
      <w:r w:rsidR="009F1CCC" w:rsidRPr="00277E7A">
        <w:rPr>
          <w:rFonts w:ascii="Arial" w:hAnsi="Arial" w:cs="Arial"/>
          <w:sz w:val="24"/>
          <w:szCs w:val="24"/>
          <w:lang w:val="en-US"/>
        </w:rPr>
        <w:t>CCA</w:t>
      </w:r>
      <w:r w:rsidR="0094137E" w:rsidRPr="00277E7A">
        <w:rPr>
          <w:rFonts w:ascii="Arial" w:hAnsi="Arial" w:cs="Arial"/>
          <w:sz w:val="24"/>
          <w:szCs w:val="24"/>
          <w:lang w:val="en-US"/>
        </w:rPr>
        <w:t>, in other words, in matters or remedies provided for or regulated by the Act. The section does not purport to confer territorial jurisdiction on a relevant court generally in all causes</w:t>
      </w:r>
      <w:r w:rsidR="001D7DD2" w:rsidRPr="00277E7A">
        <w:rPr>
          <w:rFonts w:ascii="Arial" w:hAnsi="Arial" w:cs="Arial"/>
          <w:sz w:val="24"/>
          <w:szCs w:val="24"/>
          <w:lang w:val="en-US"/>
        </w:rPr>
        <w:t xml:space="preserve"> </w:t>
      </w:r>
      <w:r w:rsidR="0094137E" w:rsidRPr="00277E7A">
        <w:rPr>
          <w:rFonts w:ascii="Arial" w:hAnsi="Arial" w:cs="Arial"/>
          <w:sz w:val="24"/>
          <w:szCs w:val="24"/>
          <w:lang w:val="en-US"/>
        </w:rPr>
        <w:t>of action</w:t>
      </w:r>
      <w:r w:rsidR="00E70B13" w:rsidRPr="00277E7A">
        <w:rPr>
          <w:rFonts w:ascii="Arial" w:hAnsi="Arial" w:cs="Arial"/>
          <w:sz w:val="24"/>
          <w:szCs w:val="24"/>
          <w:lang w:val="en-US"/>
        </w:rPr>
        <w:t>.</w:t>
      </w:r>
    </w:p>
    <w:p w14:paraId="7D1839CF" w14:textId="54996FB2" w:rsidR="00277C3A"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lastRenderedPageBreak/>
        <w:t>[47]</w:t>
      </w:r>
      <w:r>
        <w:rPr>
          <w:rFonts w:ascii="Arial" w:hAnsi="Arial" w:cs="Arial"/>
          <w:sz w:val="24"/>
          <w:szCs w:val="24"/>
          <w:lang w:val="en-US"/>
        </w:rPr>
        <w:tab/>
      </w:r>
      <w:r w:rsidR="009250AC" w:rsidRPr="00277E7A">
        <w:rPr>
          <w:rFonts w:ascii="Arial" w:hAnsi="Arial" w:cs="Arial"/>
          <w:sz w:val="24"/>
          <w:szCs w:val="24"/>
          <w:lang w:val="en-US"/>
        </w:rPr>
        <w:t>This court is, however, obliged to interpret section 7 purposively in accordance with</w:t>
      </w:r>
      <w:r w:rsidR="009A361E" w:rsidRPr="00277E7A">
        <w:rPr>
          <w:rFonts w:ascii="Arial" w:hAnsi="Arial" w:cs="Arial"/>
          <w:sz w:val="24"/>
          <w:szCs w:val="24"/>
          <w:lang w:val="en-US"/>
        </w:rPr>
        <w:t xml:space="preserve"> the principles set out above.</w:t>
      </w:r>
      <w:r w:rsidR="002F6BBB" w:rsidRPr="00277E7A">
        <w:rPr>
          <w:rFonts w:ascii="Arial" w:hAnsi="Arial" w:cs="Arial"/>
          <w:sz w:val="24"/>
          <w:szCs w:val="24"/>
          <w:lang w:val="en-US"/>
        </w:rPr>
        <w:t xml:space="preserve"> </w:t>
      </w:r>
      <w:r w:rsidR="00797412" w:rsidRPr="00277E7A">
        <w:rPr>
          <w:rFonts w:ascii="Arial" w:hAnsi="Arial" w:cs="Arial"/>
          <w:sz w:val="24"/>
          <w:szCs w:val="24"/>
          <w:lang w:val="en-US"/>
        </w:rPr>
        <w:t>T</w:t>
      </w:r>
      <w:r w:rsidR="0097680C" w:rsidRPr="00277E7A">
        <w:rPr>
          <w:rFonts w:ascii="Arial" w:hAnsi="Arial" w:cs="Arial"/>
          <w:sz w:val="24"/>
          <w:szCs w:val="24"/>
          <w:lang w:val="en-US"/>
        </w:rPr>
        <w:t xml:space="preserve">he </w:t>
      </w:r>
      <w:r w:rsidR="00FE11E7" w:rsidRPr="00277E7A">
        <w:rPr>
          <w:rFonts w:ascii="Arial" w:hAnsi="Arial" w:cs="Arial"/>
          <w:sz w:val="24"/>
          <w:szCs w:val="24"/>
          <w:lang w:val="en-US"/>
        </w:rPr>
        <w:t>language used in section 7 seems to indicate a limitation to the matters in which a court is gra</w:t>
      </w:r>
      <w:r w:rsidR="00961075" w:rsidRPr="00277E7A">
        <w:rPr>
          <w:rFonts w:ascii="Arial" w:hAnsi="Arial" w:cs="Arial"/>
          <w:sz w:val="24"/>
          <w:szCs w:val="24"/>
          <w:lang w:val="en-US"/>
        </w:rPr>
        <w:t>n</w:t>
      </w:r>
      <w:r w:rsidR="00FE11E7" w:rsidRPr="00277E7A">
        <w:rPr>
          <w:rFonts w:ascii="Arial" w:hAnsi="Arial" w:cs="Arial"/>
          <w:sz w:val="24"/>
          <w:szCs w:val="24"/>
          <w:lang w:val="en-US"/>
        </w:rPr>
        <w:t>ted terr</w:t>
      </w:r>
      <w:r w:rsidR="00961075" w:rsidRPr="00277E7A">
        <w:rPr>
          <w:rFonts w:ascii="Arial" w:hAnsi="Arial" w:cs="Arial"/>
          <w:sz w:val="24"/>
          <w:szCs w:val="24"/>
          <w:lang w:val="en-US"/>
        </w:rPr>
        <w:t>i</w:t>
      </w:r>
      <w:r w:rsidR="00FE11E7" w:rsidRPr="00277E7A">
        <w:rPr>
          <w:rFonts w:ascii="Arial" w:hAnsi="Arial" w:cs="Arial"/>
          <w:sz w:val="24"/>
          <w:szCs w:val="24"/>
          <w:lang w:val="en-US"/>
        </w:rPr>
        <w:t>toria</w:t>
      </w:r>
      <w:r w:rsidR="00961075" w:rsidRPr="00277E7A">
        <w:rPr>
          <w:rFonts w:ascii="Arial" w:hAnsi="Arial" w:cs="Arial"/>
          <w:sz w:val="24"/>
          <w:szCs w:val="24"/>
          <w:lang w:val="en-US"/>
        </w:rPr>
        <w:t>l</w:t>
      </w:r>
      <w:r w:rsidR="00FE11E7" w:rsidRPr="00277E7A">
        <w:rPr>
          <w:rFonts w:ascii="Arial" w:hAnsi="Arial" w:cs="Arial"/>
          <w:sz w:val="24"/>
          <w:szCs w:val="24"/>
          <w:lang w:val="en-US"/>
        </w:rPr>
        <w:t xml:space="preserve"> jurisdiction</w:t>
      </w:r>
      <w:r w:rsidR="007C4131" w:rsidRPr="00277E7A">
        <w:rPr>
          <w:rFonts w:ascii="Arial" w:hAnsi="Arial" w:cs="Arial"/>
          <w:sz w:val="24"/>
          <w:szCs w:val="24"/>
          <w:lang w:val="en-US"/>
        </w:rPr>
        <w:t>. In the process</w:t>
      </w:r>
      <w:r w:rsidR="00FE11E7" w:rsidRPr="00277E7A">
        <w:rPr>
          <w:rFonts w:ascii="Arial" w:hAnsi="Arial" w:cs="Arial"/>
          <w:sz w:val="24"/>
          <w:szCs w:val="24"/>
          <w:lang w:val="en-US"/>
        </w:rPr>
        <w:t>,</w:t>
      </w:r>
      <w:r w:rsidR="005B014B" w:rsidRPr="00277E7A">
        <w:rPr>
          <w:rFonts w:ascii="Arial" w:hAnsi="Arial" w:cs="Arial"/>
          <w:sz w:val="24"/>
          <w:szCs w:val="24"/>
          <w:lang w:val="en-US"/>
        </w:rPr>
        <w:t xml:space="preserve"> the legislature confer</w:t>
      </w:r>
      <w:r w:rsidR="00DF77F0" w:rsidRPr="00277E7A">
        <w:rPr>
          <w:rFonts w:ascii="Arial" w:hAnsi="Arial" w:cs="Arial"/>
          <w:sz w:val="24"/>
          <w:szCs w:val="24"/>
          <w:lang w:val="en-US"/>
        </w:rPr>
        <w:t>r</w:t>
      </w:r>
      <w:r w:rsidR="007C4131" w:rsidRPr="00277E7A">
        <w:rPr>
          <w:rFonts w:ascii="Arial" w:hAnsi="Arial" w:cs="Arial"/>
          <w:sz w:val="24"/>
          <w:szCs w:val="24"/>
          <w:lang w:val="en-US"/>
        </w:rPr>
        <w:t>ed</w:t>
      </w:r>
      <w:r w:rsidR="005B014B" w:rsidRPr="00277E7A">
        <w:rPr>
          <w:rFonts w:ascii="Arial" w:hAnsi="Arial" w:cs="Arial"/>
          <w:sz w:val="24"/>
          <w:szCs w:val="24"/>
          <w:lang w:val="en-US"/>
        </w:rPr>
        <w:t xml:space="preserve"> territorial jurisdiction on the relevant court </w:t>
      </w:r>
      <w:r w:rsidR="00407692" w:rsidRPr="00277E7A">
        <w:rPr>
          <w:rFonts w:ascii="Arial" w:hAnsi="Arial" w:cs="Arial"/>
          <w:sz w:val="24"/>
          <w:szCs w:val="24"/>
          <w:lang w:val="en-US"/>
        </w:rPr>
        <w:t>over a close corporation in a variety of matters</w:t>
      </w:r>
      <w:r w:rsidR="008E3BAB" w:rsidRPr="00277E7A">
        <w:rPr>
          <w:rFonts w:ascii="Arial" w:hAnsi="Arial" w:cs="Arial"/>
          <w:sz w:val="24"/>
          <w:szCs w:val="24"/>
          <w:lang w:val="en-US"/>
        </w:rPr>
        <w:t xml:space="preserve"> of far-reaching consequence, not the least in application</w:t>
      </w:r>
      <w:r w:rsidR="001F7A49" w:rsidRPr="00277E7A">
        <w:rPr>
          <w:rFonts w:ascii="Arial" w:hAnsi="Arial" w:cs="Arial"/>
          <w:sz w:val="24"/>
          <w:szCs w:val="24"/>
          <w:lang w:val="en-US"/>
        </w:rPr>
        <w:t>s</w:t>
      </w:r>
      <w:r w:rsidR="008E3BAB" w:rsidRPr="00277E7A">
        <w:rPr>
          <w:rFonts w:ascii="Arial" w:hAnsi="Arial" w:cs="Arial"/>
          <w:sz w:val="24"/>
          <w:szCs w:val="24"/>
          <w:lang w:val="en-US"/>
        </w:rPr>
        <w:t xml:space="preserve"> for the liquidation of</w:t>
      </w:r>
      <w:r w:rsidR="00407E2B" w:rsidRPr="00277E7A">
        <w:rPr>
          <w:rFonts w:ascii="Arial" w:hAnsi="Arial" w:cs="Arial"/>
          <w:sz w:val="24"/>
          <w:szCs w:val="24"/>
          <w:lang w:val="en-US"/>
        </w:rPr>
        <w:t xml:space="preserve"> </w:t>
      </w:r>
      <w:r w:rsidR="001F7A49" w:rsidRPr="00277E7A">
        <w:rPr>
          <w:rFonts w:ascii="Arial" w:hAnsi="Arial" w:cs="Arial"/>
          <w:sz w:val="24"/>
          <w:szCs w:val="24"/>
          <w:lang w:val="en-US"/>
        </w:rPr>
        <w:t>close</w:t>
      </w:r>
      <w:r w:rsidR="00407E2B" w:rsidRPr="00277E7A">
        <w:rPr>
          <w:rFonts w:ascii="Arial" w:hAnsi="Arial" w:cs="Arial"/>
          <w:sz w:val="24"/>
          <w:szCs w:val="24"/>
          <w:lang w:val="en-US"/>
        </w:rPr>
        <w:t xml:space="preserve"> </w:t>
      </w:r>
      <w:r w:rsidR="008E3BAB" w:rsidRPr="00277E7A">
        <w:rPr>
          <w:rFonts w:ascii="Arial" w:hAnsi="Arial" w:cs="Arial"/>
          <w:sz w:val="24"/>
          <w:szCs w:val="24"/>
          <w:lang w:val="en-US"/>
        </w:rPr>
        <w:t>corporations.</w:t>
      </w:r>
      <w:r w:rsidR="00623788" w:rsidRPr="00277E7A">
        <w:rPr>
          <w:rFonts w:ascii="Arial" w:hAnsi="Arial" w:cs="Arial"/>
          <w:sz w:val="24"/>
          <w:szCs w:val="24"/>
          <w:lang w:val="en-US"/>
        </w:rPr>
        <w:t xml:space="preserve"> </w:t>
      </w:r>
      <w:r w:rsidR="006D4739" w:rsidRPr="00277E7A">
        <w:rPr>
          <w:rFonts w:ascii="Arial" w:hAnsi="Arial" w:cs="Arial"/>
          <w:sz w:val="24"/>
          <w:szCs w:val="24"/>
          <w:lang w:val="en-US"/>
        </w:rPr>
        <w:t>Clearly the legislature had intended a close connection between</w:t>
      </w:r>
      <w:r w:rsidR="00130DC1" w:rsidRPr="00277E7A">
        <w:rPr>
          <w:rFonts w:ascii="Arial" w:hAnsi="Arial" w:cs="Arial"/>
          <w:sz w:val="24"/>
          <w:szCs w:val="24"/>
          <w:lang w:val="en-US"/>
        </w:rPr>
        <w:t xml:space="preserve"> a close corporation and its registered office</w:t>
      </w:r>
      <w:r w:rsidR="005D79FF" w:rsidRPr="00277E7A">
        <w:rPr>
          <w:rFonts w:ascii="Arial" w:hAnsi="Arial" w:cs="Arial"/>
          <w:sz w:val="24"/>
          <w:szCs w:val="24"/>
          <w:lang w:val="en-US"/>
        </w:rPr>
        <w:t>.</w:t>
      </w:r>
      <w:r w:rsidR="00A7531A" w:rsidRPr="00277E7A">
        <w:rPr>
          <w:rFonts w:ascii="Arial" w:hAnsi="Arial" w:cs="Arial"/>
          <w:sz w:val="24"/>
          <w:szCs w:val="24"/>
          <w:lang w:val="en-US"/>
        </w:rPr>
        <w:t xml:space="preserve"> </w:t>
      </w:r>
    </w:p>
    <w:p w14:paraId="1E66FEEB" w14:textId="02EE0F7F" w:rsidR="00690DC2"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[48]</w:t>
      </w:r>
      <w:r>
        <w:rPr>
          <w:rFonts w:ascii="Arial" w:hAnsi="Arial" w:cs="Arial"/>
          <w:sz w:val="24"/>
          <w:szCs w:val="24"/>
          <w:lang w:val="en-US"/>
        </w:rPr>
        <w:tab/>
      </w:r>
      <w:r w:rsidR="00531BFB" w:rsidRPr="00277E7A">
        <w:rPr>
          <w:rFonts w:ascii="Arial" w:hAnsi="Arial" w:cs="Arial"/>
          <w:sz w:val="24"/>
          <w:szCs w:val="24"/>
          <w:lang w:val="en-US"/>
        </w:rPr>
        <w:t>Due to the conclusion I have reached in this matter</w:t>
      </w:r>
      <w:r w:rsidR="004F56F1" w:rsidRPr="00277E7A">
        <w:rPr>
          <w:rFonts w:ascii="Arial" w:hAnsi="Arial" w:cs="Arial"/>
          <w:sz w:val="24"/>
          <w:szCs w:val="24"/>
          <w:lang w:val="en-US"/>
        </w:rPr>
        <w:t>,</w:t>
      </w:r>
      <w:r w:rsidR="00531BFB" w:rsidRPr="00277E7A">
        <w:rPr>
          <w:rFonts w:ascii="Arial" w:hAnsi="Arial" w:cs="Arial"/>
          <w:sz w:val="24"/>
          <w:szCs w:val="24"/>
          <w:lang w:val="en-US"/>
        </w:rPr>
        <w:t xml:space="preserve"> it is not necessary to decide whether on a </w:t>
      </w:r>
      <w:r w:rsidR="005A4F72" w:rsidRPr="00277E7A">
        <w:rPr>
          <w:rFonts w:ascii="Arial" w:hAnsi="Arial" w:cs="Arial"/>
          <w:sz w:val="24"/>
          <w:szCs w:val="24"/>
          <w:lang w:val="en-US"/>
        </w:rPr>
        <w:t>proper interpretation of section 7</w:t>
      </w:r>
      <w:r w:rsidR="006A5040" w:rsidRPr="00277E7A">
        <w:rPr>
          <w:rFonts w:ascii="Arial" w:hAnsi="Arial" w:cs="Arial"/>
          <w:sz w:val="24"/>
          <w:szCs w:val="24"/>
          <w:lang w:val="en-US"/>
        </w:rPr>
        <w:t xml:space="preserve"> of the CCA, </w:t>
      </w:r>
      <w:r w:rsidR="006B22B7" w:rsidRPr="00277E7A">
        <w:rPr>
          <w:rFonts w:ascii="Arial" w:hAnsi="Arial" w:cs="Arial"/>
          <w:sz w:val="24"/>
          <w:szCs w:val="24"/>
          <w:lang w:val="en-US"/>
        </w:rPr>
        <w:t xml:space="preserve">despite the language used in the section, </w:t>
      </w:r>
      <w:r w:rsidR="006A5040" w:rsidRPr="00277E7A">
        <w:rPr>
          <w:rFonts w:ascii="Arial" w:hAnsi="Arial" w:cs="Arial"/>
          <w:sz w:val="24"/>
          <w:szCs w:val="24"/>
          <w:lang w:val="en-US"/>
        </w:rPr>
        <w:t>it confers jurisdiction on the High Court and magistrates’ court within wh</w:t>
      </w:r>
      <w:r w:rsidR="00690DC2" w:rsidRPr="00277E7A">
        <w:rPr>
          <w:rFonts w:ascii="Arial" w:hAnsi="Arial" w:cs="Arial"/>
          <w:sz w:val="24"/>
          <w:szCs w:val="24"/>
          <w:lang w:val="en-US"/>
        </w:rPr>
        <w:t>ose</w:t>
      </w:r>
      <w:r w:rsidR="006A5040" w:rsidRPr="00277E7A">
        <w:rPr>
          <w:rFonts w:ascii="Arial" w:hAnsi="Arial" w:cs="Arial"/>
          <w:sz w:val="24"/>
          <w:szCs w:val="24"/>
          <w:lang w:val="en-US"/>
        </w:rPr>
        <w:t xml:space="preserve"> area a close corporation’s registered office is situated </w:t>
      </w:r>
      <w:r w:rsidR="006A5040" w:rsidRPr="00277E7A">
        <w:rPr>
          <w:rFonts w:ascii="Arial" w:hAnsi="Arial" w:cs="Arial"/>
          <w:i/>
          <w:iCs/>
          <w:sz w:val="24"/>
          <w:szCs w:val="24"/>
          <w:lang w:val="en-US"/>
        </w:rPr>
        <w:t>generally</w:t>
      </w:r>
      <w:r w:rsidR="006A5040" w:rsidRPr="00277E7A">
        <w:rPr>
          <w:rFonts w:ascii="Arial" w:hAnsi="Arial" w:cs="Arial"/>
          <w:sz w:val="24"/>
          <w:szCs w:val="24"/>
          <w:lang w:val="en-US"/>
        </w:rPr>
        <w:t>.</w:t>
      </w:r>
      <w:r w:rsidR="006B22B7" w:rsidRPr="00277E7A">
        <w:rPr>
          <w:rFonts w:ascii="Arial" w:hAnsi="Arial" w:cs="Arial"/>
          <w:sz w:val="24"/>
          <w:szCs w:val="24"/>
          <w:lang w:val="en-US"/>
        </w:rPr>
        <w:t xml:space="preserve"> However, </w:t>
      </w:r>
      <w:r w:rsidR="008C1122" w:rsidRPr="00277E7A">
        <w:rPr>
          <w:rFonts w:ascii="Arial" w:hAnsi="Arial" w:cs="Arial"/>
          <w:sz w:val="24"/>
          <w:szCs w:val="24"/>
          <w:lang w:val="en-US"/>
        </w:rPr>
        <w:t xml:space="preserve">the closeness of the </w:t>
      </w:r>
      <w:r w:rsidR="00F91AC5" w:rsidRPr="00277E7A">
        <w:rPr>
          <w:rFonts w:ascii="Arial" w:hAnsi="Arial" w:cs="Arial"/>
          <w:sz w:val="24"/>
          <w:szCs w:val="24"/>
          <w:lang w:val="en-US"/>
        </w:rPr>
        <w:t>connection created by this section is an important consideration to be brought into account.</w:t>
      </w:r>
    </w:p>
    <w:p w14:paraId="06EA264C" w14:textId="6E4C965D" w:rsidR="004D49A2" w:rsidRPr="00277E7A" w:rsidRDefault="00277E7A" w:rsidP="00277E7A">
      <w:pPr>
        <w:spacing w:before="480" w:after="480" w:line="480" w:lineRule="auto"/>
        <w:ind w:left="567" w:hanging="567"/>
        <w:jc w:val="both"/>
        <w:rPr>
          <w:rFonts w:ascii="Arial" w:hAnsi="Arial" w:cs="Arial"/>
          <w:sz w:val="24"/>
          <w:szCs w:val="24"/>
          <w:lang w:val="en-US"/>
        </w:rPr>
      </w:pPr>
      <w:r w:rsidRPr="00EC01A4">
        <w:rPr>
          <w:rFonts w:ascii="Arial" w:hAnsi="Arial" w:cs="Arial"/>
          <w:sz w:val="24"/>
          <w:szCs w:val="24"/>
          <w:lang w:val="en-US"/>
        </w:rPr>
        <w:t>[49]</w:t>
      </w:r>
      <w:r w:rsidRPr="00EC01A4">
        <w:rPr>
          <w:rFonts w:ascii="Arial" w:hAnsi="Arial" w:cs="Arial"/>
          <w:sz w:val="24"/>
          <w:szCs w:val="24"/>
          <w:lang w:val="en-US"/>
        </w:rPr>
        <w:tab/>
      </w:r>
      <w:r w:rsidR="00EC01A4" w:rsidRPr="00277E7A">
        <w:rPr>
          <w:rFonts w:ascii="Arial" w:hAnsi="Arial" w:cs="Arial"/>
          <w:sz w:val="24"/>
          <w:szCs w:val="24"/>
          <w:lang w:val="en-US"/>
        </w:rPr>
        <w:t xml:space="preserve">The authors of </w:t>
      </w:r>
      <w:r w:rsidR="00EC01A4" w:rsidRPr="00277E7A">
        <w:rPr>
          <w:rFonts w:ascii="Arial" w:hAnsi="Arial" w:cs="Arial"/>
          <w:i/>
          <w:iCs/>
          <w:sz w:val="24"/>
          <w:szCs w:val="24"/>
          <w:lang w:val="en-US"/>
        </w:rPr>
        <w:t>Erasmus: Superior Court Practice</w:t>
      </w:r>
      <w:r w:rsidR="00EC01A4">
        <w:rPr>
          <w:rStyle w:val="FootnoteReference"/>
          <w:rFonts w:ascii="Arial" w:hAnsi="Arial" w:cs="Arial"/>
          <w:i/>
          <w:iCs/>
          <w:sz w:val="24"/>
          <w:szCs w:val="24"/>
          <w:lang w:val="en-US"/>
        </w:rPr>
        <w:footnoteReference w:id="8"/>
      </w:r>
      <w:r w:rsidR="00EC01A4" w:rsidRPr="00277E7A">
        <w:rPr>
          <w:rFonts w:ascii="Arial" w:hAnsi="Arial" w:cs="Arial"/>
          <w:sz w:val="24"/>
          <w:szCs w:val="24"/>
          <w:lang w:val="en-US"/>
        </w:rPr>
        <w:t xml:space="preserve"> is of the opinion that </w:t>
      </w:r>
      <w:r w:rsidR="00D60010" w:rsidRPr="00277E7A">
        <w:rPr>
          <w:rFonts w:ascii="Arial" w:hAnsi="Arial" w:cs="Arial"/>
          <w:sz w:val="24"/>
          <w:szCs w:val="24"/>
          <w:lang w:val="en-US"/>
        </w:rPr>
        <w:t xml:space="preserve">in this regard </w:t>
      </w:r>
      <w:r w:rsidR="00EC01A4" w:rsidRPr="00277E7A">
        <w:rPr>
          <w:rFonts w:ascii="Arial" w:hAnsi="Arial" w:cs="Arial"/>
          <w:sz w:val="24"/>
          <w:szCs w:val="24"/>
          <w:lang w:val="en-US"/>
        </w:rPr>
        <w:t>the same principles apply to close corporations that applied to companies prior to the commencement of the Companies Act, 2008.</w:t>
      </w:r>
      <w:r w:rsidR="006F56B0" w:rsidRPr="00277E7A">
        <w:rPr>
          <w:rFonts w:ascii="Arial" w:hAnsi="Arial" w:cs="Arial"/>
          <w:sz w:val="24"/>
          <w:szCs w:val="24"/>
          <w:lang w:val="en-US"/>
        </w:rPr>
        <w:t xml:space="preserve"> </w:t>
      </w:r>
      <w:r w:rsidR="00495FA0" w:rsidRPr="00277E7A">
        <w:rPr>
          <w:rFonts w:ascii="Arial" w:hAnsi="Arial" w:cs="Arial"/>
          <w:sz w:val="24"/>
          <w:szCs w:val="24"/>
          <w:lang w:val="en-US"/>
        </w:rPr>
        <w:t xml:space="preserve"> </w:t>
      </w:r>
      <w:r w:rsidR="0056301A" w:rsidRPr="00277E7A">
        <w:rPr>
          <w:rFonts w:ascii="Arial" w:hAnsi="Arial" w:cs="Arial"/>
          <w:sz w:val="24"/>
          <w:szCs w:val="24"/>
          <w:lang w:val="en-US"/>
        </w:rPr>
        <w:t xml:space="preserve"> </w:t>
      </w:r>
    </w:p>
    <w:p w14:paraId="174661D1" w14:textId="207EB9E1" w:rsidR="00335BA3"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[50]</w:t>
      </w:r>
      <w:r>
        <w:rPr>
          <w:rFonts w:ascii="Arial" w:hAnsi="Arial" w:cs="Arial"/>
          <w:sz w:val="24"/>
          <w:szCs w:val="24"/>
          <w:lang w:val="en-US"/>
        </w:rPr>
        <w:tab/>
      </w:r>
      <w:r w:rsidR="00B30645" w:rsidRPr="00277E7A">
        <w:rPr>
          <w:rFonts w:ascii="Arial" w:hAnsi="Arial" w:cs="Arial"/>
          <w:sz w:val="24"/>
          <w:szCs w:val="24"/>
          <w:lang w:val="en-US"/>
        </w:rPr>
        <w:t>The question in this matter is identical to the</w:t>
      </w:r>
      <w:r w:rsidR="007D0DE0" w:rsidRPr="00277E7A">
        <w:rPr>
          <w:rFonts w:ascii="Arial" w:hAnsi="Arial" w:cs="Arial"/>
          <w:sz w:val="24"/>
          <w:szCs w:val="24"/>
          <w:lang w:val="en-US"/>
        </w:rPr>
        <w:t xml:space="preserve"> issue that had to be decided </w:t>
      </w:r>
      <w:r w:rsidR="009F12DC" w:rsidRPr="00277E7A">
        <w:rPr>
          <w:rFonts w:ascii="Arial" w:hAnsi="Arial" w:cs="Arial"/>
          <w:sz w:val="24"/>
          <w:szCs w:val="24"/>
          <w:lang w:val="en-US"/>
        </w:rPr>
        <w:t xml:space="preserve">by the then Appellate Division </w:t>
      </w:r>
      <w:r w:rsidR="007D0DE0" w:rsidRPr="00277E7A">
        <w:rPr>
          <w:rFonts w:ascii="Arial" w:hAnsi="Arial" w:cs="Arial"/>
          <w:sz w:val="24"/>
          <w:szCs w:val="24"/>
          <w:lang w:val="en-US"/>
        </w:rPr>
        <w:t xml:space="preserve">in </w:t>
      </w:r>
      <w:r w:rsidR="009F12DC" w:rsidRPr="00277E7A">
        <w:rPr>
          <w:rFonts w:ascii="Arial" w:hAnsi="Arial" w:cs="Arial"/>
          <w:i/>
          <w:iCs/>
          <w:sz w:val="24"/>
          <w:szCs w:val="24"/>
          <w:lang w:val="en-US"/>
        </w:rPr>
        <w:t>Bisonboard Ltd v K Braun Woodworking Machinery (Pty) Ltd</w:t>
      </w:r>
      <w:r w:rsidR="007E35AB">
        <w:rPr>
          <w:rStyle w:val="FootnoteReference"/>
          <w:rFonts w:ascii="Arial" w:hAnsi="Arial" w:cs="Arial"/>
          <w:i/>
          <w:iCs/>
          <w:sz w:val="24"/>
          <w:szCs w:val="24"/>
          <w:lang w:val="en-US"/>
        </w:rPr>
        <w:footnoteReference w:id="9"/>
      </w:r>
      <w:r w:rsidR="00875695" w:rsidRPr="00277E7A">
        <w:rPr>
          <w:rFonts w:ascii="Arial" w:hAnsi="Arial" w:cs="Arial"/>
          <w:sz w:val="24"/>
          <w:szCs w:val="24"/>
          <w:lang w:val="en-US"/>
        </w:rPr>
        <w:t xml:space="preserve"> in relation to companies.</w:t>
      </w:r>
      <w:r w:rsidR="00C743B6" w:rsidRPr="00277E7A">
        <w:rPr>
          <w:rFonts w:ascii="Arial" w:hAnsi="Arial" w:cs="Arial"/>
          <w:sz w:val="24"/>
          <w:szCs w:val="24"/>
          <w:lang w:val="en-US"/>
        </w:rPr>
        <w:t xml:space="preserve"> In that matter the Appellate Division held that for jurisdictional purposes</w:t>
      </w:r>
      <w:r w:rsidR="003F0DF8" w:rsidRPr="00277E7A">
        <w:rPr>
          <w:rFonts w:ascii="Arial" w:hAnsi="Arial" w:cs="Arial"/>
          <w:sz w:val="24"/>
          <w:szCs w:val="24"/>
          <w:lang w:val="en-US"/>
        </w:rPr>
        <w:t xml:space="preserve"> </w:t>
      </w:r>
      <w:r w:rsidR="00501257" w:rsidRPr="00277E7A">
        <w:rPr>
          <w:rFonts w:ascii="Arial" w:hAnsi="Arial" w:cs="Arial"/>
          <w:sz w:val="24"/>
          <w:szCs w:val="24"/>
          <w:lang w:val="en-US"/>
        </w:rPr>
        <w:t>a company</w:t>
      </w:r>
      <w:r w:rsidR="00A45315" w:rsidRPr="00277E7A">
        <w:rPr>
          <w:rFonts w:ascii="Arial" w:hAnsi="Arial" w:cs="Arial"/>
          <w:sz w:val="24"/>
          <w:szCs w:val="24"/>
          <w:lang w:val="en-US"/>
        </w:rPr>
        <w:t xml:space="preserve"> is deemed to have dual residency</w:t>
      </w:r>
      <w:r w:rsidR="00007982" w:rsidRPr="00277E7A">
        <w:rPr>
          <w:rFonts w:ascii="Arial" w:hAnsi="Arial" w:cs="Arial"/>
          <w:sz w:val="24"/>
          <w:szCs w:val="24"/>
          <w:lang w:val="en-US"/>
        </w:rPr>
        <w:t xml:space="preserve"> at its </w:t>
      </w:r>
      <w:r w:rsidR="00B92FAE" w:rsidRPr="00277E7A">
        <w:rPr>
          <w:rFonts w:ascii="Arial" w:hAnsi="Arial" w:cs="Arial"/>
          <w:sz w:val="24"/>
          <w:szCs w:val="24"/>
          <w:lang w:val="en-US"/>
        </w:rPr>
        <w:lastRenderedPageBreak/>
        <w:t>registered office</w:t>
      </w:r>
      <w:r w:rsidR="00007982" w:rsidRPr="00277E7A">
        <w:rPr>
          <w:rFonts w:ascii="Arial" w:hAnsi="Arial" w:cs="Arial"/>
          <w:sz w:val="24"/>
          <w:szCs w:val="24"/>
          <w:lang w:val="en-US"/>
        </w:rPr>
        <w:t xml:space="preserve"> and place of business, where </w:t>
      </w:r>
      <w:r w:rsidR="00F37017" w:rsidRPr="00277E7A">
        <w:rPr>
          <w:rFonts w:ascii="Arial" w:hAnsi="Arial" w:cs="Arial"/>
          <w:sz w:val="24"/>
          <w:szCs w:val="24"/>
          <w:lang w:val="en-US"/>
        </w:rPr>
        <w:t>these locations differ.</w:t>
      </w:r>
      <w:r w:rsidR="00DD6937" w:rsidRPr="00277E7A">
        <w:rPr>
          <w:rFonts w:ascii="Arial" w:hAnsi="Arial" w:cs="Arial"/>
          <w:sz w:val="24"/>
          <w:szCs w:val="24"/>
          <w:lang w:val="en-US"/>
        </w:rPr>
        <w:t xml:space="preserve"> </w:t>
      </w:r>
      <w:r w:rsidR="00764226" w:rsidRPr="00277E7A">
        <w:rPr>
          <w:rFonts w:ascii="Arial" w:hAnsi="Arial" w:cs="Arial"/>
          <w:sz w:val="24"/>
          <w:szCs w:val="24"/>
          <w:lang w:val="en-US"/>
        </w:rPr>
        <w:t xml:space="preserve">This gave rise to the dual jurisdiction principle, with </w:t>
      </w:r>
      <w:r w:rsidR="0056101B" w:rsidRPr="00277E7A">
        <w:rPr>
          <w:rFonts w:ascii="Arial" w:hAnsi="Arial" w:cs="Arial"/>
          <w:sz w:val="24"/>
          <w:szCs w:val="24"/>
          <w:lang w:val="en-US"/>
        </w:rPr>
        <w:t xml:space="preserve">different courts </w:t>
      </w:r>
      <w:r w:rsidR="00764226" w:rsidRPr="00277E7A">
        <w:rPr>
          <w:rFonts w:ascii="Arial" w:hAnsi="Arial" w:cs="Arial"/>
          <w:sz w:val="24"/>
          <w:szCs w:val="24"/>
          <w:lang w:val="en-US"/>
        </w:rPr>
        <w:t>having</w:t>
      </w:r>
      <w:r w:rsidR="0056101B" w:rsidRPr="00277E7A">
        <w:rPr>
          <w:rFonts w:ascii="Arial" w:hAnsi="Arial" w:cs="Arial"/>
          <w:sz w:val="24"/>
          <w:szCs w:val="24"/>
          <w:lang w:val="en-US"/>
        </w:rPr>
        <w:t xml:space="preserve"> jurisdiction over a company at the same time.</w:t>
      </w:r>
    </w:p>
    <w:p w14:paraId="64755DD0" w14:textId="6064735C" w:rsidR="001F2EFD"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[51]</w:t>
      </w:r>
      <w:r>
        <w:rPr>
          <w:rFonts w:ascii="Arial" w:hAnsi="Arial" w:cs="Arial"/>
          <w:sz w:val="24"/>
          <w:szCs w:val="24"/>
          <w:lang w:val="en-US"/>
        </w:rPr>
        <w:tab/>
      </w:r>
      <w:r w:rsidR="001F2EFD" w:rsidRPr="00277E7A">
        <w:rPr>
          <w:rFonts w:ascii="Arial" w:hAnsi="Arial" w:cs="Arial"/>
          <w:sz w:val="24"/>
          <w:szCs w:val="24"/>
          <w:lang w:val="en-US"/>
        </w:rPr>
        <w:t>Th</w:t>
      </w:r>
      <w:r w:rsidR="00BE6CEA" w:rsidRPr="00277E7A">
        <w:rPr>
          <w:rFonts w:ascii="Arial" w:hAnsi="Arial" w:cs="Arial"/>
          <w:sz w:val="24"/>
          <w:szCs w:val="24"/>
          <w:lang w:val="en-US"/>
        </w:rPr>
        <w:t>e</w:t>
      </w:r>
      <w:r w:rsidR="001F2EFD" w:rsidRPr="00277E7A">
        <w:rPr>
          <w:rFonts w:ascii="Arial" w:hAnsi="Arial" w:cs="Arial"/>
          <w:sz w:val="24"/>
          <w:szCs w:val="24"/>
          <w:lang w:val="en-US"/>
        </w:rPr>
        <w:t xml:space="preserve"> </w:t>
      </w:r>
      <w:r w:rsidR="00BE6CEA" w:rsidRPr="00277E7A">
        <w:rPr>
          <w:rFonts w:ascii="Arial" w:hAnsi="Arial" w:cs="Arial"/>
          <w:sz w:val="24"/>
          <w:szCs w:val="24"/>
          <w:lang w:val="en-US"/>
        </w:rPr>
        <w:t xml:space="preserve">notion of </w:t>
      </w:r>
      <w:r w:rsidR="001F2EFD" w:rsidRPr="00277E7A">
        <w:rPr>
          <w:rFonts w:ascii="Arial" w:hAnsi="Arial" w:cs="Arial"/>
          <w:sz w:val="24"/>
          <w:szCs w:val="24"/>
          <w:lang w:val="en-US"/>
        </w:rPr>
        <w:t>dual jurisdiction</w:t>
      </w:r>
      <w:r w:rsidR="00BE6CEA" w:rsidRPr="00277E7A">
        <w:rPr>
          <w:rFonts w:ascii="Arial" w:hAnsi="Arial" w:cs="Arial"/>
          <w:sz w:val="24"/>
          <w:szCs w:val="24"/>
          <w:lang w:val="en-US"/>
        </w:rPr>
        <w:t xml:space="preserve"> became the subject matter of a judicial debate </w:t>
      </w:r>
      <w:r w:rsidR="00446B8F" w:rsidRPr="00277E7A">
        <w:rPr>
          <w:rFonts w:ascii="Arial" w:hAnsi="Arial" w:cs="Arial"/>
          <w:sz w:val="24"/>
          <w:szCs w:val="24"/>
          <w:lang w:val="en-US"/>
        </w:rPr>
        <w:t>after the promulgation of the 2008 Companies Act</w:t>
      </w:r>
      <w:r w:rsidR="009002EC" w:rsidRPr="00277E7A">
        <w:rPr>
          <w:rFonts w:ascii="Arial" w:hAnsi="Arial" w:cs="Arial"/>
          <w:sz w:val="24"/>
          <w:szCs w:val="24"/>
          <w:lang w:val="en-US"/>
        </w:rPr>
        <w:t>.</w:t>
      </w:r>
      <w:r w:rsidR="009002EC">
        <w:rPr>
          <w:rStyle w:val="FootnoteReference"/>
          <w:rFonts w:ascii="Arial" w:hAnsi="Arial" w:cs="Arial"/>
          <w:sz w:val="24"/>
          <w:szCs w:val="24"/>
          <w:lang w:val="en-US"/>
        </w:rPr>
        <w:footnoteReference w:id="10"/>
      </w:r>
      <w:r w:rsidR="00EE6EB9" w:rsidRPr="00277E7A">
        <w:rPr>
          <w:rFonts w:ascii="Arial" w:hAnsi="Arial" w:cs="Arial"/>
          <w:sz w:val="24"/>
          <w:szCs w:val="24"/>
          <w:lang w:val="en-US"/>
        </w:rPr>
        <w:t xml:space="preserve"> </w:t>
      </w:r>
      <w:r w:rsidR="009A21D9" w:rsidRPr="00277E7A">
        <w:rPr>
          <w:rFonts w:ascii="Arial" w:hAnsi="Arial" w:cs="Arial"/>
          <w:sz w:val="24"/>
          <w:szCs w:val="24"/>
          <w:lang w:val="en-US"/>
        </w:rPr>
        <w:t>On the one hand</w:t>
      </w:r>
      <w:r w:rsidR="00F04D5F" w:rsidRPr="00277E7A">
        <w:rPr>
          <w:rFonts w:ascii="Arial" w:hAnsi="Arial" w:cs="Arial"/>
          <w:sz w:val="24"/>
          <w:szCs w:val="24"/>
          <w:lang w:val="en-US"/>
        </w:rPr>
        <w:t>, some judgments held that the 2008 Act abolished the dual</w:t>
      </w:r>
      <w:r w:rsidR="00842FCE" w:rsidRPr="00277E7A">
        <w:rPr>
          <w:rFonts w:ascii="Arial" w:hAnsi="Arial" w:cs="Arial"/>
          <w:sz w:val="24"/>
          <w:szCs w:val="24"/>
          <w:lang w:val="en-US"/>
        </w:rPr>
        <w:t xml:space="preserve"> </w:t>
      </w:r>
      <w:r w:rsidR="00F04D5F" w:rsidRPr="00277E7A">
        <w:rPr>
          <w:rFonts w:ascii="Arial" w:hAnsi="Arial" w:cs="Arial"/>
          <w:sz w:val="24"/>
          <w:szCs w:val="24"/>
          <w:lang w:val="en-US"/>
        </w:rPr>
        <w:t xml:space="preserve">jurisdiction principle </w:t>
      </w:r>
      <w:r w:rsidR="002B2B7E" w:rsidRPr="00277E7A">
        <w:rPr>
          <w:rFonts w:ascii="Arial" w:hAnsi="Arial" w:cs="Arial"/>
          <w:sz w:val="24"/>
          <w:szCs w:val="24"/>
          <w:lang w:val="en-US"/>
        </w:rPr>
        <w:t>and held that</w:t>
      </w:r>
      <w:r w:rsidR="00BE6F48" w:rsidRPr="00277E7A">
        <w:rPr>
          <w:rFonts w:ascii="Arial" w:hAnsi="Arial" w:cs="Arial"/>
          <w:sz w:val="24"/>
          <w:szCs w:val="24"/>
          <w:lang w:val="en-US"/>
        </w:rPr>
        <w:t xml:space="preserve"> only the court where the registered office of the company is situated retained jurisdiction.</w:t>
      </w:r>
      <w:r w:rsidR="00973491" w:rsidRPr="00277E7A">
        <w:rPr>
          <w:rFonts w:ascii="Arial" w:hAnsi="Arial" w:cs="Arial"/>
          <w:sz w:val="24"/>
          <w:szCs w:val="24"/>
          <w:lang w:val="en-US"/>
        </w:rPr>
        <w:t xml:space="preserve"> Other judgments </w:t>
      </w:r>
      <w:r w:rsidR="005704BE" w:rsidRPr="00277E7A">
        <w:rPr>
          <w:rFonts w:ascii="Arial" w:hAnsi="Arial" w:cs="Arial"/>
          <w:sz w:val="24"/>
          <w:szCs w:val="24"/>
          <w:lang w:val="en-US"/>
        </w:rPr>
        <w:t xml:space="preserve">retained the dual </w:t>
      </w:r>
      <w:r w:rsidR="00304939" w:rsidRPr="00277E7A">
        <w:rPr>
          <w:rFonts w:ascii="Arial" w:hAnsi="Arial" w:cs="Arial"/>
          <w:sz w:val="24"/>
          <w:szCs w:val="24"/>
          <w:lang w:val="en-US"/>
        </w:rPr>
        <w:t>jurisdiction</w:t>
      </w:r>
      <w:r w:rsidR="005704BE" w:rsidRPr="00277E7A">
        <w:rPr>
          <w:rFonts w:ascii="Arial" w:hAnsi="Arial" w:cs="Arial"/>
          <w:sz w:val="24"/>
          <w:szCs w:val="24"/>
          <w:lang w:val="en-US"/>
        </w:rPr>
        <w:t xml:space="preserve"> principle.</w:t>
      </w:r>
    </w:p>
    <w:p w14:paraId="1D36DDB4" w14:textId="713907F0" w:rsidR="006459F9"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[52]</w:t>
      </w:r>
      <w:r>
        <w:rPr>
          <w:rFonts w:ascii="Arial" w:hAnsi="Arial" w:cs="Arial"/>
          <w:sz w:val="24"/>
          <w:szCs w:val="24"/>
          <w:lang w:val="en-US"/>
        </w:rPr>
        <w:tab/>
      </w:r>
      <w:r w:rsidR="002C61A7" w:rsidRPr="00277E7A">
        <w:rPr>
          <w:rFonts w:ascii="Arial" w:hAnsi="Arial" w:cs="Arial"/>
          <w:sz w:val="24"/>
          <w:szCs w:val="24"/>
          <w:lang w:val="en-US"/>
        </w:rPr>
        <w:t>In my view t</w:t>
      </w:r>
      <w:r w:rsidR="00AC6899" w:rsidRPr="00277E7A">
        <w:rPr>
          <w:rFonts w:ascii="Arial" w:hAnsi="Arial" w:cs="Arial"/>
          <w:sz w:val="24"/>
          <w:szCs w:val="24"/>
          <w:lang w:val="en-US"/>
        </w:rPr>
        <w:t>he</w:t>
      </w:r>
      <w:r w:rsidR="00E874CB" w:rsidRPr="00277E7A">
        <w:rPr>
          <w:rFonts w:ascii="Arial" w:hAnsi="Arial" w:cs="Arial"/>
          <w:sz w:val="24"/>
          <w:szCs w:val="24"/>
          <w:lang w:val="en-US"/>
        </w:rPr>
        <w:t xml:space="preserve"> question of jurisdiction over close corporations </w:t>
      </w:r>
      <w:r w:rsidR="00D00C2D" w:rsidRPr="00277E7A">
        <w:rPr>
          <w:rFonts w:ascii="Arial" w:hAnsi="Arial" w:cs="Arial"/>
          <w:sz w:val="24"/>
          <w:szCs w:val="24"/>
          <w:lang w:val="en-US"/>
        </w:rPr>
        <w:t>is</w:t>
      </w:r>
      <w:r w:rsidR="00E874CB" w:rsidRPr="00277E7A">
        <w:rPr>
          <w:rFonts w:ascii="Arial" w:hAnsi="Arial" w:cs="Arial"/>
          <w:sz w:val="24"/>
          <w:szCs w:val="24"/>
          <w:lang w:val="en-US"/>
        </w:rPr>
        <w:t xml:space="preserve"> </w:t>
      </w:r>
      <w:r w:rsidR="00AB27DD" w:rsidRPr="00277E7A">
        <w:rPr>
          <w:rFonts w:ascii="Arial" w:hAnsi="Arial" w:cs="Arial"/>
          <w:sz w:val="24"/>
          <w:szCs w:val="24"/>
          <w:lang w:val="en-US"/>
        </w:rPr>
        <w:t>entirely unaffected by th</w:t>
      </w:r>
      <w:r w:rsidR="00304939" w:rsidRPr="00277E7A">
        <w:rPr>
          <w:rFonts w:ascii="Arial" w:hAnsi="Arial" w:cs="Arial"/>
          <w:sz w:val="24"/>
          <w:szCs w:val="24"/>
          <w:lang w:val="en-US"/>
        </w:rPr>
        <w:t xml:space="preserve">e </w:t>
      </w:r>
      <w:r w:rsidR="00AB27DD" w:rsidRPr="00277E7A">
        <w:rPr>
          <w:rFonts w:ascii="Arial" w:hAnsi="Arial" w:cs="Arial"/>
          <w:sz w:val="24"/>
          <w:szCs w:val="24"/>
          <w:lang w:val="en-US"/>
        </w:rPr>
        <w:t>debate</w:t>
      </w:r>
      <w:r w:rsidR="005C4090" w:rsidRPr="00277E7A">
        <w:rPr>
          <w:rFonts w:ascii="Arial" w:hAnsi="Arial" w:cs="Arial"/>
          <w:sz w:val="24"/>
          <w:szCs w:val="24"/>
          <w:lang w:val="en-US"/>
        </w:rPr>
        <w:t xml:space="preserve"> regarding the effect of the 2008 Companies Act</w:t>
      </w:r>
      <w:r w:rsidR="00D00C2D" w:rsidRPr="00277E7A">
        <w:rPr>
          <w:rFonts w:ascii="Arial" w:hAnsi="Arial" w:cs="Arial"/>
          <w:sz w:val="24"/>
          <w:szCs w:val="24"/>
          <w:lang w:val="en-US"/>
        </w:rPr>
        <w:t xml:space="preserve"> on the jurisdiction over companies</w:t>
      </w:r>
      <w:r w:rsidR="006B5B31" w:rsidRPr="00277E7A">
        <w:rPr>
          <w:rFonts w:ascii="Arial" w:hAnsi="Arial" w:cs="Arial"/>
          <w:sz w:val="24"/>
          <w:szCs w:val="24"/>
          <w:lang w:val="en-US"/>
        </w:rPr>
        <w:t>.</w:t>
      </w:r>
      <w:r w:rsidR="000E3EFC" w:rsidRPr="00277E7A">
        <w:rPr>
          <w:rFonts w:ascii="Arial" w:hAnsi="Arial" w:cs="Arial"/>
          <w:sz w:val="24"/>
          <w:szCs w:val="24"/>
          <w:lang w:val="en-US"/>
        </w:rPr>
        <w:t xml:space="preserve"> In </w:t>
      </w:r>
      <w:r w:rsidR="002C1A34" w:rsidRPr="00277E7A">
        <w:rPr>
          <w:rFonts w:ascii="Arial" w:hAnsi="Arial" w:cs="Arial"/>
          <w:i/>
          <w:iCs/>
          <w:sz w:val="24"/>
          <w:szCs w:val="24"/>
          <w:lang w:val="en-US"/>
        </w:rPr>
        <w:t>Cooper NO and others v Market Fisheries (Ou</w:t>
      </w:r>
      <w:r w:rsidR="008A2156" w:rsidRPr="00277E7A">
        <w:rPr>
          <w:rFonts w:ascii="Arial" w:hAnsi="Arial" w:cs="Arial"/>
          <w:i/>
          <w:iCs/>
          <w:sz w:val="24"/>
          <w:szCs w:val="24"/>
          <w:lang w:val="en-US"/>
        </w:rPr>
        <w:t>d</w:t>
      </w:r>
      <w:r w:rsidR="002C1A34" w:rsidRPr="00277E7A">
        <w:rPr>
          <w:rFonts w:ascii="Arial" w:hAnsi="Arial" w:cs="Arial"/>
          <w:i/>
          <w:iCs/>
          <w:sz w:val="24"/>
          <w:szCs w:val="24"/>
          <w:lang w:val="en-US"/>
        </w:rPr>
        <w:t>tshoorn) CC</w:t>
      </w:r>
      <w:r w:rsidR="002C1A34">
        <w:rPr>
          <w:rStyle w:val="FootnoteReference"/>
          <w:rFonts w:ascii="Arial" w:hAnsi="Arial" w:cs="Arial"/>
          <w:i/>
          <w:iCs/>
          <w:sz w:val="24"/>
          <w:szCs w:val="24"/>
          <w:lang w:val="en-US"/>
        </w:rPr>
        <w:footnoteReference w:id="11"/>
      </w:r>
      <w:r w:rsidR="006B5B31" w:rsidRPr="00277E7A">
        <w:rPr>
          <w:rFonts w:ascii="Arial" w:hAnsi="Arial" w:cs="Arial"/>
          <w:sz w:val="24"/>
          <w:szCs w:val="24"/>
          <w:lang w:val="en-US"/>
        </w:rPr>
        <w:t xml:space="preserve"> </w:t>
      </w:r>
      <w:r w:rsidR="00CF24DF" w:rsidRPr="00277E7A">
        <w:rPr>
          <w:rFonts w:ascii="Arial" w:hAnsi="Arial" w:cs="Arial"/>
          <w:sz w:val="24"/>
          <w:szCs w:val="24"/>
          <w:lang w:val="en-US"/>
        </w:rPr>
        <w:t xml:space="preserve">the provisions </w:t>
      </w:r>
      <w:r w:rsidR="003B2FE6" w:rsidRPr="00277E7A">
        <w:rPr>
          <w:rFonts w:ascii="Arial" w:hAnsi="Arial" w:cs="Arial"/>
          <w:sz w:val="24"/>
          <w:szCs w:val="24"/>
          <w:lang w:val="en-US"/>
        </w:rPr>
        <w:t xml:space="preserve">of the 2008 Companies Act </w:t>
      </w:r>
      <w:r w:rsidR="008D385F" w:rsidRPr="00277E7A">
        <w:rPr>
          <w:rFonts w:ascii="Arial" w:hAnsi="Arial" w:cs="Arial"/>
          <w:sz w:val="24"/>
          <w:szCs w:val="24"/>
          <w:lang w:val="en-US"/>
        </w:rPr>
        <w:t>were</w:t>
      </w:r>
      <w:r w:rsidR="00E0324C" w:rsidRPr="00277E7A">
        <w:rPr>
          <w:rFonts w:ascii="Arial" w:hAnsi="Arial" w:cs="Arial"/>
          <w:sz w:val="24"/>
          <w:szCs w:val="24"/>
          <w:lang w:val="en-US"/>
        </w:rPr>
        <w:t xml:space="preserve"> </w:t>
      </w:r>
      <w:r w:rsidR="00A6517C" w:rsidRPr="00277E7A">
        <w:rPr>
          <w:rFonts w:ascii="Arial" w:hAnsi="Arial" w:cs="Arial"/>
          <w:sz w:val="24"/>
          <w:szCs w:val="24"/>
          <w:lang w:val="en-US"/>
        </w:rPr>
        <w:t xml:space="preserve">peripherally </w:t>
      </w:r>
      <w:r w:rsidR="000C42C6" w:rsidRPr="00277E7A">
        <w:rPr>
          <w:rFonts w:ascii="Arial" w:hAnsi="Arial" w:cs="Arial"/>
          <w:sz w:val="24"/>
          <w:szCs w:val="24"/>
          <w:lang w:val="en-US"/>
        </w:rPr>
        <w:t>mentioned</w:t>
      </w:r>
      <w:r w:rsidR="00D835E1" w:rsidRPr="00277E7A">
        <w:rPr>
          <w:rFonts w:ascii="Arial" w:hAnsi="Arial" w:cs="Arial"/>
          <w:sz w:val="24"/>
          <w:szCs w:val="24"/>
          <w:lang w:val="en-US"/>
        </w:rPr>
        <w:t xml:space="preserve"> </w:t>
      </w:r>
      <w:r w:rsidR="00212024" w:rsidRPr="00277E7A">
        <w:rPr>
          <w:rFonts w:ascii="Arial" w:hAnsi="Arial" w:cs="Arial"/>
          <w:sz w:val="24"/>
          <w:szCs w:val="24"/>
          <w:lang w:val="en-US"/>
        </w:rPr>
        <w:t xml:space="preserve">in connection with the dual jurisdiction principle </w:t>
      </w:r>
      <w:r w:rsidR="00D835E1" w:rsidRPr="00277E7A">
        <w:rPr>
          <w:rFonts w:ascii="Arial" w:hAnsi="Arial" w:cs="Arial"/>
          <w:sz w:val="24"/>
          <w:szCs w:val="24"/>
          <w:lang w:val="en-US"/>
        </w:rPr>
        <w:t>in an application for the liquidation of a close corporation</w:t>
      </w:r>
      <w:r w:rsidR="00E0324C" w:rsidRPr="00277E7A">
        <w:rPr>
          <w:rFonts w:ascii="Arial" w:hAnsi="Arial" w:cs="Arial"/>
          <w:sz w:val="24"/>
          <w:szCs w:val="24"/>
          <w:lang w:val="en-US"/>
        </w:rPr>
        <w:t>.</w:t>
      </w:r>
      <w:r w:rsidR="0040606B">
        <w:rPr>
          <w:rStyle w:val="FootnoteReference"/>
          <w:rFonts w:ascii="Arial" w:hAnsi="Arial" w:cs="Arial"/>
          <w:sz w:val="24"/>
          <w:szCs w:val="24"/>
          <w:lang w:val="en-US"/>
        </w:rPr>
        <w:footnoteReference w:id="12"/>
      </w:r>
      <w:r w:rsidR="00E0324C" w:rsidRPr="00277E7A">
        <w:rPr>
          <w:rFonts w:ascii="Arial" w:hAnsi="Arial" w:cs="Arial"/>
          <w:sz w:val="24"/>
          <w:szCs w:val="24"/>
          <w:lang w:val="en-US"/>
        </w:rPr>
        <w:t xml:space="preserve"> </w:t>
      </w:r>
      <w:r w:rsidR="00595F16" w:rsidRPr="00277E7A">
        <w:rPr>
          <w:rFonts w:ascii="Arial" w:hAnsi="Arial" w:cs="Arial"/>
          <w:sz w:val="24"/>
          <w:szCs w:val="24"/>
          <w:lang w:val="en-US"/>
        </w:rPr>
        <w:t>It is important to note that this case did not involve the dua</w:t>
      </w:r>
      <w:r w:rsidR="0056603B" w:rsidRPr="00277E7A">
        <w:rPr>
          <w:rFonts w:ascii="Arial" w:hAnsi="Arial" w:cs="Arial"/>
          <w:sz w:val="24"/>
          <w:szCs w:val="24"/>
          <w:lang w:val="en-US"/>
        </w:rPr>
        <w:t>l jurisdiction issue, as both the registered address</w:t>
      </w:r>
      <w:r w:rsidR="00711BE1" w:rsidRPr="00277E7A">
        <w:rPr>
          <w:rFonts w:ascii="Arial" w:hAnsi="Arial" w:cs="Arial"/>
          <w:sz w:val="24"/>
          <w:szCs w:val="24"/>
          <w:lang w:val="en-US"/>
        </w:rPr>
        <w:t xml:space="preserve"> and the principal place of business w</w:t>
      </w:r>
      <w:r w:rsidR="00EE0A0A" w:rsidRPr="00277E7A">
        <w:rPr>
          <w:rFonts w:ascii="Arial" w:hAnsi="Arial" w:cs="Arial"/>
          <w:sz w:val="24"/>
          <w:szCs w:val="24"/>
          <w:lang w:val="en-US"/>
        </w:rPr>
        <w:t>ere</w:t>
      </w:r>
      <w:r w:rsidR="00711BE1" w:rsidRPr="00277E7A">
        <w:rPr>
          <w:rFonts w:ascii="Arial" w:hAnsi="Arial" w:cs="Arial"/>
          <w:sz w:val="24"/>
          <w:szCs w:val="24"/>
          <w:lang w:val="en-US"/>
        </w:rPr>
        <w:t xml:space="preserve"> situated within the court’s jurisdiction. The issue that was argued was whether the </w:t>
      </w:r>
      <w:r w:rsidR="00E9480C" w:rsidRPr="00277E7A">
        <w:rPr>
          <w:rFonts w:ascii="Arial" w:hAnsi="Arial" w:cs="Arial"/>
          <w:sz w:val="24"/>
          <w:szCs w:val="24"/>
          <w:lang w:val="en-US"/>
        </w:rPr>
        <w:t xml:space="preserve">statutory demand provided for in section 69 of the CCA could only have been delivered to the close corporation’s </w:t>
      </w:r>
      <w:r w:rsidR="00395CC3" w:rsidRPr="00277E7A">
        <w:rPr>
          <w:rFonts w:ascii="Arial" w:hAnsi="Arial" w:cs="Arial"/>
          <w:sz w:val="24"/>
          <w:szCs w:val="24"/>
          <w:lang w:val="en-US"/>
        </w:rPr>
        <w:t>registered office, or also had to be delivered to the princip</w:t>
      </w:r>
      <w:r w:rsidR="00BF07BA" w:rsidRPr="00277E7A">
        <w:rPr>
          <w:rFonts w:ascii="Arial" w:hAnsi="Arial" w:cs="Arial"/>
          <w:sz w:val="24"/>
          <w:szCs w:val="24"/>
          <w:lang w:val="en-US"/>
        </w:rPr>
        <w:t>al</w:t>
      </w:r>
      <w:r w:rsidR="00395CC3" w:rsidRPr="00277E7A">
        <w:rPr>
          <w:rFonts w:ascii="Arial" w:hAnsi="Arial" w:cs="Arial"/>
          <w:sz w:val="24"/>
          <w:szCs w:val="24"/>
          <w:lang w:val="en-US"/>
        </w:rPr>
        <w:t xml:space="preserve"> place of business. </w:t>
      </w:r>
      <w:r w:rsidR="005C4869" w:rsidRPr="00277E7A">
        <w:rPr>
          <w:rFonts w:ascii="Arial" w:hAnsi="Arial" w:cs="Arial"/>
          <w:sz w:val="24"/>
          <w:szCs w:val="24"/>
          <w:lang w:val="en-US"/>
        </w:rPr>
        <w:t xml:space="preserve">The learned </w:t>
      </w:r>
      <w:r w:rsidR="005C4869" w:rsidRPr="00277E7A">
        <w:rPr>
          <w:rFonts w:ascii="Arial" w:hAnsi="Arial" w:cs="Arial"/>
          <w:sz w:val="24"/>
          <w:szCs w:val="24"/>
          <w:lang w:val="en-US"/>
        </w:rPr>
        <w:lastRenderedPageBreak/>
        <w:t xml:space="preserve">judge succinctly and, with respect, correctly </w:t>
      </w:r>
      <w:r w:rsidR="00594A84" w:rsidRPr="00277E7A">
        <w:rPr>
          <w:rFonts w:ascii="Arial" w:hAnsi="Arial" w:cs="Arial"/>
          <w:sz w:val="24"/>
          <w:szCs w:val="24"/>
          <w:lang w:val="en-US"/>
        </w:rPr>
        <w:t>rejected the argument that the</w:t>
      </w:r>
      <w:r w:rsidR="00061ADC" w:rsidRPr="00277E7A">
        <w:rPr>
          <w:rFonts w:ascii="Arial" w:hAnsi="Arial" w:cs="Arial"/>
          <w:sz w:val="24"/>
          <w:szCs w:val="24"/>
          <w:lang w:val="en-US"/>
        </w:rPr>
        <w:t xml:space="preserve"> demand of necessity also had to be delivered to the principal place of business</w:t>
      </w:r>
      <w:r w:rsidR="0065713C" w:rsidRPr="00277E7A">
        <w:rPr>
          <w:rFonts w:ascii="Arial" w:hAnsi="Arial" w:cs="Arial"/>
          <w:sz w:val="24"/>
          <w:szCs w:val="24"/>
          <w:lang w:val="en-US"/>
        </w:rPr>
        <w:t xml:space="preserve">, relying on section 69 and relevant authority. </w:t>
      </w:r>
      <w:r w:rsidR="005A0F2C" w:rsidRPr="00277E7A">
        <w:rPr>
          <w:rFonts w:ascii="Arial" w:hAnsi="Arial" w:cs="Arial"/>
          <w:i/>
          <w:iCs/>
          <w:sz w:val="24"/>
          <w:szCs w:val="24"/>
          <w:lang w:val="en-US"/>
        </w:rPr>
        <w:t>Cadit qu</w:t>
      </w:r>
      <w:r w:rsidR="00BC4185" w:rsidRPr="00277E7A">
        <w:rPr>
          <w:rFonts w:ascii="Arial" w:hAnsi="Arial" w:cs="Arial"/>
          <w:i/>
          <w:iCs/>
          <w:sz w:val="24"/>
          <w:szCs w:val="24"/>
          <w:lang w:val="en-US"/>
        </w:rPr>
        <w:t>a</w:t>
      </w:r>
      <w:r w:rsidR="005A0F2C" w:rsidRPr="00277E7A">
        <w:rPr>
          <w:rFonts w:ascii="Arial" w:hAnsi="Arial" w:cs="Arial"/>
          <w:i/>
          <w:iCs/>
          <w:sz w:val="24"/>
          <w:szCs w:val="24"/>
          <w:lang w:val="en-US"/>
        </w:rPr>
        <w:t>estio.</w:t>
      </w:r>
      <w:r w:rsidR="00061ADC" w:rsidRPr="00277E7A">
        <w:rPr>
          <w:rFonts w:ascii="Arial" w:hAnsi="Arial" w:cs="Arial"/>
          <w:sz w:val="24"/>
          <w:szCs w:val="24"/>
          <w:lang w:val="en-US"/>
        </w:rPr>
        <w:t xml:space="preserve"> </w:t>
      </w:r>
      <w:r w:rsidR="0065713C" w:rsidRPr="00277E7A">
        <w:rPr>
          <w:rFonts w:ascii="Arial" w:hAnsi="Arial" w:cs="Arial"/>
          <w:sz w:val="24"/>
          <w:szCs w:val="24"/>
          <w:lang w:val="en-US"/>
        </w:rPr>
        <w:t xml:space="preserve">However, it seems that the </w:t>
      </w:r>
      <w:r w:rsidR="00ED3DFD" w:rsidRPr="00277E7A">
        <w:rPr>
          <w:rFonts w:ascii="Arial" w:hAnsi="Arial" w:cs="Arial"/>
          <w:sz w:val="24"/>
          <w:szCs w:val="24"/>
          <w:lang w:val="en-US"/>
        </w:rPr>
        <w:t>respondent</w:t>
      </w:r>
      <w:r w:rsidR="0065713C" w:rsidRPr="00277E7A">
        <w:rPr>
          <w:rFonts w:ascii="Arial" w:hAnsi="Arial" w:cs="Arial"/>
          <w:sz w:val="24"/>
          <w:szCs w:val="24"/>
          <w:lang w:val="en-US"/>
        </w:rPr>
        <w:t xml:space="preserve"> </w:t>
      </w:r>
      <w:r w:rsidR="008A4D35" w:rsidRPr="00277E7A">
        <w:rPr>
          <w:rFonts w:ascii="Arial" w:hAnsi="Arial" w:cs="Arial"/>
          <w:sz w:val="24"/>
          <w:szCs w:val="24"/>
          <w:lang w:val="en-US"/>
        </w:rPr>
        <w:t>unjustifiably</w:t>
      </w:r>
      <w:r w:rsidR="009B3D88" w:rsidRPr="00277E7A">
        <w:rPr>
          <w:rFonts w:ascii="Arial" w:hAnsi="Arial" w:cs="Arial"/>
          <w:sz w:val="24"/>
          <w:szCs w:val="24"/>
          <w:lang w:val="en-US"/>
        </w:rPr>
        <w:t xml:space="preserve"> </w:t>
      </w:r>
      <w:r w:rsidR="002F21E9" w:rsidRPr="00277E7A">
        <w:rPr>
          <w:rFonts w:ascii="Arial" w:hAnsi="Arial" w:cs="Arial"/>
          <w:sz w:val="24"/>
          <w:szCs w:val="24"/>
          <w:lang w:val="en-US"/>
        </w:rPr>
        <w:t xml:space="preserve">drew the court into a </w:t>
      </w:r>
      <w:r w:rsidR="00D77337" w:rsidRPr="00277E7A">
        <w:rPr>
          <w:rFonts w:ascii="Arial" w:hAnsi="Arial" w:cs="Arial"/>
          <w:sz w:val="24"/>
          <w:szCs w:val="24"/>
          <w:lang w:val="en-US"/>
        </w:rPr>
        <w:t xml:space="preserve">dual jurisdiction </w:t>
      </w:r>
      <w:r w:rsidR="002F21E9" w:rsidRPr="00277E7A">
        <w:rPr>
          <w:rFonts w:ascii="Arial" w:hAnsi="Arial" w:cs="Arial"/>
          <w:sz w:val="24"/>
          <w:szCs w:val="24"/>
          <w:lang w:val="en-US"/>
        </w:rPr>
        <w:t>inquiry</w:t>
      </w:r>
      <w:r w:rsidR="005919FB" w:rsidRPr="00277E7A">
        <w:rPr>
          <w:rFonts w:ascii="Arial" w:hAnsi="Arial" w:cs="Arial"/>
          <w:sz w:val="24"/>
          <w:szCs w:val="24"/>
          <w:lang w:val="en-US"/>
        </w:rPr>
        <w:t>,</w:t>
      </w:r>
      <w:r w:rsidR="00960F41" w:rsidRPr="00277E7A">
        <w:rPr>
          <w:rFonts w:ascii="Arial" w:hAnsi="Arial" w:cs="Arial"/>
          <w:sz w:val="24"/>
          <w:szCs w:val="24"/>
          <w:lang w:val="en-US"/>
        </w:rPr>
        <w:t xml:space="preserve"> to which the court responded</w:t>
      </w:r>
      <w:r w:rsidR="001C6DFC" w:rsidRPr="00277E7A">
        <w:rPr>
          <w:rFonts w:ascii="Arial" w:hAnsi="Arial" w:cs="Arial"/>
          <w:sz w:val="24"/>
          <w:szCs w:val="24"/>
          <w:lang w:val="en-US"/>
        </w:rPr>
        <w:t xml:space="preserve"> by way of</w:t>
      </w:r>
      <w:r w:rsidR="001B02A1" w:rsidRPr="00277E7A">
        <w:rPr>
          <w:rFonts w:ascii="Arial" w:hAnsi="Arial" w:cs="Arial"/>
          <w:sz w:val="24"/>
          <w:szCs w:val="24"/>
          <w:lang w:val="en-US"/>
        </w:rPr>
        <w:t xml:space="preserve"> an additional opinion, which was clearly </w:t>
      </w:r>
      <w:r w:rsidR="001B02A1" w:rsidRPr="00277E7A">
        <w:rPr>
          <w:rFonts w:ascii="Arial" w:hAnsi="Arial" w:cs="Arial"/>
          <w:i/>
          <w:iCs/>
          <w:sz w:val="24"/>
          <w:szCs w:val="24"/>
          <w:lang w:val="en-US"/>
        </w:rPr>
        <w:t>obiter</w:t>
      </w:r>
      <w:r w:rsidR="00960F41" w:rsidRPr="00277E7A">
        <w:rPr>
          <w:rFonts w:ascii="Arial" w:hAnsi="Arial" w:cs="Arial"/>
          <w:sz w:val="24"/>
          <w:szCs w:val="24"/>
          <w:lang w:val="en-US"/>
        </w:rPr>
        <w:t>.</w:t>
      </w:r>
      <w:r w:rsidR="002F21E9" w:rsidRPr="00277E7A">
        <w:rPr>
          <w:rFonts w:ascii="Arial" w:hAnsi="Arial" w:cs="Arial"/>
          <w:sz w:val="24"/>
          <w:szCs w:val="24"/>
          <w:lang w:val="en-US"/>
        </w:rPr>
        <w:t xml:space="preserve"> </w:t>
      </w:r>
      <w:r w:rsidR="000A26DC" w:rsidRPr="00277E7A">
        <w:rPr>
          <w:rFonts w:ascii="Arial" w:hAnsi="Arial" w:cs="Arial"/>
          <w:sz w:val="24"/>
          <w:szCs w:val="24"/>
          <w:lang w:val="en-US"/>
        </w:rPr>
        <w:t>The court ultimately found that the du</w:t>
      </w:r>
      <w:r w:rsidR="00B926F5" w:rsidRPr="00277E7A">
        <w:rPr>
          <w:rFonts w:ascii="Arial" w:hAnsi="Arial" w:cs="Arial"/>
          <w:sz w:val="24"/>
          <w:szCs w:val="24"/>
          <w:lang w:val="en-US"/>
        </w:rPr>
        <w:t xml:space="preserve">al jurisdiction principle applied </w:t>
      </w:r>
      <w:r w:rsidR="00F916E2" w:rsidRPr="00277E7A">
        <w:rPr>
          <w:rFonts w:ascii="Arial" w:hAnsi="Arial" w:cs="Arial"/>
          <w:sz w:val="24"/>
          <w:szCs w:val="24"/>
          <w:lang w:val="en-US"/>
        </w:rPr>
        <w:t>to</w:t>
      </w:r>
      <w:r w:rsidR="00B926F5" w:rsidRPr="00277E7A">
        <w:rPr>
          <w:rFonts w:ascii="Arial" w:hAnsi="Arial" w:cs="Arial"/>
          <w:sz w:val="24"/>
          <w:szCs w:val="24"/>
          <w:lang w:val="en-US"/>
        </w:rPr>
        <w:t xml:space="preserve"> applications for the liquidation of close corporations</w:t>
      </w:r>
      <w:r w:rsidR="00C34902" w:rsidRPr="00277E7A">
        <w:rPr>
          <w:rFonts w:ascii="Arial" w:hAnsi="Arial" w:cs="Arial"/>
          <w:sz w:val="24"/>
          <w:szCs w:val="24"/>
          <w:lang w:val="en-US"/>
        </w:rPr>
        <w:t>, due to the fact that</w:t>
      </w:r>
      <w:r w:rsidR="0041597B" w:rsidRPr="00277E7A">
        <w:rPr>
          <w:rFonts w:ascii="Arial" w:hAnsi="Arial" w:cs="Arial"/>
          <w:sz w:val="24"/>
          <w:szCs w:val="24"/>
          <w:lang w:val="en-US"/>
        </w:rPr>
        <w:t xml:space="preserve"> applications for liquidation</w:t>
      </w:r>
      <w:r w:rsidR="00AC7BD7" w:rsidRPr="00277E7A">
        <w:rPr>
          <w:rFonts w:ascii="Arial" w:hAnsi="Arial" w:cs="Arial"/>
          <w:sz w:val="24"/>
          <w:szCs w:val="24"/>
          <w:lang w:val="en-US"/>
        </w:rPr>
        <w:t xml:space="preserve"> of close corporations</w:t>
      </w:r>
      <w:r w:rsidR="0041597B" w:rsidRPr="00277E7A">
        <w:rPr>
          <w:rFonts w:ascii="Arial" w:hAnsi="Arial" w:cs="Arial"/>
          <w:sz w:val="24"/>
          <w:szCs w:val="24"/>
          <w:lang w:val="en-US"/>
        </w:rPr>
        <w:t xml:space="preserve"> are still regulated by the relevant liquidation provisions of the 1973 Companies Act.</w:t>
      </w:r>
      <w:r w:rsidR="00517C74">
        <w:rPr>
          <w:rStyle w:val="FootnoteReference"/>
          <w:rFonts w:ascii="Arial" w:hAnsi="Arial" w:cs="Arial"/>
          <w:sz w:val="24"/>
          <w:szCs w:val="24"/>
          <w:lang w:val="en-US"/>
        </w:rPr>
        <w:footnoteReference w:id="13"/>
      </w:r>
      <w:r w:rsidR="00D62CAB" w:rsidRPr="00277E7A">
        <w:rPr>
          <w:rFonts w:ascii="Arial" w:hAnsi="Arial" w:cs="Arial"/>
          <w:sz w:val="24"/>
          <w:szCs w:val="24"/>
          <w:lang w:val="en-US"/>
        </w:rPr>
        <w:t xml:space="preserve"> </w:t>
      </w:r>
      <w:r w:rsidR="007A413A" w:rsidRPr="00277E7A">
        <w:rPr>
          <w:rFonts w:ascii="Arial" w:hAnsi="Arial" w:cs="Arial"/>
          <w:sz w:val="24"/>
          <w:szCs w:val="24"/>
          <w:lang w:val="en-US"/>
        </w:rPr>
        <w:t xml:space="preserve">Whilst I am of the view that </w:t>
      </w:r>
      <w:r w:rsidR="0018554A" w:rsidRPr="00277E7A">
        <w:rPr>
          <w:rFonts w:ascii="Arial" w:hAnsi="Arial" w:cs="Arial"/>
          <w:sz w:val="24"/>
          <w:szCs w:val="24"/>
          <w:lang w:val="en-US"/>
        </w:rPr>
        <w:t xml:space="preserve">the </w:t>
      </w:r>
      <w:r w:rsidR="001433D3" w:rsidRPr="00277E7A">
        <w:rPr>
          <w:rFonts w:ascii="Arial" w:hAnsi="Arial" w:cs="Arial"/>
          <w:i/>
          <w:iCs/>
          <w:sz w:val="24"/>
          <w:szCs w:val="24"/>
          <w:lang w:val="en-US"/>
        </w:rPr>
        <w:t xml:space="preserve">obiter </w:t>
      </w:r>
      <w:r w:rsidR="0018554A" w:rsidRPr="00277E7A">
        <w:rPr>
          <w:rFonts w:ascii="Arial" w:hAnsi="Arial" w:cs="Arial"/>
          <w:sz w:val="24"/>
          <w:szCs w:val="24"/>
          <w:lang w:val="en-US"/>
        </w:rPr>
        <w:t>finding that dual</w:t>
      </w:r>
      <w:r w:rsidR="00081A5A" w:rsidRPr="00277E7A">
        <w:rPr>
          <w:rFonts w:ascii="Arial" w:hAnsi="Arial" w:cs="Arial"/>
          <w:sz w:val="24"/>
          <w:szCs w:val="24"/>
          <w:lang w:val="en-US"/>
        </w:rPr>
        <w:t xml:space="preserve"> jurisdiction </w:t>
      </w:r>
      <w:r w:rsidR="0018554A" w:rsidRPr="00277E7A">
        <w:rPr>
          <w:rFonts w:ascii="Arial" w:hAnsi="Arial" w:cs="Arial"/>
          <w:sz w:val="24"/>
          <w:szCs w:val="24"/>
          <w:lang w:val="en-US"/>
        </w:rPr>
        <w:t>is applicable to close corporations</w:t>
      </w:r>
      <w:r w:rsidR="00632486" w:rsidRPr="00277E7A">
        <w:rPr>
          <w:rFonts w:ascii="Arial" w:hAnsi="Arial" w:cs="Arial"/>
          <w:sz w:val="24"/>
          <w:szCs w:val="24"/>
          <w:lang w:val="en-US"/>
        </w:rPr>
        <w:t xml:space="preserve"> </w:t>
      </w:r>
      <w:r w:rsidR="0064648F" w:rsidRPr="00277E7A">
        <w:rPr>
          <w:rFonts w:ascii="Arial" w:hAnsi="Arial" w:cs="Arial"/>
          <w:sz w:val="24"/>
          <w:szCs w:val="24"/>
          <w:lang w:val="en-US"/>
        </w:rPr>
        <w:t>in liquidation proceedings</w:t>
      </w:r>
      <w:r w:rsidR="00730AD4" w:rsidRPr="00277E7A">
        <w:rPr>
          <w:rFonts w:ascii="Arial" w:hAnsi="Arial" w:cs="Arial"/>
          <w:sz w:val="24"/>
          <w:szCs w:val="24"/>
          <w:lang w:val="en-US"/>
        </w:rPr>
        <w:t xml:space="preserve"> </w:t>
      </w:r>
      <w:r w:rsidR="00632486" w:rsidRPr="00277E7A">
        <w:rPr>
          <w:rFonts w:ascii="Arial" w:hAnsi="Arial" w:cs="Arial"/>
          <w:sz w:val="24"/>
          <w:szCs w:val="24"/>
          <w:lang w:val="en-US"/>
        </w:rPr>
        <w:t>was</w:t>
      </w:r>
      <w:r w:rsidR="007A413A" w:rsidRPr="00277E7A">
        <w:rPr>
          <w:rFonts w:ascii="Arial" w:hAnsi="Arial" w:cs="Arial"/>
          <w:sz w:val="24"/>
          <w:szCs w:val="24"/>
          <w:lang w:val="en-US"/>
        </w:rPr>
        <w:t xml:space="preserve"> correct</w:t>
      </w:r>
      <w:r w:rsidR="00632486" w:rsidRPr="00277E7A">
        <w:rPr>
          <w:rFonts w:ascii="Arial" w:hAnsi="Arial" w:cs="Arial"/>
          <w:sz w:val="24"/>
          <w:szCs w:val="24"/>
          <w:lang w:val="en-US"/>
        </w:rPr>
        <w:t xml:space="preserve">, </w:t>
      </w:r>
      <w:r w:rsidR="009C2613" w:rsidRPr="00277E7A">
        <w:rPr>
          <w:rFonts w:ascii="Arial" w:hAnsi="Arial" w:cs="Arial"/>
          <w:sz w:val="24"/>
          <w:szCs w:val="24"/>
          <w:lang w:val="en-US"/>
        </w:rPr>
        <w:t xml:space="preserve">I am not </w:t>
      </w:r>
      <w:r w:rsidR="0064704F" w:rsidRPr="00277E7A">
        <w:rPr>
          <w:rFonts w:ascii="Arial" w:hAnsi="Arial" w:cs="Arial"/>
          <w:sz w:val="24"/>
          <w:szCs w:val="24"/>
          <w:lang w:val="en-US"/>
        </w:rPr>
        <w:t>convinced that that dual jurisdiction is derived from the applicability of the liquidation provisions in the 1973 Companies Act</w:t>
      </w:r>
      <w:r w:rsidR="0039725E" w:rsidRPr="00277E7A">
        <w:rPr>
          <w:rFonts w:ascii="Arial" w:hAnsi="Arial" w:cs="Arial"/>
          <w:sz w:val="24"/>
          <w:szCs w:val="24"/>
          <w:lang w:val="en-US"/>
        </w:rPr>
        <w:t xml:space="preserve"> to close corporations</w:t>
      </w:r>
      <w:r w:rsidR="0064704F" w:rsidRPr="00277E7A">
        <w:rPr>
          <w:rFonts w:ascii="Arial" w:hAnsi="Arial" w:cs="Arial"/>
          <w:sz w:val="24"/>
          <w:szCs w:val="24"/>
          <w:lang w:val="en-US"/>
        </w:rPr>
        <w:t xml:space="preserve">. </w:t>
      </w:r>
      <w:r w:rsidR="00492FF4" w:rsidRPr="00277E7A">
        <w:rPr>
          <w:rFonts w:ascii="Arial" w:hAnsi="Arial" w:cs="Arial"/>
          <w:sz w:val="24"/>
          <w:szCs w:val="24"/>
          <w:lang w:val="en-US"/>
        </w:rPr>
        <w:t>L</w:t>
      </w:r>
      <w:r w:rsidR="00FE053A" w:rsidRPr="00277E7A">
        <w:rPr>
          <w:rFonts w:ascii="Arial" w:hAnsi="Arial" w:cs="Arial"/>
          <w:sz w:val="24"/>
          <w:szCs w:val="24"/>
          <w:lang w:val="en-US"/>
        </w:rPr>
        <w:t xml:space="preserve">iquidation matters </w:t>
      </w:r>
      <w:r w:rsidR="00492FF4" w:rsidRPr="00277E7A">
        <w:rPr>
          <w:rFonts w:ascii="Arial" w:hAnsi="Arial" w:cs="Arial"/>
          <w:sz w:val="24"/>
          <w:szCs w:val="24"/>
          <w:lang w:val="en-US"/>
        </w:rPr>
        <w:t xml:space="preserve">are </w:t>
      </w:r>
      <w:r w:rsidR="00FE053A" w:rsidRPr="00277E7A">
        <w:rPr>
          <w:rFonts w:ascii="Arial" w:hAnsi="Arial" w:cs="Arial"/>
          <w:sz w:val="24"/>
          <w:szCs w:val="24"/>
          <w:lang w:val="en-US"/>
        </w:rPr>
        <w:t xml:space="preserve">simply regulated by </w:t>
      </w:r>
      <w:r w:rsidR="009D1C03" w:rsidRPr="00277E7A">
        <w:rPr>
          <w:rFonts w:ascii="Arial" w:hAnsi="Arial" w:cs="Arial"/>
          <w:sz w:val="24"/>
          <w:szCs w:val="24"/>
          <w:lang w:val="en-US"/>
        </w:rPr>
        <w:t>section 7 of the CCA which expressly provides for dual jurisdiction</w:t>
      </w:r>
      <w:r w:rsidR="0059170D" w:rsidRPr="00277E7A">
        <w:rPr>
          <w:rFonts w:ascii="Arial" w:hAnsi="Arial" w:cs="Arial"/>
          <w:sz w:val="24"/>
          <w:szCs w:val="24"/>
          <w:lang w:val="en-US"/>
        </w:rPr>
        <w:t>. This section was not referred to by the learned judge</w:t>
      </w:r>
      <w:r w:rsidR="00D726E7" w:rsidRPr="00277E7A">
        <w:rPr>
          <w:rFonts w:ascii="Arial" w:hAnsi="Arial" w:cs="Arial"/>
          <w:sz w:val="24"/>
          <w:szCs w:val="24"/>
          <w:lang w:val="en-US"/>
        </w:rPr>
        <w:t>,</w:t>
      </w:r>
      <w:r w:rsidR="008C44BD" w:rsidRPr="00277E7A">
        <w:rPr>
          <w:rFonts w:ascii="Arial" w:hAnsi="Arial" w:cs="Arial"/>
          <w:sz w:val="24"/>
          <w:szCs w:val="24"/>
          <w:lang w:val="en-US"/>
        </w:rPr>
        <w:t xml:space="preserve"> </w:t>
      </w:r>
      <w:r w:rsidR="00D726E7" w:rsidRPr="00277E7A">
        <w:rPr>
          <w:rFonts w:ascii="Arial" w:hAnsi="Arial" w:cs="Arial"/>
          <w:sz w:val="24"/>
          <w:szCs w:val="24"/>
          <w:lang w:val="en-US"/>
        </w:rPr>
        <w:t>perhaps because the matter did not involve the issue of dual jurisdiction</w:t>
      </w:r>
      <w:r w:rsidR="00ED3DFD" w:rsidRPr="00277E7A">
        <w:rPr>
          <w:rFonts w:ascii="Arial" w:hAnsi="Arial" w:cs="Arial"/>
          <w:sz w:val="24"/>
          <w:szCs w:val="24"/>
          <w:lang w:val="en-US"/>
        </w:rPr>
        <w:t xml:space="preserve"> as such</w:t>
      </w:r>
      <w:r w:rsidR="00B249B3" w:rsidRPr="00277E7A">
        <w:rPr>
          <w:rFonts w:ascii="Arial" w:hAnsi="Arial" w:cs="Arial"/>
          <w:sz w:val="24"/>
          <w:szCs w:val="24"/>
          <w:lang w:val="en-US"/>
        </w:rPr>
        <w:t>, but rather the validity of the</w:t>
      </w:r>
      <w:r w:rsidR="008E5672" w:rsidRPr="00277E7A">
        <w:rPr>
          <w:rFonts w:ascii="Arial" w:hAnsi="Arial" w:cs="Arial"/>
          <w:sz w:val="24"/>
          <w:szCs w:val="24"/>
          <w:lang w:val="en-US"/>
        </w:rPr>
        <w:t xml:space="preserve"> demand preceding the liquidation application.</w:t>
      </w:r>
      <w:r w:rsidR="006B5907" w:rsidRPr="00277E7A">
        <w:rPr>
          <w:rFonts w:ascii="Arial" w:hAnsi="Arial" w:cs="Arial"/>
          <w:sz w:val="24"/>
          <w:szCs w:val="24"/>
          <w:lang w:val="en-US"/>
        </w:rPr>
        <w:t xml:space="preserve"> Importantly, </w:t>
      </w:r>
      <w:r w:rsidR="007E356F" w:rsidRPr="00277E7A">
        <w:rPr>
          <w:rFonts w:ascii="Arial" w:hAnsi="Arial" w:cs="Arial"/>
          <w:sz w:val="24"/>
          <w:szCs w:val="24"/>
          <w:lang w:val="en-US"/>
        </w:rPr>
        <w:t xml:space="preserve">the question whether dual jurisdiction applies to close corporations due to the application of the 1973 Companies Act </w:t>
      </w:r>
      <w:r w:rsidR="00CE3039" w:rsidRPr="00277E7A">
        <w:rPr>
          <w:rFonts w:ascii="Arial" w:hAnsi="Arial" w:cs="Arial"/>
          <w:sz w:val="24"/>
          <w:szCs w:val="24"/>
          <w:lang w:val="en-US"/>
        </w:rPr>
        <w:t>does not assist in resolving the issue in this matter, which is not a liquidation application.</w:t>
      </w:r>
    </w:p>
    <w:p w14:paraId="58FF1DD3" w14:textId="50F3C468" w:rsidR="00FC70EB"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[53]</w:t>
      </w:r>
      <w:r>
        <w:rPr>
          <w:rFonts w:ascii="Arial" w:hAnsi="Arial" w:cs="Arial"/>
          <w:sz w:val="24"/>
          <w:szCs w:val="24"/>
          <w:lang w:val="en-US"/>
        </w:rPr>
        <w:tab/>
      </w:r>
      <w:r w:rsidR="00FC70EB" w:rsidRPr="00277E7A">
        <w:rPr>
          <w:rFonts w:ascii="Arial" w:hAnsi="Arial" w:cs="Arial"/>
          <w:sz w:val="24"/>
          <w:szCs w:val="24"/>
          <w:lang w:val="en-US"/>
        </w:rPr>
        <w:t>The learned judge the</w:t>
      </w:r>
      <w:r w:rsidR="009B31F2" w:rsidRPr="00277E7A">
        <w:rPr>
          <w:rFonts w:ascii="Arial" w:hAnsi="Arial" w:cs="Arial"/>
          <w:sz w:val="24"/>
          <w:szCs w:val="24"/>
          <w:lang w:val="en-US"/>
        </w:rPr>
        <w:t>n</w:t>
      </w:r>
      <w:r w:rsidR="00FC70EB" w:rsidRPr="00277E7A">
        <w:rPr>
          <w:rFonts w:ascii="Arial" w:hAnsi="Arial" w:cs="Arial"/>
          <w:sz w:val="24"/>
          <w:szCs w:val="24"/>
          <w:lang w:val="en-US"/>
        </w:rPr>
        <w:t xml:space="preserve"> made the following remark:</w:t>
      </w:r>
      <w:r w:rsidR="00FC70EB">
        <w:rPr>
          <w:rStyle w:val="FootnoteReference"/>
          <w:rFonts w:ascii="Arial" w:hAnsi="Arial" w:cs="Arial"/>
          <w:sz w:val="24"/>
          <w:szCs w:val="24"/>
          <w:lang w:val="en-US"/>
        </w:rPr>
        <w:footnoteReference w:id="14"/>
      </w:r>
    </w:p>
    <w:p w14:paraId="2C96E230" w14:textId="48DE8AC7" w:rsidR="00FC70EB" w:rsidRPr="00FC70EB" w:rsidRDefault="00FC70EB" w:rsidP="00FC70EB">
      <w:pPr>
        <w:pStyle w:val="ListParagraph"/>
        <w:spacing w:before="480" w:after="480" w:line="240" w:lineRule="auto"/>
        <w:ind w:left="1701" w:right="1701"/>
        <w:contextualSpacing w:val="0"/>
        <w:jc w:val="both"/>
        <w:rPr>
          <w:rFonts w:ascii="Arial" w:hAnsi="Arial" w:cs="Arial"/>
          <w:i/>
          <w:iCs/>
          <w:sz w:val="24"/>
          <w:szCs w:val="24"/>
          <w:lang w:val="en-US"/>
        </w:rPr>
      </w:pPr>
      <w:r>
        <w:rPr>
          <w:rFonts w:ascii="Arial" w:hAnsi="Arial" w:cs="Arial"/>
          <w:i/>
          <w:iCs/>
          <w:color w:val="2C3E50"/>
          <w:sz w:val="24"/>
          <w:szCs w:val="24"/>
          <w:shd w:val="clear" w:color="auto" w:fill="FFFFFF"/>
        </w:rPr>
        <w:lastRenderedPageBreak/>
        <w:t>“</w:t>
      </w:r>
      <w:r w:rsidRPr="00FC70EB">
        <w:rPr>
          <w:rFonts w:ascii="Arial" w:hAnsi="Arial" w:cs="Arial"/>
          <w:i/>
          <w:iCs/>
          <w:color w:val="2C3E50"/>
          <w:sz w:val="24"/>
          <w:szCs w:val="24"/>
          <w:shd w:val="clear" w:color="auto" w:fill="FFFFFF"/>
        </w:rPr>
        <w:t>It is also my respectful view, that sight should not be lost on the objectives of the New 2008 Act with reference to the registered office of a company and more specifically to pre-existing companies that have previously conveniently chosen their registered address as that of their auditors for example, and which is not the same address as that of the administrative office of the company. In my view, it is desirable that where such addresses are different, that companies change their registered address in terms of section 23(3) of the 2008 Companies Act so that this would give certainty to transacting third parties of the company.</w:t>
      </w:r>
      <w:r>
        <w:rPr>
          <w:rFonts w:ascii="Arial" w:hAnsi="Arial" w:cs="Arial"/>
          <w:i/>
          <w:iCs/>
          <w:color w:val="2C3E50"/>
          <w:sz w:val="24"/>
          <w:szCs w:val="24"/>
          <w:shd w:val="clear" w:color="auto" w:fill="FFFFFF"/>
        </w:rPr>
        <w:t>”</w:t>
      </w:r>
      <w:r w:rsidRPr="00FC70EB">
        <w:rPr>
          <w:rFonts w:ascii="Arial" w:hAnsi="Arial" w:cs="Arial"/>
          <w:i/>
          <w:iCs/>
          <w:sz w:val="24"/>
          <w:szCs w:val="24"/>
          <w:lang w:val="en-US"/>
        </w:rPr>
        <w:t xml:space="preserve"> </w:t>
      </w:r>
    </w:p>
    <w:p w14:paraId="0A507788" w14:textId="2C026005" w:rsidR="005B7A83"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[54]</w:t>
      </w:r>
      <w:r>
        <w:rPr>
          <w:rFonts w:ascii="Arial" w:hAnsi="Arial" w:cs="Arial"/>
          <w:sz w:val="24"/>
          <w:szCs w:val="24"/>
          <w:lang w:val="en-US"/>
        </w:rPr>
        <w:tab/>
      </w:r>
      <w:r w:rsidR="005B7A83" w:rsidRPr="00277E7A">
        <w:rPr>
          <w:rFonts w:ascii="Arial" w:hAnsi="Arial" w:cs="Arial"/>
          <w:sz w:val="24"/>
          <w:szCs w:val="24"/>
          <w:lang w:val="en-US"/>
        </w:rPr>
        <w:t>In the context of the real issue at hand</w:t>
      </w:r>
      <w:r w:rsidR="002B03E9" w:rsidRPr="00277E7A">
        <w:rPr>
          <w:rFonts w:ascii="Arial" w:hAnsi="Arial" w:cs="Arial"/>
          <w:sz w:val="24"/>
          <w:szCs w:val="24"/>
          <w:lang w:val="en-US"/>
        </w:rPr>
        <w:t xml:space="preserve">, it would appear to me that this remark was a side-remark </w:t>
      </w:r>
      <w:r w:rsidR="007E67AE" w:rsidRPr="00277E7A">
        <w:rPr>
          <w:rFonts w:ascii="Arial" w:hAnsi="Arial" w:cs="Arial"/>
          <w:sz w:val="24"/>
          <w:szCs w:val="24"/>
          <w:lang w:val="en-US"/>
        </w:rPr>
        <w:t xml:space="preserve">which was unconnected with </w:t>
      </w:r>
      <w:r w:rsidR="00102642" w:rsidRPr="00277E7A">
        <w:rPr>
          <w:rFonts w:ascii="Arial" w:hAnsi="Arial" w:cs="Arial"/>
          <w:sz w:val="24"/>
          <w:szCs w:val="24"/>
          <w:lang w:val="en-US"/>
        </w:rPr>
        <w:t xml:space="preserve">both </w:t>
      </w:r>
      <w:r w:rsidR="007E67AE" w:rsidRPr="00277E7A">
        <w:rPr>
          <w:rFonts w:ascii="Arial" w:hAnsi="Arial" w:cs="Arial"/>
          <w:sz w:val="24"/>
          <w:szCs w:val="24"/>
          <w:lang w:val="en-US"/>
        </w:rPr>
        <w:t xml:space="preserve">the </w:t>
      </w:r>
      <w:r w:rsidR="007E67AE" w:rsidRPr="00277E7A">
        <w:rPr>
          <w:rFonts w:ascii="Arial" w:hAnsi="Arial" w:cs="Arial"/>
          <w:i/>
          <w:iCs/>
          <w:sz w:val="24"/>
          <w:szCs w:val="24"/>
          <w:lang w:val="en-US"/>
        </w:rPr>
        <w:t xml:space="preserve">ratio decidendi </w:t>
      </w:r>
      <w:r w:rsidR="00102642" w:rsidRPr="00277E7A">
        <w:rPr>
          <w:rFonts w:ascii="Arial" w:hAnsi="Arial" w:cs="Arial"/>
          <w:sz w:val="24"/>
          <w:szCs w:val="24"/>
          <w:lang w:val="en-US"/>
        </w:rPr>
        <w:t xml:space="preserve">and the </w:t>
      </w:r>
      <w:r w:rsidR="00102642" w:rsidRPr="00277E7A">
        <w:rPr>
          <w:rFonts w:ascii="Arial" w:hAnsi="Arial" w:cs="Arial"/>
          <w:i/>
          <w:iCs/>
          <w:sz w:val="24"/>
          <w:szCs w:val="24"/>
          <w:lang w:val="en-US"/>
        </w:rPr>
        <w:t>obiter dictum</w:t>
      </w:r>
      <w:r w:rsidR="008D3677" w:rsidRPr="00277E7A">
        <w:rPr>
          <w:rFonts w:ascii="Arial" w:hAnsi="Arial" w:cs="Arial"/>
          <w:i/>
          <w:iCs/>
          <w:sz w:val="24"/>
          <w:szCs w:val="24"/>
          <w:lang w:val="en-US"/>
        </w:rPr>
        <w:t xml:space="preserve"> </w:t>
      </w:r>
      <w:r w:rsidR="007E67AE" w:rsidRPr="00277E7A">
        <w:rPr>
          <w:rFonts w:ascii="Arial" w:hAnsi="Arial" w:cs="Arial"/>
          <w:sz w:val="24"/>
          <w:szCs w:val="24"/>
          <w:lang w:val="en-US"/>
        </w:rPr>
        <w:t>of the matter</w:t>
      </w:r>
      <w:r w:rsidR="008D3677" w:rsidRPr="00277E7A">
        <w:rPr>
          <w:rFonts w:ascii="Arial" w:hAnsi="Arial" w:cs="Arial"/>
          <w:sz w:val="24"/>
          <w:szCs w:val="24"/>
          <w:lang w:val="en-US"/>
        </w:rPr>
        <w:t xml:space="preserve">. </w:t>
      </w:r>
      <w:r w:rsidR="004469AB" w:rsidRPr="00277E7A">
        <w:rPr>
          <w:rFonts w:ascii="Arial" w:hAnsi="Arial" w:cs="Arial"/>
          <w:sz w:val="24"/>
          <w:szCs w:val="24"/>
          <w:lang w:val="en-US"/>
        </w:rPr>
        <w:t xml:space="preserve">The court merely </w:t>
      </w:r>
      <w:r w:rsidR="00C245F0" w:rsidRPr="00277E7A">
        <w:rPr>
          <w:rFonts w:ascii="Arial" w:hAnsi="Arial" w:cs="Arial"/>
          <w:sz w:val="24"/>
          <w:szCs w:val="24"/>
          <w:lang w:val="en-US"/>
        </w:rPr>
        <w:t xml:space="preserve">implored companies to ensure that they </w:t>
      </w:r>
      <w:r w:rsidR="00F16044" w:rsidRPr="00277E7A">
        <w:rPr>
          <w:rFonts w:ascii="Arial" w:hAnsi="Arial" w:cs="Arial"/>
          <w:sz w:val="24"/>
          <w:szCs w:val="24"/>
          <w:lang w:val="en-US"/>
        </w:rPr>
        <w:t>complied with section 23(3) of the 2008 Companies Act</w:t>
      </w:r>
      <w:r w:rsidR="00D025E5" w:rsidRPr="00277E7A">
        <w:rPr>
          <w:rFonts w:ascii="Arial" w:hAnsi="Arial" w:cs="Arial"/>
          <w:sz w:val="24"/>
          <w:szCs w:val="24"/>
          <w:lang w:val="en-US"/>
        </w:rPr>
        <w:t>.</w:t>
      </w:r>
      <w:r w:rsidR="00142AD2" w:rsidRPr="00277E7A">
        <w:rPr>
          <w:rFonts w:ascii="Arial" w:hAnsi="Arial" w:cs="Arial"/>
          <w:sz w:val="24"/>
          <w:szCs w:val="24"/>
          <w:lang w:val="en-US"/>
        </w:rPr>
        <w:t xml:space="preserve"> The remark does not seem to be re</w:t>
      </w:r>
      <w:r w:rsidR="00C85C42" w:rsidRPr="00277E7A">
        <w:rPr>
          <w:rFonts w:ascii="Arial" w:hAnsi="Arial" w:cs="Arial"/>
          <w:sz w:val="24"/>
          <w:szCs w:val="24"/>
          <w:lang w:val="en-US"/>
        </w:rPr>
        <w:t>levant to close corporations.</w:t>
      </w:r>
      <w:r w:rsidR="007E67AE" w:rsidRPr="00277E7A">
        <w:rPr>
          <w:rFonts w:ascii="Arial" w:hAnsi="Arial" w:cs="Arial"/>
          <w:sz w:val="24"/>
          <w:szCs w:val="24"/>
          <w:lang w:val="en-US"/>
        </w:rPr>
        <w:t xml:space="preserve"> </w:t>
      </w:r>
      <w:r w:rsidR="005B7A83" w:rsidRPr="00277E7A">
        <w:rPr>
          <w:rFonts w:ascii="Arial" w:hAnsi="Arial" w:cs="Arial"/>
          <w:sz w:val="24"/>
          <w:szCs w:val="24"/>
          <w:lang w:val="en-US"/>
        </w:rPr>
        <w:t xml:space="preserve"> </w:t>
      </w:r>
    </w:p>
    <w:p w14:paraId="6DFCCC7B" w14:textId="0DDF67F1" w:rsidR="0083701E"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[55]</w:t>
      </w:r>
      <w:r>
        <w:rPr>
          <w:rFonts w:ascii="Arial" w:hAnsi="Arial" w:cs="Arial"/>
          <w:sz w:val="24"/>
          <w:szCs w:val="24"/>
          <w:lang w:val="en-US"/>
        </w:rPr>
        <w:tab/>
      </w:r>
      <w:r w:rsidR="00D479A8" w:rsidRPr="00277E7A">
        <w:rPr>
          <w:rFonts w:ascii="Arial" w:hAnsi="Arial" w:cs="Arial"/>
          <w:sz w:val="24"/>
          <w:szCs w:val="24"/>
          <w:lang w:val="en-US"/>
        </w:rPr>
        <w:t>I am of the view that</w:t>
      </w:r>
      <w:r w:rsidR="00470233" w:rsidRPr="00277E7A">
        <w:rPr>
          <w:rFonts w:ascii="Arial" w:hAnsi="Arial" w:cs="Arial"/>
          <w:sz w:val="24"/>
          <w:szCs w:val="24"/>
          <w:lang w:val="en-US"/>
        </w:rPr>
        <w:t xml:space="preserve"> </w:t>
      </w:r>
      <w:r w:rsidR="00987B26" w:rsidRPr="00277E7A">
        <w:rPr>
          <w:rFonts w:ascii="Arial" w:hAnsi="Arial" w:cs="Arial"/>
          <w:sz w:val="24"/>
          <w:szCs w:val="24"/>
          <w:lang w:val="en-US"/>
        </w:rPr>
        <w:t>the</w:t>
      </w:r>
      <w:r w:rsidR="00DD49B5" w:rsidRPr="00277E7A">
        <w:rPr>
          <w:rFonts w:ascii="Arial" w:hAnsi="Arial" w:cs="Arial"/>
          <w:sz w:val="24"/>
          <w:szCs w:val="24"/>
          <w:lang w:val="en-US"/>
        </w:rPr>
        <w:t xml:space="preserve"> </w:t>
      </w:r>
      <w:r w:rsidR="00987B26" w:rsidRPr="00277E7A">
        <w:rPr>
          <w:rFonts w:ascii="Arial" w:hAnsi="Arial" w:cs="Arial"/>
          <w:sz w:val="24"/>
          <w:szCs w:val="24"/>
          <w:lang w:val="en-US"/>
        </w:rPr>
        <w:t xml:space="preserve">provisions of the 2008 </w:t>
      </w:r>
      <w:r w:rsidR="0047397D" w:rsidRPr="00277E7A">
        <w:rPr>
          <w:rFonts w:ascii="Arial" w:hAnsi="Arial" w:cs="Arial"/>
          <w:sz w:val="24"/>
          <w:szCs w:val="24"/>
          <w:lang w:val="en-US"/>
        </w:rPr>
        <w:t>Companies Act</w:t>
      </w:r>
      <w:r w:rsidR="00907F15" w:rsidRPr="00277E7A">
        <w:rPr>
          <w:rFonts w:ascii="Arial" w:hAnsi="Arial" w:cs="Arial"/>
          <w:sz w:val="24"/>
          <w:szCs w:val="24"/>
          <w:lang w:val="en-US"/>
        </w:rPr>
        <w:t xml:space="preserve"> relating to the registered office of a company</w:t>
      </w:r>
      <w:r w:rsidR="006A2C6A">
        <w:rPr>
          <w:rStyle w:val="FootnoteReference"/>
          <w:rFonts w:ascii="Arial" w:hAnsi="Arial" w:cs="Arial"/>
          <w:sz w:val="24"/>
          <w:szCs w:val="24"/>
          <w:lang w:val="en-US"/>
        </w:rPr>
        <w:footnoteReference w:id="15"/>
      </w:r>
      <w:r w:rsidR="0047397D" w:rsidRPr="00277E7A">
        <w:rPr>
          <w:rFonts w:ascii="Arial" w:hAnsi="Arial" w:cs="Arial"/>
          <w:sz w:val="24"/>
          <w:szCs w:val="24"/>
          <w:lang w:val="en-US"/>
        </w:rPr>
        <w:t xml:space="preserve"> (which are </w:t>
      </w:r>
      <w:r w:rsidR="00BC1CC3" w:rsidRPr="00277E7A">
        <w:rPr>
          <w:rFonts w:ascii="Arial" w:hAnsi="Arial" w:cs="Arial"/>
          <w:sz w:val="24"/>
          <w:szCs w:val="24"/>
          <w:lang w:val="en-US"/>
        </w:rPr>
        <w:t>clearly</w:t>
      </w:r>
      <w:r w:rsidR="0047397D" w:rsidRPr="00277E7A">
        <w:rPr>
          <w:rFonts w:ascii="Arial" w:hAnsi="Arial" w:cs="Arial"/>
          <w:sz w:val="24"/>
          <w:szCs w:val="24"/>
          <w:lang w:val="en-US"/>
        </w:rPr>
        <w:t xml:space="preserve"> inconsistent with the provisions of the CCA</w:t>
      </w:r>
      <w:r w:rsidR="006459F9">
        <w:rPr>
          <w:rStyle w:val="FootnoteReference"/>
          <w:rFonts w:ascii="Arial" w:hAnsi="Arial" w:cs="Arial"/>
          <w:sz w:val="24"/>
          <w:szCs w:val="24"/>
          <w:lang w:val="en-US"/>
        </w:rPr>
        <w:footnoteReference w:id="16"/>
      </w:r>
      <w:r w:rsidR="0047397D" w:rsidRPr="00277E7A">
        <w:rPr>
          <w:rFonts w:ascii="Arial" w:hAnsi="Arial" w:cs="Arial"/>
          <w:sz w:val="24"/>
          <w:szCs w:val="24"/>
          <w:lang w:val="en-US"/>
        </w:rPr>
        <w:t xml:space="preserve">) </w:t>
      </w:r>
      <w:r w:rsidR="00470233" w:rsidRPr="00277E7A">
        <w:rPr>
          <w:rFonts w:ascii="Arial" w:hAnsi="Arial" w:cs="Arial"/>
          <w:sz w:val="24"/>
          <w:szCs w:val="24"/>
          <w:lang w:val="en-US"/>
        </w:rPr>
        <w:t xml:space="preserve">are not relevant </w:t>
      </w:r>
      <w:r w:rsidR="00987B26" w:rsidRPr="00277E7A">
        <w:rPr>
          <w:rFonts w:ascii="Arial" w:hAnsi="Arial" w:cs="Arial"/>
          <w:sz w:val="24"/>
          <w:szCs w:val="24"/>
          <w:lang w:val="en-US"/>
        </w:rPr>
        <w:t>to th</w:t>
      </w:r>
      <w:r w:rsidR="00470233" w:rsidRPr="00277E7A">
        <w:rPr>
          <w:rFonts w:ascii="Arial" w:hAnsi="Arial" w:cs="Arial"/>
          <w:sz w:val="24"/>
          <w:szCs w:val="24"/>
          <w:lang w:val="en-US"/>
        </w:rPr>
        <w:t xml:space="preserve">e present </w:t>
      </w:r>
      <w:r w:rsidR="00987B26" w:rsidRPr="00277E7A">
        <w:rPr>
          <w:rFonts w:ascii="Arial" w:hAnsi="Arial" w:cs="Arial"/>
          <w:sz w:val="24"/>
          <w:szCs w:val="24"/>
          <w:lang w:val="en-US"/>
        </w:rPr>
        <w:t>enquiry.</w:t>
      </w:r>
    </w:p>
    <w:p w14:paraId="6E92EE61" w14:textId="0D6E9457" w:rsidR="0001705A" w:rsidRPr="00277E7A" w:rsidRDefault="00277E7A" w:rsidP="00277E7A">
      <w:pPr>
        <w:spacing w:before="480" w:after="480" w:line="480" w:lineRule="auto"/>
        <w:ind w:left="567" w:hanging="567"/>
        <w:jc w:val="both"/>
        <w:rPr>
          <w:rFonts w:ascii="Arial" w:hAnsi="Arial" w:cs="Arial"/>
          <w:sz w:val="24"/>
          <w:szCs w:val="24"/>
          <w:lang w:val="en-US"/>
        </w:rPr>
      </w:pPr>
      <w:r w:rsidRPr="00AA3B4D">
        <w:rPr>
          <w:rFonts w:ascii="Arial" w:hAnsi="Arial" w:cs="Arial"/>
          <w:sz w:val="24"/>
          <w:szCs w:val="24"/>
          <w:lang w:val="en-US"/>
        </w:rPr>
        <w:t>[56]</w:t>
      </w:r>
      <w:r w:rsidRPr="00AA3B4D">
        <w:rPr>
          <w:rFonts w:ascii="Arial" w:hAnsi="Arial" w:cs="Arial"/>
          <w:sz w:val="24"/>
          <w:szCs w:val="24"/>
          <w:lang w:val="en-US"/>
        </w:rPr>
        <w:tab/>
      </w:r>
      <w:r w:rsidR="0083701E" w:rsidRPr="00277E7A">
        <w:rPr>
          <w:rFonts w:ascii="Arial" w:hAnsi="Arial" w:cs="Arial"/>
          <w:sz w:val="24"/>
          <w:szCs w:val="24"/>
          <w:lang w:val="en-US"/>
        </w:rPr>
        <w:t xml:space="preserve">In the premises I agree with the authors of </w:t>
      </w:r>
      <w:r w:rsidR="0083701E" w:rsidRPr="00277E7A">
        <w:rPr>
          <w:rFonts w:ascii="Arial" w:hAnsi="Arial" w:cs="Arial"/>
          <w:i/>
          <w:iCs/>
          <w:sz w:val="24"/>
          <w:szCs w:val="24"/>
          <w:lang w:val="en-US"/>
        </w:rPr>
        <w:t xml:space="preserve">Erasmus </w:t>
      </w:r>
      <w:r w:rsidR="0083701E" w:rsidRPr="00277E7A">
        <w:rPr>
          <w:rFonts w:ascii="Arial" w:hAnsi="Arial" w:cs="Arial"/>
          <w:sz w:val="24"/>
          <w:szCs w:val="24"/>
          <w:lang w:val="en-US"/>
        </w:rPr>
        <w:t>that the dual jurisdiction principle that applied to companies</w:t>
      </w:r>
      <w:r w:rsidR="00AD493D" w:rsidRPr="00277E7A">
        <w:rPr>
          <w:rFonts w:ascii="Arial" w:hAnsi="Arial" w:cs="Arial"/>
          <w:sz w:val="24"/>
          <w:szCs w:val="24"/>
          <w:lang w:val="en-US"/>
        </w:rPr>
        <w:t xml:space="preserve"> prior of the 2008 Companies Act</w:t>
      </w:r>
      <w:r w:rsidR="007E0BAE" w:rsidRPr="00277E7A">
        <w:rPr>
          <w:rFonts w:ascii="Arial" w:hAnsi="Arial" w:cs="Arial"/>
          <w:sz w:val="24"/>
          <w:szCs w:val="24"/>
          <w:lang w:val="en-US"/>
        </w:rPr>
        <w:t xml:space="preserve"> also apply to close corporations. Additionally</w:t>
      </w:r>
      <w:r w:rsidR="00A07233" w:rsidRPr="00277E7A">
        <w:rPr>
          <w:rFonts w:ascii="Arial" w:hAnsi="Arial" w:cs="Arial"/>
          <w:sz w:val="24"/>
          <w:szCs w:val="24"/>
          <w:lang w:val="en-US"/>
        </w:rPr>
        <w:t>,</w:t>
      </w:r>
      <w:r w:rsidR="007E0BAE" w:rsidRPr="00277E7A">
        <w:rPr>
          <w:rFonts w:ascii="Arial" w:hAnsi="Arial" w:cs="Arial"/>
          <w:sz w:val="24"/>
          <w:szCs w:val="24"/>
          <w:lang w:val="en-US"/>
        </w:rPr>
        <w:t xml:space="preserve"> I find that the legal position regarding close corporations </w:t>
      </w:r>
      <w:r w:rsidR="00A07233" w:rsidRPr="00277E7A">
        <w:rPr>
          <w:rFonts w:ascii="Arial" w:hAnsi="Arial" w:cs="Arial"/>
          <w:sz w:val="24"/>
          <w:szCs w:val="24"/>
          <w:lang w:val="en-US"/>
        </w:rPr>
        <w:t>is unaffected by the promulgation of the 2008 Companies Act.</w:t>
      </w:r>
      <w:r w:rsidR="00511AA5" w:rsidRPr="00277E7A">
        <w:rPr>
          <w:rFonts w:ascii="Arial" w:hAnsi="Arial" w:cs="Arial"/>
          <w:sz w:val="24"/>
          <w:szCs w:val="24"/>
          <w:lang w:val="en-US"/>
        </w:rPr>
        <w:t xml:space="preserve"> </w:t>
      </w:r>
    </w:p>
    <w:p w14:paraId="62F725EC" w14:textId="4054903D" w:rsidR="007A1436"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lastRenderedPageBreak/>
        <w:t>[57]</w:t>
      </w:r>
      <w:r>
        <w:rPr>
          <w:rFonts w:ascii="Arial" w:hAnsi="Arial" w:cs="Arial"/>
          <w:sz w:val="24"/>
          <w:szCs w:val="24"/>
          <w:lang w:val="en-US"/>
        </w:rPr>
        <w:tab/>
      </w:r>
      <w:r w:rsidR="006D6835" w:rsidRPr="00277E7A">
        <w:rPr>
          <w:rFonts w:ascii="Arial" w:hAnsi="Arial" w:cs="Arial"/>
          <w:sz w:val="24"/>
          <w:szCs w:val="24"/>
          <w:lang w:val="en-US"/>
        </w:rPr>
        <w:t xml:space="preserve">In any event, in the present matter </w:t>
      </w:r>
      <w:r w:rsidR="00AA3B4D" w:rsidRPr="00277E7A">
        <w:rPr>
          <w:rFonts w:ascii="Arial" w:hAnsi="Arial" w:cs="Arial"/>
          <w:sz w:val="24"/>
          <w:szCs w:val="24"/>
          <w:lang w:val="en-US"/>
        </w:rPr>
        <w:t xml:space="preserve">the dual jurisdiction </w:t>
      </w:r>
      <w:r w:rsidR="006D6835" w:rsidRPr="00277E7A">
        <w:rPr>
          <w:rFonts w:ascii="Arial" w:hAnsi="Arial" w:cs="Arial"/>
          <w:sz w:val="24"/>
          <w:szCs w:val="24"/>
          <w:lang w:val="en-US"/>
        </w:rPr>
        <w:t>debate does not avail the applicant</w:t>
      </w:r>
      <w:r w:rsidR="00D65747" w:rsidRPr="00277E7A">
        <w:rPr>
          <w:rFonts w:ascii="Arial" w:hAnsi="Arial" w:cs="Arial"/>
          <w:sz w:val="24"/>
          <w:szCs w:val="24"/>
          <w:lang w:val="en-US"/>
        </w:rPr>
        <w:t xml:space="preserve">, as on both interpretations of the effect of the 2008 Companies Act, the </w:t>
      </w:r>
      <w:r w:rsidR="00464A55" w:rsidRPr="00277E7A">
        <w:rPr>
          <w:rFonts w:ascii="Arial" w:hAnsi="Arial" w:cs="Arial"/>
          <w:sz w:val="24"/>
          <w:szCs w:val="24"/>
          <w:lang w:val="en-US"/>
        </w:rPr>
        <w:t xml:space="preserve">location of the </w:t>
      </w:r>
      <w:r w:rsidR="008E268B" w:rsidRPr="00277E7A">
        <w:rPr>
          <w:rFonts w:ascii="Arial" w:hAnsi="Arial" w:cs="Arial"/>
          <w:sz w:val="24"/>
          <w:szCs w:val="24"/>
          <w:lang w:val="en-US"/>
        </w:rPr>
        <w:t xml:space="preserve">registered office </w:t>
      </w:r>
      <w:r w:rsidR="00E208EE" w:rsidRPr="00277E7A">
        <w:rPr>
          <w:rFonts w:ascii="Arial" w:hAnsi="Arial" w:cs="Arial"/>
          <w:sz w:val="24"/>
          <w:szCs w:val="24"/>
          <w:lang w:val="en-US"/>
        </w:rPr>
        <w:t>confers jurisdiction</w:t>
      </w:r>
      <w:r w:rsidR="00FB4B1D" w:rsidRPr="00277E7A">
        <w:rPr>
          <w:rFonts w:ascii="Arial" w:hAnsi="Arial" w:cs="Arial"/>
          <w:sz w:val="24"/>
          <w:szCs w:val="24"/>
          <w:lang w:val="en-US"/>
        </w:rPr>
        <w:t xml:space="preserve"> on the relevant court.</w:t>
      </w:r>
    </w:p>
    <w:p w14:paraId="5A9A7A39" w14:textId="2CFA63BE" w:rsidR="005E58FD" w:rsidRPr="005E58FD" w:rsidRDefault="005E58FD" w:rsidP="005E58FD">
      <w:pPr>
        <w:pStyle w:val="ListParagraph"/>
        <w:spacing w:before="480" w:after="480" w:line="480" w:lineRule="auto"/>
        <w:ind w:left="0"/>
        <w:contextualSpacing w:val="0"/>
        <w:jc w:val="both"/>
        <w:rPr>
          <w:rFonts w:ascii="Arial" w:hAnsi="Arial" w:cs="Arial"/>
          <w:b/>
          <w:bCs/>
          <w:sz w:val="24"/>
          <w:szCs w:val="24"/>
          <w:u w:val="single"/>
          <w:lang w:val="en-US"/>
        </w:rPr>
      </w:pPr>
      <w:r>
        <w:rPr>
          <w:rFonts w:ascii="Arial" w:hAnsi="Arial" w:cs="Arial"/>
          <w:b/>
          <w:bCs/>
          <w:sz w:val="24"/>
          <w:szCs w:val="24"/>
          <w:u w:val="single"/>
          <w:lang w:val="en-US"/>
        </w:rPr>
        <w:t>CONSTITUTIONAL CONSIDERATIONS</w:t>
      </w:r>
    </w:p>
    <w:p w14:paraId="4D2AA1E3" w14:textId="6E65A86C" w:rsidR="007D09FE"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[58]</w:t>
      </w:r>
      <w:r>
        <w:rPr>
          <w:rFonts w:ascii="Arial" w:hAnsi="Arial" w:cs="Arial"/>
          <w:sz w:val="24"/>
          <w:szCs w:val="24"/>
          <w:lang w:val="en-US"/>
        </w:rPr>
        <w:tab/>
      </w:r>
      <w:r w:rsidR="000B5770" w:rsidRPr="00277E7A">
        <w:rPr>
          <w:rFonts w:ascii="Arial" w:hAnsi="Arial" w:cs="Arial"/>
          <w:sz w:val="24"/>
          <w:szCs w:val="24"/>
          <w:lang w:val="en-US"/>
        </w:rPr>
        <w:t xml:space="preserve">I am </w:t>
      </w:r>
      <w:r w:rsidR="005319F0" w:rsidRPr="00277E7A">
        <w:rPr>
          <w:rFonts w:ascii="Arial" w:hAnsi="Arial" w:cs="Arial"/>
          <w:sz w:val="24"/>
          <w:szCs w:val="24"/>
          <w:lang w:val="en-US"/>
        </w:rPr>
        <w:t xml:space="preserve">of </w:t>
      </w:r>
      <w:r w:rsidR="000B5770" w:rsidRPr="00277E7A">
        <w:rPr>
          <w:rFonts w:ascii="Arial" w:hAnsi="Arial" w:cs="Arial"/>
          <w:sz w:val="24"/>
          <w:szCs w:val="24"/>
          <w:lang w:val="en-US"/>
        </w:rPr>
        <w:t xml:space="preserve">the view that there is </w:t>
      </w:r>
      <w:r w:rsidR="00105F8F" w:rsidRPr="00277E7A">
        <w:rPr>
          <w:rFonts w:ascii="Arial" w:hAnsi="Arial" w:cs="Arial"/>
          <w:sz w:val="24"/>
          <w:szCs w:val="24"/>
          <w:lang w:val="en-US"/>
        </w:rPr>
        <w:t xml:space="preserve">also </w:t>
      </w:r>
      <w:r w:rsidR="000B5770" w:rsidRPr="00277E7A">
        <w:rPr>
          <w:rFonts w:ascii="Arial" w:hAnsi="Arial" w:cs="Arial"/>
          <w:sz w:val="24"/>
          <w:szCs w:val="24"/>
          <w:lang w:val="en-US"/>
        </w:rPr>
        <w:t>a constitutional consideration</w:t>
      </w:r>
      <w:r w:rsidR="005319F0" w:rsidRPr="00277E7A">
        <w:rPr>
          <w:rFonts w:ascii="Arial" w:hAnsi="Arial" w:cs="Arial"/>
          <w:sz w:val="24"/>
          <w:szCs w:val="24"/>
          <w:lang w:val="en-US"/>
        </w:rPr>
        <w:t xml:space="preserve"> relevant to this issue.</w:t>
      </w:r>
      <w:r w:rsidR="00EB1E62" w:rsidRPr="00277E7A">
        <w:rPr>
          <w:rFonts w:ascii="Arial" w:hAnsi="Arial" w:cs="Arial"/>
          <w:sz w:val="24"/>
          <w:szCs w:val="24"/>
          <w:lang w:val="en-US"/>
        </w:rPr>
        <w:t xml:space="preserve"> As </w:t>
      </w:r>
      <w:r w:rsidR="004A5C88" w:rsidRPr="00277E7A">
        <w:rPr>
          <w:rFonts w:ascii="Arial" w:hAnsi="Arial" w:cs="Arial"/>
          <w:sz w:val="24"/>
          <w:szCs w:val="24"/>
          <w:lang w:val="en-US"/>
        </w:rPr>
        <w:t>this was not</w:t>
      </w:r>
      <w:r w:rsidR="00EB1E62" w:rsidRPr="00277E7A">
        <w:rPr>
          <w:rFonts w:ascii="Arial" w:hAnsi="Arial" w:cs="Arial"/>
          <w:sz w:val="24"/>
          <w:szCs w:val="24"/>
          <w:lang w:val="en-US"/>
        </w:rPr>
        <w:t xml:space="preserve"> raised or argued before me, I shall </w:t>
      </w:r>
      <w:r w:rsidR="00191944" w:rsidRPr="00277E7A">
        <w:rPr>
          <w:rFonts w:ascii="Arial" w:hAnsi="Arial" w:cs="Arial"/>
          <w:sz w:val="24"/>
          <w:szCs w:val="24"/>
          <w:lang w:val="en-US"/>
        </w:rPr>
        <w:t xml:space="preserve">deal with this </w:t>
      </w:r>
      <w:r w:rsidR="007D09FE" w:rsidRPr="00277E7A">
        <w:rPr>
          <w:rFonts w:ascii="Arial" w:hAnsi="Arial" w:cs="Arial"/>
          <w:sz w:val="24"/>
          <w:szCs w:val="24"/>
          <w:lang w:val="en-US"/>
        </w:rPr>
        <w:t>aspect briefly</w:t>
      </w:r>
      <w:r w:rsidR="00516FC8" w:rsidRPr="00277E7A">
        <w:rPr>
          <w:rFonts w:ascii="Arial" w:hAnsi="Arial" w:cs="Arial"/>
          <w:sz w:val="24"/>
          <w:szCs w:val="24"/>
          <w:lang w:val="en-US"/>
        </w:rPr>
        <w:t>.</w:t>
      </w:r>
    </w:p>
    <w:p w14:paraId="0DC7F22A" w14:textId="33982331" w:rsidR="00FF0F77"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[59]</w:t>
      </w:r>
      <w:r>
        <w:rPr>
          <w:rFonts w:ascii="Arial" w:hAnsi="Arial" w:cs="Arial"/>
          <w:sz w:val="24"/>
          <w:szCs w:val="24"/>
          <w:lang w:val="en-US"/>
        </w:rPr>
        <w:tab/>
      </w:r>
      <w:r w:rsidR="00105F8F" w:rsidRPr="00277E7A">
        <w:rPr>
          <w:rFonts w:ascii="Arial" w:hAnsi="Arial" w:cs="Arial"/>
          <w:sz w:val="24"/>
          <w:szCs w:val="24"/>
          <w:lang w:val="en-US"/>
        </w:rPr>
        <w:t>In terms of section 34 of the Constitution</w:t>
      </w:r>
      <w:r w:rsidR="00105F8F">
        <w:rPr>
          <w:rStyle w:val="FootnoteReference"/>
          <w:rFonts w:ascii="Arial" w:hAnsi="Arial" w:cs="Arial"/>
          <w:sz w:val="24"/>
          <w:szCs w:val="24"/>
          <w:lang w:val="en-US"/>
        </w:rPr>
        <w:footnoteReference w:id="17"/>
      </w:r>
      <w:r w:rsidR="00105F8F" w:rsidRPr="00277E7A">
        <w:rPr>
          <w:rFonts w:ascii="Arial" w:hAnsi="Arial" w:cs="Arial"/>
          <w:sz w:val="24"/>
          <w:szCs w:val="24"/>
          <w:lang w:val="en-US"/>
        </w:rPr>
        <w:t xml:space="preserve"> litigants are guaranteed </w:t>
      </w:r>
      <w:r w:rsidR="00BC342A" w:rsidRPr="00277E7A">
        <w:rPr>
          <w:rFonts w:ascii="Arial" w:hAnsi="Arial" w:cs="Arial"/>
          <w:sz w:val="24"/>
          <w:szCs w:val="24"/>
          <w:lang w:val="en-US"/>
        </w:rPr>
        <w:t xml:space="preserve">access to the courts in the resolution of disputes. </w:t>
      </w:r>
      <w:r w:rsidR="00F035C7" w:rsidRPr="00277E7A">
        <w:rPr>
          <w:rFonts w:ascii="Arial" w:hAnsi="Arial" w:cs="Arial"/>
          <w:sz w:val="24"/>
          <w:szCs w:val="24"/>
          <w:lang w:val="en-US"/>
        </w:rPr>
        <w:t>The</w:t>
      </w:r>
      <w:r w:rsidR="004818B6" w:rsidRPr="00277E7A">
        <w:rPr>
          <w:rFonts w:ascii="Arial" w:hAnsi="Arial" w:cs="Arial"/>
          <w:sz w:val="24"/>
          <w:szCs w:val="24"/>
          <w:lang w:val="en-US"/>
        </w:rPr>
        <w:t xml:space="preserve"> question of the court’s jurisdiction</w:t>
      </w:r>
      <w:r w:rsidR="001607A9" w:rsidRPr="00277E7A">
        <w:rPr>
          <w:rFonts w:ascii="Arial" w:hAnsi="Arial" w:cs="Arial"/>
          <w:sz w:val="24"/>
          <w:szCs w:val="24"/>
          <w:lang w:val="en-US"/>
        </w:rPr>
        <w:t xml:space="preserve"> </w:t>
      </w:r>
      <w:r w:rsidR="00615BFB" w:rsidRPr="00277E7A">
        <w:rPr>
          <w:rFonts w:ascii="Arial" w:hAnsi="Arial" w:cs="Arial"/>
          <w:sz w:val="24"/>
          <w:szCs w:val="24"/>
          <w:lang w:val="en-US"/>
        </w:rPr>
        <w:t>and</w:t>
      </w:r>
      <w:r w:rsidR="001607A9" w:rsidRPr="00277E7A">
        <w:rPr>
          <w:rFonts w:ascii="Arial" w:hAnsi="Arial" w:cs="Arial"/>
          <w:sz w:val="24"/>
          <w:szCs w:val="24"/>
          <w:lang w:val="en-US"/>
        </w:rPr>
        <w:t xml:space="preserve"> the process initiating the </w:t>
      </w:r>
      <w:r w:rsidR="001607A9" w:rsidRPr="00277E7A">
        <w:rPr>
          <w:rFonts w:ascii="Arial" w:hAnsi="Arial" w:cs="Arial"/>
          <w:i/>
          <w:iCs/>
          <w:sz w:val="24"/>
          <w:szCs w:val="24"/>
          <w:lang w:val="en-US"/>
        </w:rPr>
        <w:t xml:space="preserve">lis </w:t>
      </w:r>
      <w:r w:rsidR="00227C4A" w:rsidRPr="00277E7A">
        <w:rPr>
          <w:rFonts w:ascii="Arial" w:hAnsi="Arial" w:cs="Arial"/>
          <w:sz w:val="24"/>
          <w:szCs w:val="24"/>
          <w:lang w:val="en-US"/>
        </w:rPr>
        <w:t xml:space="preserve">(including </w:t>
      </w:r>
      <w:r w:rsidR="001607A9" w:rsidRPr="00277E7A">
        <w:rPr>
          <w:rFonts w:ascii="Arial" w:hAnsi="Arial" w:cs="Arial"/>
          <w:sz w:val="24"/>
          <w:szCs w:val="24"/>
          <w:lang w:val="en-US"/>
        </w:rPr>
        <w:t>the manner of service</w:t>
      </w:r>
      <w:r w:rsidR="00EA55AE" w:rsidRPr="00277E7A">
        <w:rPr>
          <w:rFonts w:ascii="Arial" w:hAnsi="Arial" w:cs="Arial"/>
          <w:sz w:val="24"/>
          <w:szCs w:val="24"/>
          <w:lang w:val="en-US"/>
        </w:rPr>
        <w:t xml:space="preserve"> of process</w:t>
      </w:r>
      <w:r w:rsidR="00227C4A" w:rsidRPr="00277E7A">
        <w:rPr>
          <w:rFonts w:ascii="Arial" w:hAnsi="Arial" w:cs="Arial"/>
          <w:sz w:val="24"/>
          <w:szCs w:val="24"/>
          <w:lang w:val="en-US"/>
        </w:rPr>
        <w:t>)</w:t>
      </w:r>
      <w:r w:rsidR="00451E8E" w:rsidRPr="00277E7A">
        <w:rPr>
          <w:rFonts w:ascii="Arial" w:hAnsi="Arial" w:cs="Arial"/>
          <w:sz w:val="24"/>
          <w:szCs w:val="24"/>
          <w:lang w:val="en-US"/>
        </w:rPr>
        <w:t xml:space="preserve"> </w:t>
      </w:r>
      <w:r w:rsidR="00615BFB" w:rsidRPr="00277E7A">
        <w:rPr>
          <w:rFonts w:ascii="Arial" w:hAnsi="Arial" w:cs="Arial"/>
          <w:sz w:val="24"/>
          <w:szCs w:val="24"/>
          <w:lang w:val="en-US"/>
        </w:rPr>
        <w:t>are</w:t>
      </w:r>
      <w:r w:rsidR="00451E8E" w:rsidRPr="00277E7A">
        <w:rPr>
          <w:rFonts w:ascii="Arial" w:hAnsi="Arial" w:cs="Arial"/>
          <w:sz w:val="24"/>
          <w:szCs w:val="24"/>
          <w:lang w:val="en-US"/>
        </w:rPr>
        <w:t xml:space="preserve"> fundamental to a litigant’s access to the courts. </w:t>
      </w:r>
      <w:r w:rsidR="004D6436" w:rsidRPr="00277E7A">
        <w:rPr>
          <w:rFonts w:ascii="Arial" w:hAnsi="Arial" w:cs="Arial"/>
          <w:sz w:val="24"/>
          <w:szCs w:val="24"/>
          <w:lang w:val="en-US"/>
        </w:rPr>
        <w:t xml:space="preserve">The facts of the present matter illustrate that </w:t>
      </w:r>
      <w:r w:rsidR="00BD451D" w:rsidRPr="00277E7A">
        <w:rPr>
          <w:rFonts w:ascii="Arial" w:hAnsi="Arial" w:cs="Arial"/>
          <w:sz w:val="24"/>
          <w:szCs w:val="24"/>
          <w:lang w:val="en-US"/>
        </w:rPr>
        <w:t xml:space="preserve">if </w:t>
      </w:r>
      <w:r w:rsidR="000802AE" w:rsidRPr="00277E7A">
        <w:rPr>
          <w:rFonts w:ascii="Arial" w:hAnsi="Arial" w:cs="Arial"/>
          <w:sz w:val="24"/>
          <w:szCs w:val="24"/>
          <w:lang w:val="en-US"/>
        </w:rPr>
        <w:t>the</w:t>
      </w:r>
      <w:r w:rsidR="004D6436" w:rsidRPr="00277E7A">
        <w:rPr>
          <w:rFonts w:ascii="Arial" w:hAnsi="Arial" w:cs="Arial"/>
          <w:sz w:val="24"/>
          <w:szCs w:val="24"/>
          <w:lang w:val="en-US"/>
        </w:rPr>
        <w:t xml:space="preserve"> </w:t>
      </w:r>
      <w:r w:rsidR="00384BD7" w:rsidRPr="00277E7A">
        <w:rPr>
          <w:rFonts w:ascii="Arial" w:hAnsi="Arial" w:cs="Arial"/>
          <w:sz w:val="24"/>
          <w:szCs w:val="24"/>
          <w:lang w:val="en-US"/>
        </w:rPr>
        <w:t>respondent</w:t>
      </w:r>
      <w:r w:rsidR="004D6436" w:rsidRPr="00277E7A">
        <w:rPr>
          <w:rFonts w:ascii="Arial" w:hAnsi="Arial" w:cs="Arial"/>
          <w:sz w:val="24"/>
          <w:szCs w:val="24"/>
          <w:lang w:val="en-US"/>
        </w:rPr>
        <w:t xml:space="preserve"> had to exclusively rely on </w:t>
      </w:r>
      <w:r w:rsidR="005977EB" w:rsidRPr="00277E7A">
        <w:rPr>
          <w:rFonts w:ascii="Arial" w:hAnsi="Arial" w:cs="Arial"/>
          <w:sz w:val="24"/>
          <w:szCs w:val="24"/>
          <w:lang w:val="en-US"/>
        </w:rPr>
        <w:t>the location of the</w:t>
      </w:r>
      <w:r w:rsidR="009E5676" w:rsidRPr="00277E7A">
        <w:rPr>
          <w:rFonts w:ascii="Arial" w:hAnsi="Arial" w:cs="Arial"/>
          <w:sz w:val="24"/>
          <w:szCs w:val="24"/>
          <w:lang w:val="en-US"/>
        </w:rPr>
        <w:t xml:space="preserve"> applicant-</w:t>
      </w:r>
      <w:r w:rsidR="005977EB" w:rsidRPr="00277E7A">
        <w:rPr>
          <w:rFonts w:ascii="Arial" w:hAnsi="Arial" w:cs="Arial"/>
          <w:sz w:val="24"/>
          <w:szCs w:val="24"/>
          <w:lang w:val="en-US"/>
        </w:rPr>
        <w:t>close corporation’s principal place of business to determine which court has jurisdiction</w:t>
      </w:r>
      <w:r w:rsidR="000802AE" w:rsidRPr="00277E7A">
        <w:rPr>
          <w:rFonts w:ascii="Arial" w:hAnsi="Arial" w:cs="Arial"/>
          <w:sz w:val="24"/>
          <w:szCs w:val="24"/>
          <w:lang w:val="en-US"/>
        </w:rPr>
        <w:t>,</w:t>
      </w:r>
      <w:r w:rsidR="008D749F" w:rsidRPr="00277E7A">
        <w:rPr>
          <w:rFonts w:ascii="Arial" w:hAnsi="Arial" w:cs="Arial"/>
          <w:sz w:val="24"/>
          <w:szCs w:val="24"/>
          <w:lang w:val="en-US"/>
        </w:rPr>
        <w:t xml:space="preserve"> it may well have been denied access to the court</w:t>
      </w:r>
      <w:r w:rsidR="00384BD7" w:rsidRPr="00277E7A">
        <w:rPr>
          <w:rFonts w:ascii="Arial" w:hAnsi="Arial" w:cs="Arial"/>
          <w:sz w:val="24"/>
          <w:szCs w:val="24"/>
          <w:lang w:val="en-US"/>
        </w:rPr>
        <w:t>s</w:t>
      </w:r>
      <w:r w:rsidR="003B7F43" w:rsidRPr="00277E7A">
        <w:rPr>
          <w:rFonts w:ascii="Arial" w:hAnsi="Arial" w:cs="Arial"/>
          <w:sz w:val="24"/>
          <w:szCs w:val="24"/>
          <w:lang w:val="en-US"/>
        </w:rPr>
        <w:t xml:space="preserve"> entirely.</w:t>
      </w:r>
      <w:r w:rsidR="00384BD7" w:rsidRPr="00277E7A">
        <w:rPr>
          <w:rFonts w:ascii="Arial" w:hAnsi="Arial" w:cs="Arial"/>
          <w:sz w:val="24"/>
          <w:szCs w:val="24"/>
          <w:lang w:val="en-US"/>
        </w:rPr>
        <w:t xml:space="preserve"> As indicated above, the applicant</w:t>
      </w:r>
      <w:r w:rsidR="00A94ED7" w:rsidRPr="00277E7A">
        <w:rPr>
          <w:rFonts w:ascii="Arial" w:hAnsi="Arial" w:cs="Arial"/>
          <w:sz w:val="24"/>
          <w:szCs w:val="24"/>
          <w:lang w:val="en-US"/>
        </w:rPr>
        <w:t xml:space="preserve"> was dysfunctional</w:t>
      </w:r>
      <w:r w:rsidR="00C93AAC" w:rsidRPr="00277E7A">
        <w:rPr>
          <w:rFonts w:ascii="Arial" w:hAnsi="Arial" w:cs="Arial"/>
          <w:sz w:val="24"/>
          <w:szCs w:val="24"/>
          <w:lang w:val="en-US"/>
        </w:rPr>
        <w:t xml:space="preserve"> and may well not have</w:t>
      </w:r>
      <w:r w:rsidR="00394A54" w:rsidRPr="00277E7A">
        <w:rPr>
          <w:rFonts w:ascii="Arial" w:hAnsi="Arial" w:cs="Arial"/>
          <w:sz w:val="24"/>
          <w:szCs w:val="24"/>
          <w:lang w:val="en-US"/>
        </w:rPr>
        <w:t xml:space="preserve"> had a place of business</w:t>
      </w:r>
      <w:r w:rsidR="003755AD" w:rsidRPr="00277E7A">
        <w:rPr>
          <w:rFonts w:ascii="Arial" w:hAnsi="Arial" w:cs="Arial"/>
          <w:sz w:val="24"/>
          <w:szCs w:val="24"/>
          <w:lang w:val="en-US"/>
        </w:rPr>
        <w:t xml:space="preserve"> at the time</w:t>
      </w:r>
      <w:r w:rsidR="00267AC7" w:rsidRPr="00277E7A">
        <w:rPr>
          <w:rFonts w:ascii="Arial" w:hAnsi="Arial" w:cs="Arial"/>
          <w:sz w:val="24"/>
          <w:szCs w:val="24"/>
          <w:lang w:val="en-US"/>
        </w:rPr>
        <w:t xml:space="preserve"> legal action commenced herein.</w:t>
      </w:r>
    </w:p>
    <w:p w14:paraId="76F1AE14" w14:textId="1AF755CE" w:rsidR="00333AE9"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[60]</w:t>
      </w:r>
      <w:r>
        <w:rPr>
          <w:rFonts w:ascii="Arial" w:hAnsi="Arial" w:cs="Arial"/>
          <w:sz w:val="24"/>
          <w:szCs w:val="24"/>
          <w:lang w:val="en-US"/>
        </w:rPr>
        <w:tab/>
      </w:r>
      <w:r w:rsidR="000840E2" w:rsidRPr="00277E7A">
        <w:rPr>
          <w:rFonts w:ascii="Arial" w:hAnsi="Arial" w:cs="Arial"/>
          <w:sz w:val="24"/>
          <w:szCs w:val="24"/>
          <w:lang w:val="en-US"/>
        </w:rPr>
        <w:t xml:space="preserve">It would be a startling consequence </w:t>
      </w:r>
      <w:r w:rsidR="00267DF3" w:rsidRPr="00277E7A">
        <w:rPr>
          <w:rFonts w:ascii="Arial" w:hAnsi="Arial" w:cs="Arial"/>
          <w:sz w:val="24"/>
          <w:szCs w:val="24"/>
          <w:lang w:val="en-US"/>
        </w:rPr>
        <w:t>if</w:t>
      </w:r>
      <w:r w:rsidR="000840E2" w:rsidRPr="00277E7A">
        <w:rPr>
          <w:rFonts w:ascii="Arial" w:hAnsi="Arial" w:cs="Arial"/>
          <w:sz w:val="24"/>
          <w:szCs w:val="24"/>
          <w:lang w:val="en-US"/>
        </w:rPr>
        <w:t xml:space="preserve"> </w:t>
      </w:r>
      <w:r w:rsidR="00411E10" w:rsidRPr="00277E7A">
        <w:rPr>
          <w:rFonts w:ascii="Arial" w:hAnsi="Arial" w:cs="Arial"/>
          <w:sz w:val="24"/>
          <w:szCs w:val="24"/>
          <w:lang w:val="en-US"/>
        </w:rPr>
        <w:t>a</w:t>
      </w:r>
      <w:r w:rsidR="00337B27" w:rsidRPr="00277E7A">
        <w:rPr>
          <w:rFonts w:ascii="Arial" w:hAnsi="Arial" w:cs="Arial"/>
          <w:sz w:val="24"/>
          <w:szCs w:val="24"/>
          <w:lang w:val="en-US"/>
        </w:rPr>
        <w:t xml:space="preserve"> plaintiff or </w:t>
      </w:r>
      <w:r w:rsidR="00411E10" w:rsidRPr="00277E7A">
        <w:rPr>
          <w:rFonts w:ascii="Arial" w:hAnsi="Arial" w:cs="Arial"/>
          <w:sz w:val="24"/>
          <w:szCs w:val="24"/>
          <w:lang w:val="en-US"/>
        </w:rPr>
        <w:t xml:space="preserve">applicant would effectively be non-suited </w:t>
      </w:r>
      <w:r w:rsidR="00A71231" w:rsidRPr="00277E7A">
        <w:rPr>
          <w:rFonts w:ascii="Arial" w:hAnsi="Arial" w:cs="Arial"/>
          <w:sz w:val="24"/>
          <w:szCs w:val="24"/>
          <w:lang w:val="en-US"/>
        </w:rPr>
        <w:t xml:space="preserve">because it </w:t>
      </w:r>
      <w:r w:rsidR="00FF0F77" w:rsidRPr="00277E7A">
        <w:rPr>
          <w:rFonts w:ascii="Arial" w:hAnsi="Arial" w:cs="Arial"/>
          <w:sz w:val="24"/>
          <w:szCs w:val="24"/>
          <w:lang w:val="en-US"/>
        </w:rPr>
        <w:t xml:space="preserve">is </w:t>
      </w:r>
      <w:r w:rsidR="00A71231" w:rsidRPr="00277E7A">
        <w:rPr>
          <w:rFonts w:ascii="Arial" w:hAnsi="Arial" w:cs="Arial"/>
          <w:sz w:val="24"/>
          <w:szCs w:val="24"/>
          <w:lang w:val="en-US"/>
        </w:rPr>
        <w:t xml:space="preserve">unable, </w:t>
      </w:r>
      <w:r w:rsidR="00E23F43" w:rsidRPr="00277E7A">
        <w:rPr>
          <w:rFonts w:ascii="Arial" w:hAnsi="Arial" w:cs="Arial"/>
          <w:sz w:val="24"/>
          <w:szCs w:val="24"/>
          <w:lang w:val="en-US"/>
        </w:rPr>
        <w:t>through no fault on its part, to discern the</w:t>
      </w:r>
      <w:r w:rsidR="00337B27" w:rsidRPr="00277E7A">
        <w:rPr>
          <w:rFonts w:ascii="Arial" w:hAnsi="Arial" w:cs="Arial"/>
          <w:sz w:val="24"/>
          <w:szCs w:val="24"/>
          <w:lang w:val="en-US"/>
        </w:rPr>
        <w:t xml:space="preserve"> princip</w:t>
      </w:r>
      <w:r w:rsidR="00013E20" w:rsidRPr="00277E7A">
        <w:rPr>
          <w:rFonts w:ascii="Arial" w:hAnsi="Arial" w:cs="Arial"/>
          <w:sz w:val="24"/>
          <w:szCs w:val="24"/>
          <w:lang w:val="en-US"/>
        </w:rPr>
        <w:t>al</w:t>
      </w:r>
      <w:r w:rsidR="00337B27" w:rsidRPr="00277E7A">
        <w:rPr>
          <w:rFonts w:ascii="Arial" w:hAnsi="Arial" w:cs="Arial"/>
          <w:sz w:val="24"/>
          <w:szCs w:val="24"/>
          <w:lang w:val="en-US"/>
        </w:rPr>
        <w:t xml:space="preserve"> place of business</w:t>
      </w:r>
      <w:r w:rsidR="00013E20" w:rsidRPr="00277E7A">
        <w:rPr>
          <w:rFonts w:ascii="Arial" w:hAnsi="Arial" w:cs="Arial"/>
          <w:sz w:val="24"/>
          <w:szCs w:val="24"/>
          <w:lang w:val="en-US"/>
        </w:rPr>
        <w:t xml:space="preserve"> of a defendant or respondent. The </w:t>
      </w:r>
      <w:r w:rsidR="00E9549A" w:rsidRPr="00277E7A">
        <w:rPr>
          <w:rFonts w:ascii="Arial" w:hAnsi="Arial" w:cs="Arial"/>
          <w:sz w:val="24"/>
          <w:szCs w:val="24"/>
          <w:lang w:val="en-US"/>
        </w:rPr>
        <w:t xml:space="preserve">situation can be troublesome where a corporation has </w:t>
      </w:r>
      <w:r w:rsidR="00F85895" w:rsidRPr="00277E7A">
        <w:rPr>
          <w:rFonts w:ascii="Arial" w:hAnsi="Arial" w:cs="Arial"/>
          <w:sz w:val="24"/>
          <w:szCs w:val="24"/>
          <w:lang w:val="en-US"/>
        </w:rPr>
        <w:t xml:space="preserve">more than one </w:t>
      </w:r>
      <w:r w:rsidR="00B81FE2" w:rsidRPr="00277E7A">
        <w:rPr>
          <w:rFonts w:ascii="Arial" w:hAnsi="Arial" w:cs="Arial"/>
          <w:sz w:val="24"/>
          <w:szCs w:val="24"/>
          <w:lang w:val="en-US"/>
        </w:rPr>
        <w:t>place of business</w:t>
      </w:r>
      <w:r w:rsidR="003A4F3B" w:rsidRPr="00277E7A">
        <w:rPr>
          <w:rFonts w:ascii="Arial" w:hAnsi="Arial" w:cs="Arial"/>
          <w:sz w:val="24"/>
          <w:szCs w:val="24"/>
          <w:lang w:val="en-US"/>
        </w:rPr>
        <w:t xml:space="preserve">, and the </w:t>
      </w:r>
      <w:r w:rsidR="003A4F3B" w:rsidRPr="00277E7A">
        <w:rPr>
          <w:rFonts w:ascii="Arial" w:hAnsi="Arial" w:cs="Arial"/>
          <w:sz w:val="24"/>
          <w:szCs w:val="24"/>
          <w:lang w:val="en-US"/>
        </w:rPr>
        <w:lastRenderedPageBreak/>
        <w:t>plaintiff or applicant</w:t>
      </w:r>
      <w:r w:rsidR="00E433D6" w:rsidRPr="00277E7A">
        <w:rPr>
          <w:rFonts w:ascii="Arial" w:hAnsi="Arial" w:cs="Arial"/>
          <w:sz w:val="24"/>
          <w:szCs w:val="24"/>
          <w:lang w:val="en-US"/>
        </w:rPr>
        <w:t xml:space="preserve"> </w:t>
      </w:r>
      <w:r w:rsidR="00797107" w:rsidRPr="00277E7A">
        <w:rPr>
          <w:rFonts w:ascii="Arial" w:hAnsi="Arial" w:cs="Arial"/>
          <w:sz w:val="24"/>
          <w:szCs w:val="24"/>
          <w:lang w:val="en-US"/>
        </w:rPr>
        <w:t>must</w:t>
      </w:r>
      <w:r w:rsidR="00E433D6" w:rsidRPr="00277E7A">
        <w:rPr>
          <w:rFonts w:ascii="Arial" w:hAnsi="Arial" w:cs="Arial"/>
          <w:sz w:val="24"/>
          <w:szCs w:val="24"/>
          <w:lang w:val="en-US"/>
        </w:rPr>
        <w:t xml:space="preserve"> divine which of these</w:t>
      </w:r>
      <w:r w:rsidR="00B81FE2" w:rsidRPr="00277E7A">
        <w:rPr>
          <w:rFonts w:ascii="Arial" w:hAnsi="Arial" w:cs="Arial"/>
          <w:sz w:val="24"/>
          <w:szCs w:val="24"/>
          <w:lang w:val="en-US"/>
        </w:rPr>
        <w:t xml:space="preserve"> places</w:t>
      </w:r>
      <w:r w:rsidR="00E433D6" w:rsidRPr="00277E7A">
        <w:rPr>
          <w:rFonts w:ascii="Arial" w:hAnsi="Arial" w:cs="Arial"/>
          <w:sz w:val="24"/>
          <w:szCs w:val="24"/>
          <w:lang w:val="en-US"/>
        </w:rPr>
        <w:t xml:space="preserve"> is the “principal place of business” of the corporatio</w:t>
      </w:r>
      <w:r w:rsidR="00DC691B" w:rsidRPr="00277E7A">
        <w:rPr>
          <w:rFonts w:ascii="Arial" w:hAnsi="Arial" w:cs="Arial"/>
          <w:sz w:val="24"/>
          <w:szCs w:val="24"/>
          <w:lang w:val="en-US"/>
        </w:rPr>
        <w:t>n.</w:t>
      </w:r>
    </w:p>
    <w:p w14:paraId="653D3390" w14:textId="58BD2C7D" w:rsidR="008D167F" w:rsidRPr="00277E7A" w:rsidRDefault="00277E7A" w:rsidP="00277E7A">
      <w:pPr>
        <w:spacing w:before="480" w:after="480" w:line="480" w:lineRule="auto"/>
        <w:ind w:left="567" w:hanging="567"/>
        <w:jc w:val="both"/>
        <w:rPr>
          <w:rFonts w:ascii="Arial" w:hAnsi="Arial" w:cs="Arial"/>
          <w:sz w:val="24"/>
          <w:szCs w:val="24"/>
          <w:lang w:val="en-US"/>
        </w:rPr>
      </w:pPr>
      <w:r w:rsidRPr="00FB6358">
        <w:rPr>
          <w:rFonts w:ascii="Arial" w:hAnsi="Arial" w:cs="Arial"/>
          <w:sz w:val="24"/>
          <w:szCs w:val="24"/>
          <w:lang w:val="en-US"/>
        </w:rPr>
        <w:t>[61]</w:t>
      </w:r>
      <w:r w:rsidRPr="00FB6358">
        <w:rPr>
          <w:rFonts w:ascii="Arial" w:hAnsi="Arial" w:cs="Arial"/>
          <w:sz w:val="24"/>
          <w:szCs w:val="24"/>
          <w:lang w:val="en-US"/>
        </w:rPr>
        <w:tab/>
      </w:r>
      <w:r w:rsidR="00FA4ADA" w:rsidRPr="00277E7A">
        <w:rPr>
          <w:rFonts w:ascii="Arial" w:hAnsi="Arial" w:cs="Arial"/>
          <w:sz w:val="24"/>
          <w:szCs w:val="24"/>
          <w:lang w:val="en-US"/>
        </w:rPr>
        <w:t>A</w:t>
      </w:r>
      <w:r w:rsidR="00A07233" w:rsidRPr="00277E7A">
        <w:rPr>
          <w:rFonts w:ascii="Arial" w:hAnsi="Arial" w:cs="Arial"/>
          <w:sz w:val="24"/>
          <w:szCs w:val="24"/>
          <w:lang w:val="en-US"/>
        </w:rPr>
        <w:t xml:space="preserve">s indicated above, </w:t>
      </w:r>
      <w:r w:rsidR="00DC691B" w:rsidRPr="00277E7A">
        <w:rPr>
          <w:rFonts w:ascii="Arial" w:hAnsi="Arial" w:cs="Arial"/>
          <w:sz w:val="24"/>
          <w:szCs w:val="24"/>
          <w:lang w:val="en-US"/>
        </w:rPr>
        <w:t xml:space="preserve">each member of a close corporation </w:t>
      </w:r>
      <w:r w:rsidR="00AE60F1" w:rsidRPr="00277E7A">
        <w:rPr>
          <w:rFonts w:ascii="Arial" w:hAnsi="Arial" w:cs="Arial"/>
          <w:sz w:val="24"/>
          <w:szCs w:val="24"/>
          <w:lang w:val="en-US"/>
        </w:rPr>
        <w:t xml:space="preserve">in principle </w:t>
      </w:r>
      <w:r w:rsidR="00DC691B" w:rsidRPr="00277E7A">
        <w:rPr>
          <w:rFonts w:ascii="Arial" w:hAnsi="Arial" w:cs="Arial"/>
          <w:sz w:val="24"/>
          <w:szCs w:val="24"/>
          <w:lang w:val="en-US"/>
        </w:rPr>
        <w:t xml:space="preserve">has the </w:t>
      </w:r>
      <w:r w:rsidR="00AE60F1" w:rsidRPr="00277E7A">
        <w:rPr>
          <w:rFonts w:ascii="Arial" w:hAnsi="Arial" w:cs="Arial"/>
          <w:sz w:val="24"/>
          <w:szCs w:val="24"/>
          <w:lang w:val="en-US"/>
        </w:rPr>
        <w:t>entitlement</w:t>
      </w:r>
      <w:r w:rsidR="00915930" w:rsidRPr="00277E7A">
        <w:rPr>
          <w:rFonts w:ascii="Arial" w:hAnsi="Arial" w:cs="Arial"/>
          <w:sz w:val="24"/>
          <w:szCs w:val="24"/>
          <w:lang w:val="en-US"/>
        </w:rPr>
        <w:t xml:space="preserve"> to take part in the management of the corporation</w:t>
      </w:r>
      <w:r w:rsidR="00AE60F1" w:rsidRPr="00277E7A">
        <w:rPr>
          <w:rFonts w:ascii="Arial" w:hAnsi="Arial" w:cs="Arial"/>
          <w:sz w:val="24"/>
          <w:szCs w:val="24"/>
          <w:lang w:val="en-US"/>
        </w:rPr>
        <w:t>, has equal</w:t>
      </w:r>
      <w:r w:rsidR="00B43B2F" w:rsidRPr="00277E7A">
        <w:rPr>
          <w:rFonts w:ascii="Arial" w:hAnsi="Arial" w:cs="Arial"/>
          <w:sz w:val="24"/>
          <w:szCs w:val="24"/>
          <w:lang w:val="en-US"/>
        </w:rPr>
        <w:t xml:space="preserve"> rights </w:t>
      </w:r>
      <w:r w:rsidR="00407CFE" w:rsidRPr="00277E7A">
        <w:rPr>
          <w:rFonts w:ascii="Arial" w:hAnsi="Arial" w:cs="Arial"/>
          <w:sz w:val="24"/>
          <w:szCs w:val="24"/>
          <w:lang w:val="en-US"/>
        </w:rPr>
        <w:t>regarding</w:t>
      </w:r>
      <w:r w:rsidR="00B43B2F" w:rsidRPr="00277E7A">
        <w:rPr>
          <w:rFonts w:ascii="Arial" w:hAnsi="Arial" w:cs="Arial"/>
          <w:sz w:val="24"/>
          <w:szCs w:val="24"/>
          <w:lang w:val="en-US"/>
        </w:rPr>
        <w:t xml:space="preserve"> the management of the corporation </w:t>
      </w:r>
      <w:r w:rsidR="0086501A" w:rsidRPr="00277E7A">
        <w:rPr>
          <w:rFonts w:ascii="Arial" w:hAnsi="Arial" w:cs="Arial"/>
          <w:sz w:val="24"/>
          <w:szCs w:val="24"/>
          <w:lang w:val="en-US"/>
        </w:rPr>
        <w:t xml:space="preserve">and </w:t>
      </w:r>
      <w:r w:rsidR="00CD52B5" w:rsidRPr="00277E7A">
        <w:rPr>
          <w:rFonts w:ascii="Arial" w:hAnsi="Arial" w:cs="Arial"/>
          <w:sz w:val="24"/>
          <w:szCs w:val="24"/>
          <w:lang w:val="en-US"/>
        </w:rPr>
        <w:t xml:space="preserve">has equal </w:t>
      </w:r>
      <w:r w:rsidR="0086501A" w:rsidRPr="00277E7A">
        <w:rPr>
          <w:rFonts w:ascii="Arial" w:hAnsi="Arial" w:cs="Arial"/>
          <w:sz w:val="24"/>
          <w:szCs w:val="24"/>
          <w:lang w:val="en-US"/>
        </w:rPr>
        <w:t xml:space="preserve">rights to represent </w:t>
      </w:r>
      <w:r w:rsidR="00C11032" w:rsidRPr="00277E7A">
        <w:rPr>
          <w:rFonts w:ascii="Arial" w:hAnsi="Arial" w:cs="Arial"/>
          <w:sz w:val="24"/>
          <w:szCs w:val="24"/>
          <w:lang w:val="en-US"/>
        </w:rPr>
        <w:t>the corporation in the carrying on of the business</w:t>
      </w:r>
      <w:r w:rsidR="008B1529" w:rsidRPr="00277E7A">
        <w:rPr>
          <w:rFonts w:ascii="Arial" w:hAnsi="Arial" w:cs="Arial"/>
          <w:sz w:val="24"/>
          <w:szCs w:val="24"/>
          <w:lang w:val="en-US"/>
        </w:rPr>
        <w:t>.</w:t>
      </w:r>
      <w:r w:rsidR="00FB6358" w:rsidRPr="00277E7A">
        <w:rPr>
          <w:rFonts w:ascii="Arial" w:hAnsi="Arial" w:cs="Arial"/>
          <w:sz w:val="24"/>
          <w:szCs w:val="24"/>
          <w:lang w:val="en-US"/>
        </w:rPr>
        <w:t xml:space="preserve"> </w:t>
      </w:r>
      <w:r w:rsidR="008B1529" w:rsidRPr="00277E7A">
        <w:rPr>
          <w:rFonts w:ascii="Arial" w:hAnsi="Arial" w:cs="Arial"/>
          <w:sz w:val="24"/>
          <w:szCs w:val="24"/>
          <w:lang w:val="en-US"/>
        </w:rPr>
        <w:t>This</w:t>
      </w:r>
      <w:r w:rsidR="00FB6358" w:rsidRPr="00277E7A">
        <w:rPr>
          <w:rFonts w:ascii="Arial" w:hAnsi="Arial" w:cs="Arial"/>
          <w:sz w:val="24"/>
          <w:szCs w:val="24"/>
          <w:lang w:val="en-US"/>
        </w:rPr>
        <w:t xml:space="preserve"> eroded the </w:t>
      </w:r>
      <w:r w:rsidR="00A450C1" w:rsidRPr="00277E7A">
        <w:rPr>
          <w:rFonts w:ascii="Arial" w:hAnsi="Arial" w:cs="Arial"/>
          <w:sz w:val="24"/>
          <w:szCs w:val="24"/>
          <w:lang w:val="en-US"/>
        </w:rPr>
        <w:t>notion of central control in the case of a close corporation</w:t>
      </w:r>
      <w:r w:rsidR="008B1529" w:rsidRPr="00277E7A">
        <w:rPr>
          <w:rFonts w:ascii="Arial" w:hAnsi="Arial" w:cs="Arial"/>
          <w:sz w:val="24"/>
          <w:szCs w:val="24"/>
          <w:lang w:val="en-US"/>
        </w:rPr>
        <w:t xml:space="preserve">, making it even more difficult to determine </w:t>
      </w:r>
      <w:r w:rsidR="0026123D" w:rsidRPr="00277E7A">
        <w:rPr>
          <w:rFonts w:ascii="Arial" w:hAnsi="Arial" w:cs="Arial"/>
          <w:sz w:val="24"/>
          <w:szCs w:val="24"/>
          <w:lang w:val="en-US"/>
        </w:rPr>
        <w:t>the location of the corporation’s principal place of business.</w:t>
      </w:r>
    </w:p>
    <w:p w14:paraId="70824E24" w14:textId="370F6FFF" w:rsidR="00954577"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[62]</w:t>
      </w:r>
      <w:r>
        <w:rPr>
          <w:rFonts w:ascii="Arial" w:hAnsi="Arial" w:cs="Arial"/>
          <w:sz w:val="24"/>
          <w:szCs w:val="24"/>
          <w:lang w:val="en-US"/>
        </w:rPr>
        <w:tab/>
      </w:r>
      <w:r w:rsidR="00F64EDE" w:rsidRPr="00277E7A">
        <w:rPr>
          <w:rFonts w:ascii="Arial" w:hAnsi="Arial" w:cs="Arial"/>
          <w:sz w:val="24"/>
          <w:szCs w:val="24"/>
          <w:lang w:val="en-US"/>
        </w:rPr>
        <w:t>In my view, t</w:t>
      </w:r>
      <w:r w:rsidR="00114836" w:rsidRPr="00277E7A">
        <w:rPr>
          <w:rFonts w:ascii="Arial" w:hAnsi="Arial" w:cs="Arial"/>
          <w:sz w:val="24"/>
          <w:szCs w:val="24"/>
          <w:lang w:val="en-US"/>
        </w:rPr>
        <w:t xml:space="preserve">o guarantee </w:t>
      </w:r>
      <w:r w:rsidR="006E2B6C" w:rsidRPr="00277E7A">
        <w:rPr>
          <w:rFonts w:ascii="Arial" w:hAnsi="Arial" w:cs="Arial"/>
          <w:sz w:val="24"/>
          <w:szCs w:val="24"/>
          <w:lang w:val="en-US"/>
        </w:rPr>
        <w:t xml:space="preserve">the </w:t>
      </w:r>
      <w:r w:rsidR="00114836" w:rsidRPr="00277E7A">
        <w:rPr>
          <w:rFonts w:ascii="Arial" w:hAnsi="Arial" w:cs="Arial"/>
          <w:sz w:val="24"/>
          <w:szCs w:val="24"/>
          <w:lang w:val="en-US"/>
        </w:rPr>
        <w:t>access to court a litigant is entitle</w:t>
      </w:r>
      <w:r w:rsidR="007B5D6A" w:rsidRPr="00277E7A">
        <w:rPr>
          <w:rFonts w:ascii="Arial" w:hAnsi="Arial" w:cs="Arial"/>
          <w:sz w:val="24"/>
          <w:szCs w:val="24"/>
          <w:lang w:val="en-US"/>
        </w:rPr>
        <w:t xml:space="preserve">d to by virtue of section 34 of the Constitution, </w:t>
      </w:r>
      <w:r w:rsidR="00230A87" w:rsidRPr="00277E7A">
        <w:rPr>
          <w:rFonts w:ascii="Arial" w:hAnsi="Arial" w:cs="Arial"/>
          <w:sz w:val="24"/>
          <w:szCs w:val="24"/>
          <w:lang w:val="en-US"/>
        </w:rPr>
        <w:t>it is imperative that a plaintiff or applicant should be able to rely</w:t>
      </w:r>
      <w:r w:rsidR="001E1FD6" w:rsidRPr="00277E7A">
        <w:rPr>
          <w:rFonts w:ascii="Arial" w:hAnsi="Arial" w:cs="Arial"/>
          <w:sz w:val="24"/>
          <w:szCs w:val="24"/>
          <w:lang w:val="en-US"/>
        </w:rPr>
        <w:t xml:space="preserve"> on </w:t>
      </w:r>
      <w:r w:rsidR="00670608" w:rsidRPr="00277E7A">
        <w:rPr>
          <w:rFonts w:ascii="Arial" w:hAnsi="Arial" w:cs="Arial"/>
          <w:sz w:val="24"/>
          <w:szCs w:val="24"/>
          <w:lang w:val="en-US"/>
        </w:rPr>
        <w:t>the dual jurisdiction principle in all matters</w:t>
      </w:r>
      <w:r w:rsidR="006E2B6C" w:rsidRPr="00277E7A">
        <w:rPr>
          <w:rFonts w:ascii="Arial" w:hAnsi="Arial" w:cs="Arial"/>
          <w:sz w:val="24"/>
          <w:szCs w:val="24"/>
          <w:lang w:val="en-US"/>
        </w:rPr>
        <w:t xml:space="preserve"> involving close corporation</w:t>
      </w:r>
      <w:r w:rsidR="00E51FF5" w:rsidRPr="00277E7A">
        <w:rPr>
          <w:rFonts w:ascii="Arial" w:hAnsi="Arial" w:cs="Arial"/>
          <w:sz w:val="24"/>
          <w:szCs w:val="24"/>
          <w:lang w:val="en-US"/>
        </w:rPr>
        <w:t>s</w:t>
      </w:r>
      <w:r w:rsidR="006E2B6C" w:rsidRPr="00277E7A">
        <w:rPr>
          <w:rFonts w:ascii="Arial" w:hAnsi="Arial" w:cs="Arial"/>
          <w:sz w:val="24"/>
          <w:szCs w:val="24"/>
          <w:lang w:val="en-US"/>
        </w:rPr>
        <w:t>.</w:t>
      </w:r>
    </w:p>
    <w:p w14:paraId="3085BF1A" w14:textId="223809E2" w:rsidR="000B5770" w:rsidRPr="005E2A11" w:rsidRDefault="00954577" w:rsidP="00954577">
      <w:pPr>
        <w:spacing w:before="480" w:after="480" w:line="480" w:lineRule="auto"/>
        <w:jc w:val="both"/>
        <w:rPr>
          <w:rFonts w:ascii="Arial" w:hAnsi="Arial" w:cs="Arial"/>
          <w:sz w:val="24"/>
          <w:szCs w:val="24"/>
          <w:u w:val="single"/>
          <w:lang w:val="en-US"/>
        </w:rPr>
      </w:pPr>
      <w:r w:rsidRPr="005E2A11">
        <w:rPr>
          <w:rFonts w:ascii="Arial" w:hAnsi="Arial" w:cs="Arial"/>
          <w:b/>
          <w:bCs/>
          <w:sz w:val="24"/>
          <w:szCs w:val="24"/>
          <w:u w:val="single"/>
          <w:lang w:val="en-US"/>
        </w:rPr>
        <w:t>CON</w:t>
      </w:r>
      <w:r w:rsidR="005E2A11" w:rsidRPr="005E2A11">
        <w:rPr>
          <w:rFonts w:ascii="Arial" w:hAnsi="Arial" w:cs="Arial"/>
          <w:b/>
          <w:bCs/>
          <w:sz w:val="24"/>
          <w:szCs w:val="24"/>
          <w:u w:val="single"/>
          <w:lang w:val="en-US"/>
        </w:rPr>
        <w:t>CLUSION</w:t>
      </w:r>
      <w:r w:rsidR="008B7284">
        <w:rPr>
          <w:rFonts w:ascii="Arial" w:hAnsi="Arial" w:cs="Arial"/>
          <w:b/>
          <w:bCs/>
          <w:sz w:val="24"/>
          <w:szCs w:val="24"/>
          <w:u w:val="single"/>
          <w:lang w:val="en-US"/>
        </w:rPr>
        <w:t xml:space="preserve"> ON THE ISSUE OF JURISDICTION</w:t>
      </w:r>
      <w:r w:rsidR="007B5D6A" w:rsidRPr="005E2A11">
        <w:rPr>
          <w:rFonts w:ascii="Arial" w:hAnsi="Arial" w:cs="Arial"/>
          <w:sz w:val="24"/>
          <w:szCs w:val="24"/>
          <w:u w:val="single"/>
          <w:lang w:val="en-US"/>
        </w:rPr>
        <w:t xml:space="preserve"> </w:t>
      </w:r>
      <w:r w:rsidR="00624641" w:rsidRPr="005E2A11">
        <w:rPr>
          <w:rFonts w:ascii="Arial" w:hAnsi="Arial" w:cs="Arial"/>
          <w:sz w:val="24"/>
          <w:szCs w:val="24"/>
          <w:u w:val="single"/>
          <w:lang w:val="en-US"/>
        </w:rPr>
        <w:t xml:space="preserve"> </w:t>
      </w:r>
      <w:r w:rsidR="00F85895" w:rsidRPr="005E2A11">
        <w:rPr>
          <w:rFonts w:ascii="Arial" w:hAnsi="Arial" w:cs="Arial"/>
          <w:sz w:val="24"/>
          <w:szCs w:val="24"/>
          <w:u w:val="single"/>
          <w:lang w:val="en-US"/>
        </w:rPr>
        <w:t xml:space="preserve">  </w:t>
      </w:r>
      <w:r w:rsidR="00013E20" w:rsidRPr="005E2A11">
        <w:rPr>
          <w:rFonts w:ascii="Arial" w:hAnsi="Arial" w:cs="Arial"/>
          <w:sz w:val="24"/>
          <w:szCs w:val="24"/>
          <w:u w:val="single"/>
          <w:lang w:val="en-US"/>
        </w:rPr>
        <w:t xml:space="preserve"> </w:t>
      </w:r>
      <w:r w:rsidR="00E23F43" w:rsidRPr="005E2A11">
        <w:rPr>
          <w:rFonts w:ascii="Arial" w:hAnsi="Arial" w:cs="Arial"/>
          <w:sz w:val="24"/>
          <w:szCs w:val="24"/>
          <w:u w:val="single"/>
          <w:lang w:val="en-US"/>
        </w:rPr>
        <w:t xml:space="preserve"> </w:t>
      </w:r>
      <w:r w:rsidR="00384BD7" w:rsidRPr="005E2A11">
        <w:rPr>
          <w:rFonts w:ascii="Arial" w:hAnsi="Arial" w:cs="Arial"/>
          <w:sz w:val="24"/>
          <w:szCs w:val="24"/>
          <w:u w:val="single"/>
          <w:lang w:val="en-US"/>
        </w:rPr>
        <w:t xml:space="preserve"> </w:t>
      </w:r>
      <w:r w:rsidR="000802AE" w:rsidRPr="005E2A11">
        <w:rPr>
          <w:rFonts w:ascii="Arial" w:hAnsi="Arial" w:cs="Arial"/>
          <w:sz w:val="24"/>
          <w:szCs w:val="24"/>
          <w:u w:val="single"/>
          <w:lang w:val="en-US"/>
        </w:rPr>
        <w:t xml:space="preserve"> </w:t>
      </w:r>
      <w:r w:rsidR="00105F8F" w:rsidRPr="005E2A11">
        <w:rPr>
          <w:rFonts w:ascii="Arial" w:hAnsi="Arial" w:cs="Arial"/>
          <w:sz w:val="24"/>
          <w:szCs w:val="24"/>
          <w:u w:val="single"/>
          <w:lang w:val="en-US"/>
        </w:rPr>
        <w:t xml:space="preserve"> </w:t>
      </w:r>
      <w:r w:rsidR="000B5770" w:rsidRPr="005E2A11">
        <w:rPr>
          <w:rFonts w:ascii="Arial" w:hAnsi="Arial" w:cs="Arial"/>
          <w:sz w:val="24"/>
          <w:szCs w:val="24"/>
          <w:u w:val="single"/>
          <w:lang w:val="en-US"/>
        </w:rPr>
        <w:t xml:space="preserve"> </w:t>
      </w:r>
    </w:p>
    <w:p w14:paraId="4E3AE1E0" w14:textId="4D541F6C" w:rsidR="00E84900"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[63]</w:t>
      </w:r>
      <w:r>
        <w:rPr>
          <w:rFonts w:ascii="Arial" w:hAnsi="Arial" w:cs="Arial"/>
          <w:sz w:val="24"/>
          <w:szCs w:val="24"/>
          <w:lang w:val="en-US"/>
        </w:rPr>
        <w:tab/>
      </w:r>
      <w:r w:rsidR="00807AAF" w:rsidRPr="00277E7A">
        <w:rPr>
          <w:rFonts w:ascii="Arial" w:hAnsi="Arial" w:cs="Arial"/>
          <w:sz w:val="24"/>
          <w:szCs w:val="24"/>
          <w:lang w:val="en-US"/>
        </w:rPr>
        <w:t>Conseq</w:t>
      </w:r>
      <w:r w:rsidR="00DD54ED" w:rsidRPr="00277E7A">
        <w:rPr>
          <w:rFonts w:ascii="Arial" w:hAnsi="Arial" w:cs="Arial"/>
          <w:sz w:val="24"/>
          <w:szCs w:val="24"/>
          <w:lang w:val="en-US"/>
        </w:rPr>
        <w:t>ue</w:t>
      </w:r>
      <w:r w:rsidR="00807AAF" w:rsidRPr="00277E7A">
        <w:rPr>
          <w:rFonts w:ascii="Arial" w:hAnsi="Arial" w:cs="Arial"/>
          <w:sz w:val="24"/>
          <w:szCs w:val="24"/>
          <w:lang w:val="en-US"/>
        </w:rPr>
        <w:t xml:space="preserve">ntly, I find that </w:t>
      </w:r>
      <w:r w:rsidR="00E84900" w:rsidRPr="00277E7A">
        <w:rPr>
          <w:rFonts w:ascii="Arial" w:hAnsi="Arial" w:cs="Arial"/>
          <w:sz w:val="24"/>
          <w:szCs w:val="24"/>
          <w:lang w:val="en-US"/>
        </w:rPr>
        <w:t>this court had jurisdiction to grant the order in the present matte</w:t>
      </w:r>
      <w:r w:rsidR="00277BB8" w:rsidRPr="00277E7A">
        <w:rPr>
          <w:rFonts w:ascii="Arial" w:hAnsi="Arial" w:cs="Arial"/>
          <w:sz w:val="24"/>
          <w:szCs w:val="24"/>
          <w:lang w:val="en-US"/>
        </w:rPr>
        <w:t>r.</w:t>
      </w:r>
    </w:p>
    <w:p w14:paraId="06F5DF02" w14:textId="29716F48" w:rsidR="001A5D5E" w:rsidRPr="003A3234" w:rsidRDefault="003A3234" w:rsidP="003A3234">
      <w:pPr>
        <w:spacing w:before="480" w:after="480" w:line="480" w:lineRule="auto"/>
        <w:jc w:val="both"/>
        <w:rPr>
          <w:rFonts w:ascii="Arial" w:hAnsi="Arial" w:cs="Arial"/>
          <w:b/>
          <w:bCs/>
          <w:sz w:val="24"/>
          <w:szCs w:val="24"/>
          <w:u w:val="single"/>
          <w:lang w:val="en-US"/>
        </w:rPr>
      </w:pPr>
      <w:r>
        <w:rPr>
          <w:rFonts w:ascii="Arial" w:hAnsi="Arial" w:cs="Arial"/>
          <w:b/>
          <w:bCs/>
          <w:sz w:val="24"/>
          <w:szCs w:val="24"/>
          <w:u w:val="single"/>
          <w:lang w:val="en-US"/>
        </w:rPr>
        <w:t>COSTS</w:t>
      </w:r>
    </w:p>
    <w:p w14:paraId="14A51A09" w14:textId="5B9E3266" w:rsidR="001A5D5E"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[64]</w:t>
      </w:r>
      <w:r>
        <w:rPr>
          <w:rFonts w:ascii="Arial" w:hAnsi="Arial" w:cs="Arial"/>
          <w:sz w:val="24"/>
          <w:szCs w:val="24"/>
          <w:lang w:val="en-US"/>
        </w:rPr>
        <w:tab/>
      </w:r>
      <w:r w:rsidR="00435044" w:rsidRPr="00277E7A">
        <w:rPr>
          <w:rFonts w:ascii="Arial" w:hAnsi="Arial" w:cs="Arial"/>
          <w:sz w:val="24"/>
          <w:szCs w:val="24"/>
          <w:lang w:val="en-US"/>
        </w:rPr>
        <w:t>The applicant has agreed to</w:t>
      </w:r>
      <w:r w:rsidR="005C7CDE" w:rsidRPr="00277E7A">
        <w:rPr>
          <w:rFonts w:ascii="Arial" w:hAnsi="Arial" w:cs="Arial"/>
          <w:sz w:val="24"/>
          <w:szCs w:val="24"/>
          <w:lang w:val="en-US"/>
        </w:rPr>
        <w:t xml:space="preserve"> pay costs on the attorney and client scale</w:t>
      </w:r>
      <w:r w:rsidR="005A71F1" w:rsidRPr="00277E7A">
        <w:rPr>
          <w:rFonts w:ascii="Arial" w:hAnsi="Arial" w:cs="Arial"/>
          <w:sz w:val="24"/>
          <w:szCs w:val="24"/>
          <w:lang w:val="en-US"/>
        </w:rPr>
        <w:t>.</w:t>
      </w:r>
    </w:p>
    <w:p w14:paraId="2C892374" w14:textId="7C287264" w:rsidR="00F24137"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[65]</w:t>
      </w:r>
      <w:r>
        <w:rPr>
          <w:rFonts w:ascii="Arial" w:hAnsi="Arial" w:cs="Arial"/>
          <w:sz w:val="24"/>
          <w:szCs w:val="24"/>
          <w:lang w:val="en-US"/>
        </w:rPr>
        <w:tab/>
      </w:r>
      <w:r w:rsidR="00D43797" w:rsidRPr="00277E7A">
        <w:rPr>
          <w:rFonts w:ascii="Arial" w:hAnsi="Arial" w:cs="Arial"/>
          <w:sz w:val="24"/>
          <w:szCs w:val="24"/>
          <w:lang w:val="en-US"/>
        </w:rPr>
        <w:t xml:space="preserve">The applicant clearly has no defence to the </w:t>
      </w:r>
      <w:r w:rsidR="00127583" w:rsidRPr="00277E7A">
        <w:rPr>
          <w:rFonts w:ascii="Arial" w:hAnsi="Arial" w:cs="Arial"/>
          <w:sz w:val="24"/>
          <w:szCs w:val="24"/>
          <w:lang w:val="en-US"/>
        </w:rPr>
        <w:t>respondent’s claim for delivery of the motor vehicle.</w:t>
      </w:r>
      <w:r w:rsidR="008776C2" w:rsidRPr="00277E7A">
        <w:rPr>
          <w:rFonts w:ascii="Arial" w:hAnsi="Arial" w:cs="Arial"/>
          <w:sz w:val="24"/>
          <w:szCs w:val="24"/>
          <w:lang w:val="en-US"/>
        </w:rPr>
        <w:t xml:space="preserve"> Upon learning of the granting of the order for delivery in this </w:t>
      </w:r>
      <w:r w:rsidR="008776C2" w:rsidRPr="00277E7A">
        <w:rPr>
          <w:rFonts w:ascii="Arial" w:hAnsi="Arial" w:cs="Arial"/>
          <w:sz w:val="24"/>
          <w:szCs w:val="24"/>
          <w:lang w:val="en-US"/>
        </w:rPr>
        <w:lastRenderedPageBreak/>
        <w:t>matter, the applicant failed to deliver the vehicle to the</w:t>
      </w:r>
      <w:r w:rsidR="00887298" w:rsidRPr="00277E7A">
        <w:rPr>
          <w:rFonts w:ascii="Arial" w:hAnsi="Arial" w:cs="Arial"/>
          <w:sz w:val="24"/>
          <w:szCs w:val="24"/>
          <w:lang w:val="en-US"/>
        </w:rPr>
        <w:t xml:space="preserve"> respondent </w:t>
      </w:r>
      <w:r w:rsidR="00414762" w:rsidRPr="00277E7A">
        <w:rPr>
          <w:rFonts w:ascii="Arial" w:hAnsi="Arial" w:cs="Arial"/>
          <w:sz w:val="24"/>
          <w:szCs w:val="24"/>
          <w:lang w:val="en-US"/>
        </w:rPr>
        <w:t>as</w:t>
      </w:r>
      <w:r w:rsidR="00887298" w:rsidRPr="00277E7A">
        <w:rPr>
          <w:rFonts w:ascii="Arial" w:hAnsi="Arial" w:cs="Arial"/>
          <w:sz w:val="24"/>
          <w:szCs w:val="24"/>
          <w:lang w:val="en-US"/>
        </w:rPr>
        <w:t xml:space="preserve"> </w:t>
      </w:r>
      <w:r w:rsidR="00911CC8" w:rsidRPr="00277E7A">
        <w:rPr>
          <w:rFonts w:ascii="Arial" w:hAnsi="Arial" w:cs="Arial"/>
          <w:sz w:val="24"/>
          <w:szCs w:val="24"/>
          <w:lang w:val="en-US"/>
        </w:rPr>
        <w:t>he was contractually obliged to do. Instead</w:t>
      </w:r>
      <w:r w:rsidR="00DD2F68" w:rsidRPr="00277E7A">
        <w:rPr>
          <w:rFonts w:ascii="Arial" w:hAnsi="Arial" w:cs="Arial"/>
          <w:sz w:val="24"/>
          <w:szCs w:val="24"/>
          <w:lang w:val="en-US"/>
        </w:rPr>
        <w:t>,</w:t>
      </w:r>
      <w:r w:rsidR="00911CC8" w:rsidRPr="00277E7A">
        <w:rPr>
          <w:rFonts w:ascii="Arial" w:hAnsi="Arial" w:cs="Arial"/>
          <w:sz w:val="24"/>
          <w:szCs w:val="24"/>
          <w:lang w:val="en-US"/>
        </w:rPr>
        <w:t xml:space="preserve"> the applicant brought the present applica</w:t>
      </w:r>
      <w:r w:rsidR="00F24137" w:rsidRPr="00277E7A">
        <w:rPr>
          <w:rFonts w:ascii="Arial" w:hAnsi="Arial" w:cs="Arial"/>
          <w:sz w:val="24"/>
          <w:szCs w:val="24"/>
          <w:lang w:val="en-US"/>
        </w:rPr>
        <w:t>tion for rescission of the order.</w:t>
      </w:r>
    </w:p>
    <w:p w14:paraId="431A3CE3" w14:textId="31C1A0F2" w:rsidR="00D47C5F"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[66]</w:t>
      </w:r>
      <w:r>
        <w:rPr>
          <w:rFonts w:ascii="Arial" w:hAnsi="Arial" w:cs="Arial"/>
          <w:sz w:val="24"/>
          <w:szCs w:val="24"/>
          <w:lang w:val="en-US"/>
        </w:rPr>
        <w:tab/>
      </w:r>
      <w:r w:rsidR="00F24137" w:rsidRPr="00277E7A">
        <w:rPr>
          <w:rFonts w:ascii="Arial" w:hAnsi="Arial" w:cs="Arial"/>
          <w:sz w:val="24"/>
          <w:szCs w:val="24"/>
          <w:lang w:val="en-US"/>
        </w:rPr>
        <w:t xml:space="preserve">This application is clearly a </w:t>
      </w:r>
      <w:r w:rsidR="00D47C5F" w:rsidRPr="00277E7A">
        <w:rPr>
          <w:rFonts w:ascii="Arial" w:hAnsi="Arial" w:cs="Arial"/>
          <w:sz w:val="24"/>
          <w:szCs w:val="24"/>
          <w:lang w:val="en-US"/>
        </w:rPr>
        <w:t xml:space="preserve">reprehensible </w:t>
      </w:r>
      <w:r w:rsidR="00F24137" w:rsidRPr="00277E7A">
        <w:rPr>
          <w:rFonts w:ascii="Arial" w:hAnsi="Arial" w:cs="Arial"/>
          <w:sz w:val="24"/>
          <w:szCs w:val="24"/>
          <w:lang w:val="en-US"/>
        </w:rPr>
        <w:t>delaying tactic</w:t>
      </w:r>
      <w:r w:rsidR="00D47C5F" w:rsidRPr="00277E7A">
        <w:rPr>
          <w:rFonts w:ascii="Arial" w:hAnsi="Arial" w:cs="Arial"/>
          <w:sz w:val="24"/>
          <w:szCs w:val="24"/>
          <w:lang w:val="en-US"/>
        </w:rPr>
        <w:t>, justifying a special costs order</w:t>
      </w:r>
      <w:r w:rsidR="00DD2F68" w:rsidRPr="00277E7A">
        <w:rPr>
          <w:rFonts w:ascii="Arial" w:hAnsi="Arial" w:cs="Arial"/>
          <w:sz w:val="24"/>
          <w:szCs w:val="24"/>
          <w:lang w:val="en-US"/>
        </w:rPr>
        <w:t>.</w:t>
      </w:r>
    </w:p>
    <w:p w14:paraId="2B057C8D" w14:textId="0FE903C6" w:rsidR="005A71F1" w:rsidRPr="00D47C5F" w:rsidRDefault="00D47C5F" w:rsidP="00D47C5F">
      <w:pPr>
        <w:spacing w:before="480" w:after="480" w:line="480" w:lineRule="auto"/>
        <w:jc w:val="both"/>
        <w:rPr>
          <w:rFonts w:ascii="Arial" w:hAnsi="Arial" w:cs="Arial"/>
          <w:sz w:val="24"/>
          <w:szCs w:val="24"/>
          <w:lang w:val="en-US"/>
        </w:rPr>
      </w:pPr>
      <w:r>
        <w:rPr>
          <w:rFonts w:ascii="Arial" w:hAnsi="Arial" w:cs="Arial"/>
          <w:b/>
          <w:bCs/>
          <w:sz w:val="24"/>
          <w:szCs w:val="24"/>
          <w:u w:val="single"/>
          <w:lang w:val="en-US"/>
        </w:rPr>
        <w:t>ORDER</w:t>
      </w:r>
      <w:r w:rsidR="00DD2F68" w:rsidRPr="00D47C5F">
        <w:rPr>
          <w:rFonts w:ascii="Arial" w:hAnsi="Arial" w:cs="Arial"/>
          <w:sz w:val="24"/>
          <w:szCs w:val="24"/>
          <w:lang w:val="en-US"/>
        </w:rPr>
        <w:t xml:space="preserve"> </w:t>
      </w:r>
      <w:r w:rsidR="00911CC8" w:rsidRPr="00D47C5F">
        <w:rPr>
          <w:rFonts w:ascii="Arial" w:hAnsi="Arial" w:cs="Arial"/>
          <w:sz w:val="24"/>
          <w:szCs w:val="24"/>
          <w:lang w:val="en-US"/>
        </w:rPr>
        <w:t xml:space="preserve"> </w:t>
      </w:r>
      <w:r w:rsidR="008776C2" w:rsidRPr="00D47C5F">
        <w:rPr>
          <w:rFonts w:ascii="Arial" w:hAnsi="Arial" w:cs="Arial"/>
          <w:sz w:val="24"/>
          <w:szCs w:val="24"/>
          <w:lang w:val="en-US"/>
        </w:rPr>
        <w:t xml:space="preserve"> </w:t>
      </w:r>
    </w:p>
    <w:p w14:paraId="52696034" w14:textId="09CAE0A7" w:rsidR="000A6890" w:rsidRPr="00277E7A" w:rsidRDefault="00277E7A" w:rsidP="00277E7A">
      <w:pPr>
        <w:spacing w:before="480" w:after="480" w:line="480" w:lineRule="auto"/>
        <w:ind w:left="567" w:hanging="567"/>
        <w:jc w:val="both"/>
        <w:rPr>
          <w:rFonts w:ascii="Arial" w:hAnsi="Arial" w:cs="Arial"/>
          <w:sz w:val="24"/>
          <w:szCs w:val="24"/>
          <w:lang w:val="en-US"/>
        </w:rPr>
      </w:pPr>
      <w:r>
        <w:rPr>
          <w:rFonts w:ascii="Arial" w:hAnsi="Arial" w:cs="Arial"/>
          <w:sz w:val="24"/>
          <w:szCs w:val="24"/>
          <w:lang w:val="en-US"/>
        </w:rPr>
        <w:t>[67]</w:t>
      </w:r>
      <w:r>
        <w:rPr>
          <w:rFonts w:ascii="Arial" w:hAnsi="Arial" w:cs="Arial"/>
          <w:sz w:val="24"/>
          <w:szCs w:val="24"/>
          <w:lang w:val="en-US"/>
        </w:rPr>
        <w:tab/>
      </w:r>
      <w:r w:rsidR="004253B3" w:rsidRPr="00277E7A">
        <w:rPr>
          <w:rFonts w:ascii="Arial" w:hAnsi="Arial" w:cs="Arial"/>
          <w:sz w:val="24"/>
          <w:szCs w:val="24"/>
          <w:lang w:val="en-US"/>
        </w:rPr>
        <w:t>In the premises I make the following order:</w:t>
      </w:r>
    </w:p>
    <w:p w14:paraId="2FE0DDCE" w14:textId="1F25D231" w:rsidR="004253B3" w:rsidRDefault="004253B3" w:rsidP="004253B3">
      <w:pPr>
        <w:pStyle w:val="ListParagraph"/>
        <w:spacing w:before="480" w:after="480" w:line="480" w:lineRule="auto"/>
        <w:ind w:left="567"/>
        <w:contextualSpacing w:val="0"/>
        <w:jc w:val="both"/>
        <w:rPr>
          <w:rFonts w:ascii="Arial" w:hAnsi="Arial" w:cs="Arial"/>
          <w:sz w:val="24"/>
          <w:szCs w:val="24"/>
          <w:lang w:val="en-US"/>
        </w:rPr>
      </w:pPr>
      <w:r>
        <w:rPr>
          <w:rFonts w:ascii="Arial" w:hAnsi="Arial" w:cs="Arial"/>
          <w:sz w:val="24"/>
          <w:szCs w:val="24"/>
          <w:lang w:val="en-US"/>
        </w:rPr>
        <w:t>“The application is dismissed with costs on the attorney and client scale.”</w:t>
      </w:r>
    </w:p>
    <w:p w14:paraId="0D90E74B" w14:textId="192BDDF0" w:rsidR="00681994" w:rsidRPr="00280601" w:rsidRDefault="00681994" w:rsidP="00280601">
      <w:pPr>
        <w:widowControl w:val="0"/>
        <w:tabs>
          <w:tab w:val="left" w:pos="460"/>
        </w:tabs>
        <w:autoSpaceDE w:val="0"/>
        <w:autoSpaceDN w:val="0"/>
        <w:spacing w:after="0" w:line="240" w:lineRule="auto"/>
        <w:jc w:val="both"/>
        <w:rPr>
          <w:rFonts w:ascii="Arial" w:hAnsi="Arial" w:cs="Arial"/>
          <w:b/>
          <w:bCs/>
          <w:sz w:val="24"/>
          <w:szCs w:val="24"/>
          <w:lang w:val="en-US"/>
        </w:rPr>
      </w:pPr>
    </w:p>
    <w:p w14:paraId="0B05D5A8" w14:textId="77777777" w:rsidR="00681994" w:rsidRPr="00280601" w:rsidRDefault="00681994" w:rsidP="007748D4">
      <w:pPr>
        <w:spacing w:after="0" w:line="240" w:lineRule="auto"/>
        <w:contextualSpacing/>
        <w:jc w:val="both"/>
        <w:rPr>
          <w:rFonts w:ascii="Arial" w:hAnsi="Arial" w:cs="Arial"/>
          <w:sz w:val="24"/>
          <w:szCs w:val="24"/>
          <w:lang w:val="en-US"/>
        </w:rPr>
      </w:pPr>
      <w:r w:rsidRPr="00280601">
        <w:rPr>
          <w:rFonts w:ascii="Arial" w:hAnsi="Arial" w:cs="Arial"/>
          <w:b/>
          <w:bCs/>
          <w:sz w:val="24"/>
          <w:szCs w:val="24"/>
          <w:lang w:val="en-US"/>
        </w:rPr>
        <w:t>_____________________</w:t>
      </w:r>
    </w:p>
    <w:p w14:paraId="79E2445A" w14:textId="0F043936" w:rsidR="00681994" w:rsidRPr="00280601" w:rsidRDefault="00681994" w:rsidP="007748D4">
      <w:pPr>
        <w:spacing w:before="480" w:after="480" w:line="240" w:lineRule="auto"/>
        <w:contextualSpacing/>
        <w:jc w:val="both"/>
        <w:rPr>
          <w:rFonts w:ascii="Arial" w:hAnsi="Arial" w:cs="Arial"/>
          <w:b/>
          <w:bCs/>
          <w:sz w:val="24"/>
          <w:szCs w:val="24"/>
          <w:lang w:val="en-US"/>
        </w:rPr>
      </w:pPr>
      <w:r w:rsidRPr="00280601">
        <w:rPr>
          <w:rFonts w:ascii="Arial" w:hAnsi="Arial" w:cs="Arial"/>
          <w:b/>
          <w:bCs/>
          <w:sz w:val="24"/>
          <w:szCs w:val="24"/>
          <w:lang w:val="en-US"/>
        </w:rPr>
        <w:t>D</w:t>
      </w:r>
      <w:r w:rsidR="0092002C" w:rsidRPr="00280601">
        <w:rPr>
          <w:rFonts w:ascii="Arial" w:hAnsi="Arial" w:cs="Arial"/>
          <w:b/>
          <w:bCs/>
          <w:sz w:val="24"/>
          <w:szCs w:val="24"/>
          <w:lang w:val="en-US"/>
        </w:rPr>
        <w:t>AWID</w:t>
      </w:r>
      <w:r w:rsidRPr="00280601">
        <w:rPr>
          <w:rFonts w:ascii="Arial" w:hAnsi="Arial" w:cs="Arial"/>
          <w:b/>
          <w:bCs/>
          <w:sz w:val="24"/>
          <w:szCs w:val="24"/>
          <w:lang w:val="en-US"/>
        </w:rPr>
        <w:t xml:space="preserve"> MARAIS</w:t>
      </w:r>
    </w:p>
    <w:p w14:paraId="786524FB" w14:textId="77777777" w:rsidR="00681994" w:rsidRPr="00280601" w:rsidRDefault="00681994" w:rsidP="007748D4">
      <w:pPr>
        <w:spacing w:before="480" w:after="360" w:line="240" w:lineRule="auto"/>
        <w:contextualSpacing/>
        <w:jc w:val="both"/>
        <w:rPr>
          <w:rFonts w:ascii="Arial" w:hAnsi="Arial" w:cs="Arial"/>
          <w:b/>
          <w:bCs/>
          <w:sz w:val="24"/>
          <w:szCs w:val="24"/>
          <w:lang w:val="en-US"/>
        </w:rPr>
      </w:pPr>
      <w:r w:rsidRPr="00280601">
        <w:rPr>
          <w:rFonts w:ascii="Arial" w:hAnsi="Arial" w:cs="Arial"/>
          <w:b/>
          <w:bCs/>
          <w:sz w:val="24"/>
          <w:szCs w:val="24"/>
          <w:lang w:val="en-US"/>
        </w:rPr>
        <w:t>ACTING JUDGE OF THE HIGH COURT</w:t>
      </w:r>
    </w:p>
    <w:p w14:paraId="5B48ADCA" w14:textId="77777777" w:rsidR="00681994" w:rsidRPr="00280601" w:rsidRDefault="00681994" w:rsidP="007748D4">
      <w:pPr>
        <w:spacing w:before="480" w:after="360" w:line="240" w:lineRule="auto"/>
        <w:contextualSpacing/>
        <w:jc w:val="both"/>
        <w:rPr>
          <w:rFonts w:ascii="Arial" w:hAnsi="Arial" w:cs="Arial"/>
          <w:b/>
          <w:bCs/>
          <w:sz w:val="24"/>
          <w:szCs w:val="24"/>
          <w:lang w:val="en-US"/>
        </w:rPr>
      </w:pPr>
      <w:r w:rsidRPr="00280601">
        <w:rPr>
          <w:rFonts w:ascii="Arial" w:hAnsi="Arial" w:cs="Arial"/>
          <w:b/>
          <w:bCs/>
          <w:sz w:val="24"/>
          <w:szCs w:val="24"/>
          <w:lang w:val="en-US"/>
        </w:rPr>
        <w:t>GAUTENG LOCAL DIVISION, JOHANNESBURG</w:t>
      </w:r>
    </w:p>
    <w:p w14:paraId="0E3FFAEC" w14:textId="2F551F1B" w:rsidR="00681994" w:rsidRPr="00280601" w:rsidRDefault="004949EA" w:rsidP="007748D4">
      <w:pPr>
        <w:spacing w:before="480" w:after="360" w:line="240" w:lineRule="auto"/>
        <w:contextualSpacing/>
        <w:jc w:val="both"/>
        <w:rPr>
          <w:rFonts w:ascii="Arial" w:hAnsi="Arial" w:cs="Arial"/>
          <w:b/>
          <w:bCs/>
          <w:sz w:val="24"/>
          <w:szCs w:val="24"/>
          <w:lang w:val="en-US"/>
        </w:rPr>
      </w:pPr>
      <w:r w:rsidRPr="00280601">
        <w:rPr>
          <w:rFonts w:ascii="Arial" w:hAnsi="Arial" w:cs="Arial"/>
          <w:b/>
          <w:bCs/>
          <w:sz w:val="24"/>
          <w:szCs w:val="24"/>
          <w:lang w:val="en-US"/>
        </w:rPr>
        <w:t>23</w:t>
      </w:r>
      <w:r w:rsidR="00681994" w:rsidRPr="00280601">
        <w:rPr>
          <w:rFonts w:ascii="Arial" w:hAnsi="Arial" w:cs="Arial"/>
          <w:b/>
          <w:bCs/>
          <w:sz w:val="24"/>
          <w:szCs w:val="24"/>
          <w:lang w:val="en-US"/>
        </w:rPr>
        <w:t xml:space="preserve"> MAY 2023</w:t>
      </w:r>
    </w:p>
    <w:p w14:paraId="62F786B4" w14:textId="77777777" w:rsidR="007748D4" w:rsidRDefault="007748D4" w:rsidP="006C2D91">
      <w:pPr>
        <w:spacing w:before="480" w:after="480" w:line="480" w:lineRule="auto"/>
        <w:jc w:val="both"/>
        <w:rPr>
          <w:rFonts w:ascii="Arial" w:hAnsi="Arial" w:cs="Arial"/>
          <w:bCs/>
          <w:i/>
          <w:iCs/>
          <w:color w:val="000000" w:themeColor="text1"/>
          <w:sz w:val="24"/>
          <w:szCs w:val="24"/>
        </w:rPr>
      </w:pPr>
    </w:p>
    <w:p w14:paraId="06E62589" w14:textId="0C59900A" w:rsidR="006C2D91" w:rsidRDefault="006C2D91" w:rsidP="006C2D91">
      <w:pPr>
        <w:spacing w:before="480" w:after="480" w:line="480" w:lineRule="auto"/>
        <w:jc w:val="both"/>
        <w:rPr>
          <w:rFonts w:ascii="Arial" w:hAnsi="Arial" w:cs="Arial"/>
          <w:bCs/>
          <w:color w:val="000000" w:themeColor="text1"/>
          <w:sz w:val="24"/>
          <w:szCs w:val="24"/>
        </w:rPr>
      </w:pPr>
      <w:r w:rsidRPr="000E7554">
        <w:rPr>
          <w:rFonts w:ascii="Arial" w:hAnsi="Arial" w:cs="Arial"/>
          <w:bCs/>
          <w:i/>
          <w:iCs/>
          <w:color w:val="000000" w:themeColor="text1"/>
          <w:sz w:val="24"/>
          <w:szCs w:val="24"/>
        </w:rPr>
        <w:t xml:space="preserve">This judgment was handed down electronically by circulation to the parties’ legal representatives by email and by being uploaded to CaseLines. The date </w:t>
      </w:r>
      <w:r w:rsidR="001C474D">
        <w:rPr>
          <w:rFonts w:ascii="Arial" w:hAnsi="Arial" w:cs="Arial"/>
          <w:bCs/>
          <w:i/>
          <w:iCs/>
          <w:color w:val="000000" w:themeColor="text1"/>
          <w:sz w:val="24"/>
          <w:szCs w:val="24"/>
        </w:rPr>
        <w:t>of this judgment</w:t>
      </w:r>
      <w:r w:rsidRPr="000E7554">
        <w:rPr>
          <w:rFonts w:ascii="Arial" w:hAnsi="Arial" w:cs="Arial"/>
          <w:bCs/>
          <w:i/>
          <w:iCs/>
          <w:color w:val="000000" w:themeColor="text1"/>
          <w:sz w:val="24"/>
          <w:szCs w:val="24"/>
        </w:rPr>
        <w:t xml:space="preserve"> is deemed to be </w:t>
      </w:r>
      <w:r>
        <w:rPr>
          <w:rFonts w:ascii="Arial" w:hAnsi="Arial" w:cs="Arial"/>
          <w:bCs/>
          <w:i/>
          <w:iCs/>
          <w:color w:val="000000" w:themeColor="text1"/>
          <w:sz w:val="24"/>
          <w:szCs w:val="24"/>
        </w:rPr>
        <w:t>23</w:t>
      </w:r>
      <w:r w:rsidRPr="000E7554">
        <w:rPr>
          <w:rFonts w:ascii="Arial" w:hAnsi="Arial" w:cs="Arial"/>
          <w:bCs/>
          <w:i/>
          <w:iCs/>
          <w:color w:val="000000" w:themeColor="text1"/>
          <w:sz w:val="24"/>
          <w:szCs w:val="24"/>
        </w:rPr>
        <w:t xml:space="preserve"> May 2023.</w:t>
      </w:r>
    </w:p>
    <w:p w14:paraId="4789EFB9" w14:textId="77777777" w:rsidR="00681994" w:rsidRPr="00E35005" w:rsidRDefault="00681994" w:rsidP="00681994">
      <w:pPr>
        <w:pStyle w:val="ListParagraph"/>
        <w:spacing w:before="480" w:after="360" w:line="480" w:lineRule="auto"/>
        <w:ind w:left="794"/>
        <w:jc w:val="both"/>
        <w:rPr>
          <w:rFonts w:ascii="Arial" w:hAnsi="Arial" w:cs="Arial"/>
          <w:b/>
          <w:bCs/>
          <w:sz w:val="24"/>
          <w:szCs w:val="24"/>
          <w:lang w:val="en-US"/>
        </w:rPr>
      </w:pPr>
    </w:p>
    <w:p w14:paraId="6A213117" w14:textId="6AA153BD" w:rsidR="008657E6" w:rsidRDefault="008657E6">
      <w:pPr>
        <w:spacing w:before="480" w:after="480" w:line="480" w:lineRule="auto"/>
        <w:jc w:val="both"/>
        <w:rPr>
          <w:rFonts w:ascii="Arial" w:hAnsi="Arial" w:cs="Arial"/>
          <w:b/>
          <w:bCs/>
          <w:sz w:val="24"/>
          <w:szCs w:val="24"/>
          <w:lang w:val="en-US"/>
        </w:rPr>
      </w:pPr>
      <w:r>
        <w:rPr>
          <w:rFonts w:ascii="Arial" w:hAnsi="Arial" w:cs="Arial"/>
          <w:b/>
          <w:bCs/>
          <w:sz w:val="24"/>
          <w:szCs w:val="24"/>
          <w:lang w:val="en-US"/>
        </w:rPr>
        <w:br w:type="page"/>
      </w:r>
    </w:p>
    <w:p w14:paraId="5AB86BAE" w14:textId="77777777" w:rsidR="008657E6" w:rsidRPr="00E35005" w:rsidRDefault="008657E6" w:rsidP="008657E6">
      <w:pPr>
        <w:pStyle w:val="ListParagraph"/>
        <w:spacing w:after="0" w:line="360" w:lineRule="auto"/>
        <w:ind w:left="706"/>
        <w:jc w:val="both"/>
        <w:rPr>
          <w:rFonts w:ascii="Arial" w:hAnsi="Arial" w:cs="Arial"/>
          <w:b/>
          <w:color w:val="000000" w:themeColor="text1"/>
          <w:sz w:val="24"/>
          <w:szCs w:val="24"/>
          <w:u w:val="single"/>
        </w:rPr>
      </w:pPr>
      <w:r w:rsidRPr="00E35005">
        <w:rPr>
          <w:rFonts w:ascii="Arial" w:hAnsi="Arial" w:cs="Arial"/>
          <w:b/>
          <w:color w:val="000000" w:themeColor="text1"/>
          <w:sz w:val="24"/>
          <w:szCs w:val="24"/>
          <w:u w:val="single"/>
        </w:rPr>
        <w:lastRenderedPageBreak/>
        <w:t>Appearances:</w:t>
      </w:r>
    </w:p>
    <w:p w14:paraId="7007E214" w14:textId="77777777" w:rsidR="008657E6" w:rsidRPr="00E35005" w:rsidRDefault="008657E6" w:rsidP="008657E6">
      <w:pPr>
        <w:pStyle w:val="ListParagraph"/>
        <w:spacing w:after="0" w:line="360" w:lineRule="auto"/>
        <w:ind w:left="706"/>
        <w:jc w:val="both"/>
        <w:rPr>
          <w:rFonts w:ascii="Arial" w:hAnsi="Arial" w:cs="Arial"/>
          <w:b/>
          <w:color w:val="000000" w:themeColor="text1"/>
          <w:sz w:val="24"/>
          <w:szCs w:val="24"/>
          <w:u w:val="single"/>
        </w:rPr>
      </w:pPr>
    </w:p>
    <w:p w14:paraId="7978FA5F" w14:textId="49133D2C" w:rsidR="008657E6" w:rsidRPr="00E35005" w:rsidRDefault="008657E6" w:rsidP="008657E6">
      <w:pPr>
        <w:pStyle w:val="ListParagraph"/>
        <w:spacing w:after="0" w:line="360" w:lineRule="auto"/>
        <w:ind w:left="706"/>
        <w:jc w:val="both"/>
        <w:rPr>
          <w:rFonts w:ascii="Arial" w:hAnsi="Arial" w:cs="Arial"/>
          <w:color w:val="000000" w:themeColor="text1"/>
          <w:sz w:val="24"/>
          <w:szCs w:val="24"/>
        </w:rPr>
      </w:pPr>
      <w:r w:rsidRPr="00E35005">
        <w:rPr>
          <w:rFonts w:ascii="Arial" w:hAnsi="Arial" w:cs="Arial"/>
          <w:color w:val="000000" w:themeColor="text1"/>
          <w:sz w:val="24"/>
          <w:szCs w:val="24"/>
        </w:rPr>
        <w:t>Appearance for Applicant</w:t>
      </w:r>
      <w:r w:rsidR="006F1DEC">
        <w:rPr>
          <w:rFonts w:ascii="Arial" w:hAnsi="Arial" w:cs="Arial"/>
          <w:color w:val="000000" w:themeColor="text1"/>
          <w:sz w:val="24"/>
          <w:szCs w:val="24"/>
        </w:rPr>
        <w:t>s</w:t>
      </w:r>
      <w:r w:rsidRPr="00E35005">
        <w:rPr>
          <w:rFonts w:ascii="Arial" w:hAnsi="Arial" w:cs="Arial"/>
          <w:color w:val="000000" w:themeColor="text1"/>
          <w:sz w:val="24"/>
          <w:szCs w:val="24"/>
        </w:rPr>
        <w:t>:</w:t>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00D6234B">
        <w:rPr>
          <w:rFonts w:ascii="Arial" w:hAnsi="Arial" w:cs="Arial"/>
          <w:color w:val="000000" w:themeColor="text1"/>
          <w:sz w:val="24"/>
          <w:szCs w:val="24"/>
        </w:rPr>
        <w:t xml:space="preserve">ADV </w:t>
      </w:r>
      <w:r w:rsidR="00CD5448" w:rsidRPr="00CD5448">
        <w:rPr>
          <w:rFonts w:ascii="Arial" w:hAnsi="Arial" w:cs="Arial"/>
          <w:color w:val="000000" w:themeColor="text1"/>
          <w:sz w:val="24"/>
          <w:szCs w:val="24"/>
        </w:rPr>
        <w:t>T M P</w:t>
      </w:r>
      <w:r w:rsidR="00D6234B">
        <w:rPr>
          <w:rFonts w:ascii="Arial" w:hAnsi="Arial" w:cs="Arial"/>
          <w:color w:val="000000" w:themeColor="text1"/>
          <w:sz w:val="24"/>
          <w:szCs w:val="24"/>
        </w:rPr>
        <w:t xml:space="preserve"> POOE</w:t>
      </w:r>
    </w:p>
    <w:p w14:paraId="3129F7F0" w14:textId="020C2BCB" w:rsidR="008657E6" w:rsidRPr="00E35005" w:rsidRDefault="008657E6" w:rsidP="008657E6">
      <w:pPr>
        <w:pStyle w:val="ListParagraph"/>
        <w:spacing w:after="0" w:line="360" w:lineRule="auto"/>
        <w:ind w:left="706"/>
        <w:jc w:val="both"/>
        <w:rPr>
          <w:rFonts w:ascii="Arial" w:hAnsi="Arial" w:cs="Arial"/>
          <w:color w:val="000000" w:themeColor="text1"/>
          <w:sz w:val="24"/>
          <w:szCs w:val="24"/>
        </w:rPr>
      </w:pPr>
      <w:r w:rsidRPr="00E35005">
        <w:rPr>
          <w:rFonts w:ascii="Arial" w:hAnsi="Arial" w:cs="Arial"/>
          <w:color w:val="000000" w:themeColor="text1"/>
          <w:sz w:val="24"/>
          <w:szCs w:val="24"/>
        </w:rPr>
        <w:t>Instructed by:</w:t>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00B63240">
        <w:rPr>
          <w:rFonts w:ascii="Arial" w:hAnsi="Arial" w:cs="Arial"/>
          <w:color w:val="000000" w:themeColor="text1"/>
          <w:sz w:val="24"/>
          <w:szCs w:val="24"/>
        </w:rPr>
        <w:t xml:space="preserve">K KGOPE </w:t>
      </w:r>
      <w:r w:rsidR="006F1DEC">
        <w:rPr>
          <w:rFonts w:ascii="Arial" w:hAnsi="Arial" w:cs="Arial"/>
          <w:color w:val="000000" w:themeColor="text1"/>
          <w:sz w:val="24"/>
          <w:szCs w:val="24"/>
        </w:rPr>
        <w:t>ATTORNEYS</w:t>
      </w:r>
    </w:p>
    <w:p w14:paraId="32197B8B" w14:textId="2A681EEF" w:rsidR="008657E6" w:rsidRPr="00E35005" w:rsidRDefault="008657E6" w:rsidP="008657E6">
      <w:pPr>
        <w:pStyle w:val="ListParagraph"/>
        <w:spacing w:after="0" w:line="360" w:lineRule="auto"/>
        <w:ind w:left="709"/>
        <w:jc w:val="both"/>
        <w:rPr>
          <w:rFonts w:ascii="Arial" w:hAnsi="Arial" w:cs="Arial"/>
          <w:color w:val="000000" w:themeColor="text1"/>
          <w:sz w:val="24"/>
          <w:szCs w:val="24"/>
        </w:rPr>
      </w:pPr>
      <w:r w:rsidRPr="00E35005">
        <w:rPr>
          <w:rFonts w:ascii="Arial" w:hAnsi="Arial" w:cs="Arial"/>
          <w:color w:val="000000" w:themeColor="text1"/>
          <w:sz w:val="24"/>
          <w:szCs w:val="24"/>
        </w:rPr>
        <w:t>Appearance for Respondent:</w:t>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00C23351">
        <w:rPr>
          <w:rFonts w:ascii="Arial" w:hAnsi="Arial" w:cs="Arial"/>
          <w:color w:val="000000" w:themeColor="text1"/>
          <w:sz w:val="24"/>
          <w:szCs w:val="24"/>
        </w:rPr>
        <w:t xml:space="preserve">ADV </w:t>
      </w:r>
      <w:r w:rsidR="00210340">
        <w:rPr>
          <w:rFonts w:ascii="Arial" w:hAnsi="Arial" w:cs="Arial"/>
          <w:color w:val="000000" w:themeColor="text1"/>
          <w:sz w:val="24"/>
          <w:szCs w:val="24"/>
        </w:rPr>
        <w:t>C</w:t>
      </w:r>
      <w:r w:rsidR="00D6234B">
        <w:rPr>
          <w:rFonts w:ascii="Arial" w:hAnsi="Arial" w:cs="Arial"/>
          <w:color w:val="000000" w:themeColor="text1"/>
          <w:sz w:val="24"/>
          <w:szCs w:val="24"/>
        </w:rPr>
        <w:t xml:space="preserve"> DE</w:t>
      </w:r>
      <w:r w:rsidR="009A4FEC">
        <w:rPr>
          <w:rFonts w:ascii="Arial" w:hAnsi="Arial" w:cs="Arial"/>
          <w:color w:val="000000" w:themeColor="text1"/>
          <w:sz w:val="24"/>
          <w:szCs w:val="24"/>
        </w:rPr>
        <w:t>NISHAUD</w:t>
      </w:r>
    </w:p>
    <w:p w14:paraId="16A556AB" w14:textId="35358DA0" w:rsidR="008657E6" w:rsidRPr="00E35005" w:rsidRDefault="008657E6" w:rsidP="008657E6">
      <w:pPr>
        <w:pStyle w:val="ListParagraph"/>
        <w:spacing w:after="0" w:line="360" w:lineRule="auto"/>
        <w:ind w:left="709"/>
        <w:jc w:val="both"/>
        <w:rPr>
          <w:rFonts w:ascii="Arial" w:hAnsi="Arial" w:cs="Arial"/>
          <w:color w:val="000000" w:themeColor="text1"/>
          <w:sz w:val="24"/>
          <w:szCs w:val="24"/>
        </w:rPr>
      </w:pPr>
      <w:r w:rsidRPr="00E35005">
        <w:rPr>
          <w:rFonts w:ascii="Arial" w:hAnsi="Arial" w:cs="Arial"/>
          <w:color w:val="000000" w:themeColor="text1"/>
          <w:sz w:val="24"/>
          <w:szCs w:val="24"/>
        </w:rPr>
        <w:t>Instructed by:</w:t>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007D1CAD">
        <w:rPr>
          <w:rFonts w:ascii="Arial" w:hAnsi="Arial" w:cs="Arial"/>
          <w:color w:val="000000" w:themeColor="text1"/>
          <w:sz w:val="24"/>
          <w:szCs w:val="24"/>
        </w:rPr>
        <w:t xml:space="preserve">JAY MOTHIBI </w:t>
      </w:r>
      <w:r w:rsidR="00B63240">
        <w:rPr>
          <w:rFonts w:ascii="Arial" w:hAnsi="Arial" w:cs="Arial"/>
          <w:color w:val="000000" w:themeColor="text1"/>
          <w:sz w:val="24"/>
          <w:szCs w:val="24"/>
        </w:rPr>
        <w:t>INCORPORATED</w:t>
      </w:r>
    </w:p>
    <w:p w14:paraId="5FFAA96C" w14:textId="77777777" w:rsidR="008657E6" w:rsidRPr="00E35005" w:rsidRDefault="008657E6" w:rsidP="008657E6">
      <w:pPr>
        <w:pStyle w:val="ListParagraph"/>
        <w:spacing w:after="0" w:line="360" w:lineRule="auto"/>
        <w:ind w:left="709"/>
        <w:jc w:val="both"/>
        <w:rPr>
          <w:rFonts w:ascii="Arial" w:hAnsi="Arial" w:cs="Arial"/>
          <w:color w:val="000000" w:themeColor="text1"/>
          <w:sz w:val="24"/>
          <w:szCs w:val="24"/>
        </w:rPr>
      </w:pPr>
    </w:p>
    <w:p w14:paraId="2E428321" w14:textId="36ED4618" w:rsidR="008657E6" w:rsidRPr="00E35005" w:rsidRDefault="008657E6" w:rsidP="008657E6">
      <w:pPr>
        <w:pStyle w:val="ListParagraph"/>
        <w:spacing w:after="0" w:line="360" w:lineRule="auto"/>
        <w:ind w:left="709"/>
        <w:jc w:val="both"/>
        <w:rPr>
          <w:rFonts w:ascii="Arial" w:hAnsi="Arial" w:cs="Arial"/>
          <w:color w:val="000000" w:themeColor="text1"/>
          <w:sz w:val="24"/>
          <w:szCs w:val="24"/>
        </w:rPr>
      </w:pPr>
      <w:r w:rsidRPr="00E35005">
        <w:rPr>
          <w:rFonts w:ascii="Arial" w:hAnsi="Arial" w:cs="Arial"/>
          <w:color w:val="000000" w:themeColor="text1"/>
          <w:sz w:val="24"/>
          <w:szCs w:val="24"/>
        </w:rPr>
        <w:t>Date of hearing:</w:t>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009A4FEC">
        <w:rPr>
          <w:rFonts w:ascii="Arial" w:hAnsi="Arial" w:cs="Arial"/>
          <w:color w:val="000000" w:themeColor="text1"/>
          <w:sz w:val="24"/>
          <w:szCs w:val="24"/>
        </w:rPr>
        <w:t>9</w:t>
      </w:r>
      <w:r w:rsidRPr="00E35005">
        <w:rPr>
          <w:rFonts w:ascii="Arial" w:hAnsi="Arial" w:cs="Arial"/>
          <w:color w:val="000000" w:themeColor="text1"/>
          <w:sz w:val="24"/>
          <w:szCs w:val="24"/>
        </w:rPr>
        <w:t xml:space="preserve"> May 2023</w:t>
      </w:r>
    </w:p>
    <w:p w14:paraId="48AD5C3C" w14:textId="0033F1B6" w:rsidR="008657E6" w:rsidRPr="00E35005" w:rsidRDefault="008657E6" w:rsidP="008657E6">
      <w:pPr>
        <w:pStyle w:val="ListParagraph"/>
        <w:spacing w:after="0" w:line="360" w:lineRule="auto"/>
        <w:ind w:left="709"/>
        <w:jc w:val="both"/>
        <w:rPr>
          <w:rFonts w:ascii="Arial" w:hAnsi="Arial" w:cs="Arial"/>
          <w:color w:val="000000" w:themeColor="text1"/>
          <w:sz w:val="24"/>
          <w:szCs w:val="24"/>
        </w:rPr>
      </w:pPr>
      <w:r w:rsidRPr="00E35005">
        <w:rPr>
          <w:rFonts w:ascii="Arial" w:hAnsi="Arial" w:cs="Arial"/>
          <w:color w:val="000000" w:themeColor="text1"/>
          <w:sz w:val="24"/>
          <w:szCs w:val="24"/>
        </w:rPr>
        <w:t>Date of Judgment:</w:t>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Pr="00E35005">
        <w:rPr>
          <w:rFonts w:ascii="Arial" w:hAnsi="Arial" w:cs="Arial"/>
          <w:color w:val="000000" w:themeColor="text1"/>
          <w:sz w:val="24"/>
          <w:szCs w:val="24"/>
        </w:rPr>
        <w:tab/>
      </w:r>
      <w:r w:rsidR="008B7284">
        <w:rPr>
          <w:rFonts w:ascii="Arial" w:hAnsi="Arial" w:cs="Arial"/>
          <w:color w:val="000000" w:themeColor="text1"/>
          <w:sz w:val="24"/>
          <w:szCs w:val="24"/>
        </w:rPr>
        <w:t>23</w:t>
      </w:r>
      <w:r w:rsidR="009A4FEC">
        <w:rPr>
          <w:rFonts w:ascii="Arial" w:hAnsi="Arial" w:cs="Arial"/>
          <w:color w:val="000000" w:themeColor="text1"/>
          <w:sz w:val="24"/>
          <w:szCs w:val="24"/>
        </w:rPr>
        <w:t xml:space="preserve"> </w:t>
      </w:r>
      <w:r w:rsidRPr="00E35005">
        <w:rPr>
          <w:rFonts w:ascii="Arial" w:hAnsi="Arial" w:cs="Arial"/>
          <w:color w:val="000000" w:themeColor="text1"/>
          <w:sz w:val="24"/>
          <w:szCs w:val="24"/>
        </w:rPr>
        <w:t>May 2023</w:t>
      </w:r>
    </w:p>
    <w:p w14:paraId="4A1675F7" w14:textId="77777777" w:rsidR="00F733B0" w:rsidRPr="003A1C72" w:rsidRDefault="00F733B0" w:rsidP="00F733B0">
      <w:pPr>
        <w:pStyle w:val="ListParagraph"/>
        <w:spacing w:before="480" w:after="360" w:line="480" w:lineRule="auto"/>
        <w:ind w:left="794"/>
        <w:jc w:val="both"/>
        <w:rPr>
          <w:rFonts w:ascii="Arial" w:hAnsi="Arial" w:cs="Arial"/>
          <w:b/>
          <w:bCs/>
          <w:sz w:val="24"/>
          <w:szCs w:val="24"/>
          <w:lang w:val="en-US"/>
        </w:rPr>
      </w:pPr>
    </w:p>
    <w:sectPr w:rsidR="00F733B0" w:rsidRPr="003A1C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960DF" w14:textId="77777777" w:rsidR="00232DB4" w:rsidRDefault="00232DB4" w:rsidP="00A94342">
      <w:pPr>
        <w:spacing w:after="0" w:line="240" w:lineRule="auto"/>
      </w:pPr>
      <w:r>
        <w:separator/>
      </w:r>
    </w:p>
  </w:endnote>
  <w:endnote w:type="continuationSeparator" w:id="0">
    <w:p w14:paraId="3F745AD8" w14:textId="77777777" w:rsidR="00232DB4" w:rsidRDefault="00232DB4" w:rsidP="00A94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648E" w14:textId="77777777" w:rsidR="00232DB4" w:rsidRDefault="00232DB4" w:rsidP="00A94342">
      <w:pPr>
        <w:spacing w:after="0" w:line="240" w:lineRule="auto"/>
      </w:pPr>
      <w:r>
        <w:separator/>
      </w:r>
    </w:p>
  </w:footnote>
  <w:footnote w:type="continuationSeparator" w:id="0">
    <w:p w14:paraId="61B3D9EE" w14:textId="77777777" w:rsidR="00232DB4" w:rsidRDefault="00232DB4" w:rsidP="00A94342">
      <w:pPr>
        <w:spacing w:after="0" w:line="240" w:lineRule="auto"/>
      </w:pPr>
      <w:r>
        <w:continuationSeparator/>
      </w:r>
    </w:p>
  </w:footnote>
  <w:footnote w:id="1">
    <w:p w14:paraId="12E9427E" w14:textId="45AE40AD" w:rsidR="00386AB4" w:rsidRPr="00896D0A" w:rsidRDefault="00386AB4">
      <w:pPr>
        <w:pStyle w:val="FootnoteText"/>
        <w:rPr>
          <w:rFonts w:ascii="Arial" w:hAnsi="Arial" w:cs="Arial"/>
        </w:rPr>
      </w:pPr>
      <w:r w:rsidRPr="00896D0A">
        <w:rPr>
          <w:rStyle w:val="FootnoteReference"/>
          <w:rFonts w:ascii="Arial" w:hAnsi="Arial" w:cs="Arial"/>
        </w:rPr>
        <w:footnoteRef/>
      </w:r>
      <w:r w:rsidRPr="00896D0A">
        <w:rPr>
          <w:rFonts w:ascii="Arial" w:hAnsi="Arial" w:cs="Arial"/>
        </w:rPr>
        <w:t xml:space="preserve"> </w:t>
      </w:r>
      <w:r w:rsidR="00E301CB" w:rsidRPr="00896D0A">
        <w:rPr>
          <w:rFonts w:ascii="Arial" w:hAnsi="Arial" w:cs="Arial"/>
          <w:i/>
          <w:iCs/>
        </w:rPr>
        <w:t>Hollard's Estate v Kruger</w:t>
      </w:r>
      <w:r w:rsidR="00E301CB" w:rsidRPr="00896D0A">
        <w:rPr>
          <w:rFonts w:ascii="Arial" w:hAnsi="Arial" w:cs="Arial"/>
        </w:rPr>
        <w:t xml:space="preserve"> 1932 TPD 134; </w:t>
      </w:r>
      <w:r w:rsidR="00277868" w:rsidRPr="00896D0A">
        <w:rPr>
          <w:rFonts w:ascii="Arial" w:hAnsi="Arial" w:cs="Arial"/>
          <w:i/>
          <w:iCs/>
        </w:rPr>
        <w:t>United Building Society v Steinbach</w:t>
      </w:r>
      <w:r w:rsidR="00277868" w:rsidRPr="00896D0A">
        <w:rPr>
          <w:rFonts w:ascii="Arial" w:hAnsi="Arial" w:cs="Arial"/>
        </w:rPr>
        <w:t xml:space="preserve"> 1942 WLD 3; </w:t>
      </w:r>
      <w:r w:rsidR="00AB7CD4" w:rsidRPr="00896D0A">
        <w:rPr>
          <w:rFonts w:ascii="Arial" w:hAnsi="Arial" w:cs="Arial"/>
          <w:i/>
          <w:iCs/>
        </w:rPr>
        <w:t>Shepard v Emmerich</w:t>
      </w:r>
      <w:r w:rsidR="00AB7CD4" w:rsidRPr="00896D0A">
        <w:rPr>
          <w:rFonts w:ascii="Arial" w:hAnsi="Arial" w:cs="Arial"/>
        </w:rPr>
        <w:t xml:space="preserve"> 2015 (3) SA 309 (GJ) par 6</w:t>
      </w:r>
    </w:p>
  </w:footnote>
  <w:footnote w:id="2">
    <w:p w14:paraId="1E0AD87B" w14:textId="15EE37C5" w:rsidR="00256C21" w:rsidRPr="00896D0A" w:rsidRDefault="00256C21" w:rsidP="00256C21">
      <w:pPr>
        <w:pStyle w:val="FootnoteText"/>
        <w:rPr>
          <w:rFonts w:ascii="Arial" w:hAnsi="Arial" w:cs="Arial"/>
          <w:lang w:val="en-GB"/>
        </w:rPr>
      </w:pPr>
      <w:r w:rsidRPr="00896D0A">
        <w:rPr>
          <w:rStyle w:val="FootnoteReference"/>
          <w:rFonts w:ascii="Arial" w:hAnsi="Arial" w:cs="Arial"/>
        </w:rPr>
        <w:footnoteRef/>
      </w:r>
      <w:r w:rsidRPr="00896D0A">
        <w:rPr>
          <w:rFonts w:ascii="Arial" w:hAnsi="Arial" w:cs="Arial"/>
        </w:rPr>
        <w:t xml:space="preserve"> </w:t>
      </w:r>
      <w:r w:rsidRPr="00896D0A">
        <w:rPr>
          <w:rFonts w:ascii="Arial" w:hAnsi="Arial" w:cs="Arial"/>
          <w:i/>
          <w:iCs/>
        </w:rPr>
        <w:t>Shepard v Emmerich</w:t>
      </w:r>
      <w:r w:rsidR="00AB7CD4" w:rsidRPr="00896D0A">
        <w:rPr>
          <w:rFonts w:ascii="Arial" w:hAnsi="Arial" w:cs="Arial"/>
        </w:rPr>
        <w:t xml:space="preserve"> (</w:t>
      </w:r>
      <w:r w:rsidR="00AB7CD4" w:rsidRPr="00896D0A">
        <w:rPr>
          <w:rFonts w:ascii="Arial" w:hAnsi="Arial" w:cs="Arial"/>
          <w:i/>
          <w:iCs/>
        </w:rPr>
        <w:t>supra)</w:t>
      </w:r>
      <w:r w:rsidRPr="00896D0A">
        <w:rPr>
          <w:rFonts w:ascii="Arial" w:hAnsi="Arial" w:cs="Arial"/>
        </w:rPr>
        <w:t xml:space="preserve"> par 4</w:t>
      </w:r>
    </w:p>
  </w:footnote>
  <w:footnote w:id="3">
    <w:p w14:paraId="27C80302" w14:textId="645DB8F5" w:rsidR="003761D0" w:rsidRPr="00896D0A" w:rsidRDefault="003761D0" w:rsidP="00B1305A">
      <w:pPr>
        <w:pStyle w:val="FootnoteText"/>
        <w:rPr>
          <w:rFonts w:ascii="Arial" w:hAnsi="Arial" w:cs="Arial"/>
        </w:rPr>
      </w:pPr>
      <w:r>
        <w:rPr>
          <w:rStyle w:val="FootnoteReference"/>
        </w:rPr>
        <w:footnoteRef/>
      </w:r>
      <w:r>
        <w:t xml:space="preserve"> </w:t>
      </w:r>
      <w:r w:rsidRPr="00896D0A">
        <w:rPr>
          <w:rFonts w:ascii="Arial" w:hAnsi="Arial" w:cs="Arial"/>
        </w:rPr>
        <w:t xml:space="preserve">See </w:t>
      </w:r>
      <w:r w:rsidR="00B1305A" w:rsidRPr="00896D0A">
        <w:rPr>
          <w:rFonts w:ascii="Arial" w:hAnsi="Arial" w:cs="Arial"/>
          <w:i/>
          <w:iCs/>
        </w:rPr>
        <w:t xml:space="preserve">Sandton Square Finance (Pty) Ltd and Others v Biagi, Bertola and Vasco and Another </w:t>
      </w:r>
      <w:r w:rsidR="00B1305A" w:rsidRPr="00896D0A">
        <w:rPr>
          <w:rFonts w:ascii="Arial" w:hAnsi="Arial" w:cs="Arial"/>
        </w:rPr>
        <w:t>1997 (1) SA 258 (W)</w:t>
      </w:r>
    </w:p>
  </w:footnote>
  <w:footnote w:id="4">
    <w:p w14:paraId="1A96067B" w14:textId="1B7D900C" w:rsidR="004C6A55" w:rsidRPr="00896D0A" w:rsidRDefault="004C6A55">
      <w:pPr>
        <w:pStyle w:val="FootnoteText"/>
        <w:rPr>
          <w:rFonts w:ascii="Arial" w:hAnsi="Arial" w:cs="Arial"/>
        </w:rPr>
      </w:pPr>
      <w:r>
        <w:rPr>
          <w:rStyle w:val="FootnoteReference"/>
        </w:rPr>
        <w:footnoteRef/>
      </w:r>
      <w:r>
        <w:t xml:space="preserve"> </w:t>
      </w:r>
      <w:r w:rsidRPr="00896D0A">
        <w:rPr>
          <w:rFonts w:ascii="Arial" w:hAnsi="Arial" w:cs="Arial"/>
          <w:i/>
          <w:iCs/>
        </w:rPr>
        <w:t xml:space="preserve">Dairy Board v John T Rennie &amp; Co (Pty) Ltd </w:t>
      </w:r>
      <w:r w:rsidR="00E81BD7" w:rsidRPr="00896D0A">
        <w:rPr>
          <w:rFonts w:ascii="Arial" w:hAnsi="Arial" w:cs="Arial"/>
        </w:rPr>
        <w:t>1976 (3) SA 768 (W) 771B</w:t>
      </w:r>
    </w:p>
  </w:footnote>
  <w:footnote w:id="5">
    <w:p w14:paraId="439F0853" w14:textId="18A38896" w:rsidR="00262748" w:rsidRPr="00896D0A" w:rsidRDefault="00262748">
      <w:pPr>
        <w:pStyle w:val="FootnoteText"/>
        <w:rPr>
          <w:rFonts w:ascii="Arial" w:hAnsi="Arial" w:cs="Arial"/>
        </w:rPr>
      </w:pPr>
      <w:r w:rsidRPr="00896D0A">
        <w:rPr>
          <w:rStyle w:val="FootnoteReference"/>
          <w:rFonts w:ascii="Arial" w:hAnsi="Arial" w:cs="Arial"/>
        </w:rPr>
        <w:footnoteRef/>
      </w:r>
      <w:r w:rsidRPr="00896D0A">
        <w:rPr>
          <w:rFonts w:ascii="Arial" w:hAnsi="Arial" w:cs="Arial"/>
        </w:rPr>
        <w:t xml:space="preserve"> </w:t>
      </w:r>
      <w:r w:rsidRPr="00896D0A">
        <w:rPr>
          <w:rFonts w:ascii="Arial" w:hAnsi="Arial" w:cs="Arial"/>
          <w:i/>
          <w:iCs/>
        </w:rPr>
        <w:t xml:space="preserve">Bisonboard Ltd v K Braun Woodworking Machinery (Pty) Ltd </w:t>
      </w:r>
      <w:r w:rsidRPr="00896D0A">
        <w:rPr>
          <w:rFonts w:ascii="Arial" w:hAnsi="Arial" w:cs="Arial"/>
        </w:rPr>
        <w:t>1991 (1) SA 482 (A)</w:t>
      </w:r>
    </w:p>
  </w:footnote>
  <w:footnote w:id="6">
    <w:p w14:paraId="0B0601F5" w14:textId="67B4A7E3" w:rsidR="00622D33" w:rsidRDefault="00622D33">
      <w:pPr>
        <w:pStyle w:val="FootnoteText"/>
      </w:pPr>
      <w:r>
        <w:rPr>
          <w:rStyle w:val="FootnoteReference"/>
        </w:rPr>
        <w:footnoteRef/>
      </w:r>
      <w:r>
        <w:t xml:space="preserve"> </w:t>
      </w:r>
      <w:r w:rsidR="00AB28BC" w:rsidRPr="00AB28BC">
        <w:rPr>
          <w:i/>
          <w:iCs/>
        </w:rPr>
        <w:t>Natal Joint Municipal Pension Fund v Endumeni Municipality</w:t>
      </w:r>
      <w:r w:rsidR="00AB28BC" w:rsidRPr="00AB28BC">
        <w:t xml:space="preserve"> 2012 (4) SA 593 (SCA)</w:t>
      </w:r>
      <w:r w:rsidR="00AB28BC">
        <w:t xml:space="preserve"> 603 to 604</w:t>
      </w:r>
    </w:p>
  </w:footnote>
  <w:footnote w:id="7">
    <w:p w14:paraId="77AEB0AC" w14:textId="77777777" w:rsidR="00896167" w:rsidRPr="00896D0A" w:rsidRDefault="00896167" w:rsidP="00896167">
      <w:pPr>
        <w:pStyle w:val="FootnoteText"/>
        <w:rPr>
          <w:rFonts w:ascii="Arial" w:hAnsi="Arial" w:cs="Arial"/>
        </w:rPr>
      </w:pPr>
      <w:r>
        <w:rPr>
          <w:rStyle w:val="FootnoteReference"/>
        </w:rPr>
        <w:footnoteRef/>
      </w:r>
      <w:r>
        <w:t xml:space="preserve"> </w:t>
      </w:r>
      <w:r w:rsidRPr="00896D0A">
        <w:rPr>
          <w:rFonts w:ascii="Arial" w:hAnsi="Arial" w:cs="Arial"/>
        </w:rPr>
        <w:t>See section 46 of the CCA.</w:t>
      </w:r>
    </w:p>
  </w:footnote>
  <w:footnote w:id="8">
    <w:p w14:paraId="4DE2D901" w14:textId="77777777" w:rsidR="00EC01A4" w:rsidRPr="00896D0A" w:rsidRDefault="00EC01A4" w:rsidP="00EC01A4">
      <w:pPr>
        <w:pStyle w:val="FootnoteText"/>
        <w:rPr>
          <w:rFonts w:ascii="Arial" w:hAnsi="Arial" w:cs="Arial"/>
        </w:rPr>
      </w:pPr>
      <w:r w:rsidRPr="00177380">
        <w:rPr>
          <w:rStyle w:val="FootnoteReference"/>
          <w:rFonts w:ascii="Arial" w:hAnsi="Arial" w:cs="Arial"/>
        </w:rPr>
        <w:footnoteRef/>
      </w:r>
      <w:r w:rsidRPr="00177380">
        <w:rPr>
          <w:rFonts w:ascii="Arial" w:hAnsi="Arial" w:cs="Arial"/>
        </w:rPr>
        <w:t xml:space="preserve"> </w:t>
      </w:r>
      <w:r w:rsidRPr="00896D0A">
        <w:rPr>
          <w:rFonts w:ascii="Arial" w:hAnsi="Arial" w:cs="Arial"/>
        </w:rPr>
        <w:t>See the commentary under section 21 of the Superior Courts Act.</w:t>
      </w:r>
    </w:p>
  </w:footnote>
  <w:footnote w:id="9">
    <w:p w14:paraId="00C2E845" w14:textId="056D2120" w:rsidR="007E35AB" w:rsidRPr="00896D0A" w:rsidRDefault="007E35AB">
      <w:pPr>
        <w:pStyle w:val="FootnoteText"/>
        <w:rPr>
          <w:rFonts w:ascii="Arial" w:hAnsi="Arial" w:cs="Arial"/>
        </w:rPr>
      </w:pPr>
      <w:r w:rsidRPr="00896D0A">
        <w:rPr>
          <w:rStyle w:val="FootnoteReference"/>
          <w:rFonts w:ascii="Arial" w:hAnsi="Arial" w:cs="Arial"/>
        </w:rPr>
        <w:footnoteRef/>
      </w:r>
      <w:r w:rsidRPr="00896D0A">
        <w:rPr>
          <w:rFonts w:ascii="Arial" w:hAnsi="Arial" w:cs="Arial"/>
        </w:rPr>
        <w:t xml:space="preserve"> </w:t>
      </w:r>
      <w:r w:rsidR="009516FC" w:rsidRPr="00896D0A">
        <w:rPr>
          <w:rFonts w:ascii="Arial" w:hAnsi="Arial" w:cs="Arial"/>
          <w:i/>
          <w:iCs/>
        </w:rPr>
        <w:t>Bisonboard Ltd v K Braun Woodworking Machinery (Pty)) Ltd</w:t>
      </w:r>
      <w:r w:rsidR="009516FC" w:rsidRPr="00896D0A">
        <w:rPr>
          <w:rFonts w:ascii="Arial" w:hAnsi="Arial" w:cs="Arial"/>
        </w:rPr>
        <w:t xml:space="preserve"> </w:t>
      </w:r>
      <w:r w:rsidRPr="00896D0A">
        <w:rPr>
          <w:rFonts w:ascii="Arial" w:hAnsi="Arial" w:cs="Arial"/>
          <w:lang w:val="en-US"/>
        </w:rPr>
        <w:t>1991 (1) SA 482 (A)</w:t>
      </w:r>
    </w:p>
  </w:footnote>
  <w:footnote w:id="10">
    <w:p w14:paraId="2F3687BF" w14:textId="58E9C5DC" w:rsidR="00AC60D0" w:rsidRPr="00896D0A" w:rsidRDefault="009002EC" w:rsidP="00AC60D0">
      <w:pPr>
        <w:pStyle w:val="FootnoteText"/>
        <w:rPr>
          <w:rFonts w:ascii="Arial" w:hAnsi="Arial" w:cs="Arial"/>
        </w:rPr>
      </w:pPr>
      <w:r w:rsidRPr="00896D0A">
        <w:rPr>
          <w:rStyle w:val="FootnoteReference"/>
          <w:rFonts w:ascii="Arial" w:hAnsi="Arial" w:cs="Arial"/>
        </w:rPr>
        <w:footnoteRef/>
      </w:r>
      <w:r w:rsidRPr="00896D0A">
        <w:rPr>
          <w:rFonts w:ascii="Arial" w:hAnsi="Arial" w:cs="Arial"/>
        </w:rPr>
        <w:t xml:space="preserve"> See </w:t>
      </w:r>
      <w:r w:rsidR="00ED7C1F" w:rsidRPr="00896D0A">
        <w:rPr>
          <w:rFonts w:ascii="Arial" w:hAnsi="Arial" w:cs="Arial"/>
          <w:i/>
          <w:iCs/>
        </w:rPr>
        <w:t>Sibakhulu Construction (Pty) Ltd v Wedgewood Village Golf Country Estate (Pty) Ltd (Nedbank Ltd Intervening)</w:t>
      </w:r>
      <w:r w:rsidR="00ED7C1F" w:rsidRPr="00896D0A">
        <w:rPr>
          <w:rFonts w:ascii="Arial" w:hAnsi="Arial" w:cs="Arial"/>
        </w:rPr>
        <w:t xml:space="preserve"> 2013 (1) SA 191 (WCC)</w:t>
      </w:r>
      <w:r w:rsidR="00C428D2" w:rsidRPr="00896D0A">
        <w:rPr>
          <w:rFonts w:ascii="Arial" w:hAnsi="Arial" w:cs="Arial"/>
        </w:rPr>
        <w:t xml:space="preserve">, </w:t>
      </w:r>
      <w:r w:rsidR="00C428D2" w:rsidRPr="00896D0A">
        <w:rPr>
          <w:rFonts w:ascii="Arial" w:hAnsi="Arial" w:cs="Arial"/>
          <w:i/>
          <w:iCs/>
        </w:rPr>
        <w:t>Burmeister and Another v Spitskop Village Properties and Others</w:t>
      </w:r>
      <w:r w:rsidR="00C428D2" w:rsidRPr="00896D0A">
        <w:rPr>
          <w:rFonts w:ascii="Arial" w:hAnsi="Arial" w:cs="Arial"/>
        </w:rPr>
        <w:t xml:space="preserve"> [2015] ZAGPPHC 1094 (21/09/2015)</w:t>
      </w:r>
      <w:r w:rsidR="00293E06" w:rsidRPr="00896D0A">
        <w:rPr>
          <w:rFonts w:ascii="Arial" w:hAnsi="Arial" w:cs="Arial"/>
        </w:rPr>
        <w:t xml:space="preserve">, </w:t>
      </w:r>
      <w:r w:rsidR="009D2771" w:rsidRPr="00896D0A">
        <w:rPr>
          <w:rFonts w:ascii="Arial" w:hAnsi="Arial" w:cs="Arial"/>
          <w:i/>
          <w:iCs/>
        </w:rPr>
        <w:t>Lonsdale Commercial Corporation v Kimberley West Diamond Mining Corporation</w:t>
      </w:r>
      <w:r w:rsidR="009D2771" w:rsidRPr="00896D0A">
        <w:rPr>
          <w:rFonts w:ascii="Arial" w:hAnsi="Arial" w:cs="Arial"/>
        </w:rPr>
        <w:t xml:space="preserve"> [2013] ZANCHC 11 (17/5/2013)</w:t>
      </w:r>
      <w:r w:rsidR="00D77A9D" w:rsidRPr="00896D0A">
        <w:rPr>
          <w:rFonts w:ascii="Arial" w:hAnsi="Arial" w:cs="Arial"/>
        </w:rPr>
        <w:t xml:space="preserve">, </w:t>
      </w:r>
      <w:r w:rsidR="00AC60D0" w:rsidRPr="00896D0A">
        <w:rPr>
          <w:rFonts w:ascii="Arial" w:hAnsi="Arial" w:cs="Arial"/>
          <w:i/>
          <w:iCs/>
        </w:rPr>
        <w:t xml:space="preserve">Wild &amp; Marr (Pty) Ltd v Intratek </w:t>
      </w:r>
      <w:r w:rsidR="00AE3460">
        <w:rPr>
          <w:rFonts w:ascii="Arial" w:hAnsi="Arial" w:cs="Arial"/>
          <w:i/>
          <w:iCs/>
        </w:rPr>
        <w:t xml:space="preserve"> P</w:t>
      </w:r>
      <w:r w:rsidR="00AC60D0" w:rsidRPr="00896D0A">
        <w:rPr>
          <w:rFonts w:ascii="Arial" w:hAnsi="Arial" w:cs="Arial"/>
          <w:i/>
          <w:iCs/>
        </w:rPr>
        <w:t>roperties (Pty) Ltd</w:t>
      </w:r>
      <w:r w:rsidR="00AE3460">
        <w:rPr>
          <w:rFonts w:ascii="Arial" w:hAnsi="Arial" w:cs="Arial"/>
          <w:i/>
          <w:iCs/>
        </w:rPr>
        <w:t xml:space="preserve"> </w:t>
      </w:r>
      <w:r w:rsidR="00AC60D0" w:rsidRPr="00896D0A">
        <w:rPr>
          <w:rFonts w:ascii="Arial" w:hAnsi="Arial" w:cs="Arial"/>
        </w:rPr>
        <w:t>2019 (5) SA 310 (GJ)</w:t>
      </w:r>
      <w:r w:rsidR="00D77A9D" w:rsidRPr="00896D0A">
        <w:rPr>
          <w:rFonts w:ascii="Arial" w:hAnsi="Arial" w:cs="Arial"/>
        </w:rPr>
        <w:t>.</w:t>
      </w:r>
    </w:p>
    <w:p w14:paraId="47372670" w14:textId="5A0283A0" w:rsidR="009002EC" w:rsidRDefault="009002EC">
      <w:pPr>
        <w:pStyle w:val="FootnoteText"/>
      </w:pPr>
    </w:p>
  </w:footnote>
  <w:footnote w:id="11">
    <w:p w14:paraId="73A26F06" w14:textId="75AEC720" w:rsidR="002C1A34" w:rsidRPr="00AE3460" w:rsidRDefault="002C1A34">
      <w:pPr>
        <w:pStyle w:val="FootnoteText"/>
        <w:rPr>
          <w:rFonts w:ascii="Arial" w:hAnsi="Arial" w:cs="Arial"/>
        </w:rPr>
      </w:pPr>
      <w:r>
        <w:rPr>
          <w:rStyle w:val="FootnoteReference"/>
        </w:rPr>
        <w:footnoteRef/>
      </w:r>
      <w:r>
        <w:t xml:space="preserve"> </w:t>
      </w:r>
      <w:r w:rsidR="00CF24DF" w:rsidRPr="00AE3460">
        <w:rPr>
          <w:rFonts w:ascii="Arial" w:hAnsi="Arial" w:cs="Arial"/>
          <w:i/>
          <w:iCs/>
        </w:rPr>
        <w:t>Cooper NO and others v Market Fisheries</w:t>
      </w:r>
      <w:r w:rsidR="001E0E7C" w:rsidRPr="00AE3460">
        <w:rPr>
          <w:rFonts w:ascii="Arial" w:hAnsi="Arial" w:cs="Arial"/>
          <w:i/>
          <w:iCs/>
        </w:rPr>
        <w:t xml:space="preserve"> </w:t>
      </w:r>
      <w:r w:rsidR="00CF24DF" w:rsidRPr="00AE3460">
        <w:rPr>
          <w:rFonts w:ascii="Arial" w:hAnsi="Arial" w:cs="Arial"/>
          <w:i/>
          <w:iCs/>
        </w:rPr>
        <w:t>(Ou</w:t>
      </w:r>
      <w:r w:rsidR="008A2156" w:rsidRPr="00AE3460">
        <w:rPr>
          <w:rFonts w:ascii="Arial" w:hAnsi="Arial" w:cs="Arial"/>
          <w:i/>
          <w:iCs/>
        </w:rPr>
        <w:t>d</w:t>
      </w:r>
      <w:r w:rsidR="00CF24DF" w:rsidRPr="00AE3460">
        <w:rPr>
          <w:rFonts w:ascii="Arial" w:hAnsi="Arial" w:cs="Arial"/>
          <w:i/>
          <w:iCs/>
        </w:rPr>
        <w:t>tshoorn) CC</w:t>
      </w:r>
      <w:r w:rsidR="00CF24DF" w:rsidRPr="00AE3460">
        <w:rPr>
          <w:rFonts w:ascii="Arial" w:hAnsi="Arial" w:cs="Arial"/>
        </w:rPr>
        <w:t xml:space="preserve"> 2023 JDR 0790 (WCC) </w:t>
      </w:r>
    </w:p>
  </w:footnote>
  <w:footnote w:id="12">
    <w:p w14:paraId="271F81FB" w14:textId="7075651B" w:rsidR="0040606B" w:rsidRPr="00AE3460" w:rsidRDefault="0040606B">
      <w:pPr>
        <w:pStyle w:val="FootnoteText"/>
        <w:rPr>
          <w:rFonts w:ascii="Arial" w:hAnsi="Arial" w:cs="Arial"/>
        </w:rPr>
      </w:pPr>
      <w:r w:rsidRPr="00AE3460">
        <w:rPr>
          <w:rStyle w:val="FootnoteReference"/>
          <w:rFonts w:ascii="Arial" w:hAnsi="Arial" w:cs="Arial"/>
        </w:rPr>
        <w:footnoteRef/>
      </w:r>
      <w:r w:rsidRPr="00AE3460">
        <w:rPr>
          <w:rFonts w:ascii="Arial" w:hAnsi="Arial" w:cs="Arial"/>
        </w:rPr>
        <w:t xml:space="preserve"> See par </w:t>
      </w:r>
      <w:r w:rsidR="00127671" w:rsidRPr="00AE3460">
        <w:rPr>
          <w:rFonts w:ascii="Arial" w:hAnsi="Arial" w:cs="Arial"/>
        </w:rPr>
        <w:t>20.</w:t>
      </w:r>
    </w:p>
  </w:footnote>
  <w:footnote w:id="13">
    <w:p w14:paraId="21AA7C2A" w14:textId="4DCD3FAA" w:rsidR="00517C74" w:rsidRPr="00AE3460" w:rsidRDefault="00517C74">
      <w:pPr>
        <w:pStyle w:val="FootnoteText"/>
        <w:rPr>
          <w:rFonts w:ascii="Arial" w:hAnsi="Arial" w:cs="Arial"/>
        </w:rPr>
      </w:pPr>
      <w:r w:rsidRPr="00AE3460">
        <w:rPr>
          <w:rStyle w:val="FootnoteReference"/>
          <w:rFonts w:ascii="Arial" w:hAnsi="Arial" w:cs="Arial"/>
        </w:rPr>
        <w:footnoteRef/>
      </w:r>
      <w:r w:rsidRPr="00AE3460">
        <w:rPr>
          <w:rFonts w:ascii="Arial" w:hAnsi="Arial" w:cs="Arial"/>
        </w:rPr>
        <w:t xml:space="preserve"> See par </w:t>
      </w:r>
      <w:r w:rsidR="00D62CAB" w:rsidRPr="00AE3460">
        <w:rPr>
          <w:rFonts w:ascii="Arial" w:hAnsi="Arial" w:cs="Arial"/>
        </w:rPr>
        <w:t>19.</w:t>
      </w:r>
      <w:r w:rsidR="001E0E7C" w:rsidRPr="00AE3460">
        <w:rPr>
          <w:rFonts w:ascii="Arial" w:hAnsi="Arial" w:cs="Arial"/>
        </w:rPr>
        <w:t xml:space="preserve"> The </w:t>
      </w:r>
      <w:r w:rsidR="008A41C2" w:rsidRPr="00AE3460">
        <w:rPr>
          <w:rFonts w:ascii="Arial" w:hAnsi="Arial" w:cs="Arial"/>
        </w:rPr>
        <w:t>reasoning being that dual jurisdiction applied to companies under the 1973 Companies Act.</w:t>
      </w:r>
    </w:p>
  </w:footnote>
  <w:footnote w:id="14">
    <w:p w14:paraId="03BE6855" w14:textId="0EFF6FB0" w:rsidR="00FC70EB" w:rsidRPr="00AE3460" w:rsidRDefault="00FC70EB">
      <w:pPr>
        <w:pStyle w:val="FootnoteText"/>
        <w:rPr>
          <w:rFonts w:ascii="Arial" w:hAnsi="Arial" w:cs="Arial"/>
        </w:rPr>
      </w:pPr>
      <w:r w:rsidRPr="00AE3460">
        <w:rPr>
          <w:rStyle w:val="FootnoteReference"/>
          <w:rFonts w:ascii="Arial" w:hAnsi="Arial" w:cs="Arial"/>
        </w:rPr>
        <w:footnoteRef/>
      </w:r>
      <w:r w:rsidRPr="00AE3460">
        <w:rPr>
          <w:rFonts w:ascii="Arial" w:hAnsi="Arial" w:cs="Arial"/>
        </w:rPr>
        <w:t xml:space="preserve"> Par 20.</w:t>
      </w:r>
    </w:p>
  </w:footnote>
  <w:footnote w:id="15">
    <w:p w14:paraId="586D64B1" w14:textId="4CAF42F2" w:rsidR="006A2C6A" w:rsidRPr="00AE3460" w:rsidRDefault="006A2C6A">
      <w:pPr>
        <w:pStyle w:val="FootnoteText"/>
        <w:rPr>
          <w:rFonts w:ascii="Arial" w:hAnsi="Arial" w:cs="Arial"/>
        </w:rPr>
      </w:pPr>
      <w:r>
        <w:rPr>
          <w:rStyle w:val="FootnoteReference"/>
        </w:rPr>
        <w:footnoteRef/>
      </w:r>
      <w:r>
        <w:t xml:space="preserve"> </w:t>
      </w:r>
      <w:r w:rsidRPr="00AE3460">
        <w:rPr>
          <w:rFonts w:ascii="Arial" w:hAnsi="Arial" w:cs="Arial"/>
        </w:rPr>
        <w:t>Section 23</w:t>
      </w:r>
      <w:r w:rsidR="006459F9" w:rsidRPr="00AE3460">
        <w:rPr>
          <w:rFonts w:ascii="Arial" w:hAnsi="Arial" w:cs="Arial"/>
        </w:rPr>
        <w:t>(3).</w:t>
      </w:r>
    </w:p>
  </w:footnote>
  <w:footnote w:id="16">
    <w:p w14:paraId="30C392AA" w14:textId="4F462304" w:rsidR="006459F9" w:rsidRPr="00AE3460" w:rsidRDefault="006459F9">
      <w:pPr>
        <w:pStyle w:val="FootnoteText"/>
        <w:rPr>
          <w:rFonts w:ascii="Arial" w:hAnsi="Arial" w:cs="Arial"/>
        </w:rPr>
      </w:pPr>
      <w:r w:rsidRPr="00AE3460">
        <w:rPr>
          <w:rStyle w:val="FootnoteReference"/>
          <w:rFonts w:ascii="Arial" w:hAnsi="Arial" w:cs="Arial"/>
        </w:rPr>
        <w:footnoteRef/>
      </w:r>
      <w:r w:rsidRPr="00AE3460">
        <w:rPr>
          <w:rFonts w:ascii="Arial" w:hAnsi="Arial" w:cs="Arial"/>
        </w:rPr>
        <w:t xml:space="preserve"> Section 25.</w:t>
      </w:r>
    </w:p>
  </w:footnote>
  <w:footnote w:id="17">
    <w:p w14:paraId="34B58BD0" w14:textId="4883B929" w:rsidR="00105F8F" w:rsidRPr="00AE3460" w:rsidRDefault="00105F8F">
      <w:pPr>
        <w:pStyle w:val="FootnoteText"/>
        <w:rPr>
          <w:rFonts w:ascii="Arial" w:hAnsi="Arial" w:cs="Arial"/>
        </w:rPr>
      </w:pPr>
      <w:r w:rsidRPr="00AE3460">
        <w:rPr>
          <w:rStyle w:val="FootnoteReference"/>
          <w:rFonts w:ascii="Arial" w:hAnsi="Arial" w:cs="Arial"/>
        </w:rPr>
        <w:footnoteRef/>
      </w:r>
      <w:r w:rsidRPr="00AE3460">
        <w:rPr>
          <w:rFonts w:ascii="Arial" w:hAnsi="Arial" w:cs="Arial"/>
        </w:rPr>
        <w:t xml:space="preserve"> The Constitution of the Republic of South Africa, 1996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670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BD1269"/>
    <w:multiLevelType w:val="multilevel"/>
    <w:tmpl w:val="37E6E9D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3">
    <w:nsid w:val="0CF1190C"/>
    <w:multiLevelType w:val="multilevel"/>
    <w:tmpl w:val="C0A8780E"/>
    <w:styleLink w:val="DMJUDGMENT"/>
    <w:lvl w:ilvl="0">
      <w:start w:val="1"/>
      <w:numFmt w:val="none"/>
      <w:lvlText w:val="[1]%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DD31825"/>
    <w:multiLevelType w:val="multilevel"/>
    <w:tmpl w:val="A0149DFA"/>
    <w:name w:val="DMList1"/>
    <w:styleLink w:val="DMList"/>
    <w:lvl w:ilvl="0">
      <w:start w:val="1"/>
      <w:numFmt w:val="decimal"/>
      <w:pStyle w:val="DMLegal1"/>
      <w:lvlText w:val="%1"/>
      <w:lvlJc w:val="left"/>
      <w:pPr>
        <w:tabs>
          <w:tab w:val="num" w:pos="567"/>
        </w:tabs>
        <w:ind w:left="851" w:hanging="284"/>
      </w:pPr>
      <w:rPr>
        <w:rFonts w:ascii="Arial" w:hAnsi="Arial" w:hint="default"/>
        <w:b w:val="0"/>
        <w:bCs w:val="0"/>
        <w:i w:val="0"/>
        <w:color w:val="auto"/>
        <w:sz w:val="24"/>
      </w:rPr>
    </w:lvl>
    <w:lvl w:ilvl="1">
      <w:start w:val="1"/>
      <w:numFmt w:val="decimal"/>
      <w:pStyle w:val="DMLEGAL2"/>
      <w:lvlText w:val="%1.%2."/>
      <w:lvlJc w:val="left"/>
      <w:pPr>
        <w:tabs>
          <w:tab w:val="num" w:pos="1418"/>
        </w:tabs>
        <w:ind w:left="1702" w:hanging="284"/>
      </w:pPr>
      <w:rPr>
        <w:rFonts w:hint="default"/>
        <w:b w:val="0"/>
        <w:bCs w:val="0"/>
      </w:rPr>
    </w:lvl>
    <w:lvl w:ilvl="2">
      <w:start w:val="1"/>
      <w:numFmt w:val="decimal"/>
      <w:pStyle w:val="DMLEGAL3"/>
      <w:lvlText w:val="%1.%2.%3."/>
      <w:lvlJc w:val="left"/>
      <w:pPr>
        <w:tabs>
          <w:tab w:val="num" w:pos="2269"/>
        </w:tabs>
        <w:ind w:left="2553" w:hanging="284"/>
      </w:pPr>
      <w:rPr>
        <w:rFonts w:hint="default"/>
      </w:rPr>
    </w:lvl>
    <w:lvl w:ilvl="3">
      <w:start w:val="1"/>
      <w:numFmt w:val="decimal"/>
      <w:lvlText w:val="%1.%2.%3.%4."/>
      <w:lvlJc w:val="left"/>
      <w:pPr>
        <w:tabs>
          <w:tab w:val="num" w:pos="3120"/>
        </w:tabs>
        <w:ind w:left="3404" w:hanging="284"/>
      </w:pPr>
      <w:rPr>
        <w:rFonts w:hint="default"/>
      </w:rPr>
    </w:lvl>
    <w:lvl w:ilvl="4">
      <w:start w:val="1"/>
      <w:numFmt w:val="decimal"/>
      <w:lvlText w:val="%1.%2.%3.%4.%5."/>
      <w:lvlJc w:val="left"/>
      <w:pPr>
        <w:tabs>
          <w:tab w:val="num" w:pos="3971"/>
        </w:tabs>
        <w:ind w:left="4255" w:hanging="284"/>
      </w:pPr>
      <w:rPr>
        <w:rFonts w:hint="default"/>
      </w:rPr>
    </w:lvl>
    <w:lvl w:ilvl="5">
      <w:start w:val="1"/>
      <w:numFmt w:val="decimal"/>
      <w:lvlText w:val="%1.%2.%3.%4.%5.%6."/>
      <w:lvlJc w:val="left"/>
      <w:pPr>
        <w:tabs>
          <w:tab w:val="num" w:pos="4822"/>
        </w:tabs>
        <w:ind w:left="5106" w:hanging="284"/>
      </w:pPr>
      <w:rPr>
        <w:rFonts w:hint="default"/>
      </w:rPr>
    </w:lvl>
    <w:lvl w:ilvl="6">
      <w:start w:val="1"/>
      <w:numFmt w:val="decimal"/>
      <w:lvlText w:val="%1.%2.%3.%4.%5.%6.%7."/>
      <w:lvlJc w:val="left"/>
      <w:pPr>
        <w:tabs>
          <w:tab w:val="num" w:pos="5673"/>
        </w:tabs>
        <w:ind w:left="5957" w:hanging="284"/>
      </w:pPr>
      <w:rPr>
        <w:rFonts w:hint="default"/>
      </w:rPr>
    </w:lvl>
    <w:lvl w:ilvl="7">
      <w:start w:val="1"/>
      <w:numFmt w:val="decimal"/>
      <w:lvlText w:val="%1.%2.%3.%4.%5.%6.%7.%8."/>
      <w:lvlJc w:val="left"/>
      <w:pPr>
        <w:tabs>
          <w:tab w:val="num" w:pos="6524"/>
        </w:tabs>
        <w:ind w:left="6808" w:hanging="284"/>
      </w:pPr>
      <w:rPr>
        <w:rFonts w:hint="default"/>
      </w:rPr>
    </w:lvl>
    <w:lvl w:ilvl="8">
      <w:start w:val="1"/>
      <w:numFmt w:val="decimal"/>
      <w:lvlText w:val="%1.%2.%3.%4.%5.%6.%7.%8.%9."/>
      <w:lvlJc w:val="left"/>
      <w:pPr>
        <w:tabs>
          <w:tab w:val="num" w:pos="7375"/>
        </w:tabs>
        <w:ind w:left="7659" w:hanging="284"/>
      </w:pPr>
      <w:rPr>
        <w:rFonts w:hint="default"/>
      </w:rPr>
    </w:lvl>
  </w:abstractNum>
  <w:abstractNum w:abstractNumId="5">
    <w:nsid w:val="1F5705F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FE0ECE"/>
    <w:multiLevelType w:val="hybridMultilevel"/>
    <w:tmpl w:val="683A155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33467E"/>
    <w:multiLevelType w:val="multilevel"/>
    <w:tmpl w:val="37E6E9D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9F67BA1"/>
    <w:multiLevelType w:val="multilevel"/>
    <w:tmpl w:val="583C60CE"/>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2D9F7A5E"/>
    <w:multiLevelType w:val="hybridMultilevel"/>
    <w:tmpl w:val="5226DB34"/>
    <w:lvl w:ilvl="0" w:tplc="1A3CCDE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EA816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61331B0"/>
    <w:multiLevelType w:val="multilevel"/>
    <w:tmpl w:val="9748339A"/>
    <w:styleLink w:val="DMLISTSTYLE"/>
    <w:lvl w:ilvl="0">
      <w:start w:val="1"/>
      <w:numFmt w:val="decimal"/>
      <w:lvlText w:val="%1."/>
      <w:lvlJc w:val="left"/>
      <w:pPr>
        <w:tabs>
          <w:tab w:val="num" w:pos="851"/>
        </w:tabs>
        <w:ind w:left="851" w:hanging="851"/>
      </w:pPr>
      <w:rPr>
        <w:rFonts w:hint="default"/>
      </w:rPr>
    </w:lvl>
    <w:lvl w:ilvl="1">
      <w:start w:val="1"/>
      <w:numFmt w:val="decimal"/>
      <w:lvlRestart w:val="0"/>
      <w:lvlText w:val="%2.1"/>
      <w:lvlJc w:val="left"/>
      <w:pPr>
        <w:tabs>
          <w:tab w:val="num" w:pos="1571"/>
        </w:tabs>
        <w:ind w:left="1702" w:hanging="851"/>
      </w:pPr>
      <w:rPr>
        <w:rFonts w:hint="default"/>
      </w:rPr>
    </w:lvl>
    <w:lvl w:ilvl="2">
      <w:start w:val="1"/>
      <w:numFmt w:val="decimal"/>
      <w:lvlRestart w:val="0"/>
      <w:lvlText w:val="%3.1.1"/>
      <w:lvlJc w:val="left"/>
      <w:pPr>
        <w:tabs>
          <w:tab w:val="num" w:pos="2422"/>
        </w:tabs>
        <w:ind w:left="2553" w:hanging="851"/>
      </w:pPr>
      <w:rPr>
        <w:rFonts w:hint="default"/>
      </w:rPr>
    </w:lvl>
    <w:lvl w:ilvl="3">
      <w:start w:val="1"/>
      <w:numFmt w:val="decimal"/>
      <w:lvlRestart w:val="0"/>
      <w:lvlText w:val="%4.1,1,1"/>
      <w:lvlJc w:val="left"/>
      <w:pPr>
        <w:tabs>
          <w:tab w:val="num" w:pos="3273"/>
        </w:tabs>
        <w:ind w:left="3404" w:hanging="851"/>
      </w:pPr>
      <w:rPr>
        <w:rFonts w:hint="default"/>
      </w:rPr>
    </w:lvl>
    <w:lvl w:ilvl="4">
      <w:start w:val="1"/>
      <w:numFmt w:val="decimal"/>
      <w:lvlRestart w:val="0"/>
      <w:lvlText w:val="%5."/>
      <w:lvlJc w:val="left"/>
      <w:pPr>
        <w:tabs>
          <w:tab w:val="num" w:pos="4124"/>
        </w:tabs>
        <w:ind w:left="4255" w:hanging="851"/>
      </w:pPr>
      <w:rPr>
        <w:rFonts w:hint="default"/>
      </w:rPr>
    </w:lvl>
    <w:lvl w:ilvl="5">
      <w:start w:val="1"/>
      <w:numFmt w:val="decimal"/>
      <w:lvlRestart w:val="0"/>
      <w:lvlText w:val="%6."/>
      <w:lvlJc w:val="left"/>
      <w:pPr>
        <w:tabs>
          <w:tab w:val="num" w:pos="4975"/>
        </w:tabs>
        <w:ind w:left="5106" w:hanging="851"/>
      </w:pPr>
      <w:rPr>
        <w:rFonts w:hint="default"/>
      </w:rPr>
    </w:lvl>
    <w:lvl w:ilvl="6">
      <w:start w:val="1"/>
      <w:numFmt w:val="decimal"/>
      <w:lvlRestart w:val="0"/>
      <w:lvlText w:val="%7."/>
      <w:lvlJc w:val="left"/>
      <w:pPr>
        <w:tabs>
          <w:tab w:val="num" w:pos="5826"/>
        </w:tabs>
        <w:ind w:left="5957" w:hanging="851"/>
      </w:pPr>
      <w:rPr>
        <w:rFonts w:hint="default"/>
      </w:rPr>
    </w:lvl>
    <w:lvl w:ilvl="7">
      <w:start w:val="1"/>
      <w:numFmt w:val="decimal"/>
      <w:lvlRestart w:val="0"/>
      <w:lvlText w:val="%8."/>
      <w:lvlJc w:val="left"/>
      <w:pPr>
        <w:tabs>
          <w:tab w:val="num" w:pos="6677"/>
        </w:tabs>
        <w:ind w:left="6808" w:hanging="851"/>
      </w:pPr>
      <w:rPr>
        <w:rFonts w:hint="default"/>
      </w:rPr>
    </w:lvl>
    <w:lvl w:ilvl="8">
      <w:start w:val="1"/>
      <w:numFmt w:val="decimal"/>
      <w:lvlRestart w:val="0"/>
      <w:lvlText w:val="%9."/>
      <w:lvlJc w:val="left"/>
      <w:pPr>
        <w:tabs>
          <w:tab w:val="num" w:pos="7528"/>
        </w:tabs>
        <w:ind w:left="7659" w:hanging="851"/>
      </w:pPr>
      <w:rPr>
        <w:rFonts w:hint="default"/>
      </w:rPr>
    </w:lvl>
  </w:abstractNum>
  <w:abstractNum w:abstractNumId="12">
    <w:nsid w:val="378F1795"/>
    <w:multiLevelType w:val="multilevel"/>
    <w:tmpl w:val="18A27D0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7B28FB"/>
    <w:multiLevelType w:val="multilevel"/>
    <w:tmpl w:val="4502F3D0"/>
    <w:lvl w:ilvl="0">
      <w:start w:val="1"/>
      <w:numFmt w:val="none"/>
      <w:lvlText w:val="[1]%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69865A2"/>
    <w:multiLevelType w:val="multilevel"/>
    <w:tmpl w:val="D8F26AA2"/>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E1550F4"/>
    <w:multiLevelType w:val="multilevel"/>
    <w:tmpl w:val="3272AF4C"/>
    <w:name w:val="DMLIST4"/>
    <w:styleLink w:val="DMLEGALLIST"/>
    <w:lvl w:ilvl="0">
      <w:start w:val="1"/>
      <w:numFmt w:val="none"/>
      <w:lvlText w:val="1."/>
      <w:lvlJc w:val="left"/>
      <w:pPr>
        <w:tabs>
          <w:tab w:val="num" w:pos="567"/>
        </w:tabs>
        <w:ind w:left="851" w:hanging="284"/>
      </w:pPr>
      <w:rPr>
        <w:rFonts w:ascii="Arial" w:hAnsi="Arial" w:hint="default"/>
        <w:b w:val="0"/>
        <w:i w:val="0"/>
        <w:sz w:val="24"/>
      </w:rPr>
    </w:lvl>
    <w:lvl w:ilvl="1">
      <w:start w:val="1"/>
      <w:numFmt w:val="none"/>
      <w:lvlRestart w:val="0"/>
      <w:lvlText w:val="1.1"/>
      <w:lvlJc w:val="left"/>
      <w:pPr>
        <w:tabs>
          <w:tab w:val="num" w:pos="1418"/>
        </w:tabs>
        <w:ind w:left="2268" w:hanging="850"/>
      </w:pPr>
      <w:rPr>
        <w:rFonts w:hint="default"/>
      </w:rPr>
    </w:lvl>
    <w:lvl w:ilvl="2">
      <w:start w:val="1"/>
      <w:numFmt w:val="none"/>
      <w:lvlRestart w:val="0"/>
      <w:lvlText w:val="1.1.1"/>
      <w:lvlJc w:val="left"/>
      <w:pPr>
        <w:tabs>
          <w:tab w:val="num" w:pos="2268"/>
        </w:tabs>
        <w:ind w:left="3119" w:hanging="851"/>
      </w:pPr>
      <w:rPr>
        <w:rFonts w:hint="default"/>
      </w:rPr>
    </w:lvl>
    <w:lvl w:ilvl="3">
      <w:start w:val="1"/>
      <w:numFmt w:val="none"/>
      <w:lvlRestart w:val="0"/>
      <w:lvlText w:val="1.1.1.1"/>
      <w:lvlJc w:val="left"/>
      <w:pPr>
        <w:tabs>
          <w:tab w:val="num" w:pos="3119"/>
        </w:tabs>
        <w:ind w:left="3969" w:hanging="850"/>
      </w:pPr>
      <w:rPr>
        <w:rFonts w:ascii="Arial" w:hAnsi="Arial" w:hint="default"/>
        <w:b w:val="0"/>
        <w:i w:val="0"/>
        <w:sz w:val="24"/>
      </w:rPr>
    </w:lvl>
    <w:lvl w:ilvl="4">
      <w:start w:val="1"/>
      <w:numFmt w:val="lowerLetter"/>
      <w:lvlRestart w:val="0"/>
      <w:lvlText w:val="(%5)"/>
      <w:lvlJc w:val="left"/>
      <w:pPr>
        <w:ind w:left="1800" w:hanging="360"/>
      </w:pPr>
      <w:rPr>
        <w:rFonts w:hint="default"/>
      </w:rPr>
    </w:lvl>
    <w:lvl w:ilvl="5">
      <w:start w:val="1"/>
      <w:numFmt w:val="lowerRoman"/>
      <w:lvlRestart w:val="0"/>
      <w:lvlText w:val="(%6)"/>
      <w:lvlJc w:val="left"/>
      <w:pPr>
        <w:ind w:left="2160" w:hanging="360"/>
      </w:pPr>
      <w:rPr>
        <w:rFonts w:hint="default"/>
      </w:rPr>
    </w:lvl>
    <w:lvl w:ilvl="6">
      <w:start w:val="1"/>
      <w:numFmt w:val="decimal"/>
      <w:lvlRestart w:val="0"/>
      <w:lvlText w:val="%7."/>
      <w:lvlJc w:val="left"/>
      <w:pPr>
        <w:ind w:left="2520" w:hanging="360"/>
      </w:pPr>
      <w:rPr>
        <w:rFonts w:hint="default"/>
      </w:rPr>
    </w:lvl>
    <w:lvl w:ilvl="7">
      <w:start w:val="1"/>
      <w:numFmt w:val="lowerLetter"/>
      <w:lvlRestart w:val="0"/>
      <w:lvlText w:val="%8."/>
      <w:lvlJc w:val="left"/>
      <w:pPr>
        <w:ind w:left="2880" w:hanging="360"/>
      </w:pPr>
      <w:rPr>
        <w:rFonts w:hint="default"/>
      </w:rPr>
    </w:lvl>
    <w:lvl w:ilvl="8">
      <w:start w:val="1"/>
      <w:numFmt w:val="lowerRoman"/>
      <w:lvlRestart w:val="0"/>
      <w:lvlText w:val="%9."/>
      <w:lvlJc w:val="left"/>
      <w:pPr>
        <w:ind w:left="3240" w:hanging="360"/>
      </w:pPr>
      <w:rPr>
        <w:rFonts w:hint="default"/>
      </w:rPr>
    </w:lvl>
  </w:abstractNum>
  <w:abstractNum w:abstractNumId="16">
    <w:nsid w:val="512F4D7B"/>
    <w:multiLevelType w:val="multilevel"/>
    <w:tmpl w:val="31C82192"/>
    <w:styleLink w:val="DMLegalList0"/>
    <w:lvl w:ilvl="0">
      <w:start w:val="1"/>
      <w:numFmt w:val="decimal"/>
      <w:lvlText w:val="%1."/>
      <w:lvlJc w:val="left"/>
      <w:pPr>
        <w:ind w:left="851" w:firstLine="1417"/>
      </w:pPr>
      <w:rPr>
        <w:rFonts w:hint="default"/>
        <w:b w:val="0"/>
        <w:bCs w:val="0"/>
      </w:rPr>
    </w:lvl>
    <w:lvl w:ilvl="1">
      <w:start w:val="1"/>
      <w:numFmt w:val="decimal"/>
      <w:lvlText w:val="%1.%2."/>
      <w:lvlJc w:val="left"/>
      <w:pPr>
        <w:ind w:left="-320" w:hanging="432"/>
      </w:pPr>
      <w:rPr>
        <w:rFonts w:hint="default"/>
        <w:b w:val="0"/>
        <w:bCs w:val="0"/>
      </w:rPr>
    </w:lvl>
    <w:lvl w:ilvl="2">
      <w:start w:val="1"/>
      <w:numFmt w:val="decimal"/>
      <w:lvlText w:val="%1.%2.%3."/>
      <w:lvlJc w:val="left"/>
      <w:pPr>
        <w:ind w:left="112" w:hanging="504"/>
      </w:pPr>
      <w:rPr>
        <w:rFonts w:hint="default"/>
      </w:rPr>
    </w:lvl>
    <w:lvl w:ilvl="3">
      <w:start w:val="1"/>
      <w:numFmt w:val="decimal"/>
      <w:lvlText w:val="%1.%2.%3.%4."/>
      <w:lvlJc w:val="left"/>
      <w:pPr>
        <w:ind w:left="616" w:hanging="648"/>
      </w:pPr>
      <w:rPr>
        <w:rFonts w:hint="default"/>
      </w:rPr>
    </w:lvl>
    <w:lvl w:ilvl="4">
      <w:start w:val="1"/>
      <w:numFmt w:val="decimal"/>
      <w:lvlText w:val="%1.%2.%3.%4.%5."/>
      <w:lvlJc w:val="left"/>
      <w:pPr>
        <w:ind w:left="1120" w:hanging="792"/>
      </w:pPr>
      <w:rPr>
        <w:rFonts w:hint="default"/>
      </w:rPr>
    </w:lvl>
    <w:lvl w:ilvl="5">
      <w:start w:val="1"/>
      <w:numFmt w:val="decimal"/>
      <w:lvlText w:val="%1.%2.%3.%4.%5.%6."/>
      <w:lvlJc w:val="left"/>
      <w:pPr>
        <w:ind w:left="1624" w:hanging="936"/>
      </w:pPr>
      <w:rPr>
        <w:rFonts w:hint="default"/>
      </w:rPr>
    </w:lvl>
    <w:lvl w:ilvl="6">
      <w:start w:val="1"/>
      <w:numFmt w:val="decimal"/>
      <w:lvlText w:val="%1.%2.%3.%4.%5.%6.%7."/>
      <w:lvlJc w:val="left"/>
      <w:pPr>
        <w:ind w:left="2128" w:hanging="1080"/>
      </w:pPr>
      <w:rPr>
        <w:rFonts w:hint="default"/>
      </w:rPr>
    </w:lvl>
    <w:lvl w:ilvl="7">
      <w:start w:val="1"/>
      <w:numFmt w:val="decimal"/>
      <w:lvlText w:val="%1.%2.%3.%4.%5.%6.%7.%8."/>
      <w:lvlJc w:val="left"/>
      <w:pPr>
        <w:ind w:left="2632" w:hanging="1224"/>
      </w:pPr>
      <w:rPr>
        <w:rFonts w:hint="default"/>
      </w:rPr>
    </w:lvl>
    <w:lvl w:ilvl="8">
      <w:start w:val="1"/>
      <w:numFmt w:val="decimal"/>
      <w:lvlText w:val="%1.%2.%3.%4.%5.%6.%7.%8.%9."/>
      <w:lvlJc w:val="left"/>
      <w:pPr>
        <w:ind w:left="3208" w:hanging="1440"/>
      </w:pPr>
      <w:rPr>
        <w:rFonts w:hint="default"/>
      </w:rPr>
    </w:lvl>
  </w:abstractNum>
  <w:abstractNum w:abstractNumId="17">
    <w:nsid w:val="57133A18"/>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EEA553F"/>
    <w:multiLevelType w:val="multilevel"/>
    <w:tmpl w:val="1C09001F"/>
    <w:lvl w:ilvl="0">
      <w:start w:val="1"/>
      <w:numFmt w:val="decimal"/>
      <w:lvlText w:val="%1."/>
      <w:lvlJc w:val="left"/>
      <w:pPr>
        <w:ind w:left="1068"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F9037C7"/>
    <w:multiLevelType w:val="multilevel"/>
    <w:tmpl w:val="C0A8780E"/>
    <w:numStyleLink w:val="DMJUDGMENT"/>
  </w:abstractNum>
  <w:abstractNum w:abstractNumId="20">
    <w:nsid w:val="7D5C7926"/>
    <w:multiLevelType w:val="multilevel"/>
    <w:tmpl w:val="9A6EFF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6"/>
  </w:num>
  <w:num w:numId="3">
    <w:abstractNumId w:val="4"/>
  </w:num>
  <w:num w:numId="4">
    <w:abstractNumId w:val="4"/>
  </w:num>
  <w:num w:numId="5">
    <w:abstractNumId w:val="15"/>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6"/>
  </w:num>
  <w:num w:numId="22">
    <w:abstractNumId w:val="4"/>
  </w:num>
  <w:num w:numId="23">
    <w:abstractNumId w:val="4"/>
  </w:num>
  <w:num w:numId="24">
    <w:abstractNumId w:val="4"/>
  </w:num>
  <w:num w:numId="25">
    <w:abstractNumId w:val="5"/>
  </w:num>
  <w:num w:numId="26">
    <w:abstractNumId w:val="10"/>
  </w:num>
  <w:num w:numId="27">
    <w:abstractNumId w:val="18"/>
  </w:num>
  <w:num w:numId="28">
    <w:abstractNumId w:val="0"/>
  </w:num>
  <w:num w:numId="29">
    <w:abstractNumId w:val="3"/>
  </w:num>
  <w:num w:numId="30">
    <w:abstractNumId w:val="19"/>
  </w:num>
  <w:num w:numId="31">
    <w:abstractNumId w:val="6"/>
  </w:num>
  <w:num w:numId="32">
    <w:abstractNumId w:val="13"/>
  </w:num>
  <w:num w:numId="33">
    <w:abstractNumId w:val="7"/>
  </w:num>
  <w:num w:numId="34">
    <w:abstractNumId w:val="9"/>
  </w:num>
  <w:num w:numId="35">
    <w:abstractNumId w:val="17"/>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1"/>
  </w:num>
  <w:num w:numId="39">
    <w:abstractNumId w:val="20"/>
  </w:num>
  <w:num w:numId="40">
    <w:abstractNumId w:val="1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czNTU0NDU2MTA2NTNW0lEKTi0uzszPAykwrAUAF62ORywAAAA="/>
  </w:docVars>
  <w:rsids>
    <w:rsidRoot w:val="0041062F"/>
    <w:rsid w:val="000018A0"/>
    <w:rsid w:val="00002344"/>
    <w:rsid w:val="000026A0"/>
    <w:rsid w:val="00002778"/>
    <w:rsid w:val="00002C0A"/>
    <w:rsid w:val="000047A6"/>
    <w:rsid w:val="00004B16"/>
    <w:rsid w:val="00004BD7"/>
    <w:rsid w:val="00004F1C"/>
    <w:rsid w:val="0000535D"/>
    <w:rsid w:val="000054DD"/>
    <w:rsid w:val="00005B3C"/>
    <w:rsid w:val="00005DDE"/>
    <w:rsid w:val="00005E8E"/>
    <w:rsid w:val="00006D5D"/>
    <w:rsid w:val="000076BD"/>
    <w:rsid w:val="00007982"/>
    <w:rsid w:val="000079FA"/>
    <w:rsid w:val="00007E40"/>
    <w:rsid w:val="0001103E"/>
    <w:rsid w:val="00011C2C"/>
    <w:rsid w:val="00011CE8"/>
    <w:rsid w:val="00013A12"/>
    <w:rsid w:val="00013E20"/>
    <w:rsid w:val="000149C4"/>
    <w:rsid w:val="00014FFB"/>
    <w:rsid w:val="000166CC"/>
    <w:rsid w:val="00016E8B"/>
    <w:rsid w:val="0001705A"/>
    <w:rsid w:val="00017D9E"/>
    <w:rsid w:val="000204AC"/>
    <w:rsid w:val="00020BDA"/>
    <w:rsid w:val="000217CA"/>
    <w:rsid w:val="00021D2E"/>
    <w:rsid w:val="00024548"/>
    <w:rsid w:val="000246B0"/>
    <w:rsid w:val="0002579C"/>
    <w:rsid w:val="00025999"/>
    <w:rsid w:val="00025A1F"/>
    <w:rsid w:val="000268D8"/>
    <w:rsid w:val="00026F5A"/>
    <w:rsid w:val="000273AA"/>
    <w:rsid w:val="00027AFE"/>
    <w:rsid w:val="00027D07"/>
    <w:rsid w:val="000307E7"/>
    <w:rsid w:val="0003292D"/>
    <w:rsid w:val="00033DE7"/>
    <w:rsid w:val="00034EA6"/>
    <w:rsid w:val="0003502D"/>
    <w:rsid w:val="00037067"/>
    <w:rsid w:val="00037AB9"/>
    <w:rsid w:val="00037CDA"/>
    <w:rsid w:val="00042AE1"/>
    <w:rsid w:val="00043473"/>
    <w:rsid w:val="00044731"/>
    <w:rsid w:val="00045C67"/>
    <w:rsid w:val="0004659F"/>
    <w:rsid w:val="00046CFE"/>
    <w:rsid w:val="00050E70"/>
    <w:rsid w:val="0005127B"/>
    <w:rsid w:val="000514F6"/>
    <w:rsid w:val="0005157A"/>
    <w:rsid w:val="00052E65"/>
    <w:rsid w:val="00052F0B"/>
    <w:rsid w:val="00055F7A"/>
    <w:rsid w:val="00056459"/>
    <w:rsid w:val="00060891"/>
    <w:rsid w:val="000614D3"/>
    <w:rsid w:val="00061ADC"/>
    <w:rsid w:val="00061C52"/>
    <w:rsid w:val="00063A55"/>
    <w:rsid w:val="00064843"/>
    <w:rsid w:val="00064AF3"/>
    <w:rsid w:val="000652B8"/>
    <w:rsid w:val="00065774"/>
    <w:rsid w:val="00065890"/>
    <w:rsid w:val="00066168"/>
    <w:rsid w:val="0006693C"/>
    <w:rsid w:val="00067B50"/>
    <w:rsid w:val="00067F27"/>
    <w:rsid w:val="0007054F"/>
    <w:rsid w:val="000705EA"/>
    <w:rsid w:val="00070986"/>
    <w:rsid w:val="00070C96"/>
    <w:rsid w:val="00071CB0"/>
    <w:rsid w:val="0007224B"/>
    <w:rsid w:val="00072376"/>
    <w:rsid w:val="000729C2"/>
    <w:rsid w:val="000736E0"/>
    <w:rsid w:val="000737BD"/>
    <w:rsid w:val="00074034"/>
    <w:rsid w:val="0007471C"/>
    <w:rsid w:val="00076C10"/>
    <w:rsid w:val="00080265"/>
    <w:rsid w:val="0008029E"/>
    <w:rsid w:val="000802AE"/>
    <w:rsid w:val="00080ABF"/>
    <w:rsid w:val="00080D02"/>
    <w:rsid w:val="00081A5A"/>
    <w:rsid w:val="00082CB4"/>
    <w:rsid w:val="00083B24"/>
    <w:rsid w:val="000840E2"/>
    <w:rsid w:val="00084235"/>
    <w:rsid w:val="0008486D"/>
    <w:rsid w:val="00084A0F"/>
    <w:rsid w:val="000858DB"/>
    <w:rsid w:val="0008798F"/>
    <w:rsid w:val="000910D5"/>
    <w:rsid w:val="0009233F"/>
    <w:rsid w:val="0009262D"/>
    <w:rsid w:val="00093B47"/>
    <w:rsid w:val="00093F4A"/>
    <w:rsid w:val="000954D6"/>
    <w:rsid w:val="000954EE"/>
    <w:rsid w:val="0009627A"/>
    <w:rsid w:val="00097E86"/>
    <w:rsid w:val="000A156D"/>
    <w:rsid w:val="000A1DD9"/>
    <w:rsid w:val="000A1DED"/>
    <w:rsid w:val="000A26DC"/>
    <w:rsid w:val="000A5747"/>
    <w:rsid w:val="000A5FDD"/>
    <w:rsid w:val="000A6610"/>
    <w:rsid w:val="000A6890"/>
    <w:rsid w:val="000A6A48"/>
    <w:rsid w:val="000A6A7A"/>
    <w:rsid w:val="000B1393"/>
    <w:rsid w:val="000B239B"/>
    <w:rsid w:val="000B2743"/>
    <w:rsid w:val="000B5770"/>
    <w:rsid w:val="000B5C70"/>
    <w:rsid w:val="000B60B7"/>
    <w:rsid w:val="000B772F"/>
    <w:rsid w:val="000B776A"/>
    <w:rsid w:val="000C094D"/>
    <w:rsid w:val="000C10A7"/>
    <w:rsid w:val="000C1C4C"/>
    <w:rsid w:val="000C1ED8"/>
    <w:rsid w:val="000C2162"/>
    <w:rsid w:val="000C3621"/>
    <w:rsid w:val="000C39D7"/>
    <w:rsid w:val="000C3CBA"/>
    <w:rsid w:val="000C42C6"/>
    <w:rsid w:val="000C4467"/>
    <w:rsid w:val="000C49CD"/>
    <w:rsid w:val="000C4A87"/>
    <w:rsid w:val="000C4F65"/>
    <w:rsid w:val="000C52C1"/>
    <w:rsid w:val="000C55A9"/>
    <w:rsid w:val="000C6679"/>
    <w:rsid w:val="000C70F4"/>
    <w:rsid w:val="000D0292"/>
    <w:rsid w:val="000D1104"/>
    <w:rsid w:val="000D1C5B"/>
    <w:rsid w:val="000D39FF"/>
    <w:rsid w:val="000D4AAC"/>
    <w:rsid w:val="000D5BF0"/>
    <w:rsid w:val="000D7F08"/>
    <w:rsid w:val="000E09BD"/>
    <w:rsid w:val="000E212B"/>
    <w:rsid w:val="000E2853"/>
    <w:rsid w:val="000E2EEC"/>
    <w:rsid w:val="000E382B"/>
    <w:rsid w:val="000E3EFC"/>
    <w:rsid w:val="000E466B"/>
    <w:rsid w:val="000E4FC5"/>
    <w:rsid w:val="000E5813"/>
    <w:rsid w:val="000E60C2"/>
    <w:rsid w:val="000E63B0"/>
    <w:rsid w:val="000E6562"/>
    <w:rsid w:val="000F03E4"/>
    <w:rsid w:val="000F0DCD"/>
    <w:rsid w:val="000F1B54"/>
    <w:rsid w:val="000F1C68"/>
    <w:rsid w:val="000F2B30"/>
    <w:rsid w:val="000F30E9"/>
    <w:rsid w:val="000F3F29"/>
    <w:rsid w:val="000F4EBB"/>
    <w:rsid w:val="000F6349"/>
    <w:rsid w:val="000F63A9"/>
    <w:rsid w:val="000F640A"/>
    <w:rsid w:val="000F6EC7"/>
    <w:rsid w:val="00100482"/>
    <w:rsid w:val="0010050E"/>
    <w:rsid w:val="00100DEC"/>
    <w:rsid w:val="00100DF3"/>
    <w:rsid w:val="00101CDF"/>
    <w:rsid w:val="00102642"/>
    <w:rsid w:val="001046C4"/>
    <w:rsid w:val="00105F8F"/>
    <w:rsid w:val="00106DBA"/>
    <w:rsid w:val="001077A8"/>
    <w:rsid w:val="00110F63"/>
    <w:rsid w:val="001118AB"/>
    <w:rsid w:val="001141C5"/>
    <w:rsid w:val="00114836"/>
    <w:rsid w:val="00114953"/>
    <w:rsid w:val="00114C53"/>
    <w:rsid w:val="00115178"/>
    <w:rsid w:val="00116324"/>
    <w:rsid w:val="00117BA0"/>
    <w:rsid w:val="001213CD"/>
    <w:rsid w:val="00121DC4"/>
    <w:rsid w:val="00123097"/>
    <w:rsid w:val="001239C0"/>
    <w:rsid w:val="00125743"/>
    <w:rsid w:val="0012605C"/>
    <w:rsid w:val="0012659B"/>
    <w:rsid w:val="00127583"/>
    <w:rsid w:val="00127671"/>
    <w:rsid w:val="00130305"/>
    <w:rsid w:val="00130A3B"/>
    <w:rsid w:val="00130DC1"/>
    <w:rsid w:val="001331BF"/>
    <w:rsid w:val="00133EF2"/>
    <w:rsid w:val="001356A0"/>
    <w:rsid w:val="00137A0C"/>
    <w:rsid w:val="00140C53"/>
    <w:rsid w:val="00142AD2"/>
    <w:rsid w:val="001433D3"/>
    <w:rsid w:val="00144992"/>
    <w:rsid w:val="00144C03"/>
    <w:rsid w:val="00144E84"/>
    <w:rsid w:val="00145093"/>
    <w:rsid w:val="00145351"/>
    <w:rsid w:val="001461DC"/>
    <w:rsid w:val="00150020"/>
    <w:rsid w:val="001514A6"/>
    <w:rsid w:val="00151DD0"/>
    <w:rsid w:val="00151E2E"/>
    <w:rsid w:val="00156066"/>
    <w:rsid w:val="001570AE"/>
    <w:rsid w:val="00157D58"/>
    <w:rsid w:val="001607A9"/>
    <w:rsid w:val="001609D4"/>
    <w:rsid w:val="00161942"/>
    <w:rsid w:val="001638C9"/>
    <w:rsid w:val="00164F68"/>
    <w:rsid w:val="001651D6"/>
    <w:rsid w:val="001652FC"/>
    <w:rsid w:val="00165A51"/>
    <w:rsid w:val="00166E6C"/>
    <w:rsid w:val="00166F1B"/>
    <w:rsid w:val="0016715E"/>
    <w:rsid w:val="001678A3"/>
    <w:rsid w:val="00170C0F"/>
    <w:rsid w:val="00171FF9"/>
    <w:rsid w:val="00172F6A"/>
    <w:rsid w:val="00173798"/>
    <w:rsid w:val="001740AF"/>
    <w:rsid w:val="00176CF9"/>
    <w:rsid w:val="00177380"/>
    <w:rsid w:val="00177546"/>
    <w:rsid w:val="00180145"/>
    <w:rsid w:val="0018042D"/>
    <w:rsid w:val="00180F48"/>
    <w:rsid w:val="001815C4"/>
    <w:rsid w:val="00181DA5"/>
    <w:rsid w:val="0018554A"/>
    <w:rsid w:val="001866E0"/>
    <w:rsid w:val="00187ED6"/>
    <w:rsid w:val="001911DC"/>
    <w:rsid w:val="001912EA"/>
    <w:rsid w:val="00191944"/>
    <w:rsid w:val="00193256"/>
    <w:rsid w:val="00195588"/>
    <w:rsid w:val="001956D1"/>
    <w:rsid w:val="00197E2D"/>
    <w:rsid w:val="001A0004"/>
    <w:rsid w:val="001A1578"/>
    <w:rsid w:val="001A2552"/>
    <w:rsid w:val="001A2D01"/>
    <w:rsid w:val="001A2DE1"/>
    <w:rsid w:val="001A538C"/>
    <w:rsid w:val="001A5D5E"/>
    <w:rsid w:val="001B02A1"/>
    <w:rsid w:val="001B06B0"/>
    <w:rsid w:val="001B1F10"/>
    <w:rsid w:val="001B34C8"/>
    <w:rsid w:val="001B3750"/>
    <w:rsid w:val="001B37C4"/>
    <w:rsid w:val="001B3BEA"/>
    <w:rsid w:val="001B404C"/>
    <w:rsid w:val="001B4D10"/>
    <w:rsid w:val="001B4F6B"/>
    <w:rsid w:val="001C0CA9"/>
    <w:rsid w:val="001C1833"/>
    <w:rsid w:val="001C3F07"/>
    <w:rsid w:val="001C474D"/>
    <w:rsid w:val="001C49F8"/>
    <w:rsid w:val="001C56E8"/>
    <w:rsid w:val="001C611B"/>
    <w:rsid w:val="001C6DFC"/>
    <w:rsid w:val="001D0AC4"/>
    <w:rsid w:val="001D32C6"/>
    <w:rsid w:val="001D38A0"/>
    <w:rsid w:val="001D4B6D"/>
    <w:rsid w:val="001D5CDF"/>
    <w:rsid w:val="001D62E5"/>
    <w:rsid w:val="001D69B9"/>
    <w:rsid w:val="001D711B"/>
    <w:rsid w:val="001D72A1"/>
    <w:rsid w:val="001D7690"/>
    <w:rsid w:val="001D77BB"/>
    <w:rsid w:val="001D7DD2"/>
    <w:rsid w:val="001E0E7C"/>
    <w:rsid w:val="001E1097"/>
    <w:rsid w:val="001E1C0A"/>
    <w:rsid w:val="001E1FD6"/>
    <w:rsid w:val="001E222E"/>
    <w:rsid w:val="001E3DF7"/>
    <w:rsid w:val="001E42B0"/>
    <w:rsid w:val="001E55C2"/>
    <w:rsid w:val="001E58F7"/>
    <w:rsid w:val="001E5DB7"/>
    <w:rsid w:val="001E6155"/>
    <w:rsid w:val="001E6B91"/>
    <w:rsid w:val="001E7038"/>
    <w:rsid w:val="001F1289"/>
    <w:rsid w:val="001F1D49"/>
    <w:rsid w:val="001F20FB"/>
    <w:rsid w:val="001F2EFD"/>
    <w:rsid w:val="001F3B07"/>
    <w:rsid w:val="001F5BF9"/>
    <w:rsid w:val="001F6994"/>
    <w:rsid w:val="001F7190"/>
    <w:rsid w:val="001F7A49"/>
    <w:rsid w:val="00200C08"/>
    <w:rsid w:val="0020285F"/>
    <w:rsid w:val="00202C8B"/>
    <w:rsid w:val="00203D3D"/>
    <w:rsid w:val="00204271"/>
    <w:rsid w:val="0020498F"/>
    <w:rsid w:val="002055D3"/>
    <w:rsid w:val="002069D3"/>
    <w:rsid w:val="00207DE9"/>
    <w:rsid w:val="00210340"/>
    <w:rsid w:val="00210992"/>
    <w:rsid w:val="0021120D"/>
    <w:rsid w:val="00211A7B"/>
    <w:rsid w:val="00212024"/>
    <w:rsid w:val="00213A16"/>
    <w:rsid w:val="00214C07"/>
    <w:rsid w:val="002209BA"/>
    <w:rsid w:val="00220E2D"/>
    <w:rsid w:val="002219EC"/>
    <w:rsid w:val="00222D33"/>
    <w:rsid w:val="0022452E"/>
    <w:rsid w:val="0022474E"/>
    <w:rsid w:val="002250AB"/>
    <w:rsid w:val="0022524F"/>
    <w:rsid w:val="002276EE"/>
    <w:rsid w:val="00227746"/>
    <w:rsid w:val="00227C4A"/>
    <w:rsid w:val="00230A87"/>
    <w:rsid w:val="002318E4"/>
    <w:rsid w:val="00231BA3"/>
    <w:rsid w:val="0023286C"/>
    <w:rsid w:val="00232C96"/>
    <w:rsid w:val="00232DB4"/>
    <w:rsid w:val="00233B3E"/>
    <w:rsid w:val="002371D9"/>
    <w:rsid w:val="0023758C"/>
    <w:rsid w:val="00237A46"/>
    <w:rsid w:val="00241648"/>
    <w:rsid w:val="00241A36"/>
    <w:rsid w:val="00242AC1"/>
    <w:rsid w:val="00244596"/>
    <w:rsid w:val="0024662E"/>
    <w:rsid w:val="002475A7"/>
    <w:rsid w:val="00251F30"/>
    <w:rsid w:val="002532AE"/>
    <w:rsid w:val="00253338"/>
    <w:rsid w:val="00253884"/>
    <w:rsid w:val="0025487E"/>
    <w:rsid w:val="00254C64"/>
    <w:rsid w:val="00254D8C"/>
    <w:rsid w:val="00256C21"/>
    <w:rsid w:val="00257C93"/>
    <w:rsid w:val="0026123D"/>
    <w:rsid w:val="00261A01"/>
    <w:rsid w:val="00262748"/>
    <w:rsid w:val="002654BD"/>
    <w:rsid w:val="00266838"/>
    <w:rsid w:val="00267AC7"/>
    <w:rsid w:val="00267DF3"/>
    <w:rsid w:val="00267E08"/>
    <w:rsid w:val="00270117"/>
    <w:rsid w:val="002705CB"/>
    <w:rsid w:val="0027344E"/>
    <w:rsid w:val="0027504F"/>
    <w:rsid w:val="00276402"/>
    <w:rsid w:val="002774C6"/>
    <w:rsid w:val="002776B5"/>
    <w:rsid w:val="00277868"/>
    <w:rsid w:val="00277BB8"/>
    <w:rsid w:val="00277C3A"/>
    <w:rsid w:val="00277E7A"/>
    <w:rsid w:val="00280601"/>
    <w:rsid w:val="00280BCA"/>
    <w:rsid w:val="00281E91"/>
    <w:rsid w:val="00282237"/>
    <w:rsid w:val="00282EB3"/>
    <w:rsid w:val="002853E0"/>
    <w:rsid w:val="0028548A"/>
    <w:rsid w:val="00292B00"/>
    <w:rsid w:val="0029308E"/>
    <w:rsid w:val="00293E06"/>
    <w:rsid w:val="002942B0"/>
    <w:rsid w:val="00297127"/>
    <w:rsid w:val="00297E6B"/>
    <w:rsid w:val="002A0C41"/>
    <w:rsid w:val="002A211A"/>
    <w:rsid w:val="002A3141"/>
    <w:rsid w:val="002A32C5"/>
    <w:rsid w:val="002A3880"/>
    <w:rsid w:val="002A4622"/>
    <w:rsid w:val="002A49D6"/>
    <w:rsid w:val="002A4BE4"/>
    <w:rsid w:val="002A7756"/>
    <w:rsid w:val="002B03E9"/>
    <w:rsid w:val="002B0847"/>
    <w:rsid w:val="002B10AB"/>
    <w:rsid w:val="002B1696"/>
    <w:rsid w:val="002B2B7E"/>
    <w:rsid w:val="002B3114"/>
    <w:rsid w:val="002B625A"/>
    <w:rsid w:val="002B6AEE"/>
    <w:rsid w:val="002C0171"/>
    <w:rsid w:val="002C17CA"/>
    <w:rsid w:val="002C1A34"/>
    <w:rsid w:val="002C1C8A"/>
    <w:rsid w:val="002C27D4"/>
    <w:rsid w:val="002C576A"/>
    <w:rsid w:val="002C61A7"/>
    <w:rsid w:val="002C7BF2"/>
    <w:rsid w:val="002D1764"/>
    <w:rsid w:val="002D177B"/>
    <w:rsid w:val="002D2BBF"/>
    <w:rsid w:val="002D78DB"/>
    <w:rsid w:val="002E0208"/>
    <w:rsid w:val="002E0876"/>
    <w:rsid w:val="002E1FEB"/>
    <w:rsid w:val="002E23DD"/>
    <w:rsid w:val="002E248C"/>
    <w:rsid w:val="002E2AF4"/>
    <w:rsid w:val="002E3BF5"/>
    <w:rsid w:val="002E3FB6"/>
    <w:rsid w:val="002E5B0E"/>
    <w:rsid w:val="002E715A"/>
    <w:rsid w:val="002E75FE"/>
    <w:rsid w:val="002E7761"/>
    <w:rsid w:val="002F02BC"/>
    <w:rsid w:val="002F21E9"/>
    <w:rsid w:val="002F3689"/>
    <w:rsid w:val="002F3980"/>
    <w:rsid w:val="002F3D58"/>
    <w:rsid w:val="002F4A9B"/>
    <w:rsid w:val="002F4C52"/>
    <w:rsid w:val="002F6BBB"/>
    <w:rsid w:val="002F6EA8"/>
    <w:rsid w:val="002F785B"/>
    <w:rsid w:val="00300DBB"/>
    <w:rsid w:val="0030182E"/>
    <w:rsid w:val="003018E6"/>
    <w:rsid w:val="00304939"/>
    <w:rsid w:val="00305224"/>
    <w:rsid w:val="003059CF"/>
    <w:rsid w:val="003066A5"/>
    <w:rsid w:val="0030684E"/>
    <w:rsid w:val="00307F79"/>
    <w:rsid w:val="003102A7"/>
    <w:rsid w:val="00310BE9"/>
    <w:rsid w:val="0031238A"/>
    <w:rsid w:val="00313C73"/>
    <w:rsid w:val="003146A6"/>
    <w:rsid w:val="003159F2"/>
    <w:rsid w:val="00315A99"/>
    <w:rsid w:val="003162A2"/>
    <w:rsid w:val="0031782B"/>
    <w:rsid w:val="00320654"/>
    <w:rsid w:val="003208BC"/>
    <w:rsid w:val="00320BE4"/>
    <w:rsid w:val="00320EF5"/>
    <w:rsid w:val="0032290D"/>
    <w:rsid w:val="00324B9B"/>
    <w:rsid w:val="003279BC"/>
    <w:rsid w:val="003316EE"/>
    <w:rsid w:val="00331FA6"/>
    <w:rsid w:val="00333AE9"/>
    <w:rsid w:val="00333C8F"/>
    <w:rsid w:val="00333EEE"/>
    <w:rsid w:val="00334F7C"/>
    <w:rsid w:val="00335BA3"/>
    <w:rsid w:val="00336087"/>
    <w:rsid w:val="00337B27"/>
    <w:rsid w:val="00343276"/>
    <w:rsid w:val="00344B54"/>
    <w:rsid w:val="00346807"/>
    <w:rsid w:val="003500F5"/>
    <w:rsid w:val="0035183B"/>
    <w:rsid w:val="003522E2"/>
    <w:rsid w:val="0035240A"/>
    <w:rsid w:val="003525BB"/>
    <w:rsid w:val="00352A40"/>
    <w:rsid w:val="00352D19"/>
    <w:rsid w:val="00352E8F"/>
    <w:rsid w:val="00353643"/>
    <w:rsid w:val="0035388B"/>
    <w:rsid w:val="003538BF"/>
    <w:rsid w:val="0035491A"/>
    <w:rsid w:val="00354A68"/>
    <w:rsid w:val="00356014"/>
    <w:rsid w:val="003569A3"/>
    <w:rsid w:val="00360460"/>
    <w:rsid w:val="00362205"/>
    <w:rsid w:val="003645FE"/>
    <w:rsid w:val="00365A53"/>
    <w:rsid w:val="00365BF4"/>
    <w:rsid w:val="00372E80"/>
    <w:rsid w:val="003751A6"/>
    <w:rsid w:val="003755AD"/>
    <w:rsid w:val="00375E63"/>
    <w:rsid w:val="00375E73"/>
    <w:rsid w:val="00375FA4"/>
    <w:rsid w:val="00376080"/>
    <w:rsid w:val="003761D0"/>
    <w:rsid w:val="0038120B"/>
    <w:rsid w:val="00381620"/>
    <w:rsid w:val="0038243B"/>
    <w:rsid w:val="0038257B"/>
    <w:rsid w:val="0038453A"/>
    <w:rsid w:val="00384BD7"/>
    <w:rsid w:val="00386186"/>
    <w:rsid w:val="00386AB4"/>
    <w:rsid w:val="00390BB0"/>
    <w:rsid w:val="003934B4"/>
    <w:rsid w:val="00393CB8"/>
    <w:rsid w:val="003945AE"/>
    <w:rsid w:val="00394A54"/>
    <w:rsid w:val="0039585D"/>
    <w:rsid w:val="00395CC3"/>
    <w:rsid w:val="00396D73"/>
    <w:rsid w:val="00396ECD"/>
    <w:rsid w:val="0039725E"/>
    <w:rsid w:val="00397534"/>
    <w:rsid w:val="003A1C72"/>
    <w:rsid w:val="003A3234"/>
    <w:rsid w:val="003A4BEB"/>
    <w:rsid w:val="003A4F3B"/>
    <w:rsid w:val="003A53D5"/>
    <w:rsid w:val="003A70FD"/>
    <w:rsid w:val="003A7DB3"/>
    <w:rsid w:val="003B04DF"/>
    <w:rsid w:val="003B10EB"/>
    <w:rsid w:val="003B175D"/>
    <w:rsid w:val="003B1BA6"/>
    <w:rsid w:val="003B2FE6"/>
    <w:rsid w:val="003B3794"/>
    <w:rsid w:val="003B4AA3"/>
    <w:rsid w:val="003B4E61"/>
    <w:rsid w:val="003B5555"/>
    <w:rsid w:val="003B6CB9"/>
    <w:rsid w:val="003B7A76"/>
    <w:rsid w:val="003B7F43"/>
    <w:rsid w:val="003C025E"/>
    <w:rsid w:val="003C04DD"/>
    <w:rsid w:val="003C0A56"/>
    <w:rsid w:val="003C0AC9"/>
    <w:rsid w:val="003C2C19"/>
    <w:rsid w:val="003C433C"/>
    <w:rsid w:val="003C51B6"/>
    <w:rsid w:val="003C533D"/>
    <w:rsid w:val="003C70B2"/>
    <w:rsid w:val="003C71E9"/>
    <w:rsid w:val="003D1389"/>
    <w:rsid w:val="003D1C77"/>
    <w:rsid w:val="003D25F0"/>
    <w:rsid w:val="003D2F7F"/>
    <w:rsid w:val="003D3495"/>
    <w:rsid w:val="003D352F"/>
    <w:rsid w:val="003D3D45"/>
    <w:rsid w:val="003D5811"/>
    <w:rsid w:val="003D69FA"/>
    <w:rsid w:val="003D6BBD"/>
    <w:rsid w:val="003E0B85"/>
    <w:rsid w:val="003E2D0E"/>
    <w:rsid w:val="003E494D"/>
    <w:rsid w:val="003E54CE"/>
    <w:rsid w:val="003E5F32"/>
    <w:rsid w:val="003E6C2E"/>
    <w:rsid w:val="003F0DF8"/>
    <w:rsid w:val="003F1797"/>
    <w:rsid w:val="003F3F85"/>
    <w:rsid w:val="003F458E"/>
    <w:rsid w:val="003F508B"/>
    <w:rsid w:val="003F546D"/>
    <w:rsid w:val="003F6E29"/>
    <w:rsid w:val="00400EE5"/>
    <w:rsid w:val="00402A92"/>
    <w:rsid w:val="00403B9C"/>
    <w:rsid w:val="00404939"/>
    <w:rsid w:val="0040606B"/>
    <w:rsid w:val="0040637D"/>
    <w:rsid w:val="00407692"/>
    <w:rsid w:val="00407A28"/>
    <w:rsid w:val="00407CFE"/>
    <w:rsid w:val="00407E2B"/>
    <w:rsid w:val="00410336"/>
    <w:rsid w:val="0041062F"/>
    <w:rsid w:val="004106C0"/>
    <w:rsid w:val="00411262"/>
    <w:rsid w:val="00411BC8"/>
    <w:rsid w:val="00411E10"/>
    <w:rsid w:val="00412E25"/>
    <w:rsid w:val="004136F5"/>
    <w:rsid w:val="00413AD5"/>
    <w:rsid w:val="00414762"/>
    <w:rsid w:val="004147DA"/>
    <w:rsid w:val="00414A4A"/>
    <w:rsid w:val="00415439"/>
    <w:rsid w:val="0041597B"/>
    <w:rsid w:val="00415A9D"/>
    <w:rsid w:val="004167B6"/>
    <w:rsid w:val="004169E8"/>
    <w:rsid w:val="004178BF"/>
    <w:rsid w:val="00417BB1"/>
    <w:rsid w:val="004200C9"/>
    <w:rsid w:val="00420586"/>
    <w:rsid w:val="00421A61"/>
    <w:rsid w:val="00423263"/>
    <w:rsid w:val="00423306"/>
    <w:rsid w:val="00423712"/>
    <w:rsid w:val="0042372A"/>
    <w:rsid w:val="00423BDA"/>
    <w:rsid w:val="00423C38"/>
    <w:rsid w:val="004244DA"/>
    <w:rsid w:val="00424658"/>
    <w:rsid w:val="004253B3"/>
    <w:rsid w:val="004261FC"/>
    <w:rsid w:val="00427638"/>
    <w:rsid w:val="00430608"/>
    <w:rsid w:val="00430D6B"/>
    <w:rsid w:val="00431235"/>
    <w:rsid w:val="00431A38"/>
    <w:rsid w:val="00432517"/>
    <w:rsid w:val="0043377D"/>
    <w:rsid w:val="00434CF8"/>
    <w:rsid w:val="00435044"/>
    <w:rsid w:val="004360A7"/>
    <w:rsid w:val="0043629C"/>
    <w:rsid w:val="00437097"/>
    <w:rsid w:val="004404A9"/>
    <w:rsid w:val="00441903"/>
    <w:rsid w:val="00446568"/>
    <w:rsid w:val="004469AB"/>
    <w:rsid w:val="00446B8F"/>
    <w:rsid w:val="00447C85"/>
    <w:rsid w:val="004517C7"/>
    <w:rsid w:val="00451C76"/>
    <w:rsid w:val="00451E8E"/>
    <w:rsid w:val="0045212B"/>
    <w:rsid w:val="004526AD"/>
    <w:rsid w:val="00453493"/>
    <w:rsid w:val="00453835"/>
    <w:rsid w:val="00453D0A"/>
    <w:rsid w:val="00454E77"/>
    <w:rsid w:val="004569AF"/>
    <w:rsid w:val="0045714E"/>
    <w:rsid w:val="0045771D"/>
    <w:rsid w:val="00460077"/>
    <w:rsid w:val="00460486"/>
    <w:rsid w:val="004616B3"/>
    <w:rsid w:val="004637A4"/>
    <w:rsid w:val="00464A55"/>
    <w:rsid w:val="00465A96"/>
    <w:rsid w:val="00466484"/>
    <w:rsid w:val="00470233"/>
    <w:rsid w:val="00471C03"/>
    <w:rsid w:val="00472FA9"/>
    <w:rsid w:val="004738ED"/>
    <w:rsid w:val="0047397D"/>
    <w:rsid w:val="004739AB"/>
    <w:rsid w:val="00474E04"/>
    <w:rsid w:val="00476FC7"/>
    <w:rsid w:val="00477991"/>
    <w:rsid w:val="00477DA2"/>
    <w:rsid w:val="00480BCF"/>
    <w:rsid w:val="00480E4C"/>
    <w:rsid w:val="00481182"/>
    <w:rsid w:val="004818B6"/>
    <w:rsid w:val="004847BC"/>
    <w:rsid w:val="00485C94"/>
    <w:rsid w:val="004868E9"/>
    <w:rsid w:val="004873E4"/>
    <w:rsid w:val="00490AA3"/>
    <w:rsid w:val="00490ABA"/>
    <w:rsid w:val="00491565"/>
    <w:rsid w:val="004916D1"/>
    <w:rsid w:val="00491D8F"/>
    <w:rsid w:val="00491F1D"/>
    <w:rsid w:val="00492421"/>
    <w:rsid w:val="00492DFB"/>
    <w:rsid w:val="00492FF4"/>
    <w:rsid w:val="004949EA"/>
    <w:rsid w:val="00494F93"/>
    <w:rsid w:val="00495FA0"/>
    <w:rsid w:val="00497A85"/>
    <w:rsid w:val="004A0A8B"/>
    <w:rsid w:val="004A1242"/>
    <w:rsid w:val="004A2116"/>
    <w:rsid w:val="004A295E"/>
    <w:rsid w:val="004A37D1"/>
    <w:rsid w:val="004A3807"/>
    <w:rsid w:val="004A407F"/>
    <w:rsid w:val="004A486E"/>
    <w:rsid w:val="004A58C8"/>
    <w:rsid w:val="004A5C88"/>
    <w:rsid w:val="004A69A7"/>
    <w:rsid w:val="004A7731"/>
    <w:rsid w:val="004B1151"/>
    <w:rsid w:val="004B1724"/>
    <w:rsid w:val="004B1BB7"/>
    <w:rsid w:val="004B1DD6"/>
    <w:rsid w:val="004B2C3B"/>
    <w:rsid w:val="004B3807"/>
    <w:rsid w:val="004B39D6"/>
    <w:rsid w:val="004B4FD0"/>
    <w:rsid w:val="004C136D"/>
    <w:rsid w:val="004C2BE2"/>
    <w:rsid w:val="004C2C86"/>
    <w:rsid w:val="004C3404"/>
    <w:rsid w:val="004C395B"/>
    <w:rsid w:val="004C5732"/>
    <w:rsid w:val="004C5907"/>
    <w:rsid w:val="004C6A55"/>
    <w:rsid w:val="004D0CA2"/>
    <w:rsid w:val="004D47E9"/>
    <w:rsid w:val="004D49A2"/>
    <w:rsid w:val="004D5B61"/>
    <w:rsid w:val="004D5C86"/>
    <w:rsid w:val="004D6436"/>
    <w:rsid w:val="004D76DF"/>
    <w:rsid w:val="004D7BA3"/>
    <w:rsid w:val="004E178F"/>
    <w:rsid w:val="004E1CC8"/>
    <w:rsid w:val="004E2032"/>
    <w:rsid w:val="004E2272"/>
    <w:rsid w:val="004E30FA"/>
    <w:rsid w:val="004E3D2A"/>
    <w:rsid w:val="004E4D16"/>
    <w:rsid w:val="004E70A2"/>
    <w:rsid w:val="004E77EB"/>
    <w:rsid w:val="004F09A9"/>
    <w:rsid w:val="004F1920"/>
    <w:rsid w:val="004F1A66"/>
    <w:rsid w:val="004F3971"/>
    <w:rsid w:val="004F47A7"/>
    <w:rsid w:val="004F48B0"/>
    <w:rsid w:val="004F56F1"/>
    <w:rsid w:val="004F6021"/>
    <w:rsid w:val="004F6178"/>
    <w:rsid w:val="004F7CB3"/>
    <w:rsid w:val="00500655"/>
    <w:rsid w:val="0050092E"/>
    <w:rsid w:val="00500C01"/>
    <w:rsid w:val="0050104E"/>
    <w:rsid w:val="00501257"/>
    <w:rsid w:val="00501325"/>
    <w:rsid w:val="00501CF8"/>
    <w:rsid w:val="00503D43"/>
    <w:rsid w:val="00507ECD"/>
    <w:rsid w:val="00511AA5"/>
    <w:rsid w:val="0051309B"/>
    <w:rsid w:val="005133CA"/>
    <w:rsid w:val="00514CDD"/>
    <w:rsid w:val="00515B26"/>
    <w:rsid w:val="00516FC8"/>
    <w:rsid w:val="00517B0B"/>
    <w:rsid w:val="00517C74"/>
    <w:rsid w:val="0052288F"/>
    <w:rsid w:val="00522D3B"/>
    <w:rsid w:val="00522E36"/>
    <w:rsid w:val="00523F36"/>
    <w:rsid w:val="00525287"/>
    <w:rsid w:val="005262E3"/>
    <w:rsid w:val="00527624"/>
    <w:rsid w:val="00527B54"/>
    <w:rsid w:val="005319F0"/>
    <w:rsid w:val="00531BFB"/>
    <w:rsid w:val="00531D81"/>
    <w:rsid w:val="0053266B"/>
    <w:rsid w:val="0053377A"/>
    <w:rsid w:val="005346AE"/>
    <w:rsid w:val="0053489E"/>
    <w:rsid w:val="00535812"/>
    <w:rsid w:val="00535B15"/>
    <w:rsid w:val="005371C8"/>
    <w:rsid w:val="00537889"/>
    <w:rsid w:val="00541066"/>
    <w:rsid w:val="005412D7"/>
    <w:rsid w:val="005426DE"/>
    <w:rsid w:val="005432E0"/>
    <w:rsid w:val="00543AE0"/>
    <w:rsid w:val="00550B65"/>
    <w:rsid w:val="00550E95"/>
    <w:rsid w:val="0055171B"/>
    <w:rsid w:val="00551D55"/>
    <w:rsid w:val="0055301A"/>
    <w:rsid w:val="00553D4A"/>
    <w:rsid w:val="005559D0"/>
    <w:rsid w:val="005565F1"/>
    <w:rsid w:val="00556B8E"/>
    <w:rsid w:val="005577EB"/>
    <w:rsid w:val="00557886"/>
    <w:rsid w:val="00560626"/>
    <w:rsid w:val="0056101B"/>
    <w:rsid w:val="005616C6"/>
    <w:rsid w:val="005619D9"/>
    <w:rsid w:val="00562B60"/>
    <w:rsid w:val="0056301A"/>
    <w:rsid w:val="0056331A"/>
    <w:rsid w:val="00563760"/>
    <w:rsid w:val="005648AB"/>
    <w:rsid w:val="0056603B"/>
    <w:rsid w:val="005664D6"/>
    <w:rsid w:val="00566983"/>
    <w:rsid w:val="005704BE"/>
    <w:rsid w:val="00571040"/>
    <w:rsid w:val="005724C2"/>
    <w:rsid w:val="00572AF8"/>
    <w:rsid w:val="00573823"/>
    <w:rsid w:val="00574511"/>
    <w:rsid w:val="0057713E"/>
    <w:rsid w:val="005778C5"/>
    <w:rsid w:val="00580E90"/>
    <w:rsid w:val="00582017"/>
    <w:rsid w:val="0058203E"/>
    <w:rsid w:val="005821B8"/>
    <w:rsid w:val="00582235"/>
    <w:rsid w:val="005827E3"/>
    <w:rsid w:val="005830C7"/>
    <w:rsid w:val="00583733"/>
    <w:rsid w:val="005867AF"/>
    <w:rsid w:val="00586DCC"/>
    <w:rsid w:val="00587199"/>
    <w:rsid w:val="00587C5F"/>
    <w:rsid w:val="00591533"/>
    <w:rsid w:val="0059170D"/>
    <w:rsid w:val="005919FB"/>
    <w:rsid w:val="00592443"/>
    <w:rsid w:val="005931E8"/>
    <w:rsid w:val="00593AFC"/>
    <w:rsid w:val="00594031"/>
    <w:rsid w:val="00594A84"/>
    <w:rsid w:val="0059564D"/>
    <w:rsid w:val="00595F16"/>
    <w:rsid w:val="00596D25"/>
    <w:rsid w:val="00596FFC"/>
    <w:rsid w:val="00597222"/>
    <w:rsid w:val="005977EB"/>
    <w:rsid w:val="00597A80"/>
    <w:rsid w:val="005A0456"/>
    <w:rsid w:val="005A0EE5"/>
    <w:rsid w:val="005A0F2C"/>
    <w:rsid w:val="005A16A6"/>
    <w:rsid w:val="005A42B6"/>
    <w:rsid w:val="005A4F72"/>
    <w:rsid w:val="005A5CC1"/>
    <w:rsid w:val="005A71F1"/>
    <w:rsid w:val="005A736A"/>
    <w:rsid w:val="005A7462"/>
    <w:rsid w:val="005A76AF"/>
    <w:rsid w:val="005B014B"/>
    <w:rsid w:val="005B17D9"/>
    <w:rsid w:val="005B38D2"/>
    <w:rsid w:val="005B3C84"/>
    <w:rsid w:val="005B4AD5"/>
    <w:rsid w:val="005B517F"/>
    <w:rsid w:val="005B51FE"/>
    <w:rsid w:val="005B67EB"/>
    <w:rsid w:val="005B773F"/>
    <w:rsid w:val="005B7A83"/>
    <w:rsid w:val="005C0826"/>
    <w:rsid w:val="005C09D2"/>
    <w:rsid w:val="005C12F2"/>
    <w:rsid w:val="005C1439"/>
    <w:rsid w:val="005C166D"/>
    <w:rsid w:val="005C3282"/>
    <w:rsid w:val="005C3907"/>
    <w:rsid w:val="005C4090"/>
    <w:rsid w:val="005C4869"/>
    <w:rsid w:val="005C5777"/>
    <w:rsid w:val="005C586C"/>
    <w:rsid w:val="005C7CDE"/>
    <w:rsid w:val="005D00D2"/>
    <w:rsid w:val="005D0D5B"/>
    <w:rsid w:val="005D105D"/>
    <w:rsid w:val="005D2065"/>
    <w:rsid w:val="005D20B3"/>
    <w:rsid w:val="005D35D9"/>
    <w:rsid w:val="005D3705"/>
    <w:rsid w:val="005D4161"/>
    <w:rsid w:val="005D55BE"/>
    <w:rsid w:val="005D5C51"/>
    <w:rsid w:val="005D60FE"/>
    <w:rsid w:val="005D79FF"/>
    <w:rsid w:val="005E032F"/>
    <w:rsid w:val="005E2680"/>
    <w:rsid w:val="005E2A11"/>
    <w:rsid w:val="005E34CC"/>
    <w:rsid w:val="005E3BFC"/>
    <w:rsid w:val="005E48AD"/>
    <w:rsid w:val="005E4941"/>
    <w:rsid w:val="005E4BE3"/>
    <w:rsid w:val="005E58FD"/>
    <w:rsid w:val="005E6976"/>
    <w:rsid w:val="005E7CD8"/>
    <w:rsid w:val="005F27C9"/>
    <w:rsid w:val="005F3622"/>
    <w:rsid w:val="005F387B"/>
    <w:rsid w:val="005F4C45"/>
    <w:rsid w:val="005F5E1D"/>
    <w:rsid w:val="005F7112"/>
    <w:rsid w:val="005F71C4"/>
    <w:rsid w:val="006005F6"/>
    <w:rsid w:val="00600932"/>
    <w:rsid w:val="00601295"/>
    <w:rsid w:val="00601AA3"/>
    <w:rsid w:val="00602BC9"/>
    <w:rsid w:val="006030BD"/>
    <w:rsid w:val="00603802"/>
    <w:rsid w:val="00603EB6"/>
    <w:rsid w:val="00603F33"/>
    <w:rsid w:val="006061F4"/>
    <w:rsid w:val="00607743"/>
    <w:rsid w:val="00611B89"/>
    <w:rsid w:val="00614657"/>
    <w:rsid w:val="00614D9D"/>
    <w:rsid w:val="006159FD"/>
    <w:rsid w:val="00615BFB"/>
    <w:rsid w:val="0061621E"/>
    <w:rsid w:val="006171DC"/>
    <w:rsid w:val="006200EF"/>
    <w:rsid w:val="006200FA"/>
    <w:rsid w:val="006202C3"/>
    <w:rsid w:val="006210B2"/>
    <w:rsid w:val="00621FEF"/>
    <w:rsid w:val="00622D33"/>
    <w:rsid w:val="00623788"/>
    <w:rsid w:val="00623CA4"/>
    <w:rsid w:val="00623D15"/>
    <w:rsid w:val="0062426C"/>
    <w:rsid w:val="0062452F"/>
    <w:rsid w:val="00624641"/>
    <w:rsid w:val="006249A3"/>
    <w:rsid w:val="0062559D"/>
    <w:rsid w:val="00625C2E"/>
    <w:rsid w:val="006268A5"/>
    <w:rsid w:val="00627B52"/>
    <w:rsid w:val="006308CA"/>
    <w:rsid w:val="00630CC9"/>
    <w:rsid w:val="00632486"/>
    <w:rsid w:val="0063272F"/>
    <w:rsid w:val="00634179"/>
    <w:rsid w:val="00634332"/>
    <w:rsid w:val="006350B9"/>
    <w:rsid w:val="0063563A"/>
    <w:rsid w:val="00636984"/>
    <w:rsid w:val="00636D4F"/>
    <w:rsid w:val="006372C5"/>
    <w:rsid w:val="00637AC0"/>
    <w:rsid w:val="00637F11"/>
    <w:rsid w:val="00643AA8"/>
    <w:rsid w:val="00643B2F"/>
    <w:rsid w:val="00645746"/>
    <w:rsid w:val="006459F9"/>
    <w:rsid w:val="006463D8"/>
    <w:rsid w:val="0064648F"/>
    <w:rsid w:val="0064704F"/>
    <w:rsid w:val="006508DD"/>
    <w:rsid w:val="006515FE"/>
    <w:rsid w:val="00651C60"/>
    <w:rsid w:val="00651C96"/>
    <w:rsid w:val="00653CD5"/>
    <w:rsid w:val="00653E28"/>
    <w:rsid w:val="0065545E"/>
    <w:rsid w:val="00655815"/>
    <w:rsid w:val="00656451"/>
    <w:rsid w:val="00656A66"/>
    <w:rsid w:val="00656CAA"/>
    <w:rsid w:val="0065713C"/>
    <w:rsid w:val="00660CE7"/>
    <w:rsid w:val="00660DF9"/>
    <w:rsid w:val="006617E4"/>
    <w:rsid w:val="00662AC4"/>
    <w:rsid w:val="006634EC"/>
    <w:rsid w:val="00663A5C"/>
    <w:rsid w:val="00663AFF"/>
    <w:rsid w:val="00665700"/>
    <w:rsid w:val="00670608"/>
    <w:rsid w:val="00671A16"/>
    <w:rsid w:val="00671F15"/>
    <w:rsid w:val="00672755"/>
    <w:rsid w:val="00673743"/>
    <w:rsid w:val="00673C00"/>
    <w:rsid w:val="00674774"/>
    <w:rsid w:val="006754FA"/>
    <w:rsid w:val="00676713"/>
    <w:rsid w:val="00676FB0"/>
    <w:rsid w:val="00680DF8"/>
    <w:rsid w:val="00681994"/>
    <w:rsid w:val="00681FC2"/>
    <w:rsid w:val="00683EB4"/>
    <w:rsid w:val="00684411"/>
    <w:rsid w:val="006844A1"/>
    <w:rsid w:val="00684AB9"/>
    <w:rsid w:val="00687FD0"/>
    <w:rsid w:val="00690DC2"/>
    <w:rsid w:val="00691E27"/>
    <w:rsid w:val="00692DC8"/>
    <w:rsid w:val="00693BB2"/>
    <w:rsid w:val="00694BE4"/>
    <w:rsid w:val="0069537B"/>
    <w:rsid w:val="006958C0"/>
    <w:rsid w:val="006965D4"/>
    <w:rsid w:val="00697A34"/>
    <w:rsid w:val="00697B11"/>
    <w:rsid w:val="006A08B6"/>
    <w:rsid w:val="006A2809"/>
    <w:rsid w:val="006A2C6A"/>
    <w:rsid w:val="006A4D9E"/>
    <w:rsid w:val="006A5040"/>
    <w:rsid w:val="006A54CC"/>
    <w:rsid w:val="006A5756"/>
    <w:rsid w:val="006A5EE6"/>
    <w:rsid w:val="006A7300"/>
    <w:rsid w:val="006A7BC6"/>
    <w:rsid w:val="006B0CF6"/>
    <w:rsid w:val="006B20AF"/>
    <w:rsid w:val="006B22B7"/>
    <w:rsid w:val="006B4820"/>
    <w:rsid w:val="006B4BCC"/>
    <w:rsid w:val="006B5907"/>
    <w:rsid w:val="006B5B31"/>
    <w:rsid w:val="006B6FDA"/>
    <w:rsid w:val="006C2795"/>
    <w:rsid w:val="006C2D91"/>
    <w:rsid w:val="006C3251"/>
    <w:rsid w:val="006C3C6D"/>
    <w:rsid w:val="006C3DA9"/>
    <w:rsid w:val="006C4440"/>
    <w:rsid w:val="006C457E"/>
    <w:rsid w:val="006C4894"/>
    <w:rsid w:val="006D0F18"/>
    <w:rsid w:val="006D2B12"/>
    <w:rsid w:val="006D3AC7"/>
    <w:rsid w:val="006D4739"/>
    <w:rsid w:val="006D5BF9"/>
    <w:rsid w:val="006D6835"/>
    <w:rsid w:val="006D6B62"/>
    <w:rsid w:val="006E2B6C"/>
    <w:rsid w:val="006E6563"/>
    <w:rsid w:val="006E7469"/>
    <w:rsid w:val="006E7B06"/>
    <w:rsid w:val="006F1DEC"/>
    <w:rsid w:val="006F217D"/>
    <w:rsid w:val="006F42A7"/>
    <w:rsid w:val="006F56B0"/>
    <w:rsid w:val="006F592C"/>
    <w:rsid w:val="006F63FA"/>
    <w:rsid w:val="006F671E"/>
    <w:rsid w:val="006F67F4"/>
    <w:rsid w:val="00700529"/>
    <w:rsid w:val="00700895"/>
    <w:rsid w:val="007010CD"/>
    <w:rsid w:val="007022B2"/>
    <w:rsid w:val="00702C6B"/>
    <w:rsid w:val="007031AC"/>
    <w:rsid w:val="00704439"/>
    <w:rsid w:val="00705018"/>
    <w:rsid w:val="00707A3A"/>
    <w:rsid w:val="0071019F"/>
    <w:rsid w:val="0071108F"/>
    <w:rsid w:val="00711AFB"/>
    <w:rsid w:val="00711BE1"/>
    <w:rsid w:val="007120C0"/>
    <w:rsid w:val="00712355"/>
    <w:rsid w:val="0071301D"/>
    <w:rsid w:val="00713854"/>
    <w:rsid w:val="00714298"/>
    <w:rsid w:val="00715792"/>
    <w:rsid w:val="00716A34"/>
    <w:rsid w:val="00716DBB"/>
    <w:rsid w:val="00717E14"/>
    <w:rsid w:val="007215E9"/>
    <w:rsid w:val="0072417A"/>
    <w:rsid w:val="007252B7"/>
    <w:rsid w:val="00726708"/>
    <w:rsid w:val="00726B9E"/>
    <w:rsid w:val="00727C2E"/>
    <w:rsid w:val="00727D08"/>
    <w:rsid w:val="00730AD4"/>
    <w:rsid w:val="007318A7"/>
    <w:rsid w:val="007324BA"/>
    <w:rsid w:val="00733C86"/>
    <w:rsid w:val="0073545A"/>
    <w:rsid w:val="00736668"/>
    <w:rsid w:val="00740B41"/>
    <w:rsid w:val="0074193B"/>
    <w:rsid w:val="00741AD5"/>
    <w:rsid w:val="00742151"/>
    <w:rsid w:val="007436A6"/>
    <w:rsid w:val="007436B0"/>
    <w:rsid w:val="007451AC"/>
    <w:rsid w:val="007543D0"/>
    <w:rsid w:val="00755077"/>
    <w:rsid w:val="007553D3"/>
    <w:rsid w:val="00757ADF"/>
    <w:rsid w:val="00757F09"/>
    <w:rsid w:val="00760506"/>
    <w:rsid w:val="007609AF"/>
    <w:rsid w:val="0076169F"/>
    <w:rsid w:val="00762DAB"/>
    <w:rsid w:val="00763981"/>
    <w:rsid w:val="00764226"/>
    <w:rsid w:val="00765739"/>
    <w:rsid w:val="00766001"/>
    <w:rsid w:val="00767A39"/>
    <w:rsid w:val="00767F6B"/>
    <w:rsid w:val="00771020"/>
    <w:rsid w:val="00771E3E"/>
    <w:rsid w:val="007727AB"/>
    <w:rsid w:val="00772803"/>
    <w:rsid w:val="00773A2B"/>
    <w:rsid w:val="007748D4"/>
    <w:rsid w:val="007753D8"/>
    <w:rsid w:val="007768C0"/>
    <w:rsid w:val="00776E39"/>
    <w:rsid w:val="00776F7A"/>
    <w:rsid w:val="00780B0B"/>
    <w:rsid w:val="00781F09"/>
    <w:rsid w:val="0078268F"/>
    <w:rsid w:val="007835E1"/>
    <w:rsid w:val="00785815"/>
    <w:rsid w:val="007864F7"/>
    <w:rsid w:val="00786B96"/>
    <w:rsid w:val="00786EF8"/>
    <w:rsid w:val="007938D8"/>
    <w:rsid w:val="007954D5"/>
    <w:rsid w:val="00795E00"/>
    <w:rsid w:val="00797107"/>
    <w:rsid w:val="00797412"/>
    <w:rsid w:val="00797520"/>
    <w:rsid w:val="00797DA9"/>
    <w:rsid w:val="007A1436"/>
    <w:rsid w:val="007A1624"/>
    <w:rsid w:val="007A1D1B"/>
    <w:rsid w:val="007A3DD2"/>
    <w:rsid w:val="007A413A"/>
    <w:rsid w:val="007A54B1"/>
    <w:rsid w:val="007A57E8"/>
    <w:rsid w:val="007A588E"/>
    <w:rsid w:val="007A5EDD"/>
    <w:rsid w:val="007A5FA7"/>
    <w:rsid w:val="007A7BD9"/>
    <w:rsid w:val="007A7FF7"/>
    <w:rsid w:val="007B0175"/>
    <w:rsid w:val="007B21AA"/>
    <w:rsid w:val="007B3BB8"/>
    <w:rsid w:val="007B5A6E"/>
    <w:rsid w:val="007B5D6A"/>
    <w:rsid w:val="007B5DF3"/>
    <w:rsid w:val="007B6D86"/>
    <w:rsid w:val="007C0D3B"/>
    <w:rsid w:val="007C2371"/>
    <w:rsid w:val="007C2B31"/>
    <w:rsid w:val="007C2BE0"/>
    <w:rsid w:val="007C2CFF"/>
    <w:rsid w:val="007C2F0C"/>
    <w:rsid w:val="007C3535"/>
    <w:rsid w:val="007C4131"/>
    <w:rsid w:val="007C4539"/>
    <w:rsid w:val="007C5407"/>
    <w:rsid w:val="007C5691"/>
    <w:rsid w:val="007C6749"/>
    <w:rsid w:val="007C6AD3"/>
    <w:rsid w:val="007D09FE"/>
    <w:rsid w:val="007D0DE0"/>
    <w:rsid w:val="007D1CAD"/>
    <w:rsid w:val="007D25CF"/>
    <w:rsid w:val="007D3EAE"/>
    <w:rsid w:val="007D4C97"/>
    <w:rsid w:val="007D55C3"/>
    <w:rsid w:val="007D5C78"/>
    <w:rsid w:val="007D73C2"/>
    <w:rsid w:val="007D765B"/>
    <w:rsid w:val="007D77F7"/>
    <w:rsid w:val="007D788A"/>
    <w:rsid w:val="007E0115"/>
    <w:rsid w:val="007E0BAE"/>
    <w:rsid w:val="007E21C0"/>
    <w:rsid w:val="007E2811"/>
    <w:rsid w:val="007E2E07"/>
    <w:rsid w:val="007E356F"/>
    <w:rsid w:val="007E35AB"/>
    <w:rsid w:val="007E67AE"/>
    <w:rsid w:val="007F23EE"/>
    <w:rsid w:val="007F5B32"/>
    <w:rsid w:val="007F635D"/>
    <w:rsid w:val="008005B3"/>
    <w:rsid w:val="00800781"/>
    <w:rsid w:val="0080298A"/>
    <w:rsid w:val="0080362C"/>
    <w:rsid w:val="0080401F"/>
    <w:rsid w:val="008053B4"/>
    <w:rsid w:val="0080649D"/>
    <w:rsid w:val="008065A8"/>
    <w:rsid w:val="008077D2"/>
    <w:rsid w:val="00807AAF"/>
    <w:rsid w:val="008103D7"/>
    <w:rsid w:val="00810D13"/>
    <w:rsid w:val="00810F9C"/>
    <w:rsid w:val="008123D5"/>
    <w:rsid w:val="00814292"/>
    <w:rsid w:val="008148E1"/>
    <w:rsid w:val="00816312"/>
    <w:rsid w:val="008217D8"/>
    <w:rsid w:val="008227DC"/>
    <w:rsid w:val="00822F3A"/>
    <w:rsid w:val="008266C7"/>
    <w:rsid w:val="00827F04"/>
    <w:rsid w:val="008301FB"/>
    <w:rsid w:val="00830414"/>
    <w:rsid w:val="0083153F"/>
    <w:rsid w:val="0083316B"/>
    <w:rsid w:val="008339C9"/>
    <w:rsid w:val="00834083"/>
    <w:rsid w:val="00834BF8"/>
    <w:rsid w:val="00834E34"/>
    <w:rsid w:val="00835165"/>
    <w:rsid w:val="00836645"/>
    <w:rsid w:val="00836BD8"/>
    <w:rsid w:val="0083701E"/>
    <w:rsid w:val="00840661"/>
    <w:rsid w:val="00841621"/>
    <w:rsid w:val="00842650"/>
    <w:rsid w:val="00842FCE"/>
    <w:rsid w:val="00843781"/>
    <w:rsid w:val="008437E5"/>
    <w:rsid w:val="00843E0B"/>
    <w:rsid w:val="00845422"/>
    <w:rsid w:val="00846816"/>
    <w:rsid w:val="008507BC"/>
    <w:rsid w:val="00850D0F"/>
    <w:rsid w:val="008517C1"/>
    <w:rsid w:val="008522C6"/>
    <w:rsid w:val="00852A4A"/>
    <w:rsid w:val="00853CD2"/>
    <w:rsid w:val="00853DC5"/>
    <w:rsid w:val="00854616"/>
    <w:rsid w:val="00855BD5"/>
    <w:rsid w:val="00855CBD"/>
    <w:rsid w:val="0085663F"/>
    <w:rsid w:val="00857E17"/>
    <w:rsid w:val="00860473"/>
    <w:rsid w:val="0086067C"/>
    <w:rsid w:val="008614D5"/>
    <w:rsid w:val="00861F08"/>
    <w:rsid w:val="00862100"/>
    <w:rsid w:val="0086499C"/>
    <w:rsid w:val="00864BE5"/>
    <w:rsid w:val="0086501A"/>
    <w:rsid w:val="008657E6"/>
    <w:rsid w:val="00866DE2"/>
    <w:rsid w:val="008679CF"/>
    <w:rsid w:val="00871222"/>
    <w:rsid w:val="008734A5"/>
    <w:rsid w:val="008750CE"/>
    <w:rsid w:val="00875695"/>
    <w:rsid w:val="00875F38"/>
    <w:rsid w:val="0087681C"/>
    <w:rsid w:val="008776C2"/>
    <w:rsid w:val="0088022C"/>
    <w:rsid w:val="0088035D"/>
    <w:rsid w:val="00880387"/>
    <w:rsid w:val="00881848"/>
    <w:rsid w:val="00882ADA"/>
    <w:rsid w:val="00882B8A"/>
    <w:rsid w:val="00883260"/>
    <w:rsid w:val="00883A16"/>
    <w:rsid w:val="00887298"/>
    <w:rsid w:val="008900E4"/>
    <w:rsid w:val="00890B5F"/>
    <w:rsid w:val="00890BD7"/>
    <w:rsid w:val="00890CC0"/>
    <w:rsid w:val="00893D5A"/>
    <w:rsid w:val="00894F2F"/>
    <w:rsid w:val="00896167"/>
    <w:rsid w:val="00896D0A"/>
    <w:rsid w:val="008A2156"/>
    <w:rsid w:val="008A2B25"/>
    <w:rsid w:val="008A37EA"/>
    <w:rsid w:val="008A41C2"/>
    <w:rsid w:val="008A4D35"/>
    <w:rsid w:val="008A7A50"/>
    <w:rsid w:val="008B1529"/>
    <w:rsid w:val="008B169D"/>
    <w:rsid w:val="008B3A2B"/>
    <w:rsid w:val="008B3FC7"/>
    <w:rsid w:val="008B5473"/>
    <w:rsid w:val="008B54B6"/>
    <w:rsid w:val="008B7284"/>
    <w:rsid w:val="008C0647"/>
    <w:rsid w:val="008C0C26"/>
    <w:rsid w:val="008C1122"/>
    <w:rsid w:val="008C44BD"/>
    <w:rsid w:val="008C6728"/>
    <w:rsid w:val="008D1415"/>
    <w:rsid w:val="008D14D7"/>
    <w:rsid w:val="008D167F"/>
    <w:rsid w:val="008D1825"/>
    <w:rsid w:val="008D185F"/>
    <w:rsid w:val="008D268E"/>
    <w:rsid w:val="008D28F4"/>
    <w:rsid w:val="008D2EC3"/>
    <w:rsid w:val="008D32EC"/>
    <w:rsid w:val="008D3677"/>
    <w:rsid w:val="008D385F"/>
    <w:rsid w:val="008D3EBA"/>
    <w:rsid w:val="008D662D"/>
    <w:rsid w:val="008D6CA8"/>
    <w:rsid w:val="008D749F"/>
    <w:rsid w:val="008E10A3"/>
    <w:rsid w:val="008E268B"/>
    <w:rsid w:val="008E2CEF"/>
    <w:rsid w:val="008E3BAB"/>
    <w:rsid w:val="008E3D7E"/>
    <w:rsid w:val="008E5672"/>
    <w:rsid w:val="008E66C9"/>
    <w:rsid w:val="008E6E4F"/>
    <w:rsid w:val="008F0A30"/>
    <w:rsid w:val="008F1B42"/>
    <w:rsid w:val="008F1CE7"/>
    <w:rsid w:val="008F2A38"/>
    <w:rsid w:val="008F3190"/>
    <w:rsid w:val="008F5342"/>
    <w:rsid w:val="008F65B1"/>
    <w:rsid w:val="009002EC"/>
    <w:rsid w:val="009015E0"/>
    <w:rsid w:val="0090384F"/>
    <w:rsid w:val="00903877"/>
    <w:rsid w:val="00906174"/>
    <w:rsid w:val="00907CF3"/>
    <w:rsid w:val="00907F15"/>
    <w:rsid w:val="009109ED"/>
    <w:rsid w:val="0091110C"/>
    <w:rsid w:val="00911CC8"/>
    <w:rsid w:val="00912317"/>
    <w:rsid w:val="00913625"/>
    <w:rsid w:val="009150D8"/>
    <w:rsid w:val="00915930"/>
    <w:rsid w:val="009160B7"/>
    <w:rsid w:val="0092002C"/>
    <w:rsid w:val="00920E1F"/>
    <w:rsid w:val="00921390"/>
    <w:rsid w:val="0092214E"/>
    <w:rsid w:val="009249BE"/>
    <w:rsid w:val="00924C6B"/>
    <w:rsid w:val="009250AC"/>
    <w:rsid w:val="00925E1E"/>
    <w:rsid w:val="00927AC6"/>
    <w:rsid w:val="009307E3"/>
    <w:rsid w:val="0093096D"/>
    <w:rsid w:val="00931956"/>
    <w:rsid w:val="00931BAB"/>
    <w:rsid w:val="00932764"/>
    <w:rsid w:val="00933D17"/>
    <w:rsid w:val="00934003"/>
    <w:rsid w:val="00936239"/>
    <w:rsid w:val="009372FD"/>
    <w:rsid w:val="00941078"/>
    <w:rsid w:val="0094137E"/>
    <w:rsid w:val="00941A32"/>
    <w:rsid w:val="009422AE"/>
    <w:rsid w:val="009434CE"/>
    <w:rsid w:val="0094556E"/>
    <w:rsid w:val="00945857"/>
    <w:rsid w:val="00945C3B"/>
    <w:rsid w:val="009469D3"/>
    <w:rsid w:val="009516FC"/>
    <w:rsid w:val="00951EB7"/>
    <w:rsid w:val="009525B1"/>
    <w:rsid w:val="00952739"/>
    <w:rsid w:val="00953CCC"/>
    <w:rsid w:val="00954577"/>
    <w:rsid w:val="009547C5"/>
    <w:rsid w:val="009557C4"/>
    <w:rsid w:val="00956475"/>
    <w:rsid w:val="00956FA2"/>
    <w:rsid w:val="00957968"/>
    <w:rsid w:val="00960F41"/>
    <w:rsid w:val="00961075"/>
    <w:rsid w:val="00962481"/>
    <w:rsid w:val="009625C4"/>
    <w:rsid w:val="00963C68"/>
    <w:rsid w:val="00964081"/>
    <w:rsid w:val="0096426F"/>
    <w:rsid w:val="00965983"/>
    <w:rsid w:val="0096659D"/>
    <w:rsid w:val="009670F8"/>
    <w:rsid w:val="00967CD1"/>
    <w:rsid w:val="009701F0"/>
    <w:rsid w:val="009726A3"/>
    <w:rsid w:val="00973491"/>
    <w:rsid w:val="00973550"/>
    <w:rsid w:val="009741DB"/>
    <w:rsid w:val="00974D47"/>
    <w:rsid w:val="00975C96"/>
    <w:rsid w:val="0097680C"/>
    <w:rsid w:val="00976CF1"/>
    <w:rsid w:val="00976E88"/>
    <w:rsid w:val="009803AF"/>
    <w:rsid w:val="009813F8"/>
    <w:rsid w:val="009836A3"/>
    <w:rsid w:val="00984BA0"/>
    <w:rsid w:val="0098624C"/>
    <w:rsid w:val="00987168"/>
    <w:rsid w:val="0098781F"/>
    <w:rsid w:val="00987B26"/>
    <w:rsid w:val="0099051C"/>
    <w:rsid w:val="009916E4"/>
    <w:rsid w:val="00993710"/>
    <w:rsid w:val="00993EC5"/>
    <w:rsid w:val="009942C0"/>
    <w:rsid w:val="00995B36"/>
    <w:rsid w:val="009967CF"/>
    <w:rsid w:val="00996E84"/>
    <w:rsid w:val="00997F04"/>
    <w:rsid w:val="009A0315"/>
    <w:rsid w:val="009A0678"/>
    <w:rsid w:val="009A0711"/>
    <w:rsid w:val="009A0857"/>
    <w:rsid w:val="009A0DCA"/>
    <w:rsid w:val="009A1129"/>
    <w:rsid w:val="009A1214"/>
    <w:rsid w:val="009A16E8"/>
    <w:rsid w:val="009A1F1C"/>
    <w:rsid w:val="009A21D9"/>
    <w:rsid w:val="009A361E"/>
    <w:rsid w:val="009A4747"/>
    <w:rsid w:val="009A4821"/>
    <w:rsid w:val="009A4CE5"/>
    <w:rsid w:val="009A4FEC"/>
    <w:rsid w:val="009A5AC7"/>
    <w:rsid w:val="009B251A"/>
    <w:rsid w:val="009B2588"/>
    <w:rsid w:val="009B31F2"/>
    <w:rsid w:val="009B3D88"/>
    <w:rsid w:val="009B680E"/>
    <w:rsid w:val="009C088B"/>
    <w:rsid w:val="009C0B11"/>
    <w:rsid w:val="009C19EE"/>
    <w:rsid w:val="009C1EB3"/>
    <w:rsid w:val="009C228A"/>
    <w:rsid w:val="009C2613"/>
    <w:rsid w:val="009C2F35"/>
    <w:rsid w:val="009C346D"/>
    <w:rsid w:val="009C375D"/>
    <w:rsid w:val="009C3930"/>
    <w:rsid w:val="009C5AC2"/>
    <w:rsid w:val="009D022F"/>
    <w:rsid w:val="009D16EA"/>
    <w:rsid w:val="009D1C03"/>
    <w:rsid w:val="009D2771"/>
    <w:rsid w:val="009D310B"/>
    <w:rsid w:val="009D3FCA"/>
    <w:rsid w:val="009D544A"/>
    <w:rsid w:val="009D7D0A"/>
    <w:rsid w:val="009E0730"/>
    <w:rsid w:val="009E18FF"/>
    <w:rsid w:val="009E200B"/>
    <w:rsid w:val="009E5676"/>
    <w:rsid w:val="009E5BE1"/>
    <w:rsid w:val="009E604A"/>
    <w:rsid w:val="009E6B6E"/>
    <w:rsid w:val="009E7A3A"/>
    <w:rsid w:val="009F01A9"/>
    <w:rsid w:val="009F0681"/>
    <w:rsid w:val="009F12DC"/>
    <w:rsid w:val="009F1908"/>
    <w:rsid w:val="009F1CCC"/>
    <w:rsid w:val="009F3978"/>
    <w:rsid w:val="009F3DBC"/>
    <w:rsid w:val="009F3E94"/>
    <w:rsid w:val="009F57CA"/>
    <w:rsid w:val="009F76F9"/>
    <w:rsid w:val="009F7AB9"/>
    <w:rsid w:val="00A00242"/>
    <w:rsid w:val="00A0079D"/>
    <w:rsid w:val="00A0176B"/>
    <w:rsid w:val="00A048A9"/>
    <w:rsid w:val="00A0508F"/>
    <w:rsid w:val="00A06774"/>
    <w:rsid w:val="00A07233"/>
    <w:rsid w:val="00A10917"/>
    <w:rsid w:val="00A12817"/>
    <w:rsid w:val="00A135D0"/>
    <w:rsid w:val="00A15020"/>
    <w:rsid w:val="00A15F55"/>
    <w:rsid w:val="00A17A67"/>
    <w:rsid w:val="00A17E7F"/>
    <w:rsid w:val="00A17FCE"/>
    <w:rsid w:val="00A202B6"/>
    <w:rsid w:val="00A21EB3"/>
    <w:rsid w:val="00A22D7E"/>
    <w:rsid w:val="00A252D5"/>
    <w:rsid w:val="00A25461"/>
    <w:rsid w:val="00A26509"/>
    <w:rsid w:val="00A274FC"/>
    <w:rsid w:val="00A278C8"/>
    <w:rsid w:val="00A329A2"/>
    <w:rsid w:val="00A330C8"/>
    <w:rsid w:val="00A33D47"/>
    <w:rsid w:val="00A34D97"/>
    <w:rsid w:val="00A36698"/>
    <w:rsid w:val="00A40233"/>
    <w:rsid w:val="00A409AD"/>
    <w:rsid w:val="00A40ED0"/>
    <w:rsid w:val="00A41896"/>
    <w:rsid w:val="00A41A12"/>
    <w:rsid w:val="00A42C26"/>
    <w:rsid w:val="00A42CC3"/>
    <w:rsid w:val="00A43581"/>
    <w:rsid w:val="00A441FC"/>
    <w:rsid w:val="00A450C1"/>
    <w:rsid w:val="00A45315"/>
    <w:rsid w:val="00A4547E"/>
    <w:rsid w:val="00A45701"/>
    <w:rsid w:val="00A45F6F"/>
    <w:rsid w:val="00A47050"/>
    <w:rsid w:val="00A5037D"/>
    <w:rsid w:val="00A50D06"/>
    <w:rsid w:val="00A511D8"/>
    <w:rsid w:val="00A51AC7"/>
    <w:rsid w:val="00A51DAA"/>
    <w:rsid w:val="00A52466"/>
    <w:rsid w:val="00A52B3F"/>
    <w:rsid w:val="00A52F33"/>
    <w:rsid w:val="00A5767C"/>
    <w:rsid w:val="00A60502"/>
    <w:rsid w:val="00A62703"/>
    <w:rsid w:val="00A631E3"/>
    <w:rsid w:val="00A64F14"/>
    <w:rsid w:val="00A6517C"/>
    <w:rsid w:val="00A658F3"/>
    <w:rsid w:val="00A66416"/>
    <w:rsid w:val="00A67598"/>
    <w:rsid w:val="00A71231"/>
    <w:rsid w:val="00A71680"/>
    <w:rsid w:val="00A716F3"/>
    <w:rsid w:val="00A71BAA"/>
    <w:rsid w:val="00A71C5D"/>
    <w:rsid w:val="00A74162"/>
    <w:rsid w:val="00A7515E"/>
    <w:rsid w:val="00A7531A"/>
    <w:rsid w:val="00A76132"/>
    <w:rsid w:val="00A80AF3"/>
    <w:rsid w:val="00A80F53"/>
    <w:rsid w:val="00A819D3"/>
    <w:rsid w:val="00A82126"/>
    <w:rsid w:val="00A83B9B"/>
    <w:rsid w:val="00A83D5D"/>
    <w:rsid w:val="00A83EC5"/>
    <w:rsid w:val="00A852AB"/>
    <w:rsid w:val="00A85CC2"/>
    <w:rsid w:val="00A86DCC"/>
    <w:rsid w:val="00A86E30"/>
    <w:rsid w:val="00A90A06"/>
    <w:rsid w:val="00A921D2"/>
    <w:rsid w:val="00A92615"/>
    <w:rsid w:val="00A92B43"/>
    <w:rsid w:val="00A94342"/>
    <w:rsid w:val="00A94566"/>
    <w:rsid w:val="00A94ED7"/>
    <w:rsid w:val="00A95BC9"/>
    <w:rsid w:val="00A969B9"/>
    <w:rsid w:val="00A974E8"/>
    <w:rsid w:val="00AA1134"/>
    <w:rsid w:val="00AA33E7"/>
    <w:rsid w:val="00AA3B4D"/>
    <w:rsid w:val="00AA4014"/>
    <w:rsid w:val="00AA4854"/>
    <w:rsid w:val="00AA5160"/>
    <w:rsid w:val="00AA64EB"/>
    <w:rsid w:val="00AB04C2"/>
    <w:rsid w:val="00AB0C9C"/>
    <w:rsid w:val="00AB10BA"/>
    <w:rsid w:val="00AB27DD"/>
    <w:rsid w:val="00AB28BC"/>
    <w:rsid w:val="00AB548F"/>
    <w:rsid w:val="00AB559A"/>
    <w:rsid w:val="00AB5B98"/>
    <w:rsid w:val="00AB5FD6"/>
    <w:rsid w:val="00AB633B"/>
    <w:rsid w:val="00AB7CD4"/>
    <w:rsid w:val="00AC33AD"/>
    <w:rsid w:val="00AC3B56"/>
    <w:rsid w:val="00AC4E57"/>
    <w:rsid w:val="00AC60D0"/>
    <w:rsid w:val="00AC6899"/>
    <w:rsid w:val="00AC78D0"/>
    <w:rsid w:val="00AC7BD7"/>
    <w:rsid w:val="00AC7D8B"/>
    <w:rsid w:val="00AD1298"/>
    <w:rsid w:val="00AD3921"/>
    <w:rsid w:val="00AD493D"/>
    <w:rsid w:val="00AD6AD5"/>
    <w:rsid w:val="00AE088C"/>
    <w:rsid w:val="00AE0AF8"/>
    <w:rsid w:val="00AE2AD4"/>
    <w:rsid w:val="00AE3460"/>
    <w:rsid w:val="00AE465B"/>
    <w:rsid w:val="00AE5377"/>
    <w:rsid w:val="00AE5756"/>
    <w:rsid w:val="00AE57FE"/>
    <w:rsid w:val="00AE5D00"/>
    <w:rsid w:val="00AE5D9B"/>
    <w:rsid w:val="00AE5E0C"/>
    <w:rsid w:val="00AE60F1"/>
    <w:rsid w:val="00AF1C46"/>
    <w:rsid w:val="00AF4DF8"/>
    <w:rsid w:val="00AF54DB"/>
    <w:rsid w:val="00AF5671"/>
    <w:rsid w:val="00AF6932"/>
    <w:rsid w:val="00AF7009"/>
    <w:rsid w:val="00AF70B9"/>
    <w:rsid w:val="00B00487"/>
    <w:rsid w:val="00B006BA"/>
    <w:rsid w:val="00B00F34"/>
    <w:rsid w:val="00B0163B"/>
    <w:rsid w:val="00B018B5"/>
    <w:rsid w:val="00B02A9A"/>
    <w:rsid w:val="00B039BB"/>
    <w:rsid w:val="00B04735"/>
    <w:rsid w:val="00B04A31"/>
    <w:rsid w:val="00B04BBF"/>
    <w:rsid w:val="00B054C8"/>
    <w:rsid w:val="00B06899"/>
    <w:rsid w:val="00B10258"/>
    <w:rsid w:val="00B106B6"/>
    <w:rsid w:val="00B10C82"/>
    <w:rsid w:val="00B11E1B"/>
    <w:rsid w:val="00B1305A"/>
    <w:rsid w:val="00B13AA4"/>
    <w:rsid w:val="00B16F38"/>
    <w:rsid w:val="00B17955"/>
    <w:rsid w:val="00B20E4C"/>
    <w:rsid w:val="00B210BF"/>
    <w:rsid w:val="00B2198A"/>
    <w:rsid w:val="00B23302"/>
    <w:rsid w:val="00B249B3"/>
    <w:rsid w:val="00B24BD4"/>
    <w:rsid w:val="00B25709"/>
    <w:rsid w:val="00B260E6"/>
    <w:rsid w:val="00B30645"/>
    <w:rsid w:val="00B312BE"/>
    <w:rsid w:val="00B313EE"/>
    <w:rsid w:val="00B318D6"/>
    <w:rsid w:val="00B32BC6"/>
    <w:rsid w:val="00B4096C"/>
    <w:rsid w:val="00B41190"/>
    <w:rsid w:val="00B429F6"/>
    <w:rsid w:val="00B43B2F"/>
    <w:rsid w:val="00B43CE6"/>
    <w:rsid w:val="00B45654"/>
    <w:rsid w:val="00B456CD"/>
    <w:rsid w:val="00B45E7C"/>
    <w:rsid w:val="00B464E4"/>
    <w:rsid w:val="00B51208"/>
    <w:rsid w:val="00B51B24"/>
    <w:rsid w:val="00B526E1"/>
    <w:rsid w:val="00B5271E"/>
    <w:rsid w:val="00B5365B"/>
    <w:rsid w:val="00B54304"/>
    <w:rsid w:val="00B55446"/>
    <w:rsid w:val="00B55B80"/>
    <w:rsid w:val="00B5674D"/>
    <w:rsid w:val="00B60364"/>
    <w:rsid w:val="00B60C7D"/>
    <w:rsid w:val="00B63240"/>
    <w:rsid w:val="00B63CC2"/>
    <w:rsid w:val="00B63F3A"/>
    <w:rsid w:val="00B6450C"/>
    <w:rsid w:val="00B65098"/>
    <w:rsid w:val="00B65393"/>
    <w:rsid w:val="00B65A60"/>
    <w:rsid w:val="00B67565"/>
    <w:rsid w:val="00B6785F"/>
    <w:rsid w:val="00B70A70"/>
    <w:rsid w:val="00B70C09"/>
    <w:rsid w:val="00B71540"/>
    <w:rsid w:val="00B716E1"/>
    <w:rsid w:val="00B71730"/>
    <w:rsid w:val="00B717C8"/>
    <w:rsid w:val="00B71CCC"/>
    <w:rsid w:val="00B72B26"/>
    <w:rsid w:val="00B73519"/>
    <w:rsid w:val="00B75553"/>
    <w:rsid w:val="00B75C8A"/>
    <w:rsid w:val="00B766F9"/>
    <w:rsid w:val="00B768B7"/>
    <w:rsid w:val="00B770B7"/>
    <w:rsid w:val="00B81628"/>
    <w:rsid w:val="00B81FE2"/>
    <w:rsid w:val="00B85421"/>
    <w:rsid w:val="00B90B32"/>
    <w:rsid w:val="00B914C1"/>
    <w:rsid w:val="00B926F5"/>
    <w:rsid w:val="00B92D7C"/>
    <w:rsid w:val="00B92FAE"/>
    <w:rsid w:val="00B9442B"/>
    <w:rsid w:val="00B9542F"/>
    <w:rsid w:val="00BA0229"/>
    <w:rsid w:val="00BA0BAA"/>
    <w:rsid w:val="00BA1251"/>
    <w:rsid w:val="00BA3322"/>
    <w:rsid w:val="00BA3BFC"/>
    <w:rsid w:val="00BA5920"/>
    <w:rsid w:val="00BA6246"/>
    <w:rsid w:val="00BA6F44"/>
    <w:rsid w:val="00BA75E2"/>
    <w:rsid w:val="00BB210B"/>
    <w:rsid w:val="00BB271D"/>
    <w:rsid w:val="00BB3C81"/>
    <w:rsid w:val="00BB413C"/>
    <w:rsid w:val="00BB4E77"/>
    <w:rsid w:val="00BB50A4"/>
    <w:rsid w:val="00BB5662"/>
    <w:rsid w:val="00BB58CB"/>
    <w:rsid w:val="00BB62C6"/>
    <w:rsid w:val="00BB6370"/>
    <w:rsid w:val="00BB6562"/>
    <w:rsid w:val="00BB6B8E"/>
    <w:rsid w:val="00BC039B"/>
    <w:rsid w:val="00BC1CC3"/>
    <w:rsid w:val="00BC2398"/>
    <w:rsid w:val="00BC2F13"/>
    <w:rsid w:val="00BC342A"/>
    <w:rsid w:val="00BC4185"/>
    <w:rsid w:val="00BC5587"/>
    <w:rsid w:val="00BC5CE1"/>
    <w:rsid w:val="00BC7A74"/>
    <w:rsid w:val="00BD06D9"/>
    <w:rsid w:val="00BD1879"/>
    <w:rsid w:val="00BD3F2F"/>
    <w:rsid w:val="00BD3F3D"/>
    <w:rsid w:val="00BD451D"/>
    <w:rsid w:val="00BD5CAE"/>
    <w:rsid w:val="00BD768F"/>
    <w:rsid w:val="00BE0242"/>
    <w:rsid w:val="00BE0A1A"/>
    <w:rsid w:val="00BE2AD1"/>
    <w:rsid w:val="00BE3074"/>
    <w:rsid w:val="00BE3A1B"/>
    <w:rsid w:val="00BE4730"/>
    <w:rsid w:val="00BE4C7B"/>
    <w:rsid w:val="00BE4EB4"/>
    <w:rsid w:val="00BE579A"/>
    <w:rsid w:val="00BE67BF"/>
    <w:rsid w:val="00BE6CEA"/>
    <w:rsid w:val="00BE6F48"/>
    <w:rsid w:val="00BF0035"/>
    <w:rsid w:val="00BF07BA"/>
    <w:rsid w:val="00BF1431"/>
    <w:rsid w:val="00BF21CD"/>
    <w:rsid w:val="00BF3955"/>
    <w:rsid w:val="00BF42DB"/>
    <w:rsid w:val="00BF53CB"/>
    <w:rsid w:val="00BF5CF0"/>
    <w:rsid w:val="00BF5D4D"/>
    <w:rsid w:val="00BF653C"/>
    <w:rsid w:val="00C01726"/>
    <w:rsid w:val="00C01820"/>
    <w:rsid w:val="00C033C7"/>
    <w:rsid w:val="00C0373B"/>
    <w:rsid w:val="00C05B58"/>
    <w:rsid w:val="00C06448"/>
    <w:rsid w:val="00C07AB2"/>
    <w:rsid w:val="00C10E07"/>
    <w:rsid w:val="00C10F14"/>
    <w:rsid w:val="00C11032"/>
    <w:rsid w:val="00C1171F"/>
    <w:rsid w:val="00C11E54"/>
    <w:rsid w:val="00C11F6F"/>
    <w:rsid w:val="00C125E7"/>
    <w:rsid w:val="00C12C25"/>
    <w:rsid w:val="00C1359D"/>
    <w:rsid w:val="00C14541"/>
    <w:rsid w:val="00C14C60"/>
    <w:rsid w:val="00C15E3F"/>
    <w:rsid w:val="00C16674"/>
    <w:rsid w:val="00C16990"/>
    <w:rsid w:val="00C17B6D"/>
    <w:rsid w:val="00C20B64"/>
    <w:rsid w:val="00C21A78"/>
    <w:rsid w:val="00C23351"/>
    <w:rsid w:val="00C245F0"/>
    <w:rsid w:val="00C250B8"/>
    <w:rsid w:val="00C2514D"/>
    <w:rsid w:val="00C269AE"/>
    <w:rsid w:val="00C26B40"/>
    <w:rsid w:val="00C30B61"/>
    <w:rsid w:val="00C30F32"/>
    <w:rsid w:val="00C31080"/>
    <w:rsid w:val="00C311F2"/>
    <w:rsid w:val="00C3433C"/>
    <w:rsid w:val="00C34902"/>
    <w:rsid w:val="00C3522F"/>
    <w:rsid w:val="00C355EA"/>
    <w:rsid w:val="00C35AD0"/>
    <w:rsid w:val="00C368ED"/>
    <w:rsid w:val="00C379AF"/>
    <w:rsid w:val="00C40220"/>
    <w:rsid w:val="00C40F3A"/>
    <w:rsid w:val="00C412FC"/>
    <w:rsid w:val="00C428D2"/>
    <w:rsid w:val="00C45BB5"/>
    <w:rsid w:val="00C4764A"/>
    <w:rsid w:val="00C5024E"/>
    <w:rsid w:val="00C50619"/>
    <w:rsid w:val="00C50662"/>
    <w:rsid w:val="00C51D86"/>
    <w:rsid w:val="00C534DF"/>
    <w:rsid w:val="00C537BA"/>
    <w:rsid w:val="00C5562A"/>
    <w:rsid w:val="00C55FC2"/>
    <w:rsid w:val="00C57FBC"/>
    <w:rsid w:val="00C6130B"/>
    <w:rsid w:val="00C613C2"/>
    <w:rsid w:val="00C62A72"/>
    <w:rsid w:val="00C64157"/>
    <w:rsid w:val="00C66B38"/>
    <w:rsid w:val="00C66EE4"/>
    <w:rsid w:val="00C676E7"/>
    <w:rsid w:val="00C677D9"/>
    <w:rsid w:val="00C67F86"/>
    <w:rsid w:val="00C70941"/>
    <w:rsid w:val="00C71B0C"/>
    <w:rsid w:val="00C7235F"/>
    <w:rsid w:val="00C73CB6"/>
    <w:rsid w:val="00C73FEF"/>
    <w:rsid w:val="00C743B6"/>
    <w:rsid w:val="00C74845"/>
    <w:rsid w:val="00C75B60"/>
    <w:rsid w:val="00C7758A"/>
    <w:rsid w:val="00C80865"/>
    <w:rsid w:val="00C82145"/>
    <w:rsid w:val="00C8259D"/>
    <w:rsid w:val="00C85C42"/>
    <w:rsid w:val="00C8607B"/>
    <w:rsid w:val="00C90A21"/>
    <w:rsid w:val="00C91016"/>
    <w:rsid w:val="00C91F6F"/>
    <w:rsid w:val="00C93AAC"/>
    <w:rsid w:val="00C9466A"/>
    <w:rsid w:val="00C94ACA"/>
    <w:rsid w:val="00C951F9"/>
    <w:rsid w:val="00C955FB"/>
    <w:rsid w:val="00C97973"/>
    <w:rsid w:val="00C97B51"/>
    <w:rsid w:val="00CA1DB1"/>
    <w:rsid w:val="00CA3735"/>
    <w:rsid w:val="00CA4DCD"/>
    <w:rsid w:val="00CA4EB8"/>
    <w:rsid w:val="00CA5225"/>
    <w:rsid w:val="00CA5AAF"/>
    <w:rsid w:val="00CA6184"/>
    <w:rsid w:val="00CA6DFC"/>
    <w:rsid w:val="00CA7D7B"/>
    <w:rsid w:val="00CA7F04"/>
    <w:rsid w:val="00CB2E27"/>
    <w:rsid w:val="00CB34DA"/>
    <w:rsid w:val="00CB3B30"/>
    <w:rsid w:val="00CB3D64"/>
    <w:rsid w:val="00CB4130"/>
    <w:rsid w:val="00CB432B"/>
    <w:rsid w:val="00CB572E"/>
    <w:rsid w:val="00CB5914"/>
    <w:rsid w:val="00CB6528"/>
    <w:rsid w:val="00CB6888"/>
    <w:rsid w:val="00CC0470"/>
    <w:rsid w:val="00CC3856"/>
    <w:rsid w:val="00CC393B"/>
    <w:rsid w:val="00CC7828"/>
    <w:rsid w:val="00CC7EA4"/>
    <w:rsid w:val="00CD040F"/>
    <w:rsid w:val="00CD07A9"/>
    <w:rsid w:val="00CD1490"/>
    <w:rsid w:val="00CD229D"/>
    <w:rsid w:val="00CD3ADD"/>
    <w:rsid w:val="00CD4261"/>
    <w:rsid w:val="00CD4CA9"/>
    <w:rsid w:val="00CD52B5"/>
    <w:rsid w:val="00CD5370"/>
    <w:rsid w:val="00CD5448"/>
    <w:rsid w:val="00CD6921"/>
    <w:rsid w:val="00CD69B2"/>
    <w:rsid w:val="00CD706C"/>
    <w:rsid w:val="00CD778E"/>
    <w:rsid w:val="00CD7EBD"/>
    <w:rsid w:val="00CE058A"/>
    <w:rsid w:val="00CE08BD"/>
    <w:rsid w:val="00CE1752"/>
    <w:rsid w:val="00CE3039"/>
    <w:rsid w:val="00CE3B30"/>
    <w:rsid w:val="00CE5109"/>
    <w:rsid w:val="00CE5391"/>
    <w:rsid w:val="00CE5988"/>
    <w:rsid w:val="00CE6C54"/>
    <w:rsid w:val="00CF1D15"/>
    <w:rsid w:val="00CF24DF"/>
    <w:rsid w:val="00CF3BB0"/>
    <w:rsid w:val="00CF529D"/>
    <w:rsid w:val="00CF6712"/>
    <w:rsid w:val="00CF67C7"/>
    <w:rsid w:val="00D000EA"/>
    <w:rsid w:val="00D00C2D"/>
    <w:rsid w:val="00D025E5"/>
    <w:rsid w:val="00D03CE2"/>
    <w:rsid w:val="00D05146"/>
    <w:rsid w:val="00D058DE"/>
    <w:rsid w:val="00D06D1D"/>
    <w:rsid w:val="00D10067"/>
    <w:rsid w:val="00D11541"/>
    <w:rsid w:val="00D140B7"/>
    <w:rsid w:val="00D14358"/>
    <w:rsid w:val="00D14BD8"/>
    <w:rsid w:val="00D1580D"/>
    <w:rsid w:val="00D15E1C"/>
    <w:rsid w:val="00D1671A"/>
    <w:rsid w:val="00D16BC8"/>
    <w:rsid w:val="00D16EF1"/>
    <w:rsid w:val="00D17731"/>
    <w:rsid w:val="00D2290F"/>
    <w:rsid w:val="00D268C0"/>
    <w:rsid w:val="00D31402"/>
    <w:rsid w:val="00D315FA"/>
    <w:rsid w:val="00D32EF2"/>
    <w:rsid w:val="00D32F81"/>
    <w:rsid w:val="00D35253"/>
    <w:rsid w:val="00D35D78"/>
    <w:rsid w:val="00D3733E"/>
    <w:rsid w:val="00D4290C"/>
    <w:rsid w:val="00D43797"/>
    <w:rsid w:val="00D4391A"/>
    <w:rsid w:val="00D43B0B"/>
    <w:rsid w:val="00D44EC9"/>
    <w:rsid w:val="00D45F1C"/>
    <w:rsid w:val="00D4611F"/>
    <w:rsid w:val="00D46906"/>
    <w:rsid w:val="00D46C38"/>
    <w:rsid w:val="00D4774A"/>
    <w:rsid w:val="00D479A8"/>
    <w:rsid w:val="00D47C5F"/>
    <w:rsid w:val="00D50496"/>
    <w:rsid w:val="00D51A66"/>
    <w:rsid w:val="00D54BCA"/>
    <w:rsid w:val="00D5633E"/>
    <w:rsid w:val="00D5659A"/>
    <w:rsid w:val="00D5674B"/>
    <w:rsid w:val="00D60010"/>
    <w:rsid w:val="00D619DF"/>
    <w:rsid w:val="00D6234B"/>
    <w:rsid w:val="00D62CAB"/>
    <w:rsid w:val="00D6374C"/>
    <w:rsid w:val="00D64130"/>
    <w:rsid w:val="00D65747"/>
    <w:rsid w:val="00D66E2E"/>
    <w:rsid w:val="00D67C92"/>
    <w:rsid w:val="00D701DE"/>
    <w:rsid w:val="00D70F50"/>
    <w:rsid w:val="00D71456"/>
    <w:rsid w:val="00D719C1"/>
    <w:rsid w:val="00D72206"/>
    <w:rsid w:val="00D726E7"/>
    <w:rsid w:val="00D72BE1"/>
    <w:rsid w:val="00D76D41"/>
    <w:rsid w:val="00D77337"/>
    <w:rsid w:val="00D77950"/>
    <w:rsid w:val="00D77A9D"/>
    <w:rsid w:val="00D800EF"/>
    <w:rsid w:val="00D80F8E"/>
    <w:rsid w:val="00D835E1"/>
    <w:rsid w:val="00D86067"/>
    <w:rsid w:val="00D86946"/>
    <w:rsid w:val="00D86B4B"/>
    <w:rsid w:val="00D86FB8"/>
    <w:rsid w:val="00D90952"/>
    <w:rsid w:val="00D933DA"/>
    <w:rsid w:val="00D93843"/>
    <w:rsid w:val="00DA0512"/>
    <w:rsid w:val="00DA1900"/>
    <w:rsid w:val="00DA2082"/>
    <w:rsid w:val="00DA215E"/>
    <w:rsid w:val="00DA250D"/>
    <w:rsid w:val="00DA501C"/>
    <w:rsid w:val="00DA65D2"/>
    <w:rsid w:val="00DA6B21"/>
    <w:rsid w:val="00DB2856"/>
    <w:rsid w:val="00DB2AEE"/>
    <w:rsid w:val="00DB36FD"/>
    <w:rsid w:val="00DB3F72"/>
    <w:rsid w:val="00DB5EE3"/>
    <w:rsid w:val="00DB6753"/>
    <w:rsid w:val="00DB6957"/>
    <w:rsid w:val="00DB78C7"/>
    <w:rsid w:val="00DC0FDA"/>
    <w:rsid w:val="00DC16AD"/>
    <w:rsid w:val="00DC278E"/>
    <w:rsid w:val="00DC2A83"/>
    <w:rsid w:val="00DC3107"/>
    <w:rsid w:val="00DC4401"/>
    <w:rsid w:val="00DC691B"/>
    <w:rsid w:val="00DC76C4"/>
    <w:rsid w:val="00DD166C"/>
    <w:rsid w:val="00DD2F68"/>
    <w:rsid w:val="00DD450E"/>
    <w:rsid w:val="00DD49B5"/>
    <w:rsid w:val="00DD54ED"/>
    <w:rsid w:val="00DD6937"/>
    <w:rsid w:val="00DD7F18"/>
    <w:rsid w:val="00DE1559"/>
    <w:rsid w:val="00DE1A08"/>
    <w:rsid w:val="00DE46AB"/>
    <w:rsid w:val="00DE561C"/>
    <w:rsid w:val="00DE74DE"/>
    <w:rsid w:val="00DE7550"/>
    <w:rsid w:val="00DE7644"/>
    <w:rsid w:val="00DF028E"/>
    <w:rsid w:val="00DF1441"/>
    <w:rsid w:val="00DF2AD9"/>
    <w:rsid w:val="00DF325F"/>
    <w:rsid w:val="00DF3CD3"/>
    <w:rsid w:val="00DF5A46"/>
    <w:rsid w:val="00DF77F0"/>
    <w:rsid w:val="00E027AC"/>
    <w:rsid w:val="00E0324C"/>
    <w:rsid w:val="00E0611A"/>
    <w:rsid w:val="00E07097"/>
    <w:rsid w:val="00E10033"/>
    <w:rsid w:val="00E13C8E"/>
    <w:rsid w:val="00E14287"/>
    <w:rsid w:val="00E1487A"/>
    <w:rsid w:val="00E14BEE"/>
    <w:rsid w:val="00E16F15"/>
    <w:rsid w:val="00E17DD5"/>
    <w:rsid w:val="00E20625"/>
    <w:rsid w:val="00E208EE"/>
    <w:rsid w:val="00E20B17"/>
    <w:rsid w:val="00E20CCA"/>
    <w:rsid w:val="00E21D17"/>
    <w:rsid w:val="00E22598"/>
    <w:rsid w:val="00E23F43"/>
    <w:rsid w:val="00E24849"/>
    <w:rsid w:val="00E260D9"/>
    <w:rsid w:val="00E27900"/>
    <w:rsid w:val="00E27F1B"/>
    <w:rsid w:val="00E301CB"/>
    <w:rsid w:val="00E313C9"/>
    <w:rsid w:val="00E31CA4"/>
    <w:rsid w:val="00E32B8B"/>
    <w:rsid w:val="00E339F0"/>
    <w:rsid w:val="00E37137"/>
    <w:rsid w:val="00E41A42"/>
    <w:rsid w:val="00E433D6"/>
    <w:rsid w:val="00E4467C"/>
    <w:rsid w:val="00E44A9F"/>
    <w:rsid w:val="00E4576D"/>
    <w:rsid w:val="00E46103"/>
    <w:rsid w:val="00E46995"/>
    <w:rsid w:val="00E46C7C"/>
    <w:rsid w:val="00E47C4F"/>
    <w:rsid w:val="00E507F7"/>
    <w:rsid w:val="00E51FF5"/>
    <w:rsid w:val="00E52409"/>
    <w:rsid w:val="00E548D5"/>
    <w:rsid w:val="00E54B86"/>
    <w:rsid w:val="00E5565C"/>
    <w:rsid w:val="00E55FF2"/>
    <w:rsid w:val="00E56230"/>
    <w:rsid w:val="00E57060"/>
    <w:rsid w:val="00E572B7"/>
    <w:rsid w:val="00E57401"/>
    <w:rsid w:val="00E60B03"/>
    <w:rsid w:val="00E6381F"/>
    <w:rsid w:val="00E65257"/>
    <w:rsid w:val="00E65961"/>
    <w:rsid w:val="00E70B13"/>
    <w:rsid w:val="00E72427"/>
    <w:rsid w:val="00E7459A"/>
    <w:rsid w:val="00E75035"/>
    <w:rsid w:val="00E75455"/>
    <w:rsid w:val="00E769D4"/>
    <w:rsid w:val="00E77AF4"/>
    <w:rsid w:val="00E77F83"/>
    <w:rsid w:val="00E80BEE"/>
    <w:rsid w:val="00E80C7D"/>
    <w:rsid w:val="00E8186E"/>
    <w:rsid w:val="00E81BD7"/>
    <w:rsid w:val="00E821DA"/>
    <w:rsid w:val="00E829D2"/>
    <w:rsid w:val="00E829DC"/>
    <w:rsid w:val="00E82CA0"/>
    <w:rsid w:val="00E84900"/>
    <w:rsid w:val="00E8497F"/>
    <w:rsid w:val="00E849D9"/>
    <w:rsid w:val="00E84B50"/>
    <w:rsid w:val="00E867F0"/>
    <w:rsid w:val="00E8698D"/>
    <w:rsid w:val="00E8737E"/>
    <w:rsid w:val="00E874CB"/>
    <w:rsid w:val="00E900B3"/>
    <w:rsid w:val="00E932B6"/>
    <w:rsid w:val="00E938A2"/>
    <w:rsid w:val="00E9480C"/>
    <w:rsid w:val="00E9549A"/>
    <w:rsid w:val="00E959E0"/>
    <w:rsid w:val="00E96930"/>
    <w:rsid w:val="00E97150"/>
    <w:rsid w:val="00EA0B5A"/>
    <w:rsid w:val="00EA0BA3"/>
    <w:rsid w:val="00EA3791"/>
    <w:rsid w:val="00EA4A8B"/>
    <w:rsid w:val="00EA4B07"/>
    <w:rsid w:val="00EA5412"/>
    <w:rsid w:val="00EA55AE"/>
    <w:rsid w:val="00EA677C"/>
    <w:rsid w:val="00EA75F6"/>
    <w:rsid w:val="00EB162C"/>
    <w:rsid w:val="00EB1E62"/>
    <w:rsid w:val="00EB2887"/>
    <w:rsid w:val="00EB40E6"/>
    <w:rsid w:val="00EB42CF"/>
    <w:rsid w:val="00EB59D7"/>
    <w:rsid w:val="00EB5BBE"/>
    <w:rsid w:val="00EB6310"/>
    <w:rsid w:val="00EB7DD5"/>
    <w:rsid w:val="00EC0104"/>
    <w:rsid w:val="00EC01A4"/>
    <w:rsid w:val="00EC0FF2"/>
    <w:rsid w:val="00EC1F11"/>
    <w:rsid w:val="00EC3084"/>
    <w:rsid w:val="00EC355D"/>
    <w:rsid w:val="00EC3DFE"/>
    <w:rsid w:val="00EC6C96"/>
    <w:rsid w:val="00ED29F7"/>
    <w:rsid w:val="00ED2EA5"/>
    <w:rsid w:val="00ED3DF0"/>
    <w:rsid w:val="00ED3DFD"/>
    <w:rsid w:val="00ED4293"/>
    <w:rsid w:val="00ED7B08"/>
    <w:rsid w:val="00ED7C1F"/>
    <w:rsid w:val="00EE0150"/>
    <w:rsid w:val="00EE0A0A"/>
    <w:rsid w:val="00EE119A"/>
    <w:rsid w:val="00EE1FB6"/>
    <w:rsid w:val="00EE2480"/>
    <w:rsid w:val="00EE3747"/>
    <w:rsid w:val="00EE3B15"/>
    <w:rsid w:val="00EE3D9D"/>
    <w:rsid w:val="00EE48CF"/>
    <w:rsid w:val="00EE5589"/>
    <w:rsid w:val="00EE596E"/>
    <w:rsid w:val="00EE615D"/>
    <w:rsid w:val="00EE6EB9"/>
    <w:rsid w:val="00EF1EC6"/>
    <w:rsid w:val="00EF2440"/>
    <w:rsid w:val="00EF4E48"/>
    <w:rsid w:val="00EF50AA"/>
    <w:rsid w:val="00EF78ED"/>
    <w:rsid w:val="00EF7AC4"/>
    <w:rsid w:val="00F00E59"/>
    <w:rsid w:val="00F011CE"/>
    <w:rsid w:val="00F01925"/>
    <w:rsid w:val="00F035C7"/>
    <w:rsid w:val="00F03B9E"/>
    <w:rsid w:val="00F04D5F"/>
    <w:rsid w:val="00F053BF"/>
    <w:rsid w:val="00F053ED"/>
    <w:rsid w:val="00F06645"/>
    <w:rsid w:val="00F06842"/>
    <w:rsid w:val="00F10A1F"/>
    <w:rsid w:val="00F12EE8"/>
    <w:rsid w:val="00F13909"/>
    <w:rsid w:val="00F153FE"/>
    <w:rsid w:val="00F157BC"/>
    <w:rsid w:val="00F15DCA"/>
    <w:rsid w:val="00F16044"/>
    <w:rsid w:val="00F16DE8"/>
    <w:rsid w:val="00F24137"/>
    <w:rsid w:val="00F246CF"/>
    <w:rsid w:val="00F26473"/>
    <w:rsid w:val="00F270C5"/>
    <w:rsid w:val="00F310AD"/>
    <w:rsid w:val="00F311A0"/>
    <w:rsid w:val="00F31A6A"/>
    <w:rsid w:val="00F3286E"/>
    <w:rsid w:val="00F341E0"/>
    <w:rsid w:val="00F34CBA"/>
    <w:rsid w:val="00F36858"/>
    <w:rsid w:val="00F36FDA"/>
    <w:rsid w:val="00F37017"/>
    <w:rsid w:val="00F37450"/>
    <w:rsid w:val="00F37691"/>
    <w:rsid w:val="00F41173"/>
    <w:rsid w:val="00F42496"/>
    <w:rsid w:val="00F42E5F"/>
    <w:rsid w:val="00F44DCB"/>
    <w:rsid w:val="00F454F4"/>
    <w:rsid w:val="00F47469"/>
    <w:rsid w:val="00F51371"/>
    <w:rsid w:val="00F5145D"/>
    <w:rsid w:val="00F51836"/>
    <w:rsid w:val="00F5200A"/>
    <w:rsid w:val="00F5364B"/>
    <w:rsid w:val="00F55859"/>
    <w:rsid w:val="00F5680F"/>
    <w:rsid w:val="00F56DB0"/>
    <w:rsid w:val="00F56E99"/>
    <w:rsid w:val="00F60C62"/>
    <w:rsid w:val="00F6134B"/>
    <w:rsid w:val="00F633A3"/>
    <w:rsid w:val="00F63AF0"/>
    <w:rsid w:val="00F64EDE"/>
    <w:rsid w:val="00F65A84"/>
    <w:rsid w:val="00F6770F"/>
    <w:rsid w:val="00F67A6B"/>
    <w:rsid w:val="00F706B3"/>
    <w:rsid w:val="00F71633"/>
    <w:rsid w:val="00F7195A"/>
    <w:rsid w:val="00F71FCB"/>
    <w:rsid w:val="00F723AE"/>
    <w:rsid w:val="00F72AFD"/>
    <w:rsid w:val="00F733B0"/>
    <w:rsid w:val="00F738ED"/>
    <w:rsid w:val="00F762BC"/>
    <w:rsid w:val="00F7633C"/>
    <w:rsid w:val="00F76357"/>
    <w:rsid w:val="00F764AC"/>
    <w:rsid w:val="00F809CD"/>
    <w:rsid w:val="00F827F7"/>
    <w:rsid w:val="00F84796"/>
    <w:rsid w:val="00F85120"/>
    <w:rsid w:val="00F855E5"/>
    <w:rsid w:val="00F85895"/>
    <w:rsid w:val="00F85C21"/>
    <w:rsid w:val="00F9161E"/>
    <w:rsid w:val="00F916E2"/>
    <w:rsid w:val="00F91A68"/>
    <w:rsid w:val="00F91AC5"/>
    <w:rsid w:val="00F92E42"/>
    <w:rsid w:val="00F95B39"/>
    <w:rsid w:val="00F95B3F"/>
    <w:rsid w:val="00F96518"/>
    <w:rsid w:val="00F9705F"/>
    <w:rsid w:val="00FA01EC"/>
    <w:rsid w:val="00FA027C"/>
    <w:rsid w:val="00FA1638"/>
    <w:rsid w:val="00FA267C"/>
    <w:rsid w:val="00FA2FB7"/>
    <w:rsid w:val="00FA466B"/>
    <w:rsid w:val="00FA4ADA"/>
    <w:rsid w:val="00FA4B42"/>
    <w:rsid w:val="00FA4BD9"/>
    <w:rsid w:val="00FA6D58"/>
    <w:rsid w:val="00FA76B9"/>
    <w:rsid w:val="00FA7777"/>
    <w:rsid w:val="00FB09A6"/>
    <w:rsid w:val="00FB316F"/>
    <w:rsid w:val="00FB4B1D"/>
    <w:rsid w:val="00FB4C35"/>
    <w:rsid w:val="00FB6358"/>
    <w:rsid w:val="00FB73F9"/>
    <w:rsid w:val="00FC00A9"/>
    <w:rsid w:val="00FC0BC6"/>
    <w:rsid w:val="00FC0E1A"/>
    <w:rsid w:val="00FC1071"/>
    <w:rsid w:val="00FC12F0"/>
    <w:rsid w:val="00FC1A3D"/>
    <w:rsid w:val="00FC26C1"/>
    <w:rsid w:val="00FC2B6B"/>
    <w:rsid w:val="00FC302F"/>
    <w:rsid w:val="00FC3596"/>
    <w:rsid w:val="00FC44A6"/>
    <w:rsid w:val="00FC497C"/>
    <w:rsid w:val="00FC4A19"/>
    <w:rsid w:val="00FC5EBC"/>
    <w:rsid w:val="00FC70EB"/>
    <w:rsid w:val="00FD1B75"/>
    <w:rsid w:val="00FD2F5E"/>
    <w:rsid w:val="00FD6D47"/>
    <w:rsid w:val="00FD7284"/>
    <w:rsid w:val="00FD7781"/>
    <w:rsid w:val="00FD79C4"/>
    <w:rsid w:val="00FD7BEE"/>
    <w:rsid w:val="00FE053A"/>
    <w:rsid w:val="00FE1162"/>
    <w:rsid w:val="00FE11E7"/>
    <w:rsid w:val="00FE18A1"/>
    <w:rsid w:val="00FE2294"/>
    <w:rsid w:val="00FE2D86"/>
    <w:rsid w:val="00FE2D95"/>
    <w:rsid w:val="00FE4ADC"/>
    <w:rsid w:val="00FE5205"/>
    <w:rsid w:val="00FE53DB"/>
    <w:rsid w:val="00FE59A5"/>
    <w:rsid w:val="00FE5FDD"/>
    <w:rsid w:val="00FF0A33"/>
    <w:rsid w:val="00FF0F77"/>
    <w:rsid w:val="00FF2AE5"/>
    <w:rsid w:val="00FF334A"/>
    <w:rsid w:val="00FF3D16"/>
    <w:rsid w:val="00FF3E74"/>
    <w:rsid w:val="00FF4A78"/>
    <w:rsid w:val="00FF59F2"/>
    <w:rsid w:val="00FF74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2D914"/>
  <w15:chartTrackingRefBased/>
  <w15:docId w15:val="{18E5AC66-285B-4279-9DE8-D100F5EB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ZA" w:eastAsia="en-US" w:bidi="ar-SA"/>
      </w:rPr>
    </w:rPrDefault>
    <w:pPrDefault>
      <w:pPr>
        <w:spacing w:before="480" w:after="48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5FA"/>
    <w:pPr>
      <w:spacing w:before="0" w:after="160" w:line="259" w:lineRule="auto"/>
      <w:jc w:val="left"/>
    </w:pPr>
    <w:rPr>
      <w:rFonts w:ascii="Calibri" w:eastAsia="Calibri" w:hAnsi="Calibri" w:cs="Calibri"/>
      <w:color w:val="000000"/>
      <w:sz w:val="22"/>
      <w:szCs w:val="22"/>
      <w:lang w:eastAsia="en-ZA"/>
    </w:rPr>
  </w:style>
  <w:style w:type="paragraph" w:styleId="Heading1">
    <w:name w:val="heading 1"/>
    <w:basedOn w:val="Normal"/>
    <w:next w:val="Normal"/>
    <w:link w:val="Heading1Char"/>
    <w:uiPriority w:val="9"/>
    <w:rsid w:val="0047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799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Legal">
    <w:name w:val="DMLegal"/>
    <w:link w:val="DMLegalChar"/>
    <w:autoRedefine/>
    <w:qFormat/>
    <w:rsid w:val="00477991"/>
    <w:pPr>
      <w:tabs>
        <w:tab w:val="num" w:pos="567"/>
      </w:tabs>
      <w:ind w:left="1418" w:hanging="851"/>
      <w:outlineLvl w:val="0"/>
    </w:pPr>
    <w:rPr>
      <w:rFonts w:cs="Arial"/>
      <w:bCs/>
    </w:rPr>
  </w:style>
  <w:style w:type="character" w:customStyle="1" w:styleId="DMLegalChar">
    <w:name w:val="DMLegal Char"/>
    <w:basedOn w:val="DefaultParagraphFont"/>
    <w:link w:val="DMLegal"/>
    <w:rsid w:val="00477991"/>
    <w:rPr>
      <w:rFonts w:cs="Arial"/>
      <w:bCs/>
    </w:rPr>
  </w:style>
  <w:style w:type="numbering" w:customStyle="1" w:styleId="DMLegalList0">
    <w:name w:val="DMLegalList"/>
    <w:uiPriority w:val="99"/>
    <w:rsid w:val="00477991"/>
    <w:pPr>
      <w:numPr>
        <w:numId w:val="2"/>
      </w:numPr>
    </w:pPr>
  </w:style>
  <w:style w:type="numbering" w:customStyle="1" w:styleId="DMList">
    <w:name w:val="DMList"/>
    <w:uiPriority w:val="99"/>
    <w:rsid w:val="00477991"/>
    <w:pPr>
      <w:numPr>
        <w:numId w:val="3"/>
      </w:numPr>
    </w:pPr>
  </w:style>
  <w:style w:type="numbering" w:customStyle="1" w:styleId="DMLEGALLIST">
    <w:name w:val="DMLEGALLIST"/>
    <w:basedOn w:val="NoList"/>
    <w:uiPriority w:val="99"/>
    <w:rsid w:val="00477991"/>
    <w:pPr>
      <w:numPr>
        <w:numId w:val="5"/>
      </w:numPr>
    </w:pPr>
  </w:style>
  <w:style w:type="paragraph" w:customStyle="1" w:styleId="DMLegal1">
    <w:name w:val="DMLegal 1"/>
    <w:link w:val="DMLegal1Char"/>
    <w:qFormat/>
    <w:rsid w:val="00477991"/>
    <w:pPr>
      <w:numPr>
        <w:numId w:val="24"/>
      </w:numPr>
      <w:outlineLvl w:val="0"/>
    </w:pPr>
    <w:rPr>
      <w:rFonts w:cs="Arial"/>
      <w:bCs/>
    </w:rPr>
  </w:style>
  <w:style w:type="character" w:customStyle="1" w:styleId="DMLegal1Char">
    <w:name w:val="DMLegal 1 Char"/>
    <w:basedOn w:val="DefaultParagraphFont"/>
    <w:link w:val="DMLegal1"/>
    <w:rsid w:val="00477991"/>
    <w:rPr>
      <w:rFonts w:ascii="Arial" w:hAnsi="Arial" w:cs="Arial"/>
      <w:bCs/>
      <w:sz w:val="24"/>
      <w:szCs w:val="24"/>
    </w:rPr>
  </w:style>
  <w:style w:type="paragraph" w:customStyle="1" w:styleId="DMLEGAL2">
    <w:name w:val="DMLEGAL2"/>
    <w:link w:val="DMLEGAL2Char"/>
    <w:qFormat/>
    <w:rsid w:val="00477991"/>
    <w:pPr>
      <w:numPr>
        <w:ilvl w:val="1"/>
        <w:numId w:val="24"/>
      </w:numPr>
      <w:outlineLvl w:val="1"/>
    </w:pPr>
    <w:rPr>
      <w:rFonts w:cs="Arial"/>
      <w:bCs/>
    </w:rPr>
  </w:style>
  <w:style w:type="character" w:customStyle="1" w:styleId="DMLEGAL2Char">
    <w:name w:val="DMLEGAL2 Char"/>
    <w:basedOn w:val="DMLegal1Char"/>
    <w:link w:val="DMLEGAL2"/>
    <w:rsid w:val="00477991"/>
    <w:rPr>
      <w:rFonts w:ascii="Arial" w:hAnsi="Arial" w:cs="Arial"/>
      <w:bCs/>
      <w:sz w:val="24"/>
      <w:szCs w:val="24"/>
    </w:rPr>
  </w:style>
  <w:style w:type="paragraph" w:customStyle="1" w:styleId="DMLEGAL3">
    <w:name w:val="DMLEGAL3"/>
    <w:link w:val="DMLEGAL3Char"/>
    <w:qFormat/>
    <w:rsid w:val="00477991"/>
    <w:pPr>
      <w:numPr>
        <w:ilvl w:val="2"/>
        <w:numId w:val="24"/>
      </w:numPr>
      <w:outlineLvl w:val="2"/>
    </w:pPr>
    <w:rPr>
      <w:rFonts w:cs="Arial"/>
      <w:bCs/>
    </w:rPr>
  </w:style>
  <w:style w:type="character" w:customStyle="1" w:styleId="DMLEGAL3Char">
    <w:name w:val="DMLEGAL3 Char"/>
    <w:basedOn w:val="DMLEGAL2Char"/>
    <w:link w:val="DMLEGAL3"/>
    <w:rsid w:val="00477991"/>
    <w:rPr>
      <w:rFonts w:ascii="Arial" w:hAnsi="Arial" w:cs="Arial"/>
      <w:bCs/>
      <w:sz w:val="24"/>
      <w:szCs w:val="24"/>
    </w:rPr>
  </w:style>
  <w:style w:type="paragraph" w:customStyle="1" w:styleId="DoubleIndent">
    <w:name w:val="DoubleIndent"/>
    <w:qFormat/>
    <w:rsid w:val="00DF1441"/>
    <w:pPr>
      <w:spacing w:line="360" w:lineRule="auto"/>
      <w:ind w:left="2268" w:right="2268"/>
    </w:pPr>
    <w:rPr>
      <w:rFonts w:cs="Arial"/>
      <w:bCs/>
    </w:rPr>
  </w:style>
  <w:style w:type="character" w:customStyle="1" w:styleId="Heading1Char">
    <w:name w:val="Heading 1 Char"/>
    <w:basedOn w:val="DefaultParagraphFont"/>
    <w:link w:val="Heading1"/>
    <w:uiPriority w:val="9"/>
    <w:rsid w:val="004779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77991"/>
    <w:rPr>
      <w:rFonts w:asciiTheme="majorHAnsi" w:eastAsiaTheme="majorEastAsia" w:hAnsiTheme="majorHAnsi" w:cstheme="majorBidi"/>
      <w:color w:val="2F5496" w:themeColor="accent1" w:themeShade="BF"/>
      <w:sz w:val="26"/>
      <w:szCs w:val="26"/>
      <w:lang w:val="en-GB"/>
    </w:rPr>
  </w:style>
  <w:style w:type="paragraph" w:styleId="FootnoteText">
    <w:name w:val="footnote text"/>
    <w:basedOn w:val="Normal"/>
    <w:link w:val="FootnoteTextChar"/>
    <w:uiPriority w:val="99"/>
    <w:semiHidden/>
    <w:unhideWhenUsed/>
    <w:rsid w:val="004779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7991"/>
    <w:rPr>
      <w:sz w:val="20"/>
      <w:szCs w:val="20"/>
    </w:rPr>
  </w:style>
  <w:style w:type="paragraph" w:styleId="Header">
    <w:name w:val="header"/>
    <w:basedOn w:val="Normal"/>
    <w:link w:val="HeaderChar"/>
    <w:uiPriority w:val="99"/>
    <w:unhideWhenUsed/>
    <w:rsid w:val="0047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991"/>
  </w:style>
  <w:style w:type="paragraph" w:styleId="Footer">
    <w:name w:val="footer"/>
    <w:basedOn w:val="Normal"/>
    <w:link w:val="FooterChar"/>
    <w:uiPriority w:val="99"/>
    <w:unhideWhenUsed/>
    <w:rsid w:val="0047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991"/>
  </w:style>
  <w:style w:type="character" w:styleId="FootnoteReference">
    <w:name w:val="footnote reference"/>
    <w:basedOn w:val="DefaultParagraphFont"/>
    <w:uiPriority w:val="99"/>
    <w:semiHidden/>
    <w:unhideWhenUsed/>
    <w:rsid w:val="00477991"/>
    <w:rPr>
      <w:vertAlign w:val="superscript"/>
    </w:rPr>
  </w:style>
  <w:style w:type="paragraph" w:styleId="TableofAuthorities">
    <w:name w:val="table of authorities"/>
    <w:basedOn w:val="Normal"/>
    <w:next w:val="Normal"/>
    <w:uiPriority w:val="99"/>
    <w:semiHidden/>
    <w:unhideWhenUsed/>
    <w:rsid w:val="00477991"/>
    <w:pPr>
      <w:spacing w:after="0"/>
      <w:ind w:left="220" w:hanging="220"/>
    </w:pPr>
  </w:style>
  <w:style w:type="paragraph" w:styleId="TOAHeading">
    <w:name w:val="toa heading"/>
    <w:basedOn w:val="Normal"/>
    <w:next w:val="Normal"/>
    <w:uiPriority w:val="99"/>
    <w:semiHidden/>
    <w:unhideWhenUsed/>
    <w:rsid w:val="00477991"/>
    <w:pPr>
      <w:spacing w:before="120"/>
    </w:pPr>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47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91"/>
    <w:rPr>
      <w:rFonts w:ascii="Segoe UI" w:hAnsi="Segoe UI" w:cs="Segoe UI"/>
      <w:sz w:val="18"/>
      <w:szCs w:val="18"/>
    </w:rPr>
  </w:style>
  <w:style w:type="paragraph" w:styleId="ListParagraph">
    <w:name w:val="List Paragraph"/>
    <w:basedOn w:val="Normal"/>
    <w:uiPriority w:val="34"/>
    <w:qFormat/>
    <w:rsid w:val="00477991"/>
    <w:pPr>
      <w:ind w:left="720"/>
      <w:contextualSpacing/>
    </w:pPr>
  </w:style>
  <w:style w:type="paragraph" w:customStyle="1" w:styleId="UNNUMBEREDHEADER">
    <w:name w:val="UNNUMBERED HEADER"/>
    <w:link w:val="UNNUMBEREDHEADERChar"/>
    <w:qFormat/>
    <w:rsid w:val="009A4CE5"/>
    <w:pPr>
      <w:tabs>
        <w:tab w:val="center" w:pos="4513"/>
      </w:tabs>
      <w:suppressAutoHyphens/>
      <w:ind w:left="567"/>
    </w:pPr>
    <w:rPr>
      <w:rFonts w:cs="Arial"/>
      <w:bCs/>
    </w:rPr>
  </w:style>
  <w:style w:type="character" w:customStyle="1" w:styleId="UNNUMBEREDHEADERChar">
    <w:name w:val="UNNUMBERED HEADER Char"/>
    <w:basedOn w:val="DefaultParagraphFont"/>
    <w:link w:val="UNNUMBEREDHEADER"/>
    <w:rsid w:val="009A4CE5"/>
    <w:rPr>
      <w:rFonts w:cs="Arial"/>
      <w:bCs/>
    </w:rPr>
  </w:style>
  <w:style w:type="character" w:styleId="Hyperlink">
    <w:name w:val="Hyperlink"/>
    <w:rsid w:val="0041062F"/>
    <w:rPr>
      <w:color w:val="0000FF"/>
      <w:u w:val="single"/>
    </w:rPr>
  </w:style>
  <w:style w:type="table" w:styleId="TableGrid">
    <w:name w:val="Table Grid"/>
    <w:basedOn w:val="TableNormal"/>
    <w:uiPriority w:val="39"/>
    <w:rsid w:val="0041062F"/>
    <w:pPr>
      <w:spacing w:before="0" w:after="0" w:line="240" w:lineRule="auto"/>
      <w:jc w:val="left"/>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387B"/>
    <w:pPr>
      <w:autoSpaceDE w:val="0"/>
      <w:autoSpaceDN w:val="0"/>
      <w:adjustRightInd w:val="0"/>
      <w:spacing w:before="0" w:after="0" w:line="240" w:lineRule="auto"/>
      <w:jc w:val="left"/>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EE596E"/>
    <w:rPr>
      <w:color w:val="605E5C"/>
      <w:shd w:val="clear" w:color="auto" w:fill="E1DFDD"/>
    </w:rPr>
  </w:style>
  <w:style w:type="numbering" w:customStyle="1" w:styleId="DMJUDGMENT">
    <w:name w:val="DM JUDGMENT"/>
    <w:uiPriority w:val="99"/>
    <w:rsid w:val="00D315FA"/>
    <w:pPr>
      <w:numPr>
        <w:numId w:val="29"/>
      </w:numPr>
    </w:pPr>
  </w:style>
  <w:style w:type="numbering" w:customStyle="1" w:styleId="DMLISTSTYLE">
    <w:name w:val="DMLISTSTYLE"/>
    <w:uiPriority w:val="99"/>
    <w:rsid w:val="00EE119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231203">
      <w:bodyDiv w:val="1"/>
      <w:marLeft w:val="0"/>
      <w:marRight w:val="0"/>
      <w:marTop w:val="0"/>
      <w:marBottom w:val="0"/>
      <w:divBdr>
        <w:top w:val="none" w:sz="0" w:space="0" w:color="auto"/>
        <w:left w:val="none" w:sz="0" w:space="0" w:color="auto"/>
        <w:bottom w:val="none" w:sz="0" w:space="0" w:color="auto"/>
        <w:right w:val="none" w:sz="0" w:space="0" w:color="auto"/>
      </w:divBdr>
      <w:divsChild>
        <w:div w:id="170216837">
          <w:marLeft w:val="0"/>
          <w:marRight w:val="0"/>
          <w:marTop w:val="0"/>
          <w:marBottom w:val="0"/>
          <w:divBdr>
            <w:top w:val="none" w:sz="0" w:space="0" w:color="auto"/>
            <w:left w:val="none" w:sz="0" w:space="0" w:color="auto"/>
            <w:bottom w:val="none" w:sz="0" w:space="0" w:color="auto"/>
            <w:right w:val="none" w:sz="0" w:space="0" w:color="auto"/>
          </w:divBdr>
          <w:divsChild>
            <w:div w:id="1442409363">
              <w:marLeft w:val="0"/>
              <w:marRight w:val="0"/>
              <w:marTop w:val="0"/>
              <w:marBottom w:val="0"/>
              <w:divBdr>
                <w:top w:val="none" w:sz="0" w:space="0" w:color="auto"/>
                <w:left w:val="none" w:sz="0" w:space="0" w:color="auto"/>
                <w:bottom w:val="none" w:sz="0" w:space="0" w:color="auto"/>
                <w:right w:val="none" w:sz="0" w:space="0" w:color="auto"/>
              </w:divBdr>
              <w:divsChild>
                <w:div w:id="946892029">
                  <w:marLeft w:val="0"/>
                  <w:marRight w:val="0"/>
                  <w:marTop w:val="0"/>
                  <w:marBottom w:val="0"/>
                  <w:divBdr>
                    <w:top w:val="none" w:sz="0" w:space="0" w:color="auto"/>
                    <w:left w:val="none" w:sz="0" w:space="0" w:color="auto"/>
                    <w:bottom w:val="none" w:sz="0" w:space="0" w:color="auto"/>
                    <w:right w:val="none" w:sz="0" w:space="0" w:color="auto"/>
                  </w:divBdr>
                </w:div>
                <w:div w:id="1822192617">
                  <w:marLeft w:val="0"/>
                  <w:marRight w:val="0"/>
                  <w:marTop w:val="0"/>
                  <w:marBottom w:val="0"/>
                  <w:divBdr>
                    <w:top w:val="none" w:sz="0" w:space="0" w:color="auto"/>
                    <w:left w:val="none" w:sz="0" w:space="0" w:color="auto"/>
                    <w:bottom w:val="none" w:sz="0" w:space="0" w:color="auto"/>
                    <w:right w:val="none" w:sz="0" w:space="0" w:color="auto"/>
                  </w:divBdr>
                  <w:divsChild>
                    <w:div w:id="15084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640565">
      <w:bodyDiv w:val="1"/>
      <w:marLeft w:val="0"/>
      <w:marRight w:val="0"/>
      <w:marTop w:val="0"/>
      <w:marBottom w:val="0"/>
      <w:divBdr>
        <w:top w:val="none" w:sz="0" w:space="0" w:color="auto"/>
        <w:left w:val="none" w:sz="0" w:space="0" w:color="auto"/>
        <w:bottom w:val="none" w:sz="0" w:space="0" w:color="auto"/>
        <w:right w:val="none" w:sz="0" w:space="0" w:color="auto"/>
      </w:divBdr>
      <w:divsChild>
        <w:div w:id="2036495788">
          <w:marLeft w:val="0"/>
          <w:marRight w:val="0"/>
          <w:marTop w:val="120"/>
          <w:marBottom w:val="0"/>
          <w:divBdr>
            <w:top w:val="none" w:sz="0" w:space="0" w:color="auto"/>
            <w:left w:val="none" w:sz="0" w:space="0" w:color="auto"/>
            <w:bottom w:val="none" w:sz="0" w:space="0" w:color="auto"/>
            <w:right w:val="none" w:sz="0" w:space="0" w:color="auto"/>
          </w:divBdr>
        </w:div>
        <w:div w:id="75370334">
          <w:marLeft w:val="1134"/>
          <w:marRight w:val="0"/>
          <w:marTop w:val="60"/>
          <w:marBottom w:val="0"/>
          <w:divBdr>
            <w:top w:val="none" w:sz="0" w:space="0" w:color="auto"/>
            <w:left w:val="none" w:sz="0" w:space="0" w:color="auto"/>
            <w:bottom w:val="none" w:sz="0" w:space="0" w:color="auto"/>
            <w:right w:val="none" w:sz="0" w:space="0" w:color="auto"/>
          </w:divBdr>
        </w:div>
        <w:div w:id="67853181">
          <w:marLeft w:val="567"/>
          <w:marRight w:val="567"/>
          <w:marTop w:val="20"/>
          <w:marBottom w:val="20"/>
          <w:divBdr>
            <w:top w:val="none" w:sz="0" w:space="0" w:color="auto"/>
            <w:left w:val="none" w:sz="0" w:space="0" w:color="auto"/>
            <w:bottom w:val="none" w:sz="0" w:space="0" w:color="auto"/>
            <w:right w:val="none" w:sz="0" w:space="0" w:color="auto"/>
          </w:divBdr>
        </w:div>
        <w:div w:id="1960723195">
          <w:marLeft w:val="1134"/>
          <w:marRight w:val="0"/>
          <w:marTop w:val="60"/>
          <w:marBottom w:val="0"/>
          <w:divBdr>
            <w:top w:val="none" w:sz="0" w:space="0" w:color="auto"/>
            <w:left w:val="none" w:sz="0" w:space="0" w:color="auto"/>
            <w:bottom w:val="none" w:sz="0" w:space="0" w:color="auto"/>
            <w:right w:val="none" w:sz="0" w:space="0" w:color="auto"/>
          </w:divBdr>
        </w:div>
      </w:divsChild>
    </w:div>
    <w:div w:id="1236941186">
      <w:bodyDiv w:val="1"/>
      <w:marLeft w:val="0"/>
      <w:marRight w:val="0"/>
      <w:marTop w:val="0"/>
      <w:marBottom w:val="0"/>
      <w:divBdr>
        <w:top w:val="none" w:sz="0" w:space="0" w:color="auto"/>
        <w:left w:val="none" w:sz="0" w:space="0" w:color="auto"/>
        <w:bottom w:val="none" w:sz="0" w:space="0" w:color="auto"/>
        <w:right w:val="none" w:sz="0" w:space="0" w:color="auto"/>
      </w:divBdr>
    </w:div>
    <w:div w:id="1823698842">
      <w:bodyDiv w:val="1"/>
      <w:marLeft w:val="0"/>
      <w:marRight w:val="0"/>
      <w:marTop w:val="0"/>
      <w:marBottom w:val="0"/>
      <w:divBdr>
        <w:top w:val="none" w:sz="0" w:space="0" w:color="auto"/>
        <w:left w:val="none" w:sz="0" w:space="0" w:color="auto"/>
        <w:bottom w:val="none" w:sz="0" w:space="0" w:color="auto"/>
        <w:right w:val="none" w:sz="0" w:space="0" w:color="auto"/>
      </w:divBdr>
    </w:div>
    <w:div w:id="1857226842">
      <w:bodyDiv w:val="1"/>
      <w:marLeft w:val="0"/>
      <w:marRight w:val="0"/>
      <w:marTop w:val="0"/>
      <w:marBottom w:val="0"/>
      <w:divBdr>
        <w:top w:val="none" w:sz="0" w:space="0" w:color="auto"/>
        <w:left w:val="none" w:sz="0" w:space="0" w:color="auto"/>
        <w:bottom w:val="none" w:sz="0" w:space="0" w:color="auto"/>
        <w:right w:val="none" w:sz="0" w:space="0" w:color="auto"/>
      </w:divBdr>
    </w:div>
    <w:div w:id="2003196197">
      <w:bodyDiv w:val="1"/>
      <w:marLeft w:val="0"/>
      <w:marRight w:val="0"/>
      <w:marTop w:val="0"/>
      <w:marBottom w:val="0"/>
      <w:divBdr>
        <w:top w:val="none" w:sz="0" w:space="0" w:color="auto"/>
        <w:left w:val="none" w:sz="0" w:space="0" w:color="auto"/>
        <w:bottom w:val="none" w:sz="0" w:space="0" w:color="auto"/>
        <w:right w:val="none" w:sz="0" w:space="0" w:color="auto"/>
      </w:divBdr>
    </w:div>
    <w:div w:id="210672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E2AF-243C-4B52-8C30-554B27A4D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4763</Words>
  <Characters>27153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Advocate Dawid Marais</dc:creator>
  <cp:keywords/>
  <dc:description/>
  <cp:lastModifiedBy>Mokone</cp:lastModifiedBy>
  <cp:revision>3</cp:revision>
  <cp:lastPrinted>2023-05-22T13:17:00Z</cp:lastPrinted>
  <dcterms:created xsi:type="dcterms:W3CDTF">2023-05-26T10:26:00Z</dcterms:created>
  <dcterms:modified xsi:type="dcterms:W3CDTF">2023-05-26T10:27:00Z</dcterms:modified>
</cp:coreProperties>
</file>