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B484" w14:textId="77777777" w:rsidR="005C4D20" w:rsidRPr="001A00A0" w:rsidRDefault="005C4D20" w:rsidP="005C4D20">
      <w:pPr>
        <w:tabs>
          <w:tab w:val="left" w:pos="6946"/>
          <w:tab w:val="left" w:pos="7230"/>
        </w:tabs>
        <w:jc w:val="center"/>
        <w:rPr>
          <w:b/>
          <w:lang w:val="en-US"/>
        </w:rPr>
      </w:pPr>
      <w:r w:rsidRPr="00BA7A51">
        <w:rPr>
          <w:noProof/>
          <w:lang w:val="en-US"/>
        </w:rPr>
        <w:drawing>
          <wp:inline distT="0" distB="0" distL="0" distR="0" wp14:anchorId="01895AAF" wp14:editId="0D68AC2A">
            <wp:extent cx="1476375" cy="1485900"/>
            <wp:effectExtent l="0" t="0" r="9525" b="0"/>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7" cstate="print">
                      <a:extLst>
                        <a:ext uri="{BEBA8EAE-BF5A-486C-A8C5-ECC9F3942E4B}">
                          <a14:imgProps xmlns:a14="http://schemas.microsoft.com/office/drawing/2010/main">
                            <a14:imgLayer r:embed="rId8">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p>
    <w:p w14:paraId="375CDB9C" w14:textId="77777777" w:rsidR="005C4D20" w:rsidRPr="002B5664" w:rsidRDefault="005C4D20" w:rsidP="005C4D20">
      <w:pPr>
        <w:widowControl w:val="0"/>
        <w:ind w:left="6480"/>
        <w:jc w:val="both"/>
        <w:rPr>
          <w:rFonts w:ascii="Arial" w:hAnsi="Arial" w:cs="Arial"/>
          <w:u w:val="singl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5C4D20" w:rsidRPr="00E1648A" w14:paraId="679E2748" w14:textId="77777777" w:rsidTr="00B86C14">
        <w:tc>
          <w:tcPr>
            <w:tcW w:w="4820" w:type="dxa"/>
          </w:tcPr>
          <w:p w14:paraId="0061B73C" w14:textId="77777777" w:rsidR="005C4D20" w:rsidRDefault="005C4D20" w:rsidP="00B86C14">
            <w:pPr>
              <w:pStyle w:val="Title"/>
              <w:spacing w:line="360" w:lineRule="auto"/>
              <w:ind w:left="720"/>
              <w:jc w:val="both"/>
              <w:rPr>
                <w:b w:val="0"/>
                <w:bCs w:val="0"/>
                <w:sz w:val="16"/>
                <w:szCs w:val="16"/>
                <w:lang w:val="af-ZA"/>
              </w:rPr>
            </w:pPr>
          </w:p>
          <w:p w14:paraId="3FBF17D1" w14:textId="2AF19897" w:rsidR="005C4D20" w:rsidRPr="001A00A0" w:rsidRDefault="00D919F0" w:rsidP="00D919F0">
            <w:pPr>
              <w:pStyle w:val="Title"/>
              <w:spacing w:line="360" w:lineRule="auto"/>
              <w:ind w:left="720" w:hanging="360"/>
              <w:jc w:val="both"/>
              <w:rPr>
                <w:b w:val="0"/>
                <w:bCs w:val="0"/>
                <w:sz w:val="16"/>
                <w:szCs w:val="16"/>
                <w:lang w:val="af-ZA"/>
              </w:rPr>
            </w:pPr>
            <w:r w:rsidRPr="001A00A0">
              <w:rPr>
                <w:b w:val="0"/>
                <w:bCs w:val="0"/>
                <w:sz w:val="16"/>
                <w:szCs w:val="16"/>
                <w:lang w:val="af-ZA"/>
              </w:rPr>
              <w:t>1)</w:t>
            </w:r>
            <w:r w:rsidRPr="001A00A0">
              <w:rPr>
                <w:b w:val="0"/>
                <w:bCs w:val="0"/>
                <w:sz w:val="16"/>
                <w:szCs w:val="16"/>
                <w:lang w:val="af-ZA"/>
              </w:rPr>
              <w:tab/>
            </w:r>
            <w:r w:rsidR="005C4D20" w:rsidRPr="001A00A0">
              <w:rPr>
                <w:b w:val="0"/>
                <w:bCs w:val="0"/>
                <w:sz w:val="16"/>
                <w:szCs w:val="16"/>
                <w:lang w:val="af-ZA"/>
              </w:rPr>
              <w:t xml:space="preserve">REPORTABLE: </w:t>
            </w:r>
            <w:r w:rsidR="005C4D20" w:rsidRPr="0075603F">
              <w:rPr>
                <w:b w:val="0"/>
                <w:bCs w:val="0"/>
                <w:sz w:val="16"/>
                <w:szCs w:val="16"/>
                <w:lang w:val="af-ZA"/>
              </w:rPr>
              <w:t>YES/</w:t>
            </w:r>
            <w:r w:rsidR="005C4D20" w:rsidRPr="0075603F">
              <w:rPr>
                <w:b w:val="0"/>
                <w:bCs w:val="0"/>
                <w:strike/>
                <w:sz w:val="16"/>
                <w:szCs w:val="16"/>
                <w:lang w:val="af-ZA"/>
              </w:rPr>
              <w:t>NO</w:t>
            </w:r>
          </w:p>
          <w:p w14:paraId="21018E69" w14:textId="57C7E6E4" w:rsidR="005C4D20" w:rsidRPr="001A00A0" w:rsidRDefault="00D919F0" w:rsidP="00D919F0">
            <w:pPr>
              <w:pStyle w:val="Title"/>
              <w:spacing w:line="360" w:lineRule="auto"/>
              <w:ind w:left="720" w:hanging="360"/>
              <w:jc w:val="left"/>
              <w:rPr>
                <w:b w:val="0"/>
                <w:bCs w:val="0"/>
                <w:sz w:val="16"/>
                <w:szCs w:val="16"/>
                <w:lang w:val="af-ZA"/>
              </w:rPr>
            </w:pPr>
            <w:r w:rsidRPr="001A00A0">
              <w:rPr>
                <w:b w:val="0"/>
                <w:bCs w:val="0"/>
                <w:sz w:val="16"/>
                <w:szCs w:val="16"/>
                <w:lang w:val="af-ZA"/>
              </w:rPr>
              <w:t>2)</w:t>
            </w:r>
            <w:r w:rsidRPr="001A00A0">
              <w:rPr>
                <w:b w:val="0"/>
                <w:bCs w:val="0"/>
                <w:sz w:val="16"/>
                <w:szCs w:val="16"/>
                <w:lang w:val="af-ZA"/>
              </w:rPr>
              <w:tab/>
            </w:r>
            <w:r w:rsidR="005C4D20" w:rsidRPr="001A00A0">
              <w:rPr>
                <w:b w:val="0"/>
                <w:bCs w:val="0"/>
                <w:sz w:val="16"/>
                <w:szCs w:val="16"/>
                <w:lang w:val="af-ZA"/>
              </w:rPr>
              <w:t xml:space="preserve">OF INTEREST TO OTHER JUDGES:   </w:t>
            </w:r>
            <w:r w:rsidR="005C4D20" w:rsidRPr="0075603F">
              <w:rPr>
                <w:b w:val="0"/>
                <w:bCs w:val="0"/>
                <w:sz w:val="16"/>
                <w:szCs w:val="16"/>
                <w:lang w:val="af-ZA"/>
              </w:rPr>
              <w:t>YES</w:t>
            </w:r>
            <w:r w:rsidR="005C4D20" w:rsidRPr="0023011C">
              <w:rPr>
                <w:b w:val="0"/>
                <w:bCs w:val="0"/>
                <w:strike/>
                <w:sz w:val="16"/>
                <w:szCs w:val="16"/>
                <w:lang w:val="af-ZA"/>
              </w:rPr>
              <w:t>/</w:t>
            </w:r>
            <w:r w:rsidR="005C4D20" w:rsidRPr="0075603F">
              <w:rPr>
                <w:b w:val="0"/>
                <w:bCs w:val="0"/>
                <w:strike/>
                <w:sz w:val="16"/>
                <w:szCs w:val="16"/>
                <w:lang w:val="af-ZA"/>
              </w:rPr>
              <w:t>NO</w:t>
            </w:r>
          </w:p>
          <w:p w14:paraId="53C12012" w14:textId="1B81A5F2" w:rsidR="005C4D20" w:rsidRDefault="00D919F0" w:rsidP="00D919F0">
            <w:pPr>
              <w:pStyle w:val="Title"/>
              <w:spacing w:line="360" w:lineRule="auto"/>
              <w:ind w:left="720" w:hanging="360"/>
              <w:jc w:val="both"/>
              <w:rPr>
                <w:b w:val="0"/>
                <w:bCs w:val="0"/>
                <w:sz w:val="16"/>
                <w:szCs w:val="16"/>
                <w:lang w:val="af-ZA"/>
              </w:rPr>
            </w:pPr>
            <w:r>
              <w:rPr>
                <w:b w:val="0"/>
                <w:bCs w:val="0"/>
                <w:sz w:val="16"/>
                <w:szCs w:val="16"/>
                <w:lang w:val="af-ZA"/>
              </w:rPr>
              <w:t>3)</w:t>
            </w:r>
            <w:r>
              <w:rPr>
                <w:b w:val="0"/>
                <w:bCs w:val="0"/>
                <w:sz w:val="16"/>
                <w:szCs w:val="16"/>
                <w:lang w:val="af-ZA"/>
              </w:rPr>
              <w:tab/>
            </w:r>
            <w:r w:rsidR="005C4D20" w:rsidRPr="001A00A0">
              <w:rPr>
                <w:b w:val="0"/>
                <w:bCs w:val="0"/>
                <w:sz w:val="16"/>
                <w:szCs w:val="16"/>
                <w:lang w:val="af-ZA"/>
              </w:rPr>
              <w:t>REVISED</w:t>
            </w:r>
            <w:r w:rsidR="005C4D20">
              <w:rPr>
                <w:b w:val="0"/>
                <w:bCs w:val="0"/>
                <w:sz w:val="16"/>
                <w:szCs w:val="16"/>
                <w:lang w:val="af-ZA"/>
              </w:rPr>
              <w:t>: YES/</w:t>
            </w:r>
            <w:r w:rsidR="005C4D20" w:rsidRPr="000F5C48">
              <w:rPr>
                <w:b w:val="0"/>
                <w:bCs w:val="0"/>
                <w:sz w:val="16"/>
                <w:szCs w:val="16"/>
                <w:lang w:val="af-ZA"/>
              </w:rPr>
              <w:t>NO</w:t>
            </w:r>
          </w:p>
          <w:p w14:paraId="46213169" w14:textId="77777777" w:rsidR="00F2097E" w:rsidRDefault="00F2097E" w:rsidP="00B86C14">
            <w:pPr>
              <w:pStyle w:val="Title"/>
              <w:spacing w:line="360" w:lineRule="auto"/>
              <w:ind w:left="34" w:hanging="34"/>
              <w:jc w:val="both"/>
              <w:rPr>
                <w:noProof/>
                <w:lang w:val="en-ZA" w:eastAsia="en-ZA"/>
              </w:rPr>
            </w:pPr>
          </w:p>
          <w:p w14:paraId="4FCCF83B" w14:textId="77777777" w:rsidR="00F2097E" w:rsidRDefault="00F2097E" w:rsidP="00B86C14">
            <w:pPr>
              <w:pStyle w:val="Title"/>
              <w:spacing w:line="360" w:lineRule="auto"/>
              <w:ind w:left="34" w:hanging="34"/>
              <w:jc w:val="both"/>
              <w:rPr>
                <w:noProof/>
                <w:lang w:val="en-ZA" w:eastAsia="en-ZA"/>
              </w:rPr>
            </w:pPr>
          </w:p>
          <w:p w14:paraId="32F828C8" w14:textId="5B9A76D0" w:rsidR="005C4D20" w:rsidRDefault="005C4D20" w:rsidP="00B86C14">
            <w:pPr>
              <w:pStyle w:val="Title"/>
              <w:spacing w:line="360" w:lineRule="auto"/>
              <w:ind w:left="34" w:hanging="34"/>
              <w:jc w:val="both"/>
              <w:rPr>
                <w:b w:val="0"/>
                <w:bCs w:val="0"/>
                <w:sz w:val="16"/>
                <w:szCs w:val="16"/>
                <w:lang w:val="af-ZA"/>
              </w:rPr>
            </w:pPr>
            <w:r>
              <w:rPr>
                <w:b w:val="0"/>
                <w:bCs w:val="0"/>
                <w:sz w:val="16"/>
                <w:szCs w:val="16"/>
                <w:lang w:val="af-ZA"/>
              </w:rPr>
              <w:t xml:space="preserve">                                   </w:t>
            </w:r>
            <w:r w:rsidR="0075603F">
              <w:rPr>
                <w:b w:val="0"/>
                <w:bCs w:val="0"/>
                <w:sz w:val="16"/>
                <w:szCs w:val="16"/>
                <w:lang w:val="af-ZA"/>
              </w:rPr>
              <w:t>24 April</w:t>
            </w:r>
            <w:r>
              <w:rPr>
                <w:b w:val="0"/>
                <w:bCs w:val="0"/>
                <w:sz w:val="16"/>
                <w:szCs w:val="16"/>
                <w:lang w:val="af-ZA"/>
              </w:rPr>
              <w:t xml:space="preserve"> 2023</w:t>
            </w:r>
          </w:p>
          <w:p w14:paraId="75415D1D" w14:textId="77777777" w:rsidR="005C4D20" w:rsidRPr="001A00A0" w:rsidRDefault="005C4D20" w:rsidP="00B86C14">
            <w:pPr>
              <w:pStyle w:val="Title"/>
              <w:spacing w:line="360" w:lineRule="auto"/>
              <w:jc w:val="both"/>
              <w:rPr>
                <w:b w:val="0"/>
                <w:bCs w:val="0"/>
                <w:sz w:val="16"/>
                <w:szCs w:val="16"/>
                <w:lang w:val="af-ZA"/>
              </w:rPr>
            </w:pPr>
            <w:r>
              <w:rPr>
                <w:b w:val="0"/>
                <w:bCs w:val="0"/>
                <w:sz w:val="16"/>
                <w:szCs w:val="16"/>
                <w:lang w:val="af-ZA"/>
              </w:rPr>
              <w:t>SIGNATURE                                     DATE</w:t>
            </w:r>
          </w:p>
        </w:tc>
      </w:tr>
    </w:tbl>
    <w:p w14:paraId="3955D7D6" w14:textId="77777777" w:rsidR="005C4D20" w:rsidRDefault="005C4D20" w:rsidP="005C4D20">
      <w:pPr>
        <w:rPr>
          <w:rFonts w:ascii="Arial" w:hAnsi="Arial" w:cs="Arial"/>
        </w:rPr>
      </w:pPr>
    </w:p>
    <w:p w14:paraId="2D460F0D" w14:textId="77777777" w:rsidR="005C4D20" w:rsidRDefault="005C4D20" w:rsidP="005C4D20">
      <w:pPr>
        <w:tabs>
          <w:tab w:val="left" w:pos="6946"/>
          <w:tab w:val="left" w:pos="7230"/>
        </w:tabs>
        <w:rPr>
          <w:b/>
          <w:lang w:val="en-US"/>
        </w:rPr>
      </w:pPr>
    </w:p>
    <w:p w14:paraId="73BC252F" w14:textId="74C439D1" w:rsidR="005C4D20" w:rsidRDefault="005C4D20" w:rsidP="005C4D20">
      <w:pPr>
        <w:tabs>
          <w:tab w:val="left" w:pos="6946"/>
          <w:tab w:val="left" w:pos="7230"/>
        </w:tabs>
        <w:jc w:val="center"/>
        <w:rPr>
          <w:rFonts w:ascii="Arial" w:hAnsi="Arial" w:cs="Arial"/>
          <w:b/>
          <w:lang w:val="en-US"/>
        </w:rPr>
      </w:pPr>
      <w:r w:rsidRPr="003C0498">
        <w:rPr>
          <w:rFonts w:ascii="Arial" w:hAnsi="Arial" w:cs="Arial"/>
          <w:b/>
          <w:lang w:val="en-US"/>
        </w:rPr>
        <w:t>IN THE HIGH COURT OF SOUTH AFRICA</w:t>
      </w:r>
    </w:p>
    <w:p w14:paraId="26EAF393" w14:textId="77777777" w:rsidR="004B424B" w:rsidRPr="003C0498" w:rsidRDefault="004B424B" w:rsidP="005C4D20">
      <w:pPr>
        <w:tabs>
          <w:tab w:val="left" w:pos="6946"/>
          <w:tab w:val="left" w:pos="7230"/>
        </w:tabs>
        <w:jc w:val="center"/>
        <w:rPr>
          <w:rFonts w:ascii="Arial" w:hAnsi="Arial" w:cs="Arial"/>
          <w:b/>
          <w:lang w:val="en-US"/>
        </w:rPr>
      </w:pPr>
    </w:p>
    <w:p w14:paraId="13EB7683" w14:textId="77777777" w:rsidR="005C4D20" w:rsidRPr="003C0498" w:rsidRDefault="005C4D20" w:rsidP="005C4D20">
      <w:pPr>
        <w:tabs>
          <w:tab w:val="left" w:pos="6946"/>
          <w:tab w:val="left" w:pos="7230"/>
        </w:tabs>
        <w:jc w:val="center"/>
        <w:rPr>
          <w:rFonts w:ascii="Arial" w:hAnsi="Arial" w:cs="Arial"/>
          <w:b/>
          <w:lang w:val="en-US"/>
        </w:rPr>
      </w:pPr>
      <w:r w:rsidRPr="003C0498">
        <w:rPr>
          <w:rFonts w:ascii="Arial" w:hAnsi="Arial" w:cs="Arial"/>
          <w:b/>
          <w:lang w:val="en-US"/>
        </w:rPr>
        <w:t>GAUTENG DIVISION, PRETORIA</w:t>
      </w:r>
    </w:p>
    <w:p w14:paraId="4B2E2B93" w14:textId="77777777" w:rsidR="005C4D20" w:rsidRPr="003C0498" w:rsidRDefault="005C4D20" w:rsidP="005C4D20">
      <w:pPr>
        <w:tabs>
          <w:tab w:val="left" w:pos="6946"/>
          <w:tab w:val="left" w:pos="7230"/>
        </w:tabs>
        <w:jc w:val="center"/>
        <w:rPr>
          <w:rFonts w:ascii="Arial" w:hAnsi="Arial" w:cs="Arial"/>
          <w:b/>
          <w:lang w:val="en-US"/>
        </w:rPr>
      </w:pPr>
    </w:p>
    <w:p w14:paraId="454A71C8" w14:textId="5916B365" w:rsidR="005C4D20" w:rsidRPr="005C4D20" w:rsidRDefault="005C4D20" w:rsidP="005C4D20">
      <w:pPr>
        <w:tabs>
          <w:tab w:val="left" w:pos="6946"/>
          <w:tab w:val="left" w:pos="7230"/>
        </w:tabs>
        <w:ind w:right="940"/>
        <w:jc w:val="right"/>
        <w:rPr>
          <w:rFonts w:ascii="Arial" w:hAnsi="Arial" w:cs="Arial"/>
          <w:lang w:val="en-US"/>
        </w:rPr>
      </w:pPr>
      <w:r w:rsidRPr="005C4D20">
        <w:rPr>
          <w:rFonts w:ascii="Arial" w:hAnsi="Arial" w:cs="Arial"/>
          <w:lang w:val="en-US"/>
        </w:rPr>
        <w:t xml:space="preserve">CASE NUMBER: </w:t>
      </w:r>
      <w:r w:rsidR="00CA5650">
        <w:rPr>
          <w:rFonts w:ascii="Arial" w:hAnsi="Arial" w:cs="Arial"/>
          <w:lang w:val="en-US"/>
        </w:rPr>
        <w:t>35867</w:t>
      </w:r>
      <w:r w:rsidRPr="005C4D20">
        <w:rPr>
          <w:rFonts w:ascii="Arial" w:hAnsi="Arial" w:cs="Arial"/>
          <w:lang w:val="en-US"/>
        </w:rPr>
        <w:t xml:space="preserve"> / 202</w:t>
      </w:r>
      <w:r w:rsidR="00CA5650">
        <w:rPr>
          <w:rFonts w:ascii="Arial" w:hAnsi="Arial" w:cs="Arial"/>
          <w:lang w:val="en-US"/>
        </w:rPr>
        <w:t>0</w:t>
      </w:r>
    </w:p>
    <w:tbl>
      <w:tblPr>
        <w:tblW w:w="0" w:type="auto"/>
        <w:tblLook w:val="0000" w:firstRow="0" w:lastRow="0" w:firstColumn="0" w:lastColumn="0" w:noHBand="0" w:noVBand="0"/>
      </w:tblPr>
      <w:tblGrid>
        <w:gridCol w:w="8383"/>
      </w:tblGrid>
      <w:tr w:rsidR="005C4D20" w:rsidRPr="005C4D20" w14:paraId="7F2D2EA7" w14:textId="77777777" w:rsidTr="00B86C14">
        <w:tc>
          <w:tcPr>
            <w:tcW w:w="8383" w:type="dxa"/>
            <w:tcBorders>
              <w:top w:val="nil"/>
              <w:left w:val="nil"/>
              <w:bottom w:val="nil"/>
              <w:right w:val="nil"/>
            </w:tcBorders>
          </w:tcPr>
          <w:p w14:paraId="53FBD527" w14:textId="77777777" w:rsidR="005C4D20" w:rsidRPr="005C4D20" w:rsidRDefault="005C4D20" w:rsidP="00B86C14">
            <w:pPr>
              <w:rPr>
                <w:rFonts w:ascii="Arial" w:hAnsi="Arial" w:cs="Arial"/>
              </w:rPr>
            </w:pPr>
          </w:p>
        </w:tc>
      </w:tr>
      <w:tr w:rsidR="005C4D20" w:rsidRPr="003C0498" w14:paraId="233D952D" w14:textId="77777777" w:rsidTr="00B86C14">
        <w:tc>
          <w:tcPr>
            <w:tcW w:w="8383" w:type="dxa"/>
            <w:tcBorders>
              <w:top w:val="nil"/>
              <w:left w:val="nil"/>
              <w:bottom w:val="nil"/>
              <w:right w:val="nil"/>
            </w:tcBorders>
          </w:tcPr>
          <w:p w14:paraId="0363B5AE" w14:textId="77777777" w:rsidR="005C4D20" w:rsidRPr="003C0498" w:rsidRDefault="005C4D20" w:rsidP="00B86C14">
            <w:pPr>
              <w:jc w:val="both"/>
              <w:rPr>
                <w:rFonts w:ascii="Arial" w:hAnsi="Arial" w:cs="Arial"/>
              </w:rPr>
            </w:pPr>
            <w:r w:rsidRPr="005C4D20">
              <w:rPr>
                <w:rFonts w:ascii="Arial" w:hAnsi="Arial" w:cs="Arial"/>
              </w:rPr>
              <w:t>In the matter between :</w:t>
            </w:r>
          </w:p>
        </w:tc>
      </w:tr>
      <w:tr w:rsidR="005C4D20" w:rsidRPr="003C0498" w14:paraId="24237A62" w14:textId="77777777" w:rsidTr="00B86C14">
        <w:tc>
          <w:tcPr>
            <w:tcW w:w="8383" w:type="dxa"/>
            <w:tcBorders>
              <w:top w:val="nil"/>
              <w:left w:val="nil"/>
              <w:bottom w:val="nil"/>
              <w:right w:val="nil"/>
            </w:tcBorders>
          </w:tcPr>
          <w:p w14:paraId="0C90A556" w14:textId="77777777" w:rsidR="005C4D20" w:rsidRPr="003C0498" w:rsidRDefault="005C4D20" w:rsidP="00B86C14">
            <w:pPr>
              <w:jc w:val="both"/>
              <w:rPr>
                <w:rFonts w:ascii="Arial" w:hAnsi="Arial" w:cs="Arial"/>
              </w:rPr>
            </w:pPr>
          </w:p>
        </w:tc>
      </w:tr>
    </w:tbl>
    <w:p w14:paraId="001AC68A" w14:textId="77777777" w:rsidR="005C4D20" w:rsidRPr="003C0498" w:rsidRDefault="005C4D20" w:rsidP="005C4D20">
      <w:pPr>
        <w:jc w:val="right"/>
        <w:rPr>
          <w:rFonts w:ascii="Arial" w:hAnsi="Arial" w:cs="Arial"/>
        </w:rPr>
      </w:pPr>
    </w:p>
    <w:tbl>
      <w:tblPr>
        <w:tblW w:w="0" w:type="auto"/>
        <w:tblLook w:val="0000" w:firstRow="0" w:lastRow="0" w:firstColumn="0" w:lastColumn="0" w:noHBand="0" w:noVBand="0"/>
      </w:tblPr>
      <w:tblGrid>
        <w:gridCol w:w="5749"/>
        <w:gridCol w:w="2418"/>
      </w:tblGrid>
      <w:tr w:rsidR="005C4D20" w:rsidRPr="003C0498" w14:paraId="0C091C40" w14:textId="77777777" w:rsidTr="00B86C14">
        <w:tc>
          <w:tcPr>
            <w:tcW w:w="5749" w:type="dxa"/>
            <w:tcBorders>
              <w:top w:val="nil"/>
              <w:left w:val="nil"/>
              <w:bottom w:val="nil"/>
              <w:right w:val="nil"/>
            </w:tcBorders>
          </w:tcPr>
          <w:p w14:paraId="7E7EDE19" w14:textId="56190ADC" w:rsidR="005C4D20" w:rsidRPr="003C0498" w:rsidRDefault="00CA5650" w:rsidP="00B86C14">
            <w:pPr>
              <w:tabs>
                <w:tab w:val="right" w:pos="8167"/>
              </w:tabs>
              <w:rPr>
                <w:rFonts w:ascii="Arial" w:hAnsi="Arial" w:cs="Arial"/>
                <w:b/>
              </w:rPr>
            </w:pPr>
            <w:r>
              <w:rPr>
                <w:rFonts w:ascii="Arial" w:hAnsi="Arial" w:cs="Arial"/>
                <w:b/>
              </w:rPr>
              <w:t>COMPANIES AND INTELLECTUAL PROPERTY COMMISSION</w:t>
            </w:r>
            <w:r w:rsidR="005C4D20">
              <w:rPr>
                <w:rFonts w:ascii="Arial" w:hAnsi="Arial" w:cs="Arial"/>
                <w:b/>
              </w:rPr>
              <w:t xml:space="preserve"> </w:t>
            </w:r>
          </w:p>
        </w:tc>
        <w:tc>
          <w:tcPr>
            <w:tcW w:w="2418" w:type="dxa"/>
            <w:tcBorders>
              <w:top w:val="nil"/>
              <w:left w:val="nil"/>
              <w:bottom w:val="nil"/>
              <w:right w:val="nil"/>
            </w:tcBorders>
          </w:tcPr>
          <w:p w14:paraId="641B729F" w14:textId="77777777" w:rsidR="005C4D20" w:rsidRPr="003C0498" w:rsidRDefault="005C4D20" w:rsidP="00B86C14">
            <w:pPr>
              <w:pStyle w:val="Heading1"/>
              <w:numPr>
                <w:ilvl w:val="0"/>
                <w:numId w:val="0"/>
              </w:numPr>
              <w:tabs>
                <w:tab w:val="clear" w:pos="-1440"/>
                <w:tab w:val="clear" w:pos="-720"/>
                <w:tab w:val="clear" w:pos="38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8167"/>
              </w:tabs>
            </w:pPr>
            <w:r w:rsidRPr="003C0498">
              <w:t>Applicant</w:t>
            </w:r>
          </w:p>
        </w:tc>
      </w:tr>
      <w:tr w:rsidR="005C4D20" w:rsidRPr="003C0498" w14:paraId="6773B24D" w14:textId="77777777" w:rsidTr="00B86C14">
        <w:tc>
          <w:tcPr>
            <w:tcW w:w="5749" w:type="dxa"/>
            <w:tcBorders>
              <w:top w:val="nil"/>
              <w:left w:val="nil"/>
              <w:bottom w:val="nil"/>
              <w:right w:val="nil"/>
            </w:tcBorders>
          </w:tcPr>
          <w:p w14:paraId="548D7899" w14:textId="77777777" w:rsidR="005C4D20" w:rsidRDefault="005C4D20" w:rsidP="00B86C14">
            <w:pPr>
              <w:tabs>
                <w:tab w:val="right" w:pos="8167"/>
              </w:tabs>
              <w:rPr>
                <w:rFonts w:ascii="Arial" w:hAnsi="Arial" w:cs="Arial"/>
              </w:rPr>
            </w:pPr>
          </w:p>
          <w:p w14:paraId="52586C02" w14:textId="77777777" w:rsidR="005C4D20" w:rsidRPr="003C0498" w:rsidRDefault="005C4D20" w:rsidP="00B86C14">
            <w:pPr>
              <w:tabs>
                <w:tab w:val="right" w:pos="8167"/>
              </w:tabs>
              <w:rPr>
                <w:rFonts w:ascii="Arial" w:hAnsi="Arial" w:cs="Arial"/>
              </w:rPr>
            </w:pPr>
          </w:p>
        </w:tc>
        <w:tc>
          <w:tcPr>
            <w:tcW w:w="2418" w:type="dxa"/>
            <w:tcBorders>
              <w:top w:val="nil"/>
              <w:left w:val="nil"/>
              <w:bottom w:val="nil"/>
              <w:right w:val="nil"/>
            </w:tcBorders>
          </w:tcPr>
          <w:p w14:paraId="25346E2E" w14:textId="77777777" w:rsidR="005C4D20" w:rsidRPr="003C0498" w:rsidRDefault="005C4D20" w:rsidP="00B86C14">
            <w:pPr>
              <w:tabs>
                <w:tab w:val="right" w:pos="8167"/>
              </w:tabs>
              <w:rPr>
                <w:rFonts w:ascii="Arial" w:hAnsi="Arial" w:cs="Arial"/>
              </w:rPr>
            </w:pPr>
          </w:p>
        </w:tc>
      </w:tr>
      <w:tr w:rsidR="005C4D20" w:rsidRPr="003C0498" w14:paraId="49C38445" w14:textId="77777777" w:rsidTr="00B86C14">
        <w:tc>
          <w:tcPr>
            <w:tcW w:w="5749" w:type="dxa"/>
            <w:tcBorders>
              <w:top w:val="nil"/>
              <w:left w:val="nil"/>
              <w:bottom w:val="nil"/>
              <w:right w:val="nil"/>
            </w:tcBorders>
          </w:tcPr>
          <w:p w14:paraId="5C8C1AC6" w14:textId="77777777" w:rsidR="005C4D20" w:rsidRPr="003C0498" w:rsidRDefault="005C4D20" w:rsidP="00B86C14">
            <w:pPr>
              <w:tabs>
                <w:tab w:val="right" w:pos="8167"/>
              </w:tabs>
              <w:rPr>
                <w:rFonts w:ascii="Arial" w:hAnsi="Arial" w:cs="Arial"/>
              </w:rPr>
            </w:pPr>
            <w:r w:rsidRPr="003C0498">
              <w:rPr>
                <w:rFonts w:ascii="Arial" w:hAnsi="Arial" w:cs="Arial"/>
              </w:rPr>
              <w:t>and</w:t>
            </w:r>
          </w:p>
        </w:tc>
        <w:tc>
          <w:tcPr>
            <w:tcW w:w="2418" w:type="dxa"/>
            <w:tcBorders>
              <w:top w:val="nil"/>
              <w:left w:val="nil"/>
              <w:bottom w:val="nil"/>
              <w:right w:val="nil"/>
            </w:tcBorders>
          </w:tcPr>
          <w:p w14:paraId="05EBFFDD" w14:textId="77777777" w:rsidR="005C4D20" w:rsidRPr="003C0498" w:rsidRDefault="005C4D20" w:rsidP="00B86C14">
            <w:pPr>
              <w:tabs>
                <w:tab w:val="right" w:pos="8167"/>
              </w:tabs>
              <w:rPr>
                <w:rFonts w:ascii="Arial" w:hAnsi="Arial" w:cs="Arial"/>
              </w:rPr>
            </w:pPr>
          </w:p>
        </w:tc>
      </w:tr>
      <w:tr w:rsidR="005C4D20" w:rsidRPr="003C0498" w14:paraId="05A4B563" w14:textId="77777777" w:rsidTr="00B86C14">
        <w:tc>
          <w:tcPr>
            <w:tcW w:w="5749" w:type="dxa"/>
            <w:tcBorders>
              <w:top w:val="nil"/>
              <w:left w:val="nil"/>
              <w:bottom w:val="nil"/>
              <w:right w:val="nil"/>
            </w:tcBorders>
          </w:tcPr>
          <w:p w14:paraId="6CB633BD" w14:textId="77777777" w:rsidR="005C4D20" w:rsidRPr="003C0498" w:rsidRDefault="005C4D20" w:rsidP="00B86C14">
            <w:pPr>
              <w:tabs>
                <w:tab w:val="right" w:pos="8167"/>
              </w:tabs>
              <w:rPr>
                <w:rFonts w:ascii="Arial" w:hAnsi="Arial" w:cs="Arial"/>
              </w:rPr>
            </w:pPr>
          </w:p>
        </w:tc>
        <w:tc>
          <w:tcPr>
            <w:tcW w:w="2418" w:type="dxa"/>
            <w:tcBorders>
              <w:top w:val="nil"/>
              <w:left w:val="nil"/>
              <w:bottom w:val="nil"/>
              <w:right w:val="nil"/>
            </w:tcBorders>
          </w:tcPr>
          <w:p w14:paraId="24EBD059" w14:textId="77777777" w:rsidR="005C4D20" w:rsidRPr="003C0498" w:rsidRDefault="005C4D20" w:rsidP="00B86C14">
            <w:pPr>
              <w:tabs>
                <w:tab w:val="right" w:pos="8167"/>
              </w:tabs>
              <w:rPr>
                <w:rFonts w:ascii="Arial" w:hAnsi="Arial" w:cs="Arial"/>
              </w:rPr>
            </w:pPr>
          </w:p>
        </w:tc>
      </w:tr>
      <w:tr w:rsidR="005C4D20" w:rsidRPr="003C0498" w14:paraId="41DE3F43" w14:textId="77777777" w:rsidTr="00B86C14">
        <w:tc>
          <w:tcPr>
            <w:tcW w:w="5749" w:type="dxa"/>
            <w:tcBorders>
              <w:top w:val="nil"/>
              <w:left w:val="nil"/>
              <w:bottom w:val="nil"/>
              <w:right w:val="nil"/>
            </w:tcBorders>
          </w:tcPr>
          <w:p w14:paraId="1ACF3C48" w14:textId="77777777" w:rsidR="005C4D20" w:rsidRPr="003C0498" w:rsidRDefault="005C4D20" w:rsidP="00B86C14">
            <w:pPr>
              <w:tabs>
                <w:tab w:val="right" w:pos="8167"/>
              </w:tabs>
              <w:rPr>
                <w:rFonts w:ascii="Arial" w:hAnsi="Arial" w:cs="Arial"/>
              </w:rPr>
            </w:pPr>
          </w:p>
        </w:tc>
        <w:tc>
          <w:tcPr>
            <w:tcW w:w="2418" w:type="dxa"/>
            <w:tcBorders>
              <w:top w:val="nil"/>
              <w:left w:val="nil"/>
              <w:bottom w:val="nil"/>
              <w:right w:val="nil"/>
            </w:tcBorders>
          </w:tcPr>
          <w:p w14:paraId="1B485B2B" w14:textId="77777777" w:rsidR="005C4D20" w:rsidRPr="003C0498" w:rsidRDefault="005C4D20" w:rsidP="00B86C14">
            <w:pPr>
              <w:tabs>
                <w:tab w:val="right" w:pos="8167"/>
              </w:tabs>
              <w:rPr>
                <w:rFonts w:ascii="Arial" w:hAnsi="Arial" w:cs="Arial"/>
              </w:rPr>
            </w:pPr>
          </w:p>
        </w:tc>
      </w:tr>
      <w:tr w:rsidR="005C4D20" w:rsidRPr="005C4D20" w14:paraId="6BD77D35" w14:textId="77777777" w:rsidTr="00B86C14">
        <w:tc>
          <w:tcPr>
            <w:tcW w:w="5749" w:type="dxa"/>
            <w:tcBorders>
              <w:top w:val="nil"/>
              <w:left w:val="nil"/>
              <w:bottom w:val="nil"/>
              <w:right w:val="nil"/>
            </w:tcBorders>
          </w:tcPr>
          <w:p w14:paraId="24648B37" w14:textId="78BE4B86" w:rsidR="005C4D20" w:rsidRPr="005C4D20" w:rsidRDefault="00CA5650" w:rsidP="00CA5650">
            <w:pPr>
              <w:tabs>
                <w:tab w:val="right" w:pos="8167"/>
              </w:tabs>
              <w:rPr>
                <w:rFonts w:ascii="Arial" w:hAnsi="Arial" w:cs="Arial"/>
                <w:b/>
                <w:bCs/>
              </w:rPr>
            </w:pPr>
            <w:r>
              <w:rPr>
                <w:rFonts w:ascii="Arial" w:hAnsi="Arial" w:cs="Arial"/>
                <w:b/>
                <w:bCs/>
              </w:rPr>
              <w:t>SELECTIVE EMPOWERMENT INVESTMENT</w:t>
            </w:r>
            <w:r w:rsidR="00645B74">
              <w:rPr>
                <w:rFonts w:ascii="Arial" w:hAnsi="Arial" w:cs="Arial"/>
                <w:b/>
                <w:bCs/>
              </w:rPr>
              <w:t>S</w:t>
            </w:r>
            <w:r>
              <w:rPr>
                <w:rFonts w:ascii="Arial" w:hAnsi="Arial" w:cs="Arial"/>
                <w:b/>
                <w:bCs/>
              </w:rPr>
              <w:t xml:space="preserve"> 1 LTD</w:t>
            </w:r>
          </w:p>
        </w:tc>
        <w:tc>
          <w:tcPr>
            <w:tcW w:w="2418" w:type="dxa"/>
            <w:tcBorders>
              <w:top w:val="nil"/>
              <w:left w:val="nil"/>
              <w:bottom w:val="nil"/>
              <w:right w:val="nil"/>
            </w:tcBorders>
          </w:tcPr>
          <w:p w14:paraId="403D764D" w14:textId="7CDF8EF2" w:rsidR="005C4D20" w:rsidRPr="005C4D20" w:rsidRDefault="005C4D20" w:rsidP="00B86C14">
            <w:pPr>
              <w:pStyle w:val="Heading1"/>
              <w:numPr>
                <w:ilvl w:val="0"/>
                <w:numId w:val="0"/>
              </w:numPr>
              <w:tabs>
                <w:tab w:val="clear" w:pos="-1440"/>
                <w:tab w:val="clear" w:pos="-720"/>
                <w:tab w:val="clear" w:pos="3887"/>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right" w:pos="8167"/>
              </w:tabs>
            </w:pPr>
            <w:r w:rsidRPr="005C4D20">
              <w:t>Respondent</w:t>
            </w:r>
          </w:p>
          <w:p w14:paraId="6069F906" w14:textId="5C834DE5" w:rsidR="005C4D20" w:rsidRPr="005C4D20" w:rsidRDefault="005C4D20" w:rsidP="005C4D20">
            <w:pPr>
              <w:rPr>
                <w:rFonts w:ascii="Arial" w:hAnsi="Arial" w:cs="Arial"/>
                <w:lang w:val="en-US"/>
              </w:rPr>
            </w:pPr>
          </w:p>
          <w:p w14:paraId="10F04017" w14:textId="77777777" w:rsidR="005C4D20" w:rsidRPr="005C4D20" w:rsidRDefault="005C4D20" w:rsidP="00CA5650">
            <w:pPr>
              <w:jc w:val="right"/>
              <w:rPr>
                <w:rFonts w:ascii="Arial" w:hAnsi="Arial" w:cs="Arial"/>
              </w:rPr>
            </w:pPr>
          </w:p>
        </w:tc>
      </w:tr>
    </w:tbl>
    <w:p w14:paraId="060E7C53" w14:textId="77777777" w:rsidR="004B424B" w:rsidRPr="003C0498" w:rsidRDefault="004B424B" w:rsidP="005C4D20">
      <w:pPr>
        <w:tabs>
          <w:tab w:val="left" w:pos="6946"/>
          <w:tab w:val="left" w:pos="7230"/>
        </w:tabs>
        <w:rPr>
          <w:rFonts w:ascii="Arial" w:hAnsi="Arial" w:cs="Arial"/>
          <w:lang w:val="en-US"/>
        </w:rPr>
      </w:pPr>
    </w:p>
    <w:p w14:paraId="10DDD027" w14:textId="1E007C23" w:rsidR="005C4D20" w:rsidRDefault="005C4D20" w:rsidP="005C4D20">
      <w:pPr>
        <w:pBdr>
          <w:bottom w:val="single" w:sz="12" w:space="1" w:color="auto"/>
        </w:pBdr>
        <w:spacing w:line="360" w:lineRule="auto"/>
        <w:rPr>
          <w:rFonts w:ascii="Arial" w:hAnsi="Arial" w:cs="Arial"/>
          <w:color w:val="202124"/>
          <w:shd w:val="clear" w:color="auto" w:fill="FFFFFF"/>
        </w:rPr>
      </w:pPr>
      <w:r w:rsidRPr="003F7A44">
        <w:rPr>
          <w:rFonts w:ascii="Arial" w:hAnsi="Arial" w:cs="Arial"/>
          <w:color w:val="202124"/>
          <w:shd w:val="clear" w:color="auto" w:fill="FFFFFF"/>
        </w:rPr>
        <w:t>This Judgment was handed down electronically </w:t>
      </w:r>
      <w:r w:rsidRPr="003F7A44">
        <w:rPr>
          <w:rFonts w:ascii="Arial" w:hAnsi="Arial" w:cs="Arial"/>
          <w:bCs/>
          <w:color w:val="202124"/>
        </w:rPr>
        <w:t>by circulation to the parties' and or parties representatives by email and by being uploaded to CaseLines</w:t>
      </w:r>
      <w:r w:rsidRPr="003F7A44">
        <w:rPr>
          <w:rFonts w:ascii="Arial" w:hAnsi="Arial" w:cs="Arial"/>
          <w:color w:val="202124"/>
          <w:shd w:val="clear" w:color="auto" w:fill="FFFFFF"/>
        </w:rPr>
        <w:t xml:space="preserve">. The date and </w:t>
      </w:r>
      <w:r w:rsidRPr="0075603F">
        <w:rPr>
          <w:rFonts w:ascii="Arial" w:hAnsi="Arial" w:cs="Arial"/>
          <w:color w:val="202124"/>
          <w:shd w:val="clear" w:color="auto" w:fill="FFFFFF"/>
        </w:rPr>
        <w:t xml:space="preserve">time for the hand down is deemed to be </w:t>
      </w:r>
      <w:r w:rsidR="0075603F" w:rsidRPr="0075603F">
        <w:rPr>
          <w:rFonts w:ascii="Arial" w:hAnsi="Arial" w:cs="Arial"/>
          <w:color w:val="202124"/>
          <w:shd w:val="clear" w:color="auto" w:fill="FFFFFF"/>
        </w:rPr>
        <w:t>24</w:t>
      </w:r>
      <w:r w:rsidRPr="0075603F">
        <w:rPr>
          <w:rFonts w:ascii="Arial" w:hAnsi="Arial" w:cs="Arial"/>
          <w:color w:val="202124"/>
          <w:shd w:val="clear" w:color="auto" w:fill="FFFFFF"/>
        </w:rPr>
        <w:t xml:space="preserve"> </w:t>
      </w:r>
      <w:r w:rsidR="00CA5650" w:rsidRPr="0075603F">
        <w:rPr>
          <w:rFonts w:ascii="Arial" w:hAnsi="Arial" w:cs="Arial"/>
          <w:color w:val="202124"/>
          <w:shd w:val="clear" w:color="auto" w:fill="FFFFFF"/>
        </w:rPr>
        <w:t>April</w:t>
      </w:r>
      <w:r w:rsidRPr="0075603F">
        <w:rPr>
          <w:rFonts w:ascii="Arial" w:hAnsi="Arial" w:cs="Arial"/>
          <w:color w:val="202124"/>
          <w:shd w:val="clear" w:color="auto" w:fill="FFFFFF"/>
        </w:rPr>
        <w:t xml:space="preserve"> 2023</w:t>
      </w:r>
    </w:p>
    <w:p w14:paraId="72B648F0" w14:textId="77777777" w:rsidR="0075603F" w:rsidRPr="003F7A44" w:rsidRDefault="0075603F" w:rsidP="005C4D20">
      <w:pPr>
        <w:pBdr>
          <w:bottom w:val="single" w:sz="12" w:space="1" w:color="auto"/>
        </w:pBdr>
        <w:spacing w:line="360" w:lineRule="auto"/>
      </w:pPr>
    </w:p>
    <w:p w14:paraId="62DA7380" w14:textId="77777777" w:rsidR="005C4D20" w:rsidRPr="003C0498" w:rsidRDefault="005C4D20" w:rsidP="005C4D20">
      <w:pPr>
        <w:rPr>
          <w:rFonts w:ascii="Arial" w:hAnsi="Arial" w:cs="Arial"/>
          <w:lang w:val="en-US"/>
        </w:rPr>
      </w:pPr>
    </w:p>
    <w:p w14:paraId="718DD269" w14:textId="77777777" w:rsidR="005C4D20" w:rsidRPr="003C0498" w:rsidRDefault="005C4D20" w:rsidP="005C4D20">
      <w:pPr>
        <w:jc w:val="center"/>
        <w:rPr>
          <w:rFonts w:ascii="Arial" w:hAnsi="Arial" w:cs="Arial"/>
          <w:b/>
          <w:lang w:val="en-US"/>
        </w:rPr>
      </w:pPr>
      <w:r w:rsidRPr="003C0498">
        <w:rPr>
          <w:rFonts w:ascii="Arial" w:hAnsi="Arial" w:cs="Arial"/>
          <w:b/>
          <w:lang w:val="en-US"/>
        </w:rPr>
        <w:t>JUDGMENT</w:t>
      </w:r>
    </w:p>
    <w:p w14:paraId="68CDE8F9" w14:textId="77777777" w:rsidR="005C4D20" w:rsidRPr="0076117C" w:rsidRDefault="005C4D20" w:rsidP="005C4D20">
      <w:pPr>
        <w:pBdr>
          <w:bottom w:val="single" w:sz="12" w:space="1" w:color="auto"/>
        </w:pBdr>
        <w:rPr>
          <w:rFonts w:ascii="Arial" w:hAnsi="Arial" w:cs="Arial"/>
          <w:lang w:val="en-US"/>
        </w:rPr>
      </w:pPr>
    </w:p>
    <w:p w14:paraId="3E6F88C6" w14:textId="77777777" w:rsidR="005C4D20" w:rsidRPr="0076117C" w:rsidRDefault="005C4D20" w:rsidP="005C4D20">
      <w:pPr>
        <w:rPr>
          <w:rFonts w:ascii="Arial" w:hAnsi="Arial" w:cs="Arial"/>
          <w:lang w:val="en-US"/>
        </w:rPr>
      </w:pPr>
    </w:p>
    <w:p w14:paraId="57DEF87B" w14:textId="77777777" w:rsidR="005C4D20" w:rsidRDefault="005C4D20" w:rsidP="005C4D20">
      <w:pPr>
        <w:rPr>
          <w:rFonts w:ascii="Arial" w:hAnsi="Arial" w:cs="Arial"/>
          <w:lang w:val="en-US"/>
        </w:rPr>
      </w:pPr>
    </w:p>
    <w:p w14:paraId="1FEF7DBF" w14:textId="77777777" w:rsidR="005C4D20" w:rsidRPr="003C0498" w:rsidRDefault="005C4D20" w:rsidP="005C4D20">
      <w:pPr>
        <w:spacing w:line="480" w:lineRule="auto"/>
        <w:rPr>
          <w:rFonts w:ascii="Arial" w:hAnsi="Arial" w:cs="Arial"/>
          <w:lang w:val="en-US"/>
        </w:rPr>
      </w:pPr>
      <w:r w:rsidRPr="003C0498">
        <w:rPr>
          <w:rFonts w:ascii="Arial" w:hAnsi="Arial" w:cs="Arial"/>
          <w:lang w:val="en-US"/>
        </w:rPr>
        <w:t>M Snyman, AJ</w:t>
      </w:r>
    </w:p>
    <w:p w14:paraId="41B7D3EA" w14:textId="77777777" w:rsidR="005C4D20" w:rsidRPr="003C1EC0" w:rsidRDefault="005C4D20" w:rsidP="005C4D20">
      <w:pPr>
        <w:spacing w:line="480" w:lineRule="auto"/>
        <w:rPr>
          <w:rFonts w:ascii="Arial" w:hAnsi="Arial" w:cs="Arial"/>
          <w:b/>
          <w:i/>
          <w:lang w:val="en-US"/>
        </w:rPr>
      </w:pPr>
      <w:r w:rsidRPr="0076117C">
        <w:rPr>
          <w:rFonts w:ascii="Arial" w:hAnsi="Arial" w:cs="Arial"/>
          <w:b/>
          <w:i/>
          <w:lang w:val="en-US"/>
        </w:rPr>
        <w:t>Introduction</w:t>
      </w:r>
    </w:p>
    <w:p w14:paraId="44499572" w14:textId="77777777" w:rsidR="005C4D20" w:rsidRPr="003C1EC0" w:rsidRDefault="005C4D20" w:rsidP="005C4D20">
      <w:pPr>
        <w:rPr>
          <w:rFonts w:ascii="Arial" w:hAnsi="Arial" w:cs="Arial"/>
          <w:lang w:val="en-US"/>
        </w:rPr>
      </w:pPr>
    </w:p>
    <w:p w14:paraId="55F6FD4C" w14:textId="4E6889F7" w:rsidR="005C4D20" w:rsidRPr="00D919F0" w:rsidRDefault="00D919F0" w:rsidP="00D919F0">
      <w:pPr>
        <w:spacing w:line="480" w:lineRule="auto"/>
        <w:ind w:left="709" w:hanging="709"/>
        <w:rPr>
          <w:rFonts w:ascii="Arial" w:hAnsi="Arial" w:cs="Arial"/>
          <w:lang w:val="en-US"/>
        </w:rPr>
      </w:pPr>
      <w:r>
        <w:rPr>
          <w:rFonts w:ascii="Arial" w:hAnsi="Arial" w:cs="Arial"/>
          <w:lang w:val="en-US"/>
        </w:rPr>
        <w:t>[1]</w:t>
      </w:r>
      <w:r>
        <w:rPr>
          <w:rFonts w:ascii="Arial" w:hAnsi="Arial" w:cs="Arial"/>
          <w:lang w:val="en-US"/>
        </w:rPr>
        <w:tab/>
      </w:r>
      <w:r w:rsidR="005C4D20" w:rsidRPr="00D919F0">
        <w:rPr>
          <w:rFonts w:ascii="Arial" w:hAnsi="Arial" w:cs="Arial"/>
          <w:lang w:val="en-US"/>
        </w:rPr>
        <w:t xml:space="preserve">This </w:t>
      </w:r>
      <w:r w:rsidR="00CA5650" w:rsidRPr="00D919F0">
        <w:rPr>
          <w:rFonts w:ascii="Arial" w:hAnsi="Arial" w:cs="Arial"/>
          <w:lang w:val="en-US"/>
        </w:rPr>
        <w:t xml:space="preserve">is an </w:t>
      </w:r>
      <w:r w:rsidR="005C4D20" w:rsidRPr="00D919F0">
        <w:rPr>
          <w:rFonts w:ascii="Arial" w:hAnsi="Arial" w:cs="Arial"/>
          <w:lang w:val="en-US"/>
        </w:rPr>
        <w:t xml:space="preserve">application </w:t>
      </w:r>
      <w:r w:rsidR="00CA5650" w:rsidRPr="00D919F0">
        <w:rPr>
          <w:rFonts w:ascii="Arial" w:hAnsi="Arial" w:cs="Arial"/>
          <w:lang w:val="en-US"/>
        </w:rPr>
        <w:t>for the liquidation of respondent.</w:t>
      </w:r>
    </w:p>
    <w:p w14:paraId="0BBC1C36" w14:textId="77777777" w:rsidR="00645B74" w:rsidRDefault="00645B74" w:rsidP="00645B74">
      <w:pPr>
        <w:pStyle w:val="ListParagraph"/>
        <w:ind w:left="709"/>
        <w:rPr>
          <w:rFonts w:ascii="Arial" w:hAnsi="Arial" w:cs="Arial"/>
          <w:lang w:val="en-US"/>
        </w:rPr>
      </w:pPr>
    </w:p>
    <w:p w14:paraId="02619A81" w14:textId="48D503B9" w:rsidR="00645B74" w:rsidRPr="00D919F0" w:rsidRDefault="00D919F0" w:rsidP="00D919F0">
      <w:pPr>
        <w:spacing w:line="480" w:lineRule="auto"/>
        <w:ind w:left="709" w:hanging="709"/>
        <w:rPr>
          <w:rFonts w:ascii="Arial" w:hAnsi="Arial" w:cs="Arial"/>
          <w:lang w:val="en-US"/>
        </w:rPr>
      </w:pPr>
      <w:r>
        <w:rPr>
          <w:rFonts w:ascii="Arial" w:hAnsi="Arial" w:cs="Arial"/>
          <w:lang w:val="en-US"/>
        </w:rPr>
        <w:t>[2]</w:t>
      </w:r>
      <w:r>
        <w:rPr>
          <w:rFonts w:ascii="Arial" w:hAnsi="Arial" w:cs="Arial"/>
          <w:lang w:val="en-US"/>
        </w:rPr>
        <w:tab/>
      </w:r>
      <w:r w:rsidR="00645B74" w:rsidRPr="00D919F0">
        <w:rPr>
          <w:rFonts w:ascii="Arial" w:hAnsi="Arial" w:cs="Arial"/>
          <w:lang w:val="en-US"/>
        </w:rPr>
        <w:t>The applicant is the Companies and Intellectual property Commission (“CIPRO”) and the respondent is Selective Empowerment Investments 1 Ltd (“SEI 1”).</w:t>
      </w:r>
    </w:p>
    <w:p w14:paraId="708D6316" w14:textId="77777777" w:rsidR="005C4D20" w:rsidRDefault="005C4D20" w:rsidP="005C4D20">
      <w:pPr>
        <w:pStyle w:val="ListParagraph"/>
        <w:ind w:left="709"/>
        <w:rPr>
          <w:rFonts w:ascii="Arial" w:hAnsi="Arial" w:cs="Arial"/>
          <w:lang w:val="en-US"/>
        </w:rPr>
      </w:pPr>
    </w:p>
    <w:p w14:paraId="029E46DE" w14:textId="0D131CA6" w:rsidR="004B424B" w:rsidRPr="00D919F0" w:rsidRDefault="00D919F0" w:rsidP="00D919F0">
      <w:pPr>
        <w:spacing w:line="480" w:lineRule="auto"/>
        <w:ind w:left="709" w:hanging="709"/>
        <w:rPr>
          <w:rFonts w:ascii="Arial" w:hAnsi="Arial" w:cs="Arial"/>
          <w:lang w:val="en-US"/>
        </w:rPr>
      </w:pPr>
      <w:r>
        <w:rPr>
          <w:rFonts w:ascii="Arial" w:hAnsi="Arial" w:cs="Arial"/>
          <w:lang w:val="en-US"/>
        </w:rPr>
        <w:t>[3]</w:t>
      </w:r>
      <w:r>
        <w:rPr>
          <w:rFonts w:ascii="Arial" w:hAnsi="Arial" w:cs="Arial"/>
          <w:lang w:val="en-US"/>
        </w:rPr>
        <w:tab/>
      </w:r>
      <w:r w:rsidR="00263DBB" w:rsidRPr="00D919F0">
        <w:rPr>
          <w:rFonts w:ascii="Arial" w:hAnsi="Arial" w:cs="Arial"/>
          <w:lang w:val="en-US"/>
        </w:rPr>
        <w:t>As indicated by the name</w:t>
      </w:r>
      <w:r w:rsidR="00645B74" w:rsidRPr="00D919F0">
        <w:rPr>
          <w:rFonts w:ascii="Arial" w:hAnsi="Arial" w:cs="Arial"/>
          <w:lang w:val="en-US"/>
        </w:rPr>
        <w:t>s</w:t>
      </w:r>
      <w:r w:rsidR="00263DBB" w:rsidRPr="00D919F0">
        <w:rPr>
          <w:rFonts w:ascii="Arial" w:hAnsi="Arial" w:cs="Arial"/>
          <w:lang w:val="en-US"/>
        </w:rPr>
        <w:t xml:space="preserve"> of the parties</w:t>
      </w:r>
      <w:r w:rsidR="00645B74" w:rsidRPr="00D919F0">
        <w:rPr>
          <w:rFonts w:ascii="Arial" w:hAnsi="Arial" w:cs="Arial"/>
          <w:lang w:val="en-US"/>
        </w:rPr>
        <w:t>,</w:t>
      </w:r>
      <w:r w:rsidR="00263DBB" w:rsidRPr="00D919F0">
        <w:rPr>
          <w:rFonts w:ascii="Arial" w:hAnsi="Arial" w:cs="Arial"/>
          <w:lang w:val="en-US"/>
        </w:rPr>
        <w:t xml:space="preserve"> it is not the</w:t>
      </w:r>
      <w:r w:rsidR="00645B74" w:rsidRPr="00D919F0">
        <w:rPr>
          <w:rFonts w:ascii="Arial" w:hAnsi="Arial" w:cs="Arial"/>
          <w:lang w:val="en-US"/>
        </w:rPr>
        <w:t xml:space="preserve"> normal type of liquidation application. The application is based on section 81(1)(f) of the 2008 Companies Act. (“Act”)</w:t>
      </w:r>
    </w:p>
    <w:p w14:paraId="3AEA224B" w14:textId="77777777" w:rsidR="004B424B" w:rsidRPr="004B424B" w:rsidRDefault="004B424B" w:rsidP="004B424B">
      <w:pPr>
        <w:pStyle w:val="ListParagraph"/>
        <w:rPr>
          <w:rFonts w:ascii="Arial" w:hAnsi="Arial" w:cs="Arial"/>
          <w:lang w:val="en-US"/>
        </w:rPr>
      </w:pPr>
    </w:p>
    <w:p w14:paraId="74FA21A8" w14:textId="5DE2330B" w:rsidR="004B424B" w:rsidRPr="00D919F0" w:rsidRDefault="00D919F0" w:rsidP="00D919F0">
      <w:pPr>
        <w:spacing w:line="480" w:lineRule="auto"/>
        <w:ind w:left="709" w:hanging="709"/>
        <w:rPr>
          <w:rFonts w:ascii="Arial" w:hAnsi="Arial" w:cs="Arial"/>
          <w:lang w:val="en-US"/>
        </w:rPr>
      </w:pPr>
      <w:r>
        <w:rPr>
          <w:rFonts w:ascii="Arial" w:hAnsi="Arial" w:cs="Arial"/>
          <w:lang w:val="en-US"/>
        </w:rPr>
        <w:t>[4]</w:t>
      </w:r>
      <w:r>
        <w:rPr>
          <w:rFonts w:ascii="Arial" w:hAnsi="Arial" w:cs="Arial"/>
          <w:lang w:val="en-US"/>
        </w:rPr>
        <w:tab/>
      </w:r>
      <w:r w:rsidR="00645B74" w:rsidRPr="00D919F0">
        <w:rPr>
          <w:rFonts w:ascii="Arial" w:hAnsi="Arial" w:cs="Arial"/>
          <w:lang w:val="en-US"/>
        </w:rPr>
        <w:t>The parties, in a joint practice note summarised the issues to be determined, as follows:</w:t>
      </w:r>
    </w:p>
    <w:p w14:paraId="4AB307F3" w14:textId="77777777" w:rsidR="00645B74" w:rsidRPr="00645B74" w:rsidRDefault="00645B74" w:rsidP="00645B74">
      <w:pPr>
        <w:pStyle w:val="ListParagraph"/>
        <w:rPr>
          <w:rFonts w:ascii="Arial" w:hAnsi="Arial" w:cs="Arial"/>
          <w:lang w:val="en-US"/>
        </w:rPr>
      </w:pPr>
    </w:p>
    <w:p w14:paraId="2FC8F02F" w14:textId="4862210D" w:rsidR="00645B74" w:rsidRPr="00A93EBF" w:rsidRDefault="00645B74" w:rsidP="00645B74">
      <w:pPr>
        <w:spacing w:line="480" w:lineRule="auto"/>
        <w:ind w:left="1440" w:hanging="731"/>
        <w:rPr>
          <w:rFonts w:ascii="Times" w:hAnsi="Times" w:cs="Arial"/>
          <w:i/>
          <w:sz w:val="26"/>
          <w:szCs w:val="26"/>
          <w:lang w:val="en-US"/>
        </w:rPr>
      </w:pPr>
      <w:r w:rsidRPr="00A93EBF">
        <w:rPr>
          <w:rFonts w:ascii="Times" w:hAnsi="Times" w:cs="Arial"/>
          <w:i/>
          <w:sz w:val="26"/>
          <w:szCs w:val="26"/>
          <w:lang w:val="en-US"/>
        </w:rPr>
        <w:t>“8.1</w:t>
      </w:r>
      <w:r w:rsidRPr="00A93EBF">
        <w:rPr>
          <w:rFonts w:ascii="Times" w:hAnsi="Times" w:cs="Arial"/>
          <w:i/>
          <w:sz w:val="26"/>
          <w:szCs w:val="26"/>
          <w:lang w:val="en-US"/>
        </w:rPr>
        <w:tab/>
        <w:t xml:space="preserve">Whether the respondent’s supplementary affidavit stands to </w:t>
      </w:r>
      <w:r w:rsidR="005E3955">
        <w:rPr>
          <w:rFonts w:ascii="Times" w:hAnsi="Times" w:cs="Arial"/>
          <w:i/>
          <w:sz w:val="26"/>
          <w:szCs w:val="26"/>
          <w:lang w:val="en-US"/>
        </w:rPr>
        <w:t>(</w:t>
      </w:r>
      <w:r w:rsidRPr="00A93EBF">
        <w:rPr>
          <w:rFonts w:ascii="Times" w:hAnsi="Times" w:cs="Arial"/>
          <w:i/>
          <w:sz w:val="26"/>
          <w:szCs w:val="26"/>
          <w:lang w:val="en-US"/>
        </w:rPr>
        <w:t>be</w:t>
      </w:r>
      <w:r w:rsidR="005E3955">
        <w:rPr>
          <w:rFonts w:ascii="Times" w:hAnsi="Times" w:cs="Arial"/>
          <w:i/>
          <w:sz w:val="26"/>
          <w:szCs w:val="26"/>
          <w:lang w:val="en-US"/>
        </w:rPr>
        <w:t>)</w:t>
      </w:r>
      <w:r w:rsidRPr="00A93EBF">
        <w:rPr>
          <w:rFonts w:ascii="Times" w:hAnsi="Times" w:cs="Arial"/>
          <w:i/>
          <w:sz w:val="26"/>
          <w:szCs w:val="26"/>
          <w:lang w:val="en-US"/>
        </w:rPr>
        <w:t xml:space="preserve"> struck;</w:t>
      </w:r>
    </w:p>
    <w:p w14:paraId="30F0E94E" w14:textId="4902CE9C" w:rsidR="00645B74" w:rsidRPr="00A93EBF" w:rsidRDefault="00645B74" w:rsidP="00645B74">
      <w:pPr>
        <w:spacing w:line="480" w:lineRule="auto"/>
        <w:ind w:left="1440" w:hanging="731"/>
        <w:rPr>
          <w:rFonts w:ascii="Times" w:hAnsi="Times" w:cs="Arial"/>
          <w:i/>
          <w:sz w:val="26"/>
          <w:szCs w:val="26"/>
          <w:lang w:val="en-US"/>
        </w:rPr>
      </w:pPr>
      <w:r w:rsidRPr="00A93EBF">
        <w:rPr>
          <w:rFonts w:ascii="Times" w:hAnsi="Times" w:cs="Arial"/>
          <w:i/>
          <w:sz w:val="26"/>
          <w:szCs w:val="26"/>
          <w:lang w:val="en-US"/>
        </w:rPr>
        <w:t>8.2</w:t>
      </w:r>
      <w:r w:rsidRPr="00A93EBF">
        <w:rPr>
          <w:rFonts w:ascii="Times" w:hAnsi="Times" w:cs="Arial"/>
          <w:i/>
          <w:sz w:val="26"/>
          <w:szCs w:val="26"/>
          <w:lang w:val="en-US"/>
        </w:rPr>
        <w:tab/>
      </w:r>
      <w:r w:rsidR="00A93EBF" w:rsidRPr="00A93EBF">
        <w:rPr>
          <w:rFonts w:ascii="Times" w:hAnsi="Times" w:cs="Arial"/>
          <w:i/>
          <w:sz w:val="26"/>
          <w:szCs w:val="26"/>
          <w:lang w:val="en-US"/>
        </w:rPr>
        <w:t>W</w:t>
      </w:r>
      <w:r w:rsidRPr="00A93EBF">
        <w:rPr>
          <w:rFonts w:ascii="Times" w:hAnsi="Times" w:cs="Arial"/>
          <w:i/>
          <w:sz w:val="26"/>
          <w:szCs w:val="26"/>
          <w:lang w:val="en-US"/>
        </w:rPr>
        <w:t xml:space="preserve">hether the </w:t>
      </w:r>
      <w:r w:rsidR="00A93EBF" w:rsidRPr="00A93EBF">
        <w:rPr>
          <w:rFonts w:ascii="Times" w:hAnsi="Times" w:cs="Arial"/>
          <w:i/>
          <w:sz w:val="26"/>
          <w:szCs w:val="26"/>
          <w:lang w:val="en-US"/>
        </w:rPr>
        <w:t>four</w:t>
      </w:r>
      <w:r w:rsidRPr="00A93EBF">
        <w:rPr>
          <w:rFonts w:ascii="Times" w:hAnsi="Times" w:cs="Arial"/>
          <w:i/>
          <w:sz w:val="26"/>
          <w:szCs w:val="26"/>
          <w:lang w:val="en-US"/>
        </w:rPr>
        <w:t xml:space="preserve"> points in limine</w:t>
      </w:r>
      <w:r w:rsidR="00A93EBF" w:rsidRPr="00A93EBF">
        <w:rPr>
          <w:rFonts w:ascii="Times" w:hAnsi="Times" w:cs="Arial"/>
          <w:i/>
          <w:sz w:val="26"/>
          <w:szCs w:val="26"/>
          <w:lang w:val="en-US"/>
        </w:rPr>
        <w:t>,</w:t>
      </w:r>
      <w:r w:rsidRPr="00A93EBF">
        <w:rPr>
          <w:rFonts w:ascii="Times" w:hAnsi="Times" w:cs="Arial"/>
          <w:i/>
          <w:sz w:val="26"/>
          <w:szCs w:val="26"/>
          <w:lang w:val="en-US"/>
        </w:rPr>
        <w:t xml:space="preserve"> raised by the respondent </w:t>
      </w:r>
      <w:r w:rsidR="00A93EBF" w:rsidRPr="00A93EBF">
        <w:rPr>
          <w:rFonts w:ascii="Times" w:hAnsi="Times" w:cs="Arial"/>
          <w:i/>
          <w:sz w:val="26"/>
          <w:szCs w:val="26"/>
          <w:lang w:val="en-US"/>
        </w:rPr>
        <w:t>holds merit:</w:t>
      </w:r>
    </w:p>
    <w:p w14:paraId="0BBD21D3" w14:textId="02F1B85A" w:rsidR="00A93EBF" w:rsidRPr="00A93EBF" w:rsidRDefault="00A93EBF" w:rsidP="00645B74">
      <w:pPr>
        <w:spacing w:line="480" w:lineRule="auto"/>
        <w:ind w:left="1440" w:hanging="731"/>
        <w:rPr>
          <w:rFonts w:ascii="Times" w:hAnsi="Times" w:cs="Arial"/>
          <w:i/>
          <w:sz w:val="26"/>
          <w:szCs w:val="26"/>
          <w:lang w:val="en-US"/>
        </w:rPr>
      </w:pPr>
      <w:r w:rsidRPr="00A93EBF">
        <w:rPr>
          <w:rFonts w:ascii="Times" w:hAnsi="Times" w:cs="Arial"/>
          <w:i/>
          <w:sz w:val="26"/>
          <w:szCs w:val="26"/>
          <w:lang w:val="en-US"/>
        </w:rPr>
        <w:tab/>
        <w:t>8.2.1</w:t>
      </w:r>
      <w:r w:rsidRPr="00A93EBF">
        <w:rPr>
          <w:rFonts w:ascii="Times" w:hAnsi="Times" w:cs="Arial"/>
          <w:i/>
          <w:sz w:val="26"/>
          <w:szCs w:val="26"/>
          <w:lang w:val="en-US"/>
        </w:rPr>
        <w:tab/>
        <w:t>the legal position;</w:t>
      </w:r>
    </w:p>
    <w:p w14:paraId="09AED9EB" w14:textId="77777777" w:rsidR="005E3955" w:rsidRDefault="00A93EBF" w:rsidP="00645B74">
      <w:pPr>
        <w:spacing w:line="480" w:lineRule="auto"/>
        <w:ind w:left="1440" w:hanging="731"/>
        <w:rPr>
          <w:rFonts w:ascii="Times" w:hAnsi="Times" w:cs="Arial"/>
          <w:i/>
          <w:sz w:val="26"/>
          <w:szCs w:val="26"/>
          <w:lang w:val="en-US"/>
        </w:rPr>
      </w:pPr>
      <w:r w:rsidRPr="00A93EBF">
        <w:rPr>
          <w:rFonts w:ascii="Times" w:hAnsi="Times" w:cs="Arial"/>
          <w:i/>
          <w:sz w:val="26"/>
          <w:szCs w:val="26"/>
          <w:lang w:val="en-US"/>
        </w:rPr>
        <w:tab/>
        <w:t>8.2.2</w:t>
      </w:r>
      <w:r w:rsidRPr="00A93EBF">
        <w:rPr>
          <w:rFonts w:ascii="Times" w:hAnsi="Times" w:cs="Arial"/>
          <w:i/>
          <w:sz w:val="26"/>
          <w:szCs w:val="26"/>
          <w:lang w:val="en-US"/>
        </w:rPr>
        <w:tab/>
        <w:t xml:space="preserve">lis pendens; </w:t>
      </w:r>
    </w:p>
    <w:p w14:paraId="0E3A0567" w14:textId="0EAAFA56" w:rsidR="00A93EBF" w:rsidRPr="00A93EBF" w:rsidRDefault="00294422" w:rsidP="00294422">
      <w:pPr>
        <w:spacing w:line="480" w:lineRule="auto"/>
        <w:ind w:left="1440"/>
        <w:rPr>
          <w:rFonts w:ascii="Times" w:hAnsi="Times" w:cs="Arial"/>
          <w:i/>
          <w:sz w:val="26"/>
          <w:szCs w:val="26"/>
          <w:lang w:val="en-US"/>
        </w:rPr>
      </w:pPr>
      <w:r>
        <w:rPr>
          <w:rFonts w:ascii="Times" w:hAnsi="Times" w:cs="Arial"/>
          <w:i/>
          <w:sz w:val="26"/>
          <w:szCs w:val="26"/>
          <w:lang w:val="en-US"/>
        </w:rPr>
        <w:t>8.2.3</w:t>
      </w:r>
      <w:r>
        <w:rPr>
          <w:rFonts w:ascii="Times" w:hAnsi="Times" w:cs="Arial"/>
          <w:i/>
          <w:sz w:val="26"/>
          <w:szCs w:val="26"/>
          <w:lang w:val="en-US"/>
        </w:rPr>
        <w:tab/>
        <w:t xml:space="preserve">locus standi; </w:t>
      </w:r>
      <w:r w:rsidR="00A93EBF" w:rsidRPr="00A93EBF">
        <w:rPr>
          <w:rFonts w:ascii="Times" w:hAnsi="Times" w:cs="Arial"/>
          <w:i/>
          <w:sz w:val="26"/>
          <w:szCs w:val="26"/>
          <w:lang w:val="en-US"/>
        </w:rPr>
        <w:t>and</w:t>
      </w:r>
    </w:p>
    <w:p w14:paraId="19DC7B62" w14:textId="02DEBFA9" w:rsidR="00A93EBF" w:rsidRPr="00A93EBF" w:rsidRDefault="00A93EBF" w:rsidP="00645B74">
      <w:pPr>
        <w:spacing w:line="480" w:lineRule="auto"/>
        <w:ind w:left="1440" w:hanging="731"/>
        <w:rPr>
          <w:rFonts w:ascii="Times" w:hAnsi="Times" w:cs="Arial"/>
          <w:i/>
          <w:sz w:val="26"/>
          <w:szCs w:val="26"/>
          <w:lang w:val="en-US"/>
        </w:rPr>
      </w:pPr>
      <w:r w:rsidRPr="00A93EBF">
        <w:rPr>
          <w:rFonts w:ascii="Times" w:hAnsi="Times" w:cs="Arial"/>
          <w:i/>
          <w:sz w:val="26"/>
          <w:szCs w:val="26"/>
          <w:lang w:val="en-US"/>
        </w:rPr>
        <w:tab/>
        <w:t>8.2.</w:t>
      </w:r>
      <w:r w:rsidR="00294422">
        <w:rPr>
          <w:rFonts w:ascii="Times" w:hAnsi="Times" w:cs="Arial"/>
          <w:i/>
          <w:sz w:val="26"/>
          <w:szCs w:val="26"/>
          <w:lang w:val="en-US"/>
        </w:rPr>
        <w:t>4</w:t>
      </w:r>
      <w:r w:rsidRPr="00A93EBF">
        <w:rPr>
          <w:rFonts w:ascii="Times" w:hAnsi="Times" w:cs="Arial"/>
          <w:i/>
          <w:sz w:val="26"/>
          <w:szCs w:val="26"/>
          <w:lang w:val="en-US"/>
        </w:rPr>
        <w:tab/>
        <w:t>hearsay.</w:t>
      </w:r>
    </w:p>
    <w:p w14:paraId="67DBAE05" w14:textId="49E7B0C3" w:rsidR="00A93EBF" w:rsidRPr="00A93EBF" w:rsidRDefault="00A93EBF" w:rsidP="00A93EBF">
      <w:pPr>
        <w:spacing w:line="480" w:lineRule="auto"/>
        <w:ind w:left="1440" w:hanging="731"/>
        <w:rPr>
          <w:rFonts w:ascii="Times" w:hAnsi="Times" w:cs="Arial"/>
          <w:i/>
          <w:sz w:val="26"/>
          <w:szCs w:val="26"/>
          <w:lang w:val="en-US"/>
        </w:rPr>
      </w:pPr>
      <w:r w:rsidRPr="00A93EBF">
        <w:rPr>
          <w:rFonts w:ascii="Times" w:hAnsi="Times" w:cs="Arial"/>
          <w:i/>
          <w:sz w:val="26"/>
          <w:szCs w:val="26"/>
          <w:lang w:val="en-US"/>
        </w:rPr>
        <w:t>8.3</w:t>
      </w:r>
      <w:r w:rsidRPr="00A93EBF">
        <w:rPr>
          <w:rFonts w:ascii="Times" w:hAnsi="Times" w:cs="Arial"/>
          <w:i/>
          <w:sz w:val="26"/>
          <w:szCs w:val="26"/>
          <w:lang w:val="en-US"/>
        </w:rPr>
        <w:tab/>
        <w:t>Whether the applicant has complied with the provisions of Section 81(1)(f)(i) &amp; (ii) of the Companies Act, 71 of 2008 and is entitled to a winding-up order in terms of the provisions of the aforesaid order;</w:t>
      </w:r>
    </w:p>
    <w:p w14:paraId="0BDCDE8D" w14:textId="69A480FA" w:rsidR="00A93EBF" w:rsidRPr="00A93EBF" w:rsidRDefault="00A93EBF" w:rsidP="00A93EBF">
      <w:pPr>
        <w:spacing w:line="480" w:lineRule="auto"/>
        <w:ind w:left="1440" w:hanging="731"/>
        <w:rPr>
          <w:rFonts w:ascii="Times" w:hAnsi="Times" w:cs="Arial"/>
          <w:i/>
          <w:sz w:val="26"/>
          <w:szCs w:val="26"/>
          <w:lang w:val="en-US"/>
        </w:rPr>
      </w:pPr>
      <w:r w:rsidRPr="00A93EBF">
        <w:rPr>
          <w:rFonts w:ascii="Times" w:hAnsi="Times" w:cs="Arial"/>
          <w:i/>
          <w:sz w:val="26"/>
          <w:szCs w:val="26"/>
          <w:lang w:val="en-US"/>
        </w:rPr>
        <w:t>alternatively,</w:t>
      </w:r>
    </w:p>
    <w:p w14:paraId="75439740" w14:textId="64B0B134" w:rsidR="00645B74" w:rsidRPr="00A93EBF" w:rsidRDefault="00A93EBF" w:rsidP="00A93EBF">
      <w:pPr>
        <w:spacing w:line="480" w:lineRule="auto"/>
        <w:ind w:left="1440" w:hanging="731"/>
        <w:rPr>
          <w:rFonts w:ascii="Times" w:hAnsi="Times" w:cs="Arial"/>
          <w:i/>
          <w:sz w:val="26"/>
          <w:szCs w:val="26"/>
          <w:lang w:val="en-US"/>
        </w:rPr>
      </w:pPr>
      <w:r w:rsidRPr="00A93EBF">
        <w:rPr>
          <w:rFonts w:ascii="Times" w:hAnsi="Times" w:cs="Arial"/>
          <w:i/>
          <w:sz w:val="26"/>
          <w:szCs w:val="26"/>
          <w:lang w:val="en-US"/>
        </w:rPr>
        <w:lastRenderedPageBreak/>
        <w:t>8.4</w:t>
      </w:r>
      <w:r w:rsidRPr="00A93EBF">
        <w:rPr>
          <w:rFonts w:ascii="Times" w:hAnsi="Times" w:cs="Arial"/>
          <w:i/>
          <w:sz w:val="26"/>
          <w:szCs w:val="26"/>
          <w:lang w:val="en-US"/>
        </w:rPr>
        <w:tab/>
        <w:t>Whether the applicant as the regulator in terms of section 344(h) of Act 61 of 1973 as read together with Act 71 of 2008, is entitled, and has the requisite locus standi, to an order that is just and equitable for the respondent to wound-up;”</w:t>
      </w:r>
    </w:p>
    <w:p w14:paraId="5F23DFD2" w14:textId="77777777" w:rsidR="00645B74" w:rsidRPr="00645B74" w:rsidRDefault="00645B74" w:rsidP="00645B74">
      <w:pPr>
        <w:pStyle w:val="ListParagraph"/>
        <w:rPr>
          <w:rFonts w:ascii="Arial" w:hAnsi="Arial" w:cs="Arial"/>
          <w:lang w:val="en-US"/>
        </w:rPr>
      </w:pPr>
    </w:p>
    <w:p w14:paraId="23F09228" w14:textId="7C70179B" w:rsidR="00645B74" w:rsidRPr="00D919F0" w:rsidRDefault="00D919F0" w:rsidP="00D919F0">
      <w:pPr>
        <w:spacing w:line="480" w:lineRule="auto"/>
        <w:ind w:left="709" w:hanging="709"/>
        <w:rPr>
          <w:rFonts w:ascii="Arial" w:hAnsi="Arial" w:cs="Arial"/>
          <w:lang w:val="en-US"/>
        </w:rPr>
      </w:pPr>
      <w:r>
        <w:rPr>
          <w:rFonts w:ascii="Arial" w:hAnsi="Arial" w:cs="Arial"/>
          <w:lang w:val="en-US"/>
        </w:rPr>
        <w:t>[5]</w:t>
      </w:r>
      <w:r>
        <w:rPr>
          <w:rFonts w:ascii="Arial" w:hAnsi="Arial" w:cs="Arial"/>
          <w:lang w:val="en-US"/>
        </w:rPr>
        <w:tab/>
      </w:r>
      <w:r w:rsidR="00A93EBF" w:rsidRPr="00D919F0">
        <w:rPr>
          <w:rFonts w:ascii="Arial" w:hAnsi="Arial" w:cs="Arial"/>
          <w:lang w:val="en-US"/>
        </w:rPr>
        <w:t>I agree with this summary. It is however important to deal with the issues that may be determinative of the application first, and if those points are not upheld</w:t>
      </w:r>
      <w:r w:rsidR="005B4794" w:rsidRPr="00D919F0">
        <w:rPr>
          <w:rFonts w:ascii="Arial" w:hAnsi="Arial" w:cs="Arial"/>
          <w:lang w:val="en-US"/>
        </w:rPr>
        <w:t>, then deal with the merits of the application.</w:t>
      </w:r>
    </w:p>
    <w:p w14:paraId="7E00EF64" w14:textId="77777777" w:rsidR="005B4794" w:rsidRDefault="005B4794" w:rsidP="005B4794">
      <w:pPr>
        <w:pStyle w:val="ListParagraph"/>
        <w:ind w:left="709"/>
        <w:rPr>
          <w:rFonts w:ascii="Arial" w:hAnsi="Arial" w:cs="Arial"/>
          <w:lang w:val="en-US"/>
        </w:rPr>
      </w:pPr>
    </w:p>
    <w:p w14:paraId="5ECF1855" w14:textId="30314A6F" w:rsidR="005B4794" w:rsidRPr="00D919F0" w:rsidRDefault="00D919F0" w:rsidP="00D919F0">
      <w:pPr>
        <w:spacing w:line="480" w:lineRule="auto"/>
        <w:ind w:left="709" w:hanging="709"/>
        <w:rPr>
          <w:rFonts w:ascii="Arial" w:hAnsi="Arial" w:cs="Arial"/>
          <w:lang w:val="en-US"/>
        </w:rPr>
      </w:pPr>
      <w:r>
        <w:rPr>
          <w:rFonts w:ascii="Arial" w:hAnsi="Arial" w:cs="Arial"/>
          <w:lang w:val="en-US"/>
        </w:rPr>
        <w:t>[</w:t>
      </w:r>
      <w:bookmarkStart w:id="0" w:name="_GoBack"/>
      <w:bookmarkEnd w:id="0"/>
      <w:r>
        <w:rPr>
          <w:rFonts w:ascii="Arial" w:hAnsi="Arial" w:cs="Arial"/>
          <w:lang w:val="en-US"/>
        </w:rPr>
        <w:t>6]</w:t>
      </w:r>
      <w:r>
        <w:rPr>
          <w:rFonts w:ascii="Arial" w:hAnsi="Arial" w:cs="Arial"/>
          <w:lang w:val="en-US"/>
        </w:rPr>
        <w:tab/>
      </w:r>
      <w:r w:rsidR="005B4794" w:rsidRPr="00D919F0">
        <w:rPr>
          <w:rFonts w:ascii="Arial" w:hAnsi="Arial" w:cs="Arial"/>
          <w:lang w:val="en-US"/>
        </w:rPr>
        <w:t>I will therefore deal with the issue of</w:t>
      </w:r>
      <w:r w:rsidR="00294422" w:rsidRPr="00D919F0">
        <w:rPr>
          <w:rFonts w:ascii="Arial" w:hAnsi="Arial" w:cs="Arial"/>
          <w:lang w:val="en-US"/>
        </w:rPr>
        <w:t xml:space="preserve"> </w:t>
      </w:r>
      <w:r w:rsidR="005B4794" w:rsidRPr="00D919F0">
        <w:rPr>
          <w:rFonts w:ascii="Arial" w:hAnsi="Arial" w:cs="Arial"/>
          <w:i/>
          <w:lang w:val="en-US"/>
        </w:rPr>
        <w:t>lis pendens</w:t>
      </w:r>
      <w:r w:rsidR="005B4794" w:rsidRPr="00D919F0">
        <w:rPr>
          <w:rFonts w:ascii="Arial" w:hAnsi="Arial" w:cs="Arial"/>
          <w:lang w:val="en-US"/>
        </w:rPr>
        <w:t xml:space="preserve"> first</w:t>
      </w:r>
      <w:r w:rsidR="00294422" w:rsidRPr="00D919F0">
        <w:rPr>
          <w:rFonts w:ascii="Arial" w:hAnsi="Arial" w:cs="Arial"/>
          <w:lang w:val="en-US"/>
        </w:rPr>
        <w:t xml:space="preserve"> as </w:t>
      </w:r>
      <w:r w:rsidR="00DE4530" w:rsidRPr="00D919F0">
        <w:rPr>
          <w:rFonts w:ascii="Arial" w:hAnsi="Arial" w:cs="Arial"/>
          <w:lang w:val="en-US"/>
        </w:rPr>
        <w:t>it</w:t>
      </w:r>
      <w:r w:rsidR="00294422" w:rsidRPr="00D919F0">
        <w:rPr>
          <w:rFonts w:ascii="Arial" w:hAnsi="Arial" w:cs="Arial"/>
          <w:lang w:val="en-US"/>
        </w:rPr>
        <w:t xml:space="preserve"> may be dismissive of the application.</w:t>
      </w:r>
    </w:p>
    <w:p w14:paraId="3A36F725" w14:textId="77777777" w:rsidR="00DE4530" w:rsidRPr="00DE4530" w:rsidRDefault="00DE4530" w:rsidP="00DE4530">
      <w:pPr>
        <w:pStyle w:val="ListParagraph"/>
        <w:rPr>
          <w:rFonts w:ascii="Arial" w:hAnsi="Arial" w:cs="Arial"/>
          <w:lang w:val="en-US"/>
        </w:rPr>
      </w:pPr>
    </w:p>
    <w:p w14:paraId="61635168" w14:textId="1D073A7B" w:rsidR="00DE4530" w:rsidRPr="00D919F0" w:rsidRDefault="00D919F0" w:rsidP="00D919F0">
      <w:pPr>
        <w:spacing w:line="480" w:lineRule="auto"/>
        <w:ind w:left="709" w:hanging="709"/>
        <w:rPr>
          <w:rFonts w:ascii="Arial" w:hAnsi="Arial" w:cs="Arial"/>
          <w:lang w:val="en-US"/>
        </w:rPr>
      </w:pPr>
      <w:r>
        <w:rPr>
          <w:rFonts w:ascii="Arial" w:hAnsi="Arial" w:cs="Arial"/>
          <w:lang w:val="en-US"/>
        </w:rPr>
        <w:t>[7]</w:t>
      </w:r>
      <w:r>
        <w:rPr>
          <w:rFonts w:ascii="Arial" w:hAnsi="Arial" w:cs="Arial"/>
          <w:lang w:val="en-US"/>
        </w:rPr>
        <w:tab/>
      </w:r>
      <w:r w:rsidR="00DE4530" w:rsidRPr="00D919F0">
        <w:rPr>
          <w:rFonts w:ascii="Arial" w:hAnsi="Arial" w:cs="Arial"/>
          <w:lang w:val="en-US"/>
        </w:rPr>
        <w:t xml:space="preserve">The issue of locus standi raised is based on the argument that applicant cannot rely thereon that may be just and equitable to wind up SEI 1, must do so squarely within the parameters only of section 81 of the Act. As a </w:t>
      </w:r>
      <w:r w:rsidR="001516BC" w:rsidRPr="00D919F0">
        <w:rPr>
          <w:rFonts w:ascii="Arial" w:hAnsi="Arial" w:cs="Arial"/>
          <w:lang w:val="en-US"/>
        </w:rPr>
        <w:t>result,</w:t>
      </w:r>
      <w:r w:rsidR="00DE4530" w:rsidRPr="00D919F0">
        <w:rPr>
          <w:rFonts w:ascii="Arial" w:hAnsi="Arial" w:cs="Arial"/>
          <w:lang w:val="en-US"/>
        </w:rPr>
        <w:t xml:space="preserve"> the issue is intertwined with the merits and will be dealt with later.</w:t>
      </w:r>
    </w:p>
    <w:p w14:paraId="111249CD" w14:textId="366B6586" w:rsidR="002930FA" w:rsidRPr="00DE4530" w:rsidRDefault="002930FA" w:rsidP="00DE4530">
      <w:pPr>
        <w:rPr>
          <w:rFonts w:ascii="Arial" w:hAnsi="Arial" w:cs="Arial"/>
          <w:lang w:val="en-US"/>
        </w:rPr>
      </w:pPr>
    </w:p>
    <w:p w14:paraId="5122A930" w14:textId="77777777" w:rsidR="00294422" w:rsidRPr="002930FA" w:rsidRDefault="00294422" w:rsidP="002930FA">
      <w:pPr>
        <w:pStyle w:val="ListParagraph"/>
        <w:rPr>
          <w:rFonts w:ascii="Arial" w:hAnsi="Arial" w:cs="Arial"/>
          <w:lang w:val="en-US"/>
        </w:rPr>
      </w:pPr>
    </w:p>
    <w:p w14:paraId="7B4494ED" w14:textId="7EAB91DC" w:rsidR="002930FA" w:rsidRPr="002930FA" w:rsidRDefault="002930FA" w:rsidP="002930FA">
      <w:pPr>
        <w:spacing w:line="480" w:lineRule="auto"/>
        <w:rPr>
          <w:rFonts w:ascii="Arial" w:hAnsi="Arial" w:cs="Arial"/>
          <w:b/>
          <w:i/>
          <w:lang w:val="en-US"/>
        </w:rPr>
      </w:pPr>
      <w:r w:rsidRPr="002930FA">
        <w:rPr>
          <w:rFonts w:ascii="Arial" w:hAnsi="Arial" w:cs="Arial"/>
          <w:b/>
          <w:i/>
          <w:lang w:val="en-US"/>
        </w:rPr>
        <w:t>Lis Pendens</w:t>
      </w:r>
    </w:p>
    <w:p w14:paraId="2EB156BB" w14:textId="77777777" w:rsidR="002930FA" w:rsidRPr="002930FA" w:rsidRDefault="002930FA" w:rsidP="002930FA">
      <w:pPr>
        <w:pStyle w:val="ListParagraph"/>
        <w:rPr>
          <w:rFonts w:ascii="Arial" w:hAnsi="Arial" w:cs="Arial"/>
          <w:lang w:val="en-US"/>
        </w:rPr>
      </w:pPr>
    </w:p>
    <w:p w14:paraId="1831B296" w14:textId="5C2AE13B" w:rsidR="002930FA" w:rsidRPr="00D919F0" w:rsidRDefault="00D919F0" w:rsidP="00D919F0">
      <w:pPr>
        <w:spacing w:line="480" w:lineRule="auto"/>
        <w:ind w:left="709" w:hanging="709"/>
        <w:rPr>
          <w:rFonts w:ascii="Arial" w:hAnsi="Arial" w:cs="Arial"/>
          <w:lang w:val="en-US"/>
        </w:rPr>
      </w:pPr>
      <w:r w:rsidRPr="002930FA">
        <w:rPr>
          <w:rFonts w:ascii="Arial" w:hAnsi="Arial" w:cs="Arial"/>
          <w:lang w:val="en-US"/>
        </w:rPr>
        <w:t>[8]</w:t>
      </w:r>
      <w:r w:rsidRPr="002930FA">
        <w:rPr>
          <w:rFonts w:ascii="Arial" w:hAnsi="Arial" w:cs="Arial"/>
          <w:lang w:val="en-US"/>
        </w:rPr>
        <w:tab/>
      </w:r>
      <w:r w:rsidR="002930FA" w:rsidRPr="00D919F0">
        <w:rPr>
          <w:rFonts w:ascii="ArialMT" w:hAnsi="ArialMT"/>
          <w:color w:val="0C0F19"/>
        </w:rPr>
        <w:t xml:space="preserve">The three requirements for a successful reliance on the plea of </w:t>
      </w:r>
      <w:r w:rsidR="002930FA" w:rsidRPr="00D919F0">
        <w:rPr>
          <w:rFonts w:ascii="ArialMT" w:hAnsi="ArialMT"/>
          <w:i/>
          <w:color w:val="0C0F19"/>
        </w:rPr>
        <w:t>lis pendens</w:t>
      </w:r>
      <w:r w:rsidR="002930FA" w:rsidRPr="00D919F0">
        <w:rPr>
          <w:rFonts w:ascii="ArialMT" w:hAnsi="ArialMT"/>
          <w:color w:val="0C0F19"/>
        </w:rPr>
        <w:t xml:space="preserve"> </w:t>
      </w:r>
      <w:r w:rsidR="005912BE" w:rsidRPr="00D919F0">
        <w:rPr>
          <w:rFonts w:ascii="ArialMT" w:hAnsi="ArialMT"/>
          <w:color w:val="0C0F19"/>
        </w:rPr>
        <w:t>can be summarised as follows</w:t>
      </w:r>
      <w:r w:rsidR="002930FA" w:rsidRPr="00D919F0">
        <w:rPr>
          <w:rFonts w:ascii="ArialMT" w:hAnsi="ArialMT"/>
          <w:color w:val="0C0F19"/>
        </w:rPr>
        <w:t>:</w:t>
      </w:r>
    </w:p>
    <w:p w14:paraId="4C80FA42" w14:textId="353659D1" w:rsidR="002930FA" w:rsidRDefault="002930FA" w:rsidP="002930FA">
      <w:pPr>
        <w:pStyle w:val="NormalWeb"/>
        <w:ind w:firstLine="720"/>
        <w:rPr>
          <w:rFonts w:ascii="ArialMT" w:hAnsi="ArialMT"/>
          <w:color w:val="0C0F19"/>
        </w:rPr>
      </w:pPr>
      <w:r>
        <w:rPr>
          <w:rFonts w:ascii="ArialMT" w:hAnsi="ArialMT"/>
          <w:color w:val="0C0F19"/>
        </w:rPr>
        <w:t>1. Litigation is between the same parties;</w:t>
      </w:r>
    </w:p>
    <w:p w14:paraId="749BAEE3" w14:textId="3B5297D6" w:rsidR="002930FA" w:rsidRDefault="002930FA" w:rsidP="002930FA">
      <w:pPr>
        <w:pStyle w:val="NormalWeb"/>
        <w:ind w:firstLine="720"/>
        <w:rPr>
          <w:rFonts w:ascii="ArialMT" w:hAnsi="ArialMT"/>
          <w:color w:val="0C0F19"/>
        </w:rPr>
      </w:pPr>
      <w:r>
        <w:rPr>
          <w:rFonts w:ascii="ArialMT" w:hAnsi="ArialMT"/>
          <w:color w:val="0C0F19"/>
        </w:rPr>
        <w:t xml:space="preserve">2. </w:t>
      </w:r>
      <w:r w:rsidR="001516BC">
        <w:rPr>
          <w:rFonts w:ascii="ArialMT" w:hAnsi="ArialMT"/>
          <w:color w:val="0C0F19"/>
        </w:rPr>
        <w:t>B</w:t>
      </w:r>
      <w:r>
        <w:rPr>
          <w:rFonts w:ascii="ArialMT" w:hAnsi="ArialMT"/>
          <w:color w:val="0C0F19"/>
        </w:rPr>
        <w:t xml:space="preserve">ased on the </w:t>
      </w:r>
      <w:r w:rsidR="001516BC">
        <w:rPr>
          <w:rFonts w:ascii="ArialMT" w:hAnsi="ArialMT"/>
          <w:color w:val="0C0F19"/>
        </w:rPr>
        <w:t xml:space="preserve">same </w:t>
      </w:r>
      <w:r>
        <w:rPr>
          <w:rFonts w:ascii="ArialMT" w:hAnsi="ArialMT"/>
          <w:color w:val="0C0F19"/>
        </w:rPr>
        <w:t>cause of action; and</w:t>
      </w:r>
    </w:p>
    <w:p w14:paraId="370B91E9" w14:textId="4E83227F" w:rsidR="002930FA" w:rsidRDefault="002930FA" w:rsidP="002930FA">
      <w:pPr>
        <w:pStyle w:val="NormalWeb"/>
        <w:ind w:firstLine="720"/>
      </w:pPr>
      <w:r>
        <w:rPr>
          <w:rFonts w:ascii="ArialMT" w:hAnsi="ArialMT"/>
          <w:color w:val="0C0F19"/>
        </w:rPr>
        <w:t xml:space="preserve">3. The same or similar relief being claimed in both proceedings. </w:t>
      </w:r>
    </w:p>
    <w:p w14:paraId="266C1431" w14:textId="77777777" w:rsidR="002930FA" w:rsidRPr="002930FA" w:rsidRDefault="002930FA" w:rsidP="002930FA">
      <w:pPr>
        <w:rPr>
          <w:rFonts w:ascii="Arial" w:hAnsi="Arial" w:cs="Arial"/>
          <w:lang w:val="en-US"/>
        </w:rPr>
      </w:pPr>
    </w:p>
    <w:p w14:paraId="3654C3BB" w14:textId="3CD4742E" w:rsidR="000A3438" w:rsidRPr="00D919F0" w:rsidRDefault="00D919F0" w:rsidP="00D919F0">
      <w:pPr>
        <w:spacing w:line="480" w:lineRule="auto"/>
        <w:ind w:left="709" w:hanging="709"/>
        <w:rPr>
          <w:rFonts w:ascii="Arial" w:hAnsi="Arial" w:cs="Arial"/>
          <w:lang w:val="en-US"/>
        </w:rPr>
      </w:pPr>
      <w:r w:rsidRPr="00DE4530">
        <w:rPr>
          <w:rFonts w:ascii="Arial" w:hAnsi="Arial" w:cs="Arial"/>
          <w:lang w:val="en-US"/>
        </w:rPr>
        <w:t>[9]</w:t>
      </w:r>
      <w:r w:rsidRPr="00DE4530">
        <w:rPr>
          <w:rFonts w:ascii="Arial" w:hAnsi="Arial" w:cs="Arial"/>
          <w:lang w:val="en-US"/>
        </w:rPr>
        <w:tab/>
      </w:r>
      <w:r w:rsidR="005912BE" w:rsidRPr="00D919F0">
        <w:rPr>
          <w:rFonts w:ascii="ArialMT" w:hAnsi="ArialMT"/>
          <w:color w:val="0C0F19"/>
        </w:rPr>
        <w:t xml:space="preserve">A plea of </w:t>
      </w:r>
      <w:r w:rsidR="005912BE" w:rsidRPr="00D919F0">
        <w:rPr>
          <w:rFonts w:ascii="Arial" w:hAnsi="Arial" w:cs="Arial"/>
          <w:i/>
          <w:iCs/>
          <w:color w:val="0C0F19"/>
        </w:rPr>
        <w:t xml:space="preserve">lis pendens </w:t>
      </w:r>
      <w:r w:rsidR="005912BE" w:rsidRPr="00D919F0">
        <w:rPr>
          <w:rFonts w:ascii="ArialMT" w:hAnsi="ArialMT"/>
          <w:color w:val="0C0F19"/>
        </w:rPr>
        <w:t xml:space="preserve">shares similar features with the defence of </w:t>
      </w:r>
      <w:r w:rsidR="005912BE" w:rsidRPr="00D919F0">
        <w:rPr>
          <w:rFonts w:ascii="Arial" w:hAnsi="Arial" w:cs="Arial"/>
          <w:i/>
          <w:iCs/>
          <w:color w:val="0C0F19"/>
        </w:rPr>
        <w:t xml:space="preserve">res judicata </w:t>
      </w:r>
      <w:r w:rsidR="005912BE" w:rsidRPr="00D919F0">
        <w:rPr>
          <w:rFonts w:ascii="ArialMT" w:hAnsi="ArialMT"/>
          <w:color w:val="0C0F19"/>
        </w:rPr>
        <w:t xml:space="preserve">because the underlying consideration is to ensure finality in litigation. Once a </w:t>
      </w:r>
      <w:r w:rsidR="005912BE" w:rsidRPr="00D919F0">
        <w:rPr>
          <w:rFonts w:ascii="ArialMT" w:hAnsi="ArialMT"/>
          <w:color w:val="0C0F19"/>
        </w:rPr>
        <w:lastRenderedPageBreak/>
        <w:t>suit has been instituted, it should be finalised before that court. Depending upon the result another proceeding may then be instituted by the same parties relating to the same cause of action, but not before.</w:t>
      </w:r>
      <w:r w:rsidR="005912BE">
        <w:rPr>
          <w:rStyle w:val="FootnoteReference"/>
          <w:rFonts w:ascii="ArialMT" w:hAnsi="ArialMT"/>
          <w:color w:val="0C0F19"/>
        </w:rPr>
        <w:footnoteReference w:id="1"/>
      </w:r>
    </w:p>
    <w:p w14:paraId="60CBDBC7" w14:textId="77777777" w:rsidR="00DE4530" w:rsidRPr="000A3438" w:rsidRDefault="00DE4530" w:rsidP="00DE4530">
      <w:pPr>
        <w:pStyle w:val="ListParagraph"/>
        <w:ind w:left="709"/>
        <w:rPr>
          <w:rFonts w:ascii="Arial" w:hAnsi="Arial" w:cs="Arial"/>
          <w:lang w:val="en-US"/>
        </w:rPr>
      </w:pPr>
    </w:p>
    <w:p w14:paraId="2248DEAD" w14:textId="0E959B79" w:rsidR="005912BE" w:rsidRPr="00D919F0" w:rsidRDefault="00D919F0" w:rsidP="00D919F0">
      <w:pPr>
        <w:spacing w:line="480" w:lineRule="auto"/>
        <w:ind w:left="709" w:hanging="709"/>
        <w:rPr>
          <w:rFonts w:ascii="Arial" w:hAnsi="Arial" w:cs="Arial"/>
          <w:lang w:val="en-US"/>
        </w:rPr>
      </w:pPr>
      <w:r w:rsidRPr="005912BE">
        <w:rPr>
          <w:rFonts w:ascii="Arial" w:hAnsi="Arial" w:cs="Arial"/>
          <w:lang w:val="en-US"/>
        </w:rPr>
        <w:t>[10]</w:t>
      </w:r>
      <w:r w:rsidRPr="005912BE">
        <w:rPr>
          <w:rFonts w:ascii="Arial" w:hAnsi="Arial" w:cs="Arial"/>
          <w:lang w:val="en-US"/>
        </w:rPr>
        <w:tab/>
      </w:r>
      <w:r w:rsidR="005912BE" w:rsidRPr="00D919F0">
        <w:rPr>
          <w:rFonts w:ascii="ArialMT" w:hAnsi="ArialMT"/>
          <w:color w:val="0C0F19"/>
        </w:rPr>
        <w:t xml:space="preserve">In </w:t>
      </w:r>
      <w:r w:rsidR="005912BE" w:rsidRPr="00D919F0">
        <w:rPr>
          <w:rFonts w:ascii="Times" w:hAnsi="Times" w:cs="Arial"/>
          <w:i/>
          <w:iCs/>
          <w:color w:val="0C0F19"/>
          <w:sz w:val="26"/>
          <w:szCs w:val="26"/>
        </w:rPr>
        <w:t>Caesarstone Sdot-Yam Ltd v The World of Marble and Granite 2000 CC and Others</w:t>
      </w:r>
      <w:r w:rsidR="00430E57" w:rsidRPr="00D919F0">
        <w:rPr>
          <w:rFonts w:ascii="ArialMT" w:hAnsi="ArialMT"/>
          <w:color w:val="0C0F19"/>
        </w:rPr>
        <w:t>,</w:t>
      </w:r>
      <w:r w:rsidR="00430E57">
        <w:rPr>
          <w:rStyle w:val="FootnoteReference"/>
          <w:rFonts w:ascii="ArialMT" w:hAnsi="ArialMT"/>
          <w:color w:val="0C0F19"/>
        </w:rPr>
        <w:footnoteReference w:id="2"/>
      </w:r>
      <w:r w:rsidR="005912BE" w:rsidRPr="00D919F0">
        <w:rPr>
          <w:rFonts w:ascii="ArialMT" w:hAnsi="ArialMT"/>
          <w:color w:val="0C0F19"/>
          <w:position w:val="8"/>
          <w:sz w:val="16"/>
          <w:szCs w:val="16"/>
        </w:rPr>
        <w:t xml:space="preserve"> </w:t>
      </w:r>
      <w:r w:rsidR="005912BE" w:rsidRPr="00D919F0">
        <w:rPr>
          <w:rFonts w:ascii="ArialMT" w:hAnsi="ArialMT"/>
          <w:i/>
          <w:color w:val="0C0F19"/>
        </w:rPr>
        <w:t>lis pendens</w:t>
      </w:r>
      <w:r w:rsidR="005912BE" w:rsidRPr="00D919F0">
        <w:rPr>
          <w:rFonts w:ascii="ArialMT" w:hAnsi="ArialMT"/>
          <w:color w:val="0C0F19"/>
        </w:rPr>
        <w:t xml:space="preserve"> was described as follows</w:t>
      </w:r>
    </w:p>
    <w:p w14:paraId="13254086" w14:textId="4259AFCB" w:rsidR="005912BE" w:rsidRPr="00430E57" w:rsidRDefault="005912BE" w:rsidP="00430E57">
      <w:pPr>
        <w:pStyle w:val="NormalWeb"/>
        <w:spacing w:line="360" w:lineRule="auto"/>
        <w:ind w:left="1069"/>
        <w:rPr>
          <w:rFonts w:ascii="Times" w:hAnsi="Times" w:cs="Arial"/>
          <w:i/>
          <w:iCs/>
          <w:color w:val="0C0F19"/>
        </w:rPr>
      </w:pPr>
      <w:r w:rsidRPr="005912BE">
        <w:rPr>
          <w:rFonts w:ascii="Times" w:hAnsi="Times"/>
          <w:color w:val="0C0F19"/>
        </w:rPr>
        <w:t>"</w:t>
      </w:r>
      <w:r w:rsidRPr="005912BE">
        <w:rPr>
          <w:rFonts w:ascii="Times" w:hAnsi="Times" w:cs="Arial"/>
          <w:i/>
          <w:iCs/>
          <w:color w:val="0C0F19"/>
        </w:rPr>
        <w:t xml:space="preserve">[2] As its name indicates, a plea of lis alibi pendens is based on the proposition that the dispute (lis) between the parties is being litigated elsewhere and therefore it is inappropriate for it to be litigated in the court in which the plea is raised. The policy underpinning it is that there should be a limit to the extent to which the same issue is litigated between the same parties and that it is desirable that there be finality in litigation. The courts are also concerned to avoid a situation where different courts pronounce on the same issue with the risk that they may reach differing conclusions. It is a plea that has been recognised by our courts for over </w:t>
      </w:r>
      <w:r w:rsidRPr="00430E57">
        <w:rPr>
          <w:rFonts w:ascii="Times" w:hAnsi="Times" w:cs="Arial"/>
          <w:i/>
          <w:iCs/>
          <w:color w:val="0C0F19"/>
        </w:rPr>
        <w:t>100 years</w:t>
      </w:r>
      <w:r w:rsidR="00430E57" w:rsidRPr="00430E57">
        <w:rPr>
          <w:rFonts w:ascii="Times" w:hAnsi="Times" w:cs="Arial"/>
          <w:i/>
          <w:iCs/>
          <w:color w:val="0C0F19"/>
        </w:rPr>
        <w:t>.</w:t>
      </w:r>
    </w:p>
    <w:p w14:paraId="27345C49" w14:textId="06CB2F91" w:rsidR="00430E57" w:rsidRDefault="00430E57" w:rsidP="00430E57">
      <w:pPr>
        <w:pStyle w:val="NormalWeb"/>
        <w:spacing w:line="360" w:lineRule="auto"/>
        <w:ind w:left="1069"/>
        <w:rPr>
          <w:rFonts w:ascii="Times" w:hAnsi="Times" w:cs="Arial"/>
          <w:i/>
          <w:iCs/>
          <w:color w:val="0C0F19"/>
        </w:rPr>
      </w:pPr>
      <w:r w:rsidRPr="00430E57">
        <w:rPr>
          <w:rFonts w:ascii="Times" w:hAnsi="Times" w:cs="Arial"/>
          <w:i/>
          <w:iCs/>
          <w:color w:val="0C0F19"/>
        </w:rPr>
        <w:t>[3] The plea bears an affinity to the plea of res judicata, which is directed at achieving the same policy goals. Their close relationship is evident from the following passage from Voet 44.2.7:</w:t>
      </w:r>
    </w:p>
    <w:p w14:paraId="3846FF39" w14:textId="61C4091C" w:rsidR="00430E57" w:rsidRPr="00430E57" w:rsidRDefault="00430E57" w:rsidP="00430E57">
      <w:pPr>
        <w:pStyle w:val="NormalWeb"/>
        <w:spacing w:line="360" w:lineRule="auto"/>
        <w:ind w:left="1440"/>
        <w:rPr>
          <w:rFonts w:ascii="Times" w:hAnsi="Times" w:cs="Arial"/>
          <w:i/>
          <w:iCs/>
          <w:color w:val="0C0F19"/>
        </w:rPr>
      </w:pPr>
      <w:r w:rsidRPr="00430E57">
        <w:rPr>
          <w:rFonts w:ascii="Times" w:hAnsi="Times"/>
          <w:i/>
          <w:color w:val="0C0F19"/>
        </w:rPr>
        <w:t>'</w:t>
      </w:r>
      <w:r w:rsidRPr="00430E57">
        <w:rPr>
          <w:rFonts w:ascii="Times" w:hAnsi="Times" w:cs="Arial"/>
          <w:i/>
          <w:iCs/>
          <w:color w:val="0C0F19"/>
        </w:rPr>
        <w:t>Exception of lis pendens also requires same persons, thing and cause. - The exception that a suit is already pending is quite akin to the exception of res judicata, inasmuch as, when a suit is pending before another judge, this exception is granted just so often as, and in all those cases in which after a suit has been ended there is room for the exception of res judicata in terms of what has already been said. Thus the suit must already have started to be mooted before another judge between the same persons, about the same matter and on the</w:t>
      </w:r>
      <w:r>
        <w:rPr>
          <w:rFonts w:ascii="Times" w:hAnsi="Times" w:cs="Arial"/>
          <w:i/>
          <w:iCs/>
          <w:color w:val="0C0F19"/>
        </w:rPr>
        <w:t xml:space="preserve"> same cause, since the place where a judicial proceeding has once been taken up is also the place where it ought to be given its ending</w:t>
      </w:r>
      <w:r w:rsidR="000A3438">
        <w:rPr>
          <w:rFonts w:ascii="Times" w:hAnsi="Times" w:cs="Arial"/>
          <w:i/>
          <w:iCs/>
          <w:color w:val="0C0F19"/>
        </w:rPr>
        <w:t>.’”</w:t>
      </w:r>
    </w:p>
    <w:p w14:paraId="6DF46424" w14:textId="77777777" w:rsidR="000A3438" w:rsidRPr="000A3438" w:rsidRDefault="000A3438" w:rsidP="000A3438">
      <w:pPr>
        <w:rPr>
          <w:rFonts w:ascii="Arial" w:hAnsi="Arial" w:cs="Arial"/>
          <w:lang w:val="en-US"/>
        </w:rPr>
      </w:pPr>
    </w:p>
    <w:p w14:paraId="4E3F59B9" w14:textId="507DDE19" w:rsidR="00594722" w:rsidRPr="00D919F0" w:rsidRDefault="00D919F0" w:rsidP="00D919F0">
      <w:pPr>
        <w:spacing w:line="480" w:lineRule="auto"/>
        <w:ind w:left="709" w:hanging="709"/>
        <w:rPr>
          <w:rFonts w:ascii="Arial" w:hAnsi="Arial" w:cs="Arial"/>
          <w:lang w:val="en-US"/>
        </w:rPr>
      </w:pPr>
      <w:r>
        <w:rPr>
          <w:rFonts w:ascii="Arial" w:hAnsi="Arial" w:cs="Arial"/>
          <w:lang w:val="en-US"/>
        </w:rPr>
        <w:t>[11]</w:t>
      </w:r>
      <w:r>
        <w:rPr>
          <w:rFonts w:ascii="Arial" w:hAnsi="Arial" w:cs="Arial"/>
          <w:lang w:val="en-US"/>
        </w:rPr>
        <w:tab/>
      </w:r>
      <w:r w:rsidR="00594722" w:rsidRPr="00D919F0">
        <w:rPr>
          <w:rFonts w:ascii="Arial" w:hAnsi="Arial" w:cs="Arial"/>
          <w:lang w:val="en-US"/>
        </w:rPr>
        <w:t xml:space="preserve">In paragraphs </w:t>
      </w:r>
      <w:r w:rsidR="005F4D98" w:rsidRPr="00D919F0">
        <w:rPr>
          <w:rFonts w:ascii="Arial" w:hAnsi="Arial" w:cs="Arial"/>
          <w:lang w:val="en-US"/>
        </w:rPr>
        <w:t>[</w:t>
      </w:r>
      <w:r w:rsidR="00594722" w:rsidRPr="00D919F0">
        <w:rPr>
          <w:rFonts w:ascii="Arial" w:hAnsi="Arial" w:cs="Arial"/>
          <w:lang w:val="en-US"/>
        </w:rPr>
        <w:t>19</w:t>
      </w:r>
      <w:r w:rsidR="005F4D98" w:rsidRPr="00D919F0">
        <w:rPr>
          <w:rFonts w:ascii="Arial" w:hAnsi="Arial" w:cs="Arial"/>
          <w:lang w:val="en-US"/>
        </w:rPr>
        <w:t>]</w:t>
      </w:r>
      <w:r w:rsidR="00594722" w:rsidRPr="00D919F0">
        <w:rPr>
          <w:rFonts w:ascii="Arial" w:hAnsi="Arial" w:cs="Arial"/>
          <w:lang w:val="en-US"/>
        </w:rPr>
        <w:t xml:space="preserve"> and [21] the </w:t>
      </w:r>
      <w:r w:rsidR="005F4D98" w:rsidRPr="00D919F0">
        <w:rPr>
          <w:rFonts w:ascii="Arial" w:hAnsi="Arial" w:cs="Arial"/>
          <w:lang w:val="en-US"/>
        </w:rPr>
        <w:t>court continued as follows in respect of res judicata and issue estoppel. It turns on the same principle to be decided. The court stated the following:</w:t>
      </w:r>
    </w:p>
    <w:p w14:paraId="0A4372FF" w14:textId="720EDDDA" w:rsidR="005F4D98" w:rsidRDefault="005F4D98" w:rsidP="005F4D98">
      <w:pPr>
        <w:pStyle w:val="NormalWeb"/>
        <w:spacing w:line="360" w:lineRule="auto"/>
        <w:ind w:left="1440"/>
        <w:rPr>
          <w:rFonts w:ascii="Times" w:hAnsi="Times" w:cs="Arial"/>
          <w:i/>
        </w:rPr>
      </w:pPr>
      <w:r w:rsidRPr="005F4D98">
        <w:rPr>
          <w:rFonts w:ascii="Times" w:hAnsi="Times" w:cs="Arial"/>
          <w:i/>
        </w:rPr>
        <w:t xml:space="preserve">“[19] A strict application of the three requirements for that plea would generate a negative response. If the party raising </w:t>
      </w:r>
      <w:r w:rsidRPr="005F4D98">
        <w:rPr>
          <w:rFonts w:ascii="Times" w:hAnsi="Times"/>
          <w:i/>
        </w:rPr>
        <w:t xml:space="preserve">res judicata </w:t>
      </w:r>
      <w:r w:rsidRPr="005F4D98">
        <w:rPr>
          <w:rFonts w:ascii="Times" w:hAnsi="Times" w:cs="Arial"/>
          <w:i/>
        </w:rPr>
        <w:t xml:space="preserve">had been the plaintiff in the earlier litigation, that would necessarily mean that the cause of action and the relief sought in the later proceedings, where the plea was being raised, differed from the cause of action and the relief in the earlier proceedings. This is illustrated by the facts in </w:t>
      </w:r>
      <w:r w:rsidRPr="005F4D98">
        <w:rPr>
          <w:rFonts w:ascii="Times" w:hAnsi="Times"/>
          <w:i/>
        </w:rPr>
        <w:t>Cook</w:t>
      </w:r>
      <w:r w:rsidRPr="005F4D98">
        <w:rPr>
          <w:rFonts w:ascii="Times" w:hAnsi="Times" w:cs="Arial"/>
          <w:i/>
        </w:rPr>
        <w:t>. In the Supreme Court Muller was claiming damages for breach of the underlying agreement. His cause of action was based on the agreement and its breach. In the magistrates’ court, Cook and his co- plaintiffs were seeking to recover the face value of the dishonoured promissory notes on the basis that they had been dishonoured on presentation. Those were different causes of action and the relief claimed in each was also different.”</w:t>
      </w:r>
    </w:p>
    <w:p w14:paraId="3F61F3E0" w14:textId="16F738AB" w:rsidR="005F4D98" w:rsidRDefault="005F4D98" w:rsidP="005F4D98">
      <w:pPr>
        <w:pStyle w:val="NormalWeb"/>
        <w:spacing w:line="360" w:lineRule="auto"/>
        <w:ind w:left="1440"/>
        <w:rPr>
          <w:rFonts w:ascii="Times" w:hAnsi="Times" w:cs="Arial"/>
          <w:i/>
        </w:rPr>
      </w:pPr>
      <w:r>
        <w:rPr>
          <w:rFonts w:ascii="Times" w:hAnsi="Times" w:cs="Arial"/>
          <w:i/>
        </w:rPr>
        <w:t>….</w:t>
      </w:r>
    </w:p>
    <w:p w14:paraId="48E93361" w14:textId="4818B2BC" w:rsidR="005F4D98" w:rsidRPr="00DE4530" w:rsidRDefault="005F4D98" w:rsidP="00DE4530">
      <w:pPr>
        <w:pStyle w:val="NormalWeb"/>
        <w:spacing w:line="360" w:lineRule="auto"/>
        <w:ind w:left="1440"/>
        <w:rPr>
          <w:rFonts w:ascii="Times" w:hAnsi="Times" w:cs="Arial"/>
          <w:i/>
        </w:rPr>
      </w:pPr>
      <w:r w:rsidRPr="005F4D98">
        <w:rPr>
          <w:rFonts w:ascii="Times" w:hAnsi="Times" w:cs="Arial"/>
          <w:i/>
        </w:rPr>
        <w:t xml:space="preserve">[21] On this basis the requirement of the same cause of action is satisfied if the other proceedings involve the determination of a question that is necessary for the determination of the case in which the plea is raised and substantially determinative of the outcome of that latter case. </w:t>
      </w:r>
      <w:r w:rsidRPr="005F4D98">
        <w:rPr>
          <w:rFonts w:ascii="Times" w:hAnsi="Times"/>
          <w:i/>
        </w:rPr>
        <w:t xml:space="preserve">Boshoff </w:t>
      </w:r>
      <w:r w:rsidRPr="005F4D98">
        <w:rPr>
          <w:rFonts w:ascii="Times" w:hAnsi="Times" w:cs="Arial"/>
          <w:i/>
        </w:rPr>
        <w:t xml:space="preserve">was followed in a number of cases in provincial courts, but was regarded as controversial because it was thought to import into South African law the English principles of issue estoppel. It is unnecessary to explore that controversy because this Court laid it to rest in </w:t>
      </w:r>
      <w:r w:rsidRPr="005F4D98">
        <w:rPr>
          <w:rFonts w:ascii="Times" w:hAnsi="Times"/>
          <w:i/>
        </w:rPr>
        <w:t>Kommissaris van Binnelandse Inkomste v Absa Bank Bpk</w:t>
      </w:r>
      <w:r w:rsidRPr="005F4D98">
        <w:rPr>
          <w:rFonts w:ascii="Times" w:hAnsi="Times" w:cs="Arial"/>
          <w:i/>
        </w:rPr>
        <w:t xml:space="preserve">. There, Botha JA held that </w:t>
      </w:r>
      <w:r w:rsidRPr="005F4D98">
        <w:rPr>
          <w:rFonts w:ascii="Times" w:hAnsi="Times"/>
          <w:i/>
        </w:rPr>
        <w:t xml:space="preserve">Boshoff </w:t>
      </w:r>
      <w:r w:rsidRPr="005F4D98">
        <w:rPr>
          <w:rFonts w:ascii="Times" w:hAnsi="Times" w:cs="Arial"/>
          <w:i/>
        </w:rPr>
        <w:t xml:space="preserve">was based on the principles of our law. He said that its </w:t>
      </w:r>
      <w:r w:rsidRPr="005F4D98">
        <w:rPr>
          <w:rFonts w:ascii="Times" w:hAnsi="Times"/>
          <w:i/>
        </w:rPr>
        <w:t xml:space="preserve">ratio </w:t>
      </w:r>
      <w:r w:rsidRPr="005F4D98">
        <w:rPr>
          <w:rFonts w:ascii="Times" w:hAnsi="Times" w:cs="Arial"/>
          <w:i/>
        </w:rPr>
        <w:t xml:space="preserve">is that the strict requirements for a plea of res judicata of the same cause of action and that the same thing be claimed, must not be understood in a literal sense and as immutable rules. There is room for their adaptation and extension based on the underlying requirement that the same thing is in issue as well as the reason for the existence of the plea.” </w:t>
      </w:r>
    </w:p>
    <w:p w14:paraId="26EB89EA" w14:textId="6564407D" w:rsidR="000A3438" w:rsidRPr="00D919F0" w:rsidRDefault="00D919F0" w:rsidP="00D919F0">
      <w:pPr>
        <w:spacing w:line="480" w:lineRule="auto"/>
        <w:ind w:left="709" w:hanging="709"/>
        <w:rPr>
          <w:rFonts w:ascii="Arial" w:hAnsi="Arial" w:cs="Arial"/>
          <w:lang w:val="en-US"/>
        </w:rPr>
      </w:pPr>
      <w:r w:rsidRPr="000A3438">
        <w:rPr>
          <w:rFonts w:ascii="Arial" w:hAnsi="Arial" w:cs="Arial"/>
          <w:lang w:val="en-US"/>
        </w:rPr>
        <w:lastRenderedPageBreak/>
        <w:t>[12]</w:t>
      </w:r>
      <w:r w:rsidRPr="000A3438">
        <w:rPr>
          <w:rFonts w:ascii="Arial" w:hAnsi="Arial" w:cs="Arial"/>
          <w:lang w:val="en-US"/>
        </w:rPr>
        <w:tab/>
      </w:r>
      <w:r w:rsidR="000A3438" w:rsidRPr="00D919F0">
        <w:rPr>
          <w:rFonts w:ascii="Arial" w:hAnsi="Arial" w:cs="Arial"/>
        </w:rPr>
        <w:t xml:space="preserve">It however does not follow that the plea of </w:t>
      </w:r>
      <w:r w:rsidR="000A3438" w:rsidRPr="00D919F0">
        <w:rPr>
          <w:rFonts w:ascii="Arial" w:hAnsi="Arial" w:cs="Arial"/>
          <w:i/>
          <w:iCs/>
        </w:rPr>
        <w:t xml:space="preserve">lis pendens </w:t>
      </w:r>
      <w:r w:rsidR="000A3438" w:rsidRPr="00D919F0">
        <w:rPr>
          <w:rFonts w:ascii="Arial" w:hAnsi="Arial" w:cs="Arial"/>
        </w:rPr>
        <w:t>will serve as a bar to hearing the matter simply because the above requirements have been satisfied. The court has the discretion whether or not to stay the proceedings or to hear the matter depending on what is just and equitable to do in the circumstances, including consideration of the balance of convenience.</w:t>
      </w:r>
      <w:r w:rsidR="000A3438">
        <w:rPr>
          <w:rStyle w:val="FootnoteReference"/>
          <w:rFonts w:ascii="Arial" w:hAnsi="Arial" w:cs="Arial"/>
        </w:rPr>
        <w:footnoteReference w:id="3"/>
      </w:r>
    </w:p>
    <w:p w14:paraId="75270D32" w14:textId="77777777" w:rsidR="000A3438" w:rsidRPr="000A3438" w:rsidRDefault="000A3438" w:rsidP="000A3438">
      <w:pPr>
        <w:pStyle w:val="ListParagraph"/>
        <w:ind w:left="709"/>
        <w:rPr>
          <w:rFonts w:ascii="Arial" w:hAnsi="Arial" w:cs="Arial"/>
          <w:lang w:val="en-US"/>
        </w:rPr>
      </w:pPr>
    </w:p>
    <w:p w14:paraId="33B8D91D" w14:textId="62846ADB" w:rsidR="000A3438" w:rsidRPr="00D919F0" w:rsidRDefault="00D919F0" w:rsidP="00D919F0">
      <w:pPr>
        <w:spacing w:line="480" w:lineRule="auto"/>
        <w:ind w:left="709" w:hanging="709"/>
        <w:rPr>
          <w:rFonts w:ascii="Arial" w:hAnsi="Arial" w:cs="Arial"/>
          <w:lang w:val="en-US"/>
        </w:rPr>
      </w:pPr>
      <w:r>
        <w:rPr>
          <w:rFonts w:ascii="Arial" w:hAnsi="Arial" w:cs="Arial"/>
          <w:lang w:val="en-US"/>
        </w:rPr>
        <w:t>[13]</w:t>
      </w:r>
      <w:r>
        <w:rPr>
          <w:rFonts w:ascii="Arial" w:hAnsi="Arial" w:cs="Arial"/>
          <w:lang w:val="en-US"/>
        </w:rPr>
        <w:tab/>
      </w:r>
      <w:r w:rsidR="000A3438" w:rsidRPr="00D919F0">
        <w:rPr>
          <w:rFonts w:ascii="Arial" w:hAnsi="Arial" w:cs="Arial"/>
          <w:lang w:val="en-US"/>
        </w:rPr>
        <w:t xml:space="preserve">For the determination of this issue, the requirements of </w:t>
      </w:r>
      <w:r w:rsidR="000A3438" w:rsidRPr="00D919F0">
        <w:rPr>
          <w:rFonts w:ascii="Arial" w:hAnsi="Arial" w:cs="Arial"/>
          <w:i/>
          <w:lang w:val="en-US"/>
        </w:rPr>
        <w:t xml:space="preserve">lis pendens </w:t>
      </w:r>
      <w:r w:rsidR="000A3438" w:rsidRPr="00D919F0">
        <w:rPr>
          <w:rFonts w:ascii="Arial" w:hAnsi="Arial" w:cs="Arial"/>
          <w:lang w:val="en-US"/>
        </w:rPr>
        <w:t>need not be further elaborated upon as respondent’s reliance thereon falters at the requirement that it be the same proceedings.</w:t>
      </w:r>
    </w:p>
    <w:p w14:paraId="388CB68B" w14:textId="77777777" w:rsidR="000A3438" w:rsidRPr="000A3438" w:rsidRDefault="000A3438" w:rsidP="000A3438">
      <w:pPr>
        <w:pStyle w:val="ListParagraph"/>
        <w:rPr>
          <w:rFonts w:ascii="Arial" w:hAnsi="Arial" w:cs="Arial"/>
          <w:lang w:val="en-US"/>
        </w:rPr>
      </w:pPr>
    </w:p>
    <w:p w14:paraId="39DAF69C" w14:textId="1E9A596B" w:rsidR="006C697D" w:rsidRPr="00D919F0" w:rsidRDefault="00D919F0" w:rsidP="00D919F0">
      <w:pPr>
        <w:spacing w:line="480" w:lineRule="auto"/>
        <w:ind w:left="709" w:hanging="709"/>
        <w:rPr>
          <w:rFonts w:ascii="Arial" w:hAnsi="Arial" w:cs="Arial"/>
          <w:lang w:val="en-US"/>
        </w:rPr>
      </w:pPr>
      <w:r>
        <w:rPr>
          <w:rFonts w:ascii="Arial" w:hAnsi="Arial" w:cs="Arial"/>
          <w:lang w:val="en-US"/>
        </w:rPr>
        <w:t>[14]</w:t>
      </w:r>
      <w:r>
        <w:rPr>
          <w:rFonts w:ascii="Arial" w:hAnsi="Arial" w:cs="Arial"/>
          <w:lang w:val="en-US"/>
        </w:rPr>
        <w:tab/>
      </w:r>
      <w:r w:rsidR="000A3438" w:rsidRPr="00D919F0">
        <w:rPr>
          <w:rFonts w:ascii="Arial" w:hAnsi="Arial" w:cs="Arial"/>
          <w:lang w:val="en-US"/>
        </w:rPr>
        <w:t>Respondent</w:t>
      </w:r>
      <w:r w:rsidR="00C76035" w:rsidRPr="00D919F0">
        <w:rPr>
          <w:rFonts w:ascii="Arial" w:hAnsi="Arial" w:cs="Arial"/>
          <w:lang w:val="en-US"/>
        </w:rPr>
        <w:t xml:space="preserve">’s </w:t>
      </w:r>
      <w:r w:rsidR="006C697D" w:rsidRPr="00D919F0">
        <w:rPr>
          <w:rFonts w:ascii="Arial" w:hAnsi="Arial" w:cs="Arial"/>
          <w:lang w:val="en-US"/>
        </w:rPr>
        <w:t xml:space="preserve">reliance on </w:t>
      </w:r>
      <w:r w:rsidR="006C697D" w:rsidRPr="00D919F0">
        <w:rPr>
          <w:rFonts w:ascii="Arial" w:hAnsi="Arial" w:cs="Arial"/>
          <w:i/>
          <w:lang w:val="en-US"/>
        </w:rPr>
        <w:t>lis pendens</w:t>
      </w:r>
      <w:r w:rsidR="006C697D" w:rsidRPr="00D919F0">
        <w:rPr>
          <w:rFonts w:ascii="Arial" w:hAnsi="Arial" w:cs="Arial"/>
          <w:lang w:val="en-US"/>
        </w:rPr>
        <w:t xml:space="preserve"> is based, not on another liquidation application instituted by applicant t against it, but on the fact that an application had been instituted to have the directors declared delinquent, inter alia based on some or all of the alleged failures to comply with the provisions of the Act.</w:t>
      </w:r>
    </w:p>
    <w:p w14:paraId="20339331" w14:textId="77777777" w:rsidR="006C697D" w:rsidRPr="006C697D" w:rsidRDefault="006C697D" w:rsidP="006C697D">
      <w:pPr>
        <w:pStyle w:val="ListParagraph"/>
        <w:rPr>
          <w:rFonts w:ascii="Arial" w:hAnsi="Arial" w:cs="Arial"/>
          <w:lang w:val="en-US"/>
        </w:rPr>
      </w:pPr>
    </w:p>
    <w:p w14:paraId="028EBA46" w14:textId="214F26DF" w:rsidR="000A3438" w:rsidRPr="00D919F0" w:rsidRDefault="00D919F0" w:rsidP="00D919F0">
      <w:pPr>
        <w:spacing w:line="480" w:lineRule="auto"/>
        <w:ind w:left="709" w:hanging="709"/>
        <w:rPr>
          <w:rFonts w:ascii="Arial" w:hAnsi="Arial" w:cs="Arial"/>
          <w:lang w:val="en-US"/>
        </w:rPr>
      </w:pPr>
      <w:r w:rsidRPr="000A3438">
        <w:rPr>
          <w:rFonts w:ascii="Arial" w:hAnsi="Arial" w:cs="Arial"/>
          <w:lang w:val="en-US"/>
        </w:rPr>
        <w:t>[15]</w:t>
      </w:r>
      <w:r w:rsidRPr="000A3438">
        <w:rPr>
          <w:rFonts w:ascii="Arial" w:hAnsi="Arial" w:cs="Arial"/>
          <w:lang w:val="en-US"/>
        </w:rPr>
        <w:tab/>
      </w:r>
      <w:r w:rsidR="006C697D" w:rsidRPr="00D919F0">
        <w:rPr>
          <w:rFonts w:ascii="Arial" w:hAnsi="Arial" w:cs="Arial"/>
          <w:lang w:val="en-US"/>
        </w:rPr>
        <w:t xml:space="preserve">The mere fact that the same facts relate to two different applications or actions, does not fall within the ambit of </w:t>
      </w:r>
      <w:r w:rsidR="006C697D" w:rsidRPr="00D919F0">
        <w:rPr>
          <w:rFonts w:ascii="Arial" w:hAnsi="Arial" w:cs="Arial"/>
          <w:i/>
          <w:lang w:val="en-US"/>
        </w:rPr>
        <w:t>lis pendens</w:t>
      </w:r>
      <w:r w:rsidR="006C697D" w:rsidRPr="00D919F0">
        <w:rPr>
          <w:rFonts w:ascii="Arial" w:hAnsi="Arial" w:cs="Arial"/>
          <w:lang w:val="en-US"/>
        </w:rPr>
        <w:t>. At best, and without making any finding on the merits of such a claim as it not before me, it could be claimed for instance, that the matters be heard together for convenience sake.</w:t>
      </w:r>
    </w:p>
    <w:p w14:paraId="6ECDA7A3" w14:textId="77777777" w:rsidR="005912BE" w:rsidRPr="000A3438" w:rsidRDefault="005912BE" w:rsidP="000A3438">
      <w:pPr>
        <w:rPr>
          <w:rFonts w:ascii="Arial" w:hAnsi="Arial" w:cs="Arial"/>
          <w:lang w:val="en-US"/>
        </w:rPr>
      </w:pPr>
    </w:p>
    <w:p w14:paraId="446025D7" w14:textId="0B625A76" w:rsidR="005912BE" w:rsidRPr="00D919F0" w:rsidRDefault="00D919F0" w:rsidP="00D919F0">
      <w:pPr>
        <w:spacing w:line="480" w:lineRule="auto"/>
        <w:ind w:left="709" w:hanging="709"/>
        <w:rPr>
          <w:rFonts w:ascii="Arial" w:hAnsi="Arial" w:cs="Arial"/>
          <w:lang w:val="en-US"/>
        </w:rPr>
      </w:pPr>
      <w:r>
        <w:rPr>
          <w:rFonts w:ascii="Arial" w:hAnsi="Arial" w:cs="Arial"/>
          <w:lang w:val="en-US"/>
        </w:rPr>
        <w:t>[16]</w:t>
      </w:r>
      <w:r>
        <w:rPr>
          <w:rFonts w:ascii="Arial" w:hAnsi="Arial" w:cs="Arial"/>
          <w:lang w:val="en-US"/>
        </w:rPr>
        <w:tab/>
      </w:r>
      <w:r w:rsidR="006C697D" w:rsidRPr="00D919F0">
        <w:rPr>
          <w:rFonts w:ascii="Arial" w:hAnsi="Arial" w:cs="Arial"/>
          <w:lang w:val="en-US"/>
        </w:rPr>
        <w:t xml:space="preserve">The claim of </w:t>
      </w:r>
      <w:r w:rsidR="006C697D" w:rsidRPr="00D919F0">
        <w:rPr>
          <w:rFonts w:ascii="Arial" w:hAnsi="Arial" w:cs="Arial"/>
          <w:i/>
          <w:lang w:val="en-US"/>
        </w:rPr>
        <w:t>lis pendens</w:t>
      </w:r>
      <w:r w:rsidR="006C697D" w:rsidRPr="00D919F0">
        <w:rPr>
          <w:rFonts w:ascii="Arial" w:hAnsi="Arial" w:cs="Arial"/>
          <w:lang w:val="en-US"/>
        </w:rPr>
        <w:t xml:space="preserve"> cannot be upheld.</w:t>
      </w:r>
    </w:p>
    <w:p w14:paraId="7A3B926D" w14:textId="77777777" w:rsidR="006C697D" w:rsidRPr="006C697D" w:rsidRDefault="006C697D" w:rsidP="006C697D">
      <w:pPr>
        <w:pStyle w:val="ListParagraph"/>
        <w:rPr>
          <w:rFonts w:ascii="Arial" w:hAnsi="Arial" w:cs="Arial"/>
          <w:lang w:val="en-US"/>
        </w:rPr>
      </w:pPr>
    </w:p>
    <w:p w14:paraId="7FAF1167" w14:textId="76686836" w:rsidR="006C697D" w:rsidRPr="00D919F0" w:rsidRDefault="00D919F0" w:rsidP="00D919F0">
      <w:pPr>
        <w:spacing w:line="480" w:lineRule="auto"/>
        <w:ind w:left="709" w:hanging="709"/>
        <w:rPr>
          <w:rFonts w:ascii="Arial" w:hAnsi="Arial" w:cs="Arial"/>
          <w:lang w:val="en-US"/>
        </w:rPr>
      </w:pPr>
      <w:r>
        <w:rPr>
          <w:rFonts w:ascii="Arial" w:hAnsi="Arial" w:cs="Arial"/>
          <w:lang w:val="en-US"/>
        </w:rPr>
        <w:t>[17]</w:t>
      </w:r>
      <w:r>
        <w:rPr>
          <w:rFonts w:ascii="Arial" w:hAnsi="Arial" w:cs="Arial"/>
          <w:lang w:val="en-US"/>
        </w:rPr>
        <w:tab/>
      </w:r>
      <w:r w:rsidR="006C697D" w:rsidRPr="00D919F0">
        <w:rPr>
          <w:rFonts w:ascii="Arial" w:hAnsi="Arial" w:cs="Arial"/>
          <w:lang w:val="en-US"/>
        </w:rPr>
        <w:t xml:space="preserve">The second issue that needs to be determined is that of the striking out </w:t>
      </w:r>
      <w:r w:rsidR="0075603F" w:rsidRPr="00D919F0">
        <w:rPr>
          <w:rFonts w:ascii="Arial" w:hAnsi="Arial" w:cs="Arial"/>
          <w:lang w:val="en-US"/>
        </w:rPr>
        <w:t>and</w:t>
      </w:r>
      <w:r w:rsidR="006C697D" w:rsidRPr="00D919F0">
        <w:rPr>
          <w:rFonts w:ascii="Arial" w:hAnsi="Arial" w:cs="Arial"/>
          <w:lang w:val="en-US"/>
        </w:rPr>
        <w:t xml:space="preserve"> admissibility of the supplementary affidavit filed by respondent.</w:t>
      </w:r>
    </w:p>
    <w:p w14:paraId="2A028EA4" w14:textId="56EA5A71" w:rsidR="00D2665E" w:rsidRDefault="00D2665E" w:rsidP="00DE4530">
      <w:pPr>
        <w:rPr>
          <w:rFonts w:ascii="Arial" w:hAnsi="Arial" w:cs="Arial"/>
          <w:lang w:val="en-US"/>
        </w:rPr>
      </w:pPr>
    </w:p>
    <w:p w14:paraId="779C9749" w14:textId="77777777" w:rsidR="00DE4530" w:rsidRPr="00DE4530" w:rsidRDefault="00DE4530" w:rsidP="00DE4530">
      <w:pPr>
        <w:rPr>
          <w:rFonts w:ascii="Arial" w:hAnsi="Arial" w:cs="Arial"/>
          <w:lang w:val="en-US"/>
        </w:rPr>
      </w:pPr>
    </w:p>
    <w:p w14:paraId="5285020A" w14:textId="03804441" w:rsidR="00D2665E" w:rsidRDefault="00A50B4C" w:rsidP="00D2665E">
      <w:pPr>
        <w:spacing w:line="480" w:lineRule="auto"/>
        <w:rPr>
          <w:rFonts w:ascii="Arial" w:hAnsi="Arial" w:cs="Arial"/>
          <w:b/>
          <w:i/>
          <w:lang w:val="en-US"/>
        </w:rPr>
      </w:pPr>
      <w:r w:rsidRPr="00A50B4C">
        <w:rPr>
          <w:rFonts w:ascii="Arial" w:hAnsi="Arial" w:cs="Arial"/>
          <w:b/>
          <w:i/>
          <w:lang w:val="en-US"/>
        </w:rPr>
        <w:t>Application to admit further or supplementary affidavits</w:t>
      </w:r>
      <w:r w:rsidR="0075603F">
        <w:rPr>
          <w:rFonts w:ascii="Arial" w:hAnsi="Arial" w:cs="Arial"/>
          <w:b/>
          <w:i/>
          <w:lang w:val="en-US"/>
        </w:rPr>
        <w:t xml:space="preserve"> and striking out</w:t>
      </w:r>
    </w:p>
    <w:p w14:paraId="7CF6C9C7" w14:textId="77777777" w:rsidR="00DE4530" w:rsidRPr="00D2665E" w:rsidRDefault="00DE4530" w:rsidP="00DE4530">
      <w:pPr>
        <w:rPr>
          <w:rFonts w:ascii="Arial" w:hAnsi="Arial" w:cs="Arial"/>
          <w:b/>
          <w:i/>
          <w:lang w:val="en-US"/>
        </w:rPr>
      </w:pPr>
    </w:p>
    <w:p w14:paraId="489171EC" w14:textId="6D0A1E39" w:rsidR="003E44AF" w:rsidRPr="003E44AF" w:rsidRDefault="00D919F0" w:rsidP="00D919F0">
      <w:pPr>
        <w:spacing w:line="480" w:lineRule="auto"/>
        <w:ind w:left="709" w:hanging="709"/>
      </w:pPr>
      <w:r w:rsidRPr="003E44AF">
        <w:rPr>
          <w:rFonts w:ascii="Arial" w:hAnsi="Arial" w:cs="Arial"/>
        </w:rPr>
        <w:t>[18]</w:t>
      </w:r>
      <w:r w:rsidRPr="003E44AF">
        <w:rPr>
          <w:rFonts w:ascii="Arial" w:hAnsi="Arial" w:cs="Arial"/>
        </w:rPr>
        <w:tab/>
      </w:r>
      <w:r w:rsidR="00DD4EE3" w:rsidRPr="00D919F0">
        <w:rPr>
          <w:rFonts w:ascii="Arial" w:hAnsi="Arial" w:cs="Arial"/>
          <w:color w:val="242121"/>
          <w:lang w:val="en-US"/>
        </w:rPr>
        <w:t>It is trite that in application proceedings, evidence must be led before court, by way of affidavit. The affidavits are limited to three sets. The Defendants point out that the Rule was succinctly explained</w:t>
      </w:r>
      <w:r w:rsidR="005B6D7D" w:rsidRPr="00D919F0">
        <w:rPr>
          <w:rFonts w:ascii="Arial" w:hAnsi="Arial" w:cs="Arial"/>
          <w:color w:val="242121"/>
          <w:lang w:val="en-US"/>
        </w:rPr>
        <w:t xml:space="preserve"> </w:t>
      </w:r>
      <w:r w:rsidR="00DD4EE3" w:rsidRPr="00D919F0">
        <w:rPr>
          <w:rFonts w:ascii="Arial" w:hAnsi="Arial" w:cs="Arial"/>
          <w:color w:val="242121"/>
          <w:lang w:val="en-US"/>
        </w:rPr>
        <w:t>in the Supreme Court of Appeal judgment in the case of </w:t>
      </w:r>
      <w:r w:rsidR="00DD4EE3" w:rsidRPr="00D919F0">
        <w:rPr>
          <w:rFonts w:ascii="Times" w:hAnsi="Times" w:cs="Arial"/>
          <w:i/>
          <w:iCs/>
          <w:color w:val="242121"/>
          <w:sz w:val="26"/>
          <w:szCs w:val="26"/>
          <w:lang w:val="en-US"/>
        </w:rPr>
        <w:t xml:space="preserve">Hano </w:t>
      </w:r>
      <w:r w:rsidR="003E44AF" w:rsidRPr="00D919F0">
        <w:rPr>
          <w:rFonts w:ascii="Times" w:hAnsi="Times" w:cs="Arial"/>
          <w:i/>
          <w:iCs/>
          <w:color w:val="242121"/>
          <w:sz w:val="26"/>
          <w:szCs w:val="26"/>
          <w:lang w:val="en-US"/>
        </w:rPr>
        <w:t>T</w:t>
      </w:r>
      <w:r w:rsidR="00DD4EE3" w:rsidRPr="00D919F0">
        <w:rPr>
          <w:rFonts w:ascii="Times" w:hAnsi="Times" w:cs="Arial"/>
          <w:i/>
          <w:iCs/>
          <w:color w:val="242121"/>
          <w:sz w:val="26"/>
          <w:szCs w:val="26"/>
          <w:lang w:val="en-US"/>
        </w:rPr>
        <w:t>rading CC v J R 209 Investments (Pty) Ltd and Another</w:t>
      </w:r>
      <w:r w:rsidR="003E44AF" w:rsidRPr="003E44AF">
        <w:rPr>
          <w:rStyle w:val="FootnoteReference"/>
          <w:rFonts w:ascii="Arial" w:hAnsi="Arial" w:cs="Arial"/>
          <w:iCs/>
          <w:color w:val="242121"/>
          <w:lang w:val="en-US"/>
        </w:rPr>
        <w:footnoteReference w:id="4"/>
      </w:r>
      <w:r w:rsidR="003E44AF" w:rsidRPr="00D919F0">
        <w:rPr>
          <w:rFonts w:ascii="Arial" w:hAnsi="Arial" w:cs="Arial"/>
          <w:color w:val="242121"/>
        </w:rPr>
        <w:t xml:space="preserve"> </w:t>
      </w:r>
      <w:r w:rsidR="00DD4EE3" w:rsidRPr="00D919F0">
        <w:rPr>
          <w:rFonts w:ascii="Arial" w:hAnsi="Arial" w:cs="Arial"/>
          <w:color w:val="242121"/>
          <w:lang w:val="en-US"/>
        </w:rPr>
        <w:t>where the court stated the following:</w:t>
      </w:r>
    </w:p>
    <w:p w14:paraId="4E9A7FA0" w14:textId="77777777" w:rsidR="003E44AF" w:rsidRPr="003E44AF" w:rsidRDefault="003E44AF" w:rsidP="003E44AF">
      <w:pPr>
        <w:pStyle w:val="ListParagraph"/>
        <w:ind w:left="709"/>
      </w:pPr>
    </w:p>
    <w:p w14:paraId="42B5236B" w14:textId="428A23EF" w:rsidR="00DD4EE3" w:rsidRPr="003E44AF" w:rsidRDefault="00DD4EE3" w:rsidP="003E44AF">
      <w:pPr>
        <w:pStyle w:val="ListParagraph"/>
        <w:spacing w:line="360" w:lineRule="auto"/>
        <w:ind w:left="1440"/>
        <w:rPr>
          <w:rFonts w:ascii="Times" w:hAnsi="Times"/>
        </w:rPr>
      </w:pPr>
      <w:r w:rsidRPr="003E44AF">
        <w:rPr>
          <w:rFonts w:ascii="Times" w:hAnsi="Times" w:cs="Arial"/>
          <w:color w:val="242121"/>
          <w:lang w:val="en-US"/>
        </w:rPr>
        <w:t>“</w:t>
      </w:r>
      <w:r w:rsidRPr="003E44AF">
        <w:rPr>
          <w:rFonts w:ascii="Times" w:hAnsi="Times" w:cs="Arial"/>
          <w:i/>
          <w:iCs/>
          <w:color w:val="242121"/>
          <w:lang w:val="en-US"/>
        </w:rPr>
        <w:t>it follows thus, that great care must be taken to fully set out the case of the party on whose behalf an affidavit is filed. It is therefore not surprising that the Rule 6 (5) (e) provides that further affidavits may only be allowed at the discretion of the court.”</w:t>
      </w:r>
    </w:p>
    <w:p w14:paraId="6B99B85A" w14:textId="181EEFEC" w:rsidR="005B6D7D" w:rsidRDefault="005B6D7D" w:rsidP="005B6D7D">
      <w:pPr>
        <w:pStyle w:val="ListParagraph"/>
        <w:ind w:left="709"/>
      </w:pPr>
    </w:p>
    <w:p w14:paraId="75E6FF8E" w14:textId="77777777" w:rsidR="003E44AF" w:rsidRPr="005B6D7D" w:rsidRDefault="003E44AF" w:rsidP="005B6D7D">
      <w:pPr>
        <w:pStyle w:val="ListParagraph"/>
        <w:ind w:left="709"/>
      </w:pPr>
    </w:p>
    <w:p w14:paraId="467C4D48" w14:textId="0BB75F24" w:rsidR="005B6D7D" w:rsidRPr="005B6D7D" w:rsidRDefault="00D919F0" w:rsidP="00D919F0">
      <w:pPr>
        <w:spacing w:line="480" w:lineRule="auto"/>
        <w:ind w:left="709" w:hanging="709"/>
      </w:pPr>
      <w:r w:rsidRPr="005B6D7D">
        <w:rPr>
          <w:rFonts w:ascii="Arial" w:hAnsi="Arial" w:cs="Arial"/>
        </w:rPr>
        <w:t>[19]</w:t>
      </w:r>
      <w:r w:rsidRPr="005B6D7D">
        <w:rPr>
          <w:rFonts w:ascii="Arial" w:hAnsi="Arial" w:cs="Arial"/>
        </w:rPr>
        <w:tab/>
      </w:r>
      <w:r w:rsidR="00DD4EE3" w:rsidRPr="00D919F0">
        <w:rPr>
          <w:rFonts w:ascii="Arial" w:hAnsi="Arial" w:cs="Arial"/>
          <w:color w:val="242121"/>
          <w:lang w:val="en-US"/>
        </w:rPr>
        <w:t>In The case of </w:t>
      </w:r>
      <w:r w:rsidR="00DD4EE3" w:rsidRPr="00D919F0">
        <w:rPr>
          <w:rFonts w:ascii="Times" w:hAnsi="Times" w:cs="Arial"/>
          <w:i/>
          <w:iCs/>
          <w:color w:val="242121"/>
          <w:sz w:val="26"/>
          <w:szCs w:val="26"/>
          <w:lang w:val="en-US"/>
        </w:rPr>
        <w:t>Standard Bank of SA Ltd v Sewpersadh and Another</w:t>
      </w:r>
      <w:r w:rsidR="00DD4EE3" w:rsidRPr="00D919F0">
        <w:rPr>
          <w:rFonts w:ascii="Arial" w:hAnsi="Arial" w:cs="Arial"/>
          <w:color w:val="242121"/>
          <w:lang w:val="en-US"/>
        </w:rPr>
        <w:t>,</w:t>
      </w:r>
      <w:r w:rsidR="003E44AF">
        <w:rPr>
          <w:rStyle w:val="FootnoteReference"/>
          <w:rFonts w:ascii="Arial" w:hAnsi="Arial" w:cs="Arial"/>
          <w:color w:val="242121"/>
          <w:lang w:val="en-US"/>
        </w:rPr>
        <w:footnoteReference w:id="5"/>
      </w:r>
      <w:r w:rsidR="00DD4EE3" w:rsidRPr="00D919F0">
        <w:rPr>
          <w:rFonts w:ascii="Arial" w:hAnsi="Arial" w:cs="Arial"/>
          <w:color w:val="242121"/>
          <w:lang w:val="en-US"/>
        </w:rPr>
        <w:t xml:space="preserve"> it was held:</w:t>
      </w:r>
    </w:p>
    <w:p w14:paraId="29AD9F9F" w14:textId="77777777" w:rsidR="005B6D7D" w:rsidRPr="005B6D7D" w:rsidRDefault="005B6D7D" w:rsidP="005B6D7D">
      <w:pPr>
        <w:pStyle w:val="ListParagraph"/>
        <w:rPr>
          <w:rFonts w:ascii="Arial" w:hAnsi="Arial" w:cs="Arial"/>
          <w:color w:val="242121"/>
          <w:lang w:val="en-US"/>
        </w:rPr>
      </w:pPr>
    </w:p>
    <w:p w14:paraId="76104A2A" w14:textId="5617B55C" w:rsidR="003E44AF" w:rsidRDefault="00DD4EE3" w:rsidP="005B6D7D">
      <w:pPr>
        <w:pStyle w:val="ListParagraph"/>
        <w:spacing w:line="480" w:lineRule="auto"/>
        <w:ind w:left="1440"/>
        <w:rPr>
          <w:rFonts w:ascii="Times" w:hAnsi="Times" w:cs="Arial"/>
          <w:i/>
          <w:iCs/>
          <w:color w:val="242121"/>
          <w:lang w:val="en-US"/>
        </w:rPr>
      </w:pPr>
      <w:r w:rsidRPr="005B6D7D">
        <w:rPr>
          <w:rFonts w:ascii="Times" w:hAnsi="Times" w:cs="Arial"/>
          <w:i/>
          <w:color w:val="242121"/>
          <w:lang w:val="en-US"/>
        </w:rPr>
        <w:t>“</w:t>
      </w:r>
      <w:r w:rsidRPr="005B6D7D">
        <w:rPr>
          <w:rFonts w:ascii="Times" w:hAnsi="Times" w:cs="Arial"/>
          <w:i/>
          <w:iCs/>
          <w:color w:val="242121"/>
          <w:lang w:val="en-US"/>
        </w:rPr>
        <w:t>[13] clearly, a litigant who wished to file a further affidavit must make a formal application for leave to do so. It cannot simply sign the affidavit into the court file (as appears to have been the case in the instant matter). I am of the firm view that this affidavit falls to be regarded as pro non scripto.</w:t>
      </w:r>
      <w:r w:rsidR="005A1C24">
        <w:rPr>
          <w:rFonts w:ascii="Times" w:hAnsi="Times" w:cs="Arial"/>
          <w:i/>
          <w:iCs/>
          <w:color w:val="242121"/>
          <w:lang w:val="en-US"/>
        </w:rPr>
        <w:t>”</w:t>
      </w:r>
    </w:p>
    <w:p w14:paraId="5AF53041" w14:textId="77777777" w:rsidR="005A1C24" w:rsidRPr="005B6D7D" w:rsidRDefault="005A1C24" w:rsidP="005A1C24">
      <w:pPr>
        <w:pStyle w:val="ListParagraph"/>
      </w:pPr>
    </w:p>
    <w:p w14:paraId="3A1C9B49" w14:textId="2208E35A" w:rsidR="00DD4EE3" w:rsidRPr="00DE4530" w:rsidRDefault="00D919F0" w:rsidP="00D919F0">
      <w:pPr>
        <w:spacing w:line="480" w:lineRule="auto"/>
        <w:ind w:left="709" w:hanging="709"/>
      </w:pPr>
      <w:r w:rsidRPr="00DE4530">
        <w:rPr>
          <w:rFonts w:ascii="Arial" w:hAnsi="Arial" w:cs="Arial"/>
        </w:rPr>
        <w:t>[20]</w:t>
      </w:r>
      <w:r w:rsidRPr="00DE4530">
        <w:rPr>
          <w:rFonts w:ascii="Arial" w:hAnsi="Arial" w:cs="Arial"/>
        </w:rPr>
        <w:tab/>
      </w:r>
      <w:r w:rsidR="00DD4EE3" w:rsidRPr="00D919F0">
        <w:rPr>
          <w:rFonts w:ascii="Arial" w:hAnsi="Arial" w:cs="Arial"/>
          <w:color w:val="242121"/>
          <w:lang w:val="en-US"/>
        </w:rPr>
        <w:t>Rule 6(5)(e) establishes clearly that the filing of further affidavits is only permitted with the indulgence of the court. A court, as </w:t>
      </w:r>
      <w:r w:rsidR="00DD4EE3" w:rsidRPr="00D919F0">
        <w:rPr>
          <w:rFonts w:ascii="Arial" w:hAnsi="Arial" w:cs="Arial"/>
          <w:i/>
          <w:iCs/>
          <w:color w:val="242121"/>
          <w:lang w:val="en-US"/>
        </w:rPr>
        <w:t>arbiter</w:t>
      </w:r>
      <w:r w:rsidR="00DD4EE3" w:rsidRPr="00D919F0">
        <w:rPr>
          <w:rFonts w:ascii="Arial" w:hAnsi="Arial" w:cs="Arial"/>
          <w:color w:val="242121"/>
          <w:lang w:val="en-US"/>
        </w:rPr>
        <w:t>, has the sole discretion whether to allow the affidavits or not. A court will only exercise its discretion in this regard where there is good reason for doing so.</w:t>
      </w:r>
    </w:p>
    <w:p w14:paraId="19C40EC0" w14:textId="77777777" w:rsidR="00DE4530" w:rsidRPr="00D2665E" w:rsidRDefault="00DE4530" w:rsidP="00DE4530">
      <w:pPr>
        <w:pStyle w:val="ListParagraph"/>
        <w:ind w:left="709"/>
      </w:pPr>
    </w:p>
    <w:p w14:paraId="7FC381EE" w14:textId="6B60B5F0" w:rsidR="00D2665E" w:rsidRPr="00D919F0" w:rsidRDefault="00D919F0" w:rsidP="00D919F0">
      <w:pPr>
        <w:spacing w:line="480" w:lineRule="auto"/>
        <w:ind w:left="709" w:hanging="709"/>
        <w:rPr>
          <w:rFonts w:ascii="Arial" w:hAnsi="Arial" w:cs="Arial"/>
        </w:rPr>
      </w:pPr>
      <w:r>
        <w:rPr>
          <w:rFonts w:ascii="Arial" w:hAnsi="Arial" w:cs="Arial"/>
        </w:rPr>
        <w:lastRenderedPageBreak/>
        <w:t>[21]</w:t>
      </w:r>
      <w:r>
        <w:rPr>
          <w:rFonts w:ascii="Arial" w:hAnsi="Arial" w:cs="Arial"/>
        </w:rPr>
        <w:tab/>
      </w:r>
      <w:r w:rsidR="00E528B5" w:rsidRPr="00D919F0">
        <w:rPr>
          <w:rFonts w:ascii="Arial" w:hAnsi="Arial" w:cs="Arial"/>
        </w:rPr>
        <w:t xml:space="preserve">The point is simply that the respondent must make out a proper case for the further affidavits to be admitted. As such, the party seeking to have the further affidavit admitted must, </w:t>
      </w:r>
      <w:r w:rsidR="00E528B5" w:rsidRPr="00D919F0">
        <w:rPr>
          <w:rFonts w:ascii="Arial" w:hAnsi="Arial" w:cs="Arial"/>
          <w:i/>
        </w:rPr>
        <w:t>inter alia</w:t>
      </w:r>
      <w:r w:rsidR="00E528B5" w:rsidRPr="00D919F0">
        <w:rPr>
          <w:rFonts w:ascii="Arial" w:hAnsi="Arial" w:cs="Arial"/>
        </w:rPr>
        <w:t>, give reasons why the evidence was not placed before court, for instance that it was not aware thereof. No explanation is given by the respondent except that its deponent had a consultation with two counsel and that it was realised that not all aspects had been covered in enough particularity. Such explanation, without more is not adequate.</w:t>
      </w:r>
    </w:p>
    <w:p w14:paraId="1AA2C4FB" w14:textId="77777777" w:rsidR="00E528B5" w:rsidRDefault="00E528B5" w:rsidP="00E528B5">
      <w:pPr>
        <w:pStyle w:val="ListParagraph"/>
        <w:ind w:left="709"/>
        <w:rPr>
          <w:rFonts w:ascii="Arial" w:hAnsi="Arial" w:cs="Arial"/>
        </w:rPr>
      </w:pPr>
    </w:p>
    <w:p w14:paraId="6F0BFD83" w14:textId="098672A4" w:rsidR="00E528B5" w:rsidRPr="00D919F0" w:rsidRDefault="00D919F0" w:rsidP="00D919F0">
      <w:pPr>
        <w:spacing w:line="480" w:lineRule="auto"/>
        <w:ind w:left="709" w:hanging="709"/>
        <w:rPr>
          <w:rFonts w:ascii="Arial" w:hAnsi="Arial" w:cs="Arial"/>
        </w:rPr>
      </w:pPr>
      <w:r>
        <w:rPr>
          <w:rFonts w:ascii="Arial" w:hAnsi="Arial" w:cs="Arial"/>
        </w:rPr>
        <w:t>[22]</w:t>
      </w:r>
      <w:r>
        <w:rPr>
          <w:rFonts w:ascii="Arial" w:hAnsi="Arial" w:cs="Arial"/>
        </w:rPr>
        <w:tab/>
      </w:r>
      <w:r w:rsidR="00E528B5" w:rsidRPr="00D919F0">
        <w:rPr>
          <w:rFonts w:ascii="Arial" w:hAnsi="Arial" w:cs="Arial"/>
        </w:rPr>
        <w:t xml:space="preserve">Furthermore, on a brief reading of the further affidavit to be filed, it is clear that the deponent seeks to rely on the </w:t>
      </w:r>
      <w:r w:rsidR="006A3042" w:rsidRPr="00D919F0">
        <w:rPr>
          <w:rFonts w:ascii="Arial" w:hAnsi="Arial" w:cs="Arial"/>
        </w:rPr>
        <w:t>affidavits filed in the delinquency application to which I referred to above. Those affidavits cannot assist the respondent at all.</w:t>
      </w:r>
    </w:p>
    <w:p w14:paraId="3F9A15B5" w14:textId="77777777" w:rsidR="006A3042" w:rsidRPr="006A3042" w:rsidRDefault="006A3042" w:rsidP="006A3042">
      <w:pPr>
        <w:pStyle w:val="ListParagraph"/>
        <w:rPr>
          <w:rFonts w:ascii="Arial" w:hAnsi="Arial" w:cs="Arial"/>
        </w:rPr>
      </w:pPr>
    </w:p>
    <w:p w14:paraId="2E27955E" w14:textId="509AE234" w:rsidR="006A3042" w:rsidRPr="00D919F0" w:rsidRDefault="00D919F0" w:rsidP="00D919F0">
      <w:pPr>
        <w:spacing w:line="480" w:lineRule="auto"/>
        <w:ind w:left="709" w:hanging="709"/>
        <w:rPr>
          <w:rFonts w:ascii="Arial" w:hAnsi="Arial" w:cs="Arial"/>
        </w:rPr>
      </w:pPr>
      <w:r>
        <w:rPr>
          <w:rFonts w:ascii="Arial" w:hAnsi="Arial" w:cs="Arial"/>
        </w:rPr>
        <w:t>[23]</w:t>
      </w:r>
      <w:r>
        <w:rPr>
          <w:rFonts w:ascii="Arial" w:hAnsi="Arial" w:cs="Arial"/>
        </w:rPr>
        <w:tab/>
      </w:r>
      <w:r w:rsidR="006A3042" w:rsidRPr="00D919F0">
        <w:rPr>
          <w:rFonts w:ascii="Arial" w:hAnsi="Arial" w:cs="Arial"/>
        </w:rPr>
        <w:t>I am, having considered the content of those affidavits and the application for having same admitted, not convinced that a proper case has been made out that the further affidavits be admitted</w:t>
      </w:r>
      <w:r w:rsidR="007A41FB" w:rsidRPr="00D919F0">
        <w:rPr>
          <w:rFonts w:ascii="Arial" w:hAnsi="Arial" w:cs="Arial"/>
        </w:rPr>
        <w:t xml:space="preserve"> which include the supplementary affidavit and affidavit filed in support thereof as well as all annexures thereto.</w:t>
      </w:r>
    </w:p>
    <w:p w14:paraId="62FA9123" w14:textId="77777777" w:rsidR="006A3042" w:rsidRPr="006A3042" w:rsidRDefault="006A3042" w:rsidP="006A3042">
      <w:pPr>
        <w:pStyle w:val="ListParagraph"/>
        <w:rPr>
          <w:rFonts w:ascii="Arial" w:hAnsi="Arial" w:cs="Arial"/>
        </w:rPr>
      </w:pPr>
    </w:p>
    <w:p w14:paraId="0A5B1328" w14:textId="6EC1E285" w:rsidR="006A3042" w:rsidRPr="00D919F0" w:rsidRDefault="00D919F0" w:rsidP="00D919F0">
      <w:pPr>
        <w:spacing w:line="480" w:lineRule="auto"/>
        <w:ind w:left="709" w:hanging="709"/>
        <w:rPr>
          <w:rFonts w:ascii="Arial" w:hAnsi="Arial" w:cs="Arial"/>
        </w:rPr>
      </w:pPr>
      <w:r>
        <w:rPr>
          <w:rFonts w:ascii="Arial" w:hAnsi="Arial" w:cs="Arial"/>
        </w:rPr>
        <w:t>[24]</w:t>
      </w:r>
      <w:r>
        <w:rPr>
          <w:rFonts w:ascii="Arial" w:hAnsi="Arial" w:cs="Arial"/>
        </w:rPr>
        <w:tab/>
      </w:r>
      <w:r w:rsidR="006A3042" w:rsidRPr="00D919F0">
        <w:rPr>
          <w:rFonts w:ascii="Arial" w:hAnsi="Arial" w:cs="Arial"/>
        </w:rPr>
        <w:t>The application is therefore dismissed. I will deal with the issue of costs below.</w:t>
      </w:r>
    </w:p>
    <w:p w14:paraId="004C1EB3" w14:textId="77777777" w:rsidR="006A3042" w:rsidRPr="006A3042" w:rsidRDefault="006A3042" w:rsidP="006A3042">
      <w:pPr>
        <w:pStyle w:val="ListParagraph"/>
        <w:rPr>
          <w:rFonts w:ascii="Arial" w:hAnsi="Arial" w:cs="Arial"/>
        </w:rPr>
      </w:pPr>
    </w:p>
    <w:p w14:paraId="06C8820C" w14:textId="77777777" w:rsidR="0075603F" w:rsidRPr="0075603F" w:rsidRDefault="0075603F" w:rsidP="0075603F">
      <w:pPr>
        <w:rPr>
          <w:rFonts w:ascii="Arial" w:hAnsi="Arial" w:cs="Arial"/>
          <w:lang w:val="en-US"/>
        </w:rPr>
      </w:pPr>
    </w:p>
    <w:p w14:paraId="48ADAC42" w14:textId="78E3B2D7" w:rsidR="006C697D" w:rsidRPr="006C697D" w:rsidRDefault="006C697D" w:rsidP="006C697D">
      <w:pPr>
        <w:spacing w:line="480" w:lineRule="auto"/>
        <w:rPr>
          <w:rFonts w:ascii="Arial" w:hAnsi="Arial" w:cs="Arial"/>
          <w:b/>
          <w:i/>
          <w:lang w:val="en-US"/>
        </w:rPr>
      </w:pPr>
      <w:r w:rsidRPr="006C697D">
        <w:rPr>
          <w:rFonts w:ascii="Arial" w:hAnsi="Arial" w:cs="Arial"/>
          <w:b/>
          <w:i/>
          <w:lang w:val="en-US"/>
        </w:rPr>
        <w:t>Striking out</w:t>
      </w:r>
      <w:r w:rsidR="006A3042">
        <w:rPr>
          <w:rFonts w:ascii="Arial" w:hAnsi="Arial" w:cs="Arial"/>
          <w:b/>
          <w:i/>
          <w:lang w:val="en-US"/>
        </w:rPr>
        <w:t xml:space="preserve"> / Hearsay</w:t>
      </w:r>
    </w:p>
    <w:p w14:paraId="0706DF6E" w14:textId="77777777" w:rsidR="005912BE" w:rsidRPr="006A3042" w:rsidRDefault="005912BE" w:rsidP="006A3042">
      <w:pPr>
        <w:rPr>
          <w:rFonts w:ascii="Arial" w:hAnsi="Arial" w:cs="Arial"/>
          <w:lang w:val="en-US"/>
        </w:rPr>
      </w:pPr>
    </w:p>
    <w:p w14:paraId="224D7EEF" w14:textId="1285721C" w:rsidR="005F4D98" w:rsidRPr="00D919F0" w:rsidRDefault="00D919F0" w:rsidP="00D919F0">
      <w:pPr>
        <w:spacing w:line="480" w:lineRule="auto"/>
        <w:ind w:left="709" w:hanging="709"/>
        <w:rPr>
          <w:rFonts w:ascii="Arial" w:hAnsi="Arial" w:cs="Arial"/>
          <w:lang w:val="en-US"/>
        </w:rPr>
      </w:pPr>
      <w:r w:rsidRPr="005F4D98">
        <w:rPr>
          <w:rFonts w:ascii="Arial" w:hAnsi="Arial" w:cs="Arial"/>
          <w:lang w:val="en-US"/>
        </w:rPr>
        <w:t>[25]</w:t>
      </w:r>
      <w:r w:rsidRPr="005F4D98">
        <w:rPr>
          <w:rFonts w:ascii="Arial" w:hAnsi="Arial" w:cs="Arial"/>
          <w:lang w:val="en-US"/>
        </w:rPr>
        <w:tab/>
      </w:r>
      <w:r w:rsidR="005F4D98" w:rsidRPr="00D919F0">
        <w:rPr>
          <w:rFonts w:ascii="Arial" w:hAnsi="Arial" w:cs="Arial"/>
          <w:color w:val="0D0D0D"/>
          <w:shd w:val="clear" w:color="auto" w:fill="FFFFFF"/>
        </w:rPr>
        <w:t>In terms of Rule 6(15) a court may not grant an application for striking out of evidence unless it is satisfied that the applicant therefore will be prejudiced if the application is not granted.</w:t>
      </w:r>
    </w:p>
    <w:p w14:paraId="2D3165F9" w14:textId="77777777" w:rsidR="005F4D98" w:rsidRPr="005F4D98" w:rsidRDefault="005F4D98" w:rsidP="005F4D98">
      <w:pPr>
        <w:pStyle w:val="ListParagraph"/>
        <w:ind w:left="709"/>
        <w:rPr>
          <w:rFonts w:ascii="Arial" w:hAnsi="Arial" w:cs="Arial"/>
          <w:lang w:val="en-US"/>
        </w:rPr>
      </w:pPr>
    </w:p>
    <w:p w14:paraId="48432F9A" w14:textId="79543782" w:rsidR="00DD48DF" w:rsidRPr="00D919F0" w:rsidRDefault="00D919F0" w:rsidP="00D919F0">
      <w:pPr>
        <w:spacing w:line="480" w:lineRule="auto"/>
        <w:ind w:left="709" w:hanging="709"/>
        <w:rPr>
          <w:rFonts w:ascii="Arial" w:hAnsi="Arial" w:cs="Arial"/>
          <w:lang w:val="en-US"/>
        </w:rPr>
      </w:pPr>
      <w:r w:rsidRPr="003112E2">
        <w:rPr>
          <w:rFonts w:ascii="Arial" w:hAnsi="Arial" w:cs="Arial"/>
          <w:lang w:val="en-US"/>
        </w:rPr>
        <w:lastRenderedPageBreak/>
        <w:t>[26]</w:t>
      </w:r>
      <w:r w:rsidRPr="003112E2">
        <w:rPr>
          <w:rFonts w:ascii="Arial" w:hAnsi="Arial" w:cs="Arial"/>
          <w:lang w:val="en-US"/>
        </w:rPr>
        <w:tab/>
      </w:r>
      <w:r w:rsidR="00DD48DF" w:rsidRPr="00D919F0">
        <w:rPr>
          <w:rFonts w:ascii="Arial" w:hAnsi="Arial" w:cs="Arial"/>
          <w:color w:val="242121"/>
        </w:rPr>
        <w:t>In motion proceedings the affidavits serve not only to place evidence before the Court, but also to refine the issues between the parties.</w:t>
      </w:r>
      <w:r w:rsidR="00DD48DF" w:rsidRPr="00193A52">
        <w:rPr>
          <w:rStyle w:val="FootnoteReference"/>
          <w:rFonts w:ascii="Arial" w:hAnsi="Arial" w:cs="Arial"/>
          <w:color w:val="242121"/>
        </w:rPr>
        <w:footnoteReference w:id="6"/>
      </w:r>
    </w:p>
    <w:p w14:paraId="548605A7" w14:textId="77777777" w:rsidR="00DD48DF" w:rsidRPr="003112E2" w:rsidRDefault="00DD48DF" w:rsidP="00DD48DF">
      <w:pPr>
        <w:pStyle w:val="ListParagraph"/>
        <w:rPr>
          <w:rFonts w:ascii="Arial" w:hAnsi="Arial" w:cs="Arial"/>
          <w:lang w:val="en-US"/>
        </w:rPr>
      </w:pPr>
    </w:p>
    <w:p w14:paraId="3493C849" w14:textId="10EA7E69" w:rsidR="00DD48DF" w:rsidRPr="00D919F0" w:rsidRDefault="00D919F0" w:rsidP="00D919F0">
      <w:pPr>
        <w:spacing w:line="480" w:lineRule="auto"/>
        <w:ind w:left="709" w:hanging="709"/>
        <w:rPr>
          <w:rFonts w:ascii="Arial" w:hAnsi="Arial" w:cs="Arial"/>
          <w:lang w:val="en-US"/>
        </w:rPr>
      </w:pPr>
      <w:r w:rsidRPr="003112E2">
        <w:rPr>
          <w:rFonts w:ascii="Arial" w:hAnsi="Arial" w:cs="Arial"/>
          <w:lang w:val="en-US"/>
        </w:rPr>
        <w:t>[27]</w:t>
      </w:r>
      <w:r w:rsidRPr="003112E2">
        <w:rPr>
          <w:rFonts w:ascii="Arial" w:hAnsi="Arial" w:cs="Arial"/>
          <w:lang w:val="en-US"/>
        </w:rPr>
        <w:tab/>
      </w:r>
      <w:r w:rsidR="00DD48DF" w:rsidRPr="00D919F0">
        <w:rPr>
          <w:rFonts w:ascii="Arial" w:hAnsi="Arial" w:cs="Arial"/>
          <w:color w:val="242121"/>
        </w:rPr>
        <w:t>If a party fails to admit or deny, or confess and avoid, allegations in the other party’s affidavit, the court should, for the purpose of the application, accept that the applicant’s allegations are correct.</w:t>
      </w:r>
      <w:r w:rsidR="00DD48DF" w:rsidRPr="00225C77">
        <w:rPr>
          <w:rStyle w:val="FootnoteReference"/>
          <w:rFonts w:ascii="Arial" w:hAnsi="Arial" w:cs="Arial"/>
          <w:color w:val="242121"/>
        </w:rPr>
        <w:footnoteReference w:id="7"/>
      </w:r>
    </w:p>
    <w:p w14:paraId="7770618E" w14:textId="77777777" w:rsidR="005F4D98" w:rsidRPr="005F4D98" w:rsidRDefault="005F4D98" w:rsidP="005F4D98">
      <w:pPr>
        <w:pStyle w:val="ListParagraph"/>
        <w:rPr>
          <w:rFonts w:ascii="Arial" w:hAnsi="Arial" w:cs="Arial"/>
          <w:lang w:val="en-US"/>
        </w:rPr>
      </w:pPr>
    </w:p>
    <w:p w14:paraId="37987B2D" w14:textId="1D86F35E" w:rsidR="005F4D98" w:rsidRPr="00D919F0" w:rsidRDefault="00D919F0" w:rsidP="00D919F0">
      <w:pPr>
        <w:spacing w:line="480" w:lineRule="auto"/>
        <w:ind w:left="709" w:hanging="709"/>
        <w:rPr>
          <w:rFonts w:ascii="Arial" w:hAnsi="Arial" w:cs="Arial"/>
          <w:lang w:val="en-US"/>
        </w:rPr>
      </w:pPr>
      <w:r w:rsidRPr="005F4D98">
        <w:rPr>
          <w:rFonts w:ascii="Arial" w:hAnsi="Arial" w:cs="Arial"/>
          <w:lang w:val="en-US"/>
        </w:rPr>
        <w:t>[28]</w:t>
      </w:r>
      <w:r w:rsidRPr="005F4D98">
        <w:rPr>
          <w:rFonts w:ascii="Arial" w:hAnsi="Arial" w:cs="Arial"/>
          <w:lang w:val="en-US"/>
        </w:rPr>
        <w:tab/>
      </w:r>
      <w:r w:rsidR="005F4D98" w:rsidRPr="00D919F0">
        <w:rPr>
          <w:rFonts w:ascii="Arial" w:hAnsi="Arial" w:cs="Arial"/>
          <w:color w:val="242121"/>
        </w:rPr>
        <w:t>The applicable legal principles to striking out are set out in Rule 6(15), which in relevant part, provides that:</w:t>
      </w:r>
    </w:p>
    <w:p w14:paraId="56754330" w14:textId="689BF90E" w:rsidR="005F4D98" w:rsidRDefault="005F4D98" w:rsidP="005F4D98">
      <w:pPr>
        <w:pStyle w:val="NormalWeb"/>
        <w:spacing w:before="144" w:beforeAutospacing="0" w:after="0" w:afterAutospacing="0" w:line="360" w:lineRule="auto"/>
        <w:ind w:left="1276"/>
        <w:rPr>
          <w:rFonts w:ascii="Times" w:hAnsi="Times" w:cs="Arial"/>
          <w:i/>
          <w:color w:val="242121"/>
        </w:rPr>
      </w:pPr>
      <w:r w:rsidRPr="00193A52">
        <w:rPr>
          <w:rFonts w:ascii="Times" w:hAnsi="Times" w:cs="Arial"/>
          <w:i/>
          <w:color w:val="242121"/>
        </w:rPr>
        <w:t>“The court may on application order to be struck out from any affidavit any matter which is scandalous, vexatious or irrelevant, with an appropriate order as to costs, including costs as between attorney and client.  The court shall not grant the application unless it is satisfied that the Applicant will be prejudiced in his case if it be not granted.”</w:t>
      </w:r>
    </w:p>
    <w:p w14:paraId="42AE89DE" w14:textId="77777777" w:rsidR="005F4D98" w:rsidRPr="00193A52" w:rsidRDefault="005F4D98" w:rsidP="005F4D98">
      <w:pPr>
        <w:pStyle w:val="NormalWeb"/>
        <w:spacing w:before="144" w:beforeAutospacing="0" w:after="0" w:afterAutospacing="0"/>
        <w:ind w:left="1276"/>
        <w:rPr>
          <w:rFonts w:ascii="Times" w:hAnsi="Times" w:cs="Arial"/>
          <w:i/>
          <w:color w:val="242121"/>
        </w:rPr>
      </w:pPr>
    </w:p>
    <w:p w14:paraId="6B9F7575" w14:textId="791B4FBE" w:rsidR="005F4D98" w:rsidRPr="00D919F0" w:rsidRDefault="00D919F0" w:rsidP="00D919F0">
      <w:pPr>
        <w:spacing w:line="480" w:lineRule="auto"/>
        <w:ind w:left="709" w:hanging="709"/>
        <w:rPr>
          <w:rFonts w:ascii="Arial" w:hAnsi="Arial" w:cs="Arial"/>
          <w:lang w:val="en-US"/>
        </w:rPr>
      </w:pPr>
      <w:r w:rsidRPr="005F4D98">
        <w:rPr>
          <w:rFonts w:ascii="Arial" w:hAnsi="Arial" w:cs="Arial"/>
          <w:lang w:val="en-US"/>
        </w:rPr>
        <w:t>[29]</w:t>
      </w:r>
      <w:r w:rsidRPr="005F4D98">
        <w:rPr>
          <w:rFonts w:ascii="Arial" w:hAnsi="Arial" w:cs="Arial"/>
          <w:lang w:val="en-US"/>
        </w:rPr>
        <w:tab/>
      </w:r>
      <w:r w:rsidR="005F4D98" w:rsidRPr="00D919F0">
        <w:rPr>
          <w:rFonts w:ascii="Arial" w:hAnsi="Arial" w:cs="Arial"/>
          <w:color w:val="242121"/>
        </w:rPr>
        <w:t>Two requirements must be satisfied before a striking out application can succeed, viz:</w:t>
      </w:r>
      <w:r w:rsidR="005F4D98" w:rsidRPr="00225C77">
        <w:rPr>
          <w:rStyle w:val="FootnoteReference"/>
          <w:rFonts w:ascii="Arial" w:hAnsi="Arial" w:cs="Arial"/>
          <w:color w:val="242121"/>
        </w:rPr>
        <w:footnoteReference w:id="8"/>
      </w:r>
    </w:p>
    <w:p w14:paraId="5F69EE5B" w14:textId="062D4CC6" w:rsidR="005F4D98" w:rsidRPr="00D919F0" w:rsidRDefault="00D919F0" w:rsidP="00D919F0">
      <w:pPr>
        <w:spacing w:line="480" w:lineRule="auto"/>
        <w:ind w:left="1800" w:hanging="360"/>
        <w:rPr>
          <w:rFonts w:ascii="Arial" w:hAnsi="Arial" w:cs="Arial"/>
          <w:lang w:val="en-US"/>
        </w:rPr>
      </w:pPr>
      <w:r w:rsidRPr="00EC1274">
        <w:rPr>
          <w:rFonts w:ascii="Arial" w:hAnsi="Arial" w:cs="Arial"/>
          <w:color w:val="242121"/>
          <w:lang w:val="en-US"/>
        </w:rPr>
        <w:t>a)</w:t>
      </w:r>
      <w:r w:rsidRPr="00EC1274">
        <w:rPr>
          <w:rFonts w:ascii="Arial" w:hAnsi="Arial" w:cs="Arial"/>
          <w:color w:val="242121"/>
          <w:lang w:val="en-US"/>
        </w:rPr>
        <w:tab/>
      </w:r>
      <w:r w:rsidR="005F4D98" w:rsidRPr="00D919F0">
        <w:rPr>
          <w:rFonts w:ascii="Arial" w:hAnsi="Arial" w:cs="Arial"/>
          <w:color w:val="242121"/>
        </w:rPr>
        <w:t>The matter sought to be struck out must indeed be scandalous, vexatious or irrelevant; and</w:t>
      </w:r>
    </w:p>
    <w:p w14:paraId="15EC92A4" w14:textId="2417A7CF" w:rsidR="005F4D98" w:rsidRPr="00D919F0" w:rsidRDefault="00D919F0" w:rsidP="00D919F0">
      <w:pPr>
        <w:spacing w:line="480" w:lineRule="auto"/>
        <w:ind w:left="1800" w:hanging="360"/>
        <w:rPr>
          <w:rFonts w:ascii="Arial" w:hAnsi="Arial" w:cs="Arial"/>
          <w:lang w:val="en-US"/>
        </w:rPr>
      </w:pPr>
      <w:r w:rsidRPr="005F4D98">
        <w:rPr>
          <w:rFonts w:ascii="Arial" w:hAnsi="Arial" w:cs="Arial"/>
          <w:color w:val="242121"/>
          <w:lang w:val="en-US"/>
        </w:rPr>
        <w:t>b)</w:t>
      </w:r>
      <w:r w:rsidRPr="005F4D98">
        <w:rPr>
          <w:rFonts w:ascii="Arial" w:hAnsi="Arial" w:cs="Arial"/>
          <w:color w:val="242121"/>
          <w:lang w:val="en-US"/>
        </w:rPr>
        <w:tab/>
      </w:r>
      <w:r w:rsidR="005F4D98" w:rsidRPr="00D919F0">
        <w:rPr>
          <w:rFonts w:ascii="Arial" w:hAnsi="Arial" w:cs="Arial"/>
          <w:color w:val="242121"/>
        </w:rPr>
        <w:t>The court must be satisfied that if such matter is not struck out the parties seeking such relief would be prejudiced.</w:t>
      </w:r>
    </w:p>
    <w:p w14:paraId="7F275714" w14:textId="77777777" w:rsidR="005F4D98" w:rsidRPr="005F4D98" w:rsidRDefault="005F4D98" w:rsidP="005F4D98">
      <w:pPr>
        <w:pStyle w:val="ListParagraph"/>
        <w:rPr>
          <w:rFonts w:ascii="Arial" w:hAnsi="Arial" w:cs="Arial"/>
          <w:lang w:val="en-US"/>
        </w:rPr>
      </w:pPr>
    </w:p>
    <w:p w14:paraId="2FC24E0F" w14:textId="35A2A462" w:rsidR="005F4D98" w:rsidRPr="00D919F0" w:rsidRDefault="00D919F0" w:rsidP="00D919F0">
      <w:pPr>
        <w:spacing w:line="480" w:lineRule="auto"/>
        <w:ind w:left="709" w:hanging="709"/>
        <w:rPr>
          <w:rFonts w:ascii="Arial" w:hAnsi="Arial" w:cs="Arial"/>
          <w:lang w:val="en-US"/>
        </w:rPr>
      </w:pPr>
      <w:r w:rsidRPr="005F4D98">
        <w:rPr>
          <w:rFonts w:ascii="Arial" w:hAnsi="Arial" w:cs="Arial"/>
          <w:lang w:val="en-US"/>
        </w:rPr>
        <w:lastRenderedPageBreak/>
        <w:t>[30]</w:t>
      </w:r>
      <w:r w:rsidRPr="005F4D98">
        <w:rPr>
          <w:rFonts w:ascii="Arial" w:hAnsi="Arial" w:cs="Arial"/>
          <w:lang w:val="en-US"/>
        </w:rPr>
        <w:tab/>
      </w:r>
      <w:r w:rsidR="005F4D98" w:rsidRPr="00D919F0">
        <w:rPr>
          <w:rFonts w:ascii="Arial" w:hAnsi="Arial" w:cs="Arial"/>
          <w:color w:val="242121"/>
        </w:rPr>
        <w:t>The meaning of the terms used in the rule was stated as follows:</w:t>
      </w:r>
      <w:r w:rsidR="005F4D98" w:rsidRPr="00225C77">
        <w:rPr>
          <w:rStyle w:val="FootnoteReference"/>
          <w:rFonts w:ascii="Arial" w:hAnsi="Arial" w:cs="Arial"/>
          <w:color w:val="242121"/>
        </w:rPr>
        <w:footnoteReference w:id="9"/>
      </w:r>
      <w:r w:rsidR="005F4D98" w:rsidRPr="00D919F0">
        <w:rPr>
          <w:rFonts w:ascii="Arial" w:hAnsi="Arial" w:cs="Arial"/>
          <w:color w:val="242121"/>
          <w:vertAlign w:val="superscript"/>
        </w:rPr>
        <w:t xml:space="preserve"> </w:t>
      </w:r>
    </w:p>
    <w:p w14:paraId="4C395CEE" w14:textId="77777777" w:rsidR="005F4D98" w:rsidRDefault="005F4D98" w:rsidP="00C47CDE">
      <w:pPr>
        <w:pStyle w:val="ListParagraph"/>
        <w:spacing w:line="360" w:lineRule="auto"/>
        <w:ind w:left="1134"/>
        <w:rPr>
          <w:rFonts w:ascii="Times" w:hAnsi="Times" w:cs="Arial"/>
          <w:i/>
          <w:color w:val="242121"/>
        </w:rPr>
      </w:pPr>
      <w:r w:rsidRPr="003112E2">
        <w:rPr>
          <w:rFonts w:ascii="Times" w:hAnsi="Times" w:cs="Arial"/>
          <w:i/>
          <w:color w:val="242121"/>
        </w:rPr>
        <w:t>“Scandalous matter – allegations which may or may not be relevant but which are so worded as to be abusive or defamatory.</w:t>
      </w:r>
    </w:p>
    <w:p w14:paraId="4FAEFB3D" w14:textId="5859E2C9" w:rsidR="005F4D98" w:rsidRDefault="005F4D98" w:rsidP="00C47CDE">
      <w:pPr>
        <w:pStyle w:val="ListParagraph"/>
        <w:spacing w:line="360" w:lineRule="auto"/>
        <w:ind w:left="1134"/>
        <w:rPr>
          <w:rFonts w:ascii="Times" w:hAnsi="Times" w:cs="Arial"/>
          <w:i/>
          <w:color w:val="242121"/>
        </w:rPr>
      </w:pPr>
      <w:r w:rsidRPr="003112E2">
        <w:rPr>
          <w:rFonts w:ascii="Times" w:hAnsi="Times" w:cs="Arial"/>
          <w:i/>
          <w:color w:val="242121"/>
        </w:rPr>
        <w:t>Vexatious matter – allegations which may or may not be relevant but are so worded as to convey an intention to harass or annoy.</w:t>
      </w:r>
    </w:p>
    <w:p w14:paraId="0B5E0FDD" w14:textId="77777777" w:rsidR="00C47CDE" w:rsidRPr="00EC1274" w:rsidRDefault="00C47CDE" w:rsidP="00C47CDE">
      <w:pPr>
        <w:pStyle w:val="ListParagraph"/>
        <w:spacing w:line="360" w:lineRule="auto"/>
        <w:ind w:left="1134"/>
        <w:rPr>
          <w:rFonts w:ascii="Times" w:hAnsi="Times" w:cs="Arial"/>
          <w:i/>
          <w:color w:val="242121"/>
          <w:lang w:val="en-GB"/>
        </w:rPr>
      </w:pPr>
    </w:p>
    <w:p w14:paraId="06E938C4" w14:textId="2DEDEC50" w:rsidR="005F4D98" w:rsidRDefault="005F4D98" w:rsidP="00C47CDE">
      <w:pPr>
        <w:pStyle w:val="ListParagraph"/>
        <w:spacing w:line="360" w:lineRule="auto"/>
        <w:ind w:left="1134"/>
        <w:rPr>
          <w:rFonts w:ascii="Times" w:hAnsi="Times" w:cs="Arial"/>
          <w:i/>
          <w:color w:val="242121"/>
        </w:rPr>
      </w:pPr>
      <w:r w:rsidRPr="003112E2">
        <w:rPr>
          <w:rFonts w:ascii="Times" w:hAnsi="Times" w:cs="Arial"/>
          <w:i/>
          <w:color w:val="242121"/>
        </w:rPr>
        <w:t>Irrelevant matter – allegations which do not apply to the matter in hand and do not contribute one way or the other to a decision of such matter”.</w:t>
      </w:r>
    </w:p>
    <w:p w14:paraId="1B8F8D49" w14:textId="77777777" w:rsidR="005F4D98" w:rsidRPr="003112E2" w:rsidRDefault="005F4D98" w:rsidP="001516BC">
      <w:pPr>
        <w:pStyle w:val="ListParagraph"/>
        <w:ind w:left="1134"/>
        <w:rPr>
          <w:rFonts w:ascii="Arial" w:hAnsi="Arial" w:cs="Arial"/>
          <w:lang w:val="en-US"/>
        </w:rPr>
      </w:pPr>
    </w:p>
    <w:p w14:paraId="1D50D2B6" w14:textId="6DBEACA1" w:rsidR="005F4D98" w:rsidRPr="00D919F0" w:rsidRDefault="00D919F0" w:rsidP="00D919F0">
      <w:pPr>
        <w:spacing w:line="480" w:lineRule="auto"/>
        <w:ind w:left="709" w:hanging="709"/>
        <w:rPr>
          <w:rFonts w:ascii="Arial" w:hAnsi="Arial" w:cs="Arial"/>
          <w:lang w:val="en-US"/>
        </w:rPr>
      </w:pPr>
      <w:r w:rsidRPr="005F4D98">
        <w:rPr>
          <w:rFonts w:ascii="Arial" w:hAnsi="Arial" w:cs="Arial"/>
          <w:lang w:val="en-US"/>
        </w:rPr>
        <w:t>[31]</w:t>
      </w:r>
      <w:r w:rsidRPr="005F4D98">
        <w:rPr>
          <w:rFonts w:ascii="Arial" w:hAnsi="Arial" w:cs="Arial"/>
          <w:lang w:val="en-US"/>
        </w:rPr>
        <w:tab/>
      </w:r>
      <w:r w:rsidR="001516BC" w:rsidRPr="00D919F0">
        <w:rPr>
          <w:rFonts w:ascii="Times" w:hAnsi="Times" w:cs="Arial"/>
          <w:color w:val="242121"/>
          <w:sz w:val="26"/>
          <w:szCs w:val="26"/>
        </w:rPr>
        <w:t xml:space="preserve"> </w:t>
      </w:r>
      <w:r w:rsidR="005F4D98" w:rsidRPr="00D919F0">
        <w:rPr>
          <w:rFonts w:ascii="Times" w:hAnsi="Times" w:cs="Arial"/>
          <w:color w:val="242121"/>
          <w:sz w:val="26"/>
          <w:szCs w:val="26"/>
        </w:rPr>
        <w:t>“</w:t>
      </w:r>
      <w:r w:rsidR="005F4D98" w:rsidRPr="00D919F0">
        <w:rPr>
          <w:rFonts w:ascii="Times" w:hAnsi="Times" w:cs="Arial"/>
          <w:bCs/>
          <w:i/>
          <w:iCs/>
          <w:color w:val="242121"/>
          <w:sz w:val="26"/>
          <w:szCs w:val="26"/>
        </w:rPr>
        <w:t>Irrelevant”</w:t>
      </w:r>
      <w:r w:rsidR="005F4D98" w:rsidRPr="00D919F0">
        <w:rPr>
          <w:rFonts w:ascii="Times" w:hAnsi="Times" w:cs="Arial"/>
          <w:color w:val="242121"/>
          <w:sz w:val="26"/>
          <w:szCs w:val="26"/>
        </w:rPr>
        <w:t xml:space="preserve">, </w:t>
      </w:r>
      <w:r w:rsidR="005F4D98" w:rsidRPr="00D919F0">
        <w:rPr>
          <w:rFonts w:ascii="Arial" w:hAnsi="Arial" w:cs="Arial"/>
          <w:color w:val="242121"/>
        </w:rPr>
        <w:t>for the purposes of the Rule, means irrelevant to an issue or issues in the action:</w:t>
      </w:r>
      <w:r w:rsidR="005F4D98" w:rsidRPr="00CF0C18">
        <w:rPr>
          <w:rStyle w:val="FootnoteReference"/>
          <w:rFonts w:ascii="Arial" w:hAnsi="Arial" w:cs="Arial"/>
          <w:color w:val="242121"/>
        </w:rPr>
        <w:footnoteReference w:id="10"/>
      </w:r>
      <w:r w:rsidR="005F4D98" w:rsidRPr="00D919F0">
        <w:rPr>
          <w:rFonts w:ascii="Arial" w:hAnsi="Arial" w:cs="Arial"/>
          <w:color w:val="242121"/>
          <w:vertAlign w:val="superscript"/>
        </w:rPr>
        <w:t xml:space="preserve"> </w:t>
      </w:r>
    </w:p>
    <w:p w14:paraId="467120A1" w14:textId="19F3A742" w:rsidR="005F4D98" w:rsidRPr="00A15711" w:rsidRDefault="005F4D98" w:rsidP="00C47CDE">
      <w:pPr>
        <w:pStyle w:val="NormalWeb"/>
        <w:spacing w:before="144" w:beforeAutospacing="0" w:after="0" w:afterAutospacing="0" w:line="360" w:lineRule="auto"/>
        <w:ind w:left="1134"/>
        <w:rPr>
          <w:rFonts w:ascii="Times" w:hAnsi="Times" w:cs="Arial"/>
          <w:i/>
          <w:color w:val="242121"/>
        </w:rPr>
      </w:pPr>
      <w:r w:rsidRPr="00A15711">
        <w:rPr>
          <w:rFonts w:ascii="Times" w:hAnsi="Times" w:cs="Arial"/>
          <w:i/>
          <w:color w:val="242121"/>
        </w:rPr>
        <w:t>“(T)he correct test to apply is whether the matter objected to is relevant to an issue in the action.  And no particular section can be irrelevant within the meaning of the Rule if it is relevant to the issue raised by the plea of which it forms a part.  That plea may eventually be held to be bad, but, until it is excepted to and set aside, it embodies an issue by reference to which the relevancy of the matter which it contains must be judged.”</w:t>
      </w:r>
    </w:p>
    <w:p w14:paraId="4075DBAF" w14:textId="77777777" w:rsidR="00C47CDE" w:rsidRPr="005F4D98" w:rsidRDefault="00C47CDE" w:rsidP="00C47CDE">
      <w:pPr>
        <w:pStyle w:val="ListParagraph"/>
        <w:rPr>
          <w:rFonts w:ascii="Arial" w:hAnsi="Arial" w:cs="Arial"/>
          <w:lang w:val="en-US"/>
        </w:rPr>
      </w:pPr>
    </w:p>
    <w:p w14:paraId="7CFDA650" w14:textId="5F1C2023" w:rsidR="005F4D98" w:rsidRPr="00D919F0" w:rsidRDefault="00D919F0" w:rsidP="00D919F0">
      <w:pPr>
        <w:spacing w:line="480" w:lineRule="auto"/>
        <w:ind w:left="709" w:hanging="709"/>
        <w:rPr>
          <w:rFonts w:ascii="Arial" w:hAnsi="Arial" w:cs="Arial"/>
          <w:lang w:val="en-US"/>
        </w:rPr>
      </w:pPr>
      <w:r w:rsidRPr="00C47CDE">
        <w:rPr>
          <w:rFonts w:ascii="Arial" w:hAnsi="Arial" w:cs="Arial"/>
          <w:lang w:val="en-US"/>
        </w:rPr>
        <w:t>[32]</w:t>
      </w:r>
      <w:r w:rsidRPr="00C47CDE">
        <w:rPr>
          <w:rFonts w:ascii="Arial" w:hAnsi="Arial" w:cs="Arial"/>
          <w:lang w:val="en-US"/>
        </w:rPr>
        <w:tab/>
      </w:r>
      <w:r w:rsidR="005F4D98" w:rsidRPr="00D919F0">
        <w:rPr>
          <w:rFonts w:ascii="Arial" w:hAnsi="Arial" w:cs="Arial"/>
          <w:color w:val="242121"/>
        </w:rPr>
        <w:t>In</w:t>
      </w:r>
      <w:r w:rsidR="005F4D98" w:rsidRPr="00D919F0">
        <w:rPr>
          <w:rStyle w:val="apple-converted-space"/>
          <w:rFonts w:ascii="Arial" w:hAnsi="Arial" w:cs="Arial"/>
          <w:color w:val="242121"/>
        </w:rPr>
        <w:t> </w:t>
      </w:r>
      <w:r w:rsidR="005F4D98" w:rsidRPr="00D919F0">
        <w:rPr>
          <w:rFonts w:ascii="Times" w:hAnsi="Times" w:cs="Arial"/>
          <w:i/>
          <w:color w:val="242121"/>
          <w:sz w:val="26"/>
          <w:szCs w:val="26"/>
        </w:rPr>
        <w:t>Golding v Torch Printing and Publishing Co (Pty) Ltd and Others</w:t>
      </w:r>
      <w:r w:rsidR="005F4D98" w:rsidRPr="00D919F0">
        <w:rPr>
          <w:rFonts w:ascii="Times" w:hAnsi="Times" w:cs="Arial"/>
          <w:i/>
          <w:color w:val="242121"/>
        </w:rPr>
        <w:t xml:space="preserve"> </w:t>
      </w:r>
      <w:r w:rsidR="005F4D98" w:rsidRPr="00125715">
        <w:rPr>
          <w:rStyle w:val="FootnoteReference"/>
          <w:rFonts w:ascii="Arial" w:hAnsi="Arial" w:cs="Arial"/>
          <w:color w:val="242121"/>
        </w:rPr>
        <w:footnoteReference w:id="11"/>
      </w:r>
      <w:r w:rsidR="005F4D98" w:rsidRPr="00D919F0">
        <w:rPr>
          <w:rStyle w:val="apple-converted-space"/>
          <w:rFonts w:ascii="Arial" w:hAnsi="Arial" w:cs="Arial"/>
          <w:color w:val="242121"/>
        </w:rPr>
        <w:t> </w:t>
      </w:r>
      <w:r w:rsidR="005F4D98" w:rsidRPr="00D919F0">
        <w:rPr>
          <w:rFonts w:ascii="Arial" w:hAnsi="Arial" w:cs="Arial"/>
          <w:color w:val="242121"/>
        </w:rPr>
        <w:t>Ogilvie Thompson AJ, as he then was, said:</w:t>
      </w:r>
    </w:p>
    <w:p w14:paraId="6890EB7B" w14:textId="536CF04B" w:rsidR="005F4D98" w:rsidRPr="008F5BC8" w:rsidRDefault="005F4D98" w:rsidP="00C47CDE">
      <w:pPr>
        <w:pStyle w:val="NormalWeb"/>
        <w:spacing w:before="144" w:beforeAutospacing="0" w:after="0" w:afterAutospacing="0" w:line="360" w:lineRule="auto"/>
        <w:ind w:left="1134"/>
        <w:rPr>
          <w:rFonts w:ascii="Times" w:hAnsi="Times" w:cs="Arial"/>
          <w:i/>
          <w:color w:val="242121"/>
        </w:rPr>
      </w:pPr>
      <w:r w:rsidRPr="008F5BC8">
        <w:rPr>
          <w:rFonts w:ascii="Times" w:hAnsi="Times" w:cs="Arial"/>
          <w:i/>
          <w:color w:val="242121"/>
        </w:rPr>
        <w:t>“A decisive test is whether evidence could at the trial be led on the allegations now challenged in the plea.  If evidence on certain facts would be admissible at the trial, those facts cannot be regarded as irrelevant when pleaded.”</w:t>
      </w:r>
    </w:p>
    <w:p w14:paraId="065CA6F1" w14:textId="77777777" w:rsidR="00C47CDE" w:rsidRPr="005F4D98" w:rsidRDefault="00C47CDE" w:rsidP="00C47CDE">
      <w:pPr>
        <w:pStyle w:val="ListParagraph"/>
        <w:rPr>
          <w:rFonts w:ascii="Arial" w:hAnsi="Arial" w:cs="Arial"/>
          <w:lang w:val="en-US"/>
        </w:rPr>
      </w:pPr>
    </w:p>
    <w:p w14:paraId="1AA6BF6D" w14:textId="4D80D3FB" w:rsidR="005F4D98" w:rsidRPr="00D919F0" w:rsidRDefault="00D919F0" w:rsidP="00D919F0">
      <w:pPr>
        <w:spacing w:line="480" w:lineRule="auto"/>
        <w:ind w:left="709" w:hanging="709"/>
        <w:rPr>
          <w:rFonts w:ascii="Arial" w:hAnsi="Arial" w:cs="Arial"/>
          <w:lang w:val="en-US"/>
        </w:rPr>
      </w:pPr>
      <w:r w:rsidRPr="00C47CDE">
        <w:rPr>
          <w:rFonts w:ascii="Arial" w:hAnsi="Arial" w:cs="Arial"/>
          <w:lang w:val="en-US"/>
        </w:rPr>
        <w:t>[33]</w:t>
      </w:r>
      <w:r w:rsidRPr="00C47CDE">
        <w:rPr>
          <w:rFonts w:ascii="Arial" w:hAnsi="Arial" w:cs="Arial"/>
          <w:lang w:val="en-US"/>
        </w:rPr>
        <w:tab/>
      </w:r>
      <w:r w:rsidR="005F4D98" w:rsidRPr="00D919F0">
        <w:rPr>
          <w:rFonts w:ascii="Arial" w:hAnsi="Arial" w:cs="Arial"/>
          <w:color w:val="242121"/>
        </w:rPr>
        <w:t>Historical background, even if strictly not relevant, should not be struck out</w:t>
      </w:r>
      <w:r w:rsidR="005F4D98" w:rsidRPr="008F5BC8">
        <w:rPr>
          <w:rStyle w:val="FootnoteReference"/>
          <w:rFonts w:ascii="Arial" w:hAnsi="Arial" w:cs="Arial"/>
          <w:color w:val="242121"/>
        </w:rPr>
        <w:footnoteReference w:id="12"/>
      </w:r>
      <w:r w:rsidR="005F4D98" w:rsidRPr="00D919F0">
        <w:rPr>
          <w:rFonts w:ascii="Arial" w:hAnsi="Arial" w:cs="Arial"/>
          <w:color w:val="242121"/>
          <w:vertAlign w:val="superscript"/>
        </w:rPr>
        <w:t>:</w:t>
      </w:r>
    </w:p>
    <w:p w14:paraId="2F87E17E" w14:textId="5F15D16D" w:rsidR="00C47CDE" w:rsidRPr="00C47CDE" w:rsidRDefault="005F4D98" w:rsidP="001516BC">
      <w:pPr>
        <w:pStyle w:val="NormalWeb"/>
        <w:tabs>
          <w:tab w:val="left" w:pos="1134"/>
        </w:tabs>
        <w:spacing w:before="144" w:beforeAutospacing="0" w:after="0" w:afterAutospacing="0" w:line="360" w:lineRule="auto"/>
        <w:ind w:left="1134"/>
        <w:rPr>
          <w:rFonts w:ascii="Times" w:hAnsi="Times" w:cs="Arial"/>
          <w:i/>
          <w:color w:val="242121"/>
        </w:rPr>
      </w:pPr>
      <w:r w:rsidRPr="008F5BC8">
        <w:rPr>
          <w:rFonts w:ascii="Times" w:hAnsi="Times" w:cs="Arial"/>
          <w:i/>
          <w:color w:val="242121"/>
        </w:rPr>
        <w:lastRenderedPageBreak/>
        <w:t>“For the sake of clarity the history of a case is often permissible as an introduction to allegations founding the cause of action.”</w:t>
      </w:r>
    </w:p>
    <w:p w14:paraId="14B1B536" w14:textId="77777777" w:rsidR="00C47CDE" w:rsidRPr="00C47CDE" w:rsidRDefault="00C47CDE" w:rsidP="00C47CDE">
      <w:pPr>
        <w:rPr>
          <w:rFonts w:ascii="Arial" w:hAnsi="Arial" w:cs="Arial"/>
          <w:lang w:val="en-US"/>
        </w:rPr>
      </w:pPr>
    </w:p>
    <w:p w14:paraId="6B209C17" w14:textId="20B53F52" w:rsidR="001D1A12" w:rsidRPr="00D919F0" w:rsidRDefault="00D919F0" w:rsidP="00D919F0">
      <w:pPr>
        <w:spacing w:line="480" w:lineRule="auto"/>
        <w:ind w:left="709" w:hanging="709"/>
        <w:rPr>
          <w:rFonts w:ascii="Arial" w:hAnsi="Arial" w:cs="Arial"/>
          <w:lang w:val="en-US"/>
        </w:rPr>
      </w:pPr>
      <w:r>
        <w:rPr>
          <w:rFonts w:ascii="Arial" w:hAnsi="Arial" w:cs="Arial"/>
          <w:lang w:val="en-US"/>
        </w:rPr>
        <w:t>[34]</w:t>
      </w:r>
      <w:r>
        <w:rPr>
          <w:rFonts w:ascii="Arial" w:hAnsi="Arial" w:cs="Arial"/>
          <w:lang w:val="en-US"/>
        </w:rPr>
        <w:tab/>
      </w:r>
      <w:r w:rsidR="005F4D98" w:rsidRPr="00D919F0">
        <w:rPr>
          <w:rFonts w:ascii="Arial" w:hAnsi="Arial" w:cs="Arial"/>
          <w:lang w:val="en-US"/>
        </w:rPr>
        <w:t xml:space="preserve">Hearsay matter and opinion evidence not properly before court are </w:t>
      </w:r>
      <w:r w:rsidR="00C47CDE" w:rsidRPr="00D919F0">
        <w:rPr>
          <w:rFonts w:ascii="Arial" w:hAnsi="Arial" w:cs="Arial"/>
          <w:lang w:val="en-US"/>
        </w:rPr>
        <w:t>regarded as</w:t>
      </w:r>
      <w:r w:rsidR="005F4D98" w:rsidRPr="00D919F0">
        <w:rPr>
          <w:rFonts w:ascii="Arial" w:hAnsi="Arial" w:cs="Arial"/>
          <w:lang w:val="en-US"/>
        </w:rPr>
        <w:t xml:space="preserve"> irrelevant matter</w:t>
      </w:r>
      <w:r w:rsidR="00C47CDE" w:rsidRPr="00D919F0">
        <w:rPr>
          <w:rFonts w:ascii="Arial" w:hAnsi="Arial" w:cs="Arial"/>
          <w:lang w:val="en-US"/>
        </w:rPr>
        <w:t xml:space="preserve"> as it is inadmissible as evidence.</w:t>
      </w:r>
    </w:p>
    <w:p w14:paraId="47AD1C4D" w14:textId="77777777" w:rsidR="00B86C14" w:rsidRDefault="00B86C14" w:rsidP="00B86C14">
      <w:pPr>
        <w:pStyle w:val="ListParagraph"/>
        <w:ind w:left="709"/>
        <w:rPr>
          <w:rFonts w:ascii="Arial" w:hAnsi="Arial" w:cs="Arial"/>
          <w:lang w:val="en-US"/>
        </w:rPr>
      </w:pPr>
    </w:p>
    <w:p w14:paraId="40FB1C1D" w14:textId="1CC5B569" w:rsidR="00B86C14" w:rsidRPr="00D919F0" w:rsidRDefault="00D919F0" w:rsidP="00D919F0">
      <w:pPr>
        <w:spacing w:line="480" w:lineRule="auto"/>
        <w:ind w:left="709" w:hanging="709"/>
        <w:rPr>
          <w:rFonts w:ascii="Arial" w:hAnsi="Arial" w:cs="Arial"/>
          <w:lang w:val="en-US"/>
        </w:rPr>
      </w:pPr>
      <w:r>
        <w:rPr>
          <w:rFonts w:ascii="Arial" w:hAnsi="Arial" w:cs="Arial"/>
          <w:lang w:val="en-US"/>
        </w:rPr>
        <w:t>[35]</w:t>
      </w:r>
      <w:r>
        <w:rPr>
          <w:rFonts w:ascii="Arial" w:hAnsi="Arial" w:cs="Arial"/>
          <w:lang w:val="en-US"/>
        </w:rPr>
        <w:tab/>
      </w:r>
      <w:r w:rsidR="00B86C14" w:rsidRPr="00D919F0">
        <w:rPr>
          <w:rFonts w:ascii="Arial" w:hAnsi="Arial" w:cs="Arial"/>
          <w:lang w:val="en-US"/>
        </w:rPr>
        <w:t xml:space="preserve">Applicant in its application to strike out also seeks the striking out of parts of the supplementary affidavit filed. In argument it was specifically stated that it is premised on the </w:t>
      </w:r>
      <w:r w:rsidR="00EC73D6" w:rsidRPr="00D919F0">
        <w:rPr>
          <w:rFonts w:ascii="Arial" w:hAnsi="Arial" w:cs="Arial"/>
          <w:lang w:val="en-US"/>
        </w:rPr>
        <w:t xml:space="preserve">court finding that the supplementary affidavit be admitted. As I have already found that no proper case is made out for the supplementary affidavits to be admitted, the will be regarded as </w:t>
      </w:r>
      <w:r w:rsidR="00EC73D6" w:rsidRPr="00D919F0">
        <w:rPr>
          <w:rFonts w:ascii="Times" w:hAnsi="Times" w:cs="Arial"/>
          <w:i/>
          <w:sz w:val="26"/>
          <w:szCs w:val="26"/>
          <w:lang w:val="en-US"/>
        </w:rPr>
        <w:t>pro non scripto</w:t>
      </w:r>
      <w:r w:rsidR="00EC73D6" w:rsidRPr="00D919F0">
        <w:rPr>
          <w:rFonts w:ascii="Arial" w:hAnsi="Arial" w:cs="Arial"/>
          <w:lang w:val="en-US"/>
        </w:rPr>
        <w:t>.</w:t>
      </w:r>
    </w:p>
    <w:p w14:paraId="55C33299" w14:textId="77777777" w:rsidR="00EC73D6" w:rsidRPr="00EC73D6" w:rsidRDefault="00EC73D6" w:rsidP="00EC73D6">
      <w:pPr>
        <w:pStyle w:val="ListParagraph"/>
        <w:rPr>
          <w:rFonts w:ascii="Arial" w:hAnsi="Arial" w:cs="Arial"/>
          <w:lang w:val="en-US"/>
        </w:rPr>
      </w:pPr>
    </w:p>
    <w:p w14:paraId="1741E38C" w14:textId="2964F941" w:rsidR="00EC73D6" w:rsidRPr="00D919F0" w:rsidRDefault="00D919F0" w:rsidP="00D919F0">
      <w:pPr>
        <w:spacing w:line="480" w:lineRule="auto"/>
        <w:ind w:left="709" w:hanging="709"/>
        <w:rPr>
          <w:rFonts w:ascii="Arial" w:hAnsi="Arial" w:cs="Arial"/>
          <w:lang w:val="en-US"/>
        </w:rPr>
      </w:pPr>
      <w:r>
        <w:rPr>
          <w:rFonts w:ascii="Arial" w:hAnsi="Arial" w:cs="Arial"/>
          <w:lang w:val="en-US"/>
        </w:rPr>
        <w:t>[36]</w:t>
      </w:r>
      <w:r>
        <w:rPr>
          <w:rFonts w:ascii="Arial" w:hAnsi="Arial" w:cs="Arial"/>
          <w:lang w:val="en-US"/>
        </w:rPr>
        <w:tab/>
      </w:r>
      <w:r w:rsidR="00EC73D6" w:rsidRPr="00D919F0">
        <w:rPr>
          <w:rFonts w:ascii="Arial" w:hAnsi="Arial" w:cs="Arial"/>
          <w:lang w:val="en-US"/>
        </w:rPr>
        <w:t xml:space="preserve">Although not pressed in </w:t>
      </w:r>
      <w:r w:rsidR="00DD48DF" w:rsidRPr="00D919F0">
        <w:rPr>
          <w:rFonts w:ascii="Arial" w:hAnsi="Arial" w:cs="Arial"/>
          <w:lang w:val="en-US"/>
        </w:rPr>
        <w:t>argument</w:t>
      </w:r>
      <w:r w:rsidR="00EC73D6" w:rsidRPr="00D919F0">
        <w:rPr>
          <w:rFonts w:ascii="Arial" w:hAnsi="Arial" w:cs="Arial"/>
          <w:lang w:val="en-US"/>
        </w:rPr>
        <w:t xml:space="preserve">, and </w:t>
      </w:r>
      <w:r w:rsidR="0075603F" w:rsidRPr="00D919F0">
        <w:rPr>
          <w:rFonts w:ascii="Arial" w:hAnsi="Arial" w:cs="Arial"/>
          <w:lang w:val="en-US"/>
        </w:rPr>
        <w:t xml:space="preserve">in my view </w:t>
      </w:r>
      <w:r w:rsidR="00EC73D6" w:rsidRPr="00D919F0">
        <w:rPr>
          <w:rFonts w:ascii="Arial" w:hAnsi="Arial" w:cs="Arial"/>
          <w:lang w:val="en-US"/>
        </w:rPr>
        <w:t xml:space="preserve">correctly so, the respondent’s </w:t>
      </w:r>
      <w:r w:rsidR="00DD48DF" w:rsidRPr="00D919F0">
        <w:rPr>
          <w:rFonts w:ascii="Arial" w:hAnsi="Arial" w:cs="Arial"/>
          <w:lang w:val="en-US"/>
        </w:rPr>
        <w:t>point in limine</w:t>
      </w:r>
      <w:r w:rsidR="00EC73D6" w:rsidRPr="00D919F0">
        <w:rPr>
          <w:rFonts w:ascii="Arial" w:hAnsi="Arial" w:cs="Arial"/>
          <w:lang w:val="en-US"/>
        </w:rPr>
        <w:t xml:space="preserve"> that the reports of the Financial Services Board as it was then known</w:t>
      </w:r>
      <w:r w:rsidR="00DD48DF" w:rsidRPr="00D919F0">
        <w:rPr>
          <w:rFonts w:ascii="Arial" w:hAnsi="Arial" w:cs="Arial"/>
          <w:lang w:val="en-US"/>
        </w:rPr>
        <w:t>,</w:t>
      </w:r>
      <w:r w:rsidR="00EC73D6" w:rsidRPr="00D919F0">
        <w:rPr>
          <w:rFonts w:ascii="Arial" w:hAnsi="Arial" w:cs="Arial"/>
          <w:lang w:val="en-US"/>
        </w:rPr>
        <w:t xml:space="preserve"> as well as the reports of Ngubane &amp; Co, the auditors, as well as the Independent Regulatory Board of Auditors (“IRBA”) constitutes hearsay and is as a result </w:t>
      </w:r>
      <w:r w:rsidR="00DD48DF" w:rsidRPr="00D919F0">
        <w:rPr>
          <w:rFonts w:ascii="Arial" w:hAnsi="Arial" w:cs="Arial"/>
          <w:lang w:val="en-US"/>
        </w:rPr>
        <w:t xml:space="preserve">inadmissible, is without any merit. </w:t>
      </w:r>
      <w:r w:rsidR="0075603F" w:rsidRPr="00D919F0">
        <w:rPr>
          <w:rFonts w:ascii="Arial" w:hAnsi="Arial" w:cs="Arial"/>
          <w:lang w:val="en-US"/>
        </w:rPr>
        <w:t>T</w:t>
      </w:r>
      <w:r w:rsidR="00DD48DF" w:rsidRPr="00D919F0">
        <w:rPr>
          <w:rFonts w:ascii="Arial" w:hAnsi="Arial" w:cs="Arial"/>
          <w:lang w:val="en-US"/>
        </w:rPr>
        <w:t>he reports and its content are not d</w:t>
      </w:r>
      <w:r w:rsidR="0075603F" w:rsidRPr="00D919F0">
        <w:rPr>
          <w:rFonts w:ascii="Arial" w:hAnsi="Arial" w:cs="Arial"/>
          <w:lang w:val="en-US"/>
        </w:rPr>
        <w:t>isputed at all</w:t>
      </w:r>
      <w:r w:rsidR="00DD48DF" w:rsidRPr="00D919F0">
        <w:rPr>
          <w:rFonts w:ascii="Arial" w:hAnsi="Arial" w:cs="Arial"/>
          <w:lang w:val="en-US"/>
        </w:rPr>
        <w:t>.</w:t>
      </w:r>
    </w:p>
    <w:p w14:paraId="12FD7288" w14:textId="77777777" w:rsidR="00DD48DF" w:rsidRPr="001516BC" w:rsidRDefault="00DD48DF" w:rsidP="001516BC">
      <w:pPr>
        <w:rPr>
          <w:rFonts w:ascii="Arial" w:hAnsi="Arial" w:cs="Arial"/>
          <w:lang w:val="en-US"/>
        </w:rPr>
      </w:pPr>
    </w:p>
    <w:p w14:paraId="4681FCEF" w14:textId="7AC9BFF1" w:rsidR="007A41FB" w:rsidRPr="00D919F0" w:rsidRDefault="00D919F0" w:rsidP="00D919F0">
      <w:pPr>
        <w:spacing w:line="480" w:lineRule="auto"/>
        <w:ind w:left="709" w:hanging="709"/>
        <w:rPr>
          <w:rFonts w:ascii="Arial" w:hAnsi="Arial" w:cs="Arial"/>
          <w:lang w:val="en-US"/>
        </w:rPr>
      </w:pPr>
      <w:r>
        <w:rPr>
          <w:rFonts w:ascii="Arial" w:hAnsi="Arial" w:cs="Arial"/>
          <w:lang w:val="en-US"/>
        </w:rPr>
        <w:t>[37]</w:t>
      </w:r>
      <w:r>
        <w:rPr>
          <w:rFonts w:ascii="Arial" w:hAnsi="Arial" w:cs="Arial"/>
          <w:lang w:val="en-US"/>
        </w:rPr>
        <w:tab/>
      </w:r>
      <w:r w:rsidR="00DD48DF" w:rsidRPr="00D919F0">
        <w:rPr>
          <w:rFonts w:ascii="Arial" w:hAnsi="Arial" w:cs="Arial"/>
          <w:lang w:val="en-US"/>
        </w:rPr>
        <w:t>Having regard to what has been s</w:t>
      </w:r>
      <w:r w:rsidR="007A41FB" w:rsidRPr="00D919F0">
        <w:rPr>
          <w:rFonts w:ascii="Arial" w:hAnsi="Arial" w:cs="Arial"/>
          <w:lang w:val="en-US"/>
        </w:rPr>
        <w:t>et out above in respect to</w:t>
      </w:r>
      <w:r w:rsidR="00DD48DF" w:rsidRPr="00D919F0">
        <w:rPr>
          <w:rFonts w:ascii="Arial" w:hAnsi="Arial" w:cs="Arial"/>
          <w:lang w:val="en-US"/>
        </w:rPr>
        <w:t xml:space="preserve"> the nature of litigation in respect of admissions,</w:t>
      </w:r>
      <w:r w:rsidR="007A41FB" w:rsidRPr="00D919F0">
        <w:rPr>
          <w:rFonts w:ascii="Arial" w:hAnsi="Arial" w:cs="Arial"/>
          <w:lang w:val="en-US"/>
        </w:rPr>
        <w:t xml:space="preserve"> denials and the adjudication of the evidence, the respondents attempt to stop the applicant form relying on those reports on the basis of it being inadmissible hearsay cannot succeed.</w:t>
      </w:r>
    </w:p>
    <w:p w14:paraId="2870F337" w14:textId="77777777" w:rsidR="007A41FB" w:rsidRPr="007A41FB" w:rsidRDefault="007A41FB" w:rsidP="007A41FB">
      <w:pPr>
        <w:pStyle w:val="ListParagraph"/>
        <w:rPr>
          <w:rFonts w:ascii="Arial" w:hAnsi="Arial" w:cs="Arial"/>
          <w:lang w:val="en-US"/>
        </w:rPr>
      </w:pPr>
    </w:p>
    <w:p w14:paraId="3C266802" w14:textId="6CD03319" w:rsidR="007A41FB" w:rsidRPr="00D919F0" w:rsidRDefault="00D919F0" w:rsidP="00D919F0">
      <w:pPr>
        <w:spacing w:line="480" w:lineRule="auto"/>
        <w:ind w:left="709" w:hanging="709"/>
        <w:rPr>
          <w:rFonts w:ascii="Arial" w:hAnsi="Arial" w:cs="Arial"/>
          <w:lang w:val="en-US"/>
        </w:rPr>
      </w:pPr>
      <w:r>
        <w:rPr>
          <w:rFonts w:ascii="Arial" w:hAnsi="Arial" w:cs="Arial"/>
          <w:lang w:val="en-US"/>
        </w:rPr>
        <w:t>[38]</w:t>
      </w:r>
      <w:r>
        <w:rPr>
          <w:rFonts w:ascii="Arial" w:hAnsi="Arial" w:cs="Arial"/>
          <w:lang w:val="en-US"/>
        </w:rPr>
        <w:tab/>
      </w:r>
      <w:r w:rsidR="007A41FB" w:rsidRPr="00D919F0">
        <w:rPr>
          <w:rFonts w:ascii="Arial" w:hAnsi="Arial" w:cs="Arial"/>
          <w:lang w:val="en-US"/>
        </w:rPr>
        <w:t>Applicant’s application to have parts of the answering affidavit struck must still be considered.</w:t>
      </w:r>
    </w:p>
    <w:p w14:paraId="276D5179" w14:textId="77777777" w:rsidR="007A41FB" w:rsidRPr="007A41FB" w:rsidRDefault="007A41FB" w:rsidP="007A41FB">
      <w:pPr>
        <w:pStyle w:val="ListParagraph"/>
        <w:rPr>
          <w:rFonts w:ascii="Arial" w:hAnsi="Arial" w:cs="Arial"/>
          <w:lang w:val="en-US"/>
        </w:rPr>
      </w:pPr>
    </w:p>
    <w:p w14:paraId="295B1CD1" w14:textId="7CA89E0B" w:rsidR="007A41FB" w:rsidRPr="00D919F0" w:rsidRDefault="00D919F0" w:rsidP="00D919F0">
      <w:pPr>
        <w:spacing w:line="480" w:lineRule="auto"/>
        <w:ind w:left="709" w:hanging="709"/>
        <w:rPr>
          <w:rFonts w:ascii="Arial" w:hAnsi="Arial" w:cs="Arial"/>
          <w:lang w:val="en-US"/>
        </w:rPr>
      </w:pPr>
      <w:r>
        <w:rPr>
          <w:rFonts w:ascii="Arial" w:hAnsi="Arial" w:cs="Arial"/>
          <w:lang w:val="en-US"/>
        </w:rPr>
        <w:t>[39]</w:t>
      </w:r>
      <w:r>
        <w:rPr>
          <w:rFonts w:ascii="Arial" w:hAnsi="Arial" w:cs="Arial"/>
          <w:lang w:val="en-US"/>
        </w:rPr>
        <w:tab/>
      </w:r>
      <w:r w:rsidR="007A41FB" w:rsidRPr="00D919F0">
        <w:rPr>
          <w:rFonts w:ascii="Arial" w:hAnsi="Arial" w:cs="Arial"/>
          <w:lang w:val="en-US"/>
        </w:rPr>
        <w:t>It seeks the following words to be struck out form the answering affidavit:</w:t>
      </w:r>
    </w:p>
    <w:p w14:paraId="1B937E1E" w14:textId="77777777" w:rsidR="007A41FB" w:rsidRPr="007A41FB" w:rsidRDefault="007A41FB" w:rsidP="007A41FB">
      <w:pPr>
        <w:pStyle w:val="ListParagraph"/>
        <w:rPr>
          <w:rFonts w:ascii="Arial" w:hAnsi="Arial" w:cs="Arial"/>
          <w:lang w:val="en-US"/>
        </w:rPr>
      </w:pPr>
    </w:p>
    <w:p w14:paraId="74592954" w14:textId="06665367" w:rsidR="007A41FB" w:rsidRDefault="007A41FB" w:rsidP="007A41FB">
      <w:pPr>
        <w:pStyle w:val="ListParagraph"/>
        <w:spacing w:line="480" w:lineRule="auto"/>
        <w:rPr>
          <w:rFonts w:ascii="Arial" w:hAnsi="Arial" w:cs="Arial"/>
          <w:lang w:val="en-US"/>
        </w:rPr>
      </w:pPr>
      <w:r>
        <w:rPr>
          <w:rFonts w:ascii="Arial" w:hAnsi="Arial" w:cs="Arial"/>
          <w:lang w:val="en-US"/>
        </w:rPr>
        <w:lastRenderedPageBreak/>
        <w:t>“</w:t>
      </w:r>
      <w:r w:rsidRPr="007A41FB">
        <w:rPr>
          <w:rFonts w:ascii="Arial" w:hAnsi="Arial" w:cs="Arial"/>
          <w:i/>
          <w:lang w:val="en-US"/>
        </w:rPr>
        <w:t>disingenuous</w:t>
      </w:r>
      <w:r>
        <w:rPr>
          <w:rFonts w:ascii="Arial" w:hAnsi="Arial" w:cs="Arial"/>
          <w:lang w:val="en-US"/>
        </w:rPr>
        <w:t>” in paragraph 22;</w:t>
      </w:r>
    </w:p>
    <w:p w14:paraId="1E9A5223" w14:textId="34C0E4B5" w:rsidR="007A41FB" w:rsidRDefault="007A41FB" w:rsidP="007A41FB">
      <w:pPr>
        <w:pStyle w:val="ListParagraph"/>
        <w:spacing w:line="480" w:lineRule="auto"/>
        <w:rPr>
          <w:rFonts w:ascii="Arial" w:hAnsi="Arial" w:cs="Arial"/>
          <w:lang w:val="en-US"/>
        </w:rPr>
      </w:pPr>
      <w:r>
        <w:rPr>
          <w:rFonts w:ascii="Arial" w:hAnsi="Arial" w:cs="Arial"/>
          <w:lang w:val="en-US"/>
        </w:rPr>
        <w:t>“</w:t>
      </w:r>
      <w:r w:rsidRPr="007A41FB">
        <w:rPr>
          <w:rFonts w:ascii="Arial" w:hAnsi="Arial" w:cs="Arial"/>
          <w:i/>
          <w:lang w:val="en-US"/>
        </w:rPr>
        <w:t>verily believe</w:t>
      </w:r>
      <w:r>
        <w:rPr>
          <w:rFonts w:ascii="Arial" w:hAnsi="Arial" w:cs="Arial"/>
          <w:lang w:val="en-US"/>
        </w:rPr>
        <w:t>” in paragraphs 62, 77, 108.2, 110.3, 112.3, 112.4, 120.4, and 121.3;</w:t>
      </w:r>
    </w:p>
    <w:p w14:paraId="0441AB98" w14:textId="77777777" w:rsidR="007A41FB" w:rsidRPr="007A41FB" w:rsidRDefault="007A41FB" w:rsidP="007A41FB">
      <w:pPr>
        <w:rPr>
          <w:rFonts w:ascii="Arial" w:hAnsi="Arial" w:cs="Arial"/>
          <w:lang w:val="en-US"/>
        </w:rPr>
      </w:pPr>
    </w:p>
    <w:p w14:paraId="722AA403" w14:textId="6F8C7043" w:rsidR="001D1A12" w:rsidRPr="00D919F0" w:rsidRDefault="00D919F0" w:rsidP="00D919F0">
      <w:pPr>
        <w:spacing w:line="480" w:lineRule="auto"/>
        <w:ind w:left="709" w:hanging="709"/>
        <w:rPr>
          <w:rFonts w:ascii="Arial" w:hAnsi="Arial" w:cs="Arial"/>
          <w:lang w:val="en-US"/>
        </w:rPr>
      </w:pPr>
      <w:r>
        <w:rPr>
          <w:rFonts w:ascii="Arial" w:hAnsi="Arial" w:cs="Arial"/>
          <w:lang w:val="en-US"/>
        </w:rPr>
        <w:t>[40]</w:t>
      </w:r>
      <w:r>
        <w:rPr>
          <w:rFonts w:ascii="Arial" w:hAnsi="Arial" w:cs="Arial"/>
          <w:lang w:val="en-US"/>
        </w:rPr>
        <w:tab/>
      </w:r>
      <w:r w:rsidR="007A41FB" w:rsidRPr="00D919F0">
        <w:rPr>
          <w:rFonts w:ascii="Arial" w:hAnsi="Arial" w:cs="Arial"/>
          <w:lang w:val="en-US"/>
        </w:rPr>
        <w:t xml:space="preserve">The word “disingenuous” </w:t>
      </w:r>
      <w:r w:rsidR="00AB7F4C" w:rsidRPr="00D919F0">
        <w:rPr>
          <w:rFonts w:ascii="Arial" w:hAnsi="Arial" w:cs="Arial"/>
          <w:lang w:val="en-US"/>
        </w:rPr>
        <w:t xml:space="preserve">entails an element of fraud, dishonesty of moral corruption. As good as the word may sound in a sentence, it being used without any factual support for an inference of dishonesty or fraud therefore is prima facie vexatious and not to be allowed in affidavits. I found no factual support in the affidavits filed for the conclusion that the deponent or any official of CIPRO for that matter, committed fraud, was dishonest or is morally corrupt. The word is struck out. </w:t>
      </w:r>
    </w:p>
    <w:p w14:paraId="1E33E7A3" w14:textId="77777777" w:rsidR="00AB7F4C" w:rsidRDefault="00AB7F4C" w:rsidP="00AB7F4C">
      <w:pPr>
        <w:pStyle w:val="ListParagraph"/>
        <w:ind w:left="709"/>
        <w:rPr>
          <w:rFonts w:ascii="Arial" w:hAnsi="Arial" w:cs="Arial"/>
          <w:lang w:val="en-US"/>
        </w:rPr>
      </w:pPr>
    </w:p>
    <w:p w14:paraId="57E0C431" w14:textId="0645B2B7" w:rsidR="00AB7F4C" w:rsidRPr="00D919F0" w:rsidRDefault="00D919F0" w:rsidP="00D919F0">
      <w:pPr>
        <w:spacing w:line="480" w:lineRule="auto"/>
        <w:ind w:left="709" w:hanging="709"/>
        <w:rPr>
          <w:rFonts w:ascii="Arial" w:hAnsi="Arial" w:cs="Arial"/>
          <w:lang w:val="en-US"/>
        </w:rPr>
      </w:pPr>
      <w:r w:rsidRPr="007A41FB">
        <w:rPr>
          <w:rFonts w:ascii="Arial" w:hAnsi="Arial" w:cs="Arial"/>
          <w:lang w:val="en-US"/>
        </w:rPr>
        <w:t>[41]</w:t>
      </w:r>
      <w:r w:rsidRPr="007A41FB">
        <w:rPr>
          <w:rFonts w:ascii="Arial" w:hAnsi="Arial" w:cs="Arial"/>
          <w:lang w:val="en-US"/>
        </w:rPr>
        <w:tab/>
      </w:r>
      <w:r w:rsidR="00AB7F4C" w:rsidRPr="00D919F0">
        <w:rPr>
          <w:rFonts w:ascii="Arial" w:hAnsi="Arial" w:cs="Arial"/>
          <w:lang w:val="en-US"/>
        </w:rPr>
        <w:t xml:space="preserve">In the same vein it was suggested in argument and in the supplementary affidavits, though not admitted, that the application </w:t>
      </w:r>
      <w:r w:rsidR="005A2E11" w:rsidRPr="00D919F0">
        <w:rPr>
          <w:rFonts w:ascii="Arial" w:hAnsi="Arial" w:cs="Arial"/>
          <w:lang w:val="en-US"/>
        </w:rPr>
        <w:t xml:space="preserve">was motivated by racism or an attempt to discriminate against SEI 1, because it is wholly black owned. The mere thought thereof, let alone suggestion or reliance on such allegation without any proof, is not only unbecoming of any legal practitioner but in my view reckless and a clear violation of the oath such practitioner took. Practitioners and litigants should therefore not without proper proof make such allegations. </w:t>
      </w:r>
      <w:r w:rsidR="0062407D" w:rsidRPr="00D919F0">
        <w:rPr>
          <w:rFonts w:ascii="Arial" w:hAnsi="Arial" w:cs="Arial"/>
          <w:lang w:val="en-US"/>
        </w:rPr>
        <w:t>There is in the current matter absolutely no basis for any allegation</w:t>
      </w:r>
      <w:r w:rsidR="005A2E11" w:rsidRPr="00D919F0">
        <w:rPr>
          <w:rFonts w:ascii="Arial" w:hAnsi="Arial" w:cs="Arial"/>
          <w:lang w:val="en-US"/>
        </w:rPr>
        <w:t xml:space="preserve"> </w:t>
      </w:r>
      <w:r w:rsidR="0062407D" w:rsidRPr="00D919F0">
        <w:rPr>
          <w:rFonts w:ascii="Arial" w:hAnsi="Arial" w:cs="Arial"/>
          <w:lang w:val="en-US"/>
        </w:rPr>
        <w:t xml:space="preserve">that the application was motivated by racism, racially motivated or even made for an ulterior purpose. The legal representative should not simply regurgitate what his/her client’s view or contention is. It is reckless and in my view constitutes misconduct if a legal representative makes such allegation without any merit. That however, does not say the allegations may never be made. I am merely saying that it is the duty of a legal practitioner to court, </w:t>
      </w:r>
      <w:r w:rsidR="00AD66FC" w:rsidRPr="00D919F0">
        <w:rPr>
          <w:rFonts w:ascii="Arial" w:hAnsi="Arial" w:cs="Arial"/>
          <w:lang w:val="en-US"/>
        </w:rPr>
        <w:lastRenderedPageBreak/>
        <w:t>his/her</w:t>
      </w:r>
      <w:r w:rsidR="0062407D" w:rsidRPr="00D919F0">
        <w:rPr>
          <w:rFonts w:ascii="Arial" w:hAnsi="Arial" w:cs="Arial"/>
          <w:lang w:val="en-US"/>
        </w:rPr>
        <w:t xml:space="preserve"> profession and the public not to make allegations which cannot be supported by fact</w:t>
      </w:r>
      <w:r w:rsidR="00AD66FC" w:rsidRPr="00D919F0">
        <w:rPr>
          <w:rFonts w:ascii="Arial" w:hAnsi="Arial" w:cs="Arial"/>
          <w:lang w:val="en-US"/>
        </w:rPr>
        <w:t>, especially allegations that are as emotive as being accused of racism, bias or that an official is using his/her powers for an ulterior purpose.</w:t>
      </w:r>
      <w:r w:rsidR="0062407D" w:rsidRPr="00D919F0">
        <w:rPr>
          <w:rFonts w:ascii="Arial" w:hAnsi="Arial" w:cs="Arial"/>
          <w:lang w:val="en-US"/>
        </w:rPr>
        <w:t xml:space="preserve"> </w:t>
      </w:r>
      <w:r w:rsidR="00AD66FC" w:rsidRPr="00D919F0">
        <w:rPr>
          <w:rFonts w:ascii="Arial" w:hAnsi="Arial" w:cs="Arial"/>
          <w:lang w:val="en-US"/>
        </w:rPr>
        <w:t>The practitioner</w:t>
      </w:r>
      <w:r w:rsidR="0062407D" w:rsidRPr="00D919F0">
        <w:rPr>
          <w:rFonts w:ascii="Arial" w:hAnsi="Arial" w:cs="Arial"/>
          <w:lang w:val="en-US"/>
        </w:rPr>
        <w:t xml:space="preserve"> is not merely an extension of or mouth piece for the litigant. </w:t>
      </w:r>
      <w:r w:rsidR="00AD66FC" w:rsidRPr="00D919F0">
        <w:rPr>
          <w:rFonts w:ascii="Arial" w:hAnsi="Arial" w:cs="Arial"/>
          <w:lang w:val="en-US"/>
        </w:rPr>
        <w:t xml:space="preserve">He/she </w:t>
      </w:r>
      <w:r w:rsidR="0062407D" w:rsidRPr="00D919F0">
        <w:rPr>
          <w:rFonts w:ascii="Arial" w:hAnsi="Arial" w:cs="Arial"/>
          <w:lang w:val="en-US"/>
        </w:rPr>
        <w:t xml:space="preserve">has a duty </w:t>
      </w:r>
      <w:r w:rsidR="00AD66FC" w:rsidRPr="00D919F0">
        <w:rPr>
          <w:rFonts w:ascii="Arial" w:hAnsi="Arial" w:cs="Arial"/>
          <w:lang w:val="en-US"/>
        </w:rPr>
        <w:t xml:space="preserve">represent the facts objectively and dispassionately. These allegations if made without any merit or factual support generally does more harm than advance the case for the client. </w:t>
      </w:r>
    </w:p>
    <w:p w14:paraId="5CF77096" w14:textId="77777777" w:rsidR="001314C0" w:rsidRPr="007A41FB" w:rsidRDefault="001314C0" w:rsidP="007A41FB">
      <w:pPr>
        <w:rPr>
          <w:rFonts w:ascii="Arial" w:hAnsi="Arial" w:cs="Arial"/>
          <w:lang w:val="en-US"/>
        </w:rPr>
      </w:pPr>
    </w:p>
    <w:p w14:paraId="249C1CE8" w14:textId="3410A5B7" w:rsidR="00B60687" w:rsidRPr="00D919F0" w:rsidRDefault="00D919F0" w:rsidP="00D919F0">
      <w:pPr>
        <w:spacing w:line="480" w:lineRule="auto"/>
        <w:ind w:left="709" w:hanging="709"/>
        <w:rPr>
          <w:rFonts w:ascii="Arial" w:hAnsi="Arial" w:cs="Arial"/>
          <w:lang w:val="en-US"/>
        </w:rPr>
      </w:pPr>
      <w:r>
        <w:rPr>
          <w:rFonts w:ascii="Arial" w:hAnsi="Arial" w:cs="Arial"/>
          <w:lang w:val="en-US"/>
        </w:rPr>
        <w:t>[42]</w:t>
      </w:r>
      <w:r>
        <w:rPr>
          <w:rFonts w:ascii="Arial" w:hAnsi="Arial" w:cs="Arial"/>
          <w:lang w:val="en-US"/>
        </w:rPr>
        <w:tab/>
      </w:r>
      <w:r w:rsidR="00B60687" w:rsidRPr="00D919F0">
        <w:rPr>
          <w:rFonts w:ascii="Arial" w:hAnsi="Arial" w:cs="Arial"/>
          <w:lang w:val="en-US"/>
        </w:rPr>
        <w:t>Dealing with the</w:t>
      </w:r>
      <w:r w:rsidR="00E422F9" w:rsidRPr="00D919F0">
        <w:rPr>
          <w:rFonts w:ascii="Arial" w:hAnsi="Arial" w:cs="Arial"/>
          <w:lang w:val="en-US"/>
        </w:rPr>
        <w:t xml:space="preserve"> word “verily believe”</w:t>
      </w:r>
      <w:r w:rsidR="001516BC" w:rsidRPr="00D919F0">
        <w:rPr>
          <w:rFonts w:ascii="Arial" w:hAnsi="Arial" w:cs="Arial"/>
          <w:lang w:val="en-US"/>
        </w:rPr>
        <w:t>,</w:t>
      </w:r>
      <w:r w:rsidR="00E422F9" w:rsidRPr="00D919F0">
        <w:rPr>
          <w:rFonts w:ascii="Arial" w:hAnsi="Arial" w:cs="Arial"/>
          <w:lang w:val="en-US"/>
        </w:rPr>
        <w:t xml:space="preserve"> </w:t>
      </w:r>
      <w:r w:rsidR="00B60687" w:rsidRPr="00D919F0">
        <w:rPr>
          <w:rFonts w:ascii="Arial" w:hAnsi="Arial" w:cs="Arial"/>
          <w:lang w:val="en-US"/>
        </w:rPr>
        <w:t xml:space="preserve">its </w:t>
      </w:r>
      <w:r w:rsidR="001516BC" w:rsidRPr="00D919F0">
        <w:rPr>
          <w:rFonts w:ascii="Arial" w:hAnsi="Arial" w:cs="Arial"/>
          <w:lang w:val="en-US"/>
        </w:rPr>
        <w:t>meaning</w:t>
      </w:r>
      <w:r w:rsidR="00B60687" w:rsidRPr="00D919F0">
        <w:rPr>
          <w:rFonts w:ascii="Arial" w:hAnsi="Arial" w:cs="Arial"/>
          <w:lang w:val="en-US"/>
        </w:rPr>
        <w:t xml:space="preserve"> needs </w:t>
      </w:r>
      <w:r w:rsidR="001516BC" w:rsidRPr="00D919F0">
        <w:rPr>
          <w:rFonts w:ascii="Arial" w:hAnsi="Arial" w:cs="Arial"/>
          <w:lang w:val="en-US"/>
        </w:rPr>
        <w:t xml:space="preserve">to </w:t>
      </w:r>
      <w:r w:rsidR="00B60687" w:rsidRPr="00D919F0">
        <w:rPr>
          <w:rFonts w:ascii="Arial" w:hAnsi="Arial" w:cs="Arial"/>
          <w:lang w:val="en-US"/>
        </w:rPr>
        <w:t xml:space="preserve">be </w:t>
      </w:r>
      <w:r w:rsidR="00966F21" w:rsidRPr="00D919F0">
        <w:rPr>
          <w:rFonts w:ascii="Arial" w:hAnsi="Arial" w:cs="Arial"/>
          <w:lang w:val="en-US"/>
        </w:rPr>
        <w:t>ascertained as it is not the type of word used in general conversation.</w:t>
      </w:r>
    </w:p>
    <w:p w14:paraId="69A77727" w14:textId="77777777" w:rsidR="00966F21" w:rsidRPr="00966F21" w:rsidRDefault="00966F21" w:rsidP="00966F21">
      <w:pPr>
        <w:pStyle w:val="ListParagraph"/>
        <w:rPr>
          <w:rFonts w:ascii="Arial" w:hAnsi="Arial" w:cs="Arial"/>
          <w:lang w:val="en-US"/>
        </w:rPr>
      </w:pPr>
    </w:p>
    <w:p w14:paraId="53BFDD86" w14:textId="3C841214" w:rsidR="00B60687" w:rsidRPr="00D919F0" w:rsidRDefault="00D919F0" w:rsidP="00D919F0">
      <w:pPr>
        <w:spacing w:line="480" w:lineRule="auto"/>
        <w:ind w:left="709" w:hanging="709"/>
        <w:rPr>
          <w:rFonts w:ascii="Arial" w:hAnsi="Arial" w:cs="Arial"/>
          <w:lang w:val="en-US"/>
        </w:rPr>
      </w:pPr>
      <w:r w:rsidRPr="001516BC">
        <w:rPr>
          <w:rFonts w:ascii="Arial" w:hAnsi="Arial" w:cs="Arial"/>
          <w:lang w:val="en-US"/>
        </w:rPr>
        <w:t>[43]</w:t>
      </w:r>
      <w:r w:rsidRPr="001516BC">
        <w:rPr>
          <w:rFonts w:ascii="Arial" w:hAnsi="Arial" w:cs="Arial"/>
          <w:lang w:val="en-US"/>
        </w:rPr>
        <w:tab/>
      </w:r>
      <w:r w:rsidR="00B60687" w:rsidRPr="00D919F0">
        <w:rPr>
          <w:rFonts w:ascii="Arial" w:hAnsi="Arial" w:cs="Arial"/>
          <w:shd w:val="clear" w:color="auto" w:fill="FFFFFF"/>
        </w:rPr>
        <w:t>The word “</w:t>
      </w:r>
      <w:r w:rsidR="00B60687" w:rsidRPr="00D919F0">
        <w:rPr>
          <w:rStyle w:val="Emphasis"/>
          <w:rFonts w:ascii="Arial" w:hAnsi="Arial" w:cs="Arial"/>
          <w:bdr w:val="none" w:sz="0" w:space="0" w:color="auto" w:frame="1"/>
        </w:rPr>
        <w:t>verily</w:t>
      </w:r>
      <w:r w:rsidR="00B60687" w:rsidRPr="00D919F0">
        <w:rPr>
          <w:rFonts w:ascii="Arial" w:hAnsi="Arial" w:cs="Arial"/>
          <w:shd w:val="clear" w:color="auto" w:fill="FFFFFF"/>
        </w:rPr>
        <w:t>” is a Middle English word dating from about 1250. It means “truly” or “in truth.” Therefore to “verily believe” something simply means to “truly believe” something.</w:t>
      </w:r>
    </w:p>
    <w:p w14:paraId="140DB24C" w14:textId="77777777" w:rsidR="00B60687" w:rsidRPr="001516BC" w:rsidRDefault="00B60687" w:rsidP="00B60687">
      <w:pPr>
        <w:pStyle w:val="ListParagraph"/>
        <w:rPr>
          <w:rFonts w:ascii="Arial" w:hAnsi="Arial" w:cs="Arial"/>
          <w:lang w:val="en-US"/>
        </w:rPr>
      </w:pPr>
    </w:p>
    <w:p w14:paraId="04D86E9F" w14:textId="5FDDE1C3" w:rsidR="00D21B5F" w:rsidRPr="00D919F0" w:rsidRDefault="00D919F0" w:rsidP="00D919F0">
      <w:pPr>
        <w:spacing w:line="480" w:lineRule="auto"/>
        <w:ind w:left="709" w:hanging="709"/>
        <w:rPr>
          <w:rFonts w:ascii="Arial" w:hAnsi="Arial" w:cs="Arial"/>
          <w:lang w:val="en-US"/>
        </w:rPr>
      </w:pPr>
      <w:r>
        <w:rPr>
          <w:rFonts w:ascii="Arial" w:hAnsi="Arial" w:cs="Arial"/>
          <w:lang w:val="en-US"/>
        </w:rPr>
        <w:t>[44]</w:t>
      </w:r>
      <w:r>
        <w:rPr>
          <w:rFonts w:ascii="Arial" w:hAnsi="Arial" w:cs="Arial"/>
          <w:lang w:val="en-US"/>
        </w:rPr>
        <w:tab/>
      </w:r>
      <w:r w:rsidR="00966F21" w:rsidRPr="00D919F0">
        <w:rPr>
          <w:rFonts w:ascii="Arial" w:hAnsi="Arial" w:cs="Arial"/>
          <w:lang w:val="en-US"/>
        </w:rPr>
        <w:t>The words therefore</w:t>
      </w:r>
      <w:r w:rsidR="00E422F9" w:rsidRPr="00D919F0">
        <w:rPr>
          <w:rFonts w:ascii="Arial" w:hAnsi="Arial" w:cs="Arial"/>
          <w:lang w:val="en-US"/>
        </w:rPr>
        <w:t xml:space="preserve"> </w:t>
      </w:r>
      <w:r w:rsidR="00966F21" w:rsidRPr="00D919F0">
        <w:rPr>
          <w:rFonts w:ascii="Arial" w:hAnsi="Arial" w:cs="Arial"/>
          <w:lang w:val="en-US"/>
        </w:rPr>
        <w:t>seem at least imply</w:t>
      </w:r>
      <w:r w:rsidR="00E422F9" w:rsidRPr="00D919F0">
        <w:rPr>
          <w:rFonts w:ascii="Arial" w:hAnsi="Arial" w:cs="Arial"/>
          <w:lang w:val="en-US"/>
        </w:rPr>
        <w:t xml:space="preserve"> that the facts do not fall within the knowledge of the deponent</w:t>
      </w:r>
      <w:r w:rsidR="00966F21" w:rsidRPr="00D919F0">
        <w:rPr>
          <w:rFonts w:ascii="Arial" w:hAnsi="Arial" w:cs="Arial"/>
          <w:lang w:val="en-US"/>
        </w:rPr>
        <w:t>.</w:t>
      </w:r>
      <w:r w:rsidR="00E422F9" w:rsidRPr="00D919F0">
        <w:rPr>
          <w:rFonts w:ascii="Arial" w:hAnsi="Arial" w:cs="Arial"/>
          <w:lang w:val="en-US"/>
        </w:rPr>
        <w:t xml:space="preserve"> </w:t>
      </w:r>
      <w:r w:rsidR="00966F21" w:rsidRPr="00D919F0">
        <w:rPr>
          <w:rFonts w:ascii="Arial" w:hAnsi="Arial" w:cs="Arial"/>
          <w:lang w:val="en-US"/>
        </w:rPr>
        <w:t xml:space="preserve">I cannot find that the statements in the paragraphs referred to does not fall within the deponent’s knowledge. It is nothing more than legalese that should be if a person wants to convey it statement, intention and meaning clearly. It </w:t>
      </w:r>
      <w:r w:rsidR="00E422F9" w:rsidRPr="00D919F0">
        <w:rPr>
          <w:rFonts w:ascii="Arial" w:hAnsi="Arial" w:cs="Arial"/>
          <w:lang w:val="en-US"/>
        </w:rPr>
        <w:t>was not argued by Mr Van Rensburg for the applicant</w:t>
      </w:r>
      <w:r w:rsidR="00966F21" w:rsidRPr="00D919F0">
        <w:rPr>
          <w:rFonts w:ascii="Arial" w:hAnsi="Arial" w:cs="Arial"/>
          <w:lang w:val="en-US"/>
        </w:rPr>
        <w:t xml:space="preserve"> that the statements contained in the paragraphs</w:t>
      </w:r>
      <w:r w:rsidR="00E422F9" w:rsidRPr="00D919F0">
        <w:rPr>
          <w:rFonts w:ascii="Arial" w:hAnsi="Arial" w:cs="Arial"/>
          <w:lang w:val="en-US"/>
        </w:rPr>
        <w:t xml:space="preserve"> </w:t>
      </w:r>
      <w:r w:rsidR="00966F21" w:rsidRPr="00D919F0">
        <w:rPr>
          <w:rFonts w:ascii="Arial" w:hAnsi="Arial" w:cs="Arial"/>
          <w:lang w:val="en-US"/>
        </w:rPr>
        <w:t xml:space="preserve">referred to </w:t>
      </w:r>
      <w:r w:rsidR="00BA6D7B" w:rsidRPr="00D919F0">
        <w:rPr>
          <w:rFonts w:ascii="Arial" w:hAnsi="Arial" w:cs="Arial"/>
          <w:lang w:val="en-US"/>
        </w:rPr>
        <w:t xml:space="preserve">is hearsay and </w:t>
      </w:r>
      <w:r w:rsidR="001516BC" w:rsidRPr="00D919F0">
        <w:rPr>
          <w:rFonts w:ascii="Arial" w:hAnsi="Arial" w:cs="Arial"/>
          <w:lang w:val="en-US"/>
        </w:rPr>
        <w:t>inadmissible</w:t>
      </w:r>
      <w:r w:rsidR="00BA6D7B" w:rsidRPr="00D919F0">
        <w:rPr>
          <w:rFonts w:ascii="Arial" w:hAnsi="Arial" w:cs="Arial"/>
          <w:lang w:val="en-US"/>
        </w:rPr>
        <w:t>.</w:t>
      </w:r>
      <w:r w:rsidR="00E422F9" w:rsidRPr="00D919F0">
        <w:rPr>
          <w:rFonts w:ascii="Arial" w:hAnsi="Arial" w:cs="Arial"/>
          <w:lang w:val="en-US"/>
        </w:rPr>
        <w:t xml:space="preserve"> The application to strike out the word “verily believe” in the paragraphs listed above cannot succeed as a result.</w:t>
      </w:r>
    </w:p>
    <w:p w14:paraId="17733525" w14:textId="77777777" w:rsidR="00E422F9" w:rsidRPr="00E422F9" w:rsidRDefault="00E422F9" w:rsidP="00E422F9">
      <w:pPr>
        <w:pStyle w:val="ListParagraph"/>
        <w:rPr>
          <w:rFonts w:ascii="Arial" w:hAnsi="Arial" w:cs="Arial"/>
          <w:lang w:val="en-US"/>
        </w:rPr>
      </w:pPr>
    </w:p>
    <w:p w14:paraId="7797D92B" w14:textId="17A4E858" w:rsidR="00E422F9" w:rsidRPr="00D919F0" w:rsidRDefault="00D919F0" w:rsidP="00D919F0">
      <w:pPr>
        <w:spacing w:line="480" w:lineRule="auto"/>
        <w:ind w:left="709" w:hanging="709"/>
        <w:rPr>
          <w:rFonts w:ascii="Arial" w:hAnsi="Arial" w:cs="Arial"/>
          <w:lang w:val="en-US"/>
        </w:rPr>
      </w:pPr>
      <w:r>
        <w:rPr>
          <w:rFonts w:ascii="Arial" w:hAnsi="Arial" w:cs="Arial"/>
          <w:lang w:val="en-US"/>
        </w:rPr>
        <w:t>[45]</w:t>
      </w:r>
      <w:r>
        <w:rPr>
          <w:rFonts w:ascii="Arial" w:hAnsi="Arial" w:cs="Arial"/>
          <w:lang w:val="en-US"/>
        </w:rPr>
        <w:tab/>
      </w:r>
      <w:r w:rsidR="00E422F9" w:rsidRPr="00D919F0">
        <w:rPr>
          <w:rFonts w:ascii="Arial" w:hAnsi="Arial" w:cs="Arial"/>
          <w:lang w:val="en-US"/>
        </w:rPr>
        <w:t>With the costs of the application to strike out parts of or words in the affidavits, I will deal with below.</w:t>
      </w:r>
    </w:p>
    <w:p w14:paraId="1FD4BF4B" w14:textId="7D24C4CA" w:rsidR="0075603F" w:rsidRDefault="0075603F" w:rsidP="0075603F">
      <w:pPr>
        <w:pStyle w:val="ListParagraph"/>
        <w:rPr>
          <w:rFonts w:ascii="Arial" w:hAnsi="Arial" w:cs="Arial"/>
          <w:lang w:val="en-US"/>
        </w:rPr>
      </w:pPr>
    </w:p>
    <w:p w14:paraId="069E6E20" w14:textId="77777777" w:rsidR="0075603F" w:rsidRPr="0075603F" w:rsidRDefault="0075603F" w:rsidP="0075603F">
      <w:pPr>
        <w:pStyle w:val="ListParagraph"/>
        <w:rPr>
          <w:rFonts w:ascii="Arial" w:hAnsi="Arial" w:cs="Arial"/>
          <w:lang w:val="en-US"/>
        </w:rPr>
      </w:pPr>
    </w:p>
    <w:p w14:paraId="1B6F81D6" w14:textId="5EB995C1" w:rsidR="0075603F" w:rsidRPr="0075603F" w:rsidRDefault="0075603F" w:rsidP="0075603F">
      <w:pPr>
        <w:spacing w:line="480" w:lineRule="auto"/>
        <w:rPr>
          <w:rFonts w:ascii="Arial" w:hAnsi="Arial" w:cs="Arial"/>
          <w:b/>
          <w:i/>
          <w:lang w:val="en-US"/>
        </w:rPr>
      </w:pPr>
      <w:r w:rsidRPr="0075603F">
        <w:rPr>
          <w:rFonts w:ascii="Arial" w:hAnsi="Arial" w:cs="Arial"/>
          <w:b/>
          <w:i/>
          <w:lang w:val="en-US"/>
        </w:rPr>
        <w:lastRenderedPageBreak/>
        <w:t>Liquidation by CIPRO as applicant</w:t>
      </w:r>
    </w:p>
    <w:p w14:paraId="30D518CE" w14:textId="77777777" w:rsidR="0075603F" w:rsidRPr="0075603F" w:rsidRDefault="0075603F" w:rsidP="0075603F">
      <w:pPr>
        <w:pStyle w:val="ListParagraph"/>
        <w:rPr>
          <w:rFonts w:ascii="Arial" w:hAnsi="Arial" w:cs="Arial"/>
          <w:lang w:val="en-US"/>
        </w:rPr>
      </w:pPr>
    </w:p>
    <w:p w14:paraId="6476EEBF" w14:textId="6CBEE2FF" w:rsidR="0075603F" w:rsidRPr="00D919F0" w:rsidRDefault="00D919F0" w:rsidP="00D919F0">
      <w:pPr>
        <w:spacing w:line="480" w:lineRule="auto"/>
        <w:ind w:left="709" w:hanging="709"/>
        <w:rPr>
          <w:rFonts w:ascii="Arial" w:hAnsi="Arial" w:cs="Arial"/>
          <w:lang w:val="en-US"/>
        </w:rPr>
      </w:pPr>
      <w:r>
        <w:rPr>
          <w:rFonts w:ascii="Arial" w:hAnsi="Arial" w:cs="Arial"/>
          <w:lang w:val="en-US"/>
        </w:rPr>
        <w:t>[46]</w:t>
      </w:r>
      <w:r>
        <w:rPr>
          <w:rFonts w:ascii="Arial" w:hAnsi="Arial" w:cs="Arial"/>
          <w:lang w:val="en-US"/>
        </w:rPr>
        <w:tab/>
      </w:r>
      <w:r w:rsidR="0075603F" w:rsidRPr="00D919F0">
        <w:rPr>
          <w:rFonts w:ascii="Arial" w:hAnsi="Arial" w:cs="Arial"/>
          <w:lang w:val="en-US"/>
        </w:rPr>
        <w:t xml:space="preserve">In the 1973 Companies Act the power of the Minister (Registrar) to liquidate companies were to be found in section 262. The test in such an application was </w:t>
      </w:r>
      <w:r w:rsidR="0075603F" w:rsidRPr="00D919F0">
        <w:rPr>
          <w:rFonts w:ascii="Times" w:hAnsi="Times" w:cs="Arial"/>
          <w:i/>
          <w:lang w:val="en-US"/>
        </w:rPr>
        <w:t>“if the court thinks it is just and equitable”</w:t>
      </w:r>
      <w:r w:rsidR="0075603F" w:rsidRPr="00D919F0">
        <w:rPr>
          <w:rFonts w:ascii="Arial" w:hAnsi="Arial" w:cs="Arial"/>
          <w:lang w:val="en-US"/>
        </w:rPr>
        <w:t>. It did not matter if the company was solvent or insolvent.</w:t>
      </w:r>
    </w:p>
    <w:p w14:paraId="028AB306" w14:textId="77777777" w:rsidR="0075603F" w:rsidRPr="0075603F" w:rsidRDefault="0075603F" w:rsidP="0075603F">
      <w:pPr>
        <w:rPr>
          <w:rFonts w:ascii="Arial" w:hAnsi="Arial" w:cs="Arial"/>
          <w:lang w:val="en-US"/>
        </w:rPr>
      </w:pPr>
    </w:p>
    <w:p w14:paraId="5DCC52A0" w14:textId="72EF0AF0" w:rsidR="0075603F" w:rsidRPr="00D919F0" w:rsidRDefault="00D919F0" w:rsidP="00D919F0">
      <w:pPr>
        <w:spacing w:line="480" w:lineRule="auto"/>
        <w:ind w:left="709" w:hanging="709"/>
        <w:rPr>
          <w:rFonts w:ascii="Arial" w:hAnsi="Arial" w:cs="Arial"/>
          <w:lang w:val="en-US"/>
        </w:rPr>
      </w:pPr>
      <w:r>
        <w:rPr>
          <w:rFonts w:ascii="Arial" w:hAnsi="Arial" w:cs="Arial"/>
          <w:lang w:val="en-US"/>
        </w:rPr>
        <w:t>[47]</w:t>
      </w:r>
      <w:r>
        <w:rPr>
          <w:rFonts w:ascii="Arial" w:hAnsi="Arial" w:cs="Arial"/>
          <w:lang w:val="en-US"/>
        </w:rPr>
        <w:tab/>
      </w:r>
      <w:r w:rsidR="0075603F" w:rsidRPr="00D919F0">
        <w:rPr>
          <w:rFonts w:ascii="Arial" w:hAnsi="Arial" w:cs="Arial"/>
          <w:lang w:val="en-US"/>
        </w:rPr>
        <w:t xml:space="preserve">The provisions of section 81 of the new Act applies only to “solvent” companies and the requirements are set out in section 81(1)(f) when CIPRO may apply to liquidate a solvent company. </w:t>
      </w:r>
    </w:p>
    <w:p w14:paraId="2F3730E4" w14:textId="77777777" w:rsidR="0075603F" w:rsidRPr="0075603F" w:rsidRDefault="0075603F" w:rsidP="0075603F">
      <w:pPr>
        <w:pStyle w:val="ListParagraph"/>
        <w:rPr>
          <w:rFonts w:ascii="Arial" w:hAnsi="Arial" w:cs="Arial"/>
          <w:lang w:val="en-US"/>
        </w:rPr>
      </w:pPr>
    </w:p>
    <w:p w14:paraId="4758A823" w14:textId="55625BA7" w:rsidR="0075603F" w:rsidRPr="00D919F0" w:rsidRDefault="00D919F0" w:rsidP="00D919F0">
      <w:pPr>
        <w:spacing w:line="480" w:lineRule="auto"/>
        <w:ind w:left="709" w:hanging="709"/>
        <w:rPr>
          <w:rFonts w:ascii="Arial" w:hAnsi="Arial" w:cs="Arial"/>
          <w:lang w:val="en-US"/>
        </w:rPr>
      </w:pPr>
      <w:r>
        <w:rPr>
          <w:rFonts w:ascii="Arial" w:hAnsi="Arial" w:cs="Arial"/>
          <w:lang w:val="en-US"/>
        </w:rPr>
        <w:t>[48]</w:t>
      </w:r>
      <w:r>
        <w:rPr>
          <w:rFonts w:ascii="Arial" w:hAnsi="Arial" w:cs="Arial"/>
          <w:lang w:val="en-US"/>
        </w:rPr>
        <w:tab/>
      </w:r>
      <w:r w:rsidR="0075603F" w:rsidRPr="00D919F0">
        <w:rPr>
          <w:rFonts w:ascii="Arial" w:hAnsi="Arial" w:cs="Arial"/>
          <w:lang w:val="en-US"/>
        </w:rPr>
        <w:t>Subsections (2) and (3) of section 79 of the Act however states that:</w:t>
      </w:r>
    </w:p>
    <w:p w14:paraId="7EF4D418" w14:textId="77777777" w:rsidR="0075603F" w:rsidRPr="0075603F" w:rsidRDefault="0075603F" w:rsidP="0075603F">
      <w:pPr>
        <w:pStyle w:val="ListParagraph"/>
        <w:rPr>
          <w:rFonts w:ascii="Arial" w:hAnsi="Arial" w:cs="Arial"/>
          <w:lang w:val="en-US"/>
        </w:rPr>
      </w:pPr>
    </w:p>
    <w:p w14:paraId="03897E9F" w14:textId="77777777" w:rsidR="0075603F" w:rsidRDefault="0075603F" w:rsidP="0075603F">
      <w:pPr>
        <w:pStyle w:val="ListParagraph"/>
        <w:spacing w:before="100" w:beforeAutospacing="1" w:after="100" w:afterAutospacing="1" w:line="360" w:lineRule="auto"/>
        <w:ind w:left="1276"/>
        <w:rPr>
          <w:rFonts w:ascii="Times" w:hAnsi="Times"/>
          <w:i/>
        </w:rPr>
      </w:pPr>
      <w:r>
        <w:rPr>
          <w:rFonts w:ascii="Times" w:hAnsi="Times"/>
          <w:i/>
        </w:rPr>
        <w:t>“</w:t>
      </w:r>
      <w:r w:rsidRPr="0075603F">
        <w:rPr>
          <w:rFonts w:ascii="Times" w:hAnsi="Times"/>
          <w:i/>
        </w:rPr>
        <w:t xml:space="preserve">(2) </w:t>
      </w:r>
      <w:r w:rsidRPr="0075603F">
        <w:rPr>
          <w:rFonts w:ascii="Times" w:hAnsi="Times"/>
          <w:b/>
          <w:i/>
        </w:rPr>
        <w:t>The procedures for winding-up and liquidation of a solvent company</w:t>
      </w:r>
      <w:r w:rsidRPr="0075603F">
        <w:rPr>
          <w:rFonts w:ascii="Times" w:hAnsi="Times"/>
          <w:i/>
        </w:rPr>
        <w:t>, whether voluntary or by court order</w:t>
      </w:r>
      <w:r w:rsidRPr="0075603F">
        <w:rPr>
          <w:rFonts w:ascii="Times" w:hAnsi="Times"/>
          <w:b/>
          <w:i/>
        </w:rPr>
        <w:t>, are governed by this Part and, to the extent applicable, by the laws referred to or contemplated in item 9 of Schedule 5</w:t>
      </w:r>
      <w:r w:rsidRPr="0075603F">
        <w:rPr>
          <w:rFonts w:ascii="Times" w:hAnsi="Times"/>
          <w:i/>
        </w:rPr>
        <w:t>.</w:t>
      </w:r>
      <w:r w:rsidRPr="0075603F">
        <w:rPr>
          <w:rFonts w:ascii="Times" w:hAnsi="Times"/>
          <w:i/>
        </w:rPr>
        <w:br/>
        <w:t xml:space="preserve">(3) </w:t>
      </w:r>
      <w:r w:rsidRPr="0075603F">
        <w:rPr>
          <w:rFonts w:ascii="Times" w:hAnsi="Times"/>
          <w:b/>
          <w:i/>
        </w:rPr>
        <w:t>If,</w:t>
      </w:r>
      <w:r w:rsidRPr="0075603F">
        <w:rPr>
          <w:rFonts w:ascii="Times" w:hAnsi="Times"/>
          <w:i/>
        </w:rPr>
        <w:t xml:space="preserve"> at any time after a company has adopted a resolution contemplated in section 80, or </w:t>
      </w:r>
      <w:r w:rsidRPr="0075603F">
        <w:rPr>
          <w:rFonts w:ascii="Times" w:hAnsi="Times"/>
          <w:b/>
          <w:i/>
        </w:rPr>
        <w:t>after an application has been made to a court as contemplated in section 81</w:t>
      </w:r>
      <w:r w:rsidRPr="0075603F">
        <w:rPr>
          <w:rFonts w:ascii="Times" w:hAnsi="Times"/>
          <w:i/>
        </w:rPr>
        <w:t xml:space="preserve">, </w:t>
      </w:r>
      <w:r w:rsidRPr="0075603F">
        <w:rPr>
          <w:rFonts w:ascii="Times" w:hAnsi="Times"/>
          <w:b/>
          <w:i/>
        </w:rPr>
        <w:t>it is determined that the company to be wound up is or may be insolvent, a court,</w:t>
      </w:r>
      <w:r w:rsidRPr="0075603F">
        <w:rPr>
          <w:rFonts w:ascii="Times" w:hAnsi="Times"/>
          <w:i/>
        </w:rPr>
        <w:t xml:space="preserve"> </w:t>
      </w:r>
      <w:r w:rsidRPr="0075603F">
        <w:rPr>
          <w:rFonts w:ascii="Times" w:hAnsi="Times"/>
          <w:b/>
          <w:i/>
        </w:rPr>
        <w:t xml:space="preserve">on application by any </w:t>
      </w:r>
      <w:r w:rsidRPr="0075603F">
        <w:rPr>
          <w:rFonts w:ascii="Times" w:hAnsi="Times"/>
          <w:b/>
          <w:i/>
          <w:u w:val="single"/>
        </w:rPr>
        <w:t>interested person</w:t>
      </w:r>
      <w:r w:rsidRPr="0075603F">
        <w:rPr>
          <w:rFonts w:ascii="Times" w:hAnsi="Times"/>
          <w:i/>
        </w:rPr>
        <w:t xml:space="preserve">, may order that the company </w:t>
      </w:r>
      <w:r w:rsidRPr="0075603F">
        <w:rPr>
          <w:rFonts w:ascii="Times" w:hAnsi="Times"/>
          <w:b/>
          <w:i/>
        </w:rPr>
        <w:t>be wound up as an insolvent company in terms of the laws referred to or contemplated in item 9 of Schedule 5.</w:t>
      </w:r>
      <w:r>
        <w:rPr>
          <w:rFonts w:ascii="Times" w:hAnsi="Times"/>
          <w:i/>
        </w:rPr>
        <w:t>”</w:t>
      </w:r>
    </w:p>
    <w:p w14:paraId="41BAE4DE" w14:textId="599C726F" w:rsidR="0075603F" w:rsidRPr="0075603F" w:rsidRDefault="0075603F" w:rsidP="0075603F">
      <w:pPr>
        <w:spacing w:before="100" w:beforeAutospacing="1" w:after="100" w:afterAutospacing="1" w:line="360" w:lineRule="auto"/>
        <w:ind w:firstLine="720"/>
        <w:rPr>
          <w:rFonts w:ascii="Times" w:hAnsi="Times"/>
          <w:i/>
        </w:rPr>
      </w:pPr>
      <w:r w:rsidRPr="0075603F">
        <w:rPr>
          <w:rFonts w:ascii="Arial" w:hAnsi="Arial" w:cs="Arial"/>
        </w:rPr>
        <w:t>[Emphasis added]</w:t>
      </w:r>
      <w:r w:rsidRPr="0075603F">
        <w:rPr>
          <w:rFonts w:ascii="Times" w:hAnsi="Times"/>
          <w:i/>
        </w:rPr>
        <w:t xml:space="preserve"> </w:t>
      </w:r>
    </w:p>
    <w:p w14:paraId="6628D2FA" w14:textId="3BE6A27D" w:rsidR="0075603F" w:rsidRPr="00D919F0" w:rsidRDefault="00D919F0" w:rsidP="00D919F0">
      <w:pPr>
        <w:spacing w:line="480" w:lineRule="auto"/>
        <w:ind w:left="709" w:hanging="709"/>
        <w:rPr>
          <w:rFonts w:ascii="Arial" w:hAnsi="Arial" w:cs="Arial"/>
          <w:lang w:val="en-US"/>
        </w:rPr>
      </w:pPr>
      <w:r>
        <w:rPr>
          <w:rFonts w:ascii="Arial" w:hAnsi="Arial" w:cs="Arial"/>
          <w:lang w:val="en-US"/>
        </w:rPr>
        <w:t>[49]</w:t>
      </w:r>
      <w:r>
        <w:rPr>
          <w:rFonts w:ascii="Arial" w:hAnsi="Arial" w:cs="Arial"/>
          <w:lang w:val="en-US"/>
        </w:rPr>
        <w:tab/>
      </w:r>
      <w:r w:rsidR="0075603F" w:rsidRPr="00D919F0">
        <w:rPr>
          <w:rFonts w:ascii="Arial" w:hAnsi="Arial" w:cs="Arial"/>
          <w:lang w:val="en-US"/>
        </w:rPr>
        <w:t>The word “interested person” is not defined in the Act.</w:t>
      </w:r>
    </w:p>
    <w:p w14:paraId="0B8655D4" w14:textId="77777777" w:rsidR="0075603F" w:rsidRPr="0075603F" w:rsidRDefault="0075603F" w:rsidP="0075603F">
      <w:pPr>
        <w:rPr>
          <w:rFonts w:ascii="Arial" w:hAnsi="Arial" w:cs="Arial"/>
          <w:lang w:val="en-US"/>
        </w:rPr>
      </w:pPr>
    </w:p>
    <w:p w14:paraId="6FE050BD" w14:textId="001FCCFB" w:rsidR="0075603F" w:rsidRPr="00D919F0" w:rsidRDefault="00D919F0" w:rsidP="00D919F0">
      <w:pPr>
        <w:spacing w:line="480" w:lineRule="auto"/>
        <w:ind w:left="709" w:hanging="709"/>
        <w:rPr>
          <w:rFonts w:ascii="Arial" w:hAnsi="Arial" w:cs="Arial"/>
          <w:lang w:val="en-US"/>
        </w:rPr>
      </w:pPr>
      <w:r>
        <w:rPr>
          <w:rFonts w:ascii="Arial" w:hAnsi="Arial" w:cs="Arial"/>
          <w:lang w:val="en-US"/>
        </w:rPr>
        <w:t>[50]</w:t>
      </w:r>
      <w:r>
        <w:rPr>
          <w:rFonts w:ascii="Arial" w:hAnsi="Arial" w:cs="Arial"/>
          <w:lang w:val="en-US"/>
        </w:rPr>
        <w:tab/>
      </w:r>
      <w:r w:rsidR="0075603F" w:rsidRPr="00D919F0">
        <w:rPr>
          <w:rFonts w:ascii="Arial" w:hAnsi="Arial" w:cs="Arial"/>
          <w:lang w:val="en-US"/>
        </w:rPr>
        <w:t>Section 186 provides for the objectives of CIPRO as follows:</w:t>
      </w:r>
    </w:p>
    <w:p w14:paraId="0C0082DC" w14:textId="77777777" w:rsidR="0075603F" w:rsidRPr="0075603F" w:rsidRDefault="0075603F" w:rsidP="0075603F">
      <w:pPr>
        <w:pStyle w:val="ListParagraph"/>
        <w:rPr>
          <w:rFonts w:ascii="Arial" w:hAnsi="Arial" w:cs="Arial"/>
          <w:lang w:val="en-US"/>
        </w:rPr>
      </w:pPr>
    </w:p>
    <w:p w14:paraId="19FE5B63" w14:textId="6E803824" w:rsidR="0075603F" w:rsidRPr="0075603F" w:rsidRDefault="0075603F" w:rsidP="0075603F">
      <w:pPr>
        <w:autoSpaceDE w:val="0"/>
        <w:autoSpaceDN w:val="0"/>
        <w:adjustRightInd w:val="0"/>
        <w:spacing w:line="360" w:lineRule="auto"/>
        <w:ind w:left="1276"/>
        <w:rPr>
          <w:rFonts w:eastAsiaTheme="minorHAnsi"/>
          <w:i/>
          <w:iCs/>
          <w:lang w:val="en-US"/>
        </w:rPr>
      </w:pPr>
      <w:r w:rsidRPr="0075603F">
        <w:rPr>
          <w:rFonts w:eastAsiaTheme="minorHAnsi"/>
          <w:i/>
          <w:iCs/>
          <w:lang w:val="en-US"/>
        </w:rPr>
        <w:t>186. (1) The objectives of the Commission are—</w:t>
      </w:r>
    </w:p>
    <w:p w14:paraId="77EB3934" w14:textId="77777777" w:rsidR="0075603F" w:rsidRPr="0075603F" w:rsidRDefault="0075603F" w:rsidP="0075603F">
      <w:pPr>
        <w:autoSpaceDE w:val="0"/>
        <w:autoSpaceDN w:val="0"/>
        <w:adjustRightInd w:val="0"/>
        <w:spacing w:line="360" w:lineRule="auto"/>
        <w:ind w:left="1276"/>
        <w:rPr>
          <w:rFonts w:eastAsiaTheme="minorHAnsi"/>
          <w:i/>
          <w:iCs/>
          <w:lang w:val="en-US"/>
        </w:rPr>
      </w:pPr>
      <w:r w:rsidRPr="0075603F">
        <w:rPr>
          <w:rFonts w:eastAsiaTheme="minorHAnsi"/>
          <w:i/>
          <w:iCs/>
          <w:lang w:val="en-US"/>
        </w:rPr>
        <w:t>…..</w:t>
      </w:r>
    </w:p>
    <w:p w14:paraId="28E558EB" w14:textId="77777777" w:rsidR="0075603F" w:rsidRPr="0075603F" w:rsidRDefault="0075603F" w:rsidP="0075603F">
      <w:pPr>
        <w:autoSpaceDE w:val="0"/>
        <w:autoSpaceDN w:val="0"/>
        <w:adjustRightInd w:val="0"/>
        <w:spacing w:line="360" w:lineRule="auto"/>
        <w:ind w:left="1276"/>
        <w:rPr>
          <w:rFonts w:eastAsiaTheme="minorHAnsi"/>
          <w:b/>
          <w:i/>
          <w:iCs/>
          <w:lang w:val="en-US"/>
        </w:rPr>
      </w:pPr>
      <w:r w:rsidRPr="0075603F">
        <w:rPr>
          <w:rFonts w:eastAsiaTheme="minorHAnsi"/>
          <w:i/>
          <w:iCs/>
          <w:lang w:val="en-US"/>
        </w:rPr>
        <w:t xml:space="preserve">(d) the </w:t>
      </w:r>
      <w:r w:rsidRPr="0075603F">
        <w:rPr>
          <w:rFonts w:eastAsiaTheme="minorHAnsi"/>
          <w:b/>
          <w:i/>
          <w:iCs/>
          <w:lang w:val="en-US"/>
        </w:rPr>
        <w:t>promotion of compliance with this Act</w:t>
      </w:r>
      <w:r w:rsidRPr="0075603F">
        <w:rPr>
          <w:rFonts w:eastAsiaTheme="minorHAnsi"/>
          <w:i/>
          <w:iCs/>
          <w:lang w:val="en-US"/>
        </w:rPr>
        <w:t xml:space="preserve">, </w:t>
      </w:r>
      <w:r w:rsidRPr="0075603F">
        <w:rPr>
          <w:rFonts w:eastAsiaTheme="minorHAnsi"/>
          <w:b/>
          <w:i/>
          <w:iCs/>
          <w:lang w:val="en-US"/>
        </w:rPr>
        <w:t>and any other applicable</w:t>
      </w:r>
    </w:p>
    <w:p w14:paraId="78D3D73A" w14:textId="77777777" w:rsidR="0075603F" w:rsidRPr="0075603F" w:rsidRDefault="0075603F" w:rsidP="0075603F">
      <w:pPr>
        <w:autoSpaceDE w:val="0"/>
        <w:autoSpaceDN w:val="0"/>
        <w:adjustRightInd w:val="0"/>
        <w:spacing w:line="360" w:lineRule="auto"/>
        <w:ind w:left="1276"/>
        <w:rPr>
          <w:rFonts w:eastAsiaTheme="minorHAnsi"/>
          <w:i/>
          <w:iCs/>
          <w:lang w:val="en-US"/>
        </w:rPr>
      </w:pPr>
      <w:r w:rsidRPr="0075603F">
        <w:rPr>
          <w:rFonts w:eastAsiaTheme="minorHAnsi"/>
          <w:b/>
          <w:i/>
          <w:iCs/>
          <w:lang w:val="en-US"/>
        </w:rPr>
        <w:lastRenderedPageBreak/>
        <w:t>legislation</w:t>
      </w:r>
      <w:r w:rsidRPr="0075603F">
        <w:rPr>
          <w:rFonts w:eastAsiaTheme="minorHAnsi"/>
          <w:i/>
          <w:iCs/>
          <w:lang w:val="en-US"/>
        </w:rPr>
        <w:t>; and</w:t>
      </w:r>
    </w:p>
    <w:p w14:paraId="544EBBD9" w14:textId="77777777" w:rsidR="0075603F" w:rsidRPr="0075603F" w:rsidRDefault="0075603F" w:rsidP="0075603F">
      <w:pPr>
        <w:autoSpaceDE w:val="0"/>
        <w:autoSpaceDN w:val="0"/>
        <w:adjustRightInd w:val="0"/>
        <w:spacing w:line="360" w:lineRule="auto"/>
        <w:ind w:left="1276"/>
        <w:rPr>
          <w:rFonts w:eastAsiaTheme="minorHAnsi"/>
          <w:b/>
          <w:i/>
          <w:iCs/>
          <w:lang w:val="en-US"/>
        </w:rPr>
      </w:pPr>
      <w:r w:rsidRPr="0075603F">
        <w:rPr>
          <w:rFonts w:eastAsiaTheme="minorHAnsi"/>
          <w:i/>
          <w:iCs/>
          <w:lang w:val="en-US"/>
        </w:rPr>
        <w:t xml:space="preserve">(e) </w:t>
      </w:r>
      <w:r w:rsidRPr="0075603F">
        <w:rPr>
          <w:rFonts w:eastAsiaTheme="minorHAnsi"/>
          <w:b/>
          <w:i/>
          <w:iCs/>
          <w:lang w:val="en-US"/>
        </w:rPr>
        <w:t>the efficient, effective and widest possible enforcement of this Act, and any</w:t>
      </w:r>
    </w:p>
    <w:p w14:paraId="4D1391D2" w14:textId="61C36EB7" w:rsidR="0075603F" w:rsidRPr="0075603F" w:rsidRDefault="0075603F" w:rsidP="0075603F">
      <w:pPr>
        <w:autoSpaceDE w:val="0"/>
        <w:autoSpaceDN w:val="0"/>
        <w:adjustRightInd w:val="0"/>
        <w:spacing w:line="360" w:lineRule="auto"/>
        <w:ind w:left="1276"/>
        <w:rPr>
          <w:rFonts w:eastAsiaTheme="minorHAnsi"/>
          <w:i/>
          <w:iCs/>
          <w:lang w:val="en-US"/>
        </w:rPr>
      </w:pPr>
      <w:r w:rsidRPr="0075603F">
        <w:rPr>
          <w:rFonts w:eastAsiaTheme="minorHAnsi"/>
          <w:b/>
          <w:i/>
          <w:iCs/>
          <w:lang w:val="en-US"/>
        </w:rPr>
        <w:t>other legislation listed in Schedule 4…</w:t>
      </w:r>
      <w:r w:rsidRPr="0075603F">
        <w:rPr>
          <w:rFonts w:eastAsiaTheme="minorHAnsi"/>
          <w:i/>
          <w:iCs/>
          <w:lang w:val="en-US"/>
        </w:rPr>
        <w:t>”</w:t>
      </w:r>
    </w:p>
    <w:p w14:paraId="217B5499" w14:textId="66E2FBF4" w:rsidR="0075603F" w:rsidRDefault="0075603F" w:rsidP="0075603F">
      <w:pPr>
        <w:autoSpaceDE w:val="0"/>
        <w:autoSpaceDN w:val="0"/>
        <w:adjustRightInd w:val="0"/>
        <w:rPr>
          <w:rFonts w:ascii="Arial" w:eastAsiaTheme="minorHAnsi" w:hAnsi="Arial" w:cs="Arial"/>
          <w:iCs/>
          <w:lang w:val="en-US"/>
        </w:rPr>
      </w:pPr>
      <w:r w:rsidRPr="0075603F">
        <w:rPr>
          <w:rFonts w:ascii="Arial" w:eastAsiaTheme="minorHAnsi" w:hAnsi="Arial" w:cs="Arial"/>
          <w:iCs/>
          <w:lang w:val="en-US"/>
        </w:rPr>
        <w:tab/>
        <w:t>[Emphasis added]</w:t>
      </w:r>
    </w:p>
    <w:p w14:paraId="2CE89DE7" w14:textId="77777777" w:rsidR="0075603F" w:rsidRPr="0075603F" w:rsidRDefault="0075603F" w:rsidP="0075603F">
      <w:pPr>
        <w:autoSpaceDE w:val="0"/>
        <w:autoSpaceDN w:val="0"/>
        <w:adjustRightInd w:val="0"/>
        <w:rPr>
          <w:rFonts w:ascii="Arial" w:eastAsiaTheme="minorHAnsi" w:hAnsi="Arial" w:cs="Arial"/>
          <w:iCs/>
          <w:lang w:val="en-US"/>
        </w:rPr>
      </w:pPr>
    </w:p>
    <w:p w14:paraId="461D45F5" w14:textId="77777777" w:rsidR="0075603F" w:rsidRPr="0075603F" w:rsidRDefault="0075603F" w:rsidP="0075603F">
      <w:pPr>
        <w:pStyle w:val="ListParagraph"/>
        <w:rPr>
          <w:rFonts w:ascii="Arial" w:hAnsi="Arial" w:cs="Arial"/>
          <w:lang w:val="en-US"/>
        </w:rPr>
      </w:pPr>
    </w:p>
    <w:p w14:paraId="1B2E19B5" w14:textId="4FF091B9" w:rsidR="0075603F" w:rsidRPr="00D919F0" w:rsidRDefault="00D919F0" w:rsidP="00D919F0">
      <w:pPr>
        <w:spacing w:line="480" w:lineRule="auto"/>
        <w:ind w:left="709" w:hanging="709"/>
        <w:rPr>
          <w:rFonts w:ascii="Arial" w:hAnsi="Arial" w:cs="Arial"/>
          <w:lang w:val="en-US"/>
        </w:rPr>
      </w:pPr>
      <w:r>
        <w:rPr>
          <w:rFonts w:ascii="Arial" w:hAnsi="Arial" w:cs="Arial"/>
          <w:lang w:val="en-US"/>
        </w:rPr>
        <w:t>[51]</w:t>
      </w:r>
      <w:r>
        <w:rPr>
          <w:rFonts w:ascii="Arial" w:hAnsi="Arial" w:cs="Arial"/>
          <w:lang w:val="en-US"/>
        </w:rPr>
        <w:tab/>
      </w:r>
      <w:r w:rsidR="0075603F" w:rsidRPr="00D919F0">
        <w:rPr>
          <w:rFonts w:ascii="Arial" w:hAnsi="Arial" w:cs="Arial"/>
          <w:lang w:val="en-US"/>
        </w:rPr>
        <w:t>It further establishes an inspectorate and the Companies tribunal.</w:t>
      </w:r>
    </w:p>
    <w:p w14:paraId="132E5D39" w14:textId="77777777" w:rsidR="0075603F" w:rsidRDefault="0075603F" w:rsidP="0075603F">
      <w:pPr>
        <w:pStyle w:val="ListParagraph"/>
        <w:ind w:left="709"/>
        <w:rPr>
          <w:rFonts w:ascii="Arial" w:hAnsi="Arial" w:cs="Arial"/>
          <w:lang w:val="en-US"/>
        </w:rPr>
      </w:pPr>
    </w:p>
    <w:p w14:paraId="5A8663EA" w14:textId="7B81C3CA" w:rsidR="0075603F" w:rsidRPr="00D919F0" w:rsidRDefault="00D919F0" w:rsidP="00D919F0">
      <w:pPr>
        <w:spacing w:line="480" w:lineRule="auto"/>
        <w:ind w:left="709" w:hanging="709"/>
        <w:rPr>
          <w:rFonts w:ascii="Arial" w:hAnsi="Arial" w:cs="Arial"/>
          <w:lang w:val="en-US"/>
        </w:rPr>
      </w:pPr>
      <w:r w:rsidRPr="0075603F">
        <w:rPr>
          <w:rFonts w:ascii="Arial" w:hAnsi="Arial" w:cs="Arial"/>
          <w:lang w:val="en-US"/>
        </w:rPr>
        <w:t>[52]</w:t>
      </w:r>
      <w:r w:rsidRPr="0075603F">
        <w:rPr>
          <w:rFonts w:ascii="Arial" w:hAnsi="Arial" w:cs="Arial"/>
          <w:lang w:val="en-US"/>
        </w:rPr>
        <w:tab/>
      </w:r>
      <w:r w:rsidR="0075603F" w:rsidRPr="00D919F0">
        <w:rPr>
          <w:rFonts w:ascii="Arial" w:hAnsi="Arial" w:cs="Arial"/>
          <w:lang w:val="en-US"/>
        </w:rPr>
        <w:t>It is therefore not difficult to conclude that CIPRO is such an interested person. This finding has an impact on the issue of Locus Standi raised by respondent.</w:t>
      </w:r>
    </w:p>
    <w:p w14:paraId="0CA3ECC6" w14:textId="77777777" w:rsidR="0075603F" w:rsidRPr="0075603F" w:rsidRDefault="0075603F" w:rsidP="0075603F">
      <w:pPr>
        <w:spacing w:line="480" w:lineRule="auto"/>
        <w:rPr>
          <w:rFonts w:ascii="Arial" w:hAnsi="Arial" w:cs="Arial"/>
          <w:lang w:val="en-US"/>
        </w:rPr>
      </w:pPr>
    </w:p>
    <w:p w14:paraId="1176A854" w14:textId="77777777" w:rsidR="00DE4530" w:rsidRPr="00294422" w:rsidRDefault="00DE4530" w:rsidP="00DE4530">
      <w:pPr>
        <w:spacing w:line="480" w:lineRule="auto"/>
        <w:rPr>
          <w:rFonts w:ascii="Arial" w:hAnsi="Arial" w:cs="Arial"/>
          <w:b/>
          <w:i/>
          <w:lang w:val="en-US"/>
        </w:rPr>
      </w:pPr>
      <w:r w:rsidRPr="00294422">
        <w:rPr>
          <w:rFonts w:ascii="Arial" w:hAnsi="Arial" w:cs="Arial"/>
          <w:b/>
          <w:i/>
          <w:lang w:val="en-US"/>
        </w:rPr>
        <w:t>Locus standi</w:t>
      </w:r>
    </w:p>
    <w:p w14:paraId="10246A6C" w14:textId="77777777" w:rsidR="00DE4530" w:rsidRPr="00294422" w:rsidRDefault="00DE4530" w:rsidP="00DE4530">
      <w:pPr>
        <w:pStyle w:val="ListParagraph"/>
        <w:rPr>
          <w:rFonts w:ascii="Arial" w:hAnsi="Arial" w:cs="Arial"/>
          <w:lang w:val="en-US"/>
        </w:rPr>
      </w:pPr>
    </w:p>
    <w:p w14:paraId="66B3CFDB" w14:textId="68100D68" w:rsidR="001516BC" w:rsidRPr="00D919F0" w:rsidRDefault="00D919F0" w:rsidP="00D919F0">
      <w:pPr>
        <w:spacing w:line="480" w:lineRule="auto"/>
        <w:ind w:left="709" w:hanging="709"/>
        <w:rPr>
          <w:rFonts w:ascii="Arial" w:hAnsi="Arial" w:cs="Arial"/>
          <w:lang w:val="en-US"/>
        </w:rPr>
      </w:pPr>
      <w:r>
        <w:rPr>
          <w:rFonts w:ascii="Arial" w:hAnsi="Arial" w:cs="Arial"/>
          <w:lang w:val="en-US"/>
        </w:rPr>
        <w:t>[53]</w:t>
      </w:r>
      <w:r>
        <w:rPr>
          <w:rFonts w:ascii="Arial" w:hAnsi="Arial" w:cs="Arial"/>
          <w:lang w:val="en-US"/>
        </w:rPr>
        <w:tab/>
      </w:r>
      <w:r w:rsidR="00E422F9" w:rsidRPr="00D919F0">
        <w:rPr>
          <w:rFonts w:ascii="Arial" w:hAnsi="Arial" w:cs="Arial"/>
          <w:lang w:val="en-US"/>
        </w:rPr>
        <w:t>As stated the</w:t>
      </w:r>
      <w:r w:rsidR="00DE4530" w:rsidRPr="00D919F0">
        <w:rPr>
          <w:rFonts w:ascii="Arial" w:hAnsi="Arial" w:cs="Arial"/>
          <w:lang w:val="en-US"/>
        </w:rPr>
        <w:t xml:space="preserve"> respondent </w:t>
      </w:r>
      <w:r w:rsidR="00E422F9" w:rsidRPr="00D919F0">
        <w:rPr>
          <w:rFonts w:ascii="Arial" w:hAnsi="Arial" w:cs="Arial"/>
          <w:lang w:val="en-US"/>
        </w:rPr>
        <w:t xml:space="preserve">claims that the applicant does not have locus standi to apply for a liquidation order based thereon that it is just and equitable to do so as contemplated in section 344 of the </w:t>
      </w:r>
      <w:r w:rsidR="0075603F" w:rsidRPr="00D919F0">
        <w:rPr>
          <w:rFonts w:ascii="Arial" w:hAnsi="Arial" w:cs="Arial"/>
          <w:lang w:val="en-US"/>
        </w:rPr>
        <w:t>1973</w:t>
      </w:r>
      <w:r w:rsidR="00E422F9" w:rsidRPr="00D919F0">
        <w:rPr>
          <w:rFonts w:ascii="Arial" w:hAnsi="Arial" w:cs="Arial"/>
          <w:lang w:val="en-US"/>
        </w:rPr>
        <w:t xml:space="preserve"> Companies Act.</w:t>
      </w:r>
    </w:p>
    <w:p w14:paraId="291B8DA5" w14:textId="77777777" w:rsidR="001516BC" w:rsidRDefault="001516BC" w:rsidP="001516BC">
      <w:pPr>
        <w:pStyle w:val="ListParagraph"/>
        <w:ind w:left="709"/>
        <w:rPr>
          <w:rFonts w:ascii="Arial" w:hAnsi="Arial" w:cs="Arial"/>
          <w:lang w:val="en-US"/>
        </w:rPr>
      </w:pPr>
    </w:p>
    <w:p w14:paraId="077AD917" w14:textId="0190A47D" w:rsidR="0075603F" w:rsidRPr="00D919F0" w:rsidRDefault="00D919F0" w:rsidP="00D919F0">
      <w:pPr>
        <w:spacing w:line="480" w:lineRule="auto"/>
        <w:ind w:left="709" w:hanging="709"/>
        <w:rPr>
          <w:rFonts w:ascii="Arial" w:hAnsi="Arial" w:cs="Arial"/>
          <w:lang w:val="en-US"/>
        </w:rPr>
      </w:pPr>
      <w:r>
        <w:rPr>
          <w:rFonts w:ascii="Arial" w:hAnsi="Arial" w:cs="Arial"/>
          <w:lang w:val="en-US"/>
        </w:rPr>
        <w:t>[54]</w:t>
      </w:r>
      <w:r>
        <w:rPr>
          <w:rFonts w:ascii="Arial" w:hAnsi="Arial" w:cs="Arial"/>
          <w:lang w:val="en-US"/>
        </w:rPr>
        <w:tab/>
      </w:r>
      <w:r w:rsidR="001516BC" w:rsidRPr="00D919F0">
        <w:rPr>
          <w:rFonts w:ascii="Arial" w:hAnsi="Arial" w:cs="Arial"/>
          <w:lang w:val="en-US"/>
        </w:rPr>
        <w:t>This</w:t>
      </w:r>
      <w:r w:rsidR="0075603F" w:rsidRPr="00D919F0">
        <w:rPr>
          <w:rFonts w:ascii="Arial" w:hAnsi="Arial" w:cs="Arial"/>
          <w:lang w:val="en-US"/>
        </w:rPr>
        <w:t xml:space="preserve"> argument</w:t>
      </w:r>
      <w:r w:rsidR="001516BC" w:rsidRPr="00D919F0">
        <w:rPr>
          <w:rFonts w:ascii="Arial" w:hAnsi="Arial" w:cs="Arial"/>
          <w:lang w:val="en-US"/>
        </w:rPr>
        <w:t xml:space="preserve"> s</w:t>
      </w:r>
      <w:r w:rsidR="0075603F" w:rsidRPr="00D919F0">
        <w:rPr>
          <w:rFonts w:ascii="Arial" w:hAnsi="Arial" w:cs="Arial"/>
          <w:lang w:val="en-US"/>
        </w:rPr>
        <w:t>tems from the applicant’s</w:t>
      </w:r>
      <w:r w:rsidR="001516BC" w:rsidRPr="00D919F0">
        <w:rPr>
          <w:rFonts w:ascii="Arial" w:hAnsi="Arial" w:cs="Arial"/>
          <w:lang w:val="en-US"/>
        </w:rPr>
        <w:t xml:space="preserve"> reliance on section 344</w:t>
      </w:r>
      <w:r w:rsidR="0075603F" w:rsidRPr="00D919F0">
        <w:rPr>
          <w:rFonts w:ascii="Arial" w:hAnsi="Arial" w:cs="Arial"/>
          <w:lang w:val="en-US"/>
        </w:rPr>
        <w:t>(h)</w:t>
      </w:r>
      <w:r w:rsidR="001516BC" w:rsidRPr="00D919F0">
        <w:rPr>
          <w:rFonts w:ascii="Arial" w:hAnsi="Arial" w:cs="Arial"/>
          <w:lang w:val="en-US"/>
        </w:rPr>
        <w:t xml:space="preserve"> of the </w:t>
      </w:r>
      <w:r w:rsidR="0075603F" w:rsidRPr="00D919F0">
        <w:rPr>
          <w:rFonts w:ascii="Arial" w:hAnsi="Arial" w:cs="Arial"/>
          <w:lang w:val="en-US"/>
        </w:rPr>
        <w:t>1973</w:t>
      </w:r>
      <w:r w:rsidR="001516BC" w:rsidRPr="00D919F0">
        <w:rPr>
          <w:rFonts w:ascii="Arial" w:hAnsi="Arial" w:cs="Arial"/>
          <w:lang w:val="en-US"/>
        </w:rPr>
        <w:t xml:space="preserve"> </w:t>
      </w:r>
      <w:r w:rsidR="0075603F" w:rsidRPr="00D919F0">
        <w:rPr>
          <w:rFonts w:ascii="Arial" w:hAnsi="Arial" w:cs="Arial"/>
          <w:lang w:val="en-US"/>
        </w:rPr>
        <w:t>C</w:t>
      </w:r>
      <w:r w:rsidR="001516BC" w:rsidRPr="00D919F0">
        <w:rPr>
          <w:rFonts w:ascii="Arial" w:hAnsi="Arial" w:cs="Arial"/>
          <w:lang w:val="en-US"/>
        </w:rPr>
        <w:t xml:space="preserve">ompanies </w:t>
      </w:r>
      <w:r w:rsidR="0075603F" w:rsidRPr="00D919F0">
        <w:rPr>
          <w:rFonts w:ascii="Arial" w:hAnsi="Arial" w:cs="Arial"/>
          <w:lang w:val="en-US"/>
        </w:rPr>
        <w:t>A</w:t>
      </w:r>
      <w:r w:rsidR="001516BC" w:rsidRPr="00D919F0">
        <w:rPr>
          <w:rFonts w:ascii="Arial" w:hAnsi="Arial" w:cs="Arial"/>
          <w:lang w:val="en-US"/>
        </w:rPr>
        <w:t>ct</w:t>
      </w:r>
      <w:r w:rsidR="0075603F" w:rsidRPr="00D919F0">
        <w:rPr>
          <w:rFonts w:ascii="Arial" w:hAnsi="Arial" w:cs="Arial"/>
          <w:lang w:val="en-US"/>
        </w:rPr>
        <w:t xml:space="preserve"> (“1973 Act”)</w:t>
      </w:r>
      <w:r w:rsidR="001516BC" w:rsidRPr="00D919F0">
        <w:rPr>
          <w:rFonts w:ascii="Arial" w:hAnsi="Arial" w:cs="Arial"/>
          <w:lang w:val="en-US"/>
        </w:rPr>
        <w:t>.</w:t>
      </w:r>
      <w:r w:rsidR="0075603F" w:rsidRPr="00D919F0">
        <w:rPr>
          <w:rFonts w:ascii="Arial" w:hAnsi="Arial" w:cs="Arial"/>
          <w:lang w:val="en-US"/>
        </w:rPr>
        <w:t xml:space="preserve"> The argument on behalf of the respondent is that CIPRO is not listed as a party who my so apply in terms of section 346. Admittedly not CIPRO, the Panel, the Minister or the Registrar of Companies are mentioned in that section, but in my view that is not the end of the enquiry.</w:t>
      </w:r>
    </w:p>
    <w:p w14:paraId="239B19A1" w14:textId="77777777" w:rsidR="0075603F" w:rsidRPr="0075603F" w:rsidRDefault="0075603F" w:rsidP="0075603F">
      <w:pPr>
        <w:pStyle w:val="ListParagraph"/>
        <w:rPr>
          <w:rFonts w:ascii="Arial" w:hAnsi="Arial" w:cs="Arial"/>
          <w:lang w:val="en-US"/>
        </w:rPr>
      </w:pPr>
    </w:p>
    <w:p w14:paraId="2697AB80" w14:textId="6DD82F37" w:rsidR="0075603F" w:rsidRPr="00D919F0" w:rsidRDefault="00D919F0" w:rsidP="00D919F0">
      <w:pPr>
        <w:spacing w:line="480" w:lineRule="auto"/>
        <w:ind w:left="709" w:hanging="709"/>
        <w:rPr>
          <w:rFonts w:ascii="Arial" w:hAnsi="Arial" w:cs="Arial"/>
          <w:lang w:val="en-US"/>
        </w:rPr>
      </w:pPr>
      <w:r>
        <w:rPr>
          <w:rFonts w:ascii="Arial" w:hAnsi="Arial" w:cs="Arial"/>
          <w:lang w:val="en-US"/>
        </w:rPr>
        <w:t>[55]</w:t>
      </w:r>
      <w:r>
        <w:rPr>
          <w:rFonts w:ascii="Arial" w:hAnsi="Arial" w:cs="Arial"/>
          <w:lang w:val="en-US"/>
        </w:rPr>
        <w:tab/>
      </w:r>
      <w:r w:rsidR="0075603F" w:rsidRPr="00D919F0">
        <w:rPr>
          <w:rFonts w:ascii="Arial" w:hAnsi="Arial" w:cs="Arial"/>
          <w:lang w:val="en-US"/>
        </w:rPr>
        <w:t>As already indicated above, CIPRO is an interested party and as such has the required locus standi to launch an application for liquidation of a company.</w:t>
      </w:r>
    </w:p>
    <w:p w14:paraId="0EE70BD8" w14:textId="77777777" w:rsidR="0075603F" w:rsidRPr="0075603F" w:rsidRDefault="0075603F" w:rsidP="0075603F">
      <w:pPr>
        <w:rPr>
          <w:rFonts w:ascii="Arial" w:hAnsi="Arial" w:cs="Arial"/>
          <w:highlight w:val="yellow"/>
          <w:lang w:val="en-US"/>
        </w:rPr>
      </w:pPr>
    </w:p>
    <w:p w14:paraId="728E5726" w14:textId="020FE84D" w:rsidR="001516BC" w:rsidRPr="00D919F0" w:rsidRDefault="00D919F0" w:rsidP="00D919F0">
      <w:pPr>
        <w:spacing w:line="480" w:lineRule="auto"/>
        <w:ind w:left="709" w:hanging="709"/>
        <w:rPr>
          <w:rFonts w:ascii="Arial" w:hAnsi="Arial" w:cs="Arial"/>
          <w:lang w:val="en-US"/>
        </w:rPr>
      </w:pPr>
      <w:r>
        <w:rPr>
          <w:rFonts w:ascii="Arial" w:hAnsi="Arial" w:cs="Arial"/>
          <w:lang w:val="en-US"/>
        </w:rPr>
        <w:t>[56]</w:t>
      </w:r>
      <w:r>
        <w:rPr>
          <w:rFonts w:ascii="Arial" w:hAnsi="Arial" w:cs="Arial"/>
          <w:lang w:val="en-US"/>
        </w:rPr>
        <w:tab/>
      </w:r>
      <w:r w:rsidR="0075603F" w:rsidRPr="00D919F0">
        <w:rPr>
          <w:rFonts w:ascii="Arial" w:hAnsi="Arial" w:cs="Arial"/>
          <w:lang w:val="en-US"/>
        </w:rPr>
        <w:t>Reliance on section 344(h), in my view is also not limited to creditors of a company only nor does the company need to be insolvent.</w:t>
      </w:r>
    </w:p>
    <w:p w14:paraId="63D631B0" w14:textId="77777777" w:rsidR="0075603F" w:rsidRPr="0075603F" w:rsidRDefault="0075603F" w:rsidP="0075603F">
      <w:pPr>
        <w:pStyle w:val="ListParagraph"/>
        <w:rPr>
          <w:rFonts w:ascii="Arial" w:hAnsi="Arial" w:cs="Arial"/>
          <w:lang w:val="en-US"/>
        </w:rPr>
      </w:pPr>
    </w:p>
    <w:p w14:paraId="0C98FAB2" w14:textId="7B37F89C" w:rsidR="0075603F" w:rsidRPr="00D919F0" w:rsidRDefault="00D919F0" w:rsidP="00D919F0">
      <w:pPr>
        <w:spacing w:line="480" w:lineRule="auto"/>
        <w:ind w:left="709" w:hanging="709"/>
        <w:rPr>
          <w:rFonts w:ascii="Arial" w:hAnsi="Arial" w:cs="Arial"/>
          <w:lang w:val="en-US"/>
        </w:rPr>
      </w:pPr>
      <w:r>
        <w:rPr>
          <w:rFonts w:ascii="Arial" w:hAnsi="Arial" w:cs="Arial"/>
          <w:lang w:val="en-US"/>
        </w:rPr>
        <w:lastRenderedPageBreak/>
        <w:t>[57]</w:t>
      </w:r>
      <w:r>
        <w:rPr>
          <w:rFonts w:ascii="Arial" w:hAnsi="Arial" w:cs="Arial"/>
          <w:lang w:val="en-US"/>
        </w:rPr>
        <w:tab/>
      </w:r>
      <w:r w:rsidR="0075603F" w:rsidRPr="00D919F0">
        <w:rPr>
          <w:rFonts w:ascii="Arial" w:hAnsi="Arial" w:cs="Arial"/>
          <w:lang w:val="en-US"/>
        </w:rPr>
        <w:t xml:space="preserve">In the matter </w:t>
      </w:r>
      <w:r w:rsidR="0075603F" w:rsidRPr="00D919F0">
        <w:rPr>
          <w:rFonts w:ascii="Arial" w:hAnsi="Arial" w:cs="Arial"/>
          <w:i/>
          <w:lang w:val="en-US"/>
        </w:rPr>
        <w:t>Rand Air (Pty) Ltd v Ray Bester Investments (Pty) Ltd</w:t>
      </w:r>
      <w:r w:rsidR="0075603F">
        <w:rPr>
          <w:rStyle w:val="FootnoteReference"/>
          <w:rFonts w:ascii="Arial" w:hAnsi="Arial" w:cs="Arial"/>
          <w:lang w:val="en-US"/>
        </w:rPr>
        <w:footnoteReference w:id="13"/>
      </w:r>
      <w:r w:rsidR="0075603F" w:rsidRPr="00D919F0">
        <w:rPr>
          <w:rFonts w:ascii="Arial" w:hAnsi="Arial" w:cs="Arial"/>
          <w:lang w:val="en-US"/>
        </w:rPr>
        <w:t xml:space="preserve"> the court sets out 5 categories upon which the Court may grant an order that a company is declared insolvent included in the concept of “just and equitable under section 344(h) of the 1973 Act. It will be adequate to summarize it as follows:</w:t>
      </w:r>
    </w:p>
    <w:p w14:paraId="5EEADAE5" w14:textId="77777777" w:rsidR="0075603F" w:rsidRPr="0075603F" w:rsidRDefault="0075603F" w:rsidP="0075603F">
      <w:pPr>
        <w:pStyle w:val="ListParagraph"/>
        <w:rPr>
          <w:rFonts w:ascii="Arial" w:hAnsi="Arial" w:cs="Arial"/>
          <w:lang w:val="en-US"/>
        </w:rPr>
      </w:pPr>
    </w:p>
    <w:p w14:paraId="31AD42DD" w14:textId="23165B50" w:rsidR="0075603F" w:rsidRPr="00D919F0" w:rsidRDefault="00D919F0" w:rsidP="00D919F0">
      <w:pPr>
        <w:spacing w:line="480" w:lineRule="auto"/>
        <w:ind w:left="1069" w:hanging="360"/>
        <w:rPr>
          <w:rFonts w:ascii="Arial" w:hAnsi="Arial" w:cs="Arial"/>
          <w:lang w:val="en-US"/>
        </w:rPr>
      </w:pPr>
      <w:r>
        <w:rPr>
          <w:rFonts w:ascii="Arial" w:hAnsi="Arial" w:cs="Arial"/>
          <w:lang w:val="en-US"/>
        </w:rPr>
        <w:t>(1)</w:t>
      </w:r>
      <w:r>
        <w:rPr>
          <w:rFonts w:ascii="Arial" w:hAnsi="Arial" w:cs="Arial"/>
          <w:lang w:val="en-US"/>
        </w:rPr>
        <w:tab/>
      </w:r>
      <w:r w:rsidR="0075603F" w:rsidRPr="00D919F0">
        <w:rPr>
          <w:rFonts w:ascii="Arial" w:hAnsi="Arial" w:cs="Arial"/>
          <w:lang w:val="en-US"/>
        </w:rPr>
        <w:t>The disappearance of the</w:t>
      </w:r>
      <w:r w:rsidR="0075603F" w:rsidRPr="00D919F0">
        <w:rPr>
          <w:rFonts w:ascii="Arial" w:hAnsi="Arial" w:cs="Arial"/>
          <w:sz w:val="26"/>
          <w:szCs w:val="26"/>
          <w:lang w:val="en-US"/>
        </w:rPr>
        <w:t xml:space="preserve"> </w:t>
      </w:r>
      <w:r w:rsidR="0075603F" w:rsidRPr="00D919F0">
        <w:rPr>
          <w:rFonts w:ascii="Times" w:hAnsi="Times" w:cs="Arial"/>
          <w:i/>
          <w:sz w:val="26"/>
          <w:szCs w:val="26"/>
          <w:lang w:val="en-US"/>
        </w:rPr>
        <w:t>substratum</w:t>
      </w:r>
      <w:r w:rsidR="0075603F" w:rsidRPr="00D919F0">
        <w:rPr>
          <w:rFonts w:ascii="Arial" w:hAnsi="Arial" w:cs="Arial"/>
          <w:lang w:val="en-US"/>
        </w:rPr>
        <w:t xml:space="preserve"> of the company. It simply means that the purpose for which it was created fell away after having been formed for a particular purpose.</w:t>
      </w:r>
    </w:p>
    <w:p w14:paraId="544CC909" w14:textId="39143A24" w:rsidR="0075603F" w:rsidRPr="00D919F0" w:rsidRDefault="00D919F0" w:rsidP="00D919F0">
      <w:pPr>
        <w:spacing w:line="480" w:lineRule="auto"/>
        <w:ind w:left="1069" w:hanging="360"/>
        <w:rPr>
          <w:rFonts w:ascii="Arial" w:hAnsi="Arial" w:cs="Arial"/>
          <w:lang w:val="en-US"/>
        </w:rPr>
      </w:pPr>
      <w:r>
        <w:rPr>
          <w:rFonts w:ascii="Arial" w:hAnsi="Arial" w:cs="Arial"/>
          <w:lang w:val="en-US"/>
        </w:rPr>
        <w:t>(2)</w:t>
      </w:r>
      <w:r>
        <w:rPr>
          <w:rFonts w:ascii="Arial" w:hAnsi="Arial" w:cs="Arial"/>
          <w:lang w:val="en-US"/>
        </w:rPr>
        <w:tab/>
      </w:r>
      <w:r w:rsidR="0075603F" w:rsidRPr="00D919F0">
        <w:rPr>
          <w:rFonts w:ascii="Arial" w:hAnsi="Arial" w:cs="Arial"/>
          <w:lang w:val="en-US"/>
        </w:rPr>
        <w:t>Illegality of the objects of the company and fraud committed in connection therewith.</w:t>
      </w:r>
    </w:p>
    <w:p w14:paraId="3787E1BF" w14:textId="292B18EC" w:rsidR="0075603F" w:rsidRPr="00D919F0" w:rsidRDefault="00D919F0" w:rsidP="00D919F0">
      <w:pPr>
        <w:spacing w:line="480" w:lineRule="auto"/>
        <w:ind w:left="1069" w:hanging="360"/>
        <w:rPr>
          <w:rFonts w:ascii="Arial" w:hAnsi="Arial" w:cs="Arial"/>
          <w:lang w:val="en-US"/>
        </w:rPr>
      </w:pPr>
      <w:r>
        <w:rPr>
          <w:rFonts w:ascii="Arial" w:hAnsi="Arial" w:cs="Arial"/>
          <w:lang w:val="en-US"/>
        </w:rPr>
        <w:t>(3)</w:t>
      </w:r>
      <w:r>
        <w:rPr>
          <w:rFonts w:ascii="Arial" w:hAnsi="Arial" w:cs="Arial"/>
          <w:lang w:val="en-US"/>
        </w:rPr>
        <w:tab/>
      </w:r>
      <w:r w:rsidR="0075603F" w:rsidRPr="00D919F0">
        <w:rPr>
          <w:rFonts w:ascii="Arial" w:hAnsi="Arial" w:cs="Arial"/>
          <w:lang w:val="en-US"/>
        </w:rPr>
        <w:t>A deadlock in the management of the company’s affairs.</w:t>
      </w:r>
    </w:p>
    <w:p w14:paraId="67D0CB83" w14:textId="65C1D599" w:rsidR="0075603F" w:rsidRPr="00D919F0" w:rsidRDefault="00D919F0" w:rsidP="00D919F0">
      <w:pPr>
        <w:spacing w:line="480" w:lineRule="auto"/>
        <w:ind w:left="1069" w:hanging="360"/>
        <w:rPr>
          <w:rFonts w:ascii="Arial" w:hAnsi="Arial" w:cs="Arial"/>
          <w:lang w:val="en-US"/>
        </w:rPr>
      </w:pPr>
      <w:r>
        <w:rPr>
          <w:rFonts w:ascii="Arial" w:hAnsi="Arial" w:cs="Arial"/>
          <w:lang w:val="en-US"/>
        </w:rPr>
        <w:t>(4)</w:t>
      </w:r>
      <w:r>
        <w:rPr>
          <w:rFonts w:ascii="Arial" w:hAnsi="Arial" w:cs="Arial"/>
          <w:lang w:val="en-US"/>
        </w:rPr>
        <w:tab/>
      </w:r>
      <w:r w:rsidR="0075603F" w:rsidRPr="00D919F0">
        <w:rPr>
          <w:rFonts w:ascii="Arial" w:hAnsi="Arial" w:cs="Arial"/>
          <w:lang w:val="en-US"/>
        </w:rPr>
        <w:t>Grounds analogous to those for the dissolution of a partnership.</w:t>
      </w:r>
    </w:p>
    <w:p w14:paraId="7606FB1D" w14:textId="380F6FB3" w:rsidR="0075603F" w:rsidRPr="00D919F0" w:rsidRDefault="00D919F0" w:rsidP="00D919F0">
      <w:pPr>
        <w:spacing w:line="480" w:lineRule="auto"/>
        <w:ind w:left="1069" w:hanging="360"/>
        <w:rPr>
          <w:rFonts w:ascii="Arial" w:hAnsi="Arial" w:cs="Arial"/>
          <w:lang w:val="en-US"/>
        </w:rPr>
      </w:pPr>
      <w:r>
        <w:rPr>
          <w:rFonts w:ascii="Arial" w:hAnsi="Arial" w:cs="Arial"/>
          <w:lang w:val="en-US"/>
        </w:rPr>
        <w:t>(5)</w:t>
      </w:r>
      <w:r>
        <w:rPr>
          <w:rFonts w:ascii="Arial" w:hAnsi="Arial" w:cs="Arial"/>
          <w:lang w:val="en-US"/>
        </w:rPr>
        <w:tab/>
      </w:r>
      <w:r w:rsidR="0075603F" w:rsidRPr="00D919F0">
        <w:rPr>
          <w:rFonts w:ascii="Arial" w:hAnsi="Arial" w:cs="Arial"/>
          <w:lang w:val="en-US"/>
        </w:rPr>
        <w:t>Where there has been oppression such as in the event of those in control of the company oppress the minorities in the companies.</w:t>
      </w:r>
    </w:p>
    <w:p w14:paraId="6F3E9361" w14:textId="77777777" w:rsidR="0075603F" w:rsidRPr="0075603F" w:rsidRDefault="0075603F" w:rsidP="0075603F">
      <w:pPr>
        <w:pStyle w:val="ListParagraph"/>
        <w:ind w:left="1069"/>
        <w:rPr>
          <w:rFonts w:ascii="Arial" w:hAnsi="Arial" w:cs="Arial"/>
          <w:lang w:val="en-US"/>
        </w:rPr>
      </w:pPr>
    </w:p>
    <w:p w14:paraId="30CE5105" w14:textId="728A4E3C" w:rsidR="0075603F" w:rsidRPr="00D919F0" w:rsidRDefault="00D919F0" w:rsidP="00D919F0">
      <w:pPr>
        <w:spacing w:line="480" w:lineRule="auto"/>
        <w:ind w:left="709" w:hanging="709"/>
        <w:rPr>
          <w:rFonts w:ascii="Arial" w:hAnsi="Arial" w:cs="Arial"/>
          <w:lang w:val="en-US"/>
        </w:rPr>
      </w:pPr>
      <w:r>
        <w:rPr>
          <w:rFonts w:ascii="Arial" w:hAnsi="Arial" w:cs="Arial"/>
          <w:lang w:val="en-US"/>
        </w:rPr>
        <w:t>[58]</w:t>
      </w:r>
      <w:r>
        <w:rPr>
          <w:rFonts w:ascii="Arial" w:hAnsi="Arial" w:cs="Arial"/>
          <w:lang w:val="en-US"/>
        </w:rPr>
        <w:tab/>
      </w:r>
      <w:r w:rsidR="0075603F" w:rsidRPr="00D919F0">
        <w:rPr>
          <w:rFonts w:ascii="Arial" w:hAnsi="Arial" w:cs="Arial"/>
          <w:lang w:val="en-US"/>
        </w:rPr>
        <w:t>It is abundantly clear that it is not a requirement that the company sought to be liquidated must be insolvent. It is however a factor that may influence the order the be granted by the court in such application.</w:t>
      </w:r>
    </w:p>
    <w:p w14:paraId="5366E944" w14:textId="7A1412D6" w:rsidR="0075603F" w:rsidRPr="00D919F0" w:rsidRDefault="00D919F0" w:rsidP="00D919F0">
      <w:pPr>
        <w:spacing w:line="480" w:lineRule="auto"/>
        <w:ind w:left="709" w:hanging="709"/>
        <w:rPr>
          <w:rFonts w:ascii="Arial" w:hAnsi="Arial" w:cs="Arial"/>
          <w:lang w:val="en-US"/>
        </w:rPr>
      </w:pPr>
      <w:r>
        <w:rPr>
          <w:rFonts w:ascii="Arial" w:hAnsi="Arial" w:cs="Arial"/>
          <w:lang w:val="en-US"/>
        </w:rPr>
        <w:t>[59]</w:t>
      </w:r>
      <w:r>
        <w:rPr>
          <w:rFonts w:ascii="Arial" w:hAnsi="Arial" w:cs="Arial"/>
          <w:lang w:val="en-US"/>
        </w:rPr>
        <w:tab/>
      </w:r>
      <w:r w:rsidR="0075603F" w:rsidRPr="00D919F0">
        <w:rPr>
          <w:rFonts w:ascii="Arial" w:hAnsi="Arial" w:cs="Arial"/>
          <w:lang w:val="en-US"/>
        </w:rPr>
        <w:t>CIPRO is not an entity listed in section 346 that would on the face of it entitle it to launch these proceedings. But having found that it is an interested person as set out above, it is clear that section 79 as read with item 9 of schedule 5 bestows such authority on CIPRO. It therefor has Locus Standi.</w:t>
      </w:r>
    </w:p>
    <w:p w14:paraId="66F3E0EC" w14:textId="77777777" w:rsidR="0075603F" w:rsidRDefault="0075603F" w:rsidP="0075603F">
      <w:pPr>
        <w:pStyle w:val="ListParagraph"/>
        <w:ind w:left="709"/>
        <w:rPr>
          <w:rFonts w:ascii="Arial" w:hAnsi="Arial" w:cs="Arial"/>
          <w:lang w:val="en-US"/>
        </w:rPr>
      </w:pPr>
    </w:p>
    <w:p w14:paraId="045EEDD7" w14:textId="65FDE635" w:rsidR="001516BC" w:rsidRPr="00D919F0" w:rsidRDefault="00D919F0" w:rsidP="00D919F0">
      <w:pPr>
        <w:spacing w:line="480" w:lineRule="auto"/>
        <w:ind w:left="709" w:hanging="709"/>
        <w:rPr>
          <w:rFonts w:ascii="Arial" w:hAnsi="Arial" w:cs="Arial"/>
          <w:lang w:val="en-US"/>
        </w:rPr>
      </w:pPr>
      <w:r w:rsidRPr="0075603F">
        <w:rPr>
          <w:rFonts w:ascii="Arial" w:hAnsi="Arial" w:cs="Arial"/>
          <w:lang w:val="en-US"/>
        </w:rPr>
        <w:lastRenderedPageBreak/>
        <w:t>[60]</w:t>
      </w:r>
      <w:r w:rsidRPr="0075603F">
        <w:rPr>
          <w:rFonts w:ascii="Arial" w:hAnsi="Arial" w:cs="Arial"/>
          <w:lang w:val="en-US"/>
        </w:rPr>
        <w:tab/>
      </w:r>
      <w:r w:rsidR="0075603F" w:rsidRPr="00D919F0">
        <w:rPr>
          <w:rFonts w:ascii="Arial" w:hAnsi="Arial" w:cs="Arial"/>
          <w:lang w:val="en-US"/>
        </w:rPr>
        <w:t xml:space="preserve">Furthermore, the court further found that these 5 categories are not a </w:t>
      </w:r>
      <w:r w:rsidR="0075603F" w:rsidRPr="00D919F0">
        <w:rPr>
          <w:rFonts w:ascii="Times" w:hAnsi="Times" w:cs="Arial"/>
          <w:i/>
          <w:sz w:val="26"/>
          <w:szCs w:val="26"/>
          <w:lang w:val="en-US"/>
        </w:rPr>
        <w:t>numerus clausus</w:t>
      </w:r>
      <w:r w:rsidR="0075603F" w:rsidRPr="0075603F">
        <w:rPr>
          <w:rStyle w:val="FootnoteReference"/>
          <w:rFonts w:ascii="Arial" w:hAnsi="Arial" w:cs="Arial"/>
          <w:lang w:val="en-US"/>
        </w:rPr>
        <w:footnoteReference w:id="14"/>
      </w:r>
      <w:r w:rsidR="0075603F" w:rsidRPr="00D919F0">
        <w:rPr>
          <w:rFonts w:ascii="Times" w:hAnsi="Times" w:cs="Arial"/>
          <w:i/>
          <w:sz w:val="26"/>
          <w:szCs w:val="26"/>
          <w:lang w:val="en-US"/>
        </w:rPr>
        <w:t xml:space="preserve"> </w:t>
      </w:r>
      <w:r w:rsidR="0075603F" w:rsidRPr="00D919F0">
        <w:rPr>
          <w:rFonts w:ascii="Arial" w:hAnsi="Arial" w:cs="Arial"/>
          <w:lang w:val="en-US"/>
        </w:rPr>
        <w:t>and that it is open to court to develop further categories in future.</w:t>
      </w:r>
    </w:p>
    <w:p w14:paraId="1C7AE00A" w14:textId="77777777" w:rsidR="001516BC" w:rsidRPr="0075603F" w:rsidRDefault="001516BC" w:rsidP="0075603F">
      <w:pPr>
        <w:rPr>
          <w:rFonts w:ascii="Arial" w:hAnsi="Arial" w:cs="Arial"/>
          <w:lang w:val="en-US"/>
        </w:rPr>
      </w:pPr>
    </w:p>
    <w:p w14:paraId="601364C9" w14:textId="482C88EE" w:rsidR="00DE4530" w:rsidRPr="00D919F0" w:rsidRDefault="00D919F0" w:rsidP="00D919F0">
      <w:pPr>
        <w:spacing w:line="480" w:lineRule="auto"/>
        <w:ind w:left="709" w:hanging="709"/>
        <w:rPr>
          <w:rFonts w:ascii="Arial" w:hAnsi="Arial" w:cs="Arial"/>
          <w:lang w:val="en-US"/>
        </w:rPr>
      </w:pPr>
      <w:r>
        <w:rPr>
          <w:rFonts w:ascii="Arial" w:hAnsi="Arial" w:cs="Arial"/>
          <w:lang w:val="en-US"/>
        </w:rPr>
        <w:t>[61]</w:t>
      </w:r>
      <w:r>
        <w:rPr>
          <w:rFonts w:ascii="Arial" w:hAnsi="Arial" w:cs="Arial"/>
          <w:lang w:val="en-US"/>
        </w:rPr>
        <w:tab/>
      </w:r>
      <w:r w:rsidR="001516BC" w:rsidRPr="00D919F0">
        <w:rPr>
          <w:rFonts w:ascii="Arial" w:hAnsi="Arial" w:cs="Arial"/>
          <w:lang w:val="en-US"/>
        </w:rPr>
        <w:t>Respondent</w:t>
      </w:r>
      <w:r w:rsidR="00E422F9" w:rsidRPr="00D919F0">
        <w:rPr>
          <w:rFonts w:ascii="Arial" w:hAnsi="Arial" w:cs="Arial"/>
          <w:lang w:val="en-US"/>
        </w:rPr>
        <w:t xml:space="preserve"> </w:t>
      </w:r>
      <w:r w:rsidR="0075603F" w:rsidRPr="00D919F0">
        <w:rPr>
          <w:rFonts w:ascii="Arial" w:hAnsi="Arial" w:cs="Arial"/>
          <w:lang w:val="en-US"/>
        </w:rPr>
        <w:t>also</w:t>
      </w:r>
      <w:r w:rsidR="001516BC" w:rsidRPr="00D919F0">
        <w:rPr>
          <w:rFonts w:ascii="Arial" w:hAnsi="Arial" w:cs="Arial"/>
          <w:lang w:val="en-US"/>
        </w:rPr>
        <w:t xml:space="preserve"> </w:t>
      </w:r>
      <w:r w:rsidR="00DE4530" w:rsidRPr="00D919F0">
        <w:rPr>
          <w:rFonts w:ascii="Arial" w:hAnsi="Arial" w:cs="Arial"/>
          <w:lang w:val="en-US"/>
        </w:rPr>
        <w:t>claim</w:t>
      </w:r>
      <w:r w:rsidR="001516BC" w:rsidRPr="00D919F0">
        <w:rPr>
          <w:rFonts w:ascii="Arial" w:hAnsi="Arial" w:cs="Arial"/>
          <w:lang w:val="en-US"/>
        </w:rPr>
        <w:t>s</w:t>
      </w:r>
      <w:r w:rsidR="00DE4530" w:rsidRPr="00D919F0">
        <w:rPr>
          <w:rFonts w:ascii="Arial" w:hAnsi="Arial" w:cs="Arial"/>
          <w:lang w:val="en-US"/>
        </w:rPr>
        <w:t xml:space="preserve"> that the applicant does not have locus standi </w:t>
      </w:r>
      <w:r w:rsidR="0075603F" w:rsidRPr="00D919F0">
        <w:rPr>
          <w:rFonts w:ascii="Arial" w:hAnsi="Arial" w:cs="Arial"/>
          <w:lang w:val="en-US"/>
        </w:rPr>
        <w:t xml:space="preserve">or right </w:t>
      </w:r>
      <w:r w:rsidR="00DE4530" w:rsidRPr="00D919F0">
        <w:rPr>
          <w:rFonts w:ascii="Arial" w:hAnsi="Arial" w:cs="Arial"/>
          <w:lang w:val="en-US"/>
        </w:rPr>
        <w:t xml:space="preserve">to launch these proceedings, </w:t>
      </w:r>
      <w:r w:rsidR="001516BC" w:rsidRPr="00D919F0">
        <w:rPr>
          <w:rFonts w:ascii="Arial" w:hAnsi="Arial" w:cs="Arial"/>
          <w:lang w:val="en-US"/>
        </w:rPr>
        <w:t>because</w:t>
      </w:r>
      <w:r w:rsidR="00DE4530" w:rsidRPr="00D919F0">
        <w:rPr>
          <w:rFonts w:ascii="Arial" w:hAnsi="Arial" w:cs="Arial"/>
          <w:lang w:val="en-US"/>
        </w:rPr>
        <w:t xml:space="preserve"> it must first have exhausted some other remedies or have sought compliance with the Act before it could have brought a liquidation application</w:t>
      </w:r>
      <w:r w:rsidR="00953C91" w:rsidRPr="00D919F0">
        <w:rPr>
          <w:rFonts w:ascii="Arial" w:hAnsi="Arial" w:cs="Arial"/>
          <w:lang w:val="en-US"/>
        </w:rPr>
        <w:t>.</w:t>
      </w:r>
      <w:r w:rsidR="001516BC" w:rsidRPr="00D919F0">
        <w:rPr>
          <w:rFonts w:ascii="Arial" w:hAnsi="Arial" w:cs="Arial"/>
          <w:lang w:val="en-US"/>
        </w:rPr>
        <w:t xml:space="preserve"> Again</w:t>
      </w:r>
      <w:r w:rsidR="0075603F" w:rsidRPr="00D919F0">
        <w:rPr>
          <w:rFonts w:ascii="Arial" w:hAnsi="Arial" w:cs="Arial"/>
          <w:lang w:val="en-US"/>
        </w:rPr>
        <w:t>,</w:t>
      </w:r>
      <w:r w:rsidR="001516BC" w:rsidRPr="00D919F0">
        <w:rPr>
          <w:rFonts w:ascii="Arial" w:hAnsi="Arial" w:cs="Arial"/>
          <w:lang w:val="en-US"/>
        </w:rPr>
        <w:t xml:space="preserve"> in my view this is a question whether the facts on which the applicant rely for the application would entitle it to an order or not and has nothing to do with the standing to bring the application.</w:t>
      </w:r>
    </w:p>
    <w:p w14:paraId="58333BCC" w14:textId="77777777" w:rsidR="00953C91" w:rsidRDefault="00953C91" w:rsidP="00953C91">
      <w:pPr>
        <w:pStyle w:val="ListParagraph"/>
        <w:ind w:left="709"/>
        <w:rPr>
          <w:rFonts w:ascii="Arial" w:hAnsi="Arial" w:cs="Arial"/>
          <w:lang w:val="en-US"/>
        </w:rPr>
      </w:pPr>
    </w:p>
    <w:p w14:paraId="45B7B3C6" w14:textId="47321CC4" w:rsidR="00953C91" w:rsidRPr="00D919F0" w:rsidRDefault="00D919F0" w:rsidP="00D919F0">
      <w:pPr>
        <w:spacing w:line="480" w:lineRule="auto"/>
        <w:ind w:left="709" w:hanging="709"/>
        <w:rPr>
          <w:rFonts w:ascii="Arial" w:hAnsi="Arial" w:cs="Arial"/>
          <w:lang w:val="en-US"/>
        </w:rPr>
      </w:pPr>
      <w:r>
        <w:rPr>
          <w:rFonts w:ascii="Arial" w:hAnsi="Arial" w:cs="Arial"/>
          <w:lang w:val="en-US"/>
        </w:rPr>
        <w:t>[62]</w:t>
      </w:r>
      <w:r>
        <w:rPr>
          <w:rFonts w:ascii="Arial" w:hAnsi="Arial" w:cs="Arial"/>
          <w:lang w:val="en-US"/>
        </w:rPr>
        <w:tab/>
      </w:r>
      <w:r w:rsidR="00953C91" w:rsidRPr="00D919F0">
        <w:rPr>
          <w:rFonts w:ascii="Arial" w:hAnsi="Arial" w:cs="Arial"/>
          <w:lang w:val="en-US"/>
        </w:rPr>
        <w:t>The remaining question</w:t>
      </w:r>
      <w:r w:rsidR="0075603F" w:rsidRPr="00D919F0">
        <w:rPr>
          <w:rFonts w:ascii="Arial" w:hAnsi="Arial" w:cs="Arial"/>
          <w:lang w:val="en-US"/>
        </w:rPr>
        <w:t xml:space="preserve"> is</w:t>
      </w:r>
      <w:r w:rsidR="001516BC" w:rsidRPr="00D919F0">
        <w:rPr>
          <w:rFonts w:ascii="Arial" w:hAnsi="Arial" w:cs="Arial"/>
          <w:lang w:val="en-US"/>
        </w:rPr>
        <w:t xml:space="preserve"> therefore</w:t>
      </w:r>
      <w:r w:rsidR="00953C91" w:rsidRPr="00D919F0">
        <w:rPr>
          <w:rFonts w:ascii="Arial" w:hAnsi="Arial" w:cs="Arial"/>
          <w:lang w:val="en-US"/>
        </w:rPr>
        <w:t>, has applicant made out a case having regard to the legislative requirements.</w:t>
      </w:r>
    </w:p>
    <w:p w14:paraId="42670E33" w14:textId="0B23218D" w:rsidR="0075603F" w:rsidRDefault="0075603F" w:rsidP="0075603F">
      <w:pPr>
        <w:pStyle w:val="ListParagraph"/>
        <w:rPr>
          <w:rFonts w:ascii="Arial" w:hAnsi="Arial" w:cs="Arial"/>
          <w:lang w:val="en-US"/>
        </w:rPr>
      </w:pPr>
    </w:p>
    <w:p w14:paraId="5DCAD0B9" w14:textId="77777777" w:rsidR="0075603F" w:rsidRPr="0075603F" w:rsidRDefault="0075603F" w:rsidP="0075603F">
      <w:pPr>
        <w:pStyle w:val="ListParagraph"/>
        <w:rPr>
          <w:rFonts w:ascii="Arial" w:hAnsi="Arial" w:cs="Arial"/>
          <w:lang w:val="en-US"/>
        </w:rPr>
      </w:pPr>
    </w:p>
    <w:p w14:paraId="1562396C" w14:textId="77777777" w:rsidR="0075603F" w:rsidRPr="00953C91" w:rsidRDefault="0075603F" w:rsidP="0075603F">
      <w:pPr>
        <w:spacing w:line="480" w:lineRule="auto"/>
        <w:rPr>
          <w:rFonts w:ascii="Arial" w:hAnsi="Arial" w:cs="Arial"/>
          <w:b/>
          <w:i/>
          <w:lang w:val="en-US"/>
        </w:rPr>
      </w:pPr>
      <w:r w:rsidRPr="00953C91">
        <w:rPr>
          <w:rFonts w:ascii="Arial" w:hAnsi="Arial" w:cs="Arial"/>
          <w:b/>
          <w:i/>
          <w:lang w:val="en-US"/>
        </w:rPr>
        <w:t>Section 81 of the Companies Act 71 of 2008</w:t>
      </w:r>
    </w:p>
    <w:p w14:paraId="7441B3CE" w14:textId="77777777" w:rsidR="0075603F" w:rsidRPr="00294422" w:rsidRDefault="0075603F" w:rsidP="0075603F">
      <w:pPr>
        <w:pStyle w:val="ListParagraph"/>
        <w:rPr>
          <w:rFonts w:ascii="Arial" w:hAnsi="Arial" w:cs="Arial"/>
          <w:lang w:val="en-US"/>
        </w:rPr>
      </w:pPr>
    </w:p>
    <w:p w14:paraId="179BE24B" w14:textId="580B7473" w:rsidR="0075603F" w:rsidRPr="00D919F0" w:rsidRDefault="00D919F0" w:rsidP="00D919F0">
      <w:pPr>
        <w:spacing w:line="480" w:lineRule="auto"/>
        <w:ind w:left="709" w:hanging="709"/>
        <w:rPr>
          <w:rFonts w:ascii="Arial" w:hAnsi="Arial" w:cs="Arial"/>
          <w:lang w:val="en-US"/>
        </w:rPr>
      </w:pPr>
      <w:r>
        <w:rPr>
          <w:rFonts w:ascii="Arial" w:hAnsi="Arial" w:cs="Arial"/>
          <w:lang w:val="en-US"/>
        </w:rPr>
        <w:t>[63]</w:t>
      </w:r>
      <w:r>
        <w:rPr>
          <w:rFonts w:ascii="Arial" w:hAnsi="Arial" w:cs="Arial"/>
          <w:lang w:val="en-US"/>
        </w:rPr>
        <w:tab/>
      </w:r>
      <w:r w:rsidR="0075603F" w:rsidRPr="00D919F0">
        <w:rPr>
          <w:rFonts w:ascii="Arial" w:hAnsi="Arial" w:cs="Arial"/>
          <w:lang w:val="en-US"/>
        </w:rPr>
        <w:t>The relevant section empowering CIPC to liquidate a company is contained in section 81(1)(f). It reads as follows:</w:t>
      </w:r>
    </w:p>
    <w:p w14:paraId="524525D8" w14:textId="77777777" w:rsidR="0075603F" w:rsidRDefault="0075603F" w:rsidP="0075603F">
      <w:pPr>
        <w:pStyle w:val="ListParagraph"/>
        <w:spacing w:line="360" w:lineRule="auto"/>
        <w:ind w:left="1440"/>
        <w:rPr>
          <w:rFonts w:ascii="Times" w:hAnsi="Times"/>
          <w:i/>
          <w:iCs/>
          <w:lang w:val="en-US"/>
        </w:rPr>
      </w:pPr>
      <w:r w:rsidRPr="006C096D">
        <w:rPr>
          <w:rFonts w:ascii="Times" w:hAnsi="Times"/>
          <w:i/>
          <w:iCs/>
          <w:lang w:val="en-US"/>
        </w:rPr>
        <w:t>“</w:t>
      </w:r>
      <w:r w:rsidRPr="006C096D">
        <w:rPr>
          <w:rFonts w:ascii="Times" w:eastAsiaTheme="minorHAnsi" w:hAnsi="Times"/>
          <w:i/>
          <w:iCs/>
          <w:lang w:val="en-US"/>
        </w:rPr>
        <w:t xml:space="preserve">81. (1) A </w:t>
      </w:r>
      <w:r w:rsidRPr="0075603F">
        <w:rPr>
          <w:rFonts w:ascii="Times" w:eastAsiaTheme="minorHAnsi" w:hAnsi="Times"/>
          <w:b/>
          <w:i/>
          <w:iCs/>
          <w:lang w:val="en-US"/>
        </w:rPr>
        <w:t>court may order</w:t>
      </w:r>
      <w:r w:rsidRPr="006C096D">
        <w:rPr>
          <w:rFonts w:ascii="Times" w:eastAsiaTheme="minorHAnsi" w:hAnsi="Times"/>
          <w:i/>
          <w:iCs/>
          <w:lang w:val="en-US"/>
        </w:rPr>
        <w:t xml:space="preserve"> </w:t>
      </w:r>
      <w:r w:rsidRPr="0075603F">
        <w:rPr>
          <w:rFonts w:ascii="Times" w:eastAsiaTheme="minorHAnsi" w:hAnsi="Times"/>
          <w:b/>
          <w:i/>
          <w:iCs/>
          <w:lang w:val="en-US"/>
        </w:rPr>
        <w:t>a solvent company</w:t>
      </w:r>
      <w:r w:rsidRPr="006C096D">
        <w:rPr>
          <w:rFonts w:ascii="Times" w:eastAsiaTheme="minorHAnsi" w:hAnsi="Times"/>
          <w:i/>
          <w:iCs/>
          <w:lang w:val="en-US"/>
        </w:rPr>
        <w:t xml:space="preserve"> to be wound up if—</w:t>
      </w:r>
    </w:p>
    <w:p w14:paraId="41C9BE10" w14:textId="77777777" w:rsidR="0075603F" w:rsidRPr="006C096D" w:rsidRDefault="0075603F" w:rsidP="0075603F">
      <w:pPr>
        <w:pStyle w:val="ListParagraph"/>
        <w:spacing w:line="360" w:lineRule="auto"/>
        <w:ind w:left="1440"/>
        <w:rPr>
          <w:rFonts w:ascii="Times" w:hAnsi="Times" w:cs="Arial"/>
          <w:i/>
          <w:lang w:val="en-US"/>
        </w:rPr>
      </w:pPr>
      <w:r>
        <w:rPr>
          <w:rFonts w:ascii="Times" w:hAnsi="Times" w:cs="Arial"/>
          <w:i/>
          <w:lang w:val="en-US"/>
        </w:rPr>
        <w:tab/>
        <w:t>…..</w:t>
      </w:r>
    </w:p>
    <w:p w14:paraId="738D498C" w14:textId="77777777" w:rsidR="0075603F" w:rsidRPr="006C096D" w:rsidRDefault="0075603F" w:rsidP="0075603F">
      <w:pPr>
        <w:pStyle w:val="ListParagraph"/>
        <w:tabs>
          <w:tab w:val="left" w:pos="2268"/>
        </w:tabs>
        <w:spacing w:line="360" w:lineRule="auto"/>
        <w:ind w:left="2552" w:hanging="500"/>
        <w:rPr>
          <w:rFonts w:ascii="Times" w:hAnsi="Times" w:cs="Arial"/>
          <w:i/>
          <w:lang w:val="en-US"/>
        </w:rPr>
      </w:pPr>
      <w:r w:rsidRPr="006C096D">
        <w:rPr>
          <w:rFonts w:ascii="Times" w:hAnsi="Times" w:cs="Arial"/>
          <w:i/>
          <w:lang w:val="en-US"/>
        </w:rPr>
        <w:tab/>
        <w:t xml:space="preserve">(f) </w:t>
      </w:r>
      <w:r w:rsidRPr="0075603F">
        <w:rPr>
          <w:rFonts w:ascii="Times" w:hAnsi="Times" w:cs="Arial"/>
          <w:b/>
          <w:i/>
          <w:lang w:val="en-US"/>
        </w:rPr>
        <w:t>the Commission</w:t>
      </w:r>
      <w:r w:rsidRPr="006C096D">
        <w:rPr>
          <w:rFonts w:ascii="Times" w:hAnsi="Times" w:cs="Arial"/>
          <w:i/>
          <w:lang w:val="en-US"/>
        </w:rPr>
        <w:t xml:space="preserve"> or </w:t>
      </w:r>
      <w:r w:rsidRPr="0075603F">
        <w:rPr>
          <w:rFonts w:ascii="Times" w:hAnsi="Times" w:cs="Arial"/>
          <w:b/>
          <w:i/>
          <w:lang w:val="en-US"/>
        </w:rPr>
        <w:t>Panel has applied</w:t>
      </w:r>
      <w:r w:rsidRPr="006C096D">
        <w:rPr>
          <w:rFonts w:ascii="Times" w:hAnsi="Times" w:cs="Arial"/>
          <w:i/>
          <w:lang w:val="en-US"/>
        </w:rPr>
        <w:t xml:space="preserve"> to the court </w:t>
      </w:r>
      <w:r w:rsidRPr="0075603F">
        <w:rPr>
          <w:rFonts w:ascii="Times" w:hAnsi="Times" w:cs="Arial"/>
          <w:b/>
          <w:i/>
          <w:lang w:val="en-US"/>
        </w:rPr>
        <w:t>for an order to wind up the company</w:t>
      </w:r>
      <w:r w:rsidRPr="006C096D">
        <w:rPr>
          <w:rFonts w:ascii="Times" w:hAnsi="Times" w:cs="Arial"/>
          <w:i/>
          <w:lang w:val="en-US"/>
        </w:rPr>
        <w:t xml:space="preserve"> </w:t>
      </w:r>
      <w:r w:rsidRPr="0075603F">
        <w:rPr>
          <w:rFonts w:ascii="Times" w:hAnsi="Times" w:cs="Arial"/>
          <w:b/>
          <w:i/>
          <w:lang w:val="en-US"/>
        </w:rPr>
        <w:t xml:space="preserve">on the </w:t>
      </w:r>
      <w:r w:rsidRPr="0075603F">
        <w:rPr>
          <w:rFonts w:ascii="Times" w:hAnsi="Times" w:cs="Arial"/>
          <w:i/>
          <w:lang w:val="en-US"/>
        </w:rPr>
        <w:t>grounds that</w:t>
      </w:r>
      <w:r w:rsidRPr="006C096D">
        <w:rPr>
          <w:rFonts w:ascii="Times" w:hAnsi="Times" w:cs="Arial"/>
          <w:i/>
          <w:lang w:val="en-US"/>
        </w:rPr>
        <w:t>—</w:t>
      </w:r>
    </w:p>
    <w:p w14:paraId="0E4B629E" w14:textId="77777777" w:rsidR="0075603F" w:rsidRDefault="0075603F" w:rsidP="0075603F">
      <w:pPr>
        <w:pStyle w:val="ListParagraph"/>
        <w:spacing w:line="360" w:lineRule="auto"/>
        <w:ind w:left="2835" w:hanging="283"/>
        <w:rPr>
          <w:rFonts w:ascii="Times" w:hAnsi="Times" w:cs="Arial"/>
          <w:i/>
          <w:lang w:val="en-US"/>
        </w:rPr>
      </w:pPr>
      <w:r w:rsidRPr="006C096D">
        <w:rPr>
          <w:rFonts w:ascii="Times" w:hAnsi="Times" w:cs="Arial"/>
          <w:i/>
          <w:lang w:val="en-US"/>
        </w:rPr>
        <w:t xml:space="preserve">(i) </w:t>
      </w:r>
      <w:r w:rsidRPr="0075603F">
        <w:rPr>
          <w:rFonts w:ascii="Times" w:hAnsi="Times" w:cs="Arial"/>
          <w:b/>
          <w:i/>
          <w:lang w:val="en-US"/>
        </w:rPr>
        <w:t>the company</w:t>
      </w:r>
      <w:r w:rsidRPr="006C096D">
        <w:rPr>
          <w:rFonts w:ascii="Times" w:hAnsi="Times" w:cs="Arial"/>
          <w:i/>
          <w:lang w:val="en-US"/>
        </w:rPr>
        <w:t xml:space="preserve">, its directors or prescribed officers or other persons in control of the company are acting </w:t>
      </w:r>
      <w:r w:rsidRPr="0075603F">
        <w:rPr>
          <w:rFonts w:ascii="Times" w:hAnsi="Times" w:cs="Arial"/>
          <w:b/>
          <w:i/>
          <w:lang w:val="en-US"/>
        </w:rPr>
        <w:t>or have acted in a manner that is</w:t>
      </w:r>
      <w:r w:rsidRPr="006C096D">
        <w:rPr>
          <w:rFonts w:ascii="Times" w:hAnsi="Times" w:cs="Arial"/>
          <w:i/>
          <w:lang w:val="en-US"/>
        </w:rPr>
        <w:t xml:space="preserve"> fraudulent or </w:t>
      </w:r>
      <w:r w:rsidRPr="0075603F">
        <w:rPr>
          <w:rFonts w:ascii="Times" w:hAnsi="Times" w:cs="Arial"/>
          <w:b/>
          <w:i/>
          <w:lang w:val="en-US"/>
        </w:rPr>
        <w:t>otherwise illegal</w:t>
      </w:r>
      <w:r w:rsidRPr="006C096D">
        <w:rPr>
          <w:rFonts w:ascii="Times" w:hAnsi="Times" w:cs="Arial"/>
          <w:i/>
          <w:lang w:val="en-US"/>
        </w:rPr>
        <w:t xml:space="preserve">, </w:t>
      </w:r>
      <w:r w:rsidRPr="0075603F">
        <w:rPr>
          <w:rFonts w:ascii="Times" w:hAnsi="Times" w:cs="Arial"/>
          <w:b/>
          <w:i/>
          <w:lang w:val="en-US"/>
        </w:rPr>
        <w:t>the Commission or Panel, as the case may be, has issued a compliance notice in respect of that conduct, and the company has failed to comply with that compliance notice</w:t>
      </w:r>
      <w:r w:rsidRPr="006C096D">
        <w:rPr>
          <w:rFonts w:ascii="Times" w:hAnsi="Times" w:cs="Arial"/>
          <w:i/>
          <w:lang w:val="en-US"/>
        </w:rPr>
        <w:t xml:space="preserve">; </w:t>
      </w:r>
      <w:r w:rsidRPr="0075603F">
        <w:rPr>
          <w:rFonts w:ascii="Times" w:hAnsi="Times" w:cs="Arial"/>
          <w:b/>
          <w:i/>
          <w:u w:val="single"/>
          <w:lang w:val="en-US"/>
        </w:rPr>
        <w:t>and</w:t>
      </w:r>
    </w:p>
    <w:p w14:paraId="7D130A75" w14:textId="77777777" w:rsidR="0075603F" w:rsidRPr="006C096D" w:rsidRDefault="0075603F" w:rsidP="0075603F">
      <w:pPr>
        <w:pStyle w:val="ListParagraph"/>
        <w:spacing w:line="360" w:lineRule="auto"/>
        <w:ind w:left="2835" w:hanging="283"/>
        <w:rPr>
          <w:rFonts w:ascii="Times" w:hAnsi="Times" w:cs="Arial"/>
          <w:i/>
          <w:lang w:val="en-US"/>
        </w:rPr>
      </w:pPr>
      <w:r w:rsidRPr="006C096D">
        <w:rPr>
          <w:rFonts w:ascii="Times" w:hAnsi="Times" w:cs="Arial"/>
          <w:i/>
          <w:lang w:val="en-US"/>
        </w:rPr>
        <w:lastRenderedPageBreak/>
        <w:t xml:space="preserve">(ii) </w:t>
      </w:r>
      <w:r w:rsidRPr="0075603F">
        <w:rPr>
          <w:rFonts w:ascii="Times" w:hAnsi="Times" w:cs="Arial"/>
          <w:b/>
          <w:i/>
          <w:lang w:val="en-US"/>
        </w:rPr>
        <w:t>within the previous five years</w:t>
      </w:r>
      <w:r w:rsidRPr="006C096D">
        <w:rPr>
          <w:rFonts w:ascii="Times" w:hAnsi="Times" w:cs="Arial"/>
          <w:i/>
          <w:lang w:val="en-US"/>
        </w:rPr>
        <w:t xml:space="preserve">, </w:t>
      </w:r>
      <w:r w:rsidRPr="0075603F">
        <w:rPr>
          <w:rFonts w:ascii="Times" w:hAnsi="Times" w:cs="Arial"/>
          <w:b/>
          <w:i/>
          <w:lang w:val="en-US"/>
        </w:rPr>
        <w:t>enforcement procedures</w:t>
      </w:r>
      <w:r w:rsidRPr="006C096D">
        <w:rPr>
          <w:rFonts w:ascii="Times" w:hAnsi="Times" w:cs="Arial"/>
          <w:i/>
          <w:lang w:val="en-US"/>
        </w:rPr>
        <w:t xml:space="preserve"> in terms of this Act or the Close Corporations Act, 1984 (Act No. 69 or 1984), </w:t>
      </w:r>
      <w:r w:rsidRPr="0075603F">
        <w:rPr>
          <w:rFonts w:ascii="Times" w:hAnsi="Times" w:cs="Arial"/>
          <w:b/>
          <w:i/>
          <w:lang w:val="en-US"/>
        </w:rPr>
        <w:t>were taken against the company</w:t>
      </w:r>
      <w:r w:rsidRPr="006C096D">
        <w:rPr>
          <w:rFonts w:ascii="Times" w:hAnsi="Times" w:cs="Arial"/>
          <w:i/>
          <w:lang w:val="en-US"/>
        </w:rPr>
        <w:t xml:space="preserve">, its directors or prescribed officers, or other persons in control of the company </w:t>
      </w:r>
      <w:r w:rsidRPr="0075603F">
        <w:rPr>
          <w:rFonts w:ascii="Times" w:hAnsi="Times" w:cs="Arial"/>
          <w:b/>
          <w:i/>
          <w:lang w:val="en-US"/>
        </w:rPr>
        <w:t>for substantially the same conduct, resulting in an administrative fine, or conviction for an offence</w:t>
      </w:r>
      <w:r w:rsidRPr="006C096D">
        <w:rPr>
          <w:rFonts w:ascii="Times" w:hAnsi="Times" w:cs="Arial"/>
          <w:i/>
          <w:lang w:val="en-US"/>
        </w:rPr>
        <w:t>.”</w:t>
      </w:r>
    </w:p>
    <w:p w14:paraId="5E851A25" w14:textId="77777777" w:rsidR="0075603F" w:rsidRPr="00953C91" w:rsidRDefault="0075603F" w:rsidP="0075603F">
      <w:pPr>
        <w:pStyle w:val="ListParagraph"/>
        <w:spacing w:line="480" w:lineRule="auto"/>
        <w:ind w:left="709"/>
        <w:rPr>
          <w:rFonts w:ascii="Arial" w:hAnsi="Arial" w:cs="Arial"/>
          <w:lang w:val="en-US"/>
        </w:rPr>
      </w:pPr>
      <w:r>
        <w:rPr>
          <w:rFonts w:ascii="Arial" w:hAnsi="Arial" w:cs="Arial"/>
          <w:lang w:val="en-US"/>
        </w:rPr>
        <w:tab/>
        <w:t>[Emphasis added]</w:t>
      </w:r>
    </w:p>
    <w:p w14:paraId="3348F028" w14:textId="77777777" w:rsidR="0075603F" w:rsidRPr="00DC4974" w:rsidRDefault="0075603F" w:rsidP="0075603F">
      <w:pPr>
        <w:rPr>
          <w:rFonts w:ascii="Arial" w:hAnsi="Arial" w:cs="Arial"/>
          <w:lang w:val="en-US"/>
        </w:rPr>
      </w:pPr>
    </w:p>
    <w:p w14:paraId="10320BE5" w14:textId="5A3494AC" w:rsidR="0075603F" w:rsidRPr="00D919F0" w:rsidRDefault="00D919F0" w:rsidP="00D919F0">
      <w:pPr>
        <w:spacing w:line="480" w:lineRule="auto"/>
        <w:ind w:left="709" w:hanging="709"/>
        <w:rPr>
          <w:rFonts w:ascii="Arial" w:hAnsi="Arial" w:cs="Arial"/>
          <w:lang w:val="en-US"/>
        </w:rPr>
      </w:pPr>
      <w:r w:rsidRPr="00274E9D">
        <w:rPr>
          <w:rFonts w:ascii="Arial" w:hAnsi="Arial" w:cs="Arial"/>
          <w:lang w:val="en-US"/>
        </w:rPr>
        <w:t>[64]</w:t>
      </w:r>
      <w:r w:rsidRPr="00274E9D">
        <w:rPr>
          <w:rFonts w:ascii="Arial" w:hAnsi="Arial" w:cs="Arial"/>
          <w:lang w:val="en-US"/>
        </w:rPr>
        <w:tab/>
      </w:r>
      <w:r w:rsidR="0075603F" w:rsidRPr="00D919F0">
        <w:rPr>
          <w:rFonts w:ascii="Arial" w:hAnsi="Arial" w:cs="Arial"/>
          <w:lang w:val="en-US"/>
        </w:rPr>
        <w:t>The Constitution requires a purposive approach to statutory interpretation.</w:t>
      </w:r>
      <w:r w:rsidR="0075603F" w:rsidRPr="004531AC">
        <w:rPr>
          <w:rStyle w:val="FootnoteReference"/>
          <w:rFonts w:ascii="Arial" w:hAnsi="Arial" w:cs="Arial"/>
          <w:lang w:val="en-US"/>
        </w:rPr>
        <w:footnoteReference w:id="15"/>
      </w:r>
      <w:r w:rsidR="0075603F" w:rsidRPr="00D919F0">
        <w:rPr>
          <w:rFonts w:ascii="Arial" w:hAnsi="Arial" w:cs="Arial"/>
          <w:lang w:val="en-US"/>
        </w:rPr>
        <w:t xml:space="preserve"> In </w:t>
      </w:r>
      <w:r w:rsidR="0075603F" w:rsidRPr="00D919F0">
        <w:rPr>
          <w:rFonts w:ascii="Times" w:hAnsi="Times" w:cs="Arial"/>
          <w:i/>
          <w:sz w:val="26"/>
          <w:szCs w:val="26"/>
          <w:lang w:val="en-US"/>
        </w:rPr>
        <w:t>Bato Star Fishing (Pty) Ltd v Minister of Environmental Affairs and Tourism and Others</w:t>
      </w:r>
      <w:r w:rsidR="0075603F" w:rsidRPr="00D919F0">
        <w:rPr>
          <w:rFonts w:ascii="Arial" w:hAnsi="Arial" w:cs="Arial"/>
          <w:lang w:val="en-US"/>
        </w:rPr>
        <w:t>,</w:t>
      </w:r>
      <w:r w:rsidR="0075603F">
        <w:rPr>
          <w:rStyle w:val="FootnoteReference"/>
          <w:rFonts w:ascii="Arial" w:hAnsi="Arial" w:cs="Arial"/>
          <w:lang w:val="en-US"/>
        </w:rPr>
        <w:footnoteReference w:id="16"/>
      </w:r>
      <w:r w:rsidR="0075603F" w:rsidRPr="00D919F0">
        <w:rPr>
          <w:rFonts w:ascii="Arial" w:hAnsi="Arial" w:cs="Arial"/>
          <w:lang w:val="en-US"/>
        </w:rPr>
        <w:t xml:space="preserve"> Ngcobo J stated:</w:t>
      </w:r>
    </w:p>
    <w:p w14:paraId="6AFF101A" w14:textId="77777777" w:rsidR="0075603F" w:rsidRPr="00A341A5" w:rsidRDefault="0075603F" w:rsidP="0075603F">
      <w:pPr>
        <w:autoSpaceDE w:val="0"/>
        <w:autoSpaceDN w:val="0"/>
        <w:adjustRightInd w:val="0"/>
        <w:spacing w:line="360" w:lineRule="auto"/>
        <w:ind w:firstLine="1276"/>
        <w:rPr>
          <w:rFonts w:ascii="Times" w:hAnsi="Times" w:cs="Arial"/>
          <w:i/>
          <w:lang w:val="en-US"/>
        </w:rPr>
      </w:pPr>
      <w:r w:rsidRPr="00A341A5">
        <w:rPr>
          <w:rFonts w:ascii="Times" w:hAnsi="Times" w:cs="Arial"/>
          <w:i/>
          <w:lang w:val="en-US"/>
        </w:rPr>
        <w:t>“The technique of paying attention to context in statutory construction is now</w:t>
      </w:r>
    </w:p>
    <w:p w14:paraId="5619B353" w14:textId="77777777" w:rsidR="0075603F" w:rsidRPr="00A341A5" w:rsidRDefault="0075603F" w:rsidP="0075603F">
      <w:pPr>
        <w:autoSpaceDE w:val="0"/>
        <w:autoSpaceDN w:val="0"/>
        <w:adjustRightInd w:val="0"/>
        <w:spacing w:line="360" w:lineRule="auto"/>
        <w:ind w:firstLine="1276"/>
        <w:rPr>
          <w:rFonts w:ascii="Times" w:hAnsi="Times" w:cs="Arial"/>
          <w:i/>
          <w:lang w:val="en-US"/>
        </w:rPr>
      </w:pPr>
      <w:r w:rsidRPr="00A341A5">
        <w:rPr>
          <w:rFonts w:ascii="Times" w:hAnsi="Times" w:cs="Arial"/>
          <w:i/>
          <w:lang w:val="en-US"/>
        </w:rPr>
        <w:t>required by the Constitution, in particular, s 39(2). As pointed out above, that</w:t>
      </w:r>
    </w:p>
    <w:p w14:paraId="330156FD" w14:textId="77777777" w:rsidR="0075603F" w:rsidRPr="00274E9D" w:rsidRDefault="0075603F" w:rsidP="0075603F">
      <w:pPr>
        <w:autoSpaceDE w:val="0"/>
        <w:autoSpaceDN w:val="0"/>
        <w:adjustRightInd w:val="0"/>
        <w:spacing w:line="360" w:lineRule="auto"/>
        <w:ind w:left="1276"/>
        <w:rPr>
          <w:rFonts w:ascii="Times" w:hAnsi="Times" w:cs="Arial"/>
          <w:i/>
          <w:lang w:val="en-US"/>
        </w:rPr>
      </w:pPr>
      <w:r w:rsidRPr="00A341A5">
        <w:rPr>
          <w:rFonts w:ascii="Times" w:hAnsi="Times" w:cs="Arial"/>
          <w:i/>
          <w:lang w:val="en-US"/>
        </w:rPr>
        <w:t>provision introduces a mandatory requirement to construe every piece of legislation in a manner that promotes the ‘spirit, purport and objects of the Bill of Rights.</w:t>
      </w:r>
      <w:r>
        <w:rPr>
          <w:rFonts w:ascii="Times" w:hAnsi="Times" w:cs="Arial"/>
          <w:i/>
          <w:lang w:val="en-US"/>
        </w:rPr>
        <w:t>”</w:t>
      </w:r>
    </w:p>
    <w:p w14:paraId="5572E799" w14:textId="77777777" w:rsidR="0075603F" w:rsidRPr="00064C3A" w:rsidRDefault="0075603F" w:rsidP="0075603F">
      <w:pPr>
        <w:rPr>
          <w:rFonts w:ascii="Arial" w:hAnsi="Arial" w:cs="Arial"/>
          <w:lang w:val="en-US"/>
        </w:rPr>
      </w:pPr>
    </w:p>
    <w:p w14:paraId="342BC18F" w14:textId="522C8213" w:rsidR="0075603F" w:rsidRPr="00D919F0" w:rsidRDefault="00D919F0" w:rsidP="00D919F0">
      <w:pPr>
        <w:spacing w:line="480" w:lineRule="auto"/>
        <w:ind w:left="709" w:hanging="709"/>
        <w:rPr>
          <w:rFonts w:ascii="Arial" w:hAnsi="Arial" w:cs="Arial"/>
          <w:lang w:val="en-US"/>
        </w:rPr>
      </w:pPr>
      <w:r>
        <w:rPr>
          <w:rFonts w:ascii="Arial" w:hAnsi="Arial" w:cs="Arial"/>
          <w:lang w:val="en-US"/>
        </w:rPr>
        <w:t>[65]</w:t>
      </w:r>
      <w:r>
        <w:rPr>
          <w:rFonts w:ascii="Arial" w:hAnsi="Arial" w:cs="Arial"/>
          <w:lang w:val="en-US"/>
        </w:rPr>
        <w:tab/>
      </w:r>
      <w:r w:rsidR="0075603F" w:rsidRPr="00D919F0">
        <w:rPr>
          <w:rFonts w:ascii="Arial" w:hAnsi="Arial" w:cs="Arial"/>
          <w:lang w:val="en-US"/>
        </w:rPr>
        <w:t>This approach is one that has been applied to varying degrees by our courts under the common law.</w:t>
      </w:r>
      <w:r w:rsidR="0075603F">
        <w:rPr>
          <w:rStyle w:val="FootnoteReference"/>
          <w:rFonts w:ascii="Arial" w:hAnsi="Arial" w:cs="Arial"/>
          <w:lang w:val="en-US"/>
        </w:rPr>
        <w:footnoteReference w:id="17"/>
      </w:r>
      <w:r w:rsidR="0075603F" w:rsidRPr="00D919F0">
        <w:rPr>
          <w:rFonts w:ascii="Arial" w:hAnsi="Arial" w:cs="Arial"/>
          <w:lang w:val="en-US"/>
        </w:rPr>
        <w:t xml:space="preserve"> The purpose of a statute plays an important role in establishing a context that clarifies the scope and intended effect of a law.</w:t>
      </w:r>
      <w:r w:rsidR="0075603F">
        <w:rPr>
          <w:rStyle w:val="FootnoteReference"/>
          <w:rFonts w:ascii="Arial" w:hAnsi="Arial" w:cs="Arial"/>
          <w:lang w:val="en-US"/>
        </w:rPr>
        <w:footnoteReference w:id="18"/>
      </w:r>
    </w:p>
    <w:p w14:paraId="0DAD50C9" w14:textId="77777777" w:rsidR="0075603F" w:rsidRDefault="0075603F" w:rsidP="0075603F">
      <w:pPr>
        <w:pStyle w:val="ListParagraph"/>
        <w:ind w:left="709"/>
        <w:rPr>
          <w:rFonts w:ascii="Arial" w:hAnsi="Arial" w:cs="Arial"/>
          <w:lang w:val="en-US"/>
        </w:rPr>
      </w:pPr>
    </w:p>
    <w:p w14:paraId="4D00ED96" w14:textId="1360D6A8" w:rsidR="0075603F" w:rsidRPr="00D919F0" w:rsidRDefault="00D919F0" w:rsidP="00D919F0">
      <w:pPr>
        <w:spacing w:line="480" w:lineRule="auto"/>
        <w:ind w:left="709" w:hanging="709"/>
        <w:rPr>
          <w:rFonts w:ascii="Arial" w:hAnsi="Arial" w:cs="Arial"/>
          <w:lang w:val="en-US"/>
        </w:rPr>
      </w:pPr>
      <w:r w:rsidRPr="00064C3A">
        <w:rPr>
          <w:rFonts w:ascii="Arial" w:hAnsi="Arial" w:cs="Arial"/>
          <w:lang w:val="en-US"/>
        </w:rPr>
        <w:t>[66]</w:t>
      </w:r>
      <w:r w:rsidRPr="00064C3A">
        <w:rPr>
          <w:rFonts w:ascii="Arial" w:hAnsi="Arial" w:cs="Arial"/>
          <w:lang w:val="en-US"/>
        </w:rPr>
        <w:tab/>
      </w:r>
      <w:r w:rsidR="0075603F" w:rsidRPr="00D919F0">
        <w:rPr>
          <w:rFonts w:ascii="Arial" w:hAnsi="Arial" w:cs="Arial"/>
          <w:lang w:val="en-US"/>
        </w:rPr>
        <w:t xml:space="preserve">The often-quoted dissenting judgment of Schreiner JA in </w:t>
      </w:r>
      <w:r w:rsidR="0075603F" w:rsidRPr="00D919F0">
        <w:rPr>
          <w:rFonts w:ascii="Times" w:hAnsi="Times" w:cs="Arial"/>
          <w:i/>
          <w:sz w:val="26"/>
          <w:szCs w:val="26"/>
          <w:lang w:val="en-US"/>
        </w:rPr>
        <w:t>Jaga v Dönges, NO and Another</w:t>
      </w:r>
      <w:r w:rsidR="0075603F" w:rsidRPr="00D919F0">
        <w:rPr>
          <w:rFonts w:ascii="Arial" w:hAnsi="Arial" w:cs="Arial"/>
          <w:lang w:val="en-US"/>
        </w:rPr>
        <w:t>,</w:t>
      </w:r>
      <w:r w:rsidR="0075603F">
        <w:rPr>
          <w:rStyle w:val="FootnoteReference"/>
          <w:rFonts w:ascii="Arial" w:hAnsi="Arial" w:cs="Arial"/>
          <w:lang w:val="en-US"/>
        </w:rPr>
        <w:footnoteReference w:id="19"/>
      </w:r>
      <w:r w:rsidR="0075603F" w:rsidRPr="00D919F0">
        <w:rPr>
          <w:rFonts w:ascii="Arial" w:hAnsi="Arial" w:cs="Arial"/>
          <w:lang w:val="en-US"/>
        </w:rPr>
        <w:t xml:space="preserve"> also cited approvingly by Ngcobo J in </w:t>
      </w:r>
      <w:r w:rsidR="0075603F" w:rsidRPr="00D919F0">
        <w:rPr>
          <w:rFonts w:ascii="Times" w:hAnsi="Times" w:cs="Arial"/>
          <w:i/>
          <w:sz w:val="26"/>
          <w:szCs w:val="26"/>
          <w:lang w:val="en-US"/>
        </w:rPr>
        <w:t>Bato Star</w:t>
      </w:r>
      <w:r w:rsidR="0075603F" w:rsidRPr="00D919F0">
        <w:rPr>
          <w:rFonts w:ascii="Arial" w:hAnsi="Arial" w:cs="Arial"/>
          <w:lang w:val="en-US"/>
        </w:rPr>
        <w:t>,</w:t>
      </w:r>
      <w:r w:rsidR="0075603F">
        <w:rPr>
          <w:rStyle w:val="FootnoteReference"/>
          <w:rFonts w:ascii="Arial" w:hAnsi="Arial" w:cs="Arial"/>
          <w:lang w:val="en-US"/>
        </w:rPr>
        <w:footnoteReference w:id="20"/>
      </w:r>
      <w:r w:rsidR="0075603F" w:rsidRPr="00D919F0">
        <w:rPr>
          <w:rFonts w:ascii="Arial" w:hAnsi="Arial" w:cs="Arial"/>
          <w:lang w:val="en-US"/>
        </w:rPr>
        <w:t xml:space="preserve"> eloquently articulates the importance of context in statutory interpretation:</w:t>
      </w:r>
    </w:p>
    <w:p w14:paraId="37A760AB" w14:textId="77777777" w:rsidR="0075603F" w:rsidRDefault="0075603F" w:rsidP="0075603F">
      <w:pPr>
        <w:autoSpaceDE w:val="0"/>
        <w:autoSpaceDN w:val="0"/>
        <w:adjustRightInd w:val="0"/>
        <w:spacing w:line="360" w:lineRule="auto"/>
        <w:ind w:left="1276"/>
        <w:rPr>
          <w:rFonts w:ascii="Arial" w:hAnsi="Arial" w:cs="Arial"/>
          <w:i/>
          <w:lang w:val="en-US"/>
        </w:rPr>
      </w:pPr>
      <w:r w:rsidRPr="00064C3A">
        <w:rPr>
          <w:rFonts w:ascii="Times" w:hAnsi="Times" w:cs="Arial"/>
          <w:i/>
          <w:lang w:val="en-US"/>
        </w:rPr>
        <w:lastRenderedPageBreak/>
        <w:t xml:space="preserve">“Certainly no less important than the oft repeated statement that the </w:t>
      </w:r>
      <w:r w:rsidRPr="00064C3A">
        <w:rPr>
          <w:rFonts w:ascii="Times" w:hAnsi="Times" w:cs="Arial"/>
          <w:b/>
          <w:i/>
          <w:lang w:val="en-US"/>
        </w:rPr>
        <w:t>words and expressions used in a statute must be interpreted according to their ordinary meaning</w:t>
      </w:r>
      <w:r w:rsidRPr="00064C3A">
        <w:rPr>
          <w:rFonts w:ascii="Times" w:hAnsi="Times" w:cs="Arial"/>
          <w:i/>
          <w:lang w:val="en-US"/>
        </w:rPr>
        <w:t xml:space="preserve"> is the statement that </w:t>
      </w:r>
      <w:r w:rsidRPr="00064C3A">
        <w:rPr>
          <w:rFonts w:ascii="Times" w:hAnsi="Times" w:cs="Arial"/>
          <w:b/>
          <w:i/>
          <w:lang w:val="en-US"/>
        </w:rPr>
        <w:t>they must be interpreted in the light of their context.</w:t>
      </w:r>
      <w:r w:rsidRPr="00064C3A">
        <w:rPr>
          <w:rFonts w:ascii="Times" w:hAnsi="Times" w:cs="Arial"/>
          <w:i/>
          <w:lang w:val="en-US"/>
        </w:rPr>
        <w:t xml:space="preserve"> But it may be useful to stress two points in relation to the application of this principle. </w:t>
      </w:r>
      <w:r w:rsidRPr="00064C3A">
        <w:rPr>
          <w:rFonts w:ascii="Times" w:hAnsi="Times" w:cs="Arial"/>
          <w:b/>
          <w:i/>
          <w:lang w:val="en-US"/>
        </w:rPr>
        <w:t>The first is that ‘the context’, as here used, is not limited to the language of the rest of the statute regarded as throwing light of a dictionary kind on the part to be interpreted. Often of more importance is the matter of the statute, its apparent scope and purpose, and within limits, its background.</w:t>
      </w:r>
      <w:r w:rsidRPr="00064C3A">
        <w:rPr>
          <w:rFonts w:ascii="Times" w:hAnsi="Times" w:cs="Arial"/>
          <w:i/>
          <w:lang w:val="en-US"/>
        </w:rPr>
        <w:t>”</w:t>
      </w:r>
      <w:r w:rsidRPr="001935B3">
        <w:rPr>
          <w:rStyle w:val="FootnoteReference"/>
          <w:rFonts w:ascii="Arial" w:hAnsi="Arial" w:cs="Arial"/>
          <w:i/>
          <w:lang w:val="en-US"/>
        </w:rPr>
        <w:footnoteReference w:id="21"/>
      </w:r>
    </w:p>
    <w:p w14:paraId="2B345D69" w14:textId="77777777" w:rsidR="0075603F" w:rsidRPr="00064C3A" w:rsidRDefault="0075603F" w:rsidP="0075603F">
      <w:pPr>
        <w:autoSpaceDE w:val="0"/>
        <w:autoSpaceDN w:val="0"/>
        <w:adjustRightInd w:val="0"/>
        <w:spacing w:line="360" w:lineRule="auto"/>
        <w:ind w:firstLine="709"/>
        <w:rPr>
          <w:rFonts w:ascii="Arial" w:hAnsi="Arial" w:cs="Arial"/>
          <w:lang w:val="en-US"/>
        </w:rPr>
      </w:pPr>
      <w:r>
        <w:rPr>
          <w:rFonts w:ascii="Arial" w:hAnsi="Arial" w:cs="Arial"/>
          <w:lang w:val="en-US"/>
        </w:rPr>
        <w:t>[Emphasis added]</w:t>
      </w:r>
    </w:p>
    <w:p w14:paraId="12F03E18" w14:textId="77777777" w:rsidR="0075603F" w:rsidRPr="00B067E5" w:rsidRDefault="0075603F" w:rsidP="0075603F">
      <w:pPr>
        <w:rPr>
          <w:rFonts w:ascii="Arial" w:hAnsi="Arial" w:cs="Arial"/>
          <w:lang w:val="en-US"/>
        </w:rPr>
      </w:pPr>
    </w:p>
    <w:p w14:paraId="258AD3FF" w14:textId="11AFC179" w:rsidR="0075603F" w:rsidRPr="00D919F0" w:rsidRDefault="00D919F0" w:rsidP="00D919F0">
      <w:pPr>
        <w:spacing w:line="480" w:lineRule="auto"/>
        <w:ind w:left="709" w:hanging="709"/>
        <w:rPr>
          <w:rFonts w:ascii="Arial" w:hAnsi="Arial" w:cs="Arial"/>
          <w:lang w:val="en-US"/>
        </w:rPr>
      </w:pPr>
      <w:r>
        <w:rPr>
          <w:rFonts w:ascii="Arial" w:hAnsi="Arial" w:cs="Arial"/>
          <w:lang w:val="en-US"/>
        </w:rPr>
        <w:t>[67]</w:t>
      </w:r>
      <w:r>
        <w:rPr>
          <w:rFonts w:ascii="Arial" w:hAnsi="Arial" w:cs="Arial"/>
          <w:lang w:val="en-US"/>
        </w:rPr>
        <w:tab/>
      </w:r>
      <w:r w:rsidR="0075603F" w:rsidRPr="00D919F0">
        <w:rPr>
          <w:rFonts w:ascii="Arial" w:hAnsi="Arial" w:cs="Arial"/>
          <w:lang w:val="en-US"/>
        </w:rPr>
        <w:t>This being said, it is clear that the intent must be found in the wording of the enactment.</w:t>
      </w:r>
      <w:r w:rsidR="0075603F">
        <w:rPr>
          <w:rStyle w:val="FootnoteReference"/>
          <w:rFonts w:ascii="Arial" w:hAnsi="Arial" w:cs="Arial"/>
          <w:lang w:val="en-US"/>
        </w:rPr>
        <w:footnoteReference w:id="22"/>
      </w:r>
      <w:r w:rsidR="0075603F" w:rsidRPr="00D919F0">
        <w:rPr>
          <w:rFonts w:ascii="Arial" w:hAnsi="Arial" w:cs="Arial"/>
          <w:lang w:val="en-US"/>
        </w:rPr>
        <w:t xml:space="preserve"> </w:t>
      </w:r>
    </w:p>
    <w:p w14:paraId="59F396BB" w14:textId="77777777" w:rsidR="0075603F" w:rsidRPr="0075603F" w:rsidRDefault="0075603F" w:rsidP="0075603F">
      <w:pPr>
        <w:pStyle w:val="ListParagraph"/>
        <w:ind w:left="709"/>
        <w:rPr>
          <w:rFonts w:ascii="Arial" w:hAnsi="Arial" w:cs="Arial"/>
          <w:lang w:val="en-US"/>
        </w:rPr>
      </w:pPr>
    </w:p>
    <w:p w14:paraId="70EA6D81" w14:textId="4AF33FE9" w:rsidR="0075603F" w:rsidRPr="00D919F0" w:rsidRDefault="00D919F0" w:rsidP="00D919F0">
      <w:pPr>
        <w:spacing w:line="480" w:lineRule="auto"/>
        <w:ind w:left="709" w:hanging="709"/>
        <w:rPr>
          <w:rFonts w:ascii="Arial" w:hAnsi="Arial" w:cs="Arial"/>
          <w:lang w:val="en-US"/>
        </w:rPr>
      </w:pPr>
      <w:r>
        <w:rPr>
          <w:rFonts w:ascii="Arial" w:hAnsi="Arial" w:cs="Arial"/>
          <w:lang w:val="en-US"/>
        </w:rPr>
        <w:t>[68]</w:t>
      </w:r>
      <w:r>
        <w:rPr>
          <w:rFonts w:ascii="Arial" w:hAnsi="Arial" w:cs="Arial"/>
          <w:lang w:val="en-US"/>
        </w:rPr>
        <w:tab/>
      </w:r>
      <w:r w:rsidR="0075603F" w:rsidRPr="00D919F0">
        <w:rPr>
          <w:rFonts w:ascii="Arial" w:hAnsi="Arial" w:cs="Arial"/>
          <w:lang w:val="en-US"/>
        </w:rPr>
        <w:t>This part is on the face of it applicable to solvent companies only. I will return to this below.</w:t>
      </w:r>
    </w:p>
    <w:p w14:paraId="6C77EB71" w14:textId="77777777" w:rsidR="0075603F" w:rsidRPr="0075603F" w:rsidRDefault="0075603F" w:rsidP="0075603F">
      <w:pPr>
        <w:pStyle w:val="ListParagraph"/>
        <w:rPr>
          <w:rFonts w:ascii="Arial" w:hAnsi="Arial" w:cs="Arial"/>
          <w:lang w:val="en-US"/>
        </w:rPr>
      </w:pPr>
    </w:p>
    <w:p w14:paraId="4F903860" w14:textId="38512159" w:rsidR="0075603F" w:rsidRPr="00D919F0" w:rsidRDefault="00D919F0" w:rsidP="00D919F0">
      <w:pPr>
        <w:spacing w:line="480" w:lineRule="auto"/>
        <w:ind w:left="709" w:hanging="709"/>
        <w:rPr>
          <w:rFonts w:ascii="Arial" w:hAnsi="Arial" w:cs="Arial"/>
          <w:lang w:val="en-US"/>
        </w:rPr>
      </w:pPr>
      <w:r>
        <w:rPr>
          <w:rFonts w:ascii="Arial" w:hAnsi="Arial" w:cs="Arial"/>
          <w:lang w:val="en-US"/>
        </w:rPr>
        <w:t>[69]</w:t>
      </w:r>
      <w:r>
        <w:rPr>
          <w:rFonts w:ascii="Arial" w:hAnsi="Arial" w:cs="Arial"/>
          <w:lang w:val="en-US"/>
        </w:rPr>
        <w:tab/>
      </w:r>
      <w:r w:rsidR="0075603F" w:rsidRPr="00D919F0">
        <w:rPr>
          <w:rFonts w:ascii="Arial" w:hAnsi="Arial" w:cs="Arial"/>
          <w:lang w:val="en-US"/>
        </w:rPr>
        <w:t>The question is whether the provisions of sub-section (i) and (ii) must be read conjunctively or disjunctively, i.e. whether “and” should be read “or”, or whether it means “in addition to”.</w:t>
      </w:r>
    </w:p>
    <w:p w14:paraId="6ACF8B1F" w14:textId="77777777" w:rsidR="0075603F" w:rsidRDefault="0075603F" w:rsidP="0075603F">
      <w:pPr>
        <w:pStyle w:val="ListParagraph"/>
        <w:ind w:left="709"/>
        <w:rPr>
          <w:rFonts w:ascii="Arial" w:hAnsi="Arial" w:cs="Arial"/>
          <w:lang w:val="en-US"/>
        </w:rPr>
      </w:pPr>
    </w:p>
    <w:p w14:paraId="371912B5" w14:textId="2F609132" w:rsidR="0075603F" w:rsidRPr="00D919F0" w:rsidRDefault="00D919F0" w:rsidP="00D919F0">
      <w:pPr>
        <w:spacing w:line="480" w:lineRule="auto"/>
        <w:ind w:left="709" w:hanging="709"/>
        <w:rPr>
          <w:rFonts w:ascii="Arial" w:hAnsi="Arial" w:cs="Arial"/>
          <w:lang w:val="en-US"/>
        </w:rPr>
      </w:pPr>
      <w:r>
        <w:rPr>
          <w:rFonts w:ascii="Arial" w:hAnsi="Arial" w:cs="Arial"/>
          <w:lang w:val="en-US"/>
        </w:rPr>
        <w:t>[70]</w:t>
      </w:r>
      <w:r>
        <w:rPr>
          <w:rFonts w:ascii="Arial" w:hAnsi="Arial" w:cs="Arial"/>
          <w:lang w:val="en-US"/>
        </w:rPr>
        <w:tab/>
      </w:r>
      <w:r w:rsidR="0075603F" w:rsidRPr="00D919F0">
        <w:rPr>
          <w:rFonts w:ascii="Arial" w:hAnsi="Arial" w:cs="Arial"/>
          <w:lang w:val="en-US"/>
        </w:rPr>
        <w:t>The wording of sub-section (ii) seems to give the answer to this when it refers to “</w:t>
      </w:r>
      <w:r w:rsidR="0075603F" w:rsidRPr="00D919F0">
        <w:rPr>
          <w:rFonts w:ascii="Times" w:hAnsi="Times" w:cs="Arial"/>
          <w:i/>
          <w:lang w:val="en-US"/>
        </w:rPr>
        <w:t>for substantially the same conduct”.</w:t>
      </w:r>
      <w:r w:rsidR="0075603F" w:rsidRPr="00D919F0">
        <w:rPr>
          <w:rFonts w:ascii="Arial" w:hAnsi="Arial" w:cs="Arial"/>
          <w:lang w:val="en-US"/>
        </w:rPr>
        <w:t xml:space="preserve"> This clearly refers back to the provisions of sub-section (i). it is therefore to be read that the requirements of both the sub-sections must be present before such order can be granted.</w:t>
      </w:r>
    </w:p>
    <w:p w14:paraId="57EF79B4" w14:textId="77777777" w:rsidR="0075603F" w:rsidRPr="0075603F" w:rsidRDefault="0075603F" w:rsidP="0075603F">
      <w:pPr>
        <w:pStyle w:val="ListParagraph"/>
        <w:rPr>
          <w:rFonts w:ascii="Arial" w:hAnsi="Arial" w:cs="Arial"/>
          <w:lang w:val="en-US"/>
        </w:rPr>
      </w:pPr>
    </w:p>
    <w:p w14:paraId="191CC0F7" w14:textId="6DD13110" w:rsidR="0075603F" w:rsidRPr="00D919F0" w:rsidRDefault="00D919F0" w:rsidP="00D919F0">
      <w:pPr>
        <w:spacing w:line="480" w:lineRule="auto"/>
        <w:ind w:left="709" w:hanging="709"/>
        <w:rPr>
          <w:rFonts w:ascii="Arial" w:hAnsi="Arial" w:cs="Arial"/>
          <w:lang w:val="en-US"/>
        </w:rPr>
      </w:pPr>
      <w:r>
        <w:rPr>
          <w:rFonts w:ascii="Arial" w:hAnsi="Arial" w:cs="Arial"/>
          <w:lang w:val="en-US"/>
        </w:rPr>
        <w:t>[71]</w:t>
      </w:r>
      <w:r>
        <w:rPr>
          <w:rFonts w:ascii="Arial" w:hAnsi="Arial" w:cs="Arial"/>
          <w:lang w:val="en-US"/>
        </w:rPr>
        <w:tab/>
      </w:r>
      <w:r w:rsidR="0075603F" w:rsidRPr="00D919F0">
        <w:rPr>
          <w:rFonts w:ascii="Arial" w:hAnsi="Arial" w:cs="Arial"/>
          <w:lang w:val="en-US"/>
        </w:rPr>
        <w:t>The requirements are in my view therefore clear.</w:t>
      </w:r>
    </w:p>
    <w:p w14:paraId="7F237DA6" w14:textId="4184D3C1" w:rsidR="0075603F" w:rsidRPr="00D919F0" w:rsidRDefault="00D919F0" w:rsidP="00D919F0">
      <w:pPr>
        <w:spacing w:line="480" w:lineRule="auto"/>
        <w:ind w:left="1429" w:hanging="720"/>
        <w:rPr>
          <w:rFonts w:ascii="Arial" w:hAnsi="Arial" w:cs="Arial"/>
          <w:lang w:val="en-US"/>
        </w:rPr>
      </w:pPr>
      <w:r>
        <w:rPr>
          <w:rFonts w:ascii="Arial" w:hAnsi="Arial" w:cs="Arial"/>
          <w:lang w:val="en-US"/>
        </w:rPr>
        <w:t>(1)</w:t>
      </w:r>
      <w:r>
        <w:rPr>
          <w:rFonts w:ascii="Arial" w:hAnsi="Arial" w:cs="Arial"/>
          <w:lang w:val="en-US"/>
        </w:rPr>
        <w:tab/>
      </w:r>
      <w:r w:rsidR="0075603F" w:rsidRPr="00D919F0">
        <w:rPr>
          <w:rFonts w:ascii="Arial" w:hAnsi="Arial" w:cs="Arial"/>
          <w:lang w:val="en-US"/>
        </w:rPr>
        <w:t>The company must be solvent;</w:t>
      </w:r>
    </w:p>
    <w:p w14:paraId="0F9832CF" w14:textId="5690BA36" w:rsidR="0075603F" w:rsidRPr="00D919F0" w:rsidRDefault="00D919F0" w:rsidP="00D919F0">
      <w:pPr>
        <w:spacing w:line="480" w:lineRule="auto"/>
        <w:ind w:left="1429" w:hanging="720"/>
        <w:rPr>
          <w:rFonts w:ascii="Arial" w:hAnsi="Arial" w:cs="Arial"/>
          <w:lang w:val="en-US"/>
        </w:rPr>
      </w:pPr>
      <w:r>
        <w:rPr>
          <w:rFonts w:ascii="Arial" w:hAnsi="Arial" w:cs="Arial"/>
          <w:lang w:val="en-US"/>
        </w:rPr>
        <w:lastRenderedPageBreak/>
        <w:t>(2)</w:t>
      </w:r>
      <w:r>
        <w:rPr>
          <w:rFonts w:ascii="Arial" w:hAnsi="Arial" w:cs="Arial"/>
          <w:lang w:val="en-US"/>
        </w:rPr>
        <w:tab/>
      </w:r>
      <w:r w:rsidR="0075603F" w:rsidRPr="00D919F0">
        <w:rPr>
          <w:rFonts w:ascii="Arial" w:hAnsi="Arial" w:cs="Arial"/>
          <w:lang w:val="en-US"/>
        </w:rPr>
        <w:t>CIPC or the panel can apply only after having issued a compliance notice in respect of the conduct used as grounds for the application and the company has failed to comply with the notice;</w:t>
      </w:r>
    </w:p>
    <w:p w14:paraId="5CE1D915" w14:textId="27796E01" w:rsidR="0075603F" w:rsidRPr="00D919F0" w:rsidRDefault="00D919F0" w:rsidP="00D919F0">
      <w:pPr>
        <w:spacing w:line="480" w:lineRule="auto"/>
        <w:ind w:left="1429" w:hanging="720"/>
        <w:rPr>
          <w:rFonts w:ascii="Arial" w:hAnsi="Arial" w:cs="Arial"/>
          <w:lang w:val="en-US"/>
        </w:rPr>
      </w:pPr>
      <w:r w:rsidRPr="0075603F">
        <w:rPr>
          <w:rFonts w:ascii="Arial" w:hAnsi="Arial" w:cs="Arial"/>
          <w:lang w:val="en-US"/>
        </w:rPr>
        <w:t>(3)</w:t>
      </w:r>
      <w:r w:rsidRPr="0075603F">
        <w:rPr>
          <w:rFonts w:ascii="Arial" w:hAnsi="Arial" w:cs="Arial"/>
          <w:lang w:val="en-US"/>
        </w:rPr>
        <w:tab/>
      </w:r>
      <w:r w:rsidR="0075603F" w:rsidRPr="00D919F0">
        <w:rPr>
          <w:rFonts w:ascii="Arial" w:hAnsi="Arial" w:cs="Arial"/>
          <w:lang w:val="en-US"/>
        </w:rPr>
        <w:t>The grounds for such application must be,</w:t>
      </w:r>
    </w:p>
    <w:p w14:paraId="5F51E912" w14:textId="77777777" w:rsidR="0075603F" w:rsidRDefault="0075603F" w:rsidP="0075603F">
      <w:pPr>
        <w:pStyle w:val="ListParagraph"/>
        <w:spacing w:line="480" w:lineRule="auto"/>
        <w:ind w:left="1440" w:hanging="22"/>
        <w:rPr>
          <w:rFonts w:ascii="Arial" w:hAnsi="Arial" w:cs="Arial"/>
          <w:lang w:val="en-US"/>
        </w:rPr>
      </w:pPr>
      <w:r>
        <w:rPr>
          <w:rFonts w:ascii="Arial" w:hAnsi="Arial" w:cs="Arial"/>
          <w:lang w:val="en-US"/>
        </w:rPr>
        <w:t>(2.1)</w:t>
      </w:r>
      <w:r>
        <w:rPr>
          <w:rFonts w:ascii="Arial" w:hAnsi="Arial" w:cs="Arial"/>
          <w:lang w:val="en-US"/>
        </w:rPr>
        <w:tab/>
        <w:t>fraud, or;</w:t>
      </w:r>
    </w:p>
    <w:p w14:paraId="64674DB3" w14:textId="77777777" w:rsidR="0075603F" w:rsidRDefault="0075603F" w:rsidP="0075603F">
      <w:pPr>
        <w:pStyle w:val="ListParagraph"/>
        <w:spacing w:line="480" w:lineRule="auto"/>
        <w:ind w:left="1440" w:hanging="22"/>
        <w:rPr>
          <w:rFonts w:ascii="Arial" w:hAnsi="Arial" w:cs="Arial"/>
          <w:lang w:val="en-US"/>
        </w:rPr>
      </w:pPr>
      <w:r>
        <w:rPr>
          <w:rFonts w:ascii="Arial" w:hAnsi="Arial" w:cs="Arial"/>
          <w:lang w:val="en-US"/>
        </w:rPr>
        <w:t>(2.2)</w:t>
      </w:r>
      <w:r>
        <w:rPr>
          <w:rFonts w:ascii="Arial" w:hAnsi="Arial" w:cs="Arial"/>
          <w:lang w:val="en-US"/>
        </w:rPr>
        <w:tab/>
        <w:t>illegal actions by;</w:t>
      </w:r>
    </w:p>
    <w:p w14:paraId="6A1CB706" w14:textId="77777777" w:rsidR="0075603F" w:rsidRDefault="0075603F" w:rsidP="0075603F">
      <w:pPr>
        <w:pStyle w:val="ListParagraph"/>
        <w:spacing w:line="480" w:lineRule="auto"/>
        <w:ind w:left="2127" w:hanging="709"/>
        <w:rPr>
          <w:rFonts w:ascii="Arial" w:hAnsi="Arial" w:cs="Arial"/>
          <w:lang w:val="en-US"/>
        </w:rPr>
      </w:pPr>
      <w:r w:rsidRPr="004C0CBE">
        <w:rPr>
          <w:rFonts w:ascii="Arial" w:hAnsi="Arial" w:cs="Arial"/>
          <w:lang w:val="en-US"/>
        </w:rPr>
        <w:t>(2.3)</w:t>
      </w:r>
      <w:r>
        <w:rPr>
          <w:rFonts w:ascii="Arial" w:hAnsi="Arial" w:cs="Arial"/>
          <w:lang w:val="en-US"/>
        </w:rPr>
        <w:tab/>
      </w:r>
      <w:r w:rsidRPr="004C0CBE">
        <w:rPr>
          <w:rFonts w:ascii="Arial" w:hAnsi="Arial" w:cs="Arial"/>
          <w:lang w:val="en-US"/>
        </w:rPr>
        <w:t>the company, its prescribed officers, or those in control of the company</w:t>
      </w:r>
      <w:r>
        <w:rPr>
          <w:rFonts w:ascii="Arial" w:hAnsi="Arial" w:cs="Arial"/>
          <w:lang w:val="en-US"/>
        </w:rPr>
        <w:t>; and</w:t>
      </w:r>
    </w:p>
    <w:p w14:paraId="6AA649B4" w14:textId="77777777" w:rsidR="0075603F" w:rsidRDefault="0075603F" w:rsidP="0075603F">
      <w:pPr>
        <w:spacing w:line="480" w:lineRule="auto"/>
        <w:ind w:left="1418" w:hanging="709"/>
        <w:rPr>
          <w:rFonts w:ascii="Arial" w:hAnsi="Arial" w:cs="Arial"/>
          <w:lang w:val="en-US"/>
        </w:rPr>
      </w:pPr>
      <w:r w:rsidRPr="0075603F">
        <w:rPr>
          <w:rFonts w:ascii="Arial" w:hAnsi="Arial" w:cs="Arial"/>
          <w:lang w:val="en-US"/>
        </w:rPr>
        <w:t>(3)</w:t>
      </w:r>
      <w:r w:rsidRPr="0075603F">
        <w:rPr>
          <w:rFonts w:ascii="Arial" w:hAnsi="Arial" w:cs="Arial"/>
          <w:lang w:val="en-US"/>
        </w:rPr>
        <w:tab/>
        <w:t>if compliance procedures have been taken against its prescribed officers, or those in control of the company for substantially the same conduct within the previous 5 years and which have resulted in an administrative fine of conviction.</w:t>
      </w:r>
    </w:p>
    <w:p w14:paraId="08666725" w14:textId="77777777" w:rsidR="0075603F" w:rsidRPr="0075603F" w:rsidRDefault="0075603F" w:rsidP="0075603F">
      <w:pPr>
        <w:rPr>
          <w:rFonts w:ascii="Arial" w:hAnsi="Arial" w:cs="Arial"/>
          <w:lang w:val="en-US"/>
        </w:rPr>
      </w:pPr>
    </w:p>
    <w:p w14:paraId="5B8FA75E" w14:textId="5F0D23A0" w:rsidR="0075603F" w:rsidRPr="00D919F0" w:rsidRDefault="00D919F0" w:rsidP="00D919F0">
      <w:pPr>
        <w:spacing w:line="480" w:lineRule="auto"/>
        <w:ind w:left="709" w:hanging="709"/>
        <w:rPr>
          <w:rFonts w:ascii="Arial" w:hAnsi="Arial" w:cs="Arial"/>
          <w:lang w:val="en-US"/>
        </w:rPr>
      </w:pPr>
      <w:r>
        <w:rPr>
          <w:rFonts w:ascii="Arial" w:hAnsi="Arial" w:cs="Arial"/>
          <w:lang w:val="en-US"/>
        </w:rPr>
        <w:t>[72]</w:t>
      </w:r>
      <w:r>
        <w:rPr>
          <w:rFonts w:ascii="Arial" w:hAnsi="Arial" w:cs="Arial"/>
          <w:lang w:val="en-US"/>
        </w:rPr>
        <w:tab/>
      </w:r>
      <w:r w:rsidR="0075603F" w:rsidRPr="00D919F0">
        <w:rPr>
          <w:rFonts w:ascii="Arial" w:hAnsi="Arial" w:cs="Arial"/>
          <w:lang w:val="en-US"/>
        </w:rPr>
        <w:t>There requirements are in my view “technical” and not “substantial”. By that I find that it seems that the court, apart from the overall discretion to grant or refuse an application for liquidation, which for the purpose hereof will assume is still applicable without making any finding thereon, can only consider whether there has been compliance with the provisions of section 81(1)(f) or not and not enquire into the merits of the compliance notices or findings referred to therein.</w:t>
      </w:r>
    </w:p>
    <w:p w14:paraId="3114B271" w14:textId="39F31DA5" w:rsidR="0075603F" w:rsidRPr="00D919F0" w:rsidRDefault="00D919F0" w:rsidP="00D919F0">
      <w:pPr>
        <w:spacing w:line="480" w:lineRule="auto"/>
        <w:ind w:left="709" w:hanging="709"/>
        <w:rPr>
          <w:rFonts w:ascii="Arial" w:hAnsi="Arial" w:cs="Arial"/>
          <w:lang w:val="en-US"/>
        </w:rPr>
      </w:pPr>
      <w:r w:rsidRPr="0075603F">
        <w:rPr>
          <w:rFonts w:ascii="Arial" w:hAnsi="Arial" w:cs="Arial"/>
          <w:lang w:val="en-US"/>
        </w:rPr>
        <w:t>[73]</w:t>
      </w:r>
      <w:r w:rsidRPr="0075603F">
        <w:rPr>
          <w:rFonts w:ascii="Arial" w:hAnsi="Arial" w:cs="Arial"/>
          <w:lang w:val="en-US"/>
        </w:rPr>
        <w:tab/>
      </w:r>
      <w:r w:rsidR="0075603F" w:rsidRPr="00D919F0">
        <w:rPr>
          <w:rFonts w:ascii="Arial" w:hAnsi="Arial" w:cs="Arial"/>
          <w:lang w:val="en-US"/>
        </w:rPr>
        <w:t>The court is first of all only required to check whether the requirements are met. Those are:</w:t>
      </w:r>
    </w:p>
    <w:p w14:paraId="020E651B" w14:textId="77777777" w:rsidR="0075603F" w:rsidRPr="00176883" w:rsidRDefault="0075603F" w:rsidP="0075603F">
      <w:pPr>
        <w:pStyle w:val="ListParagraph"/>
        <w:rPr>
          <w:rFonts w:ascii="Arial" w:hAnsi="Arial" w:cs="Arial"/>
          <w:lang w:val="en-US"/>
        </w:rPr>
      </w:pPr>
    </w:p>
    <w:p w14:paraId="7D497E4B" w14:textId="21148B05" w:rsidR="0075603F" w:rsidRPr="00D919F0" w:rsidRDefault="00D919F0" w:rsidP="00D919F0">
      <w:pPr>
        <w:spacing w:line="480" w:lineRule="auto"/>
        <w:ind w:left="1800" w:hanging="360"/>
        <w:rPr>
          <w:rFonts w:ascii="Arial" w:hAnsi="Arial" w:cs="Arial"/>
          <w:lang w:val="en-US"/>
        </w:rPr>
      </w:pPr>
      <w:r>
        <w:rPr>
          <w:rFonts w:ascii="Arial" w:hAnsi="Arial" w:cs="Arial"/>
          <w:lang w:val="en-US"/>
        </w:rPr>
        <w:t>(1)</w:t>
      </w:r>
      <w:r>
        <w:rPr>
          <w:rFonts w:ascii="Arial" w:hAnsi="Arial" w:cs="Arial"/>
          <w:lang w:val="en-US"/>
        </w:rPr>
        <w:tab/>
      </w:r>
      <w:r w:rsidR="0075603F" w:rsidRPr="00D919F0">
        <w:rPr>
          <w:rFonts w:ascii="Arial" w:hAnsi="Arial" w:cs="Arial"/>
          <w:lang w:val="en-US"/>
        </w:rPr>
        <w:t>The applicant must be CIPC or the Panel;</w:t>
      </w:r>
    </w:p>
    <w:p w14:paraId="077EFA03" w14:textId="1A1B7BA1" w:rsidR="0075603F" w:rsidRPr="00D919F0" w:rsidRDefault="00D919F0" w:rsidP="00D919F0">
      <w:pPr>
        <w:spacing w:line="480" w:lineRule="auto"/>
        <w:ind w:left="1800" w:hanging="360"/>
        <w:rPr>
          <w:rFonts w:ascii="Arial" w:hAnsi="Arial" w:cs="Arial"/>
          <w:lang w:val="en-US"/>
        </w:rPr>
      </w:pPr>
      <w:r>
        <w:rPr>
          <w:rFonts w:ascii="Arial" w:hAnsi="Arial" w:cs="Arial"/>
          <w:lang w:val="en-US"/>
        </w:rPr>
        <w:t>(2)</w:t>
      </w:r>
      <w:r>
        <w:rPr>
          <w:rFonts w:ascii="Arial" w:hAnsi="Arial" w:cs="Arial"/>
          <w:lang w:val="en-US"/>
        </w:rPr>
        <w:tab/>
      </w:r>
      <w:r w:rsidR="0075603F" w:rsidRPr="00D919F0">
        <w:rPr>
          <w:rFonts w:ascii="Arial" w:hAnsi="Arial" w:cs="Arial"/>
          <w:lang w:val="en-US"/>
        </w:rPr>
        <w:t>There must have been a first compliance notice delivered to the company which have not been complied with; and</w:t>
      </w:r>
    </w:p>
    <w:p w14:paraId="2D4A0BC0" w14:textId="64A1BE41" w:rsidR="0075603F" w:rsidRPr="00D919F0" w:rsidRDefault="00D919F0" w:rsidP="00D919F0">
      <w:pPr>
        <w:spacing w:line="480" w:lineRule="auto"/>
        <w:ind w:left="1800" w:hanging="360"/>
        <w:rPr>
          <w:rFonts w:ascii="Arial" w:hAnsi="Arial" w:cs="Arial"/>
          <w:lang w:val="en-US"/>
        </w:rPr>
      </w:pPr>
      <w:r>
        <w:rPr>
          <w:rFonts w:ascii="Arial" w:hAnsi="Arial" w:cs="Arial"/>
          <w:lang w:val="en-US"/>
        </w:rPr>
        <w:lastRenderedPageBreak/>
        <w:t>(3)</w:t>
      </w:r>
      <w:r>
        <w:rPr>
          <w:rFonts w:ascii="Arial" w:hAnsi="Arial" w:cs="Arial"/>
          <w:lang w:val="en-US"/>
        </w:rPr>
        <w:tab/>
      </w:r>
      <w:r w:rsidR="0075603F" w:rsidRPr="00D919F0">
        <w:rPr>
          <w:rFonts w:ascii="Arial" w:hAnsi="Arial" w:cs="Arial"/>
          <w:lang w:val="en-US"/>
        </w:rPr>
        <w:t>There must have been a finding of guilty or a fine imposed on the company, its prescribed officers, or those in control of the company within the past 5 years after the compliance procedure has been followed; and</w:t>
      </w:r>
    </w:p>
    <w:p w14:paraId="0CB1833E" w14:textId="2F9A5BBA" w:rsidR="0075603F" w:rsidRPr="00D919F0" w:rsidRDefault="00D919F0" w:rsidP="00D919F0">
      <w:pPr>
        <w:spacing w:line="480" w:lineRule="auto"/>
        <w:ind w:left="1800" w:hanging="360"/>
        <w:rPr>
          <w:rFonts w:ascii="Arial" w:hAnsi="Arial" w:cs="Arial"/>
          <w:lang w:val="en-US"/>
        </w:rPr>
      </w:pPr>
      <w:r>
        <w:rPr>
          <w:rFonts w:ascii="Arial" w:hAnsi="Arial" w:cs="Arial"/>
          <w:lang w:val="en-US"/>
        </w:rPr>
        <w:t>(4)</w:t>
      </w:r>
      <w:r>
        <w:rPr>
          <w:rFonts w:ascii="Arial" w:hAnsi="Arial" w:cs="Arial"/>
          <w:lang w:val="en-US"/>
        </w:rPr>
        <w:tab/>
      </w:r>
      <w:r w:rsidR="0075603F" w:rsidRPr="00D919F0">
        <w:rPr>
          <w:rFonts w:ascii="Arial" w:hAnsi="Arial" w:cs="Arial"/>
          <w:lang w:val="en-US"/>
        </w:rPr>
        <w:t>There must be a second compliance notice in respect of substantially the same conduct; and</w:t>
      </w:r>
    </w:p>
    <w:p w14:paraId="1104A7BC" w14:textId="5D7B9F1A" w:rsidR="0075603F" w:rsidRPr="00D919F0" w:rsidRDefault="00D919F0" w:rsidP="00D919F0">
      <w:pPr>
        <w:spacing w:line="480" w:lineRule="auto"/>
        <w:ind w:left="1800" w:hanging="360"/>
        <w:rPr>
          <w:rFonts w:ascii="Arial" w:hAnsi="Arial" w:cs="Arial"/>
          <w:lang w:val="en-US"/>
        </w:rPr>
      </w:pPr>
      <w:r w:rsidRPr="00E73A6B">
        <w:rPr>
          <w:rFonts w:ascii="Arial" w:hAnsi="Arial" w:cs="Arial"/>
          <w:lang w:val="en-US"/>
        </w:rPr>
        <w:t>(5)</w:t>
      </w:r>
      <w:r w:rsidRPr="00E73A6B">
        <w:rPr>
          <w:rFonts w:ascii="Arial" w:hAnsi="Arial" w:cs="Arial"/>
          <w:lang w:val="en-US"/>
        </w:rPr>
        <w:tab/>
      </w:r>
      <w:r w:rsidR="0075603F" w:rsidRPr="00D919F0">
        <w:rPr>
          <w:rFonts w:ascii="Arial" w:hAnsi="Arial" w:cs="Arial"/>
          <w:lang w:val="en-US"/>
        </w:rPr>
        <w:t>The complaints/compliance notice must relate to the company, its prescribed officers, or those in control of the company who acted in a manner that is fraudulent or otherwise illegal.</w:t>
      </w:r>
    </w:p>
    <w:p w14:paraId="7AA39256" w14:textId="77777777" w:rsidR="0075603F" w:rsidRPr="00176883" w:rsidRDefault="0075603F" w:rsidP="0075603F">
      <w:pPr>
        <w:pStyle w:val="ListParagraph"/>
        <w:rPr>
          <w:rFonts w:ascii="Arial" w:hAnsi="Arial" w:cs="Arial"/>
          <w:lang w:val="en-US"/>
        </w:rPr>
      </w:pPr>
    </w:p>
    <w:p w14:paraId="7031F289" w14:textId="3AE29951" w:rsidR="0075603F" w:rsidRPr="00D919F0" w:rsidRDefault="00D919F0" w:rsidP="00D919F0">
      <w:pPr>
        <w:spacing w:line="480" w:lineRule="auto"/>
        <w:ind w:left="709" w:hanging="709"/>
        <w:rPr>
          <w:rFonts w:ascii="Arial" w:hAnsi="Arial" w:cs="Arial"/>
          <w:lang w:val="en-US"/>
        </w:rPr>
      </w:pPr>
      <w:r>
        <w:rPr>
          <w:rFonts w:ascii="Arial" w:hAnsi="Arial" w:cs="Arial"/>
          <w:lang w:val="en-US"/>
        </w:rPr>
        <w:t>[74]</w:t>
      </w:r>
      <w:r>
        <w:rPr>
          <w:rFonts w:ascii="Arial" w:hAnsi="Arial" w:cs="Arial"/>
          <w:lang w:val="en-US"/>
        </w:rPr>
        <w:tab/>
      </w:r>
      <w:r w:rsidR="0075603F" w:rsidRPr="00D919F0">
        <w:rPr>
          <w:rFonts w:ascii="Arial" w:hAnsi="Arial" w:cs="Arial"/>
          <w:lang w:val="en-US"/>
        </w:rPr>
        <w:t>The applicant is CIPRO and the first requirement is therefore met.</w:t>
      </w:r>
    </w:p>
    <w:p w14:paraId="4732775E" w14:textId="77777777" w:rsidR="0075603F" w:rsidRDefault="0075603F" w:rsidP="0075603F">
      <w:pPr>
        <w:pStyle w:val="ListParagraph"/>
        <w:ind w:left="709"/>
        <w:rPr>
          <w:rFonts w:ascii="Arial" w:hAnsi="Arial" w:cs="Arial"/>
          <w:lang w:val="en-US"/>
        </w:rPr>
      </w:pPr>
    </w:p>
    <w:p w14:paraId="761A25E4" w14:textId="478FBF9C" w:rsidR="0075603F" w:rsidRPr="00D919F0" w:rsidRDefault="00D919F0" w:rsidP="00D919F0">
      <w:pPr>
        <w:spacing w:line="480" w:lineRule="auto"/>
        <w:ind w:left="709" w:hanging="709"/>
        <w:rPr>
          <w:rFonts w:ascii="Arial" w:hAnsi="Arial" w:cs="Arial"/>
          <w:lang w:val="en-US"/>
        </w:rPr>
      </w:pPr>
      <w:r>
        <w:rPr>
          <w:rFonts w:ascii="Arial" w:hAnsi="Arial" w:cs="Arial"/>
          <w:lang w:val="en-US"/>
        </w:rPr>
        <w:t>[75]</w:t>
      </w:r>
      <w:r>
        <w:rPr>
          <w:rFonts w:ascii="Arial" w:hAnsi="Arial" w:cs="Arial"/>
          <w:lang w:val="en-US"/>
        </w:rPr>
        <w:tab/>
      </w:r>
      <w:r w:rsidR="0075603F" w:rsidRPr="00D919F0">
        <w:rPr>
          <w:rFonts w:ascii="Arial" w:hAnsi="Arial" w:cs="Arial"/>
          <w:lang w:val="en-US"/>
        </w:rPr>
        <w:t>The Financial Services Board, as it was then known, in December 2011 issued an inspection report and respondent reported a 34% loss. It became clear that the respondent was conducting business in insolvent circumstances.</w:t>
      </w:r>
    </w:p>
    <w:p w14:paraId="642C8660" w14:textId="77777777" w:rsidR="0075603F" w:rsidRPr="0075603F" w:rsidRDefault="0075603F" w:rsidP="0075603F">
      <w:pPr>
        <w:pStyle w:val="ListParagraph"/>
        <w:rPr>
          <w:rFonts w:ascii="Arial" w:hAnsi="Arial" w:cs="Arial"/>
          <w:lang w:val="en-US"/>
        </w:rPr>
      </w:pPr>
    </w:p>
    <w:p w14:paraId="1B2BF61B" w14:textId="1B2CFEF9" w:rsidR="0075603F" w:rsidRPr="00D919F0" w:rsidRDefault="00D919F0" w:rsidP="00D919F0">
      <w:pPr>
        <w:spacing w:line="480" w:lineRule="auto"/>
        <w:ind w:left="709" w:hanging="709"/>
        <w:rPr>
          <w:rFonts w:ascii="Arial" w:hAnsi="Arial" w:cs="Arial"/>
          <w:lang w:val="en-US"/>
        </w:rPr>
      </w:pPr>
      <w:r>
        <w:rPr>
          <w:rFonts w:ascii="Arial" w:hAnsi="Arial" w:cs="Arial"/>
          <w:lang w:val="en-US"/>
        </w:rPr>
        <w:t>[76]</w:t>
      </w:r>
      <w:r>
        <w:rPr>
          <w:rFonts w:ascii="Arial" w:hAnsi="Arial" w:cs="Arial"/>
          <w:lang w:val="en-US"/>
        </w:rPr>
        <w:tab/>
      </w:r>
      <w:r w:rsidR="0075603F" w:rsidRPr="00D919F0">
        <w:rPr>
          <w:rFonts w:ascii="Arial" w:hAnsi="Arial" w:cs="Arial"/>
          <w:lang w:val="en-US"/>
        </w:rPr>
        <w:t>In early March 2016 the Prospectus Vetting Committee investigated the respondent’s prospectuses. Later in march the deponent to the founding affidavit for applicant was appointed to investigate the affairs of the respondent, SEI 1.</w:t>
      </w:r>
    </w:p>
    <w:p w14:paraId="008D2C80" w14:textId="77777777" w:rsidR="0075603F" w:rsidRPr="0075603F" w:rsidRDefault="0075603F" w:rsidP="0075603F">
      <w:pPr>
        <w:pStyle w:val="ListParagraph"/>
        <w:rPr>
          <w:rFonts w:ascii="Arial" w:hAnsi="Arial" w:cs="Arial"/>
          <w:lang w:val="en-US"/>
        </w:rPr>
      </w:pPr>
    </w:p>
    <w:p w14:paraId="42F0D0F0" w14:textId="06A200FC" w:rsidR="0075603F" w:rsidRPr="00D919F0" w:rsidRDefault="00D919F0" w:rsidP="00D919F0">
      <w:pPr>
        <w:spacing w:line="480" w:lineRule="auto"/>
        <w:ind w:left="709" w:hanging="709"/>
        <w:rPr>
          <w:rFonts w:ascii="Arial" w:hAnsi="Arial" w:cs="Arial"/>
          <w:lang w:val="en-US"/>
        </w:rPr>
      </w:pPr>
      <w:r>
        <w:rPr>
          <w:rFonts w:ascii="Arial" w:hAnsi="Arial" w:cs="Arial"/>
          <w:lang w:val="en-US"/>
        </w:rPr>
        <w:t>[77]</w:t>
      </w:r>
      <w:r>
        <w:rPr>
          <w:rFonts w:ascii="Arial" w:hAnsi="Arial" w:cs="Arial"/>
          <w:lang w:val="en-US"/>
        </w:rPr>
        <w:tab/>
      </w:r>
      <w:r w:rsidR="0075603F" w:rsidRPr="00D919F0">
        <w:rPr>
          <w:rFonts w:ascii="Arial" w:hAnsi="Arial" w:cs="Arial"/>
          <w:lang w:val="en-US"/>
        </w:rPr>
        <w:t>On 26 October 2016 the applicant, issued the first compliance notice essentially notifying the respondent that it is trading recklessly and in insolvent circumstances. This notice was based on a report prepared by the deponent for CIPRO.</w:t>
      </w:r>
    </w:p>
    <w:p w14:paraId="2B8C67FF" w14:textId="77777777" w:rsidR="0075603F" w:rsidRPr="0075603F" w:rsidRDefault="0075603F" w:rsidP="0075603F">
      <w:pPr>
        <w:pStyle w:val="ListParagraph"/>
        <w:rPr>
          <w:rFonts w:ascii="Arial" w:hAnsi="Arial" w:cs="Arial"/>
          <w:lang w:val="en-US"/>
        </w:rPr>
      </w:pPr>
    </w:p>
    <w:p w14:paraId="447E7AA7" w14:textId="5301EE33" w:rsidR="0075603F" w:rsidRPr="00D919F0" w:rsidRDefault="00D919F0" w:rsidP="00D919F0">
      <w:pPr>
        <w:spacing w:line="480" w:lineRule="auto"/>
        <w:ind w:left="709" w:hanging="709"/>
        <w:rPr>
          <w:rFonts w:ascii="Arial" w:hAnsi="Arial" w:cs="Arial"/>
          <w:lang w:val="en-US"/>
        </w:rPr>
      </w:pPr>
      <w:r>
        <w:rPr>
          <w:rFonts w:ascii="Arial" w:hAnsi="Arial" w:cs="Arial"/>
          <w:lang w:val="en-US"/>
        </w:rPr>
        <w:lastRenderedPageBreak/>
        <w:t>[78]</w:t>
      </w:r>
      <w:r>
        <w:rPr>
          <w:rFonts w:ascii="Arial" w:hAnsi="Arial" w:cs="Arial"/>
          <w:lang w:val="en-US"/>
        </w:rPr>
        <w:tab/>
      </w:r>
      <w:r w:rsidR="0075603F" w:rsidRPr="00D919F0">
        <w:rPr>
          <w:rFonts w:ascii="Arial" w:hAnsi="Arial" w:cs="Arial"/>
          <w:lang w:val="en-US"/>
        </w:rPr>
        <w:t>The respondent replied to the notice on 5 December 2016. Importantly the noncompliance with the relevant legislation and the fact that it was conducting business in insolvent circumstances.</w:t>
      </w:r>
    </w:p>
    <w:p w14:paraId="43342A6A" w14:textId="77777777" w:rsidR="0075603F" w:rsidRPr="0075603F" w:rsidRDefault="0075603F" w:rsidP="0075603F">
      <w:pPr>
        <w:pStyle w:val="ListParagraph"/>
        <w:rPr>
          <w:rFonts w:ascii="Arial" w:hAnsi="Arial" w:cs="Arial"/>
          <w:lang w:val="en-US"/>
        </w:rPr>
      </w:pPr>
    </w:p>
    <w:p w14:paraId="434C04DE" w14:textId="5EED566D" w:rsidR="0075603F" w:rsidRPr="00D919F0" w:rsidRDefault="00D919F0" w:rsidP="00D919F0">
      <w:pPr>
        <w:spacing w:line="480" w:lineRule="auto"/>
        <w:ind w:left="709" w:hanging="709"/>
        <w:rPr>
          <w:rFonts w:ascii="Arial" w:hAnsi="Arial" w:cs="Arial"/>
          <w:lang w:val="en-US"/>
        </w:rPr>
      </w:pPr>
      <w:r>
        <w:rPr>
          <w:rFonts w:ascii="Arial" w:hAnsi="Arial" w:cs="Arial"/>
          <w:lang w:val="en-US"/>
        </w:rPr>
        <w:t>[79]</w:t>
      </w:r>
      <w:r>
        <w:rPr>
          <w:rFonts w:ascii="Arial" w:hAnsi="Arial" w:cs="Arial"/>
          <w:lang w:val="en-US"/>
        </w:rPr>
        <w:tab/>
      </w:r>
      <w:r w:rsidR="0075603F" w:rsidRPr="00D919F0">
        <w:rPr>
          <w:rFonts w:ascii="Arial" w:hAnsi="Arial" w:cs="Arial"/>
          <w:lang w:val="en-US"/>
        </w:rPr>
        <w:t>On 16 January 2017 a second compliance notice is issued by applicant which is replied to on 31 March 2017.</w:t>
      </w:r>
    </w:p>
    <w:p w14:paraId="566382C0" w14:textId="77777777" w:rsidR="0075603F" w:rsidRPr="0075603F" w:rsidRDefault="0075603F" w:rsidP="0075603F">
      <w:pPr>
        <w:pStyle w:val="ListParagraph"/>
        <w:rPr>
          <w:rFonts w:ascii="Arial" w:hAnsi="Arial" w:cs="Arial"/>
          <w:lang w:val="en-US"/>
        </w:rPr>
      </w:pPr>
    </w:p>
    <w:p w14:paraId="429BF23E" w14:textId="36055CFA" w:rsidR="0075603F" w:rsidRPr="00D919F0" w:rsidRDefault="00D919F0" w:rsidP="00D919F0">
      <w:pPr>
        <w:spacing w:line="480" w:lineRule="auto"/>
        <w:ind w:left="709" w:hanging="709"/>
        <w:rPr>
          <w:rFonts w:ascii="Arial" w:hAnsi="Arial" w:cs="Arial"/>
          <w:lang w:val="en-US"/>
        </w:rPr>
      </w:pPr>
      <w:r>
        <w:rPr>
          <w:rFonts w:ascii="Arial" w:hAnsi="Arial" w:cs="Arial"/>
          <w:lang w:val="en-US"/>
        </w:rPr>
        <w:t>[80]</w:t>
      </w:r>
      <w:r>
        <w:rPr>
          <w:rFonts w:ascii="Arial" w:hAnsi="Arial" w:cs="Arial"/>
          <w:lang w:val="en-US"/>
        </w:rPr>
        <w:tab/>
      </w:r>
      <w:r w:rsidR="0075603F" w:rsidRPr="00D919F0">
        <w:rPr>
          <w:rFonts w:ascii="Arial" w:hAnsi="Arial" w:cs="Arial"/>
          <w:lang w:val="en-US"/>
        </w:rPr>
        <w:t xml:space="preserve">The respondent thereafter reacts to the compliance notices and report by the FSB by making representations on 4 July 2017. </w:t>
      </w:r>
    </w:p>
    <w:p w14:paraId="73A8FCFA" w14:textId="77777777" w:rsidR="0075603F" w:rsidRPr="0075603F" w:rsidRDefault="0075603F" w:rsidP="0075603F">
      <w:pPr>
        <w:pStyle w:val="ListParagraph"/>
        <w:rPr>
          <w:rFonts w:ascii="Arial" w:hAnsi="Arial" w:cs="Arial"/>
          <w:lang w:val="en-US"/>
        </w:rPr>
      </w:pPr>
    </w:p>
    <w:p w14:paraId="34FDF576" w14:textId="100E743B" w:rsidR="0075603F" w:rsidRPr="00D919F0" w:rsidRDefault="00D919F0" w:rsidP="00D919F0">
      <w:pPr>
        <w:spacing w:line="480" w:lineRule="auto"/>
        <w:ind w:left="709" w:hanging="709"/>
        <w:rPr>
          <w:rFonts w:ascii="Arial" w:hAnsi="Arial" w:cs="Arial"/>
          <w:lang w:val="en-US"/>
        </w:rPr>
      </w:pPr>
      <w:r>
        <w:rPr>
          <w:rFonts w:ascii="Arial" w:hAnsi="Arial" w:cs="Arial"/>
          <w:lang w:val="en-US"/>
        </w:rPr>
        <w:t>[81]</w:t>
      </w:r>
      <w:r>
        <w:rPr>
          <w:rFonts w:ascii="Arial" w:hAnsi="Arial" w:cs="Arial"/>
          <w:lang w:val="en-US"/>
        </w:rPr>
        <w:tab/>
      </w:r>
      <w:r w:rsidR="0075603F" w:rsidRPr="00D919F0">
        <w:rPr>
          <w:rFonts w:ascii="Arial" w:hAnsi="Arial" w:cs="Arial"/>
          <w:lang w:val="en-US"/>
        </w:rPr>
        <w:t>On 13 July 2017 the Auditors of the respondent issued a report reporting a “reportable irregularity” to the members of SEI 1 and inform them thereof on 14 July 2017. The auditors are required to report certain irregularities to (Independent regulatory Board for Auditors) IRBA.</w:t>
      </w:r>
    </w:p>
    <w:p w14:paraId="0DBE866A" w14:textId="77777777" w:rsidR="0075603F" w:rsidRPr="0075603F" w:rsidRDefault="0075603F" w:rsidP="0075603F">
      <w:pPr>
        <w:pStyle w:val="ListParagraph"/>
        <w:rPr>
          <w:rFonts w:ascii="Arial" w:hAnsi="Arial" w:cs="Arial"/>
          <w:lang w:val="en-US"/>
        </w:rPr>
      </w:pPr>
    </w:p>
    <w:p w14:paraId="61373C1D" w14:textId="7F698543" w:rsidR="0075603F" w:rsidRPr="00D919F0" w:rsidRDefault="00D919F0" w:rsidP="00D919F0">
      <w:pPr>
        <w:spacing w:line="480" w:lineRule="auto"/>
        <w:ind w:left="709" w:hanging="709"/>
        <w:rPr>
          <w:rFonts w:ascii="Arial" w:hAnsi="Arial" w:cs="Arial"/>
          <w:lang w:val="en-US"/>
        </w:rPr>
      </w:pPr>
      <w:r>
        <w:rPr>
          <w:rFonts w:ascii="Arial" w:hAnsi="Arial" w:cs="Arial"/>
          <w:lang w:val="en-US"/>
        </w:rPr>
        <w:t>[82]</w:t>
      </w:r>
      <w:r>
        <w:rPr>
          <w:rFonts w:ascii="Arial" w:hAnsi="Arial" w:cs="Arial"/>
          <w:lang w:val="en-US"/>
        </w:rPr>
        <w:tab/>
      </w:r>
      <w:r w:rsidR="0075603F" w:rsidRPr="00D919F0">
        <w:rPr>
          <w:rFonts w:ascii="Arial" w:hAnsi="Arial" w:cs="Arial"/>
          <w:lang w:val="en-US"/>
        </w:rPr>
        <w:t>On 11 August 2017 a second such report is issued by the auditors of respondent and reported to IRBA.</w:t>
      </w:r>
    </w:p>
    <w:p w14:paraId="1F0A19CD" w14:textId="77777777" w:rsidR="0075603F" w:rsidRPr="0075603F" w:rsidRDefault="0075603F" w:rsidP="0075603F">
      <w:pPr>
        <w:pStyle w:val="ListParagraph"/>
        <w:rPr>
          <w:rFonts w:ascii="Arial" w:hAnsi="Arial" w:cs="Arial"/>
          <w:lang w:val="en-US"/>
        </w:rPr>
      </w:pPr>
    </w:p>
    <w:p w14:paraId="618C8B36" w14:textId="24194562" w:rsidR="0075603F" w:rsidRPr="00D919F0" w:rsidRDefault="00D919F0" w:rsidP="00D919F0">
      <w:pPr>
        <w:spacing w:line="480" w:lineRule="auto"/>
        <w:ind w:left="709" w:hanging="709"/>
        <w:rPr>
          <w:rFonts w:ascii="Arial" w:hAnsi="Arial" w:cs="Arial"/>
          <w:lang w:val="en-US"/>
        </w:rPr>
      </w:pPr>
      <w:r>
        <w:rPr>
          <w:rFonts w:ascii="Arial" w:hAnsi="Arial" w:cs="Arial"/>
          <w:lang w:val="en-US"/>
        </w:rPr>
        <w:t>[83]</w:t>
      </w:r>
      <w:r>
        <w:rPr>
          <w:rFonts w:ascii="Arial" w:hAnsi="Arial" w:cs="Arial"/>
          <w:lang w:val="en-US"/>
        </w:rPr>
        <w:tab/>
      </w:r>
      <w:r w:rsidR="0075603F" w:rsidRPr="00D919F0">
        <w:rPr>
          <w:rFonts w:ascii="Arial" w:hAnsi="Arial" w:cs="Arial"/>
          <w:lang w:val="en-US"/>
        </w:rPr>
        <w:t xml:space="preserve"> On 6 September the deponent to applicant’s affidavit is appointed after a complaint by IRBA was received.</w:t>
      </w:r>
    </w:p>
    <w:p w14:paraId="67C58A3B" w14:textId="77777777" w:rsidR="0075603F" w:rsidRPr="0075603F" w:rsidRDefault="0075603F" w:rsidP="0075603F">
      <w:pPr>
        <w:pStyle w:val="ListParagraph"/>
        <w:rPr>
          <w:rFonts w:ascii="Arial" w:hAnsi="Arial" w:cs="Arial"/>
          <w:lang w:val="en-US"/>
        </w:rPr>
      </w:pPr>
    </w:p>
    <w:p w14:paraId="2054DDB1" w14:textId="7BC15461" w:rsidR="0075603F" w:rsidRPr="00D919F0" w:rsidRDefault="00D919F0" w:rsidP="00D919F0">
      <w:pPr>
        <w:spacing w:line="480" w:lineRule="auto"/>
        <w:ind w:left="709" w:hanging="709"/>
        <w:rPr>
          <w:rFonts w:ascii="Arial" w:hAnsi="Arial" w:cs="Arial"/>
          <w:lang w:val="en-US"/>
        </w:rPr>
      </w:pPr>
      <w:r>
        <w:rPr>
          <w:rFonts w:ascii="Arial" w:hAnsi="Arial" w:cs="Arial"/>
          <w:lang w:val="en-US"/>
        </w:rPr>
        <w:t>[84]</w:t>
      </w:r>
      <w:r>
        <w:rPr>
          <w:rFonts w:ascii="Arial" w:hAnsi="Arial" w:cs="Arial"/>
          <w:lang w:val="en-US"/>
        </w:rPr>
        <w:tab/>
      </w:r>
      <w:r w:rsidR="0075603F" w:rsidRPr="00D919F0">
        <w:rPr>
          <w:rFonts w:ascii="Arial" w:hAnsi="Arial" w:cs="Arial"/>
          <w:lang w:val="en-US"/>
        </w:rPr>
        <w:t>On 19 September 2017 a second report by the deponent for applicant is followed by a third compliance notice.</w:t>
      </w:r>
    </w:p>
    <w:p w14:paraId="72C9841F" w14:textId="77777777" w:rsidR="0075603F" w:rsidRPr="0075603F" w:rsidRDefault="0075603F" w:rsidP="0075603F">
      <w:pPr>
        <w:pStyle w:val="ListParagraph"/>
        <w:rPr>
          <w:rFonts w:ascii="Arial" w:hAnsi="Arial" w:cs="Arial"/>
          <w:lang w:val="en-US"/>
        </w:rPr>
      </w:pPr>
    </w:p>
    <w:p w14:paraId="37DE9BA3" w14:textId="1450BD4E" w:rsidR="0075603F" w:rsidRPr="00D919F0" w:rsidRDefault="00D919F0" w:rsidP="00D919F0">
      <w:pPr>
        <w:spacing w:line="480" w:lineRule="auto"/>
        <w:ind w:left="709" w:hanging="709"/>
        <w:rPr>
          <w:rFonts w:ascii="Arial" w:hAnsi="Arial" w:cs="Arial"/>
          <w:lang w:val="en-US"/>
        </w:rPr>
      </w:pPr>
      <w:r>
        <w:rPr>
          <w:rFonts w:ascii="Arial" w:hAnsi="Arial" w:cs="Arial"/>
          <w:lang w:val="en-US"/>
        </w:rPr>
        <w:t>[85]</w:t>
      </w:r>
      <w:r>
        <w:rPr>
          <w:rFonts w:ascii="Arial" w:hAnsi="Arial" w:cs="Arial"/>
          <w:lang w:val="en-US"/>
        </w:rPr>
        <w:tab/>
      </w:r>
      <w:r w:rsidR="0075603F" w:rsidRPr="00D919F0">
        <w:rPr>
          <w:rFonts w:ascii="Arial" w:hAnsi="Arial" w:cs="Arial"/>
          <w:lang w:val="en-US"/>
        </w:rPr>
        <w:t>A third report on the respondent’s affairs are issued on 7 December 2017 followed on the same day by a fourth compliance notice.</w:t>
      </w:r>
    </w:p>
    <w:p w14:paraId="72059826" w14:textId="77777777" w:rsidR="0075603F" w:rsidRPr="0075603F" w:rsidRDefault="0075603F" w:rsidP="0075603F">
      <w:pPr>
        <w:pStyle w:val="ListParagraph"/>
        <w:rPr>
          <w:rFonts w:ascii="Arial" w:hAnsi="Arial" w:cs="Arial"/>
          <w:lang w:val="en-US"/>
        </w:rPr>
      </w:pPr>
    </w:p>
    <w:p w14:paraId="5BAAE523" w14:textId="73BB76AE" w:rsidR="0075603F" w:rsidRPr="00D919F0" w:rsidRDefault="00D919F0" w:rsidP="00D919F0">
      <w:pPr>
        <w:spacing w:line="480" w:lineRule="auto"/>
        <w:ind w:left="709" w:hanging="709"/>
        <w:rPr>
          <w:rFonts w:ascii="Arial" w:hAnsi="Arial" w:cs="Arial"/>
          <w:lang w:val="en-US"/>
        </w:rPr>
      </w:pPr>
      <w:r>
        <w:rPr>
          <w:rFonts w:ascii="Arial" w:hAnsi="Arial" w:cs="Arial"/>
          <w:lang w:val="en-US"/>
        </w:rPr>
        <w:t>[86]</w:t>
      </w:r>
      <w:r>
        <w:rPr>
          <w:rFonts w:ascii="Arial" w:hAnsi="Arial" w:cs="Arial"/>
          <w:lang w:val="en-US"/>
        </w:rPr>
        <w:tab/>
      </w:r>
      <w:r w:rsidR="0075603F" w:rsidRPr="00D919F0">
        <w:rPr>
          <w:rFonts w:ascii="Arial" w:hAnsi="Arial" w:cs="Arial"/>
          <w:lang w:val="en-US"/>
        </w:rPr>
        <w:t>On 16 January 2018 the respondent replies to the latest notice.</w:t>
      </w:r>
    </w:p>
    <w:p w14:paraId="462548F4" w14:textId="77777777" w:rsidR="0075603F" w:rsidRPr="0075603F" w:rsidRDefault="0075603F" w:rsidP="0075603F">
      <w:pPr>
        <w:pStyle w:val="ListParagraph"/>
        <w:rPr>
          <w:rFonts w:ascii="Arial" w:hAnsi="Arial" w:cs="Arial"/>
          <w:lang w:val="en-US"/>
        </w:rPr>
      </w:pPr>
    </w:p>
    <w:p w14:paraId="1F6C9F4B" w14:textId="30425C32" w:rsidR="0075603F" w:rsidRPr="00D919F0" w:rsidRDefault="00D919F0" w:rsidP="00D919F0">
      <w:pPr>
        <w:spacing w:line="480" w:lineRule="auto"/>
        <w:ind w:left="709" w:hanging="709"/>
        <w:rPr>
          <w:rFonts w:ascii="Arial" w:hAnsi="Arial" w:cs="Arial"/>
          <w:lang w:val="en-US"/>
        </w:rPr>
      </w:pPr>
      <w:r>
        <w:rPr>
          <w:rFonts w:ascii="Arial" w:hAnsi="Arial" w:cs="Arial"/>
          <w:lang w:val="en-US"/>
        </w:rPr>
        <w:lastRenderedPageBreak/>
        <w:t>[87]</w:t>
      </w:r>
      <w:r>
        <w:rPr>
          <w:rFonts w:ascii="Arial" w:hAnsi="Arial" w:cs="Arial"/>
          <w:lang w:val="en-US"/>
        </w:rPr>
        <w:tab/>
      </w:r>
      <w:r w:rsidR="0075603F" w:rsidRPr="00D919F0">
        <w:rPr>
          <w:rFonts w:ascii="Arial" w:hAnsi="Arial" w:cs="Arial"/>
          <w:lang w:val="en-US"/>
        </w:rPr>
        <w:t>On 14 February 2018 a fourth report and firth compliance notice are issued to respondent.</w:t>
      </w:r>
    </w:p>
    <w:p w14:paraId="2527D43E" w14:textId="77777777" w:rsidR="0075603F" w:rsidRPr="0075603F" w:rsidRDefault="0075603F" w:rsidP="0075603F">
      <w:pPr>
        <w:pStyle w:val="ListParagraph"/>
        <w:rPr>
          <w:rFonts w:ascii="Arial" w:hAnsi="Arial" w:cs="Arial"/>
          <w:lang w:val="en-US"/>
        </w:rPr>
      </w:pPr>
    </w:p>
    <w:p w14:paraId="040619C1" w14:textId="07A58ABC" w:rsidR="0075603F" w:rsidRPr="00D919F0" w:rsidRDefault="00D919F0" w:rsidP="00D919F0">
      <w:pPr>
        <w:spacing w:line="480" w:lineRule="auto"/>
        <w:ind w:left="709" w:hanging="709"/>
        <w:rPr>
          <w:rFonts w:ascii="Arial" w:hAnsi="Arial" w:cs="Arial"/>
          <w:lang w:val="en-US"/>
        </w:rPr>
      </w:pPr>
      <w:r>
        <w:rPr>
          <w:rFonts w:ascii="Arial" w:hAnsi="Arial" w:cs="Arial"/>
          <w:lang w:val="en-US"/>
        </w:rPr>
        <w:t>[88]</w:t>
      </w:r>
      <w:r>
        <w:rPr>
          <w:rFonts w:ascii="Arial" w:hAnsi="Arial" w:cs="Arial"/>
          <w:lang w:val="en-US"/>
        </w:rPr>
        <w:tab/>
      </w:r>
      <w:r w:rsidR="0075603F" w:rsidRPr="00D919F0">
        <w:rPr>
          <w:rFonts w:ascii="Arial" w:hAnsi="Arial" w:cs="Arial"/>
          <w:lang w:val="en-US"/>
        </w:rPr>
        <w:t>On 28 August 2018 the applicant launches proceedings to have the directors of respondent declared delinquent. Those proceedings, so I was informed has not yet been finalised. As a result, it was argued on behalf of Respondent that the matter is Lis Pendens with which I have dealt with above.</w:t>
      </w:r>
    </w:p>
    <w:p w14:paraId="7916C2AC" w14:textId="77777777" w:rsidR="0075603F" w:rsidRPr="0075603F" w:rsidRDefault="0075603F" w:rsidP="0075603F">
      <w:pPr>
        <w:pStyle w:val="ListParagraph"/>
        <w:rPr>
          <w:rFonts w:ascii="Arial" w:hAnsi="Arial" w:cs="Arial"/>
          <w:lang w:val="en-US"/>
        </w:rPr>
      </w:pPr>
    </w:p>
    <w:p w14:paraId="79373E36" w14:textId="4D3FC416" w:rsidR="0075603F" w:rsidRPr="00D919F0" w:rsidRDefault="00D919F0" w:rsidP="00D919F0">
      <w:pPr>
        <w:spacing w:line="480" w:lineRule="auto"/>
        <w:ind w:left="709" w:hanging="709"/>
        <w:rPr>
          <w:rFonts w:ascii="Arial" w:hAnsi="Arial" w:cs="Arial"/>
          <w:lang w:val="en-US"/>
        </w:rPr>
      </w:pPr>
      <w:r>
        <w:rPr>
          <w:rFonts w:ascii="Arial" w:hAnsi="Arial" w:cs="Arial"/>
          <w:lang w:val="en-US"/>
        </w:rPr>
        <w:t>[89]</w:t>
      </w:r>
      <w:r>
        <w:rPr>
          <w:rFonts w:ascii="Arial" w:hAnsi="Arial" w:cs="Arial"/>
          <w:lang w:val="en-US"/>
        </w:rPr>
        <w:tab/>
      </w:r>
      <w:r w:rsidR="0075603F" w:rsidRPr="00D919F0">
        <w:rPr>
          <w:rFonts w:ascii="Arial" w:hAnsi="Arial" w:cs="Arial"/>
          <w:lang w:val="en-US"/>
        </w:rPr>
        <w:t>The liquidation application was issued on 5 August 2020.</w:t>
      </w:r>
    </w:p>
    <w:p w14:paraId="575A9607" w14:textId="77777777" w:rsidR="0075603F" w:rsidRPr="0075603F" w:rsidRDefault="0075603F" w:rsidP="0075603F">
      <w:pPr>
        <w:pStyle w:val="ListParagraph"/>
        <w:rPr>
          <w:rFonts w:ascii="Arial" w:hAnsi="Arial" w:cs="Arial"/>
          <w:lang w:val="en-US"/>
        </w:rPr>
      </w:pPr>
    </w:p>
    <w:p w14:paraId="493A607C" w14:textId="4864AB0D" w:rsidR="0075603F" w:rsidRPr="00D919F0" w:rsidRDefault="00D919F0" w:rsidP="00D919F0">
      <w:pPr>
        <w:spacing w:line="480" w:lineRule="auto"/>
        <w:ind w:left="709" w:hanging="709"/>
        <w:rPr>
          <w:rFonts w:ascii="Arial" w:hAnsi="Arial" w:cs="Arial"/>
          <w:lang w:val="en-US"/>
        </w:rPr>
      </w:pPr>
      <w:r>
        <w:rPr>
          <w:rFonts w:ascii="Arial" w:hAnsi="Arial" w:cs="Arial"/>
          <w:lang w:val="en-US"/>
        </w:rPr>
        <w:t>[90]</w:t>
      </w:r>
      <w:r>
        <w:rPr>
          <w:rFonts w:ascii="Arial" w:hAnsi="Arial" w:cs="Arial"/>
          <w:lang w:val="en-US"/>
        </w:rPr>
        <w:tab/>
      </w:r>
      <w:r w:rsidR="0075603F" w:rsidRPr="00D919F0">
        <w:rPr>
          <w:rFonts w:ascii="Arial" w:hAnsi="Arial" w:cs="Arial"/>
          <w:lang w:val="en-US"/>
        </w:rPr>
        <w:t>There was adequate notices and instances where compliance notices had been issued. The issuing and content of the notice are not disputed. As a matter of fact, the non-compliance with inter alia section 30, 24 and numerous other sections of the Act as well as the Provisions of other legislation and directives issued by inter alia the FSB, as it was then known, is admitted and no explanation given whatsoever. In some of the instances the respondents were trying to comply with instructions to submit audited financial statements for 205 when they again did not comply with submitting those for 2017. For at least 3 years no annual general meeting of its shareholders were held and the shares register never or at least not adequately “cleaned” up as instructed by CIPRO. Simply put the respondent and its directors simply flouted the legal prescripts.</w:t>
      </w:r>
    </w:p>
    <w:p w14:paraId="5F945BFF" w14:textId="77777777" w:rsidR="0075603F" w:rsidRPr="0075603F" w:rsidRDefault="0075603F" w:rsidP="0075603F">
      <w:pPr>
        <w:pStyle w:val="ListParagraph"/>
        <w:rPr>
          <w:rFonts w:ascii="Arial" w:hAnsi="Arial" w:cs="Arial"/>
          <w:lang w:val="en-US"/>
        </w:rPr>
      </w:pPr>
    </w:p>
    <w:p w14:paraId="599A3581" w14:textId="2E7193A8" w:rsidR="0075603F" w:rsidRPr="00D919F0" w:rsidRDefault="00D919F0" w:rsidP="00D919F0">
      <w:pPr>
        <w:spacing w:line="480" w:lineRule="auto"/>
        <w:ind w:left="709" w:hanging="709"/>
        <w:rPr>
          <w:rFonts w:ascii="Arial" w:hAnsi="Arial" w:cs="Arial"/>
          <w:lang w:val="en-US"/>
        </w:rPr>
      </w:pPr>
      <w:r>
        <w:rPr>
          <w:rFonts w:ascii="Arial" w:hAnsi="Arial" w:cs="Arial"/>
          <w:lang w:val="en-US"/>
        </w:rPr>
        <w:t>[91]</w:t>
      </w:r>
      <w:r>
        <w:rPr>
          <w:rFonts w:ascii="Arial" w:hAnsi="Arial" w:cs="Arial"/>
          <w:lang w:val="en-US"/>
        </w:rPr>
        <w:tab/>
      </w:r>
      <w:r w:rsidR="0075603F" w:rsidRPr="00D919F0">
        <w:rPr>
          <w:rFonts w:ascii="Arial" w:hAnsi="Arial" w:cs="Arial"/>
          <w:lang w:val="en-US"/>
        </w:rPr>
        <w:t>Dealing with the business of the respondent will explain the seriousness of the offences. Respondent is a public company soliciting investment by the selling of its shares granting the public the opportunity to invest as such in a diversified shares portfolio of inter alia shares trade on different exchanges.</w:t>
      </w:r>
    </w:p>
    <w:p w14:paraId="0C0376F9" w14:textId="77777777" w:rsidR="0075603F" w:rsidRPr="0075603F" w:rsidRDefault="0075603F" w:rsidP="0075603F">
      <w:pPr>
        <w:pStyle w:val="ListParagraph"/>
        <w:rPr>
          <w:rFonts w:ascii="Arial" w:hAnsi="Arial" w:cs="Arial"/>
          <w:lang w:val="en-US"/>
        </w:rPr>
      </w:pPr>
    </w:p>
    <w:p w14:paraId="7BF7F184" w14:textId="051FDC47" w:rsidR="0075603F" w:rsidRPr="00D919F0" w:rsidRDefault="00D919F0" w:rsidP="00D919F0">
      <w:pPr>
        <w:spacing w:line="480" w:lineRule="auto"/>
        <w:ind w:left="709" w:hanging="709"/>
        <w:rPr>
          <w:rFonts w:ascii="Arial" w:hAnsi="Arial" w:cs="Arial"/>
          <w:lang w:val="en-US"/>
        </w:rPr>
      </w:pPr>
      <w:r w:rsidRPr="0075603F">
        <w:rPr>
          <w:rFonts w:ascii="Arial" w:hAnsi="Arial" w:cs="Arial"/>
          <w:lang w:val="en-US"/>
        </w:rPr>
        <w:t>[92]</w:t>
      </w:r>
      <w:r w:rsidRPr="0075603F">
        <w:rPr>
          <w:rFonts w:ascii="Arial" w:hAnsi="Arial" w:cs="Arial"/>
          <w:lang w:val="en-US"/>
        </w:rPr>
        <w:tab/>
      </w:r>
      <w:r w:rsidR="0075603F" w:rsidRPr="00D919F0">
        <w:rPr>
          <w:rFonts w:ascii="Arial" w:hAnsi="Arial" w:cs="Arial"/>
          <w:lang w:val="en-US"/>
        </w:rPr>
        <w:t>As I understand the position, the respondent uses public funds, targeting especially first time or inexperienced investors, to buy shares. These shares are not held by the investors but by the respondent. It failed for a number of years to obtain any subscriptions to new shares issued after publishing a prospectus. Respondent for a number of years received no investment and was trading in insolvent circumstances after having lost more than R30 Million due to an entity in which it held shares was liquidated.</w:t>
      </w:r>
    </w:p>
    <w:p w14:paraId="71F94498" w14:textId="77777777" w:rsidR="0075603F" w:rsidRPr="0075603F" w:rsidRDefault="0075603F" w:rsidP="0075603F">
      <w:pPr>
        <w:pStyle w:val="ListParagraph"/>
        <w:rPr>
          <w:rFonts w:ascii="Arial" w:hAnsi="Arial" w:cs="Arial"/>
          <w:lang w:val="en-US"/>
        </w:rPr>
      </w:pPr>
    </w:p>
    <w:p w14:paraId="02C96DF0" w14:textId="21382636" w:rsidR="0075603F" w:rsidRPr="00D919F0" w:rsidRDefault="00D919F0" w:rsidP="00D919F0">
      <w:pPr>
        <w:spacing w:line="480" w:lineRule="auto"/>
        <w:ind w:left="709" w:hanging="709"/>
        <w:rPr>
          <w:rFonts w:ascii="Arial" w:hAnsi="Arial" w:cs="Arial"/>
          <w:lang w:val="en-US"/>
        </w:rPr>
      </w:pPr>
      <w:r>
        <w:rPr>
          <w:rFonts w:ascii="Arial" w:hAnsi="Arial" w:cs="Arial"/>
          <w:lang w:val="en-US"/>
        </w:rPr>
        <w:t>[93]</w:t>
      </w:r>
      <w:r>
        <w:rPr>
          <w:rFonts w:ascii="Arial" w:hAnsi="Arial" w:cs="Arial"/>
          <w:lang w:val="en-US"/>
        </w:rPr>
        <w:tab/>
      </w:r>
      <w:r w:rsidR="0075603F" w:rsidRPr="00D919F0">
        <w:rPr>
          <w:rFonts w:ascii="Arial" w:hAnsi="Arial" w:cs="Arial"/>
          <w:lang w:val="en-US"/>
        </w:rPr>
        <w:t>The question now turns to the further questions. Has there been any finding of guilty or the payment of a fine imposed as a result and further whether the conduct complained of is fraudulent or otherwise illegal.</w:t>
      </w:r>
    </w:p>
    <w:p w14:paraId="048B4744" w14:textId="77777777" w:rsidR="0075603F" w:rsidRPr="0075603F" w:rsidRDefault="0075603F" w:rsidP="0075603F">
      <w:pPr>
        <w:pStyle w:val="ListParagraph"/>
        <w:rPr>
          <w:rFonts w:ascii="Arial" w:hAnsi="Arial" w:cs="Arial"/>
          <w:lang w:val="en-US"/>
        </w:rPr>
      </w:pPr>
    </w:p>
    <w:p w14:paraId="6E399C39" w14:textId="53D7D069" w:rsidR="0075603F" w:rsidRPr="00D919F0" w:rsidRDefault="00D919F0" w:rsidP="00D919F0">
      <w:pPr>
        <w:spacing w:line="480" w:lineRule="auto"/>
        <w:ind w:left="709" w:hanging="709"/>
        <w:rPr>
          <w:rFonts w:ascii="Arial" w:hAnsi="Arial" w:cs="Arial"/>
          <w:lang w:val="en-US"/>
        </w:rPr>
      </w:pPr>
      <w:r>
        <w:rPr>
          <w:rFonts w:ascii="Arial" w:hAnsi="Arial" w:cs="Arial"/>
          <w:lang w:val="en-US"/>
        </w:rPr>
        <w:t>[94]</w:t>
      </w:r>
      <w:r>
        <w:rPr>
          <w:rFonts w:ascii="Arial" w:hAnsi="Arial" w:cs="Arial"/>
          <w:lang w:val="en-US"/>
        </w:rPr>
        <w:tab/>
      </w:r>
      <w:r w:rsidR="0075603F" w:rsidRPr="00D919F0">
        <w:rPr>
          <w:rFonts w:ascii="Arial" w:hAnsi="Arial" w:cs="Arial"/>
          <w:lang w:val="en-US"/>
        </w:rPr>
        <w:t>What constitutes fraudulent or otherwise illegal conduct is not described or defined in the Act, but I only need to deal with that requirement if there had been a finding of guilty or a fine had been imposed in the previous 5 years.</w:t>
      </w:r>
    </w:p>
    <w:p w14:paraId="26E499DA" w14:textId="77777777" w:rsidR="0075603F" w:rsidRPr="0075603F" w:rsidRDefault="0075603F" w:rsidP="0075603F">
      <w:pPr>
        <w:pStyle w:val="ListParagraph"/>
        <w:rPr>
          <w:rFonts w:ascii="Arial" w:hAnsi="Arial" w:cs="Arial"/>
          <w:lang w:val="en-US"/>
        </w:rPr>
      </w:pPr>
    </w:p>
    <w:p w14:paraId="619B8906" w14:textId="42C1ACC5" w:rsidR="0075603F" w:rsidRPr="00D919F0" w:rsidRDefault="00D919F0" w:rsidP="00D919F0">
      <w:pPr>
        <w:spacing w:line="480" w:lineRule="auto"/>
        <w:ind w:left="709" w:hanging="709"/>
        <w:rPr>
          <w:rFonts w:ascii="Arial" w:hAnsi="Arial" w:cs="Arial"/>
          <w:lang w:val="en-US"/>
        </w:rPr>
      </w:pPr>
      <w:r>
        <w:rPr>
          <w:rFonts w:ascii="Arial" w:hAnsi="Arial" w:cs="Arial"/>
          <w:lang w:val="en-US"/>
        </w:rPr>
        <w:t>[95]</w:t>
      </w:r>
      <w:r>
        <w:rPr>
          <w:rFonts w:ascii="Arial" w:hAnsi="Arial" w:cs="Arial"/>
          <w:lang w:val="en-US"/>
        </w:rPr>
        <w:tab/>
      </w:r>
      <w:r w:rsidR="0075603F" w:rsidRPr="00D919F0">
        <w:rPr>
          <w:rFonts w:ascii="Arial" w:hAnsi="Arial" w:cs="Arial"/>
          <w:lang w:val="en-US"/>
        </w:rPr>
        <w:t>Illegal conduct is clearly conduct which is prohibited by the common law or legislation. The conduct of respondent by not complying with the provisions of sections 30 and 24 is illegal as is the fact that it did not answer to each and every notice.</w:t>
      </w:r>
    </w:p>
    <w:p w14:paraId="332B2119" w14:textId="77777777" w:rsidR="0075603F" w:rsidRPr="0075603F" w:rsidRDefault="0075603F" w:rsidP="0075603F">
      <w:pPr>
        <w:pStyle w:val="ListParagraph"/>
        <w:rPr>
          <w:rFonts w:ascii="Arial" w:hAnsi="Arial" w:cs="Arial"/>
          <w:lang w:val="en-US"/>
        </w:rPr>
      </w:pPr>
    </w:p>
    <w:p w14:paraId="18A18417" w14:textId="3B370BEC" w:rsidR="0075603F" w:rsidRPr="00D919F0" w:rsidRDefault="00D919F0" w:rsidP="00D919F0">
      <w:pPr>
        <w:spacing w:line="480" w:lineRule="auto"/>
        <w:ind w:left="709" w:hanging="709"/>
        <w:rPr>
          <w:rFonts w:ascii="Arial" w:hAnsi="Arial" w:cs="Arial"/>
          <w:lang w:val="en-US"/>
        </w:rPr>
      </w:pPr>
      <w:r>
        <w:rPr>
          <w:rFonts w:ascii="Arial" w:hAnsi="Arial" w:cs="Arial"/>
          <w:lang w:val="en-US"/>
        </w:rPr>
        <w:t>[96]</w:t>
      </w:r>
      <w:r>
        <w:rPr>
          <w:rFonts w:ascii="Arial" w:hAnsi="Arial" w:cs="Arial"/>
          <w:lang w:val="en-US"/>
        </w:rPr>
        <w:tab/>
      </w:r>
      <w:r w:rsidR="0075603F" w:rsidRPr="00D919F0">
        <w:rPr>
          <w:rFonts w:ascii="Arial" w:hAnsi="Arial" w:cs="Arial"/>
          <w:lang w:val="en-US"/>
        </w:rPr>
        <w:t>The requirement of “previous 5 years” I find to refer to 5 years before the issuing of the second compliance notice and cannot mean 5 years before the launch of the liquidation proceedings. That is clear from the wording of section 81(1)(f) quoted above.</w:t>
      </w:r>
    </w:p>
    <w:p w14:paraId="07552F31" w14:textId="77777777" w:rsidR="0075603F" w:rsidRPr="0075603F" w:rsidRDefault="0075603F" w:rsidP="0075603F">
      <w:pPr>
        <w:pStyle w:val="ListParagraph"/>
        <w:rPr>
          <w:rFonts w:ascii="Arial" w:hAnsi="Arial" w:cs="Arial"/>
          <w:lang w:val="en-US"/>
        </w:rPr>
      </w:pPr>
    </w:p>
    <w:p w14:paraId="33DA1DE3" w14:textId="4928BDA5" w:rsidR="0075603F" w:rsidRPr="00D919F0" w:rsidRDefault="00D919F0" w:rsidP="00D919F0">
      <w:pPr>
        <w:spacing w:line="480" w:lineRule="auto"/>
        <w:ind w:left="709" w:hanging="709"/>
        <w:rPr>
          <w:rFonts w:ascii="Arial" w:hAnsi="Arial" w:cs="Arial"/>
          <w:lang w:val="en-US"/>
        </w:rPr>
      </w:pPr>
      <w:r>
        <w:rPr>
          <w:rFonts w:ascii="Arial" w:hAnsi="Arial" w:cs="Arial"/>
          <w:lang w:val="en-US"/>
        </w:rPr>
        <w:t>[97]</w:t>
      </w:r>
      <w:r>
        <w:rPr>
          <w:rFonts w:ascii="Arial" w:hAnsi="Arial" w:cs="Arial"/>
          <w:lang w:val="en-US"/>
        </w:rPr>
        <w:tab/>
      </w:r>
      <w:r w:rsidR="0075603F" w:rsidRPr="00D919F0">
        <w:rPr>
          <w:rFonts w:ascii="Arial" w:hAnsi="Arial" w:cs="Arial"/>
          <w:lang w:val="en-US"/>
        </w:rPr>
        <w:t>It is common cause that there had not been such a fine or finding of guilty.</w:t>
      </w:r>
    </w:p>
    <w:p w14:paraId="7DC8E9D3" w14:textId="77777777" w:rsidR="0075603F" w:rsidRPr="0075603F" w:rsidRDefault="0075603F" w:rsidP="0075603F">
      <w:pPr>
        <w:pStyle w:val="ListParagraph"/>
        <w:rPr>
          <w:rFonts w:ascii="Arial" w:hAnsi="Arial" w:cs="Arial"/>
          <w:lang w:val="en-US"/>
        </w:rPr>
      </w:pPr>
    </w:p>
    <w:p w14:paraId="6C0E5B13" w14:textId="3293314B" w:rsidR="0075603F" w:rsidRPr="00D919F0" w:rsidRDefault="00D919F0" w:rsidP="00D919F0">
      <w:pPr>
        <w:spacing w:line="480" w:lineRule="auto"/>
        <w:ind w:left="709" w:hanging="709"/>
        <w:rPr>
          <w:rFonts w:ascii="Arial" w:hAnsi="Arial" w:cs="Arial"/>
          <w:lang w:val="en-US"/>
        </w:rPr>
      </w:pPr>
      <w:r>
        <w:rPr>
          <w:rFonts w:ascii="Arial" w:hAnsi="Arial" w:cs="Arial"/>
          <w:lang w:val="en-US"/>
        </w:rPr>
        <w:t>[98]</w:t>
      </w:r>
      <w:r>
        <w:rPr>
          <w:rFonts w:ascii="Arial" w:hAnsi="Arial" w:cs="Arial"/>
          <w:lang w:val="en-US"/>
        </w:rPr>
        <w:tab/>
      </w:r>
      <w:r w:rsidR="0075603F" w:rsidRPr="00D919F0">
        <w:rPr>
          <w:rFonts w:ascii="Arial" w:hAnsi="Arial" w:cs="Arial"/>
          <w:lang w:val="en-US"/>
        </w:rPr>
        <w:t xml:space="preserve">As such the “technical” requirements of section 81(1)(f) has not been complied with and the respondent cannot be liquidated based on that section. </w:t>
      </w:r>
    </w:p>
    <w:p w14:paraId="51B967D4" w14:textId="77777777" w:rsidR="0075603F" w:rsidRPr="0075603F" w:rsidRDefault="0075603F" w:rsidP="0075603F">
      <w:pPr>
        <w:pStyle w:val="ListParagraph"/>
        <w:rPr>
          <w:rFonts w:ascii="Arial" w:hAnsi="Arial" w:cs="Arial"/>
          <w:lang w:val="en-US"/>
        </w:rPr>
      </w:pPr>
    </w:p>
    <w:p w14:paraId="6A000D31" w14:textId="37660B28" w:rsidR="0075603F" w:rsidRPr="00D919F0" w:rsidRDefault="00D919F0" w:rsidP="00D919F0">
      <w:pPr>
        <w:spacing w:line="480" w:lineRule="auto"/>
        <w:ind w:left="709" w:hanging="709"/>
        <w:rPr>
          <w:rFonts w:ascii="Arial" w:hAnsi="Arial" w:cs="Arial"/>
          <w:lang w:val="en-US"/>
        </w:rPr>
      </w:pPr>
      <w:r>
        <w:rPr>
          <w:rFonts w:ascii="Arial" w:hAnsi="Arial" w:cs="Arial"/>
          <w:lang w:val="en-US"/>
        </w:rPr>
        <w:t>[99]</w:t>
      </w:r>
      <w:r>
        <w:rPr>
          <w:rFonts w:ascii="Arial" w:hAnsi="Arial" w:cs="Arial"/>
          <w:lang w:val="en-US"/>
        </w:rPr>
        <w:tab/>
      </w:r>
      <w:r w:rsidR="0075603F" w:rsidRPr="00D919F0">
        <w:rPr>
          <w:rFonts w:ascii="Arial" w:hAnsi="Arial" w:cs="Arial"/>
          <w:lang w:val="en-US"/>
        </w:rPr>
        <w:t>In terms of section 262 of the 1973 Companies Act the Commissioner could apply to court to liquidate the company and the court could grant such an order if it was just and equitable.</w:t>
      </w:r>
    </w:p>
    <w:p w14:paraId="1F06F8F4" w14:textId="77777777" w:rsidR="0075603F" w:rsidRPr="0075603F" w:rsidRDefault="0075603F" w:rsidP="0075603F">
      <w:pPr>
        <w:pStyle w:val="ListParagraph"/>
        <w:rPr>
          <w:rFonts w:ascii="Arial" w:hAnsi="Arial" w:cs="Arial"/>
          <w:lang w:val="en-US"/>
        </w:rPr>
      </w:pPr>
    </w:p>
    <w:p w14:paraId="5974889F" w14:textId="186F52C9" w:rsidR="0075603F" w:rsidRPr="00D919F0" w:rsidRDefault="00D919F0" w:rsidP="00D919F0">
      <w:pPr>
        <w:spacing w:line="480" w:lineRule="auto"/>
        <w:ind w:left="709" w:hanging="709"/>
        <w:rPr>
          <w:rFonts w:ascii="Arial" w:hAnsi="Arial" w:cs="Arial"/>
          <w:lang w:val="en-US"/>
        </w:rPr>
      </w:pPr>
      <w:r>
        <w:rPr>
          <w:rFonts w:ascii="Arial" w:hAnsi="Arial" w:cs="Arial"/>
          <w:lang w:val="en-US"/>
        </w:rPr>
        <w:t>[100]</w:t>
      </w:r>
      <w:r>
        <w:rPr>
          <w:rFonts w:ascii="Arial" w:hAnsi="Arial" w:cs="Arial"/>
          <w:lang w:val="en-US"/>
        </w:rPr>
        <w:tab/>
      </w:r>
      <w:r w:rsidR="0075603F" w:rsidRPr="00D919F0">
        <w:rPr>
          <w:rFonts w:ascii="Arial" w:hAnsi="Arial" w:cs="Arial"/>
          <w:lang w:val="en-US"/>
        </w:rPr>
        <w:t>Had it not been for these requirements of section 81(1)(f) that an earlier fine or finding of guilty should have been made or imposed the respondent under the 1973 Act would have been liquidated.</w:t>
      </w:r>
    </w:p>
    <w:p w14:paraId="66AA2AF4" w14:textId="77777777" w:rsidR="0075603F" w:rsidRPr="0075603F" w:rsidRDefault="0075603F" w:rsidP="0075603F">
      <w:pPr>
        <w:pStyle w:val="ListParagraph"/>
        <w:rPr>
          <w:rFonts w:ascii="Arial" w:hAnsi="Arial" w:cs="Arial"/>
          <w:lang w:val="en-US"/>
        </w:rPr>
      </w:pPr>
    </w:p>
    <w:p w14:paraId="69896E8C" w14:textId="2E6FCC60" w:rsidR="0075603F" w:rsidRPr="00D919F0" w:rsidRDefault="00D919F0" w:rsidP="00D919F0">
      <w:pPr>
        <w:spacing w:line="480" w:lineRule="auto"/>
        <w:ind w:left="709" w:hanging="709"/>
        <w:rPr>
          <w:rFonts w:ascii="Arial" w:hAnsi="Arial" w:cs="Arial"/>
          <w:lang w:val="en-US"/>
        </w:rPr>
      </w:pPr>
      <w:r>
        <w:rPr>
          <w:rFonts w:ascii="Arial" w:hAnsi="Arial" w:cs="Arial"/>
          <w:lang w:val="en-US"/>
        </w:rPr>
        <w:t>[101]</w:t>
      </w:r>
      <w:r>
        <w:rPr>
          <w:rFonts w:ascii="Arial" w:hAnsi="Arial" w:cs="Arial"/>
          <w:lang w:val="en-US"/>
        </w:rPr>
        <w:tab/>
      </w:r>
      <w:r w:rsidR="0075603F" w:rsidRPr="00D919F0">
        <w:rPr>
          <w:rFonts w:ascii="Arial" w:hAnsi="Arial" w:cs="Arial"/>
          <w:lang w:val="en-US"/>
        </w:rPr>
        <w:t>It is however also clear that the respondent is insolvent. Despite claiming in the supplementary affidavit that all audited statements had been filed and uploaded on caselines no such documents are before court.</w:t>
      </w:r>
    </w:p>
    <w:p w14:paraId="6B51C9AF" w14:textId="77777777" w:rsidR="0075603F" w:rsidRPr="0075603F" w:rsidRDefault="0075603F" w:rsidP="0075603F">
      <w:pPr>
        <w:pStyle w:val="ListParagraph"/>
        <w:rPr>
          <w:rFonts w:ascii="Arial" w:hAnsi="Arial" w:cs="Arial"/>
          <w:lang w:val="en-US"/>
        </w:rPr>
      </w:pPr>
    </w:p>
    <w:p w14:paraId="1E1D7658" w14:textId="41D8627C" w:rsidR="0075603F" w:rsidRPr="00D919F0" w:rsidRDefault="00D919F0" w:rsidP="00D919F0">
      <w:pPr>
        <w:spacing w:line="480" w:lineRule="auto"/>
        <w:ind w:left="709" w:hanging="709"/>
        <w:rPr>
          <w:rFonts w:ascii="Arial" w:hAnsi="Arial" w:cs="Arial"/>
          <w:lang w:val="en-US"/>
        </w:rPr>
      </w:pPr>
      <w:r>
        <w:rPr>
          <w:rFonts w:ascii="Arial" w:hAnsi="Arial" w:cs="Arial"/>
          <w:lang w:val="en-US"/>
        </w:rPr>
        <w:t>[102]</w:t>
      </w:r>
      <w:r>
        <w:rPr>
          <w:rFonts w:ascii="Arial" w:hAnsi="Arial" w:cs="Arial"/>
          <w:lang w:val="en-US"/>
        </w:rPr>
        <w:tab/>
      </w:r>
      <w:r w:rsidR="0075603F" w:rsidRPr="00D919F0">
        <w:rPr>
          <w:rFonts w:ascii="Arial" w:hAnsi="Arial" w:cs="Arial"/>
          <w:lang w:val="en-US"/>
        </w:rPr>
        <w:t>The only audited financial statements before court are those for the 2018 financial year. In those statements it is clear that the respondent made an operating loss of more than R11 million. Respondent used the capital raised through the sale of its shares to purchase shares. It deals with public money and making a loss of this nature clearly must of necessity mean that its liabilities exceeds it assets. Its assets are the shares in other companies. Apart from the day to day expenses such as rent and salaries, the liability to its own shareholders still remain.</w:t>
      </w:r>
    </w:p>
    <w:p w14:paraId="3069F23B" w14:textId="77777777" w:rsidR="0075603F" w:rsidRPr="0075603F" w:rsidRDefault="0075603F" w:rsidP="0075603F">
      <w:pPr>
        <w:pStyle w:val="ListParagraph"/>
        <w:rPr>
          <w:rFonts w:ascii="Arial" w:hAnsi="Arial" w:cs="Arial"/>
          <w:lang w:val="en-US"/>
        </w:rPr>
      </w:pPr>
    </w:p>
    <w:p w14:paraId="048D78FC" w14:textId="5A4B6C8F" w:rsidR="0075603F" w:rsidRPr="00D919F0" w:rsidRDefault="00D919F0" w:rsidP="00D919F0">
      <w:pPr>
        <w:spacing w:line="480" w:lineRule="auto"/>
        <w:ind w:left="709" w:hanging="709"/>
        <w:rPr>
          <w:rFonts w:ascii="Arial" w:hAnsi="Arial" w:cs="Arial"/>
          <w:lang w:val="en-US"/>
        </w:rPr>
      </w:pPr>
      <w:r>
        <w:rPr>
          <w:rFonts w:ascii="Arial" w:hAnsi="Arial" w:cs="Arial"/>
          <w:lang w:val="en-US"/>
        </w:rPr>
        <w:t>[103]</w:t>
      </w:r>
      <w:r>
        <w:rPr>
          <w:rFonts w:ascii="Arial" w:hAnsi="Arial" w:cs="Arial"/>
          <w:lang w:val="en-US"/>
        </w:rPr>
        <w:tab/>
      </w:r>
      <w:r w:rsidR="0075603F" w:rsidRPr="00D919F0">
        <w:rPr>
          <w:rFonts w:ascii="Arial" w:hAnsi="Arial" w:cs="Arial"/>
          <w:lang w:val="en-US"/>
        </w:rPr>
        <w:t xml:space="preserve">On the face of it, it seems clear that the respondent is insolvent, but having found that section 344(h) does not only apply to insolvent companies, I need not rely on this finding. </w:t>
      </w:r>
    </w:p>
    <w:p w14:paraId="60999273" w14:textId="77777777" w:rsidR="00953C91" w:rsidRPr="0075603F" w:rsidRDefault="00953C91" w:rsidP="0075603F">
      <w:pPr>
        <w:rPr>
          <w:rFonts w:ascii="Arial" w:hAnsi="Arial" w:cs="Arial"/>
          <w:lang w:val="en-US"/>
        </w:rPr>
      </w:pPr>
    </w:p>
    <w:p w14:paraId="6C4C4DCC" w14:textId="77777777" w:rsidR="001516BC" w:rsidRPr="001516BC" w:rsidRDefault="001516BC" w:rsidP="001516BC">
      <w:pPr>
        <w:pStyle w:val="ListParagraph"/>
        <w:rPr>
          <w:rFonts w:ascii="Arial" w:hAnsi="Arial" w:cs="Arial"/>
          <w:lang w:val="en-US"/>
        </w:rPr>
      </w:pPr>
    </w:p>
    <w:p w14:paraId="5C71DA11" w14:textId="3D4E78DE" w:rsidR="001516BC" w:rsidRPr="001516BC" w:rsidRDefault="001516BC" w:rsidP="001516BC">
      <w:pPr>
        <w:spacing w:line="480" w:lineRule="auto"/>
        <w:rPr>
          <w:rFonts w:ascii="Arial" w:hAnsi="Arial" w:cs="Arial"/>
          <w:b/>
          <w:i/>
          <w:lang w:val="en-US"/>
        </w:rPr>
      </w:pPr>
      <w:r w:rsidRPr="001516BC">
        <w:rPr>
          <w:rFonts w:ascii="Arial" w:hAnsi="Arial" w:cs="Arial"/>
          <w:b/>
          <w:i/>
          <w:lang w:val="en-US"/>
        </w:rPr>
        <w:t>Section 344 of the Companies Act of 1973</w:t>
      </w:r>
    </w:p>
    <w:p w14:paraId="4C432E6E" w14:textId="77777777" w:rsidR="001516BC" w:rsidRPr="001516BC" w:rsidRDefault="001516BC" w:rsidP="001516BC">
      <w:pPr>
        <w:pStyle w:val="ListParagraph"/>
        <w:rPr>
          <w:rFonts w:ascii="Arial" w:hAnsi="Arial" w:cs="Arial"/>
          <w:lang w:val="en-US"/>
        </w:rPr>
      </w:pPr>
    </w:p>
    <w:p w14:paraId="2D9BD6D6" w14:textId="418BAEBC" w:rsidR="001516BC" w:rsidRPr="00D919F0" w:rsidRDefault="00D919F0" w:rsidP="00D919F0">
      <w:pPr>
        <w:spacing w:line="480" w:lineRule="auto"/>
        <w:ind w:left="709" w:hanging="709"/>
        <w:rPr>
          <w:rFonts w:ascii="Arial" w:hAnsi="Arial" w:cs="Arial"/>
          <w:lang w:val="en-US"/>
        </w:rPr>
      </w:pPr>
      <w:r>
        <w:rPr>
          <w:rFonts w:ascii="Arial" w:hAnsi="Arial" w:cs="Arial"/>
          <w:lang w:val="en-US"/>
        </w:rPr>
        <w:t>[104]</w:t>
      </w:r>
      <w:r>
        <w:rPr>
          <w:rFonts w:ascii="Arial" w:hAnsi="Arial" w:cs="Arial"/>
          <w:lang w:val="en-US"/>
        </w:rPr>
        <w:tab/>
      </w:r>
      <w:r w:rsidR="001516BC" w:rsidRPr="00D919F0">
        <w:rPr>
          <w:rFonts w:ascii="Arial" w:hAnsi="Arial" w:cs="Arial"/>
          <w:lang w:val="en-US"/>
        </w:rPr>
        <w:t>The applicant relies in the alternative on section 344(h) entitling the court to grant a liquidation of a company when it is just an equitable to do so.</w:t>
      </w:r>
    </w:p>
    <w:p w14:paraId="0AE6C66E" w14:textId="77777777" w:rsidR="0075603F" w:rsidRDefault="0075603F" w:rsidP="0075603F">
      <w:pPr>
        <w:pStyle w:val="ListParagraph"/>
        <w:ind w:left="709"/>
        <w:rPr>
          <w:rFonts w:ascii="Arial" w:hAnsi="Arial" w:cs="Arial"/>
          <w:lang w:val="en-US"/>
        </w:rPr>
      </w:pPr>
    </w:p>
    <w:p w14:paraId="5C9B79C2" w14:textId="1812998D" w:rsidR="0075603F" w:rsidRPr="00D919F0" w:rsidRDefault="00D919F0" w:rsidP="00D919F0">
      <w:pPr>
        <w:spacing w:line="480" w:lineRule="auto"/>
        <w:ind w:left="709" w:hanging="709"/>
        <w:rPr>
          <w:rFonts w:ascii="Arial" w:hAnsi="Arial" w:cs="Arial"/>
          <w:lang w:val="en-US"/>
        </w:rPr>
      </w:pPr>
      <w:r>
        <w:rPr>
          <w:rFonts w:ascii="Arial" w:hAnsi="Arial" w:cs="Arial"/>
          <w:lang w:val="en-US"/>
        </w:rPr>
        <w:t>[105]</w:t>
      </w:r>
      <w:r>
        <w:rPr>
          <w:rFonts w:ascii="Arial" w:hAnsi="Arial" w:cs="Arial"/>
          <w:lang w:val="en-US"/>
        </w:rPr>
        <w:tab/>
      </w:r>
      <w:r w:rsidR="0075603F" w:rsidRPr="00D919F0">
        <w:rPr>
          <w:rFonts w:ascii="Arial" w:hAnsi="Arial" w:cs="Arial"/>
          <w:lang w:val="en-US"/>
        </w:rPr>
        <w:t>I have already dealt with the 5 categories when application may be made under section 344(h) of the 1973 Act. This matter qualifies as a 6</w:t>
      </w:r>
      <w:r w:rsidR="0075603F" w:rsidRPr="00D919F0">
        <w:rPr>
          <w:rFonts w:ascii="Arial" w:hAnsi="Arial" w:cs="Arial"/>
          <w:vertAlign w:val="superscript"/>
          <w:lang w:val="en-US"/>
        </w:rPr>
        <w:t>th</w:t>
      </w:r>
      <w:r w:rsidR="0075603F" w:rsidRPr="00D919F0">
        <w:rPr>
          <w:rFonts w:ascii="Arial" w:hAnsi="Arial" w:cs="Arial"/>
          <w:lang w:val="en-US"/>
        </w:rPr>
        <w:t xml:space="preserve"> category.</w:t>
      </w:r>
    </w:p>
    <w:p w14:paraId="539AFD7D" w14:textId="77777777" w:rsidR="0075603F" w:rsidRPr="0075603F" w:rsidRDefault="0075603F" w:rsidP="0075603F">
      <w:pPr>
        <w:pStyle w:val="ListParagraph"/>
        <w:rPr>
          <w:rFonts w:ascii="Arial" w:hAnsi="Arial" w:cs="Arial"/>
          <w:lang w:val="en-US"/>
        </w:rPr>
      </w:pPr>
    </w:p>
    <w:p w14:paraId="5D14E6F6" w14:textId="5F3B7919" w:rsidR="0075603F" w:rsidRPr="00D919F0" w:rsidRDefault="00D919F0" w:rsidP="00D919F0">
      <w:pPr>
        <w:spacing w:line="480" w:lineRule="auto"/>
        <w:ind w:left="709" w:hanging="709"/>
        <w:rPr>
          <w:rFonts w:ascii="Arial" w:hAnsi="Arial" w:cs="Arial"/>
          <w:lang w:val="en-US"/>
        </w:rPr>
      </w:pPr>
      <w:r>
        <w:rPr>
          <w:rFonts w:ascii="Arial" w:hAnsi="Arial" w:cs="Arial"/>
          <w:lang w:val="en-US"/>
        </w:rPr>
        <w:t>[106]</w:t>
      </w:r>
      <w:r>
        <w:rPr>
          <w:rFonts w:ascii="Arial" w:hAnsi="Arial" w:cs="Arial"/>
          <w:lang w:val="en-US"/>
        </w:rPr>
        <w:tab/>
      </w:r>
      <w:r w:rsidR="0075603F" w:rsidRPr="00D919F0">
        <w:rPr>
          <w:rFonts w:ascii="Arial" w:hAnsi="Arial" w:cs="Arial"/>
          <w:lang w:val="en-US"/>
        </w:rPr>
        <w:t>I am fortified in this approach inter alia by the provisions of section 158 of the Act in terms of which the court is obliged to develop the common law as necessary to improve the realisation and enjoyment of rights established by this Act.</w:t>
      </w:r>
    </w:p>
    <w:p w14:paraId="05ED58D7" w14:textId="77777777" w:rsidR="0075603F" w:rsidRPr="0075603F" w:rsidRDefault="0075603F" w:rsidP="0075603F">
      <w:pPr>
        <w:pStyle w:val="ListParagraph"/>
        <w:rPr>
          <w:rFonts w:ascii="Arial" w:hAnsi="Arial" w:cs="Arial"/>
          <w:lang w:val="en-US"/>
        </w:rPr>
      </w:pPr>
    </w:p>
    <w:p w14:paraId="68784AA3" w14:textId="7337F11C" w:rsidR="0075603F" w:rsidRPr="00D919F0" w:rsidRDefault="00D919F0" w:rsidP="00D919F0">
      <w:pPr>
        <w:spacing w:line="480" w:lineRule="auto"/>
        <w:ind w:left="709" w:hanging="709"/>
        <w:rPr>
          <w:rFonts w:ascii="Arial" w:hAnsi="Arial" w:cs="Arial"/>
          <w:lang w:val="en-US"/>
        </w:rPr>
      </w:pPr>
      <w:r>
        <w:rPr>
          <w:rFonts w:ascii="Arial" w:hAnsi="Arial" w:cs="Arial"/>
          <w:lang w:val="en-US"/>
        </w:rPr>
        <w:t>[107]</w:t>
      </w:r>
      <w:r>
        <w:rPr>
          <w:rFonts w:ascii="Arial" w:hAnsi="Arial" w:cs="Arial"/>
          <w:lang w:val="en-US"/>
        </w:rPr>
        <w:tab/>
      </w:r>
      <w:r w:rsidR="0075603F" w:rsidRPr="00D919F0">
        <w:rPr>
          <w:rFonts w:ascii="Arial" w:hAnsi="Arial" w:cs="Arial"/>
          <w:lang w:val="en-US"/>
        </w:rPr>
        <w:t>CIPRO and the court also must promote the spirit, purpose and objects of this Act and if any provision of the Act, or other document in terms of this Act, read in its context, can be reasonably construed to have more than one meaning, must prefer the meaning that best promotes the spirit and purpose of this Act, and will best improve the realisation and enjoyment of rights.</w:t>
      </w:r>
    </w:p>
    <w:p w14:paraId="2EF954A3" w14:textId="77777777" w:rsidR="0075603F" w:rsidRPr="0075603F" w:rsidRDefault="0075603F" w:rsidP="0075603F">
      <w:pPr>
        <w:pStyle w:val="ListParagraph"/>
        <w:rPr>
          <w:rFonts w:ascii="Arial" w:hAnsi="Arial" w:cs="Arial"/>
          <w:lang w:val="en-US"/>
        </w:rPr>
      </w:pPr>
    </w:p>
    <w:p w14:paraId="47564FAF" w14:textId="6EF7CE8F" w:rsidR="0075603F" w:rsidRPr="00D919F0" w:rsidRDefault="00D919F0" w:rsidP="00D919F0">
      <w:pPr>
        <w:spacing w:line="480" w:lineRule="auto"/>
        <w:ind w:left="709" w:hanging="709"/>
        <w:rPr>
          <w:rFonts w:ascii="Arial" w:hAnsi="Arial" w:cs="Arial"/>
          <w:lang w:val="en-US"/>
        </w:rPr>
      </w:pPr>
      <w:r w:rsidRPr="0075603F">
        <w:rPr>
          <w:rFonts w:ascii="Arial" w:hAnsi="Arial" w:cs="Arial"/>
          <w:lang w:val="en-US"/>
        </w:rPr>
        <w:t>[108]</w:t>
      </w:r>
      <w:r w:rsidRPr="0075603F">
        <w:rPr>
          <w:rFonts w:ascii="Arial" w:hAnsi="Arial" w:cs="Arial"/>
          <w:lang w:val="en-US"/>
        </w:rPr>
        <w:tab/>
      </w:r>
      <w:r w:rsidR="0075603F" w:rsidRPr="00D919F0">
        <w:rPr>
          <w:rFonts w:ascii="Arial" w:hAnsi="Arial" w:cs="Arial"/>
          <w:lang w:val="en-US"/>
        </w:rPr>
        <w:t>It being common cause that the respondent acted illegally and did not comply with the compliance notices issued to it or at least complied much later and long after having undertaken to do so.</w:t>
      </w:r>
    </w:p>
    <w:p w14:paraId="553BC1EB" w14:textId="77777777" w:rsidR="0075603F" w:rsidRPr="0075603F" w:rsidRDefault="0075603F" w:rsidP="0075603F">
      <w:pPr>
        <w:pStyle w:val="ListParagraph"/>
        <w:rPr>
          <w:rFonts w:ascii="Arial" w:hAnsi="Arial" w:cs="Arial"/>
          <w:lang w:val="en-US"/>
        </w:rPr>
      </w:pPr>
    </w:p>
    <w:p w14:paraId="11713A9C" w14:textId="4AC804CD" w:rsidR="0075603F" w:rsidRPr="00D919F0" w:rsidRDefault="00D919F0" w:rsidP="00D919F0">
      <w:pPr>
        <w:spacing w:line="480" w:lineRule="auto"/>
        <w:ind w:left="709" w:hanging="709"/>
        <w:rPr>
          <w:rFonts w:ascii="Arial" w:hAnsi="Arial" w:cs="Arial"/>
          <w:lang w:val="en-GB"/>
        </w:rPr>
      </w:pPr>
      <w:r>
        <w:rPr>
          <w:rFonts w:ascii="Arial" w:hAnsi="Arial" w:cs="Arial"/>
          <w:lang w:val="en-GB"/>
        </w:rPr>
        <w:t>[109]</w:t>
      </w:r>
      <w:r>
        <w:rPr>
          <w:rFonts w:ascii="Arial" w:hAnsi="Arial" w:cs="Arial"/>
          <w:lang w:val="en-GB"/>
        </w:rPr>
        <w:tab/>
      </w:r>
      <w:r w:rsidR="0075603F" w:rsidRPr="00D919F0">
        <w:rPr>
          <w:rFonts w:ascii="Arial" w:hAnsi="Arial" w:cs="Arial"/>
          <w:lang w:val="en-US"/>
        </w:rPr>
        <w:t xml:space="preserve">The respondent’s directors further, while </w:t>
      </w:r>
      <w:r w:rsidR="0075603F" w:rsidRPr="00D919F0">
        <w:rPr>
          <w:rFonts w:ascii="Arial" w:hAnsi="Arial" w:cs="Arial"/>
          <w:lang w:val="en-GB"/>
        </w:rPr>
        <w:t xml:space="preserve">realising respondent is insolvent and the value of the shares are ever diminishing, still insist that it will not voluntarily liquidate and not even place such possibility or motion to vote on before an annual general meeting of shareholders clearly indicate that it will </w:t>
      </w:r>
      <w:r w:rsidR="0075603F" w:rsidRPr="00D919F0">
        <w:rPr>
          <w:rFonts w:ascii="Arial" w:hAnsi="Arial" w:cs="Arial"/>
          <w:lang w:val="en-GB"/>
        </w:rPr>
        <w:lastRenderedPageBreak/>
        <w:t>not only be in the interest of the shareholders should the company be liquidated, but it will be just and equitable to do so.</w:t>
      </w:r>
    </w:p>
    <w:p w14:paraId="41E0BB76" w14:textId="77777777" w:rsidR="0075603F" w:rsidRPr="0075603F" w:rsidRDefault="0075603F" w:rsidP="0075603F">
      <w:pPr>
        <w:pStyle w:val="ListParagraph"/>
        <w:rPr>
          <w:rFonts w:ascii="Arial" w:hAnsi="Arial" w:cs="Arial"/>
          <w:lang w:val="en-GB"/>
        </w:rPr>
      </w:pPr>
    </w:p>
    <w:p w14:paraId="73CC73D1" w14:textId="77777777" w:rsidR="0075603F" w:rsidRPr="0075603F" w:rsidRDefault="0075603F" w:rsidP="0075603F">
      <w:pPr>
        <w:pStyle w:val="ListParagraph"/>
        <w:rPr>
          <w:rFonts w:ascii="Arial" w:hAnsi="Arial" w:cs="Arial"/>
          <w:lang w:val="en-GB"/>
        </w:rPr>
      </w:pPr>
    </w:p>
    <w:p w14:paraId="48D6CEE8" w14:textId="19032FF1" w:rsidR="0075603F" w:rsidRPr="0075603F" w:rsidRDefault="0075603F" w:rsidP="0075603F">
      <w:pPr>
        <w:spacing w:line="480" w:lineRule="auto"/>
        <w:rPr>
          <w:rFonts w:ascii="Arial" w:hAnsi="Arial" w:cs="Arial"/>
          <w:b/>
          <w:i/>
          <w:lang w:val="en-GB"/>
        </w:rPr>
      </w:pPr>
      <w:r w:rsidRPr="0075603F">
        <w:rPr>
          <w:rFonts w:ascii="Arial" w:hAnsi="Arial" w:cs="Arial"/>
          <w:b/>
          <w:i/>
          <w:lang w:val="en-GB"/>
        </w:rPr>
        <w:t>Order</w:t>
      </w:r>
    </w:p>
    <w:p w14:paraId="0C193BF1" w14:textId="77777777" w:rsidR="0075603F" w:rsidRPr="0075603F" w:rsidRDefault="0075603F" w:rsidP="0075603F">
      <w:pPr>
        <w:pStyle w:val="ListParagraph"/>
        <w:rPr>
          <w:rFonts w:ascii="Arial" w:hAnsi="Arial" w:cs="Arial"/>
          <w:lang w:val="en-GB"/>
        </w:rPr>
      </w:pPr>
    </w:p>
    <w:p w14:paraId="4C769831" w14:textId="0C8DC51C" w:rsidR="0075603F" w:rsidRPr="00D919F0" w:rsidRDefault="00D919F0" w:rsidP="00D919F0">
      <w:pPr>
        <w:spacing w:line="480" w:lineRule="auto"/>
        <w:ind w:left="709" w:hanging="709"/>
        <w:rPr>
          <w:rFonts w:ascii="Arial" w:hAnsi="Arial" w:cs="Arial"/>
          <w:lang w:val="en-GB"/>
        </w:rPr>
      </w:pPr>
      <w:r>
        <w:rPr>
          <w:rFonts w:ascii="Arial" w:hAnsi="Arial" w:cs="Arial"/>
          <w:lang w:val="en-GB"/>
        </w:rPr>
        <w:t>[110]</w:t>
      </w:r>
      <w:r>
        <w:rPr>
          <w:rFonts w:ascii="Arial" w:hAnsi="Arial" w:cs="Arial"/>
          <w:lang w:val="en-GB"/>
        </w:rPr>
        <w:tab/>
      </w:r>
      <w:r w:rsidR="0075603F" w:rsidRPr="00D919F0">
        <w:rPr>
          <w:rFonts w:ascii="Arial" w:hAnsi="Arial" w:cs="Arial"/>
          <w:lang w:val="en-GB"/>
        </w:rPr>
        <w:t>As a result of the matter having been argued fully, I seen no need to grant a provisional order.</w:t>
      </w:r>
    </w:p>
    <w:p w14:paraId="6A338F25" w14:textId="77777777" w:rsidR="0075603F" w:rsidRDefault="0075603F" w:rsidP="0075603F">
      <w:pPr>
        <w:pStyle w:val="ListParagraph"/>
        <w:ind w:left="709"/>
        <w:rPr>
          <w:rFonts w:ascii="Arial" w:hAnsi="Arial" w:cs="Arial"/>
          <w:lang w:val="en-GB"/>
        </w:rPr>
      </w:pPr>
    </w:p>
    <w:p w14:paraId="7D74FCF5" w14:textId="2F233344" w:rsidR="0075603F" w:rsidRPr="00D919F0" w:rsidRDefault="00D919F0" w:rsidP="00D919F0">
      <w:pPr>
        <w:spacing w:line="480" w:lineRule="auto"/>
        <w:ind w:left="709" w:hanging="709"/>
        <w:rPr>
          <w:rFonts w:ascii="Arial" w:hAnsi="Arial" w:cs="Arial"/>
          <w:lang w:val="en-GB"/>
        </w:rPr>
      </w:pPr>
      <w:r>
        <w:rPr>
          <w:rFonts w:ascii="Arial" w:hAnsi="Arial" w:cs="Arial"/>
          <w:lang w:val="en-GB"/>
        </w:rPr>
        <w:t>[111]</w:t>
      </w:r>
      <w:r>
        <w:rPr>
          <w:rFonts w:ascii="Arial" w:hAnsi="Arial" w:cs="Arial"/>
          <w:lang w:val="en-GB"/>
        </w:rPr>
        <w:tab/>
      </w:r>
      <w:r w:rsidR="0075603F" w:rsidRPr="00D919F0">
        <w:rPr>
          <w:rFonts w:ascii="Arial" w:hAnsi="Arial" w:cs="Arial"/>
          <w:lang w:val="en-GB"/>
        </w:rPr>
        <w:t>Respondent it therefore placed under final winding up.</w:t>
      </w:r>
    </w:p>
    <w:p w14:paraId="223F58C4" w14:textId="77777777" w:rsidR="0075603F" w:rsidRPr="0075603F" w:rsidRDefault="0075603F" w:rsidP="0075603F">
      <w:pPr>
        <w:pStyle w:val="ListParagraph"/>
        <w:rPr>
          <w:rFonts w:ascii="Arial" w:hAnsi="Arial" w:cs="Arial"/>
          <w:lang w:val="en-GB"/>
        </w:rPr>
      </w:pPr>
    </w:p>
    <w:p w14:paraId="60BB005A" w14:textId="29ACB7FB" w:rsidR="0075603F" w:rsidRPr="00D919F0" w:rsidRDefault="00D919F0" w:rsidP="00D919F0">
      <w:pPr>
        <w:spacing w:line="480" w:lineRule="auto"/>
        <w:ind w:left="709" w:hanging="709"/>
        <w:rPr>
          <w:rFonts w:ascii="Arial" w:hAnsi="Arial" w:cs="Arial"/>
          <w:lang w:val="en-GB"/>
        </w:rPr>
      </w:pPr>
      <w:r>
        <w:rPr>
          <w:rFonts w:ascii="Arial" w:hAnsi="Arial" w:cs="Arial"/>
          <w:lang w:val="en-GB"/>
        </w:rPr>
        <w:t>[112]</w:t>
      </w:r>
      <w:r>
        <w:rPr>
          <w:rFonts w:ascii="Arial" w:hAnsi="Arial" w:cs="Arial"/>
          <w:lang w:val="en-GB"/>
        </w:rPr>
        <w:tab/>
      </w:r>
      <w:r w:rsidR="0075603F" w:rsidRPr="00D919F0">
        <w:rPr>
          <w:rFonts w:ascii="Arial" w:hAnsi="Arial" w:cs="Arial"/>
          <w:lang w:val="en-GB"/>
        </w:rPr>
        <w:t>The costs of the application shall be costs in the liquidation.</w:t>
      </w:r>
    </w:p>
    <w:p w14:paraId="010955A4" w14:textId="77777777" w:rsidR="0075603F" w:rsidRPr="0075603F" w:rsidRDefault="0075603F" w:rsidP="0075603F">
      <w:pPr>
        <w:pStyle w:val="ListParagraph"/>
        <w:rPr>
          <w:rFonts w:ascii="Arial" w:hAnsi="Arial" w:cs="Arial"/>
          <w:lang w:val="en-GB"/>
        </w:rPr>
      </w:pPr>
    </w:p>
    <w:p w14:paraId="3BCB2F7F" w14:textId="77777777" w:rsidR="0075603F" w:rsidRDefault="0075603F" w:rsidP="0075603F">
      <w:pPr>
        <w:pStyle w:val="ListParagraph"/>
        <w:spacing w:line="480" w:lineRule="auto"/>
        <w:ind w:left="709"/>
        <w:rPr>
          <w:rFonts w:ascii="Arial" w:hAnsi="Arial" w:cs="Arial"/>
          <w:lang w:val="en-GB"/>
        </w:rPr>
      </w:pPr>
    </w:p>
    <w:p w14:paraId="3DDA7EFB" w14:textId="77777777" w:rsidR="0075603F" w:rsidRDefault="0075603F" w:rsidP="0075603F">
      <w:pPr>
        <w:autoSpaceDE w:val="0"/>
        <w:autoSpaceDN w:val="0"/>
        <w:adjustRightInd w:val="0"/>
        <w:spacing w:line="480" w:lineRule="auto"/>
        <w:rPr>
          <w:rFonts w:ascii="Arial" w:hAnsi="Arial" w:cs="Arial"/>
          <w:lang w:val="en-US"/>
        </w:rPr>
      </w:pPr>
      <w:r w:rsidRPr="0075603F">
        <w:rPr>
          <w:rFonts w:ascii="Arial" w:hAnsi="Arial" w:cs="Arial"/>
          <w:lang w:val="en-GB"/>
        </w:rPr>
        <w:t xml:space="preserve"> </w:t>
      </w:r>
      <w:r>
        <w:rPr>
          <w:rFonts w:ascii="Arial" w:hAnsi="Arial" w:cs="Arial"/>
          <w:lang w:val="en-US"/>
        </w:rPr>
        <w:t>BY ORDER</w:t>
      </w:r>
    </w:p>
    <w:p w14:paraId="58C5C1B3" w14:textId="040F299B" w:rsidR="0075603F" w:rsidRDefault="0075603F" w:rsidP="0075603F">
      <w:pPr>
        <w:autoSpaceDE w:val="0"/>
        <w:autoSpaceDN w:val="0"/>
        <w:adjustRightInd w:val="0"/>
        <w:spacing w:line="480" w:lineRule="auto"/>
        <w:rPr>
          <w:noProof/>
          <w:lang w:eastAsia="en-ZA"/>
        </w:rPr>
      </w:pPr>
    </w:p>
    <w:p w14:paraId="54BBD70E" w14:textId="2A6C9AC1" w:rsidR="00F2097E" w:rsidRDefault="00F2097E" w:rsidP="0075603F">
      <w:pPr>
        <w:autoSpaceDE w:val="0"/>
        <w:autoSpaceDN w:val="0"/>
        <w:adjustRightInd w:val="0"/>
        <w:spacing w:line="480" w:lineRule="auto"/>
        <w:rPr>
          <w:noProof/>
          <w:lang w:eastAsia="en-ZA"/>
        </w:rPr>
      </w:pPr>
    </w:p>
    <w:p w14:paraId="2379B6C1" w14:textId="77777777" w:rsidR="00F2097E" w:rsidRDefault="00F2097E" w:rsidP="0075603F">
      <w:pPr>
        <w:autoSpaceDE w:val="0"/>
        <w:autoSpaceDN w:val="0"/>
        <w:adjustRightInd w:val="0"/>
        <w:spacing w:line="480" w:lineRule="auto"/>
        <w:rPr>
          <w:rFonts w:ascii="Arial" w:hAnsi="Arial" w:cs="Arial"/>
          <w:lang w:val="en-US"/>
        </w:rPr>
      </w:pPr>
    </w:p>
    <w:p w14:paraId="0F73A039" w14:textId="77777777" w:rsidR="0075603F" w:rsidRDefault="0075603F" w:rsidP="0075603F">
      <w:pPr>
        <w:autoSpaceDE w:val="0"/>
        <w:autoSpaceDN w:val="0"/>
        <w:adjustRightInd w:val="0"/>
        <w:spacing w:line="480" w:lineRule="auto"/>
        <w:rPr>
          <w:rFonts w:ascii="Arial" w:hAnsi="Arial" w:cs="Arial"/>
          <w:lang w:val="en-US"/>
        </w:rPr>
      </w:pPr>
      <w:r>
        <w:rPr>
          <w:rFonts w:ascii="Arial" w:hAnsi="Arial" w:cs="Arial"/>
          <w:lang w:val="en-US"/>
        </w:rPr>
        <w:t>M SNYMAN, AJ</w:t>
      </w:r>
    </w:p>
    <w:p w14:paraId="61D6532B" w14:textId="77777777" w:rsidR="0075603F" w:rsidRDefault="0075603F" w:rsidP="0075603F">
      <w:pPr>
        <w:autoSpaceDE w:val="0"/>
        <w:autoSpaceDN w:val="0"/>
        <w:adjustRightInd w:val="0"/>
        <w:spacing w:line="480" w:lineRule="auto"/>
        <w:rPr>
          <w:rFonts w:ascii="Arial" w:hAnsi="Arial" w:cs="Arial"/>
          <w:lang w:val="en-US"/>
        </w:rPr>
      </w:pPr>
    </w:p>
    <w:p w14:paraId="764175C1" w14:textId="6E93AE05" w:rsidR="0075603F" w:rsidRDefault="0075603F" w:rsidP="0075603F">
      <w:pPr>
        <w:autoSpaceDE w:val="0"/>
        <w:autoSpaceDN w:val="0"/>
        <w:adjustRightInd w:val="0"/>
        <w:spacing w:line="480" w:lineRule="auto"/>
        <w:rPr>
          <w:rFonts w:ascii="Arial" w:hAnsi="Arial" w:cs="Arial"/>
          <w:lang w:val="en-US"/>
        </w:rPr>
      </w:pPr>
      <w:r>
        <w:rPr>
          <w:rFonts w:ascii="Arial" w:hAnsi="Arial" w:cs="Arial"/>
          <w:lang w:val="en-US"/>
        </w:rPr>
        <w:t>Counsel for Applicant:</w:t>
      </w:r>
      <w:r>
        <w:rPr>
          <w:rFonts w:ascii="Arial" w:hAnsi="Arial" w:cs="Arial"/>
          <w:lang w:val="en-US"/>
        </w:rPr>
        <w:tab/>
      </w:r>
      <w:r>
        <w:rPr>
          <w:rFonts w:ascii="Arial" w:hAnsi="Arial" w:cs="Arial"/>
          <w:lang w:val="en-US"/>
        </w:rPr>
        <w:tab/>
      </w:r>
      <w:r>
        <w:rPr>
          <w:rFonts w:ascii="Arial" w:hAnsi="Arial" w:cs="Arial"/>
          <w:lang w:val="en-US"/>
        </w:rPr>
        <w:tab/>
        <w:t>Adv HC (Chrisfoff) Janse van Rensburg</w:t>
      </w:r>
    </w:p>
    <w:p w14:paraId="37463092" w14:textId="15CF8D6A" w:rsidR="0075603F" w:rsidRDefault="0075603F" w:rsidP="0075603F">
      <w:pPr>
        <w:autoSpaceDE w:val="0"/>
        <w:autoSpaceDN w:val="0"/>
        <w:adjustRightInd w:val="0"/>
        <w:spacing w:line="480" w:lineRule="auto"/>
        <w:rPr>
          <w:rFonts w:ascii="Arial" w:hAnsi="Arial" w:cs="Arial"/>
          <w:lang w:val="en-US"/>
        </w:rPr>
      </w:pPr>
      <w:r>
        <w:rPr>
          <w:rFonts w:ascii="Arial" w:hAnsi="Arial" w:cs="Arial"/>
          <w:lang w:val="en-US"/>
        </w:rPr>
        <w:t>Applicant’s Instructing Attorneys:</w:t>
      </w:r>
      <w:r>
        <w:rPr>
          <w:rFonts w:ascii="Arial" w:hAnsi="Arial" w:cs="Arial"/>
          <w:lang w:val="en-US"/>
        </w:rPr>
        <w:tab/>
      </w:r>
      <w:r>
        <w:rPr>
          <w:rFonts w:ascii="Arial" w:hAnsi="Arial" w:cs="Arial"/>
          <w:lang w:val="en-US"/>
        </w:rPr>
        <w:tab/>
        <w:t>State Attorney, Pretoria</w:t>
      </w:r>
    </w:p>
    <w:p w14:paraId="1AC2130E" w14:textId="032B3F0D" w:rsidR="0075603F" w:rsidRDefault="0075603F" w:rsidP="0075603F">
      <w:pPr>
        <w:autoSpaceDE w:val="0"/>
        <w:autoSpaceDN w:val="0"/>
        <w:adjustRightInd w:val="0"/>
        <w:spacing w:line="480" w:lineRule="auto"/>
        <w:rPr>
          <w:rFonts w:ascii="Arial" w:hAnsi="Arial" w:cs="Arial"/>
          <w:lang w:val="en-US"/>
        </w:rPr>
      </w:pPr>
      <w:r>
        <w:rPr>
          <w:rFonts w:ascii="Arial" w:hAnsi="Arial" w:cs="Arial"/>
          <w:lang w:val="en-US"/>
        </w:rPr>
        <w:t>Counsel for Respondent:</w:t>
      </w:r>
      <w:r>
        <w:rPr>
          <w:rFonts w:ascii="Arial" w:hAnsi="Arial" w:cs="Arial"/>
          <w:lang w:val="en-US"/>
        </w:rPr>
        <w:tab/>
      </w:r>
      <w:r>
        <w:rPr>
          <w:rFonts w:ascii="Arial" w:hAnsi="Arial" w:cs="Arial"/>
          <w:lang w:val="en-US"/>
        </w:rPr>
        <w:tab/>
      </w:r>
      <w:r>
        <w:rPr>
          <w:rFonts w:ascii="Arial" w:hAnsi="Arial" w:cs="Arial"/>
          <w:lang w:val="en-US"/>
        </w:rPr>
        <w:tab/>
        <w:t>Mr M Matlala</w:t>
      </w:r>
    </w:p>
    <w:p w14:paraId="581F3984" w14:textId="3D25DB90" w:rsidR="0075603F" w:rsidRDefault="0075603F" w:rsidP="0075603F">
      <w:pPr>
        <w:autoSpaceDE w:val="0"/>
        <w:autoSpaceDN w:val="0"/>
        <w:adjustRightInd w:val="0"/>
        <w:spacing w:line="480" w:lineRule="auto"/>
        <w:rPr>
          <w:rFonts w:ascii="Arial" w:hAnsi="Arial" w:cs="Arial"/>
          <w:lang w:val="en-US"/>
        </w:rPr>
      </w:pPr>
      <w:r>
        <w:rPr>
          <w:rFonts w:ascii="Arial" w:hAnsi="Arial" w:cs="Arial"/>
          <w:lang w:val="en-US"/>
        </w:rPr>
        <w:t>Respondent’s Instructing Attorneys:</w:t>
      </w:r>
      <w:r>
        <w:rPr>
          <w:rFonts w:ascii="Arial" w:hAnsi="Arial" w:cs="Arial"/>
          <w:lang w:val="en-US"/>
        </w:rPr>
        <w:tab/>
        <w:t>Nkoana &amp; Matlala Inc</w:t>
      </w:r>
    </w:p>
    <w:p w14:paraId="40EE500D" w14:textId="77777777" w:rsidR="0075603F" w:rsidRPr="00F82199" w:rsidRDefault="0075603F" w:rsidP="0075603F">
      <w:pPr>
        <w:autoSpaceDE w:val="0"/>
        <w:autoSpaceDN w:val="0"/>
        <w:adjustRightInd w:val="0"/>
        <w:spacing w:line="480" w:lineRule="auto"/>
        <w:rPr>
          <w:rFonts w:ascii="Arial" w:hAnsi="Arial" w:cs="Arial"/>
          <w:lang w:val="en-US"/>
        </w:rPr>
      </w:pPr>
    </w:p>
    <w:p w14:paraId="1181C70F" w14:textId="77777777" w:rsidR="0075603F" w:rsidRPr="005948A6" w:rsidRDefault="0075603F" w:rsidP="0075603F">
      <w:pPr>
        <w:pStyle w:val="ListParagraph"/>
        <w:spacing w:line="480" w:lineRule="auto"/>
        <w:ind w:left="709"/>
        <w:rPr>
          <w:rFonts w:ascii="Arial" w:hAnsi="Arial" w:cs="Arial"/>
          <w:lang w:val="en-US"/>
        </w:rPr>
      </w:pPr>
    </w:p>
    <w:p w14:paraId="6FEE40F8" w14:textId="4351FFB2" w:rsidR="0075603F" w:rsidRPr="0075603F" w:rsidRDefault="0075603F" w:rsidP="0075603F">
      <w:pPr>
        <w:spacing w:line="480" w:lineRule="auto"/>
        <w:rPr>
          <w:rFonts w:ascii="Arial" w:hAnsi="Arial" w:cs="Arial"/>
          <w:lang w:val="en-GB"/>
        </w:rPr>
      </w:pPr>
    </w:p>
    <w:p w14:paraId="7B142B33" w14:textId="24F4804B" w:rsidR="00DC4974" w:rsidRDefault="00DC4974" w:rsidP="00DC4974">
      <w:pPr>
        <w:spacing w:line="480" w:lineRule="auto"/>
        <w:rPr>
          <w:rFonts w:ascii="Arial" w:hAnsi="Arial" w:cs="Arial"/>
          <w:lang w:val="en-US"/>
        </w:rPr>
      </w:pPr>
    </w:p>
    <w:sectPr w:rsidR="00DC4974" w:rsidSect="00DF26F3">
      <w:headerReference w:type="even" r:id="rId9"/>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5BF00" w14:textId="77777777" w:rsidR="007E16D3" w:rsidRDefault="007E16D3" w:rsidP="005912BE">
      <w:r>
        <w:separator/>
      </w:r>
    </w:p>
  </w:endnote>
  <w:endnote w:type="continuationSeparator" w:id="0">
    <w:p w14:paraId="04894F0E" w14:textId="77777777" w:rsidR="007E16D3" w:rsidRDefault="007E16D3" w:rsidP="0059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A575C" w14:textId="77777777" w:rsidR="007E16D3" w:rsidRDefault="007E16D3" w:rsidP="005912BE">
      <w:r>
        <w:separator/>
      </w:r>
    </w:p>
  </w:footnote>
  <w:footnote w:type="continuationSeparator" w:id="0">
    <w:p w14:paraId="069593BC" w14:textId="77777777" w:rsidR="007E16D3" w:rsidRDefault="007E16D3" w:rsidP="005912BE">
      <w:r>
        <w:continuationSeparator/>
      </w:r>
    </w:p>
  </w:footnote>
  <w:footnote w:id="1">
    <w:p w14:paraId="4D5154C7" w14:textId="4F518EFF" w:rsidR="00D1210E" w:rsidRPr="00430E57" w:rsidRDefault="00D1210E" w:rsidP="00430E57">
      <w:pPr>
        <w:pStyle w:val="NormalWeb"/>
        <w:spacing w:before="0" w:beforeAutospacing="0" w:after="0" w:afterAutospacing="0"/>
        <w:rPr>
          <w:rFonts w:ascii="Arial" w:hAnsi="Arial" w:cs="Arial"/>
          <w:sz w:val="20"/>
          <w:szCs w:val="20"/>
        </w:rPr>
      </w:pPr>
      <w:r w:rsidRPr="005912BE">
        <w:rPr>
          <w:rStyle w:val="FootnoteReference"/>
          <w:rFonts w:ascii="Arial" w:hAnsi="Arial" w:cs="Arial"/>
          <w:sz w:val="20"/>
          <w:szCs w:val="20"/>
        </w:rPr>
        <w:footnoteRef/>
      </w:r>
      <w:r w:rsidRPr="005912BE">
        <w:rPr>
          <w:rFonts w:ascii="Arial" w:hAnsi="Arial" w:cs="Arial"/>
          <w:sz w:val="20"/>
          <w:szCs w:val="20"/>
        </w:rPr>
        <w:t xml:space="preserve"> </w:t>
      </w:r>
      <w:r w:rsidRPr="005912BE">
        <w:rPr>
          <w:rFonts w:ascii="Arial" w:hAnsi="Arial" w:cs="Arial"/>
          <w:sz w:val="20"/>
          <w:szCs w:val="20"/>
          <w:lang w:val="en-US"/>
        </w:rPr>
        <w:tab/>
      </w:r>
      <w:r w:rsidRPr="005912BE">
        <w:rPr>
          <w:rFonts w:ascii="Arial" w:hAnsi="Arial" w:cs="Arial"/>
          <w:color w:val="0C0F19"/>
          <w:sz w:val="20"/>
          <w:szCs w:val="20"/>
        </w:rPr>
        <w:t>Nestle (South Africa) (Pty) Limited vs Mars Inc 2001 (4)</w:t>
      </w:r>
    </w:p>
  </w:footnote>
  <w:footnote w:id="2">
    <w:p w14:paraId="0C070522" w14:textId="77777777" w:rsidR="00D1210E" w:rsidRPr="001516BC" w:rsidRDefault="00D1210E" w:rsidP="000A3438">
      <w:pPr>
        <w:pStyle w:val="NormalWeb"/>
        <w:spacing w:before="0" w:beforeAutospacing="0" w:after="0" w:afterAutospacing="0"/>
        <w:ind w:left="709" w:hanging="709"/>
        <w:rPr>
          <w:rFonts w:ascii="Arial" w:hAnsi="Arial" w:cs="Arial"/>
          <w:sz w:val="20"/>
          <w:szCs w:val="20"/>
        </w:rPr>
      </w:pPr>
      <w:r w:rsidRPr="001516BC">
        <w:rPr>
          <w:rStyle w:val="FootnoteReference"/>
          <w:rFonts w:ascii="Arial" w:hAnsi="Arial" w:cs="Arial"/>
          <w:sz w:val="20"/>
          <w:szCs w:val="20"/>
        </w:rPr>
        <w:footnoteRef/>
      </w:r>
      <w:r w:rsidRPr="001516BC">
        <w:rPr>
          <w:rFonts w:ascii="Arial" w:hAnsi="Arial" w:cs="Arial"/>
          <w:sz w:val="20"/>
          <w:szCs w:val="20"/>
        </w:rPr>
        <w:t xml:space="preserve"> </w:t>
      </w:r>
      <w:r w:rsidRPr="001516BC">
        <w:rPr>
          <w:rFonts w:ascii="Arial" w:hAnsi="Arial" w:cs="Arial"/>
          <w:sz w:val="20"/>
          <w:szCs w:val="20"/>
          <w:lang w:val="en-US"/>
        </w:rPr>
        <w:tab/>
      </w:r>
      <w:r w:rsidRPr="001516BC">
        <w:rPr>
          <w:rFonts w:ascii="Arial" w:hAnsi="Arial" w:cs="Arial"/>
          <w:sz w:val="20"/>
          <w:szCs w:val="20"/>
          <w:shd w:val="clear" w:color="auto" w:fill="FFFFFF"/>
        </w:rPr>
        <w:t xml:space="preserve">2013 (6) SA 499 (SCA) </w:t>
      </w:r>
    </w:p>
    <w:p w14:paraId="0C7D36EF" w14:textId="5F54CFAC" w:rsidR="00D1210E" w:rsidRPr="00430E57" w:rsidRDefault="00D1210E">
      <w:pPr>
        <w:pStyle w:val="FootnoteText"/>
        <w:rPr>
          <w:lang w:val="en-US"/>
        </w:rPr>
      </w:pPr>
    </w:p>
  </w:footnote>
  <w:footnote w:id="3">
    <w:p w14:paraId="4FE3E6DA" w14:textId="4BAE0D6C" w:rsidR="00D1210E" w:rsidRPr="000A3438" w:rsidRDefault="00D1210E" w:rsidP="000A3438">
      <w:pPr>
        <w:pStyle w:val="FootnoteText"/>
        <w:ind w:left="709" w:hanging="709"/>
        <w:rPr>
          <w:rFonts w:ascii="Arial" w:hAnsi="Arial" w:cs="Arial"/>
          <w:lang w:val="en-US"/>
        </w:rPr>
      </w:pPr>
      <w:r w:rsidRPr="000A3438">
        <w:rPr>
          <w:rStyle w:val="FootnoteReference"/>
          <w:rFonts w:ascii="Arial" w:hAnsi="Arial" w:cs="Arial"/>
        </w:rPr>
        <w:footnoteRef/>
      </w:r>
      <w:r w:rsidRPr="000A3438">
        <w:rPr>
          <w:rFonts w:ascii="Arial" w:hAnsi="Arial" w:cs="Arial"/>
        </w:rPr>
        <w:t xml:space="preserve"> </w:t>
      </w:r>
      <w:r w:rsidRPr="000A3438">
        <w:rPr>
          <w:rFonts w:ascii="Arial" w:hAnsi="Arial" w:cs="Arial"/>
          <w:lang w:val="en-US"/>
        </w:rPr>
        <w:tab/>
      </w:r>
      <w:r w:rsidRPr="000A3438">
        <w:rPr>
          <w:rFonts w:ascii="Arial" w:hAnsi="Arial" w:cs="Arial"/>
          <w:i/>
        </w:rPr>
        <w:t>Ferreira v Minister of Safety and Security and Another</w:t>
      </w:r>
      <w:r>
        <w:rPr>
          <w:rFonts w:ascii="Arial" w:hAnsi="Arial" w:cs="Arial"/>
        </w:rPr>
        <w:t xml:space="preserve"> </w:t>
      </w:r>
      <w:r w:rsidRPr="000A3438">
        <w:rPr>
          <w:rFonts w:ascii="Arial" w:hAnsi="Arial" w:cs="Arial"/>
        </w:rPr>
        <w:t xml:space="preserve">[2015] ZANCHC 14 at </w:t>
      </w:r>
      <w:r>
        <w:rPr>
          <w:rFonts w:ascii="Arial" w:hAnsi="Arial" w:cs="Arial"/>
        </w:rPr>
        <w:t>[</w:t>
      </w:r>
      <w:r w:rsidRPr="000A3438">
        <w:rPr>
          <w:rFonts w:ascii="Arial" w:hAnsi="Arial" w:cs="Arial"/>
        </w:rPr>
        <w:t>8</w:t>
      </w:r>
      <w:r>
        <w:rPr>
          <w:rFonts w:ascii="Arial" w:hAnsi="Arial" w:cs="Arial"/>
        </w:rPr>
        <w:t>]</w:t>
      </w:r>
      <w:r w:rsidRPr="000A3438">
        <w:rPr>
          <w:rFonts w:ascii="Arial" w:hAnsi="Arial" w:cs="Arial"/>
        </w:rPr>
        <w:t xml:space="preserve"> </w:t>
      </w:r>
    </w:p>
  </w:footnote>
  <w:footnote w:id="4">
    <w:p w14:paraId="655F4EF3" w14:textId="0DCC8996" w:rsidR="00D1210E" w:rsidRPr="003E44AF" w:rsidRDefault="00D1210E" w:rsidP="003E44AF">
      <w:pPr>
        <w:rPr>
          <w:sz w:val="20"/>
          <w:szCs w:val="20"/>
        </w:rPr>
      </w:pPr>
      <w:r w:rsidRPr="003E44AF">
        <w:rPr>
          <w:rStyle w:val="FootnoteReference"/>
          <w:rFonts w:ascii="Arial" w:hAnsi="Arial" w:cs="Arial"/>
          <w:sz w:val="20"/>
          <w:szCs w:val="20"/>
        </w:rPr>
        <w:footnoteRef/>
      </w:r>
      <w:r w:rsidRPr="003E44AF">
        <w:rPr>
          <w:rFonts w:ascii="Arial" w:hAnsi="Arial" w:cs="Arial"/>
          <w:sz w:val="20"/>
          <w:szCs w:val="20"/>
        </w:rPr>
        <w:t xml:space="preserve"> </w:t>
      </w:r>
      <w:r w:rsidRPr="003E44AF">
        <w:rPr>
          <w:rFonts w:ascii="Arial" w:hAnsi="Arial" w:cs="Arial"/>
          <w:sz w:val="20"/>
          <w:szCs w:val="20"/>
          <w:lang w:val="en-US"/>
        </w:rPr>
        <w:tab/>
      </w:r>
      <w:r w:rsidRPr="003E44AF">
        <w:rPr>
          <w:rFonts w:ascii="Arial" w:hAnsi="Arial" w:cs="Arial"/>
          <w:color w:val="242121"/>
          <w:sz w:val="20"/>
          <w:szCs w:val="20"/>
          <w:shd w:val="clear" w:color="auto" w:fill="FFFFFF"/>
        </w:rPr>
        <w:t>2013 (1) All SA 142 (SCA)</w:t>
      </w:r>
    </w:p>
  </w:footnote>
  <w:footnote w:id="5">
    <w:p w14:paraId="39AEDD8E" w14:textId="42497510" w:rsidR="00D1210E" w:rsidRPr="003E44AF" w:rsidRDefault="00D1210E" w:rsidP="003E44AF">
      <w:pPr>
        <w:rPr>
          <w:sz w:val="20"/>
          <w:szCs w:val="20"/>
        </w:rPr>
      </w:pPr>
      <w:r w:rsidRPr="003E44AF">
        <w:rPr>
          <w:rStyle w:val="FootnoteReference"/>
          <w:rFonts w:ascii="Arial" w:hAnsi="Arial" w:cs="Arial"/>
          <w:sz w:val="20"/>
          <w:szCs w:val="20"/>
        </w:rPr>
        <w:footnoteRef/>
      </w:r>
      <w:r w:rsidRPr="003E44AF">
        <w:rPr>
          <w:rFonts w:ascii="Arial" w:hAnsi="Arial" w:cs="Arial"/>
          <w:sz w:val="20"/>
          <w:szCs w:val="20"/>
        </w:rPr>
        <w:t xml:space="preserve"> </w:t>
      </w:r>
      <w:r w:rsidRPr="003E44AF">
        <w:rPr>
          <w:rFonts w:ascii="Arial" w:hAnsi="Arial" w:cs="Arial"/>
          <w:sz w:val="20"/>
          <w:szCs w:val="20"/>
          <w:lang w:val="en-US"/>
        </w:rPr>
        <w:tab/>
      </w:r>
      <w:r w:rsidRPr="003E44AF">
        <w:rPr>
          <w:rFonts w:ascii="Arial" w:hAnsi="Arial" w:cs="Arial"/>
          <w:color w:val="242121"/>
          <w:sz w:val="20"/>
          <w:szCs w:val="20"/>
          <w:shd w:val="clear" w:color="auto" w:fill="FFFFFF"/>
        </w:rPr>
        <w:t>2005 (4) SA 148</w:t>
      </w:r>
      <w:r>
        <w:rPr>
          <w:rFonts w:ascii="Arial" w:hAnsi="Arial" w:cs="Arial"/>
          <w:color w:val="242121"/>
          <w:sz w:val="20"/>
          <w:szCs w:val="20"/>
          <w:shd w:val="clear" w:color="auto" w:fill="FFFFFF"/>
        </w:rPr>
        <w:t xml:space="preserve"> (C)</w:t>
      </w:r>
    </w:p>
    <w:p w14:paraId="5AFFD482" w14:textId="5BA60014" w:rsidR="00D1210E" w:rsidRPr="003E44AF" w:rsidRDefault="00D1210E">
      <w:pPr>
        <w:pStyle w:val="FootnoteText"/>
        <w:rPr>
          <w:rFonts w:ascii="Arial" w:hAnsi="Arial" w:cs="Arial"/>
          <w:lang w:val="en-US"/>
        </w:rPr>
      </w:pPr>
    </w:p>
  </w:footnote>
  <w:footnote w:id="6">
    <w:p w14:paraId="24777296" w14:textId="77777777" w:rsidR="00D1210E" w:rsidRPr="00DD48DF" w:rsidRDefault="00D1210E" w:rsidP="00DD48DF">
      <w:pPr>
        <w:ind w:left="567" w:hanging="567"/>
        <w:rPr>
          <w:rFonts w:ascii="Arial" w:hAnsi="Arial" w:cs="Arial"/>
          <w:sz w:val="20"/>
          <w:szCs w:val="20"/>
        </w:rPr>
      </w:pPr>
      <w:r w:rsidRPr="00DD48DF">
        <w:rPr>
          <w:rStyle w:val="FootnoteReference"/>
          <w:rFonts w:ascii="Arial" w:hAnsi="Arial" w:cs="Arial"/>
          <w:sz w:val="20"/>
          <w:szCs w:val="20"/>
        </w:rPr>
        <w:footnoteRef/>
      </w:r>
      <w:r w:rsidRPr="00DD48DF">
        <w:rPr>
          <w:rFonts w:ascii="Arial" w:hAnsi="Arial" w:cs="Arial"/>
          <w:sz w:val="20"/>
          <w:szCs w:val="20"/>
        </w:rPr>
        <w:t xml:space="preserve"> </w:t>
      </w:r>
      <w:r w:rsidRPr="00DD48DF">
        <w:rPr>
          <w:rFonts w:ascii="Arial" w:hAnsi="Arial" w:cs="Arial"/>
          <w:sz w:val="20"/>
          <w:szCs w:val="20"/>
        </w:rPr>
        <w:tab/>
      </w:r>
      <w:r w:rsidRPr="00DD48DF">
        <w:rPr>
          <w:rFonts w:ascii="Arial" w:hAnsi="Arial" w:cs="Arial"/>
          <w:i/>
          <w:sz w:val="20"/>
          <w:szCs w:val="20"/>
        </w:rPr>
        <w:t>Swissborough Diamond Mines (Pty) Ltd and Others v Government of the Republic of South Africa and Others</w:t>
      </w:r>
      <w:r w:rsidRPr="00DD48DF">
        <w:rPr>
          <w:rStyle w:val="apple-converted-space"/>
          <w:rFonts w:ascii="Arial" w:hAnsi="Arial" w:cs="Arial"/>
          <w:sz w:val="20"/>
        </w:rPr>
        <w:t> </w:t>
      </w:r>
      <w:hyperlink r:id="rId1" w:tooltip="View LawCiteRecord" w:history="1">
        <w:r w:rsidRPr="00DD48DF">
          <w:rPr>
            <w:rStyle w:val="Hyperlink"/>
            <w:rFonts w:ascii="Arial" w:hAnsi="Arial" w:cs="Arial"/>
            <w:bCs/>
            <w:color w:val="auto"/>
            <w:sz w:val="20"/>
            <w:szCs w:val="20"/>
            <w:u w:val="none"/>
          </w:rPr>
          <w:t>1999 (2) SA 279</w:t>
        </w:r>
      </w:hyperlink>
      <w:r w:rsidRPr="00DD48DF">
        <w:rPr>
          <w:rStyle w:val="apple-converted-space"/>
          <w:rFonts w:ascii="Arial" w:hAnsi="Arial" w:cs="Arial"/>
          <w:sz w:val="20"/>
        </w:rPr>
        <w:t> </w:t>
      </w:r>
      <w:r w:rsidRPr="00DD48DF">
        <w:rPr>
          <w:rFonts w:ascii="Arial" w:hAnsi="Arial" w:cs="Arial"/>
          <w:sz w:val="20"/>
          <w:szCs w:val="20"/>
        </w:rPr>
        <w:t>(T) at 323F – 324C;</w:t>
      </w:r>
      <w:r w:rsidRPr="00DD48DF">
        <w:rPr>
          <w:rFonts w:ascii="Arial" w:hAnsi="Arial" w:cs="Arial"/>
          <w:i/>
          <w:sz w:val="20"/>
          <w:szCs w:val="20"/>
        </w:rPr>
        <w:t> Hart v Pinetown Drive-In Cinema (Pty) Ltd</w:t>
      </w:r>
      <w:r w:rsidRPr="00DD48DF">
        <w:rPr>
          <w:rStyle w:val="apple-converted-space"/>
          <w:rFonts w:ascii="Arial" w:hAnsi="Arial" w:cs="Arial"/>
          <w:i/>
          <w:sz w:val="20"/>
        </w:rPr>
        <w:t> </w:t>
      </w:r>
      <w:hyperlink r:id="rId2" w:tooltip="View LawCiteRecord" w:history="1">
        <w:r w:rsidRPr="00DD48DF">
          <w:rPr>
            <w:rStyle w:val="Hyperlink"/>
            <w:rFonts w:ascii="Arial" w:hAnsi="Arial" w:cs="Arial"/>
            <w:bCs/>
            <w:color w:val="auto"/>
            <w:sz w:val="20"/>
            <w:szCs w:val="20"/>
            <w:u w:val="none"/>
          </w:rPr>
          <w:t>1972 (1) SA 464</w:t>
        </w:r>
      </w:hyperlink>
      <w:r w:rsidRPr="00DD48DF">
        <w:rPr>
          <w:rStyle w:val="apple-converted-space"/>
          <w:rFonts w:ascii="Arial" w:hAnsi="Arial" w:cs="Arial"/>
          <w:sz w:val="20"/>
        </w:rPr>
        <w:t> </w:t>
      </w:r>
      <w:r w:rsidRPr="00DD48DF">
        <w:rPr>
          <w:rFonts w:ascii="Arial" w:hAnsi="Arial" w:cs="Arial"/>
          <w:sz w:val="20"/>
          <w:szCs w:val="20"/>
        </w:rPr>
        <w:t>(D) at 469C-E cited with approval in</w:t>
      </w:r>
      <w:r w:rsidRPr="00DD48DF">
        <w:rPr>
          <w:rStyle w:val="apple-converted-space"/>
          <w:rFonts w:ascii="Arial" w:hAnsi="Arial" w:cs="Arial"/>
          <w:sz w:val="20"/>
        </w:rPr>
        <w:t> </w:t>
      </w:r>
      <w:r w:rsidRPr="00DD48DF">
        <w:rPr>
          <w:rFonts w:ascii="Arial" w:hAnsi="Arial" w:cs="Arial"/>
          <w:i/>
          <w:sz w:val="20"/>
          <w:szCs w:val="20"/>
        </w:rPr>
        <w:t>Minister of Land Affairs and Agriculture v D&amp;F Wevell Trust</w:t>
      </w:r>
      <w:r w:rsidRPr="00DD48DF">
        <w:rPr>
          <w:rStyle w:val="apple-converted-space"/>
          <w:rFonts w:ascii="Arial" w:hAnsi="Arial" w:cs="Arial"/>
          <w:sz w:val="20"/>
        </w:rPr>
        <w:t> </w:t>
      </w:r>
      <w:hyperlink r:id="rId3" w:tooltip="View LawCiteRecord" w:history="1">
        <w:r w:rsidRPr="00DD48DF">
          <w:rPr>
            <w:rStyle w:val="Hyperlink"/>
            <w:rFonts w:ascii="Arial" w:hAnsi="Arial" w:cs="Arial"/>
            <w:bCs/>
            <w:color w:val="auto"/>
            <w:sz w:val="20"/>
            <w:szCs w:val="20"/>
            <w:u w:val="none"/>
          </w:rPr>
          <w:t>2008 (2) SA 184</w:t>
        </w:r>
      </w:hyperlink>
      <w:r w:rsidRPr="00DD48DF">
        <w:rPr>
          <w:rStyle w:val="apple-converted-space"/>
          <w:rFonts w:ascii="Arial" w:hAnsi="Arial" w:cs="Arial"/>
          <w:sz w:val="20"/>
        </w:rPr>
        <w:t> </w:t>
      </w:r>
      <w:r w:rsidRPr="00DD48DF">
        <w:rPr>
          <w:rFonts w:ascii="Arial" w:hAnsi="Arial" w:cs="Arial"/>
          <w:sz w:val="20"/>
          <w:szCs w:val="20"/>
        </w:rPr>
        <w:t>(SCA) at 200D;</w:t>
      </w:r>
      <w:r w:rsidRPr="00DD48DF">
        <w:rPr>
          <w:rStyle w:val="apple-converted-space"/>
          <w:rFonts w:ascii="Arial" w:hAnsi="Arial" w:cs="Arial"/>
          <w:sz w:val="20"/>
        </w:rPr>
        <w:t> </w:t>
      </w:r>
      <w:r w:rsidRPr="00DD48DF">
        <w:rPr>
          <w:rFonts w:ascii="Arial" w:hAnsi="Arial" w:cs="Arial"/>
          <w:i/>
          <w:sz w:val="20"/>
          <w:szCs w:val="20"/>
        </w:rPr>
        <w:t>MEC for Health, Gauteng v 3P Consulting (Pty) Ltd</w:t>
      </w:r>
      <w:r w:rsidRPr="00DD48DF">
        <w:rPr>
          <w:rStyle w:val="apple-converted-space"/>
          <w:rFonts w:ascii="Arial" w:hAnsi="Arial" w:cs="Arial"/>
          <w:sz w:val="20"/>
        </w:rPr>
        <w:t> </w:t>
      </w:r>
      <w:hyperlink r:id="rId4" w:tooltip="View LawCiteRecord" w:history="1">
        <w:r w:rsidRPr="00DD48DF">
          <w:rPr>
            <w:rStyle w:val="Hyperlink"/>
            <w:rFonts w:ascii="Arial" w:hAnsi="Arial" w:cs="Arial"/>
            <w:bCs/>
            <w:color w:val="auto"/>
            <w:sz w:val="20"/>
            <w:szCs w:val="20"/>
            <w:u w:val="none"/>
          </w:rPr>
          <w:t>2012 (2) SA 542</w:t>
        </w:r>
      </w:hyperlink>
      <w:r w:rsidRPr="00DD48DF">
        <w:rPr>
          <w:rStyle w:val="apple-converted-space"/>
          <w:rFonts w:ascii="Arial" w:hAnsi="Arial" w:cs="Arial"/>
          <w:sz w:val="20"/>
        </w:rPr>
        <w:t> </w:t>
      </w:r>
      <w:r w:rsidRPr="00DD48DF">
        <w:rPr>
          <w:rFonts w:ascii="Arial" w:hAnsi="Arial" w:cs="Arial"/>
          <w:sz w:val="20"/>
          <w:szCs w:val="20"/>
        </w:rPr>
        <w:t>(SCA) at 550G-551C</w:t>
      </w:r>
    </w:p>
  </w:footnote>
  <w:footnote w:id="7">
    <w:p w14:paraId="1573A4B5" w14:textId="77777777" w:rsidR="00D1210E" w:rsidRPr="00DD48DF" w:rsidRDefault="00D1210E" w:rsidP="00DD48DF">
      <w:pPr>
        <w:ind w:left="567" w:hanging="567"/>
        <w:rPr>
          <w:rFonts w:ascii="Arial" w:hAnsi="Arial" w:cs="Arial"/>
          <w:sz w:val="20"/>
          <w:szCs w:val="20"/>
        </w:rPr>
      </w:pPr>
      <w:r w:rsidRPr="00DD48DF">
        <w:rPr>
          <w:rStyle w:val="FootnoteReference"/>
          <w:rFonts w:ascii="Arial" w:hAnsi="Arial" w:cs="Arial"/>
          <w:sz w:val="20"/>
          <w:szCs w:val="20"/>
        </w:rPr>
        <w:footnoteRef/>
      </w:r>
      <w:r w:rsidRPr="00DD48DF">
        <w:rPr>
          <w:rFonts w:ascii="Arial" w:hAnsi="Arial" w:cs="Arial"/>
          <w:sz w:val="20"/>
          <w:szCs w:val="20"/>
        </w:rPr>
        <w:t xml:space="preserve"> </w:t>
      </w:r>
      <w:r w:rsidRPr="00DD48DF">
        <w:rPr>
          <w:rFonts w:ascii="Arial" w:hAnsi="Arial" w:cs="Arial"/>
          <w:sz w:val="20"/>
          <w:szCs w:val="20"/>
        </w:rPr>
        <w:tab/>
      </w:r>
      <w:r w:rsidRPr="00DD48DF">
        <w:rPr>
          <w:rFonts w:ascii="Arial" w:hAnsi="Arial" w:cs="Arial"/>
          <w:i/>
          <w:sz w:val="20"/>
          <w:szCs w:val="20"/>
        </w:rPr>
        <w:t>Moosa v Knox</w:t>
      </w:r>
      <w:r w:rsidRPr="00DD48DF">
        <w:rPr>
          <w:rStyle w:val="apple-converted-space"/>
          <w:rFonts w:ascii="Arial" w:hAnsi="Arial" w:cs="Arial"/>
          <w:sz w:val="20"/>
          <w:shd w:val="clear" w:color="auto" w:fill="FFFFFF"/>
        </w:rPr>
        <w:t> </w:t>
      </w:r>
      <w:hyperlink r:id="rId5" w:tooltip="View LawCiteRecord" w:history="1">
        <w:r w:rsidRPr="00DD48DF">
          <w:rPr>
            <w:rStyle w:val="Hyperlink"/>
            <w:rFonts w:ascii="Arial" w:hAnsi="Arial" w:cs="Arial"/>
            <w:bCs/>
            <w:color w:val="auto"/>
            <w:sz w:val="20"/>
            <w:szCs w:val="20"/>
            <w:u w:val="none"/>
          </w:rPr>
          <w:t>1949 (3) SA 327</w:t>
        </w:r>
      </w:hyperlink>
      <w:r w:rsidRPr="00DD48DF">
        <w:rPr>
          <w:rStyle w:val="apple-converted-space"/>
          <w:rFonts w:ascii="Arial" w:hAnsi="Arial" w:cs="Arial"/>
          <w:sz w:val="20"/>
        </w:rPr>
        <w:t> </w:t>
      </w:r>
      <w:r w:rsidRPr="00DD48DF">
        <w:rPr>
          <w:rFonts w:ascii="Arial" w:hAnsi="Arial" w:cs="Arial"/>
          <w:sz w:val="20"/>
          <w:szCs w:val="20"/>
        </w:rPr>
        <w:t>(N) at 331;</w:t>
      </w:r>
      <w:r w:rsidRPr="00DD48DF">
        <w:rPr>
          <w:rStyle w:val="apple-converted-space"/>
          <w:rFonts w:ascii="Arial" w:hAnsi="Arial" w:cs="Arial"/>
          <w:sz w:val="20"/>
        </w:rPr>
        <w:t> </w:t>
      </w:r>
      <w:r w:rsidRPr="00DD48DF">
        <w:rPr>
          <w:rFonts w:ascii="Arial" w:hAnsi="Arial" w:cs="Arial"/>
          <w:i/>
          <w:sz w:val="20"/>
          <w:szCs w:val="20"/>
        </w:rPr>
        <w:t>United Methodist Church of South Africa v Sokufundumala</w:t>
      </w:r>
      <w:r w:rsidRPr="00DD48DF">
        <w:rPr>
          <w:rStyle w:val="apple-converted-space"/>
          <w:rFonts w:ascii="Arial" w:hAnsi="Arial" w:cs="Arial"/>
          <w:i/>
          <w:sz w:val="20"/>
        </w:rPr>
        <w:t> </w:t>
      </w:r>
      <w:hyperlink r:id="rId6" w:tooltip="View LawCiteRecord" w:history="1">
        <w:r w:rsidRPr="00DD48DF">
          <w:rPr>
            <w:rStyle w:val="Hyperlink"/>
            <w:rFonts w:ascii="Arial" w:hAnsi="Arial" w:cs="Arial"/>
            <w:bCs/>
            <w:color w:val="auto"/>
            <w:sz w:val="20"/>
            <w:szCs w:val="20"/>
            <w:u w:val="none"/>
          </w:rPr>
          <w:t>1989 (4) SA 1055</w:t>
        </w:r>
      </w:hyperlink>
      <w:r w:rsidRPr="00DD48DF">
        <w:rPr>
          <w:rStyle w:val="apple-converted-space"/>
          <w:rFonts w:ascii="Arial" w:hAnsi="Arial" w:cs="Arial"/>
          <w:sz w:val="20"/>
        </w:rPr>
        <w:t> </w:t>
      </w:r>
      <w:r w:rsidRPr="00DD48DF">
        <w:rPr>
          <w:rFonts w:ascii="Arial" w:hAnsi="Arial" w:cs="Arial"/>
          <w:sz w:val="20"/>
          <w:szCs w:val="20"/>
        </w:rPr>
        <w:t>(O) at 1059A;</w:t>
      </w:r>
      <w:r w:rsidRPr="00DD48DF">
        <w:rPr>
          <w:rStyle w:val="apple-converted-space"/>
          <w:rFonts w:ascii="Arial" w:hAnsi="Arial" w:cs="Arial"/>
          <w:sz w:val="20"/>
        </w:rPr>
        <w:t> </w:t>
      </w:r>
      <w:r w:rsidRPr="00DD48DF">
        <w:rPr>
          <w:rFonts w:ascii="Arial" w:hAnsi="Arial" w:cs="Arial"/>
          <w:i/>
          <w:sz w:val="20"/>
          <w:szCs w:val="20"/>
        </w:rPr>
        <w:t>Plascon-Evans Paints Ltd v Van Riebeeck Paints (Pty) Ltd</w:t>
      </w:r>
      <w:r w:rsidRPr="00DD48DF">
        <w:rPr>
          <w:rFonts w:ascii="Arial" w:hAnsi="Arial" w:cs="Arial"/>
          <w:sz w:val="20"/>
          <w:szCs w:val="20"/>
        </w:rPr>
        <w:t xml:space="preserve"> 1984 (3) SA 623</w:t>
      </w:r>
      <w:r w:rsidRPr="00DD48DF">
        <w:rPr>
          <w:rStyle w:val="apple-converted-space"/>
          <w:rFonts w:ascii="Arial" w:hAnsi="Arial" w:cs="Arial"/>
          <w:i/>
          <w:sz w:val="20"/>
        </w:rPr>
        <w:t> </w:t>
      </w:r>
      <w:r w:rsidRPr="00DD48DF">
        <w:rPr>
          <w:rFonts w:ascii="Arial" w:hAnsi="Arial" w:cs="Arial"/>
          <w:sz w:val="20"/>
          <w:szCs w:val="20"/>
        </w:rPr>
        <w:t>et seq;</w:t>
      </w:r>
      <w:r w:rsidRPr="00DD48DF">
        <w:rPr>
          <w:rStyle w:val="apple-converted-space"/>
          <w:rFonts w:ascii="Arial" w:hAnsi="Arial" w:cs="Arial"/>
          <w:sz w:val="20"/>
        </w:rPr>
        <w:t> </w:t>
      </w:r>
      <w:r w:rsidRPr="00DD48DF">
        <w:rPr>
          <w:rFonts w:ascii="Arial" w:hAnsi="Arial" w:cs="Arial"/>
          <w:i/>
          <w:sz w:val="20"/>
          <w:szCs w:val="20"/>
        </w:rPr>
        <w:t>Ebrahim v Georgoulas</w:t>
      </w:r>
      <w:r w:rsidRPr="00DD48DF">
        <w:rPr>
          <w:rFonts w:ascii="Arial" w:hAnsi="Arial" w:cs="Arial"/>
          <w:sz w:val="20"/>
          <w:szCs w:val="20"/>
        </w:rPr>
        <w:t xml:space="preserve"> </w:t>
      </w:r>
      <w:hyperlink r:id="rId7" w:tooltip="View LawCiteRecord" w:history="1">
        <w:r w:rsidRPr="00DD48DF">
          <w:rPr>
            <w:rStyle w:val="Hyperlink"/>
            <w:rFonts w:ascii="Arial" w:hAnsi="Arial" w:cs="Arial"/>
            <w:bCs/>
            <w:color w:val="auto"/>
            <w:sz w:val="20"/>
            <w:szCs w:val="20"/>
            <w:u w:val="none"/>
          </w:rPr>
          <w:t>1992 (2) SA 151</w:t>
        </w:r>
      </w:hyperlink>
      <w:r w:rsidRPr="00DD48DF">
        <w:rPr>
          <w:rStyle w:val="apple-converted-space"/>
          <w:rFonts w:ascii="Arial" w:hAnsi="Arial" w:cs="Arial"/>
          <w:sz w:val="20"/>
        </w:rPr>
        <w:t> </w:t>
      </w:r>
      <w:r w:rsidRPr="00DD48DF">
        <w:rPr>
          <w:rFonts w:ascii="Arial" w:hAnsi="Arial" w:cs="Arial"/>
          <w:sz w:val="20"/>
          <w:szCs w:val="20"/>
        </w:rPr>
        <w:t>(B) at 153D</w:t>
      </w:r>
    </w:p>
  </w:footnote>
  <w:footnote w:id="8">
    <w:p w14:paraId="75F65BCE" w14:textId="77777777" w:rsidR="00D1210E" w:rsidRPr="00DD48DF" w:rsidRDefault="00D1210E" w:rsidP="005F4D98">
      <w:pPr>
        <w:ind w:left="567" w:hanging="567"/>
        <w:rPr>
          <w:rFonts w:ascii="Arial" w:hAnsi="Arial" w:cs="Arial"/>
          <w:sz w:val="20"/>
          <w:szCs w:val="20"/>
        </w:rPr>
      </w:pPr>
      <w:r w:rsidRPr="00DD48DF">
        <w:rPr>
          <w:rStyle w:val="FootnoteReference"/>
          <w:rFonts w:ascii="Arial" w:hAnsi="Arial" w:cs="Arial"/>
          <w:sz w:val="20"/>
          <w:szCs w:val="20"/>
        </w:rPr>
        <w:footnoteRef/>
      </w:r>
      <w:r w:rsidRPr="00DD48DF">
        <w:rPr>
          <w:rFonts w:ascii="Arial" w:hAnsi="Arial" w:cs="Arial"/>
          <w:sz w:val="20"/>
          <w:szCs w:val="20"/>
        </w:rPr>
        <w:t xml:space="preserve"> </w:t>
      </w:r>
      <w:r w:rsidRPr="00DD48DF">
        <w:rPr>
          <w:rFonts w:ascii="Arial" w:hAnsi="Arial" w:cs="Arial"/>
          <w:sz w:val="20"/>
          <w:szCs w:val="20"/>
        </w:rPr>
        <w:tab/>
      </w:r>
      <w:r w:rsidRPr="00DD48DF">
        <w:rPr>
          <w:rFonts w:ascii="Arial" w:hAnsi="Arial" w:cs="Arial"/>
          <w:i/>
          <w:sz w:val="20"/>
          <w:szCs w:val="20"/>
        </w:rPr>
        <w:t>Beinash v Wixley</w:t>
      </w:r>
      <w:r w:rsidRPr="00DD48DF">
        <w:rPr>
          <w:rStyle w:val="apple-converted-space"/>
          <w:rFonts w:ascii="Arial" w:hAnsi="Arial" w:cs="Arial"/>
          <w:sz w:val="20"/>
          <w:szCs w:val="20"/>
        </w:rPr>
        <w:t> </w:t>
      </w:r>
      <w:hyperlink r:id="rId8" w:tooltip="View LawCiteRecord" w:history="1">
        <w:r w:rsidRPr="00DD48DF">
          <w:rPr>
            <w:rStyle w:val="Hyperlink"/>
            <w:rFonts w:ascii="Arial" w:hAnsi="Arial" w:cs="Arial"/>
            <w:bCs/>
            <w:color w:val="auto"/>
            <w:sz w:val="20"/>
            <w:szCs w:val="20"/>
            <w:u w:val="none"/>
          </w:rPr>
          <w:t>1997 (3) SA 721</w:t>
        </w:r>
      </w:hyperlink>
      <w:r w:rsidRPr="00DD48DF">
        <w:rPr>
          <w:rStyle w:val="apple-converted-space"/>
          <w:rFonts w:ascii="Arial" w:hAnsi="Arial" w:cs="Arial"/>
          <w:sz w:val="20"/>
          <w:szCs w:val="20"/>
        </w:rPr>
        <w:t> </w:t>
      </w:r>
      <w:r w:rsidRPr="00DD48DF">
        <w:rPr>
          <w:rFonts w:ascii="Arial" w:hAnsi="Arial" w:cs="Arial"/>
          <w:sz w:val="20"/>
          <w:szCs w:val="20"/>
        </w:rPr>
        <w:t>(SCA) at 733B</w:t>
      </w:r>
    </w:p>
  </w:footnote>
  <w:footnote w:id="9">
    <w:p w14:paraId="072CD338" w14:textId="77777777" w:rsidR="00D1210E" w:rsidRPr="00EC1274" w:rsidRDefault="00D1210E" w:rsidP="005F4D98">
      <w:pPr>
        <w:ind w:left="567" w:hanging="567"/>
        <w:rPr>
          <w:rFonts w:ascii="Arial" w:hAnsi="Arial" w:cs="Arial"/>
          <w:sz w:val="20"/>
          <w:szCs w:val="20"/>
        </w:rPr>
      </w:pPr>
      <w:r w:rsidRPr="00EC1274">
        <w:rPr>
          <w:rStyle w:val="FootnoteReference"/>
          <w:rFonts w:ascii="Arial" w:hAnsi="Arial" w:cs="Arial"/>
          <w:sz w:val="20"/>
          <w:szCs w:val="20"/>
        </w:rPr>
        <w:footnoteRef/>
      </w:r>
      <w:r w:rsidRPr="00EC1274">
        <w:rPr>
          <w:rFonts w:ascii="Arial" w:hAnsi="Arial" w:cs="Arial"/>
          <w:sz w:val="20"/>
          <w:szCs w:val="20"/>
        </w:rPr>
        <w:t xml:space="preserve"> </w:t>
      </w:r>
      <w:r w:rsidRPr="00EC1274">
        <w:rPr>
          <w:rFonts w:ascii="Arial" w:hAnsi="Arial" w:cs="Arial"/>
          <w:sz w:val="20"/>
          <w:szCs w:val="20"/>
        </w:rPr>
        <w:tab/>
      </w:r>
      <w:r w:rsidRPr="00EC1274">
        <w:rPr>
          <w:rFonts w:ascii="Arial" w:hAnsi="Arial" w:cs="Arial"/>
          <w:i/>
          <w:sz w:val="20"/>
          <w:szCs w:val="20"/>
        </w:rPr>
        <w:t>Vaatz v Law Society of Namibia</w:t>
      </w:r>
      <w:r w:rsidRPr="00EC1274">
        <w:rPr>
          <w:rStyle w:val="apple-converted-space"/>
          <w:rFonts w:ascii="Arial" w:hAnsi="Arial" w:cs="Arial"/>
          <w:sz w:val="20"/>
          <w:szCs w:val="20"/>
        </w:rPr>
        <w:t> </w:t>
      </w:r>
      <w:hyperlink r:id="rId9" w:tooltip="View LawCiteRecord" w:history="1">
        <w:r w:rsidRPr="00EC1274">
          <w:rPr>
            <w:rStyle w:val="Hyperlink"/>
            <w:rFonts w:ascii="Arial" w:hAnsi="Arial" w:cs="Arial"/>
            <w:bCs/>
            <w:color w:val="auto"/>
            <w:sz w:val="20"/>
            <w:szCs w:val="20"/>
            <w:u w:val="none"/>
          </w:rPr>
          <w:t>1991 (3) SA 563</w:t>
        </w:r>
      </w:hyperlink>
      <w:r w:rsidRPr="00EC1274">
        <w:rPr>
          <w:rStyle w:val="apple-converted-space"/>
          <w:rFonts w:ascii="Arial" w:hAnsi="Arial" w:cs="Arial"/>
          <w:sz w:val="20"/>
          <w:szCs w:val="20"/>
        </w:rPr>
        <w:t> </w:t>
      </w:r>
      <w:r w:rsidRPr="00EC1274">
        <w:rPr>
          <w:rFonts w:ascii="Arial" w:hAnsi="Arial" w:cs="Arial"/>
          <w:sz w:val="20"/>
          <w:szCs w:val="20"/>
        </w:rPr>
        <w:t>(Nm) at 566C-E; </w:t>
      </w:r>
      <w:r w:rsidRPr="00EC1274">
        <w:rPr>
          <w:rStyle w:val="apple-converted-space"/>
          <w:rFonts w:ascii="Arial" w:hAnsi="Arial" w:cs="Arial"/>
          <w:sz w:val="20"/>
          <w:szCs w:val="20"/>
        </w:rPr>
        <w:t> </w:t>
      </w:r>
      <w:r w:rsidRPr="00EC1274">
        <w:rPr>
          <w:rFonts w:ascii="Arial" w:hAnsi="Arial" w:cs="Arial"/>
          <w:i/>
          <w:sz w:val="20"/>
          <w:szCs w:val="20"/>
        </w:rPr>
        <w:t>Tshabalala-Msimang v Makhanya</w:t>
      </w:r>
      <w:r w:rsidRPr="00EC1274">
        <w:rPr>
          <w:rStyle w:val="apple-converted-space"/>
          <w:rFonts w:ascii="Arial" w:hAnsi="Arial" w:cs="Arial"/>
          <w:sz w:val="20"/>
          <w:szCs w:val="20"/>
        </w:rPr>
        <w:t>  </w:t>
      </w:r>
      <w:hyperlink r:id="rId10" w:tooltip="View LawCiteRecord" w:history="1">
        <w:r w:rsidRPr="00EC1274">
          <w:rPr>
            <w:rStyle w:val="Hyperlink"/>
            <w:rFonts w:ascii="Arial" w:hAnsi="Arial" w:cs="Arial"/>
            <w:bCs/>
            <w:color w:val="auto"/>
            <w:sz w:val="20"/>
            <w:szCs w:val="20"/>
            <w:u w:val="none"/>
          </w:rPr>
          <w:t>[2008] 1 All SA 509</w:t>
        </w:r>
      </w:hyperlink>
      <w:r w:rsidRPr="00EC1274">
        <w:rPr>
          <w:rStyle w:val="apple-converted-space"/>
          <w:rFonts w:ascii="Arial" w:hAnsi="Arial" w:cs="Arial"/>
          <w:sz w:val="20"/>
          <w:szCs w:val="20"/>
        </w:rPr>
        <w:t> </w:t>
      </w:r>
      <w:r w:rsidRPr="00EC1274">
        <w:rPr>
          <w:rFonts w:ascii="Arial" w:hAnsi="Arial" w:cs="Arial"/>
          <w:sz w:val="20"/>
          <w:szCs w:val="20"/>
        </w:rPr>
        <w:t>(W) at 516 e-f</w:t>
      </w:r>
    </w:p>
  </w:footnote>
  <w:footnote w:id="10">
    <w:p w14:paraId="5DAFB5AD" w14:textId="77777777" w:rsidR="00D1210E" w:rsidRPr="00EC1274" w:rsidRDefault="00D1210E" w:rsidP="005F4D98">
      <w:pPr>
        <w:ind w:left="567" w:hanging="567"/>
        <w:rPr>
          <w:rFonts w:ascii="Arial" w:hAnsi="Arial" w:cs="Arial"/>
          <w:sz w:val="20"/>
          <w:szCs w:val="20"/>
        </w:rPr>
      </w:pPr>
      <w:r w:rsidRPr="00EC1274">
        <w:rPr>
          <w:rStyle w:val="FootnoteReference"/>
          <w:rFonts w:ascii="Arial" w:hAnsi="Arial" w:cs="Arial"/>
          <w:sz w:val="20"/>
          <w:szCs w:val="20"/>
        </w:rPr>
        <w:footnoteRef/>
      </w:r>
      <w:r w:rsidRPr="00EC1274">
        <w:rPr>
          <w:rFonts w:ascii="Arial" w:hAnsi="Arial" w:cs="Arial"/>
          <w:sz w:val="20"/>
          <w:szCs w:val="20"/>
        </w:rPr>
        <w:t xml:space="preserve"> </w:t>
      </w:r>
      <w:r w:rsidRPr="00EC1274">
        <w:rPr>
          <w:rFonts w:ascii="Arial" w:hAnsi="Arial" w:cs="Arial"/>
          <w:sz w:val="20"/>
          <w:szCs w:val="20"/>
        </w:rPr>
        <w:tab/>
      </w:r>
      <w:r w:rsidRPr="00EC1274">
        <w:rPr>
          <w:rFonts w:ascii="Arial" w:hAnsi="Arial" w:cs="Arial"/>
          <w:i/>
          <w:sz w:val="20"/>
          <w:szCs w:val="20"/>
        </w:rPr>
        <w:t>Stephens v De Wet</w:t>
      </w:r>
      <w:r w:rsidRPr="00EC1274">
        <w:rPr>
          <w:rStyle w:val="apple-converted-space"/>
          <w:rFonts w:ascii="Arial" w:hAnsi="Arial" w:cs="Arial"/>
          <w:sz w:val="20"/>
          <w:szCs w:val="20"/>
        </w:rPr>
        <w:t> </w:t>
      </w:r>
      <w:hyperlink r:id="rId11" w:tooltip="View LawCiteRecord" w:history="1">
        <w:r w:rsidRPr="00EC1274">
          <w:rPr>
            <w:rStyle w:val="Hyperlink"/>
            <w:rFonts w:ascii="Arial" w:hAnsi="Arial" w:cs="Arial"/>
            <w:bCs/>
            <w:color w:val="auto"/>
            <w:sz w:val="20"/>
            <w:szCs w:val="20"/>
            <w:u w:val="none"/>
          </w:rPr>
          <w:t>1920 AD 279</w:t>
        </w:r>
      </w:hyperlink>
      <w:r w:rsidRPr="00EC1274">
        <w:rPr>
          <w:rStyle w:val="apple-converted-space"/>
          <w:rFonts w:ascii="Arial" w:hAnsi="Arial" w:cs="Arial"/>
          <w:sz w:val="20"/>
          <w:szCs w:val="20"/>
        </w:rPr>
        <w:t> </w:t>
      </w:r>
      <w:r w:rsidRPr="00EC1274">
        <w:rPr>
          <w:rFonts w:ascii="Arial" w:hAnsi="Arial" w:cs="Arial"/>
          <w:sz w:val="20"/>
          <w:szCs w:val="20"/>
        </w:rPr>
        <w:t>at 282</w:t>
      </w:r>
    </w:p>
  </w:footnote>
  <w:footnote w:id="11">
    <w:p w14:paraId="38D99FBD" w14:textId="77777777" w:rsidR="00D1210E" w:rsidRPr="00EC1274" w:rsidRDefault="00D1210E" w:rsidP="005F4D98">
      <w:pPr>
        <w:ind w:left="567" w:hanging="567"/>
        <w:rPr>
          <w:rFonts w:ascii="Arial" w:hAnsi="Arial" w:cs="Arial"/>
          <w:sz w:val="20"/>
          <w:szCs w:val="20"/>
        </w:rPr>
      </w:pPr>
      <w:r w:rsidRPr="00EC1274">
        <w:rPr>
          <w:rStyle w:val="FootnoteReference"/>
          <w:rFonts w:ascii="Arial" w:hAnsi="Arial" w:cs="Arial"/>
          <w:sz w:val="20"/>
          <w:szCs w:val="20"/>
        </w:rPr>
        <w:footnoteRef/>
      </w:r>
      <w:r w:rsidRPr="00EC1274">
        <w:rPr>
          <w:rFonts w:ascii="Arial" w:hAnsi="Arial" w:cs="Arial"/>
          <w:sz w:val="20"/>
          <w:szCs w:val="20"/>
        </w:rPr>
        <w:t xml:space="preserve"> </w:t>
      </w:r>
      <w:r w:rsidRPr="00EC1274">
        <w:rPr>
          <w:rFonts w:ascii="Arial" w:hAnsi="Arial" w:cs="Arial"/>
          <w:sz w:val="20"/>
          <w:szCs w:val="20"/>
        </w:rPr>
        <w:tab/>
      </w:r>
      <w:hyperlink r:id="rId12" w:tooltip="View LawCiteRecord" w:history="1">
        <w:r w:rsidRPr="00EC1274">
          <w:rPr>
            <w:rStyle w:val="Hyperlink"/>
            <w:rFonts w:ascii="Arial" w:hAnsi="Arial" w:cs="Arial"/>
            <w:bCs/>
            <w:color w:val="auto"/>
            <w:sz w:val="20"/>
            <w:szCs w:val="20"/>
            <w:u w:val="none"/>
          </w:rPr>
          <w:t>1948 (3) SA 1067</w:t>
        </w:r>
      </w:hyperlink>
      <w:r w:rsidRPr="00EC1274">
        <w:rPr>
          <w:rStyle w:val="apple-converted-space"/>
          <w:rFonts w:ascii="Arial" w:hAnsi="Arial" w:cs="Arial"/>
          <w:sz w:val="20"/>
        </w:rPr>
        <w:t> </w:t>
      </w:r>
      <w:r w:rsidRPr="00EC1274">
        <w:rPr>
          <w:rFonts w:ascii="Arial" w:hAnsi="Arial" w:cs="Arial"/>
          <w:sz w:val="20"/>
          <w:szCs w:val="20"/>
        </w:rPr>
        <w:t>(C) at 1090</w:t>
      </w:r>
    </w:p>
  </w:footnote>
  <w:footnote w:id="12">
    <w:p w14:paraId="0FD1F319" w14:textId="77777777" w:rsidR="00D1210E" w:rsidRPr="00EC1274" w:rsidRDefault="00D1210E" w:rsidP="005F4D98">
      <w:pPr>
        <w:ind w:left="567" w:hanging="567"/>
        <w:rPr>
          <w:rFonts w:ascii="Arial" w:hAnsi="Arial" w:cs="Arial"/>
          <w:sz w:val="20"/>
          <w:szCs w:val="20"/>
        </w:rPr>
      </w:pPr>
      <w:r w:rsidRPr="00EC1274">
        <w:rPr>
          <w:rStyle w:val="FootnoteReference"/>
          <w:rFonts w:ascii="Arial" w:hAnsi="Arial" w:cs="Arial"/>
          <w:sz w:val="20"/>
          <w:szCs w:val="20"/>
        </w:rPr>
        <w:footnoteRef/>
      </w:r>
      <w:r w:rsidRPr="00EC1274">
        <w:rPr>
          <w:rFonts w:ascii="Arial" w:hAnsi="Arial" w:cs="Arial"/>
          <w:sz w:val="20"/>
          <w:szCs w:val="20"/>
        </w:rPr>
        <w:t xml:space="preserve"> </w:t>
      </w:r>
      <w:r w:rsidRPr="00EC1274">
        <w:rPr>
          <w:rFonts w:ascii="Arial" w:hAnsi="Arial" w:cs="Arial"/>
          <w:sz w:val="20"/>
          <w:szCs w:val="20"/>
        </w:rPr>
        <w:tab/>
      </w:r>
      <w:r w:rsidRPr="00EC1274">
        <w:rPr>
          <w:rFonts w:ascii="Arial" w:hAnsi="Arial" w:cs="Arial"/>
          <w:i/>
          <w:sz w:val="20"/>
          <w:szCs w:val="20"/>
        </w:rPr>
        <w:t>Richter v Town Council of Bloemfontein</w:t>
      </w:r>
      <w:r w:rsidRPr="00EC1274">
        <w:rPr>
          <w:rStyle w:val="apple-converted-space"/>
          <w:rFonts w:ascii="Arial" w:hAnsi="Arial" w:cs="Arial"/>
          <w:sz w:val="20"/>
        </w:rPr>
        <w:t> </w:t>
      </w:r>
      <w:hyperlink r:id="rId13" w:tooltip="View LawCiteRecord" w:history="1">
        <w:r w:rsidRPr="00EC1274">
          <w:rPr>
            <w:rStyle w:val="Hyperlink"/>
            <w:rFonts w:ascii="Arial" w:hAnsi="Arial" w:cs="Arial"/>
            <w:bCs/>
            <w:color w:val="auto"/>
            <w:sz w:val="20"/>
            <w:szCs w:val="20"/>
            <w:u w:val="none"/>
          </w:rPr>
          <w:t>1920 OPD 172</w:t>
        </w:r>
      </w:hyperlink>
      <w:r w:rsidRPr="00EC1274">
        <w:rPr>
          <w:rStyle w:val="apple-converted-space"/>
          <w:rFonts w:ascii="Arial" w:hAnsi="Arial" w:cs="Arial"/>
          <w:sz w:val="20"/>
        </w:rPr>
        <w:t> </w:t>
      </w:r>
      <w:r w:rsidRPr="00EC1274">
        <w:rPr>
          <w:rFonts w:ascii="Arial" w:hAnsi="Arial" w:cs="Arial"/>
          <w:sz w:val="20"/>
          <w:szCs w:val="20"/>
        </w:rPr>
        <w:t>at 173</w:t>
      </w:r>
      <w:r>
        <w:rPr>
          <w:rFonts w:ascii="Arial" w:hAnsi="Arial" w:cs="Arial"/>
          <w:sz w:val="20"/>
          <w:szCs w:val="20"/>
        </w:rPr>
        <w:t xml:space="preserve"> to 174</w:t>
      </w:r>
    </w:p>
    <w:p w14:paraId="0467CCF8" w14:textId="77777777" w:rsidR="00D1210E" w:rsidRPr="008F5BC8" w:rsidRDefault="00D1210E" w:rsidP="005F4D98">
      <w:pPr>
        <w:ind w:left="567" w:hanging="567"/>
        <w:rPr>
          <w:rFonts w:ascii="Arial" w:hAnsi="Arial" w:cs="Arial"/>
          <w:sz w:val="20"/>
          <w:szCs w:val="20"/>
        </w:rPr>
      </w:pPr>
    </w:p>
    <w:p w14:paraId="1D2EF321" w14:textId="77777777" w:rsidR="00D1210E" w:rsidRPr="00125715" w:rsidRDefault="00D1210E" w:rsidP="005F4D98">
      <w:pPr>
        <w:pStyle w:val="FootnoteText"/>
        <w:rPr>
          <w:rFonts w:ascii="Arial" w:hAnsi="Arial" w:cs="Arial"/>
        </w:rPr>
      </w:pPr>
    </w:p>
  </w:footnote>
  <w:footnote w:id="13">
    <w:p w14:paraId="099581F4" w14:textId="4DF300EE" w:rsidR="0075603F" w:rsidRPr="0075603F" w:rsidRDefault="0075603F" w:rsidP="0075603F">
      <w:pPr>
        <w:pStyle w:val="FootnoteText"/>
        <w:ind w:left="709" w:hanging="709"/>
        <w:rPr>
          <w:rFonts w:ascii="Arial" w:hAnsi="Arial" w:cs="Arial"/>
          <w:lang w:val="en-US"/>
        </w:rPr>
      </w:pPr>
      <w:r w:rsidRPr="0075603F">
        <w:rPr>
          <w:rStyle w:val="FootnoteReference"/>
          <w:rFonts w:ascii="Arial" w:hAnsi="Arial" w:cs="Arial"/>
        </w:rPr>
        <w:footnoteRef/>
      </w:r>
      <w:r w:rsidRPr="0075603F">
        <w:rPr>
          <w:rFonts w:ascii="Arial" w:hAnsi="Arial" w:cs="Arial"/>
        </w:rPr>
        <w:t xml:space="preserve"> </w:t>
      </w:r>
      <w:r w:rsidRPr="0075603F">
        <w:rPr>
          <w:rFonts w:ascii="Arial" w:hAnsi="Arial" w:cs="Arial"/>
          <w:lang w:val="en-US"/>
        </w:rPr>
        <w:tab/>
      </w:r>
      <w:r w:rsidRPr="0075603F">
        <w:rPr>
          <w:rFonts w:ascii="Arial" w:hAnsi="Arial" w:cs="Arial"/>
          <w:i/>
          <w:lang w:val="en-US"/>
        </w:rPr>
        <w:t>Rand Air (Pty) Ltd v Ray Bester Investments (Pty) Ltd</w:t>
      </w:r>
      <w:r>
        <w:rPr>
          <w:rFonts w:ascii="Arial" w:hAnsi="Arial" w:cs="Arial"/>
          <w:lang w:val="en-US"/>
        </w:rPr>
        <w:t xml:space="preserve"> 1985 (2) SA 345 (WLD) at 350C – 351B</w:t>
      </w:r>
    </w:p>
  </w:footnote>
  <w:footnote w:id="14">
    <w:p w14:paraId="12298D62" w14:textId="4395E1DC" w:rsidR="0075603F" w:rsidRPr="0075603F" w:rsidRDefault="0075603F">
      <w:pPr>
        <w:pStyle w:val="FootnoteText"/>
        <w:rPr>
          <w:rFonts w:ascii="Arial" w:hAnsi="Arial" w:cs="Arial"/>
          <w:lang w:val="en-US"/>
        </w:rPr>
      </w:pPr>
      <w:r w:rsidRPr="0075603F">
        <w:rPr>
          <w:rStyle w:val="FootnoteReference"/>
          <w:rFonts w:ascii="Arial" w:hAnsi="Arial" w:cs="Arial"/>
        </w:rPr>
        <w:footnoteRef/>
      </w:r>
      <w:r w:rsidRPr="0075603F">
        <w:rPr>
          <w:rFonts w:ascii="Arial" w:hAnsi="Arial" w:cs="Arial"/>
        </w:rPr>
        <w:t xml:space="preserve"> </w:t>
      </w:r>
      <w:r w:rsidRPr="0075603F">
        <w:rPr>
          <w:rFonts w:ascii="Arial" w:hAnsi="Arial" w:cs="Arial"/>
          <w:lang w:val="en-US"/>
        </w:rPr>
        <w:tab/>
      </w:r>
      <w:r>
        <w:rPr>
          <w:rFonts w:ascii="Arial" w:hAnsi="Arial" w:cs="Arial"/>
          <w:lang w:val="en-US"/>
        </w:rPr>
        <w:t>Rand Air, a</w:t>
      </w:r>
      <w:r w:rsidRPr="0075603F">
        <w:rPr>
          <w:rFonts w:ascii="Arial" w:hAnsi="Arial" w:cs="Arial"/>
          <w:lang w:val="en-US"/>
        </w:rPr>
        <w:t>bove p 350I – 350J</w:t>
      </w:r>
    </w:p>
  </w:footnote>
  <w:footnote w:id="15">
    <w:p w14:paraId="1E9C0D2D" w14:textId="77777777" w:rsidR="0075603F" w:rsidRPr="004531AC" w:rsidRDefault="0075603F" w:rsidP="0075603F">
      <w:pPr>
        <w:autoSpaceDE w:val="0"/>
        <w:autoSpaceDN w:val="0"/>
        <w:adjustRightInd w:val="0"/>
        <w:ind w:left="720" w:hanging="720"/>
        <w:rPr>
          <w:rFonts w:ascii="Arial" w:hAnsi="Arial" w:cs="Arial"/>
          <w:sz w:val="20"/>
          <w:szCs w:val="20"/>
          <w:lang w:val="en-US"/>
        </w:rPr>
      </w:pPr>
      <w:r w:rsidRPr="004531AC">
        <w:rPr>
          <w:rStyle w:val="FootnoteReference"/>
          <w:rFonts w:ascii="Arial" w:hAnsi="Arial" w:cs="Arial"/>
          <w:sz w:val="20"/>
          <w:szCs w:val="20"/>
        </w:rPr>
        <w:footnoteRef/>
      </w:r>
      <w:r w:rsidRPr="004531AC">
        <w:rPr>
          <w:rFonts w:ascii="Arial" w:hAnsi="Arial" w:cs="Arial"/>
          <w:sz w:val="20"/>
          <w:szCs w:val="20"/>
        </w:rPr>
        <w:t xml:space="preserve"> </w:t>
      </w:r>
      <w:r w:rsidRPr="004531AC">
        <w:rPr>
          <w:rFonts w:ascii="Arial" w:hAnsi="Arial" w:cs="Arial"/>
          <w:sz w:val="20"/>
          <w:szCs w:val="20"/>
          <w:lang w:val="en-US"/>
        </w:rPr>
        <w:tab/>
      </w:r>
      <w:r w:rsidRPr="006D3A4A">
        <w:rPr>
          <w:rFonts w:ascii="Arial" w:hAnsi="Arial" w:cs="Arial"/>
          <w:i/>
          <w:sz w:val="20"/>
          <w:szCs w:val="20"/>
          <w:lang w:val="en-US"/>
        </w:rPr>
        <w:t>African Christian Democratic Party v Electoral Commission and Others</w:t>
      </w:r>
      <w:r w:rsidRPr="004531AC">
        <w:rPr>
          <w:rFonts w:ascii="Arial" w:hAnsi="Arial" w:cs="Arial"/>
          <w:sz w:val="20"/>
          <w:szCs w:val="20"/>
          <w:lang w:val="en-US"/>
        </w:rPr>
        <w:t xml:space="preserve"> 2006 (3) SA 305 (CC) at paras 21, 25, 28 and 31; </w:t>
      </w:r>
      <w:r w:rsidRPr="006D3A4A">
        <w:rPr>
          <w:rFonts w:ascii="Arial" w:hAnsi="Arial" w:cs="Arial"/>
          <w:i/>
          <w:sz w:val="20"/>
          <w:szCs w:val="20"/>
          <w:lang w:val="en-US"/>
        </w:rPr>
        <w:t>Daniels v Campbell NO and Others</w:t>
      </w:r>
      <w:r w:rsidRPr="004531AC">
        <w:rPr>
          <w:rFonts w:ascii="Arial" w:hAnsi="Arial" w:cs="Arial"/>
          <w:sz w:val="20"/>
          <w:szCs w:val="20"/>
          <w:lang w:val="en-US"/>
        </w:rPr>
        <w:t xml:space="preserve"> 2004 (5) SA 331 (CC)</w:t>
      </w:r>
      <w:r>
        <w:rPr>
          <w:rFonts w:ascii="Arial" w:hAnsi="Arial" w:cs="Arial"/>
          <w:sz w:val="20"/>
          <w:szCs w:val="20"/>
          <w:lang w:val="en-US"/>
        </w:rPr>
        <w:t xml:space="preserve"> </w:t>
      </w:r>
      <w:r w:rsidRPr="004531AC">
        <w:rPr>
          <w:rFonts w:ascii="Arial" w:hAnsi="Arial" w:cs="Arial"/>
          <w:sz w:val="20"/>
          <w:szCs w:val="20"/>
          <w:lang w:val="en-US"/>
        </w:rPr>
        <w:t xml:space="preserve">at paras 22-3; </w:t>
      </w:r>
      <w:r w:rsidRPr="006D3A4A">
        <w:rPr>
          <w:rFonts w:ascii="Arial" w:hAnsi="Arial" w:cs="Arial"/>
          <w:i/>
          <w:sz w:val="20"/>
          <w:szCs w:val="20"/>
          <w:lang w:val="en-US"/>
        </w:rPr>
        <w:t>Stopforth v Minister of Justice and Others; Veenendaal v Minister of Justice and Others 2000</w:t>
      </w:r>
      <w:r w:rsidRPr="004531AC">
        <w:rPr>
          <w:rFonts w:ascii="Arial" w:hAnsi="Arial" w:cs="Arial"/>
          <w:sz w:val="20"/>
          <w:szCs w:val="20"/>
          <w:lang w:val="en-US"/>
        </w:rPr>
        <w:t xml:space="preserve"> (1) SA 113 (SCA) at para 21</w:t>
      </w:r>
    </w:p>
  </w:footnote>
  <w:footnote w:id="16">
    <w:p w14:paraId="63B228F3" w14:textId="77777777" w:rsidR="0075603F" w:rsidRPr="004531AC" w:rsidRDefault="0075603F" w:rsidP="0075603F">
      <w:pPr>
        <w:pStyle w:val="FootnoteText"/>
        <w:rPr>
          <w:rFonts w:ascii="Arial" w:hAnsi="Arial" w:cs="Arial"/>
          <w:lang w:val="en-US"/>
        </w:rPr>
      </w:pPr>
      <w:r w:rsidRPr="004531AC">
        <w:rPr>
          <w:rStyle w:val="FootnoteReference"/>
          <w:rFonts w:ascii="Arial" w:hAnsi="Arial" w:cs="Arial"/>
        </w:rPr>
        <w:footnoteRef/>
      </w:r>
      <w:r w:rsidRPr="004531AC">
        <w:rPr>
          <w:rFonts w:ascii="Arial" w:hAnsi="Arial" w:cs="Arial"/>
        </w:rPr>
        <w:t xml:space="preserve"> </w:t>
      </w:r>
      <w:r w:rsidRPr="004531AC">
        <w:rPr>
          <w:rFonts w:ascii="Arial" w:hAnsi="Arial" w:cs="Arial"/>
          <w:lang w:val="en-US"/>
        </w:rPr>
        <w:tab/>
        <w:t>2004 (4) SA 490 (CC)</w:t>
      </w:r>
    </w:p>
  </w:footnote>
  <w:footnote w:id="17">
    <w:p w14:paraId="44D9D58F" w14:textId="77777777" w:rsidR="0075603F" w:rsidRPr="001935B3" w:rsidRDefault="0075603F" w:rsidP="0075603F">
      <w:pPr>
        <w:autoSpaceDE w:val="0"/>
        <w:autoSpaceDN w:val="0"/>
        <w:adjustRightInd w:val="0"/>
        <w:ind w:left="709" w:hanging="709"/>
        <w:rPr>
          <w:rFonts w:ascii="Arial" w:hAnsi="Arial" w:cs="Arial"/>
          <w:sz w:val="20"/>
          <w:szCs w:val="20"/>
          <w:lang w:val="en-US"/>
        </w:rPr>
      </w:pPr>
      <w:r w:rsidRPr="004531AC">
        <w:rPr>
          <w:rStyle w:val="FootnoteReference"/>
          <w:rFonts w:ascii="Arial" w:hAnsi="Arial" w:cs="Arial"/>
          <w:sz w:val="20"/>
          <w:szCs w:val="20"/>
        </w:rPr>
        <w:footnoteRef/>
      </w:r>
      <w:r w:rsidRPr="004531AC">
        <w:rPr>
          <w:rFonts w:ascii="Arial" w:hAnsi="Arial" w:cs="Arial"/>
          <w:sz w:val="20"/>
          <w:szCs w:val="20"/>
        </w:rPr>
        <w:t xml:space="preserve"> </w:t>
      </w:r>
      <w:r w:rsidRPr="004531AC">
        <w:rPr>
          <w:rFonts w:ascii="Arial" w:hAnsi="Arial" w:cs="Arial"/>
          <w:sz w:val="20"/>
          <w:szCs w:val="20"/>
          <w:lang w:val="en-US"/>
        </w:rPr>
        <w:tab/>
      </w:r>
      <w:r w:rsidRPr="004531AC">
        <w:rPr>
          <w:rFonts w:ascii="Arial" w:hAnsi="Arial" w:cs="Arial"/>
          <w:i/>
          <w:sz w:val="20"/>
          <w:szCs w:val="20"/>
          <w:lang w:val="en-US"/>
        </w:rPr>
        <w:t>University of Cape Town v Cape Bar Council and Another</w:t>
      </w:r>
      <w:r w:rsidRPr="004531AC">
        <w:rPr>
          <w:rFonts w:ascii="Arial" w:hAnsi="Arial" w:cs="Arial"/>
          <w:sz w:val="20"/>
          <w:szCs w:val="20"/>
          <w:lang w:val="en-US"/>
        </w:rPr>
        <w:t xml:space="preserve"> 1986 (4) SA 903 (AD); </w:t>
      </w:r>
      <w:r w:rsidRPr="004531AC">
        <w:rPr>
          <w:rFonts w:ascii="Arial" w:hAnsi="Arial" w:cs="Arial"/>
          <w:i/>
          <w:sz w:val="20"/>
          <w:szCs w:val="20"/>
          <w:lang w:val="en-US"/>
        </w:rPr>
        <w:t>Jaga v Dönges NO and Another; Bhana v Dönges NO and Another</w:t>
      </w:r>
      <w:r w:rsidRPr="004531AC">
        <w:rPr>
          <w:rFonts w:ascii="Arial" w:hAnsi="Arial" w:cs="Arial"/>
          <w:sz w:val="20"/>
          <w:szCs w:val="20"/>
          <w:lang w:val="en-US"/>
        </w:rPr>
        <w:t xml:space="preserve"> 1950 (4) SA 653 (A) at 662-3</w:t>
      </w:r>
    </w:p>
  </w:footnote>
  <w:footnote w:id="18">
    <w:p w14:paraId="73E29C46" w14:textId="77777777" w:rsidR="0075603F" w:rsidRPr="001935B3" w:rsidRDefault="0075603F" w:rsidP="0075603F">
      <w:pPr>
        <w:pStyle w:val="FootnoteText"/>
        <w:rPr>
          <w:rFonts w:ascii="Arial" w:hAnsi="Arial" w:cs="Arial"/>
          <w:lang w:val="en-US"/>
        </w:rPr>
      </w:pPr>
      <w:r w:rsidRPr="001935B3">
        <w:rPr>
          <w:rStyle w:val="FootnoteReference"/>
          <w:rFonts w:ascii="Arial" w:hAnsi="Arial" w:cs="Arial"/>
        </w:rPr>
        <w:footnoteRef/>
      </w:r>
      <w:r w:rsidRPr="001935B3">
        <w:rPr>
          <w:rFonts w:ascii="Arial" w:hAnsi="Arial" w:cs="Arial"/>
        </w:rPr>
        <w:t xml:space="preserve"> </w:t>
      </w:r>
      <w:r w:rsidRPr="001935B3">
        <w:rPr>
          <w:rFonts w:ascii="Arial" w:hAnsi="Arial" w:cs="Arial"/>
          <w:lang w:val="en-US"/>
        </w:rPr>
        <w:tab/>
        <w:t>Thornton Legislative Drafting 4ed (1996) at 155 cited in JR de Ville</w:t>
      </w:r>
    </w:p>
  </w:footnote>
  <w:footnote w:id="19">
    <w:p w14:paraId="579214A7" w14:textId="77777777" w:rsidR="0075603F" w:rsidRPr="001935B3" w:rsidRDefault="0075603F" w:rsidP="0075603F">
      <w:pPr>
        <w:pStyle w:val="FootnoteText"/>
        <w:rPr>
          <w:rFonts w:ascii="Arial" w:hAnsi="Arial" w:cs="Arial"/>
          <w:lang w:val="en-US"/>
        </w:rPr>
      </w:pPr>
      <w:r w:rsidRPr="001935B3">
        <w:rPr>
          <w:rStyle w:val="FootnoteReference"/>
          <w:rFonts w:ascii="Arial" w:hAnsi="Arial" w:cs="Arial"/>
        </w:rPr>
        <w:footnoteRef/>
      </w:r>
      <w:r w:rsidRPr="001935B3">
        <w:rPr>
          <w:rFonts w:ascii="Arial" w:hAnsi="Arial" w:cs="Arial"/>
        </w:rPr>
        <w:t xml:space="preserve"> </w:t>
      </w:r>
      <w:r w:rsidRPr="001935B3">
        <w:rPr>
          <w:rFonts w:ascii="Arial" w:hAnsi="Arial" w:cs="Arial"/>
          <w:lang w:val="en-US"/>
        </w:rPr>
        <w:tab/>
        <w:t>Above</w:t>
      </w:r>
      <w:r>
        <w:rPr>
          <w:rFonts w:ascii="Arial" w:hAnsi="Arial" w:cs="Arial"/>
          <w:lang w:val="en-US"/>
        </w:rPr>
        <w:t>, n 15</w:t>
      </w:r>
    </w:p>
  </w:footnote>
  <w:footnote w:id="20">
    <w:p w14:paraId="1A2F21D0" w14:textId="77777777" w:rsidR="0075603F" w:rsidRPr="006F36BA" w:rsidRDefault="0075603F" w:rsidP="0075603F">
      <w:pPr>
        <w:pStyle w:val="Heading2"/>
        <w:spacing w:before="0"/>
        <w:rPr>
          <w:rFonts w:ascii="Arial" w:hAnsi="Arial" w:cs="Arial"/>
          <w:color w:val="auto"/>
          <w:sz w:val="20"/>
          <w:szCs w:val="20"/>
        </w:rPr>
      </w:pPr>
      <w:r w:rsidRPr="009760FC">
        <w:rPr>
          <w:rStyle w:val="FootnoteReference"/>
          <w:rFonts w:ascii="Arial" w:hAnsi="Arial" w:cs="Arial"/>
          <w:color w:val="auto"/>
          <w:sz w:val="20"/>
          <w:szCs w:val="20"/>
        </w:rPr>
        <w:footnoteRef/>
      </w:r>
      <w:r w:rsidRPr="009760FC">
        <w:rPr>
          <w:rFonts w:ascii="Arial" w:hAnsi="Arial" w:cs="Arial"/>
          <w:color w:val="auto"/>
          <w:sz w:val="20"/>
          <w:szCs w:val="20"/>
        </w:rPr>
        <w:t xml:space="preserve"> </w:t>
      </w:r>
      <w:r w:rsidRPr="009760FC">
        <w:rPr>
          <w:rFonts w:ascii="Arial" w:hAnsi="Arial" w:cs="Arial"/>
          <w:color w:val="auto"/>
          <w:sz w:val="20"/>
          <w:szCs w:val="20"/>
          <w:lang w:val="en-US"/>
        </w:rPr>
        <w:tab/>
      </w:r>
      <w:r>
        <w:rPr>
          <w:rFonts w:ascii="Arial" w:hAnsi="Arial" w:cs="Arial"/>
          <w:bCs/>
          <w:color w:val="auto"/>
          <w:sz w:val="20"/>
          <w:szCs w:val="20"/>
        </w:rPr>
        <w:t>Above, n 14</w:t>
      </w:r>
    </w:p>
  </w:footnote>
  <w:footnote w:id="21">
    <w:p w14:paraId="1D30E58E" w14:textId="77777777" w:rsidR="0075603F" w:rsidRPr="001935B3" w:rsidRDefault="0075603F" w:rsidP="0075603F">
      <w:pPr>
        <w:pStyle w:val="FootnoteText"/>
        <w:rPr>
          <w:rFonts w:ascii="Arial" w:hAnsi="Arial" w:cs="Arial"/>
          <w:lang w:val="en-US"/>
        </w:rPr>
      </w:pPr>
      <w:r w:rsidRPr="001935B3">
        <w:rPr>
          <w:rStyle w:val="FootnoteReference"/>
          <w:rFonts w:ascii="Arial" w:hAnsi="Arial" w:cs="Arial"/>
        </w:rPr>
        <w:footnoteRef/>
      </w:r>
      <w:r w:rsidRPr="001935B3">
        <w:rPr>
          <w:rFonts w:ascii="Arial" w:hAnsi="Arial" w:cs="Arial"/>
        </w:rPr>
        <w:t xml:space="preserve"> </w:t>
      </w:r>
      <w:r w:rsidRPr="001935B3">
        <w:rPr>
          <w:rFonts w:ascii="Arial" w:hAnsi="Arial" w:cs="Arial"/>
          <w:lang w:val="en-US"/>
        </w:rPr>
        <w:tab/>
      </w:r>
      <w:r w:rsidRPr="001935B3">
        <w:rPr>
          <w:rFonts w:ascii="Arial" w:hAnsi="Arial" w:cs="Arial"/>
          <w:i/>
          <w:lang w:val="en-US"/>
        </w:rPr>
        <w:t>Jaga v Dönges</w:t>
      </w:r>
      <w:r w:rsidRPr="001935B3">
        <w:rPr>
          <w:rFonts w:ascii="Arial" w:hAnsi="Arial" w:cs="Arial"/>
          <w:lang w:val="en-US"/>
        </w:rPr>
        <w:t xml:space="preserve"> above at 662G-H</w:t>
      </w:r>
    </w:p>
  </w:footnote>
  <w:footnote w:id="22">
    <w:p w14:paraId="77E34CE1" w14:textId="77777777" w:rsidR="0075603F" w:rsidRPr="00C23089" w:rsidRDefault="0075603F" w:rsidP="0075603F">
      <w:pPr>
        <w:pStyle w:val="FootnoteText"/>
        <w:rPr>
          <w:rFonts w:ascii="Arial" w:hAnsi="Arial" w:cs="Arial"/>
          <w:lang w:val="en-US"/>
        </w:rPr>
      </w:pPr>
      <w:r w:rsidRPr="00C23089">
        <w:rPr>
          <w:rStyle w:val="FootnoteReference"/>
          <w:rFonts w:ascii="Arial" w:hAnsi="Arial" w:cs="Arial"/>
        </w:rPr>
        <w:footnoteRef/>
      </w:r>
      <w:r w:rsidRPr="00C23089">
        <w:rPr>
          <w:rFonts w:ascii="Arial" w:hAnsi="Arial" w:cs="Arial"/>
        </w:rPr>
        <w:t xml:space="preserve"> </w:t>
      </w:r>
      <w:r w:rsidRPr="00C23089">
        <w:rPr>
          <w:rFonts w:ascii="Arial" w:hAnsi="Arial" w:cs="Arial"/>
          <w:lang w:val="en-US"/>
        </w:rPr>
        <w:tab/>
      </w:r>
      <w:r w:rsidRPr="00C23089">
        <w:rPr>
          <w:rFonts w:ascii="Arial" w:hAnsi="Arial" w:cs="Arial"/>
          <w:i/>
          <w:lang w:val="en-US"/>
        </w:rPr>
        <w:t>Bertie Van Zyl</w:t>
      </w:r>
      <w:r w:rsidRPr="00C23089">
        <w:rPr>
          <w:rFonts w:ascii="Arial" w:hAnsi="Arial" w:cs="Arial"/>
          <w:lang w:val="en-US"/>
        </w:rPr>
        <w:t xml:space="preserve"> </w:t>
      </w:r>
      <w:r>
        <w:rPr>
          <w:rFonts w:ascii="Arial" w:hAnsi="Arial" w:cs="Arial"/>
          <w:lang w:val="en-US"/>
        </w:rPr>
        <w:t>a</w:t>
      </w:r>
      <w:r w:rsidRPr="00C23089">
        <w:rPr>
          <w:rFonts w:ascii="Arial" w:hAnsi="Arial" w:cs="Arial"/>
          <w:lang w:val="en-US"/>
        </w:rPr>
        <w:t>bove at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35880347"/>
      <w:docPartObj>
        <w:docPartGallery w:val="Page Numbers (Top of Page)"/>
        <w:docPartUnique/>
      </w:docPartObj>
    </w:sdtPr>
    <w:sdtEndPr>
      <w:rPr>
        <w:rStyle w:val="PageNumber"/>
      </w:rPr>
    </w:sdtEndPr>
    <w:sdtContent>
      <w:p w14:paraId="05BA643F" w14:textId="727C5B86" w:rsidR="0075603F" w:rsidRDefault="0075603F" w:rsidP="009805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00485" w14:textId="77777777" w:rsidR="0075603F" w:rsidRDefault="0075603F" w:rsidP="007560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4880043"/>
      <w:docPartObj>
        <w:docPartGallery w:val="Page Numbers (Top of Page)"/>
        <w:docPartUnique/>
      </w:docPartObj>
    </w:sdtPr>
    <w:sdtEndPr>
      <w:rPr>
        <w:rStyle w:val="PageNumber"/>
      </w:rPr>
    </w:sdtEndPr>
    <w:sdtContent>
      <w:p w14:paraId="1DFFA710" w14:textId="7308045D" w:rsidR="0075603F" w:rsidRDefault="0075603F" w:rsidP="009805D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19F0">
          <w:rPr>
            <w:rStyle w:val="PageNumber"/>
            <w:noProof/>
          </w:rPr>
          <w:t>3</w:t>
        </w:r>
        <w:r>
          <w:rPr>
            <w:rStyle w:val="PageNumber"/>
          </w:rPr>
          <w:fldChar w:fldCharType="end"/>
        </w:r>
      </w:p>
    </w:sdtContent>
  </w:sdt>
  <w:p w14:paraId="641BEA7D" w14:textId="77777777" w:rsidR="0075603F" w:rsidRDefault="0075603F" w:rsidP="0075603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6D31"/>
    <w:multiLevelType w:val="multilevel"/>
    <w:tmpl w:val="873EB6B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3.%2..1"/>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8067E4"/>
    <w:multiLevelType w:val="hybridMultilevel"/>
    <w:tmpl w:val="D29E7AB2"/>
    <w:lvl w:ilvl="0" w:tplc="980A4FA4">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D814C85"/>
    <w:multiLevelType w:val="hybridMultilevel"/>
    <w:tmpl w:val="2094273C"/>
    <w:lvl w:ilvl="0" w:tplc="AC803B66">
      <w:start w:val="1"/>
      <w:numFmt w:val="lowerLetter"/>
      <w:lvlText w:val="%1)"/>
      <w:lvlJc w:val="left"/>
      <w:pPr>
        <w:ind w:left="1800" w:hanging="360"/>
      </w:pPr>
      <w:rPr>
        <w:rFonts w:hint="default"/>
        <w:color w:val="2421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2838F4"/>
    <w:multiLevelType w:val="hybridMultilevel"/>
    <w:tmpl w:val="CFE2B85A"/>
    <w:lvl w:ilvl="0" w:tplc="39DC00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111103E"/>
    <w:multiLevelType w:val="hybridMultilevel"/>
    <w:tmpl w:val="6A2A64E4"/>
    <w:lvl w:ilvl="0" w:tplc="9A0EB2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0620BD"/>
    <w:multiLevelType w:val="hybridMultilevel"/>
    <w:tmpl w:val="30048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66F02"/>
    <w:multiLevelType w:val="hybridMultilevel"/>
    <w:tmpl w:val="854E861E"/>
    <w:lvl w:ilvl="0" w:tplc="BAF840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253F68"/>
    <w:multiLevelType w:val="multilevel"/>
    <w:tmpl w:val="88CA0E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6E2126F3"/>
    <w:multiLevelType w:val="hybridMultilevel"/>
    <w:tmpl w:val="44749256"/>
    <w:lvl w:ilvl="0" w:tplc="5BAE9A0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6"/>
  </w:num>
  <w:num w:numId="6">
    <w:abstractNumId w:val="4"/>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20"/>
    <w:rsid w:val="000676A9"/>
    <w:rsid w:val="000A3438"/>
    <w:rsid w:val="001314C0"/>
    <w:rsid w:val="001516BC"/>
    <w:rsid w:val="00176883"/>
    <w:rsid w:val="001B75EC"/>
    <w:rsid w:val="001D1A12"/>
    <w:rsid w:val="002139A5"/>
    <w:rsid w:val="00221005"/>
    <w:rsid w:val="0024090C"/>
    <w:rsid w:val="00263DBB"/>
    <w:rsid w:val="002930FA"/>
    <w:rsid w:val="00294422"/>
    <w:rsid w:val="003E44AF"/>
    <w:rsid w:val="00430E57"/>
    <w:rsid w:val="00474295"/>
    <w:rsid w:val="004B424B"/>
    <w:rsid w:val="004C0CBE"/>
    <w:rsid w:val="00521714"/>
    <w:rsid w:val="00522BBA"/>
    <w:rsid w:val="00556BA5"/>
    <w:rsid w:val="005634F0"/>
    <w:rsid w:val="005912BE"/>
    <w:rsid w:val="00594722"/>
    <w:rsid w:val="005A1C24"/>
    <w:rsid w:val="005A2E11"/>
    <w:rsid w:val="005B4794"/>
    <w:rsid w:val="005B6D7D"/>
    <w:rsid w:val="005C4D20"/>
    <w:rsid w:val="005E3955"/>
    <w:rsid w:val="005F4D98"/>
    <w:rsid w:val="0062407D"/>
    <w:rsid w:val="00645B74"/>
    <w:rsid w:val="00647EE5"/>
    <w:rsid w:val="006A3042"/>
    <w:rsid w:val="006B339C"/>
    <w:rsid w:val="006C096D"/>
    <w:rsid w:val="006C697D"/>
    <w:rsid w:val="006E43BC"/>
    <w:rsid w:val="007502EB"/>
    <w:rsid w:val="0075603F"/>
    <w:rsid w:val="007A41FB"/>
    <w:rsid w:val="007E16D3"/>
    <w:rsid w:val="008C07AC"/>
    <w:rsid w:val="00953C91"/>
    <w:rsid w:val="00966F21"/>
    <w:rsid w:val="00A24ADA"/>
    <w:rsid w:val="00A50B4C"/>
    <w:rsid w:val="00A93EBF"/>
    <w:rsid w:val="00AB7F4C"/>
    <w:rsid w:val="00AD66FC"/>
    <w:rsid w:val="00B60687"/>
    <w:rsid w:val="00B65274"/>
    <w:rsid w:val="00B86C14"/>
    <w:rsid w:val="00BA6D7B"/>
    <w:rsid w:val="00C47CDE"/>
    <w:rsid w:val="00C76035"/>
    <w:rsid w:val="00CA5650"/>
    <w:rsid w:val="00D1210E"/>
    <w:rsid w:val="00D21B5F"/>
    <w:rsid w:val="00D2665E"/>
    <w:rsid w:val="00D919F0"/>
    <w:rsid w:val="00DC4974"/>
    <w:rsid w:val="00DD48DF"/>
    <w:rsid w:val="00DD4EE3"/>
    <w:rsid w:val="00DE4530"/>
    <w:rsid w:val="00DF26F3"/>
    <w:rsid w:val="00E33953"/>
    <w:rsid w:val="00E422F9"/>
    <w:rsid w:val="00E528B5"/>
    <w:rsid w:val="00E62D61"/>
    <w:rsid w:val="00E73A6B"/>
    <w:rsid w:val="00EC73D6"/>
    <w:rsid w:val="00F2097E"/>
    <w:rsid w:val="00FE69B2"/>
    <w:rsid w:val="00FF274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1B23"/>
  <w15:chartTrackingRefBased/>
  <w15:docId w15:val="{A4B61BAA-02D8-D64B-9105-F646300C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87"/>
    <w:rPr>
      <w:rFonts w:ascii="Times New Roman" w:eastAsia="Times New Roman" w:hAnsi="Times New Roman" w:cs="Times New Roman"/>
    </w:rPr>
  </w:style>
  <w:style w:type="paragraph" w:styleId="Heading1">
    <w:name w:val="heading 1"/>
    <w:basedOn w:val="Normal"/>
    <w:next w:val="Normal"/>
    <w:link w:val="Heading1Char"/>
    <w:qFormat/>
    <w:rsid w:val="005C4D20"/>
    <w:pPr>
      <w:keepNext/>
      <w:widowControl w:val="0"/>
      <w:numPr>
        <w:ilvl w:val="12"/>
      </w:numPr>
      <w:tabs>
        <w:tab w:val="left" w:pos="-1440"/>
        <w:tab w:val="left" w:pos="-720"/>
        <w:tab w:val="left" w:pos="38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right"/>
      <w:outlineLvl w:val="0"/>
    </w:pPr>
    <w:rPr>
      <w:rFonts w:ascii="Arial" w:hAnsi="Arial" w:cs="Arial"/>
      <w:lang w:val="en-US"/>
    </w:rPr>
  </w:style>
  <w:style w:type="paragraph" w:styleId="Heading2">
    <w:name w:val="heading 2"/>
    <w:basedOn w:val="Normal"/>
    <w:next w:val="Normal"/>
    <w:link w:val="Heading2Char"/>
    <w:uiPriority w:val="9"/>
    <w:semiHidden/>
    <w:unhideWhenUsed/>
    <w:qFormat/>
    <w:rsid w:val="000676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4D20"/>
    <w:rPr>
      <w:rFonts w:ascii="Arial" w:eastAsia="Times New Roman" w:hAnsi="Arial" w:cs="Arial"/>
      <w:lang w:val="en-US"/>
    </w:rPr>
  </w:style>
  <w:style w:type="paragraph" w:styleId="ListParagraph">
    <w:name w:val="List Paragraph"/>
    <w:basedOn w:val="Normal"/>
    <w:uiPriority w:val="34"/>
    <w:qFormat/>
    <w:rsid w:val="005C4D20"/>
    <w:pPr>
      <w:ind w:left="720"/>
      <w:contextualSpacing/>
    </w:pPr>
  </w:style>
  <w:style w:type="paragraph" w:styleId="Title">
    <w:name w:val="Title"/>
    <w:basedOn w:val="Normal"/>
    <w:link w:val="TitleChar"/>
    <w:uiPriority w:val="10"/>
    <w:qFormat/>
    <w:rsid w:val="005C4D20"/>
    <w:pPr>
      <w:spacing w:line="480" w:lineRule="auto"/>
      <w:jc w:val="center"/>
    </w:pPr>
    <w:rPr>
      <w:rFonts w:ascii="Arial" w:hAnsi="Arial" w:cs="Arial"/>
      <w:b/>
      <w:bCs/>
      <w:lang w:val="en-US"/>
    </w:rPr>
  </w:style>
  <w:style w:type="character" w:customStyle="1" w:styleId="TitleChar">
    <w:name w:val="Title Char"/>
    <w:basedOn w:val="DefaultParagraphFont"/>
    <w:link w:val="Title"/>
    <w:uiPriority w:val="10"/>
    <w:rsid w:val="005C4D20"/>
    <w:rPr>
      <w:rFonts w:ascii="Arial" w:eastAsia="Times New Roman" w:hAnsi="Arial" w:cs="Arial"/>
      <w:b/>
      <w:bCs/>
      <w:lang w:val="en-US"/>
    </w:rPr>
  </w:style>
  <w:style w:type="paragraph" w:styleId="NormalWeb">
    <w:name w:val="Normal (Web)"/>
    <w:basedOn w:val="Normal"/>
    <w:uiPriority w:val="99"/>
    <w:unhideWhenUsed/>
    <w:rsid w:val="002930FA"/>
    <w:pPr>
      <w:spacing w:before="100" w:beforeAutospacing="1" w:after="100" w:afterAutospacing="1"/>
    </w:pPr>
  </w:style>
  <w:style w:type="paragraph" w:styleId="FootnoteText">
    <w:name w:val="footnote text"/>
    <w:basedOn w:val="Normal"/>
    <w:link w:val="FootnoteTextChar"/>
    <w:unhideWhenUsed/>
    <w:rsid w:val="005912BE"/>
    <w:rPr>
      <w:sz w:val="20"/>
      <w:szCs w:val="20"/>
    </w:rPr>
  </w:style>
  <w:style w:type="character" w:customStyle="1" w:styleId="FootnoteTextChar">
    <w:name w:val="Footnote Text Char"/>
    <w:basedOn w:val="DefaultParagraphFont"/>
    <w:link w:val="FootnoteText"/>
    <w:rsid w:val="005912BE"/>
    <w:rPr>
      <w:sz w:val="20"/>
      <w:szCs w:val="20"/>
    </w:rPr>
  </w:style>
  <w:style w:type="character" w:styleId="FootnoteReference">
    <w:name w:val="footnote reference"/>
    <w:basedOn w:val="DefaultParagraphFont"/>
    <w:unhideWhenUsed/>
    <w:rsid w:val="005912BE"/>
    <w:rPr>
      <w:vertAlign w:val="superscript"/>
    </w:rPr>
  </w:style>
  <w:style w:type="paragraph" w:customStyle="1" w:styleId="Default">
    <w:name w:val="Default"/>
    <w:rsid w:val="000A3438"/>
    <w:pPr>
      <w:autoSpaceDE w:val="0"/>
      <w:autoSpaceDN w:val="0"/>
      <w:adjustRightInd w:val="0"/>
    </w:pPr>
    <w:rPr>
      <w:rFonts w:ascii="Arial" w:hAnsi="Arial" w:cs="Arial"/>
      <w:color w:val="000000"/>
      <w:lang w:val="en-US"/>
    </w:rPr>
  </w:style>
  <w:style w:type="character" w:customStyle="1" w:styleId="apple-converted-space">
    <w:name w:val="apple-converted-space"/>
    <w:rsid w:val="005F4D98"/>
  </w:style>
  <w:style w:type="character" w:styleId="Hyperlink">
    <w:name w:val="Hyperlink"/>
    <w:uiPriority w:val="99"/>
    <w:unhideWhenUsed/>
    <w:rsid w:val="005F4D98"/>
    <w:rPr>
      <w:color w:val="0000FF"/>
      <w:u w:val="single"/>
    </w:rPr>
  </w:style>
  <w:style w:type="character" w:styleId="Emphasis">
    <w:name w:val="Emphasis"/>
    <w:basedOn w:val="DefaultParagraphFont"/>
    <w:uiPriority w:val="20"/>
    <w:qFormat/>
    <w:rsid w:val="00B60687"/>
    <w:rPr>
      <w:i/>
      <w:iCs/>
    </w:rPr>
  </w:style>
  <w:style w:type="character" w:customStyle="1" w:styleId="Heading2Char">
    <w:name w:val="Heading 2 Char"/>
    <w:basedOn w:val="DefaultParagraphFont"/>
    <w:link w:val="Heading2"/>
    <w:uiPriority w:val="9"/>
    <w:semiHidden/>
    <w:rsid w:val="000676A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603F"/>
    <w:pPr>
      <w:tabs>
        <w:tab w:val="center" w:pos="4680"/>
        <w:tab w:val="right" w:pos="9360"/>
      </w:tabs>
    </w:pPr>
  </w:style>
  <w:style w:type="character" w:customStyle="1" w:styleId="HeaderChar">
    <w:name w:val="Header Char"/>
    <w:basedOn w:val="DefaultParagraphFont"/>
    <w:link w:val="Header"/>
    <w:uiPriority w:val="99"/>
    <w:rsid w:val="0075603F"/>
    <w:rPr>
      <w:rFonts w:ascii="Times New Roman" w:eastAsia="Times New Roman" w:hAnsi="Times New Roman" w:cs="Times New Roman"/>
    </w:rPr>
  </w:style>
  <w:style w:type="character" w:styleId="PageNumber">
    <w:name w:val="page number"/>
    <w:basedOn w:val="DefaultParagraphFont"/>
    <w:uiPriority w:val="99"/>
    <w:semiHidden/>
    <w:unhideWhenUsed/>
    <w:rsid w:val="0075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8200">
      <w:bodyDiv w:val="1"/>
      <w:marLeft w:val="0"/>
      <w:marRight w:val="0"/>
      <w:marTop w:val="0"/>
      <w:marBottom w:val="0"/>
      <w:divBdr>
        <w:top w:val="none" w:sz="0" w:space="0" w:color="auto"/>
        <w:left w:val="none" w:sz="0" w:space="0" w:color="auto"/>
        <w:bottom w:val="none" w:sz="0" w:space="0" w:color="auto"/>
        <w:right w:val="none" w:sz="0" w:space="0" w:color="auto"/>
      </w:divBdr>
      <w:divsChild>
        <w:div w:id="1852723342">
          <w:marLeft w:val="0"/>
          <w:marRight w:val="0"/>
          <w:marTop w:val="0"/>
          <w:marBottom w:val="0"/>
          <w:divBdr>
            <w:top w:val="none" w:sz="0" w:space="0" w:color="auto"/>
            <w:left w:val="none" w:sz="0" w:space="0" w:color="auto"/>
            <w:bottom w:val="none" w:sz="0" w:space="0" w:color="auto"/>
            <w:right w:val="none" w:sz="0" w:space="0" w:color="auto"/>
          </w:divBdr>
          <w:divsChild>
            <w:div w:id="892275275">
              <w:marLeft w:val="0"/>
              <w:marRight w:val="0"/>
              <w:marTop w:val="0"/>
              <w:marBottom w:val="0"/>
              <w:divBdr>
                <w:top w:val="none" w:sz="0" w:space="0" w:color="auto"/>
                <w:left w:val="none" w:sz="0" w:space="0" w:color="auto"/>
                <w:bottom w:val="none" w:sz="0" w:space="0" w:color="auto"/>
                <w:right w:val="none" w:sz="0" w:space="0" w:color="auto"/>
              </w:divBdr>
              <w:divsChild>
                <w:div w:id="6557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3468">
      <w:bodyDiv w:val="1"/>
      <w:marLeft w:val="0"/>
      <w:marRight w:val="0"/>
      <w:marTop w:val="0"/>
      <w:marBottom w:val="0"/>
      <w:divBdr>
        <w:top w:val="none" w:sz="0" w:space="0" w:color="auto"/>
        <w:left w:val="none" w:sz="0" w:space="0" w:color="auto"/>
        <w:bottom w:val="none" w:sz="0" w:space="0" w:color="auto"/>
        <w:right w:val="none" w:sz="0" w:space="0" w:color="auto"/>
      </w:divBdr>
      <w:divsChild>
        <w:div w:id="908148140">
          <w:marLeft w:val="0"/>
          <w:marRight w:val="0"/>
          <w:marTop w:val="0"/>
          <w:marBottom w:val="0"/>
          <w:divBdr>
            <w:top w:val="none" w:sz="0" w:space="0" w:color="auto"/>
            <w:left w:val="none" w:sz="0" w:space="0" w:color="auto"/>
            <w:bottom w:val="none" w:sz="0" w:space="0" w:color="auto"/>
            <w:right w:val="none" w:sz="0" w:space="0" w:color="auto"/>
          </w:divBdr>
          <w:divsChild>
            <w:div w:id="1896311180">
              <w:marLeft w:val="0"/>
              <w:marRight w:val="0"/>
              <w:marTop w:val="0"/>
              <w:marBottom w:val="0"/>
              <w:divBdr>
                <w:top w:val="none" w:sz="0" w:space="0" w:color="auto"/>
                <w:left w:val="none" w:sz="0" w:space="0" w:color="auto"/>
                <w:bottom w:val="none" w:sz="0" w:space="0" w:color="auto"/>
                <w:right w:val="none" w:sz="0" w:space="0" w:color="auto"/>
              </w:divBdr>
              <w:divsChild>
                <w:div w:id="7964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31144">
      <w:bodyDiv w:val="1"/>
      <w:marLeft w:val="0"/>
      <w:marRight w:val="0"/>
      <w:marTop w:val="0"/>
      <w:marBottom w:val="0"/>
      <w:divBdr>
        <w:top w:val="none" w:sz="0" w:space="0" w:color="auto"/>
        <w:left w:val="none" w:sz="0" w:space="0" w:color="auto"/>
        <w:bottom w:val="none" w:sz="0" w:space="0" w:color="auto"/>
        <w:right w:val="none" w:sz="0" w:space="0" w:color="auto"/>
      </w:divBdr>
      <w:divsChild>
        <w:div w:id="1554583844">
          <w:marLeft w:val="0"/>
          <w:marRight w:val="0"/>
          <w:marTop w:val="0"/>
          <w:marBottom w:val="0"/>
          <w:divBdr>
            <w:top w:val="none" w:sz="0" w:space="0" w:color="auto"/>
            <w:left w:val="none" w:sz="0" w:space="0" w:color="auto"/>
            <w:bottom w:val="none" w:sz="0" w:space="0" w:color="auto"/>
            <w:right w:val="none" w:sz="0" w:space="0" w:color="auto"/>
          </w:divBdr>
          <w:divsChild>
            <w:div w:id="1077899361">
              <w:marLeft w:val="0"/>
              <w:marRight w:val="0"/>
              <w:marTop w:val="0"/>
              <w:marBottom w:val="0"/>
              <w:divBdr>
                <w:top w:val="none" w:sz="0" w:space="0" w:color="auto"/>
                <w:left w:val="none" w:sz="0" w:space="0" w:color="auto"/>
                <w:bottom w:val="none" w:sz="0" w:space="0" w:color="auto"/>
                <w:right w:val="none" w:sz="0" w:space="0" w:color="auto"/>
              </w:divBdr>
              <w:divsChild>
                <w:div w:id="5133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9335">
      <w:bodyDiv w:val="1"/>
      <w:marLeft w:val="0"/>
      <w:marRight w:val="0"/>
      <w:marTop w:val="0"/>
      <w:marBottom w:val="0"/>
      <w:divBdr>
        <w:top w:val="none" w:sz="0" w:space="0" w:color="auto"/>
        <w:left w:val="none" w:sz="0" w:space="0" w:color="auto"/>
        <w:bottom w:val="none" w:sz="0" w:space="0" w:color="auto"/>
        <w:right w:val="none" w:sz="0" w:space="0" w:color="auto"/>
      </w:divBdr>
    </w:div>
    <w:div w:id="818156177">
      <w:bodyDiv w:val="1"/>
      <w:marLeft w:val="0"/>
      <w:marRight w:val="0"/>
      <w:marTop w:val="0"/>
      <w:marBottom w:val="0"/>
      <w:divBdr>
        <w:top w:val="none" w:sz="0" w:space="0" w:color="auto"/>
        <w:left w:val="none" w:sz="0" w:space="0" w:color="auto"/>
        <w:bottom w:val="none" w:sz="0" w:space="0" w:color="auto"/>
        <w:right w:val="none" w:sz="0" w:space="0" w:color="auto"/>
      </w:divBdr>
    </w:div>
    <w:div w:id="926308444">
      <w:bodyDiv w:val="1"/>
      <w:marLeft w:val="0"/>
      <w:marRight w:val="0"/>
      <w:marTop w:val="0"/>
      <w:marBottom w:val="0"/>
      <w:divBdr>
        <w:top w:val="none" w:sz="0" w:space="0" w:color="auto"/>
        <w:left w:val="none" w:sz="0" w:space="0" w:color="auto"/>
        <w:bottom w:val="none" w:sz="0" w:space="0" w:color="auto"/>
        <w:right w:val="none" w:sz="0" w:space="0" w:color="auto"/>
      </w:divBdr>
      <w:divsChild>
        <w:div w:id="1586692411">
          <w:marLeft w:val="0"/>
          <w:marRight w:val="0"/>
          <w:marTop w:val="0"/>
          <w:marBottom w:val="0"/>
          <w:divBdr>
            <w:top w:val="none" w:sz="0" w:space="0" w:color="auto"/>
            <w:left w:val="none" w:sz="0" w:space="0" w:color="auto"/>
            <w:bottom w:val="none" w:sz="0" w:space="0" w:color="auto"/>
            <w:right w:val="none" w:sz="0" w:space="0" w:color="auto"/>
          </w:divBdr>
          <w:divsChild>
            <w:div w:id="75903365">
              <w:marLeft w:val="0"/>
              <w:marRight w:val="0"/>
              <w:marTop w:val="0"/>
              <w:marBottom w:val="0"/>
              <w:divBdr>
                <w:top w:val="none" w:sz="0" w:space="0" w:color="auto"/>
                <w:left w:val="none" w:sz="0" w:space="0" w:color="auto"/>
                <w:bottom w:val="none" w:sz="0" w:space="0" w:color="auto"/>
                <w:right w:val="none" w:sz="0" w:space="0" w:color="auto"/>
              </w:divBdr>
              <w:divsChild>
                <w:div w:id="1549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746253">
      <w:bodyDiv w:val="1"/>
      <w:marLeft w:val="0"/>
      <w:marRight w:val="0"/>
      <w:marTop w:val="0"/>
      <w:marBottom w:val="0"/>
      <w:divBdr>
        <w:top w:val="none" w:sz="0" w:space="0" w:color="auto"/>
        <w:left w:val="none" w:sz="0" w:space="0" w:color="auto"/>
        <w:bottom w:val="none" w:sz="0" w:space="0" w:color="auto"/>
        <w:right w:val="none" w:sz="0" w:space="0" w:color="auto"/>
      </w:divBdr>
      <w:divsChild>
        <w:div w:id="1971010652">
          <w:marLeft w:val="0"/>
          <w:marRight w:val="0"/>
          <w:marTop w:val="0"/>
          <w:marBottom w:val="0"/>
          <w:divBdr>
            <w:top w:val="none" w:sz="0" w:space="0" w:color="auto"/>
            <w:left w:val="none" w:sz="0" w:space="0" w:color="auto"/>
            <w:bottom w:val="none" w:sz="0" w:space="0" w:color="auto"/>
            <w:right w:val="none" w:sz="0" w:space="0" w:color="auto"/>
          </w:divBdr>
          <w:divsChild>
            <w:div w:id="976837801">
              <w:marLeft w:val="0"/>
              <w:marRight w:val="0"/>
              <w:marTop w:val="0"/>
              <w:marBottom w:val="0"/>
              <w:divBdr>
                <w:top w:val="none" w:sz="0" w:space="0" w:color="auto"/>
                <w:left w:val="none" w:sz="0" w:space="0" w:color="auto"/>
                <w:bottom w:val="none" w:sz="0" w:space="0" w:color="auto"/>
                <w:right w:val="none" w:sz="0" w:space="0" w:color="auto"/>
              </w:divBdr>
              <w:divsChild>
                <w:div w:id="6619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9222">
      <w:bodyDiv w:val="1"/>
      <w:marLeft w:val="0"/>
      <w:marRight w:val="0"/>
      <w:marTop w:val="0"/>
      <w:marBottom w:val="0"/>
      <w:divBdr>
        <w:top w:val="none" w:sz="0" w:space="0" w:color="auto"/>
        <w:left w:val="none" w:sz="0" w:space="0" w:color="auto"/>
        <w:bottom w:val="none" w:sz="0" w:space="0" w:color="auto"/>
        <w:right w:val="none" w:sz="0" w:space="0" w:color="auto"/>
      </w:divBdr>
      <w:divsChild>
        <w:div w:id="2097969719">
          <w:marLeft w:val="0"/>
          <w:marRight w:val="0"/>
          <w:marTop w:val="0"/>
          <w:marBottom w:val="0"/>
          <w:divBdr>
            <w:top w:val="none" w:sz="0" w:space="0" w:color="auto"/>
            <w:left w:val="none" w:sz="0" w:space="0" w:color="auto"/>
            <w:bottom w:val="none" w:sz="0" w:space="0" w:color="auto"/>
            <w:right w:val="none" w:sz="0" w:space="0" w:color="auto"/>
          </w:divBdr>
          <w:divsChild>
            <w:div w:id="2012368101">
              <w:marLeft w:val="0"/>
              <w:marRight w:val="0"/>
              <w:marTop w:val="0"/>
              <w:marBottom w:val="0"/>
              <w:divBdr>
                <w:top w:val="none" w:sz="0" w:space="0" w:color="auto"/>
                <w:left w:val="none" w:sz="0" w:space="0" w:color="auto"/>
                <w:bottom w:val="none" w:sz="0" w:space="0" w:color="auto"/>
                <w:right w:val="none" w:sz="0" w:space="0" w:color="auto"/>
              </w:divBdr>
              <w:divsChild>
                <w:div w:id="5345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73">
      <w:bodyDiv w:val="1"/>
      <w:marLeft w:val="0"/>
      <w:marRight w:val="0"/>
      <w:marTop w:val="0"/>
      <w:marBottom w:val="0"/>
      <w:divBdr>
        <w:top w:val="none" w:sz="0" w:space="0" w:color="auto"/>
        <w:left w:val="none" w:sz="0" w:space="0" w:color="auto"/>
        <w:bottom w:val="none" w:sz="0" w:space="0" w:color="auto"/>
        <w:right w:val="none" w:sz="0" w:space="0" w:color="auto"/>
      </w:divBdr>
      <w:divsChild>
        <w:div w:id="1230110915">
          <w:marLeft w:val="0"/>
          <w:marRight w:val="0"/>
          <w:marTop w:val="0"/>
          <w:marBottom w:val="0"/>
          <w:divBdr>
            <w:top w:val="none" w:sz="0" w:space="0" w:color="auto"/>
            <w:left w:val="none" w:sz="0" w:space="0" w:color="auto"/>
            <w:bottom w:val="none" w:sz="0" w:space="0" w:color="auto"/>
            <w:right w:val="none" w:sz="0" w:space="0" w:color="auto"/>
          </w:divBdr>
          <w:divsChild>
            <w:div w:id="1348100451">
              <w:marLeft w:val="0"/>
              <w:marRight w:val="0"/>
              <w:marTop w:val="0"/>
              <w:marBottom w:val="0"/>
              <w:divBdr>
                <w:top w:val="none" w:sz="0" w:space="0" w:color="auto"/>
                <w:left w:val="none" w:sz="0" w:space="0" w:color="auto"/>
                <w:bottom w:val="none" w:sz="0" w:space="0" w:color="auto"/>
                <w:right w:val="none" w:sz="0" w:space="0" w:color="auto"/>
              </w:divBdr>
              <w:divsChild>
                <w:div w:id="1154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580">
      <w:bodyDiv w:val="1"/>
      <w:marLeft w:val="0"/>
      <w:marRight w:val="0"/>
      <w:marTop w:val="0"/>
      <w:marBottom w:val="0"/>
      <w:divBdr>
        <w:top w:val="none" w:sz="0" w:space="0" w:color="auto"/>
        <w:left w:val="none" w:sz="0" w:space="0" w:color="auto"/>
        <w:bottom w:val="none" w:sz="0" w:space="0" w:color="auto"/>
        <w:right w:val="none" w:sz="0" w:space="0" w:color="auto"/>
      </w:divBdr>
      <w:divsChild>
        <w:div w:id="944657552">
          <w:marLeft w:val="0"/>
          <w:marRight w:val="0"/>
          <w:marTop w:val="0"/>
          <w:marBottom w:val="0"/>
          <w:divBdr>
            <w:top w:val="none" w:sz="0" w:space="0" w:color="auto"/>
            <w:left w:val="none" w:sz="0" w:space="0" w:color="auto"/>
            <w:bottom w:val="none" w:sz="0" w:space="0" w:color="auto"/>
            <w:right w:val="none" w:sz="0" w:space="0" w:color="auto"/>
          </w:divBdr>
          <w:divsChild>
            <w:div w:id="769085394">
              <w:marLeft w:val="0"/>
              <w:marRight w:val="0"/>
              <w:marTop w:val="0"/>
              <w:marBottom w:val="0"/>
              <w:divBdr>
                <w:top w:val="none" w:sz="0" w:space="0" w:color="auto"/>
                <w:left w:val="none" w:sz="0" w:space="0" w:color="auto"/>
                <w:bottom w:val="none" w:sz="0" w:space="0" w:color="auto"/>
                <w:right w:val="none" w:sz="0" w:space="0" w:color="auto"/>
              </w:divBdr>
              <w:divsChild>
                <w:div w:id="7450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5609">
      <w:bodyDiv w:val="1"/>
      <w:marLeft w:val="0"/>
      <w:marRight w:val="0"/>
      <w:marTop w:val="0"/>
      <w:marBottom w:val="0"/>
      <w:divBdr>
        <w:top w:val="none" w:sz="0" w:space="0" w:color="auto"/>
        <w:left w:val="none" w:sz="0" w:space="0" w:color="auto"/>
        <w:bottom w:val="none" w:sz="0" w:space="0" w:color="auto"/>
        <w:right w:val="none" w:sz="0" w:space="0" w:color="auto"/>
      </w:divBdr>
      <w:divsChild>
        <w:div w:id="841967301">
          <w:marLeft w:val="0"/>
          <w:marRight w:val="0"/>
          <w:marTop w:val="0"/>
          <w:marBottom w:val="0"/>
          <w:divBdr>
            <w:top w:val="none" w:sz="0" w:space="0" w:color="auto"/>
            <w:left w:val="none" w:sz="0" w:space="0" w:color="auto"/>
            <w:bottom w:val="none" w:sz="0" w:space="0" w:color="auto"/>
            <w:right w:val="none" w:sz="0" w:space="0" w:color="auto"/>
          </w:divBdr>
          <w:divsChild>
            <w:div w:id="300621397">
              <w:marLeft w:val="0"/>
              <w:marRight w:val="0"/>
              <w:marTop w:val="0"/>
              <w:marBottom w:val="0"/>
              <w:divBdr>
                <w:top w:val="none" w:sz="0" w:space="0" w:color="auto"/>
                <w:left w:val="none" w:sz="0" w:space="0" w:color="auto"/>
                <w:bottom w:val="none" w:sz="0" w:space="0" w:color="auto"/>
                <w:right w:val="none" w:sz="0" w:space="0" w:color="auto"/>
              </w:divBdr>
              <w:divsChild>
                <w:div w:id="14808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20069">
      <w:bodyDiv w:val="1"/>
      <w:marLeft w:val="0"/>
      <w:marRight w:val="0"/>
      <w:marTop w:val="0"/>
      <w:marBottom w:val="0"/>
      <w:divBdr>
        <w:top w:val="none" w:sz="0" w:space="0" w:color="auto"/>
        <w:left w:val="none" w:sz="0" w:space="0" w:color="auto"/>
        <w:bottom w:val="none" w:sz="0" w:space="0" w:color="auto"/>
        <w:right w:val="none" w:sz="0" w:space="0" w:color="auto"/>
      </w:divBdr>
    </w:div>
    <w:div w:id="1675525079">
      <w:bodyDiv w:val="1"/>
      <w:marLeft w:val="0"/>
      <w:marRight w:val="0"/>
      <w:marTop w:val="0"/>
      <w:marBottom w:val="0"/>
      <w:divBdr>
        <w:top w:val="none" w:sz="0" w:space="0" w:color="auto"/>
        <w:left w:val="none" w:sz="0" w:space="0" w:color="auto"/>
        <w:bottom w:val="none" w:sz="0" w:space="0" w:color="auto"/>
        <w:right w:val="none" w:sz="0" w:space="0" w:color="auto"/>
      </w:divBdr>
      <w:divsChild>
        <w:div w:id="2112428917">
          <w:marLeft w:val="0"/>
          <w:marRight w:val="0"/>
          <w:marTop w:val="0"/>
          <w:marBottom w:val="0"/>
          <w:divBdr>
            <w:top w:val="none" w:sz="0" w:space="0" w:color="auto"/>
            <w:left w:val="none" w:sz="0" w:space="0" w:color="auto"/>
            <w:bottom w:val="none" w:sz="0" w:space="0" w:color="auto"/>
            <w:right w:val="none" w:sz="0" w:space="0" w:color="auto"/>
          </w:divBdr>
          <w:divsChild>
            <w:div w:id="1691374861">
              <w:marLeft w:val="0"/>
              <w:marRight w:val="0"/>
              <w:marTop w:val="0"/>
              <w:marBottom w:val="0"/>
              <w:divBdr>
                <w:top w:val="none" w:sz="0" w:space="0" w:color="auto"/>
                <w:left w:val="none" w:sz="0" w:space="0" w:color="auto"/>
                <w:bottom w:val="none" w:sz="0" w:space="0" w:color="auto"/>
                <w:right w:val="none" w:sz="0" w:space="0" w:color="auto"/>
              </w:divBdr>
              <w:divsChild>
                <w:div w:id="21394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41135">
      <w:bodyDiv w:val="1"/>
      <w:marLeft w:val="0"/>
      <w:marRight w:val="0"/>
      <w:marTop w:val="0"/>
      <w:marBottom w:val="0"/>
      <w:divBdr>
        <w:top w:val="none" w:sz="0" w:space="0" w:color="auto"/>
        <w:left w:val="none" w:sz="0" w:space="0" w:color="auto"/>
        <w:bottom w:val="none" w:sz="0" w:space="0" w:color="auto"/>
        <w:right w:val="none" w:sz="0" w:space="0" w:color="auto"/>
      </w:divBdr>
    </w:div>
    <w:div w:id="1874924022">
      <w:bodyDiv w:val="1"/>
      <w:marLeft w:val="0"/>
      <w:marRight w:val="0"/>
      <w:marTop w:val="0"/>
      <w:marBottom w:val="0"/>
      <w:divBdr>
        <w:top w:val="none" w:sz="0" w:space="0" w:color="auto"/>
        <w:left w:val="none" w:sz="0" w:space="0" w:color="auto"/>
        <w:bottom w:val="none" w:sz="0" w:space="0" w:color="auto"/>
        <w:right w:val="none" w:sz="0" w:space="0" w:color="auto"/>
      </w:divBdr>
    </w:div>
    <w:div w:id="1977174257">
      <w:bodyDiv w:val="1"/>
      <w:marLeft w:val="0"/>
      <w:marRight w:val="0"/>
      <w:marTop w:val="0"/>
      <w:marBottom w:val="0"/>
      <w:divBdr>
        <w:top w:val="none" w:sz="0" w:space="0" w:color="auto"/>
        <w:left w:val="none" w:sz="0" w:space="0" w:color="auto"/>
        <w:bottom w:val="none" w:sz="0" w:space="0" w:color="auto"/>
        <w:right w:val="none" w:sz="0" w:space="0" w:color="auto"/>
      </w:divBdr>
    </w:div>
    <w:div w:id="2094622716">
      <w:bodyDiv w:val="1"/>
      <w:marLeft w:val="0"/>
      <w:marRight w:val="0"/>
      <w:marTop w:val="0"/>
      <w:marBottom w:val="0"/>
      <w:divBdr>
        <w:top w:val="none" w:sz="0" w:space="0" w:color="auto"/>
        <w:left w:val="none" w:sz="0" w:space="0" w:color="auto"/>
        <w:bottom w:val="none" w:sz="0" w:space="0" w:color="auto"/>
        <w:right w:val="none" w:sz="0" w:space="0" w:color="auto"/>
      </w:divBdr>
      <w:divsChild>
        <w:div w:id="558126436">
          <w:marLeft w:val="0"/>
          <w:marRight w:val="0"/>
          <w:marTop w:val="0"/>
          <w:marBottom w:val="0"/>
          <w:divBdr>
            <w:top w:val="none" w:sz="0" w:space="0" w:color="auto"/>
            <w:left w:val="none" w:sz="0" w:space="0" w:color="auto"/>
            <w:bottom w:val="none" w:sz="0" w:space="0" w:color="auto"/>
            <w:right w:val="none" w:sz="0" w:space="0" w:color="auto"/>
          </w:divBdr>
          <w:divsChild>
            <w:div w:id="21983511">
              <w:marLeft w:val="0"/>
              <w:marRight w:val="0"/>
              <w:marTop w:val="0"/>
              <w:marBottom w:val="0"/>
              <w:divBdr>
                <w:top w:val="none" w:sz="0" w:space="0" w:color="auto"/>
                <w:left w:val="none" w:sz="0" w:space="0" w:color="auto"/>
                <w:bottom w:val="none" w:sz="0" w:space="0" w:color="auto"/>
                <w:right w:val="none" w:sz="0" w:space="0" w:color="auto"/>
              </w:divBdr>
              <w:divsChild>
                <w:div w:id="11284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1997%20%283%29%20SA%20721" TargetMode="External"/><Relationship Id="rId13" Type="http://schemas.openxmlformats.org/officeDocument/2006/relationships/hyperlink" Target="http://www.saflii.org/cgi-bin/LawCite?cit=1920%20OPD%20172" TargetMode="External"/><Relationship Id="rId3" Type="http://schemas.openxmlformats.org/officeDocument/2006/relationships/hyperlink" Target="http://www.saflii.org/cgi-bin/LawCite?cit=2008%20%282%29%20SA%20184" TargetMode="External"/><Relationship Id="rId7" Type="http://schemas.openxmlformats.org/officeDocument/2006/relationships/hyperlink" Target="http://www.saflii.org/cgi-bin/LawCite?cit=1992%20%282%29%20SA%20151" TargetMode="External"/><Relationship Id="rId12" Type="http://schemas.openxmlformats.org/officeDocument/2006/relationships/hyperlink" Target="http://www.saflii.org/cgi-bin/LawCite?cit=1948%20%283%29%20SA%201067" TargetMode="External"/><Relationship Id="rId2" Type="http://schemas.openxmlformats.org/officeDocument/2006/relationships/hyperlink" Target="http://www.saflii.org/cgi-bin/LawCite?cit=1972%20%281%29%20SA%20464" TargetMode="External"/><Relationship Id="rId1" Type="http://schemas.openxmlformats.org/officeDocument/2006/relationships/hyperlink" Target="http://www.saflii.org/cgi-bin/LawCite?cit=1999%20%282%29%20SA%20279" TargetMode="External"/><Relationship Id="rId6" Type="http://schemas.openxmlformats.org/officeDocument/2006/relationships/hyperlink" Target="http://www.saflii.org/cgi-bin/LawCite?cit=1989%20%284%29%20SA%201055" TargetMode="External"/><Relationship Id="rId11" Type="http://schemas.openxmlformats.org/officeDocument/2006/relationships/hyperlink" Target="http://www.saflii.org/cgi-bin/LawCite?cit=1920%20AD%20279" TargetMode="External"/><Relationship Id="rId5" Type="http://schemas.openxmlformats.org/officeDocument/2006/relationships/hyperlink" Target="http://www.saflii.org/cgi-bin/LawCite?cit=1949%20%283%29%20SA%20327" TargetMode="External"/><Relationship Id="rId10" Type="http://schemas.openxmlformats.org/officeDocument/2006/relationships/hyperlink" Target="http://www.saflii.org/cgi-bin/LawCite?cit=%5b2008%5d%201%20All%20SA%20509" TargetMode="External"/><Relationship Id="rId4" Type="http://schemas.openxmlformats.org/officeDocument/2006/relationships/hyperlink" Target="http://www.saflii.org/cgi-bin/LawCite?cit=2012%20%282%29%20SA%20542" TargetMode="External"/><Relationship Id="rId9" Type="http://schemas.openxmlformats.org/officeDocument/2006/relationships/hyperlink" Target="http://www.saflii.org/cgi-bin/LawCite?cit=1991%20%283%29%20SA%20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Mokone</cp:lastModifiedBy>
  <cp:revision>3</cp:revision>
  <dcterms:created xsi:type="dcterms:W3CDTF">2023-05-26T06:43:00Z</dcterms:created>
  <dcterms:modified xsi:type="dcterms:W3CDTF">2023-05-26T06:44:00Z</dcterms:modified>
</cp:coreProperties>
</file>