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AD4D4" w14:textId="77777777" w:rsidR="004466A8" w:rsidRDefault="004466A8" w:rsidP="004466A8">
      <w:pPr>
        <w:pStyle w:val="LegalTitle"/>
        <w:spacing w:after="120" w:line="360" w:lineRule="auto"/>
        <w:rPr>
          <w:u w:val="single"/>
        </w:rPr>
      </w:pPr>
      <w:bookmarkStart w:id="0" w:name="_GoBack"/>
      <w:bookmarkEnd w:id="0"/>
      <w:r>
        <w:rPr>
          <w:noProof/>
          <w:lang w:val="en-US" w:eastAsia="en-US"/>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6C91E91C" w:rsidR="00034996" w:rsidRPr="00034996" w:rsidRDefault="00F663D1" w:rsidP="00034996">
      <w:pPr>
        <w:pStyle w:val="LegalTitle"/>
        <w:spacing w:line="360" w:lineRule="auto"/>
        <w:rPr>
          <w:rFonts w:cs="Arial"/>
          <w:u w:val="single"/>
        </w:rPr>
      </w:pPr>
      <w:r w:rsidRPr="00034996">
        <w:rPr>
          <w:rFonts w:eastAsiaTheme="minorEastAsia" w:cs="Arial"/>
          <w:noProof/>
          <w:lang w:val="en-US" w:eastAsia="en-US"/>
        </w:rPr>
        <mc:AlternateContent>
          <mc:Choice Requires="wps">
            <w:drawing>
              <wp:anchor distT="0" distB="0" distL="114300" distR="114300" simplePos="0" relativeHeight="251659264" behindDoc="0" locked="0" layoutInCell="1" allowOverlap="1" wp14:anchorId="7C9EE0E3" wp14:editId="66E87F7C">
                <wp:simplePos x="0" y="0"/>
                <wp:positionH relativeFrom="column">
                  <wp:posOffset>-44450</wp:posOffset>
                </wp:positionH>
                <wp:positionV relativeFrom="paragraph">
                  <wp:posOffset>374015</wp:posOffset>
                </wp:positionV>
                <wp:extent cx="3657600" cy="12700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00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7777777" w:rsidR="00B621CF" w:rsidRPr="0038792A" w:rsidRDefault="00B621CF" w:rsidP="004466A8">
                            <w:pPr>
                              <w:numPr>
                                <w:ilvl w:val="0"/>
                                <w:numId w:val="2"/>
                              </w:numPr>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1D2B607D" w14:textId="77777777" w:rsidR="00B621CF" w:rsidRPr="0038792A"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24216E35" w14:textId="0B2714DA" w:rsidR="00B621CF"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01EC0822" w:rsidR="00FA3313" w:rsidRPr="0038792A" w:rsidRDefault="00EC47D2" w:rsidP="004466A8">
                            <w:pPr>
                              <w:numPr>
                                <w:ilvl w:val="0"/>
                                <w:numId w:val="2"/>
                              </w:numPr>
                              <w:rPr>
                                <w:rFonts w:ascii="Century Gothic" w:hAnsi="Century Gothic"/>
                                <w:sz w:val="20"/>
                                <w:szCs w:val="20"/>
                              </w:rPr>
                            </w:pPr>
                            <w:r>
                              <w:rPr>
                                <w:rFonts w:ascii="Century Gothic" w:hAnsi="Century Gothic"/>
                                <w:sz w:val="20"/>
                                <w:szCs w:val="20"/>
                              </w:rPr>
                              <w:t>Date: 18</w:t>
                            </w:r>
                            <w:r w:rsidR="00FA2BD2">
                              <w:rPr>
                                <w:rFonts w:ascii="Century Gothic" w:hAnsi="Century Gothic"/>
                                <w:sz w:val="20"/>
                                <w:szCs w:val="20"/>
                              </w:rPr>
                              <w:t xml:space="preserve"> </w:t>
                            </w:r>
                            <w:r w:rsidR="00254BE5">
                              <w:rPr>
                                <w:rFonts w:ascii="Century Gothic" w:hAnsi="Century Gothic"/>
                                <w:sz w:val="20"/>
                                <w:szCs w:val="20"/>
                              </w:rPr>
                              <w:t>May</w:t>
                            </w:r>
                            <w:r w:rsidR="00FA3313">
                              <w:rPr>
                                <w:rFonts w:ascii="Century Gothic" w:hAnsi="Century Gothic"/>
                                <w:sz w:val="20"/>
                                <w:szCs w:val="20"/>
                              </w:rPr>
                              <w:t xml:space="preserve"> 202</w:t>
                            </w:r>
                            <w:r w:rsidR="004B182B">
                              <w:rPr>
                                <w:rFonts w:ascii="Century Gothic" w:hAnsi="Century Gothic"/>
                                <w:sz w:val="20"/>
                                <w:szCs w:val="20"/>
                              </w:rPr>
                              <w:t>3</w:t>
                            </w:r>
                            <w:r>
                              <w:rPr>
                                <w:rFonts w:ascii="Century Gothic" w:hAnsi="Century Gothic"/>
                                <w:sz w:val="20"/>
                                <w:szCs w:val="20"/>
                              </w:rPr>
                              <w:t xml:space="preserve">   Signature:_______________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3.5pt;margin-top:29.45pt;width:4in;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7777777" w:rsidR="00B621CF" w:rsidRPr="0038792A" w:rsidRDefault="00B621CF" w:rsidP="004466A8">
                      <w:pPr>
                        <w:numPr>
                          <w:ilvl w:val="0"/>
                          <w:numId w:val="2"/>
                        </w:numPr>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1D2B607D" w14:textId="77777777" w:rsidR="00B621CF" w:rsidRPr="0038792A"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24216E35" w14:textId="0B2714DA" w:rsidR="00B621CF"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01EC0822" w:rsidR="00FA3313" w:rsidRPr="0038792A" w:rsidRDefault="00EC47D2" w:rsidP="004466A8">
                      <w:pPr>
                        <w:numPr>
                          <w:ilvl w:val="0"/>
                          <w:numId w:val="2"/>
                        </w:numPr>
                        <w:rPr>
                          <w:rFonts w:ascii="Century Gothic" w:hAnsi="Century Gothic"/>
                          <w:sz w:val="20"/>
                          <w:szCs w:val="20"/>
                        </w:rPr>
                      </w:pPr>
                      <w:r>
                        <w:rPr>
                          <w:rFonts w:ascii="Century Gothic" w:hAnsi="Century Gothic"/>
                          <w:sz w:val="20"/>
                          <w:szCs w:val="20"/>
                        </w:rPr>
                        <w:t>Date: 18</w:t>
                      </w:r>
                      <w:r w:rsidR="00FA2BD2">
                        <w:rPr>
                          <w:rFonts w:ascii="Century Gothic" w:hAnsi="Century Gothic"/>
                          <w:sz w:val="20"/>
                          <w:szCs w:val="20"/>
                        </w:rPr>
                        <w:t xml:space="preserve"> </w:t>
                      </w:r>
                      <w:r w:rsidR="00254BE5">
                        <w:rPr>
                          <w:rFonts w:ascii="Century Gothic" w:hAnsi="Century Gothic"/>
                          <w:sz w:val="20"/>
                          <w:szCs w:val="20"/>
                        </w:rPr>
                        <w:t>May</w:t>
                      </w:r>
                      <w:r w:rsidR="00FA3313">
                        <w:rPr>
                          <w:rFonts w:ascii="Century Gothic" w:hAnsi="Century Gothic"/>
                          <w:sz w:val="20"/>
                          <w:szCs w:val="20"/>
                        </w:rPr>
                        <w:t xml:space="preserve"> 202</w:t>
                      </w:r>
                      <w:r w:rsidR="004B182B">
                        <w:rPr>
                          <w:rFonts w:ascii="Century Gothic" w:hAnsi="Century Gothic"/>
                          <w:sz w:val="20"/>
                          <w:szCs w:val="20"/>
                        </w:rPr>
                        <w:t>3</w:t>
                      </w:r>
                      <w:r>
                        <w:rPr>
                          <w:rFonts w:ascii="Century Gothic" w:hAnsi="Century Gothic"/>
                          <w:sz w:val="20"/>
                          <w:szCs w:val="20"/>
                        </w:rPr>
                        <w:t xml:space="preserve">   Signature:_______________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004466A8" w:rsidRPr="00034996">
        <w:rPr>
          <w:rFonts w:cs="Arial"/>
          <w:u w:val="single"/>
        </w:rPr>
        <w:t xml:space="preserve">GAUTENG DIVISION, </w:t>
      </w:r>
      <w:r w:rsidRPr="00034996">
        <w:rPr>
          <w:rFonts w:cs="Arial"/>
          <w:u w:val="single"/>
        </w:rPr>
        <w:t>PR</w:t>
      </w:r>
      <w:r w:rsidR="004466A8" w:rsidRPr="00034996">
        <w:rPr>
          <w:rFonts w:cs="Arial"/>
          <w:u w:val="single"/>
        </w:rPr>
        <w:t>E</w:t>
      </w:r>
      <w:r w:rsidRPr="00034996">
        <w:rPr>
          <w:rFonts w:cs="Arial"/>
          <w:u w:val="single"/>
        </w:rPr>
        <w:t>TORIA</w:t>
      </w:r>
    </w:p>
    <w:p w14:paraId="32C5D6BC" w14:textId="77777777" w:rsidR="00B621CF" w:rsidRPr="00F07058" w:rsidRDefault="00B621CF" w:rsidP="00B621CF">
      <w:pPr>
        <w:pStyle w:val="LegalNormal"/>
        <w:rPr>
          <w:rFonts w:ascii="Times New Roman" w:hAnsi="Times New Roman"/>
          <w:sz w:val="28"/>
          <w:szCs w:val="28"/>
        </w:rPr>
      </w:pPr>
    </w:p>
    <w:p w14:paraId="241F5C2F" w14:textId="1E0F6104" w:rsidR="004466A8" w:rsidRPr="00F07058" w:rsidRDefault="004466A8" w:rsidP="00B621CF">
      <w:pPr>
        <w:pStyle w:val="LegalAnnexure"/>
        <w:jc w:val="left"/>
        <w:rPr>
          <w:rFonts w:ascii="Times New Roman" w:hAnsi="Times New Roman"/>
          <w:sz w:val="28"/>
          <w:szCs w:val="28"/>
          <w:u w:val="single"/>
        </w:rPr>
      </w:pPr>
    </w:p>
    <w:p w14:paraId="6220479F" w14:textId="472A7285" w:rsidR="004466A8" w:rsidRPr="00DE5C90" w:rsidRDefault="004466A8" w:rsidP="004466A8">
      <w:pPr>
        <w:pStyle w:val="LegalAnnexure"/>
        <w:spacing w:after="120" w:line="360" w:lineRule="auto"/>
        <w:rPr>
          <w:rFonts w:cs="Arial"/>
        </w:rPr>
      </w:pPr>
      <w:r w:rsidRPr="00DE5C90">
        <w:rPr>
          <w:rFonts w:cs="Arial"/>
        </w:rPr>
        <w:t xml:space="preserve">CASE NO: </w:t>
      </w:r>
      <w:r w:rsidR="00FA2BD2" w:rsidRPr="00DE5C90">
        <w:rPr>
          <w:rFonts w:cs="Arial"/>
        </w:rPr>
        <w:t xml:space="preserve"> </w:t>
      </w:r>
      <w:r w:rsidR="00254BE5" w:rsidRPr="00DE5C90">
        <w:rPr>
          <w:rFonts w:cs="Arial"/>
        </w:rPr>
        <w:t>51</w:t>
      </w:r>
      <w:r w:rsidR="009A6958" w:rsidRPr="00DE5C90">
        <w:rPr>
          <w:rFonts w:cs="Arial"/>
        </w:rPr>
        <w:t>77</w:t>
      </w:r>
      <w:r w:rsidR="00254BE5" w:rsidRPr="00DE5C90">
        <w:rPr>
          <w:rFonts w:cs="Arial"/>
        </w:rPr>
        <w:t>6</w:t>
      </w:r>
      <w:r w:rsidR="000B4D56" w:rsidRPr="00DE5C90">
        <w:rPr>
          <w:rFonts w:cs="Arial"/>
        </w:rPr>
        <w:t>/2</w:t>
      </w:r>
      <w:r w:rsidRPr="00DE5C90">
        <w:rPr>
          <w:rFonts w:cs="Arial"/>
        </w:rPr>
        <w:t>0</w:t>
      </w:r>
      <w:r w:rsidR="00254BE5" w:rsidRPr="00DE5C90">
        <w:rPr>
          <w:rFonts w:cs="Arial"/>
        </w:rPr>
        <w:t>2</w:t>
      </w:r>
      <w:r w:rsidR="009A6958" w:rsidRPr="00DE5C90">
        <w:rPr>
          <w:rFonts w:cs="Arial"/>
        </w:rPr>
        <w:t>0</w:t>
      </w:r>
    </w:p>
    <w:p w14:paraId="0B6882B8" w14:textId="77777777" w:rsidR="004466A8" w:rsidRPr="00DE5C90" w:rsidRDefault="004466A8" w:rsidP="004466A8">
      <w:pPr>
        <w:pStyle w:val="LegalNormal"/>
        <w:spacing w:line="360" w:lineRule="auto"/>
        <w:rPr>
          <w:rFonts w:cs="Arial"/>
        </w:rPr>
      </w:pPr>
      <w:r w:rsidRPr="00DE5C90">
        <w:rPr>
          <w:rFonts w:cs="Arial"/>
        </w:rPr>
        <w:t>In the matter between:</w:t>
      </w:r>
    </w:p>
    <w:p w14:paraId="1E8BAEB4" w14:textId="0B753E60" w:rsidR="00817883" w:rsidRPr="00DE5C90" w:rsidRDefault="00254BE5" w:rsidP="00787911">
      <w:pPr>
        <w:pStyle w:val="LegalPlainDef"/>
        <w:spacing w:after="120" w:line="360" w:lineRule="auto"/>
        <w:rPr>
          <w:rFonts w:cs="Arial"/>
        </w:rPr>
      </w:pPr>
      <w:r w:rsidRPr="00DE5C90">
        <w:rPr>
          <w:rFonts w:cs="Arial"/>
          <w:b/>
        </w:rPr>
        <w:t xml:space="preserve">LAWRENCE </w:t>
      </w:r>
      <w:r w:rsidR="002948C9" w:rsidRPr="00DE5C90">
        <w:rPr>
          <w:rFonts w:cs="Arial"/>
          <w:b/>
        </w:rPr>
        <w:t>M</w:t>
      </w:r>
      <w:r w:rsidRPr="00DE5C90">
        <w:rPr>
          <w:rFonts w:cs="Arial"/>
          <w:b/>
        </w:rPr>
        <w:t>A</w:t>
      </w:r>
      <w:r w:rsidR="002948C9" w:rsidRPr="00DE5C90">
        <w:rPr>
          <w:rFonts w:cs="Arial"/>
          <w:b/>
        </w:rPr>
        <w:t>T</w:t>
      </w:r>
      <w:r w:rsidRPr="00DE5C90">
        <w:rPr>
          <w:rFonts w:cs="Arial"/>
          <w:b/>
        </w:rPr>
        <w:t>S</w:t>
      </w:r>
      <w:r w:rsidR="002948C9" w:rsidRPr="00DE5C90">
        <w:rPr>
          <w:rFonts w:cs="Arial"/>
          <w:b/>
        </w:rPr>
        <w:t>E</w:t>
      </w:r>
      <w:r w:rsidRPr="00DE5C90">
        <w:rPr>
          <w:rFonts w:cs="Arial"/>
          <w:b/>
        </w:rPr>
        <w:t>NA</w:t>
      </w:r>
      <w:r w:rsidR="002D285C" w:rsidRPr="00DE5C90">
        <w:rPr>
          <w:rFonts w:cs="Arial"/>
          <w:b/>
        </w:rPr>
        <w:tab/>
      </w:r>
      <w:r w:rsidR="00A84192" w:rsidRPr="00DE5C90">
        <w:rPr>
          <w:rFonts w:cs="Arial"/>
          <w:bCs/>
          <w:vertAlign w:val="superscript"/>
        </w:rPr>
        <w:t xml:space="preserve"> </w:t>
      </w:r>
      <w:r w:rsidR="00D82D00" w:rsidRPr="00DE5C90">
        <w:rPr>
          <w:rFonts w:cs="Arial"/>
          <w:bCs/>
          <w:vertAlign w:val="superscript"/>
        </w:rPr>
        <w:t xml:space="preserve"> </w:t>
      </w:r>
      <w:r w:rsidR="00D82D00" w:rsidRPr="00DE5C90">
        <w:rPr>
          <w:rFonts w:cs="Arial"/>
          <w:bCs/>
        </w:rPr>
        <w:t xml:space="preserve">   </w:t>
      </w:r>
      <w:r w:rsidRPr="00DE5C90">
        <w:rPr>
          <w:rFonts w:cs="Arial"/>
          <w:bCs/>
        </w:rPr>
        <w:t>App</w:t>
      </w:r>
      <w:r w:rsidR="00817883" w:rsidRPr="00DE5C90">
        <w:rPr>
          <w:rFonts w:cs="Arial"/>
          <w:bCs/>
        </w:rPr>
        <w:t>l</w:t>
      </w:r>
      <w:r w:rsidR="00787911" w:rsidRPr="00DE5C90">
        <w:rPr>
          <w:rFonts w:cs="Arial"/>
          <w:bCs/>
        </w:rPr>
        <w:t>i</w:t>
      </w:r>
      <w:r w:rsidRPr="00DE5C90">
        <w:rPr>
          <w:rFonts w:cs="Arial"/>
          <w:bCs/>
        </w:rPr>
        <w:t>ca</w:t>
      </w:r>
      <w:r w:rsidR="00783A61" w:rsidRPr="00DE5C90">
        <w:rPr>
          <w:rFonts w:cs="Arial"/>
          <w:bCs/>
        </w:rPr>
        <w:t>nt</w:t>
      </w:r>
    </w:p>
    <w:p w14:paraId="48364D3D" w14:textId="568325C9" w:rsidR="00673136" w:rsidRPr="00DE5C90" w:rsidRDefault="00673136" w:rsidP="00D82D00">
      <w:pPr>
        <w:pStyle w:val="LegalNormal"/>
        <w:spacing w:line="360" w:lineRule="auto"/>
        <w:rPr>
          <w:rFonts w:cs="Arial"/>
        </w:rPr>
      </w:pPr>
      <w:r w:rsidRPr="00DE5C90">
        <w:rPr>
          <w:rFonts w:cs="Arial"/>
        </w:rPr>
        <w:t>A</w:t>
      </w:r>
      <w:r w:rsidR="004466A8" w:rsidRPr="00DE5C90">
        <w:rPr>
          <w:rFonts w:cs="Arial"/>
        </w:rPr>
        <w:t>nd</w:t>
      </w:r>
    </w:p>
    <w:p w14:paraId="6630176E" w14:textId="540A1973" w:rsidR="000B4D56" w:rsidRPr="00DE5C90" w:rsidRDefault="009A6958" w:rsidP="00F92DB6">
      <w:pPr>
        <w:pStyle w:val="LegalPlainDef"/>
        <w:spacing w:after="240" w:line="360" w:lineRule="auto"/>
        <w:rPr>
          <w:rFonts w:cs="Arial"/>
        </w:rPr>
      </w:pPr>
      <w:r w:rsidRPr="00DE5C90">
        <w:rPr>
          <w:rFonts w:cs="Arial"/>
          <w:b/>
        </w:rPr>
        <w:t>N</w:t>
      </w:r>
      <w:r w:rsidR="00254BE5" w:rsidRPr="00DE5C90">
        <w:rPr>
          <w:rFonts w:cs="Arial"/>
          <w:b/>
        </w:rPr>
        <w:t>AT</w:t>
      </w:r>
      <w:r w:rsidRPr="00DE5C90">
        <w:rPr>
          <w:rFonts w:cs="Arial"/>
          <w:b/>
        </w:rPr>
        <w:t>I</w:t>
      </w:r>
      <w:r w:rsidR="00254BE5" w:rsidRPr="00DE5C90">
        <w:rPr>
          <w:rFonts w:cs="Arial"/>
          <w:b/>
        </w:rPr>
        <w:t xml:space="preserve">ONAL </w:t>
      </w:r>
      <w:r w:rsidRPr="00DE5C90">
        <w:rPr>
          <w:rFonts w:cs="Arial"/>
          <w:b/>
        </w:rPr>
        <w:t>R</w:t>
      </w:r>
      <w:r w:rsidR="00254BE5" w:rsidRPr="00DE5C90">
        <w:rPr>
          <w:rFonts w:cs="Arial"/>
          <w:b/>
        </w:rPr>
        <w:t xml:space="preserve">ESEARCH </w:t>
      </w:r>
      <w:r w:rsidR="00787911" w:rsidRPr="00DE5C90">
        <w:rPr>
          <w:rFonts w:cs="Arial"/>
          <w:b/>
        </w:rPr>
        <w:t>FO</w:t>
      </w:r>
      <w:r w:rsidR="00254BE5" w:rsidRPr="00DE5C90">
        <w:rPr>
          <w:rFonts w:cs="Arial"/>
          <w:b/>
        </w:rPr>
        <w:t>UNDATION</w:t>
      </w:r>
      <w:r w:rsidR="000B4D56" w:rsidRPr="00DE5C90">
        <w:rPr>
          <w:rFonts w:cs="Arial"/>
          <w:b/>
        </w:rPr>
        <w:tab/>
      </w:r>
      <w:r w:rsidR="00787911" w:rsidRPr="00DE5C90">
        <w:rPr>
          <w:rFonts w:cs="Arial"/>
          <w:b/>
        </w:rPr>
        <w:t xml:space="preserve">   </w:t>
      </w:r>
      <w:r w:rsidR="00817883" w:rsidRPr="00DE5C90">
        <w:rPr>
          <w:rFonts w:cs="Arial"/>
          <w:bCs/>
        </w:rPr>
        <w:t xml:space="preserve"> </w:t>
      </w:r>
      <w:r w:rsidR="00787911" w:rsidRPr="00DE5C90">
        <w:rPr>
          <w:rFonts w:cs="Arial"/>
          <w:bCs/>
        </w:rPr>
        <w:t xml:space="preserve"> </w:t>
      </w:r>
      <w:r w:rsidR="00254BE5" w:rsidRPr="00DE5C90">
        <w:rPr>
          <w:rFonts w:cs="Arial"/>
        </w:rPr>
        <w:t>1</w:t>
      </w:r>
      <w:r w:rsidR="00254BE5" w:rsidRPr="00DE5C90">
        <w:rPr>
          <w:rFonts w:cs="Arial"/>
          <w:vertAlign w:val="superscript"/>
        </w:rPr>
        <w:t>st</w:t>
      </w:r>
      <w:r w:rsidR="00254BE5" w:rsidRPr="00DE5C90">
        <w:rPr>
          <w:rFonts w:cs="Arial"/>
        </w:rPr>
        <w:t xml:space="preserve"> R</w:t>
      </w:r>
      <w:r w:rsidR="00783A61" w:rsidRPr="00DE5C90">
        <w:rPr>
          <w:rFonts w:cs="Arial"/>
        </w:rPr>
        <w:t>e</w:t>
      </w:r>
      <w:r w:rsidR="00254BE5" w:rsidRPr="00DE5C90">
        <w:rPr>
          <w:rFonts w:cs="Arial"/>
        </w:rPr>
        <w:t>spo</w:t>
      </w:r>
      <w:r w:rsidR="00787911" w:rsidRPr="00DE5C90">
        <w:rPr>
          <w:rFonts w:cs="Arial"/>
        </w:rPr>
        <w:t>n</w:t>
      </w:r>
      <w:r w:rsidR="00783A61" w:rsidRPr="00DE5C90">
        <w:rPr>
          <w:rFonts w:cs="Arial"/>
        </w:rPr>
        <w:t>d</w:t>
      </w:r>
      <w:r w:rsidR="00254BE5" w:rsidRPr="00DE5C90">
        <w:rPr>
          <w:rFonts w:cs="Arial"/>
        </w:rPr>
        <w:t>e</w:t>
      </w:r>
      <w:r w:rsidR="00783A61" w:rsidRPr="00DE5C90">
        <w:rPr>
          <w:rFonts w:cs="Arial"/>
        </w:rPr>
        <w:t>nt</w:t>
      </w:r>
    </w:p>
    <w:p w14:paraId="227F3436" w14:textId="020F8F89" w:rsidR="00254BE5" w:rsidRPr="00DE5C90" w:rsidRDefault="00254BE5" w:rsidP="00F92DB6">
      <w:pPr>
        <w:pStyle w:val="LegalNormal"/>
        <w:spacing w:after="240" w:line="360" w:lineRule="auto"/>
        <w:rPr>
          <w:rFonts w:cs="Arial"/>
        </w:rPr>
      </w:pPr>
      <w:r w:rsidRPr="00DE5C90">
        <w:rPr>
          <w:rFonts w:cs="Arial"/>
          <w:b/>
        </w:rPr>
        <w:t>ALEXANDER FORBES</w:t>
      </w:r>
      <w:r w:rsidRPr="00DE5C90">
        <w:rPr>
          <w:rFonts w:cs="Arial"/>
          <w:b/>
        </w:rPr>
        <w:tab/>
      </w:r>
      <w:r w:rsidRPr="00DE5C90">
        <w:rPr>
          <w:rFonts w:cs="Arial"/>
          <w:b/>
        </w:rPr>
        <w:tab/>
      </w:r>
      <w:r w:rsidRPr="00DE5C90">
        <w:rPr>
          <w:rFonts w:cs="Arial"/>
        </w:rPr>
        <w:tab/>
      </w:r>
      <w:r w:rsidRPr="00DE5C90">
        <w:rPr>
          <w:rFonts w:cs="Arial"/>
        </w:rPr>
        <w:tab/>
      </w:r>
      <w:r w:rsidRPr="00DE5C90">
        <w:rPr>
          <w:rFonts w:cs="Arial"/>
        </w:rPr>
        <w:tab/>
      </w:r>
      <w:r w:rsidR="00DE5C90">
        <w:rPr>
          <w:rFonts w:cs="Arial"/>
        </w:rPr>
        <w:t xml:space="preserve">    </w:t>
      </w:r>
      <w:r w:rsidR="00DE5C90">
        <w:rPr>
          <w:rFonts w:cs="Arial"/>
        </w:rPr>
        <w:tab/>
      </w:r>
      <w:r w:rsidRPr="00DE5C90">
        <w:rPr>
          <w:rFonts w:cs="Arial"/>
        </w:rPr>
        <w:tab/>
        <w:t>2</w:t>
      </w:r>
      <w:r w:rsidRPr="00DE5C90">
        <w:rPr>
          <w:rFonts w:cs="Arial"/>
          <w:vertAlign w:val="superscript"/>
        </w:rPr>
        <w:t>nd</w:t>
      </w:r>
      <w:r w:rsidRPr="00DE5C90">
        <w:rPr>
          <w:rFonts w:cs="Arial"/>
        </w:rPr>
        <w:t xml:space="preserve"> Respondent</w:t>
      </w:r>
    </w:p>
    <w:p w14:paraId="6BE9D2ED" w14:textId="77777777" w:rsidR="00254BE5" w:rsidRPr="00DE5C90" w:rsidRDefault="00254BE5" w:rsidP="00F92DB6">
      <w:pPr>
        <w:pStyle w:val="LegalNormal"/>
        <w:spacing w:after="0" w:line="360" w:lineRule="auto"/>
        <w:rPr>
          <w:rFonts w:cs="Arial"/>
          <w:b/>
        </w:rPr>
      </w:pPr>
      <w:r w:rsidRPr="00DE5C90">
        <w:rPr>
          <w:rFonts w:cs="Arial"/>
          <w:b/>
        </w:rPr>
        <w:t xml:space="preserve">NATIONAL RESEARCH FOUNDATION </w:t>
      </w:r>
    </w:p>
    <w:p w14:paraId="18C69B24" w14:textId="0D278575" w:rsidR="00254BE5" w:rsidRPr="00DE5C90" w:rsidRDefault="00254BE5" w:rsidP="00F92DB6">
      <w:pPr>
        <w:pStyle w:val="LegalNormal"/>
        <w:spacing w:after="0" w:line="360" w:lineRule="auto"/>
        <w:rPr>
          <w:rFonts w:cs="Arial"/>
        </w:rPr>
      </w:pPr>
      <w:r w:rsidRPr="00DE5C90">
        <w:rPr>
          <w:rFonts w:cs="Arial"/>
          <w:b/>
        </w:rPr>
        <w:t>PROVIDENT</w:t>
      </w:r>
      <w:r w:rsidR="000A59A0" w:rsidRPr="00DE5C90">
        <w:rPr>
          <w:rFonts w:cs="Arial"/>
          <w:b/>
        </w:rPr>
        <w:t xml:space="preserve"> AND PENSION</w:t>
      </w:r>
      <w:r w:rsidRPr="00DE5C90">
        <w:rPr>
          <w:rFonts w:cs="Arial"/>
          <w:b/>
        </w:rPr>
        <w:t xml:space="preserve"> FUND</w:t>
      </w:r>
      <w:r w:rsidRPr="00DE5C90">
        <w:rPr>
          <w:rFonts w:cs="Arial"/>
        </w:rPr>
        <w:tab/>
      </w:r>
      <w:r w:rsidRPr="00DE5C90">
        <w:rPr>
          <w:rFonts w:cs="Arial"/>
        </w:rPr>
        <w:tab/>
      </w:r>
      <w:r w:rsidRPr="00DE5C90">
        <w:rPr>
          <w:rFonts w:cs="Arial"/>
        </w:rPr>
        <w:tab/>
      </w:r>
      <w:r w:rsidR="00DE5C90">
        <w:rPr>
          <w:rFonts w:cs="Arial"/>
        </w:rPr>
        <w:tab/>
      </w:r>
      <w:r w:rsidRPr="00DE5C90">
        <w:rPr>
          <w:rFonts w:cs="Arial"/>
        </w:rPr>
        <w:tab/>
        <w:t>3</w:t>
      </w:r>
      <w:r w:rsidRPr="00DE5C90">
        <w:rPr>
          <w:rFonts w:cs="Arial"/>
          <w:vertAlign w:val="superscript"/>
        </w:rPr>
        <w:t>rd</w:t>
      </w:r>
      <w:r w:rsidRPr="00DE5C90">
        <w:rPr>
          <w:rFonts w:cs="Arial"/>
        </w:rPr>
        <w:t xml:space="preserve"> Respondent</w:t>
      </w:r>
    </w:p>
    <w:p w14:paraId="2AD224CC" w14:textId="77777777" w:rsidR="000A59A0" w:rsidRPr="00DE5C90" w:rsidRDefault="000A59A0" w:rsidP="00F92DB6">
      <w:pPr>
        <w:pStyle w:val="LegalNormal"/>
        <w:spacing w:after="0" w:line="360" w:lineRule="auto"/>
        <w:rPr>
          <w:rFonts w:cs="Arial"/>
          <w:b/>
        </w:rPr>
      </w:pPr>
      <w:r w:rsidRPr="00DE5C90">
        <w:rPr>
          <w:rFonts w:cs="Arial"/>
          <w:b/>
        </w:rPr>
        <w:t xml:space="preserve">NATIONAL RESEARCH FOUNDATION </w:t>
      </w:r>
    </w:p>
    <w:p w14:paraId="6A63F6CC" w14:textId="33E9FDC4" w:rsidR="000A59A0" w:rsidRPr="00DE5C90" w:rsidRDefault="000A59A0" w:rsidP="000A59A0">
      <w:pPr>
        <w:pStyle w:val="LegalNormal"/>
        <w:spacing w:after="120" w:line="360" w:lineRule="auto"/>
        <w:rPr>
          <w:rFonts w:cs="Arial"/>
        </w:rPr>
      </w:pPr>
      <w:r w:rsidRPr="00DE5C90">
        <w:rPr>
          <w:rFonts w:cs="Arial"/>
          <w:b/>
        </w:rPr>
        <w:t>PENSION FUND BOARD OF TRUSTEE</w:t>
      </w:r>
      <w:r w:rsidRPr="00DE5C90">
        <w:rPr>
          <w:rFonts w:cs="Arial"/>
          <w:b/>
        </w:rPr>
        <w:tab/>
      </w:r>
      <w:r w:rsidRPr="00DE5C90">
        <w:rPr>
          <w:rFonts w:cs="Arial"/>
          <w:b/>
        </w:rPr>
        <w:tab/>
      </w:r>
      <w:r w:rsidRPr="00DE5C90">
        <w:rPr>
          <w:rFonts w:cs="Arial"/>
          <w:b/>
        </w:rPr>
        <w:tab/>
      </w:r>
      <w:r w:rsidRPr="00DE5C90">
        <w:rPr>
          <w:rFonts w:cs="Arial"/>
          <w:b/>
        </w:rPr>
        <w:tab/>
      </w:r>
      <w:r w:rsidRPr="00DE5C90">
        <w:rPr>
          <w:rFonts w:cs="Arial"/>
        </w:rPr>
        <w:t>4</w:t>
      </w:r>
      <w:r w:rsidRPr="00DE5C90">
        <w:rPr>
          <w:rFonts w:cs="Arial"/>
          <w:vertAlign w:val="superscript"/>
        </w:rPr>
        <w:t>th</w:t>
      </w:r>
      <w:r w:rsidRPr="00DE5C90">
        <w:rPr>
          <w:rFonts w:cs="Arial"/>
        </w:rPr>
        <w:t xml:space="preserve"> Respondent</w:t>
      </w:r>
    </w:p>
    <w:p w14:paraId="32B91FB8" w14:textId="5C68CDA6" w:rsidR="000A59A0" w:rsidRPr="00DE5C90" w:rsidRDefault="000A59A0" w:rsidP="000A59A0">
      <w:pPr>
        <w:pStyle w:val="LegalNormal"/>
        <w:spacing w:after="120" w:line="360" w:lineRule="auto"/>
        <w:rPr>
          <w:rFonts w:cs="Arial"/>
        </w:rPr>
      </w:pPr>
      <w:r w:rsidRPr="00DE5C90">
        <w:rPr>
          <w:rFonts w:cs="Arial"/>
          <w:b/>
        </w:rPr>
        <w:t>MR BISHEN SINGH</w:t>
      </w:r>
      <w:r w:rsidRPr="00DE5C90">
        <w:rPr>
          <w:rFonts w:cs="Arial"/>
          <w:b/>
        </w:rPr>
        <w:tab/>
      </w:r>
      <w:r w:rsidRPr="00DE5C90">
        <w:rPr>
          <w:rFonts w:cs="Arial"/>
          <w:b/>
        </w:rPr>
        <w:tab/>
      </w:r>
      <w:r w:rsidRPr="00DE5C90">
        <w:rPr>
          <w:rFonts w:cs="Arial"/>
          <w:b/>
        </w:rPr>
        <w:tab/>
      </w:r>
      <w:r w:rsidRPr="00DE5C90">
        <w:rPr>
          <w:rFonts w:cs="Arial"/>
          <w:b/>
        </w:rPr>
        <w:tab/>
      </w:r>
      <w:r w:rsidRPr="00DE5C90">
        <w:rPr>
          <w:rFonts w:cs="Arial"/>
          <w:b/>
        </w:rPr>
        <w:tab/>
      </w:r>
      <w:r w:rsidRPr="00DE5C90">
        <w:rPr>
          <w:rFonts w:cs="Arial"/>
          <w:b/>
        </w:rPr>
        <w:tab/>
      </w:r>
      <w:r w:rsidRPr="00DE5C90">
        <w:rPr>
          <w:rFonts w:cs="Arial"/>
          <w:b/>
        </w:rPr>
        <w:tab/>
      </w:r>
      <w:r w:rsidRPr="00DE5C90">
        <w:rPr>
          <w:rFonts w:cs="Arial"/>
        </w:rPr>
        <w:t>5</w:t>
      </w:r>
      <w:r w:rsidRPr="00DE5C90">
        <w:rPr>
          <w:rFonts w:cs="Arial"/>
          <w:vertAlign w:val="superscript"/>
        </w:rPr>
        <w:t>th</w:t>
      </w:r>
      <w:r w:rsidRPr="00DE5C90">
        <w:rPr>
          <w:rFonts w:cs="Arial"/>
        </w:rPr>
        <w:t xml:space="preserve"> Respondent</w:t>
      </w:r>
    </w:p>
    <w:p w14:paraId="3BA63997" w14:textId="12637DAE" w:rsidR="000A59A0" w:rsidRPr="00DE5C90" w:rsidRDefault="000A59A0" w:rsidP="000A59A0">
      <w:pPr>
        <w:pStyle w:val="LegalNormal"/>
        <w:spacing w:after="120" w:line="360" w:lineRule="auto"/>
        <w:rPr>
          <w:rFonts w:cs="Arial"/>
        </w:rPr>
      </w:pPr>
      <w:r w:rsidRPr="00DE5C90">
        <w:rPr>
          <w:rFonts w:cs="Arial"/>
          <w:b/>
        </w:rPr>
        <w:t>MR KEDIRANG CAGILE</w:t>
      </w:r>
      <w:r w:rsidRPr="00DE5C90">
        <w:rPr>
          <w:rFonts w:cs="Arial"/>
          <w:b/>
        </w:rPr>
        <w:tab/>
      </w:r>
      <w:r w:rsidRPr="00DE5C90">
        <w:rPr>
          <w:rFonts w:cs="Arial"/>
        </w:rPr>
        <w:tab/>
      </w:r>
      <w:r w:rsidRPr="00DE5C90">
        <w:rPr>
          <w:rFonts w:cs="Arial"/>
        </w:rPr>
        <w:tab/>
      </w:r>
      <w:r w:rsidRPr="00DE5C90">
        <w:rPr>
          <w:rFonts w:cs="Arial"/>
        </w:rPr>
        <w:tab/>
      </w:r>
      <w:r w:rsidRPr="00DE5C90">
        <w:rPr>
          <w:rFonts w:cs="Arial"/>
        </w:rPr>
        <w:tab/>
      </w:r>
      <w:r w:rsidR="00DE5C90">
        <w:rPr>
          <w:rFonts w:cs="Arial"/>
        </w:rPr>
        <w:tab/>
      </w:r>
      <w:r w:rsidRPr="00DE5C90">
        <w:rPr>
          <w:rFonts w:cs="Arial"/>
        </w:rPr>
        <w:tab/>
        <w:t>6</w:t>
      </w:r>
      <w:r w:rsidRPr="00DE5C90">
        <w:rPr>
          <w:rFonts w:cs="Arial"/>
          <w:vertAlign w:val="superscript"/>
        </w:rPr>
        <w:t xml:space="preserve">th </w:t>
      </w:r>
      <w:r w:rsidRPr="00DE5C90">
        <w:rPr>
          <w:rFonts w:cs="Arial"/>
        </w:rPr>
        <w:t>Respondent</w:t>
      </w:r>
    </w:p>
    <w:p w14:paraId="0569B055" w14:textId="62B24282" w:rsidR="000A59A0" w:rsidRPr="00DE5C90" w:rsidRDefault="000A59A0" w:rsidP="000A59A0">
      <w:pPr>
        <w:pStyle w:val="LegalNormal"/>
        <w:spacing w:after="120" w:line="360" w:lineRule="auto"/>
        <w:rPr>
          <w:rFonts w:cs="Arial"/>
        </w:rPr>
      </w:pPr>
      <w:r w:rsidRPr="00DE5C90">
        <w:rPr>
          <w:rFonts w:cs="Arial"/>
          <w:b/>
        </w:rPr>
        <w:lastRenderedPageBreak/>
        <w:t xml:space="preserve">MR JOHN MARTIN HOGG </w:t>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t>7</w:t>
      </w:r>
      <w:r w:rsidRPr="00DE5C90">
        <w:rPr>
          <w:rFonts w:cs="Arial"/>
          <w:vertAlign w:val="superscript"/>
        </w:rPr>
        <w:t>th</w:t>
      </w:r>
      <w:r w:rsidRPr="00DE5C90">
        <w:rPr>
          <w:rFonts w:cs="Arial"/>
        </w:rPr>
        <w:t xml:space="preserve"> Respondent</w:t>
      </w:r>
    </w:p>
    <w:p w14:paraId="6BAE4DF0" w14:textId="2BE1C6DE" w:rsidR="000A59A0" w:rsidRPr="00DE5C90" w:rsidRDefault="000A59A0" w:rsidP="000A59A0">
      <w:pPr>
        <w:pStyle w:val="LegalNormal"/>
        <w:spacing w:after="120" w:line="360" w:lineRule="auto"/>
        <w:rPr>
          <w:rFonts w:cs="Arial"/>
        </w:rPr>
      </w:pPr>
      <w:r w:rsidRPr="00DE5C90">
        <w:rPr>
          <w:rFonts w:cs="Arial"/>
          <w:b/>
        </w:rPr>
        <w:t>DR BEVERLEY DAMONSE</w:t>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t>8</w:t>
      </w:r>
      <w:r w:rsidRPr="00DE5C90">
        <w:rPr>
          <w:rFonts w:cs="Arial"/>
          <w:vertAlign w:val="superscript"/>
        </w:rPr>
        <w:t>th</w:t>
      </w:r>
      <w:r w:rsidRPr="00DE5C90">
        <w:rPr>
          <w:rFonts w:cs="Arial"/>
        </w:rPr>
        <w:t xml:space="preserve"> Respondent</w:t>
      </w:r>
    </w:p>
    <w:p w14:paraId="0F970CCA" w14:textId="13AE2E01" w:rsidR="000A59A0" w:rsidRPr="00DE5C90" w:rsidRDefault="000A59A0" w:rsidP="000A59A0">
      <w:pPr>
        <w:pStyle w:val="LegalNormal"/>
        <w:spacing w:after="120" w:line="360" w:lineRule="auto"/>
        <w:rPr>
          <w:rFonts w:cs="Arial"/>
        </w:rPr>
      </w:pPr>
      <w:r w:rsidRPr="00DE5C90">
        <w:rPr>
          <w:rFonts w:cs="Arial"/>
          <w:b/>
        </w:rPr>
        <w:t>MR JOHAN PAUW</w:t>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00DE5C90">
        <w:rPr>
          <w:rFonts w:cs="Arial"/>
        </w:rPr>
        <w:tab/>
      </w:r>
      <w:r w:rsidRPr="00DE5C90">
        <w:rPr>
          <w:rFonts w:cs="Arial"/>
        </w:rPr>
        <w:t>9</w:t>
      </w:r>
      <w:r w:rsidRPr="00DE5C90">
        <w:rPr>
          <w:rFonts w:cs="Arial"/>
          <w:vertAlign w:val="superscript"/>
        </w:rPr>
        <w:t>th</w:t>
      </w:r>
      <w:r w:rsidRPr="00DE5C90">
        <w:rPr>
          <w:rFonts w:cs="Arial"/>
        </w:rPr>
        <w:t xml:space="preserve"> Respondent</w:t>
      </w:r>
    </w:p>
    <w:p w14:paraId="372EA7FD" w14:textId="27CC48A5" w:rsidR="000A59A0" w:rsidRPr="00DE5C90" w:rsidRDefault="000A59A0" w:rsidP="000A59A0">
      <w:pPr>
        <w:pStyle w:val="LegalNormal"/>
        <w:spacing w:after="120" w:line="360" w:lineRule="auto"/>
        <w:rPr>
          <w:rFonts w:cs="Arial"/>
        </w:rPr>
      </w:pPr>
      <w:r w:rsidRPr="00DE5C90">
        <w:rPr>
          <w:rFonts w:cs="Arial"/>
          <w:b/>
        </w:rPr>
        <w:t>MR JOHN PILCHER</w:t>
      </w:r>
      <w:r w:rsidRPr="00DE5C90">
        <w:rPr>
          <w:rFonts w:cs="Arial"/>
          <w:b/>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t>10</w:t>
      </w:r>
      <w:r w:rsidRPr="00DE5C90">
        <w:rPr>
          <w:rFonts w:cs="Arial"/>
          <w:vertAlign w:val="superscript"/>
        </w:rPr>
        <w:t>th</w:t>
      </w:r>
      <w:r w:rsidRPr="00DE5C90">
        <w:rPr>
          <w:rFonts w:cs="Arial"/>
        </w:rPr>
        <w:t xml:space="preserve"> Respondent</w:t>
      </w:r>
    </w:p>
    <w:p w14:paraId="630B97BD" w14:textId="69F09912" w:rsidR="000A59A0" w:rsidRPr="00DE5C90" w:rsidRDefault="000A59A0" w:rsidP="000A59A0">
      <w:pPr>
        <w:pStyle w:val="LegalNormal"/>
        <w:spacing w:after="120" w:line="360" w:lineRule="auto"/>
        <w:rPr>
          <w:rFonts w:cs="Arial"/>
        </w:rPr>
      </w:pPr>
      <w:r w:rsidRPr="00DE5C90">
        <w:rPr>
          <w:rFonts w:cs="Arial"/>
          <w:b/>
        </w:rPr>
        <w:t>THE BOARD OF DIRECTORS OF THE NRF</w:t>
      </w:r>
      <w:r w:rsidRPr="00DE5C90">
        <w:rPr>
          <w:rFonts w:cs="Arial"/>
          <w:b/>
        </w:rPr>
        <w:tab/>
      </w:r>
      <w:r w:rsidRPr="00DE5C90">
        <w:rPr>
          <w:rFonts w:cs="Arial"/>
          <w:b/>
        </w:rPr>
        <w:tab/>
      </w:r>
      <w:r w:rsidRPr="00DE5C90">
        <w:rPr>
          <w:rFonts w:cs="Arial"/>
          <w:b/>
        </w:rPr>
        <w:tab/>
      </w:r>
      <w:r w:rsidR="00DE5C90">
        <w:rPr>
          <w:rFonts w:cs="Arial"/>
          <w:b/>
        </w:rPr>
        <w:tab/>
      </w:r>
      <w:r w:rsidRPr="00DE5C90">
        <w:rPr>
          <w:rFonts w:cs="Arial"/>
        </w:rPr>
        <w:t>11</w:t>
      </w:r>
      <w:r w:rsidRPr="00DE5C90">
        <w:rPr>
          <w:rFonts w:cs="Arial"/>
          <w:vertAlign w:val="superscript"/>
        </w:rPr>
        <w:t>th</w:t>
      </w:r>
      <w:r w:rsidRPr="00DE5C90">
        <w:rPr>
          <w:rFonts w:cs="Arial"/>
        </w:rPr>
        <w:t xml:space="preserve"> Respondent</w:t>
      </w:r>
    </w:p>
    <w:p w14:paraId="3E894643" w14:textId="00472430" w:rsidR="000A59A0" w:rsidRPr="00DE5C90" w:rsidRDefault="000A59A0" w:rsidP="000A59A0">
      <w:pPr>
        <w:pStyle w:val="LegalNormal"/>
        <w:spacing w:after="120" w:line="360" w:lineRule="auto"/>
        <w:rPr>
          <w:rFonts w:cs="Arial"/>
        </w:rPr>
      </w:pPr>
      <w:r w:rsidRPr="00DE5C90">
        <w:rPr>
          <w:rFonts w:cs="Arial"/>
          <w:b/>
        </w:rPr>
        <w:t>DR MOLAPO QOBHELA</w:t>
      </w:r>
      <w:r w:rsidRPr="00DE5C90">
        <w:rPr>
          <w:rFonts w:cs="Arial"/>
          <w:b/>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00DE5C90">
        <w:rPr>
          <w:rFonts w:cs="Arial"/>
        </w:rPr>
        <w:tab/>
      </w:r>
      <w:r w:rsidRPr="00DE5C90">
        <w:rPr>
          <w:rFonts w:cs="Arial"/>
        </w:rPr>
        <w:t>12</w:t>
      </w:r>
      <w:r w:rsidRPr="00DE5C90">
        <w:rPr>
          <w:rFonts w:cs="Arial"/>
          <w:vertAlign w:val="superscript"/>
        </w:rPr>
        <w:t>th</w:t>
      </w:r>
      <w:r w:rsidRPr="00DE5C90">
        <w:rPr>
          <w:rFonts w:cs="Arial"/>
        </w:rPr>
        <w:t xml:space="preserve"> Respondent</w:t>
      </w:r>
    </w:p>
    <w:p w14:paraId="17F8E2D5" w14:textId="58804962" w:rsidR="000A59A0" w:rsidRPr="00DE5C90" w:rsidRDefault="000A59A0" w:rsidP="000A59A0">
      <w:pPr>
        <w:pStyle w:val="LegalNormal"/>
        <w:spacing w:after="120" w:line="360" w:lineRule="auto"/>
        <w:rPr>
          <w:rFonts w:cs="Arial"/>
        </w:rPr>
      </w:pPr>
      <w:r w:rsidRPr="00DE5C90">
        <w:rPr>
          <w:rFonts w:cs="Arial"/>
          <w:b/>
        </w:rPr>
        <w:t xml:space="preserve">DR NOMPUMELELO </w:t>
      </w:r>
      <w:r w:rsidR="006A003D" w:rsidRPr="00DE5C90">
        <w:rPr>
          <w:rFonts w:cs="Arial"/>
          <w:b/>
        </w:rPr>
        <w:t>OBOKOH</w:t>
      </w:r>
      <w:r w:rsidR="006A003D" w:rsidRPr="00DE5C90">
        <w:rPr>
          <w:rFonts w:cs="Arial"/>
          <w:b/>
        </w:rPr>
        <w:tab/>
      </w:r>
      <w:r w:rsidR="006A003D" w:rsidRPr="00DE5C90">
        <w:rPr>
          <w:rFonts w:cs="Arial"/>
        </w:rPr>
        <w:tab/>
      </w:r>
      <w:r w:rsidR="006A003D" w:rsidRPr="00DE5C90">
        <w:rPr>
          <w:rFonts w:cs="Arial"/>
        </w:rPr>
        <w:tab/>
      </w:r>
      <w:r w:rsidR="006A003D" w:rsidRPr="00DE5C90">
        <w:rPr>
          <w:rFonts w:cs="Arial"/>
        </w:rPr>
        <w:tab/>
      </w:r>
      <w:r w:rsidR="006A003D" w:rsidRPr="00DE5C90">
        <w:rPr>
          <w:rFonts w:cs="Arial"/>
        </w:rPr>
        <w:tab/>
      </w:r>
      <w:r w:rsidR="00DE5C90">
        <w:rPr>
          <w:rFonts w:cs="Arial"/>
        </w:rPr>
        <w:tab/>
      </w:r>
      <w:r w:rsidR="006A003D" w:rsidRPr="00DE5C90">
        <w:rPr>
          <w:rFonts w:cs="Arial"/>
        </w:rPr>
        <w:t>13</w:t>
      </w:r>
      <w:r w:rsidR="006A003D" w:rsidRPr="00DE5C90">
        <w:rPr>
          <w:rFonts w:cs="Arial"/>
          <w:vertAlign w:val="superscript"/>
        </w:rPr>
        <w:t>th</w:t>
      </w:r>
      <w:r w:rsidR="006A003D" w:rsidRPr="00DE5C90">
        <w:rPr>
          <w:rFonts w:cs="Arial"/>
        </w:rPr>
        <w:t xml:space="preserve"> Respondent</w:t>
      </w:r>
    </w:p>
    <w:p w14:paraId="1D88279D" w14:textId="2D4C7AA8" w:rsidR="006A003D" w:rsidRPr="00DE5C90" w:rsidRDefault="006A003D" w:rsidP="000A59A0">
      <w:pPr>
        <w:pStyle w:val="LegalNormal"/>
        <w:spacing w:after="120" w:line="360" w:lineRule="auto"/>
        <w:rPr>
          <w:rFonts w:cs="Arial"/>
        </w:rPr>
      </w:pPr>
      <w:r w:rsidRPr="00DE5C90">
        <w:rPr>
          <w:rFonts w:cs="Arial"/>
          <w:b/>
        </w:rPr>
        <w:t>PROF HAROON BHORAT</w:t>
      </w:r>
      <w:r w:rsidRPr="00DE5C90">
        <w:rPr>
          <w:rFonts w:cs="Arial"/>
          <w:b/>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t>14</w:t>
      </w:r>
      <w:r w:rsidRPr="00DE5C90">
        <w:rPr>
          <w:rFonts w:cs="Arial"/>
          <w:vertAlign w:val="superscript"/>
        </w:rPr>
        <w:t>th</w:t>
      </w:r>
      <w:r w:rsidRPr="00DE5C90">
        <w:rPr>
          <w:rFonts w:cs="Arial"/>
        </w:rPr>
        <w:t xml:space="preserve"> Respondent</w:t>
      </w:r>
    </w:p>
    <w:p w14:paraId="6A0A5340" w14:textId="66F36A29" w:rsidR="006A003D" w:rsidRPr="00DE5C90" w:rsidRDefault="006A003D" w:rsidP="000A59A0">
      <w:pPr>
        <w:pStyle w:val="LegalNormal"/>
        <w:spacing w:after="120" w:line="360" w:lineRule="auto"/>
        <w:rPr>
          <w:rFonts w:cs="Arial"/>
        </w:rPr>
      </w:pPr>
      <w:r w:rsidRPr="00DE5C90">
        <w:rPr>
          <w:rFonts w:cs="Arial"/>
          <w:b/>
        </w:rPr>
        <w:t>PROF GLENDA GRAY</w:t>
      </w:r>
      <w:r w:rsidRPr="00DE5C90">
        <w:rPr>
          <w:rFonts w:cs="Arial"/>
          <w:b/>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00DE5C90">
        <w:rPr>
          <w:rFonts w:cs="Arial"/>
        </w:rPr>
        <w:tab/>
      </w:r>
      <w:r w:rsidRPr="00DE5C90">
        <w:rPr>
          <w:rFonts w:cs="Arial"/>
        </w:rPr>
        <w:t>15</w:t>
      </w:r>
      <w:r w:rsidRPr="00DE5C90">
        <w:rPr>
          <w:rFonts w:cs="Arial"/>
          <w:vertAlign w:val="superscript"/>
        </w:rPr>
        <w:t>th</w:t>
      </w:r>
      <w:r w:rsidRPr="00DE5C90">
        <w:rPr>
          <w:rFonts w:cs="Arial"/>
        </w:rPr>
        <w:t xml:space="preserve"> Respondent</w:t>
      </w:r>
    </w:p>
    <w:p w14:paraId="0B043BF3" w14:textId="5F576A19" w:rsidR="006A003D" w:rsidRPr="00DE5C90" w:rsidRDefault="006A003D" w:rsidP="000A59A0">
      <w:pPr>
        <w:pStyle w:val="LegalNormal"/>
        <w:spacing w:after="120" w:line="360" w:lineRule="auto"/>
        <w:rPr>
          <w:rFonts w:cs="Arial"/>
        </w:rPr>
      </w:pPr>
      <w:r w:rsidRPr="00DE5C90">
        <w:rPr>
          <w:rFonts w:cs="Arial"/>
          <w:b/>
        </w:rPr>
        <w:t>MS CLAIRE BUSETTI</w:t>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t>16</w:t>
      </w:r>
      <w:r w:rsidRPr="00DE5C90">
        <w:rPr>
          <w:rFonts w:cs="Arial"/>
          <w:vertAlign w:val="superscript"/>
        </w:rPr>
        <w:t>th</w:t>
      </w:r>
      <w:r w:rsidRPr="00DE5C90">
        <w:rPr>
          <w:rFonts w:cs="Arial"/>
        </w:rPr>
        <w:t xml:space="preserve"> Respondent</w:t>
      </w:r>
    </w:p>
    <w:p w14:paraId="378E3AC4" w14:textId="201E4890" w:rsidR="006A003D" w:rsidRPr="00DE5C90" w:rsidRDefault="003170CC" w:rsidP="000A59A0">
      <w:pPr>
        <w:pStyle w:val="LegalNormal"/>
        <w:spacing w:after="120" w:line="360" w:lineRule="auto"/>
        <w:rPr>
          <w:rFonts w:cs="Arial"/>
        </w:rPr>
      </w:pPr>
      <w:r w:rsidRPr="00DE5C90">
        <w:rPr>
          <w:rFonts w:cs="Arial"/>
          <w:b/>
        </w:rPr>
        <w:t>MS MPHO LETLAPE</w:t>
      </w:r>
      <w:r w:rsidRPr="00DE5C90">
        <w:rPr>
          <w:rFonts w:cs="Arial"/>
          <w:b/>
        </w:rPr>
        <w:tab/>
      </w:r>
      <w:r w:rsidRPr="00DE5C90">
        <w:rPr>
          <w:rFonts w:cs="Arial"/>
          <w:b/>
        </w:rPr>
        <w:tab/>
      </w:r>
      <w:r w:rsidRPr="00DE5C90">
        <w:rPr>
          <w:rFonts w:cs="Arial"/>
          <w:b/>
        </w:rPr>
        <w:tab/>
      </w:r>
      <w:r w:rsidRPr="00DE5C90">
        <w:rPr>
          <w:rFonts w:cs="Arial"/>
          <w:b/>
        </w:rPr>
        <w:tab/>
      </w:r>
      <w:r w:rsidRPr="00DE5C90">
        <w:rPr>
          <w:rFonts w:cs="Arial"/>
          <w:b/>
        </w:rPr>
        <w:tab/>
      </w:r>
      <w:r w:rsidRPr="00DE5C90">
        <w:rPr>
          <w:rFonts w:cs="Arial"/>
          <w:b/>
        </w:rPr>
        <w:tab/>
      </w:r>
      <w:r w:rsidRPr="00DE5C90">
        <w:rPr>
          <w:rFonts w:cs="Arial"/>
          <w:b/>
        </w:rPr>
        <w:tab/>
      </w:r>
      <w:r w:rsidRPr="00DE5C90">
        <w:rPr>
          <w:rFonts w:cs="Arial"/>
        </w:rPr>
        <w:t>17</w:t>
      </w:r>
      <w:r w:rsidRPr="00DE5C90">
        <w:rPr>
          <w:rFonts w:cs="Arial"/>
          <w:vertAlign w:val="superscript"/>
        </w:rPr>
        <w:t>th</w:t>
      </w:r>
      <w:r w:rsidRPr="00DE5C90">
        <w:rPr>
          <w:rFonts w:cs="Arial"/>
        </w:rPr>
        <w:t xml:space="preserve"> Respondent</w:t>
      </w:r>
    </w:p>
    <w:p w14:paraId="44D2885D" w14:textId="52870A5B" w:rsidR="003170CC" w:rsidRPr="00DE5C90" w:rsidRDefault="003170CC" w:rsidP="000A59A0">
      <w:pPr>
        <w:pStyle w:val="LegalNormal"/>
        <w:spacing w:after="120" w:line="360" w:lineRule="auto"/>
        <w:rPr>
          <w:rFonts w:cs="Arial"/>
        </w:rPr>
      </w:pPr>
      <w:r w:rsidRPr="00DE5C90">
        <w:rPr>
          <w:rFonts w:cs="Arial"/>
          <w:b/>
        </w:rPr>
        <w:t>MR RONNY LUBISI</w:t>
      </w:r>
      <w:r w:rsidRPr="00DE5C90">
        <w:rPr>
          <w:rFonts w:cs="Arial"/>
          <w:b/>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t>18</w:t>
      </w:r>
      <w:r w:rsidRPr="00DE5C90">
        <w:rPr>
          <w:rFonts w:cs="Arial"/>
          <w:vertAlign w:val="superscript"/>
        </w:rPr>
        <w:t>th</w:t>
      </w:r>
      <w:r w:rsidRPr="00DE5C90">
        <w:rPr>
          <w:rFonts w:cs="Arial"/>
        </w:rPr>
        <w:t xml:space="preserve"> Respondent</w:t>
      </w:r>
    </w:p>
    <w:p w14:paraId="21A52C50" w14:textId="5EABB543" w:rsidR="003170CC" w:rsidRPr="00DE5C90" w:rsidRDefault="003170CC" w:rsidP="000A59A0">
      <w:pPr>
        <w:pStyle w:val="LegalNormal"/>
        <w:spacing w:after="120" w:line="360" w:lineRule="auto"/>
        <w:rPr>
          <w:rFonts w:cs="Arial"/>
        </w:rPr>
      </w:pPr>
      <w:r w:rsidRPr="00DE5C90">
        <w:rPr>
          <w:rFonts w:cs="Arial"/>
          <w:b/>
        </w:rPr>
        <w:t>PROF TINYIKO MALULEKE</w:t>
      </w:r>
      <w:r w:rsidRPr="00DE5C90">
        <w:rPr>
          <w:rFonts w:cs="Arial"/>
          <w:b/>
        </w:rPr>
        <w:tab/>
      </w:r>
      <w:r w:rsidRPr="00DE5C90">
        <w:rPr>
          <w:rFonts w:cs="Arial"/>
        </w:rPr>
        <w:tab/>
      </w:r>
      <w:r w:rsidRPr="00DE5C90">
        <w:rPr>
          <w:rFonts w:cs="Arial"/>
        </w:rPr>
        <w:tab/>
      </w:r>
      <w:r w:rsidRPr="00DE5C90">
        <w:rPr>
          <w:rFonts w:cs="Arial"/>
        </w:rPr>
        <w:tab/>
      </w:r>
      <w:r w:rsidRPr="00DE5C90">
        <w:rPr>
          <w:rFonts w:cs="Arial"/>
        </w:rPr>
        <w:tab/>
      </w:r>
      <w:r w:rsidR="00DE5C90">
        <w:rPr>
          <w:rFonts w:cs="Arial"/>
        </w:rPr>
        <w:tab/>
      </w:r>
      <w:r w:rsidRPr="00DE5C90">
        <w:rPr>
          <w:rFonts w:cs="Arial"/>
        </w:rPr>
        <w:t>19</w:t>
      </w:r>
      <w:r w:rsidRPr="00DE5C90">
        <w:rPr>
          <w:rFonts w:cs="Arial"/>
          <w:vertAlign w:val="superscript"/>
        </w:rPr>
        <w:t>th</w:t>
      </w:r>
      <w:r w:rsidRPr="00DE5C90">
        <w:rPr>
          <w:rFonts w:cs="Arial"/>
        </w:rPr>
        <w:t xml:space="preserve"> Respondent</w:t>
      </w:r>
    </w:p>
    <w:p w14:paraId="66570B29" w14:textId="769DFD55" w:rsidR="003170CC" w:rsidRPr="00DE5C90" w:rsidRDefault="003170CC" w:rsidP="000A59A0">
      <w:pPr>
        <w:pStyle w:val="LegalNormal"/>
        <w:spacing w:after="120" w:line="360" w:lineRule="auto"/>
        <w:rPr>
          <w:rFonts w:cs="Arial"/>
        </w:rPr>
      </w:pPr>
      <w:r w:rsidRPr="00DE5C90">
        <w:rPr>
          <w:rFonts w:cs="Arial"/>
          <w:b/>
        </w:rPr>
        <w:t>PROF NOMALANGA MKHIZE</w:t>
      </w:r>
      <w:r w:rsidRPr="00DE5C90">
        <w:rPr>
          <w:rFonts w:cs="Arial"/>
          <w:b/>
        </w:rPr>
        <w:tab/>
      </w:r>
      <w:r w:rsidRPr="00DE5C90">
        <w:rPr>
          <w:rFonts w:cs="Arial"/>
          <w:b/>
        </w:rPr>
        <w:tab/>
      </w:r>
      <w:r w:rsidRPr="00DE5C90">
        <w:rPr>
          <w:rFonts w:cs="Arial"/>
          <w:b/>
        </w:rPr>
        <w:tab/>
      </w:r>
      <w:r w:rsidRPr="00DE5C90">
        <w:rPr>
          <w:rFonts w:cs="Arial"/>
          <w:b/>
        </w:rPr>
        <w:tab/>
      </w:r>
      <w:r w:rsidRPr="00DE5C90">
        <w:rPr>
          <w:rFonts w:cs="Arial"/>
          <w:b/>
        </w:rPr>
        <w:tab/>
      </w:r>
      <w:r w:rsidR="00DE5C90">
        <w:rPr>
          <w:rFonts w:cs="Arial"/>
          <w:b/>
        </w:rPr>
        <w:tab/>
      </w:r>
      <w:r w:rsidRPr="00DE5C90">
        <w:rPr>
          <w:rFonts w:cs="Arial"/>
        </w:rPr>
        <w:t>20</w:t>
      </w:r>
      <w:r w:rsidRPr="00DE5C90">
        <w:rPr>
          <w:rFonts w:cs="Arial"/>
          <w:vertAlign w:val="superscript"/>
        </w:rPr>
        <w:t>th</w:t>
      </w:r>
      <w:r w:rsidRPr="00DE5C90">
        <w:rPr>
          <w:rFonts w:cs="Arial"/>
        </w:rPr>
        <w:t xml:space="preserve"> Respondent</w:t>
      </w:r>
    </w:p>
    <w:p w14:paraId="5B86FCD8" w14:textId="640FC914" w:rsidR="003170CC" w:rsidRPr="00DE5C90" w:rsidRDefault="003170CC" w:rsidP="000A59A0">
      <w:pPr>
        <w:pStyle w:val="LegalNormal"/>
        <w:spacing w:after="120" w:line="360" w:lineRule="auto"/>
        <w:rPr>
          <w:rFonts w:cs="Arial"/>
        </w:rPr>
      </w:pPr>
      <w:r w:rsidRPr="00DE5C90">
        <w:rPr>
          <w:rFonts w:cs="Arial"/>
          <w:b/>
        </w:rPr>
        <w:t>PROF SARAH MOSOETSA</w:t>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t>21</w:t>
      </w:r>
      <w:r w:rsidRPr="00DE5C90">
        <w:rPr>
          <w:rFonts w:cs="Arial"/>
          <w:vertAlign w:val="superscript"/>
        </w:rPr>
        <w:t>st</w:t>
      </w:r>
      <w:r w:rsidRPr="00DE5C90">
        <w:rPr>
          <w:rFonts w:cs="Arial"/>
        </w:rPr>
        <w:t xml:space="preserve"> Respondent</w:t>
      </w:r>
    </w:p>
    <w:p w14:paraId="4CA1FC13" w14:textId="517BD83B" w:rsidR="003170CC" w:rsidRPr="00DE5C90" w:rsidRDefault="003170CC" w:rsidP="000A59A0">
      <w:pPr>
        <w:pStyle w:val="LegalNormal"/>
        <w:spacing w:after="120" w:line="360" w:lineRule="auto"/>
        <w:rPr>
          <w:rFonts w:cs="Arial"/>
        </w:rPr>
      </w:pPr>
      <w:r w:rsidRPr="00DE5C90">
        <w:rPr>
          <w:rFonts w:cs="Arial"/>
          <w:b/>
        </w:rPr>
        <w:t>DR BONGANI NGQULUNGA</w:t>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00DE5C90">
        <w:rPr>
          <w:rFonts w:cs="Arial"/>
        </w:rPr>
        <w:tab/>
      </w:r>
      <w:r w:rsidRPr="00DE5C90">
        <w:rPr>
          <w:rFonts w:cs="Arial"/>
        </w:rPr>
        <w:t>22</w:t>
      </w:r>
      <w:r w:rsidRPr="00DE5C90">
        <w:rPr>
          <w:rFonts w:cs="Arial"/>
          <w:vertAlign w:val="superscript"/>
        </w:rPr>
        <w:t>nd</w:t>
      </w:r>
      <w:r w:rsidRPr="00DE5C90">
        <w:rPr>
          <w:rFonts w:cs="Arial"/>
        </w:rPr>
        <w:t xml:space="preserve"> Respondent</w:t>
      </w:r>
    </w:p>
    <w:p w14:paraId="00EEEB7F" w14:textId="57A05177" w:rsidR="003170CC" w:rsidRPr="00DE5C90" w:rsidRDefault="003170CC" w:rsidP="000A59A0">
      <w:pPr>
        <w:pStyle w:val="LegalNormal"/>
        <w:spacing w:after="120" w:line="360" w:lineRule="auto"/>
        <w:rPr>
          <w:rFonts w:cs="Arial"/>
        </w:rPr>
      </w:pPr>
      <w:r w:rsidRPr="00DE5C90">
        <w:rPr>
          <w:rFonts w:cs="Arial"/>
          <w:b/>
        </w:rPr>
        <w:t>PROF NADINE PETERSEN</w:t>
      </w:r>
      <w:r w:rsidRPr="00DE5C90">
        <w:rPr>
          <w:rFonts w:cs="Arial"/>
          <w:b/>
        </w:rPr>
        <w:tab/>
      </w:r>
      <w:r w:rsidRPr="00DE5C90">
        <w:rPr>
          <w:rFonts w:cs="Arial"/>
          <w:b/>
        </w:rPr>
        <w:tab/>
      </w:r>
      <w:r w:rsidRPr="00DE5C90">
        <w:rPr>
          <w:rFonts w:cs="Arial"/>
          <w:b/>
        </w:rPr>
        <w:tab/>
      </w:r>
      <w:r w:rsidRPr="00DE5C90">
        <w:rPr>
          <w:rFonts w:cs="Arial"/>
          <w:b/>
        </w:rPr>
        <w:tab/>
      </w:r>
      <w:r w:rsidRPr="00DE5C90">
        <w:rPr>
          <w:rFonts w:cs="Arial"/>
          <w:b/>
        </w:rPr>
        <w:tab/>
      </w:r>
      <w:r w:rsidRPr="00DE5C90">
        <w:rPr>
          <w:rFonts w:cs="Arial"/>
          <w:b/>
        </w:rPr>
        <w:tab/>
      </w:r>
      <w:r w:rsidRPr="00DE5C90">
        <w:rPr>
          <w:rFonts w:cs="Arial"/>
        </w:rPr>
        <w:t>23</w:t>
      </w:r>
      <w:r w:rsidRPr="00DE5C90">
        <w:rPr>
          <w:rFonts w:cs="Arial"/>
          <w:vertAlign w:val="superscript"/>
        </w:rPr>
        <w:t>rd</w:t>
      </w:r>
      <w:r w:rsidRPr="00DE5C90">
        <w:rPr>
          <w:rFonts w:cs="Arial"/>
        </w:rPr>
        <w:t xml:space="preserve"> Respondent</w:t>
      </w:r>
    </w:p>
    <w:p w14:paraId="3C6226B6" w14:textId="4440CE9C" w:rsidR="003170CC" w:rsidRPr="00DE5C90" w:rsidRDefault="003170CC" w:rsidP="000A59A0">
      <w:pPr>
        <w:pStyle w:val="LegalNormal"/>
        <w:spacing w:after="120" w:line="360" w:lineRule="auto"/>
        <w:rPr>
          <w:rFonts w:cs="Arial"/>
        </w:rPr>
      </w:pPr>
      <w:r w:rsidRPr="00DE5C90">
        <w:rPr>
          <w:rFonts w:cs="Arial"/>
          <w:b/>
        </w:rPr>
        <w:t>PROF SAURABH SINHA</w:t>
      </w:r>
      <w:r w:rsidRPr="00DE5C90">
        <w:rPr>
          <w:rFonts w:cs="Arial"/>
          <w:b/>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r>
      <w:r w:rsidR="00DE5C90">
        <w:rPr>
          <w:rFonts w:cs="Arial"/>
        </w:rPr>
        <w:tab/>
      </w:r>
      <w:r w:rsidRPr="00DE5C90">
        <w:rPr>
          <w:rFonts w:cs="Arial"/>
        </w:rPr>
        <w:t>24</w:t>
      </w:r>
      <w:r w:rsidRPr="00DE5C90">
        <w:rPr>
          <w:rFonts w:cs="Arial"/>
          <w:vertAlign w:val="superscript"/>
        </w:rPr>
        <w:t>th</w:t>
      </w:r>
      <w:r w:rsidRPr="00DE5C90">
        <w:rPr>
          <w:rFonts w:cs="Arial"/>
        </w:rPr>
        <w:t xml:space="preserve"> Respondent</w:t>
      </w:r>
    </w:p>
    <w:p w14:paraId="5201CF30" w14:textId="572A7832" w:rsidR="003170CC" w:rsidRPr="00DE5C90" w:rsidRDefault="003170CC" w:rsidP="000A59A0">
      <w:pPr>
        <w:pStyle w:val="LegalNormal"/>
        <w:spacing w:after="120" w:line="360" w:lineRule="auto"/>
        <w:rPr>
          <w:rFonts w:cs="Arial"/>
        </w:rPr>
      </w:pPr>
      <w:r w:rsidRPr="00DE5C90">
        <w:rPr>
          <w:rFonts w:cs="Arial"/>
          <w:b/>
        </w:rPr>
        <w:t>PROF ZEBLON VILAKAZI</w:t>
      </w:r>
      <w:r w:rsidRPr="00DE5C90">
        <w:rPr>
          <w:rFonts w:cs="Arial"/>
          <w:b/>
        </w:rPr>
        <w:tab/>
      </w:r>
      <w:r w:rsidRPr="00DE5C90">
        <w:rPr>
          <w:rFonts w:cs="Arial"/>
        </w:rPr>
        <w:tab/>
      </w:r>
      <w:r w:rsidRPr="00DE5C90">
        <w:rPr>
          <w:rFonts w:cs="Arial"/>
        </w:rPr>
        <w:tab/>
      </w:r>
      <w:r w:rsidRPr="00DE5C90">
        <w:rPr>
          <w:rFonts w:cs="Arial"/>
        </w:rPr>
        <w:tab/>
      </w:r>
      <w:r w:rsidRPr="00DE5C90">
        <w:rPr>
          <w:rFonts w:cs="Arial"/>
        </w:rPr>
        <w:tab/>
      </w:r>
      <w:r w:rsidRPr="00DE5C90">
        <w:rPr>
          <w:rFonts w:cs="Arial"/>
        </w:rPr>
        <w:tab/>
        <w:t>25</w:t>
      </w:r>
      <w:r w:rsidRPr="00DE5C90">
        <w:rPr>
          <w:rFonts w:cs="Arial"/>
          <w:vertAlign w:val="superscript"/>
        </w:rPr>
        <w:t>th</w:t>
      </w:r>
      <w:r w:rsidRPr="00DE5C90">
        <w:rPr>
          <w:rFonts w:cs="Arial"/>
        </w:rPr>
        <w:t xml:space="preserve"> Respondent</w:t>
      </w:r>
    </w:p>
    <w:p w14:paraId="1351F5ED" w14:textId="476DEA11" w:rsidR="003170CC" w:rsidRPr="00DE5C90" w:rsidRDefault="00222CEF" w:rsidP="000A59A0">
      <w:pPr>
        <w:pStyle w:val="LegalNormal"/>
        <w:spacing w:after="120" w:line="360" w:lineRule="auto"/>
        <w:rPr>
          <w:rFonts w:cs="Arial"/>
        </w:rPr>
      </w:pPr>
      <w:r w:rsidRPr="00DE5C90">
        <w:rPr>
          <w:rFonts w:cs="Arial"/>
          <w:b/>
        </w:rPr>
        <w:t>PROF REFILWE PHASWANA-MFUYA</w:t>
      </w:r>
      <w:r w:rsidRPr="00DE5C90">
        <w:rPr>
          <w:rFonts w:cs="Arial"/>
          <w:b/>
        </w:rPr>
        <w:tab/>
      </w:r>
      <w:r w:rsidRPr="00DE5C90">
        <w:rPr>
          <w:rFonts w:cs="Arial"/>
          <w:b/>
        </w:rPr>
        <w:tab/>
      </w:r>
      <w:r w:rsidRPr="00DE5C90">
        <w:rPr>
          <w:rFonts w:cs="Arial"/>
          <w:b/>
        </w:rPr>
        <w:tab/>
      </w:r>
      <w:r w:rsidRPr="00DE5C90">
        <w:rPr>
          <w:rFonts w:cs="Arial"/>
          <w:b/>
        </w:rPr>
        <w:tab/>
      </w:r>
      <w:r w:rsidR="00DE5C90">
        <w:rPr>
          <w:rFonts w:cs="Arial"/>
          <w:b/>
        </w:rPr>
        <w:tab/>
      </w:r>
      <w:r w:rsidRPr="00DE5C90">
        <w:rPr>
          <w:rFonts w:cs="Arial"/>
        </w:rPr>
        <w:t>26</w:t>
      </w:r>
      <w:r w:rsidRPr="00DE5C90">
        <w:rPr>
          <w:rFonts w:cs="Arial"/>
          <w:vertAlign w:val="superscript"/>
        </w:rPr>
        <w:t>th</w:t>
      </w:r>
      <w:r w:rsidRPr="00DE5C90">
        <w:rPr>
          <w:rFonts w:cs="Arial"/>
        </w:rPr>
        <w:t xml:space="preserve"> Respondent</w:t>
      </w:r>
    </w:p>
    <w:p w14:paraId="00E2C591" w14:textId="3F99EA44" w:rsidR="00222CEF" w:rsidRPr="00DE5C90" w:rsidRDefault="00222CEF" w:rsidP="000A59A0">
      <w:pPr>
        <w:pStyle w:val="LegalNormal"/>
        <w:spacing w:after="120" w:line="360" w:lineRule="auto"/>
        <w:rPr>
          <w:rFonts w:cs="Arial"/>
        </w:rPr>
      </w:pPr>
      <w:r w:rsidRPr="00DE5C90">
        <w:rPr>
          <w:rFonts w:cs="Arial"/>
          <w:b/>
        </w:rPr>
        <w:t>THE MINISTER OF SCIENCE AND INNOVATION</w:t>
      </w:r>
      <w:r w:rsidRPr="00DE5C90">
        <w:rPr>
          <w:rFonts w:cs="Arial"/>
        </w:rPr>
        <w:tab/>
      </w:r>
      <w:r w:rsidRPr="00DE5C90">
        <w:rPr>
          <w:rFonts w:cs="Arial"/>
        </w:rPr>
        <w:tab/>
      </w:r>
      <w:r w:rsidR="00DE5C90">
        <w:rPr>
          <w:rFonts w:cs="Arial"/>
        </w:rPr>
        <w:tab/>
      </w:r>
      <w:r w:rsidRPr="00DE5C90">
        <w:rPr>
          <w:rFonts w:cs="Arial"/>
        </w:rPr>
        <w:t>27</w:t>
      </w:r>
      <w:r w:rsidRPr="00DE5C90">
        <w:rPr>
          <w:rFonts w:cs="Arial"/>
          <w:vertAlign w:val="superscript"/>
        </w:rPr>
        <w:t>th</w:t>
      </w:r>
      <w:r w:rsidRPr="00DE5C90">
        <w:rPr>
          <w:rFonts w:cs="Arial"/>
        </w:rPr>
        <w:t xml:space="preserve"> Respondent</w:t>
      </w:r>
    </w:p>
    <w:p w14:paraId="18A8630B" w14:textId="38EB3994" w:rsidR="00222CEF" w:rsidRPr="00DE5C90" w:rsidRDefault="00222CEF" w:rsidP="000A59A0">
      <w:pPr>
        <w:pStyle w:val="LegalNormal"/>
        <w:spacing w:after="120" w:line="360" w:lineRule="auto"/>
        <w:rPr>
          <w:rFonts w:cs="Arial"/>
        </w:rPr>
      </w:pPr>
      <w:r w:rsidRPr="00DE5C90">
        <w:rPr>
          <w:rFonts w:cs="Arial"/>
          <w:b/>
        </w:rPr>
        <w:t>THE MINISTER OF FINANCE</w:t>
      </w:r>
      <w:r w:rsidRPr="00DE5C90">
        <w:rPr>
          <w:rFonts w:cs="Arial"/>
          <w:b/>
        </w:rPr>
        <w:tab/>
      </w:r>
      <w:r w:rsidRPr="00DE5C90">
        <w:rPr>
          <w:rFonts w:cs="Arial"/>
          <w:b/>
        </w:rPr>
        <w:tab/>
      </w:r>
      <w:r w:rsidRPr="00DE5C90">
        <w:rPr>
          <w:rFonts w:cs="Arial"/>
          <w:b/>
        </w:rPr>
        <w:tab/>
      </w:r>
      <w:r w:rsidRPr="00DE5C90">
        <w:rPr>
          <w:rFonts w:cs="Arial"/>
          <w:b/>
        </w:rPr>
        <w:tab/>
      </w:r>
      <w:r w:rsidRPr="00DE5C90">
        <w:rPr>
          <w:rFonts w:cs="Arial"/>
          <w:b/>
        </w:rPr>
        <w:tab/>
      </w:r>
      <w:r w:rsidR="00DE5C90">
        <w:rPr>
          <w:rFonts w:cs="Arial"/>
          <w:b/>
        </w:rPr>
        <w:tab/>
      </w:r>
      <w:r w:rsidRPr="00DE5C90">
        <w:rPr>
          <w:rFonts w:cs="Arial"/>
        </w:rPr>
        <w:t>28</w:t>
      </w:r>
      <w:r w:rsidRPr="00DE5C90">
        <w:rPr>
          <w:rFonts w:cs="Arial"/>
          <w:vertAlign w:val="superscript"/>
        </w:rPr>
        <w:t>th</w:t>
      </w:r>
      <w:r w:rsidRPr="00DE5C90">
        <w:rPr>
          <w:rFonts w:cs="Arial"/>
        </w:rPr>
        <w:t xml:space="preserve"> Respondent</w:t>
      </w:r>
    </w:p>
    <w:p w14:paraId="2AAC539A" w14:textId="472BFFED" w:rsidR="00222CEF" w:rsidRPr="00DE5C90" w:rsidRDefault="00222CEF" w:rsidP="000A59A0">
      <w:pPr>
        <w:pStyle w:val="LegalNormal"/>
        <w:spacing w:after="120" w:line="360" w:lineRule="auto"/>
        <w:rPr>
          <w:rFonts w:cs="Arial"/>
        </w:rPr>
      </w:pPr>
      <w:r w:rsidRPr="00DE5C90">
        <w:rPr>
          <w:rFonts w:cs="Arial"/>
          <w:b/>
        </w:rPr>
        <w:t>THE NATIONAL PROSECUTING AUTHORITY</w:t>
      </w:r>
      <w:r w:rsidRPr="00DE5C90">
        <w:rPr>
          <w:rFonts w:cs="Arial"/>
          <w:b/>
        </w:rPr>
        <w:tab/>
      </w:r>
      <w:r w:rsidRPr="00DE5C90">
        <w:rPr>
          <w:rFonts w:cs="Arial"/>
          <w:b/>
        </w:rPr>
        <w:tab/>
      </w:r>
      <w:r w:rsidR="00DE5C90">
        <w:rPr>
          <w:rFonts w:cs="Arial"/>
          <w:b/>
        </w:rPr>
        <w:tab/>
      </w:r>
      <w:r w:rsidRPr="00DE5C90">
        <w:rPr>
          <w:rFonts w:cs="Arial"/>
        </w:rPr>
        <w:t>29</w:t>
      </w:r>
      <w:r w:rsidRPr="00DE5C90">
        <w:rPr>
          <w:rFonts w:cs="Arial"/>
          <w:vertAlign w:val="superscript"/>
        </w:rPr>
        <w:t>th</w:t>
      </w:r>
      <w:r w:rsidRPr="00DE5C90">
        <w:rPr>
          <w:rFonts w:cs="Arial"/>
        </w:rPr>
        <w:t xml:space="preserve"> Respondent</w:t>
      </w:r>
    </w:p>
    <w:p w14:paraId="0453EF42" w14:textId="29EB8555" w:rsidR="00222CEF" w:rsidRPr="00DE5C90" w:rsidRDefault="00222CEF" w:rsidP="000A59A0">
      <w:pPr>
        <w:pStyle w:val="LegalNormal"/>
        <w:spacing w:after="120" w:line="360" w:lineRule="auto"/>
        <w:rPr>
          <w:rFonts w:cs="Arial"/>
        </w:rPr>
      </w:pPr>
      <w:r w:rsidRPr="00DE5C90">
        <w:rPr>
          <w:rFonts w:cs="Arial"/>
          <w:b/>
        </w:rPr>
        <w:t>THE FINANCIAL SECTOR CONDUCT AUTHORITY</w:t>
      </w:r>
      <w:r w:rsidR="00DE5C90">
        <w:rPr>
          <w:rFonts w:cs="Arial"/>
          <w:b/>
        </w:rPr>
        <w:tab/>
      </w:r>
      <w:r w:rsidRPr="00DE5C90">
        <w:rPr>
          <w:rFonts w:cs="Arial"/>
          <w:b/>
        </w:rPr>
        <w:tab/>
      </w:r>
      <w:r w:rsidR="00DE5C90">
        <w:rPr>
          <w:rFonts w:cs="Arial"/>
          <w:b/>
        </w:rPr>
        <w:tab/>
      </w:r>
      <w:r w:rsidRPr="00DE5C90">
        <w:rPr>
          <w:rFonts w:cs="Arial"/>
        </w:rPr>
        <w:t>30</w:t>
      </w:r>
      <w:r w:rsidRPr="00DE5C90">
        <w:rPr>
          <w:rFonts w:cs="Arial"/>
          <w:vertAlign w:val="superscript"/>
        </w:rPr>
        <w:t>th</w:t>
      </w:r>
      <w:r w:rsidRPr="00DE5C90">
        <w:rPr>
          <w:rFonts w:cs="Arial"/>
        </w:rPr>
        <w:t xml:space="preserve"> Respondent</w:t>
      </w:r>
    </w:p>
    <w:p w14:paraId="09FC0626" w14:textId="77777777" w:rsidR="009843EF" w:rsidRPr="00DE5C90" w:rsidRDefault="009843EF" w:rsidP="009843EF">
      <w:pPr>
        <w:pStyle w:val="LegalNormal"/>
        <w:rPr>
          <w:rFonts w:cs="Arial"/>
        </w:rPr>
      </w:pPr>
    </w:p>
    <w:p w14:paraId="72F74422" w14:textId="0B27322D" w:rsidR="00673136" w:rsidRPr="00DE5C90" w:rsidRDefault="004466A8" w:rsidP="00673136">
      <w:pPr>
        <w:pStyle w:val="LegalTramLines"/>
        <w:rPr>
          <w:rFonts w:ascii="Arial" w:hAnsi="Arial" w:cs="Arial"/>
        </w:rPr>
      </w:pPr>
      <w:r w:rsidRPr="00DE5C90">
        <w:rPr>
          <w:rFonts w:ascii="Arial" w:hAnsi="Arial" w:cs="Arial"/>
        </w:rPr>
        <w:t>JUDGMENT</w:t>
      </w:r>
    </w:p>
    <w:p w14:paraId="12FDC8A9" w14:textId="68BE10C8" w:rsidR="00673136" w:rsidRPr="00DE5C90" w:rsidRDefault="00EC47D2" w:rsidP="00673136">
      <w:pPr>
        <w:pStyle w:val="LegalMAINHEADING"/>
        <w:rPr>
          <w:rFonts w:cs="Arial"/>
        </w:rPr>
      </w:pPr>
      <w:r w:rsidRPr="00DE5C90">
        <w:rPr>
          <w:rFonts w:cs="Arial"/>
        </w:rPr>
        <w:t xml:space="preserve">nyathi </w:t>
      </w:r>
      <w:r w:rsidR="00673136" w:rsidRPr="00DE5C90">
        <w:rPr>
          <w:rFonts w:cs="Arial"/>
        </w:rPr>
        <w:t>j</w:t>
      </w:r>
    </w:p>
    <w:p w14:paraId="2D07BC0F" w14:textId="180960D3" w:rsidR="004466A8" w:rsidRPr="00DE5C90" w:rsidRDefault="004466A8" w:rsidP="00E135AD">
      <w:pPr>
        <w:pStyle w:val="LegalMAINHEADING"/>
        <w:numPr>
          <w:ilvl w:val="0"/>
          <w:numId w:val="5"/>
        </w:numPr>
        <w:spacing w:line="360" w:lineRule="auto"/>
        <w:rPr>
          <w:rFonts w:cs="Arial"/>
        </w:rPr>
      </w:pPr>
      <w:r w:rsidRPr="00DE5C90">
        <w:rPr>
          <w:rFonts w:cs="Arial"/>
        </w:rPr>
        <w:t>INTRODUCTION</w:t>
      </w:r>
    </w:p>
    <w:p w14:paraId="280CDFB5" w14:textId="77777777" w:rsidR="004E101C" w:rsidRPr="00DE5C90" w:rsidRDefault="004E101C" w:rsidP="004E101C">
      <w:pPr>
        <w:pStyle w:val="LegalList1"/>
        <w:numPr>
          <w:ilvl w:val="0"/>
          <w:numId w:val="1"/>
        </w:numPr>
        <w:spacing w:after="600" w:line="360" w:lineRule="auto"/>
        <w:rPr>
          <w:rFonts w:cs="Arial"/>
        </w:rPr>
      </w:pPr>
      <w:r w:rsidRPr="00DE5C90">
        <w:rPr>
          <w:rFonts w:cs="Arial"/>
        </w:rPr>
        <w:t xml:space="preserve">On 27 July 2021 a rule nisi was issued out against Adv. MacGregor Kufa    and his instructing attorneys Machaba Attorneys (“Machaba”). The matter came before me on the extended return date for the hearing of the discharge or confirmation of the rule </w:t>
      </w:r>
      <w:r w:rsidRPr="00DE5C90">
        <w:rPr>
          <w:rFonts w:cs="Arial"/>
          <w:i/>
        </w:rPr>
        <w:t>nisi</w:t>
      </w:r>
      <w:r w:rsidRPr="00DE5C90">
        <w:rPr>
          <w:rFonts w:cs="Arial"/>
        </w:rPr>
        <w:t>.</w:t>
      </w:r>
    </w:p>
    <w:p w14:paraId="253BEF91" w14:textId="14624938" w:rsidR="004E101C" w:rsidRPr="00DE5C90" w:rsidRDefault="004E101C" w:rsidP="004E101C">
      <w:pPr>
        <w:pStyle w:val="LegalList1"/>
        <w:numPr>
          <w:ilvl w:val="0"/>
          <w:numId w:val="1"/>
        </w:numPr>
        <w:spacing w:after="600" w:line="360" w:lineRule="auto"/>
        <w:rPr>
          <w:rFonts w:cs="Arial"/>
        </w:rPr>
      </w:pPr>
      <w:r w:rsidRPr="00DE5C90">
        <w:rPr>
          <w:rFonts w:cs="Arial"/>
        </w:rPr>
        <w:t xml:space="preserve">The court order forming subject of the rule </w:t>
      </w:r>
      <w:r w:rsidRPr="00DE5C90">
        <w:rPr>
          <w:rFonts w:cs="Arial"/>
          <w:i/>
        </w:rPr>
        <w:t>nisi</w:t>
      </w:r>
      <w:r w:rsidRPr="00DE5C90">
        <w:rPr>
          <w:rFonts w:cs="Arial"/>
        </w:rPr>
        <w:t xml:space="preserve"> is far-reaching in that it awards costs </w:t>
      </w:r>
      <w:r w:rsidRPr="00DE5C90">
        <w:rPr>
          <w:rFonts w:cs="Arial"/>
          <w:i/>
        </w:rPr>
        <w:t>de bonis propriis</w:t>
      </w:r>
      <w:r w:rsidRPr="00DE5C90">
        <w:rPr>
          <w:rFonts w:cs="Arial"/>
        </w:rPr>
        <w:t xml:space="preserve"> against Machaba attorneys and attorney and client costs against Adv. Kufa.</w:t>
      </w:r>
    </w:p>
    <w:p w14:paraId="199FA570" w14:textId="1439F007" w:rsidR="004E101C" w:rsidRPr="00DE5C90" w:rsidRDefault="004E101C" w:rsidP="004E101C">
      <w:pPr>
        <w:pStyle w:val="LegalList1"/>
        <w:numPr>
          <w:ilvl w:val="0"/>
          <w:numId w:val="5"/>
        </w:numPr>
        <w:spacing w:after="600" w:line="360" w:lineRule="auto"/>
        <w:rPr>
          <w:rFonts w:cs="Arial"/>
          <w:b/>
        </w:rPr>
      </w:pPr>
      <w:r w:rsidRPr="00DE5C90">
        <w:rPr>
          <w:rFonts w:cs="Arial"/>
          <w:b/>
        </w:rPr>
        <w:t>BACKGROUND</w:t>
      </w:r>
    </w:p>
    <w:p w14:paraId="4DF45D17" w14:textId="30A0D5EF" w:rsidR="00CC3EC4" w:rsidRPr="00DE5C90" w:rsidRDefault="00AB4FF0" w:rsidP="004E101C">
      <w:pPr>
        <w:pStyle w:val="LegalList1"/>
        <w:numPr>
          <w:ilvl w:val="0"/>
          <w:numId w:val="1"/>
        </w:numPr>
        <w:spacing w:after="600" w:line="360" w:lineRule="auto"/>
        <w:rPr>
          <w:rFonts w:cs="Arial"/>
        </w:rPr>
      </w:pPr>
      <w:r w:rsidRPr="00DE5C90">
        <w:rPr>
          <w:rFonts w:cs="Arial"/>
        </w:rPr>
        <w:t xml:space="preserve">The </w:t>
      </w:r>
      <w:r w:rsidR="00D729F4" w:rsidRPr="00DE5C90">
        <w:rPr>
          <w:rFonts w:cs="Arial"/>
        </w:rPr>
        <w:t>Plaintiff</w:t>
      </w:r>
      <w:r w:rsidR="00E431A9" w:rsidRPr="00DE5C90">
        <w:rPr>
          <w:rFonts w:cs="Arial"/>
        </w:rPr>
        <w:t>, Mr Matsena, instituted action against 22 parties including 19 parties related to the First Respondent in this matter, the National Research Foundation (“the NRF”), under case no 47435/2020 on 16 September 2020 (“the action”).</w:t>
      </w:r>
    </w:p>
    <w:p w14:paraId="064AD819" w14:textId="2EBDF7AF" w:rsidR="00E431A9" w:rsidRPr="00DE5C90" w:rsidRDefault="00E431A9" w:rsidP="00826714">
      <w:pPr>
        <w:pStyle w:val="LegalList1"/>
        <w:numPr>
          <w:ilvl w:val="0"/>
          <w:numId w:val="1"/>
        </w:numPr>
        <w:spacing w:after="600" w:line="360" w:lineRule="auto"/>
        <w:rPr>
          <w:rFonts w:cs="Arial"/>
        </w:rPr>
      </w:pPr>
      <w:r w:rsidRPr="00DE5C90">
        <w:rPr>
          <w:rFonts w:cs="Arial"/>
        </w:rPr>
        <w:t xml:space="preserve">Shortly after that, 6 October 2020, Mr Matsena launched an urgent application, essentially to attach the pension fund interests of various of the directors of the NRF (the First and Fifth to Twenty-Sixth Respondents in the application will </w:t>
      </w:r>
      <w:r w:rsidRPr="00DE5C90">
        <w:rPr>
          <w:rFonts w:cs="Arial"/>
        </w:rPr>
        <w:lastRenderedPageBreak/>
        <w:t>hereinafter be refe</w:t>
      </w:r>
      <w:r w:rsidR="00340F30" w:rsidRPr="00DE5C90">
        <w:rPr>
          <w:rFonts w:cs="Arial"/>
        </w:rPr>
        <w:t>rred to as “the NRF Respondents”), under case no 51776/2020 (“</w:t>
      </w:r>
      <w:r w:rsidRPr="00DE5C90">
        <w:rPr>
          <w:rFonts w:cs="Arial"/>
        </w:rPr>
        <w:t>the application</w:t>
      </w:r>
      <w:r w:rsidR="00340F30" w:rsidRPr="00DE5C90">
        <w:rPr>
          <w:rFonts w:cs="Arial"/>
        </w:rPr>
        <w:t>”</w:t>
      </w:r>
      <w:r w:rsidRPr="00DE5C90">
        <w:rPr>
          <w:rFonts w:cs="Arial"/>
        </w:rPr>
        <w:t>)</w:t>
      </w:r>
      <w:r w:rsidR="00340F30" w:rsidRPr="00DE5C90">
        <w:rPr>
          <w:rFonts w:cs="Arial"/>
        </w:rPr>
        <w:t>.</w:t>
      </w:r>
    </w:p>
    <w:p w14:paraId="7CFFBD5D" w14:textId="4E6F5EDE" w:rsidR="00A02DA9" w:rsidRPr="00DE5C90" w:rsidRDefault="00A02DA9" w:rsidP="00A02DA9">
      <w:pPr>
        <w:pStyle w:val="LegalList1"/>
        <w:numPr>
          <w:ilvl w:val="0"/>
          <w:numId w:val="1"/>
        </w:numPr>
        <w:spacing w:after="600" w:line="360" w:lineRule="auto"/>
        <w:rPr>
          <w:rFonts w:cs="Arial"/>
        </w:rPr>
      </w:pPr>
      <w:r w:rsidRPr="00DE5C90">
        <w:rPr>
          <w:rFonts w:cs="Arial"/>
        </w:rPr>
        <w:t>Adv. Kufa had previously represented Mr Matsena in disciplinary proceedings which had led to his dismissal</w:t>
      </w:r>
      <w:r w:rsidR="00D729F4" w:rsidRPr="00DE5C90">
        <w:rPr>
          <w:rFonts w:cs="Arial"/>
        </w:rPr>
        <w:t xml:space="preserve"> from the NRF</w:t>
      </w:r>
      <w:r w:rsidRPr="00DE5C90">
        <w:rPr>
          <w:rFonts w:cs="Arial"/>
        </w:rPr>
        <w:t>, and which were now the subject</w:t>
      </w:r>
      <w:r w:rsidR="00DD60CC" w:rsidRPr="00DE5C90">
        <w:rPr>
          <w:rFonts w:cs="Arial"/>
        </w:rPr>
        <w:t xml:space="preserve"> </w:t>
      </w:r>
      <w:r w:rsidR="000F6959" w:rsidRPr="00DE5C90">
        <w:rPr>
          <w:rFonts w:cs="Arial"/>
        </w:rPr>
        <w:t>in</w:t>
      </w:r>
      <w:r w:rsidRPr="00DE5C90">
        <w:rPr>
          <w:rFonts w:cs="Arial"/>
        </w:rPr>
        <w:t xml:space="preserve"> both the action and the application.</w:t>
      </w:r>
    </w:p>
    <w:p w14:paraId="581E6E5C" w14:textId="6B8A7604" w:rsidR="00B30725" w:rsidRPr="00DE5C90" w:rsidRDefault="00340F30" w:rsidP="00826714">
      <w:pPr>
        <w:pStyle w:val="LegalList1"/>
        <w:numPr>
          <w:ilvl w:val="0"/>
          <w:numId w:val="1"/>
        </w:numPr>
        <w:spacing w:after="600" w:line="360" w:lineRule="auto"/>
        <w:rPr>
          <w:rFonts w:cs="Arial"/>
        </w:rPr>
      </w:pPr>
      <w:r w:rsidRPr="00DE5C90">
        <w:rPr>
          <w:rFonts w:cs="Arial"/>
        </w:rPr>
        <w:t>Mr Matsena was represented, both in the action, and in the</w:t>
      </w:r>
      <w:r w:rsidR="00D729F4" w:rsidRPr="00DE5C90">
        <w:rPr>
          <w:rFonts w:cs="Arial"/>
        </w:rPr>
        <w:t xml:space="preserve"> pension </w:t>
      </w:r>
      <w:r w:rsidR="00AD2F94" w:rsidRPr="00DE5C90">
        <w:rPr>
          <w:rFonts w:cs="Arial"/>
        </w:rPr>
        <w:t>attachment application</w:t>
      </w:r>
      <w:r w:rsidRPr="00DE5C90">
        <w:rPr>
          <w:rFonts w:cs="Arial"/>
        </w:rPr>
        <w:t>, by a legal team consisting of a firm of attorneys, Machaba Attorneys (“Machaba”), and three advocates, namely, in order of seniority, Advocates MacGregor Kufa, Ngoako Moropene and Marcus Tshivhase.</w:t>
      </w:r>
      <w:r w:rsidR="00B30725" w:rsidRPr="00DE5C90">
        <w:rPr>
          <w:rFonts w:cs="Arial"/>
        </w:rPr>
        <w:t xml:space="preserve"> </w:t>
      </w:r>
    </w:p>
    <w:p w14:paraId="58AC73E8" w14:textId="788A4357" w:rsidR="00A337D5" w:rsidRPr="00DE5C90" w:rsidRDefault="00B30725" w:rsidP="00A337D5">
      <w:pPr>
        <w:pStyle w:val="LegalList1"/>
        <w:numPr>
          <w:ilvl w:val="0"/>
          <w:numId w:val="1"/>
        </w:numPr>
        <w:spacing w:after="600" w:line="360" w:lineRule="auto"/>
        <w:rPr>
          <w:rFonts w:cs="Arial"/>
        </w:rPr>
      </w:pPr>
      <w:r w:rsidRPr="00DE5C90">
        <w:rPr>
          <w:rFonts w:cs="Arial"/>
        </w:rPr>
        <w:t xml:space="preserve">Defamatory and scurrilous allegations were made both in the Particulars of Claim </w:t>
      </w:r>
      <w:r w:rsidR="00A337D5" w:rsidRPr="00DE5C90">
        <w:rPr>
          <w:rFonts w:cs="Arial"/>
        </w:rPr>
        <w:t>in the action and in Mr Matsena’</w:t>
      </w:r>
      <w:r w:rsidRPr="00DE5C90">
        <w:rPr>
          <w:rFonts w:cs="Arial"/>
        </w:rPr>
        <w:t xml:space="preserve">s founding affidavit in the </w:t>
      </w:r>
      <w:r w:rsidR="00D729F4" w:rsidRPr="00DE5C90">
        <w:rPr>
          <w:rFonts w:cs="Arial"/>
        </w:rPr>
        <w:t>pension attachment application</w:t>
      </w:r>
      <w:r w:rsidRPr="00DE5C90">
        <w:rPr>
          <w:rFonts w:cs="Arial"/>
        </w:rPr>
        <w:t>.</w:t>
      </w:r>
      <w:r w:rsidR="00A337D5" w:rsidRPr="00DE5C90">
        <w:rPr>
          <w:rFonts w:cs="Arial"/>
        </w:rPr>
        <w:t xml:space="preserve"> </w:t>
      </w:r>
    </w:p>
    <w:p w14:paraId="4FE4E316" w14:textId="112BF7A8" w:rsidR="002C5803" w:rsidRPr="00DE5C90" w:rsidRDefault="00A337D5" w:rsidP="00A337D5">
      <w:pPr>
        <w:pStyle w:val="LegalList1"/>
        <w:numPr>
          <w:ilvl w:val="0"/>
          <w:numId w:val="1"/>
        </w:numPr>
        <w:spacing w:after="600" w:line="360" w:lineRule="auto"/>
        <w:rPr>
          <w:rFonts w:cs="Arial"/>
        </w:rPr>
      </w:pPr>
      <w:r w:rsidRPr="00DE5C90">
        <w:rPr>
          <w:rFonts w:cs="Arial"/>
        </w:rPr>
        <w:t>In her affidavit the main deponent for the NRF Respondents, Dr Obokoh, challenged Mr Matsena to withdraw the defamatory and scurrilous allegations.</w:t>
      </w:r>
      <w:r w:rsidR="00FB3C65" w:rsidRPr="00DE5C90">
        <w:rPr>
          <w:rFonts w:cs="Arial"/>
        </w:rPr>
        <w:t xml:space="preserve"> Dr Obokoh added that Mr Matsena's legal team had “allowed themselves to be made party to the reckless making of baseless and defamatory allegations”. It later transpired from Mr Matsena's affidavit that he </w:t>
      </w:r>
      <w:r w:rsidR="00B70A7D" w:rsidRPr="00DE5C90">
        <w:rPr>
          <w:rFonts w:cs="Arial"/>
        </w:rPr>
        <w:t>had</w:t>
      </w:r>
      <w:r w:rsidR="00FB3C65" w:rsidRPr="00DE5C90">
        <w:rPr>
          <w:rFonts w:cs="Arial"/>
        </w:rPr>
        <w:t xml:space="preserve"> allowed himself to be made party to this conduct, </w:t>
      </w:r>
      <w:r w:rsidR="00B70A7D" w:rsidRPr="00DE5C90">
        <w:rPr>
          <w:rFonts w:cs="Arial"/>
        </w:rPr>
        <w:t>but</w:t>
      </w:r>
      <w:r w:rsidR="00FB3C65" w:rsidRPr="00DE5C90">
        <w:rPr>
          <w:rFonts w:cs="Arial"/>
        </w:rPr>
        <w:t xml:space="preserve"> that the instigator and author of the allegations was </w:t>
      </w:r>
      <w:r w:rsidR="00B70A7D" w:rsidRPr="00DE5C90">
        <w:rPr>
          <w:rFonts w:cs="Arial"/>
        </w:rPr>
        <w:t xml:space="preserve">in </w:t>
      </w:r>
      <w:r w:rsidR="00070D60" w:rsidRPr="00DE5C90">
        <w:rPr>
          <w:rFonts w:cs="Arial"/>
        </w:rPr>
        <w:t>reality</w:t>
      </w:r>
      <w:r w:rsidR="00FB3C65" w:rsidRPr="00DE5C90">
        <w:rPr>
          <w:rFonts w:cs="Arial"/>
        </w:rPr>
        <w:t xml:space="preserve"> Adv. Kufa</w:t>
      </w:r>
      <w:r w:rsidR="00070D60" w:rsidRPr="00DE5C90">
        <w:rPr>
          <w:rFonts w:cs="Arial"/>
        </w:rPr>
        <w:t xml:space="preserve"> himself.</w:t>
      </w:r>
      <w:r w:rsidR="002C5803" w:rsidRPr="00DE5C90">
        <w:rPr>
          <w:rFonts w:cs="Arial"/>
        </w:rPr>
        <w:t xml:space="preserve"> </w:t>
      </w:r>
    </w:p>
    <w:p w14:paraId="462E63CB" w14:textId="77777777" w:rsidR="006F1D3F" w:rsidRPr="00DE5C90" w:rsidRDefault="002C5803" w:rsidP="00A337D5">
      <w:pPr>
        <w:pStyle w:val="LegalList1"/>
        <w:numPr>
          <w:ilvl w:val="0"/>
          <w:numId w:val="1"/>
        </w:numPr>
        <w:spacing w:after="600" w:line="360" w:lineRule="auto"/>
        <w:rPr>
          <w:rFonts w:cs="Arial"/>
        </w:rPr>
      </w:pPr>
      <w:r w:rsidRPr="00DE5C90">
        <w:rPr>
          <w:rFonts w:cs="Arial"/>
        </w:rPr>
        <w:t>Despite the above, Mr Matsena didn't withdraw the allegations in his Replying Affidavit. Instead, he aggravated them.</w:t>
      </w:r>
      <w:r w:rsidR="006F1D3F" w:rsidRPr="00DE5C90">
        <w:rPr>
          <w:rFonts w:cs="Arial"/>
        </w:rPr>
        <w:t xml:space="preserve"> </w:t>
      </w:r>
    </w:p>
    <w:p w14:paraId="61B0A80D" w14:textId="0E99B1D3" w:rsidR="009164E2" w:rsidRPr="00034996" w:rsidRDefault="006F1D3F" w:rsidP="00034996">
      <w:pPr>
        <w:pStyle w:val="LegalList1"/>
        <w:numPr>
          <w:ilvl w:val="0"/>
          <w:numId w:val="1"/>
        </w:numPr>
        <w:spacing w:after="600" w:line="360" w:lineRule="auto"/>
        <w:rPr>
          <w:rFonts w:cs="Arial"/>
        </w:rPr>
      </w:pPr>
      <w:r w:rsidRPr="00DE5C90">
        <w:rPr>
          <w:rFonts w:cs="Arial"/>
        </w:rPr>
        <w:lastRenderedPageBreak/>
        <w:t xml:space="preserve">In those circumstances, the attorney for the NRF Respondents notified Machaba, and through them the three advocates, that the NRF Respondents would seek not just punitive costs against Mr Matsena, but also punitive costs </w:t>
      </w:r>
      <w:r w:rsidRPr="00DE5C90">
        <w:rPr>
          <w:rFonts w:cs="Arial"/>
          <w:i/>
        </w:rPr>
        <w:t>de bonis propriis</w:t>
      </w:r>
      <w:r w:rsidRPr="00DE5C90">
        <w:rPr>
          <w:rFonts w:cs="Arial"/>
        </w:rPr>
        <w:t xml:space="preserve"> against the legal team, for their conduct in (a) making themselves instrumental to the defamatory and scurrilous allegations, and (b) aggravating this, by not just refusing to withdraw those allegations but, indeed, persisting with them, even though t</w:t>
      </w:r>
      <w:r w:rsidR="00D91B11" w:rsidRPr="00DE5C90">
        <w:rPr>
          <w:rFonts w:cs="Arial"/>
        </w:rPr>
        <w:t>hey were entirely groundless.</w:t>
      </w:r>
    </w:p>
    <w:p w14:paraId="00C09AEB" w14:textId="0DE1775F" w:rsidR="009164E2" w:rsidRPr="00DE5C90" w:rsidRDefault="009164E2" w:rsidP="009164E2">
      <w:pPr>
        <w:pStyle w:val="LegalList1"/>
        <w:numPr>
          <w:ilvl w:val="0"/>
          <w:numId w:val="5"/>
        </w:numPr>
        <w:spacing w:after="600" w:line="360" w:lineRule="auto"/>
        <w:rPr>
          <w:rFonts w:cs="Arial"/>
          <w:b/>
        </w:rPr>
      </w:pPr>
      <w:r w:rsidRPr="00DE5C90">
        <w:rPr>
          <w:rFonts w:cs="Arial"/>
          <w:b/>
        </w:rPr>
        <w:t>THE GENESIS OF THE ALLEGATIONS</w:t>
      </w:r>
    </w:p>
    <w:p w14:paraId="0EB721F8" w14:textId="6514266A" w:rsidR="00826714" w:rsidRPr="00DE5C90" w:rsidRDefault="009164E2" w:rsidP="00826714">
      <w:pPr>
        <w:pStyle w:val="LegalList1"/>
        <w:numPr>
          <w:ilvl w:val="0"/>
          <w:numId w:val="1"/>
        </w:numPr>
        <w:spacing w:after="600" w:line="360" w:lineRule="auto"/>
        <w:rPr>
          <w:rFonts w:cs="Arial"/>
        </w:rPr>
      </w:pPr>
      <w:r w:rsidRPr="00DE5C90">
        <w:rPr>
          <w:rFonts w:cs="Arial"/>
        </w:rPr>
        <w:t>The baseless and defamatory allegations first surfaced after Mr Matsena was disciplined, found guilty and dismissed</w:t>
      </w:r>
      <w:r w:rsidR="000E64E1" w:rsidRPr="00DE5C90">
        <w:rPr>
          <w:rFonts w:cs="Arial"/>
        </w:rPr>
        <w:t xml:space="preserve"> from the NRF</w:t>
      </w:r>
      <w:r w:rsidRPr="00DE5C90">
        <w:rPr>
          <w:rFonts w:cs="Arial"/>
        </w:rPr>
        <w:t>. The full record of th</w:t>
      </w:r>
      <w:r w:rsidR="000176F3" w:rsidRPr="00DE5C90">
        <w:rPr>
          <w:rFonts w:cs="Arial"/>
        </w:rPr>
        <w:t>e disciplinary proceedings</w:t>
      </w:r>
      <w:r w:rsidRPr="00DE5C90">
        <w:rPr>
          <w:rFonts w:cs="Arial"/>
        </w:rPr>
        <w:t xml:space="preserve"> w</w:t>
      </w:r>
      <w:r w:rsidR="000176F3" w:rsidRPr="00DE5C90">
        <w:rPr>
          <w:rFonts w:cs="Arial"/>
        </w:rPr>
        <w:t>as</w:t>
      </w:r>
      <w:r w:rsidRPr="00DE5C90">
        <w:rPr>
          <w:rFonts w:cs="Arial"/>
        </w:rPr>
        <w:t xml:space="preserve"> supplied not by Mr Matsena, but by the NRF Respondents. It was attached to Dr Obokoh</w:t>
      </w:r>
      <w:r w:rsidR="000176F3" w:rsidRPr="00DE5C90">
        <w:rPr>
          <w:rFonts w:cs="Arial"/>
        </w:rPr>
        <w:t xml:space="preserve">’s answering affidavit. </w:t>
      </w:r>
      <w:r w:rsidRPr="00DE5C90">
        <w:rPr>
          <w:rFonts w:cs="Arial"/>
        </w:rPr>
        <w:t>Th</w:t>
      </w:r>
      <w:r w:rsidR="000176F3" w:rsidRPr="00DE5C90">
        <w:rPr>
          <w:rFonts w:cs="Arial"/>
        </w:rPr>
        <w:t>at record, including Mr Matsena’</w:t>
      </w:r>
      <w:r w:rsidRPr="00DE5C90">
        <w:rPr>
          <w:rFonts w:cs="Arial"/>
        </w:rPr>
        <w:t>s appeal document, which was drawn up for him by Adv</w:t>
      </w:r>
      <w:r w:rsidR="000176F3" w:rsidRPr="00DE5C90">
        <w:rPr>
          <w:rFonts w:cs="Arial"/>
        </w:rPr>
        <w:t>.</w:t>
      </w:r>
      <w:r w:rsidRPr="00DE5C90">
        <w:rPr>
          <w:rFonts w:cs="Arial"/>
        </w:rPr>
        <w:t xml:space="preserve"> Kufa, shows that the allegations first </w:t>
      </w:r>
      <w:r w:rsidR="000176F3" w:rsidRPr="00DE5C90">
        <w:rPr>
          <w:rFonts w:cs="Arial"/>
        </w:rPr>
        <w:t>emerged</w:t>
      </w:r>
      <w:r w:rsidRPr="00DE5C90">
        <w:rPr>
          <w:rFonts w:cs="Arial"/>
        </w:rPr>
        <w:t xml:space="preserve"> in the action and in the application, and played no part whatsoever</w:t>
      </w:r>
      <w:r w:rsidR="000176F3" w:rsidRPr="00DE5C90">
        <w:rPr>
          <w:rFonts w:cs="Arial"/>
        </w:rPr>
        <w:t xml:space="preserve"> </w:t>
      </w:r>
      <w:r w:rsidRPr="00DE5C90">
        <w:rPr>
          <w:rFonts w:cs="Arial"/>
        </w:rPr>
        <w:t xml:space="preserve">in the disciplinary proceedings. This </w:t>
      </w:r>
      <w:r w:rsidR="000176F3" w:rsidRPr="00DE5C90">
        <w:rPr>
          <w:rFonts w:cs="Arial"/>
        </w:rPr>
        <w:t>betrays</w:t>
      </w:r>
      <w:r w:rsidRPr="00DE5C90">
        <w:rPr>
          <w:rFonts w:cs="Arial"/>
        </w:rPr>
        <w:t xml:space="preserve"> the extortiona</w:t>
      </w:r>
      <w:r w:rsidR="000176F3" w:rsidRPr="00DE5C90">
        <w:rPr>
          <w:rFonts w:cs="Arial"/>
        </w:rPr>
        <w:t>te</w:t>
      </w:r>
      <w:r w:rsidRPr="00DE5C90">
        <w:rPr>
          <w:rFonts w:cs="Arial"/>
        </w:rPr>
        <w:t xml:space="preserve"> nature of the allegations — in the action, and in the appl</w:t>
      </w:r>
      <w:r w:rsidR="000176F3" w:rsidRPr="00DE5C90">
        <w:rPr>
          <w:rFonts w:cs="Arial"/>
        </w:rPr>
        <w:t>ication.</w:t>
      </w:r>
      <w:r w:rsidRPr="00DE5C90">
        <w:rPr>
          <w:rFonts w:cs="Arial"/>
        </w:rPr>
        <w:t xml:space="preserve"> Mr Matsena in effect pretended that he had been dismissed because</w:t>
      </w:r>
      <w:r w:rsidR="000176F3" w:rsidRPr="00DE5C90">
        <w:rPr>
          <w:rFonts w:cs="Arial"/>
        </w:rPr>
        <w:t xml:space="preserve"> he had uncovered</w:t>
      </w:r>
      <w:r w:rsidRPr="00DE5C90">
        <w:rPr>
          <w:rFonts w:cs="Arial"/>
        </w:rPr>
        <w:t xml:space="preserve"> rampant corruption</w:t>
      </w:r>
      <w:r w:rsidR="000176F3" w:rsidRPr="00DE5C90">
        <w:rPr>
          <w:rFonts w:cs="Arial"/>
        </w:rPr>
        <w:t xml:space="preserve"> in the NRF</w:t>
      </w:r>
      <w:r w:rsidRPr="00DE5C90">
        <w:rPr>
          <w:rFonts w:cs="Arial"/>
        </w:rPr>
        <w:t xml:space="preserve">. But </w:t>
      </w:r>
      <w:r w:rsidR="000176F3" w:rsidRPr="00DE5C90">
        <w:rPr>
          <w:rFonts w:cs="Arial"/>
        </w:rPr>
        <w:t xml:space="preserve">throughout </w:t>
      </w:r>
      <w:r w:rsidRPr="00DE5C90">
        <w:rPr>
          <w:rFonts w:cs="Arial"/>
        </w:rPr>
        <w:t>the entire disciplinary process</w:t>
      </w:r>
      <w:r w:rsidR="000176F3" w:rsidRPr="00DE5C90">
        <w:rPr>
          <w:rFonts w:cs="Arial"/>
        </w:rPr>
        <w:t>,</w:t>
      </w:r>
      <w:r w:rsidR="00FA0E33" w:rsidRPr="00DE5C90">
        <w:rPr>
          <w:rFonts w:cs="Arial"/>
        </w:rPr>
        <w:t xml:space="preserve"> and its appeal process,</w:t>
      </w:r>
      <w:r w:rsidR="000176F3" w:rsidRPr="00DE5C90">
        <w:rPr>
          <w:rFonts w:cs="Arial"/>
        </w:rPr>
        <w:t xml:space="preserve"> this was never part of his defence</w:t>
      </w:r>
      <w:r w:rsidRPr="00DE5C90">
        <w:rPr>
          <w:rFonts w:cs="Arial"/>
        </w:rPr>
        <w:t>.</w:t>
      </w:r>
    </w:p>
    <w:p w14:paraId="61BCBF53" w14:textId="77777777" w:rsidR="00DB0448" w:rsidRPr="00DE5C90" w:rsidRDefault="00DB0448" w:rsidP="00826714">
      <w:pPr>
        <w:pStyle w:val="LegalList1"/>
        <w:numPr>
          <w:ilvl w:val="0"/>
          <w:numId w:val="1"/>
        </w:numPr>
        <w:spacing w:after="600" w:line="360" w:lineRule="auto"/>
        <w:rPr>
          <w:rFonts w:cs="Arial"/>
        </w:rPr>
      </w:pPr>
      <w:r w:rsidRPr="00DE5C90">
        <w:rPr>
          <w:rFonts w:cs="Arial"/>
        </w:rPr>
        <w:t xml:space="preserve">Machaba withdrew as attorneys of record for Mr. Matsena on 31 May 2021, shortly after the NRF Respondents and the Second to Fourth Respondents in the application had set same down for hearing on 26 July 2021. </w:t>
      </w:r>
    </w:p>
    <w:p w14:paraId="207DB078" w14:textId="763C8286" w:rsidR="00DB0448" w:rsidRPr="00DE5C90" w:rsidRDefault="00DB0448" w:rsidP="00826714">
      <w:pPr>
        <w:pStyle w:val="LegalList1"/>
        <w:numPr>
          <w:ilvl w:val="0"/>
          <w:numId w:val="1"/>
        </w:numPr>
        <w:spacing w:after="600" w:line="360" w:lineRule="auto"/>
        <w:rPr>
          <w:rFonts w:cs="Arial"/>
        </w:rPr>
      </w:pPr>
      <w:r w:rsidRPr="00DE5C90">
        <w:rPr>
          <w:rFonts w:cs="Arial"/>
        </w:rPr>
        <w:t>The NRF Respondents’ attorneys wrote to Machaba on 17 June 2021, notifying them that their withdrawal</w:t>
      </w:r>
      <w:r w:rsidR="002601E8" w:rsidRPr="00DE5C90">
        <w:rPr>
          <w:rFonts w:cs="Arial"/>
        </w:rPr>
        <w:t xml:space="preserve"> as attorneys of record</w:t>
      </w:r>
      <w:r w:rsidRPr="00DE5C90">
        <w:rPr>
          <w:rFonts w:cs="Arial"/>
        </w:rPr>
        <w:t xml:space="preserve"> — and consequently the termination of the three advocates’ mandates — did not relieve them of the fact </w:t>
      </w:r>
      <w:r w:rsidRPr="00DE5C90">
        <w:rPr>
          <w:rFonts w:cs="Arial"/>
        </w:rPr>
        <w:lastRenderedPageBreak/>
        <w:t xml:space="preserve">that the NRF Respondents sought costs against them </w:t>
      </w:r>
      <w:r w:rsidRPr="00DE5C90">
        <w:rPr>
          <w:rFonts w:cs="Arial"/>
          <w:i/>
        </w:rPr>
        <w:t>de bonis propriis</w:t>
      </w:r>
      <w:r w:rsidRPr="00DE5C90">
        <w:rPr>
          <w:rFonts w:cs="Arial"/>
        </w:rPr>
        <w:t>, and that this question would also be argued when the application came to be heard.</w:t>
      </w:r>
    </w:p>
    <w:p w14:paraId="6F862CC6" w14:textId="77777777" w:rsidR="00CA5DE0" w:rsidRPr="00DE5C90" w:rsidRDefault="0024301F" w:rsidP="00826714">
      <w:pPr>
        <w:pStyle w:val="LegalList1"/>
        <w:numPr>
          <w:ilvl w:val="0"/>
          <w:numId w:val="1"/>
        </w:numPr>
        <w:spacing w:after="600" w:line="360" w:lineRule="auto"/>
        <w:rPr>
          <w:rFonts w:cs="Arial"/>
        </w:rPr>
      </w:pPr>
      <w:r w:rsidRPr="00DE5C90">
        <w:rPr>
          <w:rFonts w:cs="Arial"/>
        </w:rPr>
        <w:t>Letters to the advocates in question, including Adv. Kufa, were also delivered through medium of the Sheriff, notifying them of the aforegoing.</w:t>
      </w:r>
    </w:p>
    <w:p w14:paraId="476F9D43" w14:textId="7D631B42" w:rsidR="0024301F" w:rsidRPr="00DE5C90" w:rsidRDefault="0024301F" w:rsidP="00826714">
      <w:pPr>
        <w:pStyle w:val="LegalList1"/>
        <w:numPr>
          <w:ilvl w:val="0"/>
          <w:numId w:val="1"/>
        </w:numPr>
        <w:spacing w:after="600" w:line="360" w:lineRule="auto"/>
        <w:rPr>
          <w:rFonts w:cs="Arial"/>
        </w:rPr>
      </w:pPr>
      <w:r w:rsidRPr="00DE5C90">
        <w:rPr>
          <w:rFonts w:cs="Arial"/>
        </w:rPr>
        <w:t>Adv</w:t>
      </w:r>
      <w:r w:rsidR="00CA5DE0" w:rsidRPr="00DE5C90">
        <w:rPr>
          <w:rFonts w:cs="Arial"/>
        </w:rPr>
        <w:t>.</w:t>
      </w:r>
      <w:r w:rsidRPr="00DE5C90">
        <w:rPr>
          <w:rFonts w:cs="Arial"/>
        </w:rPr>
        <w:t xml:space="preserve"> Moropene responded, first by letters and then by an affidavit, and Mr Matsena (who had since Machaba</w:t>
      </w:r>
      <w:r w:rsidR="00CA5DE0" w:rsidRPr="00DE5C90">
        <w:rPr>
          <w:rFonts w:cs="Arial"/>
        </w:rPr>
        <w:t>’</w:t>
      </w:r>
      <w:r w:rsidRPr="00DE5C90">
        <w:rPr>
          <w:rFonts w:cs="Arial"/>
        </w:rPr>
        <w:t>s withdrawal been unrepresented) also responded by letters and affidavit. The thrust of what both said was that they were innocent, and that the very launching of the application, let alone the scurrilous allegations in both the Particu</w:t>
      </w:r>
      <w:r w:rsidR="00CA5DE0" w:rsidRPr="00DE5C90">
        <w:rPr>
          <w:rFonts w:cs="Arial"/>
        </w:rPr>
        <w:t>lars of Claim and in Mr Matsena’</w:t>
      </w:r>
      <w:r w:rsidRPr="00DE5C90">
        <w:rPr>
          <w:rFonts w:cs="Arial"/>
        </w:rPr>
        <w:t>s affidavit, was all Adv</w:t>
      </w:r>
      <w:r w:rsidR="00CA5DE0" w:rsidRPr="00DE5C90">
        <w:rPr>
          <w:rFonts w:cs="Arial"/>
        </w:rPr>
        <w:t>.</w:t>
      </w:r>
      <w:r w:rsidRPr="00DE5C90">
        <w:rPr>
          <w:rFonts w:cs="Arial"/>
        </w:rPr>
        <w:t xml:space="preserve"> Kufa</w:t>
      </w:r>
      <w:r w:rsidR="00CA5DE0" w:rsidRPr="00DE5C90">
        <w:rPr>
          <w:rFonts w:cs="Arial"/>
        </w:rPr>
        <w:t>’</w:t>
      </w:r>
      <w:r w:rsidRPr="00DE5C90">
        <w:rPr>
          <w:rFonts w:cs="Arial"/>
        </w:rPr>
        <w:t>s doing</w:t>
      </w:r>
      <w:r w:rsidR="00CA5DE0" w:rsidRPr="00DE5C90">
        <w:rPr>
          <w:rFonts w:cs="Arial"/>
        </w:rPr>
        <w:t>.</w:t>
      </w:r>
    </w:p>
    <w:p w14:paraId="71B99EED" w14:textId="6C238CB9" w:rsidR="009F20B9" w:rsidRPr="00034996" w:rsidRDefault="007C1DF0" w:rsidP="00034996">
      <w:pPr>
        <w:pStyle w:val="LegalList1"/>
        <w:numPr>
          <w:ilvl w:val="0"/>
          <w:numId w:val="1"/>
        </w:numPr>
        <w:spacing w:after="600" w:line="360" w:lineRule="auto"/>
        <w:rPr>
          <w:rFonts w:cs="Arial"/>
        </w:rPr>
      </w:pPr>
      <w:r w:rsidRPr="00DE5C90">
        <w:rPr>
          <w:rFonts w:cs="Arial"/>
        </w:rPr>
        <w:t xml:space="preserve">The NRF Respondents accepted Adv. Moropene’s explanation and that, although Adv. Tshivhase had for whatever reason not written to defend himself, the same must apply to him, and on that </w:t>
      </w:r>
      <w:r w:rsidR="006C437A" w:rsidRPr="00DE5C90">
        <w:rPr>
          <w:rFonts w:cs="Arial"/>
        </w:rPr>
        <w:t>basis,</w:t>
      </w:r>
      <w:r w:rsidRPr="00DE5C90">
        <w:rPr>
          <w:rFonts w:cs="Arial"/>
        </w:rPr>
        <w:t xml:space="preserve"> they withdrew their contentions against them. This left the Applicant, Mr. Matsena (who could not be allowed to </w:t>
      </w:r>
      <w:r w:rsidR="006C437A" w:rsidRPr="00DE5C90">
        <w:rPr>
          <w:rFonts w:cs="Arial"/>
        </w:rPr>
        <w:t>divorce himself so easily</w:t>
      </w:r>
      <w:r w:rsidRPr="00DE5C90">
        <w:rPr>
          <w:rFonts w:cs="Arial"/>
        </w:rPr>
        <w:t xml:space="preserve"> from responsibility), Machaba and Adv. Kufa, against which latter two punitive costs </w:t>
      </w:r>
      <w:r w:rsidRPr="00DE5C90">
        <w:rPr>
          <w:rFonts w:cs="Arial"/>
          <w:i/>
        </w:rPr>
        <w:t>de bonis propriis</w:t>
      </w:r>
      <w:r w:rsidRPr="00DE5C90">
        <w:rPr>
          <w:rFonts w:cs="Arial"/>
        </w:rPr>
        <w:t xml:space="preserve"> were still sought.</w:t>
      </w:r>
    </w:p>
    <w:p w14:paraId="1C0F8642" w14:textId="3C06F90A" w:rsidR="009F20B9" w:rsidRPr="00DE5C90" w:rsidRDefault="009F20B9" w:rsidP="009F20B9">
      <w:pPr>
        <w:pStyle w:val="LegalList1"/>
        <w:numPr>
          <w:ilvl w:val="0"/>
          <w:numId w:val="5"/>
        </w:numPr>
        <w:spacing w:after="600" w:line="360" w:lineRule="auto"/>
        <w:rPr>
          <w:rFonts w:cs="Arial"/>
          <w:b/>
        </w:rPr>
      </w:pPr>
      <w:r w:rsidRPr="00DE5C90">
        <w:rPr>
          <w:rFonts w:cs="Arial"/>
          <w:b/>
        </w:rPr>
        <w:t xml:space="preserve">Judge Khumalo’s rule </w:t>
      </w:r>
      <w:r w:rsidRPr="00DE5C90">
        <w:rPr>
          <w:rFonts w:cs="Arial"/>
          <w:b/>
          <w:i/>
        </w:rPr>
        <w:t>nisi</w:t>
      </w:r>
      <w:r w:rsidRPr="00DE5C90">
        <w:rPr>
          <w:rFonts w:cs="Arial"/>
          <w:b/>
        </w:rPr>
        <w:t xml:space="preserve"> of 27 July 2021:</w:t>
      </w:r>
    </w:p>
    <w:p w14:paraId="7EEC2DB5" w14:textId="77777777" w:rsidR="00542D2C" w:rsidRPr="00DE5C90" w:rsidRDefault="009F20B9" w:rsidP="00826714">
      <w:pPr>
        <w:pStyle w:val="LegalList1"/>
        <w:numPr>
          <w:ilvl w:val="0"/>
          <w:numId w:val="1"/>
        </w:numPr>
        <w:spacing w:after="600" w:line="360" w:lineRule="auto"/>
        <w:rPr>
          <w:rFonts w:cs="Arial"/>
        </w:rPr>
      </w:pPr>
      <w:r w:rsidRPr="00DE5C90">
        <w:rPr>
          <w:rFonts w:cs="Arial"/>
        </w:rPr>
        <w:t xml:space="preserve">The matter came before her ladyship Khumalo J on Tuesday 27 July 2021, on the Microsoft Teams electronic platform. </w:t>
      </w:r>
    </w:p>
    <w:p w14:paraId="3A24F53D" w14:textId="77777777" w:rsidR="00542D2C" w:rsidRPr="00DE5C90" w:rsidRDefault="009F20B9" w:rsidP="00826714">
      <w:pPr>
        <w:pStyle w:val="LegalList1"/>
        <w:numPr>
          <w:ilvl w:val="0"/>
          <w:numId w:val="1"/>
        </w:numPr>
        <w:spacing w:after="600" w:line="360" w:lineRule="auto"/>
        <w:rPr>
          <w:rFonts w:cs="Arial"/>
        </w:rPr>
      </w:pPr>
      <w:r w:rsidRPr="00DE5C90">
        <w:rPr>
          <w:rFonts w:cs="Arial"/>
        </w:rPr>
        <w:t>The NRF Respondents and the Second to Fourth Respondents were legally represented. Mr Matsena represented himself. Machaba and Adv</w:t>
      </w:r>
      <w:r w:rsidR="00542D2C" w:rsidRPr="00DE5C90">
        <w:rPr>
          <w:rFonts w:cs="Arial"/>
        </w:rPr>
        <w:t>.</w:t>
      </w:r>
      <w:r w:rsidRPr="00DE5C90">
        <w:rPr>
          <w:rFonts w:cs="Arial"/>
        </w:rPr>
        <w:t xml:space="preserve"> Kufa did not attend</w:t>
      </w:r>
      <w:r w:rsidR="00542D2C" w:rsidRPr="00DE5C90">
        <w:rPr>
          <w:rFonts w:cs="Arial"/>
        </w:rPr>
        <w:t>.</w:t>
      </w:r>
      <w:r w:rsidRPr="00DE5C90">
        <w:rPr>
          <w:rFonts w:cs="Arial"/>
        </w:rPr>
        <w:t xml:space="preserve"> </w:t>
      </w:r>
    </w:p>
    <w:p w14:paraId="5364795E" w14:textId="77777777" w:rsidR="00542D2C" w:rsidRPr="00DE5C90" w:rsidRDefault="009F20B9" w:rsidP="00826714">
      <w:pPr>
        <w:pStyle w:val="LegalList1"/>
        <w:numPr>
          <w:ilvl w:val="0"/>
          <w:numId w:val="1"/>
        </w:numPr>
        <w:spacing w:after="600" w:line="360" w:lineRule="auto"/>
        <w:rPr>
          <w:rFonts w:cs="Arial"/>
        </w:rPr>
      </w:pPr>
      <w:r w:rsidRPr="00DE5C90">
        <w:rPr>
          <w:rFonts w:cs="Arial"/>
        </w:rPr>
        <w:lastRenderedPageBreak/>
        <w:t xml:space="preserve">After hearing argument, Khumalo J granted an order dismissing the application, with punitive costs in favour of (a) the NRF Respondents, and (b) the Second to Fourth Respondents (including two counsel in both cases). </w:t>
      </w:r>
    </w:p>
    <w:p w14:paraId="2151F729" w14:textId="5FD57CC0" w:rsidR="00826714" w:rsidRPr="00DE5C90" w:rsidRDefault="009F20B9" w:rsidP="00826714">
      <w:pPr>
        <w:pStyle w:val="LegalList1"/>
        <w:numPr>
          <w:ilvl w:val="0"/>
          <w:numId w:val="1"/>
        </w:numPr>
        <w:spacing w:after="600" w:line="360" w:lineRule="auto"/>
        <w:rPr>
          <w:rFonts w:cs="Arial"/>
        </w:rPr>
      </w:pPr>
      <w:r w:rsidRPr="00DE5C90">
        <w:rPr>
          <w:rFonts w:cs="Arial"/>
        </w:rPr>
        <w:t>In addition to that, the learned judge:</w:t>
      </w:r>
    </w:p>
    <w:p w14:paraId="2DE427C4" w14:textId="77DFFF3C" w:rsidR="00542D2C" w:rsidRPr="00DE5C90" w:rsidRDefault="00542D2C" w:rsidP="00542D2C">
      <w:pPr>
        <w:pStyle w:val="LegalHeading2"/>
        <w:spacing w:line="360" w:lineRule="auto"/>
        <w:rPr>
          <w:rFonts w:cs="Arial"/>
          <w:b w:val="0"/>
        </w:rPr>
      </w:pPr>
      <w:r w:rsidRPr="00DE5C90">
        <w:rPr>
          <w:rFonts w:cs="Arial"/>
          <w:b w:val="0"/>
        </w:rPr>
        <w:t xml:space="preserve">Granted costs de bonis propriis against Machaba on the basis that she was satisfied that they were fully aware of the hearing; and </w:t>
      </w:r>
    </w:p>
    <w:p w14:paraId="0BE3CC15" w14:textId="7064BAB4" w:rsidR="00ED71A0" w:rsidRPr="00DE5C90" w:rsidRDefault="00542D2C" w:rsidP="00542D2C">
      <w:pPr>
        <w:pStyle w:val="LegalHeading2"/>
        <w:spacing w:line="360" w:lineRule="auto"/>
        <w:rPr>
          <w:rFonts w:cs="Arial"/>
        </w:rPr>
      </w:pPr>
      <w:r w:rsidRPr="00DE5C90">
        <w:rPr>
          <w:rFonts w:cs="Arial"/>
          <w:b w:val="0"/>
        </w:rPr>
        <w:t xml:space="preserve">Granted a rule </w:t>
      </w:r>
      <w:r w:rsidRPr="00DE5C90">
        <w:rPr>
          <w:rFonts w:cs="Arial"/>
          <w:b w:val="0"/>
          <w:i/>
        </w:rPr>
        <w:t>nisi</w:t>
      </w:r>
      <w:r w:rsidRPr="00DE5C90">
        <w:rPr>
          <w:rFonts w:cs="Arial"/>
          <w:b w:val="0"/>
        </w:rPr>
        <w:t xml:space="preserve"> against Adv. Kufa, returnable on 6 September 2021, calling on him to show cause why he should not also be ordered to pay the costs of the NRF Respondents on an attorney-client scale, including the costs of two counsel</w:t>
      </w:r>
      <w:r w:rsidR="00C81E32" w:rsidRPr="00DE5C90">
        <w:rPr>
          <w:rFonts w:cs="Arial"/>
          <w:b w:val="0"/>
        </w:rPr>
        <w:t xml:space="preserve">, </w:t>
      </w:r>
      <w:r w:rsidR="00C81E32" w:rsidRPr="00DE5C90">
        <w:rPr>
          <w:rFonts w:cs="Arial"/>
          <w:b w:val="0"/>
          <w:i/>
        </w:rPr>
        <w:t>de bonis propriis</w:t>
      </w:r>
      <w:r w:rsidRPr="00DE5C90">
        <w:rPr>
          <w:rFonts w:cs="Arial"/>
          <w:b w:val="0"/>
        </w:rPr>
        <w:t>.</w:t>
      </w:r>
      <w:r w:rsidR="00ED71A0" w:rsidRPr="00DE5C90">
        <w:rPr>
          <w:rFonts w:cs="Arial"/>
          <w:b w:val="0"/>
        </w:rPr>
        <w:t xml:space="preserve"> </w:t>
      </w:r>
    </w:p>
    <w:p w14:paraId="1C1FB615" w14:textId="62DB233D" w:rsidR="00542D2C" w:rsidRPr="00DE5C90" w:rsidRDefault="00ED71A0" w:rsidP="00542D2C">
      <w:pPr>
        <w:pStyle w:val="LegalHeading2"/>
        <w:spacing w:line="360" w:lineRule="auto"/>
        <w:rPr>
          <w:rFonts w:cs="Arial"/>
        </w:rPr>
      </w:pPr>
      <w:r w:rsidRPr="00DE5C90">
        <w:rPr>
          <w:rFonts w:cs="Arial"/>
          <w:b w:val="0"/>
        </w:rPr>
        <w:t>Ordered that this liability is joint and several with the costs liability of the applicant and of Machaba attorneys, the one or more paying, the other or others to be thereby absolved.</w:t>
      </w:r>
    </w:p>
    <w:p w14:paraId="7B46CE57" w14:textId="707C2EBA" w:rsidR="00542D2C" w:rsidRPr="00DE5C90" w:rsidRDefault="00542D2C" w:rsidP="00826714">
      <w:pPr>
        <w:pStyle w:val="LegalList1"/>
        <w:numPr>
          <w:ilvl w:val="0"/>
          <w:numId w:val="1"/>
        </w:numPr>
        <w:spacing w:after="600" w:line="360" w:lineRule="auto"/>
        <w:rPr>
          <w:rFonts w:cs="Arial"/>
        </w:rPr>
      </w:pPr>
      <w:r w:rsidRPr="00DE5C90">
        <w:rPr>
          <w:rFonts w:cs="Arial"/>
        </w:rPr>
        <w:t xml:space="preserve">In terms of the rule </w:t>
      </w:r>
      <w:r w:rsidRPr="00DE5C90">
        <w:rPr>
          <w:rFonts w:cs="Arial"/>
          <w:i/>
        </w:rPr>
        <w:t>nisi</w:t>
      </w:r>
      <w:r w:rsidRPr="00DE5C90">
        <w:rPr>
          <w:rFonts w:cs="Arial"/>
        </w:rPr>
        <w:t>, Adv. Kufa was to file an affidavit by 16 August 2021</w:t>
      </w:r>
      <w:r w:rsidR="00A43F67" w:rsidRPr="00DE5C90">
        <w:rPr>
          <w:rFonts w:cs="Arial"/>
        </w:rPr>
        <w:t>,</w:t>
      </w:r>
      <w:r w:rsidRPr="00DE5C90">
        <w:rPr>
          <w:rFonts w:cs="Arial"/>
        </w:rPr>
        <w:t xml:space="preserve"> if he intended opposing the confirmation of the Rule. </w:t>
      </w:r>
    </w:p>
    <w:p w14:paraId="1B48F604" w14:textId="6DA2B041" w:rsidR="008E7C70" w:rsidRPr="00DE5C90" w:rsidRDefault="00542D2C" w:rsidP="00F12376">
      <w:pPr>
        <w:pStyle w:val="LegalList1"/>
        <w:numPr>
          <w:ilvl w:val="0"/>
          <w:numId w:val="1"/>
        </w:numPr>
        <w:spacing w:after="600" w:line="360" w:lineRule="auto"/>
        <w:rPr>
          <w:rFonts w:cs="Arial"/>
        </w:rPr>
      </w:pPr>
      <w:r w:rsidRPr="00DE5C90">
        <w:rPr>
          <w:rFonts w:cs="Arial"/>
        </w:rPr>
        <w:t>Despite service of the Rule on him personally at his office on 3 August 2021, Adv. Kufa chose not to file an affidavit, and the matter proceed</w:t>
      </w:r>
      <w:r w:rsidR="004349D2" w:rsidRPr="00DE5C90">
        <w:rPr>
          <w:rFonts w:cs="Arial"/>
        </w:rPr>
        <w:t>ed</w:t>
      </w:r>
      <w:r w:rsidRPr="00DE5C90">
        <w:rPr>
          <w:rFonts w:cs="Arial"/>
        </w:rPr>
        <w:t xml:space="preserve"> without any affidavit </w:t>
      </w:r>
      <w:r w:rsidR="004349D2" w:rsidRPr="00DE5C90">
        <w:rPr>
          <w:rFonts w:cs="Arial"/>
        </w:rPr>
        <w:t>in opposition from him.</w:t>
      </w:r>
      <w:r w:rsidRPr="00DE5C90">
        <w:rPr>
          <w:rFonts w:cs="Arial"/>
        </w:rPr>
        <w:t xml:space="preserve"> </w:t>
      </w:r>
    </w:p>
    <w:p w14:paraId="1550A9D9" w14:textId="474CAF2A" w:rsidR="004349D2" w:rsidRPr="00DE5C90" w:rsidRDefault="004349D2" w:rsidP="004349D2">
      <w:pPr>
        <w:pStyle w:val="LegalList1"/>
        <w:numPr>
          <w:ilvl w:val="0"/>
          <w:numId w:val="5"/>
        </w:numPr>
        <w:spacing w:after="600" w:line="360" w:lineRule="auto"/>
        <w:rPr>
          <w:rFonts w:cs="Arial"/>
          <w:b/>
        </w:rPr>
      </w:pPr>
      <w:r w:rsidRPr="00DE5C90">
        <w:rPr>
          <w:rFonts w:cs="Arial"/>
          <w:b/>
        </w:rPr>
        <w:t>NRF respondents’ case for confirmation</w:t>
      </w:r>
      <w:r w:rsidR="00460CEE" w:rsidRPr="00DE5C90">
        <w:rPr>
          <w:rFonts w:cs="Arial"/>
          <w:b/>
        </w:rPr>
        <w:t xml:space="preserve"> of the rule </w:t>
      </w:r>
      <w:r w:rsidR="00460CEE" w:rsidRPr="00DE5C90">
        <w:rPr>
          <w:rFonts w:cs="Arial"/>
          <w:b/>
          <w:i/>
        </w:rPr>
        <w:t>nisi</w:t>
      </w:r>
      <w:r w:rsidRPr="00DE5C90">
        <w:rPr>
          <w:rFonts w:cs="Arial"/>
          <w:b/>
        </w:rPr>
        <w:t xml:space="preserve">: </w:t>
      </w:r>
    </w:p>
    <w:p w14:paraId="2514ABE9" w14:textId="0D98AF5A" w:rsidR="004349D2" w:rsidRPr="00DE5C90" w:rsidRDefault="006E339E" w:rsidP="00F12376">
      <w:pPr>
        <w:pStyle w:val="LegalList1"/>
        <w:numPr>
          <w:ilvl w:val="0"/>
          <w:numId w:val="1"/>
        </w:numPr>
        <w:spacing w:after="600" w:line="360" w:lineRule="auto"/>
        <w:rPr>
          <w:rFonts w:cs="Arial"/>
        </w:rPr>
      </w:pPr>
      <w:r w:rsidRPr="00DE5C90">
        <w:rPr>
          <w:rFonts w:cs="Arial"/>
        </w:rPr>
        <w:lastRenderedPageBreak/>
        <w:t xml:space="preserve">This matter was set down for hearing by the Respondents. They </w:t>
      </w:r>
      <w:r w:rsidR="000E5CF3" w:rsidRPr="00DE5C90">
        <w:rPr>
          <w:rFonts w:cs="Arial"/>
        </w:rPr>
        <w:t>assumed the duty</w:t>
      </w:r>
      <w:r w:rsidRPr="00DE5C90">
        <w:rPr>
          <w:rFonts w:cs="Arial"/>
        </w:rPr>
        <w:t xml:space="preserve"> to begin</w:t>
      </w:r>
      <w:r w:rsidR="00EE5EA9" w:rsidRPr="00DE5C90">
        <w:rPr>
          <w:rFonts w:cs="Arial"/>
        </w:rPr>
        <w:t xml:space="preserve"> and discharge the</w:t>
      </w:r>
      <w:r w:rsidR="00BB318E" w:rsidRPr="00DE5C90">
        <w:rPr>
          <w:rFonts w:cs="Arial"/>
        </w:rPr>
        <w:t>ir</w:t>
      </w:r>
      <w:r w:rsidR="00EE5EA9" w:rsidRPr="00DE5C90">
        <w:rPr>
          <w:rFonts w:cs="Arial"/>
        </w:rPr>
        <w:t xml:space="preserve"> evidentiar</w:t>
      </w:r>
      <w:r w:rsidR="001A18A5" w:rsidRPr="00DE5C90">
        <w:rPr>
          <w:rFonts w:cs="Arial"/>
        </w:rPr>
        <w:t>y burden</w:t>
      </w:r>
      <w:r w:rsidRPr="00DE5C90">
        <w:rPr>
          <w:rFonts w:cs="Arial"/>
        </w:rPr>
        <w:t>.</w:t>
      </w:r>
    </w:p>
    <w:p w14:paraId="72FA058C" w14:textId="77777777" w:rsidR="00EB2C35" w:rsidRPr="00DE5C90" w:rsidRDefault="00460CEE" w:rsidP="00F12376">
      <w:pPr>
        <w:pStyle w:val="LegalList1"/>
        <w:numPr>
          <w:ilvl w:val="0"/>
          <w:numId w:val="1"/>
        </w:numPr>
        <w:spacing w:after="600" w:line="360" w:lineRule="auto"/>
        <w:rPr>
          <w:rFonts w:cs="Arial"/>
        </w:rPr>
      </w:pPr>
      <w:r w:rsidRPr="00DE5C90">
        <w:rPr>
          <w:rFonts w:cs="Arial"/>
        </w:rPr>
        <w:t>The Respondents submitted that the consequences of Adv. Kufa’s failure to file an affidavit in accordance with the court order of 27 July 2021 are that the matter proceeds without any opposition from him.   He may still oppose by offering legal argument (either on legal-technical points, or on the existing papers).</w:t>
      </w:r>
      <w:r w:rsidR="00EB2C35" w:rsidRPr="00DE5C90">
        <w:rPr>
          <w:rFonts w:cs="Arial"/>
          <w:color w:val="000000"/>
        </w:rPr>
        <w:t xml:space="preserve"> </w:t>
      </w:r>
    </w:p>
    <w:p w14:paraId="2656AE90" w14:textId="77777777" w:rsidR="00EB2C35" w:rsidRPr="00DE5C90" w:rsidRDefault="00EB2C35" w:rsidP="00F12376">
      <w:pPr>
        <w:pStyle w:val="LegalList1"/>
        <w:numPr>
          <w:ilvl w:val="0"/>
          <w:numId w:val="1"/>
        </w:numPr>
        <w:spacing w:after="600" w:line="360" w:lineRule="auto"/>
        <w:rPr>
          <w:rFonts w:cs="Arial"/>
        </w:rPr>
      </w:pPr>
      <w:r w:rsidRPr="00DE5C90">
        <w:rPr>
          <w:rFonts w:cs="Arial"/>
        </w:rPr>
        <w:t xml:space="preserve">Both Mr Matsena and Adv. Moropene said in their affidavits that Adv. Kufa had taken the lead in deciding what to do, and what to say, both in the action and in the application. </w:t>
      </w:r>
    </w:p>
    <w:p w14:paraId="12855684" w14:textId="7CC6DDBD" w:rsidR="00460CEE" w:rsidRPr="00DE5C90" w:rsidRDefault="00EB2C35" w:rsidP="00F12376">
      <w:pPr>
        <w:pStyle w:val="LegalList1"/>
        <w:numPr>
          <w:ilvl w:val="0"/>
          <w:numId w:val="1"/>
        </w:numPr>
        <w:spacing w:after="600" w:line="360" w:lineRule="auto"/>
        <w:rPr>
          <w:rFonts w:cs="Arial"/>
        </w:rPr>
      </w:pPr>
      <w:r w:rsidRPr="00DE5C90">
        <w:rPr>
          <w:rFonts w:cs="Arial"/>
        </w:rPr>
        <w:t>Adv. Kufa was clearly the leading counsel, and so especially in the absence of any affidavit from him, one would in any event have concluded that he was primarily responsible (even absent Mr. Matsena’s and Adv. Moropene’s affidavits).</w:t>
      </w:r>
    </w:p>
    <w:p w14:paraId="1BCCEADA" w14:textId="6647B88C" w:rsidR="0005718D" w:rsidRPr="00DE5C90" w:rsidRDefault="001E758B" w:rsidP="00F12376">
      <w:pPr>
        <w:pStyle w:val="LegalList1"/>
        <w:numPr>
          <w:ilvl w:val="0"/>
          <w:numId w:val="1"/>
        </w:numPr>
        <w:spacing w:after="600" w:line="360" w:lineRule="auto"/>
        <w:rPr>
          <w:rFonts w:cs="Arial"/>
        </w:rPr>
      </w:pPr>
      <w:r w:rsidRPr="00DE5C90">
        <w:rPr>
          <w:rFonts w:cs="Arial"/>
        </w:rPr>
        <w:t>Adv. Kufa clearly acted malevolently as counsel. This much can be gleaned from Mr. Matsena’s and Adv. M</w:t>
      </w:r>
      <w:r w:rsidR="0015309C" w:rsidRPr="00DE5C90">
        <w:rPr>
          <w:rFonts w:cs="Arial"/>
        </w:rPr>
        <w:t>o</w:t>
      </w:r>
      <w:r w:rsidRPr="00DE5C90">
        <w:rPr>
          <w:rFonts w:cs="Arial"/>
        </w:rPr>
        <w:t>ropene’s affidavits. For example, in paragraph 24 of his affidavit</w:t>
      </w:r>
      <w:r w:rsidR="00DC2110" w:rsidRPr="00DE5C90">
        <w:rPr>
          <w:rFonts w:cs="Arial"/>
        </w:rPr>
        <w:t>,</w:t>
      </w:r>
      <w:r w:rsidRPr="00DE5C90">
        <w:rPr>
          <w:rFonts w:cs="Arial"/>
        </w:rPr>
        <w:t xml:space="preserve"> Adv. M</w:t>
      </w:r>
      <w:r w:rsidR="0015309C" w:rsidRPr="00DE5C90">
        <w:rPr>
          <w:rFonts w:cs="Arial"/>
        </w:rPr>
        <w:t>o</w:t>
      </w:r>
      <w:r w:rsidRPr="00DE5C90">
        <w:rPr>
          <w:rFonts w:cs="Arial"/>
        </w:rPr>
        <w:t xml:space="preserve">ropene’s states: </w:t>
      </w:r>
    </w:p>
    <w:p w14:paraId="6E89DB2D" w14:textId="2054A4D2" w:rsidR="00476EC3" w:rsidRPr="00DE5C90" w:rsidRDefault="00CF62DC" w:rsidP="00034996">
      <w:pPr>
        <w:pStyle w:val="LegalList1"/>
        <w:spacing w:after="600" w:line="360" w:lineRule="auto"/>
        <w:ind w:left="567"/>
        <w:rPr>
          <w:rFonts w:cs="Arial"/>
        </w:rPr>
      </w:pPr>
      <w:r w:rsidRPr="00DE5C90">
        <w:rPr>
          <w:rFonts w:cs="Arial"/>
        </w:rPr>
        <w:t xml:space="preserve">“As you can see on page 21 of annexure “NM2”, you will realise that he confirms that he was issuing his summons meaning that he did everything by himself. He further stated on page 21 that he wants to teach NRF a lesson and that he was serving the summons urgently. He also mentioned that </w:t>
      </w:r>
      <w:r w:rsidRPr="00DE5C90">
        <w:rPr>
          <w:rFonts w:cs="Arial"/>
          <w:b/>
          <w:u w:val="single"/>
        </w:rPr>
        <w:t>“let’s fight these bastards”.</w:t>
      </w:r>
      <w:r w:rsidRPr="00DE5C90">
        <w:rPr>
          <w:rFonts w:cs="Arial"/>
        </w:rPr>
        <w:t xml:space="preserve"> On page 7 of this annexure, Adv</w:t>
      </w:r>
      <w:r w:rsidR="00DC2110" w:rsidRPr="00DE5C90">
        <w:rPr>
          <w:rFonts w:cs="Arial"/>
        </w:rPr>
        <w:t>.</w:t>
      </w:r>
      <w:r w:rsidRPr="00DE5C90">
        <w:rPr>
          <w:rFonts w:cs="Arial"/>
        </w:rPr>
        <w:t xml:space="preserve"> Kufa states that </w:t>
      </w:r>
      <w:r w:rsidR="00291000" w:rsidRPr="00DE5C90">
        <w:rPr>
          <w:rFonts w:cs="Arial"/>
          <w:b/>
          <w:u w:val="single"/>
        </w:rPr>
        <w:t>“</w:t>
      </w:r>
      <w:r w:rsidRPr="00DE5C90">
        <w:rPr>
          <w:rFonts w:cs="Arial"/>
          <w:b/>
          <w:u w:val="single"/>
        </w:rPr>
        <w:t>he wants Bishen’s head”</w:t>
      </w:r>
      <w:r w:rsidR="00291000" w:rsidRPr="00DE5C90">
        <w:rPr>
          <w:rFonts w:cs="Arial"/>
          <w:b/>
          <w:u w:val="single"/>
        </w:rPr>
        <w:t>,</w:t>
      </w:r>
      <w:r w:rsidR="00291000" w:rsidRPr="00DE5C90">
        <w:rPr>
          <w:rFonts w:cs="Arial"/>
        </w:rPr>
        <w:t xml:space="preserve"> and explains the information that </w:t>
      </w:r>
      <w:r w:rsidR="00291000" w:rsidRPr="00DE5C90">
        <w:rPr>
          <w:rFonts w:cs="Arial"/>
          <w:b/>
          <w:u w:val="single"/>
        </w:rPr>
        <w:t xml:space="preserve">he needs for Mr Matsena’s summons </w:t>
      </w:r>
      <w:r w:rsidR="00291000" w:rsidRPr="00DE5C90">
        <w:rPr>
          <w:rFonts w:cs="Arial"/>
          <w:b/>
          <w:u w:val="single"/>
        </w:rPr>
        <w:lastRenderedPageBreak/>
        <w:t>and that the summons can become fool proof</w:t>
      </w:r>
      <w:r w:rsidR="0005718D" w:rsidRPr="00DE5C90">
        <w:rPr>
          <w:rFonts w:cs="Arial"/>
          <w:b/>
          <w:u w:val="single"/>
        </w:rPr>
        <w:t>,</w:t>
      </w:r>
      <w:r w:rsidR="0005718D" w:rsidRPr="00DE5C90">
        <w:rPr>
          <w:rFonts w:cs="Arial"/>
        </w:rPr>
        <w:t xml:space="preserve"> whereas on page 10 he says they need </w:t>
      </w:r>
      <w:r w:rsidR="0005718D" w:rsidRPr="00DE5C90">
        <w:rPr>
          <w:rFonts w:cs="Arial"/>
          <w:b/>
          <w:u w:val="single"/>
        </w:rPr>
        <w:t>to submit urgent application to attach Molopo’s pension.”</w:t>
      </w:r>
      <w:r w:rsidR="0005718D" w:rsidRPr="00DE5C90">
        <w:rPr>
          <w:rFonts w:cs="Arial"/>
        </w:rPr>
        <w:t xml:space="preserve"> </w:t>
      </w:r>
    </w:p>
    <w:p w14:paraId="519FEF0E" w14:textId="6E1E6B4D" w:rsidR="007F4A82" w:rsidRPr="00DE5C90" w:rsidRDefault="007F4A82" w:rsidP="00F12376">
      <w:pPr>
        <w:pStyle w:val="LegalList1"/>
        <w:numPr>
          <w:ilvl w:val="0"/>
          <w:numId w:val="1"/>
        </w:numPr>
        <w:spacing w:after="600" w:line="360" w:lineRule="auto"/>
        <w:rPr>
          <w:rFonts w:cs="Arial"/>
        </w:rPr>
      </w:pPr>
      <w:r w:rsidRPr="00DE5C90">
        <w:rPr>
          <w:rFonts w:cs="Arial"/>
        </w:rPr>
        <w:t>Mr. Matsena’s affidavit also sheds light to the fact that Adv. Kufa was himself once an employee of the NRF and his employment there was terminated after he was disciplined.</w:t>
      </w:r>
      <w:r w:rsidR="0039296B" w:rsidRPr="00DE5C90">
        <w:rPr>
          <w:rFonts w:cs="Arial"/>
        </w:rPr>
        <w:t xml:space="preserve"> For example, in paragraph 12 </w:t>
      </w:r>
      <w:r w:rsidR="00F12621" w:rsidRPr="00DE5C90">
        <w:rPr>
          <w:rFonts w:cs="Arial"/>
        </w:rPr>
        <w:t xml:space="preserve">Mr. </w:t>
      </w:r>
      <w:r w:rsidR="0039296B" w:rsidRPr="00DE5C90">
        <w:rPr>
          <w:rFonts w:cs="Arial"/>
        </w:rPr>
        <w:t xml:space="preserve">Matsena states: </w:t>
      </w:r>
      <w:r w:rsidR="0039296B" w:rsidRPr="00DE5C90">
        <w:rPr>
          <w:rFonts w:cs="Arial"/>
          <w:i/>
        </w:rPr>
        <w:t xml:space="preserve">“…Little did I know that Adv. Kufa will use my case to fight his own battle with the NRF”. </w:t>
      </w:r>
      <w:r w:rsidR="0039296B" w:rsidRPr="00DE5C90">
        <w:rPr>
          <w:rFonts w:cs="Arial"/>
        </w:rPr>
        <w:t xml:space="preserve">At paragraph 13 </w:t>
      </w:r>
      <w:r w:rsidR="00524AD4" w:rsidRPr="00DE5C90">
        <w:rPr>
          <w:rFonts w:cs="Arial"/>
        </w:rPr>
        <w:t xml:space="preserve">Mr. </w:t>
      </w:r>
      <w:r w:rsidR="0039296B" w:rsidRPr="00DE5C90">
        <w:rPr>
          <w:rFonts w:cs="Arial"/>
        </w:rPr>
        <w:t xml:space="preserve">Matsena continues, </w:t>
      </w:r>
      <w:r w:rsidR="0039296B" w:rsidRPr="00DE5C90">
        <w:rPr>
          <w:rFonts w:cs="Arial"/>
          <w:i/>
        </w:rPr>
        <w:t>“…I took his advice as one of the best until I realised that there seems to be similarities around his case against NRF and mine. I then realised that the delay caused in finalising my matter was well orchestrated by him to solicit information from me to launch an attack on the NRF…”</w:t>
      </w:r>
    </w:p>
    <w:p w14:paraId="0B214106" w14:textId="4715E943" w:rsidR="007F4A82" w:rsidRPr="00034996" w:rsidRDefault="003019DC" w:rsidP="00034996">
      <w:pPr>
        <w:pStyle w:val="LegalList1"/>
        <w:numPr>
          <w:ilvl w:val="0"/>
          <w:numId w:val="1"/>
        </w:numPr>
        <w:spacing w:after="600" w:line="360" w:lineRule="auto"/>
        <w:rPr>
          <w:rFonts w:cs="Arial"/>
        </w:rPr>
      </w:pPr>
      <w:r w:rsidRPr="00DE5C90">
        <w:rPr>
          <w:rFonts w:cs="Arial"/>
          <w:iCs/>
          <w:lang w:val="en-US"/>
        </w:rPr>
        <w:t>From the above</w:t>
      </w:r>
      <w:r w:rsidR="00FC5466" w:rsidRPr="00DE5C90">
        <w:rPr>
          <w:rFonts w:cs="Arial"/>
          <w:iCs/>
          <w:lang w:val="en-US"/>
        </w:rPr>
        <w:t>, it is clear that</w:t>
      </w:r>
      <w:r w:rsidR="00B44D55" w:rsidRPr="00DE5C90">
        <w:rPr>
          <w:rFonts w:cs="Arial"/>
          <w:iCs/>
          <w:lang w:val="en-US"/>
        </w:rPr>
        <w:t xml:space="preserve"> Mr. Matsena was being </w:t>
      </w:r>
      <w:r w:rsidR="00A14B1C" w:rsidRPr="00DE5C90">
        <w:rPr>
          <w:rFonts w:cs="Arial"/>
          <w:iCs/>
          <w:lang w:val="en-US"/>
        </w:rPr>
        <w:t xml:space="preserve">surreptitiously </w:t>
      </w:r>
      <w:r w:rsidR="00B44D55" w:rsidRPr="00DE5C90">
        <w:rPr>
          <w:rFonts w:cs="Arial"/>
          <w:iCs/>
          <w:lang w:val="en-US"/>
        </w:rPr>
        <w:t>led by the nose</w:t>
      </w:r>
      <w:r w:rsidR="00A14B1C" w:rsidRPr="00DE5C90">
        <w:rPr>
          <w:rFonts w:cs="Arial"/>
          <w:iCs/>
          <w:lang w:val="en-US"/>
        </w:rPr>
        <w:t>,</w:t>
      </w:r>
      <w:r w:rsidR="00524AD4" w:rsidRPr="00DE5C90">
        <w:rPr>
          <w:rFonts w:cs="Arial"/>
          <w:iCs/>
          <w:lang w:val="en-US"/>
        </w:rPr>
        <w:t xml:space="preserve"> by Adv. Kufa</w:t>
      </w:r>
      <w:r w:rsidR="00A14B1C" w:rsidRPr="00DE5C90">
        <w:rPr>
          <w:rFonts w:cs="Arial"/>
          <w:iCs/>
          <w:lang w:val="en-US"/>
        </w:rPr>
        <w:t>.</w:t>
      </w:r>
    </w:p>
    <w:p w14:paraId="55FFDABF" w14:textId="40699623" w:rsidR="007F4A82" w:rsidRPr="00034996" w:rsidRDefault="007F4A82" w:rsidP="00034996">
      <w:pPr>
        <w:pStyle w:val="LegalList1"/>
        <w:numPr>
          <w:ilvl w:val="0"/>
          <w:numId w:val="5"/>
        </w:numPr>
        <w:spacing w:after="600" w:line="360" w:lineRule="auto"/>
        <w:rPr>
          <w:rFonts w:cs="Arial"/>
          <w:b/>
        </w:rPr>
      </w:pPr>
      <w:r w:rsidRPr="00DE5C90">
        <w:rPr>
          <w:rFonts w:cs="Arial"/>
          <w:b/>
        </w:rPr>
        <w:t>Adv. M</w:t>
      </w:r>
      <w:r w:rsidR="00863F01" w:rsidRPr="00DE5C90">
        <w:rPr>
          <w:rFonts w:cs="Arial"/>
          <w:b/>
        </w:rPr>
        <w:t>a</w:t>
      </w:r>
      <w:r w:rsidRPr="00DE5C90">
        <w:rPr>
          <w:rFonts w:cs="Arial"/>
          <w:b/>
        </w:rPr>
        <w:t>cGregor Kufa’s case for the dis</w:t>
      </w:r>
      <w:r w:rsidR="00E4491E" w:rsidRPr="00DE5C90">
        <w:rPr>
          <w:rFonts w:cs="Arial"/>
          <w:b/>
        </w:rPr>
        <w:t>charge</w:t>
      </w:r>
      <w:r w:rsidRPr="00DE5C90">
        <w:rPr>
          <w:rFonts w:cs="Arial"/>
          <w:b/>
        </w:rPr>
        <w:t xml:space="preserve"> of the rule </w:t>
      </w:r>
      <w:r w:rsidRPr="000B5EC0">
        <w:rPr>
          <w:rFonts w:cs="Arial"/>
          <w:b/>
          <w:i/>
        </w:rPr>
        <w:t>nisi</w:t>
      </w:r>
      <w:r w:rsidRPr="00DE5C90">
        <w:rPr>
          <w:rFonts w:cs="Arial"/>
          <w:b/>
        </w:rPr>
        <w:t xml:space="preserve">:  </w:t>
      </w:r>
    </w:p>
    <w:p w14:paraId="775C5C36" w14:textId="443A336F" w:rsidR="00476EC3" w:rsidRPr="00DE5C90" w:rsidRDefault="00150AAA" w:rsidP="00F12376">
      <w:pPr>
        <w:pStyle w:val="LegalList1"/>
        <w:numPr>
          <w:ilvl w:val="0"/>
          <w:numId w:val="1"/>
        </w:numPr>
        <w:spacing w:after="600" w:line="360" w:lineRule="auto"/>
        <w:rPr>
          <w:rFonts w:cs="Arial"/>
        </w:rPr>
      </w:pPr>
      <w:r w:rsidRPr="00DE5C90">
        <w:rPr>
          <w:rFonts w:cs="Arial"/>
        </w:rPr>
        <w:t>Adv. Kufa did not engage any of the allegations relating to the scandalous and defamatory statements in his papers and in the document known as annexure “NM2”.</w:t>
      </w:r>
    </w:p>
    <w:p w14:paraId="07D4148D" w14:textId="26CF55C4" w:rsidR="009C639E" w:rsidRPr="00DE5C90" w:rsidRDefault="009C639E" w:rsidP="00F12376">
      <w:pPr>
        <w:pStyle w:val="LegalList1"/>
        <w:numPr>
          <w:ilvl w:val="0"/>
          <w:numId w:val="1"/>
        </w:numPr>
        <w:spacing w:after="600" w:line="360" w:lineRule="auto"/>
        <w:rPr>
          <w:rFonts w:cs="Arial"/>
        </w:rPr>
      </w:pPr>
      <w:r w:rsidRPr="00DE5C90">
        <w:rPr>
          <w:rFonts w:cs="Arial"/>
        </w:rPr>
        <w:t xml:space="preserve">As his defence, Adv. Kufa states that this matter of the confirmation or discharge of the rule </w:t>
      </w:r>
      <w:r w:rsidRPr="00DE5C90">
        <w:rPr>
          <w:rFonts w:cs="Arial"/>
          <w:i/>
        </w:rPr>
        <w:t>nisi</w:t>
      </w:r>
      <w:r w:rsidRPr="00DE5C90">
        <w:rPr>
          <w:rFonts w:cs="Arial"/>
        </w:rPr>
        <w:t xml:space="preserve"> should serve before 3 retired Constitutional Court Justices. According to him all the Judges of the Gauteng Division should recuse themselves due to bias </w:t>
      </w:r>
      <w:r w:rsidR="006C437A" w:rsidRPr="00DE5C90">
        <w:rPr>
          <w:rFonts w:cs="Arial"/>
        </w:rPr>
        <w:t>because</w:t>
      </w:r>
      <w:r w:rsidRPr="00DE5C90">
        <w:rPr>
          <w:rFonts w:cs="Arial"/>
        </w:rPr>
        <w:t xml:space="preserve"> Counsel for the NRF Respondents, Adv. Mullins SC has acted as </w:t>
      </w:r>
      <w:r w:rsidR="007C46C3" w:rsidRPr="00DE5C90">
        <w:rPr>
          <w:rFonts w:cs="Arial"/>
        </w:rPr>
        <w:t xml:space="preserve">judge numerous </w:t>
      </w:r>
      <w:r w:rsidR="006C437A" w:rsidRPr="00DE5C90">
        <w:rPr>
          <w:rFonts w:cs="Arial"/>
        </w:rPr>
        <w:t>times</w:t>
      </w:r>
      <w:r w:rsidRPr="00DE5C90">
        <w:rPr>
          <w:rFonts w:cs="Arial"/>
        </w:rPr>
        <w:t xml:space="preserve"> in the division. </w:t>
      </w:r>
      <w:r w:rsidR="000D15BD" w:rsidRPr="00DE5C90">
        <w:rPr>
          <w:rFonts w:cs="Arial"/>
        </w:rPr>
        <w:t xml:space="preserve">Adv. </w:t>
      </w:r>
      <w:r w:rsidRPr="00DE5C90">
        <w:rPr>
          <w:rFonts w:cs="Arial"/>
        </w:rPr>
        <w:t xml:space="preserve">Kufa refers to a slew </w:t>
      </w:r>
      <w:r w:rsidRPr="00DE5C90">
        <w:rPr>
          <w:rFonts w:cs="Arial"/>
        </w:rPr>
        <w:lastRenderedPageBreak/>
        <w:t xml:space="preserve">of </w:t>
      </w:r>
      <w:r w:rsidR="000D15BD" w:rsidRPr="00DE5C90">
        <w:rPr>
          <w:rFonts w:cs="Arial"/>
        </w:rPr>
        <w:t xml:space="preserve">decided </w:t>
      </w:r>
      <w:r w:rsidRPr="00DE5C90">
        <w:rPr>
          <w:rFonts w:cs="Arial"/>
        </w:rPr>
        <w:t>cases dealing with recusal in this respect.</w:t>
      </w:r>
      <w:r w:rsidR="002144E7" w:rsidRPr="00DE5C90">
        <w:rPr>
          <w:rFonts w:cs="Arial"/>
        </w:rPr>
        <w:t xml:space="preserve"> This is a general purview of recusal and has no specific relevance to his alleged complaint.</w:t>
      </w:r>
    </w:p>
    <w:p w14:paraId="6D586525" w14:textId="35D36F85" w:rsidR="00F070F7" w:rsidRPr="00DE5C90" w:rsidRDefault="009C639E" w:rsidP="00F12376">
      <w:pPr>
        <w:pStyle w:val="LegalList1"/>
        <w:numPr>
          <w:ilvl w:val="0"/>
          <w:numId w:val="1"/>
        </w:numPr>
        <w:spacing w:after="600" w:line="360" w:lineRule="auto"/>
        <w:rPr>
          <w:rFonts w:cs="Arial"/>
        </w:rPr>
      </w:pPr>
      <w:r w:rsidRPr="00DE5C90">
        <w:rPr>
          <w:rFonts w:cs="Arial"/>
        </w:rPr>
        <w:t xml:space="preserve">Secondly, Adv. Kufa states that he brings his “application” in terms of section 38 of the Constitution </w:t>
      </w:r>
      <w:r w:rsidR="00183965" w:rsidRPr="00DE5C90">
        <w:rPr>
          <w:rFonts w:cs="Arial"/>
        </w:rPr>
        <w:t xml:space="preserve">Act 108 of 1996. He then quotes the section </w:t>
      </w:r>
      <w:r w:rsidR="00BC7E29" w:rsidRPr="00DE5C90">
        <w:rPr>
          <w:rFonts w:cs="Arial"/>
        </w:rPr>
        <w:t>under</w:t>
      </w:r>
      <w:r w:rsidR="00183965" w:rsidRPr="00DE5C90">
        <w:rPr>
          <w:rFonts w:cs="Arial"/>
        </w:rPr>
        <w:t xml:space="preserve"> the heading “</w:t>
      </w:r>
      <w:r w:rsidR="00B407D6" w:rsidRPr="00DE5C90">
        <w:rPr>
          <w:rFonts w:cs="Arial"/>
          <w:b/>
        </w:rPr>
        <w:t>enforcement of rights</w:t>
      </w:r>
      <w:r w:rsidR="00183965" w:rsidRPr="00DE5C90">
        <w:rPr>
          <w:rFonts w:cs="Arial"/>
          <w:b/>
        </w:rPr>
        <w:t>”</w:t>
      </w:r>
      <w:r w:rsidR="00B407D6" w:rsidRPr="00DE5C90">
        <w:rPr>
          <w:rFonts w:cs="Arial"/>
          <w:b/>
        </w:rPr>
        <w:t xml:space="preserve">. </w:t>
      </w:r>
      <w:r w:rsidR="00B407D6" w:rsidRPr="00DE5C90">
        <w:rPr>
          <w:rFonts w:cs="Arial"/>
        </w:rPr>
        <w:t xml:space="preserve">Adv. Kufa then sets off </w:t>
      </w:r>
      <w:r w:rsidR="00230814" w:rsidRPr="00DE5C90">
        <w:rPr>
          <w:rFonts w:cs="Arial"/>
        </w:rPr>
        <w:t xml:space="preserve">on </w:t>
      </w:r>
      <w:r w:rsidR="00B407D6" w:rsidRPr="00DE5C90">
        <w:rPr>
          <w:rFonts w:cs="Arial"/>
        </w:rPr>
        <w:t xml:space="preserve">a lengthy </w:t>
      </w:r>
      <w:r w:rsidR="00230814" w:rsidRPr="00DE5C90">
        <w:rPr>
          <w:rFonts w:cs="Arial"/>
        </w:rPr>
        <w:t xml:space="preserve">rambling </w:t>
      </w:r>
      <w:r w:rsidR="00B407D6" w:rsidRPr="00DE5C90">
        <w:rPr>
          <w:rFonts w:cs="Arial"/>
        </w:rPr>
        <w:t>discourse of how he acts in his own interest as well as the public interest.</w:t>
      </w:r>
      <w:r w:rsidR="00F070F7" w:rsidRPr="00DE5C90">
        <w:rPr>
          <w:rFonts w:cs="Arial"/>
        </w:rPr>
        <w:t xml:space="preserve"> Strangely</w:t>
      </w:r>
      <w:r w:rsidR="00230814" w:rsidRPr="00DE5C90">
        <w:rPr>
          <w:rFonts w:cs="Arial"/>
        </w:rPr>
        <w:t xml:space="preserve">, </w:t>
      </w:r>
      <w:r w:rsidR="00F070F7" w:rsidRPr="00DE5C90">
        <w:rPr>
          <w:rFonts w:cs="Arial"/>
        </w:rPr>
        <w:t>h</w:t>
      </w:r>
      <w:r w:rsidR="00230814" w:rsidRPr="00DE5C90">
        <w:rPr>
          <w:rFonts w:cs="Arial"/>
        </w:rPr>
        <w:t>e</w:t>
      </w:r>
      <w:r w:rsidR="00F070F7" w:rsidRPr="00DE5C90">
        <w:rPr>
          <w:rFonts w:cs="Arial"/>
        </w:rPr>
        <w:t xml:space="preserve"> then drifts back to </w:t>
      </w:r>
      <w:r w:rsidR="00230814" w:rsidRPr="00DE5C90">
        <w:rPr>
          <w:rFonts w:cs="Arial"/>
        </w:rPr>
        <w:t xml:space="preserve">his earlier </w:t>
      </w:r>
      <w:r w:rsidR="00F070F7" w:rsidRPr="00DE5C90">
        <w:rPr>
          <w:rFonts w:cs="Arial"/>
        </w:rPr>
        <w:t>reason</w:t>
      </w:r>
      <w:r w:rsidR="00230814" w:rsidRPr="00DE5C90">
        <w:rPr>
          <w:rFonts w:cs="Arial"/>
        </w:rPr>
        <w:t>s why</w:t>
      </w:r>
      <w:r w:rsidR="00F070F7" w:rsidRPr="00DE5C90">
        <w:rPr>
          <w:rFonts w:cs="Arial"/>
        </w:rPr>
        <w:t xml:space="preserve"> Gauteng Judges </w:t>
      </w:r>
      <w:r w:rsidR="00230814" w:rsidRPr="00DE5C90">
        <w:rPr>
          <w:rFonts w:cs="Arial"/>
        </w:rPr>
        <w:t>ought to be disqualified from</w:t>
      </w:r>
      <w:r w:rsidR="00F070F7" w:rsidRPr="00DE5C90">
        <w:rPr>
          <w:rFonts w:cs="Arial"/>
        </w:rPr>
        <w:t xml:space="preserve"> hear</w:t>
      </w:r>
      <w:r w:rsidR="00230814" w:rsidRPr="00DE5C90">
        <w:rPr>
          <w:rFonts w:cs="Arial"/>
        </w:rPr>
        <w:t>ing</w:t>
      </w:r>
      <w:r w:rsidR="00F070F7" w:rsidRPr="00DE5C90">
        <w:rPr>
          <w:rFonts w:cs="Arial"/>
        </w:rPr>
        <w:t xml:space="preserve"> this matter </w:t>
      </w:r>
      <w:r w:rsidR="00BC7E29" w:rsidRPr="00DE5C90">
        <w:rPr>
          <w:rFonts w:cs="Arial"/>
        </w:rPr>
        <w:t>and</w:t>
      </w:r>
      <w:r w:rsidR="00F070F7" w:rsidRPr="00DE5C90">
        <w:rPr>
          <w:rFonts w:cs="Arial"/>
        </w:rPr>
        <w:t xml:space="preserve"> t</w:t>
      </w:r>
      <w:r w:rsidR="00230814" w:rsidRPr="00DE5C90">
        <w:rPr>
          <w:rFonts w:cs="Arial"/>
        </w:rPr>
        <w:t xml:space="preserve">hat </w:t>
      </w:r>
      <w:r w:rsidR="00F070F7" w:rsidRPr="00DE5C90">
        <w:rPr>
          <w:rFonts w:cs="Arial"/>
        </w:rPr>
        <w:t>his</w:t>
      </w:r>
      <w:r w:rsidR="00230814" w:rsidRPr="00DE5C90">
        <w:rPr>
          <w:rFonts w:cs="Arial"/>
        </w:rPr>
        <w:t xml:space="preserve"> electronic</w:t>
      </w:r>
      <w:r w:rsidR="00F070F7" w:rsidRPr="00DE5C90">
        <w:rPr>
          <w:rFonts w:cs="Arial"/>
        </w:rPr>
        <w:t xml:space="preserve"> communications were intercepted by intelligence structures.</w:t>
      </w:r>
    </w:p>
    <w:p w14:paraId="1CE3C83B" w14:textId="1676EC06" w:rsidR="00F070F7" w:rsidRPr="00DE5C90" w:rsidRDefault="00374E4A" w:rsidP="00F12376">
      <w:pPr>
        <w:pStyle w:val="LegalList1"/>
        <w:numPr>
          <w:ilvl w:val="0"/>
          <w:numId w:val="1"/>
        </w:numPr>
        <w:spacing w:after="600" w:line="360" w:lineRule="auto"/>
        <w:rPr>
          <w:rFonts w:cs="Arial"/>
        </w:rPr>
      </w:pPr>
      <w:r w:rsidRPr="00DE5C90">
        <w:rPr>
          <w:rFonts w:cs="Arial"/>
        </w:rPr>
        <w:t xml:space="preserve">Adv. Kufa then submits that the nature of costs </w:t>
      </w:r>
      <w:r w:rsidRPr="00DE5C90">
        <w:rPr>
          <w:rFonts w:cs="Arial"/>
          <w:i/>
        </w:rPr>
        <w:t>de bonis propriis</w:t>
      </w:r>
      <w:r w:rsidRPr="00DE5C90">
        <w:rPr>
          <w:rFonts w:cs="Arial"/>
        </w:rPr>
        <w:t xml:space="preserve"> is vindictive.</w:t>
      </w:r>
    </w:p>
    <w:p w14:paraId="4EF50F4B" w14:textId="77777777" w:rsidR="00DB38B1" w:rsidRPr="00DE5C90" w:rsidRDefault="00771307" w:rsidP="00F12376">
      <w:pPr>
        <w:pStyle w:val="LegalList1"/>
        <w:numPr>
          <w:ilvl w:val="0"/>
          <w:numId w:val="1"/>
        </w:numPr>
        <w:spacing w:after="600" w:line="360" w:lineRule="auto"/>
        <w:rPr>
          <w:rFonts w:cs="Arial"/>
        </w:rPr>
      </w:pPr>
      <w:r w:rsidRPr="00DE5C90">
        <w:rPr>
          <w:rFonts w:cs="Arial"/>
        </w:rPr>
        <w:t>It is apposite for the sake of completeness to highlight the role played by Machaba. Despite several letters from SJA the attorneys for the respondents to Mr. Matsena and Machaba warning them to either withdraw or amend the offensive pleadings as requested all along, in most of his letters to SJA, Machaba stand their ground and reinforce their allegations. The letter dated 28 October 2020 reveals the following response</w:t>
      </w:r>
      <w:r w:rsidR="00646CAC" w:rsidRPr="00DE5C90">
        <w:rPr>
          <w:rFonts w:cs="Arial"/>
        </w:rPr>
        <w:t>:</w:t>
      </w:r>
      <w:r w:rsidRPr="00DE5C90">
        <w:rPr>
          <w:rFonts w:cs="Arial"/>
        </w:rPr>
        <w:t xml:space="preserve"> </w:t>
      </w:r>
      <w:r w:rsidRPr="00DE5C90">
        <w:rPr>
          <w:rFonts w:cs="Arial"/>
          <w:i/>
        </w:rPr>
        <w:t xml:space="preserve">“3. We believe your actions are designed to instil fear and threaten </w:t>
      </w:r>
      <w:r w:rsidR="004027B9" w:rsidRPr="00DE5C90">
        <w:rPr>
          <w:rFonts w:cs="Arial"/>
          <w:i/>
        </w:rPr>
        <w:t>the Applicant and his legal team from exposing the alleged corrupt activities of the relevant Respondents and to assert his constitutional rights within the prescripts of the law.”</w:t>
      </w:r>
      <w:r w:rsidR="00521645" w:rsidRPr="00DE5C90">
        <w:rPr>
          <w:rFonts w:cs="Arial"/>
          <w:i/>
        </w:rPr>
        <w:t xml:space="preserve"> </w:t>
      </w:r>
      <w:r w:rsidR="00521645" w:rsidRPr="00DE5C90">
        <w:rPr>
          <w:rFonts w:cs="Arial"/>
        </w:rPr>
        <w:t>The letter goes on and on in similar vein. As matters stand not a shred of evidence in proof of the allegations.</w:t>
      </w:r>
    </w:p>
    <w:p w14:paraId="4CAB2E19" w14:textId="5B742F76" w:rsidR="00F322D6" w:rsidRPr="00DE5C90" w:rsidRDefault="00292A7A" w:rsidP="00F12376">
      <w:pPr>
        <w:pStyle w:val="LegalList1"/>
        <w:numPr>
          <w:ilvl w:val="0"/>
          <w:numId w:val="1"/>
        </w:numPr>
        <w:spacing w:after="600" w:line="360" w:lineRule="auto"/>
        <w:rPr>
          <w:rFonts w:cs="Arial"/>
        </w:rPr>
      </w:pPr>
      <w:r w:rsidRPr="00DE5C90">
        <w:rPr>
          <w:rFonts w:cs="Arial"/>
        </w:rPr>
        <w:t>Adv.</w:t>
      </w:r>
      <w:r w:rsidR="00DB38B1" w:rsidRPr="00DE5C90">
        <w:rPr>
          <w:rFonts w:cs="Arial"/>
        </w:rPr>
        <w:t xml:space="preserve"> Kufa seeks to rely on a contention that this is a matter in the public interest as envisaged in section 38 of the Constitution Act 108 of 1996. </w:t>
      </w:r>
      <w:r w:rsidR="00AC0233" w:rsidRPr="00DE5C90">
        <w:rPr>
          <w:rFonts w:cs="Arial"/>
        </w:rPr>
        <w:t xml:space="preserve">Adv. Kufa then submitted that this should trigger the principle enunciated in </w:t>
      </w:r>
      <w:r w:rsidR="00AC0233" w:rsidRPr="00DE5C90">
        <w:rPr>
          <w:rFonts w:cs="Arial"/>
          <w:i/>
        </w:rPr>
        <w:t>Biowatch Trust v Registrar Genetic Resources and Others</w:t>
      </w:r>
      <w:r w:rsidR="00AC0233" w:rsidRPr="00DE5C90">
        <w:rPr>
          <w:rFonts w:cs="Arial"/>
        </w:rPr>
        <w:t xml:space="preserve"> 2009 (6) SA 232 (CC) and </w:t>
      </w:r>
      <w:r w:rsidR="00AC0233" w:rsidRPr="00DE5C90">
        <w:rPr>
          <w:rFonts w:cs="Arial"/>
          <w:i/>
        </w:rPr>
        <w:t xml:space="preserve">Economic </w:t>
      </w:r>
      <w:r w:rsidR="00AC0233" w:rsidRPr="00DE5C90">
        <w:rPr>
          <w:rFonts w:cs="Arial"/>
          <w:i/>
        </w:rPr>
        <w:lastRenderedPageBreak/>
        <w:t>Freedom Fighters v Gordhan and Others</w:t>
      </w:r>
      <w:r w:rsidR="00771307" w:rsidRPr="00DE5C90">
        <w:rPr>
          <w:rFonts w:cs="Arial"/>
        </w:rPr>
        <w:t xml:space="preserve"> </w:t>
      </w:r>
      <w:r w:rsidR="00AC0233" w:rsidRPr="00DE5C90">
        <w:rPr>
          <w:rFonts w:cs="Arial"/>
        </w:rPr>
        <w:t>2020 (8) BCLR 916 (CC) and result in no order as to costs.</w:t>
      </w:r>
    </w:p>
    <w:p w14:paraId="6B495714" w14:textId="3354AA72" w:rsidR="00771307" w:rsidRPr="00DE5C90" w:rsidRDefault="00F322D6" w:rsidP="00F12376">
      <w:pPr>
        <w:pStyle w:val="LegalList1"/>
        <w:numPr>
          <w:ilvl w:val="0"/>
          <w:numId w:val="1"/>
        </w:numPr>
        <w:spacing w:after="600" w:line="360" w:lineRule="auto"/>
        <w:rPr>
          <w:rFonts w:cs="Arial"/>
        </w:rPr>
      </w:pPr>
      <w:r w:rsidRPr="00DE5C90">
        <w:rPr>
          <w:rFonts w:cs="Arial"/>
        </w:rPr>
        <w:t>Adv. Kufa advanced the</w:t>
      </w:r>
      <w:r w:rsidR="000541ED" w:rsidRPr="00DE5C90">
        <w:rPr>
          <w:rFonts w:cs="Arial"/>
        </w:rPr>
        <w:t xml:space="preserve"> relatively</w:t>
      </w:r>
      <w:r w:rsidRPr="00DE5C90">
        <w:rPr>
          <w:rFonts w:cs="Arial"/>
        </w:rPr>
        <w:t xml:space="preserve"> novel defence of Strategic </w:t>
      </w:r>
      <w:r w:rsidR="006C437A" w:rsidRPr="00DE5C90">
        <w:rPr>
          <w:rFonts w:cs="Arial"/>
        </w:rPr>
        <w:t>Lawsuit</w:t>
      </w:r>
      <w:r w:rsidRPr="00DE5C90">
        <w:rPr>
          <w:rFonts w:cs="Arial"/>
        </w:rPr>
        <w:t xml:space="preserve"> Against Public Participation (SLAPP)</w:t>
      </w:r>
      <w:r w:rsidR="0073006D" w:rsidRPr="00DE5C90">
        <w:rPr>
          <w:rFonts w:cs="Arial"/>
        </w:rPr>
        <w:t>. All he stated was that the respondents are trying to muzzle him and discourage him from litigating</w:t>
      </w:r>
      <w:r w:rsidR="00DF7FE1" w:rsidRPr="00DE5C90">
        <w:rPr>
          <w:rFonts w:cs="Arial"/>
        </w:rPr>
        <w:t xml:space="preserve"> against them.</w:t>
      </w:r>
      <w:r w:rsidR="005C0665" w:rsidRPr="00DE5C90">
        <w:rPr>
          <w:rFonts w:cs="Arial"/>
        </w:rPr>
        <w:t xml:space="preserve"> Adv. Kufa was referring here to the matter that had been heard by the Constitutional Court in the appeal against a Western Cape High Court decision. The matter </w:t>
      </w:r>
      <w:r w:rsidR="000541ED" w:rsidRPr="00DE5C90">
        <w:rPr>
          <w:rFonts w:cs="Arial"/>
        </w:rPr>
        <w:t>has now been concluded and reports as</w:t>
      </w:r>
      <w:r w:rsidR="005C0665" w:rsidRPr="00DE5C90">
        <w:rPr>
          <w:rFonts w:cs="Arial"/>
        </w:rPr>
        <w:t xml:space="preserve"> </w:t>
      </w:r>
      <w:r w:rsidR="005C0665" w:rsidRPr="00DE5C90">
        <w:rPr>
          <w:rFonts w:cs="Arial"/>
          <w:i/>
        </w:rPr>
        <w:t xml:space="preserve">Mineral </w:t>
      </w:r>
      <w:r w:rsidR="002339B4" w:rsidRPr="00DE5C90">
        <w:rPr>
          <w:rFonts w:cs="Arial"/>
          <w:i/>
        </w:rPr>
        <w:t xml:space="preserve">Sands </w:t>
      </w:r>
      <w:r w:rsidR="005C0665" w:rsidRPr="00DE5C90">
        <w:rPr>
          <w:rFonts w:cs="Arial"/>
          <w:i/>
        </w:rPr>
        <w:t xml:space="preserve">Resources (Pty) Ltd and </w:t>
      </w:r>
      <w:r w:rsidR="000541ED" w:rsidRPr="00DE5C90">
        <w:rPr>
          <w:rFonts w:cs="Arial"/>
          <w:i/>
        </w:rPr>
        <w:t>A</w:t>
      </w:r>
      <w:r w:rsidR="005C0665" w:rsidRPr="00DE5C90">
        <w:rPr>
          <w:rFonts w:cs="Arial"/>
          <w:i/>
        </w:rPr>
        <w:t xml:space="preserve">nother v </w:t>
      </w:r>
      <w:r w:rsidR="008653EF" w:rsidRPr="00DE5C90">
        <w:rPr>
          <w:rFonts w:cs="Arial"/>
          <w:i/>
        </w:rPr>
        <w:t>Reddel</w:t>
      </w:r>
      <w:r w:rsidR="000541ED" w:rsidRPr="00DE5C90">
        <w:rPr>
          <w:rFonts w:cs="Arial"/>
          <w:i/>
        </w:rPr>
        <w:t xml:space="preserve"> and O</w:t>
      </w:r>
      <w:r w:rsidR="005C0665" w:rsidRPr="00DE5C90">
        <w:rPr>
          <w:rFonts w:cs="Arial"/>
          <w:i/>
        </w:rPr>
        <w:t xml:space="preserve">thers </w:t>
      </w:r>
      <w:r w:rsidR="000541ED" w:rsidRPr="00DE5C90">
        <w:rPr>
          <w:rFonts w:cs="Arial"/>
        </w:rPr>
        <w:t xml:space="preserve">[2022] ZACC 37 (CC)/ 2023 SA (2) SA 66 (CC). </w:t>
      </w:r>
      <w:r w:rsidR="00E26AD4" w:rsidRPr="00DE5C90">
        <w:rPr>
          <w:rFonts w:cs="Arial"/>
        </w:rPr>
        <w:t>Majiedt J, writing for a unanimous court “…found that the SLAPP suit defence does form part of our law.  To make out the defence requires more than the respondents pleaded…”</w:t>
      </w:r>
      <w:r w:rsidR="00E26AD4" w:rsidRPr="00DE5C90">
        <w:rPr>
          <w:rStyle w:val="FootnoteReference"/>
          <w:rFonts w:cs="Arial"/>
          <w:sz w:val="24"/>
        </w:rPr>
        <w:footnoteReference w:id="1"/>
      </w:r>
      <w:r w:rsidR="000A6572" w:rsidRPr="00DE5C90">
        <w:rPr>
          <w:rFonts w:cs="Arial"/>
        </w:rPr>
        <w:t xml:space="preserve">. </w:t>
      </w:r>
    </w:p>
    <w:p w14:paraId="161A1CC8" w14:textId="7B7EF49A" w:rsidR="009C639E" w:rsidRPr="00DE5C90" w:rsidRDefault="00034996" w:rsidP="00F12376">
      <w:pPr>
        <w:pStyle w:val="LegalList1"/>
        <w:numPr>
          <w:ilvl w:val="0"/>
          <w:numId w:val="1"/>
        </w:numPr>
        <w:spacing w:after="600" w:line="360" w:lineRule="auto"/>
        <w:rPr>
          <w:rFonts w:cs="Arial"/>
        </w:rPr>
      </w:pPr>
      <w:r>
        <w:rPr>
          <w:rFonts w:cs="Arial"/>
          <w:b/>
        </w:rPr>
        <w:t xml:space="preserve"> </w:t>
      </w:r>
      <w:r w:rsidR="00A74533" w:rsidRPr="00DE5C90">
        <w:rPr>
          <w:rFonts w:cs="Arial"/>
        </w:rPr>
        <w:t>A diligent perusal</w:t>
      </w:r>
      <w:r w:rsidR="002C52AC" w:rsidRPr="00DE5C90">
        <w:rPr>
          <w:rFonts w:cs="Arial"/>
        </w:rPr>
        <w:t xml:space="preserve"> on my part could not locate any rebuttal of the case made by the NRF </w:t>
      </w:r>
      <w:r w:rsidR="00292A7A" w:rsidRPr="00DE5C90">
        <w:rPr>
          <w:rFonts w:cs="Arial"/>
        </w:rPr>
        <w:t>respondents</w:t>
      </w:r>
      <w:r w:rsidR="002C52AC" w:rsidRPr="00DE5C90">
        <w:rPr>
          <w:rFonts w:cs="Arial"/>
        </w:rPr>
        <w:t xml:space="preserve"> </w:t>
      </w:r>
      <w:r w:rsidR="00B525F5" w:rsidRPr="00DE5C90">
        <w:rPr>
          <w:rFonts w:cs="Arial"/>
        </w:rPr>
        <w:t xml:space="preserve">in their </w:t>
      </w:r>
      <w:r w:rsidR="002C52AC" w:rsidRPr="00DE5C90">
        <w:rPr>
          <w:rFonts w:cs="Arial"/>
        </w:rPr>
        <w:t xml:space="preserve">case for punitive </w:t>
      </w:r>
      <w:r w:rsidR="00B525F5" w:rsidRPr="00DE5C90">
        <w:rPr>
          <w:rFonts w:cs="Arial"/>
        </w:rPr>
        <w:t>costs</w:t>
      </w:r>
      <w:r w:rsidR="002C52AC" w:rsidRPr="00DE5C90">
        <w:rPr>
          <w:rFonts w:cs="Arial"/>
        </w:rPr>
        <w:t xml:space="preserve"> </w:t>
      </w:r>
      <w:r w:rsidR="00B525F5" w:rsidRPr="00DE5C90">
        <w:rPr>
          <w:rFonts w:cs="Arial"/>
        </w:rPr>
        <w:t xml:space="preserve">and </w:t>
      </w:r>
      <w:r w:rsidR="002C52AC" w:rsidRPr="00DE5C90">
        <w:rPr>
          <w:rFonts w:cs="Arial"/>
        </w:rPr>
        <w:t xml:space="preserve">the reasons </w:t>
      </w:r>
      <w:r w:rsidR="00B525F5" w:rsidRPr="00DE5C90">
        <w:rPr>
          <w:rFonts w:cs="Arial"/>
        </w:rPr>
        <w:t xml:space="preserve">they </w:t>
      </w:r>
      <w:r w:rsidR="002C52AC" w:rsidRPr="00DE5C90">
        <w:rPr>
          <w:rFonts w:cs="Arial"/>
        </w:rPr>
        <w:t>advanced</w:t>
      </w:r>
      <w:r w:rsidR="00A6181A" w:rsidRPr="00DE5C90">
        <w:rPr>
          <w:rFonts w:cs="Arial"/>
        </w:rPr>
        <w:t xml:space="preserve"> in support thereof.</w:t>
      </w:r>
      <w:r w:rsidR="000A6572" w:rsidRPr="00DE5C90">
        <w:rPr>
          <w:rFonts w:cs="Arial"/>
        </w:rPr>
        <w:t xml:space="preserve"> Nothing was ventured by Adv. Kufa in support of his SLAPP suit defence that he put forth.</w:t>
      </w:r>
    </w:p>
    <w:p w14:paraId="6EB2751F" w14:textId="04C15E77" w:rsidR="00826714" w:rsidRPr="00DE5C90" w:rsidRDefault="008E7C70" w:rsidP="008E7C70">
      <w:pPr>
        <w:pStyle w:val="LegalList1"/>
        <w:numPr>
          <w:ilvl w:val="0"/>
          <w:numId w:val="5"/>
        </w:numPr>
        <w:spacing w:after="600" w:line="360" w:lineRule="auto"/>
        <w:rPr>
          <w:rFonts w:cs="Arial"/>
          <w:b/>
        </w:rPr>
      </w:pPr>
      <w:r w:rsidRPr="00DE5C90">
        <w:rPr>
          <w:rFonts w:cs="Arial"/>
          <w:b/>
        </w:rPr>
        <w:t xml:space="preserve">The law applicable to rules </w:t>
      </w:r>
      <w:r w:rsidRPr="00DE5C90">
        <w:rPr>
          <w:rFonts w:cs="Arial"/>
          <w:b/>
          <w:i/>
        </w:rPr>
        <w:t>nisi</w:t>
      </w:r>
      <w:r w:rsidRPr="00DE5C90">
        <w:rPr>
          <w:rFonts w:cs="Arial"/>
          <w:b/>
        </w:rPr>
        <w:t>:</w:t>
      </w:r>
    </w:p>
    <w:p w14:paraId="2B1162A4" w14:textId="49D95AE7" w:rsidR="00154A98" w:rsidRPr="00DE5C90" w:rsidRDefault="008E7C70" w:rsidP="00826714">
      <w:pPr>
        <w:pStyle w:val="LegalList1"/>
        <w:numPr>
          <w:ilvl w:val="0"/>
          <w:numId w:val="1"/>
        </w:numPr>
        <w:spacing w:after="600" w:line="360" w:lineRule="auto"/>
        <w:rPr>
          <w:rFonts w:cs="Arial"/>
        </w:rPr>
      </w:pPr>
      <w:r w:rsidRPr="00DE5C90">
        <w:rPr>
          <w:rFonts w:cs="Arial"/>
        </w:rPr>
        <w:t xml:space="preserve">On the return date of the rule </w:t>
      </w:r>
      <w:r w:rsidRPr="00DE5C90">
        <w:rPr>
          <w:rFonts w:cs="Arial"/>
          <w:i/>
        </w:rPr>
        <w:t>nisi</w:t>
      </w:r>
      <w:r w:rsidR="00E94D5B" w:rsidRPr="00DE5C90">
        <w:rPr>
          <w:rFonts w:cs="Arial"/>
          <w:i/>
        </w:rPr>
        <w:t xml:space="preserve"> </w:t>
      </w:r>
      <w:r w:rsidR="00E94D5B" w:rsidRPr="00DE5C90">
        <w:rPr>
          <w:rFonts w:cs="Arial"/>
        </w:rPr>
        <w:t>at</w:t>
      </w:r>
      <w:r w:rsidRPr="00DE5C90">
        <w:rPr>
          <w:rFonts w:cs="Arial"/>
          <w:i/>
        </w:rPr>
        <w:t xml:space="preserve"> </w:t>
      </w:r>
      <w:r w:rsidRPr="00DE5C90">
        <w:rPr>
          <w:rFonts w:cs="Arial"/>
        </w:rPr>
        <w:t>the hearing for the confirmation or discharge of the ‘provisional order’, the onus remains just as before and does not shift.</w:t>
      </w:r>
      <w:r w:rsidR="00B87159" w:rsidRPr="00DE5C90">
        <w:rPr>
          <w:rFonts w:cs="Arial"/>
        </w:rPr>
        <w:t xml:space="preserve"> The matter is treated as a rehearing of the original application.</w:t>
      </w:r>
    </w:p>
    <w:p w14:paraId="61E47924" w14:textId="0F1EA538" w:rsidR="00FE6AC4" w:rsidRPr="00DE5C90" w:rsidRDefault="00FE6AC4" w:rsidP="00826714">
      <w:pPr>
        <w:pStyle w:val="LegalList1"/>
        <w:numPr>
          <w:ilvl w:val="0"/>
          <w:numId w:val="1"/>
        </w:numPr>
        <w:spacing w:after="600" w:line="360" w:lineRule="auto"/>
        <w:rPr>
          <w:rFonts w:cs="Arial"/>
        </w:rPr>
      </w:pPr>
      <w:r w:rsidRPr="00DE5C90">
        <w:rPr>
          <w:rFonts w:cs="Arial"/>
        </w:rPr>
        <w:lastRenderedPageBreak/>
        <w:t>If any person wishes to oppose</w:t>
      </w:r>
      <w:r w:rsidR="00092485" w:rsidRPr="00DE5C90">
        <w:rPr>
          <w:rFonts w:cs="Arial"/>
        </w:rPr>
        <w:t xml:space="preserve"> the confirmation of the rule </w:t>
      </w:r>
      <w:r w:rsidR="00092485" w:rsidRPr="00DE5C90">
        <w:rPr>
          <w:rFonts w:cs="Arial"/>
          <w:i/>
        </w:rPr>
        <w:t>nisi</w:t>
      </w:r>
      <w:r w:rsidRPr="00DE5C90">
        <w:rPr>
          <w:rFonts w:cs="Arial"/>
        </w:rPr>
        <w:t xml:space="preserve"> he</w:t>
      </w:r>
      <w:r w:rsidR="00092485" w:rsidRPr="00DE5C90">
        <w:rPr>
          <w:rFonts w:cs="Arial"/>
        </w:rPr>
        <w:t xml:space="preserve"> or she</w:t>
      </w:r>
      <w:r w:rsidRPr="00DE5C90">
        <w:rPr>
          <w:rFonts w:cs="Arial"/>
        </w:rPr>
        <w:t xml:space="preserve"> must, except when relying solely upon a point of law, file and serve answering affidavits in which a defence is set out.</w:t>
      </w:r>
      <w:r w:rsidR="00092485" w:rsidRPr="00DE5C90">
        <w:rPr>
          <w:rStyle w:val="FootnoteReference"/>
          <w:rFonts w:cs="Arial"/>
          <w:sz w:val="24"/>
        </w:rPr>
        <w:footnoteReference w:id="2"/>
      </w:r>
    </w:p>
    <w:p w14:paraId="057F498B" w14:textId="15EE837E" w:rsidR="008E7C70" w:rsidRPr="00DE5C90" w:rsidRDefault="005201CF" w:rsidP="005201CF">
      <w:pPr>
        <w:pStyle w:val="LegalList1"/>
        <w:numPr>
          <w:ilvl w:val="0"/>
          <w:numId w:val="5"/>
        </w:numPr>
        <w:spacing w:after="600" w:line="360" w:lineRule="auto"/>
        <w:rPr>
          <w:rFonts w:cs="Arial"/>
          <w:b/>
        </w:rPr>
      </w:pPr>
      <w:r w:rsidRPr="00DE5C90">
        <w:rPr>
          <w:rFonts w:cs="Arial"/>
          <w:b/>
        </w:rPr>
        <w:t xml:space="preserve">The legal principles on costs </w:t>
      </w:r>
      <w:r w:rsidRPr="00DE5C90">
        <w:rPr>
          <w:rFonts w:cs="Arial"/>
          <w:b/>
          <w:i/>
          <w:iCs/>
        </w:rPr>
        <w:t>de bonis propriis</w:t>
      </w:r>
      <w:r w:rsidRPr="00DE5C90">
        <w:rPr>
          <w:rFonts w:cs="Arial"/>
          <w:b/>
        </w:rPr>
        <w:t>:</w:t>
      </w:r>
    </w:p>
    <w:p w14:paraId="3A1B1B17" w14:textId="1F04122F" w:rsidR="008E7C70" w:rsidRPr="00DE5C90" w:rsidRDefault="00B358E3" w:rsidP="00826714">
      <w:pPr>
        <w:pStyle w:val="LegalList1"/>
        <w:numPr>
          <w:ilvl w:val="0"/>
          <w:numId w:val="1"/>
        </w:numPr>
        <w:spacing w:after="600" w:line="360" w:lineRule="auto"/>
        <w:rPr>
          <w:rFonts w:cs="Arial"/>
        </w:rPr>
      </w:pPr>
      <w:r w:rsidRPr="00DE5C90">
        <w:rPr>
          <w:rFonts w:cs="Arial"/>
        </w:rPr>
        <w:t>An award of costs </w:t>
      </w:r>
      <w:r w:rsidRPr="00DE5C90">
        <w:rPr>
          <w:rFonts w:cs="Arial"/>
          <w:i/>
          <w:iCs/>
        </w:rPr>
        <w:t>de bonis propriis</w:t>
      </w:r>
      <w:r w:rsidRPr="00DE5C90">
        <w:rPr>
          <w:rFonts w:cs="Arial"/>
        </w:rPr>
        <w:t> may be made only when a person acts or litigates in a representative capacity.</w:t>
      </w:r>
      <w:r w:rsidRPr="00DE5C90">
        <w:rPr>
          <w:rStyle w:val="FootnoteReference"/>
          <w:rFonts w:cs="Arial"/>
          <w:sz w:val="24"/>
        </w:rPr>
        <w:footnoteReference w:id="3"/>
      </w:r>
      <w:r w:rsidR="00BB3BD9" w:rsidRPr="00DE5C90">
        <w:rPr>
          <w:rFonts w:cs="Arial"/>
        </w:rPr>
        <w:t xml:space="preserve"> This principle thus envisages legal representatives acting in their professional capacities</w:t>
      </w:r>
      <w:r w:rsidR="004868DD" w:rsidRPr="00DE5C90">
        <w:rPr>
          <w:rFonts w:cs="Arial"/>
        </w:rPr>
        <w:t>, trustees and similar persons</w:t>
      </w:r>
      <w:r w:rsidR="00BB3BD9" w:rsidRPr="00DE5C90">
        <w:rPr>
          <w:rFonts w:cs="Arial"/>
        </w:rPr>
        <w:t>.</w:t>
      </w:r>
      <w:r w:rsidR="00A95322" w:rsidRPr="00DE5C90">
        <w:rPr>
          <w:rFonts w:cs="Arial"/>
        </w:rPr>
        <w:t xml:space="preserve"> The basic notion is material departure from the responsibility of office. </w:t>
      </w:r>
    </w:p>
    <w:p w14:paraId="09060259" w14:textId="24D44B6C" w:rsidR="004868DD" w:rsidRPr="00DE5C90" w:rsidRDefault="005F3D31" w:rsidP="00826714">
      <w:pPr>
        <w:pStyle w:val="LegalList1"/>
        <w:numPr>
          <w:ilvl w:val="0"/>
          <w:numId w:val="1"/>
        </w:numPr>
        <w:spacing w:after="600" w:line="360" w:lineRule="auto"/>
        <w:rPr>
          <w:rFonts w:cs="Arial"/>
        </w:rPr>
      </w:pPr>
      <w:r w:rsidRPr="00DE5C90">
        <w:rPr>
          <w:rFonts w:cs="Arial"/>
        </w:rPr>
        <w:t xml:space="preserve">As regards costs generally, the position is that costs follow the cause or that the successful party is entitled to his or her costs. The successful litigant is thus indemnified against having to incur the expenditure </w:t>
      </w:r>
      <w:r w:rsidR="00292A7A" w:rsidRPr="00DE5C90">
        <w:rPr>
          <w:rFonts w:cs="Arial"/>
        </w:rPr>
        <w:t>because of</w:t>
      </w:r>
      <w:r w:rsidRPr="00DE5C90">
        <w:rPr>
          <w:rFonts w:cs="Arial"/>
        </w:rPr>
        <w:t xml:space="preserve"> “having been unjustly compelled to either initiate or to defend </w:t>
      </w:r>
      <w:r w:rsidR="00F21EBB" w:rsidRPr="00DE5C90">
        <w:rPr>
          <w:rFonts w:cs="Arial"/>
        </w:rPr>
        <w:t>litigation as the case may be”.</w:t>
      </w:r>
      <w:r w:rsidR="00F21EBB" w:rsidRPr="00DE5C90">
        <w:rPr>
          <w:rStyle w:val="FootnoteReference"/>
          <w:rFonts w:cs="Arial"/>
          <w:sz w:val="24"/>
        </w:rPr>
        <w:footnoteReference w:id="4"/>
      </w:r>
    </w:p>
    <w:p w14:paraId="7893D1E3" w14:textId="0DDE9BB3" w:rsidR="009F165C" w:rsidRPr="00DE5C90" w:rsidRDefault="009F165C" w:rsidP="009F165C">
      <w:pPr>
        <w:pStyle w:val="LegalList1"/>
        <w:numPr>
          <w:ilvl w:val="0"/>
          <w:numId w:val="1"/>
        </w:numPr>
        <w:spacing w:after="0" w:line="360" w:lineRule="auto"/>
        <w:rPr>
          <w:rFonts w:cs="Arial"/>
          <w:i/>
        </w:rPr>
      </w:pPr>
      <w:r w:rsidRPr="00DE5C90">
        <w:rPr>
          <w:rFonts w:cs="Arial"/>
        </w:rPr>
        <w:t xml:space="preserve">In </w:t>
      </w:r>
      <w:r w:rsidRPr="00DE5C90">
        <w:rPr>
          <w:rFonts w:cs="Arial"/>
          <w:i/>
        </w:rPr>
        <w:t xml:space="preserve">Indwe Risk Services (Pty) Ltd v Van Zyl: In re Van Zyl v Indwe Risk Services (Pty) Ltd </w:t>
      </w:r>
      <w:r w:rsidRPr="00DE5C90">
        <w:rPr>
          <w:rFonts w:cs="Arial"/>
        </w:rPr>
        <w:t xml:space="preserve">(2010) 34 IL3 956 (LC) </w:t>
      </w:r>
      <w:r w:rsidR="00012781" w:rsidRPr="00DE5C90">
        <w:rPr>
          <w:rFonts w:cs="Arial"/>
        </w:rPr>
        <w:t xml:space="preserve">at paragraph 38, </w:t>
      </w:r>
      <w:r w:rsidRPr="00DE5C90">
        <w:rPr>
          <w:rFonts w:cs="Arial"/>
        </w:rPr>
        <w:t>Basson J held that:</w:t>
      </w:r>
    </w:p>
    <w:p w14:paraId="21DEF186" w14:textId="4AC4BD02" w:rsidR="009F165C" w:rsidRPr="00DE5C90" w:rsidRDefault="009F165C" w:rsidP="004E101C">
      <w:pPr>
        <w:pStyle w:val="LegalList1"/>
        <w:spacing w:before="240" w:after="0" w:line="360" w:lineRule="auto"/>
        <w:ind w:left="1440"/>
        <w:rPr>
          <w:rFonts w:cs="Arial"/>
          <w:i/>
        </w:rPr>
      </w:pPr>
      <w:r w:rsidRPr="00DE5C90">
        <w:rPr>
          <w:rFonts w:cs="Arial"/>
        </w:rPr>
        <w:t xml:space="preserve">“…an order for costs </w:t>
      </w:r>
      <w:r w:rsidRPr="00DE5C90">
        <w:rPr>
          <w:rFonts w:cs="Arial"/>
          <w:i/>
        </w:rPr>
        <w:t>de bonis propriis</w:t>
      </w:r>
      <w:r w:rsidRPr="00DE5C90">
        <w:rPr>
          <w:rFonts w:cs="Arial"/>
        </w:rPr>
        <w:t xml:space="preserve"> is only awarded in exceptional cases and usually where the court is of the view that the representative of a litigant has acted in a manner which constitutes a material departure from the </w:t>
      </w:r>
      <w:r w:rsidRPr="00DE5C90">
        <w:rPr>
          <w:rFonts w:cs="Arial"/>
        </w:rPr>
        <w:lastRenderedPageBreak/>
        <w:t>responsibilities of his office. Such an order shall not be made where the legal representative has acted bona fide or where the representative merely made an error of judgment, However, where the court is of the view that there is a want of bona fides or where the representative had acted negligently or even unreasonably, the court will consider awarding costs against the representative. Because the representative acted in a manner which constitutes a departure from his office, the court will grant the order against the representative to indemnify the party against an account for costs from his own representative.”</w:t>
      </w:r>
    </w:p>
    <w:p w14:paraId="4A62ACC1" w14:textId="2951869B" w:rsidR="00C32D36" w:rsidRPr="00DE5C90" w:rsidRDefault="00C32D36" w:rsidP="009F165C">
      <w:pPr>
        <w:pStyle w:val="LegalList1"/>
        <w:numPr>
          <w:ilvl w:val="0"/>
          <w:numId w:val="1"/>
        </w:numPr>
        <w:spacing w:before="240" w:after="600" w:line="360" w:lineRule="auto"/>
        <w:rPr>
          <w:rFonts w:cs="Arial"/>
        </w:rPr>
      </w:pPr>
      <w:r w:rsidRPr="00DE5C90">
        <w:rPr>
          <w:rFonts w:cs="Arial"/>
        </w:rPr>
        <w:t xml:space="preserve">The Constitutional Court has recognised the necessity of awarding punitive costs de bonis propriis in appropriate instances. O' Reagan J held as follows in a recent Constitutional Court judgment in the case of </w:t>
      </w:r>
      <w:r w:rsidRPr="00DE5C90">
        <w:rPr>
          <w:rFonts w:cs="Arial"/>
          <w:i/>
        </w:rPr>
        <w:t xml:space="preserve">SA Liquor Traders Association v Gauteng Liquor Board </w:t>
      </w:r>
      <w:r w:rsidR="003646ED" w:rsidRPr="00DE5C90">
        <w:rPr>
          <w:rFonts w:cs="Arial"/>
          <w:i/>
        </w:rPr>
        <w:t>2009 (1) SA 203 (CC):</w:t>
      </w:r>
      <w:r w:rsidR="003646ED" w:rsidRPr="00DE5C90">
        <w:rPr>
          <w:rFonts w:cs="Arial"/>
        </w:rPr>
        <w:t xml:space="preserve"> “</w:t>
      </w:r>
      <w:r w:rsidRPr="00DE5C90">
        <w:rPr>
          <w:rFonts w:cs="Arial"/>
        </w:rPr>
        <w:t xml:space="preserve">an order of costs </w:t>
      </w:r>
      <w:r w:rsidRPr="00DE5C90">
        <w:rPr>
          <w:rFonts w:cs="Arial"/>
          <w:i/>
        </w:rPr>
        <w:t>de bonis propriis</w:t>
      </w:r>
      <w:r w:rsidRPr="00DE5C90">
        <w:rPr>
          <w:rFonts w:cs="Arial"/>
        </w:rPr>
        <w:t xml:space="preserve"> is made against attorneys where a court is satisfied that there has been negligence in a serious degree which warrants an order of costs being made as a mark of the court's displeasure. An attorney is an officer of the court and owes a court an appropriate level of professionalism and courtesy.</w:t>
      </w:r>
      <w:r w:rsidR="003646ED" w:rsidRPr="00DE5C90">
        <w:rPr>
          <w:rFonts w:cs="Arial"/>
        </w:rPr>
        <w:t>”</w:t>
      </w:r>
    </w:p>
    <w:p w14:paraId="09FB4339" w14:textId="4AC6E74F" w:rsidR="00603EBC" w:rsidRPr="00DE5C90" w:rsidRDefault="00603EBC" w:rsidP="009F165C">
      <w:pPr>
        <w:pStyle w:val="LegalList1"/>
        <w:numPr>
          <w:ilvl w:val="0"/>
          <w:numId w:val="1"/>
        </w:numPr>
        <w:spacing w:before="240" w:after="600" w:line="360" w:lineRule="auto"/>
        <w:rPr>
          <w:rFonts w:cs="Arial"/>
        </w:rPr>
      </w:pPr>
      <w:r w:rsidRPr="00DE5C90">
        <w:rPr>
          <w:rFonts w:cs="Arial"/>
        </w:rPr>
        <w:t xml:space="preserve">In </w:t>
      </w:r>
      <w:r w:rsidRPr="00DE5C90">
        <w:rPr>
          <w:rFonts w:cs="Arial"/>
          <w:i/>
        </w:rPr>
        <w:t>Webb and Others v Botha</w:t>
      </w:r>
      <w:r w:rsidRPr="00DE5C90">
        <w:rPr>
          <w:rFonts w:cs="Arial"/>
        </w:rPr>
        <w:t xml:space="preserve"> 1980 (3) SA 666 (N) the court punished what it </w:t>
      </w:r>
      <w:r w:rsidR="005E5AB7" w:rsidRPr="00DE5C90">
        <w:rPr>
          <w:rFonts w:cs="Arial"/>
        </w:rPr>
        <w:t>regarded as</w:t>
      </w:r>
      <w:r w:rsidRPr="00DE5C90">
        <w:rPr>
          <w:rFonts w:cs="Arial"/>
        </w:rPr>
        <w:t xml:space="preserve"> reprehensible conduct on the part of an attorney by ordering him to pay all the </w:t>
      </w:r>
      <w:r w:rsidR="000F69AA" w:rsidRPr="00DE5C90">
        <w:rPr>
          <w:rFonts w:cs="Arial"/>
        </w:rPr>
        <w:t>parties’</w:t>
      </w:r>
      <w:r w:rsidRPr="00DE5C90">
        <w:rPr>
          <w:rFonts w:cs="Arial"/>
        </w:rPr>
        <w:t xml:space="preserve"> costs on a scale as between attorney and client.</w:t>
      </w:r>
      <w:r w:rsidR="001351A5" w:rsidRPr="00DE5C90">
        <w:rPr>
          <w:rFonts w:cs="Arial"/>
        </w:rPr>
        <w:t xml:space="preserve"> </w:t>
      </w:r>
      <w:r w:rsidR="0021532A" w:rsidRPr="00DE5C90">
        <w:rPr>
          <w:rFonts w:cs="Arial"/>
        </w:rPr>
        <w:t xml:space="preserve">In this case the instructing attorney had in the face of warnings by the bench, persisted in instigating a </w:t>
      </w:r>
      <w:r w:rsidR="005E5AB7" w:rsidRPr="00DE5C90">
        <w:rPr>
          <w:rFonts w:cs="Arial"/>
        </w:rPr>
        <w:t xml:space="preserve">veritable </w:t>
      </w:r>
      <w:r w:rsidR="0021532A" w:rsidRPr="00DE5C90">
        <w:rPr>
          <w:rFonts w:cs="Arial"/>
        </w:rPr>
        <w:t xml:space="preserve">barrage of </w:t>
      </w:r>
      <w:r w:rsidR="005E5AB7" w:rsidRPr="00DE5C90">
        <w:rPr>
          <w:rFonts w:cs="Arial"/>
        </w:rPr>
        <w:t xml:space="preserve">unfounded technical </w:t>
      </w:r>
      <w:r w:rsidR="0021532A" w:rsidRPr="00DE5C90">
        <w:rPr>
          <w:rFonts w:cs="Arial"/>
        </w:rPr>
        <w:t>appeals</w:t>
      </w:r>
      <w:r w:rsidR="005E5AB7" w:rsidRPr="00DE5C90">
        <w:rPr>
          <w:rFonts w:cs="Arial"/>
        </w:rPr>
        <w:t xml:space="preserve"> and reviews</w:t>
      </w:r>
      <w:r w:rsidR="0021532A" w:rsidRPr="00DE5C90">
        <w:rPr>
          <w:rFonts w:cs="Arial"/>
        </w:rPr>
        <w:t xml:space="preserve"> before the </w:t>
      </w:r>
      <w:r w:rsidR="005E5AB7" w:rsidRPr="00DE5C90">
        <w:rPr>
          <w:rFonts w:cs="Arial"/>
        </w:rPr>
        <w:t xml:space="preserve">High Court. </w:t>
      </w:r>
    </w:p>
    <w:p w14:paraId="20651067" w14:textId="4D59192B" w:rsidR="003B1BA9" w:rsidRPr="00034996" w:rsidRDefault="00A31767" w:rsidP="003B1BA9">
      <w:pPr>
        <w:pStyle w:val="LegalList1"/>
        <w:numPr>
          <w:ilvl w:val="0"/>
          <w:numId w:val="1"/>
        </w:numPr>
        <w:spacing w:after="600" w:line="360" w:lineRule="auto"/>
        <w:rPr>
          <w:rFonts w:cs="Arial"/>
        </w:rPr>
      </w:pPr>
      <w:r w:rsidRPr="00DE5C90">
        <w:rPr>
          <w:rFonts w:cs="Arial"/>
          <w:lang w:val="en-US"/>
        </w:rPr>
        <w:t>In this matter</w:t>
      </w:r>
      <w:r w:rsidR="00947405" w:rsidRPr="00DE5C90">
        <w:rPr>
          <w:rFonts w:cs="Arial"/>
          <w:lang w:val="en-US"/>
        </w:rPr>
        <w:t xml:space="preserve"> </w:t>
      </w:r>
      <w:r w:rsidR="00EA375E" w:rsidRPr="00DE5C90">
        <w:rPr>
          <w:rFonts w:cs="Arial"/>
          <w:lang w:val="en-US"/>
        </w:rPr>
        <w:t>Machaba</w:t>
      </w:r>
      <w:r w:rsidR="00947405" w:rsidRPr="00DE5C90">
        <w:rPr>
          <w:rFonts w:cs="Arial"/>
          <w:lang w:val="en-US"/>
        </w:rPr>
        <w:t xml:space="preserve"> </w:t>
      </w:r>
      <w:r w:rsidR="004E101C" w:rsidRPr="00DE5C90">
        <w:rPr>
          <w:rFonts w:cs="Arial"/>
          <w:lang w:val="en-US"/>
        </w:rPr>
        <w:t>f</w:t>
      </w:r>
      <w:r w:rsidR="00690583" w:rsidRPr="00DE5C90">
        <w:rPr>
          <w:rFonts w:cs="Arial"/>
          <w:lang w:val="en-US"/>
        </w:rPr>
        <w:t>iled the</w:t>
      </w:r>
      <w:r w:rsidR="008E6ECA" w:rsidRPr="00DE5C90">
        <w:rPr>
          <w:rFonts w:cs="Arial"/>
          <w:lang w:val="en-US"/>
        </w:rPr>
        <w:t>ir</w:t>
      </w:r>
      <w:r w:rsidR="00690583" w:rsidRPr="00DE5C90">
        <w:rPr>
          <w:rFonts w:cs="Arial"/>
          <w:lang w:val="en-US"/>
        </w:rPr>
        <w:t xml:space="preserve"> notice of withdrawal</w:t>
      </w:r>
      <w:r w:rsidR="00E82EA1" w:rsidRPr="00DE5C90">
        <w:rPr>
          <w:rFonts w:cs="Arial"/>
          <w:lang w:val="en-US"/>
        </w:rPr>
        <w:t xml:space="preserve"> as attorneys of record </w:t>
      </w:r>
      <w:r w:rsidR="002A0D22" w:rsidRPr="00DE5C90">
        <w:rPr>
          <w:rFonts w:cs="Arial"/>
          <w:lang w:val="en-US"/>
        </w:rPr>
        <w:t>on 21 May 2021</w:t>
      </w:r>
      <w:r w:rsidR="00AD18E6" w:rsidRPr="00DE5C90">
        <w:rPr>
          <w:rFonts w:cs="Arial"/>
          <w:lang w:val="en-US"/>
        </w:rPr>
        <w:t>, appreciably long after the damage had been done.</w:t>
      </w:r>
    </w:p>
    <w:p w14:paraId="27B5A5D0" w14:textId="23FB81E0" w:rsidR="001F24DD" w:rsidRPr="00DE5C90" w:rsidRDefault="001F24DD" w:rsidP="003B1BA9">
      <w:pPr>
        <w:pStyle w:val="LegalList1"/>
        <w:numPr>
          <w:ilvl w:val="0"/>
          <w:numId w:val="5"/>
        </w:numPr>
        <w:spacing w:after="600" w:line="360" w:lineRule="auto"/>
        <w:rPr>
          <w:rFonts w:cs="Arial"/>
          <w:b/>
          <w:bCs/>
        </w:rPr>
      </w:pPr>
      <w:r w:rsidRPr="00DE5C90">
        <w:rPr>
          <w:rFonts w:cs="Arial"/>
          <w:b/>
          <w:bCs/>
          <w:lang w:val="en-US"/>
        </w:rPr>
        <w:t>Conclusion</w:t>
      </w:r>
      <w:r w:rsidR="0010159A" w:rsidRPr="00DE5C90">
        <w:rPr>
          <w:rFonts w:cs="Arial"/>
          <w:b/>
          <w:bCs/>
          <w:lang w:val="en-US"/>
        </w:rPr>
        <w:t>:</w:t>
      </w:r>
    </w:p>
    <w:p w14:paraId="6F86FE6E" w14:textId="068D218D" w:rsidR="009C03F5" w:rsidRPr="00DE5C90" w:rsidRDefault="00475381" w:rsidP="003B1BA9">
      <w:pPr>
        <w:pStyle w:val="LegalList1"/>
        <w:numPr>
          <w:ilvl w:val="0"/>
          <w:numId w:val="1"/>
        </w:numPr>
        <w:spacing w:after="600" w:line="360" w:lineRule="auto"/>
        <w:rPr>
          <w:rFonts w:cs="Arial"/>
        </w:rPr>
      </w:pPr>
      <w:r w:rsidRPr="00DE5C90">
        <w:rPr>
          <w:rFonts w:cs="Arial"/>
          <w:lang w:val="en-US"/>
        </w:rPr>
        <w:lastRenderedPageBreak/>
        <w:t>Having regard to the foregoing analysis</w:t>
      </w:r>
      <w:r w:rsidR="00930259" w:rsidRPr="00DE5C90">
        <w:rPr>
          <w:rFonts w:cs="Arial"/>
          <w:lang w:val="en-US"/>
        </w:rPr>
        <w:t>, I make the following order:</w:t>
      </w:r>
      <w:r w:rsidRPr="00DE5C90">
        <w:rPr>
          <w:rFonts w:cs="Arial"/>
          <w:lang w:val="en-US"/>
        </w:rPr>
        <w:t xml:space="preserve"> </w:t>
      </w:r>
    </w:p>
    <w:p w14:paraId="0AA95C17" w14:textId="77777777" w:rsidR="00447C74" w:rsidRPr="00DE5C90" w:rsidRDefault="0031678C" w:rsidP="0031678C">
      <w:pPr>
        <w:pStyle w:val="LegalList1"/>
        <w:numPr>
          <w:ilvl w:val="0"/>
          <w:numId w:val="11"/>
        </w:numPr>
        <w:spacing w:after="600" w:line="360" w:lineRule="auto"/>
        <w:rPr>
          <w:rFonts w:cs="Arial"/>
        </w:rPr>
      </w:pPr>
      <w:r w:rsidRPr="00DE5C90">
        <w:rPr>
          <w:rFonts w:cs="Arial"/>
        </w:rPr>
        <w:t xml:space="preserve">The Rule </w:t>
      </w:r>
      <w:r w:rsidRPr="00DE5C90">
        <w:rPr>
          <w:rFonts w:cs="Arial"/>
          <w:i/>
        </w:rPr>
        <w:t>Nisi</w:t>
      </w:r>
      <w:r w:rsidRPr="00DE5C90">
        <w:rPr>
          <w:rFonts w:cs="Arial"/>
        </w:rPr>
        <w:t xml:space="preserve"> issued on 27 July 2021 and extended on 9 September 2021 against Adv MacGregor Kufa (“Adv Kufa</w:t>
      </w:r>
      <w:r w:rsidR="001929B7" w:rsidRPr="00DE5C90">
        <w:rPr>
          <w:rFonts w:cs="Arial"/>
        </w:rPr>
        <w:t>”</w:t>
      </w:r>
      <w:r w:rsidRPr="00DE5C90">
        <w:rPr>
          <w:rFonts w:cs="Arial"/>
        </w:rPr>
        <w:t>) is hereby confirmed.</w:t>
      </w:r>
      <w:r w:rsidR="00447C74" w:rsidRPr="00DE5C90">
        <w:rPr>
          <w:rFonts w:cs="Arial"/>
          <w:color w:val="000000"/>
        </w:rPr>
        <w:t xml:space="preserve"> </w:t>
      </w:r>
    </w:p>
    <w:p w14:paraId="18EC9677" w14:textId="77777777" w:rsidR="00FB2D8E" w:rsidRPr="00DE5C90" w:rsidRDefault="00447C74" w:rsidP="00FB2D8E">
      <w:pPr>
        <w:pStyle w:val="LegalList1"/>
        <w:numPr>
          <w:ilvl w:val="0"/>
          <w:numId w:val="11"/>
        </w:numPr>
        <w:spacing w:after="600"/>
        <w:rPr>
          <w:rFonts w:cs="Arial"/>
          <w:color w:val="000000"/>
          <w:lang w:val="en-ZA"/>
        </w:rPr>
      </w:pPr>
      <w:r w:rsidRPr="00DE5C90">
        <w:rPr>
          <w:rFonts w:cs="Arial"/>
        </w:rPr>
        <w:t>Adv Kufa is hereby ordered to pay the costs of the NRF Respondents in connection with the application under case number 51776/2020:</w:t>
      </w:r>
      <w:r w:rsidR="00AA76FF" w:rsidRPr="00DE5C90">
        <w:rPr>
          <w:rFonts w:cs="Arial"/>
          <w:color w:val="000000"/>
        </w:rPr>
        <w:t xml:space="preserve"> </w:t>
      </w:r>
    </w:p>
    <w:p w14:paraId="7CA7F52C" w14:textId="492D1CE5" w:rsidR="00C6239E" w:rsidRPr="00DE5C90" w:rsidRDefault="00FB2D8E" w:rsidP="00034996">
      <w:pPr>
        <w:pStyle w:val="LegalList1"/>
        <w:spacing w:after="600"/>
        <w:ind w:left="927" w:firstLine="513"/>
        <w:rPr>
          <w:rFonts w:cs="Arial"/>
          <w:color w:val="000000"/>
          <w:lang w:val="en-ZA"/>
        </w:rPr>
      </w:pPr>
      <w:r w:rsidRPr="00DE5C90">
        <w:rPr>
          <w:rFonts w:cs="Arial"/>
          <w:color w:val="000000"/>
          <w:lang w:val="en-ZA"/>
        </w:rPr>
        <w:t xml:space="preserve">2.1 On the scale as between attorney and </w:t>
      </w:r>
      <w:r w:rsidR="00F07DD5" w:rsidRPr="00DE5C90">
        <w:rPr>
          <w:rFonts w:cs="Arial"/>
          <w:color w:val="000000"/>
          <w:lang w:val="en-ZA"/>
        </w:rPr>
        <w:t>client;</w:t>
      </w:r>
    </w:p>
    <w:p w14:paraId="013B3DF4" w14:textId="31F92F41" w:rsidR="00C6239E" w:rsidRPr="00DE5C90" w:rsidRDefault="00FB2D8E" w:rsidP="00034996">
      <w:pPr>
        <w:pStyle w:val="LegalList1"/>
        <w:spacing w:after="600"/>
        <w:ind w:left="1440"/>
        <w:rPr>
          <w:rFonts w:cs="Arial"/>
          <w:color w:val="000000"/>
          <w:lang w:val="en-ZA"/>
        </w:rPr>
      </w:pPr>
      <w:r w:rsidRPr="00DE5C90">
        <w:rPr>
          <w:rFonts w:cs="Arial"/>
          <w:color w:val="000000"/>
          <w:lang w:val="en-ZA"/>
        </w:rPr>
        <w:t>2.2 Together with the costs of the NRF Respondents</w:t>
      </w:r>
      <w:r w:rsidR="00F10DDE" w:rsidRPr="00DE5C90">
        <w:rPr>
          <w:rFonts w:cs="Arial"/>
          <w:color w:val="000000"/>
          <w:lang w:val="en-ZA"/>
        </w:rPr>
        <w:t xml:space="preserve"> </w:t>
      </w:r>
      <w:r w:rsidR="00F07DD5" w:rsidRPr="00DE5C90">
        <w:rPr>
          <w:rFonts w:cs="Arial"/>
          <w:color w:val="000000"/>
          <w:lang w:val="en-ZA"/>
        </w:rPr>
        <w:t>e</w:t>
      </w:r>
      <w:r w:rsidRPr="00DE5C90">
        <w:rPr>
          <w:rFonts w:cs="Arial"/>
          <w:color w:val="000000"/>
          <w:lang w:val="en-ZA"/>
        </w:rPr>
        <w:t xml:space="preserve">mploying two </w:t>
      </w:r>
      <w:r w:rsidR="00034996">
        <w:rPr>
          <w:rFonts w:cs="Arial"/>
          <w:color w:val="000000"/>
          <w:lang w:val="en-ZA"/>
        </w:rPr>
        <w:t xml:space="preserve">   </w:t>
      </w:r>
      <w:r w:rsidR="00F07DD5" w:rsidRPr="00DE5C90">
        <w:rPr>
          <w:rFonts w:cs="Arial"/>
          <w:color w:val="000000"/>
          <w:lang w:val="en-ZA"/>
        </w:rPr>
        <w:t>C</w:t>
      </w:r>
      <w:r w:rsidRPr="00DE5C90">
        <w:rPr>
          <w:rFonts w:cs="Arial"/>
          <w:color w:val="000000"/>
          <w:lang w:val="en-ZA"/>
        </w:rPr>
        <w:t xml:space="preserve">ounsel; </w:t>
      </w:r>
    </w:p>
    <w:p w14:paraId="7FF1A838" w14:textId="77777777" w:rsidR="00C6239E" w:rsidRPr="00DE5C90" w:rsidRDefault="00FB2D8E" w:rsidP="00034996">
      <w:pPr>
        <w:pStyle w:val="LegalList1"/>
        <w:spacing w:after="600"/>
        <w:ind w:left="927" w:firstLine="513"/>
        <w:rPr>
          <w:rFonts w:cs="Arial"/>
          <w:color w:val="000000"/>
          <w:lang w:val="en-ZA"/>
        </w:rPr>
      </w:pPr>
      <w:r w:rsidRPr="00DE5C90">
        <w:rPr>
          <w:rFonts w:cs="Arial"/>
          <w:color w:val="000000"/>
          <w:lang w:val="en-ZA"/>
        </w:rPr>
        <w:t xml:space="preserve">2.3 </w:t>
      </w:r>
      <w:r w:rsidRPr="00DE5C90">
        <w:rPr>
          <w:rFonts w:cs="Arial"/>
          <w:i/>
          <w:iCs/>
          <w:color w:val="000000"/>
          <w:lang w:val="en-ZA"/>
        </w:rPr>
        <w:t>De bonis propriis</w:t>
      </w:r>
      <w:r w:rsidRPr="00DE5C90">
        <w:rPr>
          <w:rFonts w:cs="Arial"/>
          <w:color w:val="000000"/>
          <w:lang w:val="en-ZA"/>
        </w:rPr>
        <w:t xml:space="preserve">; and </w:t>
      </w:r>
    </w:p>
    <w:p w14:paraId="220DE068" w14:textId="387CE5F3" w:rsidR="005235A5" w:rsidRPr="00DE5C90" w:rsidRDefault="00FB2D8E" w:rsidP="00034996">
      <w:pPr>
        <w:pStyle w:val="LegalList1"/>
        <w:spacing w:after="600"/>
        <w:ind w:left="1440"/>
        <w:rPr>
          <w:rFonts w:cs="Arial"/>
          <w:color w:val="000000"/>
        </w:rPr>
      </w:pPr>
      <w:r w:rsidRPr="00DE5C90">
        <w:rPr>
          <w:rFonts w:cs="Arial"/>
          <w:color w:val="000000"/>
          <w:lang w:val="en-ZA"/>
        </w:rPr>
        <w:t>2.4 Jointly and severally with the Applicant and with Machaba Attorneys as per the court order dated 27 July 2021</w:t>
      </w:r>
      <w:r w:rsidR="004716DD" w:rsidRPr="00DE5C90">
        <w:rPr>
          <w:rFonts w:cs="Arial"/>
          <w:color w:val="000000"/>
          <w:lang w:val="en-ZA"/>
        </w:rPr>
        <w:t xml:space="preserve"> (</w:t>
      </w:r>
      <w:r w:rsidR="00B556A5" w:rsidRPr="00DE5C90">
        <w:rPr>
          <w:rFonts w:cs="Arial"/>
          <w:color w:val="000000"/>
          <w:lang w:val="en-ZA"/>
        </w:rPr>
        <w:t>The one or more paying, the</w:t>
      </w:r>
      <w:r w:rsidR="003B5843" w:rsidRPr="00DE5C90">
        <w:rPr>
          <w:rFonts w:cs="Arial"/>
          <w:color w:val="000000"/>
          <w:lang w:val="en-ZA"/>
        </w:rPr>
        <w:t xml:space="preserve"> other(s) to be thereby absolved)</w:t>
      </w:r>
      <w:r w:rsidRPr="00DE5C90">
        <w:rPr>
          <w:rFonts w:cs="Arial"/>
          <w:color w:val="000000"/>
          <w:lang w:val="en-ZA"/>
        </w:rPr>
        <w:t>.</w:t>
      </w:r>
      <w:r w:rsidR="005235A5" w:rsidRPr="00DE5C90">
        <w:rPr>
          <w:rFonts w:cs="Arial"/>
          <w:color w:val="000000"/>
        </w:rPr>
        <w:t xml:space="preserve"> </w:t>
      </w:r>
    </w:p>
    <w:p w14:paraId="6DBFEF93" w14:textId="4E7B5C89" w:rsidR="00AA76FF" w:rsidRPr="00DE5C90" w:rsidRDefault="005235A5" w:rsidP="00B51B4B">
      <w:pPr>
        <w:pStyle w:val="LegalList1"/>
        <w:numPr>
          <w:ilvl w:val="0"/>
          <w:numId w:val="11"/>
        </w:numPr>
        <w:spacing w:after="600" w:line="360" w:lineRule="auto"/>
        <w:ind w:left="567"/>
        <w:rPr>
          <w:rFonts w:cs="Arial"/>
        </w:rPr>
      </w:pPr>
      <w:r w:rsidRPr="00DE5C90">
        <w:rPr>
          <w:rFonts w:cs="Arial"/>
          <w:color w:val="000000"/>
        </w:rPr>
        <w:t xml:space="preserve">Adv Kufa is also ordered to pay the costs of and associated with the </w:t>
      </w:r>
      <w:r w:rsidRPr="00DE5C90">
        <w:rPr>
          <w:rFonts w:cs="Arial"/>
          <w:i/>
          <w:iCs/>
          <w:color w:val="000000"/>
        </w:rPr>
        <w:t>Rule Nisi</w:t>
      </w:r>
      <w:r w:rsidRPr="00DE5C90">
        <w:rPr>
          <w:rFonts w:cs="Arial"/>
          <w:color w:val="000000"/>
        </w:rPr>
        <w:t>, inclusive of the costs of service thereof upon him and of the NRF Respondents</w:t>
      </w:r>
      <w:r w:rsidR="00650256" w:rsidRPr="00DE5C90">
        <w:rPr>
          <w:rFonts w:cs="Arial"/>
          <w:color w:val="000000"/>
        </w:rPr>
        <w:t xml:space="preserve">’ </w:t>
      </w:r>
      <w:r w:rsidR="00230DF1" w:rsidRPr="00DE5C90">
        <w:rPr>
          <w:rFonts w:cs="Arial"/>
          <w:color w:val="000000"/>
        </w:rPr>
        <w:t>H</w:t>
      </w:r>
      <w:r w:rsidRPr="00DE5C90">
        <w:rPr>
          <w:rFonts w:cs="Arial"/>
          <w:color w:val="000000"/>
        </w:rPr>
        <w:t>eads of Argument and appearances and of the extension of the Rule Nisi, in the same terms as outlined in paragraphs 2.1, 2.2</w:t>
      </w:r>
      <w:r w:rsidR="009D09F3" w:rsidRPr="00DE5C90">
        <w:rPr>
          <w:rFonts w:cs="Arial"/>
          <w:color w:val="000000"/>
        </w:rPr>
        <w:t>, 2.3 and</w:t>
      </w:r>
      <w:r w:rsidRPr="00DE5C90">
        <w:rPr>
          <w:rFonts w:cs="Arial"/>
          <w:color w:val="000000"/>
        </w:rPr>
        <w:t xml:space="preserve"> 2.</w:t>
      </w:r>
      <w:r w:rsidR="009D09F3" w:rsidRPr="00DE5C90">
        <w:rPr>
          <w:rFonts w:cs="Arial"/>
          <w:color w:val="000000"/>
        </w:rPr>
        <w:t>4</w:t>
      </w:r>
      <w:r w:rsidRPr="00DE5C90">
        <w:rPr>
          <w:rFonts w:cs="Arial"/>
          <w:color w:val="000000"/>
        </w:rPr>
        <w:t xml:space="preserve"> above.</w:t>
      </w:r>
    </w:p>
    <w:p w14:paraId="635B5F00" w14:textId="77777777" w:rsidR="00CC3EC4" w:rsidRDefault="00CC3EC4" w:rsidP="00CC3EC4">
      <w:pPr>
        <w:pStyle w:val="LegalList1"/>
        <w:spacing w:after="600" w:line="360" w:lineRule="auto"/>
        <w:ind w:left="1080"/>
        <w:rPr>
          <w:rFonts w:ascii="Times New Roman" w:hAnsi="Times New Roman"/>
          <w:sz w:val="28"/>
          <w:szCs w:val="28"/>
        </w:rPr>
      </w:pPr>
    </w:p>
    <w:p w14:paraId="28DC3472" w14:textId="4407E1DD" w:rsidR="00CC1B46" w:rsidRPr="00412441" w:rsidRDefault="00CC1B46" w:rsidP="00D26982">
      <w:pPr>
        <w:pStyle w:val="LegalList1"/>
        <w:spacing w:after="600" w:line="240" w:lineRule="auto"/>
        <w:ind w:left="5040"/>
        <w:rPr>
          <w:rFonts w:ascii="Times New Roman" w:hAnsi="Times New Roman"/>
          <w:sz w:val="28"/>
          <w:szCs w:val="28"/>
        </w:rPr>
      </w:pPr>
      <w:r w:rsidRPr="00412441">
        <w:rPr>
          <w:rFonts w:ascii="Times New Roman" w:hAnsi="Times New Roman"/>
          <w:sz w:val="28"/>
          <w:szCs w:val="28"/>
        </w:rPr>
        <w:t>____</w:t>
      </w:r>
      <w:r w:rsidR="00412441">
        <w:rPr>
          <w:rFonts w:ascii="Times New Roman" w:hAnsi="Times New Roman"/>
          <w:sz w:val="28"/>
          <w:szCs w:val="28"/>
        </w:rPr>
        <w:t>________________</w:t>
      </w:r>
    </w:p>
    <w:p w14:paraId="6492B1EF" w14:textId="434F1414" w:rsidR="004466A8" w:rsidRPr="004E101C" w:rsidRDefault="004466A8" w:rsidP="00D26982">
      <w:pPr>
        <w:pStyle w:val="LegalList1"/>
        <w:spacing w:after="0" w:line="240" w:lineRule="auto"/>
        <w:ind w:left="4320" w:firstLine="720"/>
        <w:rPr>
          <w:rFonts w:ascii="Times New Roman" w:hAnsi="Times New Roman"/>
          <w:b/>
          <w:sz w:val="28"/>
          <w:szCs w:val="28"/>
        </w:rPr>
      </w:pPr>
      <w:r w:rsidRPr="004E101C">
        <w:rPr>
          <w:rFonts w:ascii="Times New Roman" w:hAnsi="Times New Roman"/>
          <w:b/>
          <w:sz w:val="28"/>
          <w:szCs w:val="28"/>
        </w:rPr>
        <w:t>J.S. NYATHI</w:t>
      </w:r>
    </w:p>
    <w:p w14:paraId="373873EA" w14:textId="3DCA073D" w:rsidR="00B608EA" w:rsidRPr="00412441" w:rsidRDefault="004466A8" w:rsidP="00412441">
      <w:pPr>
        <w:pStyle w:val="LegalList1"/>
        <w:spacing w:after="0" w:line="240" w:lineRule="auto"/>
        <w:ind w:left="4320" w:firstLine="720"/>
        <w:rPr>
          <w:rFonts w:ascii="Times New Roman" w:hAnsi="Times New Roman"/>
          <w:sz w:val="28"/>
          <w:szCs w:val="28"/>
        </w:rPr>
      </w:pPr>
      <w:r w:rsidRPr="00412441">
        <w:rPr>
          <w:rFonts w:ascii="Times New Roman" w:hAnsi="Times New Roman"/>
          <w:sz w:val="28"/>
          <w:szCs w:val="28"/>
        </w:rPr>
        <w:t>Judge of the High Court</w:t>
      </w:r>
    </w:p>
    <w:p w14:paraId="2D8FB6FC" w14:textId="3C000B90" w:rsidR="004466A8" w:rsidRDefault="004466A8" w:rsidP="00412441">
      <w:pPr>
        <w:pStyle w:val="LegalList1"/>
        <w:spacing w:after="0" w:line="240" w:lineRule="auto"/>
        <w:ind w:left="4320" w:firstLine="720"/>
        <w:rPr>
          <w:rFonts w:ascii="Times New Roman" w:hAnsi="Times New Roman"/>
          <w:sz w:val="28"/>
          <w:szCs w:val="28"/>
        </w:rPr>
      </w:pPr>
      <w:r w:rsidRPr="00412441">
        <w:rPr>
          <w:rFonts w:ascii="Times New Roman" w:hAnsi="Times New Roman"/>
          <w:sz w:val="28"/>
          <w:szCs w:val="28"/>
        </w:rPr>
        <w:t>Gauteng</w:t>
      </w:r>
      <w:r w:rsidR="00C71BEA" w:rsidRPr="00412441">
        <w:rPr>
          <w:rFonts w:ascii="Times New Roman" w:hAnsi="Times New Roman"/>
          <w:sz w:val="28"/>
          <w:szCs w:val="28"/>
        </w:rPr>
        <w:t xml:space="preserve"> </w:t>
      </w:r>
      <w:r w:rsidRPr="00412441">
        <w:rPr>
          <w:rFonts w:ascii="Times New Roman" w:hAnsi="Times New Roman"/>
          <w:sz w:val="28"/>
          <w:szCs w:val="28"/>
        </w:rPr>
        <w:t xml:space="preserve">Division, </w:t>
      </w:r>
      <w:r w:rsidR="00012A18" w:rsidRPr="00412441">
        <w:rPr>
          <w:rFonts w:ascii="Times New Roman" w:hAnsi="Times New Roman"/>
          <w:sz w:val="28"/>
          <w:szCs w:val="28"/>
        </w:rPr>
        <w:t>Pretoria</w:t>
      </w:r>
    </w:p>
    <w:p w14:paraId="68C85C4A" w14:textId="047E0E0C" w:rsidR="004E101C" w:rsidRDefault="004E101C" w:rsidP="00412441">
      <w:pPr>
        <w:pStyle w:val="LegalList1"/>
        <w:spacing w:after="0" w:line="240" w:lineRule="auto"/>
        <w:ind w:left="4320" w:firstLine="720"/>
        <w:rPr>
          <w:rFonts w:ascii="Times New Roman" w:hAnsi="Times New Roman"/>
          <w:sz w:val="28"/>
          <w:szCs w:val="28"/>
        </w:rPr>
      </w:pPr>
    </w:p>
    <w:p w14:paraId="03B74AAF" w14:textId="21977FAF" w:rsidR="00FE4221" w:rsidRDefault="00FE4221" w:rsidP="00FE4221">
      <w:pPr>
        <w:pStyle w:val="LegalList1"/>
        <w:spacing w:after="0" w:line="240" w:lineRule="auto"/>
        <w:rPr>
          <w:rFonts w:ascii="Segoe UI Semilight" w:hAnsi="Segoe UI Semilight" w:cs="Segoe UI Semilight"/>
        </w:rPr>
      </w:pPr>
    </w:p>
    <w:p w14:paraId="291293D9" w14:textId="50970D15" w:rsidR="00EB1221" w:rsidRDefault="00EB1221" w:rsidP="001B54C1">
      <w:pPr>
        <w:pStyle w:val="LegalList1"/>
        <w:spacing w:after="0" w:line="240" w:lineRule="auto"/>
        <w:jc w:val="right"/>
        <w:rPr>
          <w:rFonts w:ascii="Segoe UI Semilight" w:hAnsi="Segoe UI Semilight" w:cs="Segoe UI Semilight"/>
        </w:rPr>
      </w:pPr>
    </w:p>
    <w:p w14:paraId="4F924C1F" w14:textId="027ECD22" w:rsidR="008D421C" w:rsidRDefault="004E101C" w:rsidP="0059028F">
      <w:pPr>
        <w:pStyle w:val="LegalList1"/>
        <w:spacing w:after="0" w:line="240" w:lineRule="auto"/>
        <w:rPr>
          <w:rFonts w:ascii="Segoe UI Semilight" w:hAnsi="Segoe UI Semilight" w:cs="Segoe UI Semilight"/>
        </w:rPr>
      </w:pPr>
      <w:r>
        <w:rPr>
          <w:rFonts w:ascii="Segoe UI Semilight" w:hAnsi="Segoe UI Semilight" w:cs="Segoe UI Semilight"/>
        </w:rPr>
        <w:t>Date of hearing:</w:t>
      </w:r>
      <w:r w:rsidR="00474A1F">
        <w:rPr>
          <w:rFonts w:ascii="Segoe UI Semilight" w:hAnsi="Segoe UI Semilight" w:cs="Segoe UI Semilight"/>
        </w:rPr>
        <w:t xml:space="preserve"> 11 May 2022</w:t>
      </w:r>
    </w:p>
    <w:p w14:paraId="39055428" w14:textId="2DE3857A" w:rsidR="004E101C" w:rsidRDefault="008D421C" w:rsidP="0059028F">
      <w:pPr>
        <w:pStyle w:val="LegalList1"/>
        <w:spacing w:after="0" w:line="240" w:lineRule="auto"/>
        <w:rPr>
          <w:rFonts w:ascii="Segoe UI Semilight" w:hAnsi="Segoe UI Semilight" w:cs="Segoe UI Semilight"/>
        </w:rPr>
      </w:pPr>
      <w:r w:rsidRPr="008D421C">
        <w:rPr>
          <w:rFonts w:ascii="Segoe UI Semilight" w:hAnsi="Segoe UI Semilight" w:cs="Segoe UI Semilight"/>
        </w:rPr>
        <w:t>Date of Judgment: 18 May 2023</w:t>
      </w:r>
    </w:p>
    <w:p w14:paraId="03999007" w14:textId="702AC8B5" w:rsidR="0059028F" w:rsidRDefault="0059028F" w:rsidP="001B54C1">
      <w:pPr>
        <w:pStyle w:val="LegalList1"/>
        <w:spacing w:after="0" w:line="240" w:lineRule="auto"/>
        <w:jc w:val="right"/>
        <w:rPr>
          <w:rFonts w:ascii="Segoe UI Semilight" w:hAnsi="Segoe UI Semilight" w:cs="Segoe UI Semilight"/>
        </w:rPr>
      </w:pPr>
    </w:p>
    <w:p w14:paraId="02EEA813" w14:textId="42A23D8D" w:rsidR="00B608EA" w:rsidRDefault="00B608EA" w:rsidP="00B608EA">
      <w:pPr>
        <w:pStyle w:val="LegalList1"/>
        <w:spacing w:after="0" w:line="240" w:lineRule="auto"/>
        <w:rPr>
          <w:rFonts w:ascii="Segoe UI Semilight" w:hAnsi="Segoe UI Semilight" w:cs="Segoe UI Semilight"/>
        </w:rPr>
      </w:pPr>
    </w:p>
    <w:p w14:paraId="7178CD2B" w14:textId="7B1667C1" w:rsidR="00CD7D31" w:rsidRDefault="00B608EA" w:rsidP="003175B4">
      <w:pPr>
        <w:pStyle w:val="LegalList1"/>
        <w:spacing w:after="0" w:line="240" w:lineRule="auto"/>
        <w:rPr>
          <w:rFonts w:ascii="Segoe UI Semilight" w:hAnsi="Segoe UI Semilight" w:cs="Segoe UI Semilight"/>
        </w:rPr>
      </w:pPr>
      <w:r>
        <w:rPr>
          <w:rFonts w:ascii="Segoe UI Semilight" w:hAnsi="Segoe UI Semilight" w:cs="Segoe UI Semilight"/>
        </w:rPr>
        <w:t xml:space="preserve">On behalf of the </w:t>
      </w:r>
      <w:r w:rsidR="00D266E5">
        <w:rPr>
          <w:rFonts w:ascii="Segoe UI Semilight" w:hAnsi="Segoe UI Semilight" w:cs="Segoe UI Semilight"/>
        </w:rPr>
        <w:t>Appl</w:t>
      </w:r>
      <w:r w:rsidR="003175B4">
        <w:rPr>
          <w:rFonts w:ascii="Segoe UI Semilight" w:hAnsi="Segoe UI Semilight" w:cs="Segoe UI Semilight"/>
        </w:rPr>
        <w:t>ic</w:t>
      </w:r>
      <w:r w:rsidR="00D266E5">
        <w:rPr>
          <w:rFonts w:ascii="Segoe UI Semilight" w:hAnsi="Segoe UI Semilight" w:cs="Segoe UI Semilight"/>
        </w:rPr>
        <w:t>ant</w:t>
      </w:r>
      <w:r>
        <w:rPr>
          <w:rFonts w:ascii="Segoe UI Semilight" w:hAnsi="Segoe UI Semilight" w:cs="Segoe UI Semilight"/>
        </w:rPr>
        <w:t xml:space="preserve">: </w:t>
      </w:r>
      <w:r w:rsidR="00092C48">
        <w:rPr>
          <w:rFonts w:ascii="Segoe UI Semilight" w:hAnsi="Segoe UI Semilight" w:cs="Segoe UI Semilight"/>
        </w:rPr>
        <w:t>Adv</w:t>
      </w:r>
      <w:r w:rsidR="00825602">
        <w:rPr>
          <w:rFonts w:ascii="Segoe UI Semilight" w:hAnsi="Segoe UI Semilight" w:cs="Segoe UI Semilight"/>
        </w:rPr>
        <w:t xml:space="preserve">. </w:t>
      </w:r>
      <w:r w:rsidR="00826714">
        <w:rPr>
          <w:rFonts w:ascii="Segoe UI Semilight" w:hAnsi="Segoe UI Semilight" w:cs="Segoe UI Semilight"/>
        </w:rPr>
        <w:t xml:space="preserve">M. </w:t>
      </w:r>
      <w:r w:rsidR="003175B4">
        <w:rPr>
          <w:rFonts w:ascii="Segoe UI Semilight" w:hAnsi="Segoe UI Semilight" w:cs="Segoe UI Semilight"/>
        </w:rPr>
        <w:t>Kufa</w:t>
      </w:r>
    </w:p>
    <w:p w14:paraId="259757FE" w14:textId="28ADBB05" w:rsidR="00BA0496" w:rsidRDefault="00BA0496" w:rsidP="003175B4">
      <w:pPr>
        <w:pStyle w:val="LegalList1"/>
        <w:spacing w:after="0" w:line="240" w:lineRule="auto"/>
        <w:rPr>
          <w:rFonts w:ascii="Segoe UI Semilight" w:hAnsi="Segoe UI Semilight" w:cs="Segoe UI Semilight"/>
        </w:rPr>
      </w:pPr>
      <w:r>
        <w:rPr>
          <w:rFonts w:ascii="Segoe UI Semilight" w:hAnsi="Segoe UI Semilight" w:cs="Segoe UI Semilight"/>
        </w:rPr>
        <w:t>On behalf of Adv. McGregor Kufa (Himself in his own matter)</w:t>
      </w:r>
    </w:p>
    <w:p w14:paraId="7FCE02CC" w14:textId="36505A4D" w:rsidR="00825602" w:rsidRDefault="006313A3" w:rsidP="004D4436">
      <w:pPr>
        <w:pStyle w:val="LegalList1"/>
        <w:spacing w:after="0" w:line="240" w:lineRule="auto"/>
        <w:rPr>
          <w:rFonts w:ascii="Segoe UI Semilight" w:hAnsi="Segoe UI Semilight" w:cs="Segoe UI Semilight"/>
        </w:rPr>
      </w:pPr>
      <w:r>
        <w:rPr>
          <w:rFonts w:ascii="Segoe UI Semilight" w:hAnsi="Segoe UI Semilight" w:cs="Segoe UI Semilight"/>
        </w:rPr>
        <w:t xml:space="preserve">Applicant’s Attorneys: </w:t>
      </w:r>
      <w:r w:rsidR="004D4436">
        <w:rPr>
          <w:rFonts w:ascii="Segoe UI Semilight" w:hAnsi="Segoe UI Semilight" w:cs="Segoe UI Semilight"/>
        </w:rPr>
        <w:t>Ma</w:t>
      </w:r>
      <w:r w:rsidR="003175B4">
        <w:rPr>
          <w:rFonts w:ascii="Segoe UI Semilight" w:hAnsi="Segoe UI Semilight" w:cs="Segoe UI Semilight"/>
        </w:rPr>
        <w:t>chaba</w:t>
      </w:r>
      <w:r w:rsidR="004D4436">
        <w:rPr>
          <w:rFonts w:ascii="Segoe UI Semilight" w:hAnsi="Segoe UI Semilight" w:cs="Segoe UI Semilight"/>
        </w:rPr>
        <w:t xml:space="preserve"> Attorneys</w:t>
      </w:r>
    </w:p>
    <w:p w14:paraId="27A19A68" w14:textId="49E4AF21" w:rsidR="003175B4" w:rsidRPr="008D421C" w:rsidRDefault="004D4436" w:rsidP="004D4436">
      <w:pPr>
        <w:pStyle w:val="LegalList1"/>
        <w:spacing w:after="0" w:line="240" w:lineRule="auto"/>
      </w:pPr>
      <w:r>
        <w:rPr>
          <w:rFonts w:ascii="Segoe UI Semilight" w:hAnsi="Segoe UI Semilight" w:cs="Segoe UI Semilight"/>
        </w:rPr>
        <w:t xml:space="preserve">e-mail: </w:t>
      </w:r>
      <w:hyperlink r:id="rId9" w:history="1">
        <w:r w:rsidR="003175B4" w:rsidRPr="00FE45F6">
          <w:rPr>
            <w:rStyle w:val="Hyperlink"/>
          </w:rPr>
          <w:t>emachaba@vodamail.co.za</w:t>
        </w:r>
      </w:hyperlink>
    </w:p>
    <w:p w14:paraId="21B413D5" w14:textId="6DCEBC73" w:rsidR="004D4436" w:rsidRDefault="004D4436" w:rsidP="004D4436">
      <w:pPr>
        <w:pStyle w:val="LegalList1"/>
        <w:spacing w:after="0" w:line="240" w:lineRule="auto"/>
        <w:rPr>
          <w:rFonts w:ascii="Segoe UI Semilight" w:hAnsi="Segoe UI Semilight" w:cs="Segoe UI Semilight"/>
        </w:rPr>
      </w:pPr>
      <w:r>
        <w:rPr>
          <w:rFonts w:ascii="Segoe UI Semilight" w:hAnsi="Segoe UI Semilight" w:cs="Segoe UI Semilight"/>
        </w:rPr>
        <w:t xml:space="preserve">C/O </w:t>
      </w:r>
      <w:r w:rsidR="003175B4">
        <w:rPr>
          <w:rFonts w:ascii="Segoe UI Semilight" w:hAnsi="Segoe UI Semilight" w:cs="Segoe UI Semilight"/>
        </w:rPr>
        <w:t>SEIMA</w:t>
      </w:r>
      <w:r>
        <w:rPr>
          <w:rFonts w:ascii="Segoe UI Semilight" w:hAnsi="Segoe UI Semilight" w:cs="Segoe UI Semilight"/>
        </w:rPr>
        <w:t xml:space="preserve"> Attorneys</w:t>
      </w:r>
    </w:p>
    <w:p w14:paraId="1FA32982" w14:textId="5F4B323F" w:rsidR="004D4436" w:rsidRDefault="004D4436" w:rsidP="004D4436">
      <w:pPr>
        <w:pStyle w:val="LegalList1"/>
        <w:spacing w:after="0" w:line="240" w:lineRule="auto"/>
        <w:rPr>
          <w:rFonts w:ascii="Segoe UI Semilight" w:hAnsi="Segoe UI Semilight" w:cs="Segoe UI Semilight"/>
        </w:rPr>
      </w:pPr>
      <w:r>
        <w:rPr>
          <w:rFonts w:ascii="Segoe UI Semilight" w:hAnsi="Segoe UI Semilight" w:cs="Segoe UI Semilight"/>
        </w:rPr>
        <w:t>PRETORIA</w:t>
      </w:r>
    </w:p>
    <w:p w14:paraId="0696C8B0" w14:textId="10BB4492" w:rsidR="006313A3" w:rsidRDefault="003175B4" w:rsidP="004D4436">
      <w:pPr>
        <w:pStyle w:val="LegalList1"/>
        <w:spacing w:after="0" w:line="240" w:lineRule="auto"/>
        <w:rPr>
          <w:rFonts w:ascii="Segoe UI Semilight" w:hAnsi="Segoe UI Semilight" w:cs="Segoe UI Semilight"/>
        </w:rPr>
      </w:pPr>
      <w:r>
        <w:rPr>
          <w:rFonts w:ascii="Segoe UI Semilight" w:hAnsi="Segoe UI Semilight" w:cs="Segoe UI Semilight"/>
        </w:rPr>
        <w:t>Tel: 012 342 9944</w:t>
      </w:r>
    </w:p>
    <w:p w14:paraId="5B2A0151" w14:textId="22BCD4EB" w:rsidR="00FB5D6F" w:rsidRDefault="00FB5D6F" w:rsidP="00B608EA">
      <w:pPr>
        <w:pStyle w:val="LegalList1"/>
        <w:spacing w:after="0" w:line="240" w:lineRule="auto"/>
        <w:rPr>
          <w:rFonts w:ascii="Segoe UI Semilight" w:hAnsi="Segoe UI Semilight" w:cs="Segoe UI Semilight"/>
        </w:rPr>
      </w:pPr>
    </w:p>
    <w:p w14:paraId="56D3A8B0" w14:textId="329052B7" w:rsidR="00E70F4D" w:rsidRDefault="00825602" w:rsidP="009734D0">
      <w:pPr>
        <w:pStyle w:val="LegalList1"/>
        <w:spacing w:after="0" w:line="240" w:lineRule="auto"/>
        <w:rPr>
          <w:rFonts w:ascii="Segoe UI Semilight" w:hAnsi="Segoe UI Semilight" w:cs="Segoe UI Semilight"/>
        </w:rPr>
      </w:pPr>
      <w:r>
        <w:rPr>
          <w:rFonts w:ascii="Segoe UI Semilight" w:hAnsi="Segoe UI Semilight" w:cs="Segoe UI Semilight"/>
        </w:rPr>
        <w:t>On behalf of the</w:t>
      </w:r>
      <w:r w:rsidR="000B4699">
        <w:rPr>
          <w:rFonts w:ascii="Segoe UI Semilight" w:hAnsi="Segoe UI Semilight" w:cs="Segoe UI Semilight"/>
        </w:rPr>
        <w:t xml:space="preserve"> 1</w:t>
      </w:r>
      <w:r w:rsidR="000B4699" w:rsidRPr="000B4699">
        <w:rPr>
          <w:rFonts w:ascii="Segoe UI Semilight" w:hAnsi="Segoe UI Semilight" w:cs="Segoe UI Semilight"/>
          <w:vertAlign w:val="superscript"/>
        </w:rPr>
        <w:t>st</w:t>
      </w:r>
      <w:r w:rsidR="000B4699">
        <w:rPr>
          <w:rFonts w:ascii="Segoe UI Semilight" w:hAnsi="Segoe UI Semilight" w:cs="Segoe UI Semilight"/>
        </w:rPr>
        <w:t>, 5</w:t>
      </w:r>
      <w:r w:rsidR="000B4699" w:rsidRPr="000B4699">
        <w:rPr>
          <w:rFonts w:ascii="Segoe UI Semilight" w:hAnsi="Segoe UI Semilight" w:cs="Segoe UI Semilight"/>
          <w:vertAlign w:val="superscript"/>
        </w:rPr>
        <w:t>th</w:t>
      </w:r>
      <w:r w:rsidR="000B4699">
        <w:rPr>
          <w:rFonts w:ascii="Segoe UI Semilight" w:hAnsi="Segoe UI Semilight" w:cs="Segoe UI Semilight"/>
        </w:rPr>
        <w:t xml:space="preserve"> – 26</w:t>
      </w:r>
      <w:r w:rsidR="000B4699" w:rsidRPr="000B4699">
        <w:rPr>
          <w:rFonts w:ascii="Segoe UI Semilight" w:hAnsi="Segoe UI Semilight" w:cs="Segoe UI Semilight"/>
          <w:vertAlign w:val="superscript"/>
        </w:rPr>
        <w:t>th</w:t>
      </w:r>
      <w:r w:rsidR="000B4699">
        <w:rPr>
          <w:rFonts w:ascii="Segoe UI Semilight" w:hAnsi="Segoe UI Semilight" w:cs="Segoe UI Semilight"/>
        </w:rPr>
        <w:t xml:space="preserve"> </w:t>
      </w:r>
      <w:r w:rsidR="00012A18">
        <w:rPr>
          <w:rFonts w:ascii="Segoe UI Semilight" w:hAnsi="Segoe UI Semilight" w:cs="Segoe UI Semilight"/>
        </w:rPr>
        <w:t>Respondent</w:t>
      </w:r>
      <w:r w:rsidR="003175B4">
        <w:rPr>
          <w:rFonts w:ascii="Segoe UI Semilight" w:hAnsi="Segoe UI Semilight" w:cs="Segoe UI Semilight"/>
        </w:rPr>
        <w:t>s</w:t>
      </w:r>
      <w:r w:rsidR="00012A18">
        <w:rPr>
          <w:rFonts w:ascii="Segoe UI Semilight" w:hAnsi="Segoe UI Semilight" w:cs="Segoe UI Semilight"/>
        </w:rPr>
        <w:t>: Adv</w:t>
      </w:r>
      <w:r w:rsidR="00E92D68">
        <w:rPr>
          <w:rFonts w:ascii="Segoe UI Semilight" w:hAnsi="Segoe UI Semilight" w:cs="Segoe UI Semilight"/>
        </w:rPr>
        <w:t xml:space="preserve">. </w:t>
      </w:r>
      <w:r w:rsidR="00F3079A">
        <w:rPr>
          <w:rFonts w:ascii="Segoe UI Semilight" w:hAnsi="Segoe UI Semilight" w:cs="Segoe UI Semilight"/>
        </w:rPr>
        <w:t xml:space="preserve">J.F. </w:t>
      </w:r>
      <w:r w:rsidR="004D4436">
        <w:rPr>
          <w:rFonts w:ascii="Segoe UI Semilight" w:hAnsi="Segoe UI Semilight" w:cs="Segoe UI Semilight"/>
        </w:rPr>
        <w:t>M</w:t>
      </w:r>
      <w:r w:rsidR="000B4699">
        <w:rPr>
          <w:rFonts w:ascii="Segoe UI Semilight" w:hAnsi="Segoe UI Semilight" w:cs="Segoe UI Semilight"/>
        </w:rPr>
        <w:t>ullins SC</w:t>
      </w:r>
    </w:p>
    <w:p w14:paraId="65C20202" w14:textId="2B512D52" w:rsidR="001A5E34" w:rsidRDefault="001A5E34" w:rsidP="009734D0">
      <w:pPr>
        <w:pStyle w:val="LegalList1"/>
        <w:spacing w:after="0" w:line="240" w:lineRule="auto"/>
        <w:rPr>
          <w:rFonts w:ascii="Segoe UI Semilight" w:hAnsi="Segoe UI Semilight" w:cs="Segoe UI Semilight"/>
        </w:rPr>
      </w:pPr>
      <w:r>
        <w:rPr>
          <w:rFonts w:ascii="Segoe UI Semilight" w:hAnsi="Segoe UI Semilight" w:cs="Segoe UI Semilight"/>
        </w:rPr>
        <w:t xml:space="preserve">With: Adv. K.D. Magano </w:t>
      </w:r>
      <w:r w:rsidR="001206E3">
        <w:rPr>
          <w:rFonts w:ascii="Segoe UI Semilight" w:hAnsi="Segoe UI Semilight" w:cs="Segoe UI Semilight"/>
        </w:rPr>
        <w:t>(</w:t>
      </w:r>
      <w:r w:rsidR="00517E23">
        <w:rPr>
          <w:rFonts w:ascii="Segoe UI Semilight" w:hAnsi="Segoe UI Semilight" w:cs="Segoe UI Semilight"/>
        </w:rPr>
        <w:t>Adv. T. Phehane in the Heads of argument)</w:t>
      </w:r>
    </w:p>
    <w:p w14:paraId="42DFBA5F" w14:textId="6B3B0979" w:rsidR="00092C48" w:rsidRDefault="000B4699" w:rsidP="009734D0">
      <w:pPr>
        <w:pStyle w:val="LegalList1"/>
        <w:spacing w:after="0" w:line="240" w:lineRule="auto"/>
        <w:rPr>
          <w:rFonts w:ascii="Segoe UI Semilight" w:hAnsi="Segoe UI Semilight" w:cs="Segoe UI Semilight"/>
        </w:rPr>
      </w:pPr>
      <w:r>
        <w:rPr>
          <w:rFonts w:ascii="Segoe UI Semilight" w:hAnsi="Segoe UI Semilight" w:cs="Segoe UI Semilight"/>
        </w:rPr>
        <w:t>Savage Jooste &amp; Adams</w:t>
      </w:r>
    </w:p>
    <w:p w14:paraId="412CB08C" w14:textId="6BE980A7" w:rsidR="00092C48" w:rsidRDefault="00092C48" w:rsidP="009734D0">
      <w:pPr>
        <w:pStyle w:val="LegalList1"/>
        <w:spacing w:after="0" w:line="240" w:lineRule="auto"/>
        <w:rPr>
          <w:rFonts w:ascii="Segoe UI Semilight" w:hAnsi="Segoe UI Semilight" w:cs="Segoe UI Semilight"/>
        </w:rPr>
      </w:pPr>
      <w:r>
        <w:rPr>
          <w:rFonts w:ascii="Segoe UI Semilight" w:hAnsi="Segoe UI Semilight" w:cs="Segoe UI Semilight"/>
        </w:rPr>
        <w:t>PRETORIA</w:t>
      </w:r>
    </w:p>
    <w:p w14:paraId="2AD27E57" w14:textId="77777777" w:rsidR="000B4699" w:rsidRDefault="000B4699" w:rsidP="009734D0">
      <w:pPr>
        <w:pStyle w:val="LegalList1"/>
        <w:spacing w:after="0" w:line="240" w:lineRule="auto"/>
        <w:rPr>
          <w:rFonts w:ascii="Segoe UI Semilight" w:hAnsi="Segoe UI Semilight" w:cs="Segoe UI Semilight"/>
        </w:rPr>
      </w:pPr>
      <w:r>
        <w:rPr>
          <w:rFonts w:ascii="Segoe UI Semilight" w:hAnsi="Segoe UI Semilight" w:cs="Segoe UI Semilight"/>
        </w:rPr>
        <w:t>T</w:t>
      </w:r>
      <w:r w:rsidR="00550B3B">
        <w:rPr>
          <w:rFonts w:ascii="Segoe UI Semilight" w:hAnsi="Segoe UI Semilight" w:cs="Segoe UI Semilight"/>
        </w:rPr>
        <w:t>el:</w:t>
      </w:r>
      <w:r>
        <w:rPr>
          <w:rFonts w:ascii="Segoe UI Semilight" w:hAnsi="Segoe UI Semilight" w:cs="Segoe UI Semilight"/>
        </w:rPr>
        <w:t xml:space="preserve"> 012 452 8256</w:t>
      </w:r>
    </w:p>
    <w:p w14:paraId="77F980F3" w14:textId="358AD529" w:rsidR="00550B3B" w:rsidRDefault="000B4699" w:rsidP="009734D0">
      <w:pPr>
        <w:pStyle w:val="LegalList1"/>
        <w:spacing w:after="0" w:line="240" w:lineRule="auto"/>
        <w:rPr>
          <w:rFonts w:ascii="Segoe UI Semilight" w:hAnsi="Segoe UI Semilight" w:cs="Segoe UI Semilight"/>
        </w:rPr>
      </w:pPr>
      <w:r>
        <w:rPr>
          <w:rFonts w:ascii="Segoe UI Semilight" w:hAnsi="Segoe UI Semilight" w:cs="Segoe UI Semilight"/>
        </w:rPr>
        <w:t>Ref: Mr P Viljoen/LL/AIG057</w:t>
      </w:r>
      <w:r w:rsidR="00550B3B">
        <w:rPr>
          <w:rFonts w:ascii="Segoe UI Semilight" w:hAnsi="Segoe UI Semilight" w:cs="Segoe UI Semilight"/>
        </w:rPr>
        <w:t xml:space="preserve"> </w:t>
      </w:r>
    </w:p>
    <w:p w14:paraId="2A2056E5" w14:textId="7592F054" w:rsidR="000B4699" w:rsidRDefault="000B4699" w:rsidP="009734D0">
      <w:pPr>
        <w:pStyle w:val="LegalList1"/>
        <w:spacing w:after="0" w:line="240" w:lineRule="auto"/>
        <w:rPr>
          <w:rFonts w:ascii="Segoe UI Semilight" w:hAnsi="Segoe UI Semilight" w:cs="Segoe UI Semilight"/>
        </w:rPr>
      </w:pPr>
    </w:p>
    <w:p w14:paraId="108C244D" w14:textId="031BD609" w:rsidR="000B4699" w:rsidRDefault="000B4699" w:rsidP="009734D0">
      <w:pPr>
        <w:pStyle w:val="LegalList1"/>
        <w:spacing w:after="0" w:line="240" w:lineRule="auto"/>
        <w:rPr>
          <w:rFonts w:ascii="Segoe UI Semilight" w:hAnsi="Segoe UI Semilight" w:cs="Segoe UI Semilight"/>
        </w:rPr>
      </w:pPr>
      <w:r>
        <w:rPr>
          <w:rFonts w:ascii="Segoe UI Semilight" w:hAnsi="Segoe UI Semilight" w:cs="Segoe UI Semilight"/>
        </w:rPr>
        <w:t xml:space="preserve">On behalf of the </w:t>
      </w:r>
      <w:r w:rsidR="001A5E34">
        <w:rPr>
          <w:rFonts w:ascii="Segoe UI Semilight" w:hAnsi="Segoe UI Semilight" w:cs="Segoe UI Semilight"/>
        </w:rPr>
        <w:t>2</w:t>
      </w:r>
      <w:r w:rsidR="001A5E34" w:rsidRPr="001A5E34">
        <w:rPr>
          <w:rFonts w:ascii="Segoe UI Semilight" w:hAnsi="Segoe UI Semilight" w:cs="Segoe UI Semilight"/>
          <w:vertAlign w:val="superscript"/>
        </w:rPr>
        <w:t>nd</w:t>
      </w:r>
      <w:r w:rsidR="001A5E34">
        <w:rPr>
          <w:rFonts w:ascii="Segoe UI Semilight" w:hAnsi="Segoe UI Semilight" w:cs="Segoe UI Semilight"/>
        </w:rPr>
        <w:t xml:space="preserve">, </w:t>
      </w:r>
      <w:r w:rsidR="00D11E53">
        <w:rPr>
          <w:rFonts w:ascii="Segoe UI Semilight" w:hAnsi="Segoe UI Semilight" w:cs="Segoe UI Semilight"/>
        </w:rPr>
        <w:t>3</w:t>
      </w:r>
      <w:r w:rsidR="00D11E53" w:rsidRPr="001A5E34">
        <w:rPr>
          <w:rFonts w:ascii="Segoe UI Semilight" w:hAnsi="Segoe UI Semilight" w:cs="Segoe UI Semilight"/>
          <w:vertAlign w:val="superscript"/>
        </w:rPr>
        <w:t>rd,</w:t>
      </w:r>
      <w:r w:rsidR="001A5E34">
        <w:rPr>
          <w:rFonts w:ascii="Segoe UI Semilight" w:hAnsi="Segoe UI Semilight" w:cs="Segoe UI Semilight"/>
        </w:rPr>
        <w:t xml:space="preserve"> and 4</w:t>
      </w:r>
      <w:r w:rsidR="001A5E34" w:rsidRPr="001A5E34">
        <w:rPr>
          <w:rFonts w:ascii="Segoe UI Semilight" w:hAnsi="Segoe UI Semilight" w:cs="Segoe UI Semilight"/>
          <w:vertAlign w:val="superscript"/>
        </w:rPr>
        <w:t>th</w:t>
      </w:r>
      <w:r w:rsidR="001A5E34">
        <w:rPr>
          <w:rFonts w:ascii="Segoe UI Semilight" w:hAnsi="Segoe UI Semilight" w:cs="Segoe UI Semilight"/>
        </w:rPr>
        <w:t xml:space="preserve"> </w:t>
      </w:r>
      <w:r>
        <w:rPr>
          <w:rFonts w:ascii="Segoe UI Semilight" w:hAnsi="Segoe UI Semilight" w:cs="Segoe UI Semilight"/>
        </w:rPr>
        <w:t>Respondents: Adv.</w:t>
      </w:r>
      <w:r w:rsidR="00F3079A">
        <w:rPr>
          <w:rFonts w:ascii="Segoe UI Semilight" w:hAnsi="Segoe UI Semilight" w:cs="Segoe UI Semilight"/>
        </w:rPr>
        <w:t xml:space="preserve"> </w:t>
      </w:r>
      <w:r w:rsidR="001A5E34">
        <w:rPr>
          <w:rFonts w:ascii="Segoe UI Semilight" w:hAnsi="Segoe UI Semilight" w:cs="Segoe UI Semilight"/>
        </w:rPr>
        <w:t>P. Van Den Berg SC</w:t>
      </w:r>
    </w:p>
    <w:p w14:paraId="69B431A9" w14:textId="2443F322" w:rsidR="001A5E34" w:rsidRDefault="001A5E34" w:rsidP="009734D0">
      <w:pPr>
        <w:pStyle w:val="LegalList1"/>
        <w:spacing w:after="0" w:line="240" w:lineRule="auto"/>
        <w:rPr>
          <w:rFonts w:ascii="Segoe UI Semilight" w:hAnsi="Segoe UI Semilight" w:cs="Segoe UI Semilight"/>
        </w:rPr>
      </w:pPr>
      <w:r>
        <w:rPr>
          <w:rFonts w:ascii="Segoe UI Semilight" w:hAnsi="Segoe UI Semilight" w:cs="Segoe UI Semilight"/>
        </w:rPr>
        <w:t>With: Adv. H. Gray.</w:t>
      </w:r>
    </w:p>
    <w:p w14:paraId="5DD3313F" w14:textId="2DF60339" w:rsidR="008D421C" w:rsidRDefault="008D421C" w:rsidP="009734D0">
      <w:pPr>
        <w:pStyle w:val="LegalList1"/>
        <w:spacing w:after="0" w:line="240" w:lineRule="auto"/>
        <w:rPr>
          <w:rFonts w:ascii="Segoe UI Semilight" w:hAnsi="Segoe UI Semilight" w:cs="Segoe UI Semilight"/>
        </w:rPr>
      </w:pPr>
      <w:r>
        <w:rPr>
          <w:rFonts w:ascii="Segoe UI Semilight" w:hAnsi="Segoe UI Semilight" w:cs="Segoe UI Semilight"/>
        </w:rPr>
        <w:t>Thyne Jacobs Inc</w:t>
      </w:r>
    </w:p>
    <w:p w14:paraId="207ED4EE" w14:textId="77777777" w:rsidR="001A5E34" w:rsidRDefault="001A5E34" w:rsidP="009734D0">
      <w:pPr>
        <w:pStyle w:val="LegalList1"/>
        <w:spacing w:after="0" w:line="240" w:lineRule="auto"/>
        <w:rPr>
          <w:rFonts w:ascii="Segoe UI Semilight" w:hAnsi="Segoe UI Semilight" w:cs="Segoe UI Semilight"/>
        </w:rPr>
      </w:pPr>
    </w:p>
    <w:p w14:paraId="211AC60C" w14:textId="218C3169" w:rsidR="000B4699" w:rsidRDefault="000B4699" w:rsidP="009734D0">
      <w:pPr>
        <w:pStyle w:val="LegalList1"/>
        <w:spacing w:after="0" w:line="240" w:lineRule="auto"/>
        <w:rPr>
          <w:rFonts w:ascii="Segoe UI Semilight" w:hAnsi="Segoe UI Semilight" w:cs="Segoe UI Semilight"/>
        </w:rPr>
      </w:pPr>
      <w:r>
        <w:rPr>
          <w:rFonts w:ascii="Segoe UI Semilight" w:hAnsi="Segoe UI Semilight" w:cs="Segoe UI Semilight"/>
        </w:rPr>
        <w:t xml:space="preserve">Mr. Matsena listened to the proceedings but did </w:t>
      </w:r>
      <w:r w:rsidR="00DF055A">
        <w:rPr>
          <w:rFonts w:ascii="Segoe UI Semilight" w:hAnsi="Segoe UI Semilight" w:cs="Segoe UI Semilight"/>
        </w:rPr>
        <w:t>not participate</w:t>
      </w:r>
      <w:r>
        <w:rPr>
          <w:rFonts w:ascii="Segoe UI Semilight" w:hAnsi="Segoe UI Semilight" w:cs="Segoe UI Semilight"/>
        </w:rPr>
        <w:t>.</w:t>
      </w:r>
    </w:p>
    <w:p w14:paraId="5A77BDE2" w14:textId="512AF5FD" w:rsidR="005C2295" w:rsidRDefault="005C2295" w:rsidP="00825602">
      <w:pPr>
        <w:pStyle w:val="LegalList1"/>
        <w:spacing w:after="0" w:line="240" w:lineRule="auto"/>
      </w:pPr>
    </w:p>
    <w:p w14:paraId="6912E686" w14:textId="77777777" w:rsidR="004D4436" w:rsidRDefault="004D4436" w:rsidP="00825602">
      <w:pPr>
        <w:pStyle w:val="LegalList1"/>
        <w:spacing w:after="0" w:line="240" w:lineRule="auto"/>
      </w:pPr>
    </w:p>
    <w:p w14:paraId="6692B889" w14:textId="77777777" w:rsidR="004D4436" w:rsidRDefault="004D4436" w:rsidP="00825602">
      <w:pPr>
        <w:pStyle w:val="LegalList1"/>
        <w:spacing w:after="0" w:line="240" w:lineRule="auto"/>
      </w:pPr>
    </w:p>
    <w:p w14:paraId="7BF4304D" w14:textId="77777777" w:rsidR="00825602" w:rsidRDefault="00825602" w:rsidP="00825602">
      <w:pPr>
        <w:pStyle w:val="LegalList1"/>
        <w:spacing w:after="0" w:line="240" w:lineRule="auto"/>
        <w:rPr>
          <w:rFonts w:ascii="Segoe UI Semilight" w:hAnsi="Segoe UI Semilight" w:cs="Segoe UI Semilight"/>
        </w:rPr>
      </w:pPr>
    </w:p>
    <w:p w14:paraId="59912D51" w14:textId="167E36F6" w:rsidR="00A91E25" w:rsidRDefault="00A91E25" w:rsidP="009734D0">
      <w:pPr>
        <w:pStyle w:val="LegalList1"/>
        <w:spacing w:after="0" w:line="240" w:lineRule="auto"/>
        <w:rPr>
          <w:rFonts w:ascii="Segoe UI Semilight" w:hAnsi="Segoe UI Semilight" w:cs="Segoe UI Semilight"/>
        </w:rPr>
      </w:pPr>
    </w:p>
    <w:p w14:paraId="030F282E" w14:textId="08CB16A1" w:rsidR="00CF7B1D" w:rsidRDefault="00CF7B1D" w:rsidP="009734D0">
      <w:pPr>
        <w:pStyle w:val="LegalList1"/>
        <w:spacing w:after="0" w:line="240" w:lineRule="auto"/>
        <w:rPr>
          <w:rFonts w:ascii="Segoe UI Semilight" w:hAnsi="Segoe UI Semilight" w:cs="Segoe UI Semilight"/>
        </w:rPr>
      </w:pPr>
    </w:p>
    <w:p w14:paraId="58AE6AC2" w14:textId="2CE4FC1C" w:rsidR="00CF7B1D" w:rsidRDefault="00CF7B1D" w:rsidP="009734D0">
      <w:pPr>
        <w:pStyle w:val="LegalList1"/>
        <w:spacing w:after="0" w:line="240" w:lineRule="auto"/>
        <w:rPr>
          <w:rFonts w:ascii="Segoe UI Semilight" w:hAnsi="Segoe UI Semilight" w:cs="Segoe UI Semilight"/>
        </w:rPr>
      </w:pPr>
    </w:p>
    <w:p w14:paraId="42FC1C84" w14:textId="624DAC6C" w:rsidR="002F575E" w:rsidRDefault="002F575E" w:rsidP="009734D0">
      <w:pPr>
        <w:pStyle w:val="LegalList1"/>
        <w:spacing w:after="0" w:line="240" w:lineRule="auto"/>
        <w:rPr>
          <w:rFonts w:ascii="Segoe UI Semilight" w:hAnsi="Segoe UI Semilight" w:cs="Segoe UI Semilight"/>
        </w:rPr>
      </w:pPr>
      <w:r w:rsidRPr="002F575E">
        <w:rPr>
          <w:rFonts w:ascii="Segoe UI Semilight" w:hAnsi="Segoe UI Semilight" w:cs="Segoe UI Semilight"/>
          <w:b/>
        </w:rPr>
        <w:t>Delivery:</w:t>
      </w:r>
      <w:r w:rsidRPr="002F575E">
        <w:rPr>
          <w:rFonts w:ascii="Segoe UI Semilight" w:hAnsi="Segoe UI Semilight" w:cs="Segoe UI Semilight"/>
        </w:rPr>
        <w:t xml:space="preserve"> This judgment was handed down electronically by circulation to the parties' legal representat</w:t>
      </w:r>
      <w:r>
        <w:rPr>
          <w:rFonts w:ascii="Segoe UI Semilight" w:hAnsi="Segoe UI Semilight" w:cs="Segoe UI Semilight"/>
        </w:rPr>
        <w:t>ives by email, and uploaded on the C</w:t>
      </w:r>
      <w:r w:rsidRPr="002F575E">
        <w:rPr>
          <w:rFonts w:ascii="Segoe UI Semilight" w:hAnsi="Segoe UI Semilight" w:cs="Segoe UI Semilight"/>
        </w:rPr>
        <w:t>ase</w:t>
      </w:r>
      <w:r>
        <w:rPr>
          <w:rFonts w:ascii="Segoe UI Semilight" w:hAnsi="Segoe UI Semilight" w:cs="Segoe UI Semilight"/>
        </w:rPr>
        <w:t>L</w:t>
      </w:r>
      <w:r w:rsidRPr="002F575E">
        <w:rPr>
          <w:rFonts w:ascii="Segoe UI Semilight" w:hAnsi="Segoe UI Semilight" w:cs="Segoe UI Semilight"/>
        </w:rPr>
        <w:t xml:space="preserve">ines electronic platform. The date for hand-down is deemed to be </w:t>
      </w:r>
      <w:r w:rsidR="004E101C">
        <w:rPr>
          <w:rFonts w:ascii="Segoe UI Semilight" w:hAnsi="Segoe UI Semilight" w:cs="Segoe UI Semilight"/>
        </w:rPr>
        <w:t>1</w:t>
      </w:r>
      <w:r w:rsidR="00D20F4A">
        <w:rPr>
          <w:rFonts w:ascii="Segoe UI Semilight" w:hAnsi="Segoe UI Semilight" w:cs="Segoe UI Semilight"/>
        </w:rPr>
        <w:t>8</w:t>
      </w:r>
      <w:r w:rsidRPr="002F575E">
        <w:rPr>
          <w:rFonts w:ascii="Segoe UI Semilight" w:hAnsi="Segoe UI Semilight" w:cs="Segoe UI Semilight"/>
        </w:rPr>
        <w:t xml:space="preserve"> </w:t>
      </w:r>
      <w:r w:rsidR="00D20F4A">
        <w:rPr>
          <w:rFonts w:ascii="Segoe UI Semilight" w:hAnsi="Segoe UI Semilight" w:cs="Segoe UI Semilight"/>
        </w:rPr>
        <w:t>Ma</w:t>
      </w:r>
      <w:r w:rsidR="0031100A">
        <w:rPr>
          <w:rFonts w:ascii="Segoe UI Semilight" w:hAnsi="Segoe UI Semilight" w:cs="Segoe UI Semilight"/>
        </w:rPr>
        <w:t>y</w:t>
      </w:r>
      <w:r w:rsidRPr="002F575E">
        <w:rPr>
          <w:rFonts w:ascii="Segoe UI Semilight" w:hAnsi="Segoe UI Semilight" w:cs="Segoe UI Semilight"/>
        </w:rPr>
        <w:t xml:space="preserve"> 202</w:t>
      </w:r>
      <w:r w:rsidR="00CF7B1D">
        <w:rPr>
          <w:rFonts w:ascii="Segoe UI Semilight" w:hAnsi="Segoe UI Semilight" w:cs="Segoe UI Semilight"/>
        </w:rPr>
        <w:t>3</w:t>
      </w:r>
      <w:r>
        <w:rPr>
          <w:rFonts w:ascii="Segoe UI Semilight" w:hAnsi="Segoe UI Semilight" w:cs="Segoe UI Semilight"/>
        </w:rPr>
        <w:t>.</w:t>
      </w:r>
    </w:p>
    <w:p w14:paraId="278BF71D" w14:textId="77777777" w:rsidR="00A91E25" w:rsidRDefault="00A91E25" w:rsidP="009734D0">
      <w:pPr>
        <w:pStyle w:val="LegalList1"/>
        <w:spacing w:after="0" w:line="240" w:lineRule="auto"/>
        <w:rPr>
          <w:rFonts w:ascii="Segoe UI Semilight" w:hAnsi="Segoe UI Semilight" w:cs="Segoe UI Semilight"/>
        </w:rPr>
      </w:pPr>
    </w:p>
    <w:p w14:paraId="0E3CA618" w14:textId="77777777" w:rsidR="00012A18" w:rsidRDefault="00012A18" w:rsidP="009734D0">
      <w:pPr>
        <w:pStyle w:val="LegalList1"/>
        <w:spacing w:after="0" w:line="240" w:lineRule="auto"/>
        <w:rPr>
          <w:rFonts w:ascii="Segoe UI Semilight" w:hAnsi="Segoe UI Semilight" w:cs="Segoe UI Semilight"/>
        </w:rPr>
      </w:pPr>
    </w:p>
    <w:sectPr w:rsidR="00012A18" w:rsidSect="007732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BE286" w14:textId="77777777" w:rsidR="00AC4B47" w:rsidRDefault="00AC4B47" w:rsidP="004466A8">
      <w:r>
        <w:separator/>
      </w:r>
    </w:p>
  </w:endnote>
  <w:endnote w:type="continuationSeparator" w:id="0">
    <w:p w14:paraId="584718FC" w14:textId="77777777" w:rsidR="00AC4B47" w:rsidRDefault="00AC4B47"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30839"/>
      <w:docPartObj>
        <w:docPartGallery w:val="Page Numbers (Bottom of Page)"/>
        <w:docPartUnique/>
      </w:docPartObj>
    </w:sdtPr>
    <w:sdtEndPr>
      <w:rPr>
        <w:noProof/>
      </w:rPr>
    </w:sdtEndPr>
    <w:sdtContent>
      <w:p w14:paraId="379869DB" w14:textId="20A90EA7" w:rsidR="000A4529" w:rsidRDefault="000A4529">
        <w:pPr>
          <w:pStyle w:val="Footer"/>
          <w:jc w:val="center"/>
        </w:pPr>
        <w:r>
          <w:fldChar w:fldCharType="begin"/>
        </w:r>
        <w:r>
          <w:instrText xml:space="preserve"> PAGE   \* MERGEFORMAT </w:instrText>
        </w:r>
        <w:r>
          <w:fldChar w:fldCharType="separate"/>
        </w:r>
        <w:r w:rsidR="00930410">
          <w:rPr>
            <w:noProof/>
          </w:rPr>
          <w:t>3</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A819F" w14:textId="77777777" w:rsidR="00AC4B47" w:rsidRDefault="00AC4B47" w:rsidP="004466A8">
      <w:r>
        <w:separator/>
      </w:r>
    </w:p>
  </w:footnote>
  <w:footnote w:type="continuationSeparator" w:id="0">
    <w:p w14:paraId="07BB43A1" w14:textId="77777777" w:rsidR="00AC4B47" w:rsidRDefault="00AC4B47" w:rsidP="004466A8">
      <w:r>
        <w:continuationSeparator/>
      </w:r>
    </w:p>
  </w:footnote>
  <w:footnote w:id="1">
    <w:p w14:paraId="4B3728B8" w14:textId="018B75E4" w:rsidR="00E26AD4" w:rsidRPr="00E26AD4" w:rsidRDefault="00E26AD4">
      <w:pPr>
        <w:pStyle w:val="FootnoteText"/>
        <w:rPr>
          <w:lang w:val="en-US"/>
        </w:rPr>
      </w:pPr>
      <w:r>
        <w:rPr>
          <w:rStyle w:val="FootnoteReference"/>
        </w:rPr>
        <w:footnoteRef/>
      </w:r>
      <w:r>
        <w:t xml:space="preserve"> </w:t>
      </w:r>
      <w:r>
        <w:rPr>
          <w:lang w:val="en-US"/>
        </w:rPr>
        <w:t>Para [98] Mineral Sand Resources.</w:t>
      </w:r>
    </w:p>
  </w:footnote>
  <w:footnote w:id="2">
    <w:p w14:paraId="25B51A21" w14:textId="11FCD721" w:rsidR="00092485" w:rsidRPr="00092485" w:rsidRDefault="00092485">
      <w:pPr>
        <w:pStyle w:val="FootnoteText"/>
        <w:rPr>
          <w:lang w:val="en-US"/>
        </w:rPr>
      </w:pPr>
      <w:r>
        <w:rPr>
          <w:rStyle w:val="FootnoteReference"/>
        </w:rPr>
        <w:footnoteRef/>
      </w:r>
      <w:r>
        <w:t xml:space="preserve"> </w:t>
      </w:r>
      <w:r>
        <w:rPr>
          <w:lang w:val="en-US"/>
        </w:rPr>
        <w:t>Herbstein and Van Winsen: The Civil Practice of the High Courts and the Supreme Court of Appeal of South Africa – 5</w:t>
      </w:r>
      <w:r w:rsidRPr="00092485">
        <w:rPr>
          <w:vertAlign w:val="superscript"/>
          <w:lang w:val="en-US"/>
        </w:rPr>
        <w:t>th</w:t>
      </w:r>
      <w:r>
        <w:rPr>
          <w:lang w:val="en-US"/>
        </w:rPr>
        <w:t xml:space="preserve"> Ed, 2009 Ch14 – p456.</w:t>
      </w:r>
    </w:p>
  </w:footnote>
  <w:footnote w:id="3">
    <w:p w14:paraId="35EE893E" w14:textId="4BEDED5D" w:rsidR="00B358E3" w:rsidRPr="004C78D1" w:rsidRDefault="00B358E3">
      <w:pPr>
        <w:pStyle w:val="FootnoteText"/>
        <w:rPr>
          <w:lang w:val="en-US"/>
        </w:rPr>
      </w:pPr>
      <w:r>
        <w:rPr>
          <w:rStyle w:val="FootnoteReference"/>
        </w:rPr>
        <w:footnoteRef/>
      </w:r>
      <w:r>
        <w:t xml:space="preserve"> </w:t>
      </w:r>
      <w:r w:rsidR="004C78D1">
        <w:rPr>
          <w:lang w:val="en-US"/>
        </w:rPr>
        <w:t xml:space="preserve">Moller v Erasmus 1959 (2) SA 465 (T) at 467B-C; Herbstein and Van Winsen </w:t>
      </w:r>
      <w:r w:rsidR="004C78D1" w:rsidRPr="004C78D1">
        <w:rPr>
          <w:bCs/>
        </w:rPr>
        <w:t>5th Ed, 2009 </w:t>
      </w:r>
      <w:bookmarkStart w:id="1" w:name="0-0-0-30299"/>
      <w:bookmarkEnd w:id="1"/>
      <w:r w:rsidR="004C78D1" w:rsidRPr="004C78D1">
        <w:rPr>
          <w:bCs/>
        </w:rPr>
        <w:t>ch36-p983</w:t>
      </w:r>
      <w:r w:rsidR="004C78D1">
        <w:rPr>
          <w:bCs/>
        </w:rPr>
        <w:t>.</w:t>
      </w:r>
    </w:p>
  </w:footnote>
  <w:footnote w:id="4">
    <w:p w14:paraId="3CFCB7E0" w14:textId="37148B77" w:rsidR="00E43B34" w:rsidRPr="00E43B34" w:rsidRDefault="00F21EBB" w:rsidP="00E43B34">
      <w:pPr>
        <w:rPr>
          <w:sz w:val="18"/>
          <w:szCs w:val="20"/>
          <w:lang w:val="en-US"/>
        </w:rPr>
      </w:pPr>
      <w:r w:rsidRPr="00E43B34">
        <w:rPr>
          <w:rStyle w:val="FootnoteReference"/>
          <w:sz w:val="18"/>
          <w:szCs w:val="18"/>
        </w:rPr>
        <w:footnoteRef/>
      </w:r>
      <w:r w:rsidRPr="00E43B34">
        <w:rPr>
          <w:sz w:val="18"/>
          <w:szCs w:val="18"/>
        </w:rPr>
        <w:t xml:space="preserve"> </w:t>
      </w:r>
      <w:r w:rsidRPr="00E43B34">
        <w:rPr>
          <w:sz w:val="18"/>
          <w:szCs w:val="18"/>
          <w:lang w:val="en-US"/>
        </w:rPr>
        <w:t>Baloyi v Public Protector 202</w:t>
      </w:r>
      <w:r w:rsidR="00E43B34" w:rsidRPr="00E43B34">
        <w:rPr>
          <w:sz w:val="18"/>
          <w:szCs w:val="18"/>
          <w:lang w:val="en-US"/>
        </w:rPr>
        <w:t>2</w:t>
      </w:r>
      <w:r w:rsidRPr="00E43B34">
        <w:rPr>
          <w:sz w:val="18"/>
          <w:szCs w:val="18"/>
          <w:lang w:val="en-US"/>
        </w:rPr>
        <w:t xml:space="preserve"> (</w:t>
      </w:r>
      <w:r w:rsidR="00E43B34" w:rsidRPr="00E43B34">
        <w:rPr>
          <w:sz w:val="18"/>
          <w:szCs w:val="18"/>
          <w:lang w:val="en-US"/>
        </w:rPr>
        <w:t>3</w:t>
      </w:r>
      <w:r w:rsidRPr="00E43B34">
        <w:rPr>
          <w:sz w:val="18"/>
          <w:szCs w:val="18"/>
          <w:lang w:val="en-US"/>
        </w:rPr>
        <w:t xml:space="preserve">) </w:t>
      </w:r>
      <w:r w:rsidR="00E43B34" w:rsidRPr="00E43B34">
        <w:rPr>
          <w:sz w:val="18"/>
          <w:szCs w:val="18"/>
          <w:lang w:val="en-US"/>
        </w:rPr>
        <w:t>SA 32</w:t>
      </w:r>
      <w:r w:rsidRPr="00E43B34">
        <w:rPr>
          <w:sz w:val="18"/>
          <w:szCs w:val="18"/>
          <w:lang w:val="en-US"/>
        </w:rPr>
        <w:t>1 (CC) at para [51]</w:t>
      </w:r>
      <w:r w:rsidR="00E43B34" w:rsidRPr="00E43B34">
        <w:rPr>
          <w:sz w:val="18"/>
          <w:szCs w:val="18"/>
          <w:lang w:val="en-US"/>
        </w:rPr>
        <w:t>;</w:t>
      </w:r>
      <w:r w:rsidR="00E43B34">
        <w:rPr>
          <w:lang w:val="en-US"/>
        </w:rPr>
        <w:t xml:space="preserve"> </w:t>
      </w:r>
      <w:r w:rsidR="00E43B34" w:rsidRPr="00E43B34">
        <w:rPr>
          <w:sz w:val="18"/>
          <w:szCs w:val="20"/>
          <w:lang w:val="en-US"/>
        </w:rPr>
        <w:t>Lawyers for Human Rights v Minister in the Presidency [2016] ZACC 45; 2017 (1) SA 645 (CC); 2017 (4) BCLR 445 (CC) at para 14, citing Texas Co. SA Ltd v Cape Town Municipality 1926 AD 467 at 488.</w:t>
      </w:r>
    </w:p>
    <w:p w14:paraId="5FD8A091" w14:textId="544096E6" w:rsidR="00F21EBB" w:rsidRPr="00F21EBB" w:rsidRDefault="00F21EBB">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3">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51C0287"/>
    <w:multiLevelType w:val="multilevel"/>
    <w:tmpl w:val="91BC6F68"/>
    <w:lvl w:ilvl="0">
      <w:start w:val="1"/>
      <w:numFmt w:val="decimal"/>
      <w:lvlText w:val="[%1]"/>
      <w:lvlJc w:val="left"/>
      <w:pPr>
        <w:tabs>
          <w:tab w:val="num" w:pos="927"/>
        </w:tabs>
        <w:ind w:left="927" w:hanging="567"/>
      </w:pPr>
      <w:rPr>
        <w:rFonts w:hint="default"/>
        <w:b w:val="0"/>
        <w:i w:val="0"/>
        <w:sz w:val="28"/>
        <w:szCs w:val="28"/>
      </w:rPr>
    </w:lvl>
    <w:lvl w:ilvl="1">
      <w:start w:val="1"/>
      <w:numFmt w:val="decimal"/>
      <w:pStyle w:val="LegalHeading2"/>
      <w:lvlText w:val="%1.%2"/>
      <w:lvlJc w:val="left"/>
      <w:pPr>
        <w:tabs>
          <w:tab w:val="num" w:pos="2629"/>
        </w:tabs>
        <w:ind w:left="2629" w:hanging="1134"/>
      </w:pPr>
      <w:rPr>
        <w:rFonts w:ascii="Times New Roman" w:hAnsi="Times New Roman" w:cs="Times New Roman" w:hint="default"/>
        <w:b w:val="0"/>
        <w:i w:val="0"/>
        <w:sz w:val="28"/>
        <w:szCs w:val="28"/>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6">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8">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5"/>
  </w:num>
  <w:num w:numId="2">
    <w:abstractNumId w:val="1"/>
  </w:num>
  <w:num w:numId="3">
    <w:abstractNumId w:val="7"/>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00B8C"/>
    <w:rsid w:val="000017BA"/>
    <w:rsid w:val="00004B2E"/>
    <w:rsid w:val="0000633E"/>
    <w:rsid w:val="00006D46"/>
    <w:rsid w:val="00007F15"/>
    <w:rsid w:val="00012781"/>
    <w:rsid w:val="0001286D"/>
    <w:rsid w:val="00012A18"/>
    <w:rsid w:val="00013F71"/>
    <w:rsid w:val="00015913"/>
    <w:rsid w:val="000176F3"/>
    <w:rsid w:val="00026395"/>
    <w:rsid w:val="00026CCB"/>
    <w:rsid w:val="00032E89"/>
    <w:rsid w:val="00034996"/>
    <w:rsid w:val="000417D8"/>
    <w:rsid w:val="00041FF8"/>
    <w:rsid w:val="00044644"/>
    <w:rsid w:val="00045BCB"/>
    <w:rsid w:val="00045F21"/>
    <w:rsid w:val="00046DD6"/>
    <w:rsid w:val="0005076C"/>
    <w:rsid w:val="00052665"/>
    <w:rsid w:val="00053B4E"/>
    <w:rsid w:val="00053F59"/>
    <w:rsid w:val="000541ED"/>
    <w:rsid w:val="00056306"/>
    <w:rsid w:val="0005718D"/>
    <w:rsid w:val="00063047"/>
    <w:rsid w:val="00070D60"/>
    <w:rsid w:val="000713CF"/>
    <w:rsid w:val="00072435"/>
    <w:rsid w:val="00075708"/>
    <w:rsid w:val="0008114E"/>
    <w:rsid w:val="00081DB4"/>
    <w:rsid w:val="000874CB"/>
    <w:rsid w:val="00092485"/>
    <w:rsid w:val="00092C48"/>
    <w:rsid w:val="000956FF"/>
    <w:rsid w:val="00096022"/>
    <w:rsid w:val="000A134C"/>
    <w:rsid w:val="000A19F0"/>
    <w:rsid w:val="000A1FAF"/>
    <w:rsid w:val="000A3564"/>
    <w:rsid w:val="000A36B8"/>
    <w:rsid w:val="000A4529"/>
    <w:rsid w:val="000A59A0"/>
    <w:rsid w:val="000A6572"/>
    <w:rsid w:val="000A678A"/>
    <w:rsid w:val="000A6E89"/>
    <w:rsid w:val="000B4699"/>
    <w:rsid w:val="000B4D56"/>
    <w:rsid w:val="000B5B3C"/>
    <w:rsid w:val="000B5EC0"/>
    <w:rsid w:val="000C6C70"/>
    <w:rsid w:val="000D15BD"/>
    <w:rsid w:val="000D604C"/>
    <w:rsid w:val="000D72CE"/>
    <w:rsid w:val="000D78D8"/>
    <w:rsid w:val="000D7C9F"/>
    <w:rsid w:val="000E54D2"/>
    <w:rsid w:val="000E5CF3"/>
    <w:rsid w:val="000E64E1"/>
    <w:rsid w:val="000E7137"/>
    <w:rsid w:val="000F239E"/>
    <w:rsid w:val="000F4395"/>
    <w:rsid w:val="000F5F9D"/>
    <w:rsid w:val="000F6959"/>
    <w:rsid w:val="000F69AA"/>
    <w:rsid w:val="0010159A"/>
    <w:rsid w:val="00104DF9"/>
    <w:rsid w:val="00106F23"/>
    <w:rsid w:val="001124E1"/>
    <w:rsid w:val="00117233"/>
    <w:rsid w:val="001206E3"/>
    <w:rsid w:val="00120BD8"/>
    <w:rsid w:val="00122AF8"/>
    <w:rsid w:val="00125DDE"/>
    <w:rsid w:val="00127822"/>
    <w:rsid w:val="00127EE8"/>
    <w:rsid w:val="00131748"/>
    <w:rsid w:val="001351A5"/>
    <w:rsid w:val="00140E2C"/>
    <w:rsid w:val="00142D20"/>
    <w:rsid w:val="00145C17"/>
    <w:rsid w:val="00150347"/>
    <w:rsid w:val="00150AAA"/>
    <w:rsid w:val="001522BF"/>
    <w:rsid w:val="001525CE"/>
    <w:rsid w:val="0015309C"/>
    <w:rsid w:val="00154A98"/>
    <w:rsid w:val="00154D4D"/>
    <w:rsid w:val="00157DE0"/>
    <w:rsid w:val="00166BE2"/>
    <w:rsid w:val="00170B08"/>
    <w:rsid w:val="00174ECE"/>
    <w:rsid w:val="00183965"/>
    <w:rsid w:val="0018563F"/>
    <w:rsid w:val="00186FE7"/>
    <w:rsid w:val="001879AC"/>
    <w:rsid w:val="00187E92"/>
    <w:rsid w:val="001929B7"/>
    <w:rsid w:val="00193E19"/>
    <w:rsid w:val="00194E30"/>
    <w:rsid w:val="001A18A5"/>
    <w:rsid w:val="001A426A"/>
    <w:rsid w:val="001A5E34"/>
    <w:rsid w:val="001A7D35"/>
    <w:rsid w:val="001B271A"/>
    <w:rsid w:val="001B39E5"/>
    <w:rsid w:val="001B54C1"/>
    <w:rsid w:val="001B554E"/>
    <w:rsid w:val="001B567B"/>
    <w:rsid w:val="001C119B"/>
    <w:rsid w:val="001C292E"/>
    <w:rsid w:val="001C3512"/>
    <w:rsid w:val="001C4A09"/>
    <w:rsid w:val="001C7CBD"/>
    <w:rsid w:val="001E3272"/>
    <w:rsid w:val="001E758B"/>
    <w:rsid w:val="001F24DD"/>
    <w:rsid w:val="001F5D70"/>
    <w:rsid w:val="002050FB"/>
    <w:rsid w:val="00212AFF"/>
    <w:rsid w:val="00212EAB"/>
    <w:rsid w:val="002144E7"/>
    <w:rsid w:val="0021532A"/>
    <w:rsid w:val="00215340"/>
    <w:rsid w:val="00215B62"/>
    <w:rsid w:val="0021656D"/>
    <w:rsid w:val="0021755E"/>
    <w:rsid w:val="00220F3B"/>
    <w:rsid w:val="00222CEF"/>
    <w:rsid w:val="00226526"/>
    <w:rsid w:val="00230814"/>
    <w:rsid w:val="00230DF1"/>
    <w:rsid w:val="00231079"/>
    <w:rsid w:val="002339B4"/>
    <w:rsid w:val="0024301F"/>
    <w:rsid w:val="0025116F"/>
    <w:rsid w:val="00254A6E"/>
    <w:rsid w:val="00254BE5"/>
    <w:rsid w:val="00255104"/>
    <w:rsid w:val="00257B41"/>
    <w:rsid w:val="00257E56"/>
    <w:rsid w:val="002601E8"/>
    <w:rsid w:val="00260D1A"/>
    <w:rsid w:val="00265058"/>
    <w:rsid w:val="002672A5"/>
    <w:rsid w:val="00267411"/>
    <w:rsid w:val="002729D8"/>
    <w:rsid w:val="00274693"/>
    <w:rsid w:val="0027774A"/>
    <w:rsid w:val="002818B1"/>
    <w:rsid w:val="00282B15"/>
    <w:rsid w:val="0028349D"/>
    <w:rsid w:val="0028397B"/>
    <w:rsid w:val="00286CA7"/>
    <w:rsid w:val="00291000"/>
    <w:rsid w:val="00292A7A"/>
    <w:rsid w:val="00294047"/>
    <w:rsid w:val="002948C9"/>
    <w:rsid w:val="002976C6"/>
    <w:rsid w:val="00297E4B"/>
    <w:rsid w:val="002A0D22"/>
    <w:rsid w:val="002A452D"/>
    <w:rsid w:val="002B1690"/>
    <w:rsid w:val="002B5165"/>
    <w:rsid w:val="002B61A6"/>
    <w:rsid w:val="002C03EB"/>
    <w:rsid w:val="002C1526"/>
    <w:rsid w:val="002C2AB6"/>
    <w:rsid w:val="002C52AC"/>
    <w:rsid w:val="002C5803"/>
    <w:rsid w:val="002D193B"/>
    <w:rsid w:val="002D1952"/>
    <w:rsid w:val="002D285C"/>
    <w:rsid w:val="002D4BB7"/>
    <w:rsid w:val="002E5125"/>
    <w:rsid w:val="002E69C8"/>
    <w:rsid w:val="002E7AC1"/>
    <w:rsid w:val="002F3F1A"/>
    <w:rsid w:val="002F4682"/>
    <w:rsid w:val="002F575E"/>
    <w:rsid w:val="00300CF5"/>
    <w:rsid w:val="00300CF8"/>
    <w:rsid w:val="003019DC"/>
    <w:rsid w:val="003064BF"/>
    <w:rsid w:val="0031100A"/>
    <w:rsid w:val="00314226"/>
    <w:rsid w:val="00314953"/>
    <w:rsid w:val="0031678C"/>
    <w:rsid w:val="00316C65"/>
    <w:rsid w:val="003170CC"/>
    <w:rsid w:val="003175B4"/>
    <w:rsid w:val="00336FD1"/>
    <w:rsid w:val="00340F30"/>
    <w:rsid w:val="00341B67"/>
    <w:rsid w:val="00345192"/>
    <w:rsid w:val="00346C63"/>
    <w:rsid w:val="00346FC7"/>
    <w:rsid w:val="003477F2"/>
    <w:rsid w:val="00350383"/>
    <w:rsid w:val="00354480"/>
    <w:rsid w:val="0035549B"/>
    <w:rsid w:val="00357D59"/>
    <w:rsid w:val="00360A37"/>
    <w:rsid w:val="003646ED"/>
    <w:rsid w:val="00374E4A"/>
    <w:rsid w:val="0038245A"/>
    <w:rsid w:val="00383C3A"/>
    <w:rsid w:val="003856A1"/>
    <w:rsid w:val="00386526"/>
    <w:rsid w:val="0039296B"/>
    <w:rsid w:val="00397C6C"/>
    <w:rsid w:val="003A3249"/>
    <w:rsid w:val="003A3DC0"/>
    <w:rsid w:val="003B0F74"/>
    <w:rsid w:val="003B18E3"/>
    <w:rsid w:val="003B1BA9"/>
    <w:rsid w:val="003B51F0"/>
    <w:rsid w:val="003B5843"/>
    <w:rsid w:val="003C2D48"/>
    <w:rsid w:val="003D0B82"/>
    <w:rsid w:val="003D7610"/>
    <w:rsid w:val="003E2D7F"/>
    <w:rsid w:val="003F10D1"/>
    <w:rsid w:val="003F2339"/>
    <w:rsid w:val="004027B9"/>
    <w:rsid w:val="004056C4"/>
    <w:rsid w:val="00412441"/>
    <w:rsid w:val="0042065F"/>
    <w:rsid w:val="00421BE1"/>
    <w:rsid w:val="00424638"/>
    <w:rsid w:val="004302B0"/>
    <w:rsid w:val="00434981"/>
    <w:rsid w:val="004349D2"/>
    <w:rsid w:val="004438FE"/>
    <w:rsid w:val="004466A8"/>
    <w:rsid w:val="00447C74"/>
    <w:rsid w:val="00460C59"/>
    <w:rsid w:val="00460CEE"/>
    <w:rsid w:val="00461CEF"/>
    <w:rsid w:val="0047086F"/>
    <w:rsid w:val="004716DD"/>
    <w:rsid w:val="00474A1F"/>
    <w:rsid w:val="00475381"/>
    <w:rsid w:val="00476EC3"/>
    <w:rsid w:val="0047705C"/>
    <w:rsid w:val="00477A24"/>
    <w:rsid w:val="00481070"/>
    <w:rsid w:val="0048171F"/>
    <w:rsid w:val="00483920"/>
    <w:rsid w:val="00486792"/>
    <w:rsid w:val="004868DD"/>
    <w:rsid w:val="004916C9"/>
    <w:rsid w:val="004A3DE8"/>
    <w:rsid w:val="004A417D"/>
    <w:rsid w:val="004A7566"/>
    <w:rsid w:val="004B0045"/>
    <w:rsid w:val="004B182B"/>
    <w:rsid w:val="004B376D"/>
    <w:rsid w:val="004B4EC8"/>
    <w:rsid w:val="004C78D1"/>
    <w:rsid w:val="004D2C2D"/>
    <w:rsid w:val="004D4436"/>
    <w:rsid w:val="004E101C"/>
    <w:rsid w:val="004E72CB"/>
    <w:rsid w:val="005018DD"/>
    <w:rsid w:val="00501C40"/>
    <w:rsid w:val="00506B6B"/>
    <w:rsid w:val="005169E8"/>
    <w:rsid w:val="00517392"/>
    <w:rsid w:val="00517E23"/>
    <w:rsid w:val="005201CF"/>
    <w:rsid w:val="00521645"/>
    <w:rsid w:val="00523169"/>
    <w:rsid w:val="005233B8"/>
    <w:rsid w:val="005235A5"/>
    <w:rsid w:val="00523698"/>
    <w:rsid w:val="00524AD4"/>
    <w:rsid w:val="00525E79"/>
    <w:rsid w:val="00532C9A"/>
    <w:rsid w:val="00541167"/>
    <w:rsid w:val="00542D2C"/>
    <w:rsid w:val="00550B3B"/>
    <w:rsid w:val="00556732"/>
    <w:rsid w:val="00557BC6"/>
    <w:rsid w:val="00557E37"/>
    <w:rsid w:val="00562C83"/>
    <w:rsid w:val="005664A7"/>
    <w:rsid w:val="00567DE3"/>
    <w:rsid w:val="005708AA"/>
    <w:rsid w:val="0057253E"/>
    <w:rsid w:val="005735F4"/>
    <w:rsid w:val="00575287"/>
    <w:rsid w:val="0059028F"/>
    <w:rsid w:val="005909E4"/>
    <w:rsid w:val="00590D8C"/>
    <w:rsid w:val="0059103D"/>
    <w:rsid w:val="00591EE2"/>
    <w:rsid w:val="00592087"/>
    <w:rsid w:val="00596C62"/>
    <w:rsid w:val="005A651A"/>
    <w:rsid w:val="005A6757"/>
    <w:rsid w:val="005A6FDC"/>
    <w:rsid w:val="005A7CBD"/>
    <w:rsid w:val="005B1D2D"/>
    <w:rsid w:val="005B7878"/>
    <w:rsid w:val="005C0665"/>
    <w:rsid w:val="005C2295"/>
    <w:rsid w:val="005C29A9"/>
    <w:rsid w:val="005C342D"/>
    <w:rsid w:val="005C7688"/>
    <w:rsid w:val="005D3D9A"/>
    <w:rsid w:val="005E5AB7"/>
    <w:rsid w:val="005E5BBA"/>
    <w:rsid w:val="005F3D31"/>
    <w:rsid w:val="006002CD"/>
    <w:rsid w:val="006004A1"/>
    <w:rsid w:val="00603EBC"/>
    <w:rsid w:val="00605ECF"/>
    <w:rsid w:val="006070D5"/>
    <w:rsid w:val="00610FED"/>
    <w:rsid w:val="006123F4"/>
    <w:rsid w:val="00613581"/>
    <w:rsid w:val="00621B49"/>
    <w:rsid w:val="006238F1"/>
    <w:rsid w:val="00623A92"/>
    <w:rsid w:val="00625637"/>
    <w:rsid w:val="00631257"/>
    <w:rsid w:val="00631344"/>
    <w:rsid w:val="006313A3"/>
    <w:rsid w:val="0063441C"/>
    <w:rsid w:val="006345DC"/>
    <w:rsid w:val="00636FF1"/>
    <w:rsid w:val="00640548"/>
    <w:rsid w:val="00644C73"/>
    <w:rsid w:val="00646CAC"/>
    <w:rsid w:val="00650256"/>
    <w:rsid w:val="006504FF"/>
    <w:rsid w:val="0065126B"/>
    <w:rsid w:val="006514A2"/>
    <w:rsid w:val="006536D9"/>
    <w:rsid w:val="006555CC"/>
    <w:rsid w:val="00666963"/>
    <w:rsid w:val="006727E5"/>
    <w:rsid w:val="00672B56"/>
    <w:rsid w:val="00673136"/>
    <w:rsid w:val="006739E2"/>
    <w:rsid w:val="00684C25"/>
    <w:rsid w:val="00690583"/>
    <w:rsid w:val="006A003D"/>
    <w:rsid w:val="006A28A5"/>
    <w:rsid w:val="006A3147"/>
    <w:rsid w:val="006A38D3"/>
    <w:rsid w:val="006A4026"/>
    <w:rsid w:val="006A5774"/>
    <w:rsid w:val="006A6FCC"/>
    <w:rsid w:val="006B0FE1"/>
    <w:rsid w:val="006B10F8"/>
    <w:rsid w:val="006B2F6C"/>
    <w:rsid w:val="006B6D89"/>
    <w:rsid w:val="006C1111"/>
    <w:rsid w:val="006C118A"/>
    <w:rsid w:val="006C437A"/>
    <w:rsid w:val="006C7823"/>
    <w:rsid w:val="006C7B4E"/>
    <w:rsid w:val="006D6E5E"/>
    <w:rsid w:val="006E339E"/>
    <w:rsid w:val="006E71A2"/>
    <w:rsid w:val="006F1D3F"/>
    <w:rsid w:val="006F4484"/>
    <w:rsid w:val="006F48B1"/>
    <w:rsid w:val="006F5F46"/>
    <w:rsid w:val="006F6684"/>
    <w:rsid w:val="006F6B2B"/>
    <w:rsid w:val="006F7938"/>
    <w:rsid w:val="0070682B"/>
    <w:rsid w:val="00710BF3"/>
    <w:rsid w:val="00711712"/>
    <w:rsid w:val="00712C0D"/>
    <w:rsid w:val="007145CB"/>
    <w:rsid w:val="00714A2E"/>
    <w:rsid w:val="00723E3A"/>
    <w:rsid w:val="00727584"/>
    <w:rsid w:val="0073006D"/>
    <w:rsid w:val="00740C03"/>
    <w:rsid w:val="00740DF3"/>
    <w:rsid w:val="00753354"/>
    <w:rsid w:val="007668F9"/>
    <w:rsid w:val="00771307"/>
    <w:rsid w:val="00773260"/>
    <w:rsid w:val="00774FD3"/>
    <w:rsid w:val="007759E1"/>
    <w:rsid w:val="00783A61"/>
    <w:rsid w:val="00787395"/>
    <w:rsid w:val="00787911"/>
    <w:rsid w:val="00795F08"/>
    <w:rsid w:val="007A305C"/>
    <w:rsid w:val="007A56FB"/>
    <w:rsid w:val="007B0C47"/>
    <w:rsid w:val="007B3310"/>
    <w:rsid w:val="007B3F75"/>
    <w:rsid w:val="007B6856"/>
    <w:rsid w:val="007C1DF0"/>
    <w:rsid w:val="007C345D"/>
    <w:rsid w:val="007C46C3"/>
    <w:rsid w:val="007E08AC"/>
    <w:rsid w:val="007E2408"/>
    <w:rsid w:val="007E2B90"/>
    <w:rsid w:val="007F0FA0"/>
    <w:rsid w:val="007F4A82"/>
    <w:rsid w:val="008042F7"/>
    <w:rsid w:val="0080452F"/>
    <w:rsid w:val="00805C7F"/>
    <w:rsid w:val="00807E9A"/>
    <w:rsid w:val="00814707"/>
    <w:rsid w:val="00815A14"/>
    <w:rsid w:val="00817883"/>
    <w:rsid w:val="008209E6"/>
    <w:rsid w:val="0082228A"/>
    <w:rsid w:val="008254F8"/>
    <w:rsid w:val="00825602"/>
    <w:rsid w:val="00825E38"/>
    <w:rsid w:val="00826714"/>
    <w:rsid w:val="008340B8"/>
    <w:rsid w:val="00834B24"/>
    <w:rsid w:val="0083527D"/>
    <w:rsid w:val="00842B88"/>
    <w:rsid w:val="00842F88"/>
    <w:rsid w:val="0085638A"/>
    <w:rsid w:val="008639AE"/>
    <w:rsid w:val="00863F01"/>
    <w:rsid w:val="00864F53"/>
    <w:rsid w:val="008653EF"/>
    <w:rsid w:val="00867294"/>
    <w:rsid w:val="008852F9"/>
    <w:rsid w:val="008903D0"/>
    <w:rsid w:val="008A2C2E"/>
    <w:rsid w:val="008A6D08"/>
    <w:rsid w:val="008B08BC"/>
    <w:rsid w:val="008B17AB"/>
    <w:rsid w:val="008B4A76"/>
    <w:rsid w:val="008B4C0B"/>
    <w:rsid w:val="008C1260"/>
    <w:rsid w:val="008C32B6"/>
    <w:rsid w:val="008C6890"/>
    <w:rsid w:val="008C7204"/>
    <w:rsid w:val="008D1EBF"/>
    <w:rsid w:val="008D421C"/>
    <w:rsid w:val="008D4472"/>
    <w:rsid w:val="008D679A"/>
    <w:rsid w:val="008D6999"/>
    <w:rsid w:val="008D7B20"/>
    <w:rsid w:val="008E18EB"/>
    <w:rsid w:val="008E6ECA"/>
    <w:rsid w:val="008E7C70"/>
    <w:rsid w:val="00910139"/>
    <w:rsid w:val="00913849"/>
    <w:rsid w:val="009164E2"/>
    <w:rsid w:val="009224E2"/>
    <w:rsid w:val="00923BFC"/>
    <w:rsid w:val="00924715"/>
    <w:rsid w:val="009254FE"/>
    <w:rsid w:val="00930259"/>
    <w:rsid w:val="00930410"/>
    <w:rsid w:val="009318BB"/>
    <w:rsid w:val="00931AF0"/>
    <w:rsid w:val="00940FDD"/>
    <w:rsid w:val="00947405"/>
    <w:rsid w:val="00947ECD"/>
    <w:rsid w:val="009622FE"/>
    <w:rsid w:val="00964E27"/>
    <w:rsid w:val="0096505C"/>
    <w:rsid w:val="00965D44"/>
    <w:rsid w:val="009734D0"/>
    <w:rsid w:val="00973C14"/>
    <w:rsid w:val="00976D6C"/>
    <w:rsid w:val="00980835"/>
    <w:rsid w:val="009843EF"/>
    <w:rsid w:val="00990A96"/>
    <w:rsid w:val="009911EB"/>
    <w:rsid w:val="00994277"/>
    <w:rsid w:val="00995C9F"/>
    <w:rsid w:val="009978DA"/>
    <w:rsid w:val="009A6958"/>
    <w:rsid w:val="009A7794"/>
    <w:rsid w:val="009B2ABA"/>
    <w:rsid w:val="009B456F"/>
    <w:rsid w:val="009B6EDB"/>
    <w:rsid w:val="009C03F5"/>
    <w:rsid w:val="009C147B"/>
    <w:rsid w:val="009C2245"/>
    <w:rsid w:val="009C4E5C"/>
    <w:rsid w:val="009C639E"/>
    <w:rsid w:val="009C7E87"/>
    <w:rsid w:val="009D09F3"/>
    <w:rsid w:val="009D0DEE"/>
    <w:rsid w:val="009E0A9A"/>
    <w:rsid w:val="009E5C15"/>
    <w:rsid w:val="009E7BED"/>
    <w:rsid w:val="009F165C"/>
    <w:rsid w:val="009F20B9"/>
    <w:rsid w:val="009F4559"/>
    <w:rsid w:val="009F5582"/>
    <w:rsid w:val="00A01FB4"/>
    <w:rsid w:val="00A02DA9"/>
    <w:rsid w:val="00A103D2"/>
    <w:rsid w:val="00A14B1C"/>
    <w:rsid w:val="00A21359"/>
    <w:rsid w:val="00A23292"/>
    <w:rsid w:val="00A23F91"/>
    <w:rsid w:val="00A24370"/>
    <w:rsid w:val="00A259C9"/>
    <w:rsid w:val="00A30E0F"/>
    <w:rsid w:val="00A31767"/>
    <w:rsid w:val="00A337D5"/>
    <w:rsid w:val="00A34B57"/>
    <w:rsid w:val="00A34C62"/>
    <w:rsid w:val="00A3792A"/>
    <w:rsid w:val="00A37B52"/>
    <w:rsid w:val="00A43F67"/>
    <w:rsid w:val="00A54028"/>
    <w:rsid w:val="00A55811"/>
    <w:rsid w:val="00A607B2"/>
    <w:rsid w:val="00A613D2"/>
    <w:rsid w:val="00A6181A"/>
    <w:rsid w:val="00A63D0A"/>
    <w:rsid w:val="00A71697"/>
    <w:rsid w:val="00A721A8"/>
    <w:rsid w:val="00A74533"/>
    <w:rsid w:val="00A7459B"/>
    <w:rsid w:val="00A8196A"/>
    <w:rsid w:val="00A833AE"/>
    <w:rsid w:val="00A84192"/>
    <w:rsid w:val="00A86A82"/>
    <w:rsid w:val="00A86CF1"/>
    <w:rsid w:val="00A90321"/>
    <w:rsid w:val="00A91E25"/>
    <w:rsid w:val="00A9248C"/>
    <w:rsid w:val="00A94E59"/>
    <w:rsid w:val="00A95059"/>
    <w:rsid w:val="00A95322"/>
    <w:rsid w:val="00A978EC"/>
    <w:rsid w:val="00AA1D29"/>
    <w:rsid w:val="00AA2ACF"/>
    <w:rsid w:val="00AA47C0"/>
    <w:rsid w:val="00AA76FF"/>
    <w:rsid w:val="00AB485A"/>
    <w:rsid w:val="00AB4FF0"/>
    <w:rsid w:val="00AC0233"/>
    <w:rsid w:val="00AC4B47"/>
    <w:rsid w:val="00AD18E6"/>
    <w:rsid w:val="00AD1B3A"/>
    <w:rsid w:val="00AD2F94"/>
    <w:rsid w:val="00AD5927"/>
    <w:rsid w:val="00AD70D2"/>
    <w:rsid w:val="00AE2D3E"/>
    <w:rsid w:val="00AE522E"/>
    <w:rsid w:val="00AE712E"/>
    <w:rsid w:val="00AE72C1"/>
    <w:rsid w:val="00AE7C6E"/>
    <w:rsid w:val="00AF3AC2"/>
    <w:rsid w:val="00AF4082"/>
    <w:rsid w:val="00B012C7"/>
    <w:rsid w:val="00B02C59"/>
    <w:rsid w:val="00B0303C"/>
    <w:rsid w:val="00B03CDC"/>
    <w:rsid w:val="00B0734A"/>
    <w:rsid w:val="00B134B4"/>
    <w:rsid w:val="00B30725"/>
    <w:rsid w:val="00B34E44"/>
    <w:rsid w:val="00B358E3"/>
    <w:rsid w:val="00B407D6"/>
    <w:rsid w:val="00B408EC"/>
    <w:rsid w:val="00B41BF0"/>
    <w:rsid w:val="00B42483"/>
    <w:rsid w:val="00B44D55"/>
    <w:rsid w:val="00B45709"/>
    <w:rsid w:val="00B525F5"/>
    <w:rsid w:val="00B556A5"/>
    <w:rsid w:val="00B55969"/>
    <w:rsid w:val="00B56A5B"/>
    <w:rsid w:val="00B5709E"/>
    <w:rsid w:val="00B608EA"/>
    <w:rsid w:val="00B61C56"/>
    <w:rsid w:val="00B621CF"/>
    <w:rsid w:val="00B6226F"/>
    <w:rsid w:val="00B64108"/>
    <w:rsid w:val="00B70A7D"/>
    <w:rsid w:val="00B77601"/>
    <w:rsid w:val="00B81379"/>
    <w:rsid w:val="00B8311D"/>
    <w:rsid w:val="00B8329F"/>
    <w:rsid w:val="00B87159"/>
    <w:rsid w:val="00B959EA"/>
    <w:rsid w:val="00B96C10"/>
    <w:rsid w:val="00BA0496"/>
    <w:rsid w:val="00BA489B"/>
    <w:rsid w:val="00BB2D47"/>
    <w:rsid w:val="00BB318E"/>
    <w:rsid w:val="00BB3BD9"/>
    <w:rsid w:val="00BB41CC"/>
    <w:rsid w:val="00BC0897"/>
    <w:rsid w:val="00BC0B58"/>
    <w:rsid w:val="00BC3D7D"/>
    <w:rsid w:val="00BC540C"/>
    <w:rsid w:val="00BC7E29"/>
    <w:rsid w:val="00BD0FD5"/>
    <w:rsid w:val="00BD2865"/>
    <w:rsid w:val="00BD3DD5"/>
    <w:rsid w:val="00BD4F60"/>
    <w:rsid w:val="00BD66B1"/>
    <w:rsid w:val="00BD71E4"/>
    <w:rsid w:val="00BE134A"/>
    <w:rsid w:val="00BE349C"/>
    <w:rsid w:val="00BE382D"/>
    <w:rsid w:val="00BE3E2B"/>
    <w:rsid w:val="00C04ECA"/>
    <w:rsid w:val="00C06E1D"/>
    <w:rsid w:val="00C10A4C"/>
    <w:rsid w:val="00C14620"/>
    <w:rsid w:val="00C21815"/>
    <w:rsid w:val="00C25101"/>
    <w:rsid w:val="00C2552B"/>
    <w:rsid w:val="00C32D36"/>
    <w:rsid w:val="00C3434B"/>
    <w:rsid w:val="00C346DC"/>
    <w:rsid w:val="00C36862"/>
    <w:rsid w:val="00C40DB1"/>
    <w:rsid w:val="00C45376"/>
    <w:rsid w:val="00C6239E"/>
    <w:rsid w:val="00C71242"/>
    <w:rsid w:val="00C71BEA"/>
    <w:rsid w:val="00C81E32"/>
    <w:rsid w:val="00C86611"/>
    <w:rsid w:val="00C90C84"/>
    <w:rsid w:val="00CA39B9"/>
    <w:rsid w:val="00CA4DE7"/>
    <w:rsid w:val="00CA5DE0"/>
    <w:rsid w:val="00CB1AA9"/>
    <w:rsid w:val="00CB4863"/>
    <w:rsid w:val="00CB7AAC"/>
    <w:rsid w:val="00CC19A4"/>
    <w:rsid w:val="00CC1B46"/>
    <w:rsid w:val="00CC2037"/>
    <w:rsid w:val="00CC296B"/>
    <w:rsid w:val="00CC2EFF"/>
    <w:rsid w:val="00CC3EC4"/>
    <w:rsid w:val="00CC5D0D"/>
    <w:rsid w:val="00CC6AE4"/>
    <w:rsid w:val="00CD546E"/>
    <w:rsid w:val="00CD7D31"/>
    <w:rsid w:val="00CE75AE"/>
    <w:rsid w:val="00CF28F0"/>
    <w:rsid w:val="00CF62DC"/>
    <w:rsid w:val="00CF6507"/>
    <w:rsid w:val="00CF6B77"/>
    <w:rsid w:val="00CF7B1D"/>
    <w:rsid w:val="00CF7C45"/>
    <w:rsid w:val="00D01A31"/>
    <w:rsid w:val="00D03047"/>
    <w:rsid w:val="00D03E04"/>
    <w:rsid w:val="00D04B07"/>
    <w:rsid w:val="00D10504"/>
    <w:rsid w:val="00D11E53"/>
    <w:rsid w:val="00D16753"/>
    <w:rsid w:val="00D20F4A"/>
    <w:rsid w:val="00D252DE"/>
    <w:rsid w:val="00D266E5"/>
    <w:rsid w:val="00D26982"/>
    <w:rsid w:val="00D26C38"/>
    <w:rsid w:val="00D3346C"/>
    <w:rsid w:val="00D441A7"/>
    <w:rsid w:val="00D46A02"/>
    <w:rsid w:val="00D500D5"/>
    <w:rsid w:val="00D56C0A"/>
    <w:rsid w:val="00D57378"/>
    <w:rsid w:val="00D61EB7"/>
    <w:rsid w:val="00D625E7"/>
    <w:rsid w:val="00D636A4"/>
    <w:rsid w:val="00D7014A"/>
    <w:rsid w:val="00D71B6E"/>
    <w:rsid w:val="00D729F4"/>
    <w:rsid w:val="00D72CDE"/>
    <w:rsid w:val="00D8038F"/>
    <w:rsid w:val="00D82D00"/>
    <w:rsid w:val="00D877AE"/>
    <w:rsid w:val="00D90DE2"/>
    <w:rsid w:val="00D91A19"/>
    <w:rsid w:val="00D91B11"/>
    <w:rsid w:val="00D9418C"/>
    <w:rsid w:val="00D95782"/>
    <w:rsid w:val="00DA6152"/>
    <w:rsid w:val="00DA7F1E"/>
    <w:rsid w:val="00DB0448"/>
    <w:rsid w:val="00DB0931"/>
    <w:rsid w:val="00DB0E88"/>
    <w:rsid w:val="00DB2343"/>
    <w:rsid w:val="00DB38B1"/>
    <w:rsid w:val="00DB40A5"/>
    <w:rsid w:val="00DB742D"/>
    <w:rsid w:val="00DB77EC"/>
    <w:rsid w:val="00DB7D73"/>
    <w:rsid w:val="00DC2110"/>
    <w:rsid w:val="00DC39A0"/>
    <w:rsid w:val="00DC51D2"/>
    <w:rsid w:val="00DC657F"/>
    <w:rsid w:val="00DC691F"/>
    <w:rsid w:val="00DC6D30"/>
    <w:rsid w:val="00DC7C96"/>
    <w:rsid w:val="00DD1B6F"/>
    <w:rsid w:val="00DD1EA0"/>
    <w:rsid w:val="00DD2D90"/>
    <w:rsid w:val="00DD60CC"/>
    <w:rsid w:val="00DE399B"/>
    <w:rsid w:val="00DE5C90"/>
    <w:rsid w:val="00DF055A"/>
    <w:rsid w:val="00DF4B3D"/>
    <w:rsid w:val="00DF7FE1"/>
    <w:rsid w:val="00E003E7"/>
    <w:rsid w:val="00E03520"/>
    <w:rsid w:val="00E1299D"/>
    <w:rsid w:val="00E135AD"/>
    <w:rsid w:val="00E15B7F"/>
    <w:rsid w:val="00E16C85"/>
    <w:rsid w:val="00E17477"/>
    <w:rsid w:val="00E244F7"/>
    <w:rsid w:val="00E25ACF"/>
    <w:rsid w:val="00E264B4"/>
    <w:rsid w:val="00E26AD4"/>
    <w:rsid w:val="00E36E6E"/>
    <w:rsid w:val="00E3754F"/>
    <w:rsid w:val="00E42E34"/>
    <w:rsid w:val="00E431A9"/>
    <w:rsid w:val="00E43B34"/>
    <w:rsid w:val="00E4491E"/>
    <w:rsid w:val="00E473E0"/>
    <w:rsid w:val="00E52D9C"/>
    <w:rsid w:val="00E53B5A"/>
    <w:rsid w:val="00E55E33"/>
    <w:rsid w:val="00E611B7"/>
    <w:rsid w:val="00E613C7"/>
    <w:rsid w:val="00E6549E"/>
    <w:rsid w:val="00E70F4D"/>
    <w:rsid w:val="00E74C1B"/>
    <w:rsid w:val="00E7731E"/>
    <w:rsid w:val="00E82EA1"/>
    <w:rsid w:val="00E835B3"/>
    <w:rsid w:val="00E842CC"/>
    <w:rsid w:val="00E86F21"/>
    <w:rsid w:val="00E9246F"/>
    <w:rsid w:val="00E92D68"/>
    <w:rsid w:val="00E94D5B"/>
    <w:rsid w:val="00E9576C"/>
    <w:rsid w:val="00E966CA"/>
    <w:rsid w:val="00EA375E"/>
    <w:rsid w:val="00EA3E45"/>
    <w:rsid w:val="00EA45EA"/>
    <w:rsid w:val="00EB1221"/>
    <w:rsid w:val="00EB2C35"/>
    <w:rsid w:val="00EB41C2"/>
    <w:rsid w:val="00EB5606"/>
    <w:rsid w:val="00EB6107"/>
    <w:rsid w:val="00EC0B15"/>
    <w:rsid w:val="00EC26AF"/>
    <w:rsid w:val="00EC47D2"/>
    <w:rsid w:val="00EC50DA"/>
    <w:rsid w:val="00EC518F"/>
    <w:rsid w:val="00EC6B1F"/>
    <w:rsid w:val="00EC71BC"/>
    <w:rsid w:val="00EC723D"/>
    <w:rsid w:val="00EC74DF"/>
    <w:rsid w:val="00EC75F4"/>
    <w:rsid w:val="00ED59CE"/>
    <w:rsid w:val="00ED693A"/>
    <w:rsid w:val="00ED69E2"/>
    <w:rsid w:val="00ED71A0"/>
    <w:rsid w:val="00ED7D24"/>
    <w:rsid w:val="00EE0653"/>
    <w:rsid w:val="00EE0D1B"/>
    <w:rsid w:val="00EE1706"/>
    <w:rsid w:val="00EE1EEA"/>
    <w:rsid w:val="00EE5EA9"/>
    <w:rsid w:val="00EF2844"/>
    <w:rsid w:val="00F04828"/>
    <w:rsid w:val="00F07058"/>
    <w:rsid w:val="00F070F7"/>
    <w:rsid w:val="00F07DD5"/>
    <w:rsid w:val="00F10DDE"/>
    <w:rsid w:val="00F111A9"/>
    <w:rsid w:val="00F12621"/>
    <w:rsid w:val="00F200E2"/>
    <w:rsid w:val="00F20CBA"/>
    <w:rsid w:val="00F21EBB"/>
    <w:rsid w:val="00F2620A"/>
    <w:rsid w:val="00F3079A"/>
    <w:rsid w:val="00F30FE6"/>
    <w:rsid w:val="00F322D6"/>
    <w:rsid w:val="00F34043"/>
    <w:rsid w:val="00F34C13"/>
    <w:rsid w:val="00F369A0"/>
    <w:rsid w:val="00F36CEC"/>
    <w:rsid w:val="00F42C3D"/>
    <w:rsid w:val="00F43096"/>
    <w:rsid w:val="00F44384"/>
    <w:rsid w:val="00F478A6"/>
    <w:rsid w:val="00F513B3"/>
    <w:rsid w:val="00F51570"/>
    <w:rsid w:val="00F51ED4"/>
    <w:rsid w:val="00F52950"/>
    <w:rsid w:val="00F53E09"/>
    <w:rsid w:val="00F60480"/>
    <w:rsid w:val="00F6500B"/>
    <w:rsid w:val="00F663D1"/>
    <w:rsid w:val="00F67E61"/>
    <w:rsid w:val="00F7062A"/>
    <w:rsid w:val="00F70F4A"/>
    <w:rsid w:val="00F7157F"/>
    <w:rsid w:val="00F7415E"/>
    <w:rsid w:val="00F75788"/>
    <w:rsid w:val="00F870FC"/>
    <w:rsid w:val="00F91CE3"/>
    <w:rsid w:val="00F92DB6"/>
    <w:rsid w:val="00F9429E"/>
    <w:rsid w:val="00F9593C"/>
    <w:rsid w:val="00FA0E33"/>
    <w:rsid w:val="00FA2198"/>
    <w:rsid w:val="00FA2993"/>
    <w:rsid w:val="00FA2BD2"/>
    <w:rsid w:val="00FA2BDB"/>
    <w:rsid w:val="00FA3313"/>
    <w:rsid w:val="00FB2D8E"/>
    <w:rsid w:val="00FB3C65"/>
    <w:rsid w:val="00FB47B9"/>
    <w:rsid w:val="00FB5D6F"/>
    <w:rsid w:val="00FC48E1"/>
    <w:rsid w:val="00FC5466"/>
    <w:rsid w:val="00FD5EFA"/>
    <w:rsid w:val="00FD70B9"/>
    <w:rsid w:val="00FE0C58"/>
    <w:rsid w:val="00FE1CD1"/>
    <w:rsid w:val="00FE4221"/>
    <w:rsid w:val="00FE6AC4"/>
    <w:rsid w:val="00FE7D4B"/>
    <w:rsid w:val="00FF13DF"/>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chaba@vodamai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3C77-04C7-405C-B3CE-A2DD0A07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Mokone</cp:lastModifiedBy>
  <cp:revision>2</cp:revision>
  <cp:lastPrinted>2023-05-18T11:40:00Z</cp:lastPrinted>
  <dcterms:created xsi:type="dcterms:W3CDTF">2023-06-02T10:47:00Z</dcterms:created>
  <dcterms:modified xsi:type="dcterms:W3CDTF">2023-06-02T10:47:00Z</dcterms:modified>
</cp:coreProperties>
</file>