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10" w:rsidRPr="00DB2A06" w:rsidRDefault="0084494B" w:rsidP="00D23610">
      <w:pPr>
        <w:ind w:left="-270" w:right="-244"/>
        <w:jc w:val="center"/>
        <w:rPr>
          <w:rFonts w:cs="Arial"/>
          <w:b/>
          <w:u w:val="single"/>
        </w:rPr>
      </w:pPr>
      <w:r w:rsidRPr="00D724CF">
        <w:rPr>
          <w:rFonts w:ascii="Arial" w:hAnsi="Arial" w:cs="Arial"/>
          <w:noProof/>
        </w:rPr>
        <w:t xml:space="preserve"> </w:t>
      </w:r>
      <w:r w:rsidR="00D23610">
        <w:rPr>
          <w:rFonts w:ascii="Calibri" w:hAnsi="Calibri" w:cs="Calibri"/>
          <w:color w:val="1D1C1D"/>
          <w:sz w:val="23"/>
          <w:szCs w:val="23"/>
          <w:shd w:val="clear" w:color="auto" w:fill="F8F8F8"/>
        </w:rPr>
        <w:t>Editorial note: Certain information has been redacted from this judgment in compliance with the law.</w:t>
      </w:r>
    </w:p>
    <w:p w:rsidR="00D23610" w:rsidRDefault="00D23610" w:rsidP="00910420">
      <w:pPr>
        <w:pStyle w:val="NormalWeb"/>
        <w:spacing w:after="0" w:line="360" w:lineRule="auto"/>
        <w:ind w:left="2160" w:firstLine="720"/>
        <w:rPr>
          <w:rFonts w:ascii="Arial" w:hAnsi="Arial" w:cs="Arial"/>
          <w:noProof/>
          <w:lang w:val="en-US" w:eastAsia="en-US"/>
        </w:rPr>
      </w:pPr>
    </w:p>
    <w:p w:rsidR="00910420" w:rsidRPr="00910420" w:rsidRDefault="00910420" w:rsidP="00910420">
      <w:pPr>
        <w:pStyle w:val="NormalWeb"/>
        <w:spacing w:after="0" w:line="360" w:lineRule="auto"/>
        <w:ind w:left="2160" w:firstLine="720"/>
        <w:rPr>
          <w:rFonts w:ascii="Arial" w:hAnsi="Arial" w:cs="Arial"/>
          <w:noProof/>
        </w:rPr>
      </w:pPr>
      <w:r w:rsidRPr="00910420">
        <w:rPr>
          <w:rFonts w:ascii="Arial" w:hAnsi="Arial" w:cs="Arial"/>
          <w:noProof/>
          <w:lang w:val="en-US" w:eastAsia="en-US"/>
        </w:rPr>
        <w:drawing>
          <wp:inline distT="0" distB="0" distL="0" distR="0" wp14:anchorId="703E50B3" wp14:editId="21AACD21">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910420" w:rsidRPr="00910420" w:rsidRDefault="00910420" w:rsidP="00910420">
      <w:pPr>
        <w:pStyle w:val="NormalWeb"/>
        <w:spacing w:before="0" w:line="360" w:lineRule="auto"/>
        <w:ind w:left="1440" w:firstLine="720"/>
        <w:rPr>
          <w:rFonts w:ascii="Arial" w:hAnsi="Arial" w:cs="Arial"/>
          <w:b/>
          <w:noProof/>
        </w:rPr>
      </w:pPr>
      <w:r w:rsidRPr="00910420">
        <w:rPr>
          <w:rFonts w:ascii="Arial" w:hAnsi="Arial" w:cs="Arial"/>
          <w:b/>
          <w:noProof/>
        </w:rPr>
        <w:t>IN THE HIGH COURT OF UTH AFRICA</w:t>
      </w:r>
    </w:p>
    <w:p w:rsidR="00910420" w:rsidRPr="00910420" w:rsidRDefault="00910420" w:rsidP="00910420">
      <w:pPr>
        <w:pStyle w:val="NormalWeb"/>
        <w:spacing w:before="0" w:line="360" w:lineRule="auto"/>
        <w:ind w:left="1440" w:firstLine="720"/>
        <w:rPr>
          <w:rFonts w:ascii="Arial" w:hAnsi="Arial" w:cs="Arial"/>
          <w:b/>
          <w:noProof/>
        </w:rPr>
      </w:pPr>
      <w:r w:rsidRPr="00910420">
        <w:rPr>
          <w:rFonts w:ascii="Arial" w:hAnsi="Arial" w:cs="Arial"/>
          <w:b/>
          <w:noProof/>
        </w:rPr>
        <w:t>(GAUTENG DIVISION, PRETORIA)</w:t>
      </w:r>
    </w:p>
    <w:p w:rsidR="00910420" w:rsidRPr="00910420" w:rsidRDefault="00910420" w:rsidP="00910420">
      <w:pPr>
        <w:pStyle w:val="NormalWeb"/>
        <w:spacing w:before="0" w:beforeAutospacing="0" w:after="0" w:afterAutospacing="0" w:line="360" w:lineRule="auto"/>
        <w:ind w:left="3600" w:firstLine="720"/>
        <w:rPr>
          <w:rFonts w:ascii="Arial" w:hAnsi="Arial" w:cs="Arial"/>
          <w:b/>
          <w:bCs/>
          <w:noProof/>
        </w:rPr>
      </w:pPr>
      <w:r w:rsidRPr="00910420">
        <w:rPr>
          <w:rFonts w:ascii="Arial" w:hAnsi="Arial" w:cs="Arial"/>
          <w:b/>
          <w:bCs/>
          <w:noProof/>
        </w:rPr>
        <w:t xml:space="preserve">   </w:t>
      </w:r>
      <w:r w:rsidR="00D26487">
        <w:rPr>
          <w:rFonts w:ascii="Arial" w:hAnsi="Arial" w:cs="Arial"/>
          <w:b/>
          <w:bCs/>
          <w:noProof/>
        </w:rPr>
        <w:tab/>
      </w:r>
      <w:r w:rsidR="00D26487">
        <w:rPr>
          <w:rFonts w:ascii="Arial" w:hAnsi="Arial" w:cs="Arial"/>
          <w:b/>
          <w:bCs/>
          <w:noProof/>
        </w:rPr>
        <w:tab/>
      </w:r>
      <w:r w:rsidR="00D26487">
        <w:rPr>
          <w:rFonts w:ascii="Arial" w:hAnsi="Arial" w:cs="Arial"/>
          <w:b/>
          <w:bCs/>
          <w:noProof/>
        </w:rPr>
        <w:tab/>
      </w:r>
      <w:r w:rsidRPr="00D724CF">
        <w:rPr>
          <w:rStyle w:val="Strong"/>
          <w:rFonts w:ascii="Arial" w:eastAsiaTheme="minorEastAsia" w:hAnsi="Arial" w:cs="Arial"/>
          <w:color w:val="0E101A"/>
        </w:rPr>
        <w:t>Case No: 35916/18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tblGrid>
      <w:tr w:rsidR="00910420" w:rsidRPr="00910420" w:rsidTr="00910420">
        <w:trPr>
          <w:trHeight w:val="796"/>
        </w:trPr>
        <w:tc>
          <w:tcPr>
            <w:tcW w:w="3673" w:type="dxa"/>
          </w:tcPr>
          <w:p w:rsidR="00910420" w:rsidRPr="00910420" w:rsidRDefault="00910420" w:rsidP="00910420">
            <w:pPr>
              <w:pStyle w:val="NormalWeb"/>
              <w:rPr>
                <w:rFonts w:ascii="Arial" w:hAnsi="Arial" w:cs="Arial"/>
                <w:noProof/>
                <w:sz w:val="16"/>
                <w:szCs w:val="16"/>
              </w:rPr>
            </w:pPr>
            <w:r w:rsidRPr="00910420">
              <w:rPr>
                <w:rFonts w:ascii="Arial" w:hAnsi="Arial" w:cs="Arial"/>
                <w:noProof/>
              </w:rPr>
              <w:t xml:space="preserve"> </w:t>
            </w:r>
            <w:r w:rsidRPr="00910420">
              <w:rPr>
                <w:rFonts w:ascii="Arial" w:hAnsi="Arial" w:cs="Arial"/>
                <w:noProof/>
                <w:sz w:val="16"/>
                <w:szCs w:val="16"/>
              </w:rPr>
              <w:t xml:space="preserve">REPORTABLE: No </w:t>
            </w:r>
          </w:p>
          <w:p w:rsidR="00910420" w:rsidRPr="00910420" w:rsidRDefault="00910420" w:rsidP="00910420">
            <w:pPr>
              <w:pStyle w:val="NormalWeb"/>
              <w:rPr>
                <w:rFonts w:ascii="Arial" w:hAnsi="Arial" w:cs="Arial"/>
                <w:noProof/>
                <w:sz w:val="16"/>
                <w:szCs w:val="16"/>
              </w:rPr>
            </w:pPr>
            <w:r w:rsidRPr="00910420">
              <w:rPr>
                <w:rFonts w:ascii="Arial" w:hAnsi="Arial" w:cs="Arial"/>
                <w:noProof/>
                <w:sz w:val="16"/>
                <w:szCs w:val="16"/>
              </w:rPr>
              <w:t xml:space="preserve">OF INTEREST TO OTHER JUDGES: No </w:t>
            </w:r>
          </w:p>
          <w:p w:rsidR="00910420" w:rsidRDefault="00910420" w:rsidP="00910420">
            <w:pPr>
              <w:pStyle w:val="NormalWeb"/>
              <w:rPr>
                <w:rFonts w:ascii="Arial" w:hAnsi="Arial" w:cs="Arial"/>
                <w:noProof/>
                <w:sz w:val="16"/>
                <w:szCs w:val="16"/>
              </w:rPr>
            </w:pPr>
            <w:r w:rsidRPr="00910420">
              <w:rPr>
                <w:rFonts w:ascii="Arial" w:hAnsi="Arial" w:cs="Arial"/>
                <w:noProof/>
                <w:sz w:val="16"/>
                <w:szCs w:val="16"/>
              </w:rPr>
              <w:t>REVISED</w:t>
            </w:r>
            <w:r w:rsidR="00AD371A">
              <w:rPr>
                <w:rFonts w:ascii="Arial" w:hAnsi="Arial" w:cs="Arial"/>
                <w:noProof/>
                <w:sz w:val="16"/>
                <w:szCs w:val="16"/>
              </w:rPr>
              <w:t>: Yes</w:t>
            </w:r>
          </w:p>
          <w:p w:rsidR="00910420" w:rsidRPr="00910420" w:rsidRDefault="00910420" w:rsidP="00AD371A">
            <w:pPr>
              <w:pStyle w:val="NormalWeb"/>
              <w:rPr>
                <w:rFonts w:ascii="Arial" w:hAnsi="Arial" w:cs="Arial"/>
                <w:noProof/>
                <w:sz w:val="16"/>
                <w:szCs w:val="16"/>
              </w:rPr>
            </w:pPr>
            <w:r>
              <w:rPr>
                <w:rFonts w:ascii="Arial" w:hAnsi="Arial" w:cs="Arial"/>
                <w:noProof/>
                <w:sz w:val="16"/>
                <w:szCs w:val="16"/>
              </w:rPr>
              <w:t xml:space="preserve"> </w:t>
            </w:r>
            <w:r w:rsidR="004B3B0C">
              <w:rPr>
                <w:rFonts w:ascii="Arial" w:hAnsi="Arial" w:cs="Arial"/>
                <w:noProof/>
                <w:sz w:val="16"/>
                <w:szCs w:val="16"/>
              </w:rPr>
              <w:t xml:space="preserve">30 </w:t>
            </w:r>
            <w:r>
              <w:rPr>
                <w:rFonts w:ascii="Arial" w:hAnsi="Arial" w:cs="Arial"/>
                <w:noProof/>
                <w:sz w:val="16"/>
                <w:szCs w:val="16"/>
              </w:rPr>
              <w:t>March 2023</w:t>
            </w:r>
            <w:r w:rsidR="004B3B0C">
              <w:rPr>
                <w:rFonts w:ascii="Arial" w:hAnsi="Arial" w:cs="Arial"/>
                <w:noProof/>
                <w:sz w:val="16"/>
                <w:szCs w:val="16"/>
              </w:rPr>
              <w:t xml:space="preserve">      </w:t>
            </w:r>
          </w:p>
        </w:tc>
      </w:tr>
    </w:tbl>
    <w:p w:rsidR="00910420" w:rsidRPr="00910420" w:rsidRDefault="00910420" w:rsidP="00910420">
      <w:pPr>
        <w:pStyle w:val="NormalWeb"/>
        <w:spacing w:line="360" w:lineRule="auto"/>
        <w:rPr>
          <w:rFonts w:ascii="Arial" w:hAnsi="Arial" w:cs="Arial"/>
          <w:b/>
          <w:noProof/>
        </w:rPr>
      </w:pPr>
      <w:r w:rsidRPr="00910420">
        <w:rPr>
          <w:rFonts w:ascii="Arial" w:hAnsi="Arial" w:cs="Arial"/>
          <w:b/>
          <w:noProof/>
        </w:rPr>
        <w:t xml:space="preserve">In the matter between: </w:t>
      </w:r>
    </w:p>
    <w:p w:rsidR="0084494B" w:rsidRPr="00D724CF" w:rsidRDefault="0084494B" w:rsidP="00910420">
      <w:pPr>
        <w:pStyle w:val="Heading1"/>
        <w:spacing w:before="0" w:line="360" w:lineRule="auto"/>
        <w:rPr>
          <w:rFonts w:ascii="Arial" w:hAnsi="Arial" w:cs="Arial"/>
          <w:color w:val="0E101A"/>
          <w:sz w:val="24"/>
          <w:szCs w:val="24"/>
        </w:rPr>
      </w:pPr>
      <w:r w:rsidRPr="00D724CF">
        <w:rPr>
          <w:rStyle w:val="Strong"/>
          <w:rFonts w:ascii="Arial" w:hAnsi="Arial" w:cs="Arial"/>
          <w:color w:val="0E101A"/>
          <w:sz w:val="24"/>
          <w:szCs w:val="24"/>
        </w:rPr>
        <w:t>AA SITHOLE   </w:t>
      </w:r>
      <w:r w:rsidRPr="00D724CF">
        <w:rPr>
          <w:rFonts w:ascii="Arial" w:hAnsi="Arial" w:cs="Arial"/>
          <w:color w:val="0E101A"/>
          <w:sz w:val="24"/>
          <w:szCs w:val="24"/>
        </w:rPr>
        <w:t>                                           </w:t>
      </w:r>
      <w:r w:rsidR="004B3B0C">
        <w:rPr>
          <w:rFonts w:ascii="Arial" w:hAnsi="Arial" w:cs="Arial"/>
          <w:color w:val="0E101A"/>
          <w:sz w:val="24"/>
          <w:szCs w:val="24"/>
        </w:rPr>
        <w:tab/>
      </w:r>
      <w:r w:rsidR="004B3B0C">
        <w:rPr>
          <w:rFonts w:ascii="Arial" w:hAnsi="Arial" w:cs="Arial"/>
          <w:color w:val="0E101A"/>
          <w:sz w:val="24"/>
          <w:szCs w:val="24"/>
        </w:rPr>
        <w:tab/>
      </w:r>
      <w:r w:rsidR="004B3B0C">
        <w:rPr>
          <w:rFonts w:ascii="Arial" w:hAnsi="Arial" w:cs="Arial"/>
          <w:color w:val="0E101A"/>
          <w:sz w:val="24"/>
          <w:szCs w:val="24"/>
        </w:rPr>
        <w:tab/>
      </w:r>
      <w:r w:rsidRPr="00D724CF">
        <w:rPr>
          <w:rFonts w:ascii="Arial" w:hAnsi="Arial" w:cs="Arial"/>
          <w:color w:val="0E101A"/>
          <w:sz w:val="24"/>
          <w:szCs w:val="24"/>
        </w:rPr>
        <w:t> </w:t>
      </w:r>
      <w:r w:rsidRPr="00D724CF">
        <w:rPr>
          <w:rStyle w:val="Strong"/>
          <w:rFonts w:ascii="Arial" w:hAnsi="Arial" w:cs="Arial"/>
          <w:color w:val="0E101A"/>
          <w:sz w:val="24"/>
          <w:szCs w:val="24"/>
        </w:rPr>
        <w:t>Applicant </w:t>
      </w: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rPr>
        <w:t>                                                      </w:t>
      </w:r>
    </w:p>
    <w:p w:rsidR="004B3B0C" w:rsidRDefault="0084494B" w:rsidP="00D724CF">
      <w:pPr>
        <w:pStyle w:val="NormalWeb"/>
        <w:spacing w:before="0" w:beforeAutospacing="0" w:after="0" w:afterAutospacing="0" w:line="360" w:lineRule="auto"/>
        <w:rPr>
          <w:rFonts w:ascii="Arial" w:hAnsi="Arial" w:cs="Arial"/>
          <w:color w:val="0E101A"/>
        </w:rPr>
      </w:pPr>
      <w:r w:rsidRPr="00D724CF">
        <w:rPr>
          <w:rStyle w:val="Strong"/>
          <w:rFonts w:ascii="Arial" w:eastAsiaTheme="minorEastAsia" w:hAnsi="Arial" w:cs="Arial"/>
          <w:color w:val="0E101A"/>
        </w:rPr>
        <w:t>and </w:t>
      </w:r>
    </w:p>
    <w:p w:rsidR="0084494B" w:rsidRPr="004B3B0C" w:rsidRDefault="0084494B" w:rsidP="00D724CF">
      <w:pPr>
        <w:pStyle w:val="NormalWeb"/>
        <w:spacing w:before="0" w:beforeAutospacing="0" w:after="0" w:afterAutospacing="0" w:line="360" w:lineRule="auto"/>
        <w:rPr>
          <w:rStyle w:val="Strong"/>
          <w:rFonts w:ascii="Arial" w:hAnsi="Arial" w:cs="Arial"/>
          <w:b w:val="0"/>
          <w:bCs w:val="0"/>
          <w:color w:val="0E101A"/>
        </w:rPr>
      </w:pPr>
      <w:r w:rsidRPr="00D724CF">
        <w:rPr>
          <w:rStyle w:val="Strong"/>
          <w:rFonts w:ascii="Arial" w:eastAsiaTheme="minorEastAsia" w:hAnsi="Arial" w:cs="Arial"/>
          <w:color w:val="0E101A"/>
        </w:rPr>
        <w:t>ROAD ACCIDENT FUND  </w:t>
      </w:r>
      <w:r w:rsidRPr="00D724CF">
        <w:rPr>
          <w:rFonts w:ascii="Arial" w:hAnsi="Arial" w:cs="Arial"/>
          <w:color w:val="0E101A"/>
        </w:rPr>
        <w:t>                          </w:t>
      </w:r>
      <w:r w:rsidR="004B3B0C">
        <w:rPr>
          <w:rFonts w:ascii="Arial" w:hAnsi="Arial" w:cs="Arial"/>
          <w:color w:val="0E101A"/>
        </w:rPr>
        <w:tab/>
      </w:r>
      <w:r w:rsidR="004B3B0C">
        <w:rPr>
          <w:rFonts w:ascii="Arial" w:hAnsi="Arial" w:cs="Arial"/>
          <w:color w:val="0E101A"/>
        </w:rPr>
        <w:tab/>
      </w:r>
      <w:r w:rsidR="004B3B0C">
        <w:rPr>
          <w:rFonts w:ascii="Arial" w:hAnsi="Arial" w:cs="Arial"/>
          <w:color w:val="0E101A"/>
        </w:rPr>
        <w:tab/>
      </w:r>
      <w:r w:rsidRPr="00D724CF">
        <w:rPr>
          <w:rStyle w:val="Strong"/>
          <w:rFonts w:ascii="Arial" w:eastAsiaTheme="minorEastAsia" w:hAnsi="Arial" w:cs="Arial"/>
          <w:color w:val="0E101A"/>
        </w:rPr>
        <w:t>Second Respondent</w:t>
      </w:r>
    </w:p>
    <w:p w:rsidR="00910420" w:rsidRPr="00D724CF" w:rsidRDefault="00910420" w:rsidP="00910420">
      <w:pPr>
        <w:pStyle w:val="NormalWeb"/>
        <w:spacing w:before="0" w:beforeAutospacing="0" w:after="0" w:afterAutospacing="0" w:line="360" w:lineRule="auto"/>
        <w:rPr>
          <w:rFonts w:ascii="Arial" w:hAnsi="Arial" w:cs="Arial"/>
          <w:color w:val="0E101A"/>
        </w:rPr>
      </w:pPr>
      <w:r w:rsidRPr="00D724CF">
        <w:rPr>
          <w:rStyle w:val="Strong"/>
          <w:rFonts w:ascii="Arial" w:eastAsiaTheme="minorEastAsia" w:hAnsi="Arial" w:cs="Arial"/>
          <w:color w:val="0E101A"/>
        </w:rPr>
        <w:t> </w:t>
      </w:r>
    </w:p>
    <w:p w:rsidR="0084494B" w:rsidRPr="00D724CF" w:rsidRDefault="00910420" w:rsidP="004B3B0C">
      <w:pPr>
        <w:pStyle w:val="NormalWeb"/>
        <w:spacing w:before="0" w:beforeAutospacing="0" w:after="0" w:afterAutospacing="0" w:line="360" w:lineRule="auto"/>
        <w:jc w:val="both"/>
        <w:rPr>
          <w:rFonts w:ascii="Arial" w:hAnsi="Arial" w:cs="Arial"/>
          <w:color w:val="0E101A"/>
        </w:rPr>
      </w:pPr>
      <w:r w:rsidRPr="00D724CF">
        <w:rPr>
          <w:rStyle w:val="Strong"/>
          <w:rFonts w:ascii="Arial" w:eastAsiaTheme="minorEastAsia" w:hAnsi="Arial" w:cs="Arial"/>
          <w:color w:val="0E101A"/>
        </w:rPr>
        <w:t>Delivered:  </w:t>
      </w:r>
      <w:r w:rsidRPr="00D724CF">
        <w:rPr>
          <w:rFonts w:ascii="Arial" w:hAnsi="Arial" w:cs="Arial"/>
          <w:color w:val="0E101A"/>
        </w:rPr>
        <w:t>This judgment was handed down electronically by circulation to the parties' legal representatives by email and uploaded on caselines electronic platform. The date</w:t>
      </w:r>
      <w:r w:rsidR="00AD371A">
        <w:rPr>
          <w:rFonts w:ascii="Arial" w:hAnsi="Arial" w:cs="Arial"/>
          <w:color w:val="0E101A"/>
        </w:rPr>
        <w:t xml:space="preserve"> for hand-down is deemed to be 27 March 2023.</w:t>
      </w: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u w:val="single"/>
        </w:rPr>
        <w:t>                                                                                          </w:t>
      </w:r>
      <w:r w:rsidR="00AD371A">
        <w:rPr>
          <w:rFonts w:ascii="Arial" w:hAnsi="Arial" w:cs="Arial"/>
          <w:color w:val="0E101A"/>
          <w:u w:val="single"/>
        </w:rPr>
        <w:tab/>
      </w:r>
      <w:r w:rsidR="00AD371A">
        <w:rPr>
          <w:rFonts w:ascii="Arial" w:hAnsi="Arial" w:cs="Arial"/>
          <w:color w:val="0E101A"/>
          <w:u w:val="single"/>
        </w:rPr>
        <w:tab/>
      </w:r>
      <w:r w:rsidR="00AD371A">
        <w:rPr>
          <w:rFonts w:ascii="Arial" w:hAnsi="Arial" w:cs="Arial"/>
          <w:color w:val="0E101A"/>
          <w:u w:val="single"/>
        </w:rPr>
        <w:tab/>
      </w:r>
      <w:r w:rsidR="004B3B0C">
        <w:rPr>
          <w:rFonts w:ascii="Arial" w:hAnsi="Arial" w:cs="Arial"/>
          <w:color w:val="0E101A"/>
          <w:u w:val="single"/>
        </w:rPr>
        <w:t>________</w:t>
      </w: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rPr>
        <w:t>                                   </w:t>
      </w:r>
      <w:r w:rsidR="00AD371A">
        <w:rPr>
          <w:rFonts w:ascii="Arial" w:hAnsi="Arial" w:cs="Arial"/>
          <w:color w:val="0E101A"/>
        </w:rPr>
        <w:t xml:space="preserve">          </w:t>
      </w:r>
      <w:r w:rsidR="00DF0FD7" w:rsidRPr="00DF0FD7">
        <w:rPr>
          <w:rFonts w:ascii="Arial" w:hAnsi="Arial" w:cs="Arial"/>
          <w:b/>
          <w:color w:val="0E101A"/>
        </w:rPr>
        <w:t>VARIATION</w:t>
      </w:r>
      <w:r w:rsidR="00DF0FD7">
        <w:rPr>
          <w:rFonts w:ascii="Arial" w:hAnsi="Arial" w:cs="Arial"/>
          <w:color w:val="0E101A"/>
        </w:rPr>
        <w:t>:</w:t>
      </w:r>
      <w:r w:rsidR="004B3B0C">
        <w:rPr>
          <w:rFonts w:ascii="Arial" w:hAnsi="Arial" w:cs="Arial"/>
          <w:color w:val="0E101A"/>
        </w:rPr>
        <w:t xml:space="preserve"> </w:t>
      </w:r>
      <w:r w:rsidR="00B16E4B">
        <w:rPr>
          <w:rStyle w:val="Strong"/>
          <w:rFonts w:ascii="Arial" w:eastAsiaTheme="minorEastAsia" w:hAnsi="Arial" w:cs="Arial"/>
          <w:color w:val="0E101A"/>
        </w:rPr>
        <w:t>JUDGEMENT</w:t>
      </w: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u w:val="single"/>
        </w:rPr>
        <w:t>                                                                                                          __</w:t>
      </w:r>
      <w:r w:rsidR="00AD371A">
        <w:rPr>
          <w:rFonts w:ascii="Arial" w:hAnsi="Arial" w:cs="Arial"/>
          <w:color w:val="0E101A"/>
          <w:u w:val="single"/>
        </w:rPr>
        <w:tab/>
      </w:r>
      <w:r w:rsidR="004B3B0C">
        <w:rPr>
          <w:rFonts w:ascii="Arial" w:hAnsi="Arial" w:cs="Arial"/>
          <w:color w:val="0E101A"/>
          <w:u w:val="single"/>
        </w:rPr>
        <w:t>________</w:t>
      </w: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Style w:val="Strong"/>
          <w:rFonts w:ascii="Arial" w:eastAsiaTheme="minorEastAsia" w:hAnsi="Arial" w:cs="Arial"/>
          <w:color w:val="0E101A"/>
        </w:rPr>
        <w:t>Molahlehi J </w:t>
      </w:r>
    </w:p>
    <w:p w:rsidR="0084494B" w:rsidRDefault="0084494B" w:rsidP="00D724CF">
      <w:pPr>
        <w:pStyle w:val="NormalWeb"/>
        <w:spacing w:before="0" w:beforeAutospacing="0" w:after="0" w:afterAutospacing="0" w:line="360" w:lineRule="auto"/>
        <w:rPr>
          <w:rFonts w:ascii="Arial" w:hAnsi="Arial" w:cs="Arial"/>
          <w:b/>
          <w:color w:val="0E101A"/>
        </w:rPr>
      </w:pPr>
      <w:r w:rsidRPr="00910420">
        <w:rPr>
          <w:rFonts w:ascii="Arial" w:hAnsi="Arial" w:cs="Arial"/>
          <w:b/>
          <w:color w:val="0E101A"/>
        </w:rPr>
        <w:t>Introduction </w:t>
      </w:r>
    </w:p>
    <w:p w:rsidR="00F9429F" w:rsidRPr="00910420" w:rsidRDefault="00F9429F" w:rsidP="00D724CF">
      <w:pPr>
        <w:pStyle w:val="NormalWeb"/>
        <w:spacing w:before="0" w:beforeAutospacing="0" w:after="0" w:afterAutospacing="0" w:line="360" w:lineRule="auto"/>
        <w:rPr>
          <w:rFonts w:ascii="Arial" w:hAnsi="Arial" w:cs="Arial"/>
          <w:b/>
          <w:color w:val="0E101A"/>
        </w:rPr>
      </w:pPr>
    </w:p>
    <w:p w:rsidR="00DF0FD7" w:rsidRPr="00DF0FD7" w:rsidRDefault="00D23610" w:rsidP="00D23610">
      <w:pPr>
        <w:pStyle w:val="NormalWeb"/>
        <w:spacing w:before="0" w:beforeAutospacing="0" w:after="0" w:afterAutospacing="0" w:line="360" w:lineRule="auto"/>
        <w:jc w:val="both"/>
        <w:rPr>
          <w:rFonts w:ascii="Arial" w:hAnsi="Arial" w:cs="Arial"/>
          <w:color w:val="0E101A"/>
        </w:rPr>
      </w:pPr>
      <w:r w:rsidRPr="00DF0FD7">
        <w:rPr>
          <w:rFonts w:ascii="Arial" w:hAnsi="Arial" w:cs="Arial"/>
          <w:color w:val="0E101A"/>
        </w:rPr>
        <w:lastRenderedPageBreak/>
        <w:t>[1]</w:t>
      </w:r>
      <w:r w:rsidRPr="00DF0FD7">
        <w:rPr>
          <w:rFonts w:ascii="Arial" w:hAnsi="Arial" w:cs="Arial"/>
          <w:color w:val="0E101A"/>
        </w:rPr>
        <w:tab/>
      </w:r>
      <w:r w:rsidR="00DF0FD7" w:rsidRPr="00DF0FD7">
        <w:rPr>
          <w:color w:val="0E101A"/>
        </w:rPr>
        <w:t>This judgment was delivered on 27 March 2023. As appears below, the defendant’s liability is apportioned at 50%. However, the undertaking in terms of section 17(4) (a) of the Road Accident Fund Act was in the order placed at 100%. This was clearly an error that deserves correction.</w:t>
      </w:r>
      <w:r w:rsidR="00DF0FD7">
        <w:rPr>
          <w:rStyle w:val="FootnoteReference"/>
          <w:color w:val="0E101A"/>
        </w:rPr>
        <w:footnoteReference w:id="1"/>
      </w:r>
      <w:r w:rsidR="00DF0FD7" w:rsidRPr="00DF0FD7">
        <w:rPr>
          <w:color w:val="0E101A"/>
        </w:rPr>
        <w:t>  The error has been corrected to reflect the correct percentage of the liability of the defendant.  </w:t>
      </w:r>
    </w:p>
    <w:p w:rsidR="00DF0FD7" w:rsidRDefault="00DF0FD7" w:rsidP="004B3B0C">
      <w:pPr>
        <w:pStyle w:val="NormalWeb"/>
        <w:spacing w:before="0" w:beforeAutospacing="0" w:after="0" w:afterAutospacing="0"/>
        <w:jc w:val="both"/>
        <w:rPr>
          <w:color w:val="0E101A"/>
        </w:rPr>
      </w:pPr>
    </w:p>
    <w:p w:rsidR="00B16E4B" w:rsidRDefault="00DF0FD7" w:rsidP="004B3B0C">
      <w:pPr>
        <w:pStyle w:val="NormalWeb"/>
        <w:spacing w:before="0" w:beforeAutospacing="0" w:after="0" w:afterAutospacing="0"/>
        <w:jc w:val="both"/>
        <w:rPr>
          <w:rFonts w:ascii="Arial" w:hAnsi="Arial" w:cs="Arial"/>
          <w:color w:val="0E101A"/>
        </w:rPr>
      </w:pPr>
      <w:r>
        <w:rPr>
          <w:color w:val="0E101A"/>
        </w:rPr>
        <w:t>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w:t>
      </w:r>
      <w:r w:rsidRPr="00D724CF">
        <w:rPr>
          <w:rFonts w:ascii="Arial" w:hAnsi="Arial" w:cs="Arial"/>
          <w:color w:val="0E101A"/>
        </w:rPr>
        <w:tab/>
      </w:r>
      <w:r w:rsidR="0084494B" w:rsidRPr="00D724CF">
        <w:rPr>
          <w:rFonts w:ascii="Arial" w:hAnsi="Arial" w:cs="Arial"/>
          <w:color w:val="0E101A"/>
        </w:rPr>
        <w:t>Th</w:t>
      </w:r>
      <w:bookmarkStart w:id="0" w:name="_GoBack"/>
      <w:bookmarkEnd w:id="0"/>
      <w:r w:rsidR="0084494B" w:rsidRPr="00D724CF">
        <w:rPr>
          <w:rFonts w:ascii="Arial" w:hAnsi="Arial" w:cs="Arial"/>
          <w:color w:val="0E101A"/>
        </w:rPr>
        <w:t>e plaintiff, Mr Sithole instituted these action proceedings claiming damages against the defendant, the Road Accident Fund (RAF), following a motor vehicle accident that occurred on 17 August 2014. The motor vehicle in which the plaintiff was travelling and that of the insured driver, Mr Mehlinza, were involved in a head-on collision accident at Holfontein Road in Gauteng.</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w:t>
      </w:r>
      <w:r w:rsidRPr="00D724CF">
        <w:rPr>
          <w:rFonts w:ascii="Arial" w:hAnsi="Arial" w:cs="Arial"/>
          <w:color w:val="0E101A"/>
        </w:rPr>
        <w:tab/>
      </w:r>
      <w:r w:rsidR="0084494B" w:rsidRPr="00D724CF">
        <w:rPr>
          <w:rFonts w:ascii="Arial" w:hAnsi="Arial" w:cs="Arial"/>
          <w:color w:val="0E101A"/>
        </w:rPr>
        <w:t>The only issue for determination in this matter concerns quantification of the damages</w:t>
      </w:r>
      <w:r w:rsidR="00D20713">
        <w:rPr>
          <w:rFonts w:ascii="Arial" w:hAnsi="Arial" w:cs="Arial"/>
          <w:color w:val="0E101A"/>
        </w:rPr>
        <w:t>.  O</w:t>
      </w:r>
      <w:r w:rsidR="0084494B" w:rsidRPr="00D724CF">
        <w:rPr>
          <w:rFonts w:ascii="Arial" w:hAnsi="Arial" w:cs="Arial"/>
          <w:color w:val="0E101A"/>
        </w:rPr>
        <w:t xml:space="preserve">n 17 September 2020 </w:t>
      </w:r>
      <w:r w:rsidR="00D20713">
        <w:rPr>
          <w:rFonts w:ascii="Arial" w:hAnsi="Arial" w:cs="Arial"/>
          <w:color w:val="0E101A"/>
        </w:rPr>
        <w:t xml:space="preserve">the court apportioned the </w:t>
      </w:r>
      <w:r w:rsidR="0084494B" w:rsidRPr="00D724CF">
        <w:rPr>
          <w:rFonts w:ascii="Arial" w:hAnsi="Arial" w:cs="Arial"/>
          <w:color w:val="0E101A"/>
        </w:rPr>
        <w:t>defendant</w:t>
      </w:r>
      <w:r w:rsidR="00D20713">
        <w:rPr>
          <w:rFonts w:ascii="Arial" w:hAnsi="Arial" w:cs="Arial"/>
          <w:color w:val="0E101A"/>
        </w:rPr>
        <w:t xml:space="preserve">’s </w:t>
      </w:r>
      <w:r w:rsidR="0084494B" w:rsidRPr="00D724CF">
        <w:rPr>
          <w:rFonts w:ascii="Arial" w:hAnsi="Arial" w:cs="Arial"/>
          <w:color w:val="0E101A"/>
        </w:rPr>
        <w:t>liab</w:t>
      </w:r>
      <w:r w:rsidR="00D20713">
        <w:rPr>
          <w:rFonts w:ascii="Arial" w:hAnsi="Arial" w:cs="Arial"/>
          <w:color w:val="0E101A"/>
        </w:rPr>
        <w:t>i</w:t>
      </w:r>
      <w:r w:rsidR="0084494B" w:rsidRPr="00D724CF">
        <w:rPr>
          <w:rFonts w:ascii="Arial" w:hAnsi="Arial" w:cs="Arial"/>
          <w:color w:val="0E101A"/>
        </w:rPr>
        <w:t>l</w:t>
      </w:r>
      <w:r w:rsidR="00D20713">
        <w:rPr>
          <w:rFonts w:ascii="Arial" w:hAnsi="Arial" w:cs="Arial"/>
          <w:color w:val="0E101A"/>
        </w:rPr>
        <w:t xml:space="preserve">ity </w:t>
      </w:r>
      <w:r w:rsidR="0084494B" w:rsidRPr="00D724CF">
        <w:rPr>
          <w:rFonts w:ascii="Arial" w:hAnsi="Arial" w:cs="Arial"/>
          <w:color w:val="0E101A"/>
        </w:rPr>
        <w:t>50% of the plaintiff's agreed or proven damages,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[4]</w:t>
      </w:r>
      <w:r w:rsidRPr="00D724CF">
        <w:rPr>
          <w:rFonts w:ascii="Arial" w:hAnsi="Arial" w:cs="Arial"/>
          <w:color w:val="0E101A"/>
        </w:rPr>
        <w:tab/>
      </w:r>
      <w:r w:rsidR="0084494B" w:rsidRPr="00D724CF">
        <w:rPr>
          <w:rFonts w:ascii="Arial" w:hAnsi="Arial" w:cs="Arial"/>
          <w:color w:val="0E101A"/>
        </w:rPr>
        <w:t>After the accident, the plaintiff was transferred to the East Rand hospital by an ambulance, where he was discharged after seven days.</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[5]</w:t>
      </w:r>
      <w:r w:rsidRPr="00D724CF">
        <w:rPr>
          <w:rFonts w:ascii="Arial" w:hAnsi="Arial" w:cs="Arial"/>
          <w:color w:val="0E101A"/>
        </w:rPr>
        <w:tab/>
      </w:r>
      <w:r w:rsidR="0084494B" w:rsidRPr="00D724CF">
        <w:rPr>
          <w:rFonts w:ascii="Arial" w:hAnsi="Arial" w:cs="Arial"/>
          <w:color w:val="0E101A"/>
        </w:rPr>
        <w:t>The plaintiff avers in the particulars of claim that he, as a result of the accident, sustained the following injuries: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(a)</w:t>
      </w:r>
      <w:r w:rsidRPr="00D724CF">
        <w:rPr>
          <w:rFonts w:ascii="Arial" w:hAnsi="Arial" w:cs="Arial"/>
          <w:color w:val="0E101A"/>
        </w:rPr>
        <w:tab/>
      </w:r>
      <w:r w:rsidR="0084494B" w:rsidRPr="00D724CF">
        <w:rPr>
          <w:rFonts w:ascii="Arial" w:hAnsi="Arial" w:cs="Arial"/>
          <w:color w:val="0E101A"/>
        </w:rPr>
        <w:t>Brain injury (GCS of 13/1 5);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(b)</w:t>
      </w:r>
      <w:r w:rsidRPr="00D724CF">
        <w:rPr>
          <w:rFonts w:ascii="Arial" w:hAnsi="Arial" w:cs="Arial"/>
          <w:color w:val="0E101A"/>
        </w:rPr>
        <w:tab/>
      </w:r>
      <w:r w:rsidR="0084494B" w:rsidRPr="00D724CF">
        <w:rPr>
          <w:rFonts w:ascii="Arial" w:hAnsi="Arial" w:cs="Arial"/>
          <w:color w:val="0E101A"/>
        </w:rPr>
        <w:t>Severe injury to the right arm;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(c)</w:t>
      </w:r>
      <w:r w:rsidRPr="00D724CF">
        <w:rPr>
          <w:rFonts w:ascii="Arial" w:hAnsi="Arial" w:cs="Arial"/>
          <w:color w:val="0E101A"/>
        </w:rPr>
        <w:tab/>
      </w:r>
      <w:r w:rsidR="0084494B" w:rsidRPr="00D724CF">
        <w:rPr>
          <w:rFonts w:ascii="Arial" w:hAnsi="Arial" w:cs="Arial"/>
          <w:color w:val="0E101A"/>
        </w:rPr>
        <w:t>Rigid and distended stomach; </w:t>
      </w:r>
    </w:p>
    <w:p w:rsidR="00D20713" w:rsidRDefault="00D23610" w:rsidP="00D23610">
      <w:pPr>
        <w:pStyle w:val="NormalWeb"/>
        <w:spacing w:before="0" w:beforeAutospacing="0" w:after="0" w:afterAutospacing="0" w:line="360" w:lineRule="auto"/>
        <w:jc w:val="both"/>
        <w:rPr>
          <w:rFonts w:ascii="Arial" w:hAnsi="Arial" w:cs="Arial"/>
          <w:color w:val="0E101A"/>
        </w:rPr>
      </w:pPr>
      <w:r>
        <w:rPr>
          <w:rFonts w:ascii="Arial" w:hAnsi="Arial" w:cs="Arial"/>
          <w:color w:val="0E101A"/>
        </w:rPr>
        <w:t>(d)</w:t>
      </w:r>
      <w:r>
        <w:rPr>
          <w:rFonts w:ascii="Arial" w:hAnsi="Arial" w:cs="Arial"/>
          <w:color w:val="0E101A"/>
        </w:rPr>
        <w:tab/>
      </w:r>
      <w:r w:rsidR="0084494B" w:rsidRPr="00D724CF">
        <w:rPr>
          <w:rFonts w:ascii="Arial" w:hAnsi="Arial" w:cs="Arial"/>
          <w:color w:val="0E101A"/>
        </w:rPr>
        <w:t xml:space="preserve">Severe body pain;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(e)</w:t>
      </w:r>
      <w:r w:rsidRPr="00D724CF">
        <w:rPr>
          <w:rFonts w:ascii="Arial" w:hAnsi="Arial" w:cs="Arial"/>
          <w:color w:val="0E101A"/>
        </w:rPr>
        <w:tab/>
      </w:r>
      <w:r w:rsidR="0084494B" w:rsidRPr="00D724CF">
        <w:rPr>
          <w:rFonts w:ascii="Arial" w:hAnsi="Arial" w:cs="Arial"/>
          <w:color w:val="0E101A"/>
        </w:rPr>
        <w:t>Soft tissue injury;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(f)</w:t>
      </w:r>
      <w:r w:rsidRPr="00D724CF">
        <w:rPr>
          <w:rFonts w:ascii="Arial" w:hAnsi="Arial" w:cs="Arial"/>
          <w:color w:val="0E101A"/>
        </w:rPr>
        <w:tab/>
      </w:r>
      <w:r w:rsidR="0084494B" w:rsidRPr="00D724CF">
        <w:rPr>
          <w:rFonts w:ascii="Arial" w:hAnsi="Arial" w:cs="Arial"/>
          <w:color w:val="0E101A"/>
        </w:rPr>
        <w:t>Neck injury; </w:t>
      </w: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(g)</w:t>
      </w:r>
      <w:r w:rsidRPr="00D724CF">
        <w:rPr>
          <w:rFonts w:ascii="Arial" w:hAnsi="Arial" w:cs="Arial"/>
          <w:color w:val="0E101A"/>
        </w:rPr>
        <w:tab/>
      </w:r>
      <w:r w:rsidR="0084494B" w:rsidRPr="00D724CF">
        <w:rPr>
          <w:rFonts w:ascii="Arial" w:hAnsi="Arial" w:cs="Arial"/>
          <w:color w:val="0E101A"/>
        </w:rPr>
        <w:t>Shock and psychological trauma.</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20713" w:rsidRDefault="00D23610" w:rsidP="00D23610">
      <w:pPr>
        <w:pStyle w:val="NormalWeb"/>
        <w:spacing w:before="0" w:beforeAutospacing="0" w:after="0" w:afterAutospacing="0" w:line="360" w:lineRule="auto"/>
        <w:jc w:val="both"/>
        <w:rPr>
          <w:rFonts w:ascii="Arial" w:hAnsi="Arial" w:cs="Arial"/>
          <w:color w:val="0E101A"/>
        </w:rPr>
      </w:pPr>
      <w:r w:rsidRPr="00D20713">
        <w:rPr>
          <w:rFonts w:ascii="Arial" w:hAnsi="Arial" w:cs="Arial"/>
          <w:color w:val="0E101A"/>
        </w:rPr>
        <w:lastRenderedPageBreak/>
        <w:t>[6]</w:t>
      </w:r>
      <w:r w:rsidRPr="00D20713">
        <w:rPr>
          <w:rFonts w:ascii="Arial" w:hAnsi="Arial" w:cs="Arial"/>
          <w:color w:val="0E101A"/>
        </w:rPr>
        <w:tab/>
      </w:r>
      <w:r w:rsidR="0084494B" w:rsidRPr="00D724CF">
        <w:rPr>
          <w:rFonts w:ascii="Arial" w:hAnsi="Arial" w:cs="Arial"/>
          <w:color w:val="0E101A"/>
        </w:rPr>
        <w:t xml:space="preserve">The plaintiff further contends that he, as result of the accident, suffered loss of earning capacity, </w:t>
      </w:r>
      <w:r w:rsidR="0084494B" w:rsidRPr="00D20713">
        <w:rPr>
          <w:rFonts w:ascii="Arial" w:hAnsi="Arial" w:cs="Arial"/>
          <w:color w:val="0E101A"/>
        </w:rPr>
        <w:t>experienced pain and suffering and discomfort, suffered loss of amenities of life, experience, shock and psychological trauma.</w:t>
      </w:r>
    </w:p>
    <w:p w:rsidR="0084494B" w:rsidRPr="00D20713" w:rsidRDefault="0084494B" w:rsidP="004B3B0C">
      <w:pPr>
        <w:pStyle w:val="NormalWeb"/>
        <w:spacing w:before="0" w:beforeAutospacing="0" w:after="0" w:afterAutospacing="0" w:line="360" w:lineRule="auto"/>
        <w:jc w:val="both"/>
        <w:rPr>
          <w:rFonts w:ascii="Arial" w:hAnsi="Arial" w:cs="Arial"/>
          <w:color w:val="0E101A"/>
        </w:rPr>
      </w:pPr>
    </w:p>
    <w:p w:rsidR="0084494B" w:rsidRPr="00D20713" w:rsidRDefault="00D23610" w:rsidP="00D23610">
      <w:pPr>
        <w:pStyle w:val="NormalWeb"/>
        <w:spacing w:before="0" w:beforeAutospacing="0" w:after="0" w:afterAutospacing="0" w:line="360" w:lineRule="auto"/>
        <w:jc w:val="both"/>
        <w:rPr>
          <w:rFonts w:ascii="Arial" w:hAnsi="Arial" w:cs="Arial"/>
          <w:color w:val="0E101A"/>
        </w:rPr>
      </w:pPr>
      <w:r w:rsidRPr="00D20713">
        <w:rPr>
          <w:rFonts w:ascii="Arial" w:hAnsi="Arial" w:cs="Arial"/>
          <w:color w:val="0E101A"/>
        </w:rPr>
        <w:t>[7]</w:t>
      </w:r>
      <w:r w:rsidRPr="00D20713">
        <w:rPr>
          <w:rFonts w:ascii="Arial" w:hAnsi="Arial" w:cs="Arial"/>
          <w:color w:val="0E101A"/>
        </w:rPr>
        <w:tab/>
      </w:r>
      <w:r w:rsidR="0084494B" w:rsidRPr="00D20713">
        <w:rPr>
          <w:rFonts w:ascii="Arial" w:hAnsi="Arial" w:cs="Arial"/>
          <w:color w:val="0E101A"/>
        </w:rPr>
        <w:t>The total amount that the plaintiff claims is R 1 190 525.65 less 50% apportionment and thus the amount he should receive would be R595 626, 83. In support of his contention that he is entitled to compensation for the injuries sustained, the plaintiff relies on the written expert opinions of the following experts:</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D.A Birell -Orthopaedic Surgeon</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J.J. Du Plessis-Neurosurgeon </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L Berkowitz -Plastic Surgeon </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L. van der Merwe (Ophthalmologist)  </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J.S. Enslin, Ear, Nose and Throat Surgeon</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M. Mazabow -Clinical Neuropsychologist~ </w:t>
      </w:r>
    </w:p>
    <w:p w:rsidR="0084494B" w:rsidRPr="00D20713"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A Greef -Occupational Therapist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K Prinsloo -Industrial Psychologist.</w:t>
      </w:r>
      <w:r w:rsidR="0084494B" w:rsidRPr="00D724CF">
        <w:rPr>
          <w:rFonts w:ascii="Arial" w:hAnsi="Arial" w:cs="Arial"/>
          <w:color w:val="0E101A"/>
        </w:rPr>
        <w:t>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G. Whittaker- actuary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[8]</w:t>
      </w:r>
      <w:r w:rsidRPr="00D724CF">
        <w:rPr>
          <w:rFonts w:ascii="Arial" w:hAnsi="Arial" w:cs="Arial"/>
          <w:color w:val="0E101A"/>
        </w:rPr>
        <w:tab/>
      </w:r>
      <w:r w:rsidR="0084494B" w:rsidRPr="00D724CF">
        <w:rPr>
          <w:rFonts w:ascii="Arial" w:hAnsi="Arial" w:cs="Arial"/>
          <w:color w:val="0E101A"/>
        </w:rPr>
        <w:t>The orthopaedic surgeon, Dr Birrel, diagnosed the plaintiff with a mild head injury, left-sided chest pain, right arm pain, and right hip pain, including lumbar pain at times. The plaintiff further had moderate acute pain for five days and moderate pain for three weeks. He complained of bilateral wrist pain, lower back pain, right knee pain, pain on top of his feet and forgetfulness following the accident.</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[9]</w:t>
      </w:r>
      <w:r w:rsidRPr="00D724CF">
        <w:rPr>
          <w:rFonts w:ascii="Arial" w:hAnsi="Arial" w:cs="Arial"/>
          <w:color w:val="0E101A"/>
        </w:rPr>
        <w:tab/>
      </w:r>
      <w:r w:rsidR="0084494B" w:rsidRPr="00D724CF">
        <w:rPr>
          <w:rFonts w:ascii="Arial" w:hAnsi="Arial" w:cs="Arial"/>
          <w:color w:val="0E101A"/>
        </w:rPr>
        <w:t>The neurosurgeon Dr Duplessis found that the plaintiff sustained a concussive head injury, an injury to the upper limp and lower limb. The Glasgow Comma Scale (GCS) was initially scored at 13/15. He also sustained a mild frontal lobe injury.</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[10]</w:t>
      </w:r>
      <w:r w:rsidRPr="00D724CF">
        <w:rPr>
          <w:rFonts w:ascii="Arial" w:hAnsi="Arial" w:cs="Arial"/>
          <w:color w:val="0E101A"/>
        </w:rPr>
        <w:tab/>
      </w:r>
      <w:r w:rsidR="0084494B" w:rsidRPr="00D724CF">
        <w:rPr>
          <w:rFonts w:ascii="Arial" w:hAnsi="Arial" w:cs="Arial"/>
          <w:color w:val="0E101A"/>
        </w:rPr>
        <w:t>Dr Du Plessis further indicated in the report that it looks as though the plaintiff may have sustained injuries to his right shoulder and mild soft tissue injury to his lumbar spine. It appears the plaintiff also suffered a fracture to the base of his skull as blood was, according to the expert witness, draining from his ear at the scene of the accident.</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lastRenderedPageBreak/>
        <w:t>[11]</w:t>
      </w:r>
      <w:r w:rsidRPr="00D724CF">
        <w:rPr>
          <w:rFonts w:ascii="Arial" w:hAnsi="Arial" w:cs="Arial"/>
          <w:color w:val="0E101A"/>
        </w:rPr>
        <w:tab/>
      </w:r>
      <w:r w:rsidR="0084494B" w:rsidRPr="00D724CF">
        <w:rPr>
          <w:rFonts w:ascii="Arial" w:hAnsi="Arial" w:cs="Arial"/>
          <w:color w:val="0E101A"/>
        </w:rPr>
        <w:t>The written report of the expert witness further found that the plaintiff qualifies for compensation for general damages due to the neurocognitive and neuropsychiatric sequelae of the brain as well as the scar on his right upper arm. The same applies to loss of earning capacity. The witness opined that because of the neurocognitive and neuropsychiatric sequelae of the brain injury, the plaintiff would not be able to fulfil his premorbid potential. He has become vulnerable in finding alternative employment if he was to lose his current employment.</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[12]</w:t>
      </w:r>
      <w:r w:rsidRPr="00D724CF">
        <w:rPr>
          <w:rFonts w:ascii="Arial" w:hAnsi="Arial" w:cs="Arial"/>
          <w:color w:val="0E101A"/>
        </w:rPr>
        <w:tab/>
      </w:r>
      <w:r w:rsidR="0084494B" w:rsidRPr="00D724CF">
        <w:rPr>
          <w:rFonts w:ascii="Arial" w:hAnsi="Arial" w:cs="Arial"/>
          <w:color w:val="0E101A"/>
        </w:rPr>
        <w:t>The plastic surgeon, Dr Berkowitz, found that the plaintiff has suffered, as a result of the accident, (a) multiple disfiguring scars on the lateral aspect of his arm, (b) a superficial scar on the right thigh and (c) minor scars on the left-hand.</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[13]</w:t>
      </w:r>
      <w:r w:rsidRPr="00D724CF">
        <w:rPr>
          <w:rFonts w:ascii="Arial" w:hAnsi="Arial" w:cs="Arial"/>
          <w:color w:val="0E101A"/>
        </w:rPr>
        <w:tab/>
      </w:r>
      <w:r w:rsidR="0084494B" w:rsidRPr="00D724CF">
        <w:rPr>
          <w:rFonts w:ascii="Arial" w:hAnsi="Arial" w:cs="Arial"/>
          <w:color w:val="0E101A"/>
        </w:rPr>
        <w:t>The ophthalmologist Dr Van der Merwe found that although the plaintiff sustained a head injury, there are no ophthalmological deficits or fallout.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[14]</w:t>
      </w:r>
      <w:r w:rsidRPr="00D724CF">
        <w:rPr>
          <w:rFonts w:ascii="Arial" w:hAnsi="Arial" w:cs="Arial"/>
          <w:color w:val="0E101A"/>
        </w:rPr>
        <w:tab/>
      </w:r>
      <w:r w:rsidR="0084494B" w:rsidRPr="00D724CF">
        <w:rPr>
          <w:rFonts w:ascii="Arial" w:hAnsi="Arial" w:cs="Arial"/>
          <w:color w:val="0E101A"/>
        </w:rPr>
        <w:t>The ear, nose and throat surgeon, Dr Eslin, found that the plaintiff sustained a mild, moderate left-sided frequency hearing loss. The loss of hearing in the left ear is permanent.</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[15]</w:t>
      </w:r>
      <w:r w:rsidRPr="00D724CF">
        <w:rPr>
          <w:rFonts w:ascii="Arial" w:hAnsi="Arial" w:cs="Arial"/>
          <w:color w:val="0E101A"/>
        </w:rPr>
        <w:tab/>
      </w:r>
      <w:r w:rsidR="0084494B" w:rsidRPr="00D724CF">
        <w:rPr>
          <w:rFonts w:ascii="Arial" w:hAnsi="Arial" w:cs="Arial"/>
          <w:color w:val="0E101A"/>
        </w:rPr>
        <w:t>The neuro-psychologist, Dr Mazabow, attributes the behavioural disturbances of the plaintiff to a combination of factors, such as mild to moderate concussive injury, chronic mild to moderate depressive disorder, anxiety, disruptive sleep with fatigability, and chronic pain effects.</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[16]</w:t>
      </w:r>
      <w:r w:rsidRPr="00D724CF">
        <w:rPr>
          <w:rFonts w:ascii="Arial" w:hAnsi="Arial" w:cs="Arial"/>
          <w:color w:val="0E101A"/>
        </w:rPr>
        <w:tab/>
      </w:r>
      <w:r w:rsidR="0084494B" w:rsidRPr="00D724CF">
        <w:rPr>
          <w:rFonts w:ascii="Arial" w:hAnsi="Arial" w:cs="Arial"/>
          <w:color w:val="0E101A"/>
        </w:rPr>
        <w:t>The occupational therapist, Ms A Greef, noted that the plaintiff was employed as a baker at the time of the accident. She noted that post the accident, the plaintiff had a change in his behaviour. She further noted that there has, however, been some sli</w:t>
      </w:r>
      <w:r w:rsidR="00D20713">
        <w:rPr>
          <w:rFonts w:ascii="Arial" w:hAnsi="Arial" w:cs="Arial"/>
          <w:color w:val="0E101A"/>
        </w:rPr>
        <w:t>ght</w:t>
      </w:r>
      <w:r w:rsidR="0084494B" w:rsidRPr="00D724CF">
        <w:rPr>
          <w:rFonts w:ascii="Arial" w:hAnsi="Arial" w:cs="Arial"/>
          <w:color w:val="0E101A"/>
        </w:rPr>
        <w:t xml:space="preserve"> improvement in activity participation of the plaintiff.</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[17]</w:t>
      </w:r>
      <w:r w:rsidRPr="00D724CF">
        <w:rPr>
          <w:rFonts w:ascii="Arial" w:hAnsi="Arial" w:cs="Arial"/>
          <w:color w:val="0E101A"/>
        </w:rPr>
        <w:tab/>
      </w:r>
      <w:r w:rsidR="0084494B" w:rsidRPr="00D724CF">
        <w:rPr>
          <w:rFonts w:ascii="Arial" w:hAnsi="Arial" w:cs="Arial"/>
          <w:color w:val="0E101A"/>
        </w:rPr>
        <w:t>The industrial psychologist, Mr Prinsloo, opined in his report that the plaintiff in the premorbid scenario would have continued to perform his duties as a baker or in a job with similar requirements until retirement.</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lastRenderedPageBreak/>
        <w:t>[18]</w:t>
      </w:r>
      <w:r w:rsidRPr="00D724CF">
        <w:rPr>
          <w:rFonts w:ascii="Arial" w:hAnsi="Arial" w:cs="Arial"/>
          <w:color w:val="0E101A"/>
        </w:rPr>
        <w:tab/>
      </w:r>
      <w:r w:rsidR="0084494B" w:rsidRPr="00D724CF">
        <w:rPr>
          <w:rFonts w:ascii="Arial" w:hAnsi="Arial" w:cs="Arial"/>
          <w:color w:val="0E101A"/>
        </w:rPr>
        <w:t>The industrial psychologist records the earnings of the plaintiff premorbid as R96 671.00 per annum. In the post-morbid scenario, the earnings of the plaintiff were projected at R129 757.00</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Default="00D23610" w:rsidP="00D23610">
      <w:pPr>
        <w:pStyle w:val="NormalWeb"/>
        <w:spacing w:before="0" w:beforeAutospacing="0" w:after="0" w:afterAutospacing="0" w:line="360" w:lineRule="auto"/>
        <w:jc w:val="both"/>
        <w:rPr>
          <w:rFonts w:ascii="Arial" w:hAnsi="Arial" w:cs="Arial"/>
          <w:color w:val="0E101A"/>
        </w:rPr>
      </w:pPr>
      <w:r>
        <w:rPr>
          <w:rFonts w:ascii="Arial" w:hAnsi="Arial" w:cs="Arial"/>
          <w:color w:val="0E101A"/>
        </w:rPr>
        <w:t>[19]</w:t>
      </w:r>
      <w:r>
        <w:rPr>
          <w:rFonts w:ascii="Arial" w:hAnsi="Arial" w:cs="Arial"/>
          <w:color w:val="0E101A"/>
        </w:rPr>
        <w:tab/>
      </w:r>
      <w:r w:rsidR="0084494B" w:rsidRPr="00D724CF">
        <w:rPr>
          <w:rFonts w:ascii="Arial" w:hAnsi="Arial" w:cs="Arial"/>
          <w:color w:val="0E101A"/>
        </w:rPr>
        <w:t>In support of the contention that the plaintiff is entitled to the amount of R750 000.00 for general damages, the Plaintiff's Counsel referred to and compared three judgments with the facts of this case. The first case is that of Oostlsuizen v Road Accident Fund</w:t>
      </w:r>
      <w:r w:rsidR="00D20713">
        <w:rPr>
          <w:rFonts w:ascii="Arial" w:hAnsi="Arial" w:cs="Arial"/>
          <w:color w:val="0E101A"/>
        </w:rPr>
        <w:t>,</w:t>
      </w:r>
      <w:r w:rsidR="00D20713">
        <w:rPr>
          <w:rStyle w:val="FootnoteReference"/>
          <w:rFonts w:ascii="Arial" w:hAnsi="Arial" w:cs="Arial"/>
          <w:color w:val="0E101A"/>
        </w:rPr>
        <w:footnoteReference w:id="2"/>
      </w:r>
      <w:r w:rsidR="0084494B" w:rsidRPr="00D724CF">
        <w:rPr>
          <w:rFonts w:ascii="Arial" w:hAnsi="Arial" w:cs="Arial"/>
          <w:color w:val="0E101A"/>
        </w:rPr>
        <w:t xml:space="preserve"> where the court awarded the sum of R500.000.00</w:t>
      </w:r>
      <w:r w:rsidR="00D20713">
        <w:rPr>
          <w:rFonts w:ascii="Arial" w:hAnsi="Arial" w:cs="Arial"/>
          <w:color w:val="0E101A"/>
        </w:rPr>
        <w:t>.</w:t>
      </w:r>
      <w:r w:rsidR="0084494B" w:rsidRPr="00D724CF">
        <w:rPr>
          <w:rFonts w:ascii="Arial" w:hAnsi="Arial" w:cs="Arial"/>
          <w:color w:val="0E101A"/>
        </w:rPr>
        <w:t xml:space="preserve"> </w:t>
      </w:r>
      <w:r w:rsidR="00091460">
        <w:rPr>
          <w:rFonts w:ascii="Arial" w:hAnsi="Arial" w:cs="Arial"/>
          <w:color w:val="0E101A"/>
        </w:rPr>
        <w:t xml:space="preserve"> </w:t>
      </w:r>
      <w:r w:rsidR="0084494B" w:rsidRPr="00D724CF">
        <w:rPr>
          <w:rFonts w:ascii="Arial" w:hAnsi="Arial" w:cs="Arial"/>
          <w:color w:val="0E101A"/>
        </w:rPr>
        <w:t>Similarly, in the second case of Ramolobeng v Lowveld Bus Services (Pty) Ltd and Another</w:t>
      </w:r>
      <w:r w:rsidR="00D20713">
        <w:rPr>
          <w:rFonts w:ascii="Arial" w:hAnsi="Arial" w:cs="Arial"/>
          <w:color w:val="0E101A"/>
        </w:rPr>
        <w:t>,</w:t>
      </w:r>
      <w:r w:rsidR="00D20713">
        <w:rPr>
          <w:rStyle w:val="FootnoteReference"/>
          <w:rFonts w:ascii="Arial" w:hAnsi="Arial" w:cs="Arial"/>
          <w:color w:val="0E101A"/>
        </w:rPr>
        <w:footnoteReference w:id="3"/>
      </w:r>
      <w:r w:rsidR="0084494B" w:rsidRPr="00D724CF">
        <w:rPr>
          <w:rFonts w:ascii="Arial" w:hAnsi="Arial" w:cs="Arial"/>
          <w:color w:val="0E101A"/>
        </w:rPr>
        <w:t xml:space="preserve"> the court awarded the sum of R550 000.00 for general damages. </w:t>
      </w:r>
    </w:p>
    <w:p w:rsidR="00F9429F" w:rsidRPr="00D724CF" w:rsidRDefault="00F9429F"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[20]</w:t>
      </w:r>
      <w:r w:rsidRPr="00D724CF">
        <w:rPr>
          <w:rFonts w:ascii="Arial" w:hAnsi="Arial" w:cs="Arial"/>
          <w:color w:val="0E101A"/>
        </w:rPr>
        <w:tab/>
      </w:r>
      <w:r w:rsidR="0084494B" w:rsidRPr="00D724CF">
        <w:rPr>
          <w:rFonts w:ascii="Arial" w:hAnsi="Arial" w:cs="Arial"/>
          <w:color w:val="0E101A"/>
        </w:rPr>
        <w:t>The third case is April v Road Accident Fund.</w:t>
      </w:r>
      <w:r w:rsidR="00091460">
        <w:rPr>
          <w:rStyle w:val="FootnoteReference"/>
          <w:rFonts w:ascii="Arial" w:hAnsi="Arial" w:cs="Arial"/>
          <w:color w:val="0E101A"/>
        </w:rPr>
        <w:footnoteReference w:id="4"/>
      </w:r>
      <w:r w:rsidR="0084494B" w:rsidRPr="00D724CF">
        <w:rPr>
          <w:rFonts w:ascii="Arial" w:hAnsi="Arial" w:cs="Arial"/>
          <w:color w:val="0E101A"/>
        </w:rPr>
        <w:t xml:space="preserve"> That case involved a Grade R teacher who sustained head and spine injuries which were conservatively treated, and the plaintiff was eventually discharged with a neck brace. She returned to her pre-accident vocation, but the sequelae of her injuries never disappeared and, over time, became worse both cognitively and physically to such an extent that she found it extremely difficult to comply with the physical and cognitive demands of her job. The cognitive fallout resulting from the accident reached a stage where she simply could not remember things and thus had to make notes to remind herself of her duties and daily tasks. The court found that R750 000.00 compensation for general damages was, in the circumstances, reasonable.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[21]</w:t>
      </w:r>
      <w:r w:rsidRPr="00D724CF">
        <w:rPr>
          <w:rFonts w:ascii="Arial" w:hAnsi="Arial" w:cs="Arial"/>
          <w:color w:val="0E101A"/>
        </w:rPr>
        <w:tab/>
      </w:r>
      <w:r w:rsidR="0084494B" w:rsidRPr="00D724CF">
        <w:rPr>
          <w:rFonts w:ascii="Arial" w:hAnsi="Arial" w:cs="Arial"/>
          <w:color w:val="0E101A"/>
        </w:rPr>
        <w:t>The case of the defendant, as I understand it, is that it does not dispute the plaintiff's claim but disputes the quantification thereof. It further noted that the GCS was 13/15 and that the plaintiff was reported to have been intoxicated at the time of the accident, and that he never lost consciousness.</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[22]</w:t>
      </w:r>
      <w:r w:rsidRPr="00D724CF">
        <w:rPr>
          <w:rFonts w:ascii="Arial" w:hAnsi="Arial" w:cs="Arial"/>
          <w:color w:val="0E101A"/>
        </w:rPr>
        <w:tab/>
      </w:r>
      <w:r w:rsidR="0084494B" w:rsidRPr="00D724CF">
        <w:rPr>
          <w:rFonts w:ascii="Arial" w:hAnsi="Arial" w:cs="Arial"/>
          <w:color w:val="0E101A"/>
        </w:rPr>
        <w:t>The defendant further accepted that according to the hospital records the plaintiff sustained the following injuries:</w:t>
      </w:r>
    </w:p>
    <w:p w:rsidR="00091460" w:rsidRPr="00D23610" w:rsidRDefault="00D23610" w:rsidP="00D23610">
      <w:pPr>
        <w:spacing w:after="0" w:line="360" w:lineRule="auto"/>
        <w:ind w:left="993" w:hanging="426"/>
        <w:jc w:val="both"/>
        <w:rPr>
          <w:rFonts w:ascii="Arial" w:hAnsi="Arial" w:cs="Arial"/>
          <w:color w:val="0E101A"/>
          <w:sz w:val="24"/>
          <w:szCs w:val="24"/>
        </w:rPr>
      </w:pPr>
      <w:r>
        <w:rPr>
          <w:rFonts w:ascii="Arial" w:hAnsi="Arial" w:cs="Arial"/>
          <w:color w:val="0E101A"/>
          <w:sz w:val="24"/>
          <w:szCs w:val="24"/>
        </w:rPr>
        <w:t>(a)</w:t>
      </w:r>
      <w:r>
        <w:rPr>
          <w:rFonts w:ascii="Arial" w:hAnsi="Arial" w:cs="Arial"/>
          <w:color w:val="0E101A"/>
          <w:sz w:val="24"/>
          <w:szCs w:val="24"/>
        </w:rPr>
        <w:tab/>
      </w:r>
      <w:r w:rsidR="00910420" w:rsidRPr="00D23610">
        <w:rPr>
          <w:rFonts w:ascii="Arial" w:hAnsi="Arial" w:cs="Arial"/>
          <w:color w:val="0E101A"/>
          <w:sz w:val="24"/>
          <w:szCs w:val="24"/>
        </w:rPr>
        <w:t xml:space="preserve"> </w:t>
      </w:r>
      <w:r w:rsidR="0084494B" w:rsidRPr="00D23610">
        <w:rPr>
          <w:rFonts w:ascii="Arial" w:hAnsi="Arial" w:cs="Arial"/>
          <w:color w:val="0E101A"/>
          <w:sz w:val="24"/>
          <w:szCs w:val="24"/>
        </w:rPr>
        <w:t>Fluid was drained out of the right ear.</w:t>
      </w:r>
    </w:p>
    <w:p w:rsidR="00091460" w:rsidRPr="00D23610" w:rsidRDefault="00D23610" w:rsidP="00D23610">
      <w:pPr>
        <w:spacing w:after="0" w:line="360" w:lineRule="auto"/>
        <w:ind w:left="993" w:hanging="426"/>
        <w:jc w:val="both"/>
        <w:rPr>
          <w:rFonts w:ascii="Arial" w:hAnsi="Arial" w:cs="Arial"/>
          <w:color w:val="0E101A"/>
          <w:sz w:val="24"/>
          <w:szCs w:val="24"/>
        </w:rPr>
      </w:pPr>
      <w:r>
        <w:rPr>
          <w:rFonts w:ascii="Arial" w:hAnsi="Arial" w:cs="Arial"/>
          <w:color w:val="0E101A"/>
          <w:sz w:val="24"/>
          <w:szCs w:val="24"/>
        </w:rPr>
        <w:t>(b)</w:t>
      </w:r>
      <w:r>
        <w:rPr>
          <w:rFonts w:ascii="Arial" w:hAnsi="Arial" w:cs="Arial"/>
          <w:color w:val="0E101A"/>
          <w:sz w:val="24"/>
          <w:szCs w:val="24"/>
        </w:rPr>
        <w:tab/>
      </w:r>
      <w:r w:rsidR="0084494B" w:rsidRPr="00D23610">
        <w:rPr>
          <w:rFonts w:ascii="Arial" w:hAnsi="Arial" w:cs="Arial"/>
          <w:color w:val="0E101A"/>
          <w:sz w:val="24"/>
          <w:szCs w:val="24"/>
        </w:rPr>
        <w:t>Laceration of the right arm, and the right-hand.</w:t>
      </w:r>
    </w:p>
    <w:p w:rsidR="00091460" w:rsidRPr="00D23610" w:rsidRDefault="00D23610" w:rsidP="00D23610">
      <w:pPr>
        <w:spacing w:after="0" w:line="360" w:lineRule="auto"/>
        <w:ind w:left="993" w:hanging="426"/>
        <w:jc w:val="both"/>
        <w:rPr>
          <w:rFonts w:ascii="Arial" w:hAnsi="Arial" w:cs="Arial"/>
          <w:color w:val="0E101A"/>
          <w:sz w:val="24"/>
          <w:szCs w:val="24"/>
        </w:rPr>
      </w:pPr>
      <w:r>
        <w:rPr>
          <w:rFonts w:ascii="Arial" w:hAnsi="Arial" w:cs="Arial"/>
          <w:color w:val="0E101A"/>
          <w:sz w:val="24"/>
          <w:szCs w:val="24"/>
        </w:rPr>
        <w:lastRenderedPageBreak/>
        <w:t>(c)</w:t>
      </w:r>
      <w:r>
        <w:rPr>
          <w:rFonts w:ascii="Arial" w:hAnsi="Arial" w:cs="Arial"/>
          <w:color w:val="0E101A"/>
          <w:sz w:val="24"/>
          <w:szCs w:val="24"/>
        </w:rPr>
        <w:tab/>
      </w:r>
      <w:r w:rsidR="0084494B" w:rsidRPr="00D23610">
        <w:rPr>
          <w:rFonts w:ascii="Arial" w:hAnsi="Arial" w:cs="Arial"/>
          <w:color w:val="0E101A"/>
          <w:sz w:val="24"/>
          <w:szCs w:val="24"/>
        </w:rPr>
        <w:t>Laceration to the forehead.</w:t>
      </w:r>
    </w:p>
    <w:p w:rsidR="00091460" w:rsidRPr="00D23610" w:rsidRDefault="00D23610" w:rsidP="00D23610">
      <w:pPr>
        <w:spacing w:after="0" w:line="360" w:lineRule="auto"/>
        <w:ind w:left="993" w:hanging="426"/>
        <w:jc w:val="both"/>
        <w:rPr>
          <w:rFonts w:ascii="Arial" w:hAnsi="Arial" w:cs="Arial"/>
          <w:color w:val="0E101A"/>
          <w:sz w:val="24"/>
          <w:szCs w:val="24"/>
        </w:rPr>
      </w:pPr>
      <w:r>
        <w:rPr>
          <w:rFonts w:ascii="Arial" w:hAnsi="Arial" w:cs="Arial"/>
          <w:color w:val="0E101A"/>
          <w:sz w:val="24"/>
          <w:szCs w:val="24"/>
        </w:rPr>
        <w:t>(d)</w:t>
      </w:r>
      <w:r>
        <w:rPr>
          <w:rFonts w:ascii="Arial" w:hAnsi="Arial" w:cs="Arial"/>
          <w:color w:val="0E101A"/>
          <w:sz w:val="24"/>
          <w:szCs w:val="24"/>
        </w:rPr>
        <w:tab/>
      </w:r>
      <w:r w:rsidR="00910420" w:rsidRPr="00D23610">
        <w:rPr>
          <w:rFonts w:ascii="Arial" w:hAnsi="Arial" w:cs="Arial"/>
          <w:color w:val="0E101A"/>
          <w:sz w:val="24"/>
          <w:szCs w:val="24"/>
        </w:rPr>
        <w:t xml:space="preserve"> </w:t>
      </w:r>
      <w:r w:rsidR="0084494B" w:rsidRPr="00D23610">
        <w:rPr>
          <w:rFonts w:ascii="Arial" w:hAnsi="Arial" w:cs="Arial"/>
          <w:color w:val="0E101A"/>
          <w:sz w:val="24"/>
          <w:szCs w:val="24"/>
        </w:rPr>
        <w:t>Six cervical spine tenderness.</w:t>
      </w:r>
    </w:p>
    <w:p w:rsidR="00091460" w:rsidRPr="00D23610" w:rsidRDefault="00D23610" w:rsidP="00D23610">
      <w:pPr>
        <w:spacing w:after="0" w:line="360" w:lineRule="auto"/>
        <w:ind w:left="993" w:hanging="426"/>
        <w:jc w:val="both"/>
        <w:rPr>
          <w:rFonts w:ascii="Arial" w:hAnsi="Arial" w:cs="Arial"/>
          <w:color w:val="0E101A"/>
          <w:sz w:val="24"/>
          <w:szCs w:val="24"/>
        </w:rPr>
      </w:pPr>
      <w:r>
        <w:rPr>
          <w:rFonts w:ascii="Arial" w:hAnsi="Arial" w:cs="Arial"/>
          <w:color w:val="0E101A"/>
          <w:sz w:val="24"/>
          <w:szCs w:val="24"/>
        </w:rPr>
        <w:t>(e)</w:t>
      </w:r>
      <w:r>
        <w:rPr>
          <w:rFonts w:ascii="Arial" w:hAnsi="Arial" w:cs="Arial"/>
          <w:color w:val="0E101A"/>
          <w:sz w:val="24"/>
          <w:szCs w:val="24"/>
        </w:rPr>
        <w:tab/>
      </w:r>
      <w:r w:rsidR="00910420" w:rsidRPr="00D23610">
        <w:rPr>
          <w:rFonts w:ascii="Arial" w:hAnsi="Arial" w:cs="Arial"/>
          <w:color w:val="0E101A"/>
          <w:sz w:val="24"/>
          <w:szCs w:val="24"/>
        </w:rPr>
        <w:t xml:space="preserve"> </w:t>
      </w:r>
      <w:r w:rsidR="0084494B" w:rsidRPr="00D23610">
        <w:rPr>
          <w:rFonts w:ascii="Arial" w:hAnsi="Arial" w:cs="Arial"/>
          <w:color w:val="0E101A"/>
          <w:sz w:val="24"/>
          <w:szCs w:val="24"/>
        </w:rPr>
        <w:t>Multiple operations to the anterior arm closed.</w:t>
      </w:r>
    </w:p>
    <w:p w:rsidR="0084494B" w:rsidRPr="00D23610" w:rsidRDefault="00D23610" w:rsidP="00D23610">
      <w:p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(f)</w:t>
      </w:r>
      <w:r w:rsidRPr="00091460">
        <w:rPr>
          <w:rFonts w:ascii="Arial" w:hAnsi="Arial" w:cs="Arial"/>
          <w:color w:val="0E101A"/>
          <w:sz w:val="24"/>
          <w:szCs w:val="24"/>
        </w:rPr>
        <w:tab/>
      </w:r>
      <w:r w:rsidR="00910420" w:rsidRPr="00D23610">
        <w:rPr>
          <w:rFonts w:ascii="Arial" w:hAnsi="Arial" w:cs="Arial"/>
          <w:color w:val="0E101A"/>
          <w:sz w:val="24"/>
          <w:szCs w:val="24"/>
        </w:rPr>
        <w:t xml:space="preserve"> </w:t>
      </w:r>
      <w:r w:rsidR="00091460" w:rsidRPr="00D23610">
        <w:rPr>
          <w:rFonts w:ascii="Arial" w:hAnsi="Arial" w:cs="Arial"/>
          <w:color w:val="0E101A"/>
          <w:sz w:val="24"/>
          <w:szCs w:val="24"/>
        </w:rPr>
        <w:t>H</w:t>
      </w:r>
      <w:r w:rsidR="0084494B" w:rsidRPr="00D23610">
        <w:rPr>
          <w:rFonts w:ascii="Arial" w:hAnsi="Arial" w:cs="Arial"/>
          <w:color w:val="0E101A"/>
          <w:sz w:val="24"/>
          <w:szCs w:val="24"/>
        </w:rPr>
        <w:t>ead injury.</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[23]</w:t>
      </w:r>
      <w:r w:rsidRPr="00D724CF">
        <w:rPr>
          <w:rFonts w:ascii="Arial" w:hAnsi="Arial" w:cs="Arial"/>
          <w:color w:val="0E101A"/>
        </w:rPr>
        <w:tab/>
      </w:r>
      <w:r w:rsidR="0084494B" w:rsidRPr="00D724CF">
        <w:rPr>
          <w:rFonts w:ascii="Arial" w:hAnsi="Arial" w:cs="Arial"/>
          <w:color w:val="0E101A"/>
        </w:rPr>
        <w:t>The other contention of the defendant is that the plaintiff did not qualify as having serious injuries under the Narrative Test.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[24]</w:t>
      </w:r>
      <w:r w:rsidRPr="00D724CF">
        <w:rPr>
          <w:rFonts w:ascii="Arial" w:hAnsi="Arial" w:cs="Arial"/>
          <w:color w:val="0E101A"/>
        </w:rPr>
        <w:tab/>
      </w:r>
      <w:r w:rsidR="0084494B" w:rsidRPr="00D724CF">
        <w:rPr>
          <w:rFonts w:ascii="Arial" w:hAnsi="Arial" w:cs="Arial"/>
          <w:color w:val="0E101A"/>
        </w:rPr>
        <w:t>In support of its contention that the plaintiff qualified for only R450 000.00 (less 50% =R353 079.65) the defendant referred to the following cases; Schutte v Road Accident Fund (2010) LNQD 4 (NCK) and Donough v Road Accident Fund</w:t>
      </w:r>
      <w:r w:rsidR="00091460">
        <w:rPr>
          <w:rFonts w:ascii="Arial" w:hAnsi="Arial" w:cs="Arial"/>
          <w:color w:val="0E101A"/>
        </w:rPr>
        <w:t>.</w:t>
      </w:r>
      <w:r w:rsidR="00091460">
        <w:rPr>
          <w:rStyle w:val="FootnoteReference"/>
          <w:rFonts w:ascii="Arial" w:hAnsi="Arial" w:cs="Arial"/>
          <w:color w:val="0E101A"/>
        </w:rPr>
        <w:footnoteReference w:id="5"/>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[25]</w:t>
      </w:r>
      <w:r w:rsidRPr="00D724CF">
        <w:rPr>
          <w:rFonts w:ascii="Arial" w:hAnsi="Arial" w:cs="Arial"/>
          <w:color w:val="0E101A"/>
        </w:rPr>
        <w:tab/>
      </w:r>
      <w:r w:rsidR="0084494B" w:rsidRPr="00D724CF">
        <w:rPr>
          <w:rFonts w:ascii="Arial" w:hAnsi="Arial" w:cs="Arial"/>
          <w:color w:val="0E101A"/>
        </w:rPr>
        <w:t>In Schecutte's case, the plaintiff was a 20-year-old male who sustained moderate to severe brain injury, mild frontal lobe hemisphere swellings, subarachnoid, haemorrhage lumber spondylosis night haemorrhage lumbar spore the losses with progressive worsening of the lower back pain. He also suffered memory loss, aggression and sleeplessness. He was admitted to the hospital with GCS on 11/15 and was awarded R350 000.00 for damages. The current value, according to the defendant, would amount to R367 600.00.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091460" w:rsidRDefault="00D23610" w:rsidP="00D23610">
      <w:pPr>
        <w:pStyle w:val="NormalWeb"/>
        <w:spacing w:before="0" w:beforeAutospacing="0" w:after="0" w:afterAutospacing="0" w:line="360" w:lineRule="auto"/>
        <w:jc w:val="both"/>
        <w:rPr>
          <w:rFonts w:ascii="Arial" w:hAnsi="Arial" w:cs="Arial"/>
          <w:color w:val="0E101A"/>
        </w:rPr>
      </w:pPr>
      <w:r w:rsidRPr="00091460">
        <w:rPr>
          <w:rFonts w:ascii="Arial" w:hAnsi="Arial" w:cs="Arial"/>
          <w:color w:val="0E101A"/>
        </w:rPr>
        <w:t>[26]</w:t>
      </w:r>
      <w:r w:rsidRPr="00091460">
        <w:rPr>
          <w:rFonts w:ascii="Arial" w:hAnsi="Arial" w:cs="Arial"/>
          <w:color w:val="0E101A"/>
        </w:rPr>
        <w:tab/>
      </w:r>
      <w:r w:rsidR="0084494B" w:rsidRPr="00D724CF">
        <w:rPr>
          <w:rFonts w:ascii="Arial" w:hAnsi="Arial" w:cs="Arial"/>
          <w:color w:val="0E101A"/>
        </w:rPr>
        <w:t>In Donough's case, a 30 years-old woman sustained a head injury causing her fatigue, headaches, virtual impairment, impairment of cognitive mental function, depression and emotional difficulties of a permanent nature. She also had a knee injury causing her pain which became aggravated in extreme weather. </w:t>
      </w:r>
      <w:r w:rsidR="0084494B" w:rsidRPr="00091460">
        <w:rPr>
          <w:rFonts w:ascii="Arial" w:hAnsi="Arial" w:cs="Arial"/>
          <w:color w:val="0E101A"/>
        </w:rPr>
        <w:t>In that case, the court awarded the plaintiff the sum of R325 000.00, with the current value being R617.000.00. </w:t>
      </w:r>
    </w:p>
    <w:p w:rsidR="00F9429F" w:rsidRPr="00D724CF" w:rsidRDefault="00F9429F"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[27]</w:t>
      </w:r>
      <w:r w:rsidRPr="00D724CF">
        <w:rPr>
          <w:rFonts w:ascii="Arial" w:hAnsi="Arial" w:cs="Arial"/>
          <w:color w:val="0E101A"/>
        </w:rPr>
        <w:tab/>
      </w:r>
      <w:r w:rsidR="0084494B" w:rsidRPr="00D724CF">
        <w:rPr>
          <w:rFonts w:ascii="Arial" w:hAnsi="Arial" w:cs="Arial"/>
          <w:color w:val="0E101A"/>
        </w:rPr>
        <w:t>It is on the basis of the above that the defendant contended that reasonable and fair compensation for the plaintiff in the circumstances of this case is R450 000.00. </w:t>
      </w:r>
    </w:p>
    <w:p w:rsidR="004B3B0C" w:rsidRDefault="004B3B0C" w:rsidP="004B3B0C">
      <w:pPr>
        <w:pStyle w:val="NormalWeb"/>
        <w:spacing w:before="0" w:beforeAutospacing="0" w:after="0" w:afterAutospacing="0" w:line="360" w:lineRule="auto"/>
        <w:jc w:val="both"/>
        <w:rPr>
          <w:rStyle w:val="Strong"/>
          <w:rFonts w:ascii="Arial" w:eastAsiaTheme="minorEastAsia" w:hAnsi="Arial" w:cs="Arial"/>
          <w:color w:val="0E101A"/>
        </w:rPr>
      </w:pPr>
    </w:p>
    <w:p w:rsidR="0084494B" w:rsidRDefault="0084494B" w:rsidP="004B3B0C">
      <w:pPr>
        <w:pStyle w:val="NormalWeb"/>
        <w:spacing w:before="0" w:beforeAutospacing="0" w:after="0" w:afterAutospacing="0" w:line="360" w:lineRule="auto"/>
        <w:jc w:val="both"/>
        <w:rPr>
          <w:rStyle w:val="Strong"/>
          <w:rFonts w:ascii="Arial" w:eastAsiaTheme="minorEastAsia" w:hAnsi="Arial" w:cs="Arial"/>
          <w:color w:val="0E101A"/>
        </w:rPr>
      </w:pPr>
      <w:r w:rsidRPr="00D724CF">
        <w:rPr>
          <w:rStyle w:val="Strong"/>
          <w:rFonts w:ascii="Arial" w:eastAsiaTheme="minorEastAsia" w:hAnsi="Arial" w:cs="Arial"/>
          <w:color w:val="0E101A"/>
        </w:rPr>
        <w:t>General damages</w:t>
      </w:r>
    </w:p>
    <w:p w:rsidR="00F9429F" w:rsidRPr="00D724CF" w:rsidRDefault="00F9429F"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[28]</w:t>
      </w:r>
      <w:r w:rsidRPr="00D724CF">
        <w:rPr>
          <w:rFonts w:ascii="Arial" w:hAnsi="Arial" w:cs="Arial"/>
          <w:color w:val="0E101A"/>
        </w:rPr>
        <w:tab/>
      </w:r>
      <w:r w:rsidR="0084494B" w:rsidRPr="00D724CF">
        <w:rPr>
          <w:rFonts w:ascii="Arial" w:hAnsi="Arial" w:cs="Arial"/>
          <w:color w:val="0E101A"/>
        </w:rPr>
        <w:t>The written opinions of the plaintiff's experts were not challenged, and there is no reason to doubt their authenticity. In this regard, it is clear that the plaintiff suffered permanent loss of hearing, multiple disfiguring scars, laceration of the four head, concussive head injury and mild frontal lobe injury.</w:t>
      </w:r>
    </w:p>
    <w:p w:rsidR="00F9429F" w:rsidRDefault="00F9429F" w:rsidP="004B3B0C">
      <w:pPr>
        <w:pStyle w:val="NormalWeb"/>
        <w:spacing w:before="0" w:beforeAutospacing="0" w:after="0" w:afterAutospacing="0" w:line="360" w:lineRule="auto"/>
        <w:jc w:val="both"/>
        <w:rPr>
          <w:rStyle w:val="Strong"/>
          <w:rFonts w:ascii="Arial" w:eastAsiaTheme="minorEastAsia" w:hAnsi="Arial" w:cs="Arial"/>
          <w:color w:val="0E101A"/>
        </w:rPr>
      </w:pPr>
    </w:p>
    <w:p w:rsidR="0084494B" w:rsidRDefault="0084494B" w:rsidP="004B3B0C">
      <w:pPr>
        <w:pStyle w:val="NormalWeb"/>
        <w:spacing w:before="0" w:beforeAutospacing="0" w:after="0" w:afterAutospacing="0" w:line="360" w:lineRule="auto"/>
        <w:jc w:val="both"/>
        <w:rPr>
          <w:rStyle w:val="Strong"/>
          <w:rFonts w:ascii="Arial" w:eastAsiaTheme="minorEastAsia" w:hAnsi="Arial" w:cs="Arial"/>
          <w:color w:val="0E101A"/>
        </w:rPr>
      </w:pPr>
      <w:r w:rsidRPr="00D724CF">
        <w:rPr>
          <w:rStyle w:val="Strong"/>
          <w:rFonts w:ascii="Arial" w:eastAsiaTheme="minorEastAsia" w:hAnsi="Arial" w:cs="Arial"/>
          <w:color w:val="0E101A"/>
        </w:rPr>
        <w:t>Loss of earning capacity</w:t>
      </w:r>
    </w:p>
    <w:p w:rsidR="00F9429F" w:rsidRPr="00D724CF" w:rsidRDefault="00F9429F"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[29]</w:t>
      </w:r>
      <w:r w:rsidRPr="00D724CF">
        <w:rPr>
          <w:rFonts w:ascii="Arial" w:hAnsi="Arial" w:cs="Arial"/>
          <w:color w:val="0E101A"/>
        </w:rPr>
        <w:tab/>
      </w:r>
      <w:r w:rsidR="0084494B" w:rsidRPr="00D724CF">
        <w:rPr>
          <w:rFonts w:ascii="Arial" w:hAnsi="Arial" w:cs="Arial"/>
          <w:color w:val="0E101A"/>
        </w:rPr>
        <w:t>In calculating the loss of income, the actuary, Mr Whittaker, took into account the opinion of the industrial psychologist and applied a deduction of 5% to the plaintiff's past loss of income. He then applied 10% to the pre-accident earnings and 38% to the post-accident earnings. The calculation which incorporates the contingencies is as follows: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Style w:val="Strong"/>
          <w:rFonts w:ascii="Arial" w:eastAsiaTheme="minorEastAsia" w:hAnsi="Arial" w:cs="Arial"/>
          <w:color w:val="0E101A"/>
          <w:u w:val="single"/>
        </w:rPr>
        <w:t xml:space="preserve"> </w:t>
      </w:r>
      <w:r w:rsidR="0084494B" w:rsidRPr="00D724CF">
        <w:rPr>
          <w:rStyle w:val="Strong"/>
          <w:rFonts w:ascii="Arial" w:eastAsiaTheme="minorEastAsia" w:hAnsi="Arial" w:cs="Arial"/>
          <w:color w:val="0E101A"/>
          <w:u w:val="single"/>
        </w:rPr>
        <w:t>Past loss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 xml:space="preserve">Value of income uninjured: </w:t>
      </w:r>
      <w:r w:rsidR="00091460">
        <w:rPr>
          <w:rFonts w:ascii="Arial" w:hAnsi="Arial" w:cs="Arial"/>
          <w:color w:val="0E101A"/>
        </w:rPr>
        <w:tab/>
      </w:r>
      <w:r w:rsidR="00091460">
        <w:rPr>
          <w:rFonts w:ascii="Arial" w:hAnsi="Arial" w:cs="Arial"/>
          <w:color w:val="0E101A"/>
        </w:rPr>
        <w:tab/>
      </w:r>
      <w:r w:rsidR="00091460">
        <w:rPr>
          <w:rFonts w:ascii="Arial" w:hAnsi="Arial" w:cs="Arial"/>
          <w:color w:val="0E101A"/>
        </w:rPr>
        <w:tab/>
      </w:r>
      <w:r w:rsidR="00091460">
        <w:rPr>
          <w:rFonts w:ascii="Arial" w:hAnsi="Arial" w:cs="Arial"/>
          <w:color w:val="0E101A"/>
        </w:rPr>
        <w:tab/>
      </w:r>
      <w:r w:rsidR="0084494B" w:rsidRPr="00D724CF">
        <w:rPr>
          <w:rFonts w:ascii="Arial" w:hAnsi="Arial" w:cs="Arial"/>
          <w:color w:val="0E101A"/>
        </w:rPr>
        <w:t>R12,405.00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Less contingency deduction: 5.00%       </w:t>
      </w:r>
      <w:r w:rsidR="00091460">
        <w:rPr>
          <w:rFonts w:ascii="Arial" w:hAnsi="Arial" w:cs="Arial"/>
          <w:color w:val="0E101A"/>
        </w:rPr>
        <w:tab/>
      </w:r>
      <w:r w:rsidR="00091460">
        <w:rPr>
          <w:rFonts w:ascii="Arial" w:hAnsi="Arial" w:cs="Arial"/>
          <w:color w:val="0E101A"/>
        </w:rPr>
        <w:tab/>
      </w:r>
      <w:r w:rsidR="0084494B" w:rsidRPr="00D724CF">
        <w:rPr>
          <w:rFonts w:ascii="Arial" w:hAnsi="Arial" w:cs="Arial"/>
          <w:color w:val="0E101A"/>
          <w:u w:val="single"/>
        </w:rPr>
        <w:t>R620.00</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Net past loss:                                                          </w:t>
      </w:r>
      <w:r w:rsidR="0084494B" w:rsidRPr="00D724CF">
        <w:rPr>
          <w:rFonts w:ascii="Arial" w:hAnsi="Arial" w:cs="Arial"/>
          <w:color w:val="0E101A"/>
          <w:u w:val="single"/>
        </w:rPr>
        <w:t> R11,765.00</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Style w:val="Strong"/>
          <w:rFonts w:ascii="Arial" w:eastAsiaTheme="minorEastAsia" w:hAnsi="Arial" w:cs="Arial"/>
          <w:color w:val="0E101A"/>
        </w:rPr>
        <w:t xml:space="preserve"> </w:t>
      </w:r>
      <w:r w:rsidR="0084494B" w:rsidRPr="00D724CF">
        <w:rPr>
          <w:rStyle w:val="Strong"/>
          <w:rFonts w:ascii="Arial" w:eastAsiaTheme="minorEastAsia" w:hAnsi="Arial" w:cs="Arial"/>
          <w:color w:val="0E101A"/>
        </w:rPr>
        <w:t>Future loss</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Value of income uninjured: R1,224,974.00</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Less contingency deduction: 10 00%                       </w:t>
      </w:r>
      <w:r w:rsidR="0084494B" w:rsidRPr="00D724CF">
        <w:rPr>
          <w:rFonts w:ascii="Arial" w:hAnsi="Arial" w:cs="Arial"/>
          <w:color w:val="0E101A"/>
          <w:u w:val="single"/>
        </w:rPr>
        <w:t>R122,497.00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R1,102,477.00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Value of income injured: R1,224,974</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Less contingency deduction: 38.00%                       </w:t>
      </w:r>
      <w:r w:rsidR="0084494B" w:rsidRPr="00D724CF">
        <w:rPr>
          <w:rFonts w:ascii="Arial" w:hAnsi="Arial" w:cs="Arial"/>
          <w:color w:val="0E101A"/>
          <w:u w:val="single"/>
        </w:rPr>
        <w:t>R465,490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R759,484.00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Net future loss: R342,993.00 </w:t>
      </w:r>
    </w:p>
    <w:p w:rsidR="0084494B" w:rsidRPr="00D724CF" w:rsidRDefault="00910420" w:rsidP="004B3B0C">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Total net loss:                                                          </w:t>
      </w:r>
      <w:r w:rsidR="0084494B" w:rsidRPr="00D724CF">
        <w:rPr>
          <w:rStyle w:val="Strong"/>
          <w:rFonts w:ascii="Arial" w:eastAsiaTheme="minorEastAsia" w:hAnsi="Arial" w:cs="Arial"/>
          <w:color w:val="0E101A"/>
          <w:u w:val="single"/>
        </w:rPr>
        <w:t>R354,778.00</w:t>
      </w:r>
    </w:p>
    <w:p w:rsidR="00D26487" w:rsidRDefault="00910420" w:rsidP="004B3B0C">
      <w:pPr>
        <w:pStyle w:val="NormalWeb"/>
        <w:spacing w:before="0" w:beforeAutospacing="0" w:after="0" w:afterAutospacing="0" w:line="360" w:lineRule="auto"/>
        <w:ind w:left="360"/>
        <w:jc w:val="both"/>
        <w:rPr>
          <w:rStyle w:val="Strong"/>
          <w:rFonts w:ascii="Arial" w:eastAsiaTheme="minorEastAsia" w:hAnsi="Arial" w:cs="Arial"/>
          <w:color w:val="0E101A"/>
        </w:rPr>
      </w:pPr>
      <w:r>
        <w:rPr>
          <w:rStyle w:val="Strong"/>
          <w:rFonts w:ascii="Arial" w:eastAsiaTheme="minorEastAsia" w:hAnsi="Arial" w:cs="Arial"/>
          <w:color w:val="0E101A"/>
        </w:rPr>
        <w:t xml:space="preserve"> </w:t>
      </w:r>
    </w:p>
    <w:p w:rsidR="0084494B" w:rsidRPr="00D724CF" w:rsidRDefault="0084494B" w:rsidP="00D26487">
      <w:pPr>
        <w:pStyle w:val="NormalWeb"/>
        <w:spacing w:before="0" w:beforeAutospacing="0" w:after="0" w:afterAutospacing="0" w:line="360" w:lineRule="auto"/>
        <w:jc w:val="both"/>
        <w:rPr>
          <w:rFonts w:ascii="Arial" w:hAnsi="Arial" w:cs="Arial"/>
          <w:color w:val="0E101A"/>
        </w:rPr>
      </w:pPr>
      <w:r w:rsidRPr="00D724CF">
        <w:rPr>
          <w:rStyle w:val="Strong"/>
          <w:rFonts w:ascii="Arial" w:eastAsiaTheme="minorEastAsia" w:hAnsi="Arial" w:cs="Arial"/>
          <w:color w:val="0E101A"/>
        </w:rPr>
        <w:t>General principles</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[30]</w:t>
      </w:r>
      <w:r w:rsidRPr="00D724CF">
        <w:rPr>
          <w:rFonts w:ascii="Arial" w:hAnsi="Arial" w:cs="Arial"/>
          <w:color w:val="0E101A"/>
        </w:rPr>
        <w:tab/>
      </w:r>
      <w:r w:rsidR="0084494B" w:rsidRPr="00D724CF">
        <w:rPr>
          <w:rFonts w:ascii="Arial" w:hAnsi="Arial" w:cs="Arial"/>
          <w:color w:val="0E101A"/>
        </w:rPr>
        <w:t xml:space="preserve">The basic principle of our law is that a person who suffers patrimonial loss consequent to the negligence of another is entitled to be compensated to the extent of the loss. The damages often involve loss of earning capacity. It is generally not difficult to establish the nature of the negligent conduct of the </w:t>
      </w:r>
      <w:r w:rsidR="00091460">
        <w:rPr>
          <w:rFonts w:ascii="Arial" w:hAnsi="Arial" w:cs="Arial"/>
          <w:color w:val="0E101A"/>
        </w:rPr>
        <w:t>guilty</w:t>
      </w:r>
      <w:r w:rsidR="0084494B" w:rsidRPr="00D724CF">
        <w:rPr>
          <w:rFonts w:ascii="Arial" w:hAnsi="Arial" w:cs="Arial"/>
          <w:color w:val="0E101A"/>
        </w:rPr>
        <w:t xml:space="preserve"> party. The difficulty which the courts have grappled with over time concerns the calculation of the quantum </w:t>
      </w:r>
      <w:r w:rsidR="0084494B" w:rsidRPr="00D724CF">
        <w:rPr>
          <w:rFonts w:ascii="Arial" w:hAnsi="Arial" w:cs="Arial"/>
          <w:color w:val="0E101A"/>
        </w:rPr>
        <w:lastRenderedPageBreak/>
        <w:t>of damages</w:t>
      </w:r>
      <w:r w:rsidR="00091460">
        <w:rPr>
          <w:rFonts w:ascii="Arial" w:hAnsi="Arial" w:cs="Arial"/>
          <w:color w:val="0E101A"/>
        </w:rPr>
        <w:t>.</w:t>
      </w:r>
      <w:r w:rsidR="00502FEB">
        <w:rPr>
          <w:rStyle w:val="FootnoteReference"/>
          <w:rFonts w:ascii="Arial" w:hAnsi="Arial" w:cs="Arial"/>
          <w:color w:val="0E101A"/>
        </w:rPr>
        <w:footnoteReference w:id="6"/>
      </w:r>
      <w:r w:rsidR="00091460">
        <w:rPr>
          <w:rFonts w:ascii="Arial" w:hAnsi="Arial" w:cs="Arial"/>
          <w:color w:val="0E101A"/>
        </w:rPr>
        <w:t xml:space="preserve"> </w:t>
      </w:r>
      <w:r w:rsidR="0084494B" w:rsidRPr="00D724CF">
        <w:rPr>
          <w:rFonts w:ascii="Arial" w:hAnsi="Arial" w:cs="Arial"/>
          <w:color w:val="0E101A"/>
        </w:rPr>
        <w:t>In dealing with this difficulty, the courts have adopted a two-pronged approach, namely (a) relying on the actuarial calculations if the same had been provided and (b) exercising its discretion in determining a just and reasonable award. In exercising its discretion, the court may take into account the actuarial calculations. The actuarial calculation is useful in that it provides the value of the loss on some logical basis. In Southern Insurance Association Ltd v Bailey NO</w:t>
      </w:r>
      <w:r w:rsidR="00091460">
        <w:rPr>
          <w:rFonts w:ascii="Arial" w:hAnsi="Arial" w:cs="Arial"/>
          <w:color w:val="0E101A"/>
        </w:rPr>
        <w:t>,</w:t>
      </w:r>
      <w:r w:rsidR="00091460">
        <w:rPr>
          <w:rStyle w:val="FootnoteReference"/>
          <w:rFonts w:ascii="Arial" w:hAnsi="Arial" w:cs="Arial"/>
          <w:color w:val="0E101A"/>
        </w:rPr>
        <w:footnoteReference w:id="7"/>
      </w:r>
      <w:r w:rsidR="0084494B" w:rsidRPr="00D724CF">
        <w:rPr>
          <w:rFonts w:ascii="Arial" w:hAnsi="Arial" w:cs="Arial"/>
          <w:color w:val="0E101A"/>
        </w:rPr>
        <w:t xml:space="preserve">  the court held:</w:t>
      </w:r>
    </w:p>
    <w:p w:rsidR="0084494B" w:rsidRPr="00D26487" w:rsidRDefault="00F9429F" w:rsidP="004B3B0C">
      <w:pPr>
        <w:pStyle w:val="NormalWeb"/>
        <w:spacing w:before="0" w:beforeAutospacing="0" w:after="0" w:afterAutospacing="0" w:line="360" w:lineRule="auto"/>
        <w:ind w:left="360"/>
        <w:jc w:val="both"/>
        <w:rPr>
          <w:rFonts w:ascii="Arial" w:hAnsi="Arial" w:cs="Arial"/>
          <w:color w:val="0E101A"/>
          <w:sz w:val="22"/>
          <w:szCs w:val="22"/>
        </w:rPr>
      </w:pPr>
      <w:r w:rsidRPr="00D26487">
        <w:rPr>
          <w:rFonts w:ascii="Arial" w:hAnsi="Arial" w:cs="Arial"/>
          <w:color w:val="0E101A"/>
          <w:sz w:val="22"/>
          <w:szCs w:val="22"/>
        </w:rPr>
        <w:t xml:space="preserve"> “</w:t>
      </w:r>
      <w:r w:rsidR="0084494B" w:rsidRPr="00D26487">
        <w:rPr>
          <w:rFonts w:ascii="Arial" w:hAnsi="Arial" w:cs="Arial"/>
          <w:color w:val="0E101A"/>
          <w:sz w:val="22"/>
          <w:szCs w:val="22"/>
        </w:rPr>
        <w:t>Where the method of actuarial computation is adopted, it does not mean that the trial Judge is "tied down by inexorable actuarial calculations". He has "a large discretion to award what he considers right" (</w:t>
      </w:r>
      <w:r w:rsidR="0084494B" w:rsidRPr="00D26487">
        <w:rPr>
          <w:rStyle w:val="Emphasis"/>
          <w:rFonts w:ascii="Arial" w:hAnsi="Arial" w:cs="Arial"/>
          <w:color w:val="0E101A"/>
          <w:sz w:val="22"/>
          <w:szCs w:val="22"/>
        </w:rPr>
        <w:t>per</w:t>
      </w:r>
      <w:r w:rsidR="0084494B" w:rsidRPr="00D26487">
        <w:rPr>
          <w:rFonts w:ascii="Arial" w:hAnsi="Arial" w:cs="Arial"/>
          <w:color w:val="0E101A"/>
          <w:sz w:val="22"/>
          <w:szCs w:val="22"/>
        </w:rPr>
        <w:t> HOLMES JA in </w:t>
      </w:r>
      <w:r w:rsidR="0084494B" w:rsidRPr="00D26487">
        <w:rPr>
          <w:rStyle w:val="Emphasis"/>
          <w:rFonts w:ascii="Arial" w:hAnsi="Arial" w:cs="Arial"/>
          <w:color w:val="0E101A"/>
          <w:sz w:val="22"/>
          <w:szCs w:val="22"/>
        </w:rPr>
        <w:t>Legal Assurance Co Ltd v Botes</w:t>
      </w:r>
      <w:r w:rsidR="0084494B" w:rsidRPr="00D26487">
        <w:rPr>
          <w:rFonts w:ascii="Arial" w:hAnsi="Arial" w:cs="Arial"/>
          <w:color w:val="0E101A"/>
          <w:sz w:val="22"/>
          <w:szCs w:val="22"/>
        </w:rPr>
        <w:t> </w:t>
      </w:r>
      <w:hyperlink r:id="rId9" w:tgtFrame="_blank" w:history="1">
        <w:r w:rsidR="0084494B" w:rsidRPr="00D26487">
          <w:rPr>
            <w:rStyle w:val="Hyperlink"/>
            <w:rFonts w:ascii="Arial" w:hAnsi="Arial" w:cs="Arial"/>
            <w:color w:val="auto"/>
            <w:sz w:val="22"/>
            <w:szCs w:val="22"/>
            <w:u w:val="none"/>
          </w:rPr>
          <w:t>1963 (1) SA 608 (A</w:t>
        </w:r>
        <w:r w:rsidR="0084494B" w:rsidRPr="00D26487">
          <w:rPr>
            <w:rStyle w:val="Hyperlink"/>
            <w:rFonts w:ascii="Arial" w:hAnsi="Arial" w:cs="Arial"/>
            <w:color w:val="4A6EE0"/>
            <w:sz w:val="22"/>
            <w:szCs w:val="22"/>
          </w:rPr>
          <w:t>)</w:t>
        </w:r>
      </w:hyperlink>
      <w:r w:rsidR="0084494B" w:rsidRPr="00D26487">
        <w:rPr>
          <w:rFonts w:ascii="Arial" w:hAnsi="Arial" w:cs="Arial"/>
          <w:color w:val="0E101A"/>
          <w:sz w:val="22"/>
          <w:szCs w:val="22"/>
        </w:rPr>
        <w:t> at 614F). One of the elements in exercising that discretion is the making of a discount for "contingencies" or the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 See </w:t>
      </w:r>
      <w:r w:rsidR="0084494B" w:rsidRPr="00D26487">
        <w:rPr>
          <w:rStyle w:val="Emphasis"/>
          <w:rFonts w:ascii="Arial" w:hAnsi="Arial" w:cs="Arial"/>
          <w:color w:val="0E101A"/>
          <w:sz w:val="22"/>
          <w:szCs w:val="22"/>
        </w:rPr>
        <w:t>Van der Plaats v South African Mutual Fire and General Insurance Co Ltd</w:t>
      </w:r>
      <w:r w:rsidR="0084494B" w:rsidRPr="00D26487">
        <w:rPr>
          <w:rFonts w:ascii="Arial" w:hAnsi="Arial" w:cs="Arial"/>
          <w:color w:val="0E101A"/>
          <w:sz w:val="22"/>
          <w:szCs w:val="22"/>
        </w:rPr>
        <w:t> </w:t>
      </w:r>
      <w:hyperlink r:id="rId10" w:tgtFrame="_blank" w:history="1">
        <w:r w:rsidR="0084494B" w:rsidRPr="00D26487">
          <w:rPr>
            <w:rStyle w:val="Hyperlink"/>
            <w:rFonts w:ascii="Arial" w:hAnsi="Arial" w:cs="Arial"/>
            <w:color w:val="auto"/>
            <w:sz w:val="22"/>
            <w:szCs w:val="22"/>
            <w:u w:val="none"/>
          </w:rPr>
          <w:t>1980 (3) SA 105 (A)</w:t>
        </w:r>
      </w:hyperlink>
      <w:r w:rsidR="0084494B" w:rsidRPr="00D26487">
        <w:rPr>
          <w:rFonts w:ascii="Arial" w:hAnsi="Arial" w:cs="Arial"/>
          <w:sz w:val="22"/>
          <w:szCs w:val="22"/>
        </w:rPr>
        <w:t> </w:t>
      </w:r>
      <w:r w:rsidR="0084494B" w:rsidRPr="00D26487">
        <w:rPr>
          <w:rFonts w:ascii="Arial" w:hAnsi="Arial" w:cs="Arial"/>
          <w:color w:val="0E101A"/>
          <w:sz w:val="22"/>
          <w:szCs w:val="22"/>
        </w:rPr>
        <w:t>at 114 - 5. The rate of the discount cannot of course, be assessed on any logical basis: the assessment must be largely arbitrary and must depend upon the trial</w:t>
      </w:r>
      <w:r w:rsidRPr="00D26487">
        <w:rPr>
          <w:rFonts w:ascii="Arial" w:hAnsi="Arial" w:cs="Arial"/>
          <w:color w:val="0E101A"/>
          <w:sz w:val="22"/>
          <w:szCs w:val="22"/>
        </w:rPr>
        <w:t xml:space="preserve"> Judge's impression of the case”</w:t>
      </w:r>
      <w:r w:rsidR="0084494B" w:rsidRPr="00D26487">
        <w:rPr>
          <w:rFonts w:ascii="Arial" w:hAnsi="Arial" w:cs="Arial"/>
          <w:color w:val="0E101A"/>
          <w:sz w:val="22"/>
          <w:szCs w:val="22"/>
        </w:rPr>
        <w:t>.</w:t>
      </w:r>
      <w:r w:rsidR="00091460" w:rsidRPr="00D26487">
        <w:rPr>
          <w:rFonts w:ascii="Arial" w:hAnsi="Arial" w:cs="Arial"/>
          <w:color w:val="0E101A"/>
          <w:sz w:val="22"/>
          <w:szCs w:val="22"/>
        </w:rPr>
        <w:t xml:space="preserve">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Default="0084494B" w:rsidP="004B3B0C">
      <w:pPr>
        <w:pStyle w:val="NormalWeb"/>
        <w:spacing w:before="0" w:beforeAutospacing="0" w:after="0" w:afterAutospacing="0" w:line="360" w:lineRule="auto"/>
        <w:jc w:val="both"/>
        <w:rPr>
          <w:rStyle w:val="Strong"/>
          <w:rFonts w:ascii="Arial" w:eastAsiaTheme="minorEastAsia" w:hAnsi="Arial" w:cs="Arial"/>
          <w:color w:val="0E101A"/>
        </w:rPr>
      </w:pPr>
      <w:r w:rsidRPr="00D724CF">
        <w:rPr>
          <w:rStyle w:val="Strong"/>
          <w:rFonts w:ascii="Arial" w:eastAsiaTheme="minorEastAsia" w:hAnsi="Arial" w:cs="Arial"/>
          <w:color w:val="0E101A"/>
        </w:rPr>
        <w:t>Conclusion</w:t>
      </w:r>
    </w:p>
    <w:p w:rsidR="00F9429F" w:rsidRPr="00D724CF" w:rsidRDefault="00F9429F" w:rsidP="004B3B0C">
      <w:pPr>
        <w:pStyle w:val="NormalWeb"/>
        <w:spacing w:before="0" w:beforeAutospacing="0" w:after="0" w:afterAutospacing="0" w:line="360" w:lineRule="auto"/>
        <w:jc w:val="both"/>
        <w:rPr>
          <w:rFonts w:ascii="Arial" w:hAnsi="Arial" w:cs="Arial"/>
          <w:color w:val="0E101A"/>
        </w:rPr>
      </w:pPr>
    </w:p>
    <w:p w:rsidR="0084494B"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[31]</w:t>
      </w:r>
      <w:r w:rsidRPr="00D724CF">
        <w:rPr>
          <w:rFonts w:ascii="Arial" w:hAnsi="Arial" w:cs="Arial"/>
          <w:color w:val="0E101A"/>
        </w:rPr>
        <w:tab/>
      </w:r>
      <w:r w:rsidR="0084494B" w:rsidRPr="00D724CF">
        <w:rPr>
          <w:rFonts w:ascii="Arial" w:hAnsi="Arial" w:cs="Arial"/>
          <w:color w:val="0E101A"/>
        </w:rPr>
        <w:t>In light of the above analysis, a just and reasonable award to be awarded to the plaintiff in the circumstances is the following: (a) R 750 000 for general damages and R440 525.00 for loss of earnings. The total amount to be awarded before the apportionment of damages would have been R1190525.65. Deducting the 50% apportionment from this amount means that the award to be made to plaintiff is R595 262.83.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F9429F" w:rsidRDefault="0084494B" w:rsidP="004B3B0C">
      <w:pPr>
        <w:pStyle w:val="NormalWeb"/>
        <w:spacing w:before="0" w:beforeAutospacing="0" w:after="0" w:afterAutospacing="0" w:line="360" w:lineRule="auto"/>
        <w:jc w:val="both"/>
        <w:rPr>
          <w:rStyle w:val="Strong"/>
          <w:rFonts w:ascii="Arial" w:hAnsi="Arial" w:cs="Arial"/>
          <w:b w:val="0"/>
          <w:bCs w:val="0"/>
          <w:color w:val="0E101A"/>
        </w:rPr>
      </w:pPr>
      <w:r w:rsidRPr="00D724CF">
        <w:rPr>
          <w:rStyle w:val="Strong"/>
          <w:rFonts w:ascii="Arial" w:eastAsiaTheme="minorEastAsia" w:hAnsi="Arial" w:cs="Arial"/>
          <w:color w:val="0E101A"/>
        </w:rPr>
        <w:t>Order</w:t>
      </w:r>
    </w:p>
    <w:p w:rsidR="00F9429F" w:rsidRDefault="00F9429F" w:rsidP="004B3B0C">
      <w:pPr>
        <w:pStyle w:val="ListParagraph"/>
        <w:jc w:val="both"/>
        <w:rPr>
          <w:rFonts w:ascii="Arial" w:hAnsi="Arial" w:cs="Arial"/>
          <w:color w:val="0E101A"/>
        </w:rPr>
      </w:pPr>
    </w:p>
    <w:p w:rsidR="00F9429F" w:rsidRPr="00D724CF" w:rsidRDefault="00D23610" w:rsidP="00D23610">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w:t>
      </w:r>
      <w:r w:rsidRPr="00D724CF">
        <w:rPr>
          <w:rFonts w:ascii="Arial" w:hAnsi="Arial" w:cs="Arial"/>
          <w:color w:val="0E101A"/>
        </w:rPr>
        <w:tab/>
      </w:r>
      <w:r w:rsidR="00F9429F">
        <w:rPr>
          <w:rFonts w:ascii="Arial" w:hAnsi="Arial" w:cs="Arial"/>
          <w:color w:val="0E101A"/>
        </w:rPr>
        <w:t xml:space="preserve">In the premises the following order is made: </w:t>
      </w:r>
    </w:p>
    <w:p w:rsidR="0084494B" w:rsidRPr="00D724CF" w:rsidRDefault="00D23610" w:rsidP="00D23610">
      <w:pPr>
        <w:tabs>
          <w:tab w:val="left" w:pos="720"/>
        </w:tabs>
        <w:spacing w:after="0" w:line="360" w:lineRule="auto"/>
        <w:ind w:left="720" w:hanging="360"/>
        <w:jc w:val="both"/>
        <w:rPr>
          <w:rFonts w:ascii="Arial" w:hAnsi="Arial" w:cs="Arial"/>
          <w:color w:val="0E101A"/>
          <w:sz w:val="24"/>
          <w:szCs w:val="24"/>
        </w:rPr>
      </w:pPr>
      <w:r w:rsidRPr="00D724CF">
        <w:rPr>
          <w:rFonts w:ascii="Arial" w:hAnsi="Arial" w:cs="Arial"/>
          <w:color w:val="0E101A"/>
          <w:sz w:val="24"/>
          <w:szCs w:val="24"/>
        </w:rPr>
        <w:lastRenderedPageBreak/>
        <w:t>1.</w:t>
      </w:r>
      <w:r w:rsidRPr="00D724CF">
        <w:rPr>
          <w:rFonts w:ascii="Arial" w:hAnsi="Arial" w:cs="Arial"/>
          <w:color w:val="0E101A"/>
          <w:sz w:val="24"/>
          <w:szCs w:val="24"/>
        </w:rPr>
        <w:tab/>
      </w:r>
      <w:r w:rsidR="0084494B" w:rsidRPr="00D724CF">
        <w:rPr>
          <w:rFonts w:ascii="Arial" w:hAnsi="Arial" w:cs="Arial"/>
          <w:color w:val="0E101A"/>
          <w:sz w:val="24"/>
          <w:szCs w:val="24"/>
        </w:rPr>
        <w:t>The defendant is ordered to pay the plaintiff an amount of R595 262.83 in full and final settlement of the plaintiff's claim, which amount shall be paid within 30 days to the credit of the trust account of the Plaintiff's Attorneys of record, Savage Jooste &amp; Adams Inc, Pretoria, whose trust account details are as follows:</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Nedbank name: NEDCOR ARCADIA.</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Account type: TRUST ACCOUNT.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Branch code: 16-33-45-07.</w:t>
      </w:r>
    </w:p>
    <w:p w:rsidR="0084494B" w:rsidRPr="00D724CF" w:rsidRDefault="00FF2333" w:rsidP="004B3B0C">
      <w:pPr>
        <w:pStyle w:val="NormalWeb"/>
        <w:spacing w:before="0" w:beforeAutospacing="0" w:after="0" w:afterAutospacing="0" w:line="360" w:lineRule="auto"/>
        <w:jc w:val="both"/>
        <w:rPr>
          <w:rFonts w:ascii="Arial" w:hAnsi="Arial" w:cs="Arial"/>
          <w:color w:val="0E101A"/>
        </w:rPr>
      </w:pPr>
      <w:r>
        <w:rPr>
          <w:rFonts w:ascii="Arial" w:hAnsi="Arial" w:cs="Arial"/>
          <w:color w:val="0E101A"/>
        </w:rPr>
        <w:t> Account no: […]</w:t>
      </w:r>
      <w:r w:rsidR="0084494B" w:rsidRPr="00D724CF">
        <w:rPr>
          <w:rFonts w:ascii="Arial" w:hAnsi="Arial" w:cs="Arial"/>
          <w:color w:val="0E101A"/>
        </w:rPr>
        <w:t>.</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Reference no : Mr Makole / KS89.</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1.1 That defendant will not be liable for any interest on the said payment on condition that payment be made timeously.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1.2 In the event of the defendant's default, interest will be payable on the full amount owing at that time at the rate of 7.25% interest per annum calculated from the due date up to and including the date of payment.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w:t>
      </w:r>
      <w:r w:rsidRPr="00B16E4B">
        <w:rPr>
          <w:rFonts w:ascii="Arial" w:hAnsi="Arial" w:cs="Arial"/>
          <w:color w:val="0E101A"/>
        </w:rPr>
        <w:t>3</w:t>
      </w:r>
      <w:r w:rsidRPr="00B16E4B">
        <w:rPr>
          <w:rStyle w:val="Strong"/>
          <w:rFonts w:ascii="Arial" w:eastAsiaTheme="minorEastAsia" w:hAnsi="Arial" w:cs="Arial"/>
          <w:color w:val="0E101A"/>
        </w:rPr>
        <w:t> </w:t>
      </w:r>
      <w:r w:rsidRPr="00502FEB">
        <w:rPr>
          <w:rStyle w:val="Strong"/>
          <w:rFonts w:ascii="Arial" w:eastAsiaTheme="minorEastAsia" w:hAnsi="Arial" w:cs="Arial"/>
          <w:b w:val="0"/>
          <w:color w:val="0E101A"/>
        </w:rPr>
        <w:t>The award is the capital less costs due by the plaintiff.</w:t>
      </w:r>
      <w:r w:rsidRPr="00D724CF">
        <w:rPr>
          <w:rStyle w:val="Strong"/>
          <w:rFonts w:ascii="Arial" w:eastAsiaTheme="minorEastAsia" w:hAnsi="Arial" w:cs="Arial"/>
          <w:color w:val="0E101A"/>
        </w:rPr>
        <w: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1.4 The amount in paragraph 2 above is computed as follows: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1.4.1 R750 000.00 in respect of General Damages.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D23610" w:rsidP="00D23610">
      <w:pPr>
        <w:pStyle w:val="NormalWeb"/>
        <w:spacing w:before="0" w:beforeAutospacing="0" w:after="0" w:afterAutospacing="0" w:line="360" w:lineRule="auto"/>
        <w:ind w:left="720" w:hanging="720"/>
        <w:jc w:val="both"/>
        <w:rPr>
          <w:rFonts w:ascii="Arial" w:hAnsi="Arial" w:cs="Arial"/>
          <w:color w:val="0E101A"/>
        </w:rPr>
      </w:pPr>
      <w:r w:rsidRPr="00D724CF">
        <w:rPr>
          <w:rFonts w:ascii="Arial" w:hAnsi="Arial" w:cs="Arial"/>
          <w:color w:val="0E101A"/>
        </w:rPr>
        <w:t>1.4.2</w:t>
      </w:r>
      <w:r w:rsidRPr="00D724CF">
        <w:rPr>
          <w:rFonts w:ascii="Arial" w:hAnsi="Arial" w:cs="Arial"/>
          <w:color w:val="0E101A"/>
        </w:rPr>
        <w:tab/>
      </w:r>
      <w:r w:rsidR="0084494B" w:rsidRPr="00D724CF">
        <w:rPr>
          <w:rFonts w:ascii="Arial" w:hAnsi="Arial" w:cs="Arial"/>
          <w:color w:val="0E101A"/>
        </w:rPr>
        <w:t>R 440 525.00 in respect of Loss of Earnings.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23610" w:rsidRDefault="00D23610" w:rsidP="00D23610">
      <w:pPr>
        <w:tabs>
          <w:tab w:val="left" w:pos="426"/>
        </w:tabs>
        <w:spacing w:after="0" w:line="360" w:lineRule="auto"/>
        <w:ind w:left="567" w:hanging="567"/>
        <w:jc w:val="both"/>
        <w:rPr>
          <w:rFonts w:ascii="Arial" w:hAnsi="Arial" w:cs="Arial"/>
          <w:color w:val="0E101A"/>
          <w:sz w:val="24"/>
          <w:szCs w:val="24"/>
        </w:rPr>
      </w:pPr>
      <w:r w:rsidRPr="007A6DF6">
        <w:rPr>
          <w:rFonts w:ascii="Arial" w:hAnsi="Arial" w:cs="Arial"/>
          <w:color w:val="0E101A"/>
          <w:sz w:val="24"/>
          <w:szCs w:val="24"/>
        </w:rPr>
        <w:t>2.</w:t>
      </w:r>
      <w:r w:rsidRPr="007A6DF6">
        <w:rPr>
          <w:rFonts w:ascii="Arial" w:hAnsi="Arial" w:cs="Arial"/>
          <w:color w:val="0E101A"/>
          <w:sz w:val="24"/>
          <w:szCs w:val="24"/>
        </w:rPr>
        <w:tab/>
      </w:r>
      <w:r w:rsidR="0084494B" w:rsidRPr="00D23610">
        <w:rPr>
          <w:rFonts w:ascii="Arial" w:hAnsi="Arial" w:cs="Arial"/>
          <w:color w:val="0E101A"/>
          <w:sz w:val="24"/>
          <w:szCs w:val="24"/>
        </w:rPr>
        <w:t>The defendant is ordered to furnish the plaintiff with an Undertaking in terms of Section 17(4)(a) of the Road Accident Fund Act, No</w:t>
      </w:r>
      <w:r w:rsidR="00D26487" w:rsidRPr="00D23610">
        <w:rPr>
          <w:rFonts w:ascii="Arial" w:hAnsi="Arial" w:cs="Arial"/>
          <w:color w:val="0E101A"/>
          <w:sz w:val="24"/>
          <w:szCs w:val="24"/>
        </w:rPr>
        <w:t>.</w:t>
      </w:r>
      <w:r w:rsidR="0084494B" w:rsidRPr="00D23610">
        <w:rPr>
          <w:rFonts w:ascii="Arial" w:hAnsi="Arial" w:cs="Arial"/>
          <w:color w:val="0E101A"/>
          <w:sz w:val="24"/>
          <w:szCs w:val="24"/>
        </w:rPr>
        <w:t xml:space="preserve"> 56 of 1996, to </w:t>
      </w:r>
      <w:r w:rsidR="00B16E4B" w:rsidRPr="00D23610">
        <w:rPr>
          <w:rFonts w:ascii="Arial" w:hAnsi="Arial" w:cs="Arial"/>
          <w:color w:val="0E101A"/>
          <w:sz w:val="24"/>
          <w:szCs w:val="24"/>
        </w:rPr>
        <w:t>compensate the plaintiff for 50</w:t>
      </w:r>
      <w:r w:rsidR="0084494B" w:rsidRPr="00D23610">
        <w:rPr>
          <w:rFonts w:ascii="Arial" w:hAnsi="Arial" w:cs="Arial"/>
          <w:color w:val="0E101A"/>
          <w:sz w:val="24"/>
          <w:szCs w:val="24"/>
        </w:rPr>
        <w:t>% of the cost of future accommodation in a hospital or nursing home or treatment of or the rendering of a service or supplying of goods to the plaintiff resulting from injuries sustained by her as a result of an accident that occurred on 17 August 2014, after such costs have been incurred and upon proof thereof.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23610" w:rsidRDefault="00D23610" w:rsidP="00D23610">
      <w:pPr>
        <w:tabs>
          <w:tab w:val="left" w:pos="426"/>
        </w:tabs>
        <w:spacing w:after="0" w:line="360" w:lineRule="auto"/>
        <w:ind w:left="567" w:hanging="567"/>
        <w:jc w:val="both"/>
        <w:rPr>
          <w:rFonts w:ascii="Arial" w:hAnsi="Arial" w:cs="Arial"/>
          <w:color w:val="0E101A"/>
          <w:sz w:val="24"/>
          <w:szCs w:val="24"/>
        </w:rPr>
      </w:pPr>
      <w:r w:rsidRPr="007A6DF6">
        <w:rPr>
          <w:rFonts w:ascii="Arial" w:hAnsi="Arial" w:cs="Arial"/>
          <w:color w:val="0E101A"/>
          <w:sz w:val="24"/>
          <w:szCs w:val="24"/>
        </w:rPr>
        <w:lastRenderedPageBreak/>
        <w:t>3.</w:t>
      </w:r>
      <w:r w:rsidRPr="007A6DF6">
        <w:rPr>
          <w:rFonts w:ascii="Arial" w:hAnsi="Arial" w:cs="Arial"/>
          <w:color w:val="0E101A"/>
          <w:sz w:val="24"/>
          <w:szCs w:val="24"/>
        </w:rPr>
        <w:tab/>
      </w:r>
      <w:r w:rsidR="0084494B" w:rsidRPr="00D23610">
        <w:rPr>
          <w:rFonts w:ascii="Arial" w:hAnsi="Arial" w:cs="Arial"/>
          <w:color w:val="0E101A"/>
          <w:sz w:val="24"/>
          <w:szCs w:val="24"/>
        </w:rPr>
        <w:t>The defendant is to pay the plaintiff's taxed or agreed party and party costs on a High Court scale, up to and including 15'" and 18'" November 2022 and which costs will include but is not limited to: </w:t>
      </w:r>
    </w:p>
    <w:p w:rsidR="0084494B" w:rsidRPr="00D724CF" w:rsidRDefault="0084494B" w:rsidP="004B3B0C">
      <w:pPr>
        <w:pStyle w:val="NormalWeb"/>
        <w:spacing w:before="0" w:beforeAutospacing="0" w:after="0" w:afterAutospacing="0" w:line="360" w:lineRule="auto"/>
        <w:ind w:firstLine="567"/>
        <w:jc w:val="both"/>
        <w:rPr>
          <w:rFonts w:ascii="Arial" w:hAnsi="Arial" w:cs="Arial"/>
          <w:color w:val="0E101A"/>
        </w:rPr>
      </w:pPr>
      <w:r w:rsidRPr="00D724CF">
        <w:rPr>
          <w:rFonts w:ascii="Arial" w:hAnsi="Arial" w:cs="Arial"/>
          <w:color w:val="0E101A"/>
        </w:rPr>
        <w:t xml:space="preserve">3.1. </w:t>
      </w:r>
      <w:r w:rsidR="007A6DF6">
        <w:rPr>
          <w:rFonts w:ascii="Arial" w:hAnsi="Arial" w:cs="Arial"/>
          <w:color w:val="0E101A"/>
        </w:rPr>
        <w:tab/>
      </w:r>
      <w:r w:rsidRPr="00D724CF">
        <w:rPr>
          <w:rFonts w:ascii="Arial" w:hAnsi="Arial" w:cs="Arial"/>
          <w:color w:val="0E101A"/>
        </w:rPr>
        <w:t>The Costs of Counsel;- </w:t>
      </w:r>
    </w:p>
    <w:p w:rsidR="0084494B" w:rsidRPr="00D724CF" w:rsidRDefault="0084494B" w:rsidP="004B3B0C">
      <w:pPr>
        <w:pStyle w:val="NormalWeb"/>
        <w:spacing w:before="0" w:beforeAutospacing="0" w:after="0" w:afterAutospacing="0" w:line="360" w:lineRule="auto"/>
        <w:ind w:left="1440" w:hanging="720"/>
        <w:jc w:val="both"/>
        <w:rPr>
          <w:rFonts w:ascii="Arial" w:hAnsi="Arial" w:cs="Arial"/>
          <w:color w:val="0E101A"/>
        </w:rPr>
      </w:pPr>
      <w:r w:rsidRPr="00D724CF">
        <w:rPr>
          <w:rFonts w:ascii="Arial" w:hAnsi="Arial" w:cs="Arial"/>
          <w:color w:val="0E101A"/>
        </w:rPr>
        <w:t>3.2.</w:t>
      </w:r>
      <w:r w:rsidR="007A6DF6">
        <w:rPr>
          <w:rFonts w:ascii="Arial" w:hAnsi="Arial" w:cs="Arial"/>
          <w:color w:val="0E101A"/>
        </w:rPr>
        <w:tab/>
      </w:r>
      <w:r w:rsidRPr="00D724CF">
        <w:rPr>
          <w:rFonts w:ascii="Arial" w:hAnsi="Arial" w:cs="Arial"/>
          <w:color w:val="0E101A"/>
        </w:rPr>
        <w:t xml:space="preserve"> Defendant is ordered to pay the plaintiff's taxed or agreed party to party costs on the High Court Scale for the trial of the 15 and 18 November 2022, which costs shall include the cost consequent to the employ of Counsel, travelling and/or accommodation costs for the attendance of Medico-Legal examinations for the plaintiff, the costs of obtaining various medico-legal reports and where applicable, the reservation, preparation, appearance fees and/or qualifying (if any) the following:-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3.2.1 Dr JJ du Plessis (Neurosurgeon);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3.2.2 Dr Birrell (Orthopaedic Surgeon);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3.2.3 Dr Enslin (Ear, Nose &amp; Throat Surgeon);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3.2.4 Liezel Van Der Merwe (Ophthalmologist)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3.2.5 Dr M Mazabow (Neuropsychologist);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3.2.6 Ms Claudette Reyneke (Occupational Therapist);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3.2.7 Mr Kobus Prinsloo (Industrial Psychologist); and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720" w:firstLine="720"/>
        <w:jc w:val="both"/>
        <w:rPr>
          <w:rFonts w:ascii="Arial" w:hAnsi="Arial" w:cs="Arial"/>
          <w:color w:val="0E101A"/>
        </w:rPr>
      </w:pPr>
      <w:r w:rsidRPr="00D724CF">
        <w:rPr>
          <w:rFonts w:ascii="Arial" w:hAnsi="Arial" w:cs="Arial"/>
          <w:color w:val="0E101A"/>
        </w:rPr>
        <w:t>3.2.8 Mr Gregory Whittaker (Actuary).</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r w:rsidR="007A6DF6">
        <w:rPr>
          <w:rFonts w:ascii="Arial" w:hAnsi="Arial" w:cs="Arial"/>
          <w:color w:val="0E101A"/>
        </w:rPr>
        <w:tab/>
      </w:r>
    </w:p>
    <w:p w:rsidR="0084494B" w:rsidRPr="00D724CF" w:rsidRDefault="0084494B" w:rsidP="004B3B0C">
      <w:pPr>
        <w:pStyle w:val="NormalWeb"/>
        <w:spacing w:before="0" w:beforeAutospacing="0" w:after="0" w:afterAutospacing="0" w:line="360" w:lineRule="auto"/>
        <w:ind w:left="1440" w:hanging="720"/>
        <w:jc w:val="both"/>
        <w:rPr>
          <w:rFonts w:ascii="Arial" w:hAnsi="Arial" w:cs="Arial"/>
          <w:color w:val="0E101A"/>
        </w:rPr>
      </w:pPr>
      <w:r w:rsidRPr="00D724CF">
        <w:rPr>
          <w:rFonts w:ascii="Arial" w:hAnsi="Arial" w:cs="Arial"/>
          <w:color w:val="0E101A"/>
        </w:rPr>
        <w:t xml:space="preserve">3.3. </w:t>
      </w:r>
      <w:r w:rsidR="007A6DF6">
        <w:rPr>
          <w:rFonts w:ascii="Arial" w:hAnsi="Arial" w:cs="Arial"/>
          <w:color w:val="0E101A"/>
        </w:rPr>
        <w:tab/>
      </w:r>
      <w:r w:rsidRPr="00D724CF">
        <w:rPr>
          <w:rFonts w:ascii="Arial" w:hAnsi="Arial" w:cs="Arial"/>
          <w:color w:val="0E101A"/>
        </w:rPr>
        <w:t>The travelling and accommodation costs incurred in the plaintiff's attendance at the abovementioned medico-legal experts subject to the discretion of the taxing master.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4B3B0C">
      <w:pPr>
        <w:pStyle w:val="NormalWeb"/>
        <w:spacing w:before="0" w:beforeAutospacing="0" w:after="0" w:afterAutospacing="0" w:line="360" w:lineRule="auto"/>
        <w:ind w:left="1440" w:hanging="720"/>
        <w:jc w:val="both"/>
        <w:rPr>
          <w:rFonts w:ascii="Arial" w:hAnsi="Arial" w:cs="Arial"/>
          <w:color w:val="0E101A"/>
        </w:rPr>
      </w:pPr>
      <w:r w:rsidRPr="00D724CF">
        <w:rPr>
          <w:rFonts w:ascii="Arial" w:hAnsi="Arial" w:cs="Arial"/>
          <w:color w:val="0E101A"/>
        </w:rPr>
        <w:t xml:space="preserve">3.4. </w:t>
      </w:r>
      <w:r w:rsidR="007A6DF6">
        <w:rPr>
          <w:rFonts w:ascii="Arial" w:hAnsi="Arial" w:cs="Arial"/>
          <w:color w:val="0E101A"/>
        </w:rPr>
        <w:tab/>
      </w:r>
      <w:r w:rsidRPr="00D724CF">
        <w:rPr>
          <w:rFonts w:ascii="Arial" w:hAnsi="Arial" w:cs="Arial"/>
          <w:color w:val="0E101A"/>
        </w:rPr>
        <w:t>The travelling and accommodation costs incurred in securing the plaintiff's attendance at virtual court on 15 and 18 November 2022.</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7A6DF6" w:rsidRPr="00D23610" w:rsidRDefault="00D23610" w:rsidP="00D23610">
      <w:pPr>
        <w:tabs>
          <w:tab w:val="left" w:pos="426"/>
        </w:tabs>
        <w:spacing w:after="0" w:line="360" w:lineRule="auto"/>
        <w:ind w:left="567" w:hanging="567"/>
        <w:jc w:val="both"/>
        <w:rPr>
          <w:rFonts w:ascii="Arial" w:hAnsi="Arial" w:cs="Arial"/>
          <w:color w:val="0E101A"/>
          <w:sz w:val="24"/>
          <w:szCs w:val="24"/>
        </w:rPr>
      </w:pPr>
      <w:r>
        <w:rPr>
          <w:rFonts w:ascii="Arial" w:hAnsi="Arial" w:cs="Arial"/>
          <w:color w:val="0E101A"/>
          <w:sz w:val="24"/>
          <w:szCs w:val="24"/>
        </w:rPr>
        <w:lastRenderedPageBreak/>
        <w:t>4.</w:t>
      </w:r>
      <w:r>
        <w:rPr>
          <w:rFonts w:ascii="Arial" w:hAnsi="Arial" w:cs="Arial"/>
          <w:color w:val="0E101A"/>
          <w:sz w:val="24"/>
          <w:szCs w:val="24"/>
        </w:rPr>
        <w:tab/>
      </w:r>
      <w:r w:rsidR="0084494B" w:rsidRPr="00D23610">
        <w:rPr>
          <w:rFonts w:ascii="Arial" w:hAnsi="Arial" w:cs="Arial"/>
          <w:color w:val="0E101A"/>
          <w:sz w:val="24"/>
          <w:szCs w:val="24"/>
        </w:rPr>
        <w:t>The plaintiff shall, in the event that costs are not agreed upon, serve the Notice of taxation on the defendant's attorney of record; and</w:t>
      </w:r>
    </w:p>
    <w:p w:rsidR="007A6DF6" w:rsidRPr="00D23610" w:rsidRDefault="00D23610" w:rsidP="00D23610">
      <w:pPr>
        <w:tabs>
          <w:tab w:val="left" w:pos="426"/>
        </w:tabs>
        <w:spacing w:after="0" w:line="360" w:lineRule="auto"/>
        <w:ind w:left="567" w:hanging="567"/>
        <w:jc w:val="both"/>
        <w:rPr>
          <w:rFonts w:ascii="Arial" w:hAnsi="Arial" w:cs="Arial"/>
          <w:color w:val="0E101A"/>
          <w:sz w:val="24"/>
          <w:szCs w:val="24"/>
        </w:rPr>
      </w:pPr>
      <w:r>
        <w:rPr>
          <w:rFonts w:ascii="Arial" w:hAnsi="Arial" w:cs="Arial"/>
          <w:color w:val="0E101A"/>
          <w:sz w:val="24"/>
          <w:szCs w:val="24"/>
        </w:rPr>
        <w:t>5.</w:t>
      </w:r>
      <w:r>
        <w:rPr>
          <w:rFonts w:ascii="Arial" w:hAnsi="Arial" w:cs="Arial"/>
          <w:color w:val="0E101A"/>
          <w:sz w:val="24"/>
          <w:szCs w:val="24"/>
        </w:rPr>
        <w:tab/>
      </w:r>
      <w:r w:rsidR="0084494B" w:rsidRPr="00D23610">
        <w:rPr>
          <w:rFonts w:ascii="Arial" w:hAnsi="Arial" w:cs="Arial"/>
          <w:color w:val="0E101A"/>
          <w:sz w:val="24"/>
          <w:szCs w:val="24"/>
        </w:rPr>
        <w:t>The plaintiff shall allow thirty (30) Court days to make payment of the taxed costs. </w:t>
      </w:r>
    </w:p>
    <w:p w:rsidR="0084494B" w:rsidRPr="00D23610" w:rsidRDefault="00D23610" w:rsidP="00D23610">
      <w:pPr>
        <w:tabs>
          <w:tab w:val="left" w:pos="426"/>
        </w:tabs>
        <w:spacing w:after="0" w:line="360" w:lineRule="auto"/>
        <w:ind w:left="567" w:hanging="567"/>
        <w:jc w:val="both"/>
        <w:rPr>
          <w:rFonts w:ascii="Arial" w:hAnsi="Arial" w:cs="Arial"/>
          <w:color w:val="0E101A"/>
          <w:sz w:val="24"/>
          <w:szCs w:val="24"/>
        </w:rPr>
      </w:pPr>
      <w:r w:rsidRPr="007A6DF6">
        <w:rPr>
          <w:rFonts w:ascii="Arial" w:hAnsi="Arial" w:cs="Arial"/>
          <w:color w:val="0E101A"/>
          <w:sz w:val="24"/>
          <w:szCs w:val="24"/>
        </w:rPr>
        <w:t>6.</w:t>
      </w:r>
      <w:r w:rsidRPr="007A6DF6">
        <w:rPr>
          <w:rFonts w:ascii="Arial" w:hAnsi="Arial" w:cs="Arial"/>
          <w:color w:val="0E101A"/>
          <w:sz w:val="24"/>
          <w:szCs w:val="24"/>
        </w:rPr>
        <w:tab/>
      </w:r>
      <w:r w:rsidR="0084494B" w:rsidRPr="00D23610">
        <w:rPr>
          <w:rFonts w:ascii="Arial" w:hAnsi="Arial" w:cs="Arial"/>
          <w:color w:val="0E101A"/>
          <w:sz w:val="24"/>
          <w:szCs w:val="24"/>
        </w:rPr>
        <w:t>A contingency Fee Agreement is applicable.</w:t>
      </w:r>
    </w:p>
    <w:p w:rsidR="0084494B" w:rsidRDefault="00AD371A" w:rsidP="004B3B0C">
      <w:pPr>
        <w:pStyle w:val="NormalWeb"/>
        <w:spacing w:before="0" w:beforeAutospacing="0" w:after="0" w:afterAutospacing="0" w:line="360" w:lineRule="auto"/>
        <w:ind w:left="4320" w:firstLine="720"/>
        <w:jc w:val="both"/>
        <w:rPr>
          <w:noProof/>
          <w:u w:val="single"/>
        </w:rPr>
      </w:pPr>
      <w:r>
        <w:rPr>
          <w:rFonts w:ascii="Arial" w:hAnsi="Arial" w:cs="Arial"/>
          <w:color w:val="0E101A"/>
        </w:rPr>
        <w:t xml:space="preserve">       </w:t>
      </w:r>
    </w:p>
    <w:p w:rsidR="00D26487" w:rsidRDefault="00D26487" w:rsidP="004B3B0C">
      <w:pPr>
        <w:pStyle w:val="NormalWeb"/>
        <w:spacing w:before="0" w:beforeAutospacing="0" w:after="0" w:afterAutospacing="0" w:line="360" w:lineRule="auto"/>
        <w:ind w:left="4320" w:firstLine="720"/>
        <w:jc w:val="both"/>
        <w:rPr>
          <w:noProof/>
          <w:u w:val="single"/>
        </w:rPr>
      </w:pPr>
    </w:p>
    <w:p w:rsidR="00D26487" w:rsidRPr="00D724CF" w:rsidRDefault="00D26487" w:rsidP="004B3B0C">
      <w:pPr>
        <w:pStyle w:val="NormalWeb"/>
        <w:spacing w:before="0" w:beforeAutospacing="0" w:after="0" w:afterAutospacing="0" w:line="360" w:lineRule="auto"/>
        <w:ind w:left="4320" w:firstLine="720"/>
        <w:jc w:val="both"/>
        <w:rPr>
          <w:rFonts w:ascii="Arial" w:hAnsi="Arial" w:cs="Arial"/>
          <w:color w:val="0E101A"/>
        </w:rPr>
      </w:pPr>
      <w:r>
        <w:rPr>
          <w:noProof/>
          <w:u w:val="single"/>
        </w:rPr>
        <w:t>______________________</w:t>
      </w:r>
    </w:p>
    <w:p w:rsidR="0084494B" w:rsidRPr="00D724CF" w:rsidRDefault="0084494B" w:rsidP="004B3B0C">
      <w:pPr>
        <w:pStyle w:val="NormalWeb"/>
        <w:spacing w:before="0" w:beforeAutospacing="0" w:after="0" w:afterAutospacing="0" w:line="360" w:lineRule="auto"/>
        <w:ind w:left="5529" w:right="95"/>
        <w:jc w:val="both"/>
        <w:rPr>
          <w:rFonts w:ascii="Arial" w:hAnsi="Arial" w:cs="Arial"/>
          <w:color w:val="0E101A"/>
        </w:rPr>
      </w:pPr>
      <w:r w:rsidRPr="00D724CF">
        <w:rPr>
          <w:rFonts w:ascii="Arial" w:hAnsi="Arial" w:cs="Arial"/>
          <w:color w:val="0E101A"/>
        </w:rPr>
        <w:t>E Molahlehi </w:t>
      </w:r>
    </w:p>
    <w:p w:rsidR="0084494B" w:rsidRPr="00D724CF" w:rsidRDefault="0084494B" w:rsidP="004B3B0C">
      <w:pPr>
        <w:pStyle w:val="NormalWeb"/>
        <w:spacing w:before="0" w:beforeAutospacing="0" w:after="0" w:afterAutospacing="0" w:line="360" w:lineRule="auto"/>
        <w:ind w:left="5529" w:right="95"/>
        <w:jc w:val="both"/>
        <w:rPr>
          <w:rFonts w:ascii="Arial" w:hAnsi="Arial" w:cs="Arial"/>
          <w:color w:val="0E101A"/>
        </w:rPr>
      </w:pPr>
      <w:r w:rsidRPr="00D724CF">
        <w:rPr>
          <w:rFonts w:ascii="Arial" w:hAnsi="Arial" w:cs="Arial"/>
          <w:color w:val="0E101A"/>
        </w:rPr>
        <w:t>JUDGE OF THE HIGH COURT OF SOUTH AFRICA, GAUTENG DIVISION, PRETORIA.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Representation:</w:t>
      </w:r>
    </w:p>
    <w:p w:rsidR="0084494B" w:rsidRDefault="00502FEB" w:rsidP="004B3B0C">
      <w:pPr>
        <w:pStyle w:val="NormalWeb"/>
        <w:spacing w:before="0" w:beforeAutospacing="0" w:after="0" w:afterAutospacing="0" w:line="360" w:lineRule="auto"/>
        <w:jc w:val="both"/>
        <w:rPr>
          <w:rFonts w:ascii="Segoe UI" w:hAnsi="Segoe UI" w:cs="Segoe UI"/>
          <w:color w:val="000000"/>
          <w:sz w:val="27"/>
          <w:szCs w:val="27"/>
        </w:rPr>
      </w:pPr>
      <w:r>
        <w:rPr>
          <w:rFonts w:ascii="Arial" w:hAnsi="Arial" w:cs="Arial"/>
          <w:color w:val="0E101A"/>
        </w:rPr>
        <w:t>For the Plaintiff</w:t>
      </w:r>
      <w:r w:rsidR="0084494B" w:rsidRPr="00D724CF">
        <w:rPr>
          <w:rFonts w:ascii="Arial" w:hAnsi="Arial" w:cs="Arial"/>
          <w:color w:val="0E101A"/>
        </w:rPr>
        <w:t>:  </w:t>
      </w:r>
      <w:r>
        <w:rPr>
          <w:rFonts w:ascii="Segoe UI" w:hAnsi="Segoe UI" w:cs="Segoe UI"/>
          <w:color w:val="000000"/>
          <w:sz w:val="27"/>
          <w:szCs w:val="27"/>
        </w:rPr>
        <w:t xml:space="preserve">Adv. P Tshavhungwe. </w:t>
      </w:r>
    </w:p>
    <w:p w:rsidR="00502FEB" w:rsidRPr="00D724CF" w:rsidRDefault="00502FEB" w:rsidP="004B3B0C">
      <w:pPr>
        <w:pStyle w:val="NormalWeb"/>
        <w:spacing w:before="0" w:beforeAutospacing="0" w:after="0" w:afterAutospacing="0" w:line="360" w:lineRule="auto"/>
        <w:jc w:val="both"/>
        <w:rPr>
          <w:rFonts w:ascii="Arial" w:hAnsi="Arial" w:cs="Arial"/>
          <w:color w:val="0E101A"/>
        </w:rPr>
      </w:pPr>
      <w:r>
        <w:rPr>
          <w:rFonts w:ascii="Segoe UI" w:hAnsi="Segoe UI" w:cs="Segoe UI"/>
          <w:color w:val="000000"/>
          <w:sz w:val="27"/>
          <w:szCs w:val="27"/>
        </w:rPr>
        <w:t xml:space="preserve">Instructed by: </w:t>
      </w:r>
      <w:r w:rsidR="002551E2">
        <w:rPr>
          <w:rFonts w:ascii="Segoe UI" w:hAnsi="Segoe UI" w:cs="Segoe UI"/>
          <w:color w:val="000000"/>
          <w:sz w:val="27"/>
          <w:szCs w:val="27"/>
        </w:rPr>
        <w:t>Savage Jooste and Adams</w:t>
      </w:r>
      <w:r>
        <w:rPr>
          <w:rFonts w:ascii="Segoe UI" w:hAnsi="Segoe UI" w:cs="Segoe UI"/>
          <w:color w:val="000000"/>
          <w:sz w:val="27"/>
          <w:szCs w:val="27"/>
        </w:rPr>
        <w:t>.</w:t>
      </w:r>
    </w:p>
    <w:p w:rsidR="0084494B" w:rsidRDefault="00502FEB" w:rsidP="004B3B0C">
      <w:pPr>
        <w:pStyle w:val="NormalWeb"/>
        <w:spacing w:before="0" w:beforeAutospacing="0" w:after="0" w:afterAutospacing="0" w:line="360" w:lineRule="auto"/>
        <w:jc w:val="both"/>
        <w:rPr>
          <w:rFonts w:ascii="Segoe UI" w:hAnsi="Segoe UI" w:cs="Segoe UI"/>
          <w:color w:val="000000"/>
          <w:sz w:val="27"/>
          <w:szCs w:val="27"/>
        </w:rPr>
      </w:pPr>
      <w:r>
        <w:rPr>
          <w:rFonts w:ascii="Arial" w:hAnsi="Arial" w:cs="Arial"/>
          <w:color w:val="0E101A"/>
        </w:rPr>
        <w:t xml:space="preserve">For the </w:t>
      </w:r>
      <w:r w:rsidR="002551E2">
        <w:rPr>
          <w:rFonts w:ascii="Arial" w:hAnsi="Arial" w:cs="Arial"/>
          <w:color w:val="0E101A"/>
        </w:rPr>
        <w:t>DEFENDANT</w:t>
      </w:r>
      <w:r w:rsidR="0084494B" w:rsidRPr="00D724CF">
        <w:rPr>
          <w:rFonts w:ascii="Arial" w:hAnsi="Arial" w:cs="Arial"/>
          <w:color w:val="0E101A"/>
        </w:rPr>
        <w:t>:   </w:t>
      </w:r>
      <w:r>
        <w:rPr>
          <w:rFonts w:ascii="Segoe UI" w:hAnsi="Segoe UI" w:cs="Segoe UI"/>
          <w:color w:val="000000"/>
          <w:sz w:val="27"/>
          <w:szCs w:val="27"/>
        </w:rPr>
        <w:t>MR L.A Lebakeng.</w:t>
      </w:r>
    </w:p>
    <w:p w:rsidR="00502FEB" w:rsidRPr="00D724CF" w:rsidRDefault="00502FEB" w:rsidP="004B3B0C">
      <w:pPr>
        <w:pStyle w:val="NormalWeb"/>
        <w:spacing w:before="0" w:beforeAutospacing="0" w:after="0" w:afterAutospacing="0" w:line="360" w:lineRule="auto"/>
        <w:jc w:val="both"/>
        <w:rPr>
          <w:rFonts w:ascii="Arial" w:hAnsi="Arial" w:cs="Arial"/>
          <w:color w:val="0E101A"/>
        </w:rPr>
      </w:pPr>
      <w:r>
        <w:rPr>
          <w:rFonts w:ascii="Segoe UI" w:hAnsi="Segoe UI" w:cs="Segoe UI"/>
          <w:color w:val="000000"/>
          <w:sz w:val="27"/>
          <w:szCs w:val="27"/>
        </w:rPr>
        <w:t xml:space="preserve">Instructed by: </w:t>
      </w:r>
      <w:r w:rsidR="002551E2">
        <w:rPr>
          <w:rFonts w:ascii="Segoe UI" w:hAnsi="Segoe UI" w:cs="Segoe UI"/>
          <w:color w:val="000000"/>
          <w:sz w:val="27"/>
          <w:szCs w:val="27"/>
        </w:rPr>
        <w:t>The State Attorney</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Heard on: 23 November 2022</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Delivered:</w:t>
      </w:r>
      <w:r w:rsidR="004B3B0C">
        <w:rPr>
          <w:rFonts w:ascii="Arial" w:hAnsi="Arial" w:cs="Arial"/>
          <w:color w:val="0E101A"/>
        </w:rPr>
        <w:t xml:space="preserve"> 30</w:t>
      </w:r>
      <w:r w:rsidRPr="00D724CF">
        <w:rPr>
          <w:rFonts w:ascii="Arial" w:hAnsi="Arial" w:cs="Arial"/>
          <w:color w:val="0E101A"/>
        </w:rPr>
        <w:t xml:space="preserve"> March 2023. </w:t>
      </w:r>
    </w:p>
    <w:p w:rsidR="0084494B" w:rsidRPr="00D724CF" w:rsidRDefault="0084494B" w:rsidP="004B3B0C">
      <w:pPr>
        <w:pStyle w:val="NormalWeb"/>
        <w:spacing w:before="0" w:beforeAutospacing="0" w:after="0" w:afterAutospacing="0" w:line="360" w:lineRule="auto"/>
        <w:jc w:val="both"/>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rPr>
        <w:t> </w:t>
      </w: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rPr>
        <w:t> </w:t>
      </w: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84494B" w:rsidP="00D724CF">
      <w:pPr>
        <w:pStyle w:val="NormalWeb"/>
        <w:spacing w:before="0" w:beforeAutospacing="0" w:after="0" w:afterAutospacing="0" w:line="360" w:lineRule="auto"/>
        <w:rPr>
          <w:rFonts w:ascii="Arial" w:hAnsi="Arial" w:cs="Arial"/>
          <w:color w:val="0E101A"/>
        </w:rPr>
      </w:pPr>
    </w:p>
    <w:p w:rsidR="0084494B" w:rsidRPr="00D724CF" w:rsidRDefault="002551E2" w:rsidP="00D724CF">
      <w:pPr>
        <w:pStyle w:val="NormalWeb"/>
        <w:spacing w:before="0" w:beforeAutospacing="0" w:after="0" w:afterAutospacing="0" w:line="360" w:lineRule="auto"/>
        <w:rPr>
          <w:rFonts w:ascii="Arial" w:hAnsi="Arial" w:cs="Arial"/>
          <w:color w:val="0E101A"/>
        </w:rPr>
      </w:pPr>
      <w:r>
        <w:rPr>
          <w:rFonts w:ascii="Arial" w:hAnsi="Arial" w:cs="Arial"/>
          <w:color w:val="0E101A"/>
        </w:rPr>
        <w:t xml:space="preserve"> </w:t>
      </w:r>
    </w:p>
    <w:p w:rsidR="00214B41" w:rsidRPr="00D724CF" w:rsidRDefault="00214B41" w:rsidP="00D724CF">
      <w:pPr>
        <w:spacing w:line="360" w:lineRule="auto"/>
        <w:rPr>
          <w:rFonts w:ascii="Arial" w:hAnsi="Arial" w:cs="Arial"/>
          <w:sz w:val="24"/>
          <w:szCs w:val="24"/>
        </w:rPr>
      </w:pPr>
    </w:p>
    <w:p w:rsidR="000722D4" w:rsidRPr="00D724CF" w:rsidRDefault="000722D4" w:rsidP="00D724CF">
      <w:pPr>
        <w:spacing w:line="360" w:lineRule="auto"/>
        <w:rPr>
          <w:rFonts w:ascii="Arial" w:hAnsi="Arial" w:cs="Arial"/>
          <w:sz w:val="24"/>
          <w:szCs w:val="24"/>
        </w:rPr>
      </w:pPr>
    </w:p>
    <w:sectPr w:rsidR="000722D4" w:rsidRPr="00D724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F0" w:rsidRDefault="00B41FF0" w:rsidP="000A3617">
      <w:pPr>
        <w:spacing w:after="0" w:line="240" w:lineRule="auto"/>
      </w:pPr>
      <w:r>
        <w:separator/>
      </w:r>
    </w:p>
  </w:endnote>
  <w:endnote w:type="continuationSeparator" w:id="0">
    <w:p w:rsidR="00B41FF0" w:rsidRDefault="00B41FF0" w:rsidP="000A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F0" w:rsidRDefault="00B41FF0" w:rsidP="000A3617">
      <w:pPr>
        <w:spacing w:after="0" w:line="240" w:lineRule="auto"/>
      </w:pPr>
      <w:r>
        <w:separator/>
      </w:r>
    </w:p>
  </w:footnote>
  <w:footnote w:type="continuationSeparator" w:id="0">
    <w:p w:rsidR="00B41FF0" w:rsidRDefault="00B41FF0" w:rsidP="000A3617">
      <w:pPr>
        <w:spacing w:after="0" w:line="240" w:lineRule="auto"/>
      </w:pPr>
      <w:r>
        <w:continuationSeparator/>
      </w:r>
    </w:p>
  </w:footnote>
  <w:footnote w:id="1">
    <w:p w:rsidR="00DF0FD7" w:rsidRDefault="00DF0FD7" w:rsidP="00DF0FD7">
      <w:pPr>
        <w:pStyle w:val="NormalWeb"/>
        <w:spacing w:before="0" w:beforeAutospacing="0" w:after="0" w:afterAutospacing="0"/>
        <w:rPr>
          <w:color w:val="0E101A"/>
        </w:rPr>
      </w:pPr>
      <w:r>
        <w:rPr>
          <w:rStyle w:val="FootnoteReference"/>
        </w:rPr>
        <w:footnoteRef/>
      </w:r>
      <w:r>
        <w:t xml:space="preserve"> </w:t>
      </w:r>
      <w:r>
        <w:rPr>
          <w:color w:val="0E101A"/>
        </w:rPr>
        <w:t>The error in the numbering of the paragraphs in the order is also corrected. </w:t>
      </w:r>
    </w:p>
    <w:p w:rsidR="00DF0FD7" w:rsidRDefault="00DF0FD7" w:rsidP="00DF0FD7">
      <w:pPr>
        <w:pStyle w:val="NormalWeb"/>
        <w:spacing w:before="0" w:beforeAutospacing="0" w:after="0" w:afterAutospacing="0" w:line="360" w:lineRule="auto"/>
        <w:rPr>
          <w:rFonts w:ascii="Arial" w:hAnsi="Arial" w:cs="Arial"/>
          <w:color w:val="0E101A"/>
        </w:rPr>
      </w:pPr>
    </w:p>
    <w:p w:rsidR="00DF0FD7" w:rsidRPr="00DF0FD7" w:rsidRDefault="00DF0FD7">
      <w:pPr>
        <w:pStyle w:val="FootnoteText"/>
        <w:rPr>
          <w:lang w:val="en-GB"/>
        </w:rPr>
      </w:pPr>
    </w:p>
  </w:footnote>
  <w:footnote w:id="2">
    <w:p w:rsidR="00D20713" w:rsidRPr="00D20713" w:rsidRDefault="00D20713">
      <w:pPr>
        <w:pStyle w:val="FootnoteText"/>
        <w:rPr>
          <w:lang w:val="en-GB"/>
        </w:rPr>
      </w:pPr>
      <w:r>
        <w:rPr>
          <w:rStyle w:val="FootnoteReference"/>
        </w:rPr>
        <w:footnoteRef/>
      </w:r>
      <w:r>
        <w:t xml:space="preserve"> </w:t>
      </w:r>
      <w:r>
        <w:rPr>
          <w:rFonts w:ascii="Arial" w:hAnsi="Arial" w:cs="Arial"/>
          <w:color w:val="0E101A"/>
        </w:rPr>
        <w:t>2016 (704) OD 5 (GNP).</w:t>
      </w:r>
    </w:p>
  </w:footnote>
  <w:footnote w:id="3">
    <w:p w:rsidR="00D20713" w:rsidRPr="00D20713" w:rsidRDefault="00D20713">
      <w:pPr>
        <w:pStyle w:val="FootnoteText"/>
        <w:rPr>
          <w:lang w:val="en-GB"/>
        </w:rPr>
      </w:pPr>
      <w:r>
        <w:rPr>
          <w:rStyle w:val="FootnoteReference"/>
        </w:rPr>
        <w:footnoteRef/>
      </w:r>
      <w:r>
        <w:t xml:space="preserve"> </w:t>
      </w:r>
      <w:r>
        <w:rPr>
          <w:rFonts w:ascii="Arial" w:hAnsi="Arial" w:cs="Arial"/>
          <w:color w:val="0E101A"/>
        </w:rPr>
        <w:t>2015 (7CS) 29 (GNP).</w:t>
      </w:r>
    </w:p>
  </w:footnote>
  <w:footnote w:id="4">
    <w:p w:rsidR="00091460" w:rsidRPr="00091460" w:rsidRDefault="00091460">
      <w:pPr>
        <w:pStyle w:val="FootnoteText"/>
        <w:rPr>
          <w:lang w:val="en-GB"/>
        </w:rPr>
      </w:pPr>
      <w:r>
        <w:rPr>
          <w:rStyle w:val="FootnoteReference"/>
        </w:rPr>
        <w:footnoteRef/>
      </w:r>
      <w:r>
        <w:t xml:space="preserve"> </w:t>
      </w:r>
      <w:r w:rsidRPr="00091460">
        <w:rPr>
          <w:rFonts w:ascii="Arial" w:hAnsi="Arial" w:cs="Arial"/>
          <w:color w:val="0E101A"/>
        </w:rPr>
        <w:t>(2338/2018) [2021] ZAFSHC 206 (15 September 2021)</w:t>
      </w:r>
      <w:r>
        <w:rPr>
          <w:rFonts w:ascii="Arial" w:hAnsi="Arial" w:cs="Arial"/>
          <w:color w:val="0E101A"/>
        </w:rPr>
        <w:t>.</w:t>
      </w:r>
    </w:p>
  </w:footnote>
  <w:footnote w:id="5">
    <w:p w:rsidR="00091460" w:rsidRPr="00091460" w:rsidRDefault="00091460">
      <w:pPr>
        <w:pStyle w:val="FootnoteText"/>
        <w:rPr>
          <w:lang w:val="en-GB"/>
        </w:rPr>
      </w:pPr>
      <w:r>
        <w:rPr>
          <w:rStyle w:val="FootnoteReference"/>
        </w:rPr>
        <w:footnoteRef/>
      </w:r>
      <w:r>
        <w:t xml:space="preserve"> </w:t>
      </w:r>
      <w:r w:rsidRPr="00091460">
        <w:rPr>
          <w:rFonts w:ascii="Arial" w:hAnsi="Arial" w:cs="Arial"/>
          <w:color w:val="0E101A"/>
        </w:rPr>
        <w:t>2010 JDR 1371 (GSJ)</w:t>
      </w:r>
      <w:r>
        <w:rPr>
          <w:rFonts w:ascii="Arial" w:hAnsi="Arial" w:cs="Arial"/>
          <w:color w:val="0E101A"/>
        </w:rPr>
        <w:t>.</w:t>
      </w:r>
    </w:p>
  </w:footnote>
  <w:footnote w:id="6">
    <w:p w:rsidR="00502FEB" w:rsidRPr="00502FEB" w:rsidRDefault="00502FEB">
      <w:pPr>
        <w:pStyle w:val="FootnoteText"/>
        <w:rPr>
          <w:lang w:val="en-GB"/>
        </w:rPr>
      </w:pPr>
      <w:r>
        <w:rPr>
          <w:rStyle w:val="FootnoteReference"/>
        </w:rPr>
        <w:footnoteRef/>
      </w:r>
      <w:r w:rsidRPr="00D724CF">
        <w:rPr>
          <w:rFonts w:ascii="Arial" w:hAnsi="Arial" w:cs="Arial"/>
          <w:color w:val="0E101A"/>
          <w:sz w:val="24"/>
          <w:szCs w:val="24"/>
        </w:rPr>
        <w:t xml:space="preserve"> </w:t>
      </w:r>
      <w:r w:rsidRPr="00091460">
        <w:rPr>
          <w:rFonts w:ascii="Arial" w:hAnsi="Arial" w:cs="Arial"/>
          <w:color w:val="0E101A"/>
        </w:rPr>
        <w:t>Road Accident Fund v Guedes 2006. [5] SA586 at paragraph [8].</w:t>
      </w:r>
    </w:p>
  </w:footnote>
  <w:footnote w:id="7">
    <w:p w:rsidR="00091460" w:rsidRPr="00091460" w:rsidRDefault="00091460">
      <w:pPr>
        <w:pStyle w:val="FootnoteText"/>
        <w:rPr>
          <w:lang w:val="en-GB"/>
        </w:rPr>
      </w:pPr>
      <w:r>
        <w:rPr>
          <w:rStyle w:val="FootnoteReference"/>
        </w:rPr>
        <w:footnoteRef/>
      </w:r>
      <w:r>
        <w:t xml:space="preserve"> </w:t>
      </w:r>
      <w:r w:rsidRPr="00091460">
        <w:rPr>
          <w:rFonts w:ascii="Arial" w:hAnsi="Arial" w:cs="Arial"/>
          <w:color w:val="0E101A"/>
        </w:rPr>
        <w:t>1948 [1] SA 1988</w:t>
      </w:r>
      <w:r>
        <w:rPr>
          <w:rFonts w:ascii="Arial" w:hAnsi="Arial" w:cs="Arial"/>
          <w:color w:val="0E101A"/>
        </w:rPr>
        <w:t xml:space="preserve"> </w:t>
      </w:r>
      <w:r w:rsidRPr="00091460">
        <w:rPr>
          <w:rFonts w:ascii="Arial" w:hAnsi="Arial" w:cs="Arial"/>
          <w:color w:val="0E101A"/>
        </w:rPr>
        <w:t>at 1135</w:t>
      </w:r>
      <w:r>
        <w:rPr>
          <w:rFonts w:ascii="Arial" w:hAnsi="Arial" w:cs="Arial"/>
          <w:color w:val="0E101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84790"/>
      <w:docPartObj>
        <w:docPartGallery w:val="Page Numbers (Top of Page)"/>
        <w:docPartUnique/>
      </w:docPartObj>
    </w:sdtPr>
    <w:sdtEndPr>
      <w:rPr>
        <w:noProof/>
      </w:rPr>
    </w:sdtEndPr>
    <w:sdtContent>
      <w:p w:rsidR="003353B4" w:rsidRDefault="003353B4">
        <w:pPr>
          <w:pStyle w:val="Header"/>
          <w:jc w:val="right"/>
        </w:pPr>
        <w:r>
          <w:t>Page-</w:t>
        </w:r>
        <w:r>
          <w:fldChar w:fldCharType="begin"/>
        </w:r>
        <w:r>
          <w:instrText xml:space="preserve"> PAGE   \* MERGEFORMAT </w:instrText>
        </w:r>
        <w:r>
          <w:fldChar w:fldCharType="separate"/>
        </w:r>
        <w:r w:rsidR="00D23610">
          <w:rPr>
            <w:noProof/>
          </w:rPr>
          <w:t>2</w:t>
        </w:r>
        <w:r>
          <w:rPr>
            <w:noProof/>
          </w:rPr>
          <w:fldChar w:fldCharType="end"/>
        </w:r>
      </w:p>
    </w:sdtContent>
  </w:sdt>
  <w:p w:rsidR="00DC7A24" w:rsidRDefault="00DC7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8B2"/>
    <w:multiLevelType w:val="multilevel"/>
    <w:tmpl w:val="DEE806EA"/>
    <w:lvl w:ilvl="0">
      <w:start w:val="1"/>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5C2E28"/>
    <w:multiLevelType w:val="hybridMultilevel"/>
    <w:tmpl w:val="99A601E2"/>
    <w:lvl w:ilvl="0" w:tplc="5566C362">
      <w:start w:val="1"/>
      <w:numFmt w:val="decimal"/>
      <w:lvlText w:val="[%1]"/>
      <w:lvlJc w:val="left"/>
      <w:pPr>
        <w:ind w:left="720" w:hanging="360"/>
      </w:pPr>
      <w:rPr>
        <w:rFonts w:hint="default"/>
      </w:rPr>
    </w:lvl>
    <w:lvl w:ilvl="1" w:tplc="B7B8990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C23623"/>
    <w:multiLevelType w:val="multilevel"/>
    <w:tmpl w:val="3D7C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04909"/>
    <w:multiLevelType w:val="hybridMultilevel"/>
    <w:tmpl w:val="726E6994"/>
    <w:lvl w:ilvl="0" w:tplc="74CE9494">
      <w:start w:val="1"/>
      <w:numFmt w:val="lowerLetter"/>
      <w:lvlText w:val="(%1)"/>
      <w:lvlJc w:val="left"/>
      <w:pPr>
        <w:ind w:left="720" w:hanging="360"/>
      </w:pPr>
      <w:rPr>
        <w:rFonts w:ascii="Segoe UI" w:hAnsi="Segoe UI" w:cs="Segoe UI" w:hint="default"/>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AE7445"/>
    <w:multiLevelType w:val="multilevel"/>
    <w:tmpl w:val="B40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82E8B"/>
    <w:multiLevelType w:val="multilevel"/>
    <w:tmpl w:val="8C96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44060A"/>
    <w:multiLevelType w:val="hybridMultilevel"/>
    <w:tmpl w:val="EDFC5CE6"/>
    <w:lvl w:ilvl="0" w:tplc="5ABAFB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282B92"/>
    <w:multiLevelType w:val="multilevel"/>
    <w:tmpl w:val="87E6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2B35F7"/>
    <w:multiLevelType w:val="multilevel"/>
    <w:tmpl w:val="F758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B433AC"/>
    <w:multiLevelType w:val="multilevel"/>
    <w:tmpl w:val="24D6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E10909"/>
    <w:multiLevelType w:val="hybridMultilevel"/>
    <w:tmpl w:val="86E0D0F4"/>
    <w:lvl w:ilvl="0" w:tplc="5566C36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5"/>
  </w:num>
  <w:num w:numId="6">
    <w:abstractNumId w:val="2"/>
  </w:num>
  <w:num w:numId="7">
    <w:abstractNumId w:val="8"/>
  </w:num>
  <w:num w:numId="8">
    <w:abstractNumId w:val="9"/>
  </w:num>
  <w:num w:numId="9">
    <w:abstractNumId w:val="7"/>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532272-D0B1-4A18-AAB2-2553B775E7E1}"/>
    <w:docVar w:name="dgnword-eventsink" w:val="1979692352032"/>
  </w:docVars>
  <w:rsids>
    <w:rsidRoot w:val="000A3617"/>
    <w:rsid w:val="00007795"/>
    <w:rsid w:val="00036302"/>
    <w:rsid w:val="000453D8"/>
    <w:rsid w:val="0004592A"/>
    <w:rsid w:val="000722D4"/>
    <w:rsid w:val="000774A0"/>
    <w:rsid w:val="00091460"/>
    <w:rsid w:val="000A3617"/>
    <w:rsid w:val="000E6E8E"/>
    <w:rsid w:val="001378D1"/>
    <w:rsid w:val="00173112"/>
    <w:rsid w:val="00214B41"/>
    <w:rsid w:val="0022041C"/>
    <w:rsid w:val="002551E2"/>
    <w:rsid w:val="002F0177"/>
    <w:rsid w:val="00303956"/>
    <w:rsid w:val="003353B4"/>
    <w:rsid w:val="0034791A"/>
    <w:rsid w:val="003F5425"/>
    <w:rsid w:val="004017CC"/>
    <w:rsid w:val="00427AAE"/>
    <w:rsid w:val="00483428"/>
    <w:rsid w:val="004B3B0C"/>
    <w:rsid w:val="004C4E06"/>
    <w:rsid w:val="004F3E1B"/>
    <w:rsid w:val="00502FEB"/>
    <w:rsid w:val="00527395"/>
    <w:rsid w:val="00531400"/>
    <w:rsid w:val="00540448"/>
    <w:rsid w:val="005B175C"/>
    <w:rsid w:val="005C5648"/>
    <w:rsid w:val="00695F7C"/>
    <w:rsid w:val="006C7FD8"/>
    <w:rsid w:val="00731156"/>
    <w:rsid w:val="0073314C"/>
    <w:rsid w:val="00742B8B"/>
    <w:rsid w:val="00774FEE"/>
    <w:rsid w:val="007A6DF6"/>
    <w:rsid w:val="007F1E8E"/>
    <w:rsid w:val="0082025A"/>
    <w:rsid w:val="00830EB8"/>
    <w:rsid w:val="00833EE8"/>
    <w:rsid w:val="0084494B"/>
    <w:rsid w:val="00852C30"/>
    <w:rsid w:val="00885FBE"/>
    <w:rsid w:val="008E6565"/>
    <w:rsid w:val="008F1A4B"/>
    <w:rsid w:val="008F4F56"/>
    <w:rsid w:val="00910420"/>
    <w:rsid w:val="009173BC"/>
    <w:rsid w:val="0092140A"/>
    <w:rsid w:val="00933056"/>
    <w:rsid w:val="00985184"/>
    <w:rsid w:val="009A6770"/>
    <w:rsid w:val="009E2C3D"/>
    <w:rsid w:val="00A01DF9"/>
    <w:rsid w:val="00A1373B"/>
    <w:rsid w:val="00A2752B"/>
    <w:rsid w:val="00A43550"/>
    <w:rsid w:val="00A624F8"/>
    <w:rsid w:val="00A80E8D"/>
    <w:rsid w:val="00A82BF6"/>
    <w:rsid w:val="00A845E5"/>
    <w:rsid w:val="00AD371A"/>
    <w:rsid w:val="00AE4526"/>
    <w:rsid w:val="00AE4AD6"/>
    <w:rsid w:val="00B16E4B"/>
    <w:rsid w:val="00B41FF0"/>
    <w:rsid w:val="00B42B6E"/>
    <w:rsid w:val="00BA1AEE"/>
    <w:rsid w:val="00BA7981"/>
    <w:rsid w:val="00BB16AC"/>
    <w:rsid w:val="00BB690D"/>
    <w:rsid w:val="00C039B7"/>
    <w:rsid w:val="00C525D9"/>
    <w:rsid w:val="00CF4CBB"/>
    <w:rsid w:val="00D20713"/>
    <w:rsid w:val="00D23610"/>
    <w:rsid w:val="00D26487"/>
    <w:rsid w:val="00D724CF"/>
    <w:rsid w:val="00DC7A24"/>
    <w:rsid w:val="00DE0DD0"/>
    <w:rsid w:val="00DE2109"/>
    <w:rsid w:val="00DF0FD7"/>
    <w:rsid w:val="00E32BDB"/>
    <w:rsid w:val="00E63728"/>
    <w:rsid w:val="00E71ADC"/>
    <w:rsid w:val="00E974A6"/>
    <w:rsid w:val="00F079A0"/>
    <w:rsid w:val="00F368EC"/>
    <w:rsid w:val="00F631DD"/>
    <w:rsid w:val="00F9429F"/>
    <w:rsid w:val="00FF23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20D8-D15D-4D88-80CC-61305864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17"/>
    <w:pPr>
      <w:spacing w:line="256" w:lineRule="auto"/>
    </w:pPr>
  </w:style>
  <w:style w:type="paragraph" w:styleId="Heading1">
    <w:name w:val="heading 1"/>
    <w:basedOn w:val="Normal"/>
    <w:next w:val="Normal"/>
    <w:link w:val="Heading1Char"/>
    <w:uiPriority w:val="9"/>
    <w:qFormat/>
    <w:rsid w:val="000A3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7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1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A36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0A3617"/>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rsid w:val="000A3617"/>
    <w:rPr>
      <w:rFonts w:eastAsiaTheme="minorEastAsia" w:cs="Times New Roman"/>
      <w:sz w:val="20"/>
      <w:szCs w:val="20"/>
      <w:lang w:eastAsia="en-ZA"/>
    </w:rPr>
  </w:style>
  <w:style w:type="paragraph" w:styleId="ListParagraph">
    <w:name w:val="List Paragraph"/>
    <w:basedOn w:val="Normal"/>
    <w:uiPriority w:val="34"/>
    <w:qFormat/>
    <w:rsid w:val="000A3617"/>
    <w:pPr>
      <w:ind w:left="720"/>
      <w:contextualSpacing/>
    </w:pPr>
  </w:style>
  <w:style w:type="character" w:styleId="FootnoteReference">
    <w:name w:val="footnote reference"/>
    <w:basedOn w:val="DefaultParagraphFont"/>
    <w:uiPriority w:val="99"/>
    <w:semiHidden/>
    <w:unhideWhenUsed/>
    <w:rsid w:val="000A3617"/>
    <w:rPr>
      <w:vertAlign w:val="superscript"/>
    </w:rPr>
  </w:style>
  <w:style w:type="character" w:customStyle="1" w:styleId="Heading2Char">
    <w:name w:val="Heading 2 Char"/>
    <w:basedOn w:val="DefaultParagraphFont"/>
    <w:link w:val="Heading2"/>
    <w:uiPriority w:val="9"/>
    <w:semiHidden/>
    <w:rsid w:val="00BA79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E2109"/>
    <w:rPr>
      <w:color w:val="0000FF"/>
      <w:u w:val="single"/>
    </w:rPr>
  </w:style>
  <w:style w:type="paragraph" w:styleId="BalloonText">
    <w:name w:val="Balloon Text"/>
    <w:basedOn w:val="Normal"/>
    <w:link w:val="BalloonTextChar"/>
    <w:uiPriority w:val="99"/>
    <w:semiHidden/>
    <w:unhideWhenUsed/>
    <w:rsid w:val="0003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02"/>
    <w:rPr>
      <w:rFonts w:ascii="Segoe UI" w:hAnsi="Segoe UI" w:cs="Segoe UI"/>
      <w:sz w:val="18"/>
      <w:szCs w:val="18"/>
    </w:rPr>
  </w:style>
  <w:style w:type="paragraph" w:styleId="Header">
    <w:name w:val="header"/>
    <w:basedOn w:val="Normal"/>
    <w:link w:val="HeaderChar"/>
    <w:uiPriority w:val="99"/>
    <w:unhideWhenUsed/>
    <w:rsid w:val="00DC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A24"/>
  </w:style>
  <w:style w:type="paragraph" w:styleId="Footer">
    <w:name w:val="footer"/>
    <w:basedOn w:val="Normal"/>
    <w:link w:val="FooterChar"/>
    <w:uiPriority w:val="99"/>
    <w:unhideWhenUsed/>
    <w:rsid w:val="00DC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A24"/>
  </w:style>
  <w:style w:type="character" w:styleId="Strong">
    <w:name w:val="Strong"/>
    <w:basedOn w:val="DefaultParagraphFont"/>
    <w:uiPriority w:val="22"/>
    <w:qFormat/>
    <w:rsid w:val="0084494B"/>
    <w:rPr>
      <w:b/>
      <w:bCs/>
    </w:rPr>
  </w:style>
  <w:style w:type="character" w:styleId="Emphasis">
    <w:name w:val="Emphasis"/>
    <w:basedOn w:val="DefaultParagraphFont"/>
    <w:uiPriority w:val="20"/>
    <w:qFormat/>
    <w:rsid w:val="00844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895">
      <w:bodyDiv w:val="1"/>
      <w:marLeft w:val="0"/>
      <w:marRight w:val="0"/>
      <w:marTop w:val="0"/>
      <w:marBottom w:val="0"/>
      <w:divBdr>
        <w:top w:val="none" w:sz="0" w:space="0" w:color="auto"/>
        <w:left w:val="none" w:sz="0" w:space="0" w:color="auto"/>
        <w:bottom w:val="none" w:sz="0" w:space="0" w:color="auto"/>
        <w:right w:val="none" w:sz="0" w:space="0" w:color="auto"/>
      </w:divBdr>
    </w:div>
    <w:div w:id="152645405">
      <w:bodyDiv w:val="1"/>
      <w:marLeft w:val="0"/>
      <w:marRight w:val="0"/>
      <w:marTop w:val="0"/>
      <w:marBottom w:val="0"/>
      <w:divBdr>
        <w:top w:val="none" w:sz="0" w:space="0" w:color="auto"/>
        <w:left w:val="none" w:sz="0" w:space="0" w:color="auto"/>
        <w:bottom w:val="none" w:sz="0" w:space="0" w:color="auto"/>
        <w:right w:val="none" w:sz="0" w:space="0" w:color="auto"/>
      </w:divBdr>
    </w:div>
    <w:div w:id="353724673">
      <w:bodyDiv w:val="1"/>
      <w:marLeft w:val="0"/>
      <w:marRight w:val="0"/>
      <w:marTop w:val="0"/>
      <w:marBottom w:val="0"/>
      <w:divBdr>
        <w:top w:val="none" w:sz="0" w:space="0" w:color="auto"/>
        <w:left w:val="none" w:sz="0" w:space="0" w:color="auto"/>
        <w:bottom w:val="none" w:sz="0" w:space="0" w:color="auto"/>
        <w:right w:val="none" w:sz="0" w:space="0" w:color="auto"/>
      </w:divBdr>
    </w:div>
    <w:div w:id="475950913">
      <w:bodyDiv w:val="1"/>
      <w:marLeft w:val="0"/>
      <w:marRight w:val="0"/>
      <w:marTop w:val="0"/>
      <w:marBottom w:val="0"/>
      <w:divBdr>
        <w:top w:val="none" w:sz="0" w:space="0" w:color="auto"/>
        <w:left w:val="none" w:sz="0" w:space="0" w:color="auto"/>
        <w:bottom w:val="none" w:sz="0" w:space="0" w:color="auto"/>
        <w:right w:val="none" w:sz="0" w:space="0" w:color="auto"/>
      </w:divBdr>
    </w:div>
    <w:div w:id="641082964">
      <w:bodyDiv w:val="1"/>
      <w:marLeft w:val="0"/>
      <w:marRight w:val="0"/>
      <w:marTop w:val="0"/>
      <w:marBottom w:val="0"/>
      <w:divBdr>
        <w:top w:val="none" w:sz="0" w:space="0" w:color="auto"/>
        <w:left w:val="none" w:sz="0" w:space="0" w:color="auto"/>
        <w:bottom w:val="none" w:sz="0" w:space="0" w:color="auto"/>
        <w:right w:val="none" w:sz="0" w:space="0" w:color="auto"/>
      </w:divBdr>
    </w:div>
    <w:div w:id="677776354">
      <w:bodyDiv w:val="1"/>
      <w:marLeft w:val="0"/>
      <w:marRight w:val="0"/>
      <w:marTop w:val="0"/>
      <w:marBottom w:val="0"/>
      <w:divBdr>
        <w:top w:val="none" w:sz="0" w:space="0" w:color="auto"/>
        <w:left w:val="none" w:sz="0" w:space="0" w:color="auto"/>
        <w:bottom w:val="none" w:sz="0" w:space="0" w:color="auto"/>
        <w:right w:val="none" w:sz="0" w:space="0" w:color="auto"/>
      </w:divBdr>
    </w:div>
    <w:div w:id="913052436">
      <w:bodyDiv w:val="1"/>
      <w:marLeft w:val="0"/>
      <w:marRight w:val="0"/>
      <w:marTop w:val="0"/>
      <w:marBottom w:val="0"/>
      <w:divBdr>
        <w:top w:val="none" w:sz="0" w:space="0" w:color="auto"/>
        <w:left w:val="none" w:sz="0" w:space="0" w:color="auto"/>
        <w:bottom w:val="none" w:sz="0" w:space="0" w:color="auto"/>
        <w:right w:val="none" w:sz="0" w:space="0" w:color="auto"/>
      </w:divBdr>
    </w:div>
    <w:div w:id="18418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803105%27%5d&amp;xhitlist_md=target-id=0-0-0-6682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631608%27%5d&amp;xhitlist_md=target-id=0-0-0-65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3EAB-8BEC-4FAA-A640-CEE0E1F5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cp:lastPrinted>2023-03-25T21:15:00Z</cp:lastPrinted>
  <dcterms:created xsi:type="dcterms:W3CDTF">2023-05-29T11:21:00Z</dcterms:created>
  <dcterms:modified xsi:type="dcterms:W3CDTF">2023-05-29T11:22:00Z</dcterms:modified>
</cp:coreProperties>
</file>