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8E6813">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8E6813">
        <w:trPr>
          <w:trHeight w:val="2205"/>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A651E0">
              <w:rPr>
                <w:rFonts w:ascii="Arial Unicode MS" w:eastAsia="Arial Unicode MS" w:hAnsi="Arial Unicode MS" w:cs="Arial Unicode MS"/>
                <w:strike/>
                <w:sz w:val="16"/>
                <w:szCs w:val="16"/>
              </w:rPr>
              <w:t>YES/</w:t>
            </w:r>
            <w:r w:rsidRPr="00A651E0">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A651E0">
              <w:rPr>
                <w:rFonts w:ascii="Arial Unicode MS" w:eastAsia="Arial Unicode MS" w:hAnsi="Arial Unicode MS" w:cs="Arial Unicode MS"/>
                <w:strike/>
                <w:sz w:val="16"/>
                <w:szCs w:val="16"/>
              </w:rPr>
              <w:t>YES/</w:t>
            </w:r>
            <w:r w:rsidRPr="00A651E0">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84842F1" w14:textId="7A06CE0B"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BF18FD">
              <w:rPr>
                <w:rFonts w:ascii="Arial Unicode MS" w:eastAsia="Arial Unicode MS" w:hAnsi="Arial Unicode MS" w:cs="Arial Unicode MS"/>
                <w:sz w:val="16"/>
                <w:szCs w:val="16"/>
              </w:rPr>
              <w:t xml:space="preserve">  </w:t>
            </w:r>
            <w:r w:rsidR="00A651E0" w:rsidRPr="00BF18FD">
              <w:rPr>
                <w:rFonts w:ascii="Arial Unicode MS" w:eastAsia="Arial Unicode MS" w:hAnsi="Arial Unicode MS" w:cs="Arial Unicode MS"/>
                <w:b/>
                <w:bCs/>
                <w:sz w:val="16"/>
                <w:szCs w:val="16"/>
                <w:u w:val="single"/>
              </w:rPr>
              <w:t>19 May 2023</w:t>
            </w:r>
            <w:r>
              <w:rPr>
                <w:rFonts w:ascii="Arial Unicode MS" w:eastAsia="Arial Unicode MS" w:hAnsi="Arial Unicode MS" w:cs="Arial Unicode MS"/>
                <w:sz w:val="16"/>
                <w:szCs w:val="16"/>
              </w:rPr>
              <w:br/>
            </w:r>
          </w:p>
          <w:p w14:paraId="773CDFDB" w14:textId="2AE6B3D8"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00BF18FD">
              <w:rPr>
                <w:rFonts w:ascii="Arial Unicode MS" w:eastAsia="Arial Unicode MS" w:hAnsi="Arial Unicode MS" w:cs="Arial Unicode MS"/>
                <w:sz w:val="16"/>
                <w:szCs w:val="16"/>
              </w:rPr>
              <w:t>_____________________</w:t>
            </w:r>
          </w:p>
        </w:tc>
      </w:tr>
    </w:tbl>
    <w:p w14:paraId="46E43E32" w14:textId="19ADC795"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9F002F">
        <w:rPr>
          <w:rFonts w:cs="Arial"/>
          <w:b/>
          <w:bCs/>
          <w:sz w:val="24"/>
          <w:szCs w:val="24"/>
        </w:rPr>
        <w:t>84366/19</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331"/>
        <w:gridCol w:w="66"/>
      </w:tblGrid>
      <w:tr w:rsidR="00B50E11" w:rsidRPr="0031449E" w14:paraId="22698168" w14:textId="77777777" w:rsidTr="0038451E">
        <w:trPr>
          <w:gridAfter w:val="1"/>
          <w:wAfter w:w="66" w:type="dxa"/>
        </w:trPr>
        <w:tc>
          <w:tcPr>
            <w:tcW w:w="6232"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3331"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38451E">
        <w:trPr>
          <w:gridAfter w:val="1"/>
          <w:wAfter w:w="66" w:type="dxa"/>
          <w:trHeight w:val="1045"/>
        </w:trPr>
        <w:tc>
          <w:tcPr>
            <w:tcW w:w="6232" w:type="dxa"/>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1E2BEDB4" w:rsidR="007F7FED" w:rsidRPr="00502ADB" w:rsidRDefault="00502ADB"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502ADB">
              <w:rPr>
                <w:rFonts w:cs="Arial"/>
                <w:b/>
                <w:bCs/>
                <w:sz w:val="24"/>
                <w:szCs w:val="24"/>
              </w:rPr>
              <w:t>SEHLAPELO, ELIZABETH BR</w:t>
            </w:r>
            <w:r w:rsidR="00217FB4">
              <w:rPr>
                <w:rFonts w:cs="Arial"/>
                <w:b/>
                <w:bCs/>
                <w:sz w:val="24"/>
                <w:szCs w:val="24"/>
              </w:rPr>
              <w:t>IDGETTE</w:t>
            </w:r>
          </w:p>
        </w:tc>
        <w:tc>
          <w:tcPr>
            <w:tcW w:w="3331"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3AFC34F8"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w:t>
            </w:r>
            <w:r w:rsidR="00217FB4">
              <w:rPr>
                <w:rFonts w:cs="Arial"/>
                <w:b/>
                <w:sz w:val="24"/>
                <w:szCs w:val="24"/>
              </w:rPr>
              <w:t>pplicant</w:t>
            </w:r>
          </w:p>
        </w:tc>
      </w:tr>
      <w:tr w:rsidR="00B50E11" w:rsidRPr="0031449E" w14:paraId="2DE3831D" w14:textId="77777777" w:rsidTr="0038451E">
        <w:trPr>
          <w:gridAfter w:val="1"/>
          <w:wAfter w:w="66" w:type="dxa"/>
        </w:trPr>
        <w:tc>
          <w:tcPr>
            <w:tcW w:w="6232" w:type="dxa"/>
          </w:tcPr>
          <w:p w14:paraId="06AA6B3B" w14:textId="7CD9CC68" w:rsidR="00B50E11" w:rsidRPr="00F43C52" w:rsidRDefault="00B50E11" w:rsidP="008E6813">
            <w:pPr>
              <w:pStyle w:val="Body"/>
              <w:spacing w:line="360" w:lineRule="auto"/>
              <w:jc w:val="both"/>
              <w:rPr>
                <w:rFonts w:cs="Arial"/>
                <w:b/>
                <w:sz w:val="24"/>
                <w:szCs w:val="24"/>
              </w:rPr>
            </w:pPr>
          </w:p>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3331"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38451E">
        <w:trPr>
          <w:gridAfter w:val="1"/>
          <w:wAfter w:w="66" w:type="dxa"/>
        </w:trPr>
        <w:tc>
          <w:tcPr>
            <w:tcW w:w="6232" w:type="dxa"/>
          </w:tcPr>
          <w:p w14:paraId="0C29CDE0" w14:textId="77777777" w:rsidR="00B50E11" w:rsidRDefault="00B50E11" w:rsidP="00217F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lang w:val="de-DE"/>
              </w:rPr>
            </w:pPr>
          </w:p>
          <w:p w14:paraId="480DF639" w14:textId="487C30E7" w:rsidR="001F07DD" w:rsidRDefault="00502ADB" w:rsidP="00217F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405"/>
              <w:rPr>
                <w:rFonts w:cs="Arial"/>
                <w:b/>
                <w:bCs/>
                <w:sz w:val="24"/>
                <w:szCs w:val="24"/>
                <w:lang w:val="de-DE"/>
              </w:rPr>
            </w:pPr>
            <w:r>
              <w:rPr>
                <w:rFonts w:cs="Arial"/>
                <w:b/>
                <w:bCs/>
                <w:sz w:val="24"/>
                <w:szCs w:val="24"/>
                <w:lang w:val="de-DE"/>
              </w:rPr>
              <w:t>THE OFFICE OF THE OMBUD FOR FINANCIAL SERVICES</w:t>
            </w:r>
            <w:r w:rsidR="00217FB4">
              <w:rPr>
                <w:rFonts w:cs="Arial"/>
                <w:b/>
                <w:bCs/>
                <w:sz w:val="24"/>
                <w:szCs w:val="24"/>
                <w:lang w:val="de-DE"/>
              </w:rPr>
              <w:t xml:space="preserve"> PROVIDERS</w:t>
            </w:r>
          </w:p>
          <w:p w14:paraId="3ACBB1CA" w14:textId="05144C07" w:rsidR="00B50E11" w:rsidRPr="00DA7A8D"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3331"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6391413E" w:rsidR="00B50E11" w:rsidRPr="0031449E"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F</w:t>
            </w:r>
            <w:r w:rsidR="00217FB4">
              <w:rPr>
                <w:rFonts w:cs="Arial"/>
                <w:b/>
                <w:sz w:val="24"/>
                <w:szCs w:val="24"/>
              </w:rPr>
              <w:t>irst Respondent</w:t>
            </w:r>
          </w:p>
        </w:tc>
      </w:tr>
      <w:tr w:rsidR="0027008F" w:rsidRPr="0031449E" w14:paraId="0432C152" w14:textId="77777777" w:rsidTr="0038451E">
        <w:trPr>
          <w:gridAfter w:val="1"/>
          <w:wAfter w:w="66" w:type="dxa"/>
        </w:trPr>
        <w:tc>
          <w:tcPr>
            <w:tcW w:w="6232" w:type="dxa"/>
          </w:tcPr>
          <w:p w14:paraId="25DA77DC"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DFE832F" w14:textId="77777777" w:rsidR="0027008F" w:rsidRDefault="00502ADB" w:rsidP="00217F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Arial"/>
                <w:b/>
                <w:bCs/>
                <w:sz w:val="24"/>
                <w:szCs w:val="24"/>
                <w:lang w:val="de-DE"/>
              </w:rPr>
            </w:pPr>
            <w:r>
              <w:rPr>
                <w:rFonts w:cs="Arial"/>
                <w:b/>
                <w:bCs/>
                <w:sz w:val="24"/>
                <w:szCs w:val="24"/>
                <w:lang w:val="de-DE"/>
              </w:rPr>
              <w:t>THE BOARD OF DIRECTORS</w:t>
            </w:r>
            <w:r w:rsidR="00217FB4">
              <w:rPr>
                <w:rFonts w:cs="Arial"/>
                <w:b/>
                <w:bCs/>
                <w:sz w:val="24"/>
                <w:szCs w:val="24"/>
                <w:lang w:val="de-DE"/>
              </w:rPr>
              <w:t xml:space="preserve"> FOR THE OFFICE OF THE OMBUD FOR FINANCIAL SERVICES PROVIDERS</w:t>
            </w:r>
          </w:p>
          <w:p w14:paraId="7F45D086" w14:textId="68C0F832" w:rsidR="00217FB4" w:rsidRDefault="00217FB4" w:rsidP="00217F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Arial"/>
                <w:b/>
                <w:bCs/>
                <w:sz w:val="24"/>
                <w:szCs w:val="24"/>
                <w:lang w:val="de-DE"/>
              </w:rPr>
            </w:pPr>
          </w:p>
        </w:tc>
        <w:tc>
          <w:tcPr>
            <w:tcW w:w="3331" w:type="dxa"/>
          </w:tcPr>
          <w:p w14:paraId="12E9CA02"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30C84158"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w:t>
            </w:r>
            <w:r w:rsidR="00217FB4">
              <w:rPr>
                <w:rFonts w:cs="Arial"/>
                <w:b/>
                <w:sz w:val="24"/>
                <w:szCs w:val="24"/>
              </w:rPr>
              <w:t>econd Respondent</w:t>
            </w:r>
          </w:p>
        </w:tc>
      </w:tr>
      <w:tr w:rsidR="00217FB4" w:rsidRPr="0031449E" w14:paraId="0057DF6F" w14:textId="77777777" w:rsidTr="0038451E">
        <w:trPr>
          <w:gridAfter w:val="1"/>
          <w:wAfter w:w="66" w:type="dxa"/>
        </w:trPr>
        <w:tc>
          <w:tcPr>
            <w:tcW w:w="6232" w:type="dxa"/>
          </w:tcPr>
          <w:p w14:paraId="47741EAB" w14:textId="77777777"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E51BDAA" w14:textId="37FB86EE"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THE FINANCIAL SECTOR CONDUCT AUTHORITY</w:t>
            </w:r>
          </w:p>
        </w:tc>
        <w:tc>
          <w:tcPr>
            <w:tcW w:w="3331" w:type="dxa"/>
          </w:tcPr>
          <w:p w14:paraId="659584FA" w14:textId="77777777"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1D922BDC" w14:textId="77777777"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Third Respondent</w:t>
            </w:r>
          </w:p>
          <w:p w14:paraId="30E5F0E9" w14:textId="53451DB9"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217FB4" w:rsidRPr="0031449E" w14:paraId="2B2C561A" w14:textId="77777777" w:rsidTr="0038451E">
        <w:trPr>
          <w:gridAfter w:val="1"/>
          <w:wAfter w:w="66" w:type="dxa"/>
        </w:trPr>
        <w:tc>
          <w:tcPr>
            <w:tcW w:w="6232" w:type="dxa"/>
          </w:tcPr>
          <w:p w14:paraId="15F1EFE3" w14:textId="77777777"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255E76E" w14:textId="341B49FB"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THE MINISTER OF FINANCE</w:t>
            </w:r>
          </w:p>
        </w:tc>
        <w:tc>
          <w:tcPr>
            <w:tcW w:w="3331" w:type="dxa"/>
          </w:tcPr>
          <w:p w14:paraId="44823C03" w14:textId="77777777"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93EB539" w14:textId="77777777"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Fourth Respondent</w:t>
            </w:r>
          </w:p>
          <w:p w14:paraId="749C4C69" w14:textId="0BA94EBF"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217FB4" w:rsidRPr="0031449E" w14:paraId="69BF1A69" w14:textId="77777777" w:rsidTr="0038451E">
        <w:trPr>
          <w:gridAfter w:val="1"/>
          <w:wAfter w:w="66" w:type="dxa"/>
        </w:trPr>
        <w:tc>
          <w:tcPr>
            <w:tcW w:w="6232" w:type="dxa"/>
          </w:tcPr>
          <w:p w14:paraId="15CED94D" w14:textId="77777777" w:rsidR="00217FB4" w:rsidRDefault="00217FB4" w:rsidP="00217F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Arial"/>
                <w:b/>
                <w:bCs/>
                <w:sz w:val="24"/>
                <w:szCs w:val="24"/>
                <w:lang w:val="de-DE"/>
              </w:rPr>
            </w:pPr>
          </w:p>
          <w:p w14:paraId="08BF22D4" w14:textId="7D8C98CD" w:rsidR="00217FB4" w:rsidRDefault="00217FB4" w:rsidP="00217FB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Arial"/>
                <w:b/>
                <w:bCs/>
                <w:sz w:val="24"/>
                <w:szCs w:val="24"/>
                <w:lang w:val="de-DE"/>
              </w:rPr>
            </w:pPr>
            <w:r>
              <w:rPr>
                <w:rFonts w:cs="Arial"/>
                <w:b/>
                <w:bCs/>
                <w:sz w:val="24"/>
                <w:szCs w:val="24"/>
                <w:lang w:val="de-DE"/>
              </w:rPr>
              <w:t>THE OMBUD FOR FINANCIAL SERVICES PROVIDERS</w:t>
            </w:r>
          </w:p>
        </w:tc>
        <w:tc>
          <w:tcPr>
            <w:tcW w:w="3331" w:type="dxa"/>
          </w:tcPr>
          <w:p w14:paraId="49440FB0" w14:textId="77777777"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05A1DA1" w14:textId="77777777" w:rsidR="00217FB4" w:rsidRDefault="00217FB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Fifth Respondent</w:t>
            </w:r>
          </w:p>
          <w:p w14:paraId="27A7C1B6" w14:textId="40C71414" w:rsidR="0038451E" w:rsidRDefault="0038451E"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1D7244" w:rsidRPr="00217B1F" w14:paraId="0BE69F19" w14:textId="77777777" w:rsidTr="001D7244">
        <w:trPr>
          <w:trHeight w:val="1045"/>
        </w:trPr>
        <w:tc>
          <w:tcPr>
            <w:tcW w:w="9629" w:type="dxa"/>
            <w:gridSpan w:val="3"/>
          </w:tcPr>
          <w:p w14:paraId="0CA1B4FB" w14:textId="3DFAA1AB" w:rsidR="001D7244" w:rsidRDefault="001D7244" w:rsidP="008E6813">
            <w:pPr>
              <w:pStyle w:val="Body"/>
              <w:pBdr>
                <w:top w:val="none" w:sz="0" w:space="0" w:color="auto"/>
                <w:left w:val="none" w:sz="0" w:space="0" w:color="auto"/>
                <w:bottom w:val="single" w:sz="12" w:space="1" w:color="auto"/>
                <w:right w:val="none" w:sz="0" w:space="0" w:color="auto"/>
                <w:between w:val="none" w:sz="0" w:space="0" w:color="auto"/>
                <w:bar w:val="none" w:sz="0" w:color="auto"/>
              </w:pBdr>
              <w:spacing w:line="360" w:lineRule="auto"/>
              <w:rPr>
                <w:rFonts w:cs="Arial"/>
                <w:b/>
                <w:bCs/>
                <w:sz w:val="24"/>
                <w:szCs w:val="24"/>
              </w:rPr>
            </w:pPr>
          </w:p>
          <w:p w14:paraId="53502682" w14:textId="77777777" w:rsidR="0038451E" w:rsidRPr="00217B1F" w:rsidRDefault="0038451E"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14:paraId="0E758531" w14:textId="77777777" w:rsidTr="00A7673A">
              <w:tc>
                <w:tcPr>
                  <w:tcW w:w="1734" w:type="dxa"/>
                </w:tcPr>
                <w:p w14:paraId="32A8A6B9" w14:textId="77777777" w:rsidR="001D7244" w:rsidRPr="0038451E"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ascii="Times" w:hAnsi="Times" w:cs="Arial"/>
                      <w:b/>
                      <w:bCs/>
                      <w:i/>
                      <w:iCs/>
                      <w:sz w:val="24"/>
                      <w:szCs w:val="24"/>
                    </w:rPr>
                  </w:pPr>
                  <w:r w:rsidRPr="0038451E">
                    <w:rPr>
                      <w:rFonts w:ascii="Times" w:eastAsia="Times New Roman" w:hAnsi="Times" w:cs="Arial"/>
                      <w:b/>
                      <w:bCs/>
                      <w:i/>
                      <w:iCs/>
                      <w:sz w:val="24"/>
                      <w:szCs w:val="24"/>
                      <w:lang w:val="en-ZA"/>
                    </w:rPr>
                    <w:t>Coram:          </w:t>
                  </w:r>
                </w:p>
              </w:tc>
              <w:tc>
                <w:tcPr>
                  <w:tcW w:w="7513" w:type="dxa"/>
                </w:tcPr>
                <w:p w14:paraId="0B10E120" w14:textId="77777777"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A7673A">
              <w:tc>
                <w:tcPr>
                  <w:tcW w:w="1734" w:type="dxa"/>
                </w:tcPr>
                <w:p w14:paraId="4D835109" w14:textId="77777777" w:rsidR="001D7244" w:rsidRPr="0038451E" w:rsidRDefault="001D7244" w:rsidP="00A767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9"/>
                    <w:rPr>
                      <w:rFonts w:ascii="Times" w:hAnsi="Times" w:cs="Arial"/>
                      <w:b/>
                      <w:bCs/>
                      <w:i/>
                      <w:iCs/>
                      <w:sz w:val="24"/>
                      <w:szCs w:val="24"/>
                    </w:rPr>
                  </w:pPr>
                  <w:r w:rsidRPr="0038451E">
                    <w:rPr>
                      <w:rFonts w:ascii="Times" w:eastAsia="Times New Roman" w:hAnsi="Times" w:cs="Arial"/>
                      <w:b/>
                      <w:bCs/>
                      <w:i/>
                      <w:iCs/>
                      <w:sz w:val="24"/>
                      <w:szCs w:val="24"/>
                      <w:lang w:val="en-ZA"/>
                    </w:rPr>
                    <w:t>Heard on:      </w:t>
                  </w:r>
                </w:p>
              </w:tc>
              <w:tc>
                <w:tcPr>
                  <w:tcW w:w="7513" w:type="dxa"/>
                </w:tcPr>
                <w:p w14:paraId="41C8B4DD" w14:textId="136C08AB" w:rsidR="001D7244" w:rsidRPr="00217B1F" w:rsidRDefault="004F157A"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12 April 2023</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A7673A">
              <w:tc>
                <w:tcPr>
                  <w:tcW w:w="1734" w:type="dxa"/>
                </w:tcPr>
                <w:p w14:paraId="34D50450" w14:textId="77777777" w:rsidR="001D7244" w:rsidRPr="0038451E" w:rsidRDefault="001D7244" w:rsidP="00A767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9"/>
                    <w:rPr>
                      <w:rFonts w:ascii="Times" w:hAnsi="Times" w:cs="Arial"/>
                      <w:b/>
                      <w:bCs/>
                      <w:i/>
                      <w:iCs/>
                      <w:sz w:val="24"/>
                      <w:szCs w:val="24"/>
                    </w:rPr>
                  </w:pPr>
                  <w:r w:rsidRPr="0038451E">
                    <w:rPr>
                      <w:rFonts w:ascii="Times" w:eastAsia="Times New Roman" w:hAnsi="Times" w:cs="Arial"/>
                      <w:b/>
                      <w:bCs/>
                      <w:i/>
                      <w:iCs/>
                      <w:sz w:val="24"/>
                      <w:szCs w:val="24"/>
                      <w:lang w:val="en-ZA"/>
                    </w:rPr>
                    <w:t xml:space="preserve">Delivered:   </w:t>
                  </w:r>
                </w:p>
              </w:tc>
              <w:tc>
                <w:tcPr>
                  <w:tcW w:w="7513" w:type="dxa"/>
                </w:tcPr>
                <w:p w14:paraId="6B1352D7" w14:textId="7925BE3A" w:rsidR="001D7244" w:rsidRPr="00217B1F" w:rsidRDefault="00B2204E" w:rsidP="008E6813">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 xml:space="preserve">19 </w:t>
                  </w:r>
                  <w:r w:rsidR="004F157A">
                    <w:rPr>
                      <w:rFonts w:ascii="Arial" w:eastAsia="Times New Roman" w:hAnsi="Arial" w:cs="Arial"/>
                      <w:color w:val="000000"/>
                      <w:sz w:val="24"/>
                      <w:szCs w:val="24"/>
                      <w:lang w:val="en-ZA"/>
                    </w:rPr>
                    <w:t>May 2023</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xml:space="preserve"> system of the GD and by release to SAFLII. The date and time for hand-down is deemed to be </w:t>
                  </w:r>
                  <w:r>
                    <w:rPr>
                      <w:rFonts w:ascii="Arial" w:eastAsia="Times New Roman" w:hAnsi="Arial" w:cs="Arial"/>
                      <w:color w:val="000000"/>
                      <w:sz w:val="24"/>
                      <w:szCs w:val="24"/>
                      <w:lang w:val="en-ZA"/>
                    </w:rPr>
                    <w:t>09</w:t>
                  </w:r>
                  <w:r w:rsidR="001D7244"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 xml:space="preserve"> 19</w:t>
                  </w:r>
                  <w:r w:rsidR="001D7244">
                    <w:rPr>
                      <w:rFonts w:ascii="Arial" w:eastAsia="Times New Roman" w:hAnsi="Arial" w:cs="Arial"/>
                      <w:color w:val="000000"/>
                      <w:sz w:val="24"/>
                      <w:szCs w:val="24"/>
                      <w:lang w:val="en-ZA"/>
                    </w:rPr>
                    <w:t xml:space="preserve"> </w:t>
                  </w:r>
                  <w:r w:rsidR="004F157A">
                    <w:rPr>
                      <w:rFonts w:ascii="Arial" w:eastAsia="Times New Roman" w:hAnsi="Arial" w:cs="Arial"/>
                      <w:color w:val="000000"/>
                      <w:sz w:val="24"/>
                      <w:szCs w:val="24"/>
                      <w:lang w:val="en-ZA"/>
                    </w:rPr>
                    <w:t>May 2023</w:t>
                  </w:r>
                  <w:r w:rsidR="001D7244" w:rsidRPr="00217B1F">
                    <w:rPr>
                      <w:rFonts w:ascii="Arial" w:eastAsia="Times New Roman" w:hAnsi="Arial" w:cs="Arial"/>
                      <w:color w:val="000000"/>
                      <w:sz w:val="24"/>
                      <w:szCs w:val="24"/>
                      <w:lang w:val="en-ZA"/>
                    </w:rPr>
                    <w:t>.</w:t>
                  </w:r>
                </w:p>
                <w:p w14:paraId="5F5E03E1"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393A505" w14:textId="77777777" w:rsidTr="00A7673A">
              <w:tc>
                <w:tcPr>
                  <w:tcW w:w="1734" w:type="dxa"/>
                </w:tcPr>
                <w:p w14:paraId="6E105F9A" w14:textId="77777777" w:rsidR="001D7244" w:rsidRPr="0038451E" w:rsidRDefault="001D7244" w:rsidP="00A7673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9"/>
                    <w:rPr>
                      <w:rFonts w:ascii="Times" w:hAnsi="Times" w:cs="Arial"/>
                      <w:b/>
                      <w:bCs/>
                      <w:i/>
                      <w:iCs/>
                      <w:sz w:val="24"/>
                      <w:szCs w:val="24"/>
                    </w:rPr>
                  </w:pPr>
                  <w:r w:rsidRPr="0038451E">
                    <w:rPr>
                      <w:rFonts w:ascii="Times" w:eastAsia="Times New Roman" w:hAnsi="Times" w:cs="Arial"/>
                      <w:b/>
                      <w:bCs/>
                      <w:i/>
                      <w:iCs/>
                      <w:sz w:val="24"/>
                      <w:szCs w:val="24"/>
                      <w:lang w:val="en-ZA"/>
                    </w:rPr>
                    <w:t>Summary:      </w:t>
                  </w:r>
                </w:p>
              </w:tc>
              <w:tc>
                <w:tcPr>
                  <w:tcW w:w="7513" w:type="dxa"/>
                </w:tcPr>
                <w:p w14:paraId="05309368" w14:textId="308BF225" w:rsidR="001D7244" w:rsidRPr="002518C4" w:rsidRDefault="00955018"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 xml:space="preserve">Administrative Law </w:t>
                  </w:r>
                  <w:r w:rsidR="00FF1534">
                    <w:rPr>
                      <w:rFonts w:cs="Arial"/>
                      <w:sz w:val="24"/>
                      <w:szCs w:val="24"/>
                    </w:rPr>
                    <w:t xml:space="preserve">- </w:t>
                  </w:r>
                  <w:r w:rsidR="00B2204E">
                    <w:rPr>
                      <w:rFonts w:cs="Arial"/>
                      <w:sz w:val="24"/>
                      <w:szCs w:val="24"/>
                    </w:rPr>
                    <w:t xml:space="preserve">Application </w:t>
                  </w:r>
                  <w:r w:rsidR="00FF1534">
                    <w:rPr>
                      <w:rFonts w:cs="Arial"/>
                      <w:sz w:val="24"/>
                      <w:szCs w:val="24"/>
                    </w:rPr>
                    <w:t xml:space="preserve">in terms of PAJA </w:t>
                  </w:r>
                  <w:r w:rsidR="00B2204E">
                    <w:rPr>
                      <w:rFonts w:cs="Arial"/>
                      <w:sz w:val="24"/>
                      <w:szCs w:val="24"/>
                    </w:rPr>
                    <w:t xml:space="preserve">for condonation and for review of </w:t>
                  </w:r>
                  <w:r w:rsidR="00FF1534">
                    <w:rPr>
                      <w:rFonts w:cs="Arial"/>
                      <w:sz w:val="24"/>
                      <w:szCs w:val="24"/>
                    </w:rPr>
                    <w:t>dec</w:t>
                  </w:r>
                  <w:r w:rsidR="002B38D3">
                    <w:rPr>
                      <w:rFonts w:cs="Arial"/>
                      <w:sz w:val="24"/>
                      <w:szCs w:val="24"/>
                    </w:rPr>
                    <w:t xml:space="preserve">ision to </w:t>
                  </w:r>
                  <w:r w:rsidR="00B2204E">
                    <w:rPr>
                      <w:rFonts w:cs="Arial"/>
                      <w:sz w:val="24"/>
                      <w:szCs w:val="24"/>
                    </w:rPr>
                    <w:t>dismis</w:t>
                  </w:r>
                  <w:r w:rsidR="002B38D3">
                    <w:rPr>
                      <w:rFonts w:cs="Arial"/>
                      <w:sz w:val="24"/>
                      <w:szCs w:val="24"/>
                    </w:rPr>
                    <w:t xml:space="preserve">s </w:t>
                  </w:r>
                  <w:r w:rsidR="00B2204E">
                    <w:rPr>
                      <w:rFonts w:cs="Arial"/>
                      <w:sz w:val="24"/>
                      <w:szCs w:val="24"/>
                    </w:rPr>
                    <w:t xml:space="preserve">Deputy Ombud appointed in terms of the FAIS Act on </w:t>
                  </w:r>
                  <w:r w:rsidR="00A651E0">
                    <w:rPr>
                      <w:rFonts w:cs="Arial"/>
                      <w:sz w:val="24"/>
                      <w:szCs w:val="24"/>
                    </w:rPr>
                    <w:t>22 March</w:t>
                  </w:r>
                  <w:r w:rsidR="00B2204E">
                    <w:rPr>
                      <w:rFonts w:cs="Arial"/>
                      <w:sz w:val="24"/>
                      <w:szCs w:val="24"/>
                    </w:rPr>
                    <w:t xml:space="preserve"> 2018 – inordinate delay in bringing the application – no acceptable explanation for delay –  furthermore, no prospects of success – application dismissed with costs.</w:t>
                  </w: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5D79B5" w14:paraId="35407B94" w14:textId="77777777" w:rsidTr="001D7244">
        <w:tc>
          <w:tcPr>
            <w:tcW w:w="9629" w:type="dxa"/>
            <w:gridSpan w:val="3"/>
          </w:tcPr>
          <w:p w14:paraId="29723E7A" w14:textId="77777777" w:rsidR="001D7244" w:rsidRPr="00217B1F" w:rsidRDefault="001D7244" w:rsidP="009F76BD">
            <w:pPr>
              <w:spacing w:after="120" w:line="360" w:lineRule="atLeast"/>
              <w:ind w:left="2268" w:hanging="2268"/>
              <w:jc w:val="both"/>
              <w:rPr>
                <w:rFonts w:ascii="Arial" w:eastAsia="Times New Roman" w:hAnsi="Arial" w:cs="Arial"/>
                <w:b/>
                <w:bCs/>
                <w:color w:val="000000"/>
                <w:sz w:val="24"/>
                <w:szCs w:val="24"/>
                <w:lang w:val="en-ZA"/>
              </w:rPr>
            </w:pPr>
          </w:p>
          <w:p w14:paraId="1ED3913C" w14:textId="77777777" w:rsidR="001D7244" w:rsidRPr="00217B1F" w:rsidRDefault="001D7244" w:rsidP="009F76BD">
            <w:pPr>
              <w:spacing w:after="120" w:line="360" w:lineRule="atLeast"/>
              <w:ind w:left="2268" w:hanging="2268"/>
              <w:jc w:val="both"/>
              <w:rPr>
                <w:rFonts w:ascii="Arial" w:eastAsia="Times New Roman" w:hAnsi="Arial" w:cs="Arial"/>
                <w:color w:val="000000"/>
                <w:sz w:val="24"/>
                <w:szCs w:val="24"/>
              </w:rPr>
            </w:pPr>
            <w:r w:rsidRPr="00217B1F">
              <w:rPr>
                <w:rFonts w:ascii="Arial" w:eastAsia="Times New Roman" w:hAnsi="Arial" w:cs="Arial"/>
                <w:b/>
                <w:bCs/>
                <w:color w:val="000000"/>
                <w:sz w:val="24"/>
                <w:szCs w:val="24"/>
                <w:lang w:val="en-ZA"/>
              </w:rPr>
              <w:t> </w:t>
            </w:r>
          </w:p>
          <w:p w14:paraId="35776624" w14:textId="77777777" w:rsidR="001D7244" w:rsidRPr="00217B1F" w:rsidRDefault="001D7244" w:rsidP="009F76BD">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t>ORDER</w:t>
            </w:r>
          </w:p>
          <w:p w14:paraId="6042AE5A" w14:textId="77777777" w:rsidR="001D7244" w:rsidRPr="005D79B5" w:rsidRDefault="001D7244" w:rsidP="009F76BD">
            <w:pPr>
              <w:pStyle w:val="LegalMAINHEADING"/>
              <w:spacing w:before="0" w:after="120" w:line="360" w:lineRule="auto"/>
              <w:rPr>
                <w:rFonts w:cs="Arial"/>
                <w:b w:val="0"/>
                <w:caps w:val="0"/>
                <w:sz w:val="24"/>
                <w:szCs w:val="24"/>
                <w:lang w:eastAsia="en-US"/>
              </w:rPr>
            </w:pPr>
            <w:r w:rsidRPr="005D79B5">
              <w:rPr>
                <w:rFonts w:cs="Arial"/>
                <w:caps w:val="0"/>
                <w:sz w:val="24"/>
                <w:szCs w:val="24"/>
                <w:lang w:eastAsia="en-US"/>
              </w:rPr>
              <w:t>It is Ordered</w:t>
            </w:r>
            <w:r w:rsidRPr="005D79B5">
              <w:rPr>
                <w:rFonts w:cs="Arial"/>
                <w:b w:val="0"/>
                <w:caps w:val="0"/>
                <w:sz w:val="24"/>
                <w:szCs w:val="24"/>
                <w:lang w:eastAsia="en-US"/>
              </w:rPr>
              <w:t>:</w:t>
            </w:r>
          </w:p>
          <w:p w14:paraId="7927A841" w14:textId="77777777" w:rsidR="001D7244" w:rsidRPr="005D79B5" w:rsidRDefault="001D7244" w:rsidP="009F76BD">
            <w:pPr>
              <w:rPr>
                <w:sz w:val="24"/>
                <w:szCs w:val="24"/>
              </w:rPr>
            </w:pPr>
          </w:p>
          <w:p w14:paraId="016EC598" w14:textId="67DC145D" w:rsidR="001D7244" w:rsidRPr="005D79B5" w:rsidRDefault="004221D8" w:rsidP="004221D8">
            <w:pPr>
              <w:pStyle w:val="Body"/>
              <w:spacing w:line="360" w:lineRule="auto"/>
              <w:ind w:left="601" w:hanging="601"/>
              <w:jc w:val="both"/>
              <w:rPr>
                <w:rFonts w:cs="Arial"/>
                <w:bCs/>
                <w:sz w:val="24"/>
                <w:szCs w:val="24"/>
              </w:rPr>
            </w:pPr>
            <w:bookmarkStart w:id="0" w:name="_Hlk102030155"/>
            <w:r w:rsidRPr="005D79B5">
              <w:rPr>
                <w:rFonts w:cs="Arial"/>
                <w:bCs/>
                <w:sz w:val="24"/>
                <w:szCs w:val="24"/>
              </w:rPr>
              <w:t>1.</w:t>
            </w:r>
            <w:r w:rsidRPr="005D79B5">
              <w:rPr>
                <w:rFonts w:cs="Arial"/>
                <w:bCs/>
                <w:sz w:val="24"/>
                <w:szCs w:val="24"/>
              </w:rPr>
              <w:tab/>
            </w:r>
            <w:r w:rsidR="002E2AD4">
              <w:rPr>
                <w:rFonts w:cs="Arial"/>
                <w:bCs/>
                <w:sz w:val="24"/>
                <w:szCs w:val="24"/>
              </w:rPr>
              <w:t>The application is dismissed with costs.</w:t>
            </w:r>
          </w:p>
          <w:bookmarkEnd w:id="0"/>
          <w:p w14:paraId="1EF4ED4E" w14:textId="2B9C6BC7" w:rsidR="001D7244" w:rsidRPr="005D79B5" w:rsidRDefault="001D7244" w:rsidP="00143BD0">
            <w:pPr>
              <w:pStyle w:val="Body"/>
              <w:spacing w:line="360" w:lineRule="auto"/>
              <w:jc w:val="both"/>
              <w:rPr>
                <w:rFonts w:cs="Arial"/>
                <w:bCs/>
                <w:sz w:val="24"/>
                <w:szCs w:val="24"/>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9F76BD">
        <w:tc>
          <w:tcPr>
            <w:tcW w:w="9350" w:type="dxa"/>
          </w:tcPr>
          <w:p w14:paraId="3A5115EF" w14:textId="77777777" w:rsidR="00650745" w:rsidRDefault="00650745" w:rsidP="009F76B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9F76B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8E6813">
              <w:rPr>
                <w:rFonts w:eastAsia="Tahoma" w:cs="Arial"/>
                <w:b/>
                <w:bCs/>
                <w:sz w:val="32"/>
                <w:szCs w:val="32"/>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508C58F5" w14:textId="333D9D26" w:rsidR="008E6813" w:rsidRPr="008E6813" w:rsidRDefault="008E6813" w:rsidP="00DF68DD">
      <w:pPr>
        <w:pStyle w:val="Body"/>
        <w:spacing w:line="360" w:lineRule="auto"/>
        <w:ind w:firstLine="851"/>
        <w:jc w:val="both"/>
        <w:rPr>
          <w:bCs/>
          <w:sz w:val="24"/>
          <w:szCs w:val="24"/>
        </w:rPr>
      </w:pPr>
    </w:p>
    <w:p w14:paraId="1999E839" w14:textId="06FE6101" w:rsidR="00236B03" w:rsidRPr="004221D8" w:rsidRDefault="004221D8" w:rsidP="004221D8">
      <w:pPr>
        <w:spacing w:line="360" w:lineRule="auto"/>
        <w:ind w:left="851" w:hanging="851"/>
        <w:jc w:val="both"/>
        <w:rPr>
          <w:rFonts w:ascii="Arial" w:hAnsi="Arial" w:cs="Arial"/>
          <w:iCs/>
        </w:rPr>
      </w:pPr>
      <w:r w:rsidRPr="00236B03">
        <w:rPr>
          <w:rFonts w:ascii="Arial" w:hAnsi="Arial" w:cs="Arial"/>
          <w:iCs/>
        </w:rPr>
        <w:t>[1]</w:t>
      </w:r>
      <w:r w:rsidRPr="00236B03">
        <w:rPr>
          <w:rFonts w:ascii="Arial" w:hAnsi="Arial" w:cs="Arial"/>
          <w:iCs/>
        </w:rPr>
        <w:tab/>
      </w:r>
      <w:r w:rsidR="00236B03" w:rsidRPr="004221D8">
        <w:rPr>
          <w:rFonts w:ascii="Arial" w:hAnsi="Arial" w:cs="Arial"/>
          <w:iCs/>
        </w:rPr>
        <w:t>This is an application in which the applicant, the former Deputy Ombud for Financial Services, seeks t</w:t>
      </w:r>
      <w:r w:rsidR="002B38D3" w:rsidRPr="004221D8">
        <w:rPr>
          <w:rFonts w:ascii="Arial" w:hAnsi="Arial" w:cs="Arial"/>
          <w:iCs/>
        </w:rPr>
        <w:t>o</w:t>
      </w:r>
      <w:r w:rsidR="00236B03" w:rsidRPr="004221D8">
        <w:rPr>
          <w:rFonts w:ascii="Arial" w:hAnsi="Arial" w:cs="Arial"/>
          <w:iCs/>
        </w:rPr>
        <w:t xml:space="preserve"> review and setting aside her dismissal from the po</w:t>
      </w:r>
      <w:bookmarkStart w:id="1" w:name="_GoBack"/>
      <w:bookmarkEnd w:id="1"/>
      <w:r w:rsidR="00236B03" w:rsidRPr="004221D8">
        <w:rPr>
          <w:rFonts w:ascii="Arial" w:hAnsi="Arial" w:cs="Arial"/>
          <w:iCs/>
        </w:rPr>
        <w:t xml:space="preserve">sition </w:t>
      </w:r>
      <w:r w:rsidR="002B38D3" w:rsidRPr="004221D8">
        <w:rPr>
          <w:rFonts w:ascii="Arial" w:hAnsi="Arial" w:cs="Arial"/>
          <w:iCs/>
        </w:rPr>
        <w:t>on 22</w:t>
      </w:r>
      <w:r w:rsidR="00236B03" w:rsidRPr="004221D8">
        <w:rPr>
          <w:rFonts w:ascii="Arial" w:hAnsi="Arial" w:cs="Arial"/>
          <w:iCs/>
        </w:rPr>
        <w:t xml:space="preserve"> March 2018.  There is also an application for condonation for the late bringing of the review</w:t>
      </w:r>
      <w:r w:rsidR="002B38D3" w:rsidRPr="004221D8">
        <w:rPr>
          <w:rFonts w:ascii="Arial" w:hAnsi="Arial" w:cs="Arial"/>
          <w:iCs/>
        </w:rPr>
        <w:t>.</w:t>
      </w:r>
    </w:p>
    <w:p w14:paraId="7E2922F1" w14:textId="75A849BB" w:rsidR="00236B03" w:rsidRDefault="00236B03" w:rsidP="00DF68DD">
      <w:pPr>
        <w:spacing w:line="360" w:lineRule="auto"/>
        <w:ind w:left="851" w:hanging="851"/>
        <w:jc w:val="both"/>
        <w:rPr>
          <w:rFonts w:ascii="Arial" w:hAnsi="Arial" w:cs="Arial"/>
          <w:iCs/>
        </w:rPr>
      </w:pPr>
    </w:p>
    <w:p w14:paraId="64C5BB13" w14:textId="03109486" w:rsidR="004F70D5" w:rsidRPr="004221D8" w:rsidRDefault="004221D8" w:rsidP="004221D8">
      <w:pPr>
        <w:spacing w:line="360" w:lineRule="auto"/>
        <w:ind w:left="851" w:hanging="851"/>
        <w:jc w:val="both"/>
        <w:rPr>
          <w:rFonts w:ascii="Arial" w:hAnsi="Arial" w:cs="Arial"/>
          <w:iCs/>
        </w:rPr>
      </w:pPr>
      <w:r>
        <w:rPr>
          <w:rFonts w:ascii="Arial" w:hAnsi="Arial" w:cs="Arial"/>
          <w:iCs/>
        </w:rPr>
        <w:t>[2]</w:t>
      </w:r>
      <w:r>
        <w:rPr>
          <w:rFonts w:ascii="Arial" w:hAnsi="Arial" w:cs="Arial"/>
          <w:iCs/>
        </w:rPr>
        <w:tab/>
      </w:r>
      <w:r w:rsidR="00236B03" w:rsidRPr="004221D8">
        <w:rPr>
          <w:rFonts w:ascii="Arial" w:hAnsi="Arial" w:cs="Arial"/>
          <w:iCs/>
        </w:rPr>
        <w:t>The first respondent is the Office for the Ombud for Financial Service Providers established in terms of s 20 of the Financial Advisory and Intermediary Services Act</w:t>
      </w:r>
      <w:r w:rsidR="00236B03">
        <w:rPr>
          <w:rStyle w:val="FootnoteReference"/>
          <w:rFonts w:ascii="Arial" w:hAnsi="Arial" w:cs="Arial"/>
          <w:iCs/>
        </w:rPr>
        <w:footnoteReference w:id="1"/>
      </w:r>
      <w:r w:rsidR="00236B03" w:rsidRPr="004221D8">
        <w:rPr>
          <w:rFonts w:ascii="Arial" w:hAnsi="Arial" w:cs="Arial"/>
          <w:iCs/>
        </w:rPr>
        <w:t xml:space="preserve"> (FAIS Act).  The second respondent</w:t>
      </w:r>
      <w:r w:rsidR="00B02FAC" w:rsidRPr="004221D8">
        <w:rPr>
          <w:rFonts w:ascii="Arial" w:hAnsi="Arial" w:cs="Arial"/>
          <w:iCs/>
        </w:rPr>
        <w:t xml:space="preserve"> is</w:t>
      </w:r>
      <w:r w:rsidR="00236B03" w:rsidRPr="004221D8">
        <w:rPr>
          <w:rFonts w:ascii="Arial" w:hAnsi="Arial" w:cs="Arial"/>
          <w:iCs/>
        </w:rPr>
        <w:t xml:space="preserve"> the Board of Directors for the Office of the Ombud for Financial Service Providers</w:t>
      </w:r>
      <w:r w:rsidR="00B02FAC" w:rsidRPr="004221D8">
        <w:rPr>
          <w:rFonts w:ascii="Arial" w:hAnsi="Arial" w:cs="Arial"/>
          <w:iCs/>
        </w:rPr>
        <w:t>.  It is this Board which appointed the applicant to the position of Deputy Ombud on 12 April 2016.</w:t>
      </w:r>
      <w:r w:rsidR="00B02FAC">
        <w:rPr>
          <w:rStyle w:val="FootnoteReference"/>
          <w:rFonts w:ascii="Arial" w:hAnsi="Arial" w:cs="Arial"/>
          <w:iCs/>
        </w:rPr>
        <w:footnoteReference w:id="2"/>
      </w:r>
      <w:r w:rsidR="00B02FAC" w:rsidRPr="004221D8">
        <w:rPr>
          <w:rFonts w:ascii="Arial" w:hAnsi="Arial" w:cs="Arial"/>
          <w:iCs/>
        </w:rPr>
        <w:t xml:space="preserve">  </w:t>
      </w:r>
    </w:p>
    <w:p w14:paraId="10A6B9A6" w14:textId="77777777" w:rsidR="004F70D5" w:rsidRPr="004F70D5" w:rsidRDefault="004F70D5" w:rsidP="004F70D5">
      <w:pPr>
        <w:pStyle w:val="ListParagraph"/>
        <w:rPr>
          <w:rFonts w:ascii="Arial" w:hAnsi="Arial" w:cs="Arial"/>
          <w:iCs/>
        </w:rPr>
      </w:pPr>
    </w:p>
    <w:p w14:paraId="63BFEA8B" w14:textId="1EBC35ED" w:rsidR="00B02FAC" w:rsidRPr="004221D8" w:rsidRDefault="004221D8" w:rsidP="004221D8">
      <w:pPr>
        <w:spacing w:line="360" w:lineRule="auto"/>
        <w:ind w:left="851" w:hanging="851"/>
        <w:jc w:val="both"/>
        <w:rPr>
          <w:rFonts w:ascii="Arial" w:hAnsi="Arial" w:cs="Arial"/>
          <w:iCs/>
        </w:rPr>
      </w:pPr>
      <w:r w:rsidRPr="00B02FAC">
        <w:rPr>
          <w:rFonts w:ascii="Arial" w:hAnsi="Arial" w:cs="Arial"/>
          <w:iCs/>
        </w:rPr>
        <w:t>[3]</w:t>
      </w:r>
      <w:r w:rsidRPr="00B02FAC">
        <w:rPr>
          <w:rFonts w:ascii="Arial" w:hAnsi="Arial" w:cs="Arial"/>
          <w:iCs/>
        </w:rPr>
        <w:tab/>
      </w:r>
      <w:r w:rsidR="00B02FAC" w:rsidRPr="004221D8">
        <w:rPr>
          <w:rFonts w:ascii="Arial" w:hAnsi="Arial" w:cs="Arial"/>
          <w:iCs/>
        </w:rPr>
        <w:t xml:space="preserve">The statutory framework </w:t>
      </w:r>
      <w:r w:rsidR="008002EE" w:rsidRPr="004221D8">
        <w:rPr>
          <w:rFonts w:ascii="Arial" w:hAnsi="Arial" w:cs="Arial"/>
          <w:iCs/>
        </w:rPr>
        <w:t xml:space="preserve">within which </w:t>
      </w:r>
      <w:r w:rsidR="00411F23" w:rsidRPr="004221D8">
        <w:rPr>
          <w:rFonts w:ascii="Arial" w:hAnsi="Arial" w:cs="Arial"/>
          <w:iCs/>
        </w:rPr>
        <w:t>the appointment</w:t>
      </w:r>
      <w:r w:rsidR="00700DDF" w:rsidRPr="004221D8">
        <w:rPr>
          <w:rFonts w:ascii="Arial" w:hAnsi="Arial" w:cs="Arial"/>
          <w:iCs/>
        </w:rPr>
        <w:t xml:space="preserve"> and dismissal</w:t>
      </w:r>
      <w:r w:rsidR="008002EE" w:rsidRPr="004221D8">
        <w:rPr>
          <w:rFonts w:ascii="Arial" w:hAnsi="Arial" w:cs="Arial"/>
          <w:iCs/>
        </w:rPr>
        <w:t xml:space="preserve"> of the applicant</w:t>
      </w:r>
      <w:r w:rsidR="00700DDF" w:rsidRPr="004221D8">
        <w:rPr>
          <w:rFonts w:ascii="Arial" w:hAnsi="Arial" w:cs="Arial"/>
          <w:iCs/>
        </w:rPr>
        <w:t xml:space="preserve"> occurred,</w:t>
      </w:r>
      <w:r w:rsidR="008002EE" w:rsidRPr="004221D8">
        <w:rPr>
          <w:rFonts w:ascii="Arial" w:hAnsi="Arial" w:cs="Arial"/>
          <w:iCs/>
        </w:rPr>
        <w:t xml:space="preserve"> </w:t>
      </w:r>
      <w:r w:rsidR="00B02FAC" w:rsidRPr="004221D8">
        <w:rPr>
          <w:rFonts w:ascii="Arial" w:hAnsi="Arial" w:cs="Arial"/>
          <w:iCs/>
        </w:rPr>
        <w:t xml:space="preserve"> was replaced on 1 April 2018</w:t>
      </w:r>
      <w:r w:rsidR="00700DDF" w:rsidRPr="004221D8">
        <w:rPr>
          <w:rFonts w:ascii="Arial" w:hAnsi="Arial" w:cs="Arial"/>
          <w:iCs/>
        </w:rPr>
        <w:t>.</w:t>
      </w:r>
      <w:r w:rsidR="00AB3E63" w:rsidRPr="004221D8">
        <w:rPr>
          <w:rFonts w:ascii="Arial" w:hAnsi="Arial" w:cs="Arial"/>
          <w:iCs/>
        </w:rPr>
        <w:t xml:space="preserve"> </w:t>
      </w:r>
      <w:r w:rsidR="005A362C" w:rsidRPr="004221D8">
        <w:rPr>
          <w:rFonts w:ascii="Arial" w:hAnsi="Arial" w:cs="Arial"/>
          <w:iCs/>
        </w:rPr>
        <w:t xml:space="preserve">The </w:t>
      </w:r>
      <w:r w:rsidR="00B02FAC" w:rsidRPr="004221D8">
        <w:rPr>
          <w:rFonts w:ascii="Arial" w:hAnsi="Arial" w:cs="Arial"/>
          <w:iCs/>
        </w:rPr>
        <w:t>third and fifth respondents respectively</w:t>
      </w:r>
      <w:r w:rsidR="00921B8E" w:rsidRPr="004221D8">
        <w:rPr>
          <w:rFonts w:ascii="Arial" w:hAnsi="Arial" w:cs="Arial"/>
          <w:iCs/>
        </w:rPr>
        <w:t xml:space="preserve"> replace the first and second respondents</w:t>
      </w:r>
      <w:r w:rsidR="00B02FAC" w:rsidRPr="004221D8">
        <w:rPr>
          <w:rFonts w:ascii="Arial" w:hAnsi="Arial" w:cs="Arial"/>
          <w:iCs/>
        </w:rPr>
        <w:t xml:space="preserve"> in terms of the Financial Sector Regulation Act.</w:t>
      </w:r>
      <w:r w:rsidR="00B02FAC">
        <w:rPr>
          <w:rStyle w:val="FootnoteReference"/>
          <w:rFonts w:ascii="Arial" w:hAnsi="Arial" w:cs="Arial"/>
          <w:iCs/>
        </w:rPr>
        <w:footnoteReference w:id="3"/>
      </w:r>
      <w:r w:rsidR="002C5B2B" w:rsidRPr="004221D8">
        <w:rPr>
          <w:rFonts w:ascii="Arial" w:hAnsi="Arial" w:cs="Arial"/>
          <w:iCs/>
        </w:rPr>
        <w:t xml:space="preserve"> </w:t>
      </w:r>
      <w:r w:rsidR="00921B8E" w:rsidRPr="004221D8">
        <w:rPr>
          <w:rFonts w:ascii="Arial" w:hAnsi="Arial" w:cs="Arial"/>
          <w:iCs/>
        </w:rPr>
        <w:t xml:space="preserve">The decision to appoint or remove which hitherto was </w:t>
      </w:r>
      <w:r w:rsidR="00C41978" w:rsidRPr="004221D8">
        <w:rPr>
          <w:rFonts w:ascii="Arial" w:hAnsi="Arial" w:cs="Arial"/>
          <w:iCs/>
        </w:rPr>
        <w:t xml:space="preserve">made by the first and second respondents is now within the domain of the </w:t>
      </w:r>
      <w:r w:rsidR="00873B81" w:rsidRPr="004221D8">
        <w:rPr>
          <w:rFonts w:ascii="Arial" w:hAnsi="Arial" w:cs="Arial"/>
          <w:iCs/>
        </w:rPr>
        <w:t>fourth respondent.</w:t>
      </w:r>
      <w:r w:rsidR="003E6105">
        <w:rPr>
          <w:rStyle w:val="FootnoteReference"/>
          <w:rFonts w:ascii="Arial" w:hAnsi="Arial" w:cs="Arial"/>
          <w:iCs/>
        </w:rPr>
        <w:footnoteReference w:id="4"/>
      </w:r>
      <w:r w:rsidR="002C5B2B" w:rsidRPr="004221D8">
        <w:rPr>
          <w:rFonts w:ascii="Arial" w:hAnsi="Arial" w:cs="Arial"/>
          <w:iCs/>
        </w:rPr>
        <w:t xml:space="preserve"> Since the first and second respondents are defunct, they did not oppose the present application.  </w:t>
      </w:r>
      <w:r w:rsidR="00FF411E" w:rsidRPr="004221D8">
        <w:rPr>
          <w:rFonts w:ascii="Arial" w:hAnsi="Arial" w:cs="Arial"/>
          <w:iCs/>
        </w:rPr>
        <w:t>Similarly,</w:t>
      </w:r>
      <w:r w:rsidR="002C5B2B" w:rsidRPr="004221D8">
        <w:rPr>
          <w:rFonts w:ascii="Arial" w:hAnsi="Arial" w:cs="Arial"/>
          <w:iCs/>
        </w:rPr>
        <w:t xml:space="preserve"> the fourth respondent, the Minister of Finance, also did not oppose the application.</w:t>
      </w:r>
      <w:r w:rsidR="00FF411E" w:rsidRPr="004221D8">
        <w:rPr>
          <w:rFonts w:ascii="Arial" w:hAnsi="Arial" w:cs="Arial"/>
          <w:iCs/>
        </w:rPr>
        <w:t xml:space="preserve">  For convenience, in this judgment, the third and fifth respondents will be referred to collectively as ‘the respondents”.</w:t>
      </w:r>
    </w:p>
    <w:p w14:paraId="5495C3AA" w14:textId="77777777" w:rsidR="00B02FAC" w:rsidRPr="00B02FAC" w:rsidRDefault="00B02FAC" w:rsidP="00DF68DD">
      <w:pPr>
        <w:pStyle w:val="ListParagraph"/>
        <w:spacing w:line="360" w:lineRule="auto"/>
        <w:ind w:left="851"/>
        <w:rPr>
          <w:rFonts w:ascii="Arial" w:hAnsi="Arial" w:cs="Arial"/>
          <w:iCs/>
        </w:rPr>
      </w:pPr>
    </w:p>
    <w:p w14:paraId="45373455" w14:textId="6E7E18AA" w:rsidR="00EB1C91" w:rsidRPr="004221D8" w:rsidRDefault="004221D8" w:rsidP="004221D8">
      <w:pPr>
        <w:spacing w:line="360" w:lineRule="auto"/>
        <w:ind w:left="851" w:hanging="851"/>
        <w:jc w:val="both"/>
        <w:rPr>
          <w:rFonts w:ascii="Arial" w:hAnsi="Arial" w:cs="Arial"/>
          <w:iCs/>
        </w:rPr>
      </w:pPr>
      <w:r>
        <w:rPr>
          <w:rFonts w:ascii="Arial" w:hAnsi="Arial" w:cs="Arial"/>
          <w:iCs/>
        </w:rPr>
        <w:lastRenderedPageBreak/>
        <w:t>[4]</w:t>
      </w:r>
      <w:r>
        <w:rPr>
          <w:rFonts w:ascii="Arial" w:hAnsi="Arial" w:cs="Arial"/>
          <w:iCs/>
        </w:rPr>
        <w:tab/>
      </w:r>
      <w:r w:rsidR="00FF411E" w:rsidRPr="004221D8">
        <w:rPr>
          <w:rFonts w:ascii="Arial" w:hAnsi="Arial" w:cs="Arial"/>
          <w:iCs/>
        </w:rPr>
        <w:t xml:space="preserve">On 12 April 2016, the applicant was appointed as Deputy Ombud.  Although an office bearer in terms of the Act, she was required to sign an employment agreement which she did.  This agreement set out inter alia the expectations of the Board in regard to performance as well as conduct.  After being appointed, she underwent induction.  Being the Deputy Ombud, she worked under the supervision of and in close concert with the Ombud.  Initially, performance appraisals showed her to be within the average of what was expected.  </w:t>
      </w:r>
    </w:p>
    <w:p w14:paraId="71DF70AD" w14:textId="77777777" w:rsidR="00EB1C91" w:rsidRPr="00EB1C91" w:rsidRDefault="00EB1C91" w:rsidP="00DF68DD">
      <w:pPr>
        <w:pStyle w:val="ListParagraph"/>
        <w:spacing w:line="360" w:lineRule="auto"/>
        <w:ind w:left="851"/>
        <w:rPr>
          <w:rFonts w:ascii="Arial" w:hAnsi="Arial" w:cs="Arial"/>
          <w:iCs/>
        </w:rPr>
      </w:pPr>
    </w:p>
    <w:p w14:paraId="5D3CC4A1" w14:textId="65676F83" w:rsidR="00EB1C91" w:rsidRPr="004221D8" w:rsidRDefault="004221D8" w:rsidP="004221D8">
      <w:pPr>
        <w:spacing w:line="360" w:lineRule="auto"/>
        <w:ind w:left="851" w:hanging="851"/>
        <w:jc w:val="both"/>
        <w:rPr>
          <w:rFonts w:ascii="Arial" w:hAnsi="Arial" w:cs="Arial"/>
          <w:iCs/>
        </w:rPr>
      </w:pPr>
      <w:r>
        <w:rPr>
          <w:rFonts w:ascii="Arial" w:hAnsi="Arial" w:cs="Arial"/>
          <w:iCs/>
        </w:rPr>
        <w:t>[5]</w:t>
      </w:r>
      <w:r>
        <w:rPr>
          <w:rFonts w:ascii="Arial" w:hAnsi="Arial" w:cs="Arial"/>
          <w:iCs/>
        </w:rPr>
        <w:tab/>
      </w:r>
      <w:r w:rsidR="00EB1C91" w:rsidRPr="004221D8">
        <w:rPr>
          <w:rFonts w:ascii="Arial" w:hAnsi="Arial" w:cs="Arial"/>
          <w:iCs/>
        </w:rPr>
        <w:t>On 5 June 2017, j</w:t>
      </w:r>
      <w:r w:rsidR="00FF411E" w:rsidRPr="004221D8">
        <w:rPr>
          <w:rFonts w:ascii="Arial" w:hAnsi="Arial" w:cs="Arial"/>
          <w:iCs/>
        </w:rPr>
        <w:t xml:space="preserve">ust over a year after she started her duties, </w:t>
      </w:r>
      <w:r w:rsidR="00EB1C91" w:rsidRPr="004221D8">
        <w:rPr>
          <w:rFonts w:ascii="Arial" w:hAnsi="Arial" w:cs="Arial"/>
          <w:iCs/>
        </w:rPr>
        <w:t>an email was circulated by a senior case manager in the office who reported to the applicant, containing a presentation.  This it seems was sent for consideration, comment and ultimately vetting.   The presentation contained what the Ombud considered to be fundamental flaws.  These were not noticed by the applicant and in the circumstances the Ombud addressed an email to the applicant</w:t>
      </w:r>
      <w:r w:rsidR="00725285" w:rsidRPr="004221D8">
        <w:rPr>
          <w:rFonts w:ascii="Arial" w:hAnsi="Arial" w:cs="Arial"/>
          <w:iCs/>
        </w:rPr>
        <w:t xml:space="preserve"> on 8 June 2017</w:t>
      </w:r>
      <w:r w:rsidR="00EB1C91" w:rsidRPr="004221D8">
        <w:rPr>
          <w:rFonts w:ascii="Arial" w:hAnsi="Arial" w:cs="Arial"/>
          <w:iCs/>
        </w:rPr>
        <w:t xml:space="preserve"> raising her concerns with the standard of the </w:t>
      </w:r>
      <w:r w:rsidR="001D12D0" w:rsidRPr="004221D8">
        <w:rPr>
          <w:rFonts w:ascii="Arial" w:hAnsi="Arial" w:cs="Arial"/>
          <w:iCs/>
        </w:rPr>
        <w:t>applicant’s</w:t>
      </w:r>
      <w:r w:rsidR="00EB1C91" w:rsidRPr="004221D8">
        <w:rPr>
          <w:rFonts w:ascii="Arial" w:hAnsi="Arial" w:cs="Arial"/>
          <w:iCs/>
        </w:rPr>
        <w:t xml:space="preserve"> work.</w:t>
      </w:r>
    </w:p>
    <w:p w14:paraId="5C99192B" w14:textId="77777777" w:rsidR="007D4DF4" w:rsidRPr="007D4DF4" w:rsidRDefault="007D4DF4" w:rsidP="00DF68DD">
      <w:pPr>
        <w:pStyle w:val="ListParagraph"/>
        <w:spacing w:line="360" w:lineRule="auto"/>
        <w:rPr>
          <w:rFonts w:ascii="Arial" w:hAnsi="Arial" w:cs="Arial"/>
          <w:iCs/>
        </w:rPr>
      </w:pPr>
    </w:p>
    <w:p w14:paraId="02CF0FAD" w14:textId="1E140F59" w:rsidR="007D4DF4" w:rsidRPr="004221D8" w:rsidRDefault="004221D8" w:rsidP="004221D8">
      <w:pPr>
        <w:spacing w:line="360" w:lineRule="auto"/>
        <w:ind w:left="851" w:hanging="851"/>
        <w:jc w:val="both"/>
        <w:rPr>
          <w:rFonts w:ascii="Arial" w:hAnsi="Arial" w:cs="Arial"/>
          <w:iCs/>
        </w:rPr>
      </w:pPr>
      <w:r>
        <w:rPr>
          <w:rFonts w:ascii="Arial" w:hAnsi="Arial" w:cs="Arial"/>
          <w:iCs/>
        </w:rPr>
        <w:t>[6]</w:t>
      </w:r>
      <w:r>
        <w:rPr>
          <w:rFonts w:ascii="Arial" w:hAnsi="Arial" w:cs="Arial"/>
          <w:iCs/>
        </w:rPr>
        <w:tab/>
      </w:r>
      <w:r w:rsidR="007D4DF4" w:rsidRPr="004221D8">
        <w:rPr>
          <w:rFonts w:ascii="Arial" w:hAnsi="Arial" w:cs="Arial"/>
          <w:iCs/>
        </w:rPr>
        <w:t>On 26 June 2017, a</w:t>
      </w:r>
      <w:r w:rsidR="00934A2E" w:rsidRPr="004221D8">
        <w:rPr>
          <w:rFonts w:ascii="Arial" w:hAnsi="Arial" w:cs="Arial"/>
          <w:iCs/>
        </w:rPr>
        <w:t xml:space="preserve"> meeting took place between the applicant and the Ombud at which concer</w:t>
      </w:r>
      <w:r w:rsidR="00526DB2" w:rsidRPr="004221D8">
        <w:rPr>
          <w:rFonts w:ascii="Arial" w:hAnsi="Arial" w:cs="Arial"/>
          <w:iCs/>
        </w:rPr>
        <w:t>ns regarding her performance were discussed</w:t>
      </w:r>
      <w:r w:rsidR="007D4DF4" w:rsidRPr="004221D8">
        <w:rPr>
          <w:rFonts w:ascii="Arial" w:hAnsi="Arial" w:cs="Arial"/>
          <w:iCs/>
        </w:rPr>
        <w:t>.  The following day, 27 June 2017, the applicant addressed an email to the Board seeking its intervention in the relationship between herself and the Ombud.</w:t>
      </w:r>
      <w:r w:rsidR="00BB0894" w:rsidRPr="004221D8">
        <w:rPr>
          <w:rFonts w:ascii="Arial" w:hAnsi="Arial" w:cs="Arial"/>
          <w:iCs/>
        </w:rPr>
        <w:t xml:space="preserve">  The email contained </w:t>
      </w:r>
      <w:r w:rsidR="00892679" w:rsidRPr="004221D8">
        <w:rPr>
          <w:rFonts w:ascii="Arial" w:hAnsi="Arial" w:cs="Arial"/>
          <w:iCs/>
        </w:rPr>
        <w:t>several</w:t>
      </w:r>
      <w:r w:rsidR="00BB0894" w:rsidRPr="004221D8">
        <w:rPr>
          <w:rFonts w:ascii="Arial" w:hAnsi="Arial" w:cs="Arial"/>
          <w:iCs/>
        </w:rPr>
        <w:t xml:space="preserve"> allegations of personal conflict, </w:t>
      </w:r>
      <w:r w:rsidR="00EF3F45" w:rsidRPr="004221D8">
        <w:rPr>
          <w:rFonts w:ascii="Arial" w:hAnsi="Arial" w:cs="Arial"/>
          <w:iCs/>
        </w:rPr>
        <w:t>harassment,</w:t>
      </w:r>
      <w:r w:rsidR="00BB0894" w:rsidRPr="004221D8">
        <w:rPr>
          <w:rFonts w:ascii="Arial" w:hAnsi="Arial" w:cs="Arial"/>
          <w:iCs/>
        </w:rPr>
        <w:t xml:space="preserve"> and intimidation</w:t>
      </w:r>
      <w:r w:rsidR="00526DB2" w:rsidRPr="004221D8">
        <w:rPr>
          <w:rFonts w:ascii="Arial" w:hAnsi="Arial" w:cs="Arial"/>
          <w:iCs/>
        </w:rPr>
        <w:t>. This was the first of a series of three grievances lodged by the</w:t>
      </w:r>
      <w:r w:rsidR="00892679" w:rsidRPr="004221D8">
        <w:rPr>
          <w:rFonts w:ascii="Arial" w:hAnsi="Arial" w:cs="Arial"/>
          <w:iCs/>
        </w:rPr>
        <w:t xml:space="preserve"> applicant with the Board against the Ombud.</w:t>
      </w:r>
    </w:p>
    <w:p w14:paraId="4940EEFB" w14:textId="77777777" w:rsidR="00BB0894" w:rsidRPr="00BB0894" w:rsidRDefault="00BB0894" w:rsidP="00DF68DD">
      <w:pPr>
        <w:pStyle w:val="ListParagraph"/>
        <w:spacing w:line="360" w:lineRule="auto"/>
        <w:rPr>
          <w:rFonts w:ascii="Arial" w:hAnsi="Arial" w:cs="Arial"/>
          <w:iCs/>
        </w:rPr>
      </w:pPr>
    </w:p>
    <w:p w14:paraId="6E2F2299" w14:textId="1517646E" w:rsidR="00B042F4" w:rsidRPr="004221D8" w:rsidRDefault="004221D8" w:rsidP="004221D8">
      <w:pPr>
        <w:spacing w:line="360" w:lineRule="auto"/>
        <w:ind w:left="851" w:hanging="851"/>
        <w:jc w:val="both"/>
        <w:rPr>
          <w:rFonts w:ascii="Arial" w:hAnsi="Arial" w:cs="Arial"/>
          <w:iCs/>
        </w:rPr>
      </w:pPr>
      <w:r>
        <w:rPr>
          <w:rFonts w:ascii="Arial" w:hAnsi="Arial" w:cs="Arial"/>
          <w:iCs/>
        </w:rPr>
        <w:t>[7]</w:t>
      </w:r>
      <w:r>
        <w:rPr>
          <w:rFonts w:ascii="Arial" w:hAnsi="Arial" w:cs="Arial"/>
          <w:iCs/>
        </w:rPr>
        <w:tab/>
      </w:r>
      <w:r w:rsidR="00BB0894" w:rsidRPr="004221D8">
        <w:rPr>
          <w:rFonts w:ascii="Arial" w:hAnsi="Arial" w:cs="Arial"/>
          <w:iCs/>
        </w:rPr>
        <w:t>On 30 June 2017 the Ombud wrote to the applicant informing her of the intention to investigate her conduct with a view to instituting disciplinary proceedings.</w:t>
      </w:r>
      <w:r w:rsidR="00B042F4" w:rsidRPr="004221D8">
        <w:rPr>
          <w:rFonts w:ascii="Arial" w:hAnsi="Arial" w:cs="Arial"/>
          <w:iCs/>
        </w:rPr>
        <w:t xml:space="preserve">  An independent firm of attorneys was appointed to investigate the </w:t>
      </w:r>
      <w:r w:rsidR="00BB2E5E" w:rsidRPr="004221D8">
        <w:rPr>
          <w:rFonts w:ascii="Arial" w:hAnsi="Arial" w:cs="Arial"/>
          <w:iCs/>
        </w:rPr>
        <w:t>applicant’s</w:t>
      </w:r>
      <w:r w:rsidR="00B042F4" w:rsidRPr="004221D8">
        <w:rPr>
          <w:rFonts w:ascii="Arial" w:hAnsi="Arial" w:cs="Arial"/>
          <w:iCs/>
        </w:rPr>
        <w:t xml:space="preserve"> performance.</w:t>
      </w:r>
    </w:p>
    <w:p w14:paraId="214F3189" w14:textId="77777777" w:rsidR="00B042F4" w:rsidRPr="00B042F4" w:rsidRDefault="00B042F4" w:rsidP="00DF68DD">
      <w:pPr>
        <w:pStyle w:val="ListParagraph"/>
        <w:spacing w:line="360" w:lineRule="auto"/>
        <w:rPr>
          <w:rFonts w:ascii="Arial" w:hAnsi="Arial" w:cs="Arial"/>
          <w:iCs/>
        </w:rPr>
      </w:pPr>
    </w:p>
    <w:p w14:paraId="21DFA94F" w14:textId="4E407CE3" w:rsidR="00B042F4" w:rsidRPr="004221D8" w:rsidRDefault="004221D8" w:rsidP="004221D8">
      <w:pPr>
        <w:spacing w:line="360" w:lineRule="auto"/>
        <w:ind w:left="851" w:hanging="851"/>
        <w:jc w:val="both"/>
        <w:rPr>
          <w:rFonts w:ascii="Arial" w:hAnsi="Arial" w:cs="Arial"/>
          <w:iCs/>
        </w:rPr>
      </w:pPr>
      <w:r>
        <w:rPr>
          <w:rFonts w:ascii="Arial" w:hAnsi="Arial" w:cs="Arial"/>
          <w:iCs/>
        </w:rPr>
        <w:t>[8]</w:t>
      </w:r>
      <w:r>
        <w:rPr>
          <w:rFonts w:ascii="Arial" w:hAnsi="Arial" w:cs="Arial"/>
          <w:iCs/>
        </w:rPr>
        <w:tab/>
      </w:r>
      <w:r w:rsidR="00B042F4" w:rsidRPr="004221D8">
        <w:rPr>
          <w:rFonts w:ascii="Arial" w:hAnsi="Arial" w:cs="Arial"/>
          <w:iCs/>
        </w:rPr>
        <w:t xml:space="preserve">The applicant was invited to make herself available to participate in the investigation but refused to do so ostensibly on the basis that the Ombud, her </w:t>
      </w:r>
      <w:r w:rsidR="00B042F4" w:rsidRPr="004221D8">
        <w:rPr>
          <w:rFonts w:ascii="Arial" w:hAnsi="Arial" w:cs="Arial"/>
          <w:iCs/>
        </w:rPr>
        <w:lastRenderedPageBreak/>
        <w:t>immediate supervisor had no authority to institute any investigation into her performance and that it was only the Board itself that could do so.</w:t>
      </w:r>
    </w:p>
    <w:p w14:paraId="4D66A61A" w14:textId="77777777" w:rsidR="00B042F4" w:rsidRPr="00B042F4" w:rsidRDefault="00B042F4" w:rsidP="00DF68DD">
      <w:pPr>
        <w:pStyle w:val="ListParagraph"/>
        <w:spacing w:line="360" w:lineRule="auto"/>
        <w:rPr>
          <w:rFonts w:ascii="Arial" w:hAnsi="Arial" w:cs="Arial"/>
          <w:iCs/>
        </w:rPr>
      </w:pPr>
    </w:p>
    <w:p w14:paraId="25D1F496" w14:textId="1FCB5880" w:rsidR="00136576" w:rsidRPr="004221D8" w:rsidRDefault="004221D8" w:rsidP="004221D8">
      <w:pPr>
        <w:spacing w:line="360" w:lineRule="auto"/>
        <w:ind w:left="851" w:hanging="851"/>
        <w:jc w:val="both"/>
        <w:rPr>
          <w:rFonts w:ascii="Arial" w:hAnsi="Arial" w:cs="Arial"/>
          <w:iCs/>
        </w:rPr>
      </w:pPr>
      <w:r w:rsidRPr="00930908">
        <w:rPr>
          <w:rFonts w:ascii="Arial" w:hAnsi="Arial" w:cs="Arial"/>
          <w:iCs/>
        </w:rPr>
        <w:t>[9]</w:t>
      </w:r>
      <w:r w:rsidRPr="00930908">
        <w:rPr>
          <w:rFonts w:ascii="Arial" w:hAnsi="Arial" w:cs="Arial"/>
          <w:iCs/>
        </w:rPr>
        <w:tab/>
      </w:r>
      <w:r w:rsidR="00323A6B" w:rsidRPr="004221D8">
        <w:rPr>
          <w:rFonts w:ascii="Arial" w:hAnsi="Arial" w:cs="Arial"/>
          <w:iCs/>
        </w:rPr>
        <w:t xml:space="preserve">On </w:t>
      </w:r>
      <w:r w:rsidR="00E15B9A" w:rsidRPr="004221D8">
        <w:rPr>
          <w:rFonts w:ascii="Arial" w:hAnsi="Arial" w:cs="Arial"/>
          <w:iCs/>
        </w:rPr>
        <w:t>11</w:t>
      </w:r>
      <w:r w:rsidR="00323A6B" w:rsidRPr="004221D8">
        <w:rPr>
          <w:rFonts w:ascii="Arial" w:hAnsi="Arial" w:cs="Arial"/>
          <w:iCs/>
        </w:rPr>
        <w:t xml:space="preserve"> August 2017, the applicant was given notice to attend a disciplinary </w:t>
      </w:r>
      <w:r w:rsidR="000C792D" w:rsidRPr="004221D8">
        <w:rPr>
          <w:rFonts w:ascii="Arial" w:hAnsi="Arial" w:cs="Arial"/>
          <w:iCs/>
        </w:rPr>
        <w:t>enquiry</w:t>
      </w:r>
      <w:r w:rsidR="00323A6B" w:rsidRPr="004221D8">
        <w:rPr>
          <w:rFonts w:ascii="Arial" w:hAnsi="Arial" w:cs="Arial"/>
          <w:iCs/>
        </w:rPr>
        <w:t xml:space="preserve"> and furnished with a charge sheet which outlined </w:t>
      </w:r>
      <w:r w:rsidR="00136576" w:rsidRPr="004221D8">
        <w:rPr>
          <w:rFonts w:ascii="Arial" w:hAnsi="Arial" w:cs="Arial"/>
          <w:iCs/>
        </w:rPr>
        <w:t>the charges.</w:t>
      </w:r>
      <w:r w:rsidR="00323A6B" w:rsidRPr="004221D8">
        <w:rPr>
          <w:rFonts w:ascii="Arial" w:hAnsi="Arial" w:cs="Arial"/>
          <w:iCs/>
        </w:rPr>
        <w:t xml:space="preserve"> </w:t>
      </w:r>
    </w:p>
    <w:p w14:paraId="67398C8D" w14:textId="77777777" w:rsidR="00136576" w:rsidRPr="00136576" w:rsidRDefault="00136576" w:rsidP="00136576">
      <w:pPr>
        <w:pStyle w:val="ListParagraph"/>
        <w:spacing w:line="360" w:lineRule="auto"/>
        <w:ind w:left="851"/>
        <w:jc w:val="both"/>
        <w:rPr>
          <w:rFonts w:ascii="Arial" w:hAnsi="Arial" w:cs="Arial"/>
          <w:iCs/>
        </w:rPr>
      </w:pPr>
    </w:p>
    <w:p w14:paraId="6E1D4469" w14:textId="41D96D63" w:rsidR="00323A6B" w:rsidRPr="004221D8" w:rsidRDefault="004221D8" w:rsidP="004221D8">
      <w:pPr>
        <w:spacing w:line="360" w:lineRule="auto"/>
        <w:ind w:left="851" w:hanging="851"/>
        <w:jc w:val="both"/>
        <w:rPr>
          <w:rFonts w:ascii="Arial" w:hAnsi="Arial" w:cs="Arial"/>
          <w:iCs/>
        </w:rPr>
      </w:pPr>
      <w:r w:rsidRPr="00136576">
        <w:rPr>
          <w:rFonts w:ascii="Arial" w:hAnsi="Arial" w:cs="Arial"/>
          <w:iCs/>
        </w:rPr>
        <w:t>[10]</w:t>
      </w:r>
      <w:r w:rsidRPr="00136576">
        <w:rPr>
          <w:rFonts w:ascii="Arial" w:hAnsi="Arial" w:cs="Arial"/>
          <w:iCs/>
        </w:rPr>
        <w:tab/>
      </w:r>
      <w:r w:rsidR="002253C5" w:rsidRPr="004221D8">
        <w:rPr>
          <w:rFonts w:ascii="Arial" w:hAnsi="Arial" w:cs="Arial"/>
          <w:iCs/>
        </w:rPr>
        <w:t xml:space="preserve">The enquiry was scheduled to take place on </w:t>
      </w:r>
      <w:r w:rsidR="00966C73" w:rsidRPr="004221D8">
        <w:rPr>
          <w:rFonts w:ascii="Arial" w:hAnsi="Arial" w:cs="Arial"/>
          <w:iCs/>
        </w:rPr>
        <w:t>16</w:t>
      </w:r>
      <w:r w:rsidR="002253C5" w:rsidRPr="004221D8">
        <w:rPr>
          <w:rFonts w:ascii="Arial" w:hAnsi="Arial" w:cs="Arial"/>
          <w:iCs/>
        </w:rPr>
        <w:t xml:space="preserve"> August 2017 but at the request of the applicant and her legal representative, this was postponed to 3</w:t>
      </w:r>
      <w:r w:rsidR="003E7D1F" w:rsidRPr="004221D8">
        <w:rPr>
          <w:rFonts w:ascii="Arial" w:hAnsi="Arial" w:cs="Arial"/>
          <w:iCs/>
        </w:rPr>
        <w:t>1</w:t>
      </w:r>
      <w:r w:rsidR="002253C5" w:rsidRPr="004221D8">
        <w:rPr>
          <w:rFonts w:ascii="Arial" w:hAnsi="Arial" w:cs="Arial"/>
          <w:iCs/>
        </w:rPr>
        <w:t xml:space="preserve"> August and 1 September 2017</w:t>
      </w:r>
      <w:r w:rsidR="00311AE3" w:rsidRPr="004221D8">
        <w:rPr>
          <w:rFonts w:ascii="Arial" w:hAnsi="Arial" w:cs="Arial"/>
          <w:iCs/>
        </w:rPr>
        <w:t>. Despite the arrangement of the date, neither the applicant nor her representative attended. A medical certif</w:t>
      </w:r>
      <w:r w:rsidR="000703FA" w:rsidRPr="004221D8">
        <w:rPr>
          <w:rFonts w:ascii="Arial" w:hAnsi="Arial" w:cs="Arial"/>
          <w:iCs/>
        </w:rPr>
        <w:t>i</w:t>
      </w:r>
      <w:r w:rsidR="00311AE3" w:rsidRPr="004221D8">
        <w:rPr>
          <w:rFonts w:ascii="Arial" w:hAnsi="Arial" w:cs="Arial"/>
          <w:iCs/>
        </w:rPr>
        <w:t>cate was sent to th</w:t>
      </w:r>
      <w:r w:rsidR="000703FA" w:rsidRPr="004221D8">
        <w:rPr>
          <w:rFonts w:ascii="Arial" w:hAnsi="Arial" w:cs="Arial"/>
          <w:iCs/>
        </w:rPr>
        <w:t>e Chair of the enquiry which purported to represent that the applicant was unfit to attend the proceedings.</w:t>
      </w:r>
      <w:r w:rsidR="00C620C2" w:rsidRPr="004221D8">
        <w:rPr>
          <w:rFonts w:ascii="Arial" w:hAnsi="Arial" w:cs="Arial"/>
          <w:iCs/>
        </w:rPr>
        <w:t xml:space="preserve"> This was apparently in consequ</w:t>
      </w:r>
      <w:r w:rsidR="007F6CE0" w:rsidRPr="004221D8">
        <w:rPr>
          <w:rFonts w:ascii="Arial" w:hAnsi="Arial" w:cs="Arial"/>
          <w:iCs/>
        </w:rPr>
        <w:t>ence of a knee injury sustained on 25 August 2017</w:t>
      </w:r>
      <w:r w:rsidR="00136576" w:rsidRPr="004221D8">
        <w:rPr>
          <w:rFonts w:ascii="Arial" w:hAnsi="Arial" w:cs="Arial"/>
          <w:iCs/>
        </w:rPr>
        <w:t>.</w:t>
      </w:r>
      <w:r w:rsidR="000703FA" w:rsidRPr="004221D8">
        <w:rPr>
          <w:rFonts w:ascii="Arial" w:hAnsi="Arial" w:cs="Arial"/>
          <w:iCs/>
        </w:rPr>
        <w:t xml:space="preserve"> After careful consideration of the contents of the certificate, the Chair ruled that it disclosed no basis for the applicant</w:t>
      </w:r>
      <w:r w:rsidR="00094C0D" w:rsidRPr="004221D8">
        <w:rPr>
          <w:rFonts w:ascii="Arial" w:hAnsi="Arial" w:cs="Arial"/>
          <w:iCs/>
        </w:rPr>
        <w:t xml:space="preserve">’s failure to attend. Since there was no one present for the applicant and no application for a postponement, the enquiry continued in the </w:t>
      </w:r>
      <w:r w:rsidR="0000169C" w:rsidRPr="004221D8">
        <w:rPr>
          <w:rFonts w:ascii="Arial" w:hAnsi="Arial" w:cs="Arial"/>
          <w:iCs/>
        </w:rPr>
        <w:t>applicant’s</w:t>
      </w:r>
      <w:r w:rsidR="00094C0D" w:rsidRPr="004221D8">
        <w:rPr>
          <w:rFonts w:ascii="Arial" w:hAnsi="Arial" w:cs="Arial"/>
          <w:iCs/>
        </w:rPr>
        <w:t xml:space="preserve"> absence.</w:t>
      </w:r>
    </w:p>
    <w:p w14:paraId="1C6EF433" w14:textId="77777777" w:rsidR="00B042F4" w:rsidRPr="00B042F4" w:rsidRDefault="00B042F4" w:rsidP="00DF68DD">
      <w:pPr>
        <w:pStyle w:val="ListParagraph"/>
        <w:spacing w:line="360" w:lineRule="auto"/>
        <w:rPr>
          <w:rFonts w:ascii="Arial" w:hAnsi="Arial" w:cs="Arial"/>
          <w:iCs/>
        </w:rPr>
      </w:pPr>
    </w:p>
    <w:p w14:paraId="24683F64" w14:textId="4BF04CF3" w:rsidR="00323A6B" w:rsidRPr="004221D8" w:rsidRDefault="004221D8" w:rsidP="004221D8">
      <w:pPr>
        <w:spacing w:line="360" w:lineRule="auto"/>
        <w:ind w:left="851" w:hanging="851"/>
        <w:jc w:val="both"/>
        <w:rPr>
          <w:rFonts w:ascii="Arial" w:hAnsi="Arial" w:cs="Arial"/>
          <w:iCs/>
        </w:rPr>
      </w:pPr>
      <w:r>
        <w:rPr>
          <w:rFonts w:ascii="Arial" w:hAnsi="Arial" w:cs="Arial"/>
          <w:iCs/>
        </w:rPr>
        <w:t>[11]</w:t>
      </w:r>
      <w:r>
        <w:rPr>
          <w:rFonts w:ascii="Arial" w:hAnsi="Arial" w:cs="Arial"/>
          <w:iCs/>
        </w:rPr>
        <w:tab/>
      </w:r>
      <w:r w:rsidR="00323A6B" w:rsidRPr="004221D8">
        <w:rPr>
          <w:rFonts w:ascii="Arial" w:hAnsi="Arial" w:cs="Arial"/>
          <w:iCs/>
        </w:rPr>
        <w:t xml:space="preserve">In consequence of the </w:t>
      </w:r>
      <w:r w:rsidR="001D12D0" w:rsidRPr="004221D8">
        <w:rPr>
          <w:rFonts w:ascii="Arial" w:hAnsi="Arial" w:cs="Arial"/>
          <w:iCs/>
        </w:rPr>
        <w:t>applicant’s</w:t>
      </w:r>
      <w:r w:rsidR="00323A6B" w:rsidRPr="004221D8">
        <w:rPr>
          <w:rFonts w:ascii="Arial" w:hAnsi="Arial" w:cs="Arial"/>
          <w:iCs/>
        </w:rPr>
        <w:t xml:space="preserve"> failure to attend the </w:t>
      </w:r>
      <w:r w:rsidR="000C792D" w:rsidRPr="004221D8">
        <w:rPr>
          <w:rFonts w:ascii="Arial" w:hAnsi="Arial" w:cs="Arial"/>
          <w:iCs/>
        </w:rPr>
        <w:t>enquiry</w:t>
      </w:r>
      <w:r w:rsidR="00323A6B" w:rsidRPr="004221D8">
        <w:rPr>
          <w:rFonts w:ascii="Arial" w:hAnsi="Arial" w:cs="Arial"/>
          <w:iCs/>
        </w:rPr>
        <w:t xml:space="preserve">, it proceeded in her absence and she was found guilty of all the charges that had been proferred against her.  A recommendation was made to the Board in terms of s 21(4) of the FAIS Act, that </w:t>
      </w:r>
      <w:r w:rsidR="0026763E" w:rsidRPr="004221D8">
        <w:rPr>
          <w:rFonts w:ascii="Arial" w:hAnsi="Arial" w:cs="Arial"/>
          <w:iCs/>
        </w:rPr>
        <w:t xml:space="preserve"> the applicant be invited to make submissions as to why </w:t>
      </w:r>
      <w:r w:rsidR="00B96570" w:rsidRPr="004221D8">
        <w:rPr>
          <w:rFonts w:ascii="Arial" w:hAnsi="Arial" w:cs="Arial"/>
          <w:iCs/>
        </w:rPr>
        <w:t>removal from office</w:t>
      </w:r>
      <w:r w:rsidR="0026763E" w:rsidRPr="004221D8">
        <w:rPr>
          <w:rFonts w:ascii="Arial" w:hAnsi="Arial" w:cs="Arial"/>
          <w:iCs/>
        </w:rPr>
        <w:t xml:space="preserve"> should not be considered and subject to the submissions for the Board to then </w:t>
      </w:r>
      <w:r w:rsidR="00C27B64" w:rsidRPr="004221D8">
        <w:rPr>
          <w:rFonts w:ascii="Arial" w:hAnsi="Arial" w:cs="Arial"/>
          <w:iCs/>
        </w:rPr>
        <w:t>decide</w:t>
      </w:r>
      <w:r w:rsidR="00B96570" w:rsidRPr="004221D8">
        <w:rPr>
          <w:rFonts w:ascii="Arial" w:hAnsi="Arial" w:cs="Arial"/>
          <w:iCs/>
        </w:rPr>
        <w:t xml:space="preserve"> on whether to remove the applicant or not.</w:t>
      </w:r>
      <w:r w:rsidR="00323A6B" w:rsidRPr="004221D8">
        <w:rPr>
          <w:rFonts w:ascii="Arial" w:hAnsi="Arial" w:cs="Arial"/>
          <w:iCs/>
        </w:rPr>
        <w:t xml:space="preserve"> </w:t>
      </w:r>
    </w:p>
    <w:p w14:paraId="40CAB42D" w14:textId="77777777" w:rsidR="00C27B64" w:rsidRPr="00C27B64" w:rsidRDefault="00C27B64" w:rsidP="00C27B64">
      <w:pPr>
        <w:spacing w:line="360" w:lineRule="auto"/>
        <w:jc w:val="both"/>
        <w:rPr>
          <w:rFonts w:ascii="Arial" w:hAnsi="Arial" w:cs="Arial"/>
          <w:iCs/>
        </w:rPr>
      </w:pPr>
    </w:p>
    <w:p w14:paraId="03741B56" w14:textId="77777777" w:rsidR="00A23B61" w:rsidRPr="00A23B61" w:rsidRDefault="00A23B61" w:rsidP="00A23B61">
      <w:pPr>
        <w:pStyle w:val="ListParagraph"/>
        <w:rPr>
          <w:rFonts w:ascii="Arial" w:hAnsi="Arial" w:cs="Arial"/>
          <w:iCs/>
        </w:rPr>
      </w:pPr>
    </w:p>
    <w:p w14:paraId="27C3FA5B" w14:textId="1F21B628" w:rsidR="00323A6B" w:rsidRPr="004221D8" w:rsidRDefault="004221D8" w:rsidP="004221D8">
      <w:pPr>
        <w:spacing w:line="360" w:lineRule="auto"/>
        <w:ind w:left="851" w:hanging="851"/>
        <w:jc w:val="both"/>
        <w:rPr>
          <w:rFonts w:ascii="Arial" w:hAnsi="Arial" w:cs="Arial"/>
          <w:iCs/>
        </w:rPr>
      </w:pPr>
      <w:r>
        <w:rPr>
          <w:rFonts w:ascii="Arial" w:hAnsi="Arial" w:cs="Arial"/>
          <w:iCs/>
        </w:rPr>
        <w:t>[12]</w:t>
      </w:r>
      <w:r>
        <w:rPr>
          <w:rFonts w:ascii="Arial" w:hAnsi="Arial" w:cs="Arial"/>
          <w:iCs/>
        </w:rPr>
        <w:tab/>
      </w:r>
      <w:r w:rsidR="00323A6B" w:rsidRPr="004221D8">
        <w:rPr>
          <w:rFonts w:ascii="Arial" w:hAnsi="Arial" w:cs="Arial"/>
          <w:iCs/>
        </w:rPr>
        <w:t xml:space="preserve">After receipt of the findings and recommendations of the disciplinary </w:t>
      </w:r>
      <w:r w:rsidR="000C792D" w:rsidRPr="004221D8">
        <w:rPr>
          <w:rFonts w:ascii="Arial" w:hAnsi="Arial" w:cs="Arial"/>
          <w:iCs/>
        </w:rPr>
        <w:t>enquiry</w:t>
      </w:r>
      <w:r w:rsidR="005A2EF0" w:rsidRPr="004221D8">
        <w:rPr>
          <w:rFonts w:ascii="Arial" w:hAnsi="Arial" w:cs="Arial"/>
          <w:iCs/>
        </w:rPr>
        <w:t xml:space="preserve">, the </w:t>
      </w:r>
      <w:r w:rsidR="006D0CFB" w:rsidRPr="004221D8">
        <w:rPr>
          <w:rFonts w:ascii="Arial" w:hAnsi="Arial" w:cs="Arial"/>
          <w:iCs/>
        </w:rPr>
        <w:t xml:space="preserve">Human Resources </w:t>
      </w:r>
      <w:r w:rsidR="00025711" w:rsidRPr="004221D8">
        <w:rPr>
          <w:rFonts w:ascii="Arial" w:hAnsi="Arial" w:cs="Arial"/>
          <w:iCs/>
        </w:rPr>
        <w:t>Committee considered the findings and recommendations of the disciplinary enquiry and on 22 November 2017 referred the matter to the Board.</w:t>
      </w:r>
      <w:r w:rsidR="003236B0" w:rsidRPr="004221D8">
        <w:rPr>
          <w:rFonts w:ascii="Arial" w:hAnsi="Arial" w:cs="Arial"/>
          <w:iCs/>
        </w:rPr>
        <w:t xml:space="preserve"> On</w:t>
      </w:r>
      <w:r w:rsidR="005A2EF0" w:rsidRPr="004221D8">
        <w:rPr>
          <w:rFonts w:ascii="Arial" w:hAnsi="Arial" w:cs="Arial"/>
          <w:iCs/>
        </w:rPr>
        <w:t xml:space="preserve"> </w:t>
      </w:r>
      <w:r w:rsidR="00D85735" w:rsidRPr="004221D8">
        <w:rPr>
          <w:rFonts w:ascii="Arial" w:hAnsi="Arial" w:cs="Arial"/>
          <w:iCs/>
        </w:rPr>
        <w:t xml:space="preserve">6 </w:t>
      </w:r>
      <w:r w:rsidR="003236B0" w:rsidRPr="004221D8">
        <w:rPr>
          <w:rFonts w:ascii="Arial" w:hAnsi="Arial" w:cs="Arial"/>
          <w:iCs/>
        </w:rPr>
        <w:t xml:space="preserve">February 2017 the Board </w:t>
      </w:r>
      <w:r w:rsidR="005A2EF0" w:rsidRPr="004221D8">
        <w:rPr>
          <w:rFonts w:ascii="Arial" w:hAnsi="Arial" w:cs="Arial"/>
          <w:iCs/>
        </w:rPr>
        <w:t xml:space="preserve">invited the applicant to make written representations </w:t>
      </w:r>
      <w:r w:rsidR="00DF6E97" w:rsidRPr="004221D8">
        <w:rPr>
          <w:rFonts w:ascii="Arial" w:hAnsi="Arial" w:cs="Arial"/>
          <w:iCs/>
        </w:rPr>
        <w:t>on the findings and recommendations</w:t>
      </w:r>
      <w:r w:rsidR="00DF016C" w:rsidRPr="004221D8">
        <w:rPr>
          <w:rFonts w:ascii="Arial" w:hAnsi="Arial" w:cs="Arial"/>
          <w:iCs/>
        </w:rPr>
        <w:t>.</w:t>
      </w:r>
      <w:r w:rsidR="005A2EF0" w:rsidRPr="004221D8">
        <w:rPr>
          <w:rFonts w:ascii="Arial" w:hAnsi="Arial" w:cs="Arial"/>
          <w:iCs/>
        </w:rPr>
        <w:t xml:space="preserve">   The applicant submitted representations but failed to address any of the charges or findings on their merit.  The submissions </w:t>
      </w:r>
      <w:r w:rsidR="00A23B61" w:rsidRPr="004221D8">
        <w:rPr>
          <w:rFonts w:ascii="Arial" w:hAnsi="Arial" w:cs="Arial"/>
          <w:iCs/>
        </w:rPr>
        <w:t xml:space="preserve">rather </w:t>
      </w:r>
      <w:r w:rsidR="005A2EF0" w:rsidRPr="004221D8">
        <w:rPr>
          <w:rFonts w:ascii="Arial" w:hAnsi="Arial" w:cs="Arial"/>
          <w:iCs/>
        </w:rPr>
        <w:t xml:space="preserve">mirrored the </w:t>
      </w:r>
      <w:r w:rsidR="00DF016C" w:rsidRPr="004221D8">
        <w:rPr>
          <w:rFonts w:ascii="Arial" w:hAnsi="Arial" w:cs="Arial"/>
          <w:iCs/>
        </w:rPr>
        <w:t xml:space="preserve">stance adopted by the applicant from the start and repeated in each of the grievances she lodged against the Ombud. The </w:t>
      </w:r>
      <w:r w:rsidR="00DF016C" w:rsidRPr="004221D8">
        <w:rPr>
          <w:rFonts w:ascii="Arial" w:hAnsi="Arial" w:cs="Arial"/>
          <w:iCs/>
        </w:rPr>
        <w:lastRenderedPageBreak/>
        <w:t>applic</w:t>
      </w:r>
      <w:r w:rsidR="003A4D2A" w:rsidRPr="004221D8">
        <w:rPr>
          <w:rFonts w:ascii="Arial" w:hAnsi="Arial" w:cs="Arial"/>
          <w:iCs/>
        </w:rPr>
        <w:t>ant summed up her stance on the matter in the c</w:t>
      </w:r>
      <w:r w:rsidR="00036BD8" w:rsidRPr="004221D8">
        <w:rPr>
          <w:rFonts w:ascii="Arial" w:hAnsi="Arial" w:cs="Arial"/>
          <w:iCs/>
        </w:rPr>
        <w:t>oncluding remarks in her submissions as follows:</w:t>
      </w:r>
    </w:p>
    <w:p w14:paraId="62B0EFC5" w14:textId="141C0219" w:rsidR="00913AE0" w:rsidRDefault="00036BD8" w:rsidP="00930908">
      <w:pPr>
        <w:spacing w:after="145" w:line="360" w:lineRule="auto"/>
        <w:ind w:left="1418" w:right="547"/>
        <w:rPr>
          <w:rFonts w:ascii="Arial" w:hAnsi="Arial" w:cs="Arial"/>
          <w:i/>
          <w:iCs/>
          <w:sz w:val="22"/>
          <w:szCs w:val="22"/>
        </w:rPr>
      </w:pPr>
      <w:r>
        <w:rPr>
          <w:rFonts w:ascii="Arial" w:hAnsi="Arial" w:cs="Arial"/>
          <w:iCs/>
        </w:rPr>
        <w:t>“</w:t>
      </w:r>
      <w:r w:rsidR="00913AE0" w:rsidRPr="00A17F85">
        <w:rPr>
          <w:rFonts w:ascii="Arial" w:hAnsi="Arial" w:cs="Arial"/>
          <w:i/>
          <w:iCs/>
          <w:sz w:val="22"/>
          <w:szCs w:val="22"/>
        </w:rPr>
        <w:t>The Board's attention is drawn to the following facts without getting into the merits of the case:</w:t>
      </w:r>
    </w:p>
    <w:p w14:paraId="11894118" w14:textId="77777777" w:rsidR="00930908" w:rsidRPr="00A17F85" w:rsidRDefault="00930908" w:rsidP="00930908">
      <w:pPr>
        <w:spacing w:after="145" w:line="360" w:lineRule="auto"/>
        <w:ind w:left="1418" w:right="547"/>
        <w:rPr>
          <w:rFonts w:ascii="Arial" w:hAnsi="Arial" w:cs="Arial"/>
          <w:i/>
          <w:iCs/>
          <w:sz w:val="22"/>
          <w:szCs w:val="22"/>
        </w:rPr>
      </w:pPr>
    </w:p>
    <w:p w14:paraId="38EB54A6" w14:textId="322CCC4A" w:rsidR="00913AE0" w:rsidRPr="004221D8" w:rsidRDefault="004221D8" w:rsidP="004221D8">
      <w:pPr>
        <w:spacing w:after="162" w:line="360" w:lineRule="auto"/>
        <w:ind w:left="1985" w:right="547" w:hanging="567"/>
        <w:jc w:val="both"/>
        <w:rPr>
          <w:rFonts w:ascii="Arial" w:hAnsi="Arial" w:cs="Arial"/>
          <w:i/>
          <w:iCs/>
          <w:sz w:val="22"/>
          <w:szCs w:val="22"/>
        </w:rPr>
      </w:pPr>
      <w:r>
        <w:rPr>
          <w:rFonts w:ascii="Symbol" w:hAnsi="Symbol" w:cs="Arial"/>
          <w:iCs/>
          <w:sz w:val="22"/>
          <w:szCs w:val="22"/>
        </w:rPr>
        <w:t></w:t>
      </w:r>
      <w:r>
        <w:rPr>
          <w:rFonts w:ascii="Symbol" w:hAnsi="Symbol" w:cs="Arial"/>
          <w:iCs/>
          <w:sz w:val="22"/>
          <w:szCs w:val="22"/>
        </w:rPr>
        <w:tab/>
      </w:r>
      <w:r w:rsidR="00913AE0" w:rsidRPr="004221D8">
        <w:rPr>
          <w:rFonts w:ascii="Arial" w:hAnsi="Arial" w:cs="Arial"/>
          <w:i/>
          <w:iCs/>
          <w:sz w:val="22"/>
          <w:szCs w:val="22"/>
        </w:rPr>
        <w:t>Failure by the Ombud to act in accordance with the requirements of section 21 of FAIS Act, in a desperate attempt to arrive quickly at her systematic plans.</w:t>
      </w:r>
    </w:p>
    <w:p w14:paraId="012218BF" w14:textId="77777777" w:rsidR="00930908" w:rsidRPr="00A17F85" w:rsidRDefault="00930908" w:rsidP="00930908">
      <w:pPr>
        <w:pStyle w:val="ListParagraph"/>
        <w:spacing w:after="162" w:line="360" w:lineRule="auto"/>
        <w:ind w:left="1985" w:right="547"/>
        <w:jc w:val="both"/>
        <w:rPr>
          <w:rFonts w:ascii="Arial" w:hAnsi="Arial" w:cs="Arial"/>
          <w:i/>
          <w:iCs/>
          <w:sz w:val="22"/>
          <w:szCs w:val="22"/>
        </w:rPr>
      </w:pPr>
    </w:p>
    <w:p w14:paraId="7335AE57" w14:textId="32DD78D8" w:rsidR="00930908" w:rsidRPr="004221D8" w:rsidRDefault="004221D8" w:rsidP="004221D8">
      <w:pPr>
        <w:spacing w:after="190" w:line="360" w:lineRule="auto"/>
        <w:ind w:left="1985" w:right="706" w:hanging="567"/>
        <w:jc w:val="both"/>
        <w:rPr>
          <w:rFonts w:ascii="Arial" w:hAnsi="Arial" w:cs="Arial"/>
          <w:i/>
          <w:iCs/>
          <w:sz w:val="22"/>
          <w:szCs w:val="22"/>
        </w:rPr>
      </w:pPr>
      <w:r>
        <w:rPr>
          <w:rFonts w:ascii="Symbol" w:hAnsi="Symbol" w:cs="Arial"/>
          <w:iCs/>
          <w:sz w:val="22"/>
          <w:szCs w:val="22"/>
        </w:rPr>
        <w:t></w:t>
      </w:r>
      <w:r>
        <w:rPr>
          <w:rFonts w:ascii="Symbol" w:hAnsi="Symbol" w:cs="Arial"/>
          <w:iCs/>
          <w:sz w:val="22"/>
          <w:szCs w:val="22"/>
        </w:rPr>
        <w:tab/>
      </w:r>
      <w:r w:rsidR="00913AE0" w:rsidRPr="004221D8">
        <w:rPr>
          <w:rFonts w:ascii="Arial" w:hAnsi="Arial" w:cs="Arial"/>
          <w:i/>
          <w:iCs/>
          <w:sz w:val="22"/>
          <w:szCs w:val="22"/>
        </w:rPr>
        <w:t>I have not been afforded an opportunity to defend or state my case as indicated herein above, even when there were valid and pressing reasons beyond my control which the Ombud was aware of. This is contrary to the requirements of the law.</w:t>
      </w:r>
    </w:p>
    <w:p w14:paraId="54D23962" w14:textId="77777777" w:rsidR="00930908" w:rsidRPr="00930908" w:rsidRDefault="00930908" w:rsidP="00930908">
      <w:pPr>
        <w:pStyle w:val="ListParagraph"/>
        <w:rPr>
          <w:rFonts w:ascii="Arial" w:hAnsi="Arial" w:cs="Arial"/>
          <w:i/>
          <w:iCs/>
          <w:sz w:val="22"/>
          <w:szCs w:val="22"/>
        </w:rPr>
      </w:pPr>
    </w:p>
    <w:p w14:paraId="2A00F091" w14:textId="1750E3C8" w:rsidR="00913AE0" w:rsidRPr="004221D8" w:rsidRDefault="004221D8" w:rsidP="004221D8">
      <w:pPr>
        <w:spacing w:after="190" w:line="360" w:lineRule="auto"/>
        <w:ind w:left="1985" w:right="706" w:hanging="567"/>
        <w:jc w:val="both"/>
        <w:rPr>
          <w:rFonts w:ascii="Arial" w:hAnsi="Arial" w:cs="Arial"/>
          <w:i/>
          <w:iCs/>
          <w:sz w:val="22"/>
          <w:szCs w:val="22"/>
        </w:rPr>
      </w:pPr>
      <w:r>
        <w:rPr>
          <w:rFonts w:ascii="Symbol" w:hAnsi="Symbol" w:cs="Arial"/>
          <w:iCs/>
          <w:sz w:val="22"/>
          <w:szCs w:val="22"/>
        </w:rPr>
        <w:t></w:t>
      </w:r>
      <w:r>
        <w:rPr>
          <w:rFonts w:ascii="Symbol" w:hAnsi="Symbol" w:cs="Arial"/>
          <w:iCs/>
          <w:sz w:val="22"/>
          <w:szCs w:val="22"/>
        </w:rPr>
        <w:tab/>
      </w:r>
      <w:r w:rsidR="00913AE0" w:rsidRPr="004221D8">
        <w:rPr>
          <w:rFonts w:ascii="Arial" w:hAnsi="Arial" w:cs="Arial"/>
          <w:i/>
          <w:iCs/>
          <w:sz w:val="22"/>
          <w:szCs w:val="22"/>
        </w:rPr>
        <w:t>I was not afforded an opportunity to present my case and rebut the charges in order for the presiding officer to make an informed and considered decision.</w:t>
      </w:r>
    </w:p>
    <w:p w14:paraId="7BDD5748" w14:textId="77777777" w:rsidR="00930908" w:rsidRPr="00930908" w:rsidRDefault="00930908" w:rsidP="00930908">
      <w:pPr>
        <w:pStyle w:val="ListParagraph"/>
        <w:rPr>
          <w:rFonts w:ascii="Arial" w:hAnsi="Arial" w:cs="Arial"/>
          <w:i/>
          <w:iCs/>
          <w:sz w:val="22"/>
          <w:szCs w:val="22"/>
        </w:rPr>
      </w:pPr>
    </w:p>
    <w:p w14:paraId="0119A44D" w14:textId="2372A94F" w:rsidR="00913AE0" w:rsidRPr="004221D8" w:rsidRDefault="004221D8" w:rsidP="004221D8">
      <w:pPr>
        <w:spacing w:after="190" w:line="360" w:lineRule="auto"/>
        <w:ind w:left="1985" w:right="706" w:hanging="567"/>
        <w:jc w:val="both"/>
        <w:rPr>
          <w:rFonts w:ascii="Arial" w:hAnsi="Arial" w:cs="Arial"/>
          <w:i/>
          <w:iCs/>
          <w:sz w:val="22"/>
          <w:szCs w:val="22"/>
        </w:rPr>
      </w:pPr>
      <w:r w:rsidRPr="00930908">
        <w:rPr>
          <w:rFonts w:ascii="Symbol" w:hAnsi="Symbol" w:cs="Arial"/>
          <w:iCs/>
          <w:sz w:val="22"/>
          <w:szCs w:val="22"/>
        </w:rPr>
        <w:t></w:t>
      </w:r>
      <w:r w:rsidRPr="00930908">
        <w:rPr>
          <w:rFonts w:ascii="Symbol" w:hAnsi="Symbol" w:cs="Arial"/>
          <w:iCs/>
          <w:sz w:val="22"/>
          <w:szCs w:val="22"/>
        </w:rPr>
        <w:tab/>
      </w:r>
      <w:r w:rsidR="00913AE0" w:rsidRPr="004221D8">
        <w:rPr>
          <w:rFonts w:ascii="Arial" w:hAnsi="Arial" w:cs="Arial"/>
          <w:i/>
          <w:iCs/>
          <w:sz w:val="22"/>
          <w:szCs w:val="22"/>
        </w:rPr>
        <w:t>I consider the process to have been procedurally unfair, not that I agree that substantially it would have been fair either.</w:t>
      </w:r>
      <w:r w:rsidR="00913AE0" w:rsidRPr="004221D8">
        <w:rPr>
          <w:rFonts w:ascii="Arial" w:hAnsi="Arial" w:cs="Arial"/>
          <w:i/>
          <w:iCs/>
          <w:sz w:val="22"/>
        </w:rPr>
        <w:t>”</w:t>
      </w:r>
    </w:p>
    <w:p w14:paraId="2F449F1C" w14:textId="77777777" w:rsidR="005A2EF0" w:rsidRPr="00930908" w:rsidRDefault="005A2EF0" w:rsidP="00930908">
      <w:pPr>
        <w:spacing w:line="360" w:lineRule="auto"/>
        <w:rPr>
          <w:rFonts w:ascii="Arial" w:hAnsi="Arial" w:cs="Arial"/>
          <w:iCs/>
        </w:rPr>
      </w:pPr>
    </w:p>
    <w:p w14:paraId="5B8598D2" w14:textId="6965C8DF" w:rsidR="005A2EF0" w:rsidRPr="004221D8" w:rsidRDefault="004221D8" w:rsidP="004221D8">
      <w:pPr>
        <w:spacing w:line="360" w:lineRule="auto"/>
        <w:ind w:left="851" w:hanging="851"/>
        <w:jc w:val="both"/>
        <w:rPr>
          <w:rFonts w:ascii="Arial" w:hAnsi="Arial" w:cs="Arial"/>
          <w:iCs/>
        </w:rPr>
      </w:pPr>
      <w:r w:rsidRPr="008247B8">
        <w:rPr>
          <w:rFonts w:ascii="Arial" w:hAnsi="Arial" w:cs="Arial"/>
          <w:iCs/>
        </w:rPr>
        <w:t>[13]</w:t>
      </w:r>
      <w:r w:rsidRPr="008247B8">
        <w:rPr>
          <w:rFonts w:ascii="Arial" w:hAnsi="Arial" w:cs="Arial"/>
          <w:iCs/>
        </w:rPr>
        <w:tab/>
      </w:r>
      <w:r w:rsidR="00B76BFA" w:rsidRPr="004221D8">
        <w:rPr>
          <w:rFonts w:ascii="Arial" w:hAnsi="Arial" w:cs="Arial"/>
          <w:iCs/>
        </w:rPr>
        <w:t xml:space="preserve">After consideration of the submissions made by the applicant, the Board resolved </w:t>
      </w:r>
      <w:r w:rsidR="00A9257C" w:rsidRPr="004221D8">
        <w:rPr>
          <w:rFonts w:ascii="Arial" w:hAnsi="Arial" w:cs="Arial"/>
          <w:iCs/>
        </w:rPr>
        <w:t xml:space="preserve">to remove the applicant. She was informed of this </w:t>
      </w:r>
      <w:r w:rsidR="00B76BFA" w:rsidRPr="004221D8">
        <w:rPr>
          <w:rFonts w:ascii="Arial" w:hAnsi="Arial" w:cs="Arial"/>
          <w:iCs/>
        </w:rPr>
        <w:t xml:space="preserve">on 23 March 2018 </w:t>
      </w:r>
      <w:r w:rsidR="007045D6" w:rsidRPr="004221D8">
        <w:rPr>
          <w:rFonts w:ascii="Arial" w:hAnsi="Arial" w:cs="Arial"/>
          <w:iCs/>
        </w:rPr>
        <w:t>and that it would be</w:t>
      </w:r>
      <w:r w:rsidR="00B76BFA" w:rsidRPr="004221D8">
        <w:rPr>
          <w:rFonts w:ascii="Arial" w:hAnsi="Arial" w:cs="Arial"/>
          <w:iCs/>
        </w:rPr>
        <w:t xml:space="preserve"> with effect from 30 April 2018.</w:t>
      </w:r>
      <w:r w:rsidR="000A359C" w:rsidRPr="004221D8">
        <w:rPr>
          <w:rFonts w:ascii="Arial" w:hAnsi="Arial" w:cs="Arial"/>
          <w:iCs/>
        </w:rPr>
        <w:t xml:space="preserve">  Thereafter, the applicant referred a dispute to the Commission for Conciliation, Mediation and Arbitration (CCMA).  This matter was finalized on 26 September 2018.</w:t>
      </w:r>
    </w:p>
    <w:p w14:paraId="1FC091DD" w14:textId="77777777" w:rsidR="00B76BFA" w:rsidRPr="00B76BFA" w:rsidRDefault="00B76BFA" w:rsidP="00DF68DD">
      <w:pPr>
        <w:pStyle w:val="ListParagraph"/>
        <w:spacing w:line="360" w:lineRule="auto"/>
        <w:rPr>
          <w:rFonts w:ascii="Arial" w:hAnsi="Arial" w:cs="Arial"/>
          <w:iCs/>
        </w:rPr>
      </w:pPr>
    </w:p>
    <w:p w14:paraId="71501F49" w14:textId="704430D9" w:rsidR="000A359C" w:rsidRPr="004221D8" w:rsidRDefault="004221D8" w:rsidP="004221D8">
      <w:pPr>
        <w:spacing w:line="360" w:lineRule="auto"/>
        <w:ind w:left="851" w:hanging="851"/>
        <w:jc w:val="both"/>
        <w:rPr>
          <w:rFonts w:ascii="Arial" w:hAnsi="Arial" w:cs="Arial"/>
          <w:iCs/>
        </w:rPr>
      </w:pPr>
      <w:r>
        <w:rPr>
          <w:rFonts w:ascii="Arial" w:hAnsi="Arial" w:cs="Arial"/>
          <w:iCs/>
        </w:rPr>
        <w:t>[14]</w:t>
      </w:r>
      <w:r>
        <w:rPr>
          <w:rFonts w:ascii="Arial" w:hAnsi="Arial" w:cs="Arial"/>
          <w:iCs/>
        </w:rPr>
        <w:tab/>
      </w:r>
      <w:r w:rsidR="00B76BFA" w:rsidRPr="004221D8">
        <w:rPr>
          <w:rFonts w:ascii="Arial" w:hAnsi="Arial" w:cs="Arial"/>
          <w:iCs/>
        </w:rPr>
        <w:t>It is not in issue between the parties that the present application for review falls squarely within the ambit of the Promotion of Administrative Justice Act</w:t>
      </w:r>
      <w:r w:rsidR="00B76BFA">
        <w:rPr>
          <w:rStyle w:val="FootnoteReference"/>
          <w:rFonts w:ascii="Arial" w:hAnsi="Arial" w:cs="Arial"/>
          <w:iCs/>
        </w:rPr>
        <w:footnoteReference w:id="5"/>
      </w:r>
      <w:r w:rsidR="00B76BFA" w:rsidRPr="004221D8">
        <w:rPr>
          <w:rFonts w:ascii="Arial" w:hAnsi="Arial" w:cs="Arial"/>
          <w:iCs/>
        </w:rPr>
        <w:t xml:space="preserve"> (PAJA).</w:t>
      </w:r>
      <w:r w:rsidR="000A359C" w:rsidRPr="004221D8">
        <w:rPr>
          <w:rFonts w:ascii="Arial" w:hAnsi="Arial" w:cs="Arial"/>
          <w:iCs/>
        </w:rPr>
        <w:t xml:space="preserve">   </w:t>
      </w:r>
      <w:r w:rsidR="000A359C" w:rsidRPr="004221D8">
        <w:rPr>
          <w:rFonts w:ascii="Arial" w:hAnsi="Arial" w:cs="Arial"/>
          <w:iCs/>
        </w:rPr>
        <w:lastRenderedPageBreak/>
        <w:t xml:space="preserve">Proceedings in terms of this Act are in terms of s 7(2) to be instituted within 180 days.  </w:t>
      </w:r>
      <w:r w:rsidR="0075527E" w:rsidRPr="004221D8">
        <w:rPr>
          <w:rFonts w:ascii="Arial" w:hAnsi="Arial" w:cs="Arial"/>
          <w:iCs/>
        </w:rPr>
        <w:t>It was not in issue between the parties that since the matter had been erroneously referred to the CCMA, this option having been incorrectly made available to the applicant by the Board, that the calculation of the 180-day period was to be reckoned from 27 September 2018 and not 22 March 2018.</w:t>
      </w:r>
      <w:r w:rsidR="008247B8" w:rsidRPr="004221D8">
        <w:rPr>
          <w:rFonts w:ascii="Arial" w:hAnsi="Arial" w:cs="Arial"/>
          <w:iCs/>
        </w:rPr>
        <w:t xml:space="preserve"> </w:t>
      </w:r>
      <w:r w:rsidR="000A359C" w:rsidRPr="004221D8">
        <w:rPr>
          <w:rFonts w:ascii="Arial" w:hAnsi="Arial" w:cs="Arial"/>
          <w:iCs/>
        </w:rPr>
        <w:t>Accordingly, the application ought to have been brought by no later than 26 March 2019.  However, the application was only brought on 7 November 2019, some 7 months after the elapse of the 180-day period.</w:t>
      </w:r>
      <w:r w:rsidR="00115512" w:rsidRPr="004221D8">
        <w:rPr>
          <w:rFonts w:ascii="Arial" w:hAnsi="Arial" w:cs="Arial"/>
          <w:iCs/>
        </w:rPr>
        <w:t xml:space="preserve">  I will return to this aspect later in this judgment.</w:t>
      </w:r>
    </w:p>
    <w:p w14:paraId="04DC7CF8" w14:textId="77777777" w:rsidR="00115512" w:rsidRPr="00115512" w:rsidRDefault="00115512" w:rsidP="00DF68DD">
      <w:pPr>
        <w:pStyle w:val="ListParagraph"/>
        <w:spacing w:line="360" w:lineRule="auto"/>
        <w:rPr>
          <w:rFonts w:ascii="Arial" w:hAnsi="Arial" w:cs="Arial"/>
          <w:iCs/>
        </w:rPr>
      </w:pPr>
    </w:p>
    <w:p w14:paraId="22CCC958" w14:textId="51E4D443" w:rsidR="00FD53E4" w:rsidRPr="004221D8" w:rsidRDefault="004221D8" w:rsidP="004221D8">
      <w:pPr>
        <w:spacing w:line="360" w:lineRule="auto"/>
        <w:ind w:left="851" w:hanging="851"/>
        <w:jc w:val="both"/>
        <w:rPr>
          <w:rFonts w:ascii="Arial" w:hAnsi="Arial" w:cs="Arial"/>
          <w:iCs/>
        </w:rPr>
      </w:pPr>
      <w:r>
        <w:rPr>
          <w:rFonts w:ascii="Arial" w:hAnsi="Arial" w:cs="Arial"/>
          <w:iCs/>
        </w:rPr>
        <w:t>[15]</w:t>
      </w:r>
      <w:r>
        <w:rPr>
          <w:rFonts w:ascii="Arial" w:hAnsi="Arial" w:cs="Arial"/>
          <w:iCs/>
        </w:rPr>
        <w:tab/>
      </w:r>
      <w:r w:rsidR="007D6A68" w:rsidRPr="004221D8">
        <w:rPr>
          <w:rFonts w:ascii="Arial" w:hAnsi="Arial" w:cs="Arial"/>
          <w:iCs/>
        </w:rPr>
        <w:t xml:space="preserve">It is the </w:t>
      </w:r>
      <w:r w:rsidR="001D12D0" w:rsidRPr="004221D8">
        <w:rPr>
          <w:rFonts w:ascii="Arial" w:hAnsi="Arial" w:cs="Arial"/>
          <w:iCs/>
        </w:rPr>
        <w:t>applicant’s</w:t>
      </w:r>
      <w:r w:rsidR="007D6A68" w:rsidRPr="004221D8">
        <w:rPr>
          <w:rFonts w:ascii="Arial" w:hAnsi="Arial" w:cs="Arial"/>
          <w:iCs/>
        </w:rPr>
        <w:t xml:space="preserve"> case that her dismissal as Deputy Ombud was neither lawful nor procedurally fair.  </w:t>
      </w:r>
      <w:r w:rsidR="00FD53E4" w:rsidRPr="004221D8">
        <w:rPr>
          <w:rFonts w:ascii="Arial" w:hAnsi="Arial" w:cs="Arial"/>
          <w:iCs/>
        </w:rPr>
        <w:t xml:space="preserve">The </w:t>
      </w:r>
      <w:r w:rsidR="001D12D0" w:rsidRPr="004221D8">
        <w:rPr>
          <w:rFonts w:ascii="Arial" w:hAnsi="Arial" w:cs="Arial"/>
          <w:iCs/>
        </w:rPr>
        <w:t>applicant’s</w:t>
      </w:r>
      <w:r w:rsidR="00FD53E4" w:rsidRPr="004221D8">
        <w:rPr>
          <w:rFonts w:ascii="Arial" w:hAnsi="Arial" w:cs="Arial"/>
          <w:iCs/>
        </w:rPr>
        <w:t xml:space="preserve"> case was cast squarely within PAJA and in particular:</w:t>
      </w:r>
    </w:p>
    <w:p w14:paraId="2554F7E2" w14:textId="77777777" w:rsidR="00FD53E4" w:rsidRPr="00FD53E4" w:rsidRDefault="00FD53E4" w:rsidP="00DF68DD">
      <w:pPr>
        <w:pStyle w:val="ListParagraph"/>
        <w:spacing w:line="360" w:lineRule="auto"/>
        <w:rPr>
          <w:rFonts w:ascii="Arial" w:hAnsi="Arial" w:cs="Arial"/>
          <w:iCs/>
        </w:rPr>
      </w:pPr>
    </w:p>
    <w:p w14:paraId="185B6272" w14:textId="7662664D" w:rsidR="00115512" w:rsidRDefault="00FD53E4" w:rsidP="00DF68DD">
      <w:pPr>
        <w:pStyle w:val="ListParagraph"/>
        <w:spacing w:line="360" w:lineRule="auto"/>
        <w:ind w:left="1701" w:hanging="850"/>
        <w:jc w:val="both"/>
        <w:rPr>
          <w:rFonts w:ascii="Arial" w:hAnsi="Arial" w:cs="Arial"/>
          <w:iCs/>
        </w:rPr>
      </w:pPr>
      <w:r>
        <w:rPr>
          <w:rFonts w:ascii="Arial" w:hAnsi="Arial" w:cs="Arial"/>
          <w:iCs/>
        </w:rPr>
        <w:t>[1</w:t>
      </w:r>
      <w:r w:rsidR="00930908">
        <w:rPr>
          <w:rFonts w:ascii="Arial" w:hAnsi="Arial" w:cs="Arial"/>
          <w:iCs/>
        </w:rPr>
        <w:t>5</w:t>
      </w:r>
      <w:r>
        <w:rPr>
          <w:rFonts w:ascii="Arial" w:hAnsi="Arial" w:cs="Arial"/>
          <w:iCs/>
        </w:rPr>
        <w:t>.1]</w:t>
      </w:r>
      <w:r>
        <w:rPr>
          <w:rFonts w:ascii="Arial" w:hAnsi="Arial" w:cs="Arial"/>
          <w:iCs/>
        </w:rPr>
        <w:tab/>
        <w:t xml:space="preserve">That the </w:t>
      </w:r>
      <w:r w:rsidR="007D6A68">
        <w:rPr>
          <w:rFonts w:ascii="Arial" w:hAnsi="Arial" w:cs="Arial"/>
          <w:iCs/>
        </w:rPr>
        <w:t xml:space="preserve">decision to remove her was </w:t>
      </w:r>
      <w:r>
        <w:rPr>
          <w:rFonts w:ascii="Arial" w:hAnsi="Arial" w:cs="Arial"/>
          <w:iCs/>
        </w:rPr>
        <w:t>not procedurally fair.</w:t>
      </w:r>
      <w:r>
        <w:rPr>
          <w:rStyle w:val="FootnoteReference"/>
          <w:rFonts w:ascii="Arial" w:hAnsi="Arial" w:cs="Arial"/>
          <w:iCs/>
        </w:rPr>
        <w:footnoteReference w:id="6"/>
      </w:r>
    </w:p>
    <w:p w14:paraId="0EB16736" w14:textId="46D12E00" w:rsidR="00FD53E4" w:rsidRDefault="00FD53E4" w:rsidP="00DF68DD">
      <w:pPr>
        <w:pStyle w:val="ListParagraph"/>
        <w:spacing w:line="360" w:lineRule="auto"/>
        <w:ind w:left="1701" w:hanging="850"/>
        <w:jc w:val="both"/>
        <w:rPr>
          <w:rFonts w:ascii="Arial" w:hAnsi="Arial" w:cs="Arial"/>
          <w:iCs/>
        </w:rPr>
      </w:pPr>
    </w:p>
    <w:p w14:paraId="61DE965B" w14:textId="4AB3608A" w:rsidR="00FD53E4" w:rsidRDefault="00FD53E4" w:rsidP="00DF68DD">
      <w:pPr>
        <w:pStyle w:val="ListParagraph"/>
        <w:spacing w:line="360" w:lineRule="auto"/>
        <w:ind w:left="1701" w:hanging="850"/>
        <w:jc w:val="both"/>
        <w:rPr>
          <w:rFonts w:ascii="Arial" w:hAnsi="Arial" w:cs="Arial"/>
          <w:iCs/>
        </w:rPr>
      </w:pPr>
      <w:r>
        <w:rPr>
          <w:rFonts w:ascii="Arial" w:hAnsi="Arial" w:cs="Arial"/>
          <w:iCs/>
        </w:rPr>
        <w:t>[1</w:t>
      </w:r>
      <w:r w:rsidR="00930908">
        <w:rPr>
          <w:rFonts w:ascii="Arial" w:hAnsi="Arial" w:cs="Arial"/>
          <w:iCs/>
        </w:rPr>
        <w:t>5</w:t>
      </w:r>
      <w:r>
        <w:rPr>
          <w:rFonts w:ascii="Arial" w:hAnsi="Arial" w:cs="Arial"/>
          <w:iCs/>
        </w:rPr>
        <w:t>.2]</w:t>
      </w:r>
      <w:r>
        <w:rPr>
          <w:rFonts w:ascii="Arial" w:hAnsi="Arial" w:cs="Arial"/>
          <w:iCs/>
        </w:rPr>
        <w:tab/>
        <w:t>That the decision to remove her was for a reason not authorized by law.</w:t>
      </w:r>
      <w:r>
        <w:rPr>
          <w:rStyle w:val="FootnoteReference"/>
          <w:rFonts w:ascii="Arial" w:hAnsi="Arial" w:cs="Arial"/>
          <w:iCs/>
        </w:rPr>
        <w:footnoteReference w:id="7"/>
      </w:r>
    </w:p>
    <w:p w14:paraId="39C146E0" w14:textId="46C8C608" w:rsidR="00FD53E4" w:rsidRDefault="00FD53E4" w:rsidP="00DF68DD">
      <w:pPr>
        <w:pStyle w:val="ListParagraph"/>
        <w:spacing w:line="360" w:lineRule="auto"/>
        <w:ind w:left="1701" w:hanging="850"/>
        <w:jc w:val="both"/>
        <w:rPr>
          <w:rFonts w:ascii="Arial" w:hAnsi="Arial" w:cs="Arial"/>
          <w:iCs/>
        </w:rPr>
      </w:pPr>
    </w:p>
    <w:p w14:paraId="1F6205C3" w14:textId="2534AC3A" w:rsidR="00FD53E4" w:rsidRDefault="00FD53E4" w:rsidP="00DF68DD">
      <w:pPr>
        <w:pStyle w:val="ListParagraph"/>
        <w:spacing w:line="360" w:lineRule="auto"/>
        <w:ind w:left="1701" w:hanging="850"/>
        <w:jc w:val="both"/>
        <w:rPr>
          <w:rFonts w:ascii="Arial" w:hAnsi="Arial" w:cs="Arial"/>
          <w:iCs/>
        </w:rPr>
      </w:pPr>
      <w:r>
        <w:rPr>
          <w:rFonts w:ascii="Arial" w:hAnsi="Arial" w:cs="Arial"/>
          <w:iCs/>
        </w:rPr>
        <w:t>[1</w:t>
      </w:r>
      <w:r w:rsidR="00930908">
        <w:rPr>
          <w:rFonts w:ascii="Arial" w:hAnsi="Arial" w:cs="Arial"/>
          <w:iCs/>
        </w:rPr>
        <w:t>5</w:t>
      </w:r>
      <w:r>
        <w:rPr>
          <w:rFonts w:ascii="Arial" w:hAnsi="Arial" w:cs="Arial"/>
          <w:iCs/>
        </w:rPr>
        <w:t>.3]</w:t>
      </w:r>
      <w:r>
        <w:rPr>
          <w:rFonts w:ascii="Arial" w:hAnsi="Arial" w:cs="Arial"/>
          <w:iCs/>
        </w:rPr>
        <w:tab/>
        <w:t>That the decision was taken for an ulterior motive or purpose.</w:t>
      </w:r>
      <w:r>
        <w:rPr>
          <w:rStyle w:val="FootnoteReference"/>
          <w:rFonts w:ascii="Arial" w:hAnsi="Arial" w:cs="Arial"/>
          <w:iCs/>
        </w:rPr>
        <w:footnoteReference w:id="8"/>
      </w:r>
    </w:p>
    <w:p w14:paraId="74E19B36" w14:textId="0E0C5D9B" w:rsidR="00FD53E4" w:rsidRDefault="00FD53E4" w:rsidP="00DF68DD">
      <w:pPr>
        <w:pStyle w:val="ListParagraph"/>
        <w:spacing w:line="360" w:lineRule="auto"/>
        <w:ind w:left="1701" w:hanging="850"/>
        <w:jc w:val="both"/>
        <w:rPr>
          <w:rFonts w:ascii="Arial" w:hAnsi="Arial" w:cs="Arial"/>
          <w:iCs/>
        </w:rPr>
      </w:pPr>
    </w:p>
    <w:p w14:paraId="0B6FC7DF" w14:textId="0D71FCE3" w:rsidR="00FD53E4" w:rsidRDefault="00FD53E4" w:rsidP="00DF68DD">
      <w:pPr>
        <w:pStyle w:val="ListParagraph"/>
        <w:spacing w:line="360" w:lineRule="auto"/>
        <w:ind w:left="1701" w:hanging="850"/>
        <w:jc w:val="both"/>
        <w:rPr>
          <w:rFonts w:ascii="Arial" w:hAnsi="Arial" w:cs="Arial"/>
          <w:iCs/>
        </w:rPr>
      </w:pPr>
      <w:r>
        <w:rPr>
          <w:rFonts w:ascii="Arial" w:hAnsi="Arial" w:cs="Arial"/>
          <w:iCs/>
        </w:rPr>
        <w:t>[1</w:t>
      </w:r>
      <w:r w:rsidR="00930908">
        <w:rPr>
          <w:rFonts w:ascii="Arial" w:hAnsi="Arial" w:cs="Arial"/>
          <w:iCs/>
        </w:rPr>
        <w:t>5</w:t>
      </w:r>
      <w:r>
        <w:rPr>
          <w:rFonts w:ascii="Arial" w:hAnsi="Arial" w:cs="Arial"/>
          <w:iCs/>
        </w:rPr>
        <w:t>.4]</w:t>
      </w:r>
      <w:r>
        <w:rPr>
          <w:rFonts w:ascii="Arial" w:hAnsi="Arial" w:cs="Arial"/>
          <w:iCs/>
        </w:rPr>
        <w:tab/>
        <w:t>That in taking the decision relevant factors were not considered.</w:t>
      </w:r>
      <w:r>
        <w:rPr>
          <w:rStyle w:val="FootnoteReference"/>
          <w:rFonts w:ascii="Arial" w:hAnsi="Arial" w:cs="Arial"/>
          <w:iCs/>
        </w:rPr>
        <w:footnoteReference w:id="9"/>
      </w:r>
    </w:p>
    <w:p w14:paraId="18DFFDAE" w14:textId="6413CD95" w:rsidR="00FD53E4" w:rsidRDefault="00FD53E4" w:rsidP="00DF68DD">
      <w:pPr>
        <w:pStyle w:val="ListParagraph"/>
        <w:spacing w:line="360" w:lineRule="auto"/>
        <w:ind w:left="1701" w:hanging="850"/>
        <w:jc w:val="both"/>
        <w:rPr>
          <w:rFonts w:ascii="Arial" w:hAnsi="Arial" w:cs="Arial"/>
          <w:iCs/>
        </w:rPr>
      </w:pPr>
    </w:p>
    <w:p w14:paraId="66C2B102" w14:textId="23D2C6BE" w:rsidR="00FD53E4" w:rsidRDefault="00FD53E4" w:rsidP="00DF68DD">
      <w:pPr>
        <w:pStyle w:val="ListParagraph"/>
        <w:spacing w:line="360" w:lineRule="auto"/>
        <w:ind w:left="1701" w:hanging="850"/>
        <w:jc w:val="both"/>
        <w:rPr>
          <w:rFonts w:ascii="Arial" w:hAnsi="Arial" w:cs="Arial"/>
          <w:iCs/>
        </w:rPr>
      </w:pPr>
      <w:r>
        <w:rPr>
          <w:rFonts w:ascii="Arial" w:hAnsi="Arial" w:cs="Arial"/>
          <w:iCs/>
        </w:rPr>
        <w:t>[1</w:t>
      </w:r>
      <w:r w:rsidR="00930908">
        <w:rPr>
          <w:rFonts w:ascii="Arial" w:hAnsi="Arial" w:cs="Arial"/>
          <w:iCs/>
        </w:rPr>
        <w:t>5</w:t>
      </w:r>
      <w:r>
        <w:rPr>
          <w:rFonts w:ascii="Arial" w:hAnsi="Arial" w:cs="Arial"/>
          <w:iCs/>
        </w:rPr>
        <w:t>.5]</w:t>
      </w:r>
      <w:r>
        <w:rPr>
          <w:rFonts w:ascii="Arial" w:hAnsi="Arial" w:cs="Arial"/>
          <w:iCs/>
        </w:rPr>
        <w:tab/>
        <w:t>That the decision was taken because of the unauthorized dictates of another person.</w:t>
      </w:r>
      <w:r>
        <w:rPr>
          <w:rStyle w:val="FootnoteReference"/>
          <w:rFonts w:ascii="Arial" w:hAnsi="Arial" w:cs="Arial"/>
          <w:iCs/>
        </w:rPr>
        <w:footnoteReference w:id="10"/>
      </w:r>
    </w:p>
    <w:p w14:paraId="65DCB2E1" w14:textId="5EC74877" w:rsidR="00FD53E4" w:rsidRDefault="00FD53E4" w:rsidP="00DF68DD">
      <w:pPr>
        <w:pStyle w:val="ListParagraph"/>
        <w:spacing w:line="360" w:lineRule="auto"/>
        <w:ind w:left="1701" w:hanging="850"/>
        <w:jc w:val="both"/>
        <w:rPr>
          <w:rFonts w:ascii="Arial" w:hAnsi="Arial" w:cs="Arial"/>
          <w:iCs/>
        </w:rPr>
      </w:pPr>
    </w:p>
    <w:p w14:paraId="1E33D832" w14:textId="221976F3" w:rsidR="00FD53E4" w:rsidRDefault="00FD53E4" w:rsidP="00DF68DD">
      <w:pPr>
        <w:pStyle w:val="ListParagraph"/>
        <w:spacing w:line="360" w:lineRule="auto"/>
        <w:ind w:left="1701" w:hanging="850"/>
        <w:jc w:val="both"/>
        <w:rPr>
          <w:rFonts w:ascii="Arial" w:hAnsi="Arial" w:cs="Arial"/>
          <w:iCs/>
        </w:rPr>
      </w:pPr>
      <w:r>
        <w:rPr>
          <w:rFonts w:ascii="Arial" w:hAnsi="Arial" w:cs="Arial"/>
          <w:iCs/>
        </w:rPr>
        <w:lastRenderedPageBreak/>
        <w:t>[</w:t>
      </w:r>
      <w:r w:rsidR="00930908">
        <w:rPr>
          <w:rFonts w:ascii="Arial" w:hAnsi="Arial" w:cs="Arial"/>
          <w:iCs/>
        </w:rPr>
        <w:t>15</w:t>
      </w:r>
      <w:r>
        <w:rPr>
          <w:rFonts w:ascii="Arial" w:hAnsi="Arial" w:cs="Arial"/>
          <w:iCs/>
        </w:rPr>
        <w:t>.6]</w:t>
      </w:r>
      <w:r>
        <w:rPr>
          <w:rFonts w:ascii="Arial" w:hAnsi="Arial" w:cs="Arial"/>
          <w:iCs/>
        </w:rPr>
        <w:tab/>
        <w:t>That the decision was arbitrary or capricious.</w:t>
      </w:r>
      <w:r>
        <w:rPr>
          <w:rStyle w:val="FootnoteReference"/>
          <w:rFonts w:ascii="Arial" w:hAnsi="Arial" w:cs="Arial"/>
          <w:iCs/>
        </w:rPr>
        <w:footnoteReference w:id="11"/>
      </w:r>
    </w:p>
    <w:p w14:paraId="10FABAE1" w14:textId="5D970D56" w:rsidR="00FD53E4" w:rsidRDefault="00FD53E4" w:rsidP="00DF68DD">
      <w:pPr>
        <w:pStyle w:val="ListParagraph"/>
        <w:spacing w:line="360" w:lineRule="auto"/>
        <w:ind w:left="2268" w:hanging="1417"/>
        <w:jc w:val="both"/>
        <w:rPr>
          <w:rFonts w:ascii="Arial" w:hAnsi="Arial" w:cs="Arial"/>
          <w:iCs/>
        </w:rPr>
      </w:pPr>
    </w:p>
    <w:p w14:paraId="06E77962" w14:textId="79284F9B" w:rsidR="00930908" w:rsidRDefault="00930908" w:rsidP="00DF68DD">
      <w:pPr>
        <w:pStyle w:val="ListParagraph"/>
        <w:spacing w:line="360" w:lineRule="auto"/>
        <w:ind w:left="2268" w:hanging="1417"/>
        <w:jc w:val="both"/>
        <w:rPr>
          <w:rFonts w:ascii="Arial" w:hAnsi="Arial" w:cs="Arial"/>
          <w:iCs/>
        </w:rPr>
      </w:pPr>
    </w:p>
    <w:p w14:paraId="1A82F78E" w14:textId="2D5FBB02" w:rsidR="00930908" w:rsidRDefault="00930908" w:rsidP="00DF68DD">
      <w:pPr>
        <w:pStyle w:val="ListParagraph"/>
        <w:spacing w:line="360" w:lineRule="auto"/>
        <w:ind w:left="2268" w:hanging="1417"/>
        <w:jc w:val="both"/>
        <w:rPr>
          <w:rFonts w:ascii="Arial" w:hAnsi="Arial" w:cs="Arial"/>
          <w:iCs/>
        </w:rPr>
      </w:pPr>
    </w:p>
    <w:p w14:paraId="4C960CF3" w14:textId="77777777" w:rsidR="00930908" w:rsidRDefault="00930908" w:rsidP="00DF68DD">
      <w:pPr>
        <w:pStyle w:val="ListParagraph"/>
        <w:spacing w:line="360" w:lineRule="auto"/>
        <w:ind w:left="2268" w:hanging="1417"/>
        <w:jc w:val="both"/>
        <w:rPr>
          <w:rFonts w:ascii="Arial" w:hAnsi="Arial" w:cs="Arial"/>
          <w:iCs/>
        </w:rPr>
      </w:pPr>
    </w:p>
    <w:p w14:paraId="29CD312D" w14:textId="77777777" w:rsidR="000A359C" w:rsidRPr="000A359C" w:rsidRDefault="000A359C" w:rsidP="00DF68DD">
      <w:pPr>
        <w:pStyle w:val="ListParagraph"/>
        <w:spacing w:line="360" w:lineRule="auto"/>
        <w:ind w:left="851"/>
        <w:rPr>
          <w:rFonts w:ascii="Arial" w:hAnsi="Arial" w:cs="Arial"/>
          <w:iCs/>
        </w:rPr>
      </w:pPr>
    </w:p>
    <w:p w14:paraId="5C5C0041" w14:textId="060FF515" w:rsidR="00C17791" w:rsidRPr="004221D8" w:rsidRDefault="004221D8" w:rsidP="004221D8">
      <w:pPr>
        <w:spacing w:line="360" w:lineRule="auto"/>
        <w:ind w:left="851" w:hanging="851"/>
        <w:jc w:val="both"/>
        <w:rPr>
          <w:rFonts w:ascii="Arial" w:hAnsi="Arial" w:cs="Arial"/>
          <w:iCs/>
        </w:rPr>
      </w:pPr>
      <w:r>
        <w:rPr>
          <w:rFonts w:ascii="Arial" w:hAnsi="Arial" w:cs="Arial"/>
          <w:iCs/>
        </w:rPr>
        <w:t>[16]</w:t>
      </w:r>
      <w:r>
        <w:rPr>
          <w:rFonts w:ascii="Arial" w:hAnsi="Arial" w:cs="Arial"/>
          <w:iCs/>
        </w:rPr>
        <w:tab/>
      </w:r>
      <w:r w:rsidR="00C17791" w:rsidRPr="004221D8">
        <w:rPr>
          <w:rFonts w:ascii="Arial" w:hAnsi="Arial" w:cs="Arial"/>
          <w:iCs/>
        </w:rPr>
        <w:t>I intend to deal with each of the grounds of review set out in paras 1</w:t>
      </w:r>
      <w:r w:rsidR="00930908" w:rsidRPr="004221D8">
        <w:rPr>
          <w:rFonts w:ascii="Arial" w:hAnsi="Arial" w:cs="Arial"/>
          <w:iCs/>
        </w:rPr>
        <w:t>5</w:t>
      </w:r>
      <w:r w:rsidR="00C17791" w:rsidRPr="004221D8">
        <w:rPr>
          <w:rFonts w:ascii="Arial" w:hAnsi="Arial" w:cs="Arial"/>
          <w:iCs/>
        </w:rPr>
        <w:t>.1 to 1</w:t>
      </w:r>
      <w:r w:rsidR="00930908" w:rsidRPr="004221D8">
        <w:rPr>
          <w:rFonts w:ascii="Arial" w:hAnsi="Arial" w:cs="Arial"/>
          <w:iCs/>
        </w:rPr>
        <w:t>5</w:t>
      </w:r>
      <w:r w:rsidR="00C17791" w:rsidRPr="004221D8">
        <w:rPr>
          <w:rFonts w:ascii="Arial" w:hAnsi="Arial" w:cs="Arial"/>
          <w:iCs/>
        </w:rPr>
        <w:t>.6 above in turn.</w:t>
      </w:r>
    </w:p>
    <w:p w14:paraId="40E441AE" w14:textId="0FB876CC" w:rsidR="00C17791" w:rsidRDefault="00C17791" w:rsidP="00DF68DD">
      <w:pPr>
        <w:pStyle w:val="ListParagraph"/>
        <w:spacing w:line="360" w:lineRule="auto"/>
        <w:ind w:left="851"/>
        <w:jc w:val="both"/>
        <w:rPr>
          <w:rFonts w:ascii="Arial" w:hAnsi="Arial" w:cs="Arial"/>
          <w:iCs/>
        </w:rPr>
      </w:pPr>
    </w:p>
    <w:p w14:paraId="32B227A2" w14:textId="08D6DFD2" w:rsidR="00C17791" w:rsidRPr="00C17791" w:rsidRDefault="00C17791" w:rsidP="00DF68DD">
      <w:pPr>
        <w:pStyle w:val="ListParagraph"/>
        <w:spacing w:line="360" w:lineRule="auto"/>
        <w:ind w:left="0"/>
        <w:jc w:val="both"/>
        <w:rPr>
          <w:rFonts w:ascii="Arial" w:hAnsi="Arial" w:cs="Arial"/>
          <w:b/>
          <w:bCs/>
          <w:iCs/>
        </w:rPr>
      </w:pPr>
      <w:r w:rsidRPr="00C17791">
        <w:rPr>
          <w:rFonts w:ascii="Arial" w:hAnsi="Arial" w:cs="Arial"/>
          <w:b/>
          <w:bCs/>
          <w:iCs/>
        </w:rPr>
        <w:t>THE DECISION TO REMOVE HER WAS NOT PROCEDURALLY FAIR.</w:t>
      </w:r>
    </w:p>
    <w:p w14:paraId="5A831EEC" w14:textId="77777777" w:rsidR="00C17791" w:rsidRDefault="00C17791" w:rsidP="00DF68DD">
      <w:pPr>
        <w:pStyle w:val="ListParagraph"/>
        <w:spacing w:line="360" w:lineRule="auto"/>
        <w:ind w:left="851"/>
        <w:jc w:val="both"/>
        <w:rPr>
          <w:rFonts w:ascii="Arial" w:hAnsi="Arial" w:cs="Arial"/>
          <w:iCs/>
        </w:rPr>
      </w:pPr>
    </w:p>
    <w:p w14:paraId="3011CEA6" w14:textId="3408DAFA" w:rsidR="001A177F" w:rsidRPr="004221D8" w:rsidRDefault="004221D8" w:rsidP="004221D8">
      <w:pPr>
        <w:spacing w:line="360" w:lineRule="auto"/>
        <w:ind w:left="851" w:hanging="851"/>
        <w:jc w:val="both"/>
        <w:rPr>
          <w:rFonts w:ascii="Arial" w:hAnsi="Arial" w:cs="Arial"/>
          <w:iCs/>
        </w:rPr>
      </w:pPr>
      <w:r w:rsidRPr="00001A34">
        <w:rPr>
          <w:rFonts w:ascii="Arial" w:hAnsi="Arial" w:cs="Arial"/>
          <w:iCs/>
        </w:rPr>
        <w:t>[17]</w:t>
      </w:r>
      <w:r w:rsidRPr="00001A34">
        <w:rPr>
          <w:rFonts w:ascii="Arial" w:hAnsi="Arial" w:cs="Arial"/>
          <w:iCs/>
        </w:rPr>
        <w:tab/>
      </w:r>
      <w:r w:rsidR="008F648D" w:rsidRPr="004221D8">
        <w:rPr>
          <w:rFonts w:ascii="Arial" w:hAnsi="Arial" w:cs="Arial"/>
          <w:iCs/>
        </w:rPr>
        <w:t>I</w:t>
      </w:r>
      <w:r w:rsidR="00C17791" w:rsidRPr="004221D8">
        <w:rPr>
          <w:rFonts w:ascii="Arial" w:hAnsi="Arial" w:cs="Arial"/>
          <w:iCs/>
        </w:rPr>
        <w:t xml:space="preserve">t is readily apparent that </w:t>
      </w:r>
      <w:r w:rsidR="003A2DA4" w:rsidRPr="004221D8">
        <w:rPr>
          <w:rFonts w:ascii="Arial" w:hAnsi="Arial" w:cs="Arial"/>
          <w:iCs/>
        </w:rPr>
        <w:t xml:space="preserve"> at each stage of the process</w:t>
      </w:r>
      <w:r w:rsidR="00AD3773" w:rsidRPr="004221D8">
        <w:rPr>
          <w:rFonts w:ascii="Arial" w:hAnsi="Arial" w:cs="Arial"/>
          <w:iCs/>
        </w:rPr>
        <w:t xml:space="preserve"> preceding the disciplinary enquiry and </w:t>
      </w:r>
      <w:r w:rsidR="00895C13" w:rsidRPr="004221D8">
        <w:rPr>
          <w:rFonts w:ascii="Arial" w:hAnsi="Arial" w:cs="Arial"/>
          <w:iCs/>
        </w:rPr>
        <w:t>at</w:t>
      </w:r>
      <w:r w:rsidR="00AD3773" w:rsidRPr="004221D8">
        <w:rPr>
          <w:rFonts w:ascii="Arial" w:hAnsi="Arial" w:cs="Arial"/>
          <w:iCs/>
        </w:rPr>
        <w:t xml:space="preserve"> the enquiry itself, the applicant was invited to participate and </w:t>
      </w:r>
      <w:r w:rsidR="002202DA" w:rsidRPr="004221D8">
        <w:rPr>
          <w:rFonts w:ascii="Arial" w:hAnsi="Arial" w:cs="Arial"/>
          <w:iCs/>
        </w:rPr>
        <w:t>present her version.</w:t>
      </w:r>
      <w:r w:rsidR="00E61791">
        <w:rPr>
          <w:rStyle w:val="FootnoteReference"/>
          <w:rFonts w:ascii="Arial" w:hAnsi="Arial" w:cs="Arial"/>
          <w:iCs/>
        </w:rPr>
        <w:footnoteReference w:id="12"/>
      </w:r>
      <w:r w:rsidR="00C17791" w:rsidRPr="004221D8">
        <w:rPr>
          <w:rFonts w:ascii="Arial" w:hAnsi="Arial" w:cs="Arial"/>
          <w:iCs/>
        </w:rPr>
        <w:t xml:space="preserve"> </w:t>
      </w:r>
    </w:p>
    <w:p w14:paraId="54EFF249" w14:textId="77777777" w:rsidR="007C340A" w:rsidRPr="004F157A" w:rsidRDefault="007C340A" w:rsidP="001A177F">
      <w:pPr>
        <w:pStyle w:val="ListParagraph"/>
        <w:spacing w:line="360" w:lineRule="auto"/>
        <w:ind w:left="1418"/>
        <w:jc w:val="both"/>
        <w:rPr>
          <w:rFonts w:ascii="Arial" w:hAnsi="Arial" w:cs="Arial"/>
          <w:i/>
          <w:sz w:val="22"/>
        </w:rPr>
      </w:pPr>
    </w:p>
    <w:p w14:paraId="34E24A7D" w14:textId="068B7462" w:rsidR="00DB2E2D" w:rsidRPr="004221D8" w:rsidRDefault="004221D8" w:rsidP="004221D8">
      <w:pPr>
        <w:spacing w:line="360" w:lineRule="auto"/>
        <w:ind w:left="851" w:hanging="851"/>
        <w:jc w:val="both"/>
        <w:rPr>
          <w:rFonts w:ascii="Arial" w:hAnsi="Arial" w:cs="Arial"/>
          <w:iCs/>
        </w:rPr>
      </w:pPr>
      <w:r w:rsidRPr="00114F05">
        <w:rPr>
          <w:rFonts w:ascii="Arial" w:hAnsi="Arial" w:cs="Arial"/>
          <w:iCs/>
        </w:rPr>
        <w:t>[18]</w:t>
      </w:r>
      <w:r w:rsidRPr="00114F05">
        <w:rPr>
          <w:rFonts w:ascii="Arial" w:hAnsi="Arial" w:cs="Arial"/>
          <w:iCs/>
        </w:rPr>
        <w:tab/>
      </w:r>
      <w:r w:rsidR="00DB2E2D" w:rsidRPr="004221D8">
        <w:rPr>
          <w:rFonts w:ascii="Arial" w:hAnsi="Arial" w:cs="Arial"/>
          <w:iCs/>
        </w:rPr>
        <w:t xml:space="preserve">The </w:t>
      </w:r>
      <w:r w:rsidR="00B50D5C" w:rsidRPr="004221D8">
        <w:rPr>
          <w:rFonts w:ascii="Arial" w:hAnsi="Arial" w:cs="Arial"/>
          <w:iCs/>
        </w:rPr>
        <w:t>decision of the applicant to withhold her participation from the process was deliberate</w:t>
      </w:r>
      <w:r w:rsidR="0052020C" w:rsidRPr="004221D8">
        <w:rPr>
          <w:rFonts w:ascii="Arial" w:hAnsi="Arial" w:cs="Arial"/>
          <w:iCs/>
        </w:rPr>
        <w:t>. Faced with a situation not dissimilar to the one in the present matter, t</w:t>
      </w:r>
      <w:r w:rsidR="009C4B43" w:rsidRPr="004221D8">
        <w:rPr>
          <w:rFonts w:ascii="Arial" w:hAnsi="Arial" w:cs="Arial"/>
          <w:iCs/>
        </w:rPr>
        <w:t>he Supreme Court of Appeal in</w:t>
      </w:r>
      <w:r w:rsidR="00DB2E2D" w:rsidRPr="004221D8">
        <w:rPr>
          <w:rFonts w:ascii="Arial" w:hAnsi="Arial" w:cs="Arial"/>
          <w:iCs/>
        </w:rPr>
        <w:t xml:space="preserve"> </w:t>
      </w:r>
      <w:r w:rsidR="00DB2E2D" w:rsidRPr="004221D8">
        <w:rPr>
          <w:rFonts w:ascii="Arial" w:hAnsi="Arial" w:cs="Arial"/>
          <w:i/>
        </w:rPr>
        <w:t>Old Mutual v Gumbi</w:t>
      </w:r>
      <w:r w:rsidR="00DB2E2D">
        <w:rPr>
          <w:rStyle w:val="FootnoteReference"/>
          <w:rFonts w:ascii="Arial" w:hAnsi="Arial" w:cs="Arial"/>
          <w:i/>
        </w:rPr>
        <w:footnoteReference w:id="13"/>
      </w:r>
      <w:r w:rsidR="00DB2E2D" w:rsidRPr="004221D8">
        <w:rPr>
          <w:rFonts w:ascii="Arial" w:hAnsi="Arial" w:cs="Arial"/>
          <w:i/>
        </w:rPr>
        <w:t xml:space="preserve"> </w:t>
      </w:r>
      <w:r w:rsidR="009C4B43" w:rsidRPr="004221D8">
        <w:rPr>
          <w:rFonts w:ascii="Arial" w:hAnsi="Arial" w:cs="Arial"/>
        </w:rPr>
        <w:t>found</w:t>
      </w:r>
      <w:r w:rsidR="00DB2E2D" w:rsidRPr="004221D8">
        <w:rPr>
          <w:rFonts w:ascii="Arial" w:hAnsi="Arial" w:cs="Arial"/>
          <w:iCs/>
        </w:rPr>
        <w:t>:</w:t>
      </w:r>
    </w:p>
    <w:p w14:paraId="68507752" w14:textId="77777777" w:rsidR="00DB2E2D" w:rsidRDefault="00DB2E2D" w:rsidP="00DB2E2D">
      <w:pPr>
        <w:spacing w:line="360" w:lineRule="auto"/>
        <w:ind w:left="851" w:hanging="851"/>
        <w:jc w:val="both"/>
        <w:rPr>
          <w:rFonts w:ascii="Arial" w:hAnsi="Arial" w:cs="Arial"/>
          <w:iCs/>
        </w:rPr>
      </w:pPr>
    </w:p>
    <w:p w14:paraId="71FE83CA" w14:textId="3CEE70AB" w:rsidR="00DB2E2D" w:rsidRPr="004F157A" w:rsidRDefault="00DB2E2D" w:rsidP="00DB2E2D">
      <w:pPr>
        <w:spacing w:line="360" w:lineRule="auto"/>
        <w:ind w:left="1418"/>
        <w:jc w:val="both"/>
        <w:rPr>
          <w:rFonts w:ascii="Arial" w:hAnsi="Arial" w:cs="Arial"/>
          <w:i/>
          <w:sz w:val="22"/>
          <w:szCs w:val="22"/>
        </w:rPr>
      </w:pPr>
      <w:r w:rsidRPr="004F157A">
        <w:rPr>
          <w:rFonts w:ascii="Arial" w:hAnsi="Arial" w:cs="Arial"/>
          <w:i/>
          <w:sz w:val="22"/>
          <w:szCs w:val="22"/>
        </w:rPr>
        <w:t xml:space="preserve">"A mere production of the medical certificate was not, in the circumstances of this case, sufficient to justify the employee’s absence from the </w:t>
      </w:r>
      <w:r w:rsidR="000C792D">
        <w:rPr>
          <w:rFonts w:ascii="Arial" w:hAnsi="Arial" w:cs="Arial"/>
          <w:i/>
          <w:sz w:val="22"/>
          <w:szCs w:val="22"/>
        </w:rPr>
        <w:t>enquiry</w:t>
      </w:r>
      <w:r w:rsidRPr="004F157A">
        <w:rPr>
          <w:rFonts w:ascii="Arial" w:hAnsi="Arial" w:cs="Arial"/>
          <w:i/>
          <w:sz w:val="22"/>
          <w:szCs w:val="22"/>
        </w:rPr>
        <w:t xml:space="preserve">. As the certificate did not allege that he was incapable of attending at all, the chairman was entitled to require him to be present at the resumed </w:t>
      </w:r>
      <w:r w:rsidR="000C792D">
        <w:rPr>
          <w:rFonts w:ascii="Arial" w:hAnsi="Arial" w:cs="Arial"/>
          <w:i/>
          <w:sz w:val="22"/>
          <w:szCs w:val="22"/>
        </w:rPr>
        <w:t>enquiry</w:t>
      </w:r>
      <w:r w:rsidRPr="004F157A">
        <w:rPr>
          <w:rFonts w:ascii="Arial" w:hAnsi="Arial" w:cs="Arial"/>
          <w:i/>
          <w:sz w:val="22"/>
          <w:szCs w:val="22"/>
        </w:rPr>
        <w:t xml:space="preserve"> so as to himself enquire into his capacity to participate in the proceedings. These facts play a major role in determining unfairness when the interests of both parties are taken into account." </w:t>
      </w:r>
    </w:p>
    <w:p w14:paraId="38A7010F" w14:textId="59BA9045" w:rsidR="00DB2E2D" w:rsidRPr="002750D2" w:rsidRDefault="00DB2E2D" w:rsidP="002750D2">
      <w:pPr>
        <w:spacing w:line="360" w:lineRule="auto"/>
        <w:jc w:val="both"/>
        <w:rPr>
          <w:rFonts w:ascii="Arial" w:hAnsi="Arial" w:cs="Arial"/>
          <w:iCs/>
        </w:rPr>
      </w:pPr>
    </w:p>
    <w:p w14:paraId="79E071F0" w14:textId="618A32E7" w:rsidR="00DB2E2D" w:rsidRPr="004221D8" w:rsidRDefault="004221D8" w:rsidP="004221D8">
      <w:pPr>
        <w:spacing w:line="360" w:lineRule="auto"/>
        <w:ind w:left="851" w:hanging="851"/>
        <w:jc w:val="both"/>
        <w:rPr>
          <w:rFonts w:ascii="Arial" w:hAnsi="Arial" w:cs="Arial"/>
          <w:iCs/>
        </w:rPr>
      </w:pPr>
      <w:r w:rsidRPr="00114F05">
        <w:rPr>
          <w:rFonts w:ascii="Arial" w:hAnsi="Arial" w:cs="Arial"/>
          <w:iCs/>
        </w:rPr>
        <w:lastRenderedPageBreak/>
        <w:t>[19]</w:t>
      </w:r>
      <w:r w:rsidRPr="00114F05">
        <w:rPr>
          <w:rFonts w:ascii="Arial" w:hAnsi="Arial" w:cs="Arial"/>
          <w:iCs/>
        </w:rPr>
        <w:tab/>
      </w:r>
      <w:r w:rsidR="002750D2" w:rsidRPr="004221D8">
        <w:rPr>
          <w:rFonts w:ascii="Arial" w:hAnsi="Arial" w:cs="Arial"/>
          <w:iCs/>
        </w:rPr>
        <w:t xml:space="preserve">The Court went on to </w:t>
      </w:r>
      <w:r w:rsidR="00ED724B" w:rsidRPr="004221D8">
        <w:rPr>
          <w:rFonts w:ascii="Arial" w:hAnsi="Arial" w:cs="Arial"/>
          <w:iCs/>
        </w:rPr>
        <w:t>find:</w:t>
      </w:r>
    </w:p>
    <w:p w14:paraId="32800E0F" w14:textId="77777777" w:rsidR="00DB2E2D" w:rsidRDefault="00DB2E2D" w:rsidP="00DB2E2D">
      <w:pPr>
        <w:spacing w:line="360" w:lineRule="auto"/>
        <w:ind w:left="851" w:hanging="851"/>
        <w:jc w:val="both"/>
        <w:rPr>
          <w:rFonts w:ascii="Arial" w:hAnsi="Arial" w:cs="Arial"/>
          <w:iCs/>
        </w:rPr>
      </w:pPr>
    </w:p>
    <w:p w14:paraId="0FFDE60F" w14:textId="5FE05300" w:rsidR="00DB2E2D" w:rsidRPr="00930908" w:rsidRDefault="00DB2E2D" w:rsidP="00930908">
      <w:pPr>
        <w:spacing w:line="360" w:lineRule="auto"/>
        <w:ind w:left="1418"/>
        <w:jc w:val="both"/>
        <w:rPr>
          <w:rFonts w:ascii="Arial" w:hAnsi="Arial" w:cs="Arial"/>
          <w:iCs/>
          <w:sz w:val="22"/>
          <w:szCs w:val="22"/>
        </w:rPr>
      </w:pPr>
      <w:r w:rsidRPr="00BA2796">
        <w:rPr>
          <w:rFonts w:ascii="Arial" w:hAnsi="Arial" w:cs="Arial"/>
          <w:iCs/>
          <w:sz w:val="22"/>
          <w:szCs w:val="22"/>
        </w:rPr>
        <w:t xml:space="preserve">"When all these facts are viewed objectively, it cannot be said that Old Mutual has acted procedurally unfairly in continuing with the </w:t>
      </w:r>
      <w:r w:rsidR="000C792D">
        <w:rPr>
          <w:rFonts w:ascii="Arial" w:hAnsi="Arial" w:cs="Arial"/>
          <w:iCs/>
          <w:sz w:val="22"/>
          <w:szCs w:val="22"/>
        </w:rPr>
        <w:t>enquiry</w:t>
      </w:r>
      <w:r w:rsidRPr="00BA2796">
        <w:rPr>
          <w:rFonts w:ascii="Arial" w:hAnsi="Arial" w:cs="Arial"/>
          <w:iCs/>
          <w:sz w:val="22"/>
          <w:szCs w:val="22"/>
        </w:rPr>
        <w:t xml:space="preserve"> in the employee’s absence and dismissing him for the misconduct of which he was found guilty. The employee and his representative are the only persons to blame for his absence."</w:t>
      </w:r>
      <w:r>
        <w:rPr>
          <w:rStyle w:val="FootnoteReference"/>
          <w:rFonts w:ascii="Arial" w:hAnsi="Arial" w:cs="Arial"/>
          <w:iCs/>
          <w:sz w:val="22"/>
          <w:szCs w:val="22"/>
        </w:rPr>
        <w:footnoteReference w:id="14"/>
      </w:r>
    </w:p>
    <w:p w14:paraId="73CC365D" w14:textId="77777777" w:rsidR="001A177F" w:rsidRPr="001A177F" w:rsidRDefault="001A177F" w:rsidP="001A177F">
      <w:pPr>
        <w:pStyle w:val="ListParagraph"/>
        <w:rPr>
          <w:rFonts w:ascii="Arial" w:hAnsi="Arial" w:cs="Arial"/>
          <w:iCs/>
        </w:rPr>
      </w:pPr>
    </w:p>
    <w:p w14:paraId="7CA998DF" w14:textId="7678890B" w:rsidR="006967BE" w:rsidRPr="004221D8" w:rsidRDefault="004221D8" w:rsidP="004221D8">
      <w:pPr>
        <w:spacing w:line="360" w:lineRule="auto"/>
        <w:ind w:left="851" w:hanging="851"/>
        <w:jc w:val="both"/>
        <w:rPr>
          <w:rFonts w:ascii="Arial" w:hAnsi="Arial" w:cs="Arial"/>
          <w:iCs/>
        </w:rPr>
      </w:pPr>
      <w:r>
        <w:rPr>
          <w:rFonts w:ascii="Arial" w:hAnsi="Arial" w:cs="Arial"/>
          <w:iCs/>
        </w:rPr>
        <w:t>[20]</w:t>
      </w:r>
      <w:r>
        <w:rPr>
          <w:rFonts w:ascii="Arial" w:hAnsi="Arial" w:cs="Arial"/>
          <w:iCs/>
        </w:rPr>
        <w:tab/>
      </w:r>
      <w:r w:rsidR="00C17791" w:rsidRPr="004221D8">
        <w:rPr>
          <w:rFonts w:ascii="Arial" w:hAnsi="Arial" w:cs="Arial"/>
          <w:iCs/>
        </w:rPr>
        <w:t xml:space="preserve">The fact that the applicant at every turn, save in making submissions to the Board, refused to participate when invited to do so does not render the process unfair. </w:t>
      </w:r>
    </w:p>
    <w:p w14:paraId="015058FC" w14:textId="02727971" w:rsidR="006967BE" w:rsidRDefault="00C17791" w:rsidP="006967BE">
      <w:pPr>
        <w:pStyle w:val="ListParagraph"/>
        <w:spacing w:line="360" w:lineRule="auto"/>
        <w:ind w:left="851"/>
        <w:jc w:val="both"/>
        <w:rPr>
          <w:rFonts w:ascii="Arial" w:hAnsi="Arial" w:cs="Arial"/>
          <w:iCs/>
        </w:rPr>
      </w:pPr>
      <w:r>
        <w:rPr>
          <w:rFonts w:ascii="Arial" w:hAnsi="Arial" w:cs="Arial"/>
          <w:iCs/>
        </w:rPr>
        <w:t xml:space="preserve"> </w:t>
      </w:r>
    </w:p>
    <w:p w14:paraId="79D5F262" w14:textId="165AB733" w:rsidR="00B76BFA" w:rsidRPr="004221D8" w:rsidRDefault="004221D8" w:rsidP="004221D8">
      <w:pPr>
        <w:spacing w:line="360" w:lineRule="auto"/>
        <w:ind w:left="851" w:hanging="851"/>
        <w:jc w:val="both"/>
        <w:rPr>
          <w:rFonts w:ascii="Arial" w:hAnsi="Arial" w:cs="Arial"/>
          <w:iCs/>
        </w:rPr>
      </w:pPr>
      <w:r>
        <w:rPr>
          <w:rFonts w:ascii="Arial" w:hAnsi="Arial" w:cs="Arial"/>
          <w:iCs/>
        </w:rPr>
        <w:t>[21]</w:t>
      </w:r>
      <w:r>
        <w:rPr>
          <w:rFonts w:ascii="Arial" w:hAnsi="Arial" w:cs="Arial"/>
          <w:iCs/>
        </w:rPr>
        <w:tab/>
      </w:r>
      <w:r w:rsidR="00C17791" w:rsidRPr="004221D8">
        <w:rPr>
          <w:rFonts w:ascii="Arial" w:hAnsi="Arial" w:cs="Arial"/>
          <w:iCs/>
        </w:rPr>
        <w:t xml:space="preserve">The decision of the applicant to refuse to participate in the initial investigation and then the disciplinary </w:t>
      </w:r>
      <w:r w:rsidR="000C792D" w:rsidRPr="004221D8">
        <w:rPr>
          <w:rFonts w:ascii="Arial" w:hAnsi="Arial" w:cs="Arial"/>
          <w:iCs/>
        </w:rPr>
        <w:t>enquiry</w:t>
      </w:r>
      <w:r w:rsidR="00C17791" w:rsidRPr="004221D8">
        <w:rPr>
          <w:rFonts w:ascii="Arial" w:hAnsi="Arial" w:cs="Arial"/>
          <w:iCs/>
        </w:rPr>
        <w:t xml:space="preserve"> was advertant and it does not lie in her mouth to assert that the process which she was invited to but eschewed was unfair.</w:t>
      </w:r>
      <w:r w:rsidR="0068773B" w:rsidRPr="004221D8">
        <w:rPr>
          <w:rFonts w:ascii="Arial" w:hAnsi="Arial" w:cs="Arial"/>
          <w:iCs/>
        </w:rPr>
        <w:t xml:space="preserve">  There is in the circumstances, no merit to this ground of review.</w:t>
      </w:r>
    </w:p>
    <w:p w14:paraId="55CA28A4" w14:textId="71CC886D" w:rsidR="00C17791" w:rsidRDefault="00C17791" w:rsidP="00DF68DD">
      <w:pPr>
        <w:jc w:val="both"/>
        <w:rPr>
          <w:rFonts w:ascii="Arial" w:hAnsi="Arial" w:cs="Arial"/>
          <w:iCs/>
        </w:rPr>
      </w:pPr>
    </w:p>
    <w:p w14:paraId="1F9308B1" w14:textId="01196D87" w:rsidR="00DF68DD" w:rsidRPr="002B662B" w:rsidRDefault="002B662B" w:rsidP="002B662B">
      <w:pPr>
        <w:spacing w:line="360" w:lineRule="auto"/>
        <w:jc w:val="both"/>
        <w:rPr>
          <w:rFonts w:ascii="Arial" w:hAnsi="Arial" w:cs="Arial"/>
          <w:b/>
          <w:bCs/>
          <w:iCs/>
        </w:rPr>
      </w:pPr>
      <w:r w:rsidRPr="002B662B">
        <w:rPr>
          <w:rFonts w:ascii="Arial" w:hAnsi="Arial" w:cs="Arial"/>
          <w:b/>
          <w:bCs/>
          <w:iCs/>
        </w:rPr>
        <w:t>THE DECISION TO REMOVE HER WAS FOR A REASON NOT AUTHORIZED BY LAW.</w:t>
      </w:r>
    </w:p>
    <w:p w14:paraId="085F870B" w14:textId="77777777" w:rsidR="002B662B" w:rsidRPr="00DF68DD" w:rsidRDefault="002B662B" w:rsidP="0068773B">
      <w:pPr>
        <w:spacing w:line="360" w:lineRule="auto"/>
        <w:jc w:val="both"/>
        <w:rPr>
          <w:rFonts w:ascii="Arial" w:hAnsi="Arial" w:cs="Arial"/>
          <w:iCs/>
        </w:rPr>
      </w:pPr>
    </w:p>
    <w:p w14:paraId="53CC5F4D" w14:textId="700E37E9" w:rsidR="002B662B" w:rsidRPr="004221D8" w:rsidRDefault="004221D8" w:rsidP="004221D8">
      <w:pPr>
        <w:spacing w:line="360" w:lineRule="auto"/>
        <w:ind w:left="851" w:hanging="851"/>
        <w:jc w:val="both"/>
        <w:rPr>
          <w:rFonts w:ascii="Arial" w:hAnsi="Arial" w:cs="Arial"/>
          <w:iCs/>
        </w:rPr>
      </w:pPr>
      <w:r>
        <w:rPr>
          <w:rFonts w:ascii="Arial" w:hAnsi="Arial" w:cs="Arial"/>
          <w:iCs/>
        </w:rPr>
        <w:t>[22]</w:t>
      </w:r>
      <w:r>
        <w:rPr>
          <w:rFonts w:ascii="Arial" w:hAnsi="Arial" w:cs="Arial"/>
          <w:iCs/>
        </w:rPr>
        <w:tab/>
      </w:r>
      <w:r w:rsidR="00D82628" w:rsidRPr="004221D8">
        <w:rPr>
          <w:rFonts w:ascii="Arial" w:hAnsi="Arial" w:cs="Arial"/>
          <w:iCs/>
        </w:rPr>
        <w:t>The FAIS Act</w:t>
      </w:r>
      <w:r w:rsidR="0067421B" w:rsidRPr="004221D8">
        <w:rPr>
          <w:rFonts w:ascii="Arial" w:hAnsi="Arial" w:cs="Arial"/>
          <w:iCs/>
        </w:rPr>
        <w:t>, besides providing for the appointment of a Deputy Ombud</w:t>
      </w:r>
      <w:r w:rsidR="0068773B" w:rsidRPr="004221D8">
        <w:rPr>
          <w:rFonts w:ascii="Arial" w:hAnsi="Arial" w:cs="Arial"/>
          <w:iCs/>
        </w:rPr>
        <w:t xml:space="preserve"> by the Board,</w:t>
      </w:r>
      <w:r w:rsidR="0067421B" w:rsidRPr="004221D8">
        <w:rPr>
          <w:rFonts w:ascii="Arial" w:hAnsi="Arial" w:cs="Arial"/>
          <w:iCs/>
        </w:rPr>
        <w:t xml:space="preserve"> also provides for the </w:t>
      </w:r>
      <w:r w:rsidR="0068773B" w:rsidRPr="004221D8">
        <w:rPr>
          <w:rFonts w:ascii="Arial" w:hAnsi="Arial" w:cs="Arial"/>
          <w:iCs/>
        </w:rPr>
        <w:t>removal of a Deputy Ombud by the Board.  S 21(4) provides:</w:t>
      </w:r>
    </w:p>
    <w:p w14:paraId="6244C295" w14:textId="02E9ADF7" w:rsidR="0068773B" w:rsidRDefault="0068773B" w:rsidP="0068773B">
      <w:pPr>
        <w:pStyle w:val="ListParagraph"/>
        <w:spacing w:line="360" w:lineRule="auto"/>
        <w:ind w:left="851"/>
        <w:jc w:val="both"/>
        <w:rPr>
          <w:rFonts w:ascii="Arial" w:hAnsi="Arial" w:cs="Arial"/>
          <w:iCs/>
        </w:rPr>
      </w:pPr>
    </w:p>
    <w:p w14:paraId="3EF0EBB7" w14:textId="3DAB3D48" w:rsidR="004F767D" w:rsidRPr="004F767D" w:rsidRDefault="0068773B" w:rsidP="00930908">
      <w:pPr>
        <w:spacing w:after="171" w:line="360" w:lineRule="auto"/>
        <w:ind w:left="1418"/>
        <w:jc w:val="both"/>
        <w:rPr>
          <w:rFonts w:ascii="Arial" w:hAnsi="Arial" w:cs="Arial"/>
          <w:i/>
          <w:sz w:val="22"/>
          <w:szCs w:val="22"/>
        </w:rPr>
      </w:pPr>
      <w:r w:rsidRPr="004F767D">
        <w:rPr>
          <w:rFonts w:ascii="Arial" w:hAnsi="Arial" w:cs="Arial"/>
          <w:i/>
          <w:sz w:val="22"/>
          <w:szCs w:val="22"/>
        </w:rPr>
        <w:t>”</w:t>
      </w:r>
      <w:r w:rsidR="004F767D" w:rsidRPr="004F767D">
        <w:rPr>
          <w:rFonts w:ascii="Arial" w:hAnsi="Arial" w:cs="Arial"/>
          <w:i/>
          <w:noProof/>
          <w:sz w:val="22"/>
          <w:szCs w:val="22"/>
          <w:lang w:val="en-US"/>
        </w:rPr>
        <mc:AlternateContent>
          <mc:Choice Requires="wpg">
            <w:drawing>
              <wp:anchor distT="0" distB="0" distL="114300" distR="114300" simplePos="0" relativeHeight="251659264" behindDoc="0" locked="0" layoutInCell="1" allowOverlap="1" wp14:anchorId="11CE8091" wp14:editId="3A26F233">
                <wp:simplePos x="0" y="0"/>
                <wp:positionH relativeFrom="page">
                  <wp:posOffset>329184</wp:posOffset>
                </wp:positionH>
                <wp:positionV relativeFrom="page">
                  <wp:posOffset>9912096</wp:posOffset>
                </wp:positionV>
                <wp:extent cx="3621024" cy="13715"/>
                <wp:effectExtent l="0" t="0" r="0" b="0"/>
                <wp:wrapTopAndBottom/>
                <wp:docPr id="7446" name="Group 7446"/>
                <wp:cNvGraphicFramePr/>
                <a:graphic xmlns:a="http://schemas.openxmlformats.org/drawingml/2006/main">
                  <a:graphicData uri="http://schemas.microsoft.com/office/word/2010/wordprocessingGroup">
                    <wpg:wgp>
                      <wpg:cNvGrpSpPr/>
                      <wpg:grpSpPr>
                        <a:xfrm>
                          <a:off x="0" y="0"/>
                          <a:ext cx="3621024" cy="13715"/>
                          <a:chOff x="0" y="0"/>
                          <a:chExt cx="3621024" cy="13715"/>
                        </a:xfrm>
                      </wpg:grpSpPr>
                      <wps:wsp>
                        <wps:cNvPr id="7445" name="Shape 7445"/>
                        <wps:cNvSpPr/>
                        <wps:spPr>
                          <a:xfrm>
                            <a:off x="0" y="0"/>
                            <a:ext cx="3621024" cy="13715"/>
                          </a:xfrm>
                          <a:custGeom>
                            <a:avLst/>
                            <a:gdLst/>
                            <a:ahLst/>
                            <a:cxnLst/>
                            <a:rect l="0" t="0" r="0" b="0"/>
                            <a:pathLst>
                              <a:path w="3621024" h="13715">
                                <a:moveTo>
                                  <a:pt x="0" y="6858"/>
                                </a:moveTo>
                                <a:lnTo>
                                  <a:pt x="3621024" y="6858"/>
                                </a:lnTo>
                              </a:path>
                            </a:pathLst>
                          </a:custGeom>
                          <a:noFill/>
                          <a:ln w="13715" cap="flat" cmpd="sng" algn="ctr">
                            <a:solidFill>
                              <a:srgbClr val="000000"/>
                            </a:solidFill>
                            <a:prstDash val="solid"/>
                            <a:miter lim="100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F0C8EB" id="Group 7446" o:spid="_x0000_s1026" style="position:absolute;margin-left:25.9pt;margin-top:780.5pt;width:285.1pt;height:1.1pt;z-index:251659264;mso-position-horizontal-relative:page;mso-position-vertical-relative:page" coordsize="3621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izNgIAAEYFAAAOAAAAZHJzL2Uyb0RvYy54bWykVE1v4jAQva+0/8HyfQlQoCgi9LBsuax2&#10;K7X7A4zjJJb8JdsQ+Pc7npCQtlIPbQ6OP2bG770Zz+bhrBU5CR+kNQWdTaaUCMNtKU1d0H8vjz/W&#10;lITITMmUNaKgFxHow/b7t03rcjG3jVWl8ASCmJC3rqBNjC7PssAboVmYWCcMHFbWaxZh6eus9KyF&#10;6Fpl8+l0lbXWl85bLkKA3V13SLcYv6oEj3+rKohIVEEBW8TR43hIY7bdsLz2zDWSX2GwT6DQTBq4&#10;dAi1Y5GRo5fvQmnJvQ22ihNudWarSnKBHIDNbPqGzd7bo0Mudd7WbpAJpH2j06fD8j+nvXfP7smD&#10;Eq2rQQtcJS7nyuv0B5TkjJJdBsnEORIOm3er+Ww6X1DC4Wx2dz9bdpLyBnR/58WbXx/6Zf2l2Sso&#10;rYPiCDf+4Wv8nxvmBMoacuD/5IksC3q/WCwpMUxDlaIFwR2UBe0GkUIeQK+vKTQwZTk/hrgXFqVm&#10;p98hdjVZ9jPW9DN+Nv3UQ2V/WNOOxeSXUKYpaUe5avpUpVNtT+LFol28JWy1Xq5TJgHnzUCZseGQ&#10;esj8yLwzAr90LQYYoMDmmKyxj1IpZKtMAtjVD+EMGkGlWISq0g5SE0xNCVM1dBgePb6zYJUsk3sC&#10;Hnx9+Kk8ObH0yvG7Yn9l5nyIOxaazg6PumLVMkITUlIDhLG3Mim6wDbSCQ912Wc/zQ62vODLwX0o&#10;UeCbKhceKzK/NpbUDcZrtLq1v+1/AAAA//8DAFBLAwQUAAYACAAAACEAiJzK8OMAAAARAQAADwAA&#10;AGRycy9kb3ducmV2LnhtbExPS2vDMAy+D/YfjAa7rU5SEkYap5TucSqDtYOxmxqrSWhsh9hN0n8/&#10;bZftIqRP0vco1rPpxEiDb51VEC8iEGQrp1tbK/g4vDw8gvABrcbOWVJwJQ/r8vamwFy7yb7TuA+1&#10;YBLrc1TQhNDnUvqqIYN+4XqyvDu5wWDgcailHnBictPJJIoyabC1rNBgT9uGqvP+YhS8TjhtlvHz&#10;uDufttevQ/r2uYtJqfu7+WnFZbMCEWgOfx/wk4H9Q8nGju5itRedgjRm+4HxNIs5GV9kScLN8Rda&#10;JiDLQv5PUn4DAAD//wMAUEsBAi0AFAAGAAgAAAAhALaDOJL+AAAA4QEAABMAAAAAAAAAAAAAAAAA&#10;AAAAAFtDb250ZW50X1R5cGVzXS54bWxQSwECLQAUAAYACAAAACEAOP0h/9YAAACUAQAACwAAAAAA&#10;AAAAAAAAAAAvAQAAX3JlbHMvLnJlbHNQSwECLQAUAAYACAAAACEAm2F4szYCAABGBQAADgAAAAAA&#10;AAAAAAAAAAAuAgAAZHJzL2Uyb0RvYy54bWxQSwECLQAUAAYACAAAACEAiJzK8OMAAAARAQAADwAA&#10;AAAAAAAAAAAAAACQBAAAZHJzL2Rvd25yZXYueG1sUEsFBgAAAAAEAAQA8wAAAKAFAAAAAA==&#10;">
                <v:shape id="Shape 7445" o:spid="_x0000_s1027" style="position:absolute;width:36210;height:137;visibility:visible;mso-wrap-style:square;v-text-anchor:top" coordsize="362102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asezQAAAOIAAAAPAAAAZHJzL2Rvd25yZXYueG1sRI9bSwMx&#10;FITfBf9DOIIv0mYrvbFtWkqloL4Ue4H6dtwcs4ubkzVJ262/3hQEXwaGYb5hpvPW1uJEPlSOFfS6&#10;GQjiwumKjYLddtUZgwgRWWPtmBRcKMB8dnszxVy7M7/RaRONSBAOOSooY2xyKUNRksXQdQ1xyj6d&#10;txiT9UZqj+cEt7V8zLKhtFhxWiixoWVJxdfmaBUMD8fxy4+sV+v3y/eDed17M1h8KHV/1z5Nkiwm&#10;ICK18b/xh3jWCkb9/gCul9IdkLNfAAAA//8DAFBLAQItABQABgAIAAAAIQDb4fbL7gAAAIUBAAAT&#10;AAAAAAAAAAAAAAAAAAAAAABbQ29udGVudF9UeXBlc10ueG1sUEsBAi0AFAAGAAgAAAAhAFr0LFu/&#10;AAAAFQEAAAsAAAAAAAAAAAAAAAAAHwEAAF9yZWxzLy5yZWxzUEsBAi0AFAAGAAgAAAAhAFj1qx7N&#10;AAAA4gAAAA8AAAAAAAAAAAAAAAAABwIAAGRycy9kb3ducmV2LnhtbFBLBQYAAAAAAwADALcAAAAB&#10;AwAAAAA=&#10;" path="m,6858r3621024,e" filled="f" strokeweight=".38097mm">
                  <v:stroke miterlimit="1" joinstyle="miter"/>
                  <v:path arrowok="t" textboxrect="0,0,3621024,13715"/>
                </v:shape>
                <w10:wrap type="topAndBottom" anchorx="page" anchory="page"/>
              </v:group>
            </w:pict>
          </mc:Fallback>
        </mc:AlternateContent>
      </w:r>
      <w:r w:rsidR="004F767D" w:rsidRPr="004F767D">
        <w:rPr>
          <w:rFonts w:ascii="Arial" w:hAnsi="Arial" w:cs="Arial"/>
          <w:i/>
          <w:noProof/>
          <w:sz w:val="22"/>
          <w:szCs w:val="22"/>
          <w:lang w:val="en-US"/>
        </w:rPr>
        <mc:AlternateContent>
          <mc:Choice Requires="wpg">
            <w:drawing>
              <wp:anchor distT="0" distB="0" distL="114300" distR="114300" simplePos="0" relativeHeight="251660288" behindDoc="0" locked="0" layoutInCell="1" allowOverlap="1" wp14:anchorId="032658DC" wp14:editId="712BAA97">
                <wp:simplePos x="0" y="0"/>
                <wp:positionH relativeFrom="page">
                  <wp:posOffset>4572000</wp:posOffset>
                </wp:positionH>
                <wp:positionV relativeFrom="page">
                  <wp:posOffset>9944100</wp:posOffset>
                </wp:positionV>
                <wp:extent cx="1833372" cy="9144"/>
                <wp:effectExtent l="0" t="0" r="0" b="0"/>
                <wp:wrapTopAndBottom/>
                <wp:docPr id="7448" name="Group 7448"/>
                <wp:cNvGraphicFramePr/>
                <a:graphic xmlns:a="http://schemas.openxmlformats.org/drawingml/2006/main">
                  <a:graphicData uri="http://schemas.microsoft.com/office/word/2010/wordprocessingGroup">
                    <wpg:wgp>
                      <wpg:cNvGrpSpPr/>
                      <wpg:grpSpPr>
                        <a:xfrm>
                          <a:off x="0" y="0"/>
                          <a:ext cx="1833372" cy="9144"/>
                          <a:chOff x="0" y="0"/>
                          <a:chExt cx="1833372" cy="9144"/>
                        </a:xfrm>
                      </wpg:grpSpPr>
                      <wps:wsp>
                        <wps:cNvPr id="7447" name="Shape 7447"/>
                        <wps:cNvSpPr/>
                        <wps:spPr>
                          <a:xfrm>
                            <a:off x="0" y="0"/>
                            <a:ext cx="1833372" cy="9144"/>
                          </a:xfrm>
                          <a:custGeom>
                            <a:avLst/>
                            <a:gdLst/>
                            <a:ahLst/>
                            <a:cxnLst/>
                            <a:rect l="0" t="0" r="0" b="0"/>
                            <a:pathLst>
                              <a:path w="1833372" h="9144">
                                <a:moveTo>
                                  <a:pt x="0" y="4572"/>
                                </a:moveTo>
                                <a:lnTo>
                                  <a:pt x="1833372" y="4572"/>
                                </a:lnTo>
                              </a:path>
                            </a:pathLst>
                          </a:custGeom>
                          <a:noFill/>
                          <a:ln w="9144" cap="flat" cmpd="sng" algn="ctr">
                            <a:solidFill>
                              <a:srgbClr val="000000"/>
                            </a:solidFill>
                            <a:prstDash val="solid"/>
                            <a:miter lim="100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5313C4" id="Group 7448" o:spid="_x0000_s1026" style="position:absolute;margin-left:5in;margin-top:783pt;width:144.35pt;height:.7pt;z-index:251660288;mso-position-horizontal-relative:page;mso-position-vertical-relative:page" coordsize="183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wPNAIAAEEFAAAOAAAAZHJzL2Uyb0RvYy54bWykVMlu2zAQvRfIPxC8x/LWOhUs51A3vhRt&#10;gCQfQFOURIAbSNqy/77DkSUrCZBDogPFZWb43pvhrO9PWpGj8EFaU9DZZEqJMNyW0tQFfXl+uL2j&#10;JERmSqasEQU9i0DvNzff1q3Lxdw2VpXCEwhiQt66gjYxujzLAm+EZmFinTBwWFmvWYSlr7PSsxai&#10;a5XNp9MfWWt96bzlIgTY3XaHdIPxq0rw+K+qgohEFRSwRRw9jvs0Zps1y2vPXCP5BQb7BArNpIFL&#10;h1BbFhk5ePkulJbc22CrOOFWZ7aqJBfIAdjMpm/Y7Lw9OORS523tBplA2jc6fTos/3vceffkHj0o&#10;0boatMBV4nKqvE5/QElOKNl5kEycIuGwObtbLBarOSUczn7OlstOUd6A7O+cePP7I7esvzJ7BaR1&#10;UBrhyj58jf1Tw5xAUUMO7B89kWVBV8vlihLDNNQoWhDcQVHQbpAo5AHU+pI+A1GW80OIO2FRZ3b8&#10;E2JXkGU/Y00/4yfTTz2U9YcF7VhMfglkmpJ2lKjmkqd0qO1RPFs0i9dsLb9DQgEHwLwaKDM2HNIO&#10;WR+Zd0bgl27FAAMS2BxzNfZBKoVklUn4sHYIZ9ADKsUiFJR2kJdgakqYqqG58OjxiQWrZJm8E+7g&#10;6/0v5cmRpQeO3wX6KzPnQ9yy0HR2eNQVqpYR+o+SGhQaeyuTogvsIJ3sUJR96tNsb8szPhrch/oE&#10;uqls4Z0i8UtPSY1gvEara+fb/AcAAP//AwBQSwMEFAAGAAgAAAAhAApf03nlAAAAEwEAAA8AAABk&#10;cnMvZG93bnJldi54bWxMT01vwjAMvU/af4g8abeRdBstKk0RYh8nhDSYhLiFxrQVTVI1oS3/fmaX&#10;7WLZfs/P72WL0TSsx87XzkqIJgIY2sLp2pYSvncfTzNgPiirVeMsSriih0V+f5epVLvBfmG/DSUj&#10;EetTJaEKoU0590WFRvmJa9ESdnKdUYHGruS6UwOJm4Y/CxFzo2pLHyrV4qrC4ry9GAmfgxqWL9F7&#10;vz6fVtfDbrrZryOU8vFhfJtTWc6BBRzD3wXcMpB/yMnY0V2s9qyRkNAPohIwjWPqbhQhZgmw4+8u&#10;eQWeZ/x/lvwHAAD//wMAUEsBAi0AFAAGAAgAAAAhALaDOJL+AAAA4QEAABMAAAAAAAAAAAAAAAAA&#10;AAAAAFtDb250ZW50X1R5cGVzXS54bWxQSwECLQAUAAYACAAAACEAOP0h/9YAAACUAQAACwAAAAAA&#10;AAAAAAAAAAAvAQAAX3JlbHMvLnJlbHNQSwECLQAUAAYACAAAACEAKbBcDzQCAABBBQAADgAAAAAA&#10;AAAAAAAAAAAuAgAAZHJzL2Uyb0RvYy54bWxQSwECLQAUAAYACAAAACEACl/TeeUAAAATAQAADwAA&#10;AAAAAAAAAAAAAACOBAAAZHJzL2Rvd25yZXYueG1sUEsFBgAAAAAEAAQA8wAAAKAFAAAAAA==&#10;">
                <v:shape id="Shape 7447" o:spid="_x0000_s1027" style="position:absolute;width:18333;height:91;visibility:visible;mso-wrap-style:square;v-text-anchor:top" coordsize="1833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61yAAAAOIAAAAPAAAAZHJzL2Rvd25yZXYueG1sRI9BawIx&#10;FITvQv9DeIXeNNtWVFajiGWh9KZb9vzcPDdrNy9Lkurqr28KhV4GhmG+YVabwXbiQj60jhU8TzIQ&#10;xLXTLTcKPstivAARIrLGzjEpuFGAzfphtMJcuyvv6XKIjUgQDjkqMDH2uZShNmQxTFxPnLKT8xZj&#10;sr6R2uM1wW0nX7JsJi22nBYM9rQzVH8dvq2C8/FeVsHaWVXoMny8Vt4Ue6/U0+PwtkyyXYKINMT/&#10;xh/iXSuYT6dz+L2U7oBc/wAAAP//AwBQSwECLQAUAAYACAAAACEA2+H2y+4AAACFAQAAEwAAAAAA&#10;AAAAAAAAAAAAAAAAW0NvbnRlbnRfVHlwZXNdLnhtbFBLAQItABQABgAIAAAAIQBa9CxbvwAAABUB&#10;AAALAAAAAAAAAAAAAAAAAB8BAABfcmVscy8ucmVsc1BLAQItABQABgAIAAAAIQDmmw61yAAAAOIA&#10;AAAPAAAAAAAAAAAAAAAAAAcCAABkcnMvZG93bnJldi54bWxQSwUGAAAAAAMAAwC3AAAA/AIAAAAA&#10;" path="m,4572r1833372,e" filled="f" strokeweight=".72pt">
                  <v:stroke miterlimit="1" joinstyle="miter"/>
                  <v:path arrowok="t" textboxrect="0,0,1833372,9144"/>
                </v:shape>
                <w10:wrap type="topAndBottom" anchorx="page" anchory="page"/>
              </v:group>
            </w:pict>
          </mc:Fallback>
        </mc:AlternateContent>
      </w:r>
      <w:r w:rsidR="004F767D" w:rsidRPr="004F767D">
        <w:rPr>
          <w:rFonts w:ascii="Arial" w:hAnsi="Arial" w:cs="Arial"/>
          <w:i/>
          <w:sz w:val="22"/>
          <w:szCs w:val="22"/>
        </w:rPr>
        <w:t>The Board may on good cause shown, after consultation with the Advisory Committee, remove the Ombud or a deputy ombud from office on the ground misbehaviour. incapacity or incompetence after affording the person concerned reasonable opportunity to be heard.”</w:t>
      </w:r>
    </w:p>
    <w:p w14:paraId="316A4741" w14:textId="12AD1948" w:rsidR="0068773B" w:rsidRDefault="0068773B" w:rsidP="0068773B">
      <w:pPr>
        <w:spacing w:line="360" w:lineRule="auto"/>
        <w:jc w:val="both"/>
        <w:rPr>
          <w:rFonts w:ascii="Arial" w:hAnsi="Arial" w:cs="Arial"/>
          <w:iCs/>
        </w:rPr>
      </w:pPr>
    </w:p>
    <w:p w14:paraId="15AF91F6" w14:textId="39185522" w:rsidR="0068773B" w:rsidRPr="004221D8" w:rsidRDefault="004221D8" w:rsidP="004221D8">
      <w:pPr>
        <w:spacing w:line="360" w:lineRule="auto"/>
        <w:ind w:left="851" w:hanging="851"/>
        <w:jc w:val="both"/>
        <w:rPr>
          <w:rFonts w:ascii="Arial" w:hAnsi="Arial" w:cs="Arial"/>
          <w:iCs/>
        </w:rPr>
      </w:pPr>
      <w:r w:rsidRPr="0068773B">
        <w:rPr>
          <w:rFonts w:ascii="Arial" w:hAnsi="Arial" w:cs="Arial"/>
          <w:iCs/>
        </w:rPr>
        <w:t>[23]</w:t>
      </w:r>
      <w:r w:rsidRPr="0068773B">
        <w:rPr>
          <w:rFonts w:ascii="Arial" w:hAnsi="Arial" w:cs="Arial"/>
          <w:iCs/>
        </w:rPr>
        <w:tab/>
      </w:r>
      <w:r w:rsidR="0068773B" w:rsidRPr="004221D8">
        <w:rPr>
          <w:rFonts w:ascii="Arial" w:hAnsi="Arial" w:cs="Arial"/>
          <w:iCs/>
        </w:rPr>
        <w:t>It is not disputed that the decision to remove the applicant was taken by the Board or that the Board is empowered to do so.  There is simply no merit to this ground of review.</w:t>
      </w:r>
    </w:p>
    <w:p w14:paraId="66C121D9" w14:textId="77777777" w:rsidR="00DF68DD" w:rsidRPr="00930908" w:rsidRDefault="00DF68DD" w:rsidP="00930908">
      <w:pPr>
        <w:spacing w:line="360" w:lineRule="auto"/>
        <w:jc w:val="both"/>
        <w:rPr>
          <w:rFonts w:ascii="Arial" w:hAnsi="Arial" w:cs="Arial"/>
          <w:iCs/>
        </w:rPr>
      </w:pPr>
    </w:p>
    <w:p w14:paraId="555D2D16" w14:textId="14EC3093" w:rsidR="0068773B" w:rsidRPr="002B662B" w:rsidRDefault="002B662B" w:rsidP="0068773B">
      <w:pPr>
        <w:spacing w:line="360" w:lineRule="auto"/>
        <w:jc w:val="both"/>
        <w:rPr>
          <w:rFonts w:ascii="Arial" w:hAnsi="Arial" w:cs="Arial"/>
          <w:b/>
          <w:bCs/>
          <w:iCs/>
        </w:rPr>
      </w:pPr>
      <w:r w:rsidRPr="002B662B">
        <w:rPr>
          <w:rFonts w:ascii="Arial" w:hAnsi="Arial" w:cs="Arial"/>
          <w:b/>
          <w:bCs/>
          <w:iCs/>
        </w:rPr>
        <w:lastRenderedPageBreak/>
        <w:t>THE DECISION WAS TAKEN FOR AN ULTERIOR MOTIVE OR PURPOSE</w:t>
      </w:r>
      <w:r w:rsidR="0068773B">
        <w:rPr>
          <w:rFonts w:ascii="Arial" w:hAnsi="Arial" w:cs="Arial"/>
          <w:b/>
          <w:bCs/>
          <w:iCs/>
        </w:rPr>
        <w:t xml:space="preserve"> AND</w:t>
      </w:r>
      <w:r w:rsidR="008C2535">
        <w:rPr>
          <w:rFonts w:ascii="Arial" w:hAnsi="Arial" w:cs="Arial"/>
          <w:b/>
          <w:bCs/>
          <w:iCs/>
        </w:rPr>
        <w:t xml:space="preserve"> </w:t>
      </w:r>
      <w:r w:rsidR="0068773B" w:rsidRPr="002B662B">
        <w:rPr>
          <w:rFonts w:ascii="Arial" w:hAnsi="Arial" w:cs="Arial"/>
          <w:b/>
          <w:bCs/>
          <w:iCs/>
        </w:rPr>
        <w:t>RELEVANT FACTORS WERE NOT CONSIDERED</w:t>
      </w:r>
    </w:p>
    <w:p w14:paraId="1A3C80D7" w14:textId="1EB6D073" w:rsidR="00DF68DD" w:rsidRDefault="00DF68DD" w:rsidP="002B662B">
      <w:pPr>
        <w:spacing w:line="360" w:lineRule="auto"/>
        <w:jc w:val="both"/>
        <w:rPr>
          <w:rFonts w:ascii="Arial" w:hAnsi="Arial" w:cs="Arial"/>
          <w:b/>
          <w:bCs/>
          <w:iCs/>
        </w:rPr>
      </w:pPr>
    </w:p>
    <w:p w14:paraId="66679342" w14:textId="2E892FC2" w:rsidR="00006060" w:rsidRDefault="00006060" w:rsidP="002B662B">
      <w:pPr>
        <w:spacing w:line="360" w:lineRule="auto"/>
        <w:jc w:val="both"/>
        <w:rPr>
          <w:rFonts w:ascii="Arial" w:hAnsi="Arial" w:cs="Arial"/>
          <w:b/>
          <w:bCs/>
          <w:iCs/>
        </w:rPr>
      </w:pPr>
    </w:p>
    <w:p w14:paraId="5FF9E4B7" w14:textId="77777777" w:rsidR="00006060" w:rsidRPr="002B662B" w:rsidRDefault="00006060" w:rsidP="002B662B">
      <w:pPr>
        <w:spacing w:line="360" w:lineRule="auto"/>
        <w:jc w:val="both"/>
        <w:rPr>
          <w:rFonts w:ascii="Arial" w:hAnsi="Arial" w:cs="Arial"/>
          <w:b/>
          <w:bCs/>
          <w:iCs/>
        </w:rPr>
      </w:pPr>
    </w:p>
    <w:p w14:paraId="09D7808E" w14:textId="77777777" w:rsidR="002B662B" w:rsidRPr="00DF68DD" w:rsidRDefault="002B662B" w:rsidP="002B662B">
      <w:pPr>
        <w:jc w:val="both"/>
        <w:rPr>
          <w:rFonts w:ascii="Arial" w:hAnsi="Arial" w:cs="Arial"/>
          <w:iCs/>
        </w:rPr>
      </w:pPr>
    </w:p>
    <w:p w14:paraId="09546511" w14:textId="7032F0F5" w:rsidR="002B662B" w:rsidRPr="00930908" w:rsidRDefault="00247E97" w:rsidP="00930908">
      <w:pPr>
        <w:spacing w:line="360" w:lineRule="auto"/>
        <w:ind w:left="720" w:hanging="720"/>
        <w:jc w:val="both"/>
        <w:rPr>
          <w:rFonts w:ascii="Arial" w:hAnsi="Arial" w:cs="Arial"/>
          <w:iCs/>
        </w:rPr>
      </w:pPr>
      <w:r>
        <w:rPr>
          <w:rFonts w:ascii="Arial" w:hAnsi="Arial" w:cs="Arial"/>
          <w:iCs/>
        </w:rPr>
        <w:t>[24]</w:t>
      </w:r>
      <w:r>
        <w:rPr>
          <w:rFonts w:ascii="Arial" w:hAnsi="Arial" w:cs="Arial"/>
          <w:iCs/>
        </w:rPr>
        <w:tab/>
      </w:r>
      <w:r w:rsidR="0068773B" w:rsidRPr="00F63104">
        <w:rPr>
          <w:rFonts w:ascii="Arial" w:hAnsi="Arial" w:cs="Arial"/>
          <w:iCs/>
        </w:rPr>
        <w:t xml:space="preserve">There </w:t>
      </w:r>
      <w:r w:rsidR="008C2535" w:rsidRPr="00F63104">
        <w:rPr>
          <w:rFonts w:ascii="Arial" w:hAnsi="Arial" w:cs="Arial"/>
          <w:iCs/>
        </w:rPr>
        <w:t>wa</w:t>
      </w:r>
      <w:r w:rsidR="0068773B" w:rsidRPr="00F63104">
        <w:rPr>
          <w:rFonts w:ascii="Arial" w:hAnsi="Arial" w:cs="Arial"/>
          <w:iCs/>
        </w:rPr>
        <w:t xml:space="preserve">s no basis laid for these grounds of review. The Board was furnished with the findings and recommendation of the disciplinary </w:t>
      </w:r>
      <w:r w:rsidR="000C792D" w:rsidRPr="00F63104">
        <w:rPr>
          <w:rFonts w:ascii="Arial" w:hAnsi="Arial" w:cs="Arial"/>
          <w:iCs/>
        </w:rPr>
        <w:t>enquiry</w:t>
      </w:r>
      <w:r w:rsidR="0068773B" w:rsidRPr="00F63104">
        <w:rPr>
          <w:rFonts w:ascii="Arial" w:hAnsi="Arial" w:cs="Arial"/>
          <w:iCs/>
        </w:rPr>
        <w:t xml:space="preserve"> and was obligated</w:t>
      </w:r>
      <w:r w:rsidR="007A7BB1">
        <w:rPr>
          <w:rStyle w:val="FootnoteReference"/>
          <w:rFonts w:ascii="Arial" w:hAnsi="Arial" w:cs="Arial"/>
          <w:iCs/>
        </w:rPr>
        <w:footnoteReference w:id="15"/>
      </w:r>
      <w:r w:rsidR="0068773B" w:rsidRPr="00F63104">
        <w:rPr>
          <w:rFonts w:ascii="Arial" w:hAnsi="Arial" w:cs="Arial"/>
          <w:iCs/>
        </w:rPr>
        <w:t xml:space="preserve"> to act upon it.</w:t>
      </w:r>
      <w:r w:rsidR="00B20D18" w:rsidRPr="00F63104">
        <w:rPr>
          <w:rFonts w:ascii="Arial" w:hAnsi="Arial" w:cs="Arial"/>
          <w:iCs/>
        </w:rPr>
        <w:t xml:space="preserve"> There were no defects in the </w:t>
      </w:r>
      <w:r w:rsidR="00576386" w:rsidRPr="00F63104">
        <w:rPr>
          <w:rFonts w:ascii="Arial" w:hAnsi="Arial" w:cs="Arial"/>
          <w:iCs/>
        </w:rPr>
        <w:t>decision-making</w:t>
      </w:r>
      <w:r w:rsidR="00576386">
        <w:rPr>
          <w:rStyle w:val="FootnoteReference"/>
          <w:rFonts w:ascii="Arial" w:hAnsi="Arial" w:cs="Arial"/>
          <w:iCs/>
        </w:rPr>
        <w:footnoteReference w:id="16"/>
      </w:r>
      <w:r w:rsidR="00B20D18" w:rsidRPr="00F63104">
        <w:rPr>
          <w:rFonts w:ascii="Arial" w:hAnsi="Arial" w:cs="Arial"/>
          <w:iCs/>
        </w:rPr>
        <w:t xml:space="preserve"> process of the Board and the applicant was unable to point to any</w:t>
      </w:r>
      <w:r w:rsidR="00576386" w:rsidRPr="00F63104">
        <w:rPr>
          <w:rFonts w:ascii="Arial" w:hAnsi="Arial" w:cs="Arial"/>
          <w:iCs/>
        </w:rPr>
        <w:t>.</w:t>
      </w:r>
      <w:r w:rsidR="0068773B" w:rsidRPr="00F63104">
        <w:rPr>
          <w:rFonts w:ascii="Arial" w:hAnsi="Arial" w:cs="Arial"/>
          <w:iCs/>
        </w:rPr>
        <w:t xml:space="preserve">  </w:t>
      </w:r>
    </w:p>
    <w:p w14:paraId="0398CA89" w14:textId="77777777" w:rsidR="00DF68DD" w:rsidRPr="0068773B" w:rsidRDefault="00DF68DD" w:rsidP="0068773B">
      <w:pPr>
        <w:spacing w:line="360" w:lineRule="auto"/>
        <w:jc w:val="both"/>
        <w:rPr>
          <w:rFonts w:ascii="Arial" w:hAnsi="Arial" w:cs="Arial"/>
          <w:iCs/>
        </w:rPr>
      </w:pPr>
    </w:p>
    <w:p w14:paraId="179EA125" w14:textId="075AC74B" w:rsidR="00DF68DD" w:rsidRPr="002B662B" w:rsidRDefault="002B662B" w:rsidP="002B662B">
      <w:pPr>
        <w:spacing w:line="360" w:lineRule="auto"/>
        <w:jc w:val="both"/>
        <w:rPr>
          <w:rFonts w:ascii="Arial" w:hAnsi="Arial" w:cs="Arial"/>
          <w:iCs/>
        </w:rPr>
      </w:pPr>
      <w:r w:rsidRPr="002B662B">
        <w:rPr>
          <w:rFonts w:ascii="Arial" w:hAnsi="Arial" w:cs="Arial"/>
          <w:b/>
          <w:bCs/>
          <w:iCs/>
        </w:rPr>
        <w:t>THE DECISION WAS TAKEN BECAUSE OF THE UNAUTHORIZED DICTATES OF ANOTHER PERSON</w:t>
      </w:r>
      <w:r w:rsidRPr="002B662B">
        <w:rPr>
          <w:rFonts w:ascii="Arial" w:hAnsi="Arial" w:cs="Arial"/>
          <w:iCs/>
        </w:rPr>
        <w:t>.</w:t>
      </w:r>
    </w:p>
    <w:p w14:paraId="466252B2" w14:textId="77777777" w:rsidR="00BB3E6A" w:rsidRPr="00930908" w:rsidRDefault="00BB3E6A" w:rsidP="00930908">
      <w:pPr>
        <w:spacing w:line="360" w:lineRule="auto"/>
        <w:jc w:val="both"/>
        <w:rPr>
          <w:rFonts w:ascii="Arial" w:hAnsi="Arial" w:cs="Arial"/>
          <w:iCs/>
        </w:rPr>
      </w:pPr>
    </w:p>
    <w:p w14:paraId="2EB50E30" w14:textId="50C55A51" w:rsidR="00C430B6" w:rsidRPr="004221D8" w:rsidRDefault="004221D8" w:rsidP="004221D8">
      <w:pPr>
        <w:spacing w:line="360" w:lineRule="auto"/>
        <w:ind w:left="720" w:hanging="720"/>
        <w:jc w:val="both"/>
        <w:rPr>
          <w:rFonts w:ascii="Arial" w:hAnsi="Arial" w:cs="Arial"/>
          <w:iCs/>
        </w:rPr>
      </w:pPr>
      <w:r w:rsidRPr="00930908">
        <w:rPr>
          <w:rFonts w:ascii="Arial" w:hAnsi="Arial" w:cs="Arial"/>
          <w:iCs/>
        </w:rPr>
        <w:t>[25]</w:t>
      </w:r>
      <w:r w:rsidRPr="00930908">
        <w:rPr>
          <w:rFonts w:ascii="Arial" w:hAnsi="Arial" w:cs="Arial"/>
          <w:iCs/>
        </w:rPr>
        <w:tab/>
      </w:r>
      <w:r w:rsidR="00BB3E6A" w:rsidRPr="004221D8">
        <w:rPr>
          <w:rFonts w:ascii="Arial" w:hAnsi="Arial" w:cs="Arial"/>
          <w:iCs/>
        </w:rPr>
        <w:t xml:space="preserve">The high-water mark of this ground of review </w:t>
      </w:r>
      <w:r w:rsidR="00C430B6" w:rsidRPr="004221D8">
        <w:rPr>
          <w:rFonts w:ascii="Arial" w:hAnsi="Arial" w:cs="Arial"/>
          <w:iCs/>
        </w:rPr>
        <w:t>is the nebulous allegation that:</w:t>
      </w:r>
    </w:p>
    <w:p w14:paraId="72EE174F" w14:textId="77777777" w:rsidR="00C430B6" w:rsidRPr="00C430B6" w:rsidRDefault="00C430B6" w:rsidP="00C430B6">
      <w:pPr>
        <w:pStyle w:val="ListParagraph"/>
        <w:rPr>
          <w:rFonts w:ascii="Arial" w:hAnsi="Arial" w:cs="Arial"/>
          <w:iCs/>
        </w:rPr>
      </w:pPr>
    </w:p>
    <w:p w14:paraId="47286AF1" w14:textId="1B245C52" w:rsidR="00C430B6" w:rsidRPr="00C430B6" w:rsidRDefault="00BB3E6A" w:rsidP="00C430B6">
      <w:pPr>
        <w:pStyle w:val="ListParagraph"/>
        <w:spacing w:line="360" w:lineRule="auto"/>
        <w:ind w:left="2268" w:hanging="850"/>
        <w:jc w:val="both"/>
        <w:rPr>
          <w:rFonts w:ascii="Arial" w:hAnsi="Arial" w:cs="Arial"/>
          <w:i/>
          <w:sz w:val="22"/>
          <w:szCs w:val="22"/>
        </w:rPr>
      </w:pPr>
      <w:r w:rsidRPr="00C430B6">
        <w:rPr>
          <w:rFonts w:ascii="Arial" w:hAnsi="Arial" w:cs="Arial"/>
          <w:i/>
          <w:sz w:val="22"/>
          <w:szCs w:val="22"/>
        </w:rPr>
        <w:t>“</w:t>
      </w:r>
      <w:r w:rsidR="00C430B6" w:rsidRPr="00C430B6">
        <w:rPr>
          <w:rFonts w:ascii="Arial" w:hAnsi="Arial" w:cs="Arial"/>
          <w:i/>
          <w:sz w:val="22"/>
          <w:szCs w:val="22"/>
        </w:rPr>
        <w:t>180.</w:t>
      </w:r>
      <w:r w:rsidR="00C430B6" w:rsidRPr="00C430B6">
        <w:rPr>
          <w:rFonts w:ascii="Arial" w:hAnsi="Arial" w:cs="Arial"/>
          <w:i/>
          <w:sz w:val="22"/>
          <w:szCs w:val="22"/>
        </w:rPr>
        <w:tab/>
        <w:t>In this regard, I deem it unnecessary to repeat the grounds set out under the heading “The action was taken for an ulterior purpose or motive”, save only to emphasise that Bam was determined, for reasons unknown to me, to remove me from office, even if it meant that my removal was unlawful.</w:t>
      </w:r>
    </w:p>
    <w:p w14:paraId="0E38E439" w14:textId="77777777" w:rsidR="00C430B6" w:rsidRPr="00C430B6" w:rsidRDefault="00C430B6" w:rsidP="00C430B6">
      <w:pPr>
        <w:pStyle w:val="ListParagraph"/>
        <w:spacing w:line="360" w:lineRule="auto"/>
        <w:ind w:left="2268" w:hanging="850"/>
        <w:jc w:val="both"/>
        <w:rPr>
          <w:rFonts w:ascii="Arial" w:hAnsi="Arial" w:cs="Arial"/>
          <w:i/>
          <w:sz w:val="22"/>
          <w:szCs w:val="22"/>
        </w:rPr>
      </w:pPr>
    </w:p>
    <w:p w14:paraId="10369CAF" w14:textId="0E130C10" w:rsidR="00C430B6" w:rsidRPr="00686AE6" w:rsidRDefault="00C430B6" w:rsidP="00C430B6">
      <w:pPr>
        <w:pStyle w:val="ListParagraph"/>
        <w:spacing w:line="360" w:lineRule="auto"/>
        <w:ind w:left="2268" w:hanging="850"/>
        <w:jc w:val="both"/>
        <w:rPr>
          <w:rFonts w:ascii="Arial" w:hAnsi="Arial" w:cs="Arial"/>
          <w:iCs/>
          <w:sz w:val="22"/>
          <w:szCs w:val="22"/>
        </w:rPr>
      </w:pPr>
      <w:r w:rsidRPr="00C430B6">
        <w:rPr>
          <w:rFonts w:ascii="Arial" w:hAnsi="Arial" w:cs="Arial"/>
          <w:i/>
          <w:sz w:val="22"/>
          <w:szCs w:val="22"/>
        </w:rPr>
        <w:t>181.</w:t>
      </w:r>
      <w:r w:rsidRPr="00C430B6">
        <w:rPr>
          <w:rFonts w:ascii="Arial" w:hAnsi="Arial" w:cs="Arial"/>
          <w:i/>
          <w:sz w:val="22"/>
          <w:szCs w:val="22"/>
        </w:rPr>
        <w:tab/>
        <w:t xml:space="preserve">The Board, in this regard, </w:t>
      </w:r>
      <w:r w:rsidRPr="00297C5B">
        <w:rPr>
          <w:rFonts w:ascii="Arial" w:hAnsi="Arial" w:cs="Arial"/>
          <w:i/>
          <w:sz w:val="22"/>
          <w:szCs w:val="22"/>
        </w:rPr>
        <w:t>allowed Bam’s dictates</w:t>
      </w:r>
      <w:r w:rsidRPr="00C430B6">
        <w:rPr>
          <w:rFonts w:ascii="Arial" w:hAnsi="Arial" w:cs="Arial"/>
          <w:i/>
          <w:sz w:val="22"/>
          <w:szCs w:val="22"/>
        </w:rPr>
        <w:t>, which were not warranted by the FAIS Act, to determine whether or not I am to be removed as Deputy Ombud</w:t>
      </w:r>
      <w:r w:rsidR="001B7C51">
        <w:rPr>
          <w:rFonts w:ascii="Arial" w:hAnsi="Arial" w:cs="Arial"/>
          <w:i/>
          <w:sz w:val="22"/>
          <w:szCs w:val="22"/>
        </w:rPr>
        <w:t>”</w:t>
      </w:r>
      <w:r w:rsidRPr="00C430B6">
        <w:rPr>
          <w:rFonts w:ascii="Arial" w:hAnsi="Arial" w:cs="Arial"/>
          <w:i/>
          <w:sz w:val="22"/>
          <w:szCs w:val="22"/>
        </w:rPr>
        <w:t>.</w:t>
      </w:r>
      <w:r w:rsidR="00686AE6">
        <w:rPr>
          <w:rFonts w:ascii="Arial" w:hAnsi="Arial" w:cs="Arial"/>
          <w:i/>
          <w:sz w:val="22"/>
          <w:szCs w:val="22"/>
        </w:rPr>
        <w:t xml:space="preserve"> </w:t>
      </w:r>
    </w:p>
    <w:p w14:paraId="708E5385" w14:textId="77777777" w:rsidR="00FC79C3" w:rsidRPr="00FC79C3" w:rsidRDefault="00FC79C3" w:rsidP="00C430B6">
      <w:pPr>
        <w:pStyle w:val="ListParagraph"/>
        <w:spacing w:line="360" w:lineRule="auto"/>
        <w:ind w:left="2268" w:hanging="850"/>
        <w:jc w:val="both"/>
        <w:rPr>
          <w:rFonts w:ascii="Arial" w:hAnsi="Arial" w:cs="Arial"/>
          <w:iCs/>
          <w:sz w:val="22"/>
          <w:szCs w:val="22"/>
        </w:rPr>
      </w:pPr>
    </w:p>
    <w:p w14:paraId="4937B694" w14:textId="7E3537FC" w:rsidR="00836D05" w:rsidRPr="00114F05" w:rsidRDefault="004221D8" w:rsidP="004221D8">
      <w:pPr>
        <w:pStyle w:val="NormalWeb"/>
        <w:shd w:val="clear" w:color="auto" w:fill="FFFFFF"/>
        <w:spacing w:before="144" w:beforeAutospacing="0" w:after="0" w:afterAutospacing="0" w:line="360" w:lineRule="auto"/>
        <w:ind w:left="851" w:hanging="851"/>
        <w:jc w:val="both"/>
        <w:rPr>
          <w:rFonts w:ascii="Arial" w:hAnsi="Arial" w:cs="Arial"/>
          <w:color w:val="242121"/>
        </w:rPr>
      </w:pPr>
      <w:r w:rsidRPr="00114F05">
        <w:rPr>
          <w:rFonts w:ascii="Arial" w:hAnsi="Arial" w:cs="Arial"/>
          <w:color w:val="242121"/>
        </w:rPr>
        <w:t>[26]</w:t>
      </w:r>
      <w:r w:rsidRPr="00114F05">
        <w:rPr>
          <w:rFonts w:ascii="Arial" w:hAnsi="Arial" w:cs="Arial"/>
          <w:color w:val="242121"/>
        </w:rPr>
        <w:tab/>
      </w:r>
      <w:r w:rsidR="00836D05" w:rsidRPr="00114F05">
        <w:rPr>
          <w:rFonts w:ascii="Arial" w:hAnsi="Arial" w:cs="Arial"/>
          <w:iCs/>
        </w:rPr>
        <w:t xml:space="preserve">The court in </w:t>
      </w:r>
      <w:r w:rsidR="00836D05" w:rsidRPr="00114F05">
        <w:rPr>
          <w:rFonts w:ascii="Arial" w:hAnsi="Arial" w:cs="Arial"/>
          <w:i/>
        </w:rPr>
        <w:t>Sibiya v NUM</w:t>
      </w:r>
      <w:r w:rsidR="00836D05">
        <w:rPr>
          <w:rStyle w:val="FootnoteReference"/>
          <w:rFonts w:ascii="Arial" w:hAnsi="Arial" w:cs="Arial"/>
          <w:i/>
        </w:rPr>
        <w:footnoteReference w:id="17"/>
      </w:r>
      <w:r w:rsidR="00836D05" w:rsidRPr="00114F05">
        <w:rPr>
          <w:rFonts w:ascii="Arial" w:hAnsi="Arial" w:cs="Arial"/>
          <w:iCs/>
        </w:rPr>
        <w:t xml:space="preserve"> held the following:</w:t>
      </w:r>
    </w:p>
    <w:p w14:paraId="7964290C" w14:textId="77777777" w:rsidR="00836D05" w:rsidRDefault="00836D05" w:rsidP="00836D05">
      <w:pPr>
        <w:spacing w:line="360" w:lineRule="auto"/>
        <w:ind w:left="851" w:hanging="851"/>
        <w:jc w:val="both"/>
        <w:rPr>
          <w:rFonts w:ascii="Arial" w:hAnsi="Arial" w:cs="Arial"/>
          <w:iCs/>
        </w:rPr>
      </w:pPr>
    </w:p>
    <w:p w14:paraId="1287B709" w14:textId="77777777" w:rsidR="00836D05" w:rsidRPr="004F157A" w:rsidRDefault="00836D05" w:rsidP="00836D05">
      <w:pPr>
        <w:spacing w:line="360" w:lineRule="auto"/>
        <w:ind w:left="1418"/>
        <w:jc w:val="both"/>
        <w:rPr>
          <w:rFonts w:ascii="Arial" w:hAnsi="Arial" w:cs="Arial"/>
          <w:i/>
          <w:sz w:val="22"/>
          <w:szCs w:val="22"/>
        </w:rPr>
      </w:pPr>
      <w:r w:rsidRPr="004F157A">
        <w:rPr>
          <w:rFonts w:ascii="Arial" w:hAnsi="Arial" w:cs="Arial"/>
          <w:i/>
          <w:sz w:val="22"/>
          <w:szCs w:val="22"/>
        </w:rPr>
        <w:lastRenderedPageBreak/>
        <w:t>"The mere fact that an employer may have a motive to rid itself of a particular employee does not ipso facto justify the inference that any subsequent charge brought against the employee which might lead to his dismissal was not genuine or bona fide or was effected for an ulterior purpose referred to. Whilst the establishment of a pre-existing motive to get rid of an unpopular employee would sound warning bells which ought to result in this court’s scrutiny of the genuineness of the professed motive for dismissal relied on by respondent, the mere existence of such a motive does not lead to an inescapable conclusion that the dismissal was effected for the hidden motive rather than for the reasons professed by respondent. One has to examine all the facts and circumstances prior to coming to such a conclusion of bad faith in respondent’s motives."</w:t>
      </w:r>
    </w:p>
    <w:p w14:paraId="67D16FFA" w14:textId="77777777" w:rsidR="00836D05" w:rsidRDefault="00836D05" w:rsidP="00836D05">
      <w:pPr>
        <w:pStyle w:val="ListParagraph"/>
        <w:spacing w:line="360" w:lineRule="auto"/>
        <w:ind w:left="851"/>
        <w:jc w:val="both"/>
        <w:rPr>
          <w:rFonts w:ascii="Arial" w:hAnsi="Arial" w:cs="Arial"/>
          <w:iCs/>
        </w:rPr>
      </w:pPr>
    </w:p>
    <w:p w14:paraId="701B5774" w14:textId="78CD7CAF" w:rsidR="00FC79C3" w:rsidRPr="004221D8" w:rsidRDefault="004221D8" w:rsidP="004221D8">
      <w:pPr>
        <w:tabs>
          <w:tab w:val="left" w:pos="851"/>
        </w:tabs>
        <w:spacing w:line="360" w:lineRule="auto"/>
        <w:ind w:left="851" w:hanging="851"/>
        <w:jc w:val="both"/>
        <w:rPr>
          <w:rFonts w:ascii="Arial" w:hAnsi="Arial" w:cs="Arial"/>
          <w:iCs/>
        </w:rPr>
      </w:pPr>
      <w:r w:rsidRPr="00930908">
        <w:rPr>
          <w:rFonts w:ascii="Arial" w:hAnsi="Arial" w:cs="Arial"/>
          <w:iCs/>
        </w:rPr>
        <w:t>[27]</w:t>
      </w:r>
      <w:r w:rsidRPr="00930908">
        <w:rPr>
          <w:rFonts w:ascii="Arial" w:hAnsi="Arial" w:cs="Arial"/>
          <w:iCs/>
        </w:rPr>
        <w:tab/>
      </w:r>
      <w:r w:rsidR="00FC79C3" w:rsidRPr="004221D8">
        <w:rPr>
          <w:rFonts w:ascii="Arial" w:hAnsi="Arial" w:cs="Arial"/>
          <w:iCs/>
        </w:rPr>
        <w:t>There is nothing before the Court to indicate that the Board did not act independently in reaching the decision that they did</w:t>
      </w:r>
      <w:r w:rsidR="000F79CF" w:rsidRPr="004221D8">
        <w:rPr>
          <w:rFonts w:ascii="Arial" w:hAnsi="Arial" w:cs="Arial"/>
          <w:iCs/>
        </w:rPr>
        <w:t>. The fact that the Ombud initiated the process of investigation</w:t>
      </w:r>
      <w:r w:rsidR="00A75FE0" w:rsidRPr="004221D8">
        <w:rPr>
          <w:rFonts w:ascii="Arial" w:hAnsi="Arial" w:cs="Arial"/>
          <w:iCs/>
        </w:rPr>
        <w:t xml:space="preserve"> and then saw the process through, does not elevate</w:t>
      </w:r>
      <w:r w:rsidR="00841063" w:rsidRPr="004221D8">
        <w:rPr>
          <w:rFonts w:ascii="Arial" w:hAnsi="Arial" w:cs="Arial"/>
          <w:iCs/>
        </w:rPr>
        <w:t xml:space="preserve"> her actions in the discharge of her own duties as Ombud to “unauthorized dictates”. </w:t>
      </w:r>
      <w:r w:rsidR="00930908" w:rsidRPr="004221D8">
        <w:rPr>
          <w:rFonts w:ascii="Arial" w:hAnsi="Arial" w:cs="Arial"/>
          <w:iCs/>
        </w:rPr>
        <w:t>There is</w:t>
      </w:r>
      <w:r w:rsidR="00FC79C3" w:rsidRPr="004221D8">
        <w:rPr>
          <w:rFonts w:ascii="Arial" w:hAnsi="Arial" w:cs="Arial"/>
          <w:iCs/>
        </w:rPr>
        <w:t xml:space="preserve"> no merit </w:t>
      </w:r>
      <w:r w:rsidR="00C52A03" w:rsidRPr="004221D8">
        <w:rPr>
          <w:rFonts w:ascii="Arial" w:hAnsi="Arial" w:cs="Arial"/>
          <w:iCs/>
        </w:rPr>
        <w:t>i</w:t>
      </w:r>
      <w:r w:rsidR="00FC79C3" w:rsidRPr="004221D8">
        <w:rPr>
          <w:rFonts w:ascii="Arial" w:hAnsi="Arial" w:cs="Arial"/>
          <w:iCs/>
        </w:rPr>
        <w:t>n this ground of review.</w:t>
      </w:r>
    </w:p>
    <w:p w14:paraId="4E7AF5E3" w14:textId="63F6F4A6" w:rsidR="00BB3E6A" w:rsidRPr="007762DD" w:rsidRDefault="00BB3E6A" w:rsidP="007762DD">
      <w:pPr>
        <w:spacing w:line="360" w:lineRule="auto"/>
        <w:jc w:val="both"/>
        <w:rPr>
          <w:rFonts w:ascii="Arial" w:hAnsi="Arial" w:cs="Arial"/>
          <w:iCs/>
        </w:rPr>
      </w:pPr>
    </w:p>
    <w:p w14:paraId="6EC408A7" w14:textId="3526BE1E" w:rsidR="00DF68DD" w:rsidRPr="002B662B" w:rsidRDefault="002B662B" w:rsidP="002B662B">
      <w:pPr>
        <w:spacing w:line="360" w:lineRule="auto"/>
        <w:jc w:val="both"/>
        <w:rPr>
          <w:rFonts w:ascii="Arial" w:hAnsi="Arial" w:cs="Arial"/>
          <w:b/>
          <w:bCs/>
          <w:iCs/>
        </w:rPr>
      </w:pPr>
      <w:r w:rsidRPr="002B662B">
        <w:rPr>
          <w:rFonts w:ascii="Arial" w:hAnsi="Arial" w:cs="Arial"/>
          <w:b/>
          <w:bCs/>
          <w:iCs/>
        </w:rPr>
        <w:t>THE DECISION WAS ARBITRARY OR CAPRICIOUS.</w:t>
      </w:r>
    </w:p>
    <w:p w14:paraId="4E9AB15C" w14:textId="77777777" w:rsidR="00DF68DD" w:rsidRPr="00DF68DD" w:rsidRDefault="00DF68DD" w:rsidP="00DF68DD">
      <w:pPr>
        <w:jc w:val="both"/>
        <w:rPr>
          <w:rFonts w:ascii="Arial" w:hAnsi="Arial" w:cs="Arial"/>
          <w:iCs/>
        </w:rPr>
      </w:pPr>
    </w:p>
    <w:p w14:paraId="1E10FCC2" w14:textId="37D1E467" w:rsidR="00C17791" w:rsidRPr="00930908" w:rsidRDefault="00930908" w:rsidP="00930908">
      <w:pPr>
        <w:ind w:left="709" w:hanging="709"/>
        <w:jc w:val="both"/>
        <w:rPr>
          <w:rFonts w:ascii="Arial" w:hAnsi="Arial" w:cs="Arial"/>
          <w:iCs/>
        </w:rPr>
      </w:pPr>
      <w:r>
        <w:rPr>
          <w:rFonts w:ascii="Arial" w:hAnsi="Arial" w:cs="Arial"/>
          <w:iCs/>
        </w:rPr>
        <w:t>[28]</w:t>
      </w:r>
      <w:r>
        <w:rPr>
          <w:rFonts w:ascii="Arial" w:hAnsi="Arial" w:cs="Arial"/>
          <w:iCs/>
        </w:rPr>
        <w:tab/>
      </w:r>
      <w:r w:rsidR="007762DD" w:rsidRPr="00930908">
        <w:rPr>
          <w:rFonts w:ascii="Arial" w:hAnsi="Arial" w:cs="Arial"/>
          <w:iCs/>
        </w:rPr>
        <w:t>This ground of review was asserted as follows:</w:t>
      </w:r>
    </w:p>
    <w:p w14:paraId="1F12C015" w14:textId="2D5F9EBA" w:rsidR="007762DD" w:rsidRDefault="007762DD" w:rsidP="007762DD">
      <w:pPr>
        <w:pStyle w:val="ListParagraph"/>
        <w:ind w:left="851"/>
        <w:jc w:val="both"/>
        <w:rPr>
          <w:rFonts w:ascii="Arial" w:hAnsi="Arial" w:cs="Arial"/>
          <w:iCs/>
        </w:rPr>
      </w:pPr>
    </w:p>
    <w:p w14:paraId="485908C8" w14:textId="1AB2B7E0" w:rsidR="007762DD" w:rsidRDefault="007762DD" w:rsidP="007762DD">
      <w:pPr>
        <w:pStyle w:val="ListParagraph"/>
        <w:ind w:left="851"/>
        <w:jc w:val="both"/>
        <w:rPr>
          <w:rFonts w:ascii="Arial" w:hAnsi="Arial" w:cs="Arial"/>
          <w:iCs/>
        </w:rPr>
      </w:pPr>
    </w:p>
    <w:p w14:paraId="5544D056" w14:textId="25ED51CC" w:rsidR="007762DD" w:rsidRPr="007762DD" w:rsidRDefault="007762DD" w:rsidP="007762DD">
      <w:pPr>
        <w:pStyle w:val="ListParagraph"/>
        <w:spacing w:line="360" w:lineRule="auto"/>
        <w:ind w:left="2268" w:hanging="850"/>
        <w:jc w:val="both"/>
        <w:rPr>
          <w:rFonts w:ascii="Arial" w:hAnsi="Arial" w:cs="Arial"/>
          <w:i/>
          <w:sz w:val="22"/>
          <w:szCs w:val="22"/>
        </w:rPr>
      </w:pPr>
      <w:r w:rsidRPr="007762DD">
        <w:rPr>
          <w:rFonts w:ascii="Arial" w:hAnsi="Arial" w:cs="Arial"/>
          <w:i/>
          <w:sz w:val="22"/>
          <w:szCs w:val="22"/>
        </w:rPr>
        <w:t>“182.</w:t>
      </w:r>
      <w:r w:rsidRPr="007762DD">
        <w:rPr>
          <w:rFonts w:ascii="Arial" w:hAnsi="Arial" w:cs="Arial"/>
          <w:i/>
          <w:sz w:val="22"/>
          <w:szCs w:val="22"/>
        </w:rPr>
        <w:tab/>
        <w:t>As a result of the conduct Bam, and the corresponding omission of the Board, the decision to remove me as Deputy Ombud was not only irrational, but it was also arbitrary, regard being had to the above background.</w:t>
      </w:r>
    </w:p>
    <w:p w14:paraId="1C67D129" w14:textId="55CFC166" w:rsidR="007762DD" w:rsidRPr="007762DD" w:rsidRDefault="007762DD" w:rsidP="007762DD">
      <w:pPr>
        <w:pStyle w:val="ListParagraph"/>
        <w:spacing w:line="360" w:lineRule="auto"/>
        <w:ind w:left="2268" w:hanging="850"/>
        <w:jc w:val="both"/>
        <w:rPr>
          <w:rFonts w:ascii="Arial" w:hAnsi="Arial" w:cs="Arial"/>
          <w:i/>
          <w:sz w:val="22"/>
          <w:szCs w:val="22"/>
        </w:rPr>
      </w:pPr>
    </w:p>
    <w:p w14:paraId="1E3B460A" w14:textId="57458DAD" w:rsidR="007762DD" w:rsidRPr="007762DD" w:rsidRDefault="007762DD" w:rsidP="007762DD">
      <w:pPr>
        <w:pStyle w:val="ListParagraph"/>
        <w:spacing w:line="360" w:lineRule="auto"/>
        <w:ind w:left="2268" w:hanging="850"/>
        <w:jc w:val="both"/>
        <w:rPr>
          <w:rFonts w:ascii="Arial" w:hAnsi="Arial" w:cs="Arial"/>
          <w:i/>
          <w:sz w:val="22"/>
          <w:szCs w:val="22"/>
        </w:rPr>
      </w:pPr>
      <w:r w:rsidRPr="007762DD">
        <w:rPr>
          <w:rFonts w:ascii="Arial" w:hAnsi="Arial" w:cs="Arial"/>
          <w:i/>
          <w:sz w:val="22"/>
          <w:szCs w:val="22"/>
        </w:rPr>
        <w:t>183.</w:t>
      </w:r>
      <w:r w:rsidRPr="007762DD">
        <w:rPr>
          <w:rFonts w:ascii="Arial" w:hAnsi="Arial" w:cs="Arial"/>
          <w:i/>
          <w:sz w:val="22"/>
          <w:szCs w:val="22"/>
        </w:rPr>
        <w:tab/>
        <w:t>I also submit that, in light of the fact that my removal was contrary to the prescripts of the FAIS Act, it undermined the rule of law.  I submit that conduct which undermines the rule of law, as envisaged in section 1 of the Constitution is unlawful and must therefore be set aside</w:t>
      </w:r>
      <w:r w:rsidR="001B7C51">
        <w:rPr>
          <w:rFonts w:ascii="Arial" w:hAnsi="Arial" w:cs="Arial"/>
          <w:i/>
          <w:sz w:val="22"/>
          <w:szCs w:val="22"/>
        </w:rPr>
        <w:t>”</w:t>
      </w:r>
      <w:r w:rsidRPr="007762DD">
        <w:rPr>
          <w:rFonts w:ascii="Arial" w:hAnsi="Arial" w:cs="Arial"/>
          <w:i/>
          <w:sz w:val="22"/>
          <w:szCs w:val="22"/>
        </w:rPr>
        <w:t>.</w:t>
      </w:r>
    </w:p>
    <w:p w14:paraId="29C43CC3" w14:textId="77777777" w:rsidR="00C17791" w:rsidRPr="00C17791" w:rsidRDefault="00C17791" w:rsidP="00C17791">
      <w:pPr>
        <w:jc w:val="both"/>
        <w:rPr>
          <w:rFonts w:ascii="Arial" w:hAnsi="Arial" w:cs="Arial"/>
          <w:iCs/>
        </w:rPr>
      </w:pPr>
    </w:p>
    <w:p w14:paraId="3E6C0513" w14:textId="77777777" w:rsidR="005A2EF0" w:rsidRPr="005A2EF0" w:rsidRDefault="005A2EF0" w:rsidP="005A2EF0">
      <w:pPr>
        <w:pStyle w:val="ListParagraph"/>
        <w:rPr>
          <w:rFonts w:ascii="Arial" w:hAnsi="Arial" w:cs="Arial"/>
          <w:iCs/>
        </w:rPr>
      </w:pPr>
    </w:p>
    <w:p w14:paraId="375594D3" w14:textId="6D6951D5" w:rsidR="00836D05" w:rsidRPr="004221D8" w:rsidRDefault="004221D8" w:rsidP="004221D8">
      <w:pPr>
        <w:spacing w:line="360" w:lineRule="auto"/>
        <w:ind w:left="851" w:hanging="851"/>
        <w:jc w:val="both"/>
        <w:rPr>
          <w:rFonts w:ascii="Arial" w:hAnsi="Arial" w:cs="Arial"/>
          <w:iCs/>
        </w:rPr>
      </w:pPr>
      <w:r w:rsidRPr="00D953FF">
        <w:rPr>
          <w:rFonts w:ascii="Arial" w:hAnsi="Arial" w:cs="Arial"/>
          <w:iCs/>
        </w:rPr>
        <w:t>[29]</w:t>
      </w:r>
      <w:r w:rsidRPr="00D953FF">
        <w:rPr>
          <w:rFonts w:ascii="Arial" w:hAnsi="Arial" w:cs="Arial"/>
          <w:iCs/>
        </w:rPr>
        <w:tab/>
      </w:r>
      <w:r w:rsidR="00836D05" w:rsidRPr="004221D8">
        <w:rPr>
          <w:rFonts w:ascii="Arial" w:hAnsi="Arial" w:cs="Arial"/>
          <w:iCs/>
        </w:rPr>
        <w:t xml:space="preserve">The </w:t>
      </w:r>
      <w:r w:rsidR="004B5BFF" w:rsidRPr="004221D8">
        <w:rPr>
          <w:rFonts w:ascii="Arial" w:hAnsi="Arial" w:cs="Arial"/>
          <w:iCs/>
        </w:rPr>
        <w:t>circ</w:t>
      </w:r>
      <w:r w:rsidR="00B418C2" w:rsidRPr="004221D8">
        <w:rPr>
          <w:rFonts w:ascii="Arial" w:hAnsi="Arial" w:cs="Arial"/>
          <w:iCs/>
        </w:rPr>
        <w:t>umstances leading to the decision of the Board to remove the applicant from her position</w:t>
      </w:r>
      <w:r w:rsidR="003A23C5" w:rsidRPr="004221D8">
        <w:rPr>
          <w:rFonts w:ascii="Arial" w:hAnsi="Arial" w:cs="Arial"/>
          <w:iCs/>
        </w:rPr>
        <w:t xml:space="preserve"> are not in dispute.</w:t>
      </w:r>
      <w:r w:rsidR="005B7E2E" w:rsidRPr="004221D8">
        <w:rPr>
          <w:rFonts w:ascii="Arial" w:hAnsi="Arial" w:cs="Arial"/>
          <w:iCs/>
        </w:rPr>
        <w:t xml:space="preserve"> Absent a proper engagement </w:t>
      </w:r>
      <w:r w:rsidR="00802191" w:rsidRPr="004221D8">
        <w:rPr>
          <w:rFonts w:ascii="Arial" w:hAnsi="Arial" w:cs="Arial"/>
          <w:iCs/>
        </w:rPr>
        <w:t xml:space="preserve">on the  issues </w:t>
      </w:r>
      <w:r w:rsidR="00802191" w:rsidRPr="004221D8">
        <w:rPr>
          <w:rFonts w:ascii="Arial" w:hAnsi="Arial" w:cs="Arial"/>
          <w:iCs/>
        </w:rPr>
        <w:lastRenderedPageBreak/>
        <w:t>by the applicant at each stage of the process including when called upon to make submissions to the Board</w:t>
      </w:r>
      <w:r w:rsidR="00856579" w:rsidRPr="004221D8">
        <w:rPr>
          <w:rFonts w:ascii="Arial" w:hAnsi="Arial" w:cs="Arial"/>
          <w:iCs/>
        </w:rPr>
        <w:t>, I find that the decision of the Board was entirely consonant with what it had before it</w:t>
      </w:r>
      <w:r w:rsidR="00060247" w:rsidRPr="004221D8">
        <w:rPr>
          <w:rFonts w:ascii="Arial" w:hAnsi="Arial" w:cs="Arial"/>
          <w:iCs/>
        </w:rPr>
        <w:t xml:space="preserve"> for consideration.</w:t>
      </w:r>
      <w:r w:rsidR="00060247">
        <w:rPr>
          <w:rStyle w:val="FootnoteReference"/>
          <w:rFonts w:ascii="Arial" w:hAnsi="Arial" w:cs="Arial"/>
          <w:iCs/>
        </w:rPr>
        <w:footnoteReference w:id="18"/>
      </w:r>
      <w:r w:rsidR="003A23C5" w:rsidRPr="004221D8">
        <w:rPr>
          <w:rFonts w:ascii="Arial" w:hAnsi="Arial" w:cs="Arial"/>
          <w:iCs/>
        </w:rPr>
        <w:t xml:space="preserve"> </w:t>
      </w:r>
    </w:p>
    <w:p w14:paraId="48496210" w14:textId="77777777" w:rsidR="00836D05" w:rsidRPr="00077D89" w:rsidRDefault="00836D05" w:rsidP="00077D89">
      <w:pPr>
        <w:spacing w:line="360" w:lineRule="auto"/>
        <w:jc w:val="both"/>
        <w:rPr>
          <w:rFonts w:ascii="Arial" w:hAnsi="Arial" w:cs="Arial"/>
          <w:iCs/>
        </w:rPr>
      </w:pPr>
    </w:p>
    <w:p w14:paraId="2CD33A30" w14:textId="14F23997" w:rsidR="005A2EF0" w:rsidRPr="004221D8" w:rsidRDefault="004221D8" w:rsidP="004221D8">
      <w:pPr>
        <w:tabs>
          <w:tab w:val="left" w:pos="851"/>
        </w:tabs>
        <w:spacing w:line="360" w:lineRule="auto"/>
        <w:ind w:left="851" w:hanging="851"/>
        <w:jc w:val="both"/>
        <w:rPr>
          <w:rFonts w:ascii="Arial" w:hAnsi="Arial" w:cs="Arial"/>
          <w:iCs/>
        </w:rPr>
      </w:pPr>
      <w:r w:rsidRPr="00FC79C3">
        <w:rPr>
          <w:rFonts w:ascii="Arial" w:hAnsi="Arial" w:cs="Arial"/>
          <w:iCs/>
        </w:rPr>
        <w:t>[30]</w:t>
      </w:r>
      <w:r w:rsidRPr="00FC79C3">
        <w:rPr>
          <w:rFonts w:ascii="Arial" w:hAnsi="Arial" w:cs="Arial"/>
          <w:iCs/>
        </w:rPr>
        <w:tab/>
      </w:r>
      <w:r w:rsidR="00FC79C3" w:rsidRPr="004221D8">
        <w:rPr>
          <w:rFonts w:ascii="Arial" w:hAnsi="Arial" w:cs="Arial"/>
          <w:iCs/>
        </w:rPr>
        <w:t>Again, there was nothing placed before the Court to indicate any basis for impugning the decision of the Board on the ground asserted.  This ground of review is without any merit.</w:t>
      </w:r>
    </w:p>
    <w:p w14:paraId="0DAA5278" w14:textId="71E3D554" w:rsidR="00236B03" w:rsidRDefault="00236B03" w:rsidP="00236B03">
      <w:pPr>
        <w:jc w:val="both"/>
        <w:rPr>
          <w:rFonts w:ascii="Arial" w:hAnsi="Arial" w:cs="Arial"/>
          <w:iCs/>
        </w:rPr>
      </w:pPr>
    </w:p>
    <w:p w14:paraId="4C7BFB17" w14:textId="4CBEDD3B" w:rsidR="00FC79C3" w:rsidRDefault="00FC79C3" w:rsidP="00236B03">
      <w:pPr>
        <w:jc w:val="both"/>
        <w:rPr>
          <w:rFonts w:ascii="Arial" w:hAnsi="Arial" w:cs="Arial"/>
          <w:b/>
          <w:bCs/>
          <w:iCs/>
        </w:rPr>
      </w:pPr>
      <w:r>
        <w:rPr>
          <w:rFonts w:ascii="Arial" w:hAnsi="Arial" w:cs="Arial"/>
          <w:b/>
          <w:bCs/>
          <w:iCs/>
        </w:rPr>
        <w:t>CONDONATION</w:t>
      </w:r>
    </w:p>
    <w:p w14:paraId="513A080F" w14:textId="3A54094E" w:rsidR="00FC79C3" w:rsidRDefault="00FC79C3" w:rsidP="00236B03">
      <w:pPr>
        <w:jc w:val="both"/>
        <w:rPr>
          <w:rFonts w:ascii="Arial" w:hAnsi="Arial" w:cs="Arial"/>
          <w:b/>
          <w:bCs/>
          <w:iCs/>
        </w:rPr>
      </w:pPr>
    </w:p>
    <w:p w14:paraId="44F5D7B8" w14:textId="220DE611" w:rsidR="00FC79C3" w:rsidRDefault="00FC79C3" w:rsidP="00FC79C3">
      <w:pPr>
        <w:spacing w:line="360" w:lineRule="auto"/>
        <w:jc w:val="both"/>
        <w:rPr>
          <w:rFonts w:ascii="Arial" w:hAnsi="Arial" w:cs="Arial"/>
          <w:b/>
          <w:bCs/>
          <w:iCs/>
        </w:rPr>
      </w:pPr>
    </w:p>
    <w:p w14:paraId="05848C20" w14:textId="25C4809C" w:rsidR="008C0FC7" w:rsidRPr="004221D8" w:rsidRDefault="004221D8" w:rsidP="004221D8">
      <w:pPr>
        <w:spacing w:line="360" w:lineRule="auto"/>
        <w:ind w:left="851" w:hanging="851"/>
        <w:jc w:val="both"/>
        <w:rPr>
          <w:rFonts w:ascii="Arial" w:hAnsi="Arial" w:cs="Arial"/>
          <w:iCs/>
        </w:rPr>
      </w:pPr>
      <w:r>
        <w:rPr>
          <w:rFonts w:ascii="Arial" w:hAnsi="Arial" w:cs="Arial"/>
          <w:iCs/>
        </w:rPr>
        <w:t>[31]</w:t>
      </w:r>
      <w:r>
        <w:rPr>
          <w:rFonts w:ascii="Arial" w:hAnsi="Arial" w:cs="Arial"/>
          <w:iCs/>
        </w:rPr>
        <w:tab/>
      </w:r>
      <w:r w:rsidR="00FC79C3" w:rsidRPr="004221D8">
        <w:rPr>
          <w:rFonts w:ascii="Arial" w:hAnsi="Arial" w:cs="Arial"/>
          <w:iCs/>
        </w:rPr>
        <w:t>The reason proferred by the applicant for the delay in bringing the application is that by virtue of her impecuniosity, and, notwithstanding that the same firm of attorneys has acted for her from at least April 2018, a succession of advocates who had agreed to act for the applicant</w:t>
      </w:r>
      <w:r w:rsidR="00077D89" w:rsidRPr="004221D8">
        <w:rPr>
          <w:rFonts w:ascii="Arial" w:hAnsi="Arial" w:cs="Arial"/>
          <w:iCs/>
        </w:rPr>
        <w:t xml:space="preserve"> </w:t>
      </w:r>
      <w:r w:rsidR="00077D89" w:rsidRPr="004221D8">
        <w:rPr>
          <w:rFonts w:ascii="Arial" w:hAnsi="Arial" w:cs="Arial"/>
          <w:i/>
        </w:rPr>
        <w:t>pro amico</w:t>
      </w:r>
      <w:r w:rsidR="00FC79C3" w:rsidRPr="004221D8">
        <w:rPr>
          <w:rFonts w:ascii="Arial" w:hAnsi="Arial" w:cs="Arial"/>
          <w:iCs/>
        </w:rPr>
        <w:t xml:space="preserve">, had failed to settle the papers in the application timeously.  </w:t>
      </w:r>
    </w:p>
    <w:p w14:paraId="2B132462" w14:textId="77777777" w:rsidR="008C0FC7" w:rsidRDefault="008C0FC7" w:rsidP="00193B5E">
      <w:pPr>
        <w:pStyle w:val="ListParagraph"/>
        <w:spacing w:line="360" w:lineRule="auto"/>
        <w:ind w:left="851" w:hanging="851"/>
        <w:jc w:val="both"/>
        <w:rPr>
          <w:rFonts w:ascii="Arial" w:hAnsi="Arial" w:cs="Arial"/>
          <w:iCs/>
        </w:rPr>
      </w:pPr>
    </w:p>
    <w:p w14:paraId="128DBB01" w14:textId="6B0C1740" w:rsidR="00077D89" w:rsidRPr="004221D8" w:rsidRDefault="004221D8" w:rsidP="004221D8">
      <w:pPr>
        <w:spacing w:line="360" w:lineRule="auto"/>
        <w:ind w:left="851" w:hanging="851"/>
        <w:jc w:val="both"/>
        <w:rPr>
          <w:rFonts w:ascii="Arial" w:hAnsi="Arial" w:cs="Arial"/>
          <w:iCs/>
        </w:rPr>
      </w:pPr>
      <w:r>
        <w:rPr>
          <w:rFonts w:ascii="Arial" w:hAnsi="Arial" w:cs="Arial"/>
          <w:iCs/>
        </w:rPr>
        <w:t>[32]</w:t>
      </w:r>
      <w:r>
        <w:rPr>
          <w:rFonts w:ascii="Arial" w:hAnsi="Arial" w:cs="Arial"/>
          <w:iCs/>
        </w:rPr>
        <w:tab/>
      </w:r>
      <w:r w:rsidR="001203DE" w:rsidRPr="004221D8">
        <w:rPr>
          <w:rFonts w:ascii="Arial" w:hAnsi="Arial" w:cs="Arial"/>
          <w:iCs/>
        </w:rPr>
        <w:t>In other words, t</w:t>
      </w:r>
      <w:r w:rsidR="00FC79C3" w:rsidRPr="004221D8">
        <w:rPr>
          <w:rFonts w:ascii="Arial" w:hAnsi="Arial" w:cs="Arial"/>
          <w:iCs/>
        </w:rPr>
        <w:t xml:space="preserve">he </w:t>
      </w:r>
      <w:r w:rsidR="001D12D0" w:rsidRPr="004221D8">
        <w:rPr>
          <w:rFonts w:ascii="Arial" w:hAnsi="Arial" w:cs="Arial"/>
          <w:iCs/>
        </w:rPr>
        <w:t>applicant’s</w:t>
      </w:r>
      <w:r w:rsidR="001203DE" w:rsidRPr="004221D8">
        <w:rPr>
          <w:rFonts w:ascii="Arial" w:hAnsi="Arial" w:cs="Arial"/>
          <w:iCs/>
        </w:rPr>
        <w:t xml:space="preserve"> attorney was not at fault himself in the delay in bringing the application – both he and the applicant relied on the succession of advocates. </w:t>
      </w:r>
    </w:p>
    <w:p w14:paraId="624BD101" w14:textId="77777777" w:rsidR="00077D89" w:rsidRPr="00077D89" w:rsidRDefault="00077D89" w:rsidP="00077D89">
      <w:pPr>
        <w:pStyle w:val="ListParagraph"/>
        <w:rPr>
          <w:rFonts w:ascii="Arial" w:hAnsi="Arial" w:cs="Arial"/>
          <w:iCs/>
        </w:rPr>
      </w:pPr>
    </w:p>
    <w:p w14:paraId="6CB01E1B" w14:textId="15E1EAB7" w:rsidR="00FC79C3" w:rsidRPr="004221D8" w:rsidRDefault="004221D8" w:rsidP="004221D8">
      <w:pPr>
        <w:spacing w:line="360" w:lineRule="auto"/>
        <w:ind w:left="851" w:hanging="851"/>
        <w:jc w:val="both"/>
        <w:rPr>
          <w:rFonts w:ascii="Arial" w:hAnsi="Arial" w:cs="Arial"/>
          <w:iCs/>
        </w:rPr>
      </w:pPr>
      <w:r>
        <w:rPr>
          <w:rFonts w:ascii="Arial" w:hAnsi="Arial" w:cs="Arial"/>
          <w:iCs/>
        </w:rPr>
        <w:t>[33]</w:t>
      </w:r>
      <w:r>
        <w:rPr>
          <w:rFonts w:ascii="Arial" w:hAnsi="Arial" w:cs="Arial"/>
          <w:iCs/>
        </w:rPr>
        <w:tab/>
      </w:r>
      <w:r w:rsidR="001203DE" w:rsidRPr="004221D8">
        <w:rPr>
          <w:rFonts w:ascii="Arial" w:hAnsi="Arial" w:cs="Arial"/>
          <w:iCs/>
        </w:rPr>
        <w:t>Unfortunately, however, there is no explanation for the long periods of inaction between the engagements with the  different advocates and the impression created is that there was no appreciation of the fact that the institution of the application may be time barred or that there would be a consequence if it was not brought timeously.</w:t>
      </w:r>
      <w:r w:rsidR="006C3ACD" w:rsidRPr="004221D8">
        <w:rPr>
          <w:rFonts w:ascii="Arial" w:hAnsi="Arial" w:cs="Arial"/>
          <w:iCs/>
        </w:rPr>
        <w:t xml:space="preserve"> Furthermore, the third, fourth and fifth respondents were only joined to these proceedings on 22 January 2022, some </w:t>
      </w:r>
      <w:r w:rsidR="00B15F96" w:rsidRPr="004221D8">
        <w:rPr>
          <w:rFonts w:ascii="Arial" w:hAnsi="Arial" w:cs="Arial"/>
          <w:iCs/>
        </w:rPr>
        <w:t xml:space="preserve">42 months after </w:t>
      </w:r>
      <w:r w:rsidR="005F0E66" w:rsidRPr="004221D8">
        <w:rPr>
          <w:rFonts w:ascii="Arial" w:hAnsi="Arial" w:cs="Arial"/>
          <w:iCs/>
        </w:rPr>
        <w:t>it ought to have been brought and 33 months from when it was brought.</w:t>
      </w:r>
    </w:p>
    <w:p w14:paraId="57413557" w14:textId="77777777" w:rsidR="005F0E66" w:rsidRPr="005F0E66" w:rsidRDefault="005F0E66" w:rsidP="005F0E66">
      <w:pPr>
        <w:pStyle w:val="ListParagraph"/>
        <w:rPr>
          <w:rFonts w:ascii="Arial" w:hAnsi="Arial" w:cs="Arial"/>
          <w:iCs/>
        </w:rPr>
      </w:pPr>
    </w:p>
    <w:p w14:paraId="5C983BF6" w14:textId="1B2B8883" w:rsidR="005F0E66" w:rsidRPr="004221D8" w:rsidRDefault="004221D8" w:rsidP="004221D8">
      <w:pPr>
        <w:spacing w:line="360" w:lineRule="auto"/>
        <w:ind w:left="851" w:hanging="851"/>
        <w:jc w:val="both"/>
        <w:rPr>
          <w:rFonts w:ascii="Arial" w:hAnsi="Arial" w:cs="Arial"/>
          <w:iCs/>
        </w:rPr>
      </w:pPr>
      <w:r>
        <w:rPr>
          <w:rFonts w:ascii="Arial" w:hAnsi="Arial" w:cs="Arial"/>
          <w:iCs/>
        </w:rPr>
        <w:t>[34]</w:t>
      </w:r>
      <w:r>
        <w:rPr>
          <w:rFonts w:ascii="Arial" w:hAnsi="Arial" w:cs="Arial"/>
          <w:iCs/>
        </w:rPr>
        <w:tab/>
      </w:r>
      <w:r w:rsidR="00843004" w:rsidRPr="004221D8">
        <w:rPr>
          <w:rFonts w:ascii="Arial" w:hAnsi="Arial" w:cs="Arial"/>
          <w:iCs/>
        </w:rPr>
        <w:t xml:space="preserve">While there is an explanation for the </w:t>
      </w:r>
      <w:r w:rsidR="008A7A5C" w:rsidRPr="004221D8">
        <w:rPr>
          <w:rFonts w:ascii="Arial" w:hAnsi="Arial" w:cs="Arial"/>
          <w:iCs/>
        </w:rPr>
        <w:t>7-month</w:t>
      </w:r>
      <w:r w:rsidR="00843004" w:rsidRPr="004221D8">
        <w:rPr>
          <w:rFonts w:ascii="Arial" w:hAnsi="Arial" w:cs="Arial"/>
          <w:iCs/>
        </w:rPr>
        <w:t xml:space="preserve"> delay, there is no explanation for the fu</w:t>
      </w:r>
      <w:r w:rsidR="006A6ED1" w:rsidRPr="004221D8">
        <w:rPr>
          <w:rFonts w:ascii="Arial" w:hAnsi="Arial" w:cs="Arial"/>
          <w:iCs/>
        </w:rPr>
        <w:t xml:space="preserve">rther </w:t>
      </w:r>
      <w:r w:rsidR="00006060" w:rsidRPr="004221D8">
        <w:rPr>
          <w:rFonts w:ascii="Arial" w:hAnsi="Arial" w:cs="Arial"/>
          <w:iCs/>
        </w:rPr>
        <w:t>33-month</w:t>
      </w:r>
      <w:r w:rsidR="006A6ED1" w:rsidRPr="004221D8">
        <w:rPr>
          <w:rFonts w:ascii="Arial" w:hAnsi="Arial" w:cs="Arial"/>
          <w:iCs/>
        </w:rPr>
        <w:t xml:space="preserve"> delay. The application was </w:t>
      </w:r>
      <w:r w:rsidR="008A7A5C" w:rsidRPr="004221D8">
        <w:rPr>
          <w:rFonts w:ascii="Arial" w:hAnsi="Arial" w:cs="Arial"/>
          <w:iCs/>
        </w:rPr>
        <w:t xml:space="preserve">simply </w:t>
      </w:r>
      <w:r w:rsidR="006A6ED1" w:rsidRPr="004221D8">
        <w:rPr>
          <w:rFonts w:ascii="Arial" w:hAnsi="Arial" w:cs="Arial"/>
          <w:iCs/>
        </w:rPr>
        <w:t>not competent until the further respondents were joined</w:t>
      </w:r>
      <w:r w:rsidR="008A7A5C" w:rsidRPr="004221D8">
        <w:rPr>
          <w:rFonts w:ascii="Arial" w:hAnsi="Arial" w:cs="Arial"/>
          <w:iCs/>
        </w:rPr>
        <w:t>.</w:t>
      </w:r>
    </w:p>
    <w:p w14:paraId="08BE4A37" w14:textId="77777777" w:rsidR="001203DE" w:rsidRPr="001203DE" w:rsidRDefault="001203DE" w:rsidP="00193B5E">
      <w:pPr>
        <w:pStyle w:val="ListParagraph"/>
        <w:spacing w:line="360" w:lineRule="auto"/>
        <w:ind w:left="851" w:hanging="851"/>
        <w:jc w:val="both"/>
        <w:rPr>
          <w:rFonts w:ascii="Arial" w:hAnsi="Arial" w:cs="Arial"/>
          <w:iCs/>
        </w:rPr>
      </w:pPr>
    </w:p>
    <w:p w14:paraId="2EEE6FF6" w14:textId="4A111A7D" w:rsidR="00FC79C3" w:rsidRPr="004221D8" w:rsidRDefault="004221D8" w:rsidP="004221D8">
      <w:pPr>
        <w:spacing w:line="360" w:lineRule="auto"/>
        <w:ind w:left="851" w:hanging="851"/>
        <w:jc w:val="both"/>
        <w:rPr>
          <w:rFonts w:ascii="Arial" w:hAnsi="Arial" w:cs="Arial"/>
          <w:iCs/>
        </w:rPr>
      </w:pPr>
      <w:r>
        <w:rPr>
          <w:rFonts w:ascii="Arial" w:hAnsi="Arial" w:cs="Arial"/>
          <w:iCs/>
        </w:rPr>
        <w:t>[35]</w:t>
      </w:r>
      <w:r>
        <w:rPr>
          <w:rFonts w:ascii="Arial" w:hAnsi="Arial" w:cs="Arial"/>
          <w:iCs/>
        </w:rPr>
        <w:tab/>
      </w:r>
      <w:r w:rsidR="00FC79C3" w:rsidRPr="004221D8">
        <w:rPr>
          <w:rFonts w:ascii="Arial" w:hAnsi="Arial" w:cs="Arial"/>
          <w:iCs/>
        </w:rPr>
        <w:t xml:space="preserve">It was held in </w:t>
      </w:r>
      <w:r w:rsidR="00FC79C3" w:rsidRPr="004221D8">
        <w:rPr>
          <w:rFonts w:ascii="Arial" w:hAnsi="Arial" w:cs="Arial"/>
          <w:i/>
        </w:rPr>
        <w:t>Altech Radio Holdings (Pty) Ltd and Others v Tshwane City</w:t>
      </w:r>
      <w:r w:rsidR="00FC79C3">
        <w:rPr>
          <w:rStyle w:val="FootnoteReference"/>
          <w:rFonts w:ascii="Arial" w:hAnsi="Arial" w:cs="Arial"/>
          <w:iCs/>
        </w:rPr>
        <w:footnoteReference w:id="19"/>
      </w:r>
      <w:r w:rsidR="00FC79C3" w:rsidRPr="004221D8">
        <w:rPr>
          <w:rFonts w:ascii="Arial" w:hAnsi="Arial" w:cs="Arial"/>
          <w:iCs/>
        </w:rPr>
        <w:t xml:space="preserve"> </w:t>
      </w:r>
      <w:r w:rsidR="007A2B5E" w:rsidRPr="004221D8">
        <w:rPr>
          <w:rFonts w:ascii="Arial" w:hAnsi="Arial" w:cs="Arial"/>
          <w:iCs/>
        </w:rPr>
        <w:t>that:</w:t>
      </w:r>
    </w:p>
    <w:p w14:paraId="1EE517D5" w14:textId="77777777" w:rsidR="007A2B5E" w:rsidRPr="007A2B5E" w:rsidRDefault="007A2B5E" w:rsidP="007A2B5E">
      <w:pPr>
        <w:pStyle w:val="ListParagraph"/>
        <w:rPr>
          <w:rFonts w:ascii="Arial" w:hAnsi="Arial" w:cs="Arial"/>
          <w:iCs/>
        </w:rPr>
      </w:pPr>
    </w:p>
    <w:p w14:paraId="4E2FE806" w14:textId="26D09446" w:rsidR="007A2B5E" w:rsidRPr="007A2B5E" w:rsidRDefault="007A2B5E" w:rsidP="007A2B5E">
      <w:pPr>
        <w:pStyle w:val="ListParagraph"/>
        <w:spacing w:line="360" w:lineRule="auto"/>
        <w:ind w:left="2268" w:hanging="850"/>
        <w:jc w:val="both"/>
        <w:rPr>
          <w:rFonts w:ascii="Arial" w:hAnsi="Arial" w:cs="Arial"/>
          <w:i/>
          <w:sz w:val="22"/>
          <w:szCs w:val="22"/>
        </w:rPr>
      </w:pPr>
      <w:r w:rsidRPr="007A2B5E">
        <w:rPr>
          <w:rFonts w:ascii="Arial" w:hAnsi="Arial" w:cs="Arial"/>
          <w:i/>
          <w:sz w:val="22"/>
          <w:szCs w:val="22"/>
        </w:rPr>
        <w:t>“[18]</w:t>
      </w:r>
      <w:r w:rsidRPr="007A2B5E">
        <w:rPr>
          <w:rFonts w:ascii="Arial" w:hAnsi="Arial" w:cs="Arial"/>
          <w:i/>
          <w:sz w:val="22"/>
          <w:szCs w:val="22"/>
        </w:rPr>
        <w:tab/>
        <w:t>A legality review, unlike a PAJA review, does not have to be brought within a fixed period.  However, whilst the 180-day bar set by s 7(1) of PAJA (which may be extended under s 9) does not apply to a legality review, in both the yardstick remains reasonableness.  It is a long-standing rule that a legality review must be initiated without undue delay and that courts have the power (as part of their inherent jurisdiction to regulate their own proceedings) to either overlook the delay or refuse a review application in the face of an undue delay.</w:t>
      </w:r>
    </w:p>
    <w:p w14:paraId="2AD509D0" w14:textId="49E635DF" w:rsidR="007A2B5E" w:rsidRPr="007A2B5E" w:rsidRDefault="007A2B5E" w:rsidP="007A2B5E">
      <w:pPr>
        <w:pStyle w:val="ListParagraph"/>
        <w:spacing w:line="360" w:lineRule="auto"/>
        <w:ind w:left="2268" w:hanging="850"/>
        <w:jc w:val="both"/>
        <w:rPr>
          <w:rFonts w:ascii="Arial" w:hAnsi="Arial" w:cs="Arial"/>
          <w:i/>
          <w:sz w:val="22"/>
          <w:szCs w:val="22"/>
        </w:rPr>
      </w:pPr>
    </w:p>
    <w:p w14:paraId="5116C9AD" w14:textId="0731CFF0" w:rsidR="007A2B5E" w:rsidRPr="001203DE" w:rsidRDefault="007A2B5E" w:rsidP="001203DE">
      <w:pPr>
        <w:pStyle w:val="ListParagraph"/>
        <w:spacing w:line="360" w:lineRule="auto"/>
        <w:ind w:left="2268" w:hanging="850"/>
        <w:jc w:val="both"/>
        <w:rPr>
          <w:rFonts w:ascii="Arial" w:hAnsi="Arial" w:cs="Arial"/>
          <w:i/>
          <w:sz w:val="22"/>
          <w:szCs w:val="22"/>
        </w:rPr>
      </w:pPr>
      <w:r w:rsidRPr="007A2B5E">
        <w:rPr>
          <w:rFonts w:ascii="Arial" w:hAnsi="Arial" w:cs="Arial"/>
          <w:i/>
          <w:sz w:val="22"/>
          <w:szCs w:val="22"/>
        </w:rPr>
        <w:t>[19]</w:t>
      </w:r>
      <w:r w:rsidRPr="007A2B5E">
        <w:rPr>
          <w:rFonts w:ascii="Arial" w:hAnsi="Arial" w:cs="Arial"/>
          <w:i/>
          <w:sz w:val="22"/>
          <w:szCs w:val="22"/>
        </w:rPr>
        <w:tab/>
        <w:t>The test for assessing undue delay in the bringing of a legality review application is: first, it must be determined whether the delay is unreasonable or undue (this is a factual enquiry upon which a value judgment is made having regard to the circumstances of the matter); and, second, if the delay is unreasonable, whether the courts discretion should nevertheless be exercised to overlook the delay and entertain the application.”</w:t>
      </w:r>
    </w:p>
    <w:p w14:paraId="2F70DF06" w14:textId="77777777" w:rsidR="007A2B5E" w:rsidRDefault="007A2B5E" w:rsidP="007A2B5E">
      <w:pPr>
        <w:spacing w:line="360" w:lineRule="auto"/>
        <w:jc w:val="both"/>
        <w:rPr>
          <w:rFonts w:ascii="Arial" w:hAnsi="Arial" w:cs="Arial"/>
          <w:iCs/>
        </w:rPr>
      </w:pPr>
    </w:p>
    <w:p w14:paraId="2111BD66" w14:textId="4D24A1C2" w:rsidR="009F76BD" w:rsidRPr="004221D8" w:rsidRDefault="004221D8" w:rsidP="004221D8">
      <w:pPr>
        <w:spacing w:line="360" w:lineRule="auto"/>
        <w:ind w:left="851" w:hanging="851"/>
        <w:jc w:val="both"/>
        <w:rPr>
          <w:rFonts w:ascii="Arial" w:hAnsi="Arial" w:cs="Arial"/>
          <w:iCs/>
        </w:rPr>
      </w:pPr>
      <w:r>
        <w:rPr>
          <w:rFonts w:ascii="Arial" w:hAnsi="Arial" w:cs="Arial"/>
          <w:iCs/>
        </w:rPr>
        <w:t>[36]</w:t>
      </w:r>
      <w:r>
        <w:rPr>
          <w:rFonts w:ascii="Arial" w:hAnsi="Arial" w:cs="Arial"/>
          <w:iCs/>
        </w:rPr>
        <w:tab/>
      </w:r>
      <w:r w:rsidR="009F76BD" w:rsidRPr="004221D8">
        <w:rPr>
          <w:rFonts w:ascii="Arial" w:hAnsi="Arial" w:cs="Arial"/>
          <w:iCs/>
        </w:rPr>
        <w:t xml:space="preserve">It was held in </w:t>
      </w:r>
      <w:r w:rsidR="009F76BD" w:rsidRPr="004221D8">
        <w:rPr>
          <w:rFonts w:ascii="Arial" w:hAnsi="Arial" w:cs="Arial"/>
          <w:i/>
        </w:rPr>
        <w:t>Opposition to Urban Tolling Alliance v South African National Roads Agency Ltd</w:t>
      </w:r>
      <w:r w:rsidR="00C66555" w:rsidRPr="004221D8">
        <w:rPr>
          <w:rFonts w:ascii="Arial" w:hAnsi="Arial" w:cs="Arial"/>
          <w:i/>
        </w:rPr>
        <w:t xml:space="preserve"> </w:t>
      </w:r>
      <w:r w:rsidR="009F76BD">
        <w:rPr>
          <w:rStyle w:val="FootnoteReference"/>
          <w:rFonts w:ascii="Arial" w:hAnsi="Arial" w:cs="Arial"/>
          <w:iCs/>
        </w:rPr>
        <w:footnoteReference w:id="20"/>
      </w:r>
      <w:r w:rsidR="009F76BD" w:rsidRPr="004221D8">
        <w:rPr>
          <w:rFonts w:ascii="Arial" w:hAnsi="Arial" w:cs="Arial"/>
          <w:iCs/>
        </w:rPr>
        <w:t xml:space="preserve"> that insofar as PAJA reviews are concerned, any delay beyond the 120-day period is </w:t>
      </w:r>
      <w:r w:rsidR="009F76BD" w:rsidRPr="004221D8">
        <w:rPr>
          <w:rFonts w:ascii="Arial" w:hAnsi="Arial" w:cs="Arial"/>
          <w:i/>
        </w:rPr>
        <w:t>per s</w:t>
      </w:r>
      <w:r w:rsidR="008A7A5C" w:rsidRPr="004221D8">
        <w:rPr>
          <w:rFonts w:ascii="Arial" w:hAnsi="Arial" w:cs="Arial"/>
          <w:i/>
        </w:rPr>
        <w:t>e</w:t>
      </w:r>
      <w:r w:rsidR="009F76BD" w:rsidRPr="004221D8">
        <w:rPr>
          <w:rFonts w:ascii="Arial" w:hAnsi="Arial" w:cs="Arial"/>
          <w:iCs/>
        </w:rPr>
        <w:t xml:space="preserve"> unreasonable and that absent condonation, the court has no authority to entertain the review application.</w:t>
      </w:r>
    </w:p>
    <w:p w14:paraId="56722D3A" w14:textId="77777777" w:rsidR="009F76BD" w:rsidRDefault="009F76BD" w:rsidP="007920E0">
      <w:pPr>
        <w:pStyle w:val="ListParagraph"/>
        <w:spacing w:line="360" w:lineRule="auto"/>
        <w:ind w:left="851" w:hanging="851"/>
        <w:jc w:val="both"/>
        <w:rPr>
          <w:rFonts w:ascii="Arial" w:hAnsi="Arial" w:cs="Arial"/>
          <w:iCs/>
        </w:rPr>
      </w:pPr>
    </w:p>
    <w:p w14:paraId="3277128C" w14:textId="210D1646" w:rsidR="009F76BD" w:rsidRPr="004221D8" w:rsidRDefault="004221D8" w:rsidP="004221D8">
      <w:pPr>
        <w:spacing w:line="360" w:lineRule="auto"/>
        <w:ind w:left="851" w:hanging="851"/>
        <w:jc w:val="both"/>
        <w:rPr>
          <w:rFonts w:ascii="Arial" w:hAnsi="Arial" w:cs="Arial"/>
          <w:iCs/>
        </w:rPr>
      </w:pPr>
      <w:r>
        <w:rPr>
          <w:rFonts w:ascii="Arial" w:hAnsi="Arial" w:cs="Arial"/>
          <w:iCs/>
        </w:rPr>
        <w:t>[37]</w:t>
      </w:r>
      <w:r>
        <w:rPr>
          <w:rFonts w:ascii="Arial" w:hAnsi="Arial" w:cs="Arial"/>
          <w:iCs/>
        </w:rPr>
        <w:tab/>
      </w:r>
      <w:r w:rsidR="009F76BD" w:rsidRPr="004221D8">
        <w:rPr>
          <w:rFonts w:ascii="Arial" w:hAnsi="Arial" w:cs="Arial"/>
          <w:iCs/>
        </w:rPr>
        <w:t xml:space="preserve">In </w:t>
      </w:r>
      <w:r w:rsidR="009F76BD" w:rsidRPr="004221D8">
        <w:rPr>
          <w:rFonts w:ascii="Arial" w:hAnsi="Arial" w:cs="Arial"/>
          <w:i/>
        </w:rPr>
        <w:t>Cape Town City v Aurecon SA (Pty) Ltd</w:t>
      </w:r>
      <w:r w:rsidR="009F76BD">
        <w:rPr>
          <w:rStyle w:val="FootnoteReference"/>
          <w:rFonts w:ascii="Arial" w:hAnsi="Arial" w:cs="Arial"/>
          <w:iCs/>
        </w:rPr>
        <w:footnoteReference w:id="21"/>
      </w:r>
      <w:r w:rsidR="009F76BD" w:rsidRPr="004221D8">
        <w:rPr>
          <w:rFonts w:ascii="Arial" w:hAnsi="Arial" w:cs="Arial"/>
          <w:i/>
        </w:rPr>
        <w:t xml:space="preserve"> </w:t>
      </w:r>
      <w:r w:rsidR="009F76BD" w:rsidRPr="004221D8">
        <w:rPr>
          <w:rFonts w:ascii="Arial" w:hAnsi="Arial" w:cs="Arial"/>
          <w:iCs/>
        </w:rPr>
        <w:t>it was held that the factors to be considered in an application for condonation are:</w:t>
      </w:r>
    </w:p>
    <w:p w14:paraId="77AFB99F" w14:textId="77777777" w:rsidR="009F76BD" w:rsidRPr="009F76BD" w:rsidRDefault="009F76BD" w:rsidP="009F76BD">
      <w:pPr>
        <w:pStyle w:val="ListParagraph"/>
        <w:rPr>
          <w:rFonts w:ascii="Arial" w:hAnsi="Arial" w:cs="Arial"/>
          <w:iCs/>
        </w:rPr>
      </w:pPr>
    </w:p>
    <w:p w14:paraId="26391A39" w14:textId="6DD2764E" w:rsidR="009F76BD" w:rsidRPr="009F76BD" w:rsidRDefault="009F76BD" w:rsidP="009F76BD">
      <w:pPr>
        <w:pStyle w:val="ListParagraph"/>
        <w:spacing w:line="360" w:lineRule="auto"/>
        <w:ind w:left="1418"/>
        <w:jc w:val="both"/>
        <w:rPr>
          <w:rFonts w:ascii="Arial" w:hAnsi="Arial" w:cs="Arial"/>
          <w:i/>
          <w:sz w:val="22"/>
          <w:szCs w:val="22"/>
        </w:rPr>
      </w:pPr>
      <w:r w:rsidRPr="009F76BD">
        <w:rPr>
          <w:rFonts w:ascii="Arial" w:hAnsi="Arial" w:cs="Arial"/>
          <w:i/>
          <w:sz w:val="22"/>
          <w:szCs w:val="22"/>
        </w:rPr>
        <w:t>“. . . the nature of the relief sought; the extent and cause of the delay; its effect on the administration of justice and other litigants; the reasonableness of the explanation for the delay, which must cover the whole period of delay; the importance of the issue to be raised and the prospects of success</w:t>
      </w:r>
      <w:r w:rsidR="001B7C51">
        <w:rPr>
          <w:rFonts w:ascii="Arial" w:hAnsi="Arial" w:cs="Arial"/>
          <w:i/>
          <w:sz w:val="22"/>
          <w:szCs w:val="22"/>
        </w:rPr>
        <w:t>”</w:t>
      </w:r>
      <w:r w:rsidRPr="009F76BD">
        <w:rPr>
          <w:rFonts w:ascii="Arial" w:hAnsi="Arial" w:cs="Arial"/>
          <w:i/>
          <w:sz w:val="22"/>
          <w:szCs w:val="22"/>
        </w:rPr>
        <w:t>.</w:t>
      </w:r>
    </w:p>
    <w:p w14:paraId="3DCBD40D" w14:textId="77777777" w:rsidR="009F76BD" w:rsidRDefault="009F76BD" w:rsidP="009F76BD">
      <w:pPr>
        <w:pStyle w:val="ListParagraph"/>
        <w:spacing w:line="360" w:lineRule="auto"/>
        <w:ind w:left="851"/>
        <w:jc w:val="both"/>
        <w:rPr>
          <w:rFonts w:ascii="Arial" w:hAnsi="Arial" w:cs="Arial"/>
          <w:iCs/>
        </w:rPr>
      </w:pPr>
    </w:p>
    <w:p w14:paraId="655B4B2A" w14:textId="7F6CAB70" w:rsidR="008C0FC7" w:rsidRPr="004221D8" w:rsidRDefault="004221D8" w:rsidP="004221D8">
      <w:pPr>
        <w:spacing w:line="360" w:lineRule="auto"/>
        <w:ind w:left="851" w:hanging="851"/>
        <w:jc w:val="both"/>
        <w:rPr>
          <w:rFonts w:ascii="Arial" w:hAnsi="Arial" w:cs="Arial"/>
          <w:iCs/>
        </w:rPr>
      </w:pPr>
      <w:r>
        <w:rPr>
          <w:rFonts w:ascii="Arial" w:hAnsi="Arial" w:cs="Arial"/>
          <w:iCs/>
        </w:rPr>
        <w:t>[38]</w:t>
      </w:r>
      <w:r>
        <w:rPr>
          <w:rFonts w:ascii="Arial" w:hAnsi="Arial" w:cs="Arial"/>
          <w:iCs/>
        </w:rPr>
        <w:tab/>
      </w:r>
      <w:r w:rsidR="009F76BD" w:rsidRPr="004221D8">
        <w:rPr>
          <w:rFonts w:ascii="Arial" w:hAnsi="Arial" w:cs="Arial"/>
          <w:iCs/>
        </w:rPr>
        <w:t xml:space="preserve">In considering the factors set out in Aurecon, the delay before the institution of the proceedings in the present matter was certainly a lengthy one.  This is particularly so when one has regard to the fact that the applicant was represented by attorneys from the outset and at least for a period of a year before the expiry of the 180-day period.  This is </w:t>
      </w:r>
      <w:r w:rsidR="00330302" w:rsidRPr="004221D8">
        <w:rPr>
          <w:rFonts w:ascii="Arial" w:hAnsi="Arial" w:cs="Arial"/>
          <w:iCs/>
        </w:rPr>
        <w:t>based on</w:t>
      </w:r>
      <w:r w:rsidR="009F76BD" w:rsidRPr="004221D8">
        <w:rPr>
          <w:rFonts w:ascii="Arial" w:hAnsi="Arial" w:cs="Arial"/>
          <w:iCs/>
        </w:rPr>
        <w:t xml:space="preserve"> the calculation of the period as contended for by her</w:t>
      </w:r>
      <w:r w:rsidR="004428FE" w:rsidRPr="004221D8">
        <w:rPr>
          <w:rFonts w:ascii="Arial" w:hAnsi="Arial" w:cs="Arial"/>
          <w:iCs/>
        </w:rPr>
        <w:t>.</w:t>
      </w:r>
    </w:p>
    <w:p w14:paraId="3C66F886" w14:textId="77777777" w:rsidR="008C0FC7" w:rsidRDefault="008C0FC7" w:rsidP="007920E0">
      <w:pPr>
        <w:pStyle w:val="ListParagraph"/>
        <w:spacing w:line="360" w:lineRule="auto"/>
        <w:ind w:left="851" w:hanging="851"/>
        <w:jc w:val="both"/>
        <w:rPr>
          <w:rFonts w:ascii="Arial" w:hAnsi="Arial" w:cs="Arial"/>
          <w:iCs/>
        </w:rPr>
      </w:pPr>
    </w:p>
    <w:p w14:paraId="5ED7B69E" w14:textId="7AC3493C" w:rsidR="0027105E" w:rsidRPr="004221D8" w:rsidRDefault="004221D8" w:rsidP="004221D8">
      <w:pPr>
        <w:spacing w:line="360" w:lineRule="auto"/>
        <w:ind w:left="851" w:hanging="851"/>
        <w:jc w:val="both"/>
        <w:rPr>
          <w:rFonts w:ascii="Arial" w:hAnsi="Arial" w:cs="Arial"/>
          <w:iCs/>
        </w:rPr>
      </w:pPr>
      <w:r>
        <w:rPr>
          <w:rFonts w:ascii="Arial" w:hAnsi="Arial" w:cs="Arial"/>
          <w:iCs/>
        </w:rPr>
        <w:t>[39]</w:t>
      </w:r>
      <w:r>
        <w:rPr>
          <w:rFonts w:ascii="Arial" w:hAnsi="Arial" w:cs="Arial"/>
          <w:iCs/>
        </w:rPr>
        <w:tab/>
      </w:r>
      <w:r w:rsidR="0027105E" w:rsidRPr="004221D8">
        <w:rPr>
          <w:rFonts w:ascii="Arial" w:hAnsi="Arial" w:cs="Arial"/>
          <w:iCs/>
        </w:rPr>
        <w:t xml:space="preserve">While no explanation has been proferred for the inaction on the part of the </w:t>
      </w:r>
      <w:r w:rsidR="001D12D0" w:rsidRPr="004221D8">
        <w:rPr>
          <w:rFonts w:ascii="Arial" w:hAnsi="Arial" w:cs="Arial"/>
          <w:iCs/>
        </w:rPr>
        <w:t xml:space="preserve">applicant’s </w:t>
      </w:r>
      <w:r w:rsidR="0027105E" w:rsidRPr="004221D8">
        <w:rPr>
          <w:rFonts w:ascii="Arial" w:hAnsi="Arial" w:cs="Arial"/>
          <w:iCs/>
        </w:rPr>
        <w:t xml:space="preserve"> attorney, this has been laid squarely at the door of a succession of advocates who purportedly let both the attorney and the applicant down.  </w:t>
      </w:r>
      <w:r w:rsidR="00C66555" w:rsidRPr="004221D8">
        <w:rPr>
          <w:rFonts w:ascii="Arial" w:hAnsi="Arial" w:cs="Arial"/>
          <w:iCs/>
        </w:rPr>
        <w:t>Neither the applicant nor her attorney</w:t>
      </w:r>
      <w:r w:rsidR="00950F13" w:rsidRPr="004221D8">
        <w:rPr>
          <w:rFonts w:ascii="Arial" w:hAnsi="Arial" w:cs="Arial"/>
          <w:iCs/>
        </w:rPr>
        <w:t xml:space="preserve"> </w:t>
      </w:r>
      <w:r w:rsidR="00A21A9E" w:rsidRPr="004221D8">
        <w:rPr>
          <w:rFonts w:ascii="Arial" w:hAnsi="Arial" w:cs="Arial"/>
          <w:iCs/>
        </w:rPr>
        <w:t>takes</w:t>
      </w:r>
      <w:r w:rsidR="00950F13" w:rsidRPr="004221D8">
        <w:rPr>
          <w:rFonts w:ascii="Arial" w:hAnsi="Arial" w:cs="Arial"/>
          <w:iCs/>
        </w:rPr>
        <w:t xml:space="preserve"> any responsibility, instead </w:t>
      </w:r>
      <w:r w:rsidR="001324B3" w:rsidRPr="004221D8">
        <w:rPr>
          <w:rFonts w:ascii="Arial" w:hAnsi="Arial" w:cs="Arial"/>
          <w:iCs/>
        </w:rPr>
        <w:t>proffering</w:t>
      </w:r>
      <w:r w:rsidR="00950F13" w:rsidRPr="004221D8">
        <w:rPr>
          <w:rFonts w:ascii="Arial" w:hAnsi="Arial" w:cs="Arial"/>
          <w:iCs/>
        </w:rPr>
        <w:t xml:space="preserve"> a </w:t>
      </w:r>
      <w:r w:rsidR="001324B3" w:rsidRPr="004221D8">
        <w:rPr>
          <w:rFonts w:ascii="Arial" w:hAnsi="Arial" w:cs="Arial"/>
          <w:iCs/>
        </w:rPr>
        <w:t>self-serving</w:t>
      </w:r>
      <w:r w:rsidR="00950F13" w:rsidRPr="004221D8">
        <w:rPr>
          <w:rFonts w:ascii="Arial" w:hAnsi="Arial" w:cs="Arial"/>
          <w:iCs/>
        </w:rPr>
        <w:t xml:space="preserve"> </w:t>
      </w:r>
      <w:r w:rsidR="001324B3" w:rsidRPr="004221D8">
        <w:rPr>
          <w:rFonts w:ascii="Arial" w:hAnsi="Arial" w:cs="Arial"/>
          <w:iCs/>
        </w:rPr>
        <w:t>excuse. The applicant must take responsibility for both her own di</w:t>
      </w:r>
      <w:r w:rsidR="00A21A9E" w:rsidRPr="004221D8">
        <w:rPr>
          <w:rFonts w:ascii="Arial" w:hAnsi="Arial" w:cs="Arial"/>
          <w:iCs/>
        </w:rPr>
        <w:t>l</w:t>
      </w:r>
      <w:r w:rsidR="001324B3" w:rsidRPr="004221D8">
        <w:rPr>
          <w:rFonts w:ascii="Arial" w:hAnsi="Arial" w:cs="Arial"/>
          <w:iCs/>
        </w:rPr>
        <w:t xml:space="preserve">atoriness as well as that of her attorney </w:t>
      </w:r>
      <w:r w:rsidR="00A21A9E">
        <w:rPr>
          <w:rStyle w:val="FootnoteReference"/>
          <w:rFonts w:ascii="Arial" w:hAnsi="Arial" w:cs="Arial"/>
          <w:iCs/>
        </w:rPr>
        <w:footnoteReference w:id="22"/>
      </w:r>
      <w:r w:rsidR="00A21A9E" w:rsidRPr="004221D8">
        <w:rPr>
          <w:rFonts w:ascii="Arial" w:hAnsi="Arial" w:cs="Arial"/>
          <w:iCs/>
        </w:rPr>
        <w:t xml:space="preserve"> </w:t>
      </w:r>
      <w:r w:rsidR="001324B3" w:rsidRPr="004221D8">
        <w:rPr>
          <w:rFonts w:ascii="Arial" w:hAnsi="Arial" w:cs="Arial"/>
          <w:iCs/>
        </w:rPr>
        <w:t xml:space="preserve">(if he was at all). </w:t>
      </w:r>
    </w:p>
    <w:p w14:paraId="73C41815" w14:textId="77777777" w:rsidR="00A21A9E" w:rsidRPr="00A21A9E" w:rsidRDefault="00A21A9E" w:rsidP="00A21A9E">
      <w:pPr>
        <w:spacing w:line="360" w:lineRule="auto"/>
        <w:jc w:val="both"/>
        <w:rPr>
          <w:rFonts w:ascii="Arial" w:hAnsi="Arial" w:cs="Arial"/>
          <w:iCs/>
        </w:rPr>
      </w:pPr>
    </w:p>
    <w:p w14:paraId="2CE06A05" w14:textId="6C1A70CA" w:rsidR="0027105E" w:rsidRPr="004221D8" w:rsidRDefault="004221D8" w:rsidP="004221D8">
      <w:pPr>
        <w:spacing w:line="360" w:lineRule="auto"/>
        <w:ind w:left="851" w:hanging="851"/>
        <w:jc w:val="both"/>
        <w:rPr>
          <w:rFonts w:ascii="Arial" w:hAnsi="Arial" w:cs="Arial"/>
          <w:iCs/>
        </w:rPr>
      </w:pPr>
      <w:r>
        <w:rPr>
          <w:rFonts w:ascii="Arial" w:hAnsi="Arial" w:cs="Arial"/>
          <w:iCs/>
        </w:rPr>
        <w:t>[40]</w:t>
      </w:r>
      <w:r>
        <w:rPr>
          <w:rFonts w:ascii="Arial" w:hAnsi="Arial" w:cs="Arial"/>
          <w:iCs/>
        </w:rPr>
        <w:tab/>
      </w:r>
      <w:r w:rsidR="002B0343" w:rsidRPr="004221D8">
        <w:rPr>
          <w:rFonts w:ascii="Arial" w:hAnsi="Arial" w:cs="Arial"/>
          <w:iCs/>
        </w:rPr>
        <w:t>F</w:t>
      </w:r>
      <w:r w:rsidR="00111232" w:rsidRPr="004221D8">
        <w:rPr>
          <w:rFonts w:ascii="Arial" w:hAnsi="Arial" w:cs="Arial"/>
          <w:iCs/>
        </w:rPr>
        <w:t xml:space="preserve">inally, </w:t>
      </w:r>
      <w:r w:rsidR="006436D3" w:rsidRPr="004221D8">
        <w:rPr>
          <w:rFonts w:ascii="Arial" w:hAnsi="Arial" w:cs="Arial"/>
          <w:iCs/>
        </w:rPr>
        <w:t xml:space="preserve"> the last consideration is </w:t>
      </w:r>
      <w:r w:rsidR="00111232" w:rsidRPr="004221D8">
        <w:rPr>
          <w:rFonts w:ascii="Arial" w:hAnsi="Arial" w:cs="Arial"/>
          <w:iCs/>
        </w:rPr>
        <w:t>the prospects of success in the review applicatio</w:t>
      </w:r>
      <w:r w:rsidR="001F3572" w:rsidRPr="004221D8">
        <w:rPr>
          <w:rFonts w:ascii="Arial" w:hAnsi="Arial" w:cs="Arial"/>
          <w:iCs/>
        </w:rPr>
        <w:t>n.</w:t>
      </w:r>
      <w:r w:rsidR="00111232" w:rsidRPr="004221D8">
        <w:rPr>
          <w:rFonts w:ascii="Arial" w:hAnsi="Arial" w:cs="Arial"/>
          <w:iCs/>
        </w:rPr>
        <w:t xml:space="preserve"> </w:t>
      </w:r>
      <w:r w:rsidR="001F3572" w:rsidRPr="004221D8">
        <w:rPr>
          <w:rFonts w:ascii="Arial" w:hAnsi="Arial" w:cs="Arial"/>
          <w:iCs/>
        </w:rPr>
        <w:t>F</w:t>
      </w:r>
      <w:r w:rsidR="00111232" w:rsidRPr="004221D8">
        <w:rPr>
          <w:rFonts w:ascii="Arial" w:hAnsi="Arial" w:cs="Arial"/>
          <w:iCs/>
        </w:rPr>
        <w:t xml:space="preserve">or the reasons set out above, </w:t>
      </w:r>
      <w:r w:rsidR="002B0343" w:rsidRPr="004221D8">
        <w:rPr>
          <w:rFonts w:ascii="Arial" w:hAnsi="Arial" w:cs="Arial"/>
          <w:iCs/>
        </w:rPr>
        <w:t>I am not persuaded</w:t>
      </w:r>
      <w:r w:rsidR="00111232" w:rsidRPr="004221D8">
        <w:rPr>
          <w:rFonts w:ascii="Arial" w:hAnsi="Arial" w:cs="Arial"/>
          <w:iCs/>
        </w:rPr>
        <w:t xml:space="preserve"> that any of the grounds of review are meritorious and for that reason, condonation is </w:t>
      </w:r>
      <w:r w:rsidR="00006060" w:rsidRPr="004221D8">
        <w:rPr>
          <w:rFonts w:ascii="Arial" w:hAnsi="Arial" w:cs="Arial"/>
          <w:iCs/>
        </w:rPr>
        <w:t>refused,</w:t>
      </w:r>
      <w:r w:rsidR="001F3572" w:rsidRPr="004221D8">
        <w:rPr>
          <w:rFonts w:ascii="Arial" w:hAnsi="Arial" w:cs="Arial"/>
          <w:iCs/>
        </w:rPr>
        <w:t xml:space="preserve"> and the application must fail</w:t>
      </w:r>
      <w:r w:rsidR="00111232" w:rsidRPr="004221D8">
        <w:rPr>
          <w:rFonts w:ascii="Arial" w:hAnsi="Arial" w:cs="Arial"/>
          <w:iCs/>
        </w:rPr>
        <w:t>.</w:t>
      </w:r>
    </w:p>
    <w:p w14:paraId="6C445339" w14:textId="77777777" w:rsidR="00111232" w:rsidRPr="00111232" w:rsidRDefault="00111232" w:rsidP="007920E0">
      <w:pPr>
        <w:pStyle w:val="ListParagraph"/>
        <w:ind w:left="851" w:hanging="720"/>
        <w:rPr>
          <w:rFonts w:ascii="Arial" w:hAnsi="Arial" w:cs="Arial"/>
          <w:iCs/>
        </w:rPr>
      </w:pPr>
    </w:p>
    <w:p w14:paraId="02C3F570" w14:textId="387E9D7D" w:rsidR="00111232" w:rsidRPr="004221D8" w:rsidRDefault="004221D8" w:rsidP="004221D8">
      <w:pPr>
        <w:spacing w:line="360" w:lineRule="auto"/>
        <w:ind w:left="851" w:hanging="851"/>
        <w:jc w:val="both"/>
        <w:rPr>
          <w:rFonts w:ascii="Arial" w:hAnsi="Arial" w:cs="Arial"/>
          <w:iCs/>
        </w:rPr>
      </w:pPr>
      <w:r>
        <w:rPr>
          <w:rFonts w:ascii="Arial" w:hAnsi="Arial" w:cs="Arial"/>
          <w:iCs/>
        </w:rPr>
        <w:t>[41]</w:t>
      </w:r>
      <w:r>
        <w:rPr>
          <w:rFonts w:ascii="Arial" w:hAnsi="Arial" w:cs="Arial"/>
          <w:iCs/>
        </w:rPr>
        <w:tab/>
      </w:r>
      <w:r w:rsidR="00111232" w:rsidRPr="004221D8">
        <w:rPr>
          <w:rFonts w:ascii="Arial" w:hAnsi="Arial" w:cs="Arial"/>
          <w:iCs/>
        </w:rPr>
        <w:t>In regard to costs, there is no reason that costs should not follow the result.</w:t>
      </w:r>
    </w:p>
    <w:p w14:paraId="32AB8C4D" w14:textId="77777777" w:rsidR="00111232" w:rsidRPr="00111232" w:rsidRDefault="00111232" w:rsidP="007920E0">
      <w:pPr>
        <w:pStyle w:val="ListParagraph"/>
        <w:ind w:left="851" w:hanging="720"/>
        <w:rPr>
          <w:rFonts w:ascii="Arial" w:hAnsi="Arial" w:cs="Arial"/>
          <w:iCs/>
        </w:rPr>
      </w:pPr>
    </w:p>
    <w:p w14:paraId="23CB3567" w14:textId="4153EFAF" w:rsidR="002E2AD4" w:rsidRPr="004221D8" w:rsidRDefault="004221D8" w:rsidP="004221D8">
      <w:pPr>
        <w:spacing w:line="360" w:lineRule="auto"/>
        <w:ind w:left="851" w:hanging="851"/>
        <w:jc w:val="both"/>
        <w:rPr>
          <w:rFonts w:ascii="Arial" w:hAnsi="Arial" w:cs="Arial"/>
          <w:iCs/>
        </w:rPr>
      </w:pPr>
      <w:r w:rsidRPr="00111232">
        <w:rPr>
          <w:rFonts w:ascii="Arial" w:hAnsi="Arial" w:cs="Arial"/>
          <w:iCs/>
        </w:rPr>
        <w:t>[42]</w:t>
      </w:r>
      <w:r w:rsidRPr="00111232">
        <w:rPr>
          <w:rFonts w:ascii="Arial" w:hAnsi="Arial" w:cs="Arial"/>
          <w:iCs/>
        </w:rPr>
        <w:tab/>
      </w:r>
      <w:r w:rsidR="002E2AD4" w:rsidRPr="004221D8">
        <w:rPr>
          <w:rFonts w:ascii="Arial" w:hAnsi="Arial" w:cs="Arial"/>
          <w:iCs/>
        </w:rPr>
        <w:t>In the circumstances</w:t>
      </w:r>
      <w:r w:rsidR="00143BD0" w:rsidRPr="004221D8">
        <w:rPr>
          <w:rFonts w:ascii="Arial" w:hAnsi="Arial" w:cs="Arial"/>
          <w:iCs/>
        </w:rPr>
        <w:t>,</w:t>
      </w:r>
      <w:r w:rsidR="002E2AD4" w:rsidRPr="004221D8">
        <w:rPr>
          <w:rFonts w:ascii="Arial" w:hAnsi="Arial" w:cs="Arial"/>
          <w:iCs/>
        </w:rPr>
        <w:t xml:space="preserve"> it is ordered:</w:t>
      </w:r>
    </w:p>
    <w:p w14:paraId="4C3184C2" w14:textId="22BEDAB3" w:rsidR="002E2AD4" w:rsidRDefault="002E2AD4" w:rsidP="00351488">
      <w:pPr>
        <w:spacing w:line="360" w:lineRule="auto"/>
        <w:ind w:left="851" w:hanging="851"/>
        <w:jc w:val="both"/>
        <w:rPr>
          <w:rFonts w:ascii="Arial" w:hAnsi="Arial" w:cs="Arial"/>
          <w:iCs/>
        </w:rPr>
      </w:pPr>
    </w:p>
    <w:p w14:paraId="0ED8BECD" w14:textId="03070424" w:rsidR="002E2AD4" w:rsidRPr="00A67388" w:rsidRDefault="002E2AD4" w:rsidP="002E2AD4">
      <w:pPr>
        <w:spacing w:line="360" w:lineRule="auto"/>
        <w:ind w:left="851"/>
        <w:jc w:val="both"/>
        <w:rPr>
          <w:rFonts w:ascii="Arial" w:hAnsi="Arial" w:cs="Arial"/>
          <w:iCs/>
        </w:rPr>
      </w:pPr>
      <w:r>
        <w:rPr>
          <w:rFonts w:ascii="Arial" w:hAnsi="Arial" w:cs="Arial"/>
          <w:iCs/>
        </w:rPr>
        <w:t>[</w:t>
      </w:r>
      <w:r w:rsidR="007920E0">
        <w:rPr>
          <w:rFonts w:ascii="Arial" w:hAnsi="Arial" w:cs="Arial"/>
          <w:iCs/>
        </w:rPr>
        <w:t>4</w:t>
      </w:r>
      <w:r w:rsidR="00006060">
        <w:rPr>
          <w:rFonts w:ascii="Arial" w:hAnsi="Arial" w:cs="Arial"/>
          <w:iCs/>
        </w:rPr>
        <w:t>2</w:t>
      </w:r>
      <w:r>
        <w:rPr>
          <w:rFonts w:ascii="Arial" w:hAnsi="Arial" w:cs="Arial"/>
          <w:iCs/>
        </w:rPr>
        <w:t>.1]</w:t>
      </w:r>
      <w:r>
        <w:rPr>
          <w:rFonts w:ascii="Arial" w:hAnsi="Arial" w:cs="Arial"/>
          <w:iCs/>
        </w:rPr>
        <w:tab/>
        <w:t>The application is dismissed with costs.</w:t>
      </w:r>
    </w:p>
    <w:p w14:paraId="5DC29517" w14:textId="026D2F65" w:rsidR="008E6813" w:rsidRDefault="008E6813" w:rsidP="00502ADB">
      <w:pPr>
        <w:pStyle w:val="Body"/>
        <w:spacing w:line="360" w:lineRule="auto"/>
        <w:jc w:val="both"/>
        <w:rPr>
          <w:b/>
          <w:sz w:val="22"/>
          <w:szCs w:val="22"/>
          <w:u w:val="single"/>
        </w:rPr>
      </w:pPr>
    </w:p>
    <w:p w14:paraId="12D6AE87" w14:textId="77777777" w:rsidR="00416EA1" w:rsidRDefault="00416EA1" w:rsidP="008E6813">
      <w:pPr>
        <w:pStyle w:val="Body"/>
        <w:spacing w:line="360" w:lineRule="auto"/>
        <w:ind w:left="720"/>
        <w:jc w:val="right"/>
        <w:rPr>
          <w:rFonts w:cs="Arial"/>
          <w:b/>
          <w:bCs/>
          <w:sz w:val="24"/>
          <w:szCs w:val="24"/>
        </w:rPr>
      </w:pPr>
    </w:p>
    <w:p w14:paraId="65416376" w14:textId="77777777" w:rsidR="008E6813" w:rsidRDefault="008E6813" w:rsidP="00413603">
      <w:pPr>
        <w:pStyle w:val="Body"/>
        <w:ind w:left="720"/>
        <w:jc w:val="right"/>
        <w:rPr>
          <w:rFonts w:cs="Arial"/>
          <w:b/>
          <w:bCs/>
          <w:sz w:val="24"/>
          <w:szCs w:val="24"/>
        </w:rPr>
      </w:pPr>
    </w:p>
    <w:p w14:paraId="24E22621" w14:textId="77777777" w:rsidR="008E6813" w:rsidRDefault="008E6813" w:rsidP="00413603">
      <w:pPr>
        <w:pStyle w:val="Body"/>
        <w:ind w:left="720"/>
        <w:jc w:val="right"/>
        <w:rPr>
          <w:rFonts w:cs="Arial"/>
          <w:b/>
          <w:bCs/>
          <w:sz w:val="24"/>
          <w:szCs w:val="24"/>
        </w:rPr>
      </w:pPr>
    </w:p>
    <w:p w14:paraId="75814BE3" w14:textId="18919A89"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8E6813">
      <w:pPr>
        <w:pStyle w:val="BodyA"/>
        <w:spacing w:line="360" w:lineRule="auto"/>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8E6813">
      <w:pPr>
        <w:pStyle w:val="BodyA"/>
        <w:spacing w:before="120" w:line="360" w:lineRule="auto"/>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8E6813">
      <w:pPr>
        <w:spacing w:before="120" w:line="36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5ACDA854" w14:textId="2D3DE984"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502ADB">
        <w:rPr>
          <w:rFonts w:ascii="Arial" w:hAnsi="Arial" w:cs="Arial"/>
          <w:sz w:val="22"/>
          <w:szCs w:val="22"/>
        </w:rPr>
        <w:t>12 April 2023</w:t>
      </w:r>
    </w:p>
    <w:p w14:paraId="7E6457D4" w14:textId="602B07E2"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3D71B2">
        <w:rPr>
          <w:rFonts w:ascii="Arial" w:hAnsi="Arial" w:cs="Arial"/>
          <w:sz w:val="22"/>
          <w:szCs w:val="22"/>
        </w:rPr>
        <w:t>19 May 2023</w:t>
      </w:r>
    </w:p>
    <w:p w14:paraId="70B75637" w14:textId="77777777" w:rsidR="006710DC" w:rsidRDefault="006710DC" w:rsidP="008E6813">
      <w:pPr>
        <w:spacing w:line="360" w:lineRule="auto"/>
        <w:ind w:left="567" w:hanging="567"/>
        <w:jc w:val="both"/>
        <w:rPr>
          <w:rFonts w:ascii="Arial" w:hAnsi="Arial" w:cs="Arial"/>
          <w:sz w:val="22"/>
          <w:szCs w:val="22"/>
        </w:rPr>
      </w:pPr>
    </w:p>
    <w:p w14:paraId="02474508" w14:textId="47A37A05"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502ADB">
        <w:rPr>
          <w:rFonts w:ascii="Arial" w:hAnsi="Arial" w:cs="Arial"/>
          <w:sz w:val="22"/>
          <w:szCs w:val="22"/>
        </w:rPr>
        <w:t>D THUMBATI</w:t>
      </w:r>
    </w:p>
    <w:p w14:paraId="6434C520" w14:textId="2663B86F"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502ADB">
        <w:rPr>
          <w:rFonts w:ascii="Arial" w:hAnsi="Arial" w:cs="Arial"/>
          <w:sz w:val="22"/>
          <w:szCs w:val="22"/>
        </w:rPr>
        <w:t>MOTSOENENG BILL ATTORNEYS INC.</w:t>
      </w:r>
    </w:p>
    <w:p w14:paraId="7383FC0C" w14:textId="719AE30B"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502ADB">
        <w:rPr>
          <w:rFonts w:ascii="Arial" w:hAnsi="Arial" w:cs="Arial"/>
          <w:sz w:val="22"/>
          <w:szCs w:val="22"/>
        </w:rPr>
        <w:t>MR. M BILL</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577B443F" w14:textId="45041494" w:rsidR="006630FB" w:rsidRPr="00242E76"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502ADB">
        <w:rPr>
          <w:rFonts w:ascii="Arial" w:hAnsi="Arial" w:cs="Arial"/>
          <w:sz w:val="22"/>
          <w:szCs w:val="22"/>
        </w:rPr>
        <w:t>3</w:t>
      </w:r>
      <w:r w:rsidR="00236B03" w:rsidRPr="00502ADB">
        <w:rPr>
          <w:rFonts w:ascii="Arial" w:hAnsi="Arial" w:cs="Arial"/>
          <w:sz w:val="22"/>
          <w:szCs w:val="22"/>
          <w:vertAlign w:val="superscript"/>
        </w:rPr>
        <w:t>RD</w:t>
      </w:r>
      <w:r w:rsidR="00236B03">
        <w:rPr>
          <w:rFonts w:ascii="Arial" w:hAnsi="Arial" w:cs="Arial"/>
          <w:sz w:val="22"/>
          <w:szCs w:val="22"/>
        </w:rPr>
        <w:t xml:space="preserve"> &amp;</w:t>
      </w:r>
      <w:r w:rsidR="00502ADB">
        <w:rPr>
          <w:rFonts w:ascii="Arial" w:hAnsi="Arial" w:cs="Arial"/>
          <w:sz w:val="22"/>
          <w:szCs w:val="22"/>
        </w:rPr>
        <w:t xml:space="preserve"> 5</w:t>
      </w:r>
      <w:r w:rsidR="00502ADB" w:rsidRPr="00502ADB">
        <w:rPr>
          <w:rFonts w:ascii="Arial" w:hAnsi="Arial" w:cs="Arial"/>
          <w:sz w:val="22"/>
          <w:szCs w:val="22"/>
          <w:vertAlign w:val="superscript"/>
        </w:rPr>
        <w:t>TH</w:t>
      </w:r>
      <w:r w:rsidR="00502ADB">
        <w:rPr>
          <w:rFonts w:ascii="Arial" w:hAnsi="Arial" w:cs="Arial"/>
          <w:sz w:val="22"/>
          <w:szCs w:val="22"/>
        </w:rPr>
        <w:t xml:space="preserve"> </w:t>
      </w:r>
      <w:r w:rsidR="000218AC">
        <w:rPr>
          <w:rFonts w:ascii="Arial" w:hAnsi="Arial" w:cs="Arial"/>
          <w:sz w:val="22"/>
          <w:szCs w:val="22"/>
        </w:rPr>
        <w:t>RESPONDENT</w:t>
      </w:r>
      <w:r w:rsidR="00502ADB">
        <w:rPr>
          <w:rFonts w:ascii="Arial" w:hAnsi="Arial" w:cs="Arial"/>
          <w:sz w:val="22"/>
          <w:szCs w:val="22"/>
        </w:rPr>
        <w:t>S</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502ADB">
        <w:rPr>
          <w:rFonts w:ascii="Arial" w:hAnsi="Arial" w:cs="Arial"/>
          <w:sz w:val="22"/>
          <w:szCs w:val="22"/>
        </w:rPr>
        <w:t>S KHUMALO SC</w:t>
      </w:r>
    </w:p>
    <w:p w14:paraId="6EEF6A02" w14:textId="3D3BC5F2"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502ADB">
        <w:rPr>
          <w:rFonts w:ascii="Arial" w:hAnsi="Arial" w:cs="Arial"/>
          <w:sz w:val="22"/>
          <w:szCs w:val="22"/>
        </w:rPr>
        <w:t>BOWMAN GILFILLAN INC.</w:t>
      </w:r>
    </w:p>
    <w:p w14:paraId="0030EF17" w14:textId="12F0676A"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502ADB">
        <w:rPr>
          <w:rFonts w:ascii="Arial" w:hAnsi="Arial" w:cs="Arial"/>
          <w:sz w:val="22"/>
          <w:szCs w:val="22"/>
        </w:rPr>
        <w:t>MR. B SIBIYA</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C2768C9" w:rsidR="0027008F" w:rsidRPr="00CB6F8A" w:rsidRDefault="00502ADB" w:rsidP="00CB6F8A">
      <w:pPr>
        <w:spacing w:line="480" w:lineRule="auto"/>
        <w:jc w:val="both"/>
        <w:rPr>
          <w:rFonts w:ascii="Arial" w:hAnsi="Arial"/>
          <w:sz w:val="22"/>
          <w:szCs w:val="22"/>
        </w:rPr>
      </w:pPr>
      <w:r>
        <w:rPr>
          <w:rFonts w:ascii="Arial" w:hAnsi="Arial"/>
          <w:sz w:val="22"/>
          <w:szCs w:val="22"/>
        </w:rPr>
        <w:t>NO APPEARANCE FOR THE 1</w:t>
      </w:r>
      <w:r w:rsidRPr="00502ADB">
        <w:rPr>
          <w:rFonts w:ascii="Arial" w:hAnsi="Arial"/>
          <w:sz w:val="22"/>
          <w:szCs w:val="22"/>
          <w:vertAlign w:val="superscript"/>
        </w:rPr>
        <w:t>ST</w:t>
      </w:r>
      <w:r>
        <w:rPr>
          <w:rFonts w:ascii="Arial" w:hAnsi="Arial"/>
          <w:sz w:val="22"/>
          <w:szCs w:val="22"/>
        </w:rPr>
        <w:t xml:space="preserve"> ,2</w:t>
      </w:r>
      <w:r w:rsidRPr="00502ADB">
        <w:rPr>
          <w:rFonts w:ascii="Arial" w:hAnsi="Arial"/>
          <w:sz w:val="22"/>
          <w:szCs w:val="22"/>
          <w:vertAlign w:val="superscript"/>
        </w:rPr>
        <w:t>ND</w:t>
      </w:r>
      <w:r>
        <w:rPr>
          <w:rFonts w:ascii="Arial" w:hAnsi="Arial"/>
          <w:sz w:val="22"/>
          <w:szCs w:val="22"/>
        </w:rPr>
        <w:t xml:space="preserve">  &amp; 4</w:t>
      </w:r>
      <w:r w:rsidRPr="00502ADB">
        <w:rPr>
          <w:rFonts w:ascii="Arial" w:hAnsi="Arial"/>
          <w:sz w:val="22"/>
          <w:szCs w:val="22"/>
          <w:vertAlign w:val="superscript"/>
        </w:rPr>
        <w:t>TH</w:t>
      </w:r>
      <w:r>
        <w:rPr>
          <w:rFonts w:ascii="Arial" w:hAnsi="Arial"/>
          <w:sz w:val="22"/>
          <w:szCs w:val="22"/>
        </w:rPr>
        <w:t xml:space="preserve">  RESPONDENTS.</w:t>
      </w:r>
    </w:p>
    <w:sectPr w:rsidR="0027008F" w:rsidRPr="00CB6F8A" w:rsidSect="008E6813">
      <w:headerReference w:type="even" r:id="rId9"/>
      <w:headerReference w:type="default" r:id="rId10"/>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1A90" w14:textId="77777777" w:rsidR="008D5EFA" w:rsidRDefault="008D5EFA" w:rsidP="008C18AE">
      <w:r>
        <w:separator/>
      </w:r>
    </w:p>
  </w:endnote>
  <w:endnote w:type="continuationSeparator" w:id="0">
    <w:p w14:paraId="602A27C9" w14:textId="77777777" w:rsidR="008D5EFA" w:rsidRDefault="008D5EFA"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10AAD" w14:textId="77777777" w:rsidR="008D5EFA" w:rsidRDefault="008D5EFA" w:rsidP="008C18AE">
      <w:r>
        <w:separator/>
      </w:r>
    </w:p>
  </w:footnote>
  <w:footnote w:type="continuationSeparator" w:id="0">
    <w:p w14:paraId="21B12E8C" w14:textId="77777777" w:rsidR="008D5EFA" w:rsidRDefault="008D5EFA" w:rsidP="008C18AE">
      <w:r>
        <w:continuationSeparator/>
      </w:r>
    </w:p>
  </w:footnote>
  <w:footnote w:id="1">
    <w:p w14:paraId="1B207ACA" w14:textId="28C9BA71" w:rsidR="009F76BD" w:rsidRPr="00CB221A" w:rsidRDefault="009F76BD" w:rsidP="00CB221A">
      <w:pPr>
        <w:pStyle w:val="FootnoteText"/>
        <w:ind w:left="284" w:hanging="284"/>
        <w:jc w:val="both"/>
        <w:rPr>
          <w:rFonts w:ascii="Arial" w:hAnsi="Arial" w:cs="Arial"/>
          <w:sz w:val="20"/>
          <w:szCs w:val="20"/>
        </w:rPr>
      </w:pPr>
      <w:r w:rsidRPr="00CB221A">
        <w:rPr>
          <w:rStyle w:val="FootnoteReference"/>
          <w:rFonts w:ascii="Arial" w:hAnsi="Arial" w:cs="Arial"/>
          <w:sz w:val="20"/>
          <w:szCs w:val="20"/>
        </w:rPr>
        <w:footnoteRef/>
      </w:r>
      <w:r w:rsidRPr="00CB221A">
        <w:rPr>
          <w:rFonts w:ascii="Arial" w:hAnsi="Arial" w:cs="Arial"/>
          <w:sz w:val="20"/>
          <w:szCs w:val="20"/>
        </w:rPr>
        <w:t xml:space="preserve"> </w:t>
      </w:r>
      <w:r w:rsidRPr="00CB221A">
        <w:rPr>
          <w:rFonts w:ascii="Arial" w:hAnsi="Arial" w:cs="Arial"/>
          <w:sz w:val="20"/>
          <w:szCs w:val="20"/>
        </w:rPr>
        <w:tab/>
        <w:t>37 of 2002.</w:t>
      </w:r>
    </w:p>
  </w:footnote>
  <w:footnote w:id="2">
    <w:p w14:paraId="5E2D820D" w14:textId="0A1F9C40" w:rsidR="009F76BD" w:rsidRPr="00CB221A" w:rsidRDefault="009F76BD" w:rsidP="00CB221A">
      <w:pPr>
        <w:pStyle w:val="FootnoteText"/>
        <w:ind w:left="284" w:hanging="284"/>
        <w:jc w:val="both"/>
        <w:rPr>
          <w:rFonts w:ascii="Arial" w:hAnsi="Arial" w:cs="Arial"/>
          <w:sz w:val="20"/>
          <w:szCs w:val="20"/>
        </w:rPr>
      </w:pPr>
      <w:r w:rsidRPr="00CB221A">
        <w:rPr>
          <w:rStyle w:val="FootnoteReference"/>
          <w:rFonts w:ascii="Arial" w:hAnsi="Arial" w:cs="Arial"/>
          <w:sz w:val="20"/>
          <w:szCs w:val="20"/>
        </w:rPr>
        <w:footnoteRef/>
      </w:r>
      <w:r w:rsidRPr="00CB221A">
        <w:rPr>
          <w:rFonts w:ascii="Arial" w:hAnsi="Arial" w:cs="Arial"/>
          <w:sz w:val="20"/>
          <w:szCs w:val="20"/>
        </w:rPr>
        <w:t xml:space="preserve"> </w:t>
      </w:r>
      <w:r>
        <w:rPr>
          <w:rFonts w:ascii="Arial" w:hAnsi="Arial" w:cs="Arial"/>
          <w:sz w:val="20"/>
          <w:szCs w:val="20"/>
        </w:rPr>
        <w:tab/>
      </w:r>
      <w:r w:rsidRPr="00CB221A">
        <w:rPr>
          <w:rFonts w:ascii="Arial" w:hAnsi="Arial" w:cs="Arial"/>
          <w:sz w:val="20"/>
          <w:szCs w:val="20"/>
        </w:rPr>
        <w:t>The applicant was appointed in terms of s 21(1)(b) of the FAIS Act.</w:t>
      </w:r>
    </w:p>
  </w:footnote>
  <w:footnote w:id="3">
    <w:p w14:paraId="70C483E3" w14:textId="79B9F97F" w:rsidR="009F76BD" w:rsidRDefault="009F76BD" w:rsidP="00CB221A">
      <w:pPr>
        <w:pStyle w:val="FootnoteText"/>
        <w:ind w:left="284" w:hanging="284"/>
        <w:jc w:val="both"/>
      </w:pPr>
      <w:r w:rsidRPr="00CB221A">
        <w:rPr>
          <w:rStyle w:val="FootnoteReference"/>
          <w:rFonts w:ascii="Arial" w:hAnsi="Arial" w:cs="Arial"/>
          <w:sz w:val="20"/>
          <w:szCs w:val="20"/>
        </w:rPr>
        <w:footnoteRef/>
      </w:r>
      <w:r w:rsidRPr="00CB221A">
        <w:rPr>
          <w:rFonts w:ascii="Arial" w:hAnsi="Arial" w:cs="Arial"/>
          <w:sz w:val="20"/>
          <w:szCs w:val="20"/>
        </w:rPr>
        <w:t xml:space="preserve"> </w:t>
      </w:r>
      <w:r>
        <w:rPr>
          <w:rFonts w:ascii="Arial" w:hAnsi="Arial" w:cs="Arial"/>
          <w:sz w:val="20"/>
          <w:szCs w:val="20"/>
        </w:rPr>
        <w:tab/>
      </w:r>
      <w:r w:rsidRPr="00CB221A">
        <w:rPr>
          <w:rFonts w:ascii="Arial" w:hAnsi="Arial" w:cs="Arial"/>
          <w:sz w:val="20"/>
          <w:szCs w:val="20"/>
        </w:rPr>
        <w:t>9 of 2017.</w:t>
      </w:r>
    </w:p>
  </w:footnote>
  <w:footnote w:id="4">
    <w:p w14:paraId="22FED2BB" w14:textId="630ADEB4" w:rsidR="003E6105" w:rsidRPr="003E6105" w:rsidRDefault="003E6105" w:rsidP="003E6105">
      <w:pPr>
        <w:pStyle w:val="FootnoteText"/>
        <w:ind w:left="284" w:hanging="284"/>
        <w:rPr>
          <w:lang w:val="en-US"/>
        </w:rPr>
      </w:pPr>
      <w:r>
        <w:rPr>
          <w:rStyle w:val="FootnoteReference"/>
        </w:rPr>
        <w:footnoteRef/>
      </w:r>
      <w:r>
        <w:t xml:space="preserve"> </w:t>
      </w:r>
      <w:r>
        <w:rPr>
          <w:lang w:val="en-US"/>
        </w:rPr>
        <w:t xml:space="preserve">   </w:t>
      </w:r>
      <w:r w:rsidRPr="003E6105">
        <w:rPr>
          <w:rFonts w:ascii="Arial" w:hAnsi="Arial" w:cs="Arial"/>
          <w:sz w:val="20"/>
          <w:szCs w:val="20"/>
          <w:lang w:val="en-US"/>
        </w:rPr>
        <w:t xml:space="preserve">Amended section 21 now specifically vests the Minister with the power to appoint and remove the </w:t>
      </w:r>
      <w:r>
        <w:rPr>
          <w:rFonts w:ascii="Arial" w:hAnsi="Arial" w:cs="Arial"/>
          <w:sz w:val="20"/>
          <w:szCs w:val="20"/>
          <w:lang w:val="en-US"/>
        </w:rPr>
        <w:t xml:space="preserve">  </w:t>
      </w:r>
      <w:r w:rsidRPr="003E6105">
        <w:rPr>
          <w:rFonts w:ascii="Arial" w:hAnsi="Arial" w:cs="Arial"/>
          <w:sz w:val="20"/>
          <w:szCs w:val="20"/>
          <w:lang w:val="en-US"/>
        </w:rPr>
        <w:t>ombud and deputy ombud. The Board only determines the remuneration and other terms of appointment.</w:t>
      </w:r>
    </w:p>
  </w:footnote>
  <w:footnote w:id="5">
    <w:p w14:paraId="53B4C29E" w14:textId="6DE8171D" w:rsidR="009F76BD" w:rsidRPr="009E3470" w:rsidRDefault="009F76BD" w:rsidP="00CB221A">
      <w:pPr>
        <w:pStyle w:val="FootnoteText"/>
        <w:ind w:left="284" w:hanging="284"/>
        <w:jc w:val="both"/>
        <w:rPr>
          <w:rFonts w:ascii="Arial" w:hAnsi="Arial" w:cs="Arial"/>
          <w:b/>
          <w:bCs/>
          <w:sz w:val="20"/>
          <w:szCs w:val="20"/>
        </w:rPr>
      </w:pPr>
      <w:r w:rsidRPr="00F07080">
        <w:rPr>
          <w:rStyle w:val="FootnoteReference"/>
          <w:rFonts w:ascii="Arial" w:hAnsi="Arial" w:cs="Arial"/>
          <w:sz w:val="20"/>
          <w:szCs w:val="20"/>
        </w:rPr>
        <w:footnoteRef/>
      </w:r>
      <w:r w:rsidRPr="00F07080">
        <w:rPr>
          <w:rFonts w:ascii="Arial" w:hAnsi="Arial" w:cs="Arial"/>
          <w:sz w:val="20"/>
          <w:szCs w:val="20"/>
        </w:rPr>
        <w:t xml:space="preserve"> </w:t>
      </w:r>
      <w:r w:rsidRPr="00F07080">
        <w:rPr>
          <w:rFonts w:ascii="Arial" w:hAnsi="Arial" w:cs="Arial"/>
          <w:sz w:val="20"/>
          <w:szCs w:val="20"/>
        </w:rPr>
        <w:tab/>
        <w:t>3 of 2000</w:t>
      </w:r>
      <w:r w:rsidR="004F70D5" w:rsidRPr="00F07080">
        <w:rPr>
          <w:rFonts w:ascii="Arial" w:hAnsi="Arial" w:cs="Arial"/>
          <w:sz w:val="20"/>
          <w:szCs w:val="20"/>
        </w:rPr>
        <w:t xml:space="preserve">.  The appointment and removal of the Deputy Ombud in terms of s 21 of the FAIS Act falls squarely within the definition of “administrative action” set out in s 1 of PAJA.  </w:t>
      </w:r>
      <w:r w:rsidR="009E3470" w:rsidRPr="00F07080">
        <w:rPr>
          <w:rFonts w:ascii="Arial" w:hAnsi="Arial" w:cs="Arial"/>
          <w:sz w:val="20"/>
          <w:szCs w:val="20"/>
        </w:rPr>
        <w:t xml:space="preserve">The office of the Ombud is listed as a schedule 3A Public Entity in terms of the Public Finance Management Act 1 of 1999.  </w:t>
      </w:r>
      <w:r w:rsidR="004F70D5" w:rsidRPr="00F07080">
        <w:rPr>
          <w:rFonts w:ascii="Arial" w:hAnsi="Arial" w:cs="Arial"/>
          <w:sz w:val="20"/>
          <w:szCs w:val="20"/>
        </w:rPr>
        <w:t xml:space="preserve">See also </w:t>
      </w:r>
      <w:r w:rsidR="004F70D5" w:rsidRPr="00F07080">
        <w:rPr>
          <w:rFonts w:ascii="Arial" w:hAnsi="Arial" w:cs="Arial"/>
          <w:i/>
          <w:iCs/>
          <w:sz w:val="20"/>
          <w:szCs w:val="20"/>
        </w:rPr>
        <w:t>Police and Prisons Civil Rights Union and Others v Minister of Correctional Services and Others</w:t>
      </w:r>
      <w:r w:rsidR="004F70D5" w:rsidRPr="00F07080">
        <w:rPr>
          <w:rFonts w:ascii="Arial" w:hAnsi="Arial" w:cs="Arial"/>
          <w:sz w:val="20"/>
          <w:szCs w:val="20"/>
        </w:rPr>
        <w:t xml:space="preserve"> 2008 (3) SA 91 (E) at para 53 in which it was held: </w:t>
      </w:r>
      <w:r w:rsidR="009E3470" w:rsidRPr="00F07080">
        <w:rPr>
          <w:rFonts w:ascii="Arial" w:hAnsi="Arial" w:cs="Arial"/>
          <w:iCs/>
          <w:sz w:val="20"/>
          <w:szCs w:val="20"/>
        </w:rPr>
        <w:t>“</w:t>
      </w:r>
      <w:r w:rsidR="009E3470" w:rsidRPr="00F07080">
        <w:rPr>
          <w:rFonts w:ascii="Arial" w:hAnsi="Arial" w:cs="Arial"/>
          <w:i/>
          <w:sz w:val="20"/>
          <w:szCs w:val="20"/>
        </w:rPr>
        <w:t>what makes the power involved a public power is the fact that it has been invested in a public functionary who is required to exercise it in the public interests and not in his or her own private interest or at his or her own whim.”</w:t>
      </w:r>
    </w:p>
  </w:footnote>
  <w:footnote w:id="6">
    <w:p w14:paraId="5E1B773E" w14:textId="5A3F4914" w:rsidR="009F76BD" w:rsidRDefault="009F76BD" w:rsidP="00CB221A">
      <w:pPr>
        <w:pStyle w:val="FootnoteText"/>
        <w:ind w:left="284" w:hanging="284"/>
        <w:jc w:val="both"/>
      </w:pPr>
      <w:r w:rsidRPr="00CB221A">
        <w:rPr>
          <w:rStyle w:val="FootnoteReference"/>
          <w:rFonts w:ascii="Arial" w:hAnsi="Arial" w:cs="Arial"/>
          <w:sz w:val="20"/>
          <w:szCs w:val="20"/>
        </w:rPr>
        <w:footnoteRef/>
      </w:r>
      <w:r w:rsidRPr="00CB221A">
        <w:rPr>
          <w:rFonts w:ascii="Arial" w:hAnsi="Arial" w:cs="Arial"/>
          <w:sz w:val="20"/>
          <w:szCs w:val="20"/>
        </w:rPr>
        <w:t xml:space="preserve"> </w:t>
      </w:r>
      <w:r>
        <w:rPr>
          <w:rFonts w:ascii="Arial" w:hAnsi="Arial" w:cs="Arial"/>
          <w:sz w:val="20"/>
          <w:szCs w:val="20"/>
        </w:rPr>
        <w:tab/>
      </w:r>
      <w:r w:rsidR="00BB2E5E">
        <w:rPr>
          <w:rFonts w:ascii="Arial" w:hAnsi="Arial" w:cs="Arial"/>
          <w:sz w:val="20"/>
          <w:szCs w:val="20"/>
        </w:rPr>
        <w:t xml:space="preserve">PAJA - </w:t>
      </w:r>
      <w:r w:rsidRPr="00CB221A">
        <w:rPr>
          <w:rFonts w:ascii="Arial" w:hAnsi="Arial" w:cs="Arial"/>
          <w:sz w:val="20"/>
          <w:szCs w:val="20"/>
        </w:rPr>
        <w:t>Section 6(2)(c)</w:t>
      </w:r>
      <w:r w:rsidR="00BB2E5E">
        <w:rPr>
          <w:rFonts w:ascii="Arial" w:hAnsi="Arial" w:cs="Arial"/>
          <w:sz w:val="20"/>
          <w:szCs w:val="20"/>
        </w:rPr>
        <w:t>.</w:t>
      </w:r>
    </w:p>
  </w:footnote>
  <w:footnote w:id="7">
    <w:p w14:paraId="39356676" w14:textId="48E36D64" w:rsidR="009F76BD" w:rsidRPr="00CB221A" w:rsidRDefault="009F76BD" w:rsidP="00CB221A">
      <w:pPr>
        <w:pStyle w:val="FootnoteText"/>
        <w:ind w:left="284" w:hanging="284"/>
        <w:jc w:val="both"/>
        <w:rPr>
          <w:rFonts w:ascii="Arial" w:hAnsi="Arial" w:cs="Arial"/>
          <w:sz w:val="20"/>
          <w:szCs w:val="20"/>
        </w:rPr>
      </w:pPr>
      <w:r w:rsidRPr="00CB221A">
        <w:rPr>
          <w:rStyle w:val="FootnoteReference"/>
          <w:rFonts w:ascii="Arial" w:hAnsi="Arial" w:cs="Arial"/>
          <w:sz w:val="20"/>
          <w:szCs w:val="20"/>
        </w:rPr>
        <w:footnoteRef/>
      </w:r>
      <w:r w:rsidRPr="00CB221A">
        <w:rPr>
          <w:rFonts w:ascii="Arial" w:hAnsi="Arial" w:cs="Arial"/>
          <w:sz w:val="20"/>
          <w:szCs w:val="20"/>
        </w:rPr>
        <w:t xml:space="preserve"> </w:t>
      </w:r>
      <w:r>
        <w:rPr>
          <w:rFonts w:ascii="Arial" w:hAnsi="Arial" w:cs="Arial"/>
          <w:sz w:val="20"/>
          <w:szCs w:val="20"/>
        </w:rPr>
        <w:tab/>
      </w:r>
      <w:r w:rsidR="004F3706">
        <w:rPr>
          <w:rFonts w:ascii="Arial" w:hAnsi="Arial" w:cs="Arial"/>
          <w:sz w:val="20"/>
          <w:szCs w:val="20"/>
        </w:rPr>
        <w:t xml:space="preserve">Ibid </w:t>
      </w:r>
      <w:r w:rsidRPr="00CB221A">
        <w:rPr>
          <w:rFonts w:ascii="Arial" w:hAnsi="Arial" w:cs="Arial"/>
          <w:sz w:val="20"/>
          <w:szCs w:val="20"/>
        </w:rPr>
        <w:t>Section 6(2)(e)(i)</w:t>
      </w:r>
      <w:r w:rsidR="00BB2E5E">
        <w:rPr>
          <w:rFonts w:ascii="Arial" w:hAnsi="Arial" w:cs="Arial"/>
          <w:sz w:val="20"/>
          <w:szCs w:val="20"/>
        </w:rPr>
        <w:t>.</w:t>
      </w:r>
      <w:r w:rsidRPr="00CB221A">
        <w:rPr>
          <w:rFonts w:ascii="Arial" w:hAnsi="Arial" w:cs="Arial"/>
          <w:sz w:val="20"/>
          <w:szCs w:val="20"/>
        </w:rPr>
        <w:t xml:space="preserve"> </w:t>
      </w:r>
    </w:p>
  </w:footnote>
  <w:footnote w:id="8">
    <w:p w14:paraId="6B57F19C" w14:textId="57E86919" w:rsidR="009F76BD" w:rsidRPr="00CB221A" w:rsidRDefault="009F76BD" w:rsidP="00CB221A">
      <w:pPr>
        <w:pStyle w:val="FootnoteText"/>
        <w:ind w:left="284" w:hanging="284"/>
        <w:jc w:val="both"/>
        <w:rPr>
          <w:rFonts w:ascii="Arial" w:hAnsi="Arial" w:cs="Arial"/>
          <w:sz w:val="20"/>
          <w:szCs w:val="20"/>
        </w:rPr>
      </w:pPr>
      <w:r w:rsidRPr="00CB221A">
        <w:rPr>
          <w:rStyle w:val="FootnoteReference"/>
          <w:rFonts w:ascii="Arial" w:hAnsi="Arial" w:cs="Arial"/>
          <w:sz w:val="20"/>
          <w:szCs w:val="20"/>
        </w:rPr>
        <w:footnoteRef/>
      </w:r>
      <w:r w:rsidRPr="00CB221A">
        <w:rPr>
          <w:rFonts w:ascii="Arial" w:hAnsi="Arial" w:cs="Arial"/>
          <w:sz w:val="20"/>
          <w:szCs w:val="20"/>
        </w:rPr>
        <w:t xml:space="preserve">  </w:t>
      </w:r>
      <w:r>
        <w:rPr>
          <w:rFonts w:ascii="Arial" w:hAnsi="Arial" w:cs="Arial"/>
          <w:sz w:val="20"/>
          <w:szCs w:val="20"/>
        </w:rPr>
        <w:tab/>
      </w:r>
      <w:r w:rsidR="004F3706">
        <w:rPr>
          <w:rFonts w:ascii="Arial" w:hAnsi="Arial" w:cs="Arial"/>
          <w:sz w:val="20"/>
          <w:szCs w:val="20"/>
        </w:rPr>
        <w:t xml:space="preserve">Ibid </w:t>
      </w:r>
      <w:r w:rsidRPr="00CB221A">
        <w:rPr>
          <w:rFonts w:ascii="Arial" w:hAnsi="Arial" w:cs="Arial"/>
          <w:sz w:val="20"/>
          <w:szCs w:val="20"/>
        </w:rPr>
        <w:t>Section 6(2)(e)(ii)</w:t>
      </w:r>
      <w:r w:rsidR="00BB2E5E">
        <w:rPr>
          <w:rFonts w:ascii="Arial" w:hAnsi="Arial" w:cs="Arial"/>
          <w:sz w:val="20"/>
          <w:szCs w:val="20"/>
        </w:rPr>
        <w:t>.</w:t>
      </w:r>
      <w:r w:rsidRPr="00CB221A">
        <w:rPr>
          <w:rFonts w:ascii="Arial" w:hAnsi="Arial" w:cs="Arial"/>
          <w:sz w:val="20"/>
          <w:szCs w:val="20"/>
        </w:rPr>
        <w:t xml:space="preserve"> </w:t>
      </w:r>
    </w:p>
  </w:footnote>
  <w:footnote w:id="9">
    <w:p w14:paraId="65C3E6B7" w14:textId="0A14C0C6" w:rsidR="009F76BD" w:rsidRPr="00CB221A" w:rsidRDefault="009F76BD" w:rsidP="00CB221A">
      <w:pPr>
        <w:pStyle w:val="FootnoteText"/>
        <w:ind w:left="284" w:hanging="284"/>
        <w:jc w:val="both"/>
        <w:rPr>
          <w:rFonts w:ascii="Arial" w:hAnsi="Arial" w:cs="Arial"/>
          <w:sz w:val="20"/>
          <w:szCs w:val="20"/>
        </w:rPr>
      </w:pPr>
      <w:r w:rsidRPr="00CB221A">
        <w:rPr>
          <w:rStyle w:val="FootnoteReference"/>
          <w:rFonts w:ascii="Arial" w:hAnsi="Arial" w:cs="Arial"/>
          <w:sz w:val="20"/>
          <w:szCs w:val="20"/>
        </w:rPr>
        <w:footnoteRef/>
      </w:r>
      <w:r w:rsidRPr="00CB221A">
        <w:rPr>
          <w:rFonts w:ascii="Arial" w:hAnsi="Arial" w:cs="Arial"/>
          <w:sz w:val="20"/>
          <w:szCs w:val="20"/>
        </w:rPr>
        <w:t xml:space="preserve">  </w:t>
      </w:r>
      <w:r>
        <w:rPr>
          <w:rFonts w:ascii="Arial" w:hAnsi="Arial" w:cs="Arial"/>
          <w:sz w:val="20"/>
          <w:szCs w:val="20"/>
        </w:rPr>
        <w:tab/>
      </w:r>
      <w:r w:rsidR="004F3706">
        <w:rPr>
          <w:rFonts w:ascii="Arial" w:hAnsi="Arial" w:cs="Arial"/>
          <w:sz w:val="20"/>
          <w:szCs w:val="20"/>
        </w:rPr>
        <w:t xml:space="preserve">Ibid </w:t>
      </w:r>
      <w:r w:rsidRPr="00CB221A">
        <w:rPr>
          <w:rFonts w:ascii="Arial" w:hAnsi="Arial" w:cs="Arial"/>
          <w:sz w:val="20"/>
          <w:szCs w:val="20"/>
        </w:rPr>
        <w:t>Section 6(2)(e)(iii)</w:t>
      </w:r>
      <w:r w:rsidR="00BB2E5E">
        <w:rPr>
          <w:rFonts w:ascii="Arial" w:hAnsi="Arial" w:cs="Arial"/>
          <w:sz w:val="20"/>
          <w:szCs w:val="20"/>
        </w:rPr>
        <w:t>.</w:t>
      </w:r>
      <w:r w:rsidRPr="00CB221A">
        <w:rPr>
          <w:rFonts w:ascii="Arial" w:hAnsi="Arial" w:cs="Arial"/>
          <w:sz w:val="20"/>
          <w:szCs w:val="20"/>
        </w:rPr>
        <w:t xml:space="preserve"> </w:t>
      </w:r>
    </w:p>
  </w:footnote>
  <w:footnote w:id="10">
    <w:p w14:paraId="007AE6C2" w14:textId="5934137E" w:rsidR="009F76BD" w:rsidRPr="00CB221A" w:rsidRDefault="009F76BD" w:rsidP="00CB221A">
      <w:pPr>
        <w:pStyle w:val="FootnoteText"/>
        <w:ind w:left="284" w:hanging="284"/>
        <w:jc w:val="both"/>
        <w:rPr>
          <w:rFonts w:ascii="Arial" w:hAnsi="Arial" w:cs="Arial"/>
          <w:sz w:val="20"/>
          <w:szCs w:val="20"/>
        </w:rPr>
      </w:pPr>
      <w:r w:rsidRPr="00CB221A">
        <w:rPr>
          <w:rStyle w:val="FootnoteReference"/>
          <w:rFonts w:ascii="Arial" w:hAnsi="Arial" w:cs="Arial"/>
          <w:sz w:val="20"/>
          <w:szCs w:val="20"/>
        </w:rPr>
        <w:footnoteRef/>
      </w:r>
      <w:r w:rsidRPr="00CB221A">
        <w:rPr>
          <w:rFonts w:ascii="Arial" w:hAnsi="Arial" w:cs="Arial"/>
          <w:sz w:val="20"/>
          <w:szCs w:val="20"/>
        </w:rPr>
        <w:t xml:space="preserve">  </w:t>
      </w:r>
      <w:r>
        <w:rPr>
          <w:rFonts w:ascii="Arial" w:hAnsi="Arial" w:cs="Arial"/>
          <w:sz w:val="20"/>
          <w:szCs w:val="20"/>
        </w:rPr>
        <w:tab/>
      </w:r>
      <w:r w:rsidR="004F3706">
        <w:rPr>
          <w:rFonts w:ascii="Arial" w:hAnsi="Arial" w:cs="Arial"/>
          <w:sz w:val="20"/>
          <w:szCs w:val="20"/>
        </w:rPr>
        <w:t xml:space="preserve">Ibid </w:t>
      </w:r>
      <w:r w:rsidRPr="00CB221A">
        <w:rPr>
          <w:rFonts w:ascii="Arial" w:hAnsi="Arial" w:cs="Arial"/>
          <w:sz w:val="20"/>
          <w:szCs w:val="20"/>
        </w:rPr>
        <w:t>Section 6(2)(e)(iv)</w:t>
      </w:r>
      <w:r w:rsidR="00BB2E5E">
        <w:rPr>
          <w:rFonts w:ascii="Arial" w:hAnsi="Arial" w:cs="Arial"/>
          <w:sz w:val="20"/>
          <w:szCs w:val="20"/>
        </w:rPr>
        <w:t>.</w:t>
      </w:r>
      <w:r w:rsidRPr="00CB221A">
        <w:rPr>
          <w:rFonts w:ascii="Arial" w:hAnsi="Arial" w:cs="Arial"/>
          <w:sz w:val="20"/>
          <w:szCs w:val="20"/>
        </w:rPr>
        <w:t xml:space="preserve"> </w:t>
      </w:r>
    </w:p>
  </w:footnote>
  <w:footnote w:id="11">
    <w:p w14:paraId="0D10161C" w14:textId="3DDC9F04" w:rsidR="009F76BD" w:rsidRDefault="009F76BD" w:rsidP="00CB221A">
      <w:pPr>
        <w:pStyle w:val="FootnoteText"/>
        <w:ind w:left="284" w:hanging="284"/>
        <w:jc w:val="both"/>
      </w:pPr>
      <w:r w:rsidRPr="00CB221A">
        <w:rPr>
          <w:rStyle w:val="FootnoteReference"/>
          <w:rFonts w:ascii="Arial" w:hAnsi="Arial" w:cs="Arial"/>
          <w:sz w:val="20"/>
          <w:szCs w:val="20"/>
        </w:rPr>
        <w:footnoteRef/>
      </w:r>
      <w:r w:rsidRPr="00CB221A">
        <w:rPr>
          <w:rFonts w:ascii="Arial" w:hAnsi="Arial" w:cs="Arial"/>
          <w:sz w:val="20"/>
          <w:szCs w:val="20"/>
        </w:rPr>
        <w:t xml:space="preserve"> </w:t>
      </w:r>
      <w:r w:rsidR="00BB2E5E">
        <w:rPr>
          <w:rFonts w:ascii="Arial" w:hAnsi="Arial" w:cs="Arial"/>
          <w:sz w:val="20"/>
          <w:szCs w:val="20"/>
        </w:rPr>
        <w:t xml:space="preserve"> I</w:t>
      </w:r>
      <w:r w:rsidR="004F3706">
        <w:rPr>
          <w:rFonts w:ascii="Arial" w:hAnsi="Arial" w:cs="Arial"/>
          <w:sz w:val="20"/>
          <w:szCs w:val="20"/>
        </w:rPr>
        <w:t>bid</w:t>
      </w:r>
      <w:r w:rsidR="00BB2E5E">
        <w:rPr>
          <w:rFonts w:ascii="Arial" w:hAnsi="Arial" w:cs="Arial"/>
          <w:sz w:val="20"/>
          <w:szCs w:val="20"/>
        </w:rPr>
        <w:t xml:space="preserve"> </w:t>
      </w:r>
      <w:r w:rsidRPr="00CB221A">
        <w:rPr>
          <w:rFonts w:ascii="Arial" w:hAnsi="Arial" w:cs="Arial"/>
          <w:sz w:val="20"/>
          <w:szCs w:val="20"/>
        </w:rPr>
        <w:t>Section 6(2)(e)(vi)</w:t>
      </w:r>
      <w:r w:rsidR="00BB2E5E">
        <w:rPr>
          <w:rFonts w:ascii="Arial" w:hAnsi="Arial" w:cs="Arial"/>
          <w:sz w:val="20"/>
          <w:szCs w:val="20"/>
        </w:rPr>
        <w:t>.</w:t>
      </w:r>
      <w:r w:rsidRPr="00CB221A">
        <w:rPr>
          <w:rFonts w:ascii="Arial" w:hAnsi="Arial" w:cs="Arial"/>
          <w:sz w:val="20"/>
          <w:szCs w:val="20"/>
        </w:rPr>
        <w:t xml:space="preserve"> </w:t>
      </w:r>
    </w:p>
  </w:footnote>
  <w:footnote w:id="12">
    <w:p w14:paraId="34BC4E2A" w14:textId="1A3E540A" w:rsidR="00E61791" w:rsidRPr="00ED724B" w:rsidRDefault="00E61791" w:rsidP="00930908">
      <w:pPr>
        <w:ind w:left="142" w:hanging="142"/>
        <w:jc w:val="both"/>
        <w:rPr>
          <w:rFonts w:ascii="Arial" w:hAnsi="Arial" w:cs="Arial"/>
          <w:i/>
          <w:sz w:val="20"/>
          <w:szCs w:val="20"/>
        </w:rPr>
      </w:pPr>
      <w:r w:rsidRPr="00001A34">
        <w:rPr>
          <w:rStyle w:val="FootnoteReference"/>
          <w:rFonts w:ascii="Arial" w:hAnsi="Arial" w:cs="Arial"/>
          <w:sz w:val="20"/>
          <w:szCs w:val="20"/>
        </w:rPr>
        <w:footnoteRef/>
      </w:r>
      <w:r w:rsidRPr="00001A34">
        <w:rPr>
          <w:rFonts w:ascii="Arial" w:hAnsi="Arial" w:cs="Arial"/>
          <w:sz w:val="20"/>
          <w:szCs w:val="20"/>
        </w:rPr>
        <w:t xml:space="preserve"> </w:t>
      </w:r>
      <w:r w:rsidRPr="00001A34">
        <w:rPr>
          <w:rFonts w:ascii="Arial" w:hAnsi="Arial" w:cs="Arial"/>
          <w:i/>
          <w:iCs/>
          <w:sz w:val="20"/>
          <w:szCs w:val="20"/>
        </w:rPr>
        <w:t>Masetlha v President of the Republic of South Africa and Another</w:t>
      </w:r>
      <w:r w:rsidR="00691970" w:rsidRPr="00001A34">
        <w:rPr>
          <w:rFonts w:ascii="Arial" w:hAnsi="Arial" w:cs="Arial"/>
          <w:i/>
          <w:iCs/>
          <w:sz w:val="20"/>
          <w:szCs w:val="20"/>
        </w:rPr>
        <w:t xml:space="preserve"> </w:t>
      </w:r>
      <w:r w:rsidR="00691970" w:rsidRPr="00001A34">
        <w:rPr>
          <w:rFonts w:ascii="Arial" w:hAnsi="Arial" w:cs="Arial"/>
          <w:sz w:val="20"/>
          <w:szCs w:val="20"/>
        </w:rPr>
        <w:t>2008 (1) SA 566 (CC)</w:t>
      </w:r>
      <w:r w:rsidR="00CF3068" w:rsidRPr="00001A34">
        <w:rPr>
          <w:rFonts w:ascii="Arial" w:hAnsi="Arial" w:cs="Arial"/>
          <w:sz w:val="20"/>
          <w:szCs w:val="20"/>
        </w:rPr>
        <w:t xml:space="preserve"> at para 187</w:t>
      </w:r>
      <w:r w:rsidR="00691970" w:rsidRPr="00001A34">
        <w:rPr>
          <w:rFonts w:ascii="Arial" w:hAnsi="Arial" w:cs="Arial"/>
          <w:sz w:val="20"/>
          <w:szCs w:val="20"/>
        </w:rPr>
        <w:t xml:space="preserve"> in which </w:t>
      </w:r>
      <w:r w:rsidR="00CF3068" w:rsidRPr="00001A34">
        <w:rPr>
          <w:rFonts w:ascii="Arial" w:hAnsi="Arial" w:cs="Arial"/>
          <w:sz w:val="20"/>
          <w:szCs w:val="20"/>
        </w:rPr>
        <w:t>it was stated:</w:t>
      </w:r>
      <w:r w:rsidR="00CF3068" w:rsidRPr="00001A34">
        <w:rPr>
          <w:rFonts w:ascii="Arial" w:hAnsi="Arial" w:cs="Arial"/>
          <w:i/>
          <w:sz w:val="20"/>
          <w:szCs w:val="20"/>
        </w:rPr>
        <w:t xml:space="preserve"> “The procedural aspect of the rule of law is generally expressed in the maxim audi alteram partem (the audi principle). This maxim provides that no one should be condemned unheard. It reflects a fundamental principle of fairness that underlies or ought to underlie any just and credible legal order. The maxim expresses a principle of natural justice. What underlies the maxim is the duty on the part of the decision-maker to act fairly. It provides and insurance against arbitrariness. Indeed, consultation prior to taking a decision. This is essential to rationality, the sworn enemy of arbitrariness. This principle is triggered whenever a statute empowers a public official to make a decision which prejudicially affects the property, liberty or existing right of an individual.”</w:t>
      </w:r>
    </w:p>
  </w:footnote>
  <w:footnote w:id="13">
    <w:p w14:paraId="4BAD2F49" w14:textId="6DF80B8F" w:rsidR="00DB2E2D" w:rsidRPr="00F542EB" w:rsidRDefault="00DB2E2D" w:rsidP="00930908">
      <w:pPr>
        <w:pStyle w:val="FootnoteText"/>
        <w:ind w:left="142" w:hanging="142"/>
        <w:jc w:val="both"/>
      </w:pPr>
      <w:r w:rsidRPr="00F542EB">
        <w:rPr>
          <w:rStyle w:val="FootnoteReference"/>
          <w:rFonts w:ascii="Arial" w:hAnsi="Arial" w:cs="Arial"/>
          <w:sz w:val="20"/>
          <w:szCs w:val="20"/>
        </w:rPr>
        <w:footnoteRef/>
      </w:r>
      <w:r w:rsidRPr="00F542EB">
        <w:rPr>
          <w:rFonts w:ascii="Arial" w:hAnsi="Arial" w:cs="Arial"/>
          <w:sz w:val="20"/>
          <w:szCs w:val="20"/>
        </w:rPr>
        <w:t xml:space="preserve"> [2</w:t>
      </w:r>
      <w:r w:rsidR="00F542EB" w:rsidRPr="00F542EB">
        <w:rPr>
          <w:rFonts w:ascii="Arial" w:hAnsi="Arial" w:cs="Arial"/>
          <w:sz w:val="20"/>
          <w:szCs w:val="20"/>
        </w:rPr>
        <w:t>007] 4 All SA 866 (SCA)</w:t>
      </w:r>
      <w:r w:rsidRPr="00F542EB">
        <w:rPr>
          <w:rFonts w:ascii="Arial" w:hAnsi="Arial" w:cs="Arial"/>
          <w:sz w:val="20"/>
          <w:szCs w:val="20"/>
        </w:rPr>
        <w:t xml:space="preserve"> at para</w:t>
      </w:r>
      <w:r w:rsidR="002750D2" w:rsidRPr="00F542EB">
        <w:rPr>
          <w:rFonts w:ascii="Arial" w:hAnsi="Arial" w:cs="Arial"/>
          <w:sz w:val="20"/>
          <w:szCs w:val="20"/>
        </w:rPr>
        <w:t xml:space="preserve"> [19]</w:t>
      </w:r>
      <w:r w:rsidR="00ED724B" w:rsidRPr="00F542EB">
        <w:rPr>
          <w:rFonts w:ascii="Arial" w:hAnsi="Arial" w:cs="Arial"/>
          <w:sz w:val="20"/>
          <w:szCs w:val="20"/>
        </w:rPr>
        <w:t>.</w:t>
      </w:r>
    </w:p>
  </w:footnote>
  <w:footnote w:id="14">
    <w:p w14:paraId="4DFBDBDC" w14:textId="36F9E136" w:rsidR="00DB2E2D" w:rsidRPr="005450DC" w:rsidRDefault="00DB2E2D" w:rsidP="00DB2E2D">
      <w:pPr>
        <w:pStyle w:val="FootnoteText"/>
        <w:ind w:left="284" w:hanging="284"/>
        <w:jc w:val="both"/>
        <w:rPr>
          <w:rFonts w:ascii="Arial" w:hAnsi="Arial" w:cs="Arial"/>
          <w:sz w:val="20"/>
          <w:szCs w:val="20"/>
        </w:rPr>
      </w:pPr>
      <w:r w:rsidRPr="00F542EB">
        <w:rPr>
          <w:rStyle w:val="FootnoteReference"/>
          <w:rFonts w:ascii="Arial" w:hAnsi="Arial" w:cs="Arial"/>
          <w:sz w:val="20"/>
          <w:szCs w:val="20"/>
        </w:rPr>
        <w:footnoteRef/>
      </w:r>
      <w:r w:rsidRPr="00F542EB">
        <w:rPr>
          <w:rFonts w:ascii="Arial" w:hAnsi="Arial" w:cs="Arial"/>
          <w:sz w:val="20"/>
          <w:szCs w:val="20"/>
        </w:rPr>
        <w:t xml:space="preserve"> </w:t>
      </w:r>
      <w:r w:rsidRPr="00F542EB">
        <w:rPr>
          <w:rFonts w:ascii="Arial" w:hAnsi="Arial" w:cs="Arial"/>
          <w:sz w:val="20"/>
          <w:szCs w:val="20"/>
        </w:rPr>
        <w:tab/>
      </w:r>
      <w:r w:rsidR="00ED724B" w:rsidRPr="00F542EB">
        <w:rPr>
          <w:rFonts w:ascii="Arial" w:hAnsi="Arial" w:cs="Arial"/>
          <w:sz w:val="20"/>
          <w:szCs w:val="20"/>
        </w:rPr>
        <w:t>Ibid para [</w:t>
      </w:r>
      <w:r w:rsidR="00C956D1" w:rsidRPr="00F542EB">
        <w:rPr>
          <w:rFonts w:ascii="Arial" w:hAnsi="Arial" w:cs="Arial"/>
          <w:sz w:val="20"/>
          <w:szCs w:val="20"/>
        </w:rPr>
        <w:t>21</w:t>
      </w:r>
      <w:r w:rsidR="00ED724B" w:rsidRPr="00F542EB">
        <w:rPr>
          <w:rFonts w:ascii="Arial" w:hAnsi="Arial" w:cs="Arial"/>
          <w:sz w:val="20"/>
          <w:szCs w:val="20"/>
        </w:rPr>
        <w:t>]</w:t>
      </w:r>
      <w:r w:rsidR="00F542EB">
        <w:rPr>
          <w:rFonts w:ascii="Arial" w:hAnsi="Arial" w:cs="Arial"/>
          <w:sz w:val="20"/>
          <w:szCs w:val="20"/>
        </w:rPr>
        <w:t>.</w:t>
      </w:r>
    </w:p>
  </w:footnote>
  <w:footnote w:id="15">
    <w:p w14:paraId="04FDBE51" w14:textId="3CD7A61D" w:rsidR="007A7BB1" w:rsidRPr="004F3706" w:rsidRDefault="007A7BB1" w:rsidP="00930908">
      <w:pPr>
        <w:pStyle w:val="FootnoteText"/>
        <w:ind w:left="142" w:hanging="142"/>
        <w:rPr>
          <w:lang w:val="en-US"/>
        </w:rPr>
      </w:pPr>
      <w:r w:rsidRPr="004F3706">
        <w:rPr>
          <w:rStyle w:val="FootnoteReference"/>
          <w:rFonts w:ascii="Arial" w:hAnsi="Arial" w:cs="Arial"/>
          <w:sz w:val="20"/>
          <w:szCs w:val="20"/>
        </w:rPr>
        <w:footnoteRef/>
      </w:r>
      <w:r w:rsidRPr="004F3706">
        <w:rPr>
          <w:rFonts w:ascii="Arial" w:hAnsi="Arial" w:cs="Arial"/>
          <w:sz w:val="20"/>
          <w:szCs w:val="20"/>
        </w:rPr>
        <w:t xml:space="preserve"> </w:t>
      </w:r>
      <w:r w:rsidRPr="004F3706">
        <w:rPr>
          <w:rFonts w:ascii="Arial" w:hAnsi="Arial" w:cs="Arial"/>
          <w:i/>
          <w:sz w:val="20"/>
          <w:szCs w:val="20"/>
        </w:rPr>
        <w:t xml:space="preserve">Gauteng Gambling Board and Another v MEC for Economic Development, Gauteng Provincial </w:t>
      </w:r>
      <w:r w:rsidR="00930908">
        <w:rPr>
          <w:rFonts w:ascii="Arial" w:hAnsi="Arial" w:cs="Arial"/>
          <w:i/>
          <w:sz w:val="20"/>
          <w:szCs w:val="20"/>
        </w:rPr>
        <w:t xml:space="preserve">  </w:t>
      </w:r>
      <w:r w:rsidRPr="004F3706">
        <w:rPr>
          <w:rFonts w:ascii="Arial" w:hAnsi="Arial" w:cs="Arial"/>
          <w:i/>
          <w:sz w:val="20"/>
          <w:szCs w:val="20"/>
        </w:rPr>
        <w:t xml:space="preserve">Government </w:t>
      </w:r>
      <w:r w:rsidRPr="004F3706">
        <w:rPr>
          <w:rFonts w:ascii="Arial" w:hAnsi="Arial" w:cs="Arial"/>
          <w:iCs/>
          <w:sz w:val="20"/>
          <w:szCs w:val="20"/>
        </w:rPr>
        <w:t>2013 (5) SA 24 (SCA) at para 47.</w:t>
      </w:r>
    </w:p>
  </w:footnote>
  <w:footnote w:id="16">
    <w:p w14:paraId="10C56B84" w14:textId="380C767C" w:rsidR="00576386" w:rsidRPr="00297C5B" w:rsidRDefault="00576386" w:rsidP="00930908">
      <w:pPr>
        <w:ind w:left="142" w:hanging="142"/>
        <w:jc w:val="both"/>
        <w:rPr>
          <w:rFonts w:ascii="Arial" w:hAnsi="Arial" w:cs="Arial"/>
          <w:i/>
          <w:sz w:val="20"/>
          <w:szCs w:val="20"/>
        </w:rPr>
      </w:pPr>
      <w:r w:rsidRPr="00297C5B">
        <w:rPr>
          <w:rStyle w:val="FootnoteReference"/>
          <w:rFonts w:ascii="Arial" w:hAnsi="Arial" w:cs="Arial"/>
          <w:sz w:val="20"/>
          <w:szCs w:val="20"/>
        </w:rPr>
        <w:footnoteRef/>
      </w:r>
      <w:r w:rsidRPr="00297C5B">
        <w:rPr>
          <w:rFonts w:ascii="Arial" w:hAnsi="Arial" w:cs="Arial"/>
          <w:sz w:val="20"/>
          <w:szCs w:val="20"/>
        </w:rPr>
        <w:t xml:space="preserve"> </w:t>
      </w:r>
      <w:r w:rsidR="007838B5" w:rsidRPr="00297C5B">
        <w:rPr>
          <w:rFonts w:ascii="Arial" w:hAnsi="Arial" w:cs="Arial"/>
          <w:i/>
          <w:sz w:val="20"/>
          <w:szCs w:val="20"/>
        </w:rPr>
        <w:t xml:space="preserve">C and M Fastners CC v Buffalo City Metropolitan Municipality </w:t>
      </w:r>
      <w:r w:rsidR="00A33F33" w:rsidRPr="00297C5B">
        <w:rPr>
          <w:rFonts w:ascii="Arial" w:hAnsi="Arial" w:cs="Arial"/>
          <w:iCs/>
          <w:sz w:val="20"/>
          <w:szCs w:val="20"/>
        </w:rPr>
        <w:t>[</w:t>
      </w:r>
      <w:r w:rsidR="007838B5" w:rsidRPr="00297C5B">
        <w:rPr>
          <w:rFonts w:ascii="Arial" w:hAnsi="Arial" w:cs="Arial"/>
          <w:iCs/>
          <w:sz w:val="20"/>
          <w:szCs w:val="20"/>
        </w:rPr>
        <w:t>2019] ZAECGHC 22 at para 64</w:t>
      </w:r>
      <w:r w:rsidR="00A33F33" w:rsidRPr="00297C5B">
        <w:rPr>
          <w:rFonts w:ascii="Arial" w:hAnsi="Arial" w:cs="Arial"/>
          <w:iCs/>
          <w:sz w:val="20"/>
          <w:szCs w:val="20"/>
        </w:rPr>
        <w:t xml:space="preserve"> in which it was stated: “</w:t>
      </w:r>
      <w:r w:rsidR="00F63104" w:rsidRPr="00297C5B">
        <w:rPr>
          <w:rFonts w:ascii="Arial" w:hAnsi="Arial" w:cs="Arial"/>
          <w:i/>
          <w:sz w:val="20"/>
          <w:szCs w:val="20"/>
        </w:rPr>
        <w:t>"In this matter there were considerable defects in the decision-making process. There was at best no proper reasoning or justification for the decisions taken (if indeed the cancellation was a decision properly taken which is doubtful) these taken in bad faith, irrational and wrongly taking into account considerations given inappropriate weight. This implicates improper purpose and ulterior motive."</w:t>
      </w:r>
    </w:p>
  </w:footnote>
  <w:footnote w:id="17">
    <w:p w14:paraId="7B85898A" w14:textId="70A48BD0" w:rsidR="00836D05" w:rsidRPr="008E4791" w:rsidRDefault="00836D05" w:rsidP="00930908">
      <w:pPr>
        <w:pStyle w:val="FootnoteText"/>
        <w:ind w:left="142" w:hanging="142"/>
        <w:jc w:val="both"/>
      </w:pPr>
      <w:r w:rsidRPr="00297C5B">
        <w:rPr>
          <w:rStyle w:val="FootnoteReference"/>
          <w:rFonts w:ascii="Arial" w:hAnsi="Arial" w:cs="Arial"/>
          <w:sz w:val="20"/>
          <w:szCs w:val="20"/>
        </w:rPr>
        <w:footnoteRef/>
      </w:r>
      <w:r w:rsidRPr="00297C5B">
        <w:rPr>
          <w:rFonts w:ascii="Arial" w:hAnsi="Arial" w:cs="Arial"/>
          <w:sz w:val="20"/>
          <w:szCs w:val="20"/>
        </w:rPr>
        <w:t xml:space="preserve"> [1996] 6 BLLR 794 </w:t>
      </w:r>
      <w:r w:rsidRPr="00297C5B">
        <w:rPr>
          <w:rFonts w:ascii="Arial" w:hAnsi="Arial" w:cs="Arial"/>
          <w:iCs/>
          <w:sz w:val="20"/>
          <w:szCs w:val="20"/>
        </w:rPr>
        <w:t xml:space="preserve">(IC) </w:t>
      </w:r>
      <w:r w:rsidRPr="00297C5B">
        <w:rPr>
          <w:rFonts w:ascii="Arial" w:hAnsi="Arial" w:cs="Arial"/>
          <w:sz w:val="20"/>
          <w:szCs w:val="20"/>
        </w:rPr>
        <w:t>at page797.</w:t>
      </w:r>
      <w:r w:rsidRPr="008E4791">
        <w:t xml:space="preserve"> </w:t>
      </w:r>
    </w:p>
  </w:footnote>
  <w:footnote w:id="18">
    <w:p w14:paraId="72F18BEA" w14:textId="30B5BDDC" w:rsidR="00E13568" w:rsidRPr="00E13568" w:rsidRDefault="00060247" w:rsidP="00930908">
      <w:pPr>
        <w:pStyle w:val="NormalWeb"/>
        <w:shd w:val="clear" w:color="auto" w:fill="FFFFFF"/>
        <w:spacing w:before="144" w:beforeAutospacing="0" w:after="0" w:afterAutospacing="0"/>
        <w:ind w:left="142" w:hanging="142"/>
        <w:jc w:val="both"/>
        <w:rPr>
          <w:rFonts w:ascii="Arial" w:hAnsi="Arial" w:cs="Arial"/>
          <w:i/>
          <w:sz w:val="20"/>
          <w:szCs w:val="20"/>
        </w:rPr>
      </w:pPr>
      <w:r w:rsidRPr="00E13568">
        <w:rPr>
          <w:rStyle w:val="FootnoteReference"/>
          <w:rFonts w:ascii="Arial" w:hAnsi="Arial" w:cs="Arial"/>
          <w:sz w:val="20"/>
          <w:szCs w:val="20"/>
        </w:rPr>
        <w:footnoteRef/>
      </w:r>
      <w:r w:rsidRPr="00E13568">
        <w:rPr>
          <w:rFonts w:ascii="Arial" w:hAnsi="Arial" w:cs="Arial"/>
          <w:sz w:val="20"/>
          <w:szCs w:val="20"/>
        </w:rPr>
        <w:t xml:space="preserve"> </w:t>
      </w:r>
      <w:r w:rsidRPr="00E13568">
        <w:rPr>
          <w:rFonts w:ascii="Arial" w:hAnsi="Arial" w:cs="Arial"/>
          <w:i/>
          <w:iCs/>
          <w:sz w:val="20"/>
          <w:szCs w:val="20"/>
        </w:rPr>
        <w:t>Airports Company South Africa SOC Ltd v Imperial Group Ltd and Other</w:t>
      </w:r>
      <w:r w:rsidR="00614F93" w:rsidRPr="00E13568">
        <w:rPr>
          <w:rFonts w:ascii="Arial" w:hAnsi="Arial" w:cs="Arial"/>
          <w:i/>
          <w:iCs/>
          <w:sz w:val="20"/>
          <w:szCs w:val="20"/>
        </w:rPr>
        <w:t xml:space="preserve">s </w:t>
      </w:r>
      <w:r w:rsidRPr="00E13568">
        <w:rPr>
          <w:rFonts w:ascii="Arial" w:hAnsi="Arial" w:cs="Arial"/>
          <w:sz w:val="20"/>
          <w:szCs w:val="20"/>
        </w:rPr>
        <w:t xml:space="preserve">2020 (4) SA 17 (SCA) at paras </w:t>
      </w:r>
      <w:r w:rsidR="00D953FF" w:rsidRPr="00E13568">
        <w:rPr>
          <w:rFonts w:ascii="Arial" w:hAnsi="Arial" w:cs="Arial"/>
          <w:sz w:val="20"/>
          <w:szCs w:val="20"/>
        </w:rPr>
        <w:t>[</w:t>
      </w:r>
      <w:r w:rsidRPr="00E13568">
        <w:rPr>
          <w:rFonts w:ascii="Arial" w:hAnsi="Arial" w:cs="Arial"/>
          <w:sz w:val="20"/>
          <w:szCs w:val="20"/>
        </w:rPr>
        <w:t>30</w:t>
      </w:r>
      <w:r w:rsidR="00D953FF" w:rsidRPr="00E13568">
        <w:rPr>
          <w:rFonts w:ascii="Arial" w:hAnsi="Arial" w:cs="Arial"/>
          <w:sz w:val="20"/>
          <w:szCs w:val="20"/>
        </w:rPr>
        <w:t>]</w:t>
      </w:r>
      <w:r w:rsidR="00614F93" w:rsidRPr="00E13568">
        <w:rPr>
          <w:rFonts w:ascii="Arial" w:hAnsi="Arial" w:cs="Arial"/>
          <w:sz w:val="20"/>
          <w:szCs w:val="20"/>
        </w:rPr>
        <w:t xml:space="preserve"> – [3</w:t>
      </w:r>
      <w:r w:rsidRPr="00E13568">
        <w:rPr>
          <w:rFonts w:ascii="Arial" w:hAnsi="Arial" w:cs="Arial"/>
          <w:sz w:val="20"/>
          <w:szCs w:val="20"/>
        </w:rPr>
        <w:t>2</w:t>
      </w:r>
      <w:r w:rsidR="00614F93" w:rsidRPr="00E13568">
        <w:rPr>
          <w:rFonts w:ascii="Arial" w:hAnsi="Arial" w:cs="Arial"/>
          <w:sz w:val="20"/>
          <w:szCs w:val="20"/>
        </w:rPr>
        <w:t>]</w:t>
      </w:r>
      <w:r w:rsidR="000272B1" w:rsidRPr="00E13568">
        <w:rPr>
          <w:rFonts w:ascii="Arial" w:hAnsi="Arial" w:cs="Arial"/>
          <w:sz w:val="20"/>
          <w:szCs w:val="20"/>
        </w:rPr>
        <w:t xml:space="preserve">; see also </w:t>
      </w:r>
      <w:r w:rsidR="000272B1" w:rsidRPr="00E13568">
        <w:rPr>
          <w:rFonts w:ascii="Arial" w:hAnsi="Arial" w:cs="Arial"/>
          <w:i/>
          <w:sz w:val="20"/>
          <w:szCs w:val="20"/>
        </w:rPr>
        <w:t>Director-General, Department of Home Affairs and Others v Link and Others</w:t>
      </w:r>
      <w:r w:rsidR="00E13568" w:rsidRPr="00E13568">
        <w:rPr>
          <w:rFonts w:ascii="Arial" w:hAnsi="Arial" w:cs="Arial"/>
          <w:i/>
          <w:sz w:val="20"/>
          <w:szCs w:val="20"/>
        </w:rPr>
        <w:t xml:space="preserve"> </w:t>
      </w:r>
      <w:r w:rsidR="00E13568" w:rsidRPr="00E13568">
        <w:rPr>
          <w:rFonts w:ascii="Arial" w:hAnsi="Arial" w:cs="Arial"/>
          <w:sz w:val="20"/>
          <w:szCs w:val="20"/>
        </w:rPr>
        <w:t>2020 (2) SA 192 (WCC) at para</w:t>
      </w:r>
      <w:r w:rsidR="00D90AC6">
        <w:rPr>
          <w:rFonts w:ascii="Arial" w:hAnsi="Arial" w:cs="Arial"/>
          <w:sz w:val="20"/>
          <w:szCs w:val="20"/>
        </w:rPr>
        <w:t xml:space="preserve"> [64] -</w:t>
      </w:r>
      <w:r w:rsidR="00E13568" w:rsidRPr="00E13568">
        <w:rPr>
          <w:rFonts w:ascii="Arial" w:hAnsi="Arial" w:cs="Arial"/>
          <w:i/>
          <w:sz w:val="20"/>
          <w:szCs w:val="20"/>
        </w:rPr>
        <w:t xml:space="preserve">"In the absence of any ‘good’ reasons for them, the decisions were arbitrary and capricious and were not rationally connected to the information which was before the decision-maker at the time. They were also liable to be set aside on the grounds that they were taken without a mandatory and material conditions (i.e. the furnishing of adequate reasons) which was prescribed by an empowering provision, being complied with…" </w:t>
      </w:r>
    </w:p>
    <w:p w14:paraId="06F6037C" w14:textId="37919575" w:rsidR="00060247" w:rsidRPr="00E13568" w:rsidRDefault="00E13568" w:rsidP="00E13568">
      <w:pPr>
        <w:pStyle w:val="FootnoteText"/>
        <w:rPr>
          <w:rFonts w:ascii="Arial" w:hAnsi="Arial" w:cs="Arial"/>
          <w:sz w:val="20"/>
          <w:szCs w:val="20"/>
          <w:lang w:val="en-US"/>
        </w:rPr>
      </w:pPr>
      <w:r w:rsidRPr="00E13568">
        <w:rPr>
          <w:rFonts w:ascii="Arial" w:hAnsi="Arial" w:cs="Arial"/>
          <w:sz w:val="20"/>
          <w:szCs w:val="20"/>
        </w:rPr>
        <w:t xml:space="preserve"> 64 –“</w:t>
      </w:r>
    </w:p>
  </w:footnote>
  <w:footnote w:id="19">
    <w:p w14:paraId="6AF1C2E5" w14:textId="40E5CB85" w:rsidR="009F76BD" w:rsidRPr="00686C67" w:rsidRDefault="009F76BD" w:rsidP="00E13568">
      <w:pPr>
        <w:pStyle w:val="FootnoteText"/>
        <w:ind w:left="284" w:hanging="284"/>
        <w:rPr>
          <w:rFonts w:ascii="Arial" w:hAnsi="Arial" w:cs="Arial"/>
          <w:sz w:val="20"/>
          <w:szCs w:val="20"/>
          <w:lang w:val="en-US"/>
        </w:rPr>
      </w:pPr>
      <w:r w:rsidRPr="00686C67">
        <w:rPr>
          <w:rStyle w:val="FootnoteReference"/>
          <w:rFonts w:ascii="Arial" w:hAnsi="Arial" w:cs="Arial"/>
          <w:sz w:val="20"/>
          <w:szCs w:val="20"/>
        </w:rPr>
        <w:footnoteRef/>
      </w:r>
      <w:r w:rsidRPr="00686C67">
        <w:rPr>
          <w:rFonts w:ascii="Arial" w:hAnsi="Arial" w:cs="Arial"/>
          <w:sz w:val="20"/>
          <w:szCs w:val="20"/>
        </w:rPr>
        <w:t xml:space="preserve"> </w:t>
      </w:r>
      <w:r w:rsidRPr="00686C67">
        <w:rPr>
          <w:rFonts w:ascii="Arial" w:hAnsi="Arial" w:cs="Arial"/>
          <w:sz w:val="20"/>
          <w:szCs w:val="20"/>
        </w:rPr>
        <w:tab/>
      </w:r>
      <w:r w:rsidRPr="00686C67">
        <w:rPr>
          <w:rFonts w:ascii="Arial" w:hAnsi="Arial" w:cs="Arial"/>
          <w:sz w:val="20"/>
          <w:szCs w:val="20"/>
          <w:lang w:val="en-US"/>
        </w:rPr>
        <w:t>2021 (3) SA 25 (SCA).</w:t>
      </w:r>
      <w:r w:rsidR="008C0FC7" w:rsidRPr="00686C67">
        <w:rPr>
          <w:rFonts w:ascii="Arial" w:hAnsi="Arial" w:cs="Arial"/>
          <w:sz w:val="20"/>
          <w:szCs w:val="20"/>
          <w:lang w:val="en-US"/>
        </w:rPr>
        <w:t xml:space="preserve">  See also Gqwetha v Transkei Development Corporation Ltd and Others 2006 (2) SA 603 (SCA) at paras [22] – [23].</w:t>
      </w:r>
    </w:p>
  </w:footnote>
  <w:footnote w:id="20">
    <w:p w14:paraId="566FAFCD" w14:textId="0DC0B482" w:rsidR="009F76BD" w:rsidRPr="00686C67" w:rsidRDefault="009F76BD" w:rsidP="009F76BD">
      <w:pPr>
        <w:pStyle w:val="FootnoteText"/>
        <w:ind w:left="284" w:hanging="284"/>
        <w:jc w:val="both"/>
        <w:rPr>
          <w:rFonts w:ascii="Arial" w:hAnsi="Arial" w:cs="Arial"/>
          <w:sz w:val="20"/>
          <w:szCs w:val="20"/>
          <w:lang w:val="en-US"/>
        </w:rPr>
      </w:pPr>
      <w:r w:rsidRPr="00686C67">
        <w:rPr>
          <w:rStyle w:val="FootnoteReference"/>
          <w:rFonts w:ascii="Arial" w:hAnsi="Arial" w:cs="Arial"/>
          <w:sz w:val="20"/>
          <w:szCs w:val="20"/>
        </w:rPr>
        <w:footnoteRef/>
      </w:r>
      <w:r w:rsidRPr="00686C67">
        <w:rPr>
          <w:rFonts w:ascii="Arial" w:hAnsi="Arial" w:cs="Arial"/>
          <w:sz w:val="20"/>
          <w:szCs w:val="20"/>
        </w:rPr>
        <w:t xml:space="preserve"> </w:t>
      </w:r>
      <w:r w:rsidRPr="00686C67">
        <w:rPr>
          <w:rFonts w:ascii="Arial" w:hAnsi="Arial" w:cs="Arial"/>
          <w:sz w:val="20"/>
          <w:szCs w:val="20"/>
        </w:rPr>
        <w:tab/>
      </w:r>
      <w:r w:rsidRPr="00686C67">
        <w:rPr>
          <w:rFonts w:ascii="Arial" w:hAnsi="Arial" w:cs="Arial"/>
          <w:sz w:val="20"/>
          <w:szCs w:val="20"/>
          <w:lang w:val="en-US"/>
        </w:rPr>
        <w:t>[2013] 4 ALL SA 639 (SCA) at paras [26] and [27].</w:t>
      </w:r>
    </w:p>
  </w:footnote>
  <w:footnote w:id="21">
    <w:p w14:paraId="4F389636" w14:textId="34D98F2F" w:rsidR="009F76BD" w:rsidRPr="009F76BD" w:rsidRDefault="009F76BD" w:rsidP="009F76BD">
      <w:pPr>
        <w:pStyle w:val="FootnoteText"/>
        <w:ind w:left="284" w:hanging="284"/>
        <w:jc w:val="both"/>
        <w:rPr>
          <w:lang w:val="en-US"/>
        </w:rPr>
      </w:pPr>
      <w:r w:rsidRPr="00686C67">
        <w:rPr>
          <w:rStyle w:val="FootnoteReference"/>
          <w:rFonts w:ascii="Arial" w:hAnsi="Arial" w:cs="Arial"/>
          <w:sz w:val="20"/>
          <w:szCs w:val="20"/>
        </w:rPr>
        <w:footnoteRef/>
      </w:r>
      <w:r w:rsidRPr="00686C67">
        <w:rPr>
          <w:rFonts w:ascii="Arial" w:hAnsi="Arial" w:cs="Arial"/>
          <w:sz w:val="20"/>
          <w:szCs w:val="20"/>
        </w:rPr>
        <w:t xml:space="preserve"> </w:t>
      </w:r>
      <w:r w:rsidRPr="00686C67">
        <w:rPr>
          <w:rFonts w:ascii="Arial" w:hAnsi="Arial" w:cs="Arial"/>
          <w:sz w:val="20"/>
          <w:szCs w:val="20"/>
        </w:rPr>
        <w:tab/>
      </w:r>
      <w:r w:rsidRPr="00686C67">
        <w:rPr>
          <w:rFonts w:ascii="Arial" w:hAnsi="Arial" w:cs="Arial"/>
          <w:sz w:val="20"/>
          <w:szCs w:val="20"/>
          <w:lang w:val="en-US"/>
        </w:rPr>
        <w:t>2017 (4) SA 223 (CC) at para [46].</w:t>
      </w:r>
    </w:p>
  </w:footnote>
  <w:footnote w:id="22">
    <w:p w14:paraId="114ECBE2" w14:textId="77777777" w:rsidR="00A21A9E" w:rsidRPr="00730AD5" w:rsidRDefault="00A21A9E" w:rsidP="00A21A9E">
      <w:pPr>
        <w:pStyle w:val="FootnoteText"/>
        <w:ind w:left="284" w:hanging="284"/>
        <w:jc w:val="both"/>
        <w:rPr>
          <w:rFonts w:ascii="Arial" w:hAnsi="Arial" w:cs="Arial"/>
          <w:sz w:val="20"/>
          <w:szCs w:val="20"/>
          <w:lang w:val="en-US"/>
        </w:rPr>
      </w:pPr>
      <w:r w:rsidRPr="00730AD5">
        <w:rPr>
          <w:rStyle w:val="FootnoteReference"/>
          <w:rFonts w:ascii="Arial" w:hAnsi="Arial" w:cs="Arial"/>
          <w:sz w:val="20"/>
          <w:szCs w:val="20"/>
        </w:rPr>
        <w:footnoteRef/>
      </w:r>
      <w:r w:rsidRPr="00730AD5">
        <w:rPr>
          <w:rFonts w:ascii="Arial" w:hAnsi="Arial" w:cs="Arial"/>
          <w:sz w:val="20"/>
          <w:szCs w:val="20"/>
        </w:rPr>
        <w:t xml:space="preserve"> </w:t>
      </w:r>
      <w:r w:rsidRPr="00730AD5">
        <w:rPr>
          <w:rFonts w:ascii="Arial" w:hAnsi="Arial" w:cs="Arial"/>
          <w:sz w:val="20"/>
          <w:szCs w:val="20"/>
        </w:rPr>
        <w:tab/>
      </w:r>
      <w:r w:rsidRPr="00730AD5">
        <w:rPr>
          <w:rFonts w:ascii="Arial" w:hAnsi="Arial" w:cs="Arial"/>
          <w:sz w:val="20"/>
          <w:szCs w:val="20"/>
          <w:lang w:val="en-US"/>
        </w:rPr>
        <w:t>See Saloojee v Minister of Community Development 1965 (2) 135 (A) at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9F76BD" w:rsidRDefault="009F76BD" w:rsidP="009F76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9F76BD" w:rsidRDefault="009F76BD"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9F76BD" w:rsidRDefault="009F76BD" w:rsidP="009F76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1D8">
      <w:rPr>
        <w:rStyle w:val="PageNumber"/>
        <w:noProof/>
      </w:rPr>
      <w:t>3</w:t>
    </w:r>
    <w:r>
      <w:rPr>
        <w:rStyle w:val="PageNumber"/>
      </w:rPr>
      <w:fldChar w:fldCharType="end"/>
    </w:r>
  </w:p>
  <w:p w14:paraId="7E704A95" w14:textId="77777777" w:rsidR="009F76BD" w:rsidRDefault="009F76BD"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1">
    <w:nsid w:val="3B195D4A"/>
    <w:multiLevelType w:val="hybridMultilevel"/>
    <w:tmpl w:val="848090BE"/>
    <w:lvl w:ilvl="0" w:tplc="F8F8C8A8">
      <w:start w:val="29"/>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E50EE2"/>
    <w:multiLevelType w:val="hybridMultilevel"/>
    <w:tmpl w:val="B6BA6FBC"/>
    <w:lvl w:ilvl="0" w:tplc="A1F6FCEC">
      <w:start w:val="25"/>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C261B"/>
    <w:multiLevelType w:val="hybridMultilevel"/>
    <w:tmpl w:val="3580BCC0"/>
    <w:lvl w:ilvl="0" w:tplc="B448BEA0">
      <w:start w:val="27"/>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E2429"/>
    <w:multiLevelType w:val="hybridMultilevel"/>
    <w:tmpl w:val="75082D16"/>
    <w:lvl w:ilvl="0" w:tplc="1C090001">
      <w:start w:val="1"/>
      <w:numFmt w:val="bullet"/>
      <w:lvlText w:val=""/>
      <w:lvlJc w:val="left"/>
      <w:pPr>
        <w:ind w:left="1703" w:hanging="360"/>
      </w:pPr>
      <w:rPr>
        <w:rFonts w:ascii="Symbol" w:hAnsi="Symbol" w:hint="default"/>
      </w:rPr>
    </w:lvl>
    <w:lvl w:ilvl="1" w:tplc="1C090003" w:tentative="1">
      <w:start w:val="1"/>
      <w:numFmt w:val="bullet"/>
      <w:lvlText w:val="o"/>
      <w:lvlJc w:val="left"/>
      <w:pPr>
        <w:ind w:left="2423" w:hanging="360"/>
      </w:pPr>
      <w:rPr>
        <w:rFonts w:ascii="Courier New" w:hAnsi="Courier New" w:cs="Courier New" w:hint="default"/>
      </w:rPr>
    </w:lvl>
    <w:lvl w:ilvl="2" w:tplc="1C090005" w:tentative="1">
      <w:start w:val="1"/>
      <w:numFmt w:val="bullet"/>
      <w:lvlText w:val=""/>
      <w:lvlJc w:val="left"/>
      <w:pPr>
        <w:ind w:left="3143" w:hanging="360"/>
      </w:pPr>
      <w:rPr>
        <w:rFonts w:ascii="Wingdings" w:hAnsi="Wingdings" w:hint="default"/>
      </w:rPr>
    </w:lvl>
    <w:lvl w:ilvl="3" w:tplc="1C090001" w:tentative="1">
      <w:start w:val="1"/>
      <w:numFmt w:val="bullet"/>
      <w:lvlText w:val=""/>
      <w:lvlJc w:val="left"/>
      <w:pPr>
        <w:ind w:left="3863" w:hanging="360"/>
      </w:pPr>
      <w:rPr>
        <w:rFonts w:ascii="Symbol" w:hAnsi="Symbol" w:hint="default"/>
      </w:rPr>
    </w:lvl>
    <w:lvl w:ilvl="4" w:tplc="1C090003" w:tentative="1">
      <w:start w:val="1"/>
      <w:numFmt w:val="bullet"/>
      <w:lvlText w:val="o"/>
      <w:lvlJc w:val="left"/>
      <w:pPr>
        <w:ind w:left="4583" w:hanging="360"/>
      </w:pPr>
      <w:rPr>
        <w:rFonts w:ascii="Courier New" w:hAnsi="Courier New" w:cs="Courier New" w:hint="default"/>
      </w:rPr>
    </w:lvl>
    <w:lvl w:ilvl="5" w:tplc="1C090005" w:tentative="1">
      <w:start w:val="1"/>
      <w:numFmt w:val="bullet"/>
      <w:lvlText w:val=""/>
      <w:lvlJc w:val="left"/>
      <w:pPr>
        <w:ind w:left="5303" w:hanging="360"/>
      </w:pPr>
      <w:rPr>
        <w:rFonts w:ascii="Wingdings" w:hAnsi="Wingdings" w:hint="default"/>
      </w:rPr>
    </w:lvl>
    <w:lvl w:ilvl="6" w:tplc="1C090001" w:tentative="1">
      <w:start w:val="1"/>
      <w:numFmt w:val="bullet"/>
      <w:lvlText w:val=""/>
      <w:lvlJc w:val="left"/>
      <w:pPr>
        <w:ind w:left="6023" w:hanging="360"/>
      </w:pPr>
      <w:rPr>
        <w:rFonts w:ascii="Symbol" w:hAnsi="Symbol" w:hint="default"/>
      </w:rPr>
    </w:lvl>
    <w:lvl w:ilvl="7" w:tplc="1C090003" w:tentative="1">
      <w:start w:val="1"/>
      <w:numFmt w:val="bullet"/>
      <w:lvlText w:val="o"/>
      <w:lvlJc w:val="left"/>
      <w:pPr>
        <w:ind w:left="6743" w:hanging="360"/>
      </w:pPr>
      <w:rPr>
        <w:rFonts w:ascii="Courier New" w:hAnsi="Courier New" w:cs="Courier New" w:hint="default"/>
      </w:rPr>
    </w:lvl>
    <w:lvl w:ilvl="8" w:tplc="1C090005" w:tentative="1">
      <w:start w:val="1"/>
      <w:numFmt w:val="bullet"/>
      <w:lvlText w:val=""/>
      <w:lvlJc w:val="left"/>
      <w:pPr>
        <w:ind w:left="7463" w:hanging="360"/>
      </w:pPr>
      <w:rPr>
        <w:rFonts w:ascii="Wingdings" w:hAnsi="Wingdings" w:hint="default"/>
      </w:rPr>
    </w:lvl>
  </w:abstractNum>
  <w:abstractNum w:abstractNumId="5">
    <w:nsid w:val="5F02153E"/>
    <w:multiLevelType w:val="hybridMultilevel"/>
    <w:tmpl w:val="3CE2F6AC"/>
    <w:lvl w:ilvl="0" w:tplc="9CA84E0A">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169C"/>
    <w:rsid w:val="00001A34"/>
    <w:rsid w:val="00004A9C"/>
    <w:rsid w:val="00006060"/>
    <w:rsid w:val="000060CB"/>
    <w:rsid w:val="000104B4"/>
    <w:rsid w:val="000107CE"/>
    <w:rsid w:val="00011BD4"/>
    <w:rsid w:val="000218AC"/>
    <w:rsid w:val="0002295E"/>
    <w:rsid w:val="00022E29"/>
    <w:rsid w:val="00025711"/>
    <w:rsid w:val="000272B1"/>
    <w:rsid w:val="00030EDB"/>
    <w:rsid w:val="00036BD8"/>
    <w:rsid w:val="00050078"/>
    <w:rsid w:val="00052547"/>
    <w:rsid w:val="000578D1"/>
    <w:rsid w:val="00060247"/>
    <w:rsid w:val="00062CEF"/>
    <w:rsid w:val="0006302B"/>
    <w:rsid w:val="000703FA"/>
    <w:rsid w:val="00070EA4"/>
    <w:rsid w:val="000730BB"/>
    <w:rsid w:val="00077D89"/>
    <w:rsid w:val="0008376B"/>
    <w:rsid w:val="0008544C"/>
    <w:rsid w:val="00085E25"/>
    <w:rsid w:val="0008693D"/>
    <w:rsid w:val="00094C0D"/>
    <w:rsid w:val="000964D1"/>
    <w:rsid w:val="000971DB"/>
    <w:rsid w:val="000A26D7"/>
    <w:rsid w:val="000A359C"/>
    <w:rsid w:val="000A5272"/>
    <w:rsid w:val="000C091F"/>
    <w:rsid w:val="000C1577"/>
    <w:rsid w:val="000C1D16"/>
    <w:rsid w:val="000C4554"/>
    <w:rsid w:val="000C792D"/>
    <w:rsid w:val="000D0136"/>
    <w:rsid w:val="000E07B1"/>
    <w:rsid w:val="000E5109"/>
    <w:rsid w:val="000E5543"/>
    <w:rsid w:val="000E5FB9"/>
    <w:rsid w:val="000E6633"/>
    <w:rsid w:val="000F79CF"/>
    <w:rsid w:val="00101D88"/>
    <w:rsid w:val="001021EE"/>
    <w:rsid w:val="00103EC1"/>
    <w:rsid w:val="00111232"/>
    <w:rsid w:val="00114724"/>
    <w:rsid w:val="00114F05"/>
    <w:rsid w:val="00115512"/>
    <w:rsid w:val="001203DE"/>
    <w:rsid w:val="00121456"/>
    <w:rsid w:val="001324B3"/>
    <w:rsid w:val="0013492F"/>
    <w:rsid w:val="00136576"/>
    <w:rsid w:val="00143BD0"/>
    <w:rsid w:val="00144EA8"/>
    <w:rsid w:val="00150776"/>
    <w:rsid w:val="00151F35"/>
    <w:rsid w:val="001523C0"/>
    <w:rsid w:val="00155668"/>
    <w:rsid w:val="0016046F"/>
    <w:rsid w:val="0016121C"/>
    <w:rsid w:val="00161F55"/>
    <w:rsid w:val="00163683"/>
    <w:rsid w:val="001721F5"/>
    <w:rsid w:val="0017465D"/>
    <w:rsid w:val="00193B5E"/>
    <w:rsid w:val="00194AFD"/>
    <w:rsid w:val="00194BAE"/>
    <w:rsid w:val="001A177F"/>
    <w:rsid w:val="001A21CD"/>
    <w:rsid w:val="001A7F86"/>
    <w:rsid w:val="001B288A"/>
    <w:rsid w:val="001B487B"/>
    <w:rsid w:val="001B66E0"/>
    <w:rsid w:val="001B7C51"/>
    <w:rsid w:val="001D12D0"/>
    <w:rsid w:val="001D6C62"/>
    <w:rsid w:val="001D6F4F"/>
    <w:rsid w:val="001D7244"/>
    <w:rsid w:val="001E6710"/>
    <w:rsid w:val="001F07DD"/>
    <w:rsid w:val="001F3572"/>
    <w:rsid w:val="001F450A"/>
    <w:rsid w:val="001F4AE5"/>
    <w:rsid w:val="002003EF"/>
    <w:rsid w:val="00201A93"/>
    <w:rsid w:val="00202101"/>
    <w:rsid w:val="002040D5"/>
    <w:rsid w:val="00205098"/>
    <w:rsid w:val="0020751F"/>
    <w:rsid w:val="0021216F"/>
    <w:rsid w:val="002129F5"/>
    <w:rsid w:val="00217FB4"/>
    <w:rsid w:val="002202DA"/>
    <w:rsid w:val="002253C5"/>
    <w:rsid w:val="00232BFD"/>
    <w:rsid w:val="00232EA0"/>
    <w:rsid w:val="002332DE"/>
    <w:rsid w:val="00235638"/>
    <w:rsid w:val="00236B03"/>
    <w:rsid w:val="00242E76"/>
    <w:rsid w:val="00244329"/>
    <w:rsid w:val="00244901"/>
    <w:rsid w:val="00247E97"/>
    <w:rsid w:val="002500C2"/>
    <w:rsid w:val="00254146"/>
    <w:rsid w:val="00255485"/>
    <w:rsid w:val="00264079"/>
    <w:rsid w:val="002644EA"/>
    <w:rsid w:val="00265336"/>
    <w:rsid w:val="00267036"/>
    <w:rsid w:val="0026763E"/>
    <w:rsid w:val="0027008F"/>
    <w:rsid w:val="0027105E"/>
    <w:rsid w:val="002750D2"/>
    <w:rsid w:val="00280528"/>
    <w:rsid w:val="00281CA0"/>
    <w:rsid w:val="00283B34"/>
    <w:rsid w:val="00287E6E"/>
    <w:rsid w:val="002914E5"/>
    <w:rsid w:val="0029767F"/>
    <w:rsid w:val="00297C5B"/>
    <w:rsid w:val="002A51AF"/>
    <w:rsid w:val="002A53F8"/>
    <w:rsid w:val="002A6A3F"/>
    <w:rsid w:val="002B0343"/>
    <w:rsid w:val="002B0A35"/>
    <w:rsid w:val="002B38D3"/>
    <w:rsid w:val="002B4437"/>
    <w:rsid w:val="002B662B"/>
    <w:rsid w:val="002B69B1"/>
    <w:rsid w:val="002C413A"/>
    <w:rsid w:val="002C4D4E"/>
    <w:rsid w:val="002C5B2B"/>
    <w:rsid w:val="002C7527"/>
    <w:rsid w:val="002D6A2A"/>
    <w:rsid w:val="002D6BF0"/>
    <w:rsid w:val="002E1F21"/>
    <w:rsid w:val="002E2AD4"/>
    <w:rsid w:val="00307191"/>
    <w:rsid w:val="003104F1"/>
    <w:rsid w:val="00311AE3"/>
    <w:rsid w:val="00313396"/>
    <w:rsid w:val="003155D7"/>
    <w:rsid w:val="00316515"/>
    <w:rsid w:val="00322298"/>
    <w:rsid w:val="003236B0"/>
    <w:rsid w:val="00323A6B"/>
    <w:rsid w:val="00323F5E"/>
    <w:rsid w:val="00330302"/>
    <w:rsid w:val="00333325"/>
    <w:rsid w:val="003348C6"/>
    <w:rsid w:val="00334F20"/>
    <w:rsid w:val="00335D42"/>
    <w:rsid w:val="00342015"/>
    <w:rsid w:val="00351488"/>
    <w:rsid w:val="00360697"/>
    <w:rsid w:val="00363165"/>
    <w:rsid w:val="00371BE5"/>
    <w:rsid w:val="00375DC6"/>
    <w:rsid w:val="0038451E"/>
    <w:rsid w:val="00385391"/>
    <w:rsid w:val="00385FBC"/>
    <w:rsid w:val="003A14B0"/>
    <w:rsid w:val="003A20FB"/>
    <w:rsid w:val="003A23C5"/>
    <w:rsid w:val="003A2DA4"/>
    <w:rsid w:val="003A3574"/>
    <w:rsid w:val="003A4D2A"/>
    <w:rsid w:val="003A5BC8"/>
    <w:rsid w:val="003B6C23"/>
    <w:rsid w:val="003C415E"/>
    <w:rsid w:val="003C432D"/>
    <w:rsid w:val="003D71B2"/>
    <w:rsid w:val="003E6105"/>
    <w:rsid w:val="003E6BDA"/>
    <w:rsid w:val="003E7D1F"/>
    <w:rsid w:val="003F37AE"/>
    <w:rsid w:val="003F46D7"/>
    <w:rsid w:val="00406F88"/>
    <w:rsid w:val="004075F2"/>
    <w:rsid w:val="00411F23"/>
    <w:rsid w:val="00412D10"/>
    <w:rsid w:val="00412E0C"/>
    <w:rsid w:val="00413603"/>
    <w:rsid w:val="00413E2B"/>
    <w:rsid w:val="00416EA1"/>
    <w:rsid w:val="00417BE7"/>
    <w:rsid w:val="0042184A"/>
    <w:rsid w:val="004221D8"/>
    <w:rsid w:val="004247F2"/>
    <w:rsid w:val="00425F53"/>
    <w:rsid w:val="00432B66"/>
    <w:rsid w:val="00440D4B"/>
    <w:rsid w:val="0044117D"/>
    <w:rsid w:val="004428FE"/>
    <w:rsid w:val="0044361B"/>
    <w:rsid w:val="00443ADE"/>
    <w:rsid w:val="00444C8B"/>
    <w:rsid w:val="0045149D"/>
    <w:rsid w:val="00452A4C"/>
    <w:rsid w:val="00454072"/>
    <w:rsid w:val="00460F1A"/>
    <w:rsid w:val="00461E12"/>
    <w:rsid w:val="00475569"/>
    <w:rsid w:val="00475A8E"/>
    <w:rsid w:val="0048191C"/>
    <w:rsid w:val="00482966"/>
    <w:rsid w:val="00484EB5"/>
    <w:rsid w:val="004854D5"/>
    <w:rsid w:val="0049074E"/>
    <w:rsid w:val="0049313B"/>
    <w:rsid w:val="004B5BFF"/>
    <w:rsid w:val="004C6A1E"/>
    <w:rsid w:val="004C7E7D"/>
    <w:rsid w:val="004D12FE"/>
    <w:rsid w:val="004D3845"/>
    <w:rsid w:val="004E581A"/>
    <w:rsid w:val="004F0167"/>
    <w:rsid w:val="004F157A"/>
    <w:rsid w:val="004F3706"/>
    <w:rsid w:val="004F70D5"/>
    <w:rsid w:val="004F767D"/>
    <w:rsid w:val="00500DA0"/>
    <w:rsid w:val="00502ADB"/>
    <w:rsid w:val="005069D9"/>
    <w:rsid w:val="00514611"/>
    <w:rsid w:val="0051651C"/>
    <w:rsid w:val="0052020C"/>
    <w:rsid w:val="00526DB2"/>
    <w:rsid w:val="0053074F"/>
    <w:rsid w:val="00540198"/>
    <w:rsid w:val="005450DC"/>
    <w:rsid w:val="00547AC7"/>
    <w:rsid w:val="00551B4C"/>
    <w:rsid w:val="0055431B"/>
    <w:rsid w:val="005560EF"/>
    <w:rsid w:val="0057074A"/>
    <w:rsid w:val="00571C4B"/>
    <w:rsid w:val="005720E9"/>
    <w:rsid w:val="00576386"/>
    <w:rsid w:val="00587548"/>
    <w:rsid w:val="00587BF3"/>
    <w:rsid w:val="005946EC"/>
    <w:rsid w:val="00595099"/>
    <w:rsid w:val="005A2EF0"/>
    <w:rsid w:val="005A2F73"/>
    <w:rsid w:val="005A362C"/>
    <w:rsid w:val="005B0DB3"/>
    <w:rsid w:val="005B118D"/>
    <w:rsid w:val="005B6266"/>
    <w:rsid w:val="005B75C1"/>
    <w:rsid w:val="005B7E2E"/>
    <w:rsid w:val="005D3007"/>
    <w:rsid w:val="005D4790"/>
    <w:rsid w:val="005E2259"/>
    <w:rsid w:val="005E230C"/>
    <w:rsid w:val="005E448E"/>
    <w:rsid w:val="005F0E66"/>
    <w:rsid w:val="005F49B3"/>
    <w:rsid w:val="005F653D"/>
    <w:rsid w:val="005F7681"/>
    <w:rsid w:val="00603064"/>
    <w:rsid w:val="006036F8"/>
    <w:rsid w:val="00605316"/>
    <w:rsid w:val="006077A9"/>
    <w:rsid w:val="00613B8D"/>
    <w:rsid w:val="00613E4D"/>
    <w:rsid w:val="00614F93"/>
    <w:rsid w:val="00615A0C"/>
    <w:rsid w:val="006216B4"/>
    <w:rsid w:val="006430C0"/>
    <w:rsid w:val="006436D3"/>
    <w:rsid w:val="00644BB3"/>
    <w:rsid w:val="00646138"/>
    <w:rsid w:val="00650745"/>
    <w:rsid w:val="00651B9B"/>
    <w:rsid w:val="00653433"/>
    <w:rsid w:val="00655236"/>
    <w:rsid w:val="006630FB"/>
    <w:rsid w:val="006710DC"/>
    <w:rsid w:val="0067421B"/>
    <w:rsid w:val="00675035"/>
    <w:rsid w:val="00676987"/>
    <w:rsid w:val="00677BC9"/>
    <w:rsid w:val="00683071"/>
    <w:rsid w:val="00686AE6"/>
    <w:rsid w:val="00686AFF"/>
    <w:rsid w:val="00686C67"/>
    <w:rsid w:val="0068773B"/>
    <w:rsid w:val="00691970"/>
    <w:rsid w:val="00695533"/>
    <w:rsid w:val="006967BE"/>
    <w:rsid w:val="006A1AA8"/>
    <w:rsid w:val="006A37E3"/>
    <w:rsid w:val="006A6DDB"/>
    <w:rsid w:val="006A6ED1"/>
    <w:rsid w:val="006A770C"/>
    <w:rsid w:val="006B0014"/>
    <w:rsid w:val="006B3D1D"/>
    <w:rsid w:val="006B67ED"/>
    <w:rsid w:val="006C3ACD"/>
    <w:rsid w:val="006C705A"/>
    <w:rsid w:val="006C78B1"/>
    <w:rsid w:val="006D0CFB"/>
    <w:rsid w:val="006E4415"/>
    <w:rsid w:val="006E462C"/>
    <w:rsid w:val="006F2787"/>
    <w:rsid w:val="006F40B5"/>
    <w:rsid w:val="00700DDF"/>
    <w:rsid w:val="007045D6"/>
    <w:rsid w:val="00707C51"/>
    <w:rsid w:val="00713A5D"/>
    <w:rsid w:val="00720FEF"/>
    <w:rsid w:val="0072221F"/>
    <w:rsid w:val="007240E6"/>
    <w:rsid w:val="00725285"/>
    <w:rsid w:val="00730AD5"/>
    <w:rsid w:val="0073212D"/>
    <w:rsid w:val="00733746"/>
    <w:rsid w:val="00735EB8"/>
    <w:rsid w:val="00736CDA"/>
    <w:rsid w:val="00737291"/>
    <w:rsid w:val="00742BAE"/>
    <w:rsid w:val="00750CC1"/>
    <w:rsid w:val="00753AD4"/>
    <w:rsid w:val="0075527E"/>
    <w:rsid w:val="00755484"/>
    <w:rsid w:val="00763002"/>
    <w:rsid w:val="007679D5"/>
    <w:rsid w:val="00771E0F"/>
    <w:rsid w:val="007728D2"/>
    <w:rsid w:val="007762DD"/>
    <w:rsid w:val="007838B5"/>
    <w:rsid w:val="00785866"/>
    <w:rsid w:val="007875AE"/>
    <w:rsid w:val="0078777C"/>
    <w:rsid w:val="007920E0"/>
    <w:rsid w:val="007970E1"/>
    <w:rsid w:val="007A288E"/>
    <w:rsid w:val="007A2B5E"/>
    <w:rsid w:val="007A53BB"/>
    <w:rsid w:val="007A7BB1"/>
    <w:rsid w:val="007B2C1E"/>
    <w:rsid w:val="007B46F6"/>
    <w:rsid w:val="007B63CD"/>
    <w:rsid w:val="007C340A"/>
    <w:rsid w:val="007C373C"/>
    <w:rsid w:val="007C7D36"/>
    <w:rsid w:val="007D17B5"/>
    <w:rsid w:val="007D24A3"/>
    <w:rsid w:val="007D4DF4"/>
    <w:rsid w:val="007D6A68"/>
    <w:rsid w:val="007E14BF"/>
    <w:rsid w:val="007E7B98"/>
    <w:rsid w:val="007F0BBF"/>
    <w:rsid w:val="007F6CE0"/>
    <w:rsid w:val="007F7FED"/>
    <w:rsid w:val="008002EE"/>
    <w:rsid w:val="00802191"/>
    <w:rsid w:val="0080634A"/>
    <w:rsid w:val="00806DFA"/>
    <w:rsid w:val="00814EBE"/>
    <w:rsid w:val="00821962"/>
    <w:rsid w:val="00822511"/>
    <w:rsid w:val="008247B8"/>
    <w:rsid w:val="0083215B"/>
    <w:rsid w:val="00836D05"/>
    <w:rsid w:val="0083710F"/>
    <w:rsid w:val="00837200"/>
    <w:rsid w:val="00840547"/>
    <w:rsid w:val="00841063"/>
    <w:rsid w:val="00843004"/>
    <w:rsid w:val="0084332A"/>
    <w:rsid w:val="008465D6"/>
    <w:rsid w:val="00856579"/>
    <w:rsid w:val="00860899"/>
    <w:rsid w:val="00866025"/>
    <w:rsid w:val="00873B81"/>
    <w:rsid w:val="0088233C"/>
    <w:rsid w:val="00884DCB"/>
    <w:rsid w:val="00885859"/>
    <w:rsid w:val="00892679"/>
    <w:rsid w:val="00895C13"/>
    <w:rsid w:val="008A3877"/>
    <w:rsid w:val="008A7A5C"/>
    <w:rsid w:val="008A7C0F"/>
    <w:rsid w:val="008B1A58"/>
    <w:rsid w:val="008B1B71"/>
    <w:rsid w:val="008B2182"/>
    <w:rsid w:val="008C0FC7"/>
    <w:rsid w:val="008C18AE"/>
    <w:rsid w:val="008C2535"/>
    <w:rsid w:val="008C3603"/>
    <w:rsid w:val="008C45A5"/>
    <w:rsid w:val="008D34A8"/>
    <w:rsid w:val="008D4FD5"/>
    <w:rsid w:val="008D5EFA"/>
    <w:rsid w:val="008E4705"/>
    <w:rsid w:val="008E5BBF"/>
    <w:rsid w:val="008E6813"/>
    <w:rsid w:val="008F2EA2"/>
    <w:rsid w:val="008F648D"/>
    <w:rsid w:val="009007B6"/>
    <w:rsid w:val="00901159"/>
    <w:rsid w:val="009026AA"/>
    <w:rsid w:val="00911000"/>
    <w:rsid w:val="00911F9D"/>
    <w:rsid w:val="00913AE0"/>
    <w:rsid w:val="009155B3"/>
    <w:rsid w:val="00916812"/>
    <w:rsid w:val="00916FDE"/>
    <w:rsid w:val="00921B8E"/>
    <w:rsid w:val="009227A6"/>
    <w:rsid w:val="00923678"/>
    <w:rsid w:val="00926EAA"/>
    <w:rsid w:val="00930908"/>
    <w:rsid w:val="0093492C"/>
    <w:rsid w:val="00934A2E"/>
    <w:rsid w:val="0093762E"/>
    <w:rsid w:val="00940B57"/>
    <w:rsid w:val="00941562"/>
    <w:rsid w:val="00944BDE"/>
    <w:rsid w:val="0094618C"/>
    <w:rsid w:val="00950F13"/>
    <w:rsid w:val="00955018"/>
    <w:rsid w:val="0095576C"/>
    <w:rsid w:val="00966C73"/>
    <w:rsid w:val="009732B6"/>
    <w:rsid w:val="00974554"/>
    <w:rsid w:val="00976394"/>
    <w:rsid w:val="00976D15"/>
    <w:rsid w:val="00977E1A"/>
    <w:rsid w:val="009838D5"/>
    <w:rsid w:val="00987290"/>
    <w:rsid w:val="009950C9"/>
    <w:rsid w:val="009A269B"/>
    <w:rsid w:val="009A33C1"/>
    <w:rsid w:val="009A79F1"/>
    <w:rsid w:val="009B099B"/>
    <w:rsid w:val="009B2BC9"/>
    <w:rsid w:val="009B36AA"/>
    <w:rsid w:val="009B4C31"/>
    <w:rsid w:val="009C4B43"/>
    <w:rsid w:val="009D57DB"/>
    <w:rsid w:val="009E1EF1"/>
    <w:rsid w:val="009E3470"/>
    <w:rsid w:val="009F002F"/>
    <w:rsid w:val="009F22F0"/>
    <w:rsid w:val="009F26DF"/>
    <w:rsid w:val="009F43A4"/>
    <w:rsid w:val="009F5E83"/>
    <w:rsid w:val="009F76BD"/>
    <w:rsid w:val="00A01777"/>
    <w:rsid w:val="00A06E43"/>
    <w:rsid w:val="00A07432"/>
    <w:rsid w:val="00A12932"/>
    <w:rsid w:val="00A13793"/>
    <w:rsid w:val="00A156AE"/>
    <w:rsid w:val="00A15E04"/>
    <w:rsid w:val="00A165EA"/>
    <w:rsid w:val="00A21A9E"/>
    <w:rsid w:val="00A22388"/>
    <w:rsid w:val="00A23B61"/>
    <w:rsid w:val="00A24B93"/>
    <w:rsid w:val="00A337E6"/>
    <w:rsid w:val="00A33F33"/>
    <w:rsid w:val="00A3600A"/>
    <w:rsid w:val="00A43F9C"/>
    <w:rsid w:val="00A4634B"/>
    <w:rsid w:val="00A52FDF"/>
    <w:rsid w:val="00A54C36"/>
    <w:rsid w:val="00A56BC1"/>
    <w:rsid w:val="00A600CF"/>
    <w:rsid w:val="00A62353"/>
    <w:rsid w:val="00A63F51"/>
    <w:rsid w:val="00A651E0"/>
    <w:rsid w:val="00A75EF4"/>
    <w:rsid w:val="00A75FE0"/>
    <w:rsid w:val="00A7673A"/>
    <w:rsid w:val="00A77551"/>
    <w:rsid w:val="00A9010C"/>
    <w:rsid w:val="00A901C5"/>
    <w:rsid w:val="00A9257C"/>
    <w:rsid w:val="00AA663B"/>
    <w:rsid w:val="00AB1510"/>
    <w:rsid w:val="00AB2DE7"/>
    <w:rsid w:val="00AB3E63"/>
    <w:rsid w:val="00AB4CA7"/>
    <w:rsid w:val="00AB636E"/>
    <w:rsid w:val="00AB6798"/>
    <w:rsid w:val="00AD3773"/>
    <w:rsid w:val="00AD49F8"/>
    <w:rsid w:val="00AE1E5D"/>
    <w:rsid w:val="00AE4E9C"/>
    <w:rsid w:val="00AF1688"/>
    <w:rsid w:val="00AF3194"/>
    <w:rsid w:val="00B02FAC"/>
    <w:rsid w:val="00B042F4"/>
    <w:rsid w:val="00B11DEB"/>
    <w:rsid w:val="00B120C9"/>
    <w:rsid w:val="00B15F96"/>
    <w:rsid w:val="00B20170"/>
    <w:rsid w:val="00B20D18"/>
    <w:rsid w:val="00B21489"/>
    <w:rsid w:val="00B2204E"/>
    <w:rsid w:val="00B22495"/>
    <w:rsid w:val="00B244B7"/>
    <w:rsid w:val="00B3097A"/>
    <w:rsid w:val="00B3106B"/>
    <w:rsid w:val="00B35178"/>
    <w:rsid w:val="00B404D0"/>
    <w:rsid w:val="00B418C2"/>
    <w:rsid w:val="00B44F10"/>
    <w:rsid w:val="00B50D5C"/>
    <w:rsid w:val="00B50E11"/>
    <w:rsid w:val="00B64D36"/>
    <w:rsid w:val="00B70181"/>
    <w:rsid w:val="00B70291"/>
    <w:rsid w:val="00B73443"/>
    <w:rsid w:val="00B76BFA"/>
    <w:rsid w:val="00B8081D"/>
    <w:rsid w:val="00B8347D"/>
    <w:rsid w:val="00B862D2"/>
    <w:rsid w:val="00B908DF"/>
    <w:rsid w:val="00B92A41"/>
    <w:rsid w:val="00B9551D"/>
    <w:rsid w:val="00B95693"/>
    <w:rsid w:val="00B95E84"/>
    <w:rsid w:val="00B96570"/>
    <w:rsid w:val="00B96E03"/>
    <w:rsid w:val="00BA1F62"/>
    <w:rsid w:val="00BB0894"/>
    <w:rsid w:val="00BB1F14"/>
    <w:rsid w:val="00BB2E5E"/>
    <w:rsid w:val="00BB3E6A"/>
    <w:rsid w:val="00BB3F9A"/>
    <w:rsid w:val="00BD2454"/>
    <w:rsid w:val="00BF09B4"/>
    <w:rsid w:val="00BF18FD"/>
    <w:rsid w:val="00C04C43"/>
    <w:rsid w:val="00C06F42"/>
    <w:rsid w:val="00C11D38"/>
    <w:rsid w:val="00C17791"/>
    <w:rsid w:val="00C26B75"/>
    <w:rsid w:val="00C27B64"/>
    <w:rsid w:val="00C33AAD"/>
    <w:rsid w:val="00C4185B"/>
    <w:rsid w:val="00C41978"/>
    <w:rsid w:val="00C430B6"/>
    <w:rsid w:val="00C45291"/>
    <w:rsid w:val="00C519B2"/>
    <w:rsid w:val="00C52737"/>
    <w:rsid w:val="00C52A03"/>
    <w:rsid w:val="00C53B19"/>
    <w:rsid w:val="00C5727B"/>
    <w:rsid w:val="00C620C2"/>
    <w:rsid w:val="00C63FFA"/>
    <w:rsid w:val="00C64B6A"/>
    <w:rsid w:val="00C66555"/>
    <w:rsid w:val="00C72A6C"/>
    <w:rsid w:val="00C7361A"/>
    <w:rsid w:val="00C7460D"/>
    <w:rsid w:val="00C8430A"/>
    <w:rsid w:val="00C87052"/>
    <w:rsid w:val="00C9262D"/>
    <w:rsid w:val="00C956D1"/>
    <w:rsid w:val="00CA6C2A"/>
    <w:rsid w:val="00CB221A"/>
    <w:rsid w:val="00CB2381"/>
    <w:rsid w:val="00CB2439"/>
    <w:rsid w:val="00CB6F8A"/>
    <w:rsid w:val="00CC3AB3"/>
    <w:rsid w:val="00CD1BDD"/>
    <w:rsid w:val="00CE09E5"/>
    <w:rsid w:val="00CE0CC7"/>
    <w:rsid w:val="00CE1D69"/>
    <w:rsid w:val="00CE30E0"/>
    <w:rsid w:val="00CE33AD"/>
    <w:rsid w:val="00CE3BED"/>
    <w:rsid w:val="00CF05BE"/>
    <w:rsid w:val="00CF3068"/>
    <w:rsid w:val="00CF7D86"/>
    <w:rsid w:val="00CF7D99"/>
    <w:rsid w:val="00D00B2E"/>
    <w:rsid w:val="00D026E5"/>
    <w:rsid w:val="00D0642F"/>
    <w:rsid w:val="00D16320"/>
    <w:rsid w:val="00D2145B"/>
    <w:rsid w:val="00D23AB6"/>
    <w:rsid w:val="00D2698D"/>
    <w:rsid w:val="00D31928"/>
    <w:rsid w:val="00D344C1"/>
    <w:rsid w:val="00D42B06"/>
    <w:rsid w:val="00D43054"/>
    <w:rsid w:val="00D46B6E"/>
    <w:rsid w:val="00D523A1"/>
    <w:rsid w:val="00D526DF"/>
    <w:rsid w:val="00D6046F"/>
    <w:rsid w:val="00D61362"/>
    <w:rsid w:val="00D77C76"/>
    <w:rsid w:val="00D82628"/>
    <w:rsid w:val="00D85735"/>
    <w:rsid w:val="00D90AC6"/>
    <w:rsid w:val="00D91BA3"/>
    <w:rsid w:val="00D947E1"/>
    <w:rsid w:val="00D94A8C"/>
    <w:rsid w:val="00D953FF"/>
    <w:rsid w:val="00D9684A"/>
    <w:rsid w:val="00DA44A9"/>
    <w:rsid w:val="00DA7A8D"/>
    <w:rsid w:val="00DB19FF"/>
    <w:rsid w:val="00DB2E2D"/>
    <w:rsid w:val="00DB3F1C"/>
    <w:rsid w:val="00DC0738"/>
    <w:rsid w:val="00DC6AA4"/>
    <w:rsid w:val="00DD0D2F"/>
    <w:rsid w:val="00DD4D3D"/>
    <w:rsid w:val="00DE0282"/>
    <w:rsid w:val="00DE1587"/>
    <w:rsid w:val="00DE39D7"/>
    <w:rsid w:val="00DF016C"/>
    <w:rsid w:val="00DF0D64"/>
    <w:rsid w:val="00DF1032"/>
    <w:rsid w:val="00DF4D83"/>
    <w:rsid w:val="00DF68DD"/>
    <w:rsid w:val="00DF6E97"/>
    <w:rsid w:val="00E01835"/>
    <w:rsid w:val="00E02EAF"/>
    <w:rsid w:val="00E03204"/>
    <w:rsid w:val="00E03B46"/>
    <w:rsid w:val="00E067A2"/>
    <w:rsid w:val="00E077DF"/>
    <w:rsid w:val="00E07A72"/>
    <w:rsid w:val="00E11813"/>
    <w:rsid w:val="00E13568"/>
    <w:rsid w:val="00E15B9A"/>
    <w:rsid w:val="00E15BCC"/>
    <w:rsid w:val="00E3052B"/>
    <w:rsid w:val="00E31629"/>
    <w:rsid w:val="00E43F8E"/>
    <w:rsid w:val="00E45186"/>
    <w:rsid w:val="00E50554"/>
    <w:rsid w:val="00E507F0"/>
    <w:rsid w:val="00E51144"/>
    <w:rsid w:val="00E55848"/>
    <w:rsid w:val="00E61791"/>
    <w:rsid w:val="00E63F2E"/>
    <w:rsid w:val="00E65FD4"/>
    <w:rsid w:val="00E7210A"/>
    <w:rsid w:val="00E72A79"/>
    <w:rsid w:val="00E802B6"/>
    <w:rsid w:val="00E82E00"/>
    <w:rsid w:val="00E8500B"/>
    <w:rsid w:val="00E8695C"/>
    <w:rsid w:val="00E86AD4"/>
    <w:rsid w:val="00E904E4"/>
    <w:rsid w:val="00E932B5"/>
    <w:rsid w:val="00E94C86"/>
    <w:rsid w:val="00E95904"/>
    <w:rsid w:val="00E972D3"/>
    <w:rsid w:val="00EB1C91"/>
    <w:rsid w:val="00EB239A"/>
    <w:rsid w:val="00EB6D92"/>
    <w:rsid w:val="00EC7C52"/>
    <w:rsid w:val="00ED011F"/>
    <w:rsid w:val="00ED23AA"/>
    <w:rsid w:val="00ED58E4"/>
    <w:rsid w:val="00ED63A0"/>
    <w:rsid w:val="00ED68B8"/>
    <w:rsid w:val="00ED724B"/>
    <w:rsid w:val="00EE0738"/>
    <w:rsid w:val="00EE0DBB"/>
    <w:rsid w:val="00EE7699"/>
    <w:rsid w:val="00EE7C9E"/>
    <w:rsid w:val="00EF0C48"/>
    <w:rsid w:val="00EF3F45"/>
    <w:rsid w:val="00EF46E6"/>
    <w:rsid w:val="00EF5F44"/>
    <w:rsid w:val="00EF626F"/>
    <w:rsid w:val="00F00B18"/>
    <w:rsid w:val="00F07080"/>
    <w:rsid w:val="00F12440"/>
    <w:rsid w:val="00F142DB"/>
    <w:rsid w:val="00F16056"/>
    <w:rsid w:val="00F21520"/>
    <w:rsid w:val="00F25D67"/>
    <w:rsid w:val="00F26354"/>
    <w:rsid w:val="00F3578B"/>
    <w:rsid w:val="00F43A15"/>
    <w:rsid w:val="00F43C52"/>
    <w:rsid w:val="00F44185"/>
    <w:rsid w:val="00F471C4"/>
    <w:rsid w:val="00F52B00"/>
    <w:rsid w:val="00F53553"/>
    <w:rsid w:val="00F5420B"/>
    <w:rsid w:val="00F542EB"/>
    <w:rsid w:val="00F55C9B"/>
    <w:rsid w:val="00F56324"/>
    <w:rsid w:val="00F57032"/>
    <w:rsid w:val="00F63104"/>
    <w:rsid w:val="00F63187"/>
    <w:rsid w:val="00F64D4C"/>
    <w:rsid w:val="00F71C68"/>
    <w:rsid w:val="00F7280A"/>
    <w:rsid w:val="00F85632"/>
    <w:rsid w:val="00F87163"/>
    <w:rsid w:val="00F90936"/>
    <w:rsid w:val="00F93BA4"/>
    <w:rsid w:val="00F95B0D"/>
    <w:rsid w:val="00F96145"/>
    <w:rsid w:val="00F97E13"/>
    <w:rsid w:val="00FC01F2"/>
    <w:rsid w:val="00FC0385"/>
    <w:rsid w:val="00FC76E7"/>
    <w:rsid w:val="00FC79C3"/>
    <w:rsid w:val="00FD07EE"/>
    <w:rsid w:val="00FD36CE"/>
    <w:rsid w:val="00FD48A0"/>
    <w:rsid w:val="00FD53E4"/>
    <w:rsid w:val="00FE07D3"/>
    <w:rsid w:val="00FE53D2"/>
    <w:rsid w:val="00FF07BC"/>
    <w:rsid w:val="00FF1218"/>
    <w:rsid w:val="00FF1534"/>
    <w:rsid w:val="00FF411E"/>
    <w:rsid w:val="00FF66C9"/>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607A08-5696-4BFF-AE04-E43E09FF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3</cp:revision>
  <cp:lastPrinted>2023-05-12T07:15:00Z</cp:lastPrinted>
  <dcterms:created xsi:type="dcterms:W3CDTF">2023-05-29T11:49:00Z</dcterms:created>
  <dcterms:modified xsi:type="dcterms:W3CDTF">2023-05-29T11:50:00Z</dcterms:modified>
</cp:coreProperties>
</file>