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72" w:rsidRPr="007E384D" w:rsidRDefault="00243972" w:rsidP="00243972">
      <w:pPr>
        <w:spacing w:after="0" w:line="240" w:lineRule="auto"/>
        <w:jc w:val="center"/>
        <w:rPr>
          <w:rFonts w:ascii="Arial" w:hAnsi="Arial" w:cs="Arial"/>
          <w:b/>
        </w:rPr>
      </w:pPr>
      <w:bookmarkStart w:id="0" w:name="_GoBack"/>
      <w:bookmarkEnd w:id="0"/>
      <w:r w:rsidRPr="007E384D">
        <w:rPr>
          <w:rFonts w:ascii="Arial" w:hAnsi="Arial" w:cs="Arial"/>
          <w:noProof/>
          <w:lang w:val="en-US"/>
        </w:rPr>
        <w:drawing>
          <wp:anchor distT="0" distB="0" distL="114300" distR="114300" simplePos="0" relativeHeight="251659264" behindDoc="0" locked="0" layoutInCell="1" allowOverlap="1" wp14:anchorId="2A3817AA" wp14:editId="44F0A169">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243972" w:rsidRPr="007E384D" w:rsidRDefault="00243972" w:rsidP="00243972">
      <w:pPr>
        <w:spacing w:after="0" w:line="240" w:lineRule="auto"/>
        <w:jc w:val="center"/>
        <w:rPr>
          <w:rFonts w:ascii="Arial" w:hAnsi="Arial" w:cs="Arial"/>
          <w:b/>
        </w:rPr>
      </w:pPr>
    </w:p>
    <w:p w:rsidR="00243972" w:rsidRPr="007E384D" w:rsidRDefault="00243972" w:rsidP="00243972">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rsidR="00243972" w:rsidRPr="007E384D" w:rsidRDefault="00243972" w:rsidP="00243972">
      <w:pPr>
        <w:spacing w:after="0" w:line="240" w:lineRule="auto"/>
        <w:jc w:val="center"/>
        <w:rPr>
          <w:rFonts w:ascii="Arial" w:eastAsia="Times New Roman" w:hAnsi="Arial" w:cs="Arial"/>
          <w:b/>
          <w:lang w:eastAsia="en-GB"/>
        </w:rPr>
      </w:pPr>
    </w:p>
    <w:p w:rsidR="00243972" w:rsidRPr="007E384D" w:rsidRDefault="00243972" w:rsidP="00243972">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rsidR="00243972" w:rsidRPr="00390CA1" w:rsidRDefault="00243972" w:rsidP="00243972">
      <w:pPr>
        <w:spacing w:after="0" w:line="240" w:lineRule="auto"/>
        <w:rPr>
          <w:rFonts w:ascii="Arial" w:eastAsia="Times New Roman" w:hAnsi="Arial" w:cs="Arial"/>
          <w:b/>
          <w:sz w:val="20"/>
          <w:szCs w:val="20"/>
          <w:lang w:eastAsia="en-GB"/>
        </w:rPr>
      </w:pPr>
    </w:p>
    <w:p w:rsidR="00243972" w:rsidRPr="007E384D" w:rsidRDefault="00243972" w:rsidP="00243972">
      <w:pPr>
        <w:pStyle w:val="NormalWeb"/>
        <w:ind w:left="4320"/>
        <w:rPr>
          <w:rFonts w:ascii="Arial" w:hAnsi="Arial" w:cs="Arial"/>
          <w:sz w:val="22"/>
          <w:szCs w:val="22"/>
        </w:rPr>
      </w:pPr>
      <w:r>
        <w:rPr>
          <w:rFonts w:ascii="Arial" w:eastAsia="Calibri" w:hAnsi="Arial" w:cs="Arial"/>
          <w:b/>
          <w:sz w:val="22"/>
          <w:szCs w:val="22"/>
        </w:rPr>
        <w:t xml:space="preserve">                    </w:t>
      </w:r>
      <w:r w:rsidRPr="007E384D">
        <w:rPr>
          <w:rFonts w:ascii="Arial" w:eastAsia="Calibri" w:hAnsi="Arial" w:cs="Arial"/>
          <w:b/>
          <w:sz w:val="22"/>
          <w:szCs w:val="22"/>
        </w:rPr>
        <w:t>Case Number</w:t>
      </w:r>
      <w:r w:rsidRPr="007E384D">
        <w:rPr>
          <w:rFonts w:ascii="Arial" w:eastAsia="Calibri" w:hAnsi="Arial" w:cs="Arial"/>
          <w:sz w:val="22"/>
          <w:szCs w:val="22"/>
        </w:rPr>
        <w:t xml:space="preserve">: </w:t>
      </w:r>
      <w:r>
        <w:rPr>
          <w:rFonts w:ascii="Arial" w:eastAsia="Calibri" w:hAnsi="Arial" w:cs="Arial"/>
          <w:noProof/>
          <w:sz w:val="22"/>
          <w:szCs w:val="22"/>
        </w:rPr>
        <w:t>10139/2022</w:t>
      </w:r>
      <w:r w:rsidRPr="007E384D">
        <w:rPr>
          <w:rFonts w:ascii="Arial" w:eastAsia="Calibri" w:hAnsi="Arial" w:cs="Arial"/>
          <w:sz w:val="22"/>
          <w:szCs w:val="22"/>
        </w:rPr>
        <w:tab/>
      </w:r>
    </w:p>
    <w:p w:rsidR="00243972" w:rsidRPr="00390CA1" w:rsidRDefault="00243972" w:rsidP="00243972">
      <w:pPr>
        <w:pStyle w:val="NormalWeb"/>
        <w:spacing w:line="360" w:lineRule="auto"/>
        <w:ind w:left="5760" w:firstLine="720"/>
        <w:rPr>
          <w:rFonts w:ascii="Arial" w:hAnsi="Arial" w:cs="Arial"/>
        </w:rPr>
      </w:pPr>
      <w:r w:rsidRPr="00390CA1">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5E6D0C04" wp14:editId="1872CB40">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243972" w:rsidRDefault="00243972" w:rsidP="00243972">
                            <w:pPr>
                              <w:jc w:val="center"/>
                              <w:rPr>
                                <w:rFonts w:ascii="Century Gothic" w:hAnsi="Century Gothic"/>
                                <w:b/>
                                <w:sz w:val="2"/>
                                <w:szCs w:val="18"/>
                              </w:rPr>
                            </w:pPr>
                          </w:p>
                          <w:p w:rsidR="00243972" w:rsidRDefault="00243972" w:rsidP="00243972">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243972" w:rsidRDefault="00243972" w:rsidP="00243972">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243972" w:rsidRDefault="00243972" w:rsidP="00243972">
                            <w:pPr>
                              <w:rPr>
                                <w:rFonts w:ascii="Century Gothic" w:hAnsi="Century Gothic"/>
                                <w:b/>
                                <w:sz w:val="18"/>
                                <w:szCs w:val="18"/>
                              </w:rPr>
                            </w:pPr>
                          </w:p>
                          <w:p w:rsidR="00243972" w:rsidRDefault="00243972" w:rsidP="00243972">
                            <w:pPr>
                              <w:rPr>
                                <w:rFonts w:ascii="Century Gothic" w:hAnsi="Century Gothic"/>
                                <w:b/>
                                <w:sz w:val="18"/>
                                <w:szCs w:val="18"/>
                              </w:rPr>
                            </w:pPr>
                            <w:r>
                              <w:rPr>
                                <w:rFonts w:ascii="Century Gothic" w:hAnsi="Century Gothic"/>
                                <w:b/>
                                <w:sz w:val="18"/>
                                <w:szCs w:val="18"/>
                              </w:rPr>
                              <w:t xml:space="preserve"> …………..………….............</w:t>
                            </w:r>
                          </w:p>
                          <w:p w:rsidR="00243972" w:rsidRDefault="00243972" w:rsidP="00243972">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951124">
                              <w:rPr>
                                <w:rFonts w:ascii="Century Gothic" w:hAnsi="Century Gothic"/>
                                <w:b/>
                                <w:sz w:val="18"/>
                                <w:szCs w:val="18"/>
                              </w:rPr>
                              <w:t>01 JUNE</w:t>
                            </w:r>
                            <w:r>
                              <w:rPr>
                                <w:rFonts w:ascii="Century Gothic" w:hAnsi="Century Gothic"/>
                                <w:b/>
                                <w:sz w:val="18"/>
                                <w:szCs w:val="18"/>
                              </w:rPr>
                              <w:t xml:space="preserve"> 2023 </w:t>
                            </w:r>
                          </w:p>
                          <w:p w:rsidR="00243972" w:rsidRDefault="00243972" w:rsidP="0024397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6D0C04"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243972" w:rsidRDefault="00243972" w:rsidP="00243972">
                      <w:pPr>
                        <w:jc w:val="center"/>
                        <w:rPr>
                          <w:rFonts w:ascii="Century Gothic" w:hAnsi="Century Gothic"/>
                          <w:b/>
                          <w:sz w:val="2"/>
                          <w:szCs w:val="18"/>
                        </w:rPr>
                      </w:pPr>
                    </w:p>
                    <w:p w:rsidR="00243972" w:rsidRDefault="00243972" w:rsidP="00243972">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243972" w:rsidRDefault="00243972" w:rsidP="00243972">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243972" w:rsidRDefault="00243972" w:rsidP="00243972">
                      <w:pPr>
                        <w:rPr>
                          <w:rFonts w:ascii="Century Gothic" w:hAnsi="Century Gothic"/>
                          <w:b/>
                          <w:sz w:val="18"/>
                          <w:szCs w:val="18"/>
                        </w:rPr>
                      </w:pPr>
                    </w:p>
                    <w:p w:rsidR="00243972" w:rsidRDefault="00243972" w:rsidP="00243972">
                      <w:pPr>
                        <w:rPr>
                          <w:rFonts w:ascii="Century Gothic" w:hAnsi="Century Gothic"/>
                          <w:b/>
                          <w:sz w:val="18"/>
                          <w:szCs w:val="18"/>
                        </w:rPr>
                      </w:pPr>
                      <w:r>
                        <w:rPr>
                          <w:rFonts w:ascii="Century Gothic" w:hAnsi="Century Gothic"/>
                          <w:b/>
                          <w:sz w:val="18"/>
                          <w:szCs w:val="18"/>
                        </w:rPr>
                        <w:t xml:space="preserve"> …………..………….............</w:t>
                      </w:r>
                    </w:p>
                    <w:p w:rsidR="00243972" w:rsidRDefault="00243972" w:rsidP="00243972">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951124">
                        <w:rPr>
                          <w:rFonts w:ascii="Century Gothic" w:hAnsi="Century Gothic"/>
                          <w:b/>
                          <w:sz w:val="18"/>
                          <w:szCs w:val="18"/>
                        </w:rPr>
                        <w:t>01 JUNE</w:t>
                      </w:r>
                      <w:r>
                        <w:rPr>
                          <w:rFonts w:ascii="Century Gothic" w:hAnsi="Century Gothic"/>
                          <w:b/>
                          <w:sz w:val="18"/>
                          <w:szCs w:val="18"/>
                        </w:rPr>
                        <w:t xml:space="preserve"> 2023 </w:t>
                      </w:r>
                    </w:p>
                    <w:p w:rsidR="00243972" w:rsidRDefault="00243972" w:rsidP="00243972">
                      <w:pPr>
                        <w:rPr>
                          <w:rFonts w:ascii="Century Gothic" w:hAnsi="Century Gothic"/>
                          <w:b/>
                          <w:sz w:val="2"/>
                          <w:szCs w:val="18"/>
                        </w:rPr>
                      </w:pPr>
                    </w:p>
                  </w:txbxContent>
                </v:textbox>
              </v:shape>
            </w:pict>
          </mc:Fallback>
        </mc:AlternateContent>
      </w:r>
    </w:p>
    <w:p w:rsidR="00243972" w:rsidRPr="00390CA1" w:rsidRDefault="00243972" w:rsidP="00243972">
      <w:pPr>
        <w:pStyle w:val="NormalWeb"/>
        <w:spacing w:line="360" w:lineRule="auto"/>
        <w:ind w:left="5760" w:firstLine="720"/>
        <w:rPr>
          <w:rFonts w:ascii="Arial" w:hAnsi="Arial" w:cs="Arial"/>
        </w:rPr>
      </w:pPr>
    </w:p>
    <w:p w:rsidR="00243972" w:rsidRPr="00390CA1" w:rsidRDefault="00243972" w:rsidP="00243972">
      <w:pPr>
        <w:spacing w:after="0" w:line="240" w:lineRule="auto"/>
        <w:jc w:val="center"/>
        <w:rPr>
          <w:rFonts w:ascii="Arial" w:hAnsi="Arial" w:cs="Arial"/>
          <w:b/>
          <w:sz w:val="20"/>
          <w:szCs w:val="20"/>
        </w:rPr>
      </w:pPr>
    </w:p>
    <w:p w:rsidR="00243972" w:rsidRPr="00390CA1" w:rsidRDefault="00243972" w:rsidP="00243972">
      <w:pPr>
        <w:spacing w:after="0" w:line="240" w:lineRule="auto"/>
        <w:jc w:val="center"/>
        <w:rPr>
          <w:rFonts w:ascii="Arial" w:hAnsi="Arial" w:cs="Arial"/>
          <w:b/>
          <w:sz w:val="20"/>
          <w:szCs w:val="20"/>
        </w:rPr>
      </w:pPr>
    </w:p>
    <w:p w:rsidR="00243972" w:rsidRDefault="00243972" w:rsidP="00243972">
      <w:pPr>
        <w:pStyle w:val="NormalWeb"/>
        <w:spacing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rsidR="00243972" w:rsidRPr="00390CA1" w:rsidRDefault="00243972" w:rsidP="00243972">
      <w:pPr>
        <w:pStyle w:val="NormalWeb"/>
        <w:spacing w:line="360" w:lineRule="auto"/>
        <w:rPr>
          <w:rFonts w:ascii="Arial" w:eastAsia="Calibri" w:hAnsi="Arial" w:cs="Arial"/>
          <w:b/>
        </w:rPr>
      </w:pPr>
      <w:r w:rsidRPr="00390CA1">
        <w:rPr>
          <w:rFonts w:ascii="Arial" w:hAnsi="Arial" w:cs="Arial"/>
        </w:rPr>
        <w:t xml:space="preserve">In the matter between: </w:t>
      </w:r>
    </w:p>
    <w:p w:rsidR="00243972" w:rsidRDefault="00243972" w:rsidP="00243972">
      <w:pPr>
        <w:rPr>
          <w:rFonts w:ascii="Arial" w:hAnsi="Arial" w:cs="Arial"/>
        </w:rPr>
      </w:pPr>
      <w:r>
        <w:rPr>
          <w:rFonts w:ascii="Arial" w:hAnsi="Arial" w:cs="Arial"/>
        </w:rPr>
        <w:t>KABELO JOHN MATSEPE</w:t>
      </w:r>
      <w:r>
        <w:rPr>
          <w:rFonts w:ascii="Arial" w:hAnsi="Arial" w:cs="Arial"/>
        </w:rPr>
        <w:tab/>
      </w:r>
      <w:r>
        <w:rPr>
          <w:rFonts w:ascii="Arial" w:hAnsi="Arial" w:cs="Arial"/>
        </w:rPr>
        <w:tab/>
      </w:r>
      <w:r>
        <w:rPr>
          <w:rFonts w:ascii="Arial" w:hAnsi="Arial" w:cs="Arial"/>
        </w:rPr>
        <w:tab/>
      </w:r>
      <w:r>
        <w:rPr>
          <w:rFonts w:ascii="Arial" w:hAnsi="Arial" w:cs="Arial"/>
        </w:rPr>
        <w:tab/>
        <w:t xml:space="preserve">                     FIRST </w:t>
      </w:r>
      <w:r w:rsidRPr="005733DB">
        <w:rPr>
          <w:rFonts w:ascii="Arial" w:hAnsi="Arial" w:cs="Arial"/>
        </w:rPr>
        <w:t>APPLICANT</w:t>
      </w:r>
    </w:p>
    <w:p w:rsidR="00243972" w:rsidRPr="005733DB" w:rsidRDefault="00243972" w:rsidP="00243972">
      <w:pPr>
        <w:rPr>
          <w:rFonts w:ascii="Arial" w:hAnsi="Arial" w:cs="Arial"/>
        </w:rPr>
      </w:pPr>
      <w:r>
        <w:rPr>
          <w:rFonts w:ascii="Arial" w:hAnsi="Arial" w:cs="Arial"/>
        </w:rPr>
        <w:t>MOSHKATE INVESTMENT GROUP (PTY) LTD</w:t>
      </w:r>
      <w:r>
        <w:rPr>
          <w:rFonts w:ascii="Arial" w:hAnsi="Arial" w:cs="Arial"/>
        </w:rPr>
        <w:tab/>
        <w:t xml:space="preserve">                SECOND APPLICANT</w:t>
      </w:r>
      <w:r>
        <w:rPr>
          <w:rFonts w:ascii="Arial" w:hAnsi="Arial" w:cs="Arial"/>
        </w:rPr>
        <w:tab/>
      </w:r>
      <w:r>
        <w:rPr>
          <w:rFonts w:ascii="Arial" w:hAnsi="Arial" w:cs="Arial"/>
        </w:rPr>
        <w:tab/>
      </w:r>
    </w:p>
    <w:p w:rsidR="00243972" w:rsidRDefault="00243972" w:rsidP="00243972">
      <w:pPr>
        <w:rPr>
          <w:rFonts w:ascii="Arial" w:hAnsi="Arial" w:cs="Arial"/>
        </w:rPr>
      </w:pPr>
      <w:r>
        <w:rPr>
          <w:rFonts w:ascii="Arial" w:hAnsi="Arial" w:cs="Arial"/>
        </w:rPr>
        <w:t>a</w:t>
      </w:r>
      <w:r w:rsidRPr="005733DB">
        <w:rPr>
          <w:rFonts w:ascii="Arial" w:hAnsi="Arial" w:cs="Arial"/>
        </w:rPr>
        <w:t>nd</w:t>
      </w:r>
      <w:r>
        <w:rPr>
          <w:rFonts w:ascii="Arial" w:hAnsi="Arial" w:cs="Arial"/>
        </w:rPr>
        <w:t xml:space="preserve">        </w:t>
      </w:r>
    </w:p>
    <w:p w:rsidR="00243972" w:rsidRPr="005733DB" w:rsidRDefault="00243972" w:rsidP="00243972">
      <w:pPr>
        <w:rPr>
          <w:rFonts w:ascii="Arial" w:hAnsi="Arial" w:cs="Arial"/>
        </w:rPr>
      </w:pPr>
    </w:p>
    <w:p w:rsidR="00243972" w:rsidRPr="005733DB" w:rsidRDefault="00243972" w:rsidP="00243972">
      <w:pPr>
        <w:rPr>
          <w:rFonts w:ascii="Arial" w:hAnsi="Arial" w:cs="Arial"/>
        </w:rPr>
      </w:pPr>
      <w:r>
        <w:rPr>
          <w:rFonts w:ascii="Arial" w:hAnsi="Arial" w:cs="Arial"/>
        </w:rPr>
        <w:t>MINISTER OF FINANCE</w:t>
      </w:r>
      <w:r>
        <w:rPr>
          <w:rFonts w:ascii="Arial" w:hAnsi="Arial" w:cs="Arial"/>
        </w:rPr>
        <w:tab/>
      </w:r>
      <w:r>
        <w:rPr>
          <w:rFonts w:ascii="Arial" w:hAnsi="Arial" w:cs="Arial"/>
        </w:rPr>
        <w:tab/>
      </w:r>
      <w:r>
        <w:rPr>
          <w:rFonts w:ascii="Arial" w:hAnsi="Arial" w:cs="Arial"/>
        </w:rPr>
        <w:tab/>
      </w:r>
      <w:r>
        <w:rPr>
          <w:rFonts w:ascii="Arial" w:hAnsi="Arial" w:cs="Arial"/>
        </w:rPr>
        <w:tab/>
        <w:t xml:space="preserve">                FIRST RESPONDENT</w:t>
      </w:r>
    </w:p>
    <w:p w:rsidR="00243972" w:rsidRDefault="00243972" w:rsidP="00243972">
      <w:pPr>
        <w:tabs>
          <w:tab w:val="right" w:pos="8222"/>
        </w:tabs>
        <w:rPr>
          <w:rFonts w:ascii="Arial" w:hAnsi="Arial" w:cs="Arial"/>
        </w:rPr>
      </w:pPr>
      <w:r>
        <w:rPr>
          <w:rFonts w:ascii="Arial" w:hAnsi="Arial" w:cs="Arial"/>
        </w:rPr>
        <w:t>MINISTER OF COOPERATIVE</w:t>
      </w:r>
      <w:r>
        <w:rPr>
          <w:rFonts w:ascii="Arial" w:hAnsi="Arial" w:cs="Arial"/>
        </w:rPr>
        <w:tab/>
        <w:t xml:space="preserve">        SECOND RESPONDENT GOVERNANCE</w:t>
      </w:r>
    </w:p>
    <w:p w:rsidR="00243972" w:rsidRPr="005733DB" w:rsidRDefault="00243972" w:rsidP="00243972">
      <w:pPr>
        <w:tabs>
          <w:tab w:val="right" w:pos="8222"/>
        </w:tabs>
        <w:rPr>
          <w:rFonts w:ascii="Arial" w:hAnsi="Arial" w:cs="Arial"/>
        </w:rPr>
      </w:pPr>
      <w:r>
        <w:rPr>
          <w:rFonts w:ascii="Arial" w:hAnsi="Arial" w:cs="Arial"/>
        </w:rPr>
        <w:tab/>
        <w:t>AND TRADITIONAL AFFAIRS</w:t>
      </w:r>
    </w:p>
    <w:p w:rsidR="00243972" w:rsidRDefault="00243972" w:rsidP="00243972">
      <w:pPr>
        <w:rPr>
          <w:rFonts w:ascii="Arial" w:hAnsi="Arial" w:cs="Arial"/>
        </w:rPr>
      </w:pPr>
      <w:r>
        <w:rPr>
          <w:rFonts w:ascii="Arial" w:hAnsi="Arial" w:cs="Arial"/>
        </w:rPr>
        <w:t>NATIONAL DIRECTOR OF</w:t>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p>
    <w:p w:rsidR="00243972" w:rsidRPr="005733DB" w:rsidRDefault="00243972" w:rsidP="00243972">
      <w:pPr>
        <w:rPr>
          <w:rFonts w:ascii="Arial" w:hAnsi="Arial" w:cs="Arial"/>
        </w:rPr>
      </w:pPr>
      <w:r>
        <w:rPr>
          <w:rFonts w:ascii="Arial" w:hAnsi="Arial" w:cs="Arial"/>
        </w:rPr>
        <w:t>PUBLIC PROSECUTION</w:t>
      </w:r>
    </w:p>
    <w:p w:rsidR="00243972" w:rsidRDefault="00243972" w:rsidP="00243972">
      <w:pPr>
        <w:rPr>
          <w:rFonts w:ascii="Arial" w:hAnsi="Arial" w:cs="Arial"/>
        </w:rPr>
      </w:pPr>
      <w:r>
        <w:rPr>
          <w:rFonts w:ascii="Arial" w:hAnsi="Arial" w:cs="Arial"/>
        </w:rPr>
        <w:t>SOUTH AFRICAN LOCAL</w:t>
      </w:r>
      <w:r>
        <w:rPr>
          <w:rFonts w:ascii="Arial" w:hAnsi="Arial" w:cs="Arial"/>
        </w:rPr>
        <w:tab/>
      </w:r>
      <w:r>
        <w:rPr>
          <w:rFonts w:ascii="Arial" w:hAnsi="Arial" w:cs="Arial"/>
        </w:rPr>
        <w:tab/>
      </w:r>
      <w:r>
        <w:rPr>
          <w:rFonts w:ascii="Arial" w:hAnsi="Arial" w:cs="Arial"/>
        </w:rPr>
        <w:tab/>
      </w:r>
      <w:r>
        <w:rPr>
          <w:rFonts w:ascii="Arial" w:hAnsi="Arial" w:cs="Arial"/>
        </w:rPr>
        <w:tab/>
        <w:t xml:space="preserve">           FOURTH RESPONDENT</w:t>
      </w:r>
    </w:p>
    <w:p w:rsidR="00243972" w:rsidRDefault="00243972" w:rsidP="00243972">
      <w:pPr>
        <w:rPr>
          <w:rFonts w:ascii="Arial" w:hAnsi="Arial" w:cs="Arial"/>
        </w:rPr>
      </w:pPr>
      <w:r>
        <w:rPr>
          <w:rFonts w:ascii="Arial" w:hAnsi="Arial" w:cs="Arial"/>
        </w:rPr>
        <w:t xml:space="preserve">GOVERNMENT ASSOCIATION         </w:t>
      </w:r>
    </w:p>
    <w:p w:rsidR="00243972" w:rsidRPr="00390CA1" w:rsidRDefault="00243972" w:rsidP="00243972">
      <w:pPr>
        <w:pStyle w:val="NormalWeb"/>
        <w:spacing w:line="360" w:lineRule="auto"/>
        <w:rPr>
          <w:rFonts w:ascii="Arial" w:hAnsi="Arial" w:cs="Arial"/>
        </w:rPr>
      </w:pPr>
      <w:r w:rsidRPr="00390CA1">
        <w:rPr>
          <w:rFonts w:ascii="Arial" w:hAnsi="Arial" w:cs="Arial"/>
        </w:rPr>
        <w:t>______________________________________________________________</w:t>
      </w:r>
    </w:p>
    <w:p w:rsidR="00243972" w:rsidRPr="0055013A" w:rsidRDefault="00243972" w:rsidP="00243972">
      <w:pPr>
        <w:pStyle w:val="NormalWeb"/>
        <w:pBdr>
          <w:bottom w:val="single" w:sz="12" w:space="1" w:color="auto"/>
        </w:pBdr>
        <w:spacing w:before="0" w:beforeAutospacing="0" w:after="0" w:afterAutospacing="0"/>
        <w:jc w:val="center"/>
        <w:rPr>
          <w:rFonts w:ascii="Arial" w:hAnsi="Arial" w:cs="Arial"/>
          <w:b/>
        </w:rPr>
      </w:pPr>
      <w:r w:rsidRPr="0055013A">
        <w:rPr>
          <w:rFonts w:ascii="Arial" w:hAnsi="Arial" w:cs="Arial"/>
          <w:b/>
        </w:rPr>
        <w:t>JUDGMENT</w:t>
      </w:r>
      <w:r w:rsidR="00EF5E84">
        <w:rPr>
          <w:rFonts w:ascii="Arial" w:hAnsi="Arial" w:cs="Arial"/>
          <w:b/>
        </w:rPr>
        <w:t>: LEAVE TO APPEAL</w:t>
      </w:r>
    </w:p>
    <w:p w:rsidR="00243972" w:rsidRPr="0055013A" w:rsidRDefault="00243972" w:rsidP="00243972">
      <w:pPr>
        <w:pStyle w:val="NormalWeb"/>
        <w:rPr>
          <w:rFonts w:ascii="Arial" w:hAnsi="Arial" w:cs="Arial"/>
        </w:rPr>
      </w:pPr>
      <w:r>
        <w:rPr>
          <w:rFonts w:ascii="Arial" w:hAnsi="Arial" w:cs="Arial"/>
          <w:b/>
        </w:rPr>
        <w:t>KUBUSHI J</w:t>
      </w:r>
    </w:p>
    <w:p w:rsidR="00EF5E84" w:rsidRDefault="00EF5E84" w:rsidP="009B38B1">
      <w:pPr>
        <w:spacing w:line="360" w:lineRule="auto"/>
        <w:jc w:val="both"/>
        <w:rPr>
          <w:rFonts w:ascii="Arial" w:hAnsi="Arial" w:cs="Arial"/>
          <w:b/>
          <w:sz w:val="24"/>
          <w:szCs w:val="24"/>
        </w:rPr>
      </w:pPr>
    </w:p>
    <w:p w:rsidR="00892CD5" w:rsidRPr="009B38B1" w:rsidRDefault="00892CD5" w:rsidP="009B38B1">
      <w:pPr>
        <w:spacing w:line="360" w:lineRule="auto"/>
        <w:jc w:val="both"/>
        <w:rPr>
          <w:rFonts w:ascii="Arial" w:hAnsi="Arial" w:cs="Arial"/>
          <w:b/>
          <w:sz w:val="24"/>
          <w:szCs w:val="24"/>
        </w:rPr>
      </w:pPr>
      <w:r w:rsidRPr="009B38B1">
        <w:rPr>
          <w:rFonts w:ascii="Arial" w:hAnsi="Arial" w:cs="Arial"/>
          <w:b/>
          <w:sz w:val="24"/>
          <w:szCs w:val="24"/>
        </w:rPr>
        <w:lastRenderedPageBreak/>
        <w:t>INTRODUCTION</w:t>
      </w:r>
    </w:p>
    <w:p w:rsidR="00892CD5" w:rsidRDefault="00650688" w:rsidP="009B38B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92CD5" w:rsidRPr="009B38B1">
        <w:rPr>
          <w:rFonts w:ascii="Arial" w:hAnsi="Arial" w:cs="Arial"/>
          <w:sz w:val="24"/>
          <w:szCs w:val="24"/>
        </w:rPr>
        <w:t xml:space="preserve">On 1 November 2022, this Court dismissed </w:t>
      </w:r>
      <w:r w:rsidR="004E237D">
        <w:rPr>
          <w:rFonts w:ascii="Arial" w:hAnsi="Arial" w:cs="Arial"/>
          <w:sz w:val="24"/>
          <w:szCs w:val="24"/>
        </w:rPr>
        <w:t>the</w:t>
      </w:r>
      <w:r w:rsidR="00321B9C">
        <w:rPr>
          <w:rFonts w:ascii="Arial" w:hAnsi="Arial" w:cs="Arial"/>
          <w:sz w:val="24"/>
          <w:szCs w:val="24"/>
        </w:rPr>
        <w:t xml:space="preserve"> </w:t>
      </w:r>
      <w:r w:rsidR="00892CD5" w:rsidRPr="009B38B1">
        <w:rPr>
          <w:rFonts w:ascii="Arial" w:hAnsi="Arial" w:cs="Arial"/>
          <w:sz w:val="24"/>
          <w:szCs w:val="24"/>
        </w:rPr>
        <w:t>Applicants’ application for a declaratory order seeking to declare invalid Regulation 6(c) of the Municipal Investment Regulations promulgated in terms of section 13 of the Local Government: Municipal F</w:t>
      </w:r>
      <w:r w:rsidR="009B6DF4">
        <w:rPr>
          <w:rFonts w:ascii="Arial" w:hAnsi="Arial" w:cs="Arial"/>
          <w:sz w:val="24"/>
          <w:szCs w:val="24"/>
        </w:rPr>
        <w:t>inance Management Act</w:t>
      </w:r>
      <w:r w:rsidR="00892CD5" w:rsidRPr="009B38B1">
        <w:rPr>
          <w:rFonts w:ascii="Arial" w:hAnsi="Arial" w:cs="Arial"/>
          <w:sz w:val="24"/>
          <w:szCs w:val="24"/>
        </w:rPr>
        <w:t xml:space="preserve"> (“</w:t>
      </w:r>
      <w:r w:rsidR="006671D1">
        <w:rPr>
          <w:rFonts w:ascii="Arial" w:hAnsi="Arial" w:cs="Arial"/>
          <w:sz w:val="24"/>
          <w:szCs w:val="24"/>
        </w:rPr>
        <w:t xml:space="preserve">the </w:t>
      </w:r>
      <w:r w:rsidR="00892CD5" w:rsidRPr="009B38B1">
        <w:rPr>
          <w:rFonts w:ascii="Arial" w:hAnsi="Arial" w:cs="Arial"/>
          <w:sz w:val="24"/>
          <w:szCs w:val="24"/>
        </w:rPr>
        <w:t>MFMA”),</w:t>
      </w:r>
      <w:r w:rsidR="009B6DF4">
        <w:rPr>
          <w:rStyle w:val="FootnoteReference"/>
          <w:rFonts w:ascii="Arial" w:hAnsi="Arial" w:cs="Arial"/>
          <w:sz w:val="24"/>
          <w:szCs w:val="24"/>
        </w:rPr>
        <w:footnoteReference w:id="1"/>
      </w:r>
      <w:r w:rsidR="00892CD5" w:rsidRPr="009B38B1">
        <w:rPr>
          <w:rFonts w:ascii="Arial" w:hAnsi="Arial" w:cs="Arial"/>
          <w:sz w:val="24"/>
          <w:szCs w:val="24"/>
        </w:rPr>
        <w:t xml:space="preserve"> insofar as it limited the powers of municipalities to invest funds in investment type deposits with banks registered in t</w:t>
      </w:r>
      <w:r w:rsidR="009B6DF4">
        <w:rPr>
          <w:rFonts w:ascii="Arial" w:hAnsi="Arial" w:cs="Arial"/>
          <w:sz w:val="24"/>
          <w:szCs w:val="24"/>
        </w:rPr>
        <w:t>erms of the Banks Act</w:t>
      </w:r>
      <w:r w:rsidR="00892CD5" w:rsidRPr="009B38B1">
        <w:rPr>
          <w:rFonts w:ascii="Arial" w:hAnsi="Arial" w:cs="Arial"/>
          <w:sz w:val="24"/>
          <w:szCs w:val="24"/>
        </w:rPr>
        <w:t xml:space="preserve"> (“</w:t>
      </w:r>
      <w:r w:rsidR="006671D1">
        <w:rPr>
          <w:rFonts w:ascii="Arial" w:hAnsi="Arial" w:cs="Arial"/>
          <w:sz w:val="24"/>
          <w:szCs w:val="24"/>
        </w:rPr>
        <w:t xml:space="preserve">the </w:t>
      </w:r>
      <w:r w:rsidR="00892CD5" w:rsidRPr="009B38B1">
        <w:rPr>
          <w:rFonts w:ascii="Arial" w:hAnsi="Arial" w:cs="Arial"/>
          <w:sz w:val="24"/>
          <w:szCs w:val="24"/>
        </w:rPr>
        <w:t>Banks Act”)</w:t>
      </w:r>
      <w:r w:rsidR="00C20A04">
        <w:rPr>
          <w:rFonts w:ascii="Arial" w:hAnsi="Arial" w:cs="Arial"/>
          <w:sz w:val="24"/>
          <w:szCs w:val="24"/>
        </w:rPr>
        <w:t>.</w:t>
      </w:r>
      <w:r w:rsidR="009B6DF4">
        <w:rPr>
          <w:rStyle w:val="FootnoteReference"/>
          <w:rFonts w:ascii="Arial" w:hAnsi="Arial" w:cs="Arial"/>
          <w:sz w:val="24"/>
          <w:szCs w:val="24"/>
        </w:rPr>
        <w:footnoteReference w:id="2"/>
      </w:r>
    </w:p>
    <w:p w:rsidR="003F3B2A" w:rsidRDefault="00650688" w:rsidP="003F3B2A">
      <w:pPr>
        <w:spacing w:line="360" w:lineRule="auto"/>
        <w:jc w:val="both"/>
        <w:rPr>
          <w:rFonts w:ascii="Arial" w:hAnsi="Arial" w:cs="Arial"/>
          <w:color w:val="000000"/>
          <w:sz w:val="24"/>
          <w:szCs w:val="24"/>
        </w:rPr>
      </w:pPr>
      <w:r>
        <w:rPr>
          <w:rFonts w:ascii="Arial" w:hAnsi="Arial" w:cs="Arial"/>
          <w:sz w:val="24"/>
          <w:szCs w:val="24"/>
        </w:rPr>
        <w:t>[2]</w:t>
      </w:r>
      <w:r>
        <w:rPr>
          <w:rFonts w:ascii="Arial" w:hAnsi="Arial" w:cs="Arial"/>
          <w:sz w:val="24"/>
          <w:szCs w:val="24"/>
        </w:rPr>
        <w:tab/>
      </w:r>
      <w:r w:rsidR="004E237D">
        <w:rPr>
          <w:rFonts w:ascii="Arial" w:hAnsi="Arial" w:cs="Arial"/>
          <w:sz w:val="24"/>
          <w:szCs w:val="24"/>
        </w:rPr>
        <w:t>The application was further dismissed on the basis that the Second Applicant’s</w:t>
      </w:r>
      <w:r w:rsidR="003F3B2A">
        <w:rPr>
          <w:rFonts w:ascii="Arial" w:hAnsi="Arial" w:cs="Arial"/>
          <w:sz w:val="24"/>
          <w:szCs w:val="24"/>
        </w:rPr>
        <w:t xml:space="preserve"> </w:t>
      </w:r>
      <w:r w:rsidR="00C95CD1">
        <w:rPr>
          <w:rFonts w:ascii="Arial" w:hAnsi="Arial" w:cs="Arial"/>
          <w:sz w:val="24"/>
          <w:szCs w:val="24"/>
        </w:rPr>
        <w:t xml:space="preserve">direct </w:t>
      </w:r>
      <w:r w:rsidR="00AA5C5D">
        <w:rPr>
          <w:rFonts w:ascii="Arial" w:hAnsi="Arial" w:cs="Arial"/>
          <w:sz w:val="24"/>
          <w:szCs w:val="24"/>
        </w:rPr>
        <w:t xml:space="preserve">review </w:t>
      </w:r>
      <w:r w:rsidR="003F3B2A">
        <w:rPr>
          <w:rFonts w:ascii="Arial" w:hAnsi="Arial" w:cs="Arial"/>
          <w:sz w:val="24"/>
          <w:szCs w:val="24"/>
        </w:rPr>
        <w:t xml:space="preserve">application </w:t>
      </w:r>
      <w:r w:rsidR="00C95CD1">
        <w:rPr>
          <w:rFonts w:ascii="Arial" w:hAnsi="Arial" w:cs="Arial"/>
          <w:sz w:val="24"/>
          <w:szCs w:val="24"/>
        </w:rPr>
        <w:t xml:space="preserve">which sought </w:t>
      </w:r>
      <w:r w:rsidR="003F3B2A">
        <w:rPr>
          <w:rFonts w:ascii="Arial" w:hAnsi="Arial" w:cs="Arial"/>
          <w:sz w:val="24"/>
          <w:szCs w:val="24"/>
        </w:rPr>
        <w:t xml:space="preserve">to declare </w:t>
      </w:r>
      <w:r w:rsidR="004E237D">
        <w:rPr>
          <w:rFonts w:ascii="Arial" w:hAnsi="Arial" w:cs="Arial"/>
          <w:color w:val="000000"/>
          <w:sz w:val="24"/>
          <w:szCs w:val="24"/>
        </w:rPr>
        <w:t>Regulation 6(c) invalid because of it</w:t>
      </w:r>
      <w:r w:rsidR="003F3B2A" w:rsidRPr="00066B4A">
        <w:rPr>
          <w:rFonts w:ascii="Arial" w:hAnsi="Arial" w:cs="Arial"/>
          <w:color w:val="000000"/>
          <w:sz w:val="24"/>
          <w:szCs w:val="24"/>
        </w:rPr>
        <w:t>s irrational</w:t>
      </w:r>
      <w:r w:rsidR="004E237D">
        <w:rPr>
          <w:rFonts w:ascii="Arial" w:hAnsi="Arial" w:cs="Arial"/>
          <w:color w:val="000000"/>
          <w:sz w:val="24"/>
          <w:szCs w:val="24"/>
        </w:rPr>
        <w:t>ity</w:t>
      </w:r>
      <w:r w:rsidR="003F3B2A" w:rsidRPr="00066B4A">
        <w:rPr>
          <w:rFonts w:ascii="Arial" w:hAnsi="Arial" w:cs="Arial"/>
          <w:color w:val="000000"/>
          <w:sz w:val="24"/>
          <w:szCs w:val="24"/>
        </w:rPr>
        <w:t xml:space="preserve"> and</w:t>
      </w:r>
      <w:r w:rsidR="004E237D">
        <w:rPr>
          <w:rFonts w:ascii="Arial" w:hAnsi="Arial" w:cs="Arial"/>
          <w:color w:val="000000"/>
          <w:sz w:val="24"/>
          <w:szCs w:val="24"/>
        </w:rPr>
        <w:t xml:space="preserve"> its</w:t>
      </w:r>
      <w:r w:rsidR="003F3B2A" w:rsidRPr="00066B4A">
        <w:rPr>
          <w:rFonts w:ascii="Arial" w:hAnsi="Arial" w:cs="Arial"/>
          <w:color w:val="000000"/>
          <w:sz w:val="24"/>
          <w:szCs w:val="24"/>
        </w:rPr>
        <w:t xml:space="preserve"> affront to the principle of legality</w:t>
      </w:r>
      <w:r w:rsidR="004E237D">
        <w:rPr>
          <w:rFonts w:ascii="Arial" w:hAnsi="Arial" w:cs="Arial"/>
          <w:color w:val="000000"/>
          <w:sz w:val="24"/>
          <w:szCs w:val="24"/>
        </w:rPr>
        <w:t>, was filed out of time</w:t>
      </w:r>
      <w:r w:rsidR="003F3B2A" w:rsidRPr="00066B4A">
        <w:rPr>
          <w:rFonts w:ascii="Arial" w:hAnsi="Arial" w:cs="Arial"/>
          <w:color w:val="000000"/>
          <w:sz w:val="24"/>
          <w:szCs w:val="24"/>
        </w:rPr>
        <w:t>.</w:t>
      </w:r>
    </w:p>
    <w:p w:rsidR="00C540A1" w:rsidRPr="009B38B1" w:rsidRDefault="00650688" w:rsidP="00C540A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540A1" w:rsidRPr="009B38B1">
        <w:rPr>
          <w:rFonts w:ascii="Arial" w:hAnsi="Arial" w:cs="Arial"/>
          <w:sz w:val="24"/>
          <w:szCs w:val="24"/>
        </w:rPr>
        <w:t>The Applicants are in the current application applying for leave to appeal against the whole of the said judgment and order.  The application for leave to appeal is sought in terms of section 17 (1)(a) (i) of the Sup</w:t>
      </w:r>
      <w:r w:rsidR="009B6DF4">
        <w:rPr>
          <w:rFonts w:ascii="Arial" w:hAnsi="Arial" w:cs="Arial"/>
          <w:sz w:val="24"/>
          <w:szCs w:val="24"/>
        </w:rPr>
        <w:t>erior Courts Act</w:t>
      </w:r>
      <w:r w:rsidR="00C540A1" w:rsidRPr="009B38B1">
        <w:rPr>
          <w:rFonts w:ascii="Arial" w:hAnsi="Arial" w:cs="Arial"/>
          <w:sz w:val="24"/>
          <w:szCs w:val="24"/>
        </w:rPr>
        <w:t xml:space="preserve"> (“the Superior Courts Act”),</w:t>
      </w:r>
      <w:r w:rsidR="009B6DF4">
        <w:rPr>
          <w:rStyle w:val="FootnoteReference"/>
          <w:rFonts w:ascii="Arial" w:hAnsi="Arial" w:cs="Arial"/>
          <w:sz w:val="24"/>
          <w:szCs w:val="24"/>
        </w:rPr>
        <w:footnoteReference w:id="3"/>
      </w:r>
      <w:r w:rsidR="00C540A1" w:rsidRPr="009B38B1">
        <w:rPr>
          <w:rFonts w:ascii="Arial" w:hAnsi="Arial" w:cs="Arial"/>
          <w:sz w:val="24"/>
          <w:szCs w:val="24"/>
        </w:rPr>
        <w:t xml:space="preserve"> to the Full Court of this Division, contending that there are reasonable prospects of success; alternatively, to the Supreme Court of Appeal on the basis that the matter raises a point of law of general interest that should be heard by the Supreme Court of Appeal, as envisaged in section 17 (1) (a) (ii) of the Superior Courts Act.</w:t>
      </w:r>
    </w:p>
    <w:p w:rsidR="00C540A1" w:rsidRPr="009B38B1" w:rsidRDefault="00650688" w:rsidP="00C540A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540A1" w:rsidRPr="009B38B1">
        <w:rPr>
          <w:rFonts w:ascii="Arial" w:hAnsi="Arial" w:cs="Arial"/>
          <w:sz w:val="24"/>
          <w:szCs w:val="24"/>
        </w:rPr>
        <w:t xml:space="preserve">The Application for Leave to Appeal is opposed on both bases by </w:t>
      </w:r>
      <w:r w:rsidR="00C540A1">
        <w:rPr>
          <w:rFonts w:ascii="Arial" w:hAnsi="Arial" w:cs="Arial"/>
          <w:sz w:val="24"/>
          <w:szCs w:val="24"/>
        </w:rPr>
        <w:t xml:space="preserve">the First and </w:t>
      </w:r>
      <w:r w:rsidR="00C540A1" w:rsidRPr="009B38B1">
        <w:rPr>
          <w:rFonts w:ascii="Arial" w:hAnsi="Arial" w:cs="Arial"/>
          <w:sz w:val="24"/>
          <w:szCs w:val="24"/>
        </w:rPr>
        <w:t>Third Respondent</w:t>
      </w:r>
      <w:r w:rsidR="00C540A1">
        <w:rPr>
          <w:rFonts w:ascii="Arial" w:hAnsi="Arial" w:cs="Arial"/>
          <w:sz w:val="24"/>
          <w:szCs w:val="24"/>
        </w:rPr>
        <w:t>s on the basis that t</w:t>
      </w:r>
      <w:r w:rsidR="00C540A1" w:rsidRPr="009B38B1">
        <w:rPr>
          <w:rFonts w:ascii="Arial" w:hAnsi="Arial" w:cs="Arial"/>
          <w:sz w:val="24"/>
          <w:szCs w:val="24"/>
        </w:rPr>
        <w:t>here are no reasonable prospects of success, no compelling reason that the appeal be heard, and no question of law of importance, whether because of its general application or otherwise, in respect of which a decision of the Supreme Court of Appeal is required.</w:t>
      </w:r>
    </w:p>
    <w:p w:rsidR="00C540A1" w:rsidRPr="009B38B1" w:rsidRDefault="00E04E07" w:rsidP="00C540A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540A1" w:rsidRPr="009B38B1">
        <w:rPr>
          <w:rFonts w:ascii="Arial" w:hAnsi="Arial" w:cs="Arial"/>
          <w:sz w:val="24"/>
          <w:szCs w:val="24"/>
        </w:rPr>
        <w:t>T</w:t>
      </w:r>
      <w:r w:rsidR="00C540A1" w:rsidRPr="009B38B1">
        <w:rPr>
          <w:rFonts w:ascii="Arial" w:hAnsi="Arial" w:cs="Arial"/>
          <w:color w:val="000000"/>
          <w:sz w:val="24"/>
          <w:szCs w:val="24"/>
        </w:rPr>
        <w:t>he matter was</w:t>
      </w:r>
      <w:r w:rsidR="00C540A1" w:rsidRPr="009B38B1">
        <w:rPr>
          <w:rFonts w:ascii="Arial" w:hAnsi="Arial" w:cs="Arial"/>
          <w:sz w:val="24"/>
          <w:szCs w:val="24"/>
        </w:rPr>
        <w:t xml:space="preserve"> determined on the papers as uploaded on Caselines without oral hearing, the parties having been directed to upload their respective heads of argument on Caselines.</w:t>
      </w:r>
    </w:p>
    <w:p w:rsidR="00FC0539" w:rsidRPr="009B38B1" w:rsidRDefault="00FC0539" w:rsidP="009B38B1">
      <w:pPr>
        <w:spacing w:line="360" w:lineRule="auto"/>
        <w:jc w:val="both"/>
        <w:rPr>
          <w:rFonts w:ascii="Arial" w:hAnsi="Arial" w:cs="Arial"/>
          <w:b/>
          <w:sz w:val="24"/>
          <w:szCs w:val="24"/>
        </w:rPr>
      </w:pPr>
      <w:r w:rsidRPr="009B38B1">
        <w:rPr>
          <w:rFonts w:ascii="Arial" w:hAnsi="Arial" w:cs="Arial"/>
          <w:b/>
          <w:sz w:val="24"/>
          <w:szCs w:val="24"/>
        </w:rPr>
        <w:lastRenderedPageBreak/>
        <w:t>FACTS</w:t>
      </w:r>
    </w:p>
    <w:p w:rsidR="00953F60" w:rsidRDefault="00E04E07" w:rsidP="009B38B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53F60">
        <w:rPr>
          <w:rFonts w:ascii="Arial" w:hAnsi="Arial" w:cs="Arial"/>
          <w:sz w:val="24"/>
          <w:szCs w:val="24"/>
        </w:rPr>
        <w:t>The First A</w:t>
      </w:r>
      <w:r w:rsidR="00FC0539" w:rsidRPr="009B38B1">
        <w:rPr>
          <w:rFonts w:ascii="Arial" w:hAnsi="Arial" w:cs="Arial"/>
          <w:sz w:val="24"/>
          <w:szCs w:val="24"/>
        </w:rPr>
        <w:t>pplicant</w:t>
      </w:r>
      <w:r w:rsidR="00C540A1">
        <w:rPr>
          <w:rFonts w:ascii="Arial" w:hAnsi="Arial" w:cs="Arial"/>
          <w:sz w:val="24"/>
          <w:szCs w:val="24"/>
        </w:rPr>
        <w:t>, who is the sole director of the Second Applicant,</w:t>
      </w:r>
      <w:r w:rsidR="00FC0539" w:rsidRPr="009B38B1">
        <w:rPr>
          <w:rFonts w:ascii="Arial" w:hAnsi="Arial" w:cs="Arial"/>
          <w:sz w:val="24"/>
          <w:szCs w:val="24"/>
        </w:rPr>
        <w:t xml:space="preserve"> together with other</w:t>
      </w:r>
      <w:r w:rsidR="00C540A1">
        <w:rPr>
          <w:rFonts w:ascii="Arial" w:hAnsi="Arial" w:cs="Arial"/>
          <w:sz w:val="24"/>
          <w:szCs w:val="24"/>
        </w:rPr>
        <w:t xml:space="preserve"> accused person</w:t>
      </w:r>
      <w:r w:rsidR="00FC0539" w:rsidRPr="009B38B1">
        <w:rPr>
          <w:rFonts w:ascii="Arial" w:hAnsi="Arial" w:cs="Arial"/>
          <w:sz w:val="24"/>
          <w:szCs w:val="24"/>
        </w:rPr>
        <w:t xml:space="preserve">s, </w:t>
      </w:r>
      <w:r w:rsidR="00C540A1">
        <w:rPr>
          <w:rFonts w:ascii="Arial" w:hAnsi="Arial" w:cs="Arial"/>
          <w:sz w:val="24"/>
          <w:szCs w:val="24"/>
        </w:rPr>
        <w:t xml:space="preserve">is facing </w:t>
      </w:r>
      <w:r w:rsidR="00FC0539" w:rsidRPr="009B38B1">
        <w:rPr>
          <w:rFonts w:ascii="Arial" w:hAnsi="Arial" w:cs="Arial"/>
          <w:sz w:val="24"/>
          <w:szCs w:val="24"/>
        </w:rPr>
        <w:t>criminal proceedings pertaining to VBS Bank</w:t>
      </w:r>
      <w:r w:rsidR="00953F60">
        <w:rPr>
          <w:rFonts w:ascii="Arial" w:hAnsi="Arial" w:cs="Arial"/>
          <w:sz w:val="24"/>
          <w:szCs w:val="24"/>
        </w:rPr>
        <w:t xml:space="preserve"> (“VBS”)</w:t>
      </w:r>
      <w:r w:rsidR="00FC0539" w:rsidRPr="009B38B1">
        <w:rPr>
          <w:rFonts w:ascii="Arial" w:hAnsi="Arial" w:cs="Arial"/>
          <w:sz w:val="24"/>
          <w:szCs w:val="24"/>
        </w:rPr>
        <w:t xml:space="preserve">. The charges against </w:t>
      </w:r>
      <w:r w:rsidR="00953F60">
        <w:rPr>
          <w:rFonts w:ascii="Arial" w:hAnsi="Arial" w:cs="Arial"/>
          <w:sz w:val="24"/>
          <w:szCs w:val="24"/>
        </w:rPr>
        <w:t>the First Applicant</w:t>
      </w:r>
      <w:r w:rsidR="00FC0539" w:rsidRPr="009B38B1">
        <w:rPr>
          <w:rFonts w:ascii="Arial" w:hAnsi="Arial" w:cs="Arial"/>
          <w:sz w:val="24"/>
          <w:szCs w:val="24"/>
        </w:rPr>
        <w:t xml:space="preserve"> centre around the procurement of </w:t>
      </w:r>
      <w:r w:rsidR="00953F60">
        <w:rPr>
          <w:rFonts w:ascii="Arial" w:hAnsi="Arial" w:cs="Arial"/>
          <w:sz w:val="24"/>
          <w:szCs w:val="24"/>
        </w:rPr>
        <w:t xml:space="preserve">alleged </w:t>
      </w:r>
      <w:r w:rsidR="00FC0539" w:rsidRPr="009B38B1">
        <w:rPr>
          <w:rFonts w:ascii="Arial" w:hAnsi="Arial" w:cs="Arial"/>
          <w:sz w:val="24"/>
          <w:szCs w:val="24"/>
        </w:rPr>
        <w:t>un</w:t>
      </w:r>
      <w:r w:rsidR="00953F60">
        <w:rPr>
          <w:rFonts w:ascii="Arial" w:hAnsi="Arial" w:cs="Arial"/>
          <w:sz w:val="24"/>
          <w:szCs w:val="24"/>
        </w:rPr>
        <w:t>lawful investments into VBS</w:t>
      </w:r>
      <w:r w:rsidR="00FC0539" w:rsidRPr="009B38B1">
        <w:rPr>
          <w:rFonts w:ascii="Arial" w:hAnsi="Arial" w:cs="Arial"/>
          <w:sz w:val="24"/>
          <w:szCs w:val="24"/>
        </w:rPr>
        <w:t xml:space="preserve">. </w:t>
      </w:r>
      <w:r w:rsidR="00953F60">
        <w:rPr>
          <w:rFonts w:ascii="Arial" w:hAnsi="Arial" w:cs="Arial"/>
          <w:sz w:val="24"/>
          <w:szCs w:val="24"/>
        </w:rPr>
        <w:t>The Second Applicant</w:t>
      </w:r>
      <w:r w:rsidR="00FC0539" w:rsidRPr="009B38B1">
        <w:rPr>
          <w:rFonts w:ascii="Arial" w:hAnsi="Arial" w:cs="Arial"/>
          <w:sz w:val="24"/>
          <w:szCs w:val="24"/>
        </w:rPr>
        <w:t xml:space="preserve"> </w:t>
      </w:r>
      <w:r w:rsidR="00953F60">
        <w:rPr>
          <w:rFonts w:ascii="Arial" w:hAnsi="Arial" w:cs="Arial"/>
          <w:sz w:val="24"/>
          <w:szCs w:val="24"/>
        </w:rPr>
        <w:t xml:space="preserve">who </w:t>
      </w:r>
      <w:r w:rsidR="00FC0539" w:rsidRPr="009B38B1">
        <w:rPr>
          <w:rFonts w:ascii="Arial" w:hAnsi="Arial" w:cs="Arial"/>
          <w:sz w:val="24"/>
          <w:szCs w:val="24"/>
        </w:rPr>
        <w:t>had a marketing contract with VBS</w:t>
      </w:r>
      <w:r w:rsidR="00953F60">
        <w:rPr>
          <w:rFonts w:ascii="Arial" w:hAnsi="Arial" w:cs="Arial"/>
          <w:sz w:val="24"/>
          <w:szCs w:val="24"/>
        </w:rPr>
        <w:t xml:space="preserve">, </w:t>
      </w:r>
      <w:r w:rsidR="00953F60" w:rsidRPr="009B38B1">
        <w:rPr>
          <w:rFonts w:ascii="Arial" w:hAnsi="Arial" w:cs="Arial"/>
          <w:sz w:val="24"/>
          <w:szCs w:val="24"/>
        </w:rPr>
        <w:t xml:space="preserve">was the vehicle through which the </w:t>
      </w:r>
      <w:r w:rsidR="00953F60">
        <w:rPr>
          <w:rFonts w:ascii="Arial" w:hAnsi="Arial" w:cs="Arial"/>
          <w:sz w:val="24"/>
          <w:szCs w:val="24"/>
        </w:rPr>
        <w:t>F</w:t>
      </w:r>
      <w:r w:rsidR="00953F60" w:rsidRPr="009B38B1">
        <w:rPr>
          <w:rFonts w:ascii="Arial" w:hAnsi="Arial" w:cs="Arial"/>
          <w:sz w:val="24"/>
          <w:szCs w:val="24"/>
        </w:rPr>
        <w:t xml:space="preserve">irst </w:t>
      </w:r>
      <w:r w:rsidR="00953F60">
        <w:rPr>
          <w:rFonts w:ascii="Arial" w:hAnsi="Arial" w:cs="Arial"/>
          <w:sz w:val="24"/>
          <w:szCs w:val="24"/>
        </w:rPr>
        <w:t>A</w:t>
      </w:r>
      <w:r w:rsidR="00953F60" w:rsidRPr="009B38B1">
        <w:rPr>
          <w:rFonts w:ascii="Arial" w:hAnsi="Arial" w:cs="Arial"/>
          <w:sz w:val="24"/>
          <w:szCs w:val="24"/>
        </w:rPr>
        <w:t>pplicant procured such investments.</w:t>
      </w:r>
      <w:r w:rsidR="00953F60">
        <w:rPr>
          <w:rFonts w:ascii="Arial" w:hAnsi="Arial" w:cs="Arial"/>
          <w:sz w:val="24"/>
          <w:szCs w:val="24"/>
        </w:rPr>
        <w:t xml:space="preserve"> Although the S</w:t>
      </w:r>
      <w:r w:rsidR="00FC0539" w:rsidRPr="009B38B1">
        <w:rPr>
          <w:rFonts w:ascii="Arial" w:hAnsi="Arial" w:cs="Arial"/>
          <w:sz w:val="24"/>
          <w:szCs w:val="24"/>
        </w:rPr>
        <w:t xml:space="preserve">econd </w:t>
      </w:r>
      <w:r w:rsidR="00953F60">
        <w:rPr>
          <w:rFonts w:ascii="Arial" w:hAnsi="Arial" w:cs="Arial"/>
          <w:sz w:val="24"/>
          <w:szCs w:val="24"/>
        </w:rPr>
        <w:t>A</w:t>
      </w:r>
      <w:r w:rsidR="00FC0539" w:rsidRPr="009B38B1">
        <w:rPr>
          <w:rFonts w:ascii="Arial" w:hAnsi="Arial" w:cs="Arial"/>
          <w:sz w:val="24"/>
          <w:szCs w:val="24"/>
        </w:rPr>
        <w:t>pplicant is</w:t>
      </w:r>
      <w:r w:rsidR="00953F60">
        <w:rPr>
          <w:rFonts w:ascii="Arial" w:hAnsi="Arial" w:cs="Arial"/>
          <w:sz w:val="24"/>
          <w:szCs w:val="24"/>
        </w:rPr>
        <w:t xml:space="preserve"> not an accused, its interests we</w:t>
      </w:r>
      <w:r w:rsidR="00FC0539" w:rsidRPr="009B38B1">
        <w:rPr>
          <w:rFonts w:ascii="Arial" w:hAnsi="Arial" w:cs="Arial"/>
          <w:sz w:val="24"/>
          <w:szCs w:val="24"/>
        </w:rPr>
        <w:t xml:space="preserve">re </w:t>
      </w:r>
      <w:r w:rsidR="00953F60">
        <w:rPr>
          <w:rFonts w:ascii="Arial" w:hAnsi="Arial" w:cs="Arial"/>
          <w:sz w:val="24"/>
          <w:szCs w:val="24"/>
        </w:rPr>
        <w:t xml:space="preserve">said to be </w:t>
      </w:r>
      <w:r w:rsidR="00FC0539" w:rsidRPr="009B38B1">
        <w:rPr>
          <w:rFonts w:ascii="Arial" w:hAnsi="Arial" w:cs="Arial"/>
          <w:sz w:val="24"/>
          <w:szCs w:val="24"/>
        </w:rPr>
        <w:t>directly affected by the question regarding the legalit</w:t>
      </w:r>
      <w:r w:rsidR="00953F60">
        <w:rPr>
          <w:rFonts w:ascii="Arial" w:hAnsi="Arial" w:cs="Arial"/>
          <w:sz w:val="24"/>
          <w:szCs w:val="24"/>
        </w:rPr>
        <w:t xml:space="preserve">y of Regulation 6(c). </w:t>
      </w:r>
    </w:p>
    <w:p w:rsidR="00C540A1" w:rsidRDefault="00E04E07" w:rsidP="00C540A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540A1" w:rsidRPr="009B38B1">
        <w:rPr>
          <w:rFonts w:ascii="Arial" w:hAnsi="Arial" w:cs="Arial"/>
          <w:sz w:val="24"/>
          <w:szCs w:val="24"/>
        </w:rPr>
        <w:t xml:space="preserve">The </w:t>
      </w:r>
      <w:r w:rsidR="001D32CC">
        <w:rPr>
          <w:rFonts w:ascii="Arial" w:hAnsi="Arial" w:cs="Arial"/>
          <w:sz w:val="24"/>
          <w:szCs w:val="24"/>
        </w:rPr>
        <w:t>charges we</w:t>
      </w:r>
      <w:r w:rsidR="00C540A1" w:rsidRPr="009B38B1">
        <w:rPr>
          <w:rFonts w:ascii="Arial" w:hAnsi="Arial" w:cs="Arial"/>
          <w:sz w:val="24"/>
          <w:szCs w:val="24"/>
        </w:rPr>
        <w:t xml:space="preserve">re formulated in terms of </w:t>
      </w:r>
      <w:r w:rsidR="001D32CC">
        <w:rPr>
          <w:rFonts w:ascii="Arial" w:hAnsi="Arial" w:cs="Arial"/>
          <w:color w:val="000000"/>
          <w:sz w:val="24"/>
          <w:szCs w:val="24"/>
        </w:rPr>
        <w:t>the</w:t>
      </w:r>
      <w:r w:rsidR="00C540A1" w:rsidRPr="00B801C5">
        <w:rPr>
          <w:rFonts w:ascii="Arial" w:hAnsi="Arial" w:cs="Arial"/>
          <w:color w:val="000000"/>
          <w:sz w:val="24"/>
          <w:szCs w:val="24"/>
        </w:rPr>
        <w:t xml:space="preserve"> contravention of various sections of the Prevention </w:t>
      </w:r>
      <w:r w:rsidR="009B6DF4">
        <w:rPr>
          <w:rFonts w:ascii="Arial" w:hAnsi="Arial" w:cs="Arial"/>
          <w:color w:val="000000"/>
          <w:sz w:val="24"/>
          <w:szCs w:val="24"/>
        </w:rPr>
        <w:t>of Organised Crime Act</w:t>
      </w:r>
      <w:r w:rsidR="001D32CC">
        <w:rPr>
          <w:rFonts w:ascii="Arial" w:hAnsi="Arial" w:cs="Arial"/>
          <w:color w:val="000000"/>
          <w:sz w:val="24"/>
          <w:szCs w:val="24"/>
        </w:rPr>
        <w:t>,</w:t>
      </w:r>
      <w:r w:rsidR="00C540A1" w:rsidRPr="00B801C5">
        <w:rPr>
          <w:rStyle w:val="FootnoteReference"/>
          <w:rFonts w:ascii="Arial" w:hAnsi="Arial" w:cs="Arial"/>
          <w:color w:val="000000"/>
          <w:sz w:val="24"/>
          <w:szCs w:val="24"/>
        </w:rPr>
        <w:footnoteReference w:id="4"/>
      </w:r>
      <w:r w:rsidR="00C540A1" w:rsidRPr="00B801C5">
        <w:rPr>
          <w:rFonts w:ascii="Arial" w:hAnsi="Arial" w:cs="Arial"/>
          <w:color w:val="000000"/>
          <w:sz w:val="24"/>
          <w:szCs w:val="24"/>
        </w:rPr>
        <w:t xml:space="preserve"> </w:t>
      </w:r>
      <w:r w:rsidR="001D32CC">
        <w:rPr>
          <w:rFonts w:ascii="Arial" w:hAnsi="Arial" w:cs="Arial"/>
          <w:color w:val="000000"/>
          <w:sz w:val="24"/>
          <w:szCs w:val="24"/>
        </w:rPr>
        <w:t xml:space="preserve">and </w:t>
      </w:r>
      <w:r w:rsidR="00C540A1" w:rsidRPr="00B801C5">
        <w:rPr>
          <w:rFonts w:ascii="Arial" w:hAnsi="Arial" w:cs="Arial"/>
          <w:color w:val="000000"/>
          <w:sz w:val="24"/>
          <w:szCs w:val="24"/>
        </w:rPr>
        <w:t xml:space="preserve">other prescripts set out in the </w:t>
      </w:r>
      <w:r w:rsidR="00C540A1">
        <w:rPr>
          <w:rFonts w:ascii="Arial" w:hAnsi="Arial" w:cs="Arial"/>
          <w:color w:val="000000"/>
          <w:sz w:val="24"/>
          <w:szCs w:val="24"/>
        </w:rPr>
        <w:t>i</w:t>
      </w:r>
      <w:r w:rsidR="00C540A1" w:rsidRPr="00B801C5">
        <w:rPr>
          <w:rFonts w:ascii="Arial" w:hAnsi="Arial" w:cs="Arial"/>
          <w:color w:val="000000"/>
          <w:sz w:val="24"/>
          <w:szCs w:val="24"/>
        </w:rPr>
        <w:t xml:space="preserve">ndictment </w:t>
      </w:r>
      <w:r w:rsidR="001D32CC">
        <w:rPr>
          <w:rFonts w:ascii="Arial" w:hAnsi="Arial" w:cs="Arial"/>
          <w:color w:val="000000"/>
          <w:sz w:val="24"/>
          <w:szCs w:val="24"/>
        </w:rPr>
        <w:t xml:space="preserve">which </w:t>
      </w:r>
      <w:r w:rsidR="00C540A1" w:rsidRPr="00B801C5">
        <w:rPr>
          <w:rFonts w:ascii="Arial" w:hAnsi="Arial" w:cs="Arial"/>
          <w:color w:val="000000"/>
          <w:sz w:val="24"/>
          <w:szCs w:val="24"/>
        </w:rPr>
        <w:t xml:space="preserve">include </w:t>
      </w:r>
      <w:r w:rsidR="00C540A1">
        <w:rPr>
          <w:rFonts w:ascii="Arial" w:hAnsi="Arial" w:cs="Arial"/>
          <w:color w:val="000000"/>
          <w:sz w:val="24"/>
          <w:szCs w:val="24"/>
        </w:rPr>
        <w:t>the Mutual Banks Act</w:t>
      </w:r>
      <w:r w:rsidR="00C540A1" w:rsidRPr="00B801C5">
        <w:rPr>
          <w:rFonts w:ascii="Arial" w:hAnsi="Arial" w:cs="Arial"/>
          <w:color w:val="000000"/>
          <w:sz w:val="24"/>
          <w:szCs w:val="24"/>
        </w:rPr>
        <w:t>,</w:t>
      </w:r>
      <w:r w:rsidR="00C540A1">
        <w:rPr>
          <w:rFonts w:ascii="Arial" w:hAnsi="Arial" w:cs="Arial"/>
          <w:color w:val="000000"/>
          <w:sz w:val="24"/>
          <w:szCs w:val="24"/>
        </w:rPr>
        <w:t xml:space="preserve"> the </w:t>
      </w:r>
      <w:r w:rsidR="00C540A1" w:rsidRPr="00B801C5">
        <w:rPr>
          <w:rFonts w:ascii="Arial" w:hAnsi="Arial" w:cs="Arial"/>
          <w:color w:val="000000"/>
          <w:sz w:val="24"/>
          <w:szCs w:val="24"/>
        </w:rPr>
        <w:t xml:space="preserve">MFMA, </w:t>
      </w:r>
      <w:r w:rsidR="00C540A1">
        <w:rPr>
          <w:rFonts w:ascii="Arial" w:hAnsi="Arial" w:cs="Arial"/>
          <w:color w:val="000000"/>
          <w:sz w:val="24"/>
          <w:szCs w:val="24"/>
        </w:rPr>
        <w:t xml:space="preserve">the </w:t>
      </w:r>
      <w:r w:rsidR="00C540A1" w:rsidRPr="00B801C5">
        <w:rPr>
          <w:rFonts w:ascii="Arial" w:hAnsi="Arial" w:cs="Arial"/>
          <w:color w:val="000000"/>
          <w:sz w:val="24"/>
          <w:szCs w:val="24"/>
        </w:rPr>
        <w:t>Munic</w:t>
      </w:r>
      <w:r w:rsidR="001D32CC">
        <w:rPr>
          <w:rFonts w:ascii="Arial" w:hAnsi="Arial" w:cs="Arial"/>
          <w:color w:val="000000"/>
          <w:sz w:val="24"/>
          <w:szCs w:val="24"/>
        </w:rPr>
        <w:t>ipal Investment Regulations,</w:t>
      </w:r>
      <w:r w:rsidR="00C540A1" w:rsidRPr="00B801C5">
        <w:rPr>
          <w:rFonts w:ascii="Arial" w:hAnsi="Arial" w:cs="Arial"/>
          <w:color w:val="000000"/>
          <w:sz w:val="24"/>
          <w:szCs w:val="24"/>
        </w:rPr>
        <w:t xml:space="preserve"> the Prevention and Combating of C</w:t>
      </w:r>
      <w:r w:rsidR="00C540A1">
        <w:rPr>
          <w:rFonts w:ascii="Arial" w:hAnsi="Arial" w:cs="Arial"/>
          <w:color w:val="000000"/>
          <w:sz w:val="24"/>
          <w:szCs w:val="24"/>
        </w:rPr>
        <w:t>orrupt Activities Act</w:t>
      </w:r>
      <w:r w:rsidR="001D32CC">
        <w:rPr>
          <w:rFonts w:ascii="Arial" w:hAnsi="Arial" w:cs="Arial"/>
          <w:color w:val="000000"/>
          <w:sz w:val="24"/>
          <w:szCs w:val="24"/>
        </w:rPr>
        <w:t>.</w:t>
      </w:r>
      <w:r w:rsidR="00C540A1" w:rsidRPr="00B801C5">
        <w:rPr>
          <w:rStyle w:val="FootnoteReference"/>
          <w:rFonts w:ascii="Arial" w:hAnsi="Arial" w:cs="Arial"/>
          <w:color w:val="000000"/>
          <w:sz w:val="24"/>
          <w:szCs w:val="24"/>
        </w:rPr>
        <w:footnoteReference w:id="5"/>
      </w:r>
      <w:r w:rsidR="001D32CC" w:rsidRPr="009B38B1">
        <w:rPr>
          <w:rFonts w:ascii="Arial" w:hAnsi="Arial" w:cs="Arial"/>
          <w:sz w:val="24"/>
          <w:szCs w:val="24"/>
        </w:rPr>
        <w:t xml:space="preserve"> </w:t>
      </w:r>
      <w:r w:rsidR="00C540A1" w:rsidRPr="00B801C5">
        <w:rPr>
          <w:rFonts w:ascii="Arial" w:hAnsi="Arial" w:cs="Arial"/>
          <w:color w:val="000000"/>
          <w:sz w:val="24"/>
          <w:szCs w:val="24"/>
        </w:rPr>
        <w:t xml:space="preserve">Various </w:t>
      </w:r>
      <w:r w:rsidR="00C540A1">
        <w:rPr>
          <w:rFonts w:ascii="Arial" w:hAnsi="Arial" w:cs="Arial"/>
          <w:color w:val="000000"/>
          <w:sz w:val="24"/>
          <w:szCs w:val="24"/>
        </w:rPr>
        <w:t>a</w:t>
      </w:r>
      <w:r w:rsidR="00C540A1" w:rsidRPr="00B801C5">
        <w:rPr>
          <w:rFonts w:ascii="Arial" w:hAnsi="Arial" w:cs="Arial"/>
          <w:color w:val="000000"/>
          <w:sz w:val="24"/>
          <w:szCs w:val="24"/>
        </w:rPr>
        <w:t>ccused are also charged with contravening the common law offences of Theft and Fraud.</w:t>
      </w:r>
      <w:r w:rsidR="00C540A1" w:rsidRPr="009B38B1">
        <w:rPr>
          <w:rFonts w:ascii="Arial" w:hAnsi="Arial" w:cs="Arial"/>
          <w:sz w:val="24"/>
          <w:szCs w:val="24"/>
        </w:rPr>
        <w:t xml:space="preserve"> </w:t>
      </w:r>
    </w:p>
    <w:p w:rsidR="00C540A1" w:rsidRDefault="00E04E07" w:rsidP="00C540A1">
      <w:pPr>
        <w:spacing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C540A1">
        <w:rPr>
          <w:rFonts w:ascii="Arial" w:hAnsi="Arial" w:cs="Arial"/>
          <w:color w:val="000000"/>
          <w:sz w:val="24"/>
          <w:szCs w:val="24"/>
        </w:rPr>
        <w:t>The</w:t>
      </w:r>
      <w:r w:rsidR="00C540A1" w:rsidRPr="00066B4A">
        <w:rPr>
          <w:rFonts w:ascii="Arial" w:hAnsi="Arial" w:cs="Arial"/>
          <w:color w:val="000000"/>
          <w:sz w:val="24"/>
          <w:szCs w:val="24"/>
        </w:rPr>
        <w:t xml:space="preserve"> criminal proceedings levelled against the First </w:t>
      </w:r>
      <w:r w:rsidR="00C540A1">
        <w:rPr>
          <w:rFonts w:ascii="Arial" w:hAnsi="Arial" w:cs="Arial"/>
          <w:color w:val="000000"/>
          <w:sz w:val="24"/>
          <w:szCs w:val="24"/>
        </w:rPr>
        <w:t>Applicant</w:t>
      </w:r>
      <w:r w:rsidR="00C540A1" w:rsidRPr="00066B4A">
        <w:rPr>
          <w:rFonts w:ascii="Arial" w:hAnsi="Arial" w:cs="Arial"/>
          <w:color w:val="000000"/>
          <w:sz w:val="24"/>
          <w:szCs w:val="24"/>
        </w:rPr>
        <w:t xml:space="preserve">, </w:t>
      </w:r>
      <w:r w:rsidR="00C540A1">
        <w:rPr>
          <w:rFonts w:ascii="Arial" w:hAnsi="Arial" w:cs="Arial"/>
          <w:color w:val="000000"/>
          <w:sz w:val="24"/>
          <w:szCs w:val="24"/>
        </w:rPr>
        <w:t>we</w:t>
      </w:r>
      <w:r w:rsidR="00C540A1" w:rsidRPr="00066B4A">
        <w:rPr>
          <w:rFonts w:ascii="Arial" w:hAnsi="Arial" w:cs="Arial"/>
          <w:color w:val="000000"/>
          <w:sz w:val="24"/>
          <w:szCs w:val="24"/>
        </w:rPr>
        <w:t>re alleged to rely on the va</w:t>
      </w:r>
      <w:r w:rsidR="00C540A1">
        <w:rPr>
          <w:rFonts w:ascii="Arial" w:hAnsi="Arial" w:cs="Arial"/>
          <w:color w:val="000000"/>
          <w:sz w:val="24"/>
          <w:szCs w:val="24"/>
        </w:rPr>
        <w:t>lidity of Regulation 6(c) and, we</w:t>
      </w:r>
      <w:r w:rsidR="00C540A1" w:rsidRPr="00066B4A">
        <w:rPr>
          <w:rFonts w:ascii="Arial" w:hAnsi="Arial" w:cs="Arial"/>
          <w:color w:val="000000"/>
          <w:sz w:val="24"/>
          <w:szCs w:val="24"/>
        </w:rPr>
        <w:t>re thus, said to constitute coercive proceedings aga</w:t>
      </w:r>
      <w:r w:rsidR="00C540A1">
        <w:rPr>
          <w:rFonts w:ascii="Arial" w:hAnsi="Arial" w:cs="Arial"/>
          <w:color w:val="000000"/>
          <w:sz w:val="24"/>
          <w:szCs w:val="24"/>
        </w:rPr>
        <w:t>inst which the First Applicant wa</w:t>
      </w:r>
      <w:r w:rsidR="00C540A1" w:rsidRPr="00066B4A">
        <w:rPr>
          <w:rFonts w:ascii="Arial" w:hAnsi="Arial" w:cs="Arial"/>
          <w:color w:val="000000"/>
          <w:sz w:val="24"/>
          <w:szCs w:val="24"/>
        </w:rPr>
        <w:t>s entitled to raise a collateral defence. The implicatio</w:t>
      </w:r>
      <w:r w:rsidR="00C540A1">
        <w:rPr>
          <w:rFonts w:ascii="Arial" w:hAnsi="Arial" w:cs="Arial"/>
          <w:color w:val="000000"/>
          <w:sz w:val="24"/>
          <w:szCs w:val="24"/>
        </w:rPr>
        <w:t>n flowing from this contention wa</w:t>
      </w:r>
      <w:r w:rsidR="00C540A1" w:rsidRPr="00066B4A">
        <w:rPr>
          <w:rFonts w:ascii="Arial" w:hAnsi="Arial" w:cs="Arial"/>
          <w:color w:val="000000"/>
          <w:sz w:val="24"/>
          <w:szCs w:val="24"/>
        </w:rPr>
        <w:t>s that should the impugned regulation be set aside as unlawful, invalid and unconstitutional,</w:t>
      </w:r>
      <w:r w:rsidR="00C540A1">
        <w:rPr>
          <w:rFonts w:ascii="Arial" w:hAnsi="Arial" w:cs="Arial"/>
          <w:color w:val="000000"/>
          <w:sz w:val="24"/>
          <w:szCs w:val="24"/>
        </w:rPr>
        <w:t xml:space="preserve"> part of</w:t>
      </w:r>
      <w:r w:rsidR="00C540A1" w:rsidRPr="00066B4A">
        <w:rPr>
          <w:rFonts w:ascii="Arial" w:hAnsi="Arial" w:cs="Arial"/>
          <w:color w:val="000000"/>
          <w:sz w:val="24"/>
          <w:szCs w:val="24"/>
        </w:rPr>
        <w:t xml:space="preserve"> the charges against </w:t>
      </w:r>
      <w:r w:rsidR="00C540A1">
        <w:rPr>
          <w:rFonts w:ascii="Arial" w:hAnsi="Arial" w:cs="Arial"/>
          <w:color w:val="000000"/>
          <w:sz w:val="24"/>
          <w:szCs w:val="24"/>
        </w:rPr>
        <w:t xml:space="preserve">the </w:t>
      </w:r>
      <w:r w:rsidR="00C540A1" w:rsidRPr="00066B4A">
        <w:rPr>
          <w:rFonts w:ascii="Arial" w:hAnsi="Arial" w:cs="Arial"/>
          <w:color w:val="000000"/>
          <w:sz w:val="24"/>
          <w:szCs w:val="24"/>
        </w:rPr>
        <w:t>First Applicant</w:t>
      </w:r>
      <w:r w:rsidR="00C540A1">
        <w:rPr>
          <w:rFonts w:ascii="Arial" w:hAnsi="Arial" w:cs="Arial"/>
          <w:color w:val="000000"/>
          <w:sz w:val="24"/>
          <w:szCs w:val="24"/>
        </w:rPr>
        <w:t>, which are premised on Regulation 6(c),</w:t>
      </w:r>
      <w:r w:rsidR="00C540A1" w:rsidRPr="00066B4A">
        <w:rPr>
          <w:rFonts w:ascii="Arial" w:hAnsi="Arial" w:cs="Arial"/>
          <w:color w:val="000000"/>
          <w:sz w:val="24"/>
          <w:szCs w:val="24"/>
        </w:rPr>
        <w:t xml:space="preserve"> would fall away.</w:t>
      </w:r>
    </w:p>
    <w:p w:rsidR="00C540A1" w:rsidRDefault="00E04E07" w:rsidP="00953F60">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540A1" w:rsidRPr="009B38B1">
        <w:rPr>
          <w:rFonts w:ascii="Arial" w:hAnsi="Arial" w:cs="Arial"/>
          <w:sz w:val="24"/>
          <w:szCs w:val="24"/>
        </w:rPr>
        <w:t xml:space="preserve">The application was dismissed on arguments </w:t>
      </w:r>
      <w:r w:rsidR="00C540A1" w:rsidRPr="009B38B1">
        <w:rPr>
          <w:rFonts w:ascii="Arial" w:hAnsi="Arial" w:cs="Arial"/>
          <w:i/>
          <w:sz w:val="24"/>
          <w:szCs w:val="24"/>
        </w:rPr>
        <w:t>in limine</w:t>
      </w:r>
      <w:r w:rsidR="00C540A1" w:rsidRPr="009B38B1">
        <w:rPr>
          <w:rFonts w:ascii="Arial" w:hAnsi="Arial" w:cs="Arial"/>
          <w:sz w:val="24"/>
          <w:szCs w:val="24"/>
        </w:rPr>
        <w:t xml:space="preserve"> without engaging in the merits wh</w:t>
      </w:r>
      <w:r w:rsidR="00C540A1">
        <w:rPr>
          <w:rFonts w:ascii="Arial" w:hAnsi="Arial" w:cs="Arial"/>
          <w:sz w:val="24"/>
          <w:szCs w:val="24"/>
        </w:rPr>
        <w:t>ich raised the</w:t>
      </w:r>
      <w:r w:rsidR="00C540A1" w:rsidRPr="009B38B1">
        <w:rPr>
          <w:rFonts w:ascii="Arial" w:hAnsi="Arial" w:cs="Arial"/>
          <w:sz w:val="24"/>
          <w:szCs w:val="24"/>
        </w:rPr>
        <w:t xml:space="preserve"> rationality challenge</w:t>
      </w:r>
      <w:r w:rsidR="00C540A1">
        <w:rPr>
          <w:rFonts w:ascii="Arial" w:hAnsi="Arial" w:cs="Arial"/>
          <w:sz w:val="24"/>
          <w:szCs w:val="24"/>
        </w:rPr>
        <w:t xml:space="preserve"> to the regulation, on the ground that </w:t>
      </w:r>
      <w:r w:rsidR="00C540A1" w:rsidRPr="009B38B1">
        <w:rPr>
          <w:rFonts w:ascii="Arial" w:hAnsi="Arial" w:cs="Arial"/>
          <w:sz w:val="24"/>
          <w:szCs w:val="24"/>
        </w:rPr>
        <w:t xml:space="preserve">the First </w:t>
      </w:r>
      <w:r w:rsidR="00C540A1">
        <w:rPr>
          <w:rFonts w:ascii="Arial" w:hAnsi="Arial" w:cs="Arial"/>
          <w:sz w:val="24"/>
          <w:szCs w:val="24"/>
        </w:rPr>
        <w:t>Applicant</w:t>
      </w:r>
      <w:r w:rsidR="00C540A1" w:rsidRPr="009B38B1">
        <w:rPr>
          <w:rFonts w:ascii="Arial" w:hAnsi="Arial" w:cs="Arial"/>
          <w:sz w:val="24"/>
          <w:szCs w:val="24"/>
        </w:rPr>
        <w:t xml:space="preserve"> did not have </w:t>
      </w:r>
      <w:r w:rsidR="00C540A1" w:rsidRPr="009B38B1">
        <w:rPr>
          <w:rFonts w:ascii="Arial" w:hAnsi="Arial" w:cs="Arial"/>
          <w:i/>
          <w:sz w:val="24"/>
          <w:szCs w:val="24"/>
        </w:rPr>
        <w:t>locus standi</w:t>
      </w:r>
      <w:r w:rsidR="00C540A1" w:rsidRPr="009B38B1">
        <w:rPr>
          <w:rFonts w:ascii="Arial" w:hAnsi="Arial" w:cs="Arial"/>
          <w:sz w:val="24"/>
          <w:szCs w:val="24"/>
        </w:rPr>
        <w:t xml:space="preserve"> to challenge the regulation, and that </w:t>
      </w:r>
      <w:r w:rsidR="00C540A1">
        <w:rPr>
          <w:rFonts w:ascii="Arial" w:hAnsi="Arial" w:cs="Arial"/>
          <w:sz w:val="24"/>
          <w:szCs w:val="24"/>
        </w:rPr>
        <w:t>his</w:t>
      </w:r>
      <w:r w:rsidR="00C540A1" w:rsidRPr="009B38B1">
        <w:rPr>
          <w:rFonts w:ascii="Arial" w:hAnsi="Arial" w:cs="Arial"/>
          <w:sz w:val="24"/>
          <w:szCs w:val="24"/>
        </w:rPr>
        <w:t xml:space="preserve"> papers did not raise a collateral challenge as Regulation 6(c) </w:t>
      </w:r>
      <w:r w:rsidR="00C540A1">
        <w:rPr>
          <w:rFonts w:ascii="Arial" w:hAnsi="Arial" w:cs="Arial"/>
          <w:sz w:val="24"/>
          <w:szCs w:val="24"/>
        </w:rPr>
        <w:t xml:space="preserve">did </w:t>
      </w:r>
      <w:r w:rsidR="00C540A1" w:rsidRPr="009B38B1">
        <w:rPr>
          <w:rFonts w:ascii="Arial" w:hAnsi="Arial" w:cs="Arial"/>
          <w:sz w:val="24"/>
          <w:szCs w:val="24"/>
        </w:rPr>
        <w:t xml:space="preserve">not </w:t>
      </w:r>
      <w:r w:rsidR="00C540A1">
        <w:rPr>
          <w:rFonts w:ascii="Arial" w:hAnsi="Arial" w:cs="Arial"/>
          <w:sz w:val="24"/>
          <w:szCs w:val="24"/>
        </w:rPr>
        <w:t xml:space="preserve">form </w:t>
      </w:r>
      <w:r w:rsidR="00C540A1" w:rsidRPr="009B38B1">
        <w:rPr>
          <w:rFonts w:ascii="Arial" w:hAnsi="Arial" w:cs="Arial"/>
          <w:sz w:val="24"/>
          <w:szCs w:val="24"/>
        </w:rPr>
        <w:t xml:space="preserve">part of the charges proffered against him. </w:t>
      </w:r>
      <w:r w:rsidR="00C540A1">
        <w:rPr>
          <w:rFonts w:ascii="Arial" w:hAnsi="Arial" w:cs="Arial"/>
          <w:color w:val="000000"/>
          <w:sz w:val="24"/>
          <w:szCs w:val="24"/>
        </w:rPr>
        <w:t xml:space="preserve">Since it was said that the Second Applicant had a direct interest in the collateral challenge, his condonation application was, as a result, tied </w:t>
      </w:r>
      <w:r w:rsidR="00C540A1" w:rsidRPr="00A34E04">
        <w:rPr>
          <w:rFonts w:ascii="Arial" w:hAnsi="Arial" w:cs="Arial"/>
          <w:color w:val="000000"/>
          <w:sz w:val="24"/>
          <w:szCs w:val="24"/>
        </w:rPr>
        <w:t xml:space="preserve">to the </w:t>
      </w:r>
      <w:r w:rsidR="00C540A1">
        <w:rPr>
          <w:rFonts w:ascii="Arial" w:hAnsi="Arial" w:cs="Arial"/>
          <w:color w:val="000000"/>
          <w:sz w:val="24"/>
          <w:szCs w:val="24"/>
        </w:rPr>
        <w:t xml:space="preserve">First Applicant succeeding in his </w:t>
      </w:r>
      <w:r w:rsidR="00C540A1" w:rsidRPr="00A34E04">
        <w:rPr>
          <w:rFonts w:ascii="Arial" w:hAnsi="Arial" w:cs="Arial"/>
          <w:color w:val="000000"/>
          <w:sz w:val="24"/>
          <w:szCs w:val="24"/>
        </w:rPr>
        <w:t xml:space="preserve">collateral </w:t>
      </w:r>
      <w:r w:rsidR="00C540A1" w:rsidRPr="00A34E04">
        <w:rPr>
          <w:rFonts w:ascii="Arial" w:hAnsi="Arial" w:cs="Arial"/>
          <w:color w:val="000000"/>
          <w:sz w:val="24"/>
          <w:szCs w:val="24"/>
        </w:rPr>
        <w:lastRenderedPageBreak/>
        <w:t>challenge</w:t>
      </w:r>
      <w:r w:rsidR="00C540A1">
        <w:rPr>
          <w:rFonts w:ascii="Arial" w:hAnsi="Arial" w:cs="Arial"/>
          <w:color w:val="000000"/>
          <w:sz w:val="24"/>
          <w:szCs w:val="24"/>
        </w:rPr>
        <w:t>. The First Applicant’s collateral challenge was un</w:t>
      </w:r>
      <w:r w:rsidR="00C540A1" w:rsidRPr="00A34E04">
        <w:rPr>
          <w:rFonts w:ascii="Arial" w:hAnsi="Arial" w:cs="Arial"/>
          <w:color w:val="000000"/>
          <w:sz w:val="24"/>
          <w:szCs w:val="24"/>
        </w:rPr>
        <w:t>succe</w:t>
      </w:r>
      <w:r w:rsidR="00C540A1">
        <w:rPr>
          <w:rFonts w:ascii="Arial" w:hAnsi="Arial" w:cs="Arial"/>
          <w:color w:val="000000"/>
          <w:sz w:val="24"/>
          <w:szCs w:val="24"/>
        </w:rPr>
        <w:t>ssful, and resulted in</w:t>
      </w:r>
      <w:r w:rsidR="00C540A1" w:rsidRPr="00A34E04">
        <w:rPr>
          <w:rFonts w:ascii="Arial" w:hAnsi="Arial" w:cs="Arial"/>
          <w:color w:val="000000"/>
          <w:sz w:val="24"/>
          <w:szCs w:val="24"/>
        </w:rPr>
        <w:t xml:space="preserve"> </w:t>
      </w:r>
      <w:r w:rsidR="00C540A1">
        <w:rPr>
          <w:rFonts w:ascii="Arial" w:hAnsi="Arial" w:cs="Arial"/>
          <w:color w:val="000000"/>
          <w:sz w:val="24"/>
          <w:szCs w:val="24"/>
        </w:rPr>
        <w:t>the Second Applicant’s condonation application being dismissed.</w:t>
      </w:r>
    </w:p>
    <w:p w:rsidR="00EF5E84" w:rsidRDefault="00EF5E84" w:rsidP="009B38B1">
      <w:pPr>
        <w:spacing w:line="360" w:lineRule="auto"/>
        <w:jc w:val="both"/>
        <w:rPr>
          <w:rFonts w:ascii="Arial" w:hAnsi="Arial" w:cs="Arial"/>
          <w:b/>
          <w:sz w:val="24"/>
          <w:szCs w:val="24"/>
        </w:rPr>
      </w:pPr>
    </w:p>
    <w:p w:rsidR="00FC0539" w:rsidRPr="009B38B1" w:rsidRDefault="00FC0539" w:rsidP="009B38B1">
      <w:pPr>
        <w:spacing w:line="360" w:lineRule="auto"/>
        <w:jc w:val="both"/>
        <w:rPr>
          <w:rFonts w:ascii="Arial" w:hAnsi="Arial" w:cs="Arial"/>
          <w:b/>
          <w:sz w:val="24"/>
          <w:szCs w:val="24"/>
        </w:rPr>
      </w:pPr>
      <w:r w:rsidRPr="009B38B1">
        <w:rPr>
          <w:rFonts w:ascii="Arial" w:hAnsi="Arial" w:cs="Arial"/>
          <w:b/>
          <w:sz w:val="24"/>
          <w:szCs w:val="24"/>
        </w:rPr>
        <w:t>GROUNDS</w:t>
      </w:r>
    </w:p>
    <w:p w:rsidR="00FC0539" w:rsidRPr="009B38B1" w:rsidRDefault="0051521C" w:rsidP="009B38B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D32CC">
        <w:rPr>
          <w:rFonts w:ascii="Arial" w:hAnsi="Arial" w:cs="Arial"/>
          <w:sz w:val="24"/>
          <w:szCs w:val="24"/>
        </w:rPr>
        <w:t>The A</w:t>
      </w:r>
      <w:r w:rsidR="00FC0539" w:rsidRPr="009B38B1">
        <w:rPr>
          <w:rFonts w:ascii="Arial" w:hAnsi="Arial" w:cs="Arial"/>
          <w:sz w:val="24"/>
          <w:szCs w:val="24"/>
        </w:rPr>
        <w:t>pplicants contend that leave to appeal should be granted on the grounds that there are reasonable prospects of anothe</w:t>
      </w:r>
      <w:r w:rsidR="001D32CC">
        <w:rPr>
          <w:rFonts w:ascii="Arial" w:hAnsi="Arial" w:cs="Arial"/>
          <w:sz w:val="24"/>
          <w:szCs w:val="24"/>
        </w:rPr>
        <w:t>r court finding otherwise; and that</w:t>
      </w:r>
      <w:r w:rsidR="00FC0539" w:rsidRPr="009B38B1">
        <w:rPr>
          <w:rFonts w:ascii="Arial" w:hAnsi="Arial" w:cs="Arial"/>
          <w:sz w:val="24"/>
          <w:szCs w:val="24"/>
        </w:rPr>
        <w:t xml:space="preserve"> there are compelling reasons why leave to appeal should be granted</w:t>
      </w:r>
      <w:r w:rsidR="001D32CC">
        <w:rPr>
          <w:rFonts w:ascii="Arial" w:hAnsi="Arial" w:cs="Arial"/>
          <w:sz w:val="24"/>
          <w:szCs w:val="24"/>
        </w:rPr>
        <w:t xml:space="preserve">, based on the following grounds that – </w:t>
      </w:r>
    </w:p>
    <w:p w:rsidR="009518EE" w:rsidRPr="009B38B1" w:rsidRDefault="0051521C" w:rsidP="0051521C">
      <w:pPr>
        <w:spacing w:line="360" w:lineRule="auto"/>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1D32CC">
        <w:rPr>
          <w:rFonts w:ascii="Arial" w:hAnsi="Arial" w:cs="Arial"/>
          <w:sz w:val="24"/>
          <w:szCs w:val="24"/>
        </w:rPr>
        <w:t xml:space="preserve">The Court </w:t>
      </w:r>
      <w:r w:rsidR="009518EE" w:rsidRPr="009B38B1">
        <w:rPr>
          <w:rFonts w:ascii="Arial" w:hAnsi="Arial" w:cs="Arial"/>
          <w:sz w:val="24"/>
          <w:szCs w:val="24"/>
        </w:rPr>
        <w:t xml:space="preserve">erred in finding that the </w:t>
      </w:r>
      <w:r w:rsidR="001D32CC">
        <w:rPr>
          <w:rFonts w:ascii="Arial" w:hAnsi="Arial" w:cs="Arial"/>
          <w:sz w:val="24"/>
          <w:szCs w:val="24"/>
        </w:rPr>
        <w:t>First A</w:t>
      </w:r>
      <w:r w:rsidR="009518EE" w:rsidRPr="009B38B1">
        <w:rPr>
          <w:rFonts w:ascii="Arial" w:hAnsi="Arial" w:cs="Arial"/>
          <w:sz w:val="24"/>
          <w:szCs w:val="24"/>
        </w:rPr>
        <w:t xml:space="preserve">pplicant does not have </w:t>
      </w:r>
      <w:r w:rsidR="009518EE" w:rsidRPr="001D32CC">
        <w:rPr>
          <w:rFonts w:ascii="Arial" w:hAnsi="Arial" w:cs="Arial"/>
          <w:i/>
          <w:sz w:val="24"/>
          <w:szCs w:val="24"/>
        </w:rPr>
        <w:t>locus</w:t>
      </w:r>
      <w:r w:rsidR="009518EE" w:rsidRPr="009B38B1">
        <w:rPr>
          <w:rFonts w:ascii="Arial" w:hAnsi="Arial" w:cs="Arial"/>
          <w:sz w:val="24"/>
          <w:szCs w:val="24"/>
        </w:rPr>
        <w:t xml:space="preserve"> </w:t>
      </w:r>
      <w:r w:rsidR="009518EE" w:rsidRPr="001D32CC">
        <w:rPr>
          <w:rFonts w:ascii="Arial" w:hAnsi="Arial" w:cs="Arial"/>
          <w:i/>
          <w:sz w:val="24"/>
          <w:szCs w:val="24"/>
        </w:rPr>
        <w:t>standi</w:t>
      </w:r>
      <w:r w:rsidR="009518EE" w:rsidRPr="009B38B1">
        <w:rPr>
          <w:rFonts w:ascii="Arial" w:hAnsi="Arial" w:cs="Arial"/>
          <w:sz w:val="24"/>
          <w:szCs w:val="24"/>
        </w:rPr>
        <w:t xml:space="preserve"> to bring a collateral challenge in respect of the legality of Regulation 6(c) of the Municipal Investment Regulations</w:t>
      </w:r>
      <w:r w:rsidR="0042258F">
        <w:rPr>
          <w:rFonts w:ascii="Arial" w:hAnsi="Arial" w:cs="Arial"/>
          <w:sz w:val="24"/>
          <w:szCs w:val="24"/>
        </w:rPr>
        <w:t>.</w:t>
      </w:r>
    </w:p>
    <w:p w:rsidR="001D32CC" w:rsidRDefault="0051521C" w:rsidP="0051521C">
      <w:pPr>
        <w:spacing w:line="360" w:lineRule="auto"/>
        <w:ind w:left="144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1D32CC">
        <w:rPr>
          <w:rFonts w:ascii="Arial" w:hAnsi="Arial" w:cs="Arial"/>
          <w:sz w:val="24"/>
          <w:szCs w:val="24"/>
        </w:rPr>
        <w:t xml:space="preserve">The </w:t>
      </w:r>
      <w:r w:rsidR="009518EE" w:rsidRPr="009B38B1">
        <w:rPr>
          <w:rFonts w:ascii="Arial" w:hAnsi="Arial" w:cs="Arial"/>
          <w:sz w:val="24"/>
          <w:szCs w:val="24"/>
        </w:rPr>
        <w:t xml:space="preserve">Court erred in finding that the </w:t>
      </w:r>
      <w:r w:rsidR="001D32CC">
        <w:rPr>
          <w:rFonts w:ascii="Arial" w:hAnsi="Arial" w:cs="Arial"/>
          <w:sz w:val="24"/>
          <w:szCs w:val="24"/>
        </w:rPr>
        <w:t>First A</w:t>
      </w:r>
      <w:r w:rsidR="009518EE" w:rsidRPr="009B38B1">
        <w:rPr>
          <w:rFonts w:ascii="Arial" w:hAnsi="Arial" w:cs="Arial"/>
          <w:sz w:val="24"/>
          <w:szCs w:val="24"/>
        </w:rPr>
        <w:t>pplicant is not raising a collateral challenge, since Regulation 6(c) does not</w:t>
      </w:r>
      <w:r w:rsidR="0042258F">
        <w:rPr>
          <w:rFonts w:ascii="Arial" w:hAnsi="Arial" w:cs="Arial"/>
          <w:sz w:val="24"/>
          <w:szCs w:val="24"/>
        </w:rPr>
        <w:t xml:space="preserve"> form part of the charges. The A</w:t>
      </w:r>
      <w:r w:rsidR="009518EE" w:rsidRPr="009B38B1">
        <w:rPr>
          <w:rFonts w:ascii="Arial" w:hAnsi="Arial" w:cs="Arial"/>
          <w:sz w:val="24"/>
          <w:szCs w:val="24"/>
        </w:rPr>
        <w:t xml:space="preserve">pplicants contend that this is a misdirection which warrants the intervention of an Appeal Court. </w:t>
      </w:r>
    </w:p>
    <w:p w:rsidR="009518EE" w:rsidRPr="009B38B1" w:rsidRDefault="0051521C" w:rsidP="0051521C">
      <w:pPr>
        <w:spacing w:line="360" w:lineRule="auto"/>
        <w:ind w:left="144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9518EE" w:rsidRPr="009B38B1">
        <w:rPr>
          <w:rFonts w:ascii="Arial" w:hAnsi="Arial" w:cs="Arial"/>
          <w:sz w:val="24"/>
          <w:szCs w:val="24"/>
        </w:rPr>
        <w:t xml:space="preserve">The </w:t>
      </w:r>
      <w:r w:rsidR="001D32CC">
        <w:rPr>
          <w:rFonts w:ascii="Arial" w:hAnsi="Arial" w:cs="Arial"/>
          <w:sz w:val="24"/>
          <w:szCs w:val="24"/>
        </w:rPr>
        <w:t>C</w:t>
      </w:r>
      <w:r w:rsidR="009518EE" w:rsidRPr="009B38B1">
        <w:rPr>
          <w:rFonts w:ascii="Arial" w:hAnsi="Arial" w:cs="Arial"/>
          <w:sz w:val="24"/>
          <w:szCs w:val="24"/>
        </w:rPr>
        <w:t xml:space="preserve">ourt declined to decide the collateral challenge raised pertaining to Regulation 6(c) in circumstances where, upon an interpretation of the charges against the </w:t>
      </w:r>
      <w:r w:rsidR="001D32CC">
        <w:rPr>
          <w:rFonts w:ascii="Arial" w:hAnsi="Arial" w:cs="Arial"/>
          <w:sz w:val="24"/>
          <w:szCs w:val="24"/>
        </w:rPr>
        <w:t>F</w:t>
      </w:r>
      <w:r w:rsidR="009518EE" w:rsidRPr="009B38B1">
        <w:rPr>
          <w:rFonts w:ascii="Arial" w:hAnsi="Arial" w:cs="Arial"/>
          <w:sz w:val="24"/>
          <w:szCs w:val="24"/>
        </w:rPr>
        <w:t xml:space="preserve">irst </w:t>
      </w:r>
      <w:r w:rsidR="001D32CC">
        <w:rPr>
          <w:rFonts w:ascii="Arial" w:hAnsi="Arial" w:cs="Arial"/>
          <w:sz w:val="24"/>
          <w:szCs w:val="24"/>
        </w:rPr>
        <w:t>A</w:t>
      </w:r>
      <w:r w:rsidR="009518EE" w:rsidRPr="009B38B1">
        <w:rPr>
          <w:rFonts w:ascii="Arial" w:hAnsi="Arial" w:cs="Arial"/>
          <w:sz w:val="24"/>
          <w:szCs w:val="24"/>
        </w:rPr>
        <w:t>pplicant, the unlawfuln</w:t>
      </w:r>
      <w:r w:rsidR="001D32CC">
        <w:rPr>
          <w:rFonts w:ascii="Arial" w:hAnsi="Arial" w:cs="Arial"/>
          <w:sz w:val="24"/>
          <w:szCs w:val="24"/>
        </w:rPr>
        <w:t>ess of investments into VBS</w:t>
      </w:r>
      <w:r w:rsidR="009518EE" w:rsidRPr="009B38B1">
        <w:rPr>
          <w:rFonts w:ascii="Arial" w:hAnsi="Arial" w:cs="Arial"/>
          <w:sz w:val="24"/>
          <w:szCs w:val="24"/>
        </w:rPr>
        <w:t xml:space="preserve"> hinges on the legality of Regulation 6(c)</w:t>
      </w:r>
      <w:r w:rsidR="001D32CC">
        <w:rPr>
          <w:rFonts w:ascii="Arial" w:hAnsi="Arial" w:cs="Arial"/>
          <w:sz w:val="24"/>
          <w:szCs w:val="24"/>
        </w:rPr>
        <w:t>.</w:t>
      </w:r>
    </w:p>
    <w:p w:rsidR="009518EE" w:rsidRPr="00AB5944" w:rsidRDefault="0051521C" w:rsidP="0051521C">
      <w:pPr>
        <w:spacing w:line="360" w:lineRule="auto"/>
        <w:ind w:left="1440" w:hanging="720"/>
        <w:jc w:val="both"/>
        <w:rPr>
          <w:rFonts w:ascii="Arial" w:hAnsi="Arial" w:cs="Arial"/>
          <w:color w:val="000000"/>
          <w:sz w:val="24"/>
          <w:szCs w:val="24"/>
        </w:rPr>
      </w:pPr>
      <w:r>
        <w:rPr>
          <w:rFonts w:ascii="Arial" w:hAnsi="Arial" w:cs="Arial"/>
          <w:sz w:val="24"/>
          <w:szCs w:val="24"/>
        </w:rPr>
        <w:t>10.4.</w:t>
      </w:r>
      <w:r>
        <w:rPr>
          <w:rFonts w:ascii="Arial" w:hAnsi="Arial" w:cs="Arial"/>
          <w:sz w:val="24"/>
          <w:szCs w:val="24"/>
        </w:rPr>
        <w:tab/>
      </w:r>
      <w:r w:rsidR="001D32CC">
        <w:rPr>
          <w:rFonts w:ascii="Arial" w:hAnsi="Arial" w:cs="Arial"/>
          <w:sz w:val="24"/>
          <w:szCs w:val="24"/>
        </w:rPr>
        <w:t>T</w:t>
      </w:r>
      <w:r w:rsidR="009518EE" w:rsidRPr="009B38B1">
        <w:rPr>
          <w:rFonts w:ascii="Arial" w:hAnsi="Arial" w:cs="Arial"/>
          <w:sz w:val="24"/>
          <w:szCs w:val="24"/>
        </w:rPr>
        <w:t xml:space="preserve">he </w:t>
      </w:r>
      <w:r w:rsidR="001D32CC">
        <w:rPr>
          <w:rFonts w:ascii="Arial" w:hAnsi="Arial" w:cs="Arial"/>
          <w:sz w:val="24"/>
          <w:szCs w:val="24"/>
        </w:rPr>
        <w:t>C</w:t>
      </w:r>
      <w:r w:rsidR="009518EE" w:rsidRPr="009B38B1">
        <w:rPr>
          <w:rFonts w:ascii="Arial" w:hAnsi="Arial" w:cs="Arial"/>
          <w:sz w:val="24"/>
          <w:szCs w:val="24"/>
        </w:rPr>
        <w:t xml:space="preserve">ourt erred in failing to decide a validly raised collateral challenge to </w:t>
      </w:r>
      <w:r w:rsidR="001D32CC">
        <w:rPr>
          <w:rFonts w:ascii="Arial" w:hAnsi="Arial" w:cs="Arial"/>
          <w:sz w:val="24"/>
          <w:szCs w:val="24"/>
        </w:rPr>
        <w:t>Regulation 6(c),</w:t>
      </w:r>
      <w:r w:rsidR="009518EE" w:rsidRPr="009B38B1">
        <w:rPr>
          <w:rFonts w:ascii="Arial" w:hAnsi="Arial" w:cs="Arial"/>
          <w:sz w:val="24"/>
          <w:szCs w:val="24"/>
        </w:rPr>
        <w:t xml:space="preserve"> in breach of the </w:t>
      </w:r>
      <w:r w:rsidR="009518EE" w:rsidRPr="001D32CC">
        <w:rPr>
          <w:rFonts w:ascii="Arial" w:hAnsi="Arial" w:cs="Arial"/>
          <w:i/>
          <w:sz w:val="24"/>
          <w:szCs w:val="24"/>
        </w:rPr>
        <w:t>Oudekraal</w:t>
      </w:r>
      <w:r w:rsidR="009518EE" w:rsidRPr="009B38B1">
        <w:rPr>
          <w:rFonts w:ascii="Arial" w:hAnsi="Arial" w:cs="Arial"/>
          <w:sz w:val="24"/>
          <w:szCs w:val="24"/>
        </w:rPr>
        <w:t xml:space="preserve"> principle</w:t>
      </w:r>
      <w:r w:rsidR="001D32CC">
        <w:rPr>
          <w:rStyle w:val="FootnoteReference"/>
          <w:rFonts w:ascii="Arial" w:hAnsi="Arial" w:cs="Arial"/>
          <w:sz w:val="24"/>
          <w:szCs w:val="24"/>
        </w:rPr>
        <w:footnoteReference w:id="6"/>
      </w:r>
      <w:r w:rsidR="009518EE" w:rsidRPr="009B38B1">
        <w:rPr>
          <w:rFonts w:ascii="Arial" w:hAnsi="Arial" w:cs="Arial"/>
          <w:sz w:val="24"/>
          <w:szCs w:val="24"/>
        </w:rPr>
        <w:t xml:space="preserve"> in respect of collateral challenges.</w:t>
      </w:r>
      <w:r w:rsidR="00AB5944">
        <w:rPr>
          <w:rFonts w:ascii="Arial" w:hAnsi="Arial" w:cs="Arial"/>
          <w:sz w:val="24"/>
          <w:szCs w:val="24"/>
        </w:rPr>
        <w:t xml:space="preserve"> </w:t>
      </w:r>
    </w:p>
    <w:p w:rsidR="009518EE" w:rsidRPr="009B38B1" w:rsidRDefault="0051521C" w:rsidP="0051521C">
      <w:pPr>
        <w:spacing w:line="360" w:lineRule="auto"/>
        <w:ind w:left="1440" w:hanging="72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855E75">
        <w:rPr>
          <w:rFonts w:ascii="Arial" w:hAnsi="Arial" w:cs="Arial"/>
          <w:sz w:val="24"/>
          <w:szCs w:val="24"/>
        </w:rPr>
        <w:t>T</w:t>
      </w:r>
      <w:r w:rsidR="009518EE" w:rsidRPr="009B38B1">
        <w:rPr>
          <w:rFonts w:ascii="Arial" w:hAnsi="Arial" w:cs="Arial"/>
          <w:sz w:val="24"/>
          <w:szCs w:val="24"/>
        </w:rPr>
        <w:t xml:space="preserve">he </w:t>
      </w:r>
      <w:r w:rsidR="00855E75">
        <w:rPr>
          <w:rFonts w:ascii="Arial" w:hAnsi="Arial" w:cs="Arial"/>
          <w:sz w:val="24"/>
          <w:szCs w:val="24"/>
        </w:rPr>
        <w:t>S</w:t>
      </w:r>
      <w:r w:rsidR="009518EE" w:rsidRPr="009B38B1">
        <w:rPr>
          <w:rFonts w:ascii="Arial" w:hAnsi="Arial" w:cs="Arial"/>
          <w:sz w:val="24"/>
          <w:szCs w:val="24"/>
        </w:rPr>
        <w:t xml:space="preserve">econd </w:t>
      </w:r>
      <w:r w:rsidR="00855E75">
        <w:rPr>
          <w:rFonts w:ascii="Arial" w:hAnsi="Arial" w:cs="Arial"/>
          <w:sz w:val="24"/>
          <w:szCs w:val="24"/>
        </w:rPr>
        <w:t>A</w:t>
      </w:r>
      <w:r w:rsidR="009518EE" w:rsidRPr="009B38B1">
        <w:rPr>
          <w:rFonts w:ascii="Arial" w:hAnsi="Arial" w:cs="Arial"/>
          <w:sz w:val="24"/>
          <w:szCs w:val="24"/>
        </w:rPr>
        <w:t xml:space="preserve">pplicant’s condonation application has reasonable </w:t>
      </w:r>
      <w:r w:rsidR="00855E75">
        <w:rPr>
          <w:rFonts w:ascii="Arial" w:hAnsi="Arial" w:cs="Arial"/>
          <w:sz w:val="24"/>
          <w:szCs w:val="24"/>
        </w:rPr>
        <w:t>prospects of succeeding since i</w:t>
      </w:r>
      <w:r w:rsidR="009518EE" w:rsidRPr="009B38B1">
        <w:rPr>
          <w:rFonts w:ascii="Arial" w:hAnsi="Arial" w:cs="Arial"/>
          <w:sz w:val="24"/>
          <w:szCs w:val="24"/>
        </w:rPr>
        <w:t xml:space="preserve">t has a material interest in the collateral challenge raised by the </w:t>
      </w:r>
      <w:r w:rsidR="00855E75">
        <w:rPr>
          <w:rFonts w:ascii="Arial" w:hAnsi="Arial" w:cs="Arial"/>
          <w:sz w:val="24"/>
          <w:szCs w:val="24"/>
        </w:rPr>
        <w:t>F</w:t>
      </w:r>
      <w:r w:rsidR="009518EE" w:rsidRPr="009B38B1">
        <w:rPr>
          <w:rFonts w:ascii="Arial" w:hAnsi="Arial" w:cs="Arial"/>
          <w:sz w:val="24"/>
          <w:szCs w:val="24"/>
        </w:rPr>
        <w:t xml:space="preserve">irst </w:t>
      </w:r>
      <w:r w:rsidR="00855E75">
        <w:rPr>
          <w:rFonts w:ascii="Arial" w:hAnsi="Arial" w:cs="Arial"/>
          <w:sz w:val="24"/>
          <w:szCs w:val="24"/>
        </w:rPr>
        <w:t>A</w:t>
      </w:r>
      <w:r w:rsidR="009518EE" w:rsidRPr="009B38B1">
        <w:rPr>
          <w:rFonts w:ascii="Arial" w:hAnsi="Arial" w:cs="Arial"/>
          <w:sz w:val="24"/>
          <w:szCs w:val="24"/>
        </w:rPr>
        <w:t>pplicant. The interests of justice</w:t>
      </w:r>
      <w:r w:rsidR="00855E75">
        <w:rPr>
          <w:rFonts w:ascii="Arial" w:hAnsi="Arial" w:cs="Arial"/>
          <w:sz w:val="24"/>
          <w:szCs w:val="24"/>
        </w:rPr>
        <w:t>,</w:t>
      </w:r>
      <w:r w:rsidR="009518EE" w:rsidRPr="009B38B1">
        <w:rPr>
          <w:rFonts w:ascii="Arial" w:hAnsi="Arial" w:cs="Arial"/>
          <w:sz w:val="24"/>
          <w:szCs w:val="24"/>
        </w:rPr>
        <w:t xml:space="preserve"> therefore</w:t>
      </w:r>
      <w:r w:rsidR="00855E75">
        <w:rPr>
          <w:rFonts w:ascii="Arial" w:hAnsi="Arial" w:cs="Arial"/>
          <w:sz w:val="24"/>
          <w:szCs w:val="24"/>
        </w:rPr>
        <w:t>,</w:t>
      </w:r>
      <w:r w:rsidR="009518EE" w:rsidRPr="009B38B1">
        <w:rPr>
          <w:rFonts w:ascii="Arial" w:hAnsi="Arial" w:cs="Arial"/>
          <w:sz w:val="24"/>
          <w:szCs w:val="24"/>
        </w:rPr>
        <w:t xml:space="preserve"> require condonation to be granted as the matter </w:t>
      </w:r>
      <w:r w:rsidR="009518EE" w:rsidRPr="009B38B1">
        <w:rPr>
          <w:rFonts w:ascii="Arial" w:hAnsi="Arial" w:cs="Arial"/>
          <w:sz w:val="24"/>
          <w:szCs w:val="24"/>
        </w:rPr>
        <w:lastRenderedPageBreak/>
        <w:t xml:space="preserve">is to be decided in any case as far as the </w:t>
      </w:r>
      <w:r w:rsidR="00855E75">
        <w:rPr>
          <w:rFonts w:ascii="Arial" w:hAnsi="Arial" w:cs="Arial"/>
          <w:sz w:val="24"/>
          <w:szCs w:val="24"/>
        </w:rPr>
        <w:t>F</w:t>
      </w:r>
      <w:r w:rsidR="009518EE" w:rsidRPr="009B38B1">
        <w:rPr>
          <w:rFonts w:ascii="Arial" w:hAnsi="Arial" w:cs="Arial"/>
          <w:sz w:val="24"/>
          <w:szCs w:val="24"/>
        </w:rPr>
        <w:t xml:space="preserve">irst </w:t>
      </w:r>
      <w:r w:rsidR="00855E75">
        <w:rPr>
          <w:rFonts w:ascii="Arial" w:hAnsi="Arial" w:cs="Arial"/>
          <w:sz w:val="24"/>
          <w:szCs w:val="24"/>
        </w:rPr>
        <w:t>A</w:t>
      </w:r>
      <w:r w:rsidR="009518EE" w:rsidRPr="009B38B1">
        <w:rPr>
          <w:rFonts w:ascii="Arial" w:hAnsi="Arial" w:cs="Arial"/>
          <w:sz w:val="24"/>
          <w:szCs w:val="24"/>
        </w:rPr>
        <w:t>pplicant is concerned.</w:t>
      </w:r>
    </w:p>
    <w:p w:rsidR="00E23138" w:rsidRPr="009B38B1" w:rsidRDefault="0051521C" w:rsidP="0051521C">
      <w:pPr>
        <w:spacing w:line="360" w:lineRule="auto"/>
        <w:ind w:left="144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855E75">
        <w:rPr>
          <w:rFonts w:ascii="Arial" w:hAnsi="Arial" w:cs="Arial"/>
          <w:sz w:val="24"/>
          <w:szCs w:val="24"/>
        </w:rPr>
        <w:t>T</w:t>
      </w:r>
      <w:r w:rsidR="009518EE" w:rsidRPr="009B38B1">
        <w:rPr>
          <w:rFonts w:ascii="Arial" w:hAnsi="Arial" w:cs="Arial"/>
          <w:sz w:val="24"/>
          <w:szCs w:val="24"/>
        </w:rPr>
        <w:t xml:space="preserve">he </w:t>
      </w:r>
      <w:r w:rsidR="00855E75">
        <w:rPr>
          <w:rFonts w:ascii="Arial" w:hAnsi="Arial" w:cs="Arial"/>
          <w:sz w:val="24"/>
          <w:szCs w:val="24"/>
        </w:rPr>
        <w:t>C</w:t>
      </w:r>
      <w:r w:rsidR="009518EE" w:rsidRPr="009B38B1">
        <w:rPr>
          <w:rFonts w:ascii="Arial" w:hAnsi="Arial" w:cs="Arial"/>
          <w:sz w:val="24"/>
          <w:szCs w:val="24"/>
        </w:rPr>
        <w:t xml:space="preserve">ourt erred in mulcting the </w:t>
      </w:r>
      <w:r w:rsidR="00855E75">
        <w:rPr>
          <w:rFonts w:ascii="Arial" w:hAnsi="Arial" w:cs="Arial"/>
          <w:sz w:val="24"/>
          <w:szCs w:val="24"/>
        </w:rPr>
        <w:t>A</w:t>
      </w:r>
      <w:r w:rsidR="009518EE" w:rsidRPr="009B38B1">
        <w:rPr>
          <w:rFonts w:ascii="Arial" w:hAnsi="Arial" w:cs="Arial"/>
          <w:sz w:val="24"/>
          <w:szCs w:val="24"/>
        </w:rPr>
        <w:t>pplicants in costs, where they are asserting constitutional rights. The submi</w:t>
      </w:r>
      <w:r w:rsidR="00855E75">
        <w:rPr>
          <w:rFonts w:ascii="Arial" w:hAnsi="Arial" w:cs="Arial"/>
          <w:sz w:val="24"/>
          <w:szCs w:val="24"/>
        </w:rPr>
        <w:t xml:space="preserve">ssion is that the Court should </w:t>
      </w:r>
      <w:r w:rsidR="009518EE" w:rsidRPr="009B38B1">
        <w:rPr>
          <w:rFonts w:ascii="Arial" w:hAnsi="Arial" w:cs="Arial"/>
          <w:sz w:val="24"/>
          <w:szCs w:val="24"/>
        </w:rPr>
        <w:t xml:space="preserve">have applied the </w:t>
      </w:r>
      <w:r w:rsidR="009518EE" w:rsidRPr="00855E75">
        <w:rPr>
          <w:rFonts w:ascii="Arial" w:hAnsi="Arial" w:cs="Arial"/>
          <w:i/>
          <w:sz w:val="24"/>
          <w:szCs w:val="24"/>
        </w:rPr>
        <w:t>Biowatch</w:t>
      </w:r>
      <w:r w:rsidR="009518EE" w:rsidRPr="009B38B1">
        <w:rPr>
          <w:rFonts w:ascii="Arial" w:hAnsi="Arial" w:cs="Arial"/>
          <w:sz w:val="24"/>
          <w:szCs w:val="24"/>
        </w:rPr>
        <w:t xml:space="preserve"> principle</w:t>
      </w:r>
      <w:r w:rsidR="00AB5944">
        <w:rPr>
          <w:rStyle w:val="FootnoteReference"/>
          <w:rFonts w:ascii="Arial" w:hAnsi="Arial" w:cs="Arial"/>
          <w:sz w:val="24"/>
          <w:szCs w:val="24"/>
        </w:rPr>
        <w:footnoteReference w:id="7"/>
      </w:r>
      <w:r w:rsidR="009518EE" w:rsidRPr="009B38B1">
        <w:rPr>
          <w:rFonts w:ascii="Arial" w:hAnsi="Arial" w:cs="Arial"/>
          <w:sz w:val="24"/>
          <w:szCs w:val="24"/>
        </w:rPr>
        <w:t xml:space="preserve"> in that the </w:t>
      </w:r>
      <w:r w:rsidR="00855E75">
        <w:rPr>
          <w:rFonts w:ascii="Arial" w:hAnsi="Arial" w:cs="Arial"/>
          <w:sz w:val="24"/>
          <w:szCs w:val="24"/>
        </w:rPr>
        <w:t>A</w:t>
      </w:r>
      <w:r w:rsidR="009518EE" w:rsidRPr="009B38B1">
        <w:rPr>
          <w:rFonts w:ascii="Arial" w:hAnsi="Arial" w:cs="Arial"/>
          <w:sz w:val="24"/>
          <w:szCs w:val="24"/>
        </w:rPr>
        <w:t>pplicants are asserting constitutional rights to a fair trial, to administrative action and to Section 22 rights to choose an occupation.</w:t>
      </w:r>
    </w:p>
    <w:p w:rsidR="009B38B1" w:rsidRDefault="0051521C" w:rsidP="009B38B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23138" w:rsidRPr="009B38B1">
        <w:rPr>
          <w:rFonts w:ascii="Arial" w:hAnsi="Arial" w:cs="Arial"/>
          <w:sz w:val="24"/>
          <w:szCs w:val="24"/>
        </w:rPr>
        <w:t xml:space="preserve">The First Respondent opposes this application and submits that the </w:t>
      </w:r>
      <w:r w:rsidR="00855E75">
        <w:rPr>
          <w:rFonts w:ascii="Arial" w:hAnsi="Arial" w:cs="Arial"/>
          <w:sz w:val="24"/>
          <w:szCs w:val="24"/>
        </w:rPr>
        <w:t>application was</w:t>
      </w:r>
      <w:r w:rsidR="00E23138" w:rsidRPr="009B38B1">
        <w:rPr>
          <w:rFonts w:ascii="Arial" w:hAnsi="Arial" w:cs="Arial"/>
          <w:sz w:val="24"/>
          <w:szCs w:val="24"/>
        </w:rPr>
        <w:t xml:space="preserve"> correctly dismissed on the basis that</w:t>
      </w:r>
      <w:r w:rsidR="00855E75">
        <w:rPr>
          <w:rFonts w:ascii="Arial" w:hAnsi="Arial" w:cs="Arial"/>
          <w:sz w:val="24"/>
          <w:szCs w:val="24"/>
        </w:rPr>
        <w:t xml:space="preserve"> – </w:t>
      </w:r>
      <w:r w:rsidR="00E23138" w:rsidRPr="009B38B1">
        <w:rPr>
          <w:rFonts w:ascii="Arial" w:hAnsi="Arial" w:cs="Arial"/>
          <w:sz w:val="24"/>
          <w:szCs w:val="24"/>
        </w:rPr>
        <w:t xml:space="preserve"> </w:t>
      </w:r>
    </w:p>
    <w:p w:rsidR="00E23138" w:rsidRDefault="0051521C" w:rsidP="0051521C">
      <w:pPr>
        <w:spacing w:line="360" w:lineRule="auto"/>
        <w:ind w:left="144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E23138" w:rsidRPr="009B38B1">
        <w:rPr>
          <w:rFonts w:ascii="Arial" w:hAnsi="Arial" w:cs="Arial"/>
          <w:sz w:val="24"/>
          <w:szCs w:val="24"/>
        </w:rPr>
        <w:t xml:space="preserve">the First Applicant failed to prove on a balance of probabilities that the collateral challenge was apposite and as a consequence, the First Applicant lacked </w:t>
      </w:r>
      <w:r w:rsidR="00E23138" w:rsidRPr="00855E75">
        <w:rPr>
          <w:rFonts w:ascii="Arial" w:hAnsi="Arial" w:cs="Arial"/>
          <w:i/>
          <w:sz w:val="24"/>
          <w:szCs w:val="24"/>
        </w:rPr>
        <w:t>locus standi</w:t>
      </w:r>
      <w:r w:rsidR="00E23138" w:rsidRPr="009B38B1">
        <w:rPr>
          <w:rFonts w:ascii="Arial" w:hAnsi="Arial" w:cs="Arial"/>
          <w:sz w:val="24"/>
          <w:szCs w:val="24"/>
        </w:rPr>
        <w:t>;</w:t>
      </w:r>
    </w:p>
    <w:p w:rsidR="009B38B1" w:rsidRPr="009B38B1" w:rsidRDefault="0051521C" w:rsidP="0051521C">
      <w:pPr>
        <w:spacing w:line="360" w:lineRule="auto"/>
        <w:ind w:left="144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9B38B1" w:rsidRPr="009B38B1">
        <w:rPr>
          <w:rFonts w:ascii="Arial" w:hAnsi="Arial" w:cs="Arial"/>
          <w:sz w:val="24"/>
          <w:szCs w:val="24"/>
        </w:rPr>
        <w:t>the Second Applicant failed to lodge the review application in terms of the Promotion of Administrativ</w:t>
      </w:r>
      <w:r w:rsidR="00AB5944">
        <w:rPr>
          <w:rFonts w:ascii="Arial" w:hAnsi="Arial" w:cs="Arial"/>
          <w:sz w:val="24"/>
          <w:szCs w:val="24"/>
        </w:rPr>
        <w:t>e Justice Act</w:t>
      </w:r>
      <w:r w:rsidR="00AB5944">
        <w:rPr>
          <w:rStyle w:val="FootnoteReference"/>
          <w:rFonts w:ascii="Arial" w:hAnsi="Arial" w:cs="Arial"/>
          <w:sz w:val="24"/>
          <w:szCs w:val="24"/>
        </w:rPr>
        <w:footnoteReference w:id="8"/>
      </w:r>
      <w:r w:rsidR="009B38B1" w:rsidRPr="009B38B1">
        <w:rPr>
          <w:rFonts w:ascii="Arial" w:hAnsi="Arial" w:cs="Arial"/>
          <w:sz w:val="24"/>
          <w:szCs w:val="24"/>
        </w:rPr>
        <w:t xml:space="preserve"> within the prescribed time periods and as a co</w:t>
      </w:r>
      <w:r w:rsidR="00855E75">
        <w:rPr>
          <w:rFonts w:ascii="Arial" w:hAnsi="Arial" w:cs="Arial"/>
          <w:sz w:val="24"/>
          <w:szCs w:val="24"/>
        </w:rPr>
        <w:t>nsequence of the seventeen-</w:t>
      </w:r>
      <w:r w:rsidR="009B38B1">
        <w:rPr>
          <w:rFonts w:ascii="Arial" w:hAnsi="Arial" w:cs="Arial"/>
          <w:sz w:val="24"/>
          <w:szCs w:val="24"/>
        </w:rPr>
        <w:t>year</w:t>
      </w:r>
      <w:r w:rsidR="009B38B1" w:rsidRPr="009B38B1">
        <w:rPr>
          <w:rFonts w:ascii="Arial" w:hAnsi="Arial" w:cs="Arial"/>
          <w:sz w:val="24"/>
          <w:szCs w:val="24"/>
        </w:rPr>
        <w:t xml:space="preserve"> delay, the condonation application lacked merit</w:t>
      </w:r>
      <w:r w:rsidR="00855E75">
        <w:rPr>
          <w:rFonts w:ascii="Arial" w:hAnsi="Arial" w:cs="Arial"/>
          <w:sz w:val="24"/>
          <w:szCs w:val="24"/>
        </w:rPr>
        <w:t>.</w:t>
      </w:r>
    </w:p>
    <w:p w:rsidR="008116B9" w:rsidRPr="009B38B1" w:rsidRDefault="0051521C" w:rsidP="009B38B1">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55E75">
        <w:rPr>
          <w:rFonts w:ascii="Arial" w:hAnsi="Arial" w:cs="Arial"/>
          <w:sz w:val="24"/>
          <w:szCs w:val="24"/>
        </w:rPr>
        <w:t xml:space="preserve">The </w:t>
      </w:r>
      <w:r w:rsidR="008116B9" w:rsidRPr="009B38B1">
        <w:rPr>
          <w:rFonts w:ascii="Arial" w:hAnsi="Arial" w:cs="Arial"/>
          <w:sz w:val="24"/>
          <w:szCs w:val="24"/>
        </w:rPr>
        <w:t>Third Respondent</w:t>
      </w:r>
      <w:r w:rsidR="00855E75">
        <w:rPr>
          <w:rFonts w:ascii="Arial" w:hAnsi="Arial" w:cs="Arial"/>
          <w:sz w:val="24"/>
          <w:szCs w:val="24"/>
        </w:rPr>
        <w:t xml:space="preserve"> is opposing this application on the grounds that </w:t>
      </w:r>
      <w:r w:rsidR="008116B9" w:rsidRPr="009B38B1">
        <w:rPr>
          <w:rFonts w:ascii="Arial" w:hAnsi="Arial" w:cs="Arial"/>
          <w:sz w:val="24"/>
          <w:szCs w:val="24"/>
        </w:rPr>
        <w:t xml:space="preserve">the definition of the charges that the </w:t>
      </w:r>
      <w:r w:rsidR="00855E75">
        <w:rPr>
          <w:rFonts w:ascii="Arial" w:hAnsi="Arial" w:cs="Arial"/>
          <w:sz w:val="24"/>
          <w:szCs w:val="24"/>
        </w:rPr>
        <w:t>First Applicant</w:t>
      </w:r>
      <w:r w:rsidR="008116B9" w:rsidRPr="009B38B1">
        <w:rPr>
          <w:rFonts w:ascii="Arial" w:hAnsi="Arial" w:cs="Arial"/>
          <w:sz w:val="24"/>
          <w:szCs w:val="24"/>
        </w:rPr>
        <w:t xml:space="preserve"> face</w:t>
      </w:r>
      <w:r w:rsidR="00855E75">
        <w:rPr>
          <w:rFonts w:ascii="Arial" w:hAnsi="Arial" w:cs="Arial"/>
          <w:sz w:val="24"/>
          <w:szCs w:val="24"/>
        </w:rPr>
        <w:t>d</w:t>
      </w:r>
      <w:r w:rsidR="008116B9" w:rsidRPr="009B38B1">
        <w:rPr>
          <w:rFonts w:ascii="Arial" w:hAnsi="Arial" w:cs="Arial"/>
          <w:sz w:val="24"/>
          <w:szCs w:val="24"/>
        </w:rPr>
        <w:t xml:space="preserve"> in the criminal tr</w:t>
      </w:r>
      <w:r w:rsidR="00855E75">
        <w:rPr>
          <w:rFonts w:ascii="Arial" w:hAnsi="Arial" w:cs="Arial"/>
          <w:sz w:val="24"/>
          <w:szCs w:val="24"/>
        </w:rPr>
        <w:t>ial do not include Regulation 6(c) as an element and</w:t>
      </w:r>
      <w:r w:rsidR="008116B9" w:rsidRPr="009B38B1">
        <w:rPr>
          <w:rFonts w:ascii="Arial" w:hAnsi="Arial" w:cs="Arial"/>
          <w:sz w:val="24"/>
          <w:szCs w:val="24"/>
        </w:rPr>
        <w:t xml:space="preserve"> none of the charges in the indictment are so framed as being predicated upon the legality</w:t>
      </w:r>
      <w:r w:rsidR="00855E75">
        <w:rPr>
          <w:rFonts w:ascii="Arial" w:hAnsi="Arial" w:cs="Arial"/>
          <w:sz w:val="24"/>
          <w:szCs w:val="24"/>
        </w:rPr>
        <w:t xml:space="preserve"> or otherwise of Regulation 6(</w:t>
      </w:r>
      <w:r w:rsidR="008116B9" w:rsidRPr="009B38B1">
        <w:rPr>
          <w:rFonts w:ascii="Arial" w:hAnsi="Arial" w:cs="Arial"/>
          <w:sz w:val="24"/>
          <w:szCs w:val="24"/>
        </w:rPr>
        <w:t>c).</w:t>
      </w:r>
    </w:p>
    <w:p w:rsidR="00EF5E84" w:rsidRDefault="00EF5E84" w:rsidP="009B38B1">
      <w:pPr>
        <w:spacing w:line="360" w:lineRule="auto"/>
        <w:jc w:val="both"/>
        <w:rPr>
          <w:rFonts w:ascii="Arial" w:hAnsi="Arial" w:cs="Arial"/>
          <w:b/>
          <w:sz w:val="24"/>
          <w:szCs w:val="24"/>
        </w:rPr>
      </w:pPr>
    </w:p>
    <w:p w:rsidR="00892CD5" w:rsidRPr="009B38B1" w:rsidRDefault="00892CD5" w:rsidP="009B38B1">
      <w:pPr>
        <w:spacing w:line="360" w:lineRule="auto"/>
        <w:jc w:val="both"/>
        <w:rPr>
          <w:rFonts w:ascii="Arial" w:hAnsi="Arial" w:cs="Arial"/>
          <w:b/>
          <w:sz w:val="24"/>
          <w:szCs w:val="24"/>
        </w:rPr>
      </w:pPr>
      <w:r w:rsidRPr="009B38B1">
        <w:rPr>
          <w:rFonts w:ascii="Arial" w:hAnsi="Arial" w:cs="Arial"/>
          <w:b/>
          <w:sz w:val="24"/>
          <w:szCs w:val="24"/>
        </w:rPr>
        <w:t>ISSUE FOR DETERMINATION</w:t>
      </w:r>
    </w:p>
    <w:p w:rsidR="00892CD5" w:rsidRPr="009B38B1" w:rsidRDefault="0051521C" w:rsidP="009B38B1">
      <w:pPr>
        <w:spacing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892CD5" w:rsidRPr="009B38B1">
        <w:rPr>
          <w:rFonts w:ascii="Arial" w:hAnsi="Arial" w:cs="Arial"/>
          <w:color w:val="000000"/>
          <w:sz w:val="24"/>
          <w:szCs w:val="24"/>
        </w:rPr>
        <w:t>As earlier indicated the Applicant has approached this Court for leave to appeal in terms of section 17</w:t>
      </w:r>
      <w:r w:rsidR="00892CD5" w:rsidRPr="009B38B1">
        <w:rPr>
          <w:rFonts w:ascii="Arial" w:hAnsi="Arial" w:cs="Arial"/>
          <w:sz w:val="24"/>
          <w:szCs w:val="24"/>
        </w:rPr>
        <w:t>(1)(a)(i) and/or (ii)</w:t>
      </w:r>
      <w:r w:rsidR="00892CD5" w:rsidRPr="009B38B1">
        <w:rPr>
          <w:rFonts w:ascii="Arial" w:hAnsi="Arial" w:cs="Arial"/>
          <w:color w:val="000000"/>
          <w:sz w:val="24"/>
          <w:szCs w:val="24"/>
        </w:rPr>
        <w:t xml:space="preserve"> of the Superior Courts Act, which provides as follows: </w:t>
      </w:r>
    </w:p>
    <w:p w:rsidR="00892CD5" w:rsidRPr="009D6C3C" w:rsidRDefault="00892CD5" w:rsidP="009B38B1">
      <w:pPr>
        <w:spacing w:line="360" w:lineRule="auto"/>
        <w:ind w:firstLine="720"/>
        <w:jc w:val="both"/>
        <w:rPr>
          <w:rFonts w:ascii="Arial" w:hAnsi="Arial" w:cs="Arial"/>
          <w:i/>
          <w:color w:val="000000"/>
          <w:sz w:val="20"/>
          <w:szCs w:val="20"/>
        </w:rPr>
      </w:pPr>
      <w:r w:rsidRPr="009D6C3C">
        <w:rPr>
          <w:rFonts w:ascii="Arial" w:hAnsi="Arial" w:cs="Arial"/>
          <w:i/>
          <w:color w:val="000000"/>
          <w:sz w:val="20"/>
          <w:szCs w:val="20"/>
        </w:rPr>
        <w:lastRenderedPageBreak/>
        <w:t xml:space="preserve">"17. </w:t>
      </w:r>
      <w:r w:rsidRPr="009D6C3C">
        <w:rPr>
          <w:rFonts w:ascii="Arial" w:hAnsi="Arial" w:cs="Arial"/>
          <w:i/>
          <w:color w:val="000000"/>
          <w:sz w:val="20"/>
          <w:szCs w:val="20"/>
        </w:rPr>
        <w:tab/>
      </w:r>
      <w:r w:rsidRPr="009D6C3C">
        <w:rPr>
          <w:rFonts w:ascii="Arial" w:hAnsi="Arial" w:cs="Arial"/>
          <w:b/>
          <w:i/>
          <w:color w:val="000000"/>
          <w:sz w:val="20"/>
          <w:szCs w:val="20"/>
        </w:rPr>
        <w:t>Leave to Appeal</w:t>
      </w:r>
      <w:r w:rsidRPr="009D6C3C">
        <w:rPr>
          <w:rFonts w:ascii="Arial" w:hAnsi="Arial" w:cs="Arial"/>
          <w:i/>
          <w:color w:val="000000"/>
          <w:sz w:val="20"/>
          <w:szCs w:val="20"/>
        </w:rPr>
        <w:t xml:space="preserve"> </w:t>
      </w:r>
    </w:p>
    <w:p w:rsidR="00892CD5" w:rsidRPr="009D6C3C" w:rsidRDefault="00892CD5" w:rsidP="009B38B1">
      <w:pPr>
        <w:spacing w:line="360" w:lineRule="auto"/>
        <w:ind w:left="2127" w:hanging="687"/>
        <w:jc w:val="both"/>
        <w:rPr>
          <w:rFonts w:ascii="Arial" w:hAnsi="Arial" w:cs="Arial"/>
          <w:i/>
          <w:color w:val="000000"/>
          <w:sz w:val="20"/>
          <w:szCs w:val="20"/>
        </w:rPr>
      </w:pPr>
      <w:r w:rsidRPr="009D6C3C">
        <w:rPr>
          <w:rFonts w:ascii="Arial" w:hAnsi="Arial" w:cs="Arial"/>
          <w:i/>
          <w:color w:val="000000"/>
          <w:sz w:val="20"/>
          <w:szCs w:val="20"/>
        </w:rPr>
        <w:t xml:space="preserve">(1)    Leave to appeal may only be given where the judge or judges concerned are of the opinion that- </w:t>
      </w:r>
    </w:p>
    <w:p w:rsidR="00892CD5" w:rsidRPr="009D6C3C" w:rsidRDefault="00892CD5" w:rsidP="009B38B1">
      <w:pPr>
        <w:spacing w:line="360" w:lineRule="auto"/>
        <w:ind w:left="3544" w:hanging="1459"/>
        <w:jc w:val="both"/>
        <w:rPr>
          <w:rFonts w:ascii="Arial" w:hAnsi="Arial" w:cs="Arial"/>
          <w:i/>
          <w:color w:val="000000"/>
          <w:sz w:val="20"/>
          <w:szCs w:val="20"/>
        </w:rPr>
      </w:pPr>
      <w:r w:rsidRPr="009D6C3C">
        <w:rPr>
          <w:rFonts w:ascii="Arial" w:hAnsi="Arial" w:cs="Arial"/>
          <w:i/>
          <w:color w:val="000000"/>
          <w:sz w:val="20"/>
          <w:szCs w:val="20"/>
        </w:rPr>
        <w:t xml:space="preserve">(a)        (i) </w:t>
      </w:r>
      <w:r w:rsidRPr="009D6C3C">
        <w:rPr>
          <w:rFonts w:ascii="Arial" w:hAnsi="Arial" w:cs="Arial"/>
          <w:i/>
          <w:color w:val="000000"/>
          <w:sz w:val="20"/>
          <w:szCs w:val="20"/>
        </w:rPr>
        <w:tab/>
        <w:t>the appeal would have a reasonable prospect of success; or</w:t>
      </w:r>
    </w:p>
    <w:p w:rsidR="00892CD5" w:rsidRPr="009D6C3C" w:rsidRDefault="00892CD5" w:rsidP="009B38B1">
      <w:pPr>
        <w:spacing w:line="360" w:lineRule="auto"/>
        <w:ind w:left="3600" w:hanging="720"/>
        <w:jc w:val="both"/>
        <w:rPr>
          <w:rFonts w:ascii="Arial" w:hAnsi="Arial" w:cs="Arial"/>
          <w:i/>
          <w:color w:val="000000"/>
          <w:sz w:val="20"/>
          <w:szCs w:val="20"/>
        </w:rPr>
      </w:pPr>
      <w:r w:rsidRPr="009D6C3C">
        <w:rPr>
          <w:rFonts w:ascii="Arial" w:hAnsi="Arial" w:cs="Arial"/>
          <w:i/>
          <w:color w:val="000000"/>
          <w:sz w:val="20"/>
          <w:szCs w:val="20"/>
        </w:rPr>
        <w:t xml:space="preserve">(ii)  </w:t>
      </w:r>
      <w:r w:rsidRPr="009D6C3C">
        <w:rPr>
          <w:rFonts w:ascii="Arial" w:hAnsi="Arial" w:cs="Arial"/>
          <w:i/>
          <w:color w:val="000000"/>
          <w:sz w:val="20"/>
          <w:szCs w:val="20"/>
        </w:rPr>
        <w:tab/>
        <w:t>there is some other compelling reason why the appeal should be heard, including conflicting judgments on the matter under consideration.”</w:t>
      </w:r>
    </w:p>
    <w:p w:rsidR="00892CD5" w:rsidRPr="009B38B1" w:rsidRDefault="0051521C" w:rsidP="009B38B1">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92CD5" w:rsidRPr="009B38B1">
        <w:rPr>
          <w:rFonts w:ascii="Arial" w:hAnsi="Arial" w:cs="Arial"/>
          <w:sz w:val="24"/>
          <w:szCs w:val="24"/>
        </w:rPr>
        <w:t>The issue for this Court to determine is whether the Applicants have made out a case to be granted leave to appeal in terms of the aforementioned section.</w:t>
      </w:r>
    </w:p>
    <w:p w:rsidR="00EF5E84" w:rsidRDefault="00EF5E84" w:rsidP="009B38B1">
      <w:pPr>
        <w:spacing w:line="360" w:lineRule="auto"/>
        <w:jc w:val="both"/>
        <w:rPr>
          <w:rFonts w:ascii="Arial" w:hAnsi="Arial" w:cs="Arial"/>
          <w:b/>
          <w:sz w:val="24"/>
          <w:szCs w:val="24"/>
        </w:rPr>
      </w:pPr>
    </w:p>
    <w:p w:rsidR="00892CD5" w:rsidRPr="009D6C3C" w:rsidRDefault="00892CD5" w:rsidP="009B38B1">
      <w:pPr>
        <w:spacing w:line="360" w:lineRule="auto"/>
        <w:jc w:val="both"/>
        <w:rPr>
          <w:rFonts w:ascii="Arial" w:hAnsi="Arial" w:cs="Arial"/>
          <w:b/>
          <w:sz w:val="24"/>
          <w:szCs w:val="24"/>
        </w:rPr>
      </w:pPr>
      <w:r w:rsidRPr="009D6C3C">
        <w:rPr>
          <w:rFonts w:ascii="Arial" w:hAnsi="Arial" w:cs="Arial"/>
          <w:b/>
          <w:sz w:val="24"/>
          <w:szCs w:val="24"/>
        </w:rPr>
        <w:t>DISCUSSION</w:t>
      </w:r>
    </w:p>
    <w:p w:rsidR="00892CD5" w:rsidRPr="009B38B1" w:rsidRDefault="0051521C" w:rsidP="009B38B1">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92CD5" w:rsidRPr="009B38B1">
        <w:rPr>
          <w:rFonts w:ascii="Arial" w:hAnsi="Arial" w:cs="Arial"/>
          <w:sz w:val="24"/>
          <w:szCs w:val="24"/>
        </w:rPr>
        <w:t>The test for the granting of the application for leave to appeal based on section 17(1)</w:t>
      </w:r>
      <w:r w:rsidR="0042258F">
        <w:rPr>
          <w:rFonts w:ascii="Arial" w:hAnsi="Arial" w:cs="Arial"/>
          <w:sz w:val="24"/>
          <w:szCs w:val="24"/>
        </w:rPr>
        <w:t>(a)</w:t>
      </w:r>
      <w:r w:rsidR="00892CD5" w:rsidRPr="009B38B1">
        <w:rPr>
          <w:rFonts w:ascii="Arial" w:hAnsi="Arial" w:cs="Arial"/>
          <w:sz w:val="24"/>
          <w:szCs w:val="24"/>
        </w:rPr>
        <w:t xml:space="preserve"> of the Superior Courts Act, is trite and need not be repeated in this judgment.</w:t>
      </w:r>
    </w:p>
    <w:p w:rsidR="00892CD5" w:rsidRPr="009B38B1" w:rsidRDefault="0051521C" w:rsidP="009B38B1">
      <w:pPr>
        <w:spacing w:line="360" w:lineRule="auto"/>
        <w:jc w:val="both"/>
        <w:rPr>
          <w:rFonts w:ascii="Arial" w:hAnsi="Arial" w:cs="Arial"/>
          <w:color w:val="000000"/>
          <w:sz w:val="24"/>
          <w:szCs w:val="24"/>
        </w:rPr>
      </w:pPr>
      <w:r>
        <w:rPr>
          <w:rFonts w:ascii="Arial" w:hAnsi="Arial" w:cs="Arial"/>
          <w:sz w:val="24"/>
          <w:szCs w:val="24"/>
        </w:rPr>
        <w:t>[16]</w:t>
      </w:r>
      <w:r>
        <w:rPr>
          <w:rFonts w:ascii="Arial" w:hAnsi="Arial" w:cs="Arial"/>
          <w:sz w:val="24"/>
          <w:szCs w:val="24"/>
        </w:rPr>
        <w:tab/>
      </w:r>
      <w:r w:rsidR="00892CD5" w:rsidRPr="009B38B1">
        <w:rPr>
          <w:rFonts w:ascii="Arial" w:hAnsi="Arial" w:cs="Arial"/>
          <w:sz w:val="24"/>
          <w:szCs w:val="24"/>
        </w:rPr>
        <w:t>Having considered the grounds of appeal raised by the Applicants and the arguments for and against such application raised by the parties in their respective heads of argument, this Court is of the opinion that there are no reasonable prospects of success on appeal.</w:t>
      </w:r>
      <w:r w:rsidR="00892CD5" w:rsidRPr="009B38B1">
        <w:rPr>
          <w:rFonts w:ascii="Arial" w:hAnsi="Arial" w:cs="Arial"/>
          <w:color w:val="000000"/>
          <w:sz w:val="24"/>
          <w:szCs w:val="24"/>
        </w:rPr>
        <w:t xml:space="preserve">  </w:t>
      </w:r>
    </w:p>
    <w:p w:rsidR="00892CD5" w:rsidRPr="009B38B1" w:rsidRDefault="0051521C" w:rsidP="009B38B1">
      <w:pPr>
        <w:spacing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9D6C3C">
        <w:rPr>
          <w:rFonts w:ascii="Arial" w:hAnsi="Arial" w:cs="Arial"/>
          <w:color w:val="000000"/>
          <w:sz w:val="24"/>
          <w:szCs w:val="24"/>
        </w:rPr>
        <w:t xml:space="preserve">This Court is, also, of the view that the </w:t>
      </w:r>
      <w:r w:rsidR="00892CD5" w:rsidRPr="009B38B1">
        <w:rPr>
          <w:rFonts w:ascii="Arial" w:hAnsi="Arial" w:cs="Arial"/>
          <w:color w:val="000000"/>
          <w:sz w:val="24"/>
          <w:szCs w:val="24"/>
        </w:rPr>
        <w:t xml:space="preserve">Applicants have not made out a case for the granting of the application for leave to appeal on the ground of some compelling reasons as envisaged in section 17(1)(a)(ii) of the Superior Courts Act. </w:t>
      </w:r>
    </w:p>
    <w:p w:rsidR="00F3628C" w:rsidRDefault="0051521C" w:rsidP="00F3628C">
      <w:pPr>
        <w:spacing w:line="360" w:lineRule="auto"/>
        <w:jc w:val="both"/>
        <w:rPr>
          <w:rFonts w:ascii="Arial" w:hAnsi="Arial" w:cs="Arial"/>
          <w:sz w:val="24"/>
          <w:szCs w:val="24"/>
        </w:rPr>
      </w:pPr>
      <w:r>
        <w:rPr>
          <w:rFonts w:ascii="Arial" w:hAnsi="Arial" w:cs="Arial"/>
          <w:color w:val="000000"/>
          <w:sz w:val="24"/>
          <w:szCs w:val="24"/>
        </w:rPr>
        <w:t>[18]</w:t>
      </w:r>
      <w:r>
        <w:rPr>
          <w:rFonts w:ascii="Arial" w:hAnsi="Arial" w:cs="Arial"/>
          <w:color w:val="000000"/>
          <w:sz w:val="24"/>
          <w:szCs w:val="24"/>
        </w:rPr>
        <w:tab/>
      </w:r>
      <w:r w:rsidR="00F3628C">
        <w:rPr>
          <w:rFonts w:ascii="Arial" w:hAnsi="Arial" w:cs="Arial"/>
          <w:sz w:val="24"/>
          <w:szCs w:val="24"/>
        </w:rPr>
        <w:t>As regards the cost issue, t</w:t>
      </w:r>
      <w:r w:rsidR="00F3628C" w:rsidRPr="009B38B1">
        <w:rPr>
          <w:rFonts w:ascii="Arial" w:hAnsi="Arial" w:cs="Arial"/>
          <w:sz w:val="24"/>
          <w:szCs w:val="24"/>
        </w:rPr>
        <w:t xml:space="preserve">his Court maintains that the application does not raise a constitutional point and </w:t>
      </w:r>
      <w:r w:rsidR="00F3628C">
        <w:rPr>
          <w:rFonts w:ascii="Arial" w:hAnsi="Arial" w:cs="Arial"/>
          <w:sz w:val="24"/>
          <w:szCs w:val="24"/>
        </w:rPr>
        <w:t xml:space="preserve">that </w:t>
      </w:r>
      <w:r w:rsidR="00F3628C" w:rsidRPr="009B38B1">
        <w:rPr>
          <w:rFonts w:ascii="Arial" w:hAnsi="Arial" w:cs="Arial"/>
          <w:sz w:val="24"/>
          <w:szCs w:val="24"/>
        </w:rPr>
        <w:t xml:space="preserve">the </w:t>
      </w:r>
      <w:r w:rsidR="00F3628C" w:rsidRPr="00F3628C">
        <w:rPr>
          <w:rFonts w:ascii="Arial" w:hAnsi="Arial" w:cs="Arial"/>
          <w:i/>
          <w:sz w:val="24"/>
          <w:szCs w:val="24"/>
        </w:rPr>
        <w:t>Biowatch</w:t>
      </w:r>
      <w:r w:rsidR="00F3628C">
        <w:rPr>
          <w:rFonts w:ascii="Arial" w:hAnsi="Arial" w:cs="Arial"/>
          <w:sz w:val="24"/>
          <w:szCs w:val="24"/>
        </w:rPr>
        <w:t xml:space="preserve"> principle finds no application, hence the </w:t>
      </w:r>
      <w:r w:rsidR="00F3628C" w:rsidRPr="009B38B1">
        <w:rPr>
          <w:rFonts w:ascii="Arial" w:hAnsi="Arial" w:cs="Arial"/>
          <w:sz w:val="24"/>
          <w:szCs w:val="24"/>
        </w:rPr>
        <w:t xml:space="preserve">costs order as granted is correct. </w:t>
      </w:r>
    </w:p>
    <w:p w:rsidR="008116B9" w:rsidRPr="00F3628C" w:rsidRDefault="00F3628C" w:rsidP="009B38B1">
      <w:pPr>
        <w:spacing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892CD5" w:rsidRPr="009B38B1">
        <w:rPr>
          <w:rFonts w:ascii="Arial" w:hAnsi="Arial" w:cs="Arial"/>
          <w:color w:val="000000"/>
          <w:sz w:val="24"/>
          <w:szCs w:val="24"/>
        </w:rPr>
        <w:t>Th</w:t>
      </w:r>
      <w:r w:rsidR="009D6C3C">
        <w:rPr>
          <w:rFonts w:ascii="Arial" w:hAnsi="Arial" w:cs="Arial"/>
          <w:color w:val="000000"/>
          <w:sz w:val="24"/>
          <w:szCs w:val="24"/>
        </w:rPr>
        <w:t>is</w:t>
      </w:r>
      <w:r w:rsidR="00892CD5" w:rsidRPr="009B38B1">
        <w:rPr>
          <w:rFonts w:ascii="Arial" w:hAnsi="Arial" w:cs="Arial"/>
          <w:color w:val="000000"/>
          <w:sz w:val="24"/>
          <w:szCs w:val="24"/>
        </w:rPr>
        <w:t xml:space="preserve"> application, as a result, falls to be dismissed.</w:t>
      </w:r>
    </w:p>
    <w:p w:rsidR="00F3628C" w:rsidRDefault="00F3628C" w:rsidP="009B38B1">
      <w:pPr>
        <w:spacing w:line="360" w:lineRule="auto"/>
        <w:jc w:val="both"/>
        <w:rPr>
          <w:rFonts w:ascii="Arial" w:hAnsi="Arial" w:cs="Arial"/>
          <w:b/>
          <w:sz w:val="24"/>
          <w:szCs w:val="24"/>
        </w:rPr>
      </w:pPr>
    </w:p>
    <w:p w:rsidR="00F3628C" w:rsidRDefault="00F3628C" w:rsidP="009B38B1">
      <w:pPr>
        <w:spacing w:line="360" w:lineRule="auto"/>
        <w:jc w:val="both"/>
        <w:rPr>
          <w:rFonts w:ascii="Arial" w:hAnsi="Arial" w:cs="Arial"/>
          <w:b/>
          <w:sz w:val="24"/>
          <w:szCs w:val="24"/>
        </w:rPr>
      </w:pPr>
    </w:p>
    <w:p w:rsidR="009D6C3C" w:rsidRPr="009D6C3C" w:rsidRDefault="009D6C3C" w:rsidP="009B38B1">
      <w:pPr>
        <w:spacing w:line="360" w:lineRule="auto"/>
        <w:jc w:val="both"/>
        <w:rPr>
          <w:rFonts w:ascii="Arial" w:hAnsi="Arial" w:cs="Arial"/>
          <w:b/>
          <w:sz w:val="24"/>
          <w:szCs w:val="24"/>
        </w:rPr>
      </w:pPr>
      <w:r w:rsidRPr="009D6C3C">
        <w:rPr>
          <w:rFonts w:ascii="Arial" w:hAnsi="Arial" w:cs="Arial"/>
          <w:b/>
          <w:sz w:val="24"/>
          <w:szCs w:val="24"/>
        </w:rPr>
        <w:lastRenderedPageBreak/>
        <w:t>ORDER</w:t>
      </w:r>
    </w:p>
    <w:p w:rsidR="009D6C3C" w:rsidRDefault="0051521C" w:rsidP="009B38B1">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D6C3C">
        <w:rPr>
          <w:rFonts w:ascii="Arial" w:hAnsi="Arial" w:cs="Arial"/>
          <w:sz w:val="24"/>
          <w:szCs w:val="24"/>
        </w:rPr>
        <w:t>Consequently, the application for leave to appeal is dismissed with costs.</w:t>
      </w:r>
    </w:p>
    <w:p w:rsidR="007362FF" w:rsidRDefault="007362FF" w:rsidP="009B38B1">
      <w:pPr>
        <w:spacing w:line="360" w:lineRule="auto"/>
        <w:jc w:val="both"/>
        <w:rPr>
          <w:rFonts w:ascii="Arial" w:hAnsi="Arial" w:cs="Arial"/>
          <w:sz w:val="24"/>
          <w:szCs w:val="24"/>
        </w:rPr>
      </w:pPr>
    </w:p>
    <w:p w:rsidR="007362FF" w:rsidRDefault="007362FF" w:rsidP="007362FF">
      <w:pPr>
        <w:spacing w:line="360" w:lineRule="auto"/>
        <w:jc w:val="both"/>
        <w:rPr>
          <w:rFonts w:ascii="Arial" w:hAnsi="Arial" w:cs="Arial"/>
          <w:color w:val="242121"/>
          <w:sz w:val="24"/>
          <w:szCs w:val="24"/>
          <w:shd w:val="clear" w:color="auto" w:fill="FFFFFF"/>
        </w:rPr>
      </w:pPr>
    </w:p>
    <w:p w:rsidR="007362FF" w:rsidRDefault="007362FF" w:rsidP="007362FF">
      <w:pPr>
        <w:spacing w:line="360" w:lineRule="auto"/>
        <w:jc w:val="both"/>
        <w:rPr>
          <w:rFonts w:ascii="Arial" w:hAnsi="Arial" w:cs="Arial"/>
          <w:color w:val="242121"/>
          <w:sz w:val="24"/>
          <w:szCs w:val="24"/>
          <w:shd w:val="clear" w:color="auto" w:fill="FFFFFF"/>
        </w:rPr>
      </w:pPr>
    </w:p>
    <w:p w:rsidR="007362FF" w:rsidRPr="0042321E" w:rsidRDefault="007362FF" w:rsidP="007362FF">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7362FF" w:rsidRPr="0042321E" w:rsidRDefault="007362FF" w:rsidP="007362FF">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7362FF" w:rsidRPr="0042321E" w:rsidRDefault="007362FF" w:rsidP="007362FF">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7362FF" w:rsidRPr="00C953E8" w:rsidRDefault="007362FF" w:rsidP="007362FF">
      <w:pPr>
        <w:spacing w:line="240" w:lineRule="auto"/>
        <w:jc w:val="right"/>
        <w:rPr>
          <w:rFonts w:ascii="Segoe UI" w:hAnsi="Segoe UI" w:cs="Segoe UI"/>
          <w:b/>
          <w:sz w:val="24"/>
          <w:szCs w:val="24"/>
        </w:rPr>
      </w:pPr>
      <w:r w:rsidRPr="0042321E">
        <w:rPr>
          <w:rFonts w:ascii="Segoe UI" w:hAnsi="Segoe UI" w:cs="Segoe UI"/>
          <w:b/>
          <w:sz w:val="24"/>
          <w:szCs w:val="24"/>
        </w:rPr>
        <w:t>GAUTENG DIVISION, PRETORIA</w:t>
      </w:r>
    </w:p>
    <w:p w:rsidR="007362FF" w:rsidRDefault="007362FF" w:rsidP="007362FF">
      <w:pPr>
        <w:spacing w:line="240" w:lineRule="auto"/>
        <w:jc w:val="both"/>
        <w:rPr>
          <w:rFonts w:ascii="Arial" w:hAnsi="Arial" w:cs="Arial"/>
          <w:color w:val="000000"/>
          <w:sz w:val="24"/>
          <w:szCs w:val="24"/>
          <w:u w:val="single"/>
        </w:rPr>
      </w:pPr>
    </w:p>
    <w:p w:rsidR="007362FF" w:rsidRDefault="007362FF" w:rsidP="007362FF">
      <w:pPr>
        <w:spacing w:line="240" w:lineRule="auto"/>
        <w:jc w:val="both"/>
        <w:rPr>
          <w:rFonts w:ascii="Arial" w:hAnsi="Arial" w:cs="Arial"/>
          <w:color w:val="000000"/>
          <w:sz w:val="24"/>
          <w:szCs w:val="24"/>
          <w:u w:val="single"/>
        </w:rPr>
      </w:pPr>
    </w:p>
    <w:p w:rsidR="007362FF" w:rsidRDefault="007362FF" w:rsidP="007362FF">
      <w:pPr>
        <w:spacing w:line="360" w:lineRule="auto"/>
        <w:jc w:val="both"/>
        <w:rPr>
          <w:rFonts w:ascii="Arial" w:hAnsi="Arial" w:cs="Arial"/>
          <w:color w:val="000000"/>
          <w:sz w:val="24"/>
          <w:szCs w:val="24"/>
          <w:u w:val="single"/>
        </w:rPr>
      </w:pPr>
      <w:r w:rsidRPr="0076605C">
        <w:rPr>
          <w:rFonts w:ascii="Arial" w:hAnsi="Arial" w:cs="Arial"/>
          <w:b/>
          <w:color w:val="000000"/>
          <w:sz w:val="24"/>
          <w:szCs w:val="24"/>
        </w:rPr>
        <w:t>Delivered</w:t>
      </w:r>
      <w:r w:rsidRPr="0076605C">
        <w:rPr>
          <w:rFonts w:ascii="Arial" w:hAnsi="Arial" w:cs="Arial"/>
          <w:color w:val="000000"/>
          <w:sz w:val="24"/>
          <w:szCs w:val="24"/>
        </w:rPr>
        <w:t xml:space="preserve">:  </w:t>
      </w:r>
      <w:r w:rsidRPr="0076605C">
        <w:rPr>
          <w:rFonts w:ascii="Arial" w:hAnsi="Arial" w:cs="Arial"/>
          <w:color w:val="000000"/>
          <w:sz w:val="24"/>
          <w:szCs w:val="24"/>
        </w:rPr>
        <w:tab/>
        <w:t xml:space="preserve">This judgment was handed down electronically by circulation to the parties’ legal representatives by e-mail. The date and time for hand-down is deemed to be 10h00 on </w:t>
      </w:r>
      <w:r w:rsidR="00E72C0D">
        <w:rPr>
          <w:rFonts w:ascii="Arial" w:hAnsi="Arial" w:cs="Arial"/>
          <w:color w:val="000000"/>
          <w:sz w:val="24"/>
          <w:szCs w:val="24"/>
        </w:rPr>
        <w:t>01 June</w:t>
      </w:r>
      <w:r w:rsidR="00D11E5F">
        <w:rPr>
          <w:rFonts w:ascii="Arial" w:hAnsi="Arial" w:cs="Arial"/>
          <w:color w:val="000000"/>
          <w:sz w:val="24"/>
          <w:szCs w:val="24"/>
        </w:rPr>
        <w:t xml:space="preserve"> 2023</w:t>
      </w:r>
      <w:r w:rsidRPr="0076605C">
        <w:rPr>
          <w:rFonts w:ascii="Arial" w:hAnsi="Arial" w:cs="Arial"/>
          <w:color w:val="000000"/>
          <w:sz w:val="24"/>
          <w:szCs w:val="24"/>
        </w:rPr>
        <w:t>.</w:t>
      </w:r>
    </w:p>
    <w:p w:rsidR="007362FF" w:rsidRDefault="007362FF" w:rsidP="007362FF">
      <w:pPr>
        <w:spacing w:line="240" w:lineRule="auto"/>
        <w:jc w:val="both"/>
        <w:rPr>
          <w:rFonts w:ascii="Arial" w:hAnsi="Arial" w:cs="Arial"/>
          <w:color w:val="000000"/>
          <w:sz w:val="24"/>
          <w:szCs w:val="24"/>
          <w:u w:val="single"/>
        </w:rPr>
      </w:pPr>
    </w:p>
    <w:p w:rsidR="007362FF" w:rsidRDefault="007362FF" w:rsidP="007362FF">
      <w:pPr>
        <w:spacing w:line="240" w:lineRule="auto"/>
        <w:jc w:val="both"/>
        <w:rPr>
          <w:rFonts w:ascii="Arial" w:hAnsi="Arial" w:cs="Arial"/>
          <w:color w:val="000000"/>
          <w:sz w:val="24"/>
          <w:szCs w:val="24"/>
          <w:u w:val="single"/>
        </w:rPr>
      </w:pPr>
    </w:p>
    <w:p w:rsidR="007362FF" w:rsidRDefault="007362FF" w:rsidP="007362FF">
      <w:pPr>
        <w:spacing w:line="240" w:lineRule="auto"/>
        <w:jc w:val="both"/>
        <w:rPr>
          <w:rFonts w:ascii="Arial" w:hAnsi="Arial" w:cs="Arial"/>
          <w:color w:val="000000"/>
          <w:sz w:val="24"/>
          <w:szCs w:val="24"/>
          <w:u w:val="single"/>
        </w:rPr>
      </w:pPr>
    </w:p>
    <w:p w:rsidR="007362FF" w:rsidRDefault="007362FF" w:rsidP="007362FF">
      <w:pPr>
        <w:spacing w:line="240" w:lineRule="auto"/>
        <w:jc w:val="both"/>
        <w:rPr>
          <w:rFonts w:ascii="Arial" w:hAnsi="Arial" w:cs="Arial"/>
          <w:color w:val="000000"/>
          <w:sz w:val="24"/>
          <w:szCs w:val="24"/>
        </w:rPr>
      </w:pPr>
      <w:r w:rsidRPr="0076605C">
        <w:rPr>
          <w:rFonts w:ascii="Arial" w:hAnsi="Arial" w:cs="Arial"/>
          <w:b/>
          <w:color w:val="000000"/>
          <w:sz w:val="24"/>
          <w:szCs w:val="24"/>
          <w:u w:val="single"/>
        </w:rPr>
        <w:t>APPEARANCES</w:t>
      </w:r>
      <w:r w:rsidRPr="005733DB">
        <w:rPr>
          <w:rFonts w:ascii="Arial" w:hAnsi="Arial" w:cs="Arial"/>
          <w:color w:val="000000"/>
          <w:sz w:val="24"/>
          <w:szCs w:val="24"/>
        </w:rPr>
        <w:t>:</w:t>
      </w:r>
    </w:p>
    <w:p w:rsidR="007362FF" w:rsidRPr="005733DB" w:rsidRDefault="007362FF" w:rsidP="007362FF">
      <w:pPr>
        <w:spacing w:line="240" w:lineRule="auto"/>
        <w:jc w:val="both"/>
        <w:rPr>
          <w:rFonts w:ascii="Arial" w:hAnsi="Arial" w:cs="Arial"/>
          <w:color w:val="000000"/>
          <w:sz w:val="24"/>
          <w:szCs w:val="24"/>
        </w:rPr>
      </w:pPr>
    </w:p>
    <w:p w:rsidR="007362FF" w:rsidRDefault="007362FF" w:rsidP="007362FF">
      <w:pPr>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Pr>
          <w:rFonts w:ascii="Arial" w:hAnsi="Arial" w:cs="Arial"/>
          <w:sz w:val="24"/>
          <w:szCs w:val="24"/>
        </w:rPr>
        <w:tab/>
      </w:r>
      <w:r>
        <w:rPr>
          <w:rFonts w:ascii="Arial" w:hAnsi="Arial" w:cs="Arial"/>
          <w:sz w:val="24"/>
          <w:szCs w:val="24"/>
        </w:rPr>
        <w:tab/>
      </w:r>
      <w:r w:rsidR="00F3628C">
        <w:rPr>
          <w:rFonts w:ascii="Arial" w:hAnsi="Arial" w:cs="Arial"/>
          <w:sz w:val="24"/>
          <w:szCs w:val="24"/>
        </w:rPr>
        <w:tab/>
      </w:r>
      <w:r>
        <w:rPr>
          <w:rFonts w:ascii="Arial" w:hAnsi="Arial" w:cs="Arial"/>
          <w:sz w:val="24"/>
          <w:szCs w:val="24"/>
        </w:rPr>
        <w:t>ADV. E LABUSCHAGNE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V MABUZA</w:t>
      </w:r>
    </w:p>
    <w:p w:rsidR="007362FF" w:rsidRDefault="007362FF" w:rsidP="007362FF">
      <w:pPr>
        <w:spacing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r>
      <w:r>
        <w:rPr>
          <w:rFonts w:ascii="Arial" w:hAnsi="Arial" w:cs="Arial"/>
          <w:sz w:val="24"/>
          <w:szCs w:val="24"/>
        </w:rPr>
        <w:tab/>
      </w:r>
      <w:r w:rsidR="00F3628C">
        <w:rPr>
          <w:rFonts w:ascii="Arial" w:hAnsi="Arial" w:cs="Arial"/>
          <w:sz w:val="24"/>
          <w:szCs w:val="24"/>
        </w:rPr>
        <w:tab/>
      </w:r>
      <w:r>
        <w:rPr>
          <w:rFonts w:ascii="Arial" w:hAnsi="Arial" w:cs="Arial"/>
          <w:sz w:val="24"/>
          <w:szCs w:val="24"/>
        </w:rPr>
        <w:t>MALUKS ATTORNEYS</w:t>
      </w:r>
    </w:p>
    <w:p w:rsidR="007362FF" w:rsidRDefault="007362FF" w:rsidP="007362FF">
      <w:pPr>
        <w:spacing w:line="360" w:lineRule="auto"/>
        <w:jc w:val="both"/>
        <w:rPr>
          <w:rFonts w:ascii="Arial" w:hAnsi="Arial" w:cs="Arial"/>
          <w:sz w:val="24"/>
          <w:szCs w:val="24"/>
        </w:rPr>
      </w:pPr>
      <w:r>
        <w:rPr>
          <w:rFonts w:ascii="Arial" w:hAnsi="Arial" w:cs="Arial"/>
          <w:sz w:val="24"/>
          <w:szCs w:val="24"/>
        </w:rPr>
        <w:t xml:space="preserve">FIRST RESPONDENT’S COUNSEL: </w:t>
      </w:r>
      <w:r>
        <w:rPr>
          <w:rFonts w:ascii="Arial" w:hAnsi="Arial" w:cs="Arial"/>
          <w:sz w:val="24"/>
          <w:szCs w:val="24"/>
        </w:rPr>
        <w:tab/>
      </w:r>
      <w:r w:rsidR="00F3628C">
        <w:rPr>
          <w:rFonts w:ascii="Arial" w:hAnsi="Arial" w:cs="Arial"/>
          <w:sz w:val="24"/>
          <w:szCs w:val="24"/>
        </w:rPr>
        <w:tab/>
      </w:r>
      <w:r>
        <w:rPr>
          <w:rFonts w:ascii="Arial" w:hAnsi="Arial" w:cs="Arial"/>
          <w:sz w:val="24"/>
          <w:szCs w:val="24"/>
        </w:rPr>
        <w:t>ADV. MOKOENA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N MAYET</w:t>
      </w:r>
    </w:p>
    <w:p w:rsidR="007362FF" w:rsidRDefault="007362FF" w:rsidP="007362FF">
      <w:pPr>
        <w:spacing w:line="360" w:lineRule="auto"/>
        <w:jc w:val="both"/>
        <w:rPr>
          <w:rFonts w:ascii="Arial" w:hAnsi="Arial" w:cs="Arial"/>
          <w:sz w:val="24"/>
          <w:szCs w:val="24"/>
        </w:rPr>
      </w:pPr>
      <w:r>
        <w:rPr>
          <w:rFonts w:ascii="Arial" w:hAnsi="Arial" w:cs="Arial"/>
          <w:sz w:val="24"/>
          <w:szCs w:val="24"/>
        </w:rPr>
        <w:t>FIRST RESPONDENT’S ATTORNEYS:</w:t>
      </w:r>
      <w:r>
        <w:rPr>
          <w:rFonts w:ascii="Arial" w:hAnsi="Arial" w:cs="Arial"/>
          <w:sz w:val="24"/>
          <w:szCs w:val="24"/>
        </w:rPr>
        <w:tab/>
      </w:r>
      <w:r w:rsidR="00F3628C">
        <w:rPr>
          <w:rFonts w:ascii="Arial" w:hAnsi="Arial" w:cs="Arial"/>
          <w:sz w:val="24"/>
          <w:szCs w:val="24"/>
        </w:rPr>
        <w:tab/>
      </w:r>
      <w:r>
        <w:rPr>
          <w:rFonts w:ascii="Arial" w:hAnsi="Arial" w:cs="Arial"/>
          <w:sz w:val="24"/>
          <w:szCs w:val="24"/>
        </w:rPr>
        <w:t>STATE ATTORNEY</w:t>
      </w:r>
    </w:p>
    <w:p w:rsidR="007362FF" w:rsidRDefault="007362FF" w:rsidP="007362FF">
      <w:pPr>
        <w:spacing w:line="360" w:lineRule="auto"/>
        <w:jc w:val="both"/>
        <w:rPr>
          <w:rFonts w:ascii="Arial" w:hAnsi="Arial" w:cs="Arial"/>
          <w:sz w:val="24"/>
          <w:szCs w:val="24"/>
        </w:rPr>
      </w:pPr>
      <w:r>
        <w:rPr>
          <w:rFonts w:ascii="Arial" w:hAnsi="Arial" w:cs="Arial"/>
          <w:sz w:val="24"/>
          <w:szCs w:val="24"/>
        </w:rPr>
        <w:t>THIRD RESPONDENT’S COUNSEL:</w:t>
      </w:r>
      <w:r>
        <w:rPr>
          <w:rFonts w:ascii="Arial" w:hAnsi="Arial" w:cs="Arial"/>
          <w:sz w:val="24"/>
          <w:szCs w:val="24"/>
        </w:rPr>
        <w:tab/>
      </w:r>
      <w:r w:rsidR="00F3628C">
        <w:rPr>
          <w:rFonts w:ascii="Arial" w:hAnsi="Arial" w:cs="Arial"/>
          <w:sz w:val="24"/>
          <w:szCs w:val="24"/>
        </w:rPr>
        <w:tab/>
      </w:r>
      <w:r>
        <w:rPr>
          <w:rFonts w:ascii="Arial" w:hAnsi="Arial" w:cs="Arial"/>
          <w:sz w:val="24"/>
          <w:szCs w:val="24"/>
        </w:rPr>
        <w:t>ADV. PD HEMRAJ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GP SELEKA</w:t>
      </w:r>
    </w:p>
    <w:p w:rsidR="007362FF" w:rsidRPr="009B38B1" w:rsidRDefault="007362FF" w:rsidP="009B38B1">
      <w:pPr>
        <w:spacing w:line="360" w:lineRule="auto"/>
        <w:jc w:val="both"/>
        <w:rPr>
          <w:rFonts w:ascii="Arial" w:hAnsi="Arial" w:cs="Arial"/>
          <w:sz w:val="24"/>
          <w:szCs w:val="24"/>
        </w:rPr>
      </w:pPr>
      <w:r>
        <w:rPr>
          <w:rFonts w:ascii="Arial" w:hAnsi="Arial" w:cs="Arial"/>
          <w:sz w:val="24"/>
          <w:szCs w:val="24"/>
        </w:rPr>
        <w:t>THIRD RESPONDENT’S ATTORNEYS:</w:t>
      </w:r>
      <w:r>
        <w:rPr>
          <w:rFonts w:ascii="Arial" w:hAnsi="Arial" w:cs="Arial"/>
          <w:sz w:val="24"/>
          <w:szCs w:val="24"/>
        </w:rPr>
        <w:tab/>
      </w:r>
      <w:r w:rsidR="00F3628C">
        <w:rPr>
          <w:rFonts w:ascii="Arial" w:hAnsi="Arial" w:cs="Arial"/>
          <w:sz w:val="24"/>
          <w:szCs w:val="24"/>
        </w:rPr>
        <w:tab/>
      </w:r>
      <w:r>
        <w:rPr>
          <w:rFonts w:ascii="Arial" w:hAnsi="Arial" w:cs="Arial"/>
          <w:sz w:val="24"/>
          <w:szCs w:val="24"/>
        </w:rPr>
        <w:t>STATE ATTORNEY</w:t>
      </w:r>
    </w:p>
    <w:sectPr w:rsidR="007362FF" w:rsidRPr="009B38B1" w:rsidSect="006671D1">
      <w:footerReference w:type="default" r:id="rId10"/>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5A" w:rsidRDefault="001E615A" w:rsidP="00C540A1">
      <w:pPr>
        <w:spacing w:after="0" w:line="240" w:lineRule="auto"/>
      </w:pPr>
      <w:r>
        <w:separator/>
      </w:r>
    </w:p>
  </w:endnote>
  <w:endnote w:type="continuationSeparator" w:id="0">
    <w:p w:rsidR="001E615A" w:rsidRDefault="001E615A" w:rsidP="00C5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52623"/>
      <w:docPartObj>
        <w:docPartGallery w:val="Page Numbers (Bottom of Page)"/>
        <w:docPartUnique/>
      </w:docPartObj>
    </w:sdtPr>
    <w:sdtEndPr>
      <w:rPr>
        <w:noProof/>
      </w:rPr>
    </w:sdtEndPr>
    <w:sdtContent>
      <w:p w:rsidR="00F3628C" w:rsidRDefault="00F3628C">
        <w:pPr>
          <w:pStyle w:val="Footer"/>
          <w:jc w:val="center"/>
        </w:pPr>
        <w:r>
          <w:fldChar w:fldCharType="begin"/>
        </w:r>
        <w:r>
          <w:instrText xml:space="preserve"> PAGE   \* MERGEFORMAT </w:instrText>
        </w:r>
        <w:r>
          <w:fldChar w:fldCharType="separate"/>
        </w:r>
        <w:r w:rsidR="00AA49AB">
          <w:rPr>
            <w:noProof/>
          </w:rPr>
          <w:t>2</w:t>
        </w:r>
        <w:r>
          <w:rPr>
            <w:noProof/>
          </w:rPr>
          <w:fldChar w:fldCharType="end"/>
        </w:r>
      </w:p>
    </w:sdtContent>
  </w:sdt>
  <w:p w:rsidR="00F3628C" w:rsidRDefault="00F3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5A" w:rsidRDefault="001E615A" w:rsidP="00C540A1">
      <w:pPr>
        <w:spacing w:after="0" w:line="240" w:lineRule="auto"/>
      </w:pPr>
      <w:r>
        <w:separator/>
      </w:r>
    </w:p>
  </w:footnote>
  <w:footnote w:type="continuationSeparator" w:id="0">
    <w:p w:rsidR="001E615A" w:rsidRDefault="001E615A" w:rsidP="00C540A1">
      <w:pPr>
        <w:spacing w:after="0" w:line="240" w:lineRule="auto"/>
      </w:pPr>
      <w:r>
        <w:continuationSeparator/>
      </w:r>
    </w:p>
  </w:footnote>
  <w:footnote w:id="1">
    <w:p w:rsidR="009B6DF4" w:rsidRDefault="009B6DF4">
      <w:pPr>
        <w:pStyle w:val="FootnoteText"/>
      </w:pPr>
      <w:r>
        <w:rPr>
          <w:rStyle w:val="FootnoteReference"/>
        </w:rPr>
        <w:footnoteRef/>
      </w:r>
      <w:r>
        <w:t xml:space="preserve">  Act No. 53 of 2003.</w:t>
      </w:r>
    </w:p>
  </w:footnote>
  <w:footnote w:id="2">
    <w:p w:rsidR="009B6DF4" w:rsidRDefault="009B6DF4">
      <w:pPr>
        <w:pStyle w:val="FootnoteText"/>
      </w:pPr>
      <w:r>
        <w:rPr>
          <w:rStyle w:val="FootnoteReference"/>
        </w:rPr>
        <w:footnoteRef/>
      </w:r>
      <w:r>
        <w:t xml:space="preserve">  Act No. 94 of 1990.</w:t>
      </w:r>
    </w:p>
  </w:footnote>
  <w:footnote w:id="3">
    <w:p w:rsidR="009B6DF4" w:rsidRDefault="009B6DF4">
      <w:pPr>
        <w:pStyle w:val="FootnoteText"/>
      </w:pPr>
      <w:r>
        <w:rPr>
          <w:rStyle w:val="FootnoteReference"/>
        </w:rPr>
        <w:footnoteRef/>
      </w:r>
      <w:r>
        <w:t xml:space="preserve">  Act No. 10 of 2013.</w:t>
      </w:r>
    </w:p>
  </w:footnote>
  <w:footnote w:id="4">
    <w:p w:rsidR="00C540A1" w:rsidRDefault="00C540A1" w:rsidP="00C540A1">
      <w:pPr>
        <w:pStyle w:val="FootnoteText"/>
      </w:pPr>
      <w:r>
        <w:rPr>
          <w:rStyle w:val="FootnoteReference"/>
        </w:rPr>
        <w:footnoteRef/>
      </w:r>
      <w:r>
        <w:t xml:space="preserve">  Act No </w:t>
      </w:r>
      <w:r w:rsidRPr="00D2480D">
        <w:rPr>
          <w:rFonts w:cstheme="minorHAnsi"/>
          <w:color w:val="000000"/>
        </w:rPr>
        <w:t>121 of 1998</w:t>
      </w:r>
      <w:r>
        <w:rPr>
          <w:rFonts w:cstheme="minorHAnsi"/>
          <w:color w:val="000000"/>
        </w:rPr>
        <w:t>.</w:t>
      </w:r>
    </w:p>
  </w:footnote>
  <w:footnote w:id="5">
    <w:p w:rsidR="00C540A1" w:rsidRDefault="00C540A1" w:rsidP="00C540A1">
      <w:pPr>
        <w:pStyle w:val="FootnoteText"/>
      </w:pPr>
      <w:r>
        <w:rPr>
          <w:rStyle w:val="FootnoteReference"/>
        </w:rPr>
        <w:footnoteRef/>
      </w:r>
      <w:r>
        <w:t xml:space="preserve">  Act No </w:t>
      </w:r>
      <w:r w:rsidRPr="00D2480D">
        <w:rPr>
          <w:rFonts w:cstheme="minorHAnsi"/>
          <w:color w:val="000000"/>
        </w:rPr>
        <w:t>12 of 2004</w:t>
      </w:r>
      <w:r>
        <w:rPr>
          <w:rFonts w:cstheme="minorHAnsi"/>
          <w:color w:val="000000"/>
        </w:rPr>
        <w:t>.</w:t>
      </w:r>
    </w:p>
  </w:footnote>
  <w:footnote w:id="6">
    <w:p w:rsidR="001D32CC" w:rsidRDefault="001D32CC">
      <w:pPr>
        <w:pStyle w:val="FootnoteText"/>
      </w:pPr>
      <w:r>
        <w:rPr>
          <w:rStyle w:val="FootnoteReference"/>
        </w:rPr>
        <w:footnoteRef/>
      </w:r>
      <w:r>
        <w:t xml:space="preserve">  </w:t>
      </w:r>
      <w:r w:rsidR="00AB5944">
        <w:t xml:space="preserve"> </w:t>
      </w:r>
      <w:r w:rsidR="00AB5944" w:rsidRPr="00AB5944">
        <w:rPr>
          <w:rFonts w:cstheme="minorHAnsi"/>
          <w:color w:val="000000"/>
        </w:rPr>
        <w:t>Oudekraal Estate (Pty) Ltd v City of Cape Town and Others.</w:t>
      </w:r>
    </w:p>
  </w:footnote>
  <w:footnote w:id="7">
    <w:p w:rsidR="00AB5944" w:rsidRPr="00AB5944" w:rsidRDefault="00AB5944" w:rsidP="00AB5944">
      <w:pPr>
        <w:spacing w:after="0" w:line="240" w:lineRule="auto"/>
        <w:jc w:val="both"/>
        <w:rPr>
          <w:rFonts w:cstheme="minorHAnsi"/>
          <w:color w:val="000000"/>
          <w:sz w:val="20"/>
          <w:szCs w:val="20"/>
        </w:rPr>
      </w:pPr>
      <w:r>
        <w:rPr>
          <w:rStyle w:val="FootnoteReference"/>
        </w:rPr>
        <w:footnoteRef/>
      </w:r>
      <w:r>
        <w:t xml:space="preserve">  </w:t>
      </w:r>
      <w:r w:rsidRPr="00AB5944">
        <w:rPr>
          <w:rFonts w:eastAsia="Times New Roman" w:cstheme="minorHAnsi"/>
          <w:sz w:val="20"/>
          <w:szCs w:val="20"/>
          <w:lang w:eastAsia="en-ZA"/>
        </w:rPr>
        <w:t xml:space="preserve">Biowatch Trust v Registrar Genetic Resources and Others 2009 (6) SA 232 (CC). </w:t>
      </w:r>
    </w:p>
  </w:footnote>
  <w:footnote w:id="8">
    <w:p w:rsidR="00AB5944" w:rsidRDefault="00AB5944">
      <w:pPr>
        <w:pStyle w:val="FootnoteText"/>
      </w:pPr>
      <w:r>
        <w:rPr>
          <w:rStyle w:val="FootnoteReference"/>
        </w:rPr>
        <w:footnoteRef/>
      </w:r>
      <w:r>
        <w:t xml:space="preserve">  Act No. 3 of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39"/>
    <w:rsid w:val="001C4BE6"/>
    <w:rsid w:val="001D32CC"/>
    <w:rsid w:val="001E615A"/>
    <w:rsid w:val="00243972"/>
    <w:rsid w:val="00251D65"/>
    <w:rsid w:val="00321B9C"/>
    <w:rsid w:val="00371F5A"/>
    <w:rsid w:val="003D5D62"/>
    <w:rsid w:val="003F3B2A"/>
    <w:rsid w:val="004204AA"/>
    <w:rsid w:val="00421AFB"/>
    <w:rsid w:val="0042258F"/>
    <w:rsid w:val="00436B2C"/>
    <w:rsid w:val="004E237D"/>
    <w:rsid w:val="0051521C"/>
    <w:rsid w:val="006026A1"/>
    <w:rsid w:val="00650688"/>
    <w:rsid w:val="006671D1"/>
    <w:rsid w:val="00683EA5"/>
    <w:rsid w:val="00700A1D"/>
    <w:rsid w:val="007362FF"/>
    <w:rsid w:val="007550B7"/>
    <w:rsid w:val="007945D4"/>
    <w:rsid w:val="007D2C42"/>
    <w:rsid w:val="008116B9"/>
    <w:rsid w:val="00855E75"/>
    <w:rsid w:val="00892CD5"/>
    <w:rsid w:val="00951124"/>
    <w:rsid w:val="009518EE"/>
    <w:rsid w:val="00953F60"/>
    <w:rsid w:val="009B38B1"/>
    <w:rsid w:val="009B6DF4"/>
    <w:rsid w:val="009D6C3C"/>
    <w:rsid w:val="00AA49AB"/>
    <w:rsid w:val="00AA5C5D"/>
    <w:rsid w:val="00AB5944"/>
    <w:rsid w:val="00C2087B"/>
    <w:rsid w:val="00C20A04"/>
    <w:rsid w:val="00C540A1"/>
    <w:rsid w:val="00C95CD1"/>
    <w:rsid w:val="00D11E5F"/>
    <w:rsid w:val="00E04E07"/>
    <w:rsid w:val="00E23138"/>
    <w:rsid w:val="00E72C0D"/>
    <w:rsid w:val="00EF5E84"/>
    <w:rsid w:val="00F3628C"/>
    <w:rsid w:val="00FC0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1EB65-CE31-4E69-8F47-C8D3167A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4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0A1"/>
    <w:rPr>
      <w:sz w:val="20"/>
      <w:szCs w:val="20"/>
    </w:rPr>
  </w:style>
  <w:style w:type="character" w:styleId="FootnoteReference">
    <w:name w:val="footnote reference"/>
    <w:basedOn w:val="DefaultParagraphFont"/>
    <w:uiPriority w:val="99"/>
    <w:semiHidden/>
    <w:unhideWhenUsed/>
    <w:rsid w:val="00C540A1"/>
    <w:rPr>
      <w:vertAlign w:val="superscript"/>
    </w:rPr>
  </w:style>
  <w:style w:type="paragraph" w:styleId="NormalWeb">
    <w:name w:val="Normal (Web)"/>
    <w:basedOn w:val="Normal"/>
    <w:uiPriority w:val="99"/>
    <w:unhideWhenUsed/>
    <w:rsid w:val="0024397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F36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8C"/>
  </w:style>
  <w:style w:type="paragraph" w:styleId="Footer">
    <w:name w:val="footer"/>
    <w:basedOn w:val="Normal"/>
    <w:link w:val="FooterChar"/>
    <w:uiPriority w:val="99"/>
    <w:unhideWhenUsed/>
    <w:rsid w:val="00F3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365C-162A-4737-BB64-A0116A39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2023-05-31T11:49:00Z</cp:lastPrinted>
  <dcterms:created xsi:type="dcterms:W3CDTF">2023-06-02T10:51:00Z</dcterms:created>
  <dcterms:modified xsi:type="dcterms:W3CDTF">2023-06-02T10:51:00Z</dcterms:modified>
</cp:coreProperties>
</file>