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04FA4E" w14:textId="77777777" w:rsidR="007A78E0" w:rsidRPr="00AA66AF" w:rsidRDefault="00DC507E">
      <w:pPr>
        <w:pStyle w:val="BodyText"/>
        <w:ind w:left="3593"/>
        <w:rPr>
          <w:rFonts w:cs="Arial"/>
          <w:sz w:val="24"/>
          <w:szCs w:val="24"/>
          <w:lang w:val="en-GB"/>
        </w:rPr>
      </w:pPr>
      <w:r w:rsidRPr="00AA66AF">
        <w:rPr>
          <w:rFonts w:cs="Arial"/>
          <w:noProof/>
          <w:sz w:val="24"/>
          <w:szCs w:val="24"/>
        </w:rPr>
        <w:drawing>
          <wp:inline distT="0" distB="0" distL="0" distR="0" wp14:anchorId="7E1FB4F8" wp14:editId="216E859B">
            <wp:extent cx="1459324" cy="1453229"/>
            <wp:effectExtent l="0" t="0" r="0" b="0"/>
            <wp:docPr id="1" name="image1.jpeg" descr="A picture containing text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459324" cy="1453229"/>
                    </a:xfrm>
                    <a:prstGeom prst="rect">
                      <a:avLst/>
                    </a:prstGeom>
                  </pic:spPr>
                </pic:pic>
              </a:graphicData>
            </a:graphic>
          </wp:inline>
        </w:drawing>
      </w:r>
    </w:p>
    <w:p w14:paraId="7A0333A3" w14:textId="77777777" w:rsidR="007A78E0" w:rsidRPr="00AA66AF" w:rsidRDefault="007A78E0">
      <w:pPr>
        <w:pStyle w:val="BodyText"/>
        <w:spacing w:before="6"/>
        <w:rPr>
          <w:rFonts w:cs="Arial"/>
          <w:sz w:val="24"/>
          <w:szCs w:val="24"/>
          <w:lang w:val="en-GB"/>
        </w:rPr>
      </w:pPr>
    </w:p>
    <w:p w14:paraId="67E0E1FC" w14:textId="77777777" w:rsidR="007A78E0" w:rsidRPr="00AA66AF" w:rsidRDefault="00DC507E">
      <w:pPr>
        <w:spacing w:before="89" w:line="367" w:lineRule="auto"/>
        <w:ind w:left="2605" w:right="2366" w:hanging="524"/>
        <w:rPr>
          <w:rFonts w:cs="Arial"/>
          <w:b/>
          <w:szCs w:val="24"/>
          <w:lang w:val="en-GB"/>
        </w:rPr>
      </w:pPr>
      <w:r w:rsidRPr="00AA66AF">
        <w:rPr>
          <w:rFonts w:cs="Arial"/>
          <w:szCs w:val="24"/>
          <w:lang w:val="en-GB"/>
        </w:rPr>
        <w:t>I</w:t>
      </w:r>
      <w:r w:rsidRPr="00AA66AF">
        <w:rPr>
          <w:rFonts w:cs="Arial"/>
          <w:b/>
          <w:szCs w:val="24"/>
          <w:lang w:val="en-GB"/>
        </w:rPr>
        <w:t>N THE HIGH COURT OF SOUTH AFRICA</w:t>
      </w:r>
      <w:r w:rsidRPr="00AA66AF">
        <w:rPr>
          <w:rFonts w:cs="Arial"/>
          <w:b/>
          <w:spacing w:val="-62"/>
          <w:szCs w:val="24"/>
          <w:lang w:val="en-GB"/>
        </w:rPr>
        <w:t xml:space="preserve"> </w:t>
      </w:r>
      <w:r w:rsidRPr="00AA66AF">
        <w:rPr>
          <w:rFonts w:cs="Arial"/>
          <w:b/>
          <w:szCs w:val="24"/>
          <w:lang w:val="en-GB"/>
        </w:rPr>
        <w:t>GAUTENG</w:t>
      </w:r>
      <w:r w:rsidRPr="00AA66AF">
        <w:rPr>
          <w:rFonts w:cs="Arial"/>
          <w:b/>
          <w:spacing w:val="-2"/>
          <w:szCs w:val="24"/>
          <w:lang w:val="en-GB"/>
        </w:rPr>
        <w:t xml:space="preserve"> </w:t>
      </w:r>
      <w:r w:rsidRPr="00AA66AF">
        <w:rPr>
          <w:rFonts w:cs="Arial"/>
          <w:b/>
          <w:szCs w:val="24"/>
          <w:lang w:val="en-GB"/>
        </w:rPr>
        <w:t>DIVISION,</w:t>
      </w:r>
      <w:r w:rsidRPr="00AA66AF">
        <w:rPr>
          <w:rFonts w:cs="Arial"/>
          <w:b/>
          <w:spacing w:val="-1"/>
          <w:szCs w:val="24"/>
          <w:lang w:val="en-GB"/>
        </w:rPr>
        <w:t xml:space="preserve"> </w:t>
      </w:r>
      <w:r w:rsidRPr="00AA66AF">
        <w:rPr>
          <w:rFonts w:cs="Arial"/>
          <w:b/>
          <w:szCs w:val="24"/>
          <w:lang w:val="en-GB"/>
        </w:rPr>
        <w:t>PRETORIA</w:t>
      </w:r>
    </w:p>
    <w:p w14:paraId="394A5E6F" w14:textId="77777777" w:rsidR="007A78E0" w:rsidRPr="00AA66AF" w:rsidRDefault="007A78E0">
      <w:pPr>
        <w:pStyle w:val="BodyText"/>
        <w:rPr>
          <w:rFonts w:cs="Arial"/>
          <w:b/>
          <w:sz w:val="24"/>
          <w:szCs w:val="24"/>
          <w:lang w:val="en-GB"/>
        </w:rPr>
      </w:pPr>
    </w:p>
    <w:p w14:paraId="751592A6" w14:textId="77777777" w:rsidR="007A78E0" w:rsidRPr="00AA66AF" w:rsidRDefault="007A78E0">
      <w:pPr>
        <w:pStyle w:val="BodyText"/>
        <w:spacing w:before="1"/>
        <w:rPr>
          <w:rFonts w:cs="Arial"/>
          <w:b/>
          <w:sz w:val="24"/>
          <w:szCs w:val="24"/>
          <w:lang w:val="en-GB"/>
        </w:rPr>
      </w:pPr>
    </w:p>
    <w:p w14:paraId="2D5D436E" w14:textId="1DAEA3F6" w:rsidR="00D93A74" w:rsidRPr="00AA66AF" w:rsidRDefault="00DC507E">
      <w:pPr>
        <w:spacing w:line="298" w:lineRule="exact"/>
        <w:ind w:right="108"/>
        <w:jc w:val="right"/>
        <w:rPr>
          <w:rFonts w:cs="Arial"/>
          <w:b/>
          <w:szCs w:val="24"/>
          <w:lang w:val="en-GB"/>
        </w:rPr>
      </w:pPr>
      <w:r w:rsidRPr="00AA66AF">
        <w:rPr>
          <w:rFonts w:cs="Arial"/>
          <w:b/>
          <w:szCs w:val="24"/>
          <w:lang w:val="en-GB"/>
        </w:rPr>
        <w:t>CASE</w:t>
      </w:r>
      <w:r w:rsidRPr="00AA66AF">
        <w:rPr>
          <w:rFonts w:cs="Arial"/>
          <w:b/>
          <w:spacing w:val="-2"/>
          <w:szCs w:val="24"/>
          <w:lang w:val="en-GB"/>
        </w:rPr>
        <w:t xml:space="preserve"> </w:t>
      </w:r>
      <w:r w:rsidRPr="00AA66AF">
        <w:rPr>
          <w:rFonts w:cs="Arial"/>
          <w:b/>
          <w:szCs w:val="24"/>
          <w:lang w:val="en-GB"/>
        </w:rPr>
        <w:t>NO:</w:t>
      </w:r>
      <w:r w:rsidRPr="00AA66AF">
        <w:rPr>
          <w:rFonts w:cs="Arial"/>
          <w:b/>
          <w:spacing w:val="63"/>
          <w:szCs w:val="24"/>
          <w:lang w:val="en-GB"/>
        </w:rPr>
        <w:t xml:space="preserve"> </w:t>
      </w:r>
      <w:r w:rsidR="002C11BA" w:rsidRPr="00AA66AF">
        <w:rPr>
          <w:rFonts w:cs="Arial"/>
          <w:b/>
          <w:szCs w:val="24"/>
          <w:lang w:val="en-GB"/>
        </w:rPr>
        <w:t>20709/2022</w:t>
      </w:r>
    </w:p>
    <w:p w14:paraId="47B4DD7F" w14:textId="77777777" w:rsidR="007A78E0" w:rsidRPr="00AA66AF" w:rsidRDefault="007A78E0">
      <w:pPr>
        <w:pStyle w:val="BodyText"/>
        <w:rPr>
          <w:rFonts w:cs="Arial"/>
          <w:b/>
          <w:sz w:val="24"/>
          <w:szCs w:val="24"/>
          <w:lang w:val="en-GB"/>
        </w:rPr>
      </w:pPr>
    </w:p>
    <w:p w14:paraId="0D3F1CDC" w14:textId="4942EC14" w:rsidR="00991491" w:rsidRPr="00AA66AF" w:rsidRDefault="00991491">
      <w:pPr>
        <w:pStyle w:val="BodyText"/>
        <w:rPr>
          <w:rFonts w:cs="Arial"/>
          <w:b/>
          <w:sz w:val="24"/>
          <w:szCs w:val="24"/>
          <w:lang w:val="en-GB"/>
        </w:rPr>
      </w:pPr>
      <w:r w:rsidRPr="00AA66AF">
        <w:rPr>
          <w:rFonts w:ascii="Times New Roman" w:eastAsia="Calibri" w:hAnsi="Times New Roman"/>
          <w:noProof/>
        </w:rPr>
        <w:drawing>
          <wp:inline distT="0" distB="0" distL="0" distR="0" wp14:anchorId="27679209" wp14:editId="4B5A23C8">
            <wp:extent cx="2952750" cy="1581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2750" cy="1581150"/>
                    </a:xfrm>
                    <a:prstGeom prst="rect">
                      <a:avLst/>
                    </a:prstGeom>
                    <a:noFill/>
                  </pic:spPr>
                </pic:pic>
              </a:graphicData>
            </a:graphic>
          </wp:inline>
        </w:drawing>
      </w:r>
    </w:p>
    <w:p w14:paraId="410C96F1" w14:textId="77777777" w:rsidR="00991491" w:rsidRPr="00AA66AF" w:rsidRDefault="00991491">
      <w:pPr>
        <w:pStyle w:val="BodyText"/>
        <w:rPr>
          <w:rFonts w:cs="Arial"/>
          <w:b/>
          <w:sz w:val="24"/>
          <w:szCs w:val="24"/>
          <w:lang w:val="en-GB"/>
        </w:rPr>
      </w:pPr>
    </w:p>
    <w:p w14:paraId="237FA16B" w14:textId="77777777" w:rsidR="002C11BA" w:rsidRPr="00AA66AF" w:rsidRDefault="002C11BA">
      <w:pPr>
        <w:pStyle w:val="BodyText"/>
        <w:rPr>
          <w:rFonts w:cs="Arial"/>
          <w:bCs/>
          <w:sz w:val="24"/>
          <w:szCs w:val="24"/>
          <w:lang w:val="en-GB"/>
        </w:rPr>
      </w:pPr>
    </w:p>
    <w:p w14:paraId="096B80C7" w14:textId="6FC63F84" w:rsidR="00991491" w:rsidRPr="00AA66AF" w:rsidRDefault="002C11BA" w:rsidP="002C11BA">
      <w:pPr>
        <w:pStyle w:val="BodyText"/>
        <w:ind w:left="426"/>
        <w:rPr>
          <w:rFonts w:cs="Arial"/>
          <w:bCs/>
          <w:sz w:val="24"/>
          <w:szCs w:val="24"/>
          <w:lang w:val="en-GB"/>
        </w:rPr>
      </w:pPr>
      <w:r w:rsidRPr="00AA66AF">
        <w:rPr>
          <w:rFonts w:cs="Arial"/>
          <w:bCs/>
          <w:sz w:val="24"/>
          <w:szCs w:val="24"/>
          <w:lang w:val="en-GB"/>
        </w:rPr>
        <w:t>In the matter between:</w:t>
      </w:r>
    </w:p>
    <w:p w14:paraId="569402F8" w14:textId="77777777" w:rsidR="002C11BA" w:rsidRPr="00AA66AF" w:rsidRDefault="002C11BA" w:rsidP="002C11BA">
      <w:pPr>
        <w:pStyle w:val="BodyText"/>
        <w:ind w:left="426"/>
        <w:rPr>
          <w:rFonts w:cs="Arial"/>
          <w:bCs/>
          <w:sz w:val="24"/>
          <w:szCs w:val="24"/>
          <w:lang w:val="en-GB"/>
        </w:rPr>
      </w:pPr>
    </w:p>
    <w:p w14:paraId="00A22489" w14:textId="77777777" w:rsidR="007A78E0" w:rsidRPr="00AA66AF" w:rsidRDefault="007A78E0">
      <w:pPr>
        <w:pStyle w:val="BodyText"/>
        <w:rPr>
          <w:rFonts w:cs="Arial"/>
          <w:b/>
          <w:sz w:val="24"/>
          <w:szCs w:val="24"/>
          <w:lang w:val="en-GB"/>
        </w:rPr>
      </w:pP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gridCol w:w="2527"/>
      </w:tblGrid>
      <w:tr w:rsidR="00232F72" w:rsidRPr="00AA66AF" w14:paraId="60B7E919" w14:textId="77777777" w:rsidTr="003740BC">
        <w:tc>
          <w:tcPr>
            <w:tcW w:w="6804" w:type="dxa"/>
            <w:hideMark/>
          </w:tcPr>
          <w:p w14:paraId="6BF5618F" w14:textId="5DAADF0A" w:rsidR="002C11BA" w:rsidRPr="00AA66AF" w:rsidRDefault="003740BC" w:rsidP="002C11BA">
            <w:pPr>
              <w:spacing w:line="360" w:lineRule="auto"/>
              <w:ind w:left="181" w:right="163"/>
              <w:rPr>
                <w:rFonts w:cs="Arial"/>
                <w:b/>
                <w:szCs w:val="24"/>
              </w:rPr>
            </w:pPr>
            <w:r w:rsidRPr="00AA66AF">
              <w:rPr>
                <w:rFonts w:cs="Arial"/>
                <w:b/>
                <w:szCs w:val="24"/>
              </w:rPr>
              <w:t>KHATHUTSHELO NETHAVHANI</w:t>
            </w:r>
          </w:p>
          <w:p w14:paraId="3699A66A" w14:textId="3BA86E31" w:rsidR="00D93A74" w:rsidRPr="00AA66AF" w:rsidRDefault="00D93A74" w:rsidP="0090402C">
            <w:pPr>
              <w:spacing w:line="360" w:lineRule="auto"/>
              <w:ind w:left="181" w:right="163"/>
              <w:rPr>
                <w:rFonts w:cs="Arial"/>
                <w:bCs/>
                <w:szCs w:val="24"/>
              </w:rPr>
            </w:pPr>
          </w:p>
        </w:tc>
        <w:tc>
          <w:tcPr>
            <w:tcW w:w="2527" w:type="dxa"/>
            <w:hideMark/>
          </w:tcPr>
          <w:p w14:paraId="3F920ADF" w14:textId="6E8C266E" w:rsidR="00232F72" w:rsidRPr="00AA66AF" w:rsidRDefault="00232F72" w:rsidP="00036295">
            <w:pPr>
              <w:spacing w:line="360" w:lineRule="auto"/>
              <w:jc w:val="right"/>
              <w:rPr>
                <w:rFonts w:cs="Arial"/>
                <w:szCs w:val="24"/>
              </w:rPr>
            </w:pPr>
            <w:r w:rsidRPr="00AA66AF">
              <w:rPr>
                <w:rFonts w:cs="Arial"/>
                <w:szCs w:val="24"/>
              </w:rPr>
              <w:t>Applicant</w:t>
            </w:r>
          </w:p>
        </w:tc>
      </w:tr>
      <w:tr w:rsidR="00232F72" w:rsidRPr="00AA66AF" w14:paraId="10E2859B" w14:textId="77777777" w:rsidTr="003740BC">
        <w:tc>
          <w:tcPr>
            <w:tcW w:w="6804" w:type="dxa"/>
          </w:tcPr>
          <w:p w14:paraId="18D7C96E" w14:textId="77777777" w:rsidR="00232F72" w:rsidRPr="00AA66AF" w:rsidRDefault="00232F72" w:rsidP="0090402C">
            <w:pPr>
              <w:spacing w:line="360" w:lineRule="auto"/>
              <w:ind w:left="181" w:right="163"/>
              <w:rPr>
                <w:rFonts w:cs="Arial"/>
                <w:szCs w:val="24"/>
              </w:rPr>
            </w:pPr>
          </w:p>
        </w:tc>
        <w:tc>
          <w:tcPr>
            <w:tcW w:w="2527" w:type="dxa"/>
          </w:tcPr>
          <w:p w14:paraId="2957303E" w14:textId="77777777" w:rsidR="00232F72" w:rsidRPr="00AA66AF" w:rsidRDefault="00232F72" w:rsidP="00036295">
            <w:pPr>
              <w:spacing w:line="360" w:lineRule="auto"/>
              <w:jc w:val="right"/>
              <w:rPr>
                <w:rFonts w:cs="Arial"/>
                <w:szCs w:val="24"/>
              </w:rPr>
            </w:pPr>
          </w:p>
        </w:tc>
      </w:tr>
      <w:tr w:rsidR="00232F72" w:rsidRPr="00AA66AF" w14:paraId="49701179" w14:textId="77777777" w:rsidTr="003740BC">
        <w:tc>
          <w:tcPr>
            <w:tcW w:w="6804" w:type="dxa"/>
            <w:hideMark/>
          </w:tcPr>
          <w:p w14:paraId="5D2C3EEF" w14:textId="16E87EBA" w:rsidR="00232F72" w:rsidRPr="00AA66AF" w:rsidRDefault="003D1BEE" w:rsidP="0090402C">
            <w:pPr>
              <w:spacing w:line="360" w:lineRule="auto"/>
              <w:ind w:left="181" w:right="163"/>
              <w:rPr>
                <w:rFonts w:cs="Arial"/>
                <w:szCs w:val="24"/>
              </w:rPr>
            </w:pPr>
            <w:r w:rsidRPr="00AA66AF">
              <w:rPr>
                <w:rFonts w:cs="Arial"/>
                <w:szCs w:val="24"/>
              </w:rPr>
              <w:t>and</w:t>
            </w:r>
          </w:p>
        </w:tc>
        <w:tc>
          <w:tcPr>
            <w:tcW w:w="2527" w:type="dxa"/>
          </w:tcPr>
          <w:p w14:paraId="05773670" w14:textId="77777777" w:rsidR="00232F72" w:rsidRPr="00AA66AF" w:rsidRDefault="00232F72" w:rsidP="00036295">
            <w:pPr>
              <w:spacing w:line="360" w:lineRule="auto"/>
              <w:jc w:val="right"/>
              <w:rPr>
                <w:rFonts w:cs="Arial"/>
                <w:szCs w:val="24"/>
              </w:rPr>
            </w:pPr>
          </w:p>
        </w:tc>
      </w:tr>
      <w:tr w:rsidR="00232F72" w:rsidRPr="00AA66AF" w14:paraId="63D836F9" w14:textId="77777777" w:rsidTr="003740BC">
        <w:tc>
          <w:tcPr>
            <w:tcW w:w="6804" w:type="dxa"/>
          </w:tcPr>
          <w:p w14:paraId="6B5B1DEE" w14:textId="77777777" w:rsidR="00232F72" w:rsidRPr="00AA66AF" w:rsidRDefault="00232F72" w:rsidP="0090402C">
            <w:pPr>
              <w:spacing w:line="360" w:lineRule="auto"/>
              <w:ind w:left="181" w:right="163"/>
              <w:rPr>
                <w:rFonts w:cs="Arial"/>
                <w:szCs w:val="24"/>
              </w:rPr>
            </w:pPr>
          </w:p>
        </w:tc>
        <w:tc>
          <w:tcPr>
            <w:tcW w:w="2527" w:type="dxa"/>
          </w:tcPr>
          <w:p w14:paraId="21981E89" w14:textId="77777777" w:rsidR="00232F72" w:rsidRPr="00AA66AF" w:rsidRDefault="00232F72" w:rsidP="00036295">
            <w:pPr>
              <w:spacing w:line="360" w:lineRule="auto"/>
              <w:jc w:val="right"/>
              <w:rPr>
                <w:rFonts w:cs="Arial"/>
                <w:szCs w:val="24"/>
              </w:rPr>
            </w:pPr>
          </w:p>
        </w:tc>
      </w:tr>
      <w:tr w:rsidR="00AE7F11" w:rsidRPr="00AA66AF" w14:paraId="7AFD10F1" w14:textId="77777777" w:rsidTr="003740BC">
        <w:tc>
          <w:tcPr>
            <w:tcW w:w="6804" w:type="dxa"/>
          </w:tcPr>
          <w:p w14:paraId="4164F420" w14:textId="3A38C68B" w:rsidR="00AE7F11" w:rsidRPr="00AA66AF" w:rsidRDefault="003740BC" w:rsidP="002C11BA">
            <w:pPr>
              <w:spacing w:line="360" w:lineRule="auto"/>
              <w:ind w:left="181" w:right="163"/>
              <w:rPr>
                <w:rFonts w:cs="Arial"/>
                <w:b/>
                <w:bCs/>
                <w:szCs w:val="24"/>
              </w:rPr>
            </w:pPr>
            <w:r w:rsidRPr="00AA66AF">
              <w:rPr>
                <w:rFonts w:cs="Arial"/>
                <w:b/>
                <w:bCs/>
                <w:szCs w:val="24"/>
              </w:rPr>
              <w:t>NUWE SA EIENDOMME EN VERHURING CC</w:t>
            </w:r>
          </w:p>
        </w:tc>
        <w:tc>
          <w:tcPr>
            <w:tcW w:w="2527" w:type="dxa"/>
          </w:tcPr>
          <w:p w14:paraId="58F6468A" w14:textId="2F780C38" w:rsidR="00AE7F11" w:rsidRPr="00AA66AF" w:rsidRDefault="003740BC" w:rsidP="00036295">
            <w:pPr>
              <w:spacing w:line="360" w:lineRule="auto"/>
              <w:jc w:val="right"/>
              <w:rPr>
                <w:rFonts w:cs="Arial"/>
                <w:szCs w:val="24"/>
              </w:rPr>
            </w:pPr>
            <w:r w:rsidRPr="00AA66AF">
              <w:rPr>
                <w:rFonts w:cs="Arial"/>
                <w:szCs w:val="24"/>
              </w:rPr>
              <w:t xml:space="preserve">First Respondent </w:t>
            </w:r>
            <w:r w:rsidR="00D93A74" w:rsidRPr="00AA66AF">
              <w:rPr>
                <w:rFonts w:cs="Arial"/>
                <w:szCs w:val="24"/>
              </w:rPr>
              <w:t xml:space="preserve"> </w:t>
            </w:r>
          </w:p>
        </w:tc>
      </w:tr>
      <w:tr w:rsidR="003740BC" w:rsidRPr="00AA66AF" w14:paraId="42F21BD0" w14:textId="77777777" w:rsidTr="003740BC">
        <w:tc>
          <w:tcPr>
            <w:tcW w:w="6804" w:type="dxa"/>
          </w:tcPr>
          <w:p w14:paraId="012B67E5" w14:textId="77777777" w:rsidR="003740BC" w:rsidRPr="00AA66AF" w:rsidRDefault="003740BC" w:rsidP="002C11BA">
            <w:pPr>
              <w:spacing w:line="360" w:lineRule="auto"/>
              <w:ind w:left="181" w:right="163"/>
              <w:rPr>
                <w:rFonts w:cs="Arial"/>
                <w:b/>
                <w:bCs/>
                <w:szCs w:val="24"/>
              </w:rPr>
            </w:pPr>
          </w:p>
        </w:tc>
        <w:tc>
          <w:tcPr>
            <w:tcW w:w="2527" w:type="dxa"/>
          </w:tcPr>
          <w:p w14:paraId="793D6254" w14:textId="77777777" w:rsidR="003740BC" w:rsidRPr="00AA66AF" w:rsidRDefault="003740BC" w:rsidP="00036295">
            <w:pPr>
              <w:spacing w:line="360" w:lineRule="auto"/>
              <w:jc w:val="right"/>
              <w:rPr>
                <w:rFonts w:cs="Arial"/>
                <w:szCs w:val="24"/>
              </w:rPr>
            </w:pPr>
          </w:p>
        </w:tc>
      </w:tr>
      <w:tr w:rsidR="003740BC" w:rsidRPr="00AA66AF" w14:paraId="1DBBB326" w14:textId="77777777" w:rsidTr="003740BC">
        <w:tc>
          <w:tcPr>
            <w:tcW w:w="6804" w:type="dxa"/>
          </w:tcPr>
          <w:p w14:paraId="60D039C8" w14:textId="14080E8E" w:rsidR="003740BC" w:rsidRPr="00AA66AF" w:rsidRDefault="003740BC" w:rsidP="002C11BA">
            <w:pPr>
              <w:spacing w:line="360" w:lineRule="auto"/>
              <w:ind w:left="181" w:right="163"/>
              <w:rPr>
                <w:rFonts w:cs="Arial"/>
                <w:b/>
                <w:bCs/>
                <w:szCs w:val="24"/>
              </w:rPr>
            </w:pPr>
            <w:r w:rsidRPr="00AA66AF">
              <w:rPr>
                <w:rFonts w:cs="Arial"/>
                <w:b/>
                <w:bCs/>
                <w:szCs w:val="24"/>
              </w:rPr>
              <w:t>JOMAR PROPERTIES (PTY) LTD t/a HARCOURT MARITZ</w:t>
            </w:r>
          </w:p>
        </w:tc>
        <w:tc>
          <w:tcPr>
            <w:tcW w:w="2527" w:type="dxa"/>
          </w:tcPr>
          <w:p w14:paraId="2F45A445" w14:textId="43358A19" w:rsidR="003740BC" w:rsidRPr="00AA66AF" w:rsidRDefault="003740BC" w:rsidP="00036295">
            <w:pPr>
              <w:spacing w:line="360" w:lineRule="auto"/>
              <w:jc w:val="right"/>
              <w:rPr>
                <w:rFonts w:cs="Arial"/>
                <w:szCs w:val="24"/>
              </w:rPr>
            </w:pPr>
            <w:r w:rsidRPr="00AA66AF">
              <w:rPr>
                <w:rFonts w:cs="Arial"/>
                <w:szCs w:val="24"/>
              </w:rPr>
              <w:t xml:space="preserve">Second Respondent </w:t>
            </w:r>
          </w:p>
        </w:tc>
      </w:tr>
      <w:tr w:rsidR="003740BC" w:rsidRPr="00AA66AF" w14:paraId="596D87DF" w14:textId="77777777" w:rsidTr="003740BC">
        <w:tc>
          <w:tcPr>
            <w:tcW w:w="6804" w:type="dxa"/>
          </w:tcPr>
          <w:p w14:paraId="55252CC3" w14:textId="77777777" w:rsidR="003740BC" w:rsidRPr="00AA66AF" w:rsidRDefault="003740BC" w:rsidP="002C11BA">
            <w:pPr>
              <w:spacing w:line="360" w:lineRule="auto"/>
              <w:ind w:left="181" w:right="163"/>
              <w:rPr>
                <w:rFonts w:cs="Arial"/>
                <w:b/>
                <w:bCs/>
                <w:szCs w:val="24"/>
              </w:rPr>
            </w:pPr>
          </w:p>
        </w:tc>
        <w:tc>
          <w:tcPr>
            <w:tcW w:w="2527" w:type="dxa"/>
          </w:tcPr>
          <w:p w14:paraId="0E3319B2" w14:textId="77777777" w:rsidR="003740BC" w:rsidRPr="00AA66AF" w:rsidRDefault="003740BC" w:rsidP="00036295">
            <w:pPr>
              <w:spacing w:line="360" w:lineRule="auto"/>
              <w:jc w:val="right"/>
              <w:rPr>
                <w:rFonts w:cs="Arial"/>
                <w:szCs w:val="24"/>
              </w:rPr>
            </w:pPr>
          </w:p>
        </w:tc>
      </w:tr>
      <w:tr w:rsidR="003740BC" w:rsidRPr="00AA66AF" w14:paraId="000D2DF2" w14:textId="77777777" w:rsidTr="003740BC">
        <w:tc>
          <w:tcPr>
            <w:tcW w:w="6804" w:type="dxa"/>
          </w:tcPr>
          <w:p w14:paraId="0E06F800" w14:textId="6FD10919" w:rsidR="003740BC" w:rsidRPr="00AA66AF" w:rsidRDefault="003740BC" w:rsidP="002C11BA">
            <w:pPr>
              <w:spacing w:line="360" w:lineRule="auto"/>
              <w:ind w:left="181" w:right="163"/>
              <w:rPr>
                <w:rFonts w:cs="Arial"/>
                <w:b/>
                <w:bCs/>
                <w:szCs w:val="24"/>
              </w:rPr>
            </w:pPr>
            <w:r w:rsidRPr="00AA66AF">
              <w:rPr>
                <w:rFonts w:cs="Arial"/>
                <w:b/>
                <w:bCs/>
                <w:szCs w:val="24"/>
              </w:rPr>
              <w:t>BERT SMITH ATTORNEYS AND CONVEYANCERS INC</w:t>
            </w:r>
          </w:p>
        </w:tc>
        <w:tc>
          <w:tcPr>
            <w:tcW w:w="2527" w:type="dxa"/>
          </w:tcPr>
          <w:p w14:paraId="3C64BF57" w14:textId="51173BA1" w:rsidR="003740BC" w:rsidRPr="00AA66AF" w:rsidRDefault="003740BC" w:rsidP="00036295">
            <w:pPr>
              <w:spacing w:line="360" w:lineRule="auto"/>
              <w:jc w:val="right"/>
              <w:rPr>
                <w:rFonts w:cs="Arial"/>
                <w:szCs w:val="24"/>
              </w:rPr>
            </w:pPr>
            <w:r w:rsidRPr="00AA66AF">
              <w:rPr>
                <w:rFonts w:cs="Arial"/>
                <w:szCs w:val="24"/>
              </w:rPr>
              <w:t xml:space="preserve">Third Respondent </w:t>
            </w:r>
          </w:p>
        </w:tc>
      </w:tr>
    </w:tbl>
    <w:p w14:paraId="56B0ADB4" w14:textId="77777777" w:rsidR="00232F72" w:rsidRPr="00AA66AF" w:rsidRDefault="00232F72">
      <w:pPr>
        <w:pStyle w:val="BodyText"/>
        <w:rPr>
          <w:rFonts w:cs="Arial"/>
          <w:b/>
          <w:sz w:val="24"/>
          <w:szCs w:val="24"/>
          <w:lang w:val="en-GB"/>
        </w:rPr>
      </w:pPr>
    </w:p>
    <w:p w14:paraId="195E7935" w14:textId="77777777" w:rsidR="00232F72" w:rsidRPr="00AA66AF" w:rsidRDefault="00232F72" w:rsidP="00232F72">
      <w:pPr>
        <w:rPr>
          <w:rFonts w:cs="Arial"/>
          <w:szCs w:val="24"/>
          <w:lang w:val="en-GB"/>
        </w:rPr>
      </w:pPr>
    </w:p>
    <w:tbl>
      <w:tblPr>
        <w:tblW w:w="9356"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6"/>
      </w:tblGrid>
      <w:tr w:rsidR="00232F72" w:rsidRPr="00AA66AF" w14:paraId="7781BE90" w14:textId="77777777" w:rsidTr="00A15886">
        <w:tc>
          <w:tcPr>
            <w:tcW w:w="9356" w:type="dxa"/>
          </w:tcPr>
          <w:p w14:paraId="585CB467" w14:textId="0A4F45ED" w:rsidR="00232F72" w:rsidRPr="00AA66AF" w:rsidRDefault="00232F72" w:rsidP="00E167C0">
            <w:pPr>
              <w:spacing w:before="200" w:after="200"/>
              <w:jc w:val="center"/>
              <w:rPr>
                <w:rFonts w:cs="Arial"/>
                <w:b/>
                <w:szCs w:val="24"/>
                <w:lang w:val="en-GB"/>
              </w:rPr>
            </w:pPr>
            <w:r w:rsidRPr="00AA66AF">
              <w:rPr>
                <w:rFonts w:cs="Arial"/>
                <w:b/>
                <w:szCs w:val="24"/>
                <w:lang w:val="en-GB"/>
              </w:rPr>
              <w:lastRenderedPageBreak/>
              <w:t>JUDGMENT</w:t>
            </w:r>
          </w:p>
        </w:tc>
      </w:tr>
    </w:tbl>
    <w:p w14:paraId="584B30DF" w14:textId="0D4D82B7" w:rsidR="007A78E0" w:rsidRPr="00AA66AF" w:rsidRDefault="007A78E0">
      <w:pPr>
        <w:ind w:left="140"/>
        <w:rPr>
          <w:rFonts w:cs="Arial"/>
          <w:b/>
          <w:szCs w:val="24"/>
          <w:lang w:val="en-GB"/>
        </w:rPr>
      </w:pPr>
    </w:p>
    <w:p w14:paraId="719C6F15" w14:textId="77777777" w:rsidR="00232F72" w:rsidRPr="00AA66AF" w:rsidRDefault="00232F72">
      <w:pPr>
        <w:ind w:left="140"/>
        <w:rPr>
          <w:rFonts w:cs="Arial"/>
          <w:b/>
          <w:szCs w:val="24"/>
          <w:lang w:val="en-GB"/>
        </w:rPr>
      </w:pPr>
    </w:p>
    <w:p w14:paraId="4B72B168" w14:textId="3229B01A" w:rsidR="002C11BA" w:rsidRPr="00AA66AF" w:rsidRDefault="002C11BA" w:rsidP="003740BC">
      <w:pPr>
        <w:spacing w:before="360" w:after="360" w:line="360" w:lineRule="auto"/>
        <w:rPr>
          <w:rFonts w:cs="Arial"/>
          <w:iCs/>
          <w:szCs w:val="24"/>
          <w:lang w:val="en-GB"/>
        </w:rPr>
      </w:pPr>
      <w:r w:rsidRPr="00AA66AF">
        <w:rPr>
          <w:rFonts w:cs="Arial"/>
          <w:iCs/>
          <w:szCs w:val="24"/>
          <w:lang w:val="en-GB"/>
        </w:rPr>
        <w:t xml:space="preserve">DE BEER </w:t>
      </w:r>
      <w:r w:rsidR="00F011E7">
        <w:rPr>
          <w:rFonts w:cs="Arial"/>
          <w:iCs/>
          <w:szCs w:val="24"/>
          <w:lang w:val="en-GB"/>
        </w:rPr>
        <w:t>A</w:t>
      </w:r>
      <w:r w:rsidRPr="00AA66AF">
        <w:rPr>
          <w:rFonts w:cs="Arial"/>
          <w:iCs/>
          <w:szCs w:val="24"/>
          <w:lang w:val="en-GB"/>
        </w:rPr>
        <w:t>J</w:t>
      </w:r>
    </w:p>
    <w:p w14:paraId="575F905B" w14:textId="6C992D7B" w:rsidR="007A78E0" w:rsidRPr="00AA66AF" w:rsidRDefault="00DC507E" w:rsidP="002C11BA">
      <w:pPr>
        <w:spacing w:before="360" w:after="360" w:line="360" w:lineRule="auto"/>
        <w:rPr>
          <w:rFonts w:cs="Arial"/>
          <w:i/>
          <w:szCs w:val="24"/>
          <w:lang w:val="en-GB"/>
        </w:rPr>
      </w:pPr>
      <w:r w:rsidRPr="00AA66AF">
        <w:rPr>
          <w:rFonts w:cs="Arial"/>
          <w:i/>
          <w:szCs w:val="24"/>
          <w:lang w:val="en-GB"/>
        </w:rPr>
        <w:t>Introduction</w:t>
      </w:r>
    </w:p>
    <w:p w14:paraId="3AD88D2E" w14:textId="17944A9C" w:rsidR="000B5AEF" w:rsidRPr="001215E4" w:rsidRDefault="001215E4" w:rsidP="001215E4">
      <w:pPr>
        <w:tabs>
          <w:tab w:val="left" w:pos="861"/>
        </w:tabs>
        <w:spacing w:before="360" w:after="360" w:line="360" w:lineRule="auto"/>
        <w:ind w:left="851" w:right="439" w:hanging="851"/>
        <w:rPr>
          <w:rFonts w:cs="Arial"/>
          <w:szCs w:val="24"/>
          <w:lang w:val="en-GB"/>
        </w:rPr>
      </w:pPr>
      <w:r w:rsidRPr="00AA66AF">
        <w:rPr>
          <w:rFonts w:cs="Arial"/>
          <w:w w:val="99"/>
          <w:szCs w:val="24"/>
        </w:rPr>
        <w:t>1.</w:t>
      </w:r>
      <w:r w:rsidRPr="00AA66AF">
        <w:rPr>
          <w:rFonts w:cs="Arial"/>
          <w:w w:val="99"/>
          <w:szCs w:val="24"/>
        </w:rPr>
        <w:tab/>
      </w:r>
      <w:r w:rsidR="00F055A7" w:rsidRPr="001215E4">
        <w:rPr>
          <w:rFonts w:cs="Arial"/>
          <w:szCs w:val="24"/>
          <w:lang w:val="en-GB"/>
        </w:rPr>
        <w:t xml:space="preserve">What initially commenced as </w:t>
      </w:r>
      <w:r w:rsidR="003740BC" w:rsidRPr="001215E4">
        <w:rPr>
          <w:rFonts w:cs="Arial"/>
          <w:szCs w:val="24"/>
          <w:lang w:val="en-GB"/>
        </w:rPr>
        <w:t>an interlocutory application to compel discovery in terms of Rule 35(7) of the Uniform Rules of Court (“</w:t>
      </w:r>
      <w:r w:rsidR="003740BC" w:rsidRPr="001215E4">
        <w:rPr>
          <w:rFonts w:cs="Arial"/>
          <w:i/>
          <w:iCs/>
          <w:szCs w:val="24"/>
          <w:lang w:val="en-GB"/>
        </w:rPr>
        <w:t>the rules</w:t>
      </w:r>
      <w:r w:rsidR="003740BC" w:rsidRPr="001215E4">
        <w:rPr>
          <w:rFonts w:cs="Arial"/>
          <w:szCs w:val="24"/>
          <w:lang w:val="en-GB"/>
        </w:rPr>
        <w:t xml:space="preserve">”) </w:t>
      </w:r>
      <w:r w:rsidR="00424435" w:rsidRPr="001215E4">
        <w:rPr>
          <w:rFonts w:cs="Arial"/>
          <w:szCs w:val="24"/>
          <w:lang w:val="en-GB"/>
        </w:rPr>
        <w:t xml:space="preserve">instituted </w:t>
      </w:r>
      <w:r w:rsidR="003740BC" w:rsidRPr="001215E4">
        <w:rPr>
          <w:rFonts w:cs="Arial"/>
          <w:szCs w:val="24"/>
          <w:lang w:val="en-GB"/>
        </w:rPr>
        <w:t xml:space="preserve">against the third respondent </w:t>
      </w:r>
      <w:r w:rsidR="00F055A7" w:rsidRPr="001215E4">
        <w:rPr>
          <w:rFonts w:cs="Arial"/>
          <w:szCs w:val="24"/>
          <w:lang w:val="en-GB"/>
        </w:rPr>
        <w:t>(</w:t>
      </w:r>
      <w:r w:rsidR="003740BC" w:rsidRPr="001215E4">
        <w:rPr>
          <w:rFonts w:cs="Arial"/>
          <w:szCs w:val="24"/>
          <w:lang w:val="en-GB"/>
        </w:rPr>
        <w:t>the first and second respondents are not active participants to this application</w:t>
      </w:r>
      <w:r w:rsidR="00F055A7" w:rsidRPr="001215E4">
        <w:rPr>
          <w:rFonts w:cs="Arial"/>
          <w:szCs w:val="24"/>
          <w:lang w:val="en-GB"/>
        </w:rPr>
        <w:t xml:space="preserve">) underwent a metamorphosis into an application for </w:t>
      </w:r>
      <w:r w:rsidR="00265914" w:rsidRPr="001215E4">
        <w:rPr>
          <w:rFonts w:cs="Arial"/>
          <w:szCs w:val="24"/>
          <w:lang w:val="en-GB"/>
        </w:rPr>
        <w:t xml:space="preserve">punitive </w:t>
      </w:r>
      <w:r w:rsidR="00FD4250" w:rsidRPr="001215E4">
        <w:rPr>
          <w:rFonts w:cs="Arial"/>
          <w:szCs w:val="24"/>
          <w:lang w:val="en-GB"/>
        </w:rPr>
        <w:t>costs and</w:t>
      </w:r>
      <w:r w:rsidR="00F055A7" w:rsidRPr="001215E4">
        <w:rPr>
          <w:rFonts w:cs="Arial"/>
          <w:szCs w:val="24"/>
          <w:lang w:val="en-GB"/>
        </w:rPr>
        <w:t xml:space="preserve"> costs </w:t>
      </w:r>
      <w:r w:rsidR="00F055A7" w:rsidRPr="001215E4">
        <w:rPr>
          <w:rFonts w:cs="Arial"/>
          <w:i/>
          <w:iCs/>
          <w:szCs w:val="24"/>
          <w:lang w:val="en-GB"/>
        </w:rPr>
        <w:t xml:space="preserve">de </w:t>
      </w:r>
      <w:proofErr w:type="spellStart"/>
      <w:r w:rsidR="00F055A7" w:rsidRPr="001215E4">
        <w:rPr>
          <w:rFonts w:cs="Arial"/>
          <w:i/>
          <w:iCs/>
          <w:szCs w:val="24"/>
          <w:lang w:val="en-GB"/>
        </w:rPr>
        <w:t>bonis</w:t>
      </w:r>
      <w:proofErr w:type="spellEnd"/>
      <w:r w:rsidR="00F055A7" w:rsidRPr="001215E4">
        <w:rPr>
          <w:rFonts w:cs="Arial"/>
          <w:i/>
          <w:iCs/>
          <w:szCs w:val="24"/>
          <w:lang w:val="en-GB"/>
        </w:rPr>
        <w:t xml:space="preserve"> </w:t>
      </w:r>
      <w:proofErr w:type="spellStart"/>
      <w:r w:rsidR="00F055A7" w:rsidRPr="001215E4">
        <w:rPr>
          <w:rFonts w:cs="Arial"/>
          <w:i/>
          <w:iCs/>
          <w:szCs w:val="24"/>
          <w:lang w:val="en-GB"/>
        </w:rPr>
        <w:t>propriis</w:t>
      </w:r>
      <w:proofErr w:type="spellEnd"/>
      <w:r w:rsidR="003740BC" w:rsidRPr="001215E4">
        <w:rPr>
          <w:rFonts w:cs="Arial"/>
          <w:szCs w:val="24"/>
          <w:lang w:val="en-GB"/>
        </w:rPr>
        <w:t>.</w:t>
      </w:r>
    </w:p>
    <w:p w14:paraId="25C16B1B" w14:textId="2EA5C1E6" w:rsidR="00AA66AF" w:rsidRPr="001215E4" w:rsidRDefault="001215E4" w:rsidP="001215E4">
      <w:pPr>
        <w:tabs>
          <w:tab w:val="left" w:pos="861"/>
        </w:tabs>
        <w:spacing w:before="360" w:after="360" w:line="360" w:lineRule="auto"/>
        <w:ind w:left="851" w:right="439" w:hanging="851"/>
        <w:rPr>
          <w:rFonts w:cs="Arial"/>
          <w:szCs w:val="24"/>
          <w:lang w:val="en-GB"/>
        </w:rPr>
      </w:pPr>
      <w:r>
        <w:rPr>
          <w:rFonts w:cs="Arial"/>
          <w:w w:val="99"/>
          <w:szCs w:val="24"/>
        </w:rPr>
        <w:t>2.</w:t>
      </w:r>
      <w:r>
        <w:rPr>
          <w:rFonts w:cs="Arial"/>
          <w:w w:val="99"/>
          <w:szCs w:val="24"/>
        </w:rPr>
        <w:tab/>
      </w:r>
      <w:r w:rsidR="003740BC" w:rsidRPr="001215E4">
        <w:rPr>
          <w:rFonts w:cs="Arial"/>
          <w:szCs w:val="24"/>
          <w:lang w:val="en-GB"/>
        </w:rPr>
        <w:t>The matter was</w:t>
      </w:r>
      <w:r w:rsidR="00F011E7" w:rsidRPr="001215E4">
        <w:rPr>
          <w:rFonts w:cs="Arial"/>
          <w:szCs w:val="24"/>
          <w:lang w:val="en-GB"/>
        </w:rPr>
        <w:t xml:space="preserve"> enrolled and</w:t>
      </w:r>
      <w:r w:rsidR="003740BC" w:rsidRPr="001215E4">
        <w:rPr>
          <w:rFonts w:cs="Arial"/>
          <w:szCs w:val="24"/>
          <w:lang w:val="en-GB"/>
        </w:rPr>
        <w:t xml:space="preserve"> set down on the opposed motion roll </w:t>
      </w:r>
      <w:r w:rsidR="00AA66AF" w:rsidRPr="001215E4">
        <w:rPr>
          <w:rFonts w:cs="Arial"/>
          <w:szCs w:val="24"/>
          <w:lang w:val="en-GB"/>
        </w:rPr>
        <w:t>for hearing on 24 April 2</w:t>
      </w:r>
      <w:bookmarkStart w:id="0" w:name="_GoBack"/>
      <w:bookmarkEnd w:id="0"/>
      <w:r w:rsidR="00AA66AF" w:rsidRPr="001215E4">
        <w:rPr>
          <w:rFonts w:cs="Arial"/>
          <w:szCs w:val="24"/>
          <w:lang w:val="en-GB"/>
        </w:rPr>
        <w:t>023.</w:t>
      </w:r>
    </w:p>
    <w:p w14:paraId="0E97D3F7" w14:textId="190E1E05" w:rsidR="003740BC" w:rsidRPr="001215E4" w:rsidRDefault="001215E4" w:rsidP="001215E4">
      <w:pPr>
        <w:tabs>
          <w:tab w:val="left" w:pos="861"/>
        </w:tabs>
        <w:spacing w:before="360" w:after="360" w:line="360" w:lineRule="auto"/>
        <w:ind w:left="851" w:right="439" w:hanging="851"/>
        <w:rPr>
          <w:rFonts w:cs="Arial"/>
          <w:szCs w:val="24"/>
          <w:lang w:val="en-GB"/>
        </w:rPr>
      </w:pPr>
      <w:r>
        <w:rPr>
          <w:rFonts w:cs="Arial"/>
          <w:w w:val="99"/>
          <w:szCs w:val="24"/>
        </w:rPr>
        <w:t>3.</w:t>
      </w:r>
      <w:r>
        <w:rPr>
          <w:rFonts w:cs="Arial"/>
          <w:w w:val="99"/>
          <w:szCs w:val="24"/>
        </w:rPr>
        <w:tab/>
      </w:r>
      <w:r w:rsidR="00AA66AF" w:rsidRPr="001215E4">
        <w:rPr>
          <w:rFonts w:cs="Arial"/>
          <w:szCs w:val="24"/>
          <w:lang w:val="en-GB"/>
        </w:rPr>
        <w:t>Subsequent to argument presented by counsel appearing on behalf of the respective parties (applicant and third respondent)</w:t>
      </w:r>
      <w:r w:rsidR="005549D1" w:rsidRPr="001215E4">
        <w:rPr>
          <w:rFonts w:cs="Arial"/>
          <w:szCs w:val="24"/>
          <w:lang w:val="en-GB"/>
        </w:rPr>
        <w:t>, the court granted</w:t>
      </w:r>
      <w:r w:rsidR="005549D1">
        <w:rPr>
          <w:rStyle w:val="FootnoteReference"/>
          <w:rFonts w:cs="Arial"/>
          <w:szCs w:val="24"/>
          <w:lang w:val="en-GB"/>
        </w:rPr>
        <w:footnoteReference w:id="1"/>
      </w:r>
      <w:r w:rsidR="003740BC" w:rsidRPr="001215E4">
        <w:rPr>
          <w:rFonts w:cs="Arial"/>
          <w:szCs w:val="24"/>
          <w:lang w:val="en-GB"/>
        </w:rPr>
        <w:t xml:space="preserve"> </w:t>
      </w:r>
      <w:r w:rsidR="005549D1" w:rsidRPr="001215E4">
        <w:rPr>
          <w:rFonts w:cs="Arial"/>
          <w:szCs w:val="24"/>
          <w:lang w:val="en-GB"/>
        </w:rPr>
        <w:t xml:space="preserve">and handed down an </w:t>
      </w:r>
      <w:r w:rsidR="005549D1" w:rsidRPr="001215E4">
        <w:rPr>
          <w:rFonts w:cs="Arial"/>
          <w:i/>
          <w:iCs/>
          <w:szCs w:val="24"/>
          <w:lang w:val="en-GB"/>
        </w:rPr>
        <w:t>ex tempor</w:t>
      </w:r>
      <w:r w:rsidR="00F620E1" w:rsidRPr="001215E4">
        <w:rPr>
          <w:rFonts w:cs="Arial"/>
          <w:i/>
          <w:iCs/>
          <w:szCs w:val="24"/>
          <w:lang w:val="en-GB"/>
        </w:rPr>
        <w:t>e</w:t>
      </w:r>
      <w:r w:rsidR="00B323A4" w:rsidRPr="001215E4">
        <w:rPr>
          <w:rFonts w:cs="Arial"/>
          <w:szCs w:val="24"/>
          <w:lang w:val="en-GB"/>
        </w:rPr>
        <w:t xml:space="preserve"> judgment from the b</w:t>
      </w:r>
      <w:r w:rsidR="00F055A7" w:rsidRPr="001215E4">
        <w:rPr>
          <w:rFonts w:cs="Arial"/>
          <w:szCs w:val="24"/>
          <w:lang w:val="en-GB"/>
        </w:rPr>
        <w:t>ench</w:t>
      </w:r>
      <w:r w:rsidR="00B323A4" w:rsidRPr="001215E4">
        <w:rPr>
          <w:rFonts w:cs="Arial"/>
          <w:szCs w:val="24"/>
          <w:lang w:val="en-GB"/>
        </w:rPr>
        <w:t xml:space="preserve">. For ease of </w:t>
      </w:r>
      <w:proofErr w:type="gramStart"/>
      <w:r w:rsidR="00B323A4" w:rsidRPr="001215E4">
        <w:rPr>
          <w:rFonts w:cs="Arial"/>
          <w:szCs w:val="24"/>
          <w:lang w:val="en-GB"/>
        </w:rPr>
        <w:t>reference</w:t>
      </w:r>
      <w:proofErr w:type="gramEnd"/>
      <w:r w:rsidR="00B323A4" w:rsidRPr="001215E4">
        <w:rPr>
          <w:rFonts w:cs="Arial"/>
          <w:szCs w:val="24"/>
          <w:lang w:val="en-GB"/>
        </w:rPr>
        <w:t xml:space="preserve">, the order </w:t>
      </w:r>
      <w:r w:rsidR="00AB51C9" w:rsidRPr="001215E4">
        <w:rPr>
          <w:rFonts w:cs="Arial"/>
          <w:szCs w:val="24"/>
          <w:lang w:val="en-GB"/>
        </w:rPr>
        <w:t xml:space="preserve">granted that followed the judgment </w:t>
      </w:r>
      <w:r w:rsidR="00B323A4" w:rsidRPr="001215E4">
        <w:rPr>
          <w:rFonts w:cs="Arial"/>
          <w:szCs w:val="24"/>
          <w:lang w:val="en-GB"/>
        </w:rPr>
        <w:t>is quoted herein verbatim, which reads as follows:</w:t>
      </w:r>
    </w:p>
    <w:p w14:paraId="091BCD99" w14:textId="4CEA3C2F" w:rsidR="00B323A4" w:rsidRDefault="00B323A4" w:rsidP="00B323A4">
      <w:pPr>
        <w:pStyle w:val="ListParagraph"/>
        <w:spacing w:before="360" w:after="360" w:line="360" w:lineRule="auto"/>
        <w:ind w:left="1701" w:right="439"/>
        <w:rPr>
          <w:rFonts w:cs="Arial"/>
          <w:i/>
          <w:iCs/>
          <w:szCs w:val="24"/>
          <w:lang w:val="en-GB"/>
        </w:rPr>
      </w:pPr>
      <w:r>
        <w:rPr>
          <w:rFonts w:cs="Arial"/>
          <w:i/>
          <w:iCs/>
          <w:szCs w:val="24"/>
          <w:lang w:val="en-GB"/>
        </w:rPr>
        <w:t xml:space="preserve">“                                   </w:t>
      </w:r>
      <w:r>
        <w:rPr>
          <w:rFonts w:cs="Arial"/>
          <w:b/>
          <w:bCs/>
          <w:i/>
          <w:iCs/>
          <w:szCs w:val="24"/>
          <w:lang w:val="en-GB"/>
        </w:rPr>
        <w:t>IT IS ORDERED THAT</w:t>
      </w:r>
    </w:p>
    <w:p w14:paraId="5E5EF339" w14:textId="77777777" w:rsidR="00870D18" w:rsidRDefault="00870D18" w:rsidP="00B323A4">
      <w:pPr>
        <w:pStyle w:val="ListParagraph"/>
        <w:spacing w:before="360" w:after="360" w:line="360" w:lineRule="auto"/>
        <w:ind w:left="1701" w:right="439"/>
        <w:rPr>
          <w:rFonts w:cs="Arial"/>
          <w:i/>
          <w:iCs/>
          <w:szCs w:val="24"/>
          <w:lang w:val="en-GB"/>
        </w:rPr>
      </w:pPr>
      <w:r>
        <w:rPr>
          <w:rFonts w:cs="Arial"/>
          <w:i/>
          <w:iCs/>
          <w:szCs w:val="24"/>
          <w:lang w:val="en-GB"/>
        </w:rPr>
        <w:t>1.</w:t>
      </w:r>
      <w:r>
        <w:rPr>
          <w:rFonts w:cs="Arial"/>
          <w:i/>
          <w:iCs/>
          <w:szCs w:val="24"/>
          <w:lang w:val="en-GB"/>
        </w:rPr>
        <w:tab/>
        <w:t>Prayer 2 of the notice of motion is dismissed.</w:t>
      </w:r>
    </w:p>
    <w:p w14:paraId="1B7CF262" w14:textId="6A3EA376" w:rsidR="00870D18" w:rsidRPr="00870D18" w:rsidRDefault="00870D18" w:rsidP="00870D18">
      <w:pPr>
        <w:pStyle w:val="ListParagraph"/>
        <w:spacing w:before="360" w:after="360" w:line="360" w:lineRule="auto"/>
        <w:ind w:left="2127" w:right="439" w:hanging="426"/>
        <w:rPr>
          <w:rFonts w:cs="Arial"/>
          <w:i/>
          <w:iCs/>
          <w:szCs w:val="24"/>
          <w:lang w:val="en-GB"/>
        </w:rPr>
      </w:pPr>
      <w:r>
        <w:rPr>
          <w:rFonts w:cs="Arial"/>
          <w:i/>
          <w:iCs/>
          <w:szCs w:val="24"/>
          <w:lang w:val="en-GB"/>
        </w:rPr>
        <w:t>2.</w:t>
      </w:r>
      <w:r>
        <w:rPr>
          <w:rFonts w:cs="Arial"/>
          <w:i/>
          <w:iCs/>
          <w:szCs w:val="24"/>
          <w:lang w:val="en-GB"/>
        </w:rPr>
        <w:tab/>
        <w:t xml:space="preserve">The applicant is to pay the costs of the third respondent, on the scale as between attorney and client.” </w:t>
      </w:r>
    </w:p>
    <w:p w14:paraId="026CCBFA" w14:textId="2F3229B5" w:rsidR="00F620E1" w:rsidRPr="001215E4" w:rsidRDefault="001215E4" w:rsidP="001215E4">
      <w:pPr>
        <w:tabs>
          <w:tab w:val="left" w:pos="861"/>
        </w:tabs>
        <w:spacing w:before="360" w:after="360" w:line="360" w:lineRule="auto"/>
        <w:ind w:left="851" w:right="439" w:hanging="851"/>
        <w:rPr>
          <w:rFonts w:cs="Arial"/>
          <w:szCs w:val="24"/>
          <w:lang w:val="en-GB"/>
        </w:rPr>
      </w:pPr>
      <w:r>
        <w:rPr>
          <w:rFonts w:cs="Arial"/>
          <w:w w:val="99"/>
          <w:szCs w:val="24"/>
        </w:rPr>
        <w:t>4.</w:t>
      </w:r>
      <w:r>
        <w:rPr>
          <w:rFonts w:cs="Arial"/>
          <w:w w:val="99"/>
          <w:szCs w:val="24"/>
        </w:rPr>
        <w:tab/>
      </w:r>
      <w:r w:rsidR="00B323A4" w:rsidRPr="001215E4">
        <w:rPr>
          <w:rFonts w:cs="Arial"/>
          <w:szCs w:val="24"/>
          <w:lang w:val="en-GB"/>
        </w:rPr>
        <w:t>T</w:t>
      </w:r>
      <w:r w:rsidR="00870D18" w:rsidRPr="001215E4">
        <w:rPr>
          <w:rFonts w:cs="Arial"/>
          <w:szCs w:val="24"/>
          <w:lang w:val="en-GB"/>
        </w:rPr>
        <w:t>he applicant</w:t>
      </w:r>
      <w:r w:rsidR="00F055A7" w:rsidRPr="001215E4">
        <w:rPr>
          <w:rFonts w:cs="Arial"/>
          <w:szCs w:val="24"/>
          <w:lang w:val="en-GB"/>
        </w:rPr>
        <w:t xml:space="preserve"> (plaintiff in the main action)</w:t>
      </w:r>
      <w:r w:rsidR="00870D18" w:rsidRPr="001215E4">
        <w:rPr>
          <w:rFonts w:cs="Arial"/>
          <w:szCs w:val="24"/>
          <w:lang w:val="en-GB"/>
        </w:rPr>
        <w:t xml:space="preserve">, a firm of attorneys </w:t>
      </w:r>
      <w:r w:rsidR="00F011E7" w:rsidRPr="001215E4">
        <w:rPr>
          <w:rFonts w:cs="Arial"/>
          <w:szCs w:val="24"/>
          <w:lang w:val="en-GB"/>
        </w:rPr>
        <w:t>who</w:t>
      </w:r>
      <w:r w:rsidR="00870D18" w:rsidRPr="001215E4">
        <w:rPr>
          <w:rFonts w:cs="Arial"/>
          <w:szCs w:val="24"/>
          <w:lang w:val="en-GB"/>
        </w:rPr>
        <w:t xml:space="preserve"> also represent</w:t>
      </w:r>
      <w:r w:rsidR="00F055A7" w:rsidRPr="001215E4">
        <w:rPr>
          <w:rFonts w:cs="Arial"/>
          <w:szCs w:val="24"/>
          <w:lang w:val="en-GB"/>
        </w:rPr>
        <w:t>s themselves</w:t>
      </w:r>
      <w:r w:rsidR="00870D18" w:rsidRPr="001215E4">
        <w:rPr>
          <w:rFonts w:cs="Arial"/>
          <w:szCs w:val="24"/>
          <w:lang w:val="en-GB"/>
        </w:rPr>
        <w:t xml:space="preserve"> requested reasons</w:t>
      </w:r>
      <w:r w:rsidR="00F011E7" w:rsidRPr="001215E4">
        <w:rPr>
          <w:rFonts w:cs="Arial"/>
          <w:szCs w:val="24"/>
          <w:lang w:val="en-GB"/>
        </w:rPr>
        <w:t xml:space="preserve"> for the order granted </w:t>
      </w:r>
      <w:r w:rsidR="00870D18" w:rsidRPr="001215E4">
        <w:rPr>
          <w:rFonts w:cs="Arial"/>
          <w:szCs w:val="24"/>
          <w:lang w:val="en-GB"/>
        </w:rPr>
        <w:t>in an unsigned letter dated 8 May 2023, sent to the registrar</w:t>
      </w:r>
      <w:r w:rsidR="00F055A7" w:rsidRPr="001215E4">
        <w:rPr>
          <w:rFonts w:cs="Arial"/>
          <w:szCs w:val="24"/>
          <w:lang w:val="en-GB"/>
        </w:rPr>
        <w:t xml:space="preserve">. I cannot ascertain </w:t>
      </w:r>
      <w:r w:rsidR="00F055A7" w:rsidRPr="001215E4">
        <w:rPr>
          <w:rFonts w:cs="Arial"/>
          <w:szCs w:val="24"/>
          <w:lang w:val="en-GB"/>
        </w:rPr>
        <w:lastRenderedPageBreak/>
        <w:t>whether this letter was copied to the third respondent’s attorneys</w:t>
      </w:r>
      <w:r w:rsidR="00870D18" w:rsidRPr="001215E4">
        <w:rPr>
          <w:rFonts w:cs="Arial"/>
          <w:szCs w:val="24"/>
          <w:lang w:val="en-GB"/>
        </w:rPr>
        <w:t xml:space="preserve">. Although the </w:t>
      </w:r>
      <w:r w:rsidR="00F011E7" w:rsidRPr="001215E4">
        <w:rPr>
          <w:rFonts w:cs="Arial"/>
          <w:szCs w:val="24"/>
          <w:lang w:val="en-GB"/>
        </w:rPr>
        <w:t>request</w:t>
      </w:r>
      <w:r w:rsidR="00F055A7" w:rsidRPr="001215E4">
        <w:rPr>
          <w:rFonts w:cs="Arial"/>
          <w:szCs w:val="24"/>
          <w:lang w:val="en-GB"/>
        </w:rPr>
        <w:t xml:space="preserve"> for reasons </w:t>
      </w:r>
      <w:r w:rsidR="00F011E7" w:rsidRPr="001215E4">
        <w:rPr>
          <w:rFonts w:cs="Arial"/>
          <w:szCs w:val="24"/>
          <w:lang w:val="en-GB"/>
        </w:rPr>
        <w:t xml:space="preserve">does not </w:t>
      </w:r>
      <w:r w:rsidR="00870D18" w:rsidRPr="001215E4">
        <w:rPr>
          <w:rFonts w:cs="Arial"/>
          <w:szCs w:val="24"/>
          <w:lang w:val="en-GB"/>
        </w:rPr>
        <w:t>comply with the rules of court</w:t>
      </w:r>
      <w:r w:rsidR="00870D18">
        <w:rPr>
          <w:rStyle w:val="FootnoteReference"/>
          <w:rFonts w:cs="Arial"/>
          <w:szCs w:val="24"/>
          <w:lang w:val="en-GB"/>
        </w:rPr>
        <w:footnoteReference w:id="2"/>
      </w:r>
      <w:r w:rsidR="00F011E7" w:rsidRPr="001215E4">
        <w:rPr>
          <w:rFonts w:cs="Arial"/>
          <w:szCs w:val="24"/>
          <w:lang w:val="en-GB"/>
        </w:rPr>
        <w:t xml:space="preserve"> </w:t>
      </w:r>
      <w:r w:rsidR="00AB51C9" w:rsidRPr="001215E4">
        <w:rPr>
          <w:rFonts w:cs="Arial"/>
          <w:szCs w:val="24"/>
          <w:lang w:val="en-GB"/>
        </w:rPr>
        <w:t>for an application to provide reasons</w:t>
      </w:r>
      <w:r w:rsidR="00F620E1" w:rsidRPr="001215E4">
        <w:rPr>
          <w:rFonts w:cs="Arial"/>
          <w:szCs w:val="24"/>
          <w:lang w:val="en-GB"/>
        </w:rPr>
        <w:t xml:space="preserve">, the </w:t>
      </w:r>
      <w:r w:rsidR="00AB51C9" w:rsidRPr="001215E4">
        <w:rPr>
          <w:rFonts w:cs="Arial"/>
          <w:szCs w:val="24"/>
          <w:lang w:val="en-GB"/>
        </w:rPr>
        <w:t>c</w:t>
      </w:r>
      <w:r w:rsidR="00F620E1" w:rsidRPr="001215E4">
        <w:rPr>
          <w:rFonts w:cs="Arial"/>
          <w:szCs w:val="24"/>
          <w:lang w:val="en-GB"/>
        </w:rPr>
        <w:t>ourt nevertheless provides its reasons in this judgment in the interest</w:t>
      </w:r>
      <w:r w:rsidR="00FD4250" w:rsidRPr="001215E4">
        <w:rPr>
          <w:rFonts w:cs="Arial"/>
          <w:szCs w:val="24"/>
          <w:lang w:val="en-GB"/>
        </w:rPr>
        <w:t xml:space="preserve"> of </w:t>
      </w:r>
      <w:r w:rsidR="00F620E1" w:rsidRPr="001215E4">
        <w:rPr>
          <w:rFonts w:cs="Arial"/>
          <w:szCs w:val="24"/>
          <w:lang w:val="en-GB"/>
        </w:rPr>
        <w:t>justice</w:t>
      </w:r>
      <w:r w:rsidR="00F620E1">
        <w:rPr>
          <w:rStyle w:val="FootnoteReference"/>
          <w:rFonts w:cs="Arial"/>
          <w:szCs w:val="24"/>
          <w:lang w:val="en-GB"/>
        </w:rPr>
        <w:footnoteReference w:id="3"/>
      </w:r>
      <w:r w:rsidR="00FD4250" w:rsidRPr="001215E4">
        <w:rPr>
          <w:rFonts w:cs="Arial"/>
          <w:szCs w:val="24"/>
          <w:lang w:val="en-GB"/>
        </w:rPr>
        <w:t xml:space="preserve"> and saving time.</w:t>
      </w:r>
      <w:r w:rsidR="00F620E1" w:rsidRPr="001215E4">
        <w:rPr>
          <w:rFonts w:cs="Arial"/>
          <w:szCs w:val="24"/>
          <w:lang w:val="en-GB"/>
        </w:rPr>
        <w:t xml:space="preserve"> The reasons detailed herein will therefore be confirmed on the date th</w:t>
      </w:r>
      <w:r w:rsidR="004D5A0C" w:rsidRPr="001215E4">
        <w:rPr>
          <w:rFonts w:cs="Arial"/>
          <w:szCs w:val="24"/>
          <w:lang w:val="en-GB"/>
        </w:rPr>
        <w:t>at</w:t>
      </w:r>
      <w:r w:rsidR="00F620E1" w:rsidRPr="001215E4">
        <w:rPr>
          <w:rFonts w:cs="Arial"/>
          <w:szCs w:val="24"/>
          <w:lang w:val="en-GB"/>
        </w:rPr>
        <w:t xml:space="preserve"> same is handed down. </w:t>
      </w:r>
    </w:p>
    <w:p w14:paraId="1CDCACE1" w14:textId="18A8E4E4" w:rsidR="00B323A4" w:rsidRPr="00F620E1" w:rsidRDefault="00F620E1" w:rsidP="00F620E1">
      <w:pPr>
        <w:spacing w:before="360" w:after="360" w:line="360" w:lineRule="auto"/>
        <w:ind w:right="439"/>
        <w:rPr>
          <w:rFonts w:cs="Arial"/>
          <w:szCs w:val="24"/>
          <w:lang w:val="en-GB"/>
        </w:rPr>
      </w:pPr>
      <w:r>
        <w:rPr>
          <w:rFonts w:cs="Arial"/>
          <w:i/>
          <w:iCs/>
          <w:szCs w:val="24"/>
          <w:lang w:val="en-GB"/>
        </w:rPr>
        <w:t xml:space="preserve">Rule 35(7) application </w:t>
      </w:r>
      <w:r w:rsidRPr="00F620E1">
        <w:rPr>
          <w:rFonts w:cs="Arial"/>
          <w:szCs w:val="24"/>
          <w:lang w:val="en-GB"/>
        </w:rPr>
        <w:t xml:space="preserve"> </w:t>
      </w:r>
    </w:p>
    <w:p w14:paraId="2B264907" w14:textId="177131E3" w:rsidR="00B323A4" w:rsidRPr="001215E4" w:rsidRDefault="001215E4" w:rsidP="001215E4">
      <w:pPr>
        <w:tabs>
          <w:tab w:val="left" w:pos="861"/>
        </w:tabs>
        <w:spacing w:before="360" w:after="360" w:line="360" w:lineRule="auto"/>
        <w:ind w:left="851" w:right="439" w:hanging="851"/>
        <w:rPr>
          <w:rFonts w:cs="Arial"/>
          <w:szCs w:val="24"/>
          <w:lang w:val="en-GB"/>
        </w:rPr>
      </w:pPr>
      <w:r>
        <w:rPr>
          <w:rFonts w:cs="Arial"/>
          <w:w w:val="99"/>
          <w:szCs w:val="24"/>
        </w:rPr>
        <w:t>5.</w:t>
      </w:r>
      <w:r>
        <w:rPr>
          <w:rFonts w:cs="Arial"/>
          <w:w w:val="99"/>
          <w:szCs w:val="24"/>
        </w:rPr>
        <w:tab/>
      </w:r>
      <w:r w:rsidR="0091210C" w:rsidRPr="001215E4">
        <w:rPr>
          <w:rFonts w:cs="Arial"/>
          <w:szCs w:val="24"/>
          <w:lang w:val="en-GB"/>
        </w:rPr>
        <w:t xml:space="preserve">In terms of </w:t>
      </w:r>
      <w:r w:rsidR="00F2442B" w:rsidRPr="001215E4">
        <w:rPr>
          <w:rFonts w:cs="Arial"/>
          <w:szCs w:val="24"/>
          <w:lang w:val="en-GB"/>
        </w:rPr>
        <w:t xml:space="preserve">rule </w:t>
      </w:r>
      <w:r w:rsidR="0091210C" w:rsidRPr="001215E4">
        <w:rPr>
          <w:rFonts w:cs="Arial"/>
          <w:szCs w:val="24"/>
          <w:lang w:val="en-GB"/>
        </w:rPr>
        <w:t>35(7) a party “</w:t>
      </w:r>
      <w:r w:rsidR="0091210C" w:rsidRPr="001215E4">
        <w:rPr>
          <w:rFonts w:cs="Arial"/>
          <w:i/>
          <w:iCs/>
          <w:szCs w:val="24"/>
          <w:lang w:val="en-GB"/>
        </w:rPr>
        <w:t>may</w:t>
      </w:r>
      <w:r w:rsidR="0091210C" w:rsidRPr="001215E4">
        <w:rPr>
          <w:rFonts w:cs="Arial"/>
          <w:szCs w:val="24"/>
          <w:lang w:val="en-GB"/>
        </w:rPr>
        <w:t xml:space="preserve">” institute an application against its opponent for the </w:t>
      </w:r>
      <w:r w:rsidR="00AB51C9" w:rsidRPr="001215E4">
        <w:rPr>
          <w:rFonts w:cs="Arial"/>
          <w:szCs w:val="24"/>
          <w:lang w:val="en-GB"/>
        </w:rPr>
        <w:t xml:space="preserve">discovery and </w:t>
      </w:r>
      <w:r w:rsidR="0091210C" w:rsidRPr="001215E4">
        <w:rPr>
          <w:rFonts w:cs="Arial"/>
          <w:szCs w:val="24"/>
          <w:lang w:val="en-GB"/>
        </w:rPr>
        <w:t xml:space="preserve">delivery of the documents sought in terms of the </w:t>
      </w:r>
      <w:r w:rsidR="00F2442B" w:rsidRPr="001215E4">
        <w:rPr>
          <w:rFonts w:cs="Arial"/>
          <w:szCs w:val="24"/>
          <w:lang w:val="en-GB"/>
        </w:rPr>
        <w:t>rule </w:t>
      </w:r>
      <w:r w:rsidR="0091210C" w:rsidRPr="001215E4">
        <w:rPr>
          <w:rFonts w:cs="Arial"/>
          <w:szCs w:val="24"/>
          <w:lang w:val="en-GB"/>
        </w:rPr>
        <w:t xml:space="preserve">35(1) notice.  It is not a peremptory rule, and the court has a discretion whether or not to enforce discovery where the opposing party (i.e., the third respondent </w:t>
      </w:r>
      <w:r w:rsidR="0091210C" w:rsidRPr="001215E4">
        <w:rPr>
          <w:rFonts w:cs="Arial"/>
          <w:i/>
          <w:iCs/>
          <w:szCs w:val="24"/>
          <w:lang w:val="en-GB"/>
        </w:rPr>
        <w:t>in</w:t>
      </w:r>
      <w:r w:rsidR="0091210C" w:rsidRPr="001215E4">
        <w:rPr>
          <w:rFonts w:cs="Arial"/>
          <w:szCs w:val="24"/>
          <w:lang w:val="en-GB"/>
        </w:rPr>
        <w:t xml:space="preserve"> </w:t>
      </w:r>
      <w:r w:rsidR="0091210C" w:rsidRPr="001215E4">
        <w:rPr>
          <w:rFonts w:cs="Arial"/>
          <w:i/>
          <w:iCs/>
          <w:szCs w:val="24"/>
          <w:lang w:val="en-GB"/>
        </w:rPr>
        <w:t>casu</w:t>
      </w:r>
      <w:r w:rsidR="0091210C" w:rsidRPr="001215E4">
        <w:rPr>
          <w:rFonts w:cs="Arial"/>
          <w:szCs w:val="24"/>
          <w:lang w:val="en-GB"/>
        </w:rPr>
        <w:t>) fail</w:t>
      </w:r>
      <w:r w:rsidR="00AB51C9" w:rsidRPr="001215E4">
        <w:rPr>
          <w:rFonts w:cs="Arial"/>
          <w:szCs w:val="24"/>
          <w:lang w:val="en-GB"/>
        </w:rPr>
        <w:t>s</w:t>
      </w:r>
      <w:r w:rsidR="0091210C" w:rsidRPr="001215E4">
        <w:rPr>
          <w:rFonts w:cs="Arial"/>
          <w:szCs w:val="24"/>
          <w:lang w:val="en-GB"/>
        </w:rPr>
        <w:t xml:space="preserve"> to deliver the documents sought by way of discovery in terms of </w:t>
      </w:r>
      <w:r w:rsidR="004D5A0C" w:rsidRPr="001215E4">
        <w:rPr>
          <w:rFonts w:cs="Arial"/>
          <w:szCs w:val="24"/>
          <w:lang w:val="en-GB"/>
        </w:rPr>
        <w:t xml:space="preserve">rule </w:t>
      </w:r>
      <w:r w:rsidR="0091210C" w:rsidRPr="001215E4">
        <w:rPr>
          <w:rFonts w:cs="Arial"/>
          <w:szCs w:val="24"/>
          <w:lang w:val="en-GB"/>
        </w:rPr>
        <w:t>35</w:t>
      </w:r>
      <w:r w:rsidR="0091210C">
        <w:rPr>
          <w:rStyle w:val="FootnoteReference"/>
          <w:rFonts w:cs="Arial"/>
          <w:szCs w:val="24"/>
          <w:lang w:val="en-GB"/>
        </w:rPr>
        <w:footnoteReference w:id="4"/>
      </w:r>
      <w:r w:rsidR="0091210C" w:rsidRPr="001215E4">
        <w:rPr>
          <w:rFonts w:cs="Arial"/>
          <w:szCs w:val="24"/>
          <w:lang w:val="en-GB"/>
        </w:rPr>
        <w:t>.</w:t>
      </w:r>
      <w:r w:rsidR="00F2442B" w:rsidRPr="001215E4">
        <w:rPr>
          <w:rFonts w:cs="Arial"/>
          <w:szCs w:val="24"/>
          <w:lang w:val="en-GB"/>
        </w:rPr>
        <w:t xml:space="preserve"> Both sub-sections (1) and (3) must however be complied with and exhausted before sub-section (7) may be invoked.</w:t>
      </w:r>
    </w:p>
    <w:p w14:paraId="3172B3C6" w14:textId="02C40DC4" w:rsidR="0091210C" w:rsidRPr="001215E4" w:rsidRDefault="001215E4" w:rsidP="001215E4">
      <w:pPr>
        <w:tabs>
          <w:tab w:val="left" w:pos="861"/>
        </w:tabs>
        <w:spacing w:before="360" w:after="360" w:line="360" w:lineRule="auto"/>
        <w:ind w:left="851" w:right="439" w:hanging="851"/>
        <w:rPr>
          <w:rFonts w:cs="Arial"/>
          <w:szCs w:val="24"/>
          <w:lang w:val="en-GB"/>
        </w:rPr>
      </w:pPr>
      <w:r>
        <w:rPr>
          <w:rFonts w:cs="Arial"/>
          <w:w w:val="99"/>
          <w:szCs w:val="24"/>
        </w:rPr>
        <w:t>6.</w:t>
      </w:r>
      <w:r>
        <w:rPr>
          <w:rFonts w:cs="Arial"/>
          <w:w w:val="99"/>
          <w:szCs w:val="24"/>
        </w:rPr>
        <w:tab/>
      </w:r>
      <w:r w:rsidR="0091210C" w:rsidRPr="001215E4">
        <w:rPr>
          <w:rFonts w:cs="Arial"/>
          <w:i/>
          <w:iCs/>
          <w:szCs w:val="24"/>
          <w:lang w:val="en-GB"/>
        </w:rPr>
        <w:t>In</w:t>
      </w:r>
      <w:r w:rsidR="0091210C" w:rsidRPr="001215E4">
        <w:rPr>
          <w:rFonts w:cs="Arial"/>
          <w:szCs w:val="24"/>
          <w:lang w:val="en-GB"/>
        </w:rPr>
        <w:t xml:space="preserve"> </w:t>
      </w:r>
      <w:proofErr w:type="spellStart"/>
      <w:r w:rsidR="0091210C" w:rsidRPr="001215E4">
        <w:rPr>
          <w:rFonts w:cs="Arial"/>
          <w:i/>
          <w:iCs/>
          <w:szCs w:val="24"/>
          <w:lang w:val="en-GB"/>
        </w:rPr>
        <w:t>casu</w:t>
      </w:r>
      <w:proofErr w:type="spellEnd"/>
      <w:r w:rsidR="0091210C" w:rsidRPr="001215E4">
        <w:rPr>
          <w:rFonts w:cs="Arial"/>
          <w:szCs w:val="24"/>
          <w:lang w:val="en-GB"/>
        </w:rPr>
        <w:t xml:space="preserve">, the applicant instituted an application under the auspices of </w:t>
      </w:r>
      <w:r w:rsidR="00F2442B" w:rsidRPr="001215E4">
        <w:rPr>
          <w:rFonts w:cs="Arial"/>
          <w:szCs w:val="24"/>
          <w:lang w:val="en-GB"/>
        </w:rPr>
        <w:t>rule </w:t>
      </w:r>
      <w:r w:rsidR="0091210C" w:rsidRPr="001215E4">
        <w:rPr>
          <w:rFonts w:cs="Arial"/>
          <w:szCs w:val="24"/>
          <w:lang w:val="en-GB"/>
        </w:rPr>
        <w:t>35(7) on 30 August 2022</w:t>
      </w:r>
      <w:r w:rsidR="0091210C">
        <w:rPr>
          <w:rStyle w:val="FootnoteReference"/>
          <w:rFonts w:cs="Arial"/>
          <w:szCs w:val="24"/>
          <w:lang w:val="en-GB"/>
        </w:rPr>
        <w:footnoteReference w:id="5"/>
      </w:r>
      <w:r w:rsidR="0091210C" w:rsidRPr="001215E4">
        <w:rPr>
          <w:rFonts w:cs="Arial"/>
          <w:szCs w:val="24"/>
          <w:lang w:val="en-GB"/>
        </w:rPr>
        <w:t>.  In the notice of motion, the following relief is sought:</w:t>
      </w:r>
    </w:p>
    <w:p w14:paraId="6653049B" w14:textId="77777777" w:rsidR="00BA652F" w:rsidRDefault="0091210C" w:rsidP="0091210C">
      <w:pPr>
        <w:pStyle w:val="ListParagraph"/>
        <w:spacing w:before="360" w:after="360" w:line="360" w:lineRule="auto"/>
        <w:ind w:left="2268" w:right="439" w:hanging="567"/>
        <w:rPr>
          <w:rFonts w:cs="Arial"/>
          <w:i/>
          <w:iCs/>
          <w:szCs w:val="24"/>
          <w:lang w:val="en-GB"/>
        </w:rPr>
      </w:pPr>
      <w:r>
        <w:rPr>
          <w:rFonts w:cs="Arial"/>
          <w:i/>
          <w:iCs/>
          <w:szCs w:val="24"/>
          <w:lang w:val="en-GB"/>
        </w:rPr>
        <w:t>“1.</w:t>
      </w:r>
      <w:r>
        <w:rPr>
          <w:rFonts w:cs="Arial"/>
          <w:i/>
          <w:iCs/>
          <w:szCs w:val="24"/>
          <w:lang w:val="en-GB"/>
        </w:rPr>
        <w:tab/>
        <w:t>Directing</w:t>
      </w:r>
      <w:r w:rsidR="00BA652F">
        <w:rPr>
          <w:rFonts w:cs="Arial"/>
          <w:i/>
          <w:iCs/>
          <w:szCs w:val="24"/>
          <w:lang w:val="en-GB"/>
        </w:rPr>
        <w:t xml:space="preserve"> the Third Defendant to deliver its Discovery Affidavit within 10 (Ten) days from the date of service of this order;</w:t>
      </w:r>
    </w:p>
    <w:p w14:paraId="1DD4F6D6" w14:textId="77777777" w:rsidR="00BA652F" w:rsidRDefault="00BA652F" w:rsidP="0091210C">
      <w:pPr>
        <w:pStyle w:val="ListParagraph"/>
        <w:spacing w:before="360" w:after="360" w:line="360" w:lineRule="auto"/>
        <w:ind w:left="2268" w:right="439" w:hanging="567"/>
        <w:rPr>
          <w:rFonts w:cs="Arial"/>
          <w:i/>
          <w:iCs/>
          <w:szCs w:val="24"/>
          <w:lang w:val="en-GB"/>
        </w:rPr>
      </w:pPr>
      <w:r>
        <w:rPr>
          <w:rFonts w:cs="Arial"/>
          <w:i/>
          <w:iCs/>
          <w:szCs w:val="24"/>
          <w:lang w:val="en-GB"/>
        </w:rPr>
        <w:t>2.</w:t>
      </w:r>
      <w:r>
        <w:rPr>
          <w:rFonts w:cs="Arial"/>
          <w:i/>
          <w:iCs/>
          <w:szCs w:val="24"/>
          <w:lang w:val="en-GB"/>
        </w:rPr>
        <w:tab/>
        <w:t>Directing the Third Defendant to pay the costs of this application;</w:t>
      </w:r>
    </w:p>
    <w:p w14:paraId="0F447668" w14:textId="77777777" w:rsidR="00CA2B54" w:rsidRDefault="00BA652F" w:rsidP="0091210C">
      <w:pPr>
        <w:pStyle w:val="ListParagraph"/>
        <w:spacing w:before="360" w:after="360" w:line="360" w:lineRule="auto"/>
        <w:ind w:left="2268" w:right="439" w:hanging="567"/>
        <w:rPr>
          <w:rFonts w:cs="Arial"/>
          <w:i/>
          <w:iCs/>
          <w:szCs w:val="24"/>
          <w:lang w:val="en-GB"/>
        </w:rPr>
      </w:pPr>
      <w:r>
        <w:rPr>
          <w:rFonts w:cs="Arial"/>
          <w:i/>
          <w:iCs/>
          <w:szCs w:val="24"/>
          <w:lang w:val="en-GB"/>
        </w:rPr>
        <w:t>3.</w:t>
      </w:r>
      <w:r>
        <w:rPr>
          <w:rFonts w:cs="Arial"/>
          <w:i/>
          <w:iCs/>
          <w:szCs w:val="24"/>
          <w:lang w:val="en-GB"/>
        </w:rPr>
        <w:tab/>
        <w:t>That in the event of the Third Defendant failing and/or neglecting to comply with the order in paragraph 1 above, the Plaintiff be and is hereby granted leave to strike out the Third Defendant’s defence, on these same set of papers m</w:t>
      </w:r>
      <w:r w:rsidR="00CA2B54">
        <w:rPr>
          <w:rFonts w:cs="Arial"/>
          <w:i/>
          <w:iCs/>
          <w:szCs w:val="24"/>
          <w:lang w:val="en-GB"/>
        </w:rPr>
        <w:t>utatis</w:t>
      </w:r>
      <w:r>
        <w:rPr>
          <w:rFonts w:cs="Arial"/>
          <w:i/>
          <w:iCs/>
          <w:szCs w:val="24"/>
          <w:lang w:val="en-GB"/>
        </w:rPr>
        <w:t xml:space="preserve"> m</w:t>
      </w:r>
      <w:r w:rsidR="00CA2B54">
        <w:rPr>
          <w:rFonts w:cs="Arial"/>
          <w:i/>
          <w:iCs/>
          <w:szCs w:val="24"/>
          <w:lang w:val="en-GB"/>
        </w:rPr>
        <w:t>u</w:t>
      </w:r>
      <w:r>
        <w:rPr>
          <w:rFonts w:cs="Arial"/>
          <w:i/>
          <w:iCs/>
          <w:szCs w:val="24"/>
          <w:lang w:val="en-GB"/>
        </w:rPr>
        <w:t>tandis</w:t>
      </w:r>
      <w:r w:rsidR="00CA2B54">
        <w:rPr>
          <w:rFonts w:cs="Arial"/>
          <w:i/>
          <w:iCs/>
          <w:szCs w:val="24"/>
          <w:lang w:val="en-GB"/>
        </w:rPr>
        <w:t>; and</w:t>
      </w:r>
    </w:p>
    <w:p w14:paraId="552461AE" w14:textId="74E57B2C" w:rsidR="0091210C" w:rsidRPr="0091210C" w:rsidRDefault="00CA2B54" w:rsidP="0091210C">
      <w:pPr>
        <w:pStyle w:val="ListParagraph"/>
        <w:spacing w:before="360" w:after="360" w:line="360" w:lineRule="auto"/>
        <w:ind w:left="2268" w:right="439" w:hanging="567"/>
        <w:rPr>
          <w:rFonts w:cs="Arial"/>
          <w:i/>
          <w:iCs/>
          <w:szCs w:val="24"/>
          <w:lang w:val="en-GB"/>
        </w:rPr>
      </w:pPr>
      <w:r>
        <w:rPr>
          <w:rFonts w:cs="Arial"/>
          <w:i/>
          <w:iCs/>
          <w:szCs w:val="24"/>
          <w:lang w:val="en-GB"/>
        </w:rPr>
        <w:lastRenderedPageBreak/>
        <w:t>4.</w:t>
      </w:r>
      <w:r>
        <w:rPr>
          <w:rFonts w:cs="Arial"/>
          <w:i/>
          <w:iCs/>
          <w:szCs w:val="24"/>
          <w:lang w:val="en-GB"/>
        </w:rPr>
        <w:tab/>
        <w:t>Further and/or alternative relief.”</w:t>
      </w:r>
      <w:r w:rsidR="00BA652F">
        <w:rPr>
          <w:rFonts w:cs="Arial"/>
          <w:i/>
          <w:iCs/>
          <w:szCs w:val="24"/>
          <w:lang w:val="en-GB"/>
        </w:rPr>
        <w:t xml:space="preserve">  </w:t>
      </w:r>
    </w:p>
    <w:p w14:paraId="507A472A" w14:textId="4D2AEA20" w:rsidR="0091210C" w:rsidRPr="001215E4" w:rsidRDefault="001215E4" w:rsidP="001215E4">
      <w:pPr>
        <w:tabs>
          <w:tab w:val="left" w:pos="861"/>
        </w:tabs>
        <w:spacing w:before="360" w:after="360" w:line="360" w:lineRule="auto"/>
        <w:ind w:left="851" w:right="439" w:hanging="851"/>
        <w:rPr>
          <w:rFonts w:cs="Arial"/>
          <w:szCs w:val="24"/>
          <w:lang w:val="en-GB"/>
        </w:rPr>
      </w:pPr>
      <w:r w:rsidRPr="0091210C">
        <w:rPr>
          <w:rFonts w:cs="Arial"/>
          <w:w w:val="99"/>
          <w:szCs w:val="24"/>
        </w:rPr>
        <w:t>7.</w:t>
      </w:r>
      <w:r w:rsidRPr="0091210C">
        <w:rPr>
          <w:rFonts w:cs="Arial"/>
          <w:w w:val="99"/>
          <w:szCs w:val="24"/>
        </w:rPr>
        <w:tab/>
      </w:r>
      <w:r w:rsidR="00F055A7" w:rsidRPr="001215E4">
        <w:rPr>
          <w:rFonts w:cs="Arial"/>
          <w:szCs w:val="24"/>
          <w:lang w:val="en-GB"/>
        </w:rPr>
        <w:t xml:space="preserve">When </w:t>
      </w:r>
      <w:r w:rsidR="00CA2B54" w:rsidRPr="001215E4">
        <w:rPr>
          <w:rFonts w:cs="Arial"/>
          <w:szCs w:val="24"/>
          <w:lang w:val="en-GB"/>
        </w:rPr>
        <w:t xml:space="preserve">this application </w:t>
      </w:r>
      <w:r w:rsidR="00F2442B" w:rsidRPr="001215E4">
        <w:rPr>
          <w:rFonts w:cs="Arial"/>
          <w:szCs w:val="24"/>
          <w:lang w:val="en-GB"/>
        </w:rPr>
        <w:t xml:space="preserve">was </w:t>
      </w:r>
      <w:r w:rsidR="00CA2B54" w:rsidRPr="001215E4">
        <w:rPr>
          <w:rFonts w:cs="Arial"/>
          <w:szCs w:val="24"/>
          <w:lang w:val="en-GB"/>
        </w:rPr>
        <w:t>set down on the opposed motion roll, no order was sought in terms of prayers 1 and 3.</w:t>
      </w:r>
    </w:p>
    <w:p w14:paraId="42CF1379" w14:textId="567D2820" w:rsidR="0091210C" w:rsidRPr="001215E4" w:rsidRDefault="001215E4" w:rsidP="001215E4">
      <w:pPr>
        <w:tabs>
          <w:tab w:val="left" w:pos="861"/>
        </w:tabs>
        <w:spacing w:before="360" w:after="360" w:line="360" w:lineRule="auto"/>
        <w:ind w:left="851" w:right="439" w:hanging="851"/>
        <w:rPr>
          <w:rFonts w:cs="Arial"/>
          <w:szCs w:val="24"/>
          <w:lang w:val="en-GB"/>
        </w:rPr>
      </w:pPr>
      <w:r>
        <w:rPr>
          <w:rFonts w:cs="Arial"/>
          <w:w w:val="99"/>
          <w:szCs w:val="24"/>
        </w:rPr>
        <w:t>8.</w:t>
      </w:r>
      <w:r>
        <w:rPr>
          <w:rFonts w:cs="Arial"/>
          <w:w w:val="99"/>
          <w:szCs w:val="24"/>
        </w:rPr>
        <w:tab/>
      </w:r>
      <w:r w:rsidR="00C736DB" w:rsidRPr="001215E4">
        <w:rPr>
          <w:rFonts w:cs="Arial"/>
          <w:szCs w:val="24"/>
          <w:lang w:val="en-GB"/>
        </w:rPr>
        <w:t>T</w:t>
      </w:r>
      <w:r w:rsidR="001A525B" w:rsidRPr="001215E4">
        <w:rPr>
          <w:rFonts w:cs="Arial"/>
          <w:szCs w:val="24"/>
          <w:lang w:val="en-GB"/>
        </w:rPr>
        <w:t>o consider the aspect of costs</w:t>
      </w:r>
      <w:r w:rsidR="00F2442B" w:rsidRPr="001215E4">
        <w:rPr>
          <w:rFonts w:cs="Arial"/>
          <w:szCs w:val="24"/>
          <w:lang w:val="en-GB"/>
        </w:rPr>
        <w:t xml:space="preserve"> within</w:t>
      </w:r>
      <w:r w:rsidR="001A525B" w:rsidRPr="001215E4">
        <w:rPr>
          <w:rFonts w:cs="Arial"/>
          <w:szCs w:val="24"/>
          <w:lang w:val="en-GB"/>
        </w:rPr>
        <w:t xml:space="preserve"> </w:t>
      </w:r>
      <w:r w:rsidR="00DC6BC5" w:rsidRPr="001215E4">
        <w:rPr>
          <w:rFonts w:cs="Arial"/>
          <w:szCs w:val="24"/>
          <w:lang w:val="en-GB"/>
        </w:rPr>
        <w:t>the discretion of the court which must be exercised judicially with due regard to the relevant circumstances</w:t>
      </w:r>
      <w:r w:rsidR="00C736DB">
        <w:rPr>
          <w:rStyle w:val="FootnoteReference"/>
          <w:rFonts w:cs="Arial"/>
          <w:szCs w:val="24"/>
          <w:lang w:val="en-GB"/>
        </w:rPr>
        <w:footnoteReference w:id="6"/>
      </w:r>
      <w:r w:rsidR="00AB51C9" w:rsidRPr="001215E4">
        <w:rPr>
          <w:rFonts w:cs="Arial"/>
          <w:i/>
          <w:iCs/>
          <w:szCs w:val="24"/>
          <w:lang w:val="en-GB"/>
        </w:rPr>
        <w:t xml:space="preserve"> </w:t>
      </w:r>
      <w:r w:rsidR="00DC6BC5" w:rsidRPr="001215E4">
        <w:rPr>
          <w:rFonts w:cs="Arial"/>
          <w:szCs w:val="24"/>
          <w:lang w:val="en-GB"/>
        </w:rPr>
        <w:t xml:space="preserve">the following </w:t>
      </w:r>
      <w:r w:rsidR="00AB51C9" w:rsidRPr="001215E4">
        <w:rPr>
          <w:rFonts w:cs="Arial"/>
          <w:szCs w:val="24"/>
          <w:lang w:val="en-GB"/>
        </w:rPr>
        <w:t xml:space="preserve">factual </w:t>
      </w:r>
      <w:r w:rsidR="00DC6BC5" w:rsidRPr="001215E4">
        <w:rPr>
          <w:rFonts w:cs="Arial"/>
          <w:szCs w:val="24"/>
          <w:lang w:val="en-GB"/>
        </w:rPr>
        <w:t>chronology is relevant</w:t>
      </w:r>
      <w:r w:rsidR="00F2442B" w:rsidRPr="001215E4">
        <w:rPr>
          <w:rFonts w:cs="Arial"/>
          <w:szCs w:val="24"/>
          <w:lang w:val="en-GB"/>
        </w:rPr>
        <w:t xml:space="preserve">, </w:t>
      </w:r>
      <w:r w:rsidR="00F2442B" w:rsidRPr="001215E4">
        <w:rPr>
          <w:rFonts w:cs="Arial"/>
          <w:i/>
          <w:iCs/>
          <w:szCs w:val="24"/>
          <w:lang w:val="en-GB"/>
        </w:rPr>
        <w:t>in</w:t>
      </w:r>
      <w:r w:rsidR="00F2442B" w:rsidRPr="001215E4">
        <w:rPr>
          <w:rFonts w:cs="Arial"/>
          <w:szCs w:val="24"/>
          <w:lang w:val="en-GB"/>
        </w:rPr>
        <w:t xml:space="preserve"> </w:t>
      </w:r>
      <w:r w:rsidR="00F2442B" w:rsidRPr="001215E4">
        <w:rPr>
          <w:rFonts w:cs="Arial"/>
          <w:i/>
          <w:iCs/>
          <w:szCs w:val="24"/>
          <w:lang w:val="en-GB"/>
        </w:rPr>
        <w:t>casu</w:t>
      </w:r>
      <w:r w:rsidR="00DC6BC5" w:rsidRPr="001215E4">
        <w:rPr>
          <w:rFonts w:cs="Arial"/>
          <w:szCs w:val="24"/>
          <w:lang w:val="en-GB"/>
        </w:rPr>
        <w:t>:</w:t>
      </w:r>
    </w:p>
    <w:p w14:paraId="0764C2B7" w14:textId="7041A9B2" w:rsidR="00DC6BC5" w:rsidRPr="001215E4" w:rsidRDefault="001215E4" w:rsidP="001215E4">
      <w:pPr>
        <w:tabs>
          <w:tab w:val="left" w:pos="861"/>
          <w:tab w:val="left" w:pos="1701"/>
        </w:tabs>
        <w:spacing w:before="360" w:after="360" w:line="360" w:lineRule="auto"/>
        <w:ind w:left="1701" w:right="439" w:hanging="850"/>
        <w:rPr>
          <w:rFonts w:cs="Arial"/>
          <w:szCs w:val="24"/>
          <w:lang w:val="en-GB"/>
        </w:rPr>
      </w:pPr>
      <w:r>
        <w:rPr>
          <w:rFonts w:cs="Arial"/>
          <w:szCs w:val="24"/>
        </w:rPr>
        <w:t>8.1.</w:t>
      </w:r>
      <w:r>
        <w:rPr>
          <w:rFonts w:cs="Arial"/>
          <w:szCs w:val="24"/>
        </w:rPr>
        <w:tab/>
      </w:r>
      <w:r w:rsidR="00DC6BC5" w:rsidRPr="001215E4">
        <w:rPr>
          <w:rFonts w:cs="Arial"/>
          <w:szCs w:val="24"/>
          <w:lang w:val="en-GB"/>
        </w:rPr>
        <w:t>The particulars of claim</w:t>
      </w:r>
      <w:r w:rsidR="00DC6BC5">
        <w:rPr>
          <w:rStyle w:val="FootnoteReference"/>
          <w:rFonts w:cs="Arial"/>
          <w:szCs w:val="24"/>
          <w:lang w:val="en-GB"/>
        </w:rPr>
        <w:footnoteReference w:id="7"/>
      </w:r>
      <w:r w:rsidR="00DC6BC5" w:rsidRPr="001215E4">
        <w:rPr>
          <w:rFonts w:cs="Arial"/>
          <w:szCs w:val="24"/>
          <w:lang w:val="en-GB"/>
        </w:rPr>
        <w:t xml:space="preserve"> in this action is dated 7 April 2022. In the main action, the plaintiff’s claim is based on a transaction (</w:t>
      </w:r>
      <w:r w:rsidR="00A43ACB" w:rsidRPr="001215E4">
        <w:rPr>
          <w:rFonts w:cs="Arial"/>
          <w:szCs w:val="24"/>
          <w:lang w:val="en-GB"/>
        </w:rPr>
        <w:t xml:space="preserve">referred to in the pleadings as an </w:t>
      </w:r>
      <w:r w:rsidR="00DC6BC5" w:rsidRPr="001215E4">
        <w:rPr>
          <w:rFonts w:cs="Arial"/>
          <w:szCs w:val="24"/>
          <w:lang w:val="en-GB"/>
        </w:rPr>
        <w:t>“</w:t>
      </w:r>
      <w:r w:rsidR="00DC6BC5" w:rsidRPr="001215E4">
        <w:rPr>
          <w:rFonts w:cs="Arial"/>
          <w:i/>
          <w:iCs/>
          <w:szCs w:val="24"/>
          <w:lang w:val="en-GB"/>
        </w:rPr>
        <w:t>Offer to Purchase</w:t>
      </w:r>
      <w:r w:rsidR="00DC6BC5" w:rsidRPr="001215E4">
        <w:rPr>
          <w:rFonts w:cs="Arial"/>
          <w:szCs w:val="24"/>
          <w:lang w:val="en-GB"/>
        </w:rPr>
        <w:t>”) concluded with the first defendant through the second defendant as the estate agent.  The third defendant (third respondent herein) acted as the conveyancing attorney appointed in terms of the Offer to Purchase.</w:t>
      </w:r>
    </w:p>
    <w:p w14:paraId="4395E432" w14:textId="29492BBA" w:rsidR="00F2442B" w:rsidRPr="001215E4" w:rsidRDefault="001215E4" w:rsidP="001215E4">
      <w:pPr>
        <w:tabs>
          <w:tab w:val="left" w:pos="861"/>
          <w:tab w:val="left" w:pos="1701"/>
        </w:tabs>
        <w:spacing w:before="360" w:after="360" w:line="360" w:lineRule="auto"/>
        <w:ind w:left="1701" w:right="439" w:hanging="850"/>
        <w:rPr>
          <w:rFonts w:cs="Arial"/>
          <w:szCs w:val="24"/>
          <w:lang w:val="en-GB"/>
        </w:rPr>
      </w:pPr>
      <w:r>
        <w:rPr>
          <w:rFonts w:cs="Arial"/>
          <w:szCs w:val="24"/>
        </w:rPr>
        <w:t>8.2.</w:t>
      </w:r>
      <w:r>
        <w:rPr>
          <w:rFonts w:cs="Arial"/>
          <w:szCs w:val="24"/>
        </w:rPr>
        <w:tab/>
      </w:r>
      <w:r w:rsidR="00F2442B" w:rsidRPr="001215E4">
        <w:rPr>
          <w:rFonts w:cs="Arial"/>
          <w:szCs w:val="24"/>
          <w:lang w:val="en-GB"/>
        </w:rPr>
        <w:t>On 27 May 2022, a notice of bar was delivered to the third respondent/defendant.</w:t>
      </w:r>
    </w:p>
    <w:p w14:paraId="5290A042" w14:textId="4C03B6D4" w:rsidR="00174F5B" w:rsidRPr="001215E4" w:rsidRDefault="001215E4" w:rsidP="001215E4">
      <w:pPr>
        <w:tabs>
          <w:tab w:val="left" w:pos="861"/>
          <w:tab w:val="left" w:pos="1701"/>
        </w:tabs>
        <w:spacing w:before="360" w:after="360" w:line="360" w:lineRule="auto"/>
        <w:ind w:left="1701" w:right="439" w:hanging="850"/>
        <w:rPr>
          <w:rFonts w:cs="Arial"/>
          <w:szCs w:val="24"/>
          <w:lang w:val="en-GB"/>
        </w:rPr>
      </w:pPr>
      <w:r>
        <w:rPr>
          <w:rFonts w:cs="Arial"/>
          <w:szCs w:val="24"/>
        </w:rPr>
        <w:t>8.3.</w:t>
      </w:r>
      <w:r>
        <w:rPr>
          <w:rFonts w:cs="Arial"/>
          <w:szCs w:val="24"/>
        </w:rPr>
        <w:tab/>
      </w:r>
      <w:r w:rsidR="00A43ACB" w:rsidRPr="001215E4">
        <w:rPr>
          <w:rFonts w:cs="Arial"/>
          <w:szCs w:val="24"/>
          <w:lang w:val="en-GB"/>
        </w:rPr>
        <w:t>On 31 May 2022 t</w:t>
      </w:r>
      <w:r w:rsidR="00174F5B" w:rsidRPr="001215E4">
        <w:rPr>
          <w:rFonts w:cs="Arial"/>
          <w:szCs w:val="24"/>
          <w:lang w:val="en-GB"/>
        </w:rPr>
        <w:t xml:space="preserve">he third defendant </w:t>
      </w:r>
      <w:r w:rsidR="00A43ACB" w:rsidRPr="001215E4">
        <w:rPr>
          <w:rFonts w:cs="Arial"/>
          <w:szCs w:val="24"/>
          <w:lang w:val="en-GB"/>
        </w:rPr>
        <w:t xml:space="preserve">delivered its </w:t>
      </w:r>
      <w:r w:rsidR="00174F5B" w:rsidRPr="001215E4">
        <w:rPr>
          <w:rFonts w:cs="Arial"/>
          <w:szCs w:val="24"/>
          <w:lang w:val="en-GB"/>
        </w:rPr>
        <w:t>plea</w:t>
      </w:r>
      <w:r w:rsidR="00A43ACB" w:rsidRPr="001215E4">
        <w:rPr>
          <w:rFonts w:cs="Arial"/>
          <w:szCs w:val="24"/>
          <w:lang w:val="en-GB"/>
        </w:rPr>
        <w:t xml:space="preserve"> in </w:t>
      </w:r>
      <w:r w:rsidR="00174F5B" w:rsidRPr="001215E4">
        <w:rPr>
          <w:rFonts w:cs="Arial"/>
          <w:szCs w:val="24"/>
          <w:lang w:val="en-GB"/>
        </w:rPr>
        <w:t>the action, which includes special plea</w:t>
      </w:r>
      <w:r w:rsidR="00F2442B" w:rsidRPr="001215E4">
        <w:rPr>
          <w:rFonts w:cs="Arial"/>
          <w:szCs w:val="24"/>
          <w:lang w:val="en-GB"/>
        </w:rPr>
        <w:t>s</w:t>
      </w:r>
      <w:r w:rsidR="00174F5B" w:rsidRPr="001215E4">
        <w:rPr>
          <w:rFonts w:cs="Arial"/>
          <w:szCs w:val="24"/>
          <w:lang w:val="en-GB"/>
        </w:rPr>
        <w:t xml:space="preserve"> of non-joinder and </w:t>
      </w:r>
      <w:r w:rsidR="00A43ACB" w:rsidRPr="001215E4">
        <w:rPr>
          <w:rFonts w:cs="Arial"/>
          <w:szCs w:val="24"/>
          <w:lang w:val="en-GB"/>
        </w:rPr>
        <w:t>im</w:t>
      </w:r>
      <w:r w:rsidR="00174F5B" w:rsidRPr="001215E4">
        <w:rPr>
          <w:rFonts w:cs="Arial"/>
          <w:szCs w:val="24"/>
          <w:lang w:val="en-GB"/>
        </w:rPr>
        <w:t>possibility of performance</w:t>
      </w:r>
      <w:r w:rsidR="00174F5B">
        <w:rPr>
          <w:rStyle w:val="FootnoteReference"/>
          <w:rFonts w:cs="Arial"/>
          <w:szCs w:val="24"/>
          <w:lang w:val="en-GB"/>
        </w:rPr>
        <w:footnoteReference w:id="8"/>
      </w:r>
      <w:r w:rsidR="00174F5B" w:rsidRPr="001215E4">
        <w:rPr>
          <w:rFonts w:cs="Arial"/>
          <w:szCs w:val="24"/>
          <w:lang w:val="en-GB"/>
        </w:rPr>
        <w:t>.</w:t>
      </w:r>
    </w:p>
    <w:p w14:paraId="511BE164" w14:textId="376769F8" w:rsidR="00174F5B" w:rsidRPr="001215E4" w:rsidRDefault="001215E4" w:rsidP="001215E4">
      <w:pPr>
        <w:tabs>
          <w:tab w:val="left" w:pos="861"/>
          <w:tab w:val="left" w:pos="1701"/>
        </w:tabs>
        <w:spacing w:before="360" w:after="360" w:line="360" w:lineRule="auto"/>
        <w:ind w:left="1701" w:right="439" w:hanging="850"/>
        <w:rPr>
          <w:rFonts w:cs="Arial"/>
          <w:szCs w:val="24"/>
          <w:lang w:val="en-GB"/>
        </w:rPr>
      </w:pPr>
      <w:r>
        <w:rPr>
          <w:rFonts w:cs="Arial"/>
          <w:szCs w:val="24"/>
        </w:rPr>
        <w:t>8.4.</w:t>
      </w:r>
      <w:r>
        <w:rPr>
          <w:rFonts w:cs="Arial"/>
          <w:szCs w:val="24"/>
        </w:rPr>
        <w:tab/>
      </w:r>
      <w:r w:rsidR="00174F5B" w:rsidRPr="001215E4">
        <w:rPr>
          <w:rFonts w:cs="Arial"/>
          <w:szCs w:val="24"/>
          <w:lang w:val="en-GB"/>
        </w:rPr>
        <w:t xml:space="preserve">On 31 May 2022, a notice of bar was delivered due to the first and second defendants’ failure to file a plea. </w:t>
      </w:r>
    </w:p>
    <w:p w14:paraId="1EEF2D5B" w14:textId="1DCDCC85" w:rsidR="00174F5B" w:rsidRPr="001215E4" w:rsidRDefault="001215E4" w:rsidP="001215E4">
      <w:pPr>
        <w:tabs>
          <w:tab w:val="left" w:pos="861"/>
          <w:tab w:val="left" w:pos="1701"/>
        </w:tabs>
        <w:spacing w:before="360" w:after="360" w:line="360" w:lineRule="auto"/>
        <w:ind w:left="1701" w:right="439" w:hanging="850"/>
        <w:rPr>
          <w:rFonts w:cs="Arial"/>
          <w:szCs w:val="24"/>
          <w:lang w:val="en-GB"/>
        </w:rPr>
      </w:pPr>
      <w:r>
        <w:rPr>
          <w:rFonts w:cs="Arial"/>
          <w:szCs w:val="24"/>
        </w:rPr>
        <w:t>8.5.</w:t>
      </w:r>
      <w:r>
        <w:rPr>
          <w:rFonts w:cs="Arial"/>
          <w:szCs w:val="24"/>
        </w:rPr>
        <w:tab/>
      </w:r>
      <w:r w:rsidR="00174F5B" w:rsidRPr="001215E4">
        <w:rPr>
          <w:rFonts w:cs="Arial"/>
          <w:szCs w:val="24"/>
          <w:lang w:val="en-GB"/>
        </w:rPr>
        <w:t xml:space="preserve">On 21 July 2022, the applicant filed a notice requesting discovery in terms of </w:t>
      </w:r>
      <w:r w:rsidR="00F2442B" w:rsidRPr="001215E4">
        <w:rPr>
          <w:rFonts w:cs="Arial"/>
          <w:szCs w:val="24"/>
          <w:lang w:val="en-GB"/>
        </w:rPr>
        <w:t xml:space="preserve">rule </w:t>
      </w:r>
      <w:r w:rsidR="00174F5B" w:rsidRPr="001215E4">
        <w:rPr>
          <w:rFonts w:cs="Arial"/>
          <w:szCs w:val="24"/>
          <w:lang w:val="en-GB"/>
        </w:rPr>
        <w:t>35(1).  In terms of the corresponding rule, a party has 20 (twenty) days to file its discovery subsequent to the filing of the notice</w:t>
      </w:r>
      <w:r w:rsidR="00C736DB" w:rsidRPr="001215E4">
        <w:rPr>
          <w:rFonts w:cs="Arial"/>
          <w:szCs w:val="24"/>
          <w:lang w:val="en-GB"/>
        </w:rPr>
        <w:t>.</w:t>
      </w:r>
      <w:r w:rsidR="00174F5B" w:rsidRPr="001215E4">
        <w:rPr>
          <w:rFonts w:cs="Arial"/>
          <w:szCs w:val="24"/>
          <w:lang w:val="en-GB"/>
        </w:rPr>
        <w:t xml:space="preserve"> </w:t>
      </w:r>
      <w:r w:rsidR="00C736DB" w:rsidRPr="001215E4">
        <w:rPr>
          <w:rFonts w:cs="Arial"/>
          <w:i/>
          <w:iCs/>
          <w:szCs w:val="24"/>
          <w:lang w:val="en-GB"/>
        </w:rPr>
        <w:t>I</w:t>
      </w:r>
      <w:r w:rsidR="00174F5B" w:rsidRPr="001215E4">
        <w:rPr>
          <w:rFonts w:cs="Arial"/>
          <w:i/>
          <w:iCs/>
          <w:szCs w:val="24"/>
          <w:lang w:val="en-GB"/>
        </w:rPr>
        <w:t>n</w:t>
      </w:r>
      <w:r w:rsidR="00174F5B" w:rsidRPr="001215E4">
        <w:rPr>
          <w:rFonts w:cs="Arial"/>
          <w:szCs w:val="24"/>
          <w:lang w:val="en-GB"/>
        </w:rPr>
        <w:t xml:space="preserve"> </w:t>
      </w:r>
      <w:r w:rsidR="00174F5B" w:rsidRPr="001215E4">
        <w:rPr>
          <w:rFonts w:cs="Arial"/>
          <w:i/>
          <w:iCs/>
          <w:szCs w:val="24"/>
          <w:lang w:val="en-GB"/>
        </w:rPr>
        <w:t>casu</w:t>
      </w:r>
      <w:r w:rsidR="00174F5B" w:rsidRPr="001215E4">
        <w:rPr>
          <w:rFonts w:cs="Arial"/>
          <w:szCs w:val="24"/>
          <w:lang w:val="en-GB"/>
        </w:rPr>
        <w:t xml:space="preserve"> the 20 (twenty) day period lapsed on 21 August 2022.</w:t>
      </w:r>
    </w:p>
    <w:p w14:paraId="06D3FF97" w14:textId="7F2BE3EB" w:rsidR="00174F5B" w:rsidRPr="001215E4" w:rsidRDefault="001215E4" w:rsidP="001215E4">
      <w:pPr>
        <w:tabs>
          <w:tab w:val="left" w:pos="861"/>
          <w:tab w:val="left" w:pos="1701"/>
        </w:tabs>
        <w:spacing w:before="360" w:after="360" w:line="360" w:lineRule="auto"/>
        <w:ind w:left="1701" w:right="439" w:hanging="850"/>
        <w:rPr>
          <w:rFonts w:cs="Arial"/>
          <w:szCs w:val="24"/>
          <w:lang w:val="en-GB"/>
        </w:rPr>
      </w:pPr>
      <w:r>
        <w:rPr>
          <w:rFonts w:cs="Arial"/>
          <w:szCs w:val="24"/>
        </w:rPr>
        <w:t>8.6.</w:t>
      </w:r>
      <w:r>
        <w:rPr>
          <w:rFonts w:cs="Arial"/>
          <w:szCs w:val="24"/>
        </w:rPr>
        <w:tab/>
      </w:r>
      <w:r w:rsidR="00174F5B" w:rsidRPr="001215E4">
        <w:rPr>
          <w:rFonts w:cs="Arial"/>
          <w:szCs w:val="24"/>
          <w:lang w:val="en-GB"/>
        </w:rPr>
        <w:t xml:space="preserve">On 22 August 2022 (one day after the expiry of the 20 (twenty) day </w:t>
      </w:r>
      <w:r w:rsidR="00174F5B" w:rsidRPr="001215E4">
        <w:rPr>
          <w:rFonts w:cs="Arial"/>
          <w:szCs w:val="24"/>
          <w:lang w:val="en-GB"/>
        </w:rPr>
        <w:lastRenderedPageBreak/>
        <w:t xml:space="preserve">period in terms of </w:t>
      </w:r>
      <w:r w:rsidR="00F2442B" w:rsidRPr="001215E4">
        <w:rPr>
          <w:rFonts w:cs="Arial"/>
          <w:szCs w:val="24"/>
          <w:lang w:val="en-GB"/>
        </w:rPr>
        <w:t xml:space="preserve">rule </w:t>
      </w:r>
      <w:r w:rsidR="00174F5B" w:rsidRPr="001215E4">
        <w:rPr>
          <w:rFonts w:cs="Arial"/>
          <w:szCs w:val="24"/>
          <w:lang w:val="en-GB"/>
        </w:rPr>
        <w:t xml:space="preserve">35(1), the applicant dispatched correspondence to the third respondent’s attorney (the third respondent does not represent itself) wherein the following is stated, </w:t>
      </w:r>
      <w:r w:rsidR="00174F5B" w:rsidRPr="001215E4">
        <w:rPr>
          <w:rFonts w:cs="Arial"/>
          <w:i/>
          <w:iCs/>
          <w:szCs w:val="24"/>
        </w:rPr>
        <w:t>inter alia</w:t>
      </w:r>
      <w:r w:rsidR="00174F5B">
        <w:rPr>
          <w:rStyle w:val="FootnoteReference"/>
          <w:rFonts w:cs="Arial"/>
          <w:szCs w:val="24"/>
          <w:lang w:val="en-GB"/>
        </w:rPr>
        <w:footnoteReference w:id="9"/>
      </w:r>
      <w:r w:rsidR="00174F5B" w:rsidRPr="001215E4">
        <w:rPr>
          <w:rFonts w:cs="Arial"/>
          <w:szCs w:val="24"/>
          <w:lang w:val="en-GB"/>
        </w:rPr>
        <w:t>:</w:t>
      </w:r>
    </w:p>
    <w:p w14:paraId="665F4AB4" w14:textId="572E6672" w:rsidR="00174F5B" w:rsidRPr="00174F5B" w:rsidRDefault="00174F5B" w:rsidP="00174F5B">
      <w:pPr>
        <w:pStyle w:val="ListParagraph"/>
        <w:spacing w:before="360" w:after="360" w:line="360" w:lineRule="auto"/>
        <w:ind w:left="2835" w:right="439" w:hanging="567"/>
        <w:rPr>
          <w:rFonts w:cs="Arial"/>
          <w:i/>
          <w:iCs/>
          <w:szCs w:val="24"/>
          <w:lang w:val="en-GB"/>
        </w:rPr>
      </w:pPr>
      <w:r>
        <w:rPr>
          <w:rFonts w:cs="Arial"/>
          <w:i/>
          <w:iCs/>
          <w:szCs w:val="24"/>
          <w:lang w:val="en-GB"/>
        </w:rPr>
        <w:t>“2.</w:t>
      </w:r>
      <w:r>
        <w:rPr>
          <w:rFonts w:cs="Arial"/>
          <w:i/>
          <w:iCs/>
          <w:szCs w:val="24"/>
          <w:lang w:val="en-GB"/>
        </w:rPr>
        <w:tab/>
        <w:t xml:space="preserve">Kindly take note that on </w:t>
      </w:r>
      <w:r w:rsidRPr="00174F5B">
        <w:rPr>
          <w:rFonts w:cs="Arial"/>
          <w:b/>
          <w:bCs/>
          <w:i/>
          <w:iCs/>
          <w:szCs w:val="24"/>
          <w:lang w:val="en-GB"/>
        </w:rPr>
        <w:t>21 July 2022</w:t>
      </w:r>
      <w:r>
        <w:rPr>
          <w:rFonts w:cs="Arial"/>
          <w:i/>
          <w:iCs/>
          <w:szCs w:val="24"/>
          <w:lang w:val="en-GB"/>
        </w:rPr>
        <w:t xml:space="preserve">, the Third Defendant was requested to discovery in terms of Rule 35(1) and to date we have not received any response to our request.” </w:t>
      </w:r>
    </w:p>
    <w:p w14:paraId="2675594D" w14:textId="30FB70B0" w:rsidR="00174F5B" w:rsidRPr="001215E4" w:rsidRDefault="001215E4" w:rsidP="001215E4">
      <w:pPr>
        <w:tabs>
          <w:tab w:val="left" w:pos="861"/>
          <w:tab w:val="left" w:pos="1701"/>
        </w:tabs>
        <w:spacing w:before="360" w:after="360" w:line="360" w:lineRule="auto"/>
        <w:ind w:left="1701" w:right="439" w:hanging="850"/>
        <w:rPr>
          <w:rFonts w:cs="Arial"/>
          <w:szCs w:val="24"/>
          <w:lang w:val="en-GB"/>
        </w:rPr>
      </w:pPr>
      <w:r>
        <w:rPr>
          <w:rFonts w:cs="Arial"/>
          <w:szCs w:val="24"/>
        </w:rPr>
        <w:t>8.7.</w:t>
      </w:r>
      <w:r>
        <w:rPr>
          <w:rFonts w:cs="Arial"/>
          <w:szCs w:val="24"/>
        </w:rPr>
        <w:tab/>
      </w:r>
      <w:r w:rsidR="00174F5B" w:rsidRPr="001215E4">
        <w:rPr>
          <w:rFonts w:cs="Arial"/>
          <w:szCs w:val="24"/>
          <w:lang w:val="en-GB"/>
        </w:rPr>
        <w:t>On 23 August 2022, the third respondent’s</w:t>
      </w:r>
      <w:r w:rsidR="008A2C52" w:rsidRPr="001215E4">
        <w:rPr>
          <w:rFonts w:cs="Arial"/>
          <w:szCs w:val="24"/>
          <w:lang w:val="en-GB"/>
        </w:rPr>
        <w:t xml:space="preserve"> attorneys answered to the aforesaid letter, for ease of reference, the contents thereof </w:t>
      </w:r>
      <w:r w:rsidR="00A43ACB" w:rsidRPr="001215E4">
        <w:rPr>
          <w:rFonts w:cs="Arial"/>
          <w:szCs w:val="24"/>
          <w:lang w:val="en-GB"/>
        </w:rPr>
        <w:t>are</w:t>
      </w:r>
      <w:r w:rsidR="008A2C52" w:rsidRPr="001215E4">
        <w:rPr>
          <w:rFonts w:cs="Arial"/>
          <w:szCs w:val="24"/>
          <w:lang w:val="en-GB"/>
        </w:rPr>
        <w:t xml:space="preserve"> quoted herein, which reads as follows:</w:t>
      </w:r>
    </w:p>
    <w:p w14:paraId="0EF97947" w14:textId="216C71C4" w:rsidR="008A2C52" w:rsidRDefault="008A2C52" w:rsidP="008A2C52">
      <w:pPr>
        <w:pStyle w:val="ListParagraph"/>
        <w:spacing w:before="360" w:after="360" w:line="360" w:lineRule="auto"/>
        <w:ind w:left="2268" w:right="439"/>
        <w:rPr>
          <w:rFonts w:cs="Arial"/>
          <w:i/>
          <w:iCs/>
          <w:szCs w:val="24"/>
          <w:lang w:val="en-GB"/>
        </w:rPr>
      </w:pPr>
      <w:r>
        <w:rPr>
          <w:rFonts w:cs="Arial"/>
          <w:i/>
          <w:iCs/>
          <w:szCs w:val="24"/>
          <w:lang w:val="en-GB"/>
        </w:rPr>
        <w:t>“</w:t>
      </w:r>
      <w:r w:rsidR="002858DF">
        <w:rPr>
          <w:rFonts w:cs="Arial"/>
          <w:i/>
          <w:iCs/>
          <w:szCs w:val="24"/>
          <w:lang w:val="en-GB"/>
        </w:rPr>
        <w:t>Good afternoon, Ms Soko.</w:t>
      </w:r>
    </w:p>
    <w:p w14:paraId="5975B0CA" w14:textId="1BA2A372" w:rsidR="002858DF" w:rsidRDefault="002858DF" w:rsidP="008A2C52">
      <w:pPr>
        <w:pStyle w:val="ListParagraph"/>
        <w:spacing w:before="360" w:after="360" w:line="360" w:lineRule="auto"/>
        <w:ind w:left="2268" w:right="439"/>
        <w:rPr>
          <w:rFonts w:cs="Arial"/>
          <w:i/>
          <w:iCs/>
          <w:szCs w:val="24"/>
          <w:lang w:val="en-GB"/>
        </w:rPr>
      </w:pPr>
      <w:r>
        <w:rPr>
          <w:rFonts w:cs="Arial"/>
          <w:i/>
          <w:iCs/>
          <w:szCs w:val="24"/>
          <w:lang w:val="en-GB"/>
        </w:rPr>
        <w:t xml:space="preserve">Your e-mail of below, as well as your attached letter dated </w:t>
      </w:r>
      <w:r>
        <w:rPr>
          <w:rFonts w:cs="Arial"/>
          <w:i/>
          <w:iCs/>
          <w:szCs w:val="24"/>
          <w:u w:val="single"/>
          <w:lang w:val="en-GB"/>
        </w:rPr>
        <w:t>22 August 2022</w:t>
      </w:r>
      <w:r>
        <w:rPr>
          <w:rFonts w:cs="Arial"/>
          <w:i/>
          <w:iCs/>
          <w:szCs w:val="24"/>
          <w:lang w:val="en-GB"/>
        </w:rPr>
        <w:t>, refer.</w:t>
      </w:r>
    </w:p>
    <w:p w14:paraId="41F9082A" w14:textId="19FBCE7C" w:rsidR="002858DF" w:rsidRDefault="002858DF" w:rsidP="008A2C52">
      <w:pPr>
        <w:pStyle w:val="ListParagraph"/>
        <w:spacing w:before="360" w:after="360" w:line="360" w:lineRule="auto"/>
        <w:ind w:left="2268" w:right="439"/>
        <w:rPr>
          <w:rFonts w:cs="Arial"/>
          <w:b/>
          <w:bCs/>
          <w:i/>
          <w:iCs/>
          <w:szCs w:val="24"/>
          <w:u w:val="single"/>
          <w:lang w:val="en-GB"/>
        </w:rPr>
      </w:pPr>
      <w:r>
        <w:rPr>
          <w:rFonts w:cs="Arial"/>
          <w:i/>
          <w:iCs/>
          <w:szCs w:val="24"/>
          <w:lang w:val="en-GB"/>
        </w:rPr>
        <w:t xml:space="preserve">Please find attach hereto the </w:t>
      </w:r>
      <w:r>
        <w:rPr>
          <w:rFonts w:cs="Arial"/>
          <w:b/>
          <w:bCs/>
          <w:i/>
          <w:iCs/>
          <w:szCs w:val="24"/>
          <w:u w:val="single"/>
          <w:lang w:val="en-GB"/>
        </w:rPr>
        <w:t xml:space="preserve">Third Defendant’s Notice </w:t>
      </w:r>
      <w:proofErr w:type="spellStart"/>
      <w:r>
        <w:rPr>
          <w:rFonts w:cs="Arial"/>
          <w:b/>
          <w:bCs/>
          <w:i/>
          <w:iCs/>
          <w:szCs w:val="24"/>
          <w:u w:val="single"/>
          <w:lang w:val="en-GB"/>
        </w:rPr>
        <w:t>i.t.o</w:t>
      </w:r>
      <w:proofErr w:type="spellEnd"/>
      <w:r>
        <w:rPr>
          <w:rFonts w:cs="Arial"/>
          <w:b/>
          <w:bCs/>
          <w:i/>
          <w:iCs/>
          <w:szCs w:val="24"/>
          <w:u w:val="single"/>
          <w:lang w:val="en-GB"/>
        </w:rPr>
        <w:t>. Rule 35(1)(6)(8) &amp; (10).</w:t>
      </w:r>
    </w:p>
    <w:p w14:paraId="1D710464" w14:textId="01EB5BBB" w:rsidR="002858DF" w:rsidRDefault="002858DF" w:rsidP="008A2C52">
      <w:pPr>
        <w:pStyle w:val="ListParagraph"/>
        <w:spacing w:before="360" w:after="360" w:line="360" w:lineRule="auto"/>
        <w:ind w:left="2268" w:right="439"/>
        <w:rPr>
          <w:rFonts w:cs="Arial"/>
          <w:i/>
          <w:iCs/>
          <w:szCs w:val="24"/>
          <w:lang w:val="en-GB"/>
        </w:rPr>
      </w:pPr>
      <w:r>
        <w:rPr>
          <w:rFonts w:cs="Arial"/>
          <w:i/>
          <w:iCs/>
          <w:szCs w:val="24"/>
          <w:lang w:val="en-GB"/>
        </w:rPr>
        <w:t>Can you please acknowledge receipt on the last page and then add / load a copy thereof on CaseLines. I will download the signed copy from CaseLines.</w:t>
      </w:r>
    </w:p>
    <w:p w14:paraId="2B630C53" w14:textId="19239309" w:rsidR="002858DF" w:rsidRDefault="002858DF" w:rsidP="008A2C52">
      <w:pPr>
        <w:pStyle w:val="ListParagraph"/>
        <w:spacing w:before="360" w:after="360" w:line="360" w:lineRule="auto"/>
        <w:ind w:left="2268" w:right="439"/>
        <w:rPr>
          <w:rFonts w:cs="Arial"/>
          <w:i/>
          <w:iCs/>
          <w:szCs w:val="24"/>
          <w:lang w:val="en-GB"/>
        </w:rPr>
      </w:pPr>
      <w:r>
        <w:rPr>
          <w:rFonts w:cs="Arial"/>
          <w:i/>
          <w:iCs/>
          <w:szCs w:val="24"/>
          <w:lang w:val="en-GB"/>
        </w:rPr>
        <w:t xml:space="preserve">Please also see the (concept) attach </w:t>
      </w:r>
      <w:r>
        <w:rPr>
          <w:rFonts w:cs="Arial"/>
          <w:b/>
          <w:bCs/>
          <w:i/>
          <w:iCs/>
          <w:szCs w:val="24"/>
          <w:u w:val="single"/>
          <w:lang w:val="en-GB"/>
        </w:rPr>
        <w:t>Filing Notice &amp; Third Defendant’s Discovery Affidavit.</w:t>
      </w:r>
    </w:p>
    <w:p w14:paraId="35C5B26D" w14:textId="169F9388" w:rsidR="002858DF" w:rsidRDefault="002858DF" w:rsidP="008A2C52">
      <w:pPr>
        <w:pStyle w:val="ListParagraph"/>
        <w:spacing w:before="360" w:after="360" w:line="360" w:lineRule="auto"/>
        <w:ind w:left="2268" w:right="439"/>
        <w:rPr>
          <w:rFonts w:cs="Arial"/>
          <w:i/>
          <w:iCs/>
          <w:szCs w:val="24"/>
          <w:lang w:val="en-GB"/>
        </w:rPr>
      </w:pPr>
      <w:r>
        <w:rPr>
          <w:rFonts w:cs="Arial"/>
          <w:i/>
          <w:iCs/>
          <w:szCs w:val="24"/>
          <w:lang w:val="en-GB"/>
        </w:rPr>
        <w:t>As you will see, I already drafted the concept document a couple of weeks ago. I then e-mailed it to my Advocate (Adv. E. (Eugene) Janse van Rensburg) to finalise the First Schedule and e-mail it back to me.</w:t>
      </w:r>
    </w:p>
    <w:p w14:paraId="1E6125C2" w14:textId="222CB741" w:rsidR="002858DF" w:rsidRDefault="002858DF" w:rsidP="008A2C52">
      <w:pPr>
        <w:pStyle w:val="ListParagraph"/>
        <w:spacing w:before="360" w:after="360" w:line="360" w:lineRule="auto"/>
        <w:ind w:left="2268" w:right="439"/>
        <w:rPr>
          <w:rFonts w:cs="Arial"/>
          <w:i/>
          <w:iCs/>
          <w:szCs w:val="24"/>
          <w:lang w:val="en-GB"/>
        </w:rPr>
      </w:pPr>
      <w:r>
        <w:rPr>
          <w:rFonts w:cs="Arial"/>
          <w:i/>
          <w:iCs/>
          <w:szCs w:val="24"/>
          <w:lang w:val="en-GB"/>
        </w:rPr>
        <w:lastRenderedPageBreak/>
        <w:t xml:space="preserve">Unfortunately, he is in Court most of August and am I therefore waiting a little bit longer than usual for him to finalise the First Schedule. </w:t>
      </w:r>
    </w:p>
    <w:p w14:paraId="2CEB49B6" w14:textId="6CC74EF8" w:rsidR="002858DF" w:rsidRDefault="002858DF" w:rsidP="008A2C52">
      <w:pPr>
        <w:pStyle w:val="ListParagraph"/>
        <w:spacing w:before="360" w:after="360" w:line="360" w:lineRule="auto"/>
        <w:ind w:left="2268" w:right="439"/>
        <w:rPr>
          <w:rFonts w:cs="Arial"/>
          <w:i/>
          <w:iCs/>
          <w:szCs w:val="24"/>
          <w:lang w:val="en-GB"/>
        </w:rPr>
      </w:pPr>
      <w:r>
        <w:rPr>
          <w:rFonts w:cs="Arial"/>
          <w:i/>
          <w:iCs/>
          <w:szCs w:val="24"/>
          <w:lang w:val="en-GB"/>
        </w:rPr>
        <w:t>The moment I receive the complete First Schedule back from him, I will immediately send the complete Discovery Affidavit to my client to sign and send back to me, whereafter I will serve the complete document on you.</w:t>
      </w:r>
    </w:p>
    <w:p w14:paraId="2C9A210D" w14:textId="1D62CA62" w:rsidR="002858DF" w:rsidRDefault="002858DF" w:rsidP="008A2C52">
      <w:pPr>
        <w:pStyle w:val="ListParagraph"/>
        <w:spacing w:before="360" w:after="360" w:line="360" w:lineRule="auto"/>
        <w:ind w:left="2268" w:right="439"/>
        <w:rPr>
          <w:rFonts w:cs="Arial"/>
          <w:i/>
          <w:iCs/>
          <w:szCs w:val="24"/>
          <w:lang w:val="en-GB"/>
        </w:rPr>
      </w:pPr>
      <w:r>
        <w:rPr>
          <w:rFonts w:cs="Arial"/>
          <w:i/>
          <w:iCs/>
          <w:szCs w:val="24"/>
          <w:lang w:val="en-GB"/>
        </w:rPr>
        <w:t xml:space="preserve">I therefore request that you don’t continue with an </w:t>
      </w:r>
      <w:r>
        <w:rPr>
          <w:rFonts w:cs="Arial"/>
          <w:i/>
          <w:iCs/>
          <w:szCs w:val="24"/>
          <w:u w:val="single"/>
          <w:lang w:val="en-GB"/>
        </w:rPr>
        <w:t>Application to Compel</w:t>
      </w:r>
      <w:r w:rsidR="00893C1E">
        <w:rPr>
          <w:rFonts w:cs="Arial"/>
          <w:i/>
          <w:iCs/>
          <w:szCs w:val="24"/>
          <w:lang w:val="en-GB"/>
        </w:rPr>
        <w:t>, because I believe it will be totally unnecessary to do so.</w:t>
      </w:r>
    </w:p>
    <w:p w14:paraId="3E026F72" w14:textId="2A29781A" w:rsidR="00893C1E" w:rsidRDefault="00893C1E" w:rsidP="008A2C52">
      <w:pPr>
        <w:pStyle w:val="ListParagraph"/>
        <w:spacing w:before="360" w:after="360" w:line="360" w:lineRule="auto"/>
        <w:ind w:left="2268" w:right="439"/>
        <w:rPr>
          <w:rFonts w:cs="Arial"/>
          <w:i/>
          <w:iCs/>
          <w:szCs w:val="24"/>
          <w:lang w:val="en-GB"/>
        </w:rPr>
      </w:pPr>
      <w:r>
        <w:rPr>
          <w:rFonts w:cs="Arial"/>
          <w:i/>
          <w:iCs/>
          <w:szCs w:val="24"/>
          <w:lang w:val="en-GB"/>
        </w:rPr>
        <w:t>I am also ‘CC-</w:t>
      </w:r>
      <w:proofErr w:type="spellStart"/>
      <w:r>
        <w:rPr>
          <w:rFonts w:cs="Arial"/>
          <w:i/>
          <w:iCs/>
          <w:szCs w:val="24"/>
          <w:lang w:val="en-GB"/>
        </w:rPr>
        <w:t>ing</w:t>
      </w:r>
      <w:proofErr w:type="spellEnd"/>
      <w:r>
        <w:rPr>
          <w:rFonts w:cs="Arial"/>
          <w:i/>
          <w:iCs/>
          <w:szCs w:val="24"/>
          <w:lang w:val="en-GB"/>
        </w:rPr>
        <w:t>’ my Advocate in this e-mail to take note of this e-mail.</w:t>
      </w:r>
    </w:p>
    <w:p w14:paraId="2BCB4769" w14:textId="4D03C450" w:rsidR="00893C1E" w:rsidRDefault="00893C1E" w:rsidP="008A2C52">
      <w:pPr>
        <w:pStyle w:val="ListParagraph"/>
        <w:spacing w:before="360" w:after="360" w:line="360" w:lineRule="auto"/>
        <w:ind w:left="2268" w:right="439"/>
        <w:rPr>
          <w:rFonts w:cs="Arial"/>
          <w:i/>
          <w:iCs/>
          <w:szCs w:val="24"/>
          <w:lang w:val="en-GB"/>
        </w:rPr>
      </w:pPr>
      <w:r>
        <w:rPr>
          <w:rFonts w:cs="Arial"/>
          <w:i/>
          <w:iCs/>
          <w:szCs w:val="24"/>
          <w:lang w:val="en-GB"/>
        </w:rPr>
        <w:t>I await to hear from you,</w:t>
      </w:r>
    </w:p>
    <w:p w14:paraId="1D20E2EC" w14:textId="3C6CB6A5" w:rsidR="00893C1E" w:rsidRDefault="00893C1E" w:rsidP="008A2C52">
      <w:pPr>
        <w:pStyle w:val="ListParagraph"/>
        <w:spacing w:before="360" w:after="360" w:line="360" w:lineRule="auto"/>
        <w:ind w:left="2268" w:right="439"/>
        <w:rPr>
          <w:rFonts w:cs="Arial"/>
          <w:i/>
          <w:iCs/>
          <w:szCs w:val="24"/>
          <w:lang w:val="en-GB"/>
        </w:rPr>
      </w:pPr>
      <w:r>
        <w:rPr>
          <w:rFonts w:cs="Arial"/>
          <w:i/>
          <w:iCs/>
          <w:szCs w:val="24"/>
          <w:lang w:val="en-GB"/>
        </w:rPr>
        <w:t>Thank you.</w:t>
      </w:r>
    </w:p>
    <w:p w14:paraId="09001B78" w14:textId="133C4F39" w:rsidR="00893C1E" w:rsidRPr="00893C1E" w:rsidRDefault="00893C1E" w:rsidP="008A2C52">
      <w:pPr>
        <w:pStyle w:val="ListParagraph"/>
        <w:spacing w:before="360" w:after="360" w:line="360" w:lineRule="auto"/>
        <w:ind w:left="2268" w:right="439"/>
        <w:rPr>
          <w:rFonts w:cs="Arial"/>
          <w:i/>
          <w:iCs/>
          <w:szCs w:val="24"/>
          <w:lang w:val="en-GB"/>
        </w:rPr>
      </w:pPr>
      <w:r>
        <w:rPr>
          <w:rFonts w:cs="Arial"/>
          <w:b/>
          <w:bCs/>
          <w:i/>
          <w:iCs/>
          <w:szCs w:val="24"/>
          <w:lang w:val="en-GB"/>
        </w:rPr>
        <w:t>Marius Viljoen (B.PRO</w:t>
      </w:r>
      <w:r w:rsidR="00073432">
        <w:rPr>
          <w:rFonts w:cs="Arial"/>
          <w:b/>
          <w:bCs/>
          <w:i/>
          <w:iCs/>
          <w:szCs w:val="24"/>
          <w:lang w:val="en-GB"/>
        </w:rPr>
        <w:t>C</w:t>
      </w:r>
      <w:proofErr w:type="gramStart"/>
      <w:r>
        <w:rPr>
          <w:rFonts w:cs="Arial"/>
          <w:b/>
          <w:bCs/>
          <w:i/>
          <w:iCs/>
          <w:szCs w:val="24"/>
          <w:lang w:val="en-GB"/>
        </w:rPr>
        <w:t>)(</w:t>
      </w:r>
      <w:proofErr w:type="gramEnd"/>
      <w:r>
        <w:rPr>
          <w:rFonts w:cs="Arial"/>
          <w:b/>
          <w:bCs/>
          <w:i/>
          <w:iCs/>
          <w:szCs w:val="24"/>
          <w:lang w:val="en-GB"/>
        </w:rPr>
        <w:t>UP)</w:t>
      </w:r>
      <w:r>
        <w:rPr>
          <w:rFonts w:cs="Arial"/>
          <w:i/>
          <w:iCs/>
          <w:szCs w:val="24"/>
          <w:lang w:val="en-GB"/>
        </w:rPr>
        <w:t>”</w:t>
      </w:r>
    </w:p>
    <w:p w14:paraId="26233868" w14:textId="7AB63D85" w:rsidR="008A2C52" w:rsidRPr="001215E4" w:rsidRDefault="001215E4" w:rsidP="001215E4">
      <w:pPr>
        <w:tabs>
          <w:tab w:val="left" w:pos="861"/>
          <w:tab w:val="left" w:pos="1701"/>
        </w:tabs>
        <w:spacing w:before="360" w:after="360" w:line="360" w:lineRule="auto"/>
        <w:ind w:left="1701" w:right="439" w:hanging="850"/>
        <w:rPr>
          <w:rFonts w:cs="Arial"/>
          <w:szCs w:val="24"/>
          <w:lang w:val="en-GB"/>
        </w:rPr>
      </w:pPr>
      <w:r>
        <w:rPr>
          <w:rFonts w:cs="Arial"/>
          <w:szCs w:val="24"/>
        </w:rPr>
        <w:t>8.8.</w:t>
      </w:r>
      <w:r>
        <w:rPr>
          <w:rFonts w:cs="Arial"/>
          <w:szCs w:val="24"/>
        </w:rPr>
        <w:tab/>
      </w:r>
      <w:r w:rsidR="00A43ACB" w:rsidRPr="001215E4">
        <w:rPr>
          <w:rFonts w:cs="Arial"/>
          <w:szCs w:val="24"/>
          <w:lang w:val="en-GB"/>
        </w:rPr>
        <w:t>The</w:t>
      </w:r>
      <w:r w:rsidR="00073432" w:rsidRPr="001215E4">
        <w:rPr>
          <w:rFonts w:cs="Arial"/>
          <w:szCs w:val="24"/>
          <w:lang w:val="en-GB"/>
        </w:rPr>
        <w:t xml:space="preserve"> relevant documents together with an unsigned discovery affidavit w</w:t>
      </w:r>
      <w:r w:rsidR="00F2442B" w:rsidRPr="001215E4">
        <w:rPr>
          <w:rFonts w:cs="Arial"/>
          <w:szCs w:val="24"/>
          <w:lang w:val="en-GB"/>
        </w:rPr>
        <w:t>ere</w:t>
      </w:r>
      <w:r w:rsidR="00073432" w:rsidRPr="001215E4">
        <w:rPr>
          <w:rFonts w:cs="Arial"/>
          <w:szCs w:val="24"/>
          <w:lang w:val="en-GB"/>
        </w:rPr>
        <w:t xml:space="preserve"> therefore delivered to the applicant on 23 August 2022.</w:t>
      </w:r>
    </w:p>
    <w:p w14:paraId="79A42355" w14:textId="116D04F4" w:rsidR="00073432" w:rsidRPr="001215E4" w:rsidRDefault="001215E4" w:rsidP="001215E4">
      <w:pPr>
        <w:tabs>
          <w:tab w:val="left" w:pos="861"/>
          <w:tab w:val="left" w:pos="1701"/>
        </w:tabs>
        <w:spacing w:before="360" w:after="360" w:line="360" w:lineRule="auto"/>
        <w:ind w:left="1701" w:right="439" w:hanging="850"/>
        <w:rPr>
          <w:rFonts w:cs="Arial"/>
          <w:szCs w:val="24"/>
          <w:lang w:val="en-GB"/>
        </w:rPr>
      </w:pPr>
      <w:r>
        <w:rPr>
          <w:rFonts w:cs="Arial"/>
          <w:szCs w:val="24"/>
        </w:rPr>
        <w:t>8.9.</w:t>
      </w:r>
      <w:r>
        <w:rPr>
          <w:rFonts w:cs="Arial"/>
          <w:szCs w:val="24"/>
        </w:rPr>
        <w:tab/>
      </w:r>
      <w:r w:rsidR="00C736DB" w:rsidRPr="001215E4">
        <w:rPr>
          <w:rFonts w:cs="Arial"/>
          <w:szCs w:val="24"/>
          <w:lang w:val="en-GB"/>
        </w:rPr>
        <w:t>T</w:t>
      </w:r>
      <w:r w:rsidR="00073432" w:rsidRPr="001215E4">
        <w:rPr>
          <w:rFonts w:cs="Arial"/>
          <w:szCs w:val="24"/>
          <w:lang w:val="en-GB"/>
        </w:rPr>
        <w:t xml:space="preserve">he applicant, as detailed above, delivered the current </w:t>
      </w:r>
      <w:r w:rsidR="00F2442B" w:rsidRPr="001215E4">
        <w:rPr>
          <w:rFonts w:cs="Arial"/>
          <w:szCs w:val="24"/>
          <w:lang w:val="en-GB"/>
        </w:rPr>
        <w:t xml:space="preserve">application </w:t>
      </w:r>
      <w:r w:rsidR="00073432" w:rsidRPr="001215E4">
        <w:rPr>
          <w:rFonts w:cs="Arial"/>
          <w:szCs w:val="24"/>
          <w:lang w:val="en-GB"/>
        </w:rPr>
        <w:t xml:space="preserve">to compel in terms of </w:t>
      </w:r>
      <w:r w:rsidR="00F2442B" w:rsidRPr="001215E4">
        <w:rPr>
          <w:rFonts w:cs="Arial"/>
          <w:szCs w:val="24"/>
          <w:lang w:val="en-GB"/>
        </w:rPr>
        <w:t xml:space="preserve">rule </w:t>
      </w:r>
      <w:r w:rsidR="00073432" w:rsidRPr="001215E4">
        <w:rPr>
          <w:rFonts w:cs="Arial"/>
          <w:szCs w:val="24"/>
          <w:lang w:val="en-GB"/>
        </w:rPr>
        <w:t xml:space="preserve">35(7) on 30 August 2022, whereafter the third respondent’s attorney filed a notice of intention to oppose this application to compel on 1 September 2022. </w:t>
      </w:r>
    </w:p>
    <w:p w14:paraId="57EBE02B" w14:textId="68F944C8" w:rsidR="00073432" w:rsidRPr="001215E4" w:rsidRDefault="001215E4" w:rsidP="001215E4">
      <w:pPr>
        <w:tabs>
          <w:tab w:val="left" w:pos="861"/>
          <w:tab w:val="left" w:pos="1701"/>
        </w:tabs>
        <w:spacing w:before="360" w:after="360" w:line="360" w:lineRule="auto"/>
        <w:ind w:left="1701" w:right="439" w:hanging="850"/>
        <w:rPr>
          <w:rFonts w:cs="Arial"/>
          <w:szCs w:val="24"/>
          <w:lang w:val="en-GB"/>
        </w:rPr>
      </w:pPr>
      <w:r>
        <w:rPr>
          <w:rFonts w:cs="Arial"/>
          <w:szCs w:val="24"/>
        </w:rPr>
        <w:t>8.10.</w:t>
      </w:r>
      <w:r>
        <w:rPr>
          <w:rFonts w:cs="Arial"/>
          <w:szCs w:val="24"/>
        </w:rPr>
        <w:tab/>
      </w:r>
      <w:r w:rsidR="00073432" w:rsidRPr="001215E4">
        <w:rPr>
          <w:rFonts w:cs="Arial"/>
          <w:szCs w:val="24"/>
          <w:lang w:val="en-GB"/>
        </w:rPr>
        <w:t xml:space="preserve">On 16 September 2022, the answering affidavit on behalf of the third respondent was filed, in subsequence whereof the replying affidavit in this application to compel was filed on 30 September 2022 by the applicant. </w:t>
      </w:r>
    </w:p>
    <w:p w14:paraId="324F110D" w14:textId="7C762165" w:rsidR="00460DB4" w:rsidRPr="001215E4" w:rsidRDefault="001215E4" w:rsidP="001215E4">
      <w:pPr>
        <w:tabs>
          <w:tab w:val="left" w:pos="861"/>
          <w:tab w:val="left" w:pos="1701"/>
        </w:tabs>
        <w:spacing w:before="360" w:after="360" w:line="360" w:lineRule="auto"/>
        <w:ind w:left="1701" w:right="439" w:hanging="850"/>
        <w:rPr>
          <w:rFonts w:cs="Arial"/>
          <w:szCs w:val="24"/>
          <w:lang w:val="en-GB"/>
        </w:rPr>
      </w:pPr>
      <w:r>
        <w:rPr>
          <w:rFonts w:cs="Arial"/>
          <w:szCs w:val="24"/>
        </w:rPr>
        <w:lastRenderedPageBreak/>
        <w:t>8.11.</w:t>
      </w:r>
      <w:r>
        <w:rPr>
          <w:rFonts w:cs="Arial"/>
          <w:szCs w:val="24"/>
        </w:rPr>
        <w:tab/>
      </w:r>
      <w:r w:rsidR="00460DB4" w:rsidRPr="001215E4">
        <w:rPr>
          <w:rFonts w:cs="Arial"/>
          <w:szCs w:val="24"/>
          <w:lang w:val="en-GB"/>
        </w:rPr>
        <w:t xml:space="preserve">On 6 September 2022, the previously unsigned draft discovery affidavit was duly signed under oath on behalf of the third respondent, wherefore there was compliance with the notice in terms of </w:t>
      </w:r>
      <w:r w:rsidR="00123CA4" w:rsidRPr="001215E4">
        <w:rPr>
          <w:rFonts w:cs="Arial"/>
          <w:szCs w:val="24"/>
          <w:lang w:val="en-GB"/>
        </w:rPr>
        <w:t xml:space="preserve">rule </w:t>
      </w:r>
      <w:r w:rsidR="00460DB4" w:rsidRPr="001215E4">
        <w:rPr>
          <w:rFonts w:cs="Arial"/>
          <w:szCs w:val="24"/>
          <w:lang w:val="en-GB"/>
        </w:rPr>
        <w:t>35(1).</w:t>
      </w:r>
    </w:p>
    <w:p w14:paraId="56A2D786" w14:textId="4FA76F63" w:rsidR="00073432" w:rsidRPr="001215E4" w:rsidRDefault="001215E4" w:rsidP="001215E4">
      <w:pPr>
        <w:tabs>
          <w:tab w:val="left" w:pos="861"/>
          <w:tab w:val="left" w:pos="1701"/>
        </w:tabs>
        <w:spacing w:before="360" w:after="360" w:line="360" w:lineRule="auto"/>
        <w:ind w:left="1701" w:right="439" w:hanging="850"/>
        <w:rPr>
          <w:rFonts w:cs="Arial"/>
          <w:szCs w:val="24"/>
          <w:lang w:val="en-GB"/>
        </w:rPr>
      </w:pPr>
      <w:r>
        <w:rPr>
          <w:rFonts w:cs="Arial"/>
          <w:szCs w:val="24"/>
        </w:rPr>
        <w:t>8.12.</w:t>
      </w:r>
      <w:r>
        <w:rPr>
          <w:rFonts w:cs="Arial"/>
          <w:szCs w:val="24"/>
        </w:rPr>
        <w:tab/>
      </w:r>
      <w:r w:rsidR="00073432" w:rsidRPr="001215E4">
        <w:rPr>
          <w:rFonts w:cs="Arial"/>
          <w:szCs w:val="24"/>
          <w:lang w:val="en-GB"/>
        </w:rPr>
        <w:t>On 4 November 2022, the applicant sent an e-mail to the third respondent’s attorney requesting a tender for wasted costs</w:t>
      </w:r>
      <w:r w:rsidR="00A43ACB" w:rsidRPr="001215E4">
        <w:rPr>
          <w:rFonts w:cs="Arial"/>
          <w:szCs w:val="24"/>
          <w:lang w:val="en-GB"/>
        </w:rPr>
        <w:t xml:space="preserve"> (in respect of the application to compel)</w:t>
      </w:r>
      <w:r w:rsidR="00073432" w:rsidRPr="001215E4">
        <w:rPr>
          <w:rFonts w:cs="Arial"/>
          <w:szCs w:val="24"/>
          <w:lang w:val="en-GB"/>
        </w:rPr>
        <w:t>, which had to be paid and/or complied with by 8 November 2022. It deems to be mentioned that the 4</w:t>
      </w:r>
      <w:r w:rsidR="00073432" w:rsidRPr="001215E4">
        <w:rPr>
          <w:rFonts w:cs="Arial"/>
          <w:szCs w:val="24"/>
          <w:vertAlign w:val="superscript"/>
          <w:lang w:val="en-GB"/>
        </w:rPr>
        <w:t>th</w:t>
      </w:r>
      <w:r w:rsidR="00073432" w:rsidRPr="001215E4">
        <w:rPr>
          <w:rFonts w:cs="Arial"/>
          <w:szCs w:val="24"/>
          <w:lang w:val="en-GB"/>
        </w:rPr>
        <w:t xml:space="preserve"> of November 2022 was a Friday, whereas the 8</w:t>
      </w:r>
      <w:r w:rsidR="00073432" w:rsidRPr="001215E4">
        <w:rPr>
          <w:rFonts w:cs="Arial"/>
          <w:szCs w:val="24"/>
          <w:vertAlign w:val="superscript"/>
          <w:lang w:val="en-GB"/>
        </w:rPr>
        <w:t>th</w:t>
      </w:r>
      <w:r w:rsidR="00073432" w:rsidRPr="001215E4">
        <w:rPr>
          <w:rFonts w:cs="Arial"/>
          <w:szCs w:val="24"/>
          <w:lang w:val="en-GB"/>
        </w:rPr>
        <w:t xml:space="preserve"> was the following Tuesday, therefore the requested tender for wasted costs had to be complied with within 1 (one) court day.</w:t>
      </w:r>
    </w:p>
    <w:p w14:paraId="0AF36EC7" w14:textId="29F14877" w:rsidR="00073432" w:rsidRPr="001215E4" w:rsidRDefault="001215E4" w:rsidP="001215E4">
      <w:pPr>
        <w:tabs>
          <w:tab w:val="left" w:pos="861"/>
          <w:tab w:val="left" w:pos="1701"/>
        </w:tabs>
        <w:spacing w:before="360" w:after="360" w:line="360" w:lineRule="auto"/>
        <w:ind w:left="1701" w:right="439" w:hanging="850"/>
        <w:rPr>
          <w:rFonts w:cs="Arial"/>
          <w:szCs w:val="24"/>
          <w:lang w:val="en-GB"/>
        </w:rPr>
      </w:pPr>
      <w:r>
        <w:rPr>
          <w:rFonts w:cs="Arial"/>
          <w:szCs w:val="24"/>
        </w:rPr>
        <w:t>8.13.</w:t>
      </w:r>
      <w:r>
        <w:rPr>
          <w:rFonts w:cs="Arial"/>
          <w:szCs w:val="24"/>
        </w:rPr>
        <w:tab/>
      </w:r>
      <w:r w:rsidR="00073432" w:rsidRPr="001215E4">
        <w:rPr>
          <w:rFonts w:cs="Arial"/>
          <w:szCs w:val="24"/>
          <w:lang w:val="en-GB"/>
        </w:rPr>
        <w:t>On 8 November 2022, the applicant filed its heads of argument</w:t>
      </w:r>
      <w:r w:rsidR="00073432">
        <w:rPr>
          <w:rStyle w:val="FootnoteReference"/>
          <w:rFonts w:cs="Arial"/>
          <w:szCs w:val="24"/>
          <w:lang w:val="en-GB"/>
        </w:rPr>
        <w:footnoteReference w:id="10"/>
      </w:r>
      <w:r w:rsidR="00073432" w:rsidRPr="001215E4">
        <w:rPr>
          <w:rFonts w:cs="Arial"/>
          <w:szCs w:val="24"/>
          <w:lang w:val="en-GB"/>
        </w:rPr>
        <w:t xml:space="preserve"> in respect of this opposed application </w:t>
      </w:r>
      <w:r w:rsidR="00C736DB" w:rsidRPr="001215E4">
        <w:rPr>
          <w:rFonts w:cs="Arial"/>
          <w:szCs w:val="24"/>
          <w:lang w:val="en-GB"/>
        </w:rPr>
        <w:t xml:space="preserve">seeking </w:t>
      </w:r>
      <w:r w:rsidR="00073432" w:rsidRPr="001215E4">
        <w:rPr>
          <w:rFonts w:cs="Arial"/>
          <w:szCs w:val="24"/>
          <w:lang w:val="en-GB"/>
        </w:rPr>
        <w:t xml:space="preserve">an order for costs only.  </w:t>
      </w:r>
    </w:p>
    <w:p w14:paraId="0B966AB5" w14:textId="392D4839" w:rsidR="00C736DB" w:rsidRPr="001215E4" w:rsidRDefault="001215E4" w:rsidP="001215E4">
      <w:pPr>
        <w:tabs>
          <w:tab w:val="left" w:pos="851"/>
        </w:tabs>
        <w:spacing w:before="360" w:after="360" w:line="360" w:lineRule="auto"/>
        <w:ind w:left="851" w:right="439" w:hanging="851"/>
        <w:rPr>
          <w:rFonts w:cs="Arial"/>
          <w:szCs w:val="24"/>
          <w:lang w:val="en-GB"/>
        </w:rPr>
      </w:pPr>
      <w:r>
        <w:rPr>
          <w:rFonts w:cs="Arial"/>
          <w:w w:val="99"/>
          <w:szCs w:val="24"/>
        </w:rPr>
        <w:t>9.</w:t>
      </w:r>
      <w:r>
        <w:rPr>
          <w:rFonts w:cs="Arial"/>
          <w:w w:val="99"/>
          <w:szCs w:val="24"/>
        </w:rPr>
        <w:tab/>
      </w:r>
      <w:r w:rsidR="00C736DB" w:rsidRPr="001215E4">
        <w:rPr>
          <w:rFonts w:cs="Arial"/>
          <w:szCs w:val="24"/>
          <w:lang w:val="en-GB"/>
        </w:rPr>
        <w:t>T</w:t>
      </w:r>
      <w:r w:rsidR="00460DB4" w:rsidRPr="001215E4">
        <w:rPr>
          <w:rFonts w:cs="Arial"/>
          <w:szCs w:val="24"/>
          <w:lang w:val="en-GB"/>
        </w:rPr>
        <w:t>he applicant was not “</w:t>
      </w:r>
      <w:r w:rsidR="00460DB4" w:rsidRPr="001215E4">
        <w:rPr>
          <w:rFonts w:cs="Arial"/>
          <w:i/>
          <w:iCs/>
          <w:szCs w:val="24"/>
          <w:lang w:val="en-GB"/>
        </w:rPr>
        <w:t>dissatisfied with discovery</w:t>
      </w:r>
      <w:r w:rsidR="00460DB4" w:rsidRPr="001215E4">
        <w:rPr>
          <w:rFonts w:cs="Arial"/>
          <w:szCs w:val="24"/>
          <w:lang w:val="en-GB"/>
        </w:rPr>
        <w:t xml:space="preserve">”, in respect of the documents provided in terms of </w:t>
      </w:r>
      <w:r w:rsidR="00123CA4" w:rsidRPr="001215E4">
        <w:rPr>
          <w:rFonts w:cs="Arial"/>
          <w:szCs w:val="24"/>
          <w:lang w:val="en-GB"/>
        </w:rPr>
        <w:t xml:space="preserve">the </w:t>
      </w:r>
      <w:r w:rsidR="00460DB4" w:rsidRPr="001215E4">
        <w:rPr>
          <w:rFonts w:cs="Arial"/>
          <w:szCs w:val="24"/>
          <w:lang w:val="en-GB"/>
        </w:rPr>
        <w:t>draft discovery affidavit on 23 </w:t>
      </w:r>
      <w:r w:rsidR="00F25174" w:rsidRPr="001215E4">
        <w:rPr>
          <w:rFonts w:cs="Arial"/>
          <w:szCs w:val="24"/>
          <w:lang w:val="en-GB"/>
        </w:rPr>
        <w:t>August </w:t>
      </w:r>
      <w:r w:rsidR="00460DB4" w:rsidRPr="001215E4">
        <w:rPr>
          <w:rFonts w:cs="Arial"/>
          <w:szCs w:val="24"/>
          <w:lang w:val="en-GB"/>
        </w:rPr>
        <w:t>2022, and thereafter followed</w:t>
      </w:r>
      <w:r w:rsidR="00C736DB" w:rsidRPr="001215E4">
        <w:rPr>
          <w:rFonts w:cs="Arial"/>
          <w:szCs w:val="24"/>
          <w:lang w:val="en-GB"/>
        </w:rPr>
        <w:t xml:space="preserve"> it </w:t>
      </w:r>
      <w:r w:rsidR="00A43ACB" w:rsidRPr="001215E4">
        <w:rPr>
          <w:rFonts w:cs="Arial"/>
          <w:szCs w:val="24"/>
          <w:lang w:val="en-GB"/>
        </w:rPr>
        <w:t>by delivering</w:t>
      </w:r>
      <w:r w:rsidR="00460DB4" w:rsidRPr="001215E4">
        <w:rPr>
          <w:rFonts w:cs="Arial"/>
          <w:szCs w:val="24"/>
          <w:lang w:val="en-GB"/>
        </w:rPr>
        <w:t xml:space="preserve"> a signed discovery affidavit on 6 September 2022. The period that lapsed between these </w:t>
      </w:r>
      <w:r w:rsidR="00A43ACB" w:rsidRPr="001215E4">
        <w:rPr>
          <w:rFonts w:cs="Arial"/>
          <w:szCs w:val="24"/>
          <w:lang w:val="en-GB"/>
        </w:rPr>
        <w:t>two dates</w:t>
      </w:r>
      <w:r w:rsidR="00460DB4" w:rsidRPr="001215E4">
        <w:rPr>
          <w:rFonts w:cs="Arial"/>
          <w:szCs w:val="24"/>
          <w:lang w:val="en-GB"/>
        </w:rPr>
        <w:t xml:space="preserve"> is not significant.</w:t>
      </w:r>
      <w:r w:rsidR="00123CA4" w:rsidRPr="001215E4">
        <w:rPr>
          <w:rFonts w:cs="Arial"/>
          <w:szCs w:val="24"/>
          <w:lang w:val="en-GB"/>
        </w:rPr>
        <w:t xml:space="preserve"> T</w:t>
      </w:r>
      <w:r w:rsidR="00FE1DCD" w:rsidRPr="001215E4">
        <w:rPr>
          <w:rFonts w:cs="Arial"/>
          <w:szCs w:val="24"/>
          <w:lang w:val="en-GB"/>
        </w:rPr>
        <w:t xml:space="preserve">he reasoning behind </w:t>
      </w:r>
      <w:r w:rsidR="00E96491" w:rsidRPr="001215E4">
        <w:rPr>
          <w:rFonts w:cs="Arial"/>
          <w:szCs w:val="24"/>
          <w:lang w:val="en-GB"/>
        </w:rPr>
        <w:t>the continuation</w:t>
      </w:r>
      <w:r w:rsidR="00FE1DCD" w:rsidRPr="001215E4">
        <w:rPr>
          <w:rFonts w:cs="Arial"/>
          <w:szCs w:val="24"/>
          <w:lang w:val="en-GB"/>
        </w:rPr>
        <w:t xml:space="preserve"> </w:t>
      </w:r>
      <w:r w:rsidR="00E96491" w:rsidRPr="001215E4">
        <w:rPr>
          <w:rFonts w:cs="Arial"/>
          <w:szCs w:val="24"/>
          <w:lang w:val="en-GB"/>
        </w:rPr>
        <w:t xml:space="preserve">of the application to compel discovery was to seek costs against the third respondent. </w:t>
      </w:r>
    </w:p>
    <w:p w14:paraId="76241951" w14:textId="68DA626E" w:rsidR="00E96491" w:rsidRPr="001215E4" w:rsidRDefault="001215E4" w:rsidP="001215E4">
      <w:pPr>
        <w:tabs>
          <w:tab w:val="left" w:pos="851"/>
        </w:tabs>
        <w:spacing w:before="360" w:after="360" w:line="360" w:lineRule="auto"/>
        <w:ind w:left="851" w:right="439" w:hanging="851"/>
        <w:rPr>
          <w:rFonts w:cs="Arial"/>
          <w:szCs w:val="24"/>
          <w:lang w:val="en-GB"/>
        </w:rPr>
      </w:pPr>
      <w:r w:rsidRPr="006C035B">
        <w:rPr>
          <w:rFonts w:cs="Arial"/>
          <w:w w:val="99"/>
          <w:szCs w:val="24"/>
        </w:rPr>
        <w:t>10.</w:t>
      </w:r>
      <w:r w:rsidRPr="006C035B">
        <w:rPr>
          <w:rFonts w:cs="Arial"/>
          <w:w w:val="99"/>
          <w:szCs w:val="24"/>
        </w:rPr>
        <w:tab/>
      </w:r>
      <w:r w:rsidR="00E96491" w:rsidRPr="001215E4">
        <w:rPr>
          <w:rFonts w:cs="Arial"/>
          <w:szCs w:val="24"/>
          <w:lang w:val="en-GB"/>
        </w:rPr>
        <w:t>In the event of the applicant being “</w:t>
      </w:r>
      <w:r w:rsidR="00E96491" w:rsidRPr="001215E4">
        <w:rPr>
          <w:rFonts w:cs="Arial"/>
          <w:i/>
          <w:iCs/>
          <w:szCs w:val="24"/>
          <w:lang w:val="en-GB"/>
        </w:rPr>
        <w:t>dissatisfied</w:t>
      </w:r>
      <w:r w:rsidR="00E96491" w:rsidRPr="001215E4">
        <w:rPr>
          <w:rFonts w:cs="Arial"/>
          <w:szCs w:val="24"/>
          <w:lang w:val="en-GB"/>
        </w:rPr>
        <w:t>” with the discovery that was provided, it would have been compelled to first exhaust its remedy under sub-rule (3) before proceeding with an application to compel in terms of sub-rule (7)</w:t>
      </w:r>
      <w:r w:rsidR="00E96491">
        <w:rPr>
          <w:rStyle w:val="FootnoteReference"/>
          <w:rFonts w:cs="Arial"/>
          <w:szCs w:val="24"/>
          <w:lang w:val="en-GB"/>
        </w:rPr>
        <w:footnoteReference w:id="11"/>
      </w:r>
      <w:r w:rsidR="00FE1DCD" w:rsidRPr="001215E4">
        <w:rPr>
          <w:rFonts w:cs="Arial"/>
          <w:szCs w:val="24"/>
          <w:lang w:val="en-GB"/>
        </w:rPr>
        <w:t>, non-compliance with sub-rule (3) would render an application to compel premature.</w:t>
      </w:r>
    </w:p>
    <w:p w14:paraId="32C22A57" w14:textId="268511C2" w:rsidR="00D101AC" w:rsidRPr="00D101AC" w:rsidRDefault="00D101AC" w:rsidP="00D101AC">
      <w:pPr>
        <w:spacing w:before="360" w:after="360" w:line="360" w:lineRule="auto"/>
        <w:ind w:right="439"/>
        <w:rPr>
          <w:rFonts w:cs="Arial"/>
          <w:i/>
          <w:iCs/>
          <w:szCs w:val="24"/>
          <w:lang w:val="en-GB"/>
        </w:rPr>
      </w:pPr>
      <w:r>
        <w:rPr>
          <w:rFonts w:cs="Arial"/>
          <w:i/>
          <w:iCs/>
          <w:szCs w:val="24"/>
          <w:lang w:val="en-GB"/>
        </w:rPr>
        <w:lastRenderedPageBreak/>
        <w:t xml:space="preserve">Application for costs only – prayer 2 of the notice of motion </w:t>
      </w:r>
    </w:p>
    <w:p w14:paraId="6B95678D" w14:textId="567BCD5E" w:rsidR="006C035B" w:rsidRPr="001215E4" w:rsidRDefault="001215E4" w:rsidP="001215E4">
      <w:pPr>
        <w:tabs>
          <w:tab w:val="left" w:pos="851"/>
        </w:tabs>
        <w:spacing w:before="360" w:after="360" w:line="360" w:lineRule="auto"/>
        <w:ind w:left="851" w:right="439" w:hanging="851"/>
        <w:rPr>
          <w:rFonts w:cs="Arial"/>
          <w:szCs w:val="24"/>
          <w:lang w:val="en-GB"/>
        </w:rPr>
      </w:pPr>
      <w:r>
        <w:rPr>
          <w:rFonts w:cs="Arial"/>
          <w:w w:val="99"/>
          <w:szCs w:val="24"/>
        </w:rPr>
        <w:t>11.</w:t>
      </w:r>
      <w:r>
        <w:rPr>
          <w:rFonts w:cs="Arial"/>
          <w:w w:val="99"/>
          <w:szCs w:val="24"/>
        </w:rPr>
        <w:tab/>
      </w:r>
      <w:r w:rsidR="006C035B" w:rsidRPr="001215E4">
        <w:rPr>
          <w:rFonts w:cs="Arial"/>
          <w:szCs w:val="24"/>
          <w:lang w:val="en-GB"/>
        </w:rPr>
        <w:t xml:space="preserve">The applicant sought punitive costs against the third respondent and/or costs </w:t>
      </w:r>
      <w:r w:rsidR="006C035B" w:rsidRPr="001215E4">
        <w:rPr>
          <w:rFonts w:cs="Arial"/>
          <w:i/>
          <w:iCs/>
          <w:szCs w:val="24"/>
          <w:lang w:val="en-GB"/>
        </w:rPr>
        <w:t>de bonis propriis</w:t>
      </w:r>
      <w:r w:rsidR="006C035B" w:rsidRPr="001215E4">
        <w:rPr>
          <w:rFonts w:cs="Arial"/>
          <w:szCs w:val="24"/>
          <w:lang w:val="en-GB"/>
        </w:rPr>
        <w:t xml:space="preserve"> against its attorney. </w:t>
      </w:r>
    </w:p>
    <w:p w14:paraId="037124D5" w14:textId="303E0470" w:rsidR="006C035B" w:rsidRPr="001215E4" w:rsidRDefault="001215E4" w:rsidP="001215E4">
      <w:pPr>
        <w:tabs>
          <w:tab w:val="left" w:pos="851"/>
        </w:tabs>
        <w:spacing w:before="360" w:after="360" w:line="360" w:lineRule="auto"/>
        <w:ind w:left="851" w:right="439" w:hanging="851"/>
        <w:rPr>
          <w:rFonts w:cs="Arial"/>
          <w:szCs w:val="24"/>
          <w:lang w:val="en-GB"/>
        </w:rPr>
      </w:pPr>
      <w:r>
        <w:rPr>
          <w:rFonts w:cs="Arial"/>
          <w:w w:val="99"/>
          <w:szCs w:val="24"/>
        </w:rPr>
        <w:t>12.</w:t>
      </w:r>
      <w:r>
        <w:rPr>
          <w:rFonts w:cs="Arial"/>
          <w:w w:val="99"/>
          <w:szCs w:val="24"/>
        </w:rPr>
        <w:tab/>
      </w:r>
      <w:r w:rsidR="006C035B" w:rsidRPr="001215E4">
        <w:rPr>
          <w:rFonts w:cs="Arial"/>
          <w:szCs w:val="24"/>
          <w:lang w:val="en-GB"/>
        </w:rPr>
        <w:t>P</w:t>
      </w:r>
      <w:r w:rsidR="00D101AC" w:rsidRPr="001215E4">
        <w:rPr>
          <w:rFonts w:cs="Arial"/>
          <w:szCs w:val="24"/>
          <w:lang w:val="en-GB"/>
        </w:rPr>
        <w:t>rayer 2 of the notice of motion</w:t>
      </w:r>
      <w:r w:rsidR="006C035B" w:rsidRPr="001215E4">
        <w:rPr>
          <w:rFonts w:cs="Arial"/>
          <w:szCs w:val="24"/>
          <w:lang w:val="en-GB"/>
        </w:rPr>
        <w:t xml:space="preserve"> sought</w:t>
      </w:r>
      <w:r w:rsidR="00D101AC" w:rsidRPr="001215E4">
        <w:rPr>
          <w:rFonts w:cs="Arial"/>
          <w:szCs w:val="24"/>
          <w:lang w:val="en-GB"/>
        </w:rPr>
        <w:t xml:space="preserve"> costs against the third respondent on </w:t>
      </w:r>
      <w:r w:rsidR="009A7774" w:rsidRPr="001215E4">
        <w:rPr>
          <w:rFonts w:cs="Arial"/>
          <w:szCs w:val="24"/>
          <w:lang w:val="en-GB"/>
        </w:rPr>
        <w:t>the normal</w:t>
      </w:r>
      <w:r w:rsidR="00D101AC" w:rsidRPr="001215E4">
        <w:rPr>
          <w:rFonts w:cs="Arial"/>
          <w:szCs w:val="24"/>
          <w:lang w:val="en-GB"/>
        </w:rPr>
        <w:t xml:space="preserve"> party and party scale. During argument</w:t>
      </w:r>
      <w:r w:rsidR="00FD4250" w:rsidRPr="001215E4">
        <w:rPr>
          <w:rFonts w:cs="Arial"/>
          <w:szCs w:val="24"/>
          <w:lang w:val="en-GB"/>
        </w:rPr>
        <w:t>,</w:t>
      </w:r>
      <w:r w:rsidR="00D101AC" w:rsidRPr="001215E4">
        <w:rPr>
          <w:rFonts w:cs="Arial"/>
          <w:szCs w:val="24"/>
          <w:lang w:val="en-GB"/>
        </w:rPr>
        <w:t xml:space="preserve"> applicant’s counsel conceded that the notice of motion did not include </w:t>
      </w:r>
      <w:r w:rsidR="00133F02" w:rsidRPr="001215E4">
        <w:rPr>
          <w:rFonts w:cs="Arial"/>
          <w:szCs w:val="24"/>
          <w:lang w:val="en-GB"/>
        </w:rPr>
        <w:t xml:space="preserve">a claim for costs against the third respondent on the scale as between attorney and client, nor </w:t>
      </w:r>
      <w:r w:rsidR="00133F02" w:rsidRPr="001215E4">
        <w:rPr>
          <w:rFonts w:cs="Arial"/>
          <w:i/>
          <w:iCs/>
          <w:szCs w:val="24"/>
          <w:lang w:val="en-GB"/>
        </w:rPr>
        <w:t>de bonis propriis</w:t>
      </w:r>
      <w:r w:rsidR="00133F02" w:rsidRPr="001215E4">
        <w:rPr>
          <w:rFonts w:cs="Arial"/>
          <w:szCs w:val="24"/>
          <w:lang w:val="en-GB"/>
        </w:rPr>
        <w:t xml:space="preserve">. </w:t>
      </w:r>
      <w:r w:rsidR="009A7774" w:rsidRPr="001215E4">
        <w:rPr>
          <w:rFonts w:cs="Arial"/>
          <w:szCs w:val="24"/>
          <w:lang w:val="en-GB"/>
        </w:rPr>
        <w:t xml:space="preserve">There was also no application in terms of rule 28 to seek an amendment or variation to include an order for punitive costs. </w:t>
      </w:r>
    </w:p>
    <w:p w14:paraId="49D27F2F" w14:textId="3D9A801F" w:rsidR="00D101AC" w:rsidRPr="001215E4" w:rsidRDefault="001215E4" w:rsidP="001215E4">
      <w:pPr>
        <w:tabs>
          <w:tab w:val="left" w:pos="851"/>
        </w:tabs>
        <w:spacing w:before="360" w:after="360" w:line="360" w:lineRule="auto"/>
        <w:ind w:left="851" w:right="439" w:hanging="851"/>
        <w:rPr>
          <w:rFonts w:cs="Arial"/>
          <w:szCs w:val="24"/>
          <w:lang w:val="en-GB"/>
        </w:rPr>
      </w:pPr>
      <w:r>
        <w:rPr>
          <w:rFonts w:cs="Arial"/>
          <w:w w:val="99"/>
          <w:szCs w:val="24"/>
        </w:rPr>
        <w:t>13.</w:t>
      </w:r>
      <w:r>
        <w:rPr>
          <w:rFonts w:cs="Arial"/>
          <w:w w:val="99"/>
          <w:szCs w:val="24"/>
        </w:rPr>
        <w:tab/>
      </w:r>
      <w:r w:rsidR="00133F02" w:rsidRPr="001215E4">
        <w:rPr>
          <w:rFonts w:cs="Arial"/>
          <w:szCs w:val="24"/>
          <w:lang w:val="en-GB"/>
        </w:rPr>
        <w:t xml:space="preserve">However, the practice note and heads of argument filed on behalf of the applicant </w:t>
      </w:r>
      <w:r w:rsidR="006C035B" w:rsidRPr="001215E4">
        <w:rPr>
          <w:rFonts w:cs="Arial"/>
          <w:szCs w:val="24"/>
          <w:lang w:val="en-GB"/>
        </w:rPr>
        <w:t xml:space="preserve">argued that </w:t>
      </w:r>
      <w:r w:rsidR="00133F02" w:rsidRPr="001215E4">
        <w:rPr>
          <w:rFonts w:cs="Arial"/>
          <w:szCs w:val="24"/>
          <w:lang w:val="en-GB"/>
        </w:rPr>
        <w:t xml:space="preserve">costs </w:t>
      </w:r>
      <w:r w:rsidR="00133F02" w:rsidRPr="001215E4">
        <w:rPr>
          <w:rFonts w:cs="Arial"/>
          <w:i/>
          <w:iCs/>
          <w:szCs w:val="24"/>
          <w:lang w:val="en-GB"/>
        </w:rPr>
        <w:t>de bonis propriis</w:t>
      </w:r>
      <w:r w:rsidR="00133F02" w:rsidRPr="001215E4">
        <w:rPr>
          <w:rFonts w:cs="Arial"/>
          <w:szCs w:val="24"/>
          <w:lang w:val="en-GB"/>
        </w:rPr>
        <w:t xml:space="preserve"> </w:t>
      </w:r>
      <w:r w:rsidR="006C035B" w:rsidRPr="001215E4">
        <w:rPr>
          <w:rFonts w:cs="Arial"/>
          <w:szCs w:val="24"/>
          <w:lang w:val="en-GB"/>
        </w:rPr>
        <w:t xml:space="preserve">should be awarded </w:t>
      </w:r>
      <w:r w:rsidR="00133F02" w:rsidRPr="001215E4">
        <w:rPr>
          <w:rFonts w:cs="Arial"/>
          <w:szCs w:val="24"/>
          <w:lang w:val="en-GB"/>
        </w:rPr>
        <w:t xml:space="preserve">against the third respondent’s legal representatives. </w:t>
      </w:r>
      <w:r w:rsidR="006C035B" w:rsidRPr="001215E4">
        <w:rPr>
          <w:rFonts w:cs="Arial"/>
          <w:szCs w:val="24"/>
          <w:lang w:val="en-GB"/>
        </w:rPr>
        <w:t>T</w:t>
      </w:r>
      <w:r w:rsidR="00133F02" w:rsidRPr="001215E4">
        <w:rPr>
          <w:rFonts w:cs="Arial"/>
          <w:szCs w:val="24"/>
          <w:lang w:val="en-GB"/>
        </w:rPr>
        <w:t xml:space="preserve">he third respondent (a firm of conveyancing attorneys) was represented by </w:t>
      </w:r>
      <w:r w:rsidR="00A9631C" w:rsidRPr="001215E4">
        <w:rPr>
          <w:rFonts w:cs="Arial"/>
          <w:szCs w:val="24"/>
          <w:lang w:val="en-GB"/>
        </w:rPr>
        <w:t>another</w:t>
      </w:r>
      <w:r w:rsidR="006C035B" w:rsidRPr="001215E4">
        <w:rPr>
          <w:rFonts w:cs="Arial"/>
          <w:szCs w:val="24"/>
          <w:lang w:val="en-GB"/>
        </w:rPr>
        <w:t xml:space="preserve"> firm</w:t>
      </w:r>
      <w:r w:rsidR="00A9631C" w:rsidRPr="001215E4">
        <w:rPr>
          <w:rFonts w:cs="Arial"/>
          <w:szCs w:val="24"/>
          <w:lang w:val="en-GB"/>
        </w:rPr>
        <w:t xml:space="preserve"> of attorneys</w:t>
      </w:r>
      <w:r w:rsidR="006C035B" w:rsidRPr="001215E4">
        <w:rPr>
          <w:rFonts w:cs="Arial"/>
          <w:szCs w:val="24"/>
          <w:lang w:val="en-GB"/>
        </w:rPr>
        <w:t xml:space="preserve"> herein</w:t>
      </w:r>
      <w:r w:rsidR="00A9631C" w:rsidRPr="001215E4">
        <w:rPr>
          <w:rFonts w:cs="Arial"/>
          <w:szCs w:val="24"/>
          <w:lang w:val="en-GB"/>
        </w:rPr>
        <w:t xml:space="preserve">. Wherefore it is incumbent upon the applicant to have notified the third respondent’s legal representatives that costs </w:t>
      </w:r>
      <w:r w:rsidR="00A9631C" w:rsidRPr="001215E4">
        <w:rPr>
          <w:rFonts w:cs="Arial"/>
          <w:i/>
          <w:iCs/>
          <w:szCs w:val="24"/>
          <w:lang w:val="en-GB"/>
        </w:rPr>
        <w:t>de bonis propriis</w:t>
      </w:r>
      <w:r w:rsidR="00A9631C" w:rsidRPr="001215E4">
        <w:rPr>
          <w:rFonts w:cs="Arial"/>
          <w:szCs w:val="24"/>
          <w:lang w:val="en-GB"/>
        </w:rPr>
        <w:t xml:space="preserve"> w</w:t>
      </w:r>
      <w:r w:rsidR="00123CA4" w:rsidRPr="001215E4">
        <w:rPr>
          <w:rFonts w:cs="Arial"/>
          <w:szCs w:val="24"/>
          <w:lang w:val="en-GB"/>
        </w:rPr>
        <w:t>ere</w:t>
      </w:r>
      <w:r w:rsidR="00A9631C" w:rsidRPr="001215E4">
        <w:rPr>
          <w:rFonts w:cs="Arial"/>
          <w:szCs w:val="24"/>
          <w:lang w:val="en-GB"/>
        </w:rPr>
        <w:t xml:space="preserve"> sought against it separately. </w:t>
      </w:r>
    </w:p>
    <w:p w14:paraId="038A6142" w14:textId="09230932" w:rsidR="00A9631C" w:rsidRPr="001215E4" w:rsidRDefault="001215E4" w:rsidP="001215E4">
      <w:pPr>
        <w:tabs>
          <w:tab w:val="left" w:pos="851"/>
        </w:tabs>
        <w:spacing w:before="360" w:after="360" w:line="360" w:lineRule="auto"/>
        <w:ind w:left="851" w:right="439" w:hanging="851"/>
        <w:rPr>
          <w:rFonts w:cs="Arial"/>
          <w:szCs w:val="24"/>
          <w:lang w:val="en-GB"/>
        </w:rPr>
      </w:pPr>
      <w:r>
        <w:rPr>
          <w:rFonts w:cs="Arial"/>
          <w:w w:val="99"/>
          <w:szCs w:val="24"/>
        </w:rPr>
        <w:t>14.</w:t>
      </w:r>
      <w:r>
        <w:rPr>
          <w:rFonts w:cs="Arial"/>
          <w:w w:val="99"/>
          <w:szCs w:val="24"/>
        </w:rPr>
        <w:tab/>
      </w:r>
      <w:r w:rsidR="00D344FE" w:rsidRPr="001215E4">
        <w:rPr>
          <w:rFonts w:cs="Arial"/>
          <w:szCs w:val="24"/>
          <w:lang w:val="en-GB"/>
        </w:rPr>
        <w:t>There was no n</w:t>
      </w:r>
      <w:r w:rsidR="00A9631C" w:rsidRPr="001215E4">
        <w:rPr>
          <w:rFonts w:cs="Arial"/>
          <w:szCs w:val="24"/>
          <w:lang w:val="en-GB"/>
        </w:rPr>
        <w:t xml:space="preserve">otice filed </w:t>
      </w:r>
      <w:r w:rsidR="00A9631C" w:rsidRPr="001215E4">
        <w:rPr>
          <w:rFonts w:cs="Arial"/>
          <w:i/>
          <w:iCs/>
          <w:szCs w:val="24"/>
          <w:lang w:val="en-GB"/>
        </w:rPr>
        <w:t>vis-á-vis</w:t>
      </w:r>
      <w:r w:rsidR="00A9631C" w:rsidRPr="001215E4">
        <w:rPr>
          <w:rFonts w:cs="Arial"/>
          <w:szCs w:val="24"/>
          <w:lang w:val="en-GB"/>
        </w:rPr>
        <w:t xml:space="preserve"> the third respondent’s legal representatives</w:t>
      </w:r>
      <w:r w:rsidR="00D344FE" w:rsidRPr="001215E4">
        <w:rPr>
          <w:rFonts w:cs="Arial"/>
          <w:szCs w:val="24"/>
          <w:lang w:val="en-GB"/>
        </w:rPr>
        <w:t>,</w:t>
      </w:r>
      <w:r w:rsidR="00A9631C" w:rsidRPr="001215E4">
        <w:rPr>
          <w:rFonts w:cs="Arial"/>
          <w:szCs w:val="24"/>
          <w:lang w:val="en-GB"/>
        </w:rPr>
        <w:t xml:space="preserve"> </w:t>
      </w:r>
      <w:r w:rsidR="00D344FE" w:rsidRPr="001215E4">
        <w:rPr>
          <w:rFonts w:cs="Arial"/>
          <w:szCs w:val="24"/>
          <w:lang w:val="en-GB"/>
        </w:rPr>
        <w:t xml:space="preserve">although </w:t>
      </w:r>
      <w:r w:rsidR="00A9631C" w:rsidRPr="001215E4">
        <w:rPr>
          <w:rFonts w:cs="Arial"/>
          <w:szCs w:val="24"/>
          <w:lang w:val="en-GB"/>
        </w:rPr>
        <w:t>the applicant was duty bound to do so</w:t>
      </w:r>
      <w:r w:rsidR="00A9631C">
        <w:rPr>
          <w:rStyle w:val="FootnoteReference"/>
          <w:rFonts w:cs="Arial"/>
          <w:szCs w:val="24"/>
          <w:lang w:val="en-GB"/>
        </w:rPr>
        <w:footnoteReference w:id="12"/>
      </w:r>
      <w:r w:rsidR="009A7774" w:rsidRPr="001215E4">
        <w:rPr>
          <w:rFonts w:cs="Arial"/>
          <w:szCs w:val="24"/>
          <w:lang w:val="en-GB"/>
        </w:rPr>
        <w:t>, that punitive type and scale of costs would be sought against it</w:t>
      </w:r>
      <w:r w:rsidR="00A9631C" w:rsidRPr="001215E4">
        <w:rPr>
          <w:rFonts w:cs="Arial"/>
          <w:szCs w:val="24"/>
          <w:lang w:val="en-GB"/>
        </w:rPr>
        <w:t>.</w:t>
      </w:r>
    </w:p>
    <w:p w14:paraId="18495F69" w14:textId="77EA4701" w:rsidR="00A57858" w:rsidRPr="001215E4" w:rsidRDefault="001215E4" w:rsidP="001215E4">
      <w:pPr>
        <w:tabs>
          <w:tab w:val="left" w:pos="851"/>
        </w:tabs>
        <w:spacing w:before="360" w:after="360" w:line="360" w:lineRule="auto"/>
        <w:ind w:left="851" w:right="439" w:hanging="851"/>
        <w:rPr>
          <w:rFonts w:cs="Arial"/>
          <w:szCs w:val="24"/>
          <w:lang w:val="en-GB"/>
        </w:rPr>
      </w:pPr>
      <w:r>
        <w:rPr>
          <w:rFonts w:cs="Arial"/>
          <w:w w:val="99"/>
          <w:szCs w:val="24"/>
        </w:rPr>
        <w:t>15.</w:t>
      </w:r>
      <w:r>
        <w:rPr>
          <w:rFonts w:cs="Arial"/>
          <w:w w:val="99"/>
          <w:szCs w:val="24"/>
        </w:rPr>
        <w:tab/>
      </w:r>
      <w:r w:rsidR="00A57858" w:rsidRPr="001215E4">
        <w:rPr>
          <w:rFonts w:cs="Arial"/>
          <w:szCs w:val="24"/>
          <w:lang w:val="en-GB"/>
        </w:rPr>
        <w:t>The reasoning behind such a notice is to</w:t>
      </w:r>
      <w:r w:rsidR="00123CA4" w:rsidRPr="001215E4">
        <w:rPr>
          <w:rFonts w:cs="Arial"/>
          <w:szCs w:val="24"/>
          <w:lang w:val="en-GB"/>
        </w:rPr>
        <w:t xml:space="preserve"> alert and </w:t>
      </w:r>
      <w:r w:rsidR="00A57858" w:rsidRPr="001215E4">
        <w:rPr>
          <w:rFonts w:cs="Arial"/>
          <w:szCs w:val="24"/>
          <w:lang w:val="en-GB"/>
        </w:rPr>
        <w:t>notify a litigant’s legal r</w:t>
      </w:r>
      <w:r w:rsidR="00D344FE" w:rsidRPr="001215E4">
        <w:rPr>
          <w:rFonts w:cs="Arial"/>
          <w:szCs w:val="24"/>
          <w:lang w:val="en-GB"/>
        </w:rPr>
        <w:t>e</w:t>
      </w:r>
      <w:r w:rsidR="00A57858" w:rsidRPr="001215E4">
        <w:rPr>
          <w:rFonts w:cs="Arial"/>
          <w:szCs w:val="24"/>
          <w:lang w:val="en-GB"/>
        </w:rPr>
        <w:t xml:space="preserve">presentative to, if it so chooses, appoint legal counsel on its behalf </w:t>
      </w:r>
      <w:r w:rsidR="00D344FE" w:rsidRPr="001215E4">
        <w:rPr>
          <w:rFonts w:cs="Arial"/>
          <w:szCs w:val="24"/>
          <w:lang w:val="en-GB"/>
        </w:rPr>
        <w:t xml:space="preserve">to </w:t>
      </w:r>
      <w:r w:rsidR="00A57858" w:rsidRPr="001215E4">
        <w:rPr>
          <w:rFonts w:cs="Arial"/>
          <w:szCs w:val="24"/>
          <w:lang w:val="en-GB"/>
        </w:rPr>
        <w:t>protect its interest against an adverse cost order sought on a punitive scale.</w:t>
      </w:r>
    </w:p>
    <w:p w14:paraId="629023AE" w14:textId="63C00B91" w:rsidR="00A57858" w:rsidRPr="001215E4" w:rsidRDefault="001215E4" w:rsidP="001215E4">
      <w:pPr>
        <w:tabs>
          <w:tab w:val="left" w:pos="851"/>
        </w:tabs>
        <w:spacing w:before="360" w:after="360" w:line="360" w:lineRule="auto"/>
        <w:ind w:left="851" w:right="439" w:hanging="851"/>
        <w:rPr>
          <w:rFonts w:cs="Arial"/>
          <w:szCs w:val="24"/>
          <w:lang w:val="en-GB"/>
        </w:rPr>
      </w:pPr>
      <w:r>
        <w:rPr>
          <w:rFonts w:cs="Arial"/>
          <w:w w:val="99"/>
          <w:szCs w:val="24"/>
        </w:rPr>
        <w:t>16.</w:t>
      </w:r>
      <w:r>
        <w:rPr>
          <w:rFonts w:cs="Arial"/>
          <w:w w:val="99"/>
          <w:szCs w:val="24"/>
        </w:rPr>
        <w:tab/>
      </w:r>
      <w:r w:rsidR="00254F88" w:rsidRPr="001215E4">
        <w:rPr>
          <w:rFonts w:cs="Arial"/>
          <w:szCs w:val="24"/>
          <w:lang w:val="en-GB"/>
        </w:rPr>
        <w:t>In civil litigation costs are sought against one</w:t>
      </w:r>
      <w:r w:rsidR="00123CA4" w:rsidRPr="001215E4">
        <w:rPr>
          <w:rFonts w:cs="Arial"/>
          <w:szCs w:val="24"/>
          <w:lang w:val="en-GB"/>
        </w:rPr>
        <w:t>’</w:t>
      </w:r>
      <w:r w:rsidR="00254F88" w:rsidRPr="001215E4">
        <w:rPr>
          <w:rFonts w:cs="Arial"/>
          <w:szCs w:val="24"/>
          <w:lang w:val="en-GB"/>
        </w:rPr>
        <w:t>s opponent, not the legal practitioner representing that party, other remedies</w:t>
      </w:r>
      <w:r w:rsidR="00123CA4">
        <w:rPr>
          <w:rStyle w:val="FootnoteReference"/>
          <w:rFonts w:cs="Arial"/>
          <w:szCs w:val="24"/>
          <w:lang w:val="en-GB"/>
        </w:rPr>
        <w:footnoteReference w:id="13"/>
      </w:r>
      <w:r w:rsidR="00254F88" w:rsidRPr="001215E4">
        <w:rPr>
          <w:rFonts w:cs="Arial"/>
          <w:szCs w:val="24"/>
          <w:lang w:val="en-GB"/>
        </w:rPr>
        <w:t xml:space="preserve"> are available to parties </w:t>
      </w:r>
      <w:r w:rsidR="00254F88" w:rsidRPr="001215E4">
        <w:rPr>
          <w:rFonts w:cs="Arial"/>
          <w:szCs w:val="24"/>
          <w:lang w:val="en-GB"/>
        </w:rPr>
        <w:lastRenderedPageBreak/>
        <w:t>involved in litigation seeking recourse against a rival attorney.</w:t>
      </w:r>
    </w:p>
    <w:p w14:paraId="26A2C808" w14:textId="34828DB2" w:rsidR="00A57858" w:rsidRPr="001215E4" w:rsidRDefault="001215E4" w:rsidP="001215E4">
      <w:pPr>
        <w:tabs>
          <w:tab w:val="left" w:pos="851"/>
        </w:tabs>
        <w:spacing w:before="360" w:after="360" w:line="360" w:lineRule="auto"/>
        <w:ind w:left="851" w:right="439" w:hanging="851"/>
        <w:rPr>
          <w:rFonts w:cs="Arial"/>
          <w:szCs w:val="24"/>
          <w:lang w:val="en-GB"/>
        </w:rPr>
      </w:pPr>
      <w:r>
        <w:rPr>
          <w:rFonts w:cs="Arial"/>
          <w:w w:val="99"/>
          <w:szCs w:val="24"/>
        </w:rPr>
        <w:t>17.</w:t>
      </w:r>
      <w:r>
        <w:rPr>
          <w:rFonts w:cs="Arial"/>
          <w:w w:val="99"/>
          <w:szCs w:val="24"/>
        </w:rPr>
        <w:tab/>
      </w:r>
      <w:r w:rsidR="00D344FE" w:rsidRPr="001215E4">
        <w:rPr>
          <w:rFonts w:cs="Arial"/>
          <w:szCs w:val="24"/>
          <w:lang w:val="en-GB"/>
        </w:rPr>
        <w:t>T</w:t>
      </w:r>
      <w:r w:rsidR="00A57858" w:rsidRPr="001215E4">
        <w:rPr>
          <w:rFonts w:cs="Arial"/>
          <w:szCs w:val="24"/>
          <w:lang w:val="en-GB"/>
        </w:rPr>
        <w:t>he applicant ha</w:t>
      </w:r>
      <w:r w:rsidR="00D344FE" w:rsidRPr="001215E4">
        <w:rPr>
          <w:rFonts w:cs="Arial"/>
          <w:szCs w:val="24"/>
          <w:lang w:val="en-GB"/>
        </w:rPr>
        <w:t>s</w:t>
      </w:r>
      <w:r w:rsidR="00A57858" w:rsidRPr="001215E4">
        <w:rPr>
          <w:rFonts w:cs="Arial"/>
          <w:szCs w:val="24"/>
          <w:lang w:val="en-GB"/>
        </w:rPr>
        <w:t xml:space="preserve"> a duty to limit or curtail unnecessary proceedings and the incurrence of costs. </w:t>
      </w:r>
      <w:r w:rsidR="00D344FE" w:rsidRPr="001215E4">
        <w:rPr>
          <w:rFonts w:cs="Arial"/>
          <w:szCs w:val="24"/>
          <w:lang w:val="en-GB"/>
        </w:rPr>
        <w:t>If not complied with, s</w:t>
      </w:r>
      <w:r w:rsidR="00A57858" w:rsidRPr="001215E4">
        <w:rPr>
          <w:rFonts w:cs="Arial"/>
          <w:szCs w:val="24"/>
          <w:lang w:val="en-GB"/>
        </w:rPr>
        <w:t xml:space="preserve">uch a party may </w:t>
      </w:r>
      <w:r w:rsidR="00BD3865" w:rsidRPr="001215E4">
        <w:rPr>
          <w:rFonts w:cs="Arial"/>
          <w:szCs w:val="24"/>
          <w:lang w:val="en-GB"/>
        </w:rPr>
        <w:t xml:space="preserve">be ordered to </w:t>
      </w:r>
      <w:r w:rsidR="00A57858" w:rsidRPr="001215E4">
        <w:rPr>
          <w:rFonts w:cs="Arial"/>
          <w:szCs w:val="24"/>
          <w:lang w:val="en-GB"/>
        </w:rPr>
        <w:t xml:space="preserve">pay costs which have been incurred </w:t>
      </w:r>
      <w:r w:rsidR="00FD4250" w:rsidRPr="001215E4">
        <w:rPr>
          <w:rFonts w:cs="Arial"/>
          <w:szCs w:val="24"/>
          <w:lang w:val="en-GB"/>
        </w:rPr>
        <w:t xml:space="preserve">by </w:t>
      </w:r>
      <w:r w:rsidR="00A57858" w:rsidRPr="001215E4">
        <w:rPr>
          <w:rFonts w:cs="Arial"/>
          <w:szCs w:val="24"/>
          <w:lang w:val="en-GB"/>
        </w:rPr>
        <w:t>taking unnecessary steps</w:t>
      </w:r>
      <w:r w:rsidR="00A57858">
        <w:rPr>
          <w:rStyle w:val="FootnoteReference"/>
          <w:rFonts w:cs="Arial"/>
          <w:szCs w:val="24"/>
          <w:lang w:val="en-GB"/>
        </w:rPr>
        <w:footnoteReference w:id="14"/>
      </w:r>
      <w:r w:rsidR="00A57858" w:rsidRPr="001215E4">
        <w:rPr>
          <w:rFonts w:cs="Arial"/>
          <w:szCs w:val="24"/>
          <w:lang w:val="en-GB"/>
        </w:rPr>
        <w:t>.</w:t>
      </w:r>
      <w:r w:rsidR="00254F88" w:rsidRPr="001215E4">
        <w:rPr>
          <w:rFonts w:cs="Arial"/>
          <w:szCs w:val="24"/>
          <w:lang w:val="en-GB"/>
        </w:rPr>
        <w:t xml:space="preserve"> It was unnecessary to institute this application and set it down separately on the opposed motion roll</w:t>
      </w:r>
      <w:r w:rsidR="00BD3865" w:rsidRPr="001215E4">
        <w:rPr>
          <w:rFonts w:cs="Arial"/>
          <w:szCs w:val="24"/>
          <w:lang w:val="en-GB"/>
        </w:rPr>
        <w:t xml:space="preserve">, </w:t>
      </w:r>
      <w:r w:rsidR="00FD4250" w:rsidRPr="001215E4">
        <w:rPr>
          <w:rFonts w:cs="Arial"/>
          <w:szCs w:val="24"/>
          <w:lang w:val="en-GB"/>
        </w:rPr>
        <w:t>especially</w:t>
      </w:r>
      <w:r w:rsidR="00BD3865" w:rsidRPr="001215E4">
        <w:rPr>
          <w:rFonts w:cs="Arial"/>
          <w:szCs w:val="24"/>
          <w:lang w:val="en-GB"/>
        </w:rPr>
        <w:t xml:space="preserve"> where the main relief (prayers 1 and 3 of the notice of motion) was not persisted with</w:t>
      </w:r>
      <w:r w:rsidR="00254F88" w:rsidRPr="001215E4">
        <w:rPr>
          <w:rFonts w:cs="Arial"/>
          <w:szCs w:val="24"/>
          <w:lang w:val="en-GB"/>
        </w:rPr>
        <w:t xml:space="preserve">. Any costs aspect </w:t>
      </w:r>
      <w:r w:rsidR="00254F88" w:rsidRPr="001215E4">
        <w:rPr>
          <w:rFonts w:cs="Arial"/>
          <w:i/>
          <w:iCs/>
          <w:szCs w:val="24"/>
          <w:lang w:val="en-GB"/>
        </w:rPr>
        <w:t>in casu</w:t>
      </w:r>
      <w:r w:rsidR="00254F88" w:rsidRPr="001215E4">
        <w:rPr>
          <w:rFonts w:cs="Arial"/>
          <w:szCs w:val="24"/>
          <w:lang w:val="en-GB"/>
        </w:rPr>
        <w:t xml:space="preserve"> could and should have been dealt with ultimately by the trial court.</w:t>
      </w:r>
    </w:p>
    <w:p w14:paraId="070CC56E" w14:textId="563FF90B" w:rsidR="00A57858" w:rsidRPr="001215E4" w:rsidRDefault="001215E4" w:rsidP="001215E4">
      <w:pPr>
        <w:tabs>
          <w:tab w:val="left" w:pos="851"/>
        </w:tabs>
        <w:spacing w:before="360" w:after="360" w:line="360" w:lineRule="auto"/>
        <w:ind w:left="851" w:right="439" w:hanging="851"/>
        <w:rPr>
          <w:rFonts w:cs="Arial"/>
          <w:szCs w:val="24"/>
          <w:lang w:val="en-GB"/>
        </w:rPr>
      </w:pPr>
      <w:r>
        <w:rPr>
          <w:rFonts w:cs="Arial"/>
          <w:w w:val="99"/>
          <w:szCs w:val="24"/>
        </w:rPr>
        <w:t>18.</w:t>
      </w:r>
      <w:r>
        <w:rPr>
          <w:rFonts w:cs="Arial"/>
          <w:w w:val="99"/>
          <w:szCs w:val="24"/>
        </w:rPr>
        <w:tab/>
      </w:r>
      <w:r w:rsidR="00A57858" w:rsidRPr="001215E4">
        <w:rPr>
          <w:rFonts w:cs="Arial"/>
          <w:szCs w:val="24"/>
          <w:lang w:val="en-GB"/>
        </w:rPr>
        <w:t xml:space="preserve">It is irrelevant whether a party achieved technical success </w:t>
      </w:r>
      <w:r w:rsidR="00BD3865" w:rsidRPr="001215E4">
        <w:rPr>
          <w:rFonts w:cs="Arial"/>
          <w:szCs w:val="24"/>
          <w:lang w:val="en-GB"/>
        </w:rPr>
        <w:t>in a matter</w:t>
      </w:r>
      <w:r w:rsidR="00A57858" w:rsidRPr="001215E4">
        <w:rPr>
          <w:rFonts w:cs="Arial"/>
          <w:szCs w:val="24"/>
          <w:lang w:val="en-GB"/>
        </w:rPr>
        <w:t xml:space="preserve">, should it be the applicant’s argument that it was </w:t>
      </w:r>
      <w:r w:rsidR="00254F88" w:rsidRPr="001215E4">
        <w:rPr>
          <w:rFonts w:cs="Arial"/>
          <w:szCs w:val="24"/>
          <w:lang w:val="en-GB"/>
        </w:rPr>
        <w:t>entitled to</w:t>
      </w:r>
      <w:r w:rsidR="00A57858" w:rsidRPr="001215E4">
        <w:rPr>
          <w:rFonts w:cs="Arial"/>
          <w:szCs w:val="24"/>
          <w:lang w:val="en-GB"/>
        </w:rPr>
        <w:t xml:space="preserve"> institut</w:t>
      </w:r>
      <w:r w:rsidR="00254F88" w:rsidRPr="001215E4">
        <w:rPr>
          <w:rFonts w:cs="Arial"/>
          <w:szCs w:val="24"/>
          <w:lang w:val="en-GB"/>
        </w:rPr>
        <w:t>e</w:t>
      </w:r>
      <w:r w:rsidR="00A57858" w:rsidRPr="001215E4">
        <w:rPr>
          <w:rFonts w:cs="Arial"/>
          <w:szCs w:val="24"/>
          <w:lang w:val="en-GB"/>
        </w:rPr>
        <w:t xml:space="preserve"> the application to compel.  </w:t>
      </w:r>
      <w:r w:rsidR="00BD3865" w:rsidRPr="001215E4">
        <w:rPr>
          <w:rFonts w:cs="Arial"/>
          <w:szCs w:val="24"/>
          <w:lang w:val="en-GB"/>
        </w:rPr>
        <w:t xml:space="preserve">Even </w:t>
      </w:r>
      <w:r w:rsidR="00A57858" w:rsidRPr="001215E4">
        <w:rPr>
          <w:rFonts w:cs="Arial"/>
          <w:szCs w:val="24"/>
          <w:lang w:val="en-GB"/>
        </w:rPr>
        <w:t>in circumstances</w:t>
      </w:r>
      <w:r w:rsidR="00BD3865" w:rsidRPr="001215E4">
        <w:rPr>
          <w:rFonts w:cs="Arial"/>
          <w:szCs w:val="24"/>
          <w:lang w:val="en-GB"/>
        </w:rPr>
        <w:t xml:space="preserve"> where </w:t>
      </w:r>
      <w:r w:rsidR="00CF73E3" w:rsidRPr="001215E4">
        <w:rPr>
          <w:rFonts w:cs="Arial"/>
          <w:szCs w:val="24"/>
          <w:lang w:val="en-GB"/>
        </w:rPr>
        <w:t xml:space="preserve">a </w:t>
      </w:r>
      <w:r w:rsidR="00BD3865" w:rsidRPr="001215E4">
        <w:rPr>
          <w:rFonts w:cs="Arial"/>
          <w:szCs w:val="24"/>
          <w:lang w:val="en-GB"/>
        </w:rPr>
        <w:t>litigatin</w:t>
      </w:r>
      <w:r w:rsidR="003E5214" w:rsidRPr="001215E4">
        <w:rPr>
          <w:rFonts w:cs="Arial"/>
          <w:szCs w:val="24"/>
          <w:lang w:val="en-GB"/>
        </w:rPr>
        <w:t>g</w:t>
      </w:r>
      <w:r w:rsidR="00CF73E3" w:rsidRPr="001215E4">
        <w:rPr>
          <w:rFonts w:cs="Arial"/>
          <w:szCs w:val="24"/>
          <w:lang w:val="en-GB"/>
        </w:rPr>
        <w:t xml:space="preserve"> party</w:t>
      </w:r>
      <w:r w:rsidR="00BD3865" w:rsidRPr="001215E4">
        <w:rPr>
          <w:rFonts w:cs="Arial"/>
          <w:szCs w:val="24"/>
          <w:lang w:val="en-GB"/>
        </w:rPr>
        <w:t xml:space="preserve"> </w:t>
      </w:r>
      <w:r w:rsidR="00A57858" w:rsidRPr="001215E4">
        <w:rPr>
          <w:rFonts w:cs="Arial"/>
          <w:szCs w:val="24"/>
          <w:lang w:val="en-GB"/>
        </w:rPr>
        <w:t>achieve</w:t>
      </w:r>
      <w:r w:rsidR="00BD3865" w:rsidRPr="001215E4">
        <w:rPr>
          <w:rFonts w:cs="Arial"/>
          <w:szCs w:val="24"/>
          <w:lang w:val="en-GB"/>
        </w:rPr>
        <w:t>s</w:t>
      </w:r>
      <w:r w:rsidR="00A57858" w:rsidRPr="001215E4">
        <w:rPr>
          <w:rFonts w:cs="Arial"/>
          <w:szCs w:val="24"/>
          <w:lang w:val="en-GB"/>
        </w:rPr>
        <w:t xml:space="preserve"> technical success, such a party may</w:t>
      </w:r>
      <w:r w:rsidR="00BD3865" w:rsidRPr="001215E4">
        <w:rPr>
          <w:rFonts w:cs="Arial"/>
          <w:szCs w:val="24"/>
          <w:lang w:val="en-GB"/>
        </w:rPr>
        <w:t xml:space="preserve"> still</w:t>
      </w:r>
      <w:r w:rsidR="00A57858" w:rsidRPr="001215E4">
        <w:rPr>
          <w:rFonts w:cs="Arial"/>
          <w:szCs w:val="24"/>
          <w:lang w:val="en-GB"/>
        </w:rPr>
        <w:t xml:space="preserve"> be </w:t>
      </w:r>
      <w:r w:rsidR="00254F88" w:rsidRPr="001215E4">
        <w:rPr>
          <w:rFonts w:cs="Arial"/>
          <w:szCs w:val="24"/>
          <w:lang w:val="en-GB"/>
        </w:rPr>
        <w:t>mulc</w:t>
      </w:r>
      <w:r w:rsidR="00322FB4" w:rsidRPr="001215E4">
        <w:rPr>
          <w:rFonts w:cs="Arial"/>
          <w:szCs w:val="24"/>
          <w:lang w:val="en-GB"/>
        </w:rPr>
        <w:t>ted with costs and may be ordered to pay the costs of “</w:t>
      </w:r>
      <w:r w:rsidR="00322FB4" w:rsidRPr="001215E4">
        <w:rPr>
          <w:rFonts w:cs="Arial"/>
          <w:i/>
          <w:iCs/>
          <w:szCs w:val="24"/>
          <w:lang w:val="en-GB"/>
        </w:rPr>
        <w:t>an unsuccessful opponent’s costs.</w:t>
      </w:r>
      <w:r w:rsidR="00322FB4" w:rsidRPr="001215E4">
        <w:rPr>
          <w:rFonts w:cs="Arial"/>
          <w:szCs w:val="24"/>
          <w:lang w:val="en-GB"/>
        </w:rPr>
        <w:t>”</w:t>
      </w:r>
      <w:r w:rsidR="00322FB4">
        <w:rPr>
          <w:rStyle w:val="FootnoteReference"/>
          <w:rFonts w:cs="Arial"/>
          <w:szCs w:val="24"/>
          <w:lang w:val="en-GB"/>
        </w:rPr>
        <w:footnoteReference w:id="15"/>
      </w:r>
      <w:r w:rsidR="00BD3865" w:rsidRPr="001215E4">
        <w:rPr>
          <w:rFonts w:cs="Arial"/>
          <w:szCs w:val="24"/>
          <w:lang w:val="en-GB"/>
        </w:rPr>
        <w:t xml:space="preserve">  </w:t>
      </w:r>
      <w:r w:rsidR="00BD3865" w:rsidRPr="001215E4">
        <w:rPr>
          <w:rFonts w:cs="Arial"/>
          <w:i/>
          <w:iCs/>
          <w:szCs w:val="24"/>
          <w:lang w:val="en-GB"/>
        </w:rPr>
        <w:t>In</w:t>
      </w:r>
      <w:r w:rsidR="00BD3865" w:rsidRPr="001215E4">
        <w:rPr>
          <w:rFonts w:cs="Arial"/>
          <w:szCs w:val="24"/>
          <w:lang w:val="en-GB"/>
        </w:rPr>
        <w:t xml:space="preserve"> </w:t>
      </w:r>
      <w:r w:rsidR="00BD3865" w:rsidRPr="001215E4">
        <w:rPr>
          <w:rFonts w:cs="Arial"/>
          <w:i/>
          <w:iCs/>
          <w:szCs w:val="24"/>
          <w:lang w:val="en-GB"/>
        </w:rPr>
        <w:t>casu</w:t>
      </w:r>
      <w:r w:rsidR="00BD3865" w:rsidRPr="001215E4">
        <w:rPr>
          <w:rFonts w:cs="Arial"/>
          <w:szCs w:val="24"/>
          <w:lang w:val="en-GB"/>
        </w:rPr>
        <w:t>, prayers 1 and 3 were not granted, it cannot be argued by the applicant that it even achieved “</w:t>
      </w:r>
      <w:r w:rsidR="00BD3865" w:rsidRPr="001215E4">
        <w:rPr>
          <w:rFonts w:cs="Arial"/>
          <w:i/>
          <w:iCs/>
          <w:szCs w:val="24"/>
          <w:lang w:val="en-GB"/>
        </w:rPr>
        <w:t>technical suc</w:t>
      </w:r>
      <w:r w:rsidR="00D15D48" w:rsidRPr="001215E4">
        <w:rPr>
          <w:rFonts w:cs="Arial"/>
          <w:i/>
          <w:iCs/>
          <w:szCs w:val="24"/>
          <w:lang w:val="en-GB"/>
        </w:rPr>
        <w:t>c</w:t>
      </w:r>
      <w:r w:rsidR="00BD3865" w:rsidRPr="001215E4">
        <w:rPr>
          <w:rFonts w:cs="Arial"/>
          <w:i/>
          <w:iCs/>
          <w:szCs w:val="24"/>
          <w:lang w:val="en-GB"/>
        </w:rPr>
        <w:t>ess</w:t>
      </w:r>
      <w:r w:rsidR="00BD3865" w:rsidRPr="001215E4">
        <w:rPr>
          <w:rFonts w:cs="Arial"/>
          <w:szCs w:val="24"/>
          <w:lang w:val="en-GB"/>
        </w:rPr>
        <w:t>”.</w:t>
      </w:r>
    </w:p>
    <w:p w14:paraId="11CDF718" w14:textId="0F21B999" w:rsidR="00CF73E3" w:rsidRPr="00CF73E3" w:rsidRDefault="00CF73E3" w:rsidP="00CF73E3">
      <w:pPr>
        <w:spacing w:before="360" w:after="360" w:line="360" w:lineRule="auto"/>
        <w:ind w:right="439"/>
        <w:rPr>
          <w:rFonts w:cs="Arial"/>
          <w:i/>
          <w:iCs/>
          <w:szCs w:val="24"/>
          <w:lang w:val="en-GB"/>
        </w:rPr>
      </w:pPr>
      <w:r>
        <w:rPr>
          <w:rFonts w:cs="Arial"/>
          <w:i/>
          <w:iCs/>
          <w:szCs w:val="24"/>
          <w:lang w:val="en-GB"/>
        </w:rPr>
        <w:t xml:space="preserve">Costs </w:t>
      </w:r>
      <w:r w:rsidRPr="00CF73E3">
        <w:rPr>
          <w:rFonts w:cs="Arial"/>
          <w:i/>
          <w:iCs/>
          <w:szCs w:val="24"/>
          <w:lang w:val="en-GB"/>
        </w:rPr>
        <w:t>de bonis propriis</w:t>
      </w:r>
      <w:r>
        <w:rPr>
          <w:rFonts w:cs="Arial"/>
          <w:i/>
          <w:iCs/>
          <w:szCs w:val="24"/>
          <w:lang w:val="en-GB"/>
        </w:rPr>
        <w:t xml:space="preserve"> </w:t>
      </w:r>
    </w:p>
    <w:p w14:paraId="4F157D37" w14:textId="5685871C" w:rsidR="00520F92" w:rsidRPr="001215E4" w:rsidRDefault="001215E4" w:rsidP="001215E4">
      <w:pPr>
        <w:tabs>
          <w:tab w:val="left" w:pos="851"/>
        </w:tabs>
        <w:spacing w:before="360" w:after="360" w:line="360" w:lineRule="auto"/>
        <w:ind w:left="851" w:right="439" w:hanging="851"/>
        <w:rPr>
          <w:rFonts w:cs="Arial"/>
          <w:szCs w:val="24"/>
          <w:lang w:val="en-GB"/>
        </w:rPr>
      </w:pPr>
      <w:r>
        <w:rPr>
          <w:rFonts w:cs="Arial"/>
          <w:w w:val="99"/>
          <w:szCs w:val="24"/>
        </w:rPr>
        <w:t>19.</w:t>
      </w:r>
      <w:r>
        <w:rPr>
          <w:rFonts w:cs="Arial"/>
          <w:w w:val="99"/>
          <w:szCs w:val="24"/>
        </w:rPr>
        <w:tab/>
      </w:r>
      <w:r w:rsidR="00520F92" w:rsidRPr="001215E4">
        <w:rPr>
          <w:rFonts w:cs="Arial"/>
          <w:szCs w:val="24"/>
          <w:lang w:val="en-GB"/>
        </w:rPr>
        <w:t>Courts do not generally grant costs against judicial office</w:t>
      </w:r>
      <w:r w:rsidR="00FD4250" w:rsidRPr="001215E4">
        <w:rPr>
          <w:rFonts w:cs="Arial"/>
          <w:szCs w:val="24"/>
          <w:lang w:val="en-GB"/>
        </w:rPr>
        <w:t>r</w:t>
      </w:r>
      <w:r w:rsidR="00520F92" w:rsidRPr="001215E4">
        <w:rPr>
          <w:rFonts w:cs="Arial"/>
          <w:szCs w:val="24"/>
          <w:lang w:val="en-GB"/>
        </w:rPr>
        <w:t>s in relation to the performance by her/him of such functions solely on the ground that they acted incorrectly, to do so would unduly hamper a judicial officer in the proper exercise of her/his judicial function</w:t>
      </w:r>
      <w:r w:rsidR="00520F92">
        <w:rPr>
          <w:rStyle w:val="FootnoteReference"/>
          <w:rFonts w:cs="Arial"/>
          <w:szCs w:val="24"/>
          <w:lang w:val="en-GB"/>
        </w:rPr>
        <w:footnoteReference w:id="16"/>
      </w:r>
      <w:r w:rsidR="00520F92" w:rsidRPr="001215E4">
        <w:rPr>
          <w:rFonts w:cs="Arial"/>
          <w:szCs w:val="24"/>
          <w:lang w:val="en-GB"/>
        </w:rPr>
        <w:t xml:space="preserve">.  </w:t>
      </w:r>
    </w:p>
    <w:p w14:paraId="0DDEC4D3" w14:textId="64731D2A" w:rsidR="0047526D" w:rsidRPr="001215E4" w:rsidRDefault="001215E4" w:rsidP="001215E4">
      <w:pPr>
        <w:tabs>
          <w:tab w:val="left" w:pos="851"/>
        </w:tabs>
        <w:spacing w:before="360" w:after="360" w:line="360" w:lineRule="auto"/>
        <w:ind w:left="851" w:right="439" w:hanging="851"/>
        <w:rPr>
          <w:rFonts w:cs="Arial"/>
          <w:szCs w:val="24"/>
          <w:lang w:val="en-GB"/>
        </w:rPr>
      </w:pPr>
      <w:r>
        <w:rPr>
          <w:rFonts w:cs="Arial"/>
          <w:w w:val="99"/>
          <w:szCs w:val="24"/>
        </w:rPr>
        <w:t>20.</w:t>
      </w:r>
      <w:r>
        <w:rPr>
          <w:rFonts w:cs="Arial"/>
          <w:w w:val="99"/>
          <w:szCs w:val="24"/>
        </w:rPr>
        <w:tab/>
      </w:r>
      <w:r w:rsidR="00322FB4" w:rsidRPr="001215E4">
        <w:rPr>
          <w:rFonts w:cs="Arial"/>
          <w:szCs w:val="24"/>
          <w:lang w:val="en-GB"/>
        </w:rPr>
        <w:t xml:space="preserve">The intention of the </w:t>
      </w:r>
      <w:r w:rsidR="008B3F9B" w:rsidRPr="001215E4">
        <w:rPr>
          <w:rFonts w:cs="Arial"/>
          <w:szCs w:val="24"/>
          <w:lang w:val="en-GB"/>
        </w:rPr>
        <w:t>frame</w:t>
      </w:r>
      <w:r w:rsidR="0047526D" w:rsidRPr="001215E4">
        <w:rPr>
          <w:rFonts w:cs="Arial"/>
          <w:szCs w:val="24"/>
          <w:lang w:val="en-GB"/>
        </w:rPr>
        <w:t>r</w:t>
      </w:r>
      <w:r w:rsidR="008B3F9B" w:rsidRPr="001215E4">
        <w:rPr>
          <w:rFonts w:cs="Arial"/>
          <w:szCs w:val="24"/>
          <w:lang w:val="en-GB"/>
        </w:rPr>
        <w:t>s</w:t>
      </w:r>
      <w:r w:rsidR="00322FB4" w:rsidRPr="001215E4">
        <w:rPr>
          <w:rFonts w:cs="Arial"/>
          <w:szCs w:val="24"/>
          <w:lang w:val="en-GB"/>
        </w:rPr>
        <w:t xml:space="preserve"> of the rules</w:t>
      </w:r>
      <w:r w:rsidR="008B3F9B">
        <w:rPr>
          <w:rStyle w:val="FootnoteReference"/>
          <w:rFonts w:cs="Arial"/>
          <w:szCs w:val="24"/>
          <w:lang w:val="en-GB"/>
        </w:rPr>
        <w:footnoteReference w:id="17"/>
      </w:r>
      <w:r w:rsidR="00322FB4" w:rsidRPr="001215E4">
        <w:rPr>
          <w:rFonts w:cs="Arial"/>
          <w:szCs w:val="24"/>
          <w:lang w:val="en-GB"/>
        </w:rPr>
        <w:t xml:space="preserve"> and where costs </w:t>
      </w:r>
      <w:r w:rsidR="00322FB4" w:rsidRPr="001215E4">
        <w:rPr>
          <w:rFonts w:cs="Arial"/>
          <w:i/>
          <w:iCs/>
          <w:szCs w:val="24"/>
          <w:lang w:val="en-GB"/>
        </w:rPr>
        <w:t>de bonis propriis</w:t>
      </w:r>
      <w:r w:rsidR="00322FB4" w:rsidRPr="001215E4">
        <w:rPr>
          <w:rFonts w:cs="Arial"/>
          <w:szCs w:val="24"/>
          <w:lang w:val="en-GB"/>
        </w:rPr>
        <w:t xml:space="preserve"> may be applicable contemplated situations where parties refused to facilitate the provision of documents</w:t>
      </w:r>
      <w:r w:rsidR="00322FB4">
        <w:rPr>
          <w:rStyle w:val="FootnoteReference"/>
          <w:rFonts w:cs="Arial"/>
          <w:szCs w:val="24"/>
          <w:lang w:val="en-GB"/>
        </w:rPr>
        <w:footnoteReference w:id="18"/>
      </w:r>
      <w:r w:rsidR="00322FB4" w:rsidRPr="001215E4">
        <w:rPr>
          <w:rFonts w:cs="Arial"/>
          <w:szCs w:val="24"/>
          <w:lang w:val="en-GB"/>
        </w:rPr>
        <w:t xml:space="preserve">. This is not the case </w:t>
      </w:r>
      <w:r w:rsidR="00322FB4" w:rsidRPr="001215E4">
        <w:rPr>
          <w:rFonts w:cs="Arial"/>
          <w:i/>
          <w:iCs/>
          <w:szCs w:val="24"/>
          <w:lang w:val="en-GB"/>
        </w:rPr>
        <w:t>in</w:t>
      </w:r>
      <w:r w:rsidR="00322FB4" w:rsidRPr="001215E4">
        <w:rPr>
          <w:rFonts w:cs="Arial"/>
          <w:szCs w:val="24"/>
          <w:lang w:val="en-GB"/>
        </w:rPr>
        <w:t xml:space="preserve"> </w:t>
      </w:r>
      <w:proofErr w:type="spellStart"/>
      <w:r w:rsidR="00322FB4" w:rsidRPr="001215E4">
        <w:rPr>
          <w:rFonts w:cs="Arial"/>
          <w:i/>
          <w:iCs/>
          <w:szCs w:val="24"/>
          <w:lang w:val="en-GB"/>
        </w:rPr>
        <w:t>casu</w:t>
      </w:r>
      <w:proofErr w:type="spellEnd"/>
      <w:r w:rsidR="00322FB4" w:rsidRPr="001215E4">
        <w:rPr>
          <w:rFonts w:cs="Arial"/>
          <w:szCs w:val="24"/>
          <w:lang w:val="en-GB"/>
        </w:rPr>
        <w:t>, in fact</w:t>
      </w:r>
      <w:r w:rsidR="00FD4250" w:rsidRPr="001215E4">
        <w:rPr>
          <w:rFonts w:cs="Arial"/>
          <w:szCs w:val="24"/>
          <w:lang w:val="en-GB"/>
        </w:rPr>
        <w:t>,</w:t>
      </w:r>
      <w:r w:rsidR="00322FB4" w:rsidRPr="001215E4">
        <w:rPr>
          <w:rFonts w:cs="Arial"/>
          <w:szCs w:val="24"/>
          <w:lang w:val="en-GB"/>
        </w:rPr>
        <w:t xml:space="preserve"> all documents were provided as detailed above, even prior to the institution of </w:t>
      </w:r>
      <w:r w:rsidR="00322FB4" w:rsidRPr="001215E4">
        <w:rPr>
          <w:rFonts w:cs="Arial"/>
          <w:szCs w:val="24"/>
          <w:lang w:val="en-GB"/>
        </w:rPr>
        <w:lastRenderedPageBreak/>
        <w:t>this application to compel discovery</w:t>
      </w:r>
      <w:r w:rsidR="00CF73E3">
        <w:rPr>
          <w:rStyle w:val="FootnoteReference"/>
          <w:rFonts w:cs="Arial"/>
          <w:szCs w:val="24"/>
          <w:lang w:val="en-GB"/>
        </w:rPr>
        <w:footnoteReference w:id="19"/>
      </w:r>
      <w:r w:rsidR="00322FB4" w:rsidRPr="001215E4">
        <w:rPr>
          <w:rFonts w:cs="Arial"/>
          <w:szCs w:val="24"/>
          <w:lang w:val="en-GB"/>
        </w:rPr>
        <w:t>.</w:t>
      </w:r>
      <w:r w:rsidR="00CF73E3" w:rsidRPr="001215E4">
        <w:rPr>
          <w:rFonts w:cs="Arial"/>
          <w:szCs w:val="24"/>
          <w:lang w:val="en-GB"/>
        </w:rPr>
        <w:t xml:space="preserve"> T</w:t>
      </w:r>
      <w:r w:rsidR="00322FB4" w:rsidRPr="001215E4">
        <w:rPr>
          <w:rFonts w:cs="Arial"/>
          <w:szCs w:val="24"/>
          <w:lang w:val="en-GB"/>
        </w:rPr>
        <w:t xml:space="preserve">he set down of this matter on the opposed motion roll occurred subsequent and after the </w:t>
      </w:r>
      <w:r w:rsidR="00CF73E3" w:rsidRPr="001215E4">
        <w:rPr>
          <w:rFonts w:cs="Arial"/>
          <w:szCs w:val="24"/>
          <w:lang w:val="en-GB"/>
        </w:rPr>
        <w:t>discovery affidavit was served</w:t>
      </w:r>
      <w:r w:rsidR="00322FB4" w:rsidRPr="001215E4">
        <w:rPr>
          <w:rFonts w:cs="Arial"/>
          <w:szCs w:val="24"/>
          <w:lang w:val="en-GB"/>
        </w:rPr>
        <w:t>.</w:t>
      </w:r>
      <w:r w:rsidR="00BE7318" w:rsidRPr="001215E4">
        <w:rPr>
          <w:rFonts w:cs="Arial"/>
          <w:szCs w:val="24"/>
          <w:lang w:val="en-GB"/>
        </w:rPr>
        <w:t xml:space="preserve">  </w:t>
      </w:r>
    </w:p>
    <w:p w14:paraId="1CF7893D" w14:textId="6409CD2E" w:rsidR="00D15D48" w:rsidRPr="001215E4" w:rsidRDefault="001215E4" w:rsidP="001215E4">
      <w:pPr>
        <w:tabs>
          <w:tab w:val="left" w:pos="851"/>
        </w:tabs>
        <w:spacing w:before="360" w:after="360" w:line="360" w:lineRule="auto"/>
        <w:ind w:left="851" w:right="439" w:hanging="851"/>
        <w:rPr>
          <w:rFonts w:cs="Arial"/>
          <w:szCs w:val="24"/>
          <w:lang w:val="en-GB"/>
        </w:rPr>
      </w:pPr>
      <w:r>
        <w:rPr>
          <w:rFonts w:cs="Arial"/>
          <w:w w:val="99"/>
          <w:szCs w:val="24"/>
        </w:rPr>
        <w:t>21.</w:t>
      </w:r>
      <w:r>
        <w:rPr>
          <w:rFonts w:cs="Arial"/>
          <w:w w:val="99"/>
          <w:szCs w:val="24"/>
        </w:rPr>
        <w:tab/>
      </w:r>
      <w:r w:rsidR="00CF73E3" w:rsidRPr="001215E4">
        <w:rPr>
          <w:rFonts w:cs="Arial"/>
          <w:szCs w:val="24"/>
          <w:lang w:val="en-GB"/>
        </w:rPr>
        <w:t xml:space="preserve">It </w:t>
      </w:r>
      <w:r w:rsidR="00D15D48" w:rsidRPr="001215E4">
        <w:rPr>
          <w:rFonts w:cs="Arial"/>
          <w:szCs w:val="24"/>
          <w:lang w:val="en-GB"/>
        </w:rPr>
        <w:t xml:space="preserve">was </w:t>
      </w:r>
      <w:r w:rsidR="00CF73E3" w:rsidRPr="001215E4">
        <w:rPr>
          <w:rFonts w:cs="Arial"/>
          <w:szCs w:val="24"/>
          <w:lang w:val="en-GB"/>
        </w:rPr>
        <w:t>un</w:t>
      </w:r>
      <w:r w:rsidR="00D15D48" w:rsidRPr="001215E4">
        <w:rPr>
          <w:rFonts w:cs="Arial"/>
          <w:szCs w:val="24"/>
          <w:lang w:val="en-GB"/>
        </w:rPr>
        <w:t xml:space="preserve">necessary to </w:t>
      </w:r>
      <w:r w:rsidR="00CF73E3" w:rsidRPr="001215E4">
        <w:rPr>
          <w:rFonts w:cs="Arial"/>
          <w:szCs w:val="24"/>
          <w:lang w:val="en-GB"/>
        </w:rPr>
        <w:t xml:space="preserve">prosecute </w:t>
      </w:r>
      <w:r w:rsidR="00D15D48" w:rsidRPr="001215E4">
        <w:rPr>
          <w:rFonts w:cs="Arial"/>
          <w:szCs w:val="24"/>
          <w:lang w:val="en-GB"/>
        </w:rPr>
        <w:t>“</w:t>
      </w:r>
      <w:r w:rsidR="00D15D48" w:rsidRPr="001215E4">
        <w:rPr>
          <w:rFonts w:cs="Arial"/>
          <w:i/>
          <w:iCs/>
          <w:szCs w:val="24"/>
          <w:lang w:val="en-GB"/>
        </w:rPr>
        <w:t>the costs of this application</w:t>
      </w:r>
      <w:r w:rsidR="00D15D48" w:rsidRPr="001215E4">
        <w:rPr>
          <w:rFonts w:cs="Arial"/>
          <w:szCs w:val="24"/>
          <w:lang w:val="en-GB"/>
        </w:rPr>
        <w:t>” only. This aspect is exacerbated by the request on behalf of the applicant to “</w:t>
      </w:r>
      <w:r w:rsidR="00D15D48" w:rsidRPr="001215E4">
        <w:rPr>
          <w:rFonts w:cs="Arial"/>
          <w:i/>
          <w:iCs/>
          <w:szCs w:val="24"/>
          <w:lang w:val="en-GB"/>
        </w:rPr>
        <w:t>pay the wasted costs on a punitive scale … alternatively costs de bonis propriis against Mr Marais Viljoen on a punitive scale.</w:t>
      </w:r>
      <w:r w:rsidR="00D15D48" w:rsidRPr="001215E4">
        <w:rPr>
          <w:rFonts w:cs="Arial"/>
          <w:szCs w:val="24"/>
          <w:lang w:val="en-GB"/>
        </w:rPr>
        <w:t>” (</w:t>
      </w:r>
      <w:proofErr w:type="gramStart"/>
      <w:r w:rsidR="00D15D48" w:rsidRPr="001215E4">
        <w:rPr>
          <w:rFonts w:cs="Arial"/>
          <w:szCs w:val="24"/>
          <w:lang w:val="en-GB"/>
        </w:rPr>
        <w:t>sic</w:t>
      </w:r>
      <w:proofErr w:type="gramEnd"/>
      <w:r w:rsidR="00D15D48" w:rsidRPr="001215E4">
        <w:rPr>
          <w:rFonts w:cs="Arial"/>
          <w:szCs w:val="24"/>
          <w:lang w:val="en-GB"/>
        </w:rPr>
        <w:t>)</w:t>
      </w:r>
      <w:r w:rsidR="00D15D48">
        <w:rPr>
          <w:rStyle w:val="FootnoteReference"/>
          <w:rFonts w:cs="Arial"/>
          <w:szCs w:val="24"/>
          <w:lang w:val="en-GB"/>
        </w:rPr>
        <w:footnoteReference w:id="20"/>
      </w:r>
      <w:r w:rsidR="00D15D48" w:rsidRPr="001215E4">
        <w:rPr>
          <w:rFonts w:cs="Arial"/>
          <w:szCs w:val="24"/>
          <w:lang w:val="en-GB"/>
        </w:rPr>
        <w:t>. This was never applied for, nor was any subsequent notice provided.</w:t>
      </w:r>
    </w:p>
    <w:p w14:paraId="19CF5603" w14:textId="57FFD941" w:rsidR="00133F02" w:rsidRPr="001215E4" w:rsidRDefault="001215E4" w:rsidP="001215E4">
      <w:pPr>
        <w:tabs>
          <w:tab w:val="left" w:pos="851"/>
        </w:tabs>
        <w:spacing w:before="360" w:after="360" w:line="360" w:lineRule="auto"/>
        <w:ind w:left="851" w:right="439" w:hanging="851"/>
        <w:rPr>
          <w:rFonts w:cs="Arial"/>
          <w:szCs w:val="24"/>
          <w:lang w:val="en-GB"/>
        </w:rPr>
      </w:pPr>
      <w:r>
        <w:rPr>
          <w:rFonts w:cs="Arial"/>
          <w:w w:val="99"/>
          <w:szCs w:val="24"/>
        </w:rPr>
        <w:t>22.</w:t>
      </w:r>
      <w:r>
        <w:rPr>
          <w:rFonts w:cs="Arial"/>
          <w:w w:val="99"/>
          <w:szCs w:val="24"/>
        </w:rPr>
        <w:tab/>
      </w:r>
      <w:r w:rsidR="0047526D" w:rsidRPr="001215E4">
        <w:rPr>
          <w:rFonts w:cs="Arial"/>
          <w:szCs w:val="24"/>
          <w:lang w:val="en-GB"/>
        </w:rPr>
        <w:t>In these circumstances t</w:t>
      </w:r>
      <w:r w:rsidR="00BE7318" w:rsidRPr="001215E4">
        <w:rPr>
          <w:rFonts w:cs="Arial"/>
          <w:szCs w:val="24"/>
          <w:lang w:val="en-GB"/>
        </w:rPr>
        <w:t xml:space="preserve">he </w:t>
      </w:r>
      <w:r w:rsidR="00805BDE" w:rsidRPr="001215E4">
        <w:rPr>
          <w:rFonts w:cs="Arial"/>
          <w:szCs w:val="24"/>
          <w:lang w:val="en-GB"/>
        </w:rPr>
        <w:t xml:space="preserve">court </w:t>
      </w:r>
      <w:r w:rsidR="00D15D48" w:rsidRPr="001215E4">
        <w:rPr>
          <w:rFonts w:cs="Arial"/>
          <w:szCs w:val="24"/>
          <w:lang w:val="en-GB"/>
        </w:rPr>
        <w:t xml:space="preserve">cannot find that the third respondent should pay the costs occasioned by this application, much less </w:t>
      </w:r>
      <w:r w:rsidR="00BE7318" w:rsidRPr="001215E4">
        <w:rPr>
          <w:rFonts w:cs="Arial"/>
          <w:szCs w:val="24"/>
          <w:lang w:val="en-GB"/>
        </w:rPr>
        <w:t xml:space="preserve">the third respondent’s legal representatives as legal practitioners </w:t>
      </w:r>
      <w:r w:rsidR="00D15D48" w:rsidRPr="001215E4">
        <w:rPr>
          <w:rFonts w:cs="Arial"/>
          <w:szCs w:val="24"/>
          <w:lang w:val="en-GB"/>
        </w:rPr>
        <w:t xml:space="preserve">separately </w:t>
      </w:r>
      <w:r w:rsidR="00BE7318" w:rsidRPr="001215E4">
        <w:rPr>
          <w:rFonts w:cs="Arial"/>
          <w:szCs w:val="24"/>
          <w:lang w:val="en-GB"/>
        </w:rPr>
        <w:t xml:space="preserve">to pay costs </w:t>
      </w:r>
      <w:r w:rsidR="00805BDE" w:rsidRPr="001215E4">
        <w:rPr>
          <w:rFonts w:cs="Arial"/>
          <w:i/>
          <w:iCs/>
          <w:szCs w:val="24"/>
          <w:lang w:val="en-GB"/>
        </w:rPr>
        <w:t>de bonis propriis.</w:t>
      </w:r>
      <w:r w:rsidR="00BE7318" w:rsidRPr="001215E4">
        <w:rPr>
          <w:rFonts w:cs="Arial"/>
          <w:szCs w:val="24"/>
          <w:lang w:val="en-GB"/>
        </w:rPr>
        <w:t xml:space="preserve"> </w:t>
      </w:r>
      <w:r w:rsidR="00805BDE" w:rsidRPr="001215E4">
        <w:rPr>
          <w:rFonts w:cs="Arial"/>
          <w:szCs w:val="24"/>
          <w:lang w:val="en-GB"/>
        </w:rPr>
        <w:t xml:space="preserve">There </w:t>
      </w:r>
      <w:r w:rsidR="00BE7318" w:rsidRPr="001215E4">
        <w:rPr>
          <w:rFonts w:cs="Arial"/>
          <w:szCs w:val="24"/>
          <w:lang w:val="en-GB"/>
        </w:rPr>
        <w:t>is nothing on the papers to suggest that it acted in an “</w:t>
      </w:r>
      <w:r w:rsidR="00BE7318" w:rsidRPr="001215E4">
        <w:rPr>
          <w:rFonts w:cs="Arial"/>
          <w:i/>
          <w:iCs/>
          <w:szCs w:val="24"/>
          <w:lang w:val="en-GB"/>
        </w:rPr>
        <w:t>irresponsible and grossly negligent or reckless manner</w:t>
      </w:r>
      <w:r w:rsidR="00BE7318" w:rsidRPr="001215E4">
        <w:rPr>
          <w:rFonts w:cs="Arial"/>
          <w:szCs w:val="24"/>
          <w:lang w:val="en-GB"/>
        </w:rPr>
        <w:t>” or that the applicant was prejudiced by the actions of the legal representatives of the third respondent and that they acted “</w:t>
      </w:r>
      <w:r w:rsidR="00BE7318" w:rsidRPr="001215E4">
        <w:rPr>
          <w:rFonts w:cs="Arial"/>
          <w:i/>
          <w:iCs/>
          <w:szCs w:val="24"/>
          <w:lang w:val="en-GB"/>
        </w:rPr>
        <w:t>unreasonable and negligent</w:t>
      </w:r>
      <w:r w:rsidR="00BE7318" w:rsidRPr="001215E4">
        <w:rPr>
          <w:rFonts w:cs="Arial"/>
          <w:szCs w:val="24"/>
          <w:lang w:val="en-GB"/>
        </w:rPr>
        <w:t xml:space="preserve">”.  </w:t>
      </w:r>
    </w:p>
    <w:p w14:paraId="53749E44" w14:textId="6BED91C3" w:rsidR="00520F92" w:rsidRPr="001215E4" w:rsidRDefault="001215E4" w:rsidP="001215E4">
      <w:pPr>
        <w:tabs>
          <w:tab w:val="left" w:pos="851"/>
        </w:tabs>
        <w:spacing w:before="360" w:after="360" w:line="360" w:lineRule="auto"/>
        <w:ind w:left="851" w:right="439" w:hanging="851"/>
        <w:rPr>
          <w:rFonts w:cs="Arial"/>
          <w:szCs w:val="24"/>
          <w:lang w:val="en-GB"/>
        </w:rPr>
      </w:pPr>
      <w:r w:rsidRPr="00D15D48">
        <w:rPr>
          <w:rFonts w:cs="Arial"/>
          <w:w w:val="99"/>
          <w:szCs w:val="24"/>
        </w:rPr>
        <w:t>23.</w:t>
      </w:r>
      <w:r w:rsidRPr="00D15D48">
        <w:rPr>
          <w:rFonts w:cs="Arial"/>
          <w:w w:val="99"/>
          <w:szCs w:val="24"/>
        </w:rPr>
        <w:tab/>
      </w:r>
      <w:r w:rsidR="00520F92" w:rsidRPr="001215E4">
        <w:rPr>
          <w:rFonts w:cs="Arial"/>
          <w:szCs w:val="24"/>
          <w:lang w:val="en-GB"/>
        </w:rPr>
        <w:t xml:space="preserve">The conduct of the third respondent’s attorneys </w:t>
      </w:r>
      <w:r w:rsidR="00FD4250" w:rsidRPr="001215E4">
        <w:rPr>
          <w:rFonts w:cs="Arial"/>
          <w:szCs w:val="24"/>
          <w:lang w:val="en-GB"/>
        </w:rPr>
        <w:t>does</w:t>
      </w:r>
      <w:r w:rsidR="00520F92" w:rsidRPr="001215E4">
        <w:rPr>
          <w:rFonts w:cs="Arial"/>
          <w:szCs w:val="24"/>
          <w:lang w:val="en-GB"/>
        </w:rPr>
        <w:t xml:space="preserve"> not rise to the level of conduct to be penalised with costs </w:t>
      </w:r>
      <w:r w:rsidR="00520F92" w:rsidRPr="001215E4">
        <w:rPr>
          <w:rFonts w:cs="Arial"/>
          <w:i/>
          <w:iCs/>
          <w:szCs w:val="24"/>
          <w:lang w:val="en-GB"/>
        </w:rPr>
        <w:t>de bonis propriis</w:t>
      </w:r>
      <w:r w:rsidR="00520F92" w:rsidRPr="001215E4">
        <w:rPr>
          <w:rFonts w:cs="Arial"/>
          <w:szCs w:val="24"/>
          <w:lang w:val="en-GB"/>
        </w:rPr>
        <w:t xml:space="preserve"> against the legal representative, as enunciated by Fabricius, J in the Multi-links Telecommunications Limited v Africa Pre-Paid Services Nigeria Limited</w:t>
      </w:r>
      <w:r w:rsidR="00520F92" w:rsidRPr="003C0861">
        <w:rPr>
          <w:rStyle w:val="FootnoteReference"/>
          <w:rFonts w:cs="Arial"/>
          <w:szCs w:val="24"/>
          <w:lang w:val="en-GB"/>
        </w:rPr>
        <w:footnoteReference w:id="21"/>
      </w:r>
      <w:r w:rsidR="00520F92" w:rsidRPr="001215E4">
        <w:rPr>
          <w:rFonts w:cs="Arial"/>
          <w:b/>
          <w:bCs/>
          <w:szCs w:val="24"/>
          <w:lang w:val="en-GB"/>
        </w:rPr>
        <w:t xml:space="preserve"> </w:t>
      </w:r>
      <w:r w:rsidR="00520F92" w:rsidRPr="001215E4">
        <w:rPr>
          <w:rFonts w:cs="Arial"/>
          <w:szCs w:val="24"/>
          <w:lang w:val="en-GB"/>
        </w:rPr>
        <w:t>matter</w:t>
      </w:r>
      <w:r w:rsidR="00520F92" w:rsidRPr="001215E4">
        <w:rPr>
          <w:rFonts w:cs="Arial"/>
          <w:b/>
          <w:bCs/>
          <w:szCs w:val="24"/>
          <w:lang w:val="en-GB"/>
        </w:rPr>
        <w:t>.</w:t>
      </w:r>
    </w:p>
    <w:p w14:paraId="7343AB75" w14:textId="64CF26CD" w:rsidR="00322FB4" w:rsidRPr="008B3F9B" w:rsidRDefault="00CF73E3" w:rsidP="00322FB4">
      <w:pPr>
        <w:spacing w:before="360" w:after="360" w:line="360" w:lineRule="auto"/>
        <w:ind w:right="439"/>
        <w:rPr>
          <w:rFonts w:cs="Arial"/>
          <w:i/>
          <w:iCs/>
          <w:szCs w:val="24"/>
          <w:lang w:val="en-ZA"/>
        </w:rPr>
      </w:pPr>
      <w:r>
        <w:rPr>
          <w:rFonts w:cs="Arial"/>
          <w:i/>
          <w:iCs/>
          <w:szCs w:val="24"/>
          <w:lang w:val="en-GB"/>
        </w:rPr>
        <w:t xml:space="preserve">The costs of this application </w:t>
      </w:r>
    </w:p>
    <w:p w14:paraId="65E359D7" w14:textId="68FBE0F2" w:rsidR="00CF73E3" w:rsidRPr="001215E4" w:rsidRDefault="001215E4" w:rsidP="001215E4">
      <w:pPr>
        <w:tabs>
          <w:tab w:val="left" w:pos="851"/>
        </w:tabs>
        <w:spacing w:before="360" w:after="360" w:line="360" w:lineRule="auto"/>
        <w:ind w:left="851" w:right="439" w:hanging="851"/>
        <w:rPr>
          <w:rFonts w:cs="Arial"/>
          <w:szCs w:val="24"/>
          <w:lang w:val="en-GB"/>
        </w:rPr>
      </w:pPr>
      <w:r>
        <w:rPr>
          <w:rFonts w:cs="Arial"/>
          <w:w w:val="99"/>
          <w:szCs w:val="24"/>
        </w:rPr>
        <w:t>24.</w:t>
      </w:r>
      <w:r>
        <w:rPr>
          <w:rFonts w:cs="Arial"/>
          <w:w w:val="99"/>
          <w:szCs w:val="24"/>
        </w:rPr>
        <w:tab/>
      </w:r>
      <w:r w:rsidR="0047526D" w:rsidRPr="001215E4">
        <w:rPr>
          <w:rFonts w:cs="Arial"/>
          <w:szCs w:val="24"/>
          <w:lang w:val="en-GB"/>
        </w:rPr>
        <w:t xml:space="preserve">The court must now consider the appropriate costs to be granted in this matter. As already found above, the institution of the current application was unnecessary. </w:t>
      </w:r>
      <w:r w:rsidR="00D15D48" w:rsidRPr="001215E4">
        <w:rPr>
          <w:rFonts w:cs="Arial"/>
          <w:szCs w:val="24"/>
          <w:lang w:val="en-GB"/>
        </w:rPr>
        <w:t>T</w:t>
      </w:r>
      <w:r w:rsidR="0047526D" w:rsidRPr="001215E4">
        <w:rPr>
          <w:rFonts w:cs="Arial"/>
          <w:szCs w:val="24"/>
          <w:lang w:val="en-GB"/>
        </w:rPr>
        <w:t xml:space="preserve">he applicant </w:t>
      </w:r>
      <w:r w:rsidR="00D15D48" w:rsidRPr="001215E4">
        <w:rPr>
          <w:rFonts w:cs="Arial"/>
          <w:szCs w:val="24"/>
          <w:lang w:val="en-GB"/>
        </w:rPr>
        <w:t>(</w:t>
      </w:r>
      <w:r w:rsidR="0047526D" w:rsidRPr="001215E4">
        <w:rPr>
          <w:rFonts w:cs="Arial"/>
          <w:szCs w:val="24"/>
          <w:lang w:val="en-GB"/>
        </w:rPr>
        <w:t>on 22 August 2022</w:t>
      </w:r>
      <w:r w:rsidR="00D15D48" w:rsidRPr="001215E4">
        <w:rPr>
          <w:rFonts w:cs="Arial"/>
          <w:szCs w:val="24"/>
          <w:lang w:val="en-GB"/>
        </w:rPr>
        <w:t>)</w:t>
      </w:r>
      <w:r w:rsidR="0047526D" w:rsidRPr="001215E4">
        <w:rPr>
          <w:rFonts w:cs="Arial"/>
          <w:szCs w:val="24"/>
          <w:lang w:val="en-GB"/>
        </w:rPr>
        <w:t xml:space="preserve"> request</w:t>
      </w:r>
      <w:r w:rsidR="00D15D48" w:rsidRPr="001215E4">
        <w:rPr>
          <w:rFonts w:cs="Arial"/>
          <w:szCs w:val="24"/>
          <w:lang w:val="en-GB"/>
        </w:rPr>
        <w:t>ed</w:t>
      </w:r>
      <w:r w:rsidR="0047526D" w:rsidRPr="001215E4">
        <w:rPr>
          <w:rFonts w:cs="Arial"/>
          <w:szCs w:val="24"/>
          <w:lang w:val="en-GB"/>
        </w:rPr>
        <w:t xml:space="preserve"> when discovery will be made</w:t>
      </w:r>
      <w:r w:rsidR="00D15D48" w:rsidRPr="001215E4">
        <w:rPr>
          <w:rFonts w:cs="Arial"/>
          <w:szCs w:val="24"/>
          <w:lang w:val="en-GB"/>
        </w:rPr>
        <w:t>. T</w:t>
      </w:r>
      <w:r w:rsidR="0047526D" w:rsidRPr="001215E4">
        <w:rPr>
          <w:rFonts w:cs="Arial"/>
          <w:szCs w:val="24"/>
          <w:lang w:val="en-GB"/>
        </w:rPr>
        <w:t>he third re</w:t>
      </w:r>
      <w:r w:rsidR="00621AF2" w:rsidRPr="001215E4">
        <w:rPr>
          <w:rFonts w:cs="Arial"/>
          <w:szCs w:val="24"/>
          <w:lang w:val="en-GB"/>
        </w:rPr>
        <w:t>spondent</w:t>
      </w:r>
      <w:r w:rsidR="00D15D48" w:rsidRPr="001215E4">
        <w:rPr>
          <w:rFonts w:cs="Arial"/>
          <w:szCs w:val="24"/>
          <w:lang w:val="en-GB"/>
        </w:rPr>
        <w:t>’</w:t>
      </w:r>
      <w:r w:rsidR="00621AF2" w:rsidRPr="001215E4">
        <w:rPr>
          <w:rFonts w:cs="Arial"/>
          <w:szCs w:val="24"/>
          <w:lang w:val="en-GB"/>
        </w:rPr>
        <w:t xml:space="preserve">s attorneys responded the following day and also provided reasons why it requested an extension to provide a signed </w:t>
      </w:r>
      <w:r w:rsidR="00621AF2" w:rsidRPr="001215E4">
        <w:rPr>
          <w:rFonts w:cs="Arial"/>
          <w:szCs w:val="24"/>
          <w:lang w:val="en-GB"/>
        </w:rPr>
        <w:lastRenderedPageBreak/>
        <w:t>discovery affidavit. However, all documents were provided</w:t>
      </w:r>
      <w:r w:rsidR="00D15D48" w:rsidRPr="001215E4">
        <w:rPr>
          <w:rFonts w:cs="Arial"/>
          <w:szCs w:val="24"/>
          <w:lang w:val="en-GB"/>
        </w:rPr>
        <w:t xml:space="preserve"> (on 23 August 2022)</w:t>
      </w:r>
      <w:r w:rsidR="00621AF2" w:rsidRPr="001215E4">
        <w:rPr>
          <w:rFonts w:cs="Arial"/>
          <w:szCs w:val="24"/>
          <w:lang w:val="en-GB"/>
        </w:rPr>
        <w:t xml:space="preserve"> and it was subsequently unnecessary to institute</w:t>
      </w:r>
      <w:r w:rsidR="00CF73E3" w:rsidRPr="001215E4">
        <w:rPr>
          <w:rFonts w:cs="Arial"/>
          <w:szCs w:val="24"/>
          <w:lang w:val="en-GB"/>
        </w:rPr>
        <w:t xml:space="preserve">, prosecute and continue with </w:t>
      </w:r>
      <w:r w:rsidR="00621AF2" w:rsidRPr="001215E4">
        <w:rPr>
          <w:rFonts w:cs="Arial"/>
          <w:szCs w:val="24"/>
          <w:lang w:val="en-GB"/>
        </w:rPr>
        <w:t xml:space="preserve">an application in terms of </w:t>
      </w:r>
      <w:r w:rsidR="00D15D48" w:rsidRPr="001215E4">
        <w:rPr>
          <w:rFonts w:cs="Arial"/>
          <w:szCs w:val="24"/>
          <w:lang w:val="en-GB"/>
        </w:rPr>
        <w:t xml:space="preserve">rule </w:t>
      </w:r>
      <w:r w:rsidR="00621AF2" w:rsidRPr="001215E4">
        <w:rPr>
          <w:rFonts w:cs="Arial"/>
          <w:szCs w:val="24"/>
          <w:lang w:val="en-GB"/>
        </w:rPr>
        <w:t xml:space="preserve">35(7). </w:t>
      </w:r>
    </w:p>
    <w:p w14:paraId="58778ED4" w14:textId="4F47DBFD" w:rsidR="0047526D" w:rsidRPr="001215E4" w:rsidRDefault="001215E4" w:rsidP="001215E4">
      <w:pPr>
        <w:tabs>
          <w:tab w:val="left" w:pos="851"/>
        </w:tabs>
        <w:spacing w:before="360" w:after="360" w:line="360" w:lineRule="auto"/>
        <w:ind w:left="851" w:right="439" w:hanging="851"/>
        <w:rPr>
          <w:rFonts w:cs="Arial"/>
          <w:szCs w:val="24"/>
          <w:lang w:val="en-GB"/>
        </w:rPr>
      </w:pPr>
      <w:r>
        <w:rPr>
          <w:rFonts w:cs="Arial"/>
          <w:w w:val="99"/>
          <w:szCs w:val="24"/>
        </w:rPr>
        <w:t>25.</w:t>
      </w:r>
      <w:r>
        <w:rPr>
          <w:rFonts w:cs="Arial"/>
          <w:w w:val="99"/>
          <w:szCs w:val="24"/>
        </w:rPr>
        <w:tab/>
      </w:r>
      <w:r w:rsidR="00621AF2" w:rsidRPr="001215E4">
        <w:rPr>
          <w:rFonts w:cs="Arial"/>
          <w:szCs w:val="24"/>
          <w:lang w:val="en-GB"/>
        </w:rPr>
        <w:t>If the applicant was “</w:t>
      </w:r>
      <w:r w:rsidR="00621AF2" w:rsidRPr="001215E4">
        <w:rPr>
          <w:rFonts w:cs="Arial"/>
          <w:i/>
          <w:iCs/>
          <w:szCs w:val="24"/>
          <w:lang w:val="en-GB"/>
        </w:rPr>
        <w:t xml:space="preserve">dissatisfied” </w:t>
      </w:r>
      <w:r w:rsidR="00621AF2" w:rsidRPr="001215E4">
        <w:rPr>
          <w:rFonts w:cs="Arial"/>
          <w:szCs w:val="24"/>
          <w:lang w:val="en-GB"/>
        </w:rPr>
        <w:t xml:space="preserve">with the documents produced, it had another remedy at its disposal, as referred to above, which it </w:t>
      </w:r>
      <w:r w:rsidR="00CF73E3" w:rsidRPr="001215E4">
        <w:rPr>
          <w:rFonts w:cs="Arial"/>
          <w:color w:val="000000" w:themeColor="text1"/>
          <w:szCs w:val="24"/>
          <w:lang w:val="en-GB"/>
        </w:rPr>
        <w:t>did</w:t>
      </w:r>
      <w:r w:rsidR="00CF73E3" w:rsidRPr="001215E4">
        <w:rPr>
          <w:rFonts w:cs="Arial"/>
          <w:szCs w:val="24"/>
          <w:lang w:val="en-GB"/>
        </w:rPr>
        <w:t xml:space="preserve"> not invoke</w:t>
      </w:r>
      <w:r w:rsidR="00621AF2" w:rsidRPr="001215E4">
        <w:rPr>
          <w:rFonts w:cs="Arial"/>
          <w:szCs w:val="24"/>
          <w:lang w:val="en-GB"/>
        </w:rPr>
        <w:t xml:space="preserve">. The request for an extension </w:t>
      </w:r>
      <w:r w:rsidR="00DD462D" w:rsidRPr="001215E4">
        <w:rPr>
          <w:rFonts w:cs="Arial"/>
          <w:szCs w:val="24"/>
          <w:lang w:val="en-GB"/>
        </w:rPr>
        <w:t xml:space="preserve">(to file a signed discovery affidavit under oath) </w:t>
      </w:r>
      <w:r w:rsidR="00621AF2" w:rsidRPr="001215E4">
        <w:rPr>
          <w:rFonts w:cs="Arial"/>
          <w:szCs w:val="24"/>
          <w:lang w:val="en-GB"/>
        </w:rPr>
        <w:t>was reasonable, the institution of this application was not. Any costs applicable</w:t>
      </w:r>
      <w:r w:rsidR="00DD462D" w:rsidRPr="001215E4">
        <w:rPr>
          <w:rFonts w:cs="Arial"/>
          <w:szCs w:val="24"/>
          <w:lang w:val="en-GB"/>
        </w:rPr>
        <w:t xml:space="preserve"> or occasioned</w:t>
      </w:r>
      <w:r w:rsidR="00621AF2" w:rsidRPr="001215E4">
        <w:rPr>
          <w:rFonts w:cs="Arial"/>
          <w:szCs w:val="24"/>
          <w:lang w:val="en-GB"/>
        </w:rPr>
        <w:t xml:space="preserve"> could’ve and should’ve stood over until the trial, if any, it</w:t>
      </w:r>
      <w:r w:rsidR="00DD462D" w:rsidRPr="001215E4">
        <w:rPr>
          <w:rFonts w:cs="Arial"/>
          <w:szCs w:val="24"/>
          <w:lang w:val="en-GB"/>
        </w:rPr>
        <w:t xml:space="preserve"> is</w:t>
      </w:r>
      <w:r w:rsidR="00621AF2" w:rsidRPr="001215E4">
        <w:rPr>
          <w:rFonts w:cs="Arial"/>
          <w:szCs w:val="24"/>
          <w:lang w:val="en-GB"/>
        </w:rPr>
        <w:t xml:space="preserve"> </w:t>
      </w:r>
      <w:r w:rsidR="00CF73E3" w:rsidRPr="001215E4">
        <w:rPr>
          <w:rFonts w:cs="Arial"/>
          <w:szCs w:val="24"/>
          <w:lang w:val="en-GB"/>
        </w:rPr>
        <w:t xml:space="preserve">unnecessary </w:t>
      </w:r>
      <w:r w:rsidR="00621AF2" w:rsidRPr="001215E4">
        <w:rPr>
          <w:rFonts w:cs="Arial"/>
          <w:szCs w:val="24"/>
          <w:lang w:val="en-GB"/>
        </w:rPr>
        <w:t xml:space="preserve">to set them down </w:t>
      </w:r>
      <w:r w:rsidR="00CF73E3" w:rsidRPr="001215E4">
        <w:rPr>
          <w:rFonts w:cs="Arial"/>
          <w:szCs w:val="24"/>
          <w:lang w:val="en-GB"/>
        </w:rPr>
        <w:t>separately</w:t>
      </w:r>
      <w:r w:rsidR="00621AF2" w:rsidRPr="001215E4">
        <w:rPr>
          <w:rFonts w:cs="Arial"/>
          <w:szCs w:val="24"/>
          <w:lang w:val="en-GB"/>
        </w:rPr>
        <w:t>.</w:t>
      </w:r>
    </w:p>
    <w:p w14:paraId="099160A9" w14:textId="44AE86A3" w:rsidR="00D02D85" w:rsidRPr="001215E4" w:rsidRDefault="001215E4" w:rsidP="001215E4">
      <w:pPr>
        <w:tabs>
          <w:tab w:val="left" w:pos="851"/>
        </w:tabs>
        <w:spacing w:before="360" w:after="360" w:line="360" w:lineRule="auto"/>
        <w:ind w:left="851" w:right="439" w:hanging="851"/>
        <w:rPr>
          <w:rFonts w:cs="Arial"/>
          <w:szCs w:val="24"/>
          <w:lang w:val="en-GB"/>
        </w:rPr>
      </w:pPr>
      <w:r w:rsidRPr="002A71D4">
        <w:rPr>
          <w:rFonts w:cs="Arial"/>
          <w:w w:val="99"/>
          <w:szCs w:val="24"/>
        </w:rPr>
        <w:t>26.</w:t>
      </w:r>
      <w:r w:rsidRPr="002A71D4">
        <w:rPr>
          <w:rFonts w:cs="Arial"/>
          <w:w w:val="99"/>
          <w:szCs w:val="24"/>
        </w:rPr>
        <w:tab/>
      </w:r>
      <w:r w:rsidR="00DD462D" w:rsidRPr="001215E4">
        <w:rPr>
          <w:rFonts w:cs="Arial"/>
          <w:szCs w:val="24"/>
          <w:lang w:val="en-GB"/>
        </w:rPr>
        <w:t>Also,</w:t>
      </w:r>
      <w:r w:rsidR="00CF73E3" w:rsidRPr="001215E4">
        <w:rPr>
          <w:rFonts w:cs="Arial"/>
          <w:szCs w:val="24"/>
          <w:lang w:val="en-GB"/>
        </w:rPr>
        <w:t xml:space="preserve"> various judgments deal with the issue of unnecessary </w:t>
      </w:r>
      <w:r w:rsidR="00DD462D" w:rsidRPr="001215E4">
        <w:rPr>
          <w:rFonts w:cs="Arial"/>
          <w:szCs w:val="24"/>
          <w:lang w:val="en-GB"/>
        </w:rPr>
        <w:t>voluminous or prolix documents in a case</w:t>
      </w:r>
      <w:r w:rsidR="002A71D4">
        <w:rPr>
          <w:rStyle w:val="FootnoteReference"/>
          <w:rFonts w:cs="Arial"/>
          <w:szCs w:val="24"/>
          <w:lang w:val="en-GB"/>
        </w:rPr>
        <w:footnoteReference w:id="22"/>
      </w:r>
      <w:r w:rsidR="002A71D4" w:rsidRPr="001215E4">
        <w:rPr>
          <w:rFonts w:cs="Arial"/>
          <w:szCs w:val="24"/>
          <w:lang w:val="en-GB"/>
        </w:rPr>
        <w:t>.</w:t>
      </w:r>
    </w:p>
    <w:p w14:paraId="2E2DF6B5" w14:textId="51910E6C" w:rsidR="00D02D85" w:rsidRPr="001215E4" w:rsidRDefault="001215E4" w:rsidP="001215E4">
      <w:pPr>
        <w:tabs>
          <w:tab w:val="left" w:pos="861"/>
        </w:tabs>
        <w:spacing w:before="360" w:after="360" w:line="360" w:lineRule="auto"/>
        <w:ind w:left="851" w:right="439" w:hanging="851"/>
        <w:rPr>
          <w:rFonts w:cs="Arial"/>
          <w:szCs w:val="24"/>
          <w:lang w:val="en-GB"/>
        </w:rPr>
      </w:pPr>
      <w:r>
        <w:rPr>
          <w:rFonts w:cs="Arial"/>
          <w:w w:val="99"/>
          <w:szCs w:val="24"/>
        </w:rPr>
        <w:t>27.</w:t>
      </w:r>
      <w:r>
        <w:rPr>
          <w:rFonts w:cs="Arial"/>
          <w:w w:val="99"/>
          <w:szCs w:val="24"/>
        </w:rPr>
        <w:tab/>
      </w:r>
      <w:r w:rsidR="00D02D85" w:rsidRPr="001215E4">
        <w:rPr>
          <w:rFonts w:cs="Arial"/>
          <w:szCs w:val="24"/>
          <w:lang w:val="en-GB"/>
        </w:rPr>
        <w:t>Before the court, the papers filed at the time of the hearing consisted of 1 880 pages (the court has since received notification of further documents uploaded on 11 May 2023</w:t>
      </w:r>
      <w:r w:rsidR="00DD462D" w:rsidRPr="001215E4">
        <w:rPr>
          <w:rFonts w:cs="Arial"/>
          <w:szCs w:val="24"/>
          <w:lang w:val="en-GB"/>
        </w:rPr>
        <w:t>)</w:t>
      </w:r>
      <w:r w:rsidR="00D02D85" w:rsidRPr="001215E4">
        <w:rPr>
          <w:rFonts w:cs="Arial"/>
          <w:szCs w:val="24"/>
          <w:lang w:val="en-GB"/>
        </w:rPr>
        <w:t xml:space="preserve">.  This should not be the case in circumstances where the particulars of claim consist of 6 pages (without annexures) regarding a claim of an immovable property transaction, inclusive of a </w:t>
      </w:r>
      <w:r w:rsidR="00DD462D" w:rsidRPr="001215E4">
        <w:rPr>
          <w:rFonts w:cs="Arial"/>
          <w:szCs w:val="24"/>
          <w:lang w:val="en-GB"/>
        </w:rPr>
        <w:t xml:space="preserve">rule </w:t>
      </w:r>
      <w:r w:rsidR="00D02D85" w:rsidRPr="001215E4">
        <w:rPr>
          <w:rFonts w:cs="Arial"/>
          <w:szCs w:val="24"/>
          <w:lang w:val="en-GB"/>
        </w:rPr>
        <w:t xml:space="preserve">35(7) application, </w:t>
      </w:r>
      <w:r w:rsidR="00743745" w:rsidRPr="001215E4">
        <w:rPr>
          <w:rFonts w:cs="Arial"/>
          <w:szCs w:val="24"/>
          <w:lang w:val="en-GB"/>
        </w:rPr>
        <w:t xml:space="preserve">a plea, </w:t>
      </w:r>
      <w:r w:rsidR="00D02D85" w:rsidRPr="001215E4">
        <w:rPr>
          <w:rFonts w:cs="Arial"/>
          <w:szCs w:val="24"/>
          <w:lang w:val="en-GB"/>
        </w:rPr>
        <w:t xml:space="preserve">a notice of bar and an application to inspect documents. It is an abuse of process to </w:t>
      </w:r>
      <w:r w:rsidR="00743745" w:rsidRPr="001215E4">
        <w:rPr>
          <w:rFonts w:cs="Arial"/>
          <w:szCs w:val="24"/>
          <w:lang w:val="en-GB"/>
        </w:rPr>
        <w:t>expect this court to consider the substantial number</w:t>
      </w:r>
      <w:r w:rsidR="00D02D85" w:rsidRPr="001215E4">
        <w:rPr>
          <w:rFonts w:cs="Arial"/>
          <w:szCs w:val="24"/>
          <w:lang w:val="en-GB"/>
        </w:rPr>
        <w:t xml:space="preserve"> of documents</w:t>
      </w:r>
      <w:r w:rsidR="00743745" w:rsidRPr="001215E4">
        <w:rPr>
          <w:rFonts w:cs="Arial"/>
          <w:szCs w:val="24"/>
          <w:lang w:val="en-GB"/>
        </w:rPr>
        <w:t xml:space="preserve"> filed of record</w:t>
      </w:r>
      <w:r w:rsidR="00D02D85" w:rsidRPr="001215E4">
        <w:rPr>
          <w:rFonts w:cs="Arial"/>
          <w:szCs w:val="24"/>
          <w:lang w:val="en-GB"/>
        </w:rPr>
        <w:t xml:space="preserve">, also where a repetition of various documents occurred. </w:t>
      </w:r>
      <w:r w:rsidR="00743745" w:rsidRPr="001215E4">
        <w:rPr>
          <w:rFonts w:cs="Arial"/>
          <w:szCs w:val="24"/>
          <w:lang w:val="en-GB"/>
        </w:rPr>
        <w:t>The principle followed in Jensen v Boiler</w:t>
      </w:r>
      <w:r w:rsidR="00DD462D" w:rsidRPr="001215E4">
        <w:rPr>
          <w:rFonts w:cs="Arial"/>
          <w:szCs w:val="24"/>
          <w:lang w:val="en-GB"/>
        </w:rPr>
        <w:t xml:space="preserve"> Maker referred to </w:t>
      </w:r>
      <w:r w:rsidR="00DD462D" w:rsidRPr="001215E4">
        <w:rPr>
          <w:rFonts w:cs="Arial"/>
          <w:i/>
          <w:szCs w:val="24"/>
          <w:lang w:val="en-GB"/>
        </w:rPr>
        <w:t>supra</w:t>
      </w:r>
      <w:r w:rsidR="00DD462D" w:rsidRPr="001215E4">
        <w:rPr>
          <w:rFonts w:cs="Arial"/>
          <w:szCs w:val="24"/>
          <w:lang w:val="en-GB"/>
        </w:rPr>
        <w:t xml:space="preserve"> </w:t>
      </w:r>
      <w:r w:rsidR="00743745" w:rsidRPr="001215E4">
        <w:rPr>
          <w:rFonts w:cs="Arial"/>
          <w:szCs w:val="24"/>
          <w:lang w:val="en-GB"/>
        </w:rPr>
        <w:t>could not be applied herein, the court had to consider</w:t>
      </w:r>
      <w:r w:rsidR="00DD462D" w:rsidRPr="001215E4">
        <w:rPr>
          <w:rFonts w:cs="Arial"/>
          <w:szCs w:val="24"/>
          <w:lang w:val="en-GB"/>
        </w:rPr>
        <w:t xml:space="preserve"> the</w:t>
      </w:r>
      <w:r w:rsidR="00743745" w:rsidRPr="001215E4">
        <w:rPr>
          <w:rFonts w:cs="Arial"/>
          <w:szCs w:val="24"/>
          <w:lang w:val="en-GB"/>
        </w:rPr>
        <w:t xml:space="preserve"> conduct of the parties </w:t>
      </w:r>
      <w:r w:rsidR="00FD4250" w:rsidRPr="001215E4">
        <w:rPr>
          <w:rFonts w:cs="Arial"/>
          <w:szCs w:val="24"/>
          <w:lang w:val="en-GB"/>
        </w:rPr>
        <w:t>considering</w:t>
      </w:r>
      <w:r w:rsidR="00743745" w:rsidRPr="001215E4">
        <w:rPr>
          <w:rFonts w:cs="Arial"/>
          <w:szCs w:val="24"/>
          <w:lang w:val="en-GB"/>
        </w:rPr>
        <w:t xml:space="preserve"> the matter in its entirety</w:t>
      </w:r>
      <w:r w:rsidR="00DD462D" w:rsidRPr="001215E4">
        <w:rPr>
          <w:rFonts w:cs="Arial"/>
          <w:szCs w:val="24"/>
          <w:lang w:val="en-GB"/>
        </w:rPr>
        <w:t>, almost since its inception</w:t>
      </w:r>
      <w:r w:rsidR="00743745" w:rsidRPr="001215E4">
        <w:rPr>
          <w:rFonts w:cs="Arial"/>
          <w:szCs w:val="24"/>
          <w:lang w:val="en-GB"/>
        </w:rPr>
        <w:t>.</w:t>
      </w:r>
    </w:p>
    <w:p w14:paraId="69BFC974" w14:textId="6C2639CA" w:rsidR="00021D83" w:rsidRPr="001215E4" w:rsidRDefault="001215E4" w:rsidP="001215E4">
      <w:pPr>
        <w:tabs>
          <w:tab w:val="left" w:pos="861"/>
        </w:tabs>
        <w:spacing w:before="360" w:after="360" w:line="360" w:lineRule="auto"/>
        <w:ind w:left="851" w:right="439" w:hanging="851"/>
        <w:rPr>
          <w:rFonts w:cs="Arial"/>
          <w:szCs w:val="24"/>
          <w:lang w:val="en-GB"/>
        </w:rPr>
      </w:pPr>
      <w:r w:rsidRPr="002A71D4">
        <w:rPr>
          <w:rFonts w:cs="Arial"/>
          <w:w w:val="99"/>
          <w:szCs w:val="24"/>
        </w:rPr>
        <w:t>28.</w:t>
      </w:r>
      <w:r w:rsidRPr="002A71D4">
        <w:rPr>
          <w:rFonts w:cs="Arial"/>
          <w:w w:val="99"/>
          <w:szCs w:val="24"/>
        </w:rPr>
        <w:tab/>
      </w:r>
      <w:r w:rsidR="00D02D85" w:rsidRPr="001215E4">
        <w:rPr>
          <w:rFonts w:cs="Arial"/>
          <w:szCs w:val="24"/>
          <w:lang w:val="en-GB"/>
        </w:rPr>
        <w:t>With reference to the judgment in Venmop v Clever</w:t>
      </w:r>
      <w:r w:rsidR="009A0D92" w:rsidRPr="001215E4">
        <w:rPr>
          <w:rFonts w:cs="Arial"/>
          <w:szCs w:val="24"/>
          <w:lang w:val="en-GB"/>
        </w:rPr>
        <w:t xml:space="preserve"> Lad Projects</w:t>
      </w:r>
      <w:r w:rsidR="009A0D92">
        <w:rPr>
          <w:rStyle w:val="FootnoteReference"/>
          <w:rFonts w:cs="Arial"/>
          <w:szCs w:val="24"/>
          <w:lang w:val="en-GB"/>
        </w:rPr>
        <w:footnoteReference w:id="23"/>
      </w:r>
      <w:r w:rsidR="009A0D92" w:rsidRPr="001215E4">
        <w:rPr>
          <w:rFonts w:cs="Arial"/>
          <w:szCs w:val="24"/>
          <w:lang w:val="en-GB"/>
        </w:rPr>
        <w:t xml:space="preserve">, </w:t>
      </w:r>
      <w:proofErr w:type="spellStart"/>
      <w:r w:rsidR="009A0D92" w:rsidRPr="001215E4">
        <w:rPr>
          <w:rFonts w:cs="Arial"/>
          <w:szCs w:val="24"/>
          <w:lang w:val="en-GB"/>
        </w:rPr>
        <w:t>Revelas</w:t>
      </w:r>
      <w:proofErr w:type="spellEnd"/>
      <w:r w:rsidR="009A0D92" w:rsidRPr="001215E4">
        <w:rPr>
          <w:rFonts w:cs="Arial"/>
          <w:szCs w:val="24"/>
          <w:lang w:val="en-GB"/>
        </w:rPr>
        <w:t xml:space="preserve"> J granted a punitive cost order against the respondent in that matter for filing unnecessary prolix affidavits.  In the Venmop-judgment, reference was made </w:t>
      </w:r>
      <w:r w:rsidR="009A0D92" w:rsidRPr="001215E4">
        <w:rPr>
          <w:rFonts w:cs="Arial"/>
          <w:szCs w:val="24"/>
          <w:lang w:val="en-GB"/>
        </w:rPr>
        <w:lastRenderedPageBreak/>
        <w:t>to the matter of US v Dunkel</w:t>
      </w:r>
      <w:r w:rsidR="009A0D92">
        <w:rPr>
          <w:rStyle w:val="FootnoteReference"/>
          <w:rFonts w:cs="Arial"/>
          <w:szCs w:val="24"/>
          <w:lang w:val="en-GB"/>
        </w:rPr>
        <w:footnoteReference w:id="24"/>
      </w:r>
      <w:r w:rsidR="009A0D92" w:rsidRPr="001215E4">
        <w:rPr>
          <w:rFonts w:cs="Arial"/>
          <w:szCs w:val="24"/>
          <w:lang w:val="en-GB"/>
        </w:rPr>
        <w:t xml:space="preserve">, where the court of appeals </w:t>
      </w:r>
      <w:r w:rsidR="002A71D4" w:rsidRPr="001215E4">
        <w:rPr>
          <w:rFonts w:cs="Arial"/>
          <w:szCs w:val="24"/>
          <w:lang w:val="en-GB"/>
        </w:rPr>
        <w:t>criticised the conduct of litigants in embarking on unnecessary and costly processes</w:t>
      </w:r>
      <w:r w:rsidR="009A0D92" w:rsidRPr="001215E4">
        <w:rPr>
          <w:rFonts w:cs="Arial"/>
          <w:szCs w:val="24"/>
          <w:lang w:val="en-GB"/>
        </w:rPr>
        <w:t xml:space="preserve">. The Venmop judgment also referred to a judgment by the Canadian Federal Court of Appeals, </w:t>
      </w:r>
      <w:proofErr w:type="spellStart"/>
      <w:r w:rsidR="009A0D92" w:rsidRPr="001215E4">
        <w:rPr>
          <w:rFonts w:cs="Arial"/>
          <w:szCs w:val="24"/>
          <w:lang w:val="en-GB"/>
        </w:rPr>
        <w:t>Mckesson</w:t>
      </w:r>
      <w:proofErr w:type="spellEnd"/>
      <w:r w:rsidR="009A0D92" w:rsidRPr="001215E4">
        <w:rPr>
          <w:rFonts w:cs="Arial"/>
          <w:szCs w:val="24"/>
          <w:lang w:val="en-GB"/>
        </w:rPr>
        <w:t xml:space="preserve"> Canada Corporation v Canada</w:t>
      </w:r>
      <w:r w:rsidR="009A0D92">
        <w:rPr>
          <w:rStyle w:val="FootnoteReference"/>
          <w:rFonts w:cs="Arial"/>
          <w:szCs w:val="24"/>
          <w:lang w:val="en-GB"/>
        </w:rPr>
        <w:footnoteReference w:id="25"/>
      </w:r>
      <w:r w:rsidR="009A0D92" w:rsidRPr="001215E4">
        <w:rPr>
          <w:rFonts w:cs="Arial"/>
          <w:szCs w:val="24"/>
          <w:lang w:val="en-GB"/>
        </w:rPr>
        <w:t xml:space="preserve">, where </w:t>
      </w:r>
      <w:proofErr w:type="spellStart"/>
      <w:r w:rsidR="009A0D92" w:rsidRPr="001215E4">
        <w:rPr>
          <w:rFonts w:cs="Arial"/>
          <w:szCs w:val="24"/>
          <w:lang w:val="en-GB"/>
        </w:rPr>
        <w:t>Strattas</w:t>
      </w:r>
      <w:proofErr w:type="spellEnd"/>
      <w:r w:rsidR="009A0D92" w:rsidRPr="001215E4">
        <w:rPr>
          <w:rFonts w:cs="Arial"/>
          <w:szCs w:val="24"/>
          <w:lang w:val="en-GB"/>
        </w:rPr>
        <w:t>, JA</w:t>
      </w:r>
      <w:r w:rsidR="002A71D4" w:rsidRPr="001215E4">
        <w:rPr>
          <w:rFonts w:cs="Arial"/>
          <w:szCs w:val="24"/>
          <w:lang w:val="en-GB"/>
        </w:rPr>
        <w:t xml:space="preserve"> criticised lengthy and unnecessary processes.</w:t>
      </w:r>
      <w:r w:rsidR="009A0D92" w:rsidRPr="001215E4">
        <w:rPr>
          <w:rFonts w:cs="Arial"/>
          <w:szCs w:val="24"/>
          <w:lang w:val="en-GB"/>
        </w:rPr>
        <w:t xml:space="preserve"> </w:t>
      </w:r>
    </w:p>
    <w:p w14:paraId="4FCAA553" w14:textId="312B7307" w:rsidR="00D02D85" w:rsidRPr="001215E4" w:rsidRDefault="001215E4" w:rsidP="001215E4">
      <w:pPr>
        <w:tabs>
          <w:tab w:val="left" w:pos="861"/>
        </w:tabs>
        <w:spacing w:before="360" w:after="360" w:line="360" w:lineRule="auto"/>
        <w:ind w:left="851" w:right="439" w:hanging="851"/>
        <w:rPr>
          <w:rFonts w:cs="Arial"/>
          <w:szCs w:val="24"/>
          <w:lang w:val="en-GB"/>
        </w:rPr>
      </w:pPr>
      <w:r w:rsidRPr="003F15D7">
        <w:rPr>
          <w:rFonts w:cs="Arial"/>
          <w:w w:val="99"/>
          <w:szCs w:val="24"/>
        </w:rPr>
        <w:t>29.</w:t>
      </w:r>
      <w:r w:rsidRPr="003F15D7">
        <w:rPr>
          <w:rFonts w:cs="Arial"/>
          <w:w w:val="99"/>
          <w:szCs w:val="24"/>
        </w:rPr>
        <w:tab/>
      </w:r>
      <w:r w:rsidR="00021D83" w:rsidRPr="001215E4">
        <w:rPr>
          <w:rFonts w:cs="Arial"/>
          <w:szCs w:val="24"/>
          <w:lang w:val="en-GB"/>
        </w:rPr>
        <w:t xml:space="preserve">In the matter of Minister of Environmental Affairs and Tourism and Others v </w:t>
      </w:r>
      <w:proofErr w:type="spellStart"/>
      <w:r w:rsidR="00021D83" w:rsidRPr="001215E4">
        <w:rPr>
          <w:rFonts w:cs="Arial"/>
          <w:szCs w:val="24"/>
          <w:lang w:val="en-GB"/>
        </w:rPr>
        <w:t>Panbili</w:t>
      </w:r>
      <w:proofErr w:type="spellEnd"/>
      <w:r w:rsidR="00021D83" w:rsidRPr="001215E4">
        <w:rPr>
          <w:rFonts w:cs="Arial"/>
          <w:szCs w:val="24"/>
          <w:lang w:val="en-GB"/>
        </w:rPr>
        <w:t xml:space="preserve"> Fisheries (Pty) Ltd, Minister of Environmental Affairs v Bato Star Fishing (Pty) Ltd</w:t>
      </w:r>
      <w:r w:rsidR="00021D83">
        <w:rPr>
          <w:rStyle w:val="FootnoteReference"/>
          <w:rFonts w:cs="Arial"/>
          <w:szCs w:val="24"/>
          <w:lang w:val="en-GB"/>
        </w:rPr>
        <w:footnoteReference w:id="26"/>
      </w:r>
      <w:r w:rsidR="00021D83" w:rsidRPr="001215E4">
        <w:rPr>
          <w:rFonts w:cs="Arial"/>
          <w:szCs w:val="24"/>
          <w:lang w:val="en-GB"/>
        </w:rPr>
        <w:t xml:space="preserve">, the SCA similarly criticized </w:t>
      </w:r>
      <w:r w:rsidR="00FD4250" w:rsidRPr="001215E4">
        <w:rPr>
          <w:rFonts w:cs="Arial"/>
          <w:szCs w:val="24"/>
          <w:lang w:val="en-GB"/>
        </w:rPr>
        <w:t>prolix</w:t>
      </w:r>
      <w:r w:rsidR="00021D83" w:rsidRPr="001215E4">
        <w:rPr>
          <w:rFonts w:cs="Arial"/>
          <w:szCs w:val="24"/>
          <w:lang w:val="en-GB"/>
        </w:rPr>
        <w:t xml:space="preserve"> replying affidavits as bringing out “</w:t>
      </w:r>
      <w:r w:rsidR="00021D83" w:rsidRPr="001215E4">
        <w:rPr>
          <w:rFonts w:cs="Arial"/>
          <w:i/>
          <w:iCs/>
          <w:szCs w:val="24"/>
          <w:lang w:val="en-GB"/>
        </w:rPr>
        <w:t>irritation, not persuasion</w:t>
      </w:r>
      <w:r w:rsidR="00021D83" w:rsidRPr="001215E4">
        <w:rPr>
          <w:rFonts w:cs="Arial"/>
          <w:szCs w:val="24"/>
          <w:lang w:val="en-GB"/>
        </w:rPr>
        <w:t xml:space="preserve">”. </w:t>
      </w:r>
      <w:r w:rsidR="00021D83" w:rsidRPr="001215E4">
        <w:rPr>
          <w:rFonts w:cs="Arial"/>
          <w:i/>
          <w:iCs/>
          <w:szCs w:val="24"/>
          <w:lang w:val="en-GB"/>
        </w:rPr>
        <w:t>In</w:t>
      </w:r>
      <w:r w:rsidR="00021D83" w:rsidRPr="001215E4">
        <w:rPr>
          <w:rFonts w:cs="Arial"/>
          <w:szCs w:val="24"/>
          <w:lang w:val="en-GB"/>
        </w:rPr>
        <w:t xml:space="preserve"> </w:t>
      </w:r>
      <w:r w:rsidR="00021D83" w:rsidRPr="001215E4">
        <w:rPr>
          <w:rFonts w:cs="Arial"/>
          <w:i/>
          <w:iCs/>
          <w:szCs w:val="24"/>
          <w:lang w:val="en-GB"/>
        </w:rPr>
        <w:t>casu</w:t>
      </w:r>
      <w:r w:rsidR="00021D83" w:rsidRPr="001215E4">
        <w:rPr>
          <w:rFonts w:cs="Arial"/>
          <w:szCs w:val="24"/>
          <w:lang w:val="en-GB"/>
        </w:rPr>
        <w:t>, the unnecessary prolixi</w:t>
      </w:r>
      <w:r w:rsidR="00D85AEE" w:rsidRPr="001215E4">
        <w:rPr>
          <w:rFonts w:cs="Arial"/>
          <w:szCs w:val="24"/>
          <w:lang w:val="en-GB"/>
        </w:rPr>
        <w:t>ty</w:t>
      </w:r>
      <w:r w:rsidR="00021D83" w:rsidRPr="001215E4">
        <w:rPr>
          <w:rFonts w:cs="Arial"/>
          <w:szCs w:val="24"/>
          <w:lang w:val="en-GB"/>
        </w:rPr>
        <w:t xml:space="preserve"> and the unnecessary repetition</w:t>
      </w:r>
      <w:r w:rsidR="00DD462D" w:rsidRPr="001215E4">
        <w:rPr>
          <w:rFonts w:cs="Arial"/>
          <w:szCs w:val="24"/>
          <w:lang w:val="en-GB"/>
        </w:rPr>
        <w:t xml:space="preserve"> of documents</w:t>
      </w:r>
      <w:r w:rsidR="00021D83" w:rsidRPr="001215E4">
        <w:rPr>
          <w:rFonts w:cs="Arial"/>
          <w:szCs w:val="24"/>
          <w:lang w:val="en-GB"/>
        </w:rPr>
        <w:t xml:space="preserve"> </w:t>
      </w:r>
      <w:r w:rsidR="00FD4250" w:rsidRPr="001215E4">
        <w:rPr>
          <w:rFonts w:cs="Arial"/>
          <w:szCs w:val="24"/>
          <w:lang w:val="en-GB"/>
        </w:rPr>
        <w:t>are</w:t>
      </w:r>
      <w:r w:rsidR="002A71D4" w:rsidRPr="001215E4">
        <w:rPr>
          <w:rFonts w:cs="Arial"/>
          <w:szCs w:val="24"/>
          <w:lang w:val="en-GB"/>
        </w:rPr>
        <w:t xml:space="preserve"> regrettable</w:t>
      </w:r>
      <w:r w:rsidR="00DD462D" w:rsidRPr="001215E4">
        <w:rPr>
          <w:rFonts w:cs="Arial"/>
          <w:szCs w:val="24"/>
          <w:lang w:val="en-GB"/>
        </w:rPr>
        <w:t>. T</w:t>
      </w:r>
      <w:r w:rsidR="00021D83" w:rsidRPr="001215E4">
        <w:rPr>
          <w:rFonts w:cs="Arial"/>
          <w:szCs w:val="24"/>
          <w:lang w:val="en-GB"/>
        </w:rPr>
        <w:t xml:space="preserve">he court finds that the undisciplined </w:t>
      </w:r>
      <w:r w:rsidR="00382580" w:rsidRPr="001215E4">
        <w:rPr>
          <w:rFonts w:cs="Arial"/>
          <w:szCs w:val="24"/>
          <w:lang w:val="en-GB"/>
        </w:rPr>
        <w:t xml:space="preserve">uploading of documents </w:t>
      </w:r>
      <w:r w:rsidR="00DD462D" w:rsidRPr="001215E4">
        <w:rPr>
          <w:rFonts w:cs="Arial"/>
          <w:szCs w:val="24"/>
          <w:lang w:val="en-GB"/>
        </w:rPr>
        <w:t xml:space="preserve">to only </w:t>
      </w:r>
      <w:r w:rsidR="00382580" w:rsidRPr="001215E4">
        <w:rPr>
          <w:rFonts w:cs="Arial"/>
          <w:szCs w:val="24"/>
          <w:lang w:val="en-GB"/>
        </w:rPr>
        <w:t xml:space="preserve">hear a cost argument for discovery </w:t>
      </w:r>
      <w:r w:rsidR="003F15D7" w:rsidRPr="001215E4">
        <w:rPr>
          <w:rFonts w:cs="Arial"/>
          <w:szCs w:val="24"/>
          <w:lang w:val="en-GB"/>
        </w:rPr>
        <w:t>(</w:t>
      </w:r>
      <w:r w:rsidR="00382580" w:rsidRPr="001215E4">
        <w:rPr>
          <w:rFonts w:cs="Arial"/>
          <w:szCs w:val="24"/>
          <w:lang w:val="en-GB"/>
        </w:rPr>
        <w:t>that has been complied with</w:t>
      </w:r>
      <w:r w:rsidR="003F15D7" w:rsidRPr="001215E4">
        <w:rPr>
          <w:rFonts w:cs="Arial"/>
          <w:szCs w:val="24"/>
          <w:lang w:val="en-GB"/>
        </w:rPr>
        <w:t xml:space="preserve">, has not been pursued </w:t>
      </w:r>
      <w:r w:rsidR="00382580" w:rsidRPr="001215E4">
        <w:rPr>
          <w:rFonts w:cs="Arial"/>
          <w:szCs w:val="24"/>
          <w:lang w:val="en-GB"/>
        </w:rPr>
        <w:t>and became moot</w:t>
      </w:r>
      <w:r w:rsidR="003F15D7" w:rsidRPr="001215E4">
        <w:rPr>
          <w:rFonts w:cs="Arial"/>
          <w:szCs w:val="24"/>
          <w:lang w:val="en-GB"/>
        </w:rPr>
        <w:t>)</w:t>
      </w:r>
      <w:r w:rsidR="00382580" w:rsidRPr="001215E4">
        <w:rPr>
          <w:rFonts w:cs="Arial"/>
          <w:szCs w:val="24"/>
          <w:lang w:val="en-GB"/>
        </w:rPr>
        <w:t xml:space="preserve"> impugns the effective and optimal use of court time which is paramount for the proper working and functioning of any court in this country</w:t>
      </w:r>
      <w:r w:rsidR="00382580">
        <w:rPr>
          <w:rStyle w:val="FootnoteReference"/>
          <w:rFonts w:cs="Arial"/>
          <w:szCs w:val="24"/>
          <w:lang w:val="en-GB"/>
        </w:rPr>
        <w:footnoteReference w:id="27"/>
      </w:r>
      <w:r w:rsidR="00382580" w:rsidRPr="001215E4">
        <w:rPr>
          <w:rFonts w:cs="Arial"/>
          <w:szCs w:val="24"/>
          <w:lang w:val="en-GB"/>
        </w:rPr>
        <w:t>.</w:t>
      </w:r>
    </w:p>
    <w:p w14:paraId="04755074" w14:textId="7FAF5193" w:rsidR="00382580" w:rsidRPr="001215E4" w:rsidRDefault="001215E4" w:rsidP="001215E4">
      <w:pPr>
        <w:tabs>
          <w:tab w:val="left" w:pos="861"/>
        </w:tabs>
        <w:spacing w:before="360" w:after="360" w:line="360" w:lineRule="auto"/>
        <w:ind w:left="851" w:right="439" w:hanging="851"/>
        <w:rPr>
          <w:rFonts w:cs="Arial"/>
          <w:szCs w:val="24"/>
          <w:lang w:val="en-GB"/>
        </w:rPr>
      </w:pPr>
      <w:r>
        <w:rPr>
          <w:rFonts w:cs="Arial"/>
          <w:w w:val="99"/>
          <w:szCs w:val="24"/>
        </w:rPr>
        <w:t>30.</w:t>
      </w:r>
      <w:r>
        <w:rPr>
          <w:rFonts w:cs="Arial"/>
          <w:w w:val="99"/>
          <w:szCs w:val="24"/>
        </w:rPr>
        <w:tab/>
      </w:r>
      <w:r w:rsidR="00382580" w:rsidRPr="001215E4">
        <w:rPr>
          <w:rFonts w:cs="Arial"/>
          <w:szCs w:val="24"/>
          <w:lang w:val="en-GB"/>
        </w:rPr>
        <w:t>Third respondent’s counsel contended that it is an abuse of process to exert undue pressure on the third respondent and set this matter down for hearing on the question of costs only. In the matter of TUHF Limited v Eslin Street Hillbrow CC and others</w:t>
      </w:r>
      <w:r w:rsidR="00050F58">
        <w:rPr>
          <w:rStyle w:val="FootnoteReference"/>
          <w:rFonts w:cs="Arial"/>
          <w:szCs w:val="24"/>
          <w:lang w:val="en-GB"/>
        </w:rPr>
        <w:footnoteReference w:id="28"/>
      </w:r>
      <w:r w:rsidR="00050F58" w:rsidRPr="001215E4">
        <w:rPr>
          <w:rFonts w:cs="Arial"/>
          <w:szCs w:val="24"/>
          <w:lang w:val="en-GB"/>
        </w:rPr>
        <w:t>, this Honourable Court found the following:</w:t>
      </w:r>
    </w:p>
    <w:p w14:paraId="624A1854" w14:textId="77777777" w:rsidR="00050F58" w:rsidRDefault="00050F58" w:rsidP="00050F58">
      <w:pPr>
        <w:pStyle w:val="ListParagraph"/>
        <w:spacing w:before="360" w:after="360" w:line="360" w:lineRule="auto"/>
        <w:ind w:left="2268" w:right="439" w:hanging="850"/>
        <w:rPr>
          <w:rFonts w:cs="Arial"/>
          <w:i/>
          <w:iCs/>
          <w:color w:val="242121"/>
          <w:szCs w:val="24"/>
        </w:rPr>
      </w:pPr>
      <w:r w:rsidRPr="00050F58">
        <w:rPr>
          <w:rFonts w:cs="Arial"/>
          <w:i/>
          <w:iCs/>
          <w:szCs w:val="24"/>
          <w:lang w:val="en-GB"/>
        </w:rPr>
        <w:t>“[59]</w:t>
      </w:r>
      <w:r>
        <w:rPr>
          <w:rFonts w:cs="Arial"/>
          <w:i/>
          <w:iCs/>
          <w:szCs w:val="24"/>
          <w:lang w:val="en-GB"/>
        </w:rPr>
        <w:tab/>
      </w:r>
      <w:r w:rsidRPr="00050F58">
        <w:rPr>
          <w:rFonts w:cs="Arial"/>
          <w:i/>
          <w:iCs/>
          <w:color w:val="242121"/>
          <w:szCs w:val="24"/>
        </w:rPr>
        <w:t>The definition of the meaning of abuse of court process was used with approval by our courts. In the Australian High Court judgment of </w:t>
      </w:r>
      <w:proofErr w:type="spellStart"/>
      <w:r w:rsidRPr="00050F58">
        <w:rPr>
          <w:rFonts w:cs="Arial"/>
          <w:i/>
          <w:iCs/>
          <w:color w:val="242121"/>
          <w:szCs w:val="24"/>
        </w:rPr>
        <w:t>Varawa</w:t>
      </w:r>
      <w:proofErr w:type="spellEnd"/>
      <w:r w:rsidRPr="00050F58">
        <w:rPr>
          <w:rFonts w:cs="Arial"/>
          <w:i/>
          <w:iCs/>
          <w:color w:val="242121"/>
          <w:szCs w:val="24"/>
        </w:rPr>
        <w:t xml:space="preserve"> v Howard South Co </w:t>
      </w:r>
      <w:proofErr w:type="gramStart"/>
      <w:r w:rsidRPr="00050F58">
        <w:rPr>
          <w:rFonts w:cs="Arial"/>
          <w:i/>
          <w:iCs/>
          <w:color w:val="242121"/>
          <w:szCs w:val="24"/>
        </w:rPr>
        <w:t>Ltd</w:t>
      </w:r>
      <w:bookmarkStart w:id="1" w:name="_ftnref16"/>
      <w:proofErr w:type="gramEnd"/>
      <w:r w:rsidRPr="00050F58">
        <w:rPr>
          <w:rFonts w:cs="Arial"/>
          <w:i/>
          <w:iCs/>
          <w:color w:val="242121"/>
          <w:szCs w:val="24"/>
        </w:rPr>
        <w:fldChar w:fldCharType="begin"/>
      </w:r>
      <w:r w:rsidRPr="00050F58">
        <w:rPr>
          <w:rFonts w:cs="Arial"/>
          <w:i/>
          <w:iCs/>
          <w:color w:val="242121"/>
          <w:szCs w:val="24"/>
        </w:rPr>
        <w:instrText xml:space="preserve"> HYPERLINK "http://www.saflii.org/za/cases/ZAGPJHC/2022/566.html" \l "_ftn16" </w:instrText>
      </w:r>
      <w:r w:rsidRPr="00050F58">
        <w:rPr>
          <w:rFonts w:cs="Arial"/>
          <w:i/>
          <w:iCs/>
          <w:color w:val="242121"/>
          <w:szCs w:val="24"/>
        </w:rPr>
        <w:fldChar w:fldCharType="separate"/>
      </w:r>
      <w:r w:rsidRPr="00050F58">
        <w:rPr>
          <w:rStyle w:val="Hyperlink"/>
          <w:rFonts w:cs="Arial"/>
          <w:b/>
          <w:bCs/>
          <w:i/>
          <w:iCs/>
          <w:color w:val="0B4B0B"/>
          <w:szCs w:val="24"/>
        </w:rPr>
        <w:t>[16]</w:t>
      </w:r>
      <w:r w:rsidRPr="00050F58">
        <w:rPr>
          <w:rFonts w:cs="Arial"/>
          <w:i/>
          <w:iCs/>
          <w:color w:val="242121"/>
          <w:szCs w:val="24"/>
        </w:rPr>
        <w:fldChar w:fldCharType="end"/>
      </w:r>
      <w:bookmarkEnd w:id="1"/>
      <w:r w:rsidRPr="00050F58">
        <w:rPr>
          <w:rFonts w:cs="Arial"/>
          <w:i/>
          <w:iCs/>
          <w:color w:val="242121"/>
          <w:szCs w:val="24"/>
        </w:rPr>
        <w:t> the definition of ‘abuse of process’ was stated in the following terms:</w:t>
      </w:r>
    </w:p>
    <w:p w14:paraId="5394BFB4" w14:textId="4BE34B27" w:rsidR="00050F58" w:rsidRPr="00050F58" w:rsidRDefault="00050F58" w:rsidP="00050F58">
      <w:pPr>
        <w:pStyle w:val="ListParagraph"/>
        <w:spacing w:before="360" w:after="360" w:line="360" w:lineRule="auto"/>
        <w:ind w:left="2835" w:right="439" w:hanging="850"/>
        <w:rPr>
          <w:rFonts w:cs="Arial"/>
          <w:i/>
          <w:iCs/>
          <w:szCs w:val="24"/>
          <w:lang w:val="en-GB"/>
        </w:rPr>
      </w:pPr>
      <w:r>
        <w:rPr>
          <w:rFonts w:cs="Arial"/>
          <w:i/>
          <w:iCs/>
          <w:szCs w:val="24"/>
          <w:lang w:val="en-GB"/>
        </w:rPr>
        <w:tab/>
      </w:r>
      <w:r w:rsidRPr="00050F58">
        <w:rPr>
          <w:rFonts w:cs="Arial"/>
          <w:i/>
          <w:iCs/>
          <w:color w:val="242121"/>
          <w:szCs w:val="24"/>
        </w:rPr>
        <w:t xml:space="preserve">“… the term ‘abuse of process’ connotes that the process </w:t>
      </w:r>
      <w:r w:rsidRPr="00050F58">
        <w:rPr>
          <w:rFonts w:cs="Arial"/>
          <w:i/>
          <w:iCs/>
          <w:color w:val="242121"/>
          <w:szCs w:val="24"/>
        </w:rPr>
        <w:lastRenderedPageBreak/>
        <w:t>is employed for some purpose other than the attainment of the claim in the action. If the proceedings are merely a stalking – horse to coerce the defendant in some way entirely outside the ambit of the legal claim upon which the Court is asked to adjudicate they are regarded as an abuse for this purpose …”</w:t>
      </w:r>
    </w:p>
    <w:p w14:paraId="282047D1" w14:textId="191E682A" w:rsidR="003F15D7" w:rsidRPr="001215E4" w:rsidRDefault="001215E4" w:rsidP="001215E4">
      <w:pPr>
        <w:tabs>
          <w:tab w:val="left" w:pos="861"/>
        </w:tabs>
        <w:spacing w:before="360" w:after="360" w:line="360" w:lineRule="auto"/>
        <w:ind w:left="851" w:right="439" w:hanging="851"/>
        <w:rPr>
          <w:rFonts w:cs="Arial"/>
          <w:szCs w:val="24"/>
          <w:lang w:val="en-GB"/>
        </w:rPr>
      </w:pPr>
      <w:r>
        <w:rPr>
          <w:rFonts w:cs="Arial"/>
          <w:w w:val="99"/>
          <w:szCs w:val="24"/>
        </w:rPr>
        <w:t>31.</w:t>
      </w:r>
      <w:r>
        <w:rPr>
          <w:rFonts w:cs="Arial"/>
          <w:w w:val="99"/>
          <w:szCs w:val="24"/>
        </w:rPr>
        <w:tab/>
      </w:r>
      <w:r w:rsidR="00B323A4" w:rsidRPr="001215E4">
        <w:rPr>
          <w:rFonts w:cs="Arial"/>
          <w:szCs w:val="24"/>
          <w:lang w:val="en-GB"/>
        </w:rPr>
        <w:t>T</w:t>
      </w:r>
      <w:r w:rsidR="00050F58" w:rsidRPr="001215E4">
        <w:rPr>
          <w:rFonts w:cs="Arial"/>
          <w:szCs w:val="24"/>
          <w:lang w:val="en-GB"/>
        </w:rPr>
        <w:t xml:space="preserve">he court finds that it was unnecessary and redundant to institute the current application. It was evenly unnecessary to involve the third respondent’s legal representative and to threaten it with costs </w:t>
      </w:r>
      <w:r w:rsidR="002217D4" w:rsidRPr="001215E4">
        <w:rPr>
          <w:rFonts w:cs="Arial"/>
          <w:i/>
          <w:iCs/>
          <w:szCs w:val="24"/>
          <w:lang w:val="en-GB"/>
        </w:rPr>
        <w:t>de bonis propriis</w:t>
      </w:r>
      <w:r w:rsidR="002217D4" w:rsidRPr="001215E4">
        <w:rPr>
          <w:rFonts w:cs="Arial"/>
          <w:szCs w:val="24"/>
          <w:lang w:val="en-GB"/>
        </w:rPr>
        <w:t xml:space="preserve">.  No </w:t>
      </w:r>
      <w:r w:rsidR="00D85AEE" w:rsidRPr="001215E4">
        <w:rPr>
          <w:rFonts w:cs="Arial"/>
          <w:szCs w:val="24"/>
          <w:lang w:val="en-GB"/>
        </w:rPr>
        <w:t xml:space="preserve">reasonable </w:t>
      </w:r>
      <w:r w:rsidR="00050F58" w:rsidRPr="001215E4">
        <w:rPr>
          <w:rFonts w:cs="Arial"/>
          <w:szCs w:val="24"/>
          <w:lang w:val="en-GB"/>
        </w:rPr>
        <w:t xml:space="preserve">basis or foundation was laid and no </w:t>
      </w:r>
      <w:r w:rsidR="00D85AEE" w:rsidRPr="001215E4">
        <w:rPr>
          <w:rFonts w:cs="Arial"/>
          <w:szCs w:val="24"/>
          <w:lang w:val="en-GB"/>
        </w:rPr>
        <w:t xml:space="preserve">cogent </w:t>
      </w:r>
      <w:r w:rsidR="00050F58" w:rsidRPr="001215E4">
        <w:rPr>
          <w:rFonts w:cs="Arial"/>
          <w:szCs w:val="24"/>
          <w:lang w:val="en-GB"/>
        </w:rPr>
        <w:t>facts w</w:t>
      </w:r>
      <w:r w:rsidR="00423D0F" w:rsidRPr="001215E4">
        <w:rPr>
          <w:rFonts w:cs="Arial"/>
          <w:szCs w:val="24"/>
          <w:lang w:val="en-GB"/>
        </w:rPr>
        <w:t>ere</w:t>
      </w:r>
      <w:r w:rsidR="00050F58" w:rsidRPr="001215E4">
        <w:rPr>
          <w:rFonts w:cs="Arial"/>
          <w:szCs w:val="24"/>
          <w:lang w:val="en-GB"/>
        </w:rPr>
        <w:t xml:space="preserve"> presented to make out a case that the third respondent’s legal representative acted</w:t>
      </w:r>
      <w:r w:rsidR="00D85AEE" w:rsidRPr="001215E4">
        <w:rPr>
          <w:rFonts w:cs="Arial"/>
          <w:szCs w:val="24"/>
          <w:lang w:val="en-GB"/>
        </w:rPr>
        <w:t xml:space="preserve"> in an</w:t>
      </w:r>
      <w:r w:rsidR="00050F58" w:rsidRPr="001215E4">
        <w:rPr>
          <w:rFonts w:cs="Arial"/>
          <w:szCs w:val="24"/>
          <w:lang w:val="en-GB"/>
        </w:rPr>
        <w:t xml:space="preserve"> “</w:t>
      </w:r>
      <w:r w:rsidR="00050F58" w:rsidRPr="001215E4">
        <w:rPr>
          <w:rFonts w:cs="Arial"/>
          <w:i/>
          <w:iCs/>
          <w:szCs w:val="24"/>
          <w:lang w:val="en-GB"/>
        </w:rPr>
        <w:t>irresponsible and grossly negligent or reckless manner</w:t>
      </w:r>
      <w:r w:rsidR="00050F58" w:rsidRPr="001215E4">
        <w:rPr>
          <w:rFonts w:cs="Arial"/>
          <w:szCs w:val="24"/>
          <w:lang w:val="en-GB"/>
        </w:rPr>
        <w:t>”.</w:t>
      </w:r>
    </w:p>
    <w:p w14:paraId="22E14AB8" w14:textId="023DD41A" w:rsidR="00520F92" w:rsidRPr="001215E4" w:rsidRDefault="001215E4" w:rsidP="001215E4">
      <w:pPr>
        <w:tabs>
          <w:tab w:val="left" w:pos="861"/>
        </w:tabs>
        <w:spacing w:before="360" w:after="360" w:line="360" w:lineRule="auto"/>
        <w:ind w:left="851" w:right="439" w:hanging="851"/>
        <w:rPr>
          <w:rFonts w:cs="Arial"/>
          <w:szCs w:val="24"/>
          <w:lang w:val="en-GB"/>
        </w:rPr>
      </w:pPr>
      <w:r w:rsidRPr="002217D4">
        <w:rPr>
          <w:rFonts w:cs="Arial"/>
          <w:w w:val="99"/>
          <w:szCs w:val="24"/>
        </w:rPr>
        <w:t>32.</w:t>
      </w:r>
      <w:r w:rsidRPr="002217D4">
        <w:rPr>
          <w:rFonts w:cs="Arial"/>
          <w:w w:val="99"/>
          <w:szCs w:val="24"/>
        </w:rPr>
        <w:tab/>
      </w:r>
      <w:r w:rsidR="00520F92" w:rsidRPr="001215E4">
        <w:rPr>
          <w:rFonts w:cs="Arial"/>
          <w:szCs w:val="24"/>
          <w:lang w:val="en-GB"/>
        </w:rPr>
        <w:t>On the basis that the prosecution of this application was both unnecessary and unreasonable, the third respondent should not be out of pocket in respect of expenses caused by the current application</w:t>
      </w:r>
      <w:r w:rsidR="00520F92">
        <w:rPr>
          <w:rStyle w:val="FootnoteReference"/>
          <w:rFonts w:cs="Arial"/>
          <w:szCs w:val="24"/>
          <w:lang w:val="en-GB"/>
        </w:rPr>
        <w:footnoteReference w:id="29"/>
      </w:r>
      <w:r w:rsidR="00520F92" w:rsidRPr="001215E4">
        <w:rPr>
          <w:rFonts w:cs="Arial"/>
          <w:szCs w:val="24"/>
          <w:lang w:val="en-GB"/>
        </w:rPr>
        <w:t xml:space="preserve">. Attorney and client costs </w:t>
      </w:r>
      <w:r w:rsidR="001F1E9A" w:rsidRPr="001215E4">
        <w:rPr>
          <w:rFonts w:cs="Arial"/>
          <w:szCs w:val="24"/>
          <w:lang w:val="en-GB"/>
        </w:rPr>
        <w:t xml:space="preserve">are </w:t>
      </w:r>
      <w:r w:rsidR="00520F92" w:rsidRPr="001215E4">
        <w:rPr>
          <w:rFonts w:cs="Arial"/>
          <w:szCs w:val="24"/>
          <w:lang w:val="en-GB"/>
        </w:rPr>
        <w:t>also justifiable where a litigating party is put to unnecessary trouble and expense which it ought not to bear</w:t>
      </w:r>
      <w:r w:rsidR="00520F92">
        <w:rPr>
          <w:rStyle w:val="FootnoteReference"/>
          <w:rFonts w:cs="Arial"/>
          <w:szCs w:val="24"/>
          <w:lang w:val="en-GB"/>
        </w:rPr>
        <w:footnoteReference w:id="30"/>
      </w:r>
      <w:r w:rsidR="00520F92" w:rsidRPr="001215E4">
        <w:rPr>
          <w:rFonts w:cs="Arial"/>
          <w:szCs w:val="24"/>
          <w:lang w:val="en-GB"/>
        </w:rPr>
        <w:t xml:space="preserve">. Costs </w:t>
      </w:r>
      <w:r w:rsidR="00520F92" w:rsidRPr="001215E4">
        <w:rPr>
          <w:rFonts w:cs="Arial"/>
          <w:i/>
          <w:iCs/>
          <w:szCs w:val="24"/>
          <w:lang w:val="en-GB"/>
        </w:rPr>
        <w:t>in</w:t>
      </w:r>
      <w:r w:rsidR="00520F92" w:rsidRPr="001215E4">
        <w:rPr>
          <w:rFonts w:cs="Arial"/>
          <w:szCs w:val="24"/>
          <w:lang w:val="en-GB"/>
        </w:rPr>
        <w:t xml:space="preserve"> </w:t>
      </w:r>
      <w:r w:rsidR="00520F92" w:rsidRPr="001215E4">
        <w:rPr>
          <w:rFonts w:cs="Arial"/>
          <w:i/>
          <w:iCs/>
          <w:szCs w:val="24"/>
          <w:lang w:val="en-GB"/>
        </w:rPr>
        <w:t>casu</w:t>
      </w:r>
      <w:r w:rsidR="00520F92" w:rsidRPr="001215E4">
        <w:rPr>
          <w:rFonts w:cs="Arial"/>
          <w:szCs w:val="24"/>
          <w:lang w:val="en-GB"/>
        </w:rPr>
        <w:t xml:space="preserve"> should therefore be granted against the applicant on the scale as between attorney and client.</w:t>
      </w:r>
    </w:p>
    <w:p w14:paraId="54B7DAA7" w14:textId="6B931F25" w:rsidR="00C20879" w:rsidRPr="001215E4" w:rsidRDefault="001215E4" w:rsidP="001215E4">
      <w:pPr>
        <w:tabs>
          <w:tab w:val="left" w:pos="861"/>
        </w:tabs>
        <w:spacing w:before="360" w:after="360" w:line="360" w:lineRule="auto"/>
        <w:ind w:left="851" w:right="439" w:hanging="851"/>
        <w:rPr>
          <w:rFonts w:cs="Arial"/>
          <w:szCs w:val="24"/>
          <w:lang w:val="en-GB"/>
        </w:rPr>
      </w:pPr>
      <w:r w:rsidRPr="00D85AEE">
        <w:rPr>
          <w:rFonts w:cs="Arial"/>
          <w:w w:val="99"/>
          <w:szCs w:val="24"/>
        </w:rPr>
        <w:t>33.</w:t>
      </w:r>
      <w:r w:rsidRPr="00D85AEE">
        <w:rPr>
          <w:rFonts w:cs="Arial"/>
          <w:w w:val="99"/>
          <w:szCs w:val="24"/>
        </w:rPr>
        <w:tab/>
      </w:r>
      <w:r w:rsidR="002217D4" w:rsidRPr="001215E4">
        <w:rPr>
          <w:rFonts w:cs="Arial"/>
          <w:szCs w:val="24"/>
          <w:lang w:val="en-GB"/>
        </w:rPr>
        <w:t>The conduct of the applicant constitutes an abuse of process</w:t>
      </w:r>
      <w:r w:rsidR="003A4AB6" w:rsidRPr="001215E4">
        <w:rPr>
          <w:rFonts w:cs="Arial"/>
          <w:szCs w:val="24"/>
          <w:lang w:val="en-GB"/>
        </w:rPr>
        <w:t>.</w:t>
      </w:r>
      <w:r w:rsidR="002217D4" w:rsidRPr="001215E4">
        <w:rPr>
          <w:rFonts w:cs="Arial"/>
          <w:szCs w:val="24"/>
          <w:lang w:val="en-GB"/>
        </w:rPr>
        <w:t xml:space="preserve"> </w:t>
      </w:r>
      <w:r w:rsidR="003A4AB6" w:rsidRPr="001215E4">
        <w:rPr>
          <w:rFonts w:cs="Arial"/>
          <w:szCs w:val="24"/>
          <w:lang w:val="en-GB"/>
        </w:rPr>
        <w:t xml:space="preserve">In </w:t>
      </w:r>
      <w:r w:rsidR="00050F58" w:rsidRPr="001215E4">
        <w:rPr>
          <w:rFonts w:cs="Arial"/>
          <w:szCs w:val="24"/>
          <w:lang w:val="en-GB"/>
        </w:rPr>
        <w:t>the circumstances, the order that was granted on 24 April 2023 is herein confirmed</w:t>
      </w:r>
      <w:r w:rsidR="003A4AB6" w:rsidRPr="001215E4">
        <w:rPr>
          <w:rFonts w:cs="Arial"/>
          <w:szCs w:val="24"/>
          <w:lang w:val="en-GB"/>
        </w:rPr>
        <w:t>, as well as the scale of costs, for the reasons detailed herein</w:t>
      </w:r>
      <w:r w:rsidR="00050F58" w:rsidRPr="001215E4">
        <w:rPr>
          <w:rFonts w:cs="Arial"/>
          <w:szCs w:val="24"/>
          <w:lang w:val="en-GB"/>
        </w:rPr>
        <w:t>.</w:t>
      </w:r>
      <w:r w:rsidR="00C20879" w:rsidRPr="001215E4">
        <w:rPr>
          <w:rFonts w:cs="Arial"/>
          <w:szCs w:val="24"/>
          <w:lang w:val="en-GB"/>
        </w:rPr>
        <w:t xml:space="preserve"> </w:t>
      </w:r>
    </w:p>
    <w:p w14:paraId="54A7E4C2" w14:textId="5CEE727F" w:rsidR="00050F58" w:rsidRPr="00050F58" w:rsidRDefault="00050F58" w:rsidP="00050F58">
      <w:pPr>
        <w:spacing w:before="360" w:after="360" w:line="360" w:lineRule="auto"/>
        <w:ind w:right="439"/>
        <w:rPr>
          <w:rFonts w:cs="Arial"/>
          <w:i/>
          <w:iCs/>
          <w:szCs w:val="24"/>
          <w:lang w:val="en-GB"/>
        </w:rPr>
      </w:pPr>
      <w:r>
        <w:rPr>
          <w:rFonts w:cs="Arial"/>
          <w:i/>
          <w:iCs/>
          <w:szCs w:val="24"/>
          <w:lang w:val="en-GB"/>
        </w:rPr>
        <w:t>Order</w:t>
      </w:r>
    </w:p>
    <w:p w14:paraId="55F764A4" w14:textId="607A8CE3" w:rsidR="0088764F" w:rsidRPr="001215E4" w:rsidRDefault="001215E4" w:rsidP="001215E4">
      <w:pPr>
        <w:tabs>
          <w:tab w:val="left" w:pos="851"/>
        </w:tabs>
        <w:spacing w:before="360" w:after="360" w:line="360" w:lineRule="auto"/>
        <w:ind w:left="851" w:right="439" w:hanging="851"/>
        <w:rPr>
          <w:rFonts w:cs="Arial"/>
          <w:szCs w:val="24"/>
          <w:lang w:val="en-GB"/>
        </w:rPr>
      </w:pPr>
      <w:r>
        <w:rPr>
          <w:rFonts w:cs="Arial"/>
          <w:w w:val="99"/>
          <w:szCs w:val="24"/>
        </w:rPr>
        <w:t>34.</w:t>
      </w:r>
      <w:r>
        <w:rPr>
          <w:rFonts w:cs="Arial"/>
          <w:w w:val="99"/>
          <w:szCs w:val="24"/>
        </w:rPr>
        <w:tab/>
      </w:r>
      <w:r w:rsidR="00050F58" w:rsidRPr="001215E4">
        <w:rPr>
          <w:rFonts w:cs="Arial"/>
          <w:szCs w:val="24"/>
          <w:lang w:val="en-GB"/>
        </w:rPr>
        <w:t>The following order is granted:</w:t>
      </w:r>
    </w:p>
    <w:p w14:paraId="01B6DC9F" w14:textId="7A3FCB6D" w:rsidR="00050F58" w:rsidRPr="001215E4" w:rsidRDefault="001215E4" w:rsidP="001215E4">
      <w:pPr>
        <w:tabs>
          <w:tab w:val="left" w:pos="1701"/>
        </w:tabs>
        <w:spacing w:before="360" w:after="360" w:line="360" w:lineRule="auto"/>
        <w:ind w:left="1701" w:right="439" w:hanging="850"/>
        <w:rPr>
          <w:rFonts w:cs="Arial"/>
          <w:szCs w:val="24"/>
          <w:lang w:val="en-GB"/>
        </w:rPr>
      </w:pPr>
      <w:r>
        <w:rPr>
          <w:rFonts w:cs="Arial"/>
          <w:szCs w:val="24"/>
        </w:rPr>
        <w:t>34.1.</w:t>
      </w:r>
      <w:r>
        <w:rPr>
          <w:rFonts w:cs="Arial"/>
          <w:szCs w:val="24"/>
        </w:rPr>
        <w:tab/>
      </w:r>
      <w:r w:rsidR="00050F58" w:rsidRPr="001215E4">
        <w:rPr>
          <w:rFonts w:cs="Arial"/>
          <w:szCs w:val="24"/>
          <w:lang w:val="en-GB"/>
        </w:rPr>
        <w:t>Prayer 2 of the notice of motion dated 30 August 2022 is dismissed.</w:t>
      </w:r>
    </w:p>
    <w:p w14:paraId="7ACD4D8F" w14:textId="49D3AF62" w:rsidR="00050F58" w:rsidRPr="001215E4" w:rsidRDefault="001215E4" w:rsidP="001215E4">
      <w:pPr>
        <w:tabs>
          <w:tab w:val="left" w:pos="1701"/>
        </w:tabs>
        <w:spacing w:before="360" w:after="360" w:line="360" w:lineRule="auto"/>
        <w:ind w:left="1701" w:right="439" w:hanging="850"/>
        <w:rPr>
          <w:rFonts w:cs="Arial"/>
          <w:szCs w:val="24"/>
          <w:lang w:val="en-GB"/>
        </w:rPr>
      </w:pPr>
      <w:r w:rsidRPr="00AA66AF">
        <w:rPr>
          <w:rFonts w:cs="Arial"/>
          <w:szCs w:val="24"/>
        </w:rPr>
        <w:lastRenderedPageBreak/>
        <w:t>34.2.</w:t>
      </w:r>
      <w:r w:rsidRPr="00AA66AF">
        <w:rPr>
          <w:rFonts w:cs="Arial"/>
          <w:szCs w:val="24"/>
        </w:rPr>
        <w:tab/>
      </w:r>
      <w:r w:rsidR="00050F58" w:rsidRPr="001215E4">
        <w:rPr>
          <w:rFonts w:cs="Arial"/>
          <w:szCs w:val="24"/>
          <w:lang w:val="en-GB"/>
        </w:rPr>
        <w:t>The applicant is ordered to pay the costs of the third respondent</w:t>
      </w:r>
      <w:r w:rsidR="003F15D7" w:rsidRPr="001215E4">
        <w:rPr>
          <w:rFonts w:cs="Arial"/>
          <w:szCs w:val="24"/>
          <w:lang w:val="en-GB"/>
        </w:rPr>
        <w:t>,</w:t>
      </w:r>
      <w:r w:rsidR="00050F58" w:rsidRPr="001215E4">
        <w:rPr>
          <w:rFonts w:cs="Arial"/>
          <w:szCs w:val="24"/>
          <w:lang w:val="en-GB"/>
        </w:rPr>
        <w:t xml:space="preserve"> on the scale as between attorney and client</w:t>
      </w:r>
      <w:r w:rsidR="00C20879" w:rsidRPr="001215E4">
        <w:rPr>
          <w:rFonts w:cs="Arial"/>
          <w:szCs w:val="24"/>
          <w:lang w:val="en-GB"/>
        </w:rPr>
        <w:t>.</w:t>
      </w:r>
    </w:p>
    <w:p w14:paraId="47044800" w14:textId="0C761323" w:rsidR="00114F19" w:rsidRDefault="00114F19" w:rsidP="002C11BA">
      <w:pPr>
        <w:tabs>
          <w:tab w:val="left" w:pos="861"/>
        </w:tabs>
        <w:spacing w:before="74" w:after="360" w:line="360" w:lineRule="auto"/>
        <w:ind w:right="437"/>
        <w:jc w:val="right"/>
        <w:rPr>
          <w:rFonts w:cs="Arial"/>
          <w:szCs w:val="24"/>
          <w:lang w:val="en-GB"/>
        </w:rPr>
      </w:pPr>
    </w:p>
    <w:p w14:paraId="522BCB06" w14:textId="77777777" w:rsidR="00423D0F" w:rsidRDefault="00423D0F" w:rsidP="002C11BA">
      <w:pPr>
        <w:tabs>
          <w:tab w:val="left" w:pos="861"/>
        </w:tabs>
        <w:spacing w:before="74" w:after="360" w:line="360" w:lineRule="auto"/>
        <w:ind w:right="437"/>
        <w:jc w:val="right"/>
        <w:rPr>
          <w:rFonts w:cs="Arial"/>
          <w:szCs w:val="24"/>
          <w:lang w:val="en-GB"/>
        </w:rPr>
      </w:pPr>
    </w:p>
    <w:p w14:paraId="473DFAF4" w14:textId="77777777" w:rsidR="00423D0F" w:rsidRDefault="00423D0F" w:rsidP="002C11BA">
      <w:pPr>
        <w:tabs>
          <w:tab w:val="left" w:pos="861"/>
        </w:tabs>
        <w:spacing w:before="74" w:after="360" w:line="360" w:lineRule="auto"/>
        <w:ind w:right="437"/>
        <w:jc w:val="right"/>
        <w:rPr>
          <w:rFonts w:cs="Arial"/>
          <w:szCs w:val="24"/>
          <w:lang w:val="en-GB"/>
        </w:rPr>
      </w:pPr>
    </w:p>
    <w:p w14:paraId="0B1AF490" w14:textId="77777777" w:rsidR="00423D0F" w:rsidRPr="00AA66AF" w:rsidRDefault="00423D0F" w:rsidP="002C11BA">
      <w:pPr>
        <w:tabs>
          <w:tab w:val="left" w:pos="861"/>
        </w:tabs>
        <w:spacing w:before="74" w:after="360" w:line="360" w:lineRule="auto"/>
        <w:ind w:right="437"/>
        <w:jc w:val="right"/>
        <w:rPr>
          <w:rFonts w:cs="Arial"/>
          <w:szCs w:val="24"/>
          <w:lang w:val="en-GB"/>
        </w:rPr>
      </w:pPr>
    </w:p>
    <w:p w14:paraId="0EEDA593" w14:textId="7D063701" w:rsidR="002C11BA" w:rsidRPr="00AA66AF" w:rsidRDefault="002C11BA" w:rsidP="002C11BA">
      <w:pPr>
        <w:tabs>
          <w:tab w:val="left" w:pos="861"/>
        </w:tabs>
        <w:spacing w:before="120" w:after="120"/>
        <w:ind w:right="437"/>
        <w:jc w:val="right"/>
        <w:rPr>
          <w:rFonts w:cs="Arial"/>
          <w:b/>
          <w:bCs/>
          <w:szCs w:val="24"/>
          <w:lang w:val="en-GB"/>
        </w:rPr>
      </w:pPr>
      <w:r w:rsidRPr="00AA66AF">
        <w:rPr>
          <w:rFonts w:cs="Arial"/>
          <w:b/>
          <w:bCs/>
          <w:szCs w:val="24"/>
          <w:lang w:val="en-GB"/>
        </w:rPr>
        <w:t>DE BEER</w:t>
      </w:r>
      <w:r w:rsidR="00D85AEE">
        <w:rPr>
          <w:rFonts w:cs="Arial"/>
          <w:b/>
          <w:bCs/>
          <w:szCs w:val="24"/>
          <w:lang w:val="en-GB"/>
        </w:rPr>
        <w:t xml:space="preserve"> AJ</w:t>
      </w:r>
    </w:p>
    <w:p w14:paraId="1AD9B58E" w14:textId="36D7FACD" w:rsidR="002C11BA" w:rsidRPr="00AA66AF" w:rsidRDefault="002C11BA" w:rsidP="002C11BA">
      <w:pPr>
        <w:tabs>
          <w:tab w:val="left" w:pos="861"/>
        </w:tabs>
        <w:spacing w:before="120" w:after="120"/>
        <w:ind w:right="437"/>
        <w:jc w:val="right"/>
        <w:rPr>
          <w:rFonts w:cs="Arial"/>
          <w:szCs w:val="24"/>
          <w:lang w:val="en-GB"/>
        </w:rPr>
      </w:pPr>
      <w:r w:rsidRPr="00AA66AF">
        <w:rPr>
          <w:rFonts w:cs="Arial"/>
          <w:szCs w:val="24"/>
          <w:lang w:val="en-GB"/>
        </w:rPr>
        <w:t>Acting Judge of the High Court</w:t>
      </w:r>
    </w:p>
    <w:p w14:paraId="27154038" w14:textId="1F0889A0" w:rsidR="002C11BA" w:rsidRDefault="002C11BA" w:rsidP="002C11BA">
      <w:pPr>
        <w:tabs>
          <w:tab w:val="left" w:pos="861"/>
        </w:tabs>
        <w:spacing w:before="120" w:after="120"/>
        <w:ind w:right="437"/>
        <w:jc w:val="right"/>
        <w:rPr>
          <w:rFonts w:cs="Arial"/>
          <w:szCs w:val="24"/>
          <w:lang w:val="en-GB"/>
        </w:rPr>
      </w:pPr>
      <w:r w:rsidRPr="00AA66AF">
        <w:rPr>
          <w:rFonts w:cs="Arial"/>
          <w:szCs w:val="24"/>
          <w:lang w:val="en-GB"/>
        </w:rPr>
        <w:t xml:space="preserve">Gauteng Division </w:t>
      </w:r>
    </w:p>
    <w:p w14:paraId="34D4DF67" w14:textId="77777777" w:rsidR="003A4AB6" w:rsidRPr="00AA66AF" w:rsidRDefault="003A4AB6" w:rsidP="002C11BA">
      <w:pPr>
        <w:tabs>
          <w:tab w:val="left" w:pos="861"/>
        </w:tabs>
        <w:spacing w:before="120" w:after="120"/>
        <w:ind w:right="437"/>
        <w:jc w:val="right"/>
        <w:rPr>
          <w:rFonts w:cs="Arial"/>
          <w:szCs w:val="24"/>
          <w:lang w:val="en-GB"/>
        </w:rPr>
      </w:pPr>
    </w:p>
    <w:p w14:paraId="6C4C696B" w14:textId="3409BE36" w:rsidR="002C11BA" w:rsidRPr="00AA66AF" w:rsidRDefault="002C11BA" w:rsidP="00A5675A">
      <w:pPr>
        <w:tabs>
          <w:tab w:val="left" w:pos="861"/>
          <w:tab w:val="left" w:pos="3969"/>
        </w:tabs>
        <w:spacing w:before="74" w:after="360" w:line="360" w:lineRule="auto"/>
        <w:ind w:right="437"/>
        <w:rPr>
          <w:rFonts w:cs="Arial"/>
          <w:szCs w:val="24"/>
          <w:lang w:val="en-GB"/>
        </w:rPr>
      </w:pPr>
      <w:r w:rsidRPr="00AA66AF">
        <w:rPr>
          <w:rFonts w:cs="Arial"/>
          <w:szCs w:val="24"/>
          <w:lang w:val="en-GB"/>
        </w:rPr>
        <w:t>Date of hearing:</w:t>
      </w:r>
      <w:r w:rsidR="00C20879">
        <w:rPr>
          <w:rFonts w:cs="Arial"/>
          <w:szCs w:val="24"/>
          <w:lang w:val="en-GB"/>
        </w:rPr>
        <w:tab/>
        <w:t>24 April 2023</w:t>
      </w:r>
    </w:p>
    <w:p w14:paraId="4115497B" w14:textId="328D3C73" w:rsidR="002C11BA" w:rsidRPr="00AA66AF" w:rsidRDefault="002C11BA" w:rsidP="00A5675A">
      <w:pPr>
        <w:tabs>
          <w:tab w:val="left" w:pos="861"/>
          <w:tab w:val="left" w:pos="3969"/>
        </w:tabs>
        <w:spacing w:before="74" w:after="360" w:line="360" w:lineRule="auto"/>
        <w:ind w:right="437"/>
        <w:rPr>
          <w:rFonts w:cs="Arial"/>
          <w:szCs w:val="24"/>
          <w:lang w:val="en-GB"/>
        </w:rPr>
      </w:pPr>
      <w:r w:rsidRPr="00AA66AF">
        <w:rPr>
          <w:rFonts w:cs="Arial"/>
          <w:szCs w:val="24"/>
          <w:lang w:val="en-GB"/>
        </w:rPr>
        <w:t>Judgment delivered:</w:t>
      </w:r>
      <w:r w:rsidR="00C20879">
        <w:rPr>
          <w:rFonts w:cs="Arial"/>
          <w:szCs w:val="24"/>
          <w:lang w:val="en-GB"/>
        </w:rPr>
        <w:tab/>
      </w:r>
      <w:r w:rsidR="002217D4">
        <w:rPr>
          <w:rFonts w:cs="Arial"/>
          <w:szCs w:val="24"/>
          <w:lang w:val="en-GB"/>
        </w:rPr>
        <w:t>2</w:t>
      </w:r>
      <w:r w:rsidR="00FD4250">
        <w:rPr>
          <w:rFonts w:cs="Arial"/>
          <w:szCs w:val="24"/>
          <w:lang w:val="en-GB"/>
        </w:rPr>
        <w:t>3</w:t>
      </w:r>
      <w:r w:rsidR="00C20879">
        <w:rPr>
          <w:rFonts w:cs="Arial"/>
          <w:szCs w:val="24"/>
          <w:lang w:val="en-GB"/>
        </w:rPr>
        <w:t xml:space="preserve"> May 2023</w:t>
      </w:r>
    </w:p>
    <w:p w14:paraId="01610975" w14:textId="6755B81B" w:rsidR="00A5675A" w:rsidRDefault="00DC507E" w:rsidP="00A5675A">
      <w:pPr>
        <w:pStyle w:val="BodyText"/>
        <w:tabs>
          <w:tab w:val="left" w:pos="3969"/>
          <w:tab w:val="left" w:pos="4536"/>
        </w:tabs>
        <w:spacing w:before="120" w:after="120"/>
        <w:ind w:left="4536" w:hanging="4536"/>
        <w:rPr>
          <w:rFonts w:cs="Arial"/>
          <w:sz w:val="24"/>
          <w:szCs w:val="24"/>
          <w:lang w:val="en-GB"/>
        </w:rPr>
      </w:pPr>
      <w:r w:rsidRPr="00AA66AF">
        <w:rPr>
          <w:rFonts w:cs="Arial"/>
          <w:sz w:val="24"/>
          <w:szCs w:val="24"/>
          <w:lang w:val="en-GB"/>
        </w:rPr>
        <w:t>Counsel</w:t>
      </w:r>
      <w:r w:rsidRPr="00AA66AF">
        <w:rPr>
          <w:rFonts w:cs="Arial"/>
          <w:spacing w:val="-2"/>
          <w:sz w:val="24"/>
          <w:szCs w:val="24"/>
          <w:lang w:val="en-GB"/>
        </w:rPr>
        <w:t xml:space="preserve"> </w:t>
      </w:r>
      <w:r w:rsidRPr="00AA66AF">
        <w:rPr>
          <w:rFonts w:cs="Arial"/>
          <w:sz w:val="24"/>
          <w:szCs w:val="24"/>
          <w:lang w:val="en-GB"/>
        </w:rPr>
        <w:t>for</w:t>
      </w:r>
      <w:r w:rsidRPr="00AA66AF">
        <w:rPr>
          <w:rFonts w:cs="Arial"/>
          <w:spacing w:val="-2"/>
          <w:sz w:val="24"/>
          <w:szCs w:val="24"/>
          <w:lang w:val="en-GB"/>
        </w:rPr>
        <w:t xml:space="preserve"> </w:t>
      </w:r>
      <w:r w:rsidRPr="00AA66AF">
        <w:rPr>
          <w:rFonts w:cs="Arial"/>
          <w:sz w:val="24"/>
          <w:szCs w:val="24"/>
          <w:lang w:val="en-GB"/>
        </w:rPr>
        <w:t>Applicant:</w:t>
      </w:r>
      <w:r w:rsidR="00C20879">
        <w:rPr>
          <w:rFonts w:cs="Arial"/>
          <w:sz w:val="24"/>
          <w:szCs w:val="24"/>
          <w:lang w:val="en-GB"/>
        </w:rPr>
        <w:tab/>
      </w:r>
      <w:r w:rsidR="00A5675A">
        <w:rPr>
          <w:rFonts w:cs="Arial"/>
          <w:sz w:val="24"/>
          <w:szCs w:val="24"/>
          <w:lang w:val="en-GB"/>
        </w:rPr>
        <w:t>V Mukwevho</w:t>
      </w:r>
    </w:p>
    <w:p w14:paraId="6AE1AF18" w14:textId="37FEA695" w:rsidR="00A5675A" w:rsidRDefault="00A5675A" w:rsidP="00A5675A">
      <w:pPr>
        <w:pStyle w:val="BodyText"/>
        <w:tabs>
          <w:tab w:val="left" w:pos="3969"/>
          <w:tab w:val="left" w:pos="4536"/>
        </w:tabs>
        <w:spacing w:before="120" w:after="120"/>
        <w:ind w:left="4536" w:hanging="4536"/>
        <w:rPr>
          <w:rFonts w:cs="Arial"/>
          <w:sz w:val="24"/>
          <w:szCs w:val="24"/>
          <w:lang w:val="en-GB"/>
        </w:rPr>
      </w:pPr>
      <w:r>
        <w:rPr>
          <w:rFonts w:cs="Arial"/>
          <w:sz w:val="24"/>
          <w:szCs w:val="24"/>
          <w:lang w:val="en-GB"/>
        </w:rPr>
        <w:tab/>
        <w:t>Duma Nokwe Advocates</w:t>
      </w:r>
      <w:r w:rsidR="00C20879">
        <w:rPr>
          <w:rFonts w:cs="Arial"/>
          <w:sz w:val="24"/>
          <w:szCs w:val="24"/>
          <w:lang w:val="en-GB"/>
        </w:rPr>
        <w:tab/>
      </w:r>
    </w:p>
    <w:p w14:paraId="4BD19DCF" w14:textId="77777777" w:rsidR="00A5675A" w:rsidRDefault="00A5675A" w:rsidP="00A5675A">
      <w:pPr>
        <w:pStyle w:val="BodyText"/>
        <w:tabs>
          <w:tab w:val="left" w:pos="3969"/>
          <w:tab w:val="left" w:pos="4536"/>
        </w:tabs>
        <w:spacing w:before="120" w:after="120"/>
        <w:ind w:left="4536" w:hanging="4536"/>
        <w:rPr>
          <w:rFonts w:cs="Arial"/>
          <w:sz w:val="24"/>
          <w:szCs w:val="24"/>
          <w:lang w:val="en-GB"/>
        </w:rPr>
      </w:pPr>
      <w:r>
        <w:rPr>
          <w:rFonts w:cs="Arial"/>
          <w:sz w:val="24"/>
          <w:szCs w:val="24"/>
          <w:lang w:val="en-GB"/>
        </w:rPr>
        <w:tab/>
        <w:t>083 313 3591</w:t>
      </w:r>
    </w:p>
    <w:p w14:paraId="2CD13222" w14:textId="7E4F93DE" w:rsidR="003C17D5" w:rsidRDefault="00A5675A" w:rsidP="00A5675A">
      <w:pPr>
        <w:pStyle w:val="BodyText"/>
        <w:tabs>
          <w:tab w:val="left" w:pos="3969"/>
          <w:tab w:val="left" w:pos="4536"/>
        </w:tabs>
        <w:spacing w:before="120" w:after="120"/>
        <w:ind w:left="4536" w:hanging="4536"/>
        <w:rPr>
          <w:rFonts w:cs="Arial"/>
          <w:sz w:val="24"/>
          <w:szCs w:val="24"/>
          <w:lang w:val="en-GB"/>
        </w:rPr>
      </w:pPr>
      <w:r>
        <w:rPr>
          <w:rFonts w:cs="Arial"/>
          <w:sz w:val="24"/>
          <w:szCs w:val="24"/>
          <w:lang w:val="en-GB"/>
        </w:rPr>
        <w:tab/>
      </w:r>
      <w:hyperlink r:id="rId9" w:history="1">
        <w:r w:rsidRPr="00626CE5">
          <w:rPr>
            <w:rStyle w:val="Hyperlink"/>
            <w:rFonts w:cs="Arial"/>
            <w:sz w:val="24"/>
            <w:szCs w:val="24"/>
            <w:lang w:val="en-GB"/>
          </w:rPr>
          <w:t>mukwevo@rsabar.co.za</w:t>
        </w:r>
      </w:hyperlink>
      <w:r>
        <w:rPr>
          <w:rFonts w:cs="Arial"/>
          <w:sz w:val="24"/>
          <w:szCs w:val="24"/>
          <w:lang w:val="en-GB"/>
        </w:rPr>
        <w:t xml:space="preserve"> </w:t>
      </w:r>
      <w:r w:rsidR="006A0872" w:rsidRPr="00AA66AF">
        <w:rPr>
          <w:rFonts w:cs="Arial"/>
          <w:sz w:val="24"/>
          <w:szCs w:val="24"/>
          <w:lang w:val="en-GB"/>
        </w:rPr>
        <w:tab/>
      </w:r>
    </w:p>
    <w:p w14:paraId="36A9572F" w14:textId="17DA3E08" w:rsidR="001F3EB6" w:rsidRDefault="00DC507E" w:rsidP="00A5675A">
      <w:pPr>
        <w:pStyle w:val="BodyText"/>
        <w:tabs>
          <w:tab w:val="left" w:pos="2835"/>
          <w:tab w:val="left" w:pos="3969"/>
          <w:tab w:val="left" w:pos="4536"/>
        </w:tabs>
        <w:spacing w:before="120" w:after="120"/>
        <w:ind w:left="4536" w:right="-28" w:hanging="4536"/>
        <w:rPr>
          <w:rFonts w:cs="Arial"/>
          <w:spacing w:val="-1"/>
          <w:sz w:val="24"/>
          <w:szCs w:val="24"/>
          <w:lang w:val="en-GB"/>
        </w:rPr>
      </w:pPr>
      <w:r w:rsidRPr="00AA66AF">
        <w:rPr>
          <w:rFonts w:cs="Arial"/>
          <w:sz w:val="24"/>
          <w:szCs w:val="24"/>
          <w:lang w:val="en-GB"/>
        </w:rPr>
        <w:t>Attorney</w:t>
      </w:r>
      <w:r w:rsidRPr="00AA66AF">
        <w:rPr>
          <w:rFonts w:cs="Arial"/>
          <w:spacing w:val="-9"/>
          <w:sz w:val="24"/>
          <w:szCs w:val="24"/>
          <w:lang w:val="en-GB"/>
        </w:rPr>
        <w:t xml:space="preserve"> </w:t>
      </w:r>
      <w:r w:rsidRPr="00AA66AF">
        <w:rPr>
          <w:rFonts w:cs="Arial"/>
          <w:sz w:val="24"/>
          <w:szCs w:val="24"/>
          <w:lang w:val="en-GB"/>
        </w:rPr>
        <w:t>for</w:t>
      </w:r>
      <w:r w:rsidRPr="00AA66AF">
        <w:rPr>
          <w:rFonts w:cs="Arial"/>
          <w:spacing w:val="-4"/>
          <w:sz w:val="24"/>
          <w:szCs w:val="24"/>
          <w:lang w:val="en-GB"/>
        </w:rPr>
        <w:t xml:space="preserve"> </w:t>
      </w:r>
      <w:r w:rsidRPr="00AA66AF">
        <w:rPr>
          <w:rFonts w:cs="Arial"/>
          <w:sz w:val="24"/>
          <w:szCs w:val="24"/>
          <w:lang w:val="en-GB"/>
        </w:rPr>
        <w:t>Applicant:</w:t>
      </w:r>
      <w:r w:rsidR="00C20879">
        <w:rPr>
          <w:rFonts w:cs="Arial"/>
          <w:spacing w:val="-1"/>
          <w:sz w:val="24"/>
          <w:szCs w:val="24"/>
          <w:lang w:val="en-GB"/>
        </w:rPr>
        <w:tab/>
      </w:r>
      <w:r w:rsidRPr="00AA66AF">
        <w:rPr>
          <w:rFonts w:cs="Arial"/>
          <w:spacing w:val="-1"/>
          <w:sz w:val="24"/>
          <w:szCs w:val="24"/>
          <w:lang w:val="en-GB"/>
        </w:rPr>
        <w:t xml:space="preserve"> </w:t>
      </w:r>
      <w:r w:rsidR="001F3EB6" w:rsidRPr="00AA66AF">
        <w:rPr>
          <w:rFonts w:cs="Arial"/>
          <w:spacing w:val="-1"/>
          <w:sz w:val="24"/>
          <w:szCs w:val="24"/>
          <w:lang w:val="en-GB"/>
        </w:rPr>
        <w:tab/>
      </w:r>
      <w:r w:rsidR="00A5675A">
        <w:rPr>
          <w:rFonts w:cs="Arial"/>
          <w:spacing w:val="-1"/>
          <w:sz w:val="24"/>
          <w:szCs w:val="24"/>
          <w:lang w:val="en-GB"/>
        </w:rPr>
        <w:t>Nethavhani Attorneys</w:t>
      </w:r>
    </w:p>
    <w:p w14:paraId="1E15FEA0" w14:textId="307BD1B6" w:rsidR="00A5675A" w:rsidRDefault="00A5675A" w:rsidP="00A5675A">
      <w:pPr>
        <w:pStyle w:val="BodyText"/>
        <w:tabs>
          <w:tab w:val="left" w:pos="2835"/>
          <w:tab w:val="left" w:pos="3969"/>
          <w:tab w:val="left" w:pos="4536"/>
        </w:tabs>
        <w:spacing w:before="120" w:after="120"/>
        <w:ind w:left="4536" w:right="-28" w:hanging="4536"/>
        <w:rPr>
          <w:rFonts w:cs="Arial"/>
          <w:spacing w:val="-1"/>
          <w:sz w:val="24"/>
          <w:szCs w:val="24"/>
          <w:lang w:val="en-GB"/>
        </w:rPr>
      </w:pPr>
      <w:r>
        <w:rPr>
          <w:rFonts w:cs="Arial"/>
          <w:spacing w:val="-1"/>
          <w:sz w:val="24"/>
          <w:szCs w:val="24"/>
          <w:lang w:val="en-GB"/>
        </w:rPr>
        <w:tab/>
      </w:r>
      <w:r>
        <w:rPr>
          <w:rFonts w:cs="Arial"/>
          <w:spacing w:val="-1"/>
          <w:sz w:val="24"/>
          <w:szCs w:val="24"/>
          <w:lang w:val="en-GB"/>
        </w:rPr>
        <w:tab/>
        <w:t>079 940 1971</w:t>
      </w:r>
    </w:p>
    <w:p w14:paraId="5698280A" w14:textId="0989D9E9" w:rsidR="00A5675A" w:rsidRPr="00AA66AF" w:rsidRDefault="00A5675A" w:rsidP="00A5675A">
      <w:pPr>
        <w:pStyle w:val="BodyText"/>
        <w:tabs>
          <w:tab w:val="left" w:pos="2835"/>
          <w:tab w:val="left" w:pos="3969"/>
          <w:tab w:val="left" w:pos="4536"/>
        </w:tabs>
        <w:spacing w:before="120" w:after="120"/>
        <w:ind w:left="4536" w:right="-28" w:hanging="4536"/>
        <w:rPr>
          <w:rFonts w:cs="Arial"/>
          <w:spacing w:val="-1"/>
          <w:sz w:val="24"/>
          <w:szCs w:val="24"/>
          <w:lang w:val="en-GB"/>
        </w:rPr>
      </w:pPr>
      <w:r>
        <w:rPr>
          <w:rFonts w:cs="Arial"/>
          <w:spacing w:val="-1"/>
          <w:sz w:val="24"/>
          <w:szCs w:val="24"/>
          <w:lang w:val="en-GB"/>
        </w:rPr>
        <w:tab/>
      </w:r>
      <w:r>
        <w:rPr>
          <w:rFonts w:cs="Arial"/>
          <w:spacing w:val="-1"/>
          <w:sz w:val="24"/>
          <w:szCs w:val="24"/>
          <w:lang w:val="en-GB"/>
        </w:rPr>
        <w:tab/>
      </w:r>
      <w:hyperlink r:id="rId10" w:history="1">
        <w:r w:rsidR="008A7417" w:rsidRPr="00626CE5">
          <w:rPr>
            <w:rStyle w:val="Hyperlink"/>
            <w:rFonts w:cs="Arial"/>
            <w:spacing w:val="-1"/>
            <w:sz w:val="24"/>
            <w:szCs w:val="24"/>
            <w:lang w:val="en-GB"/>
          </w:rPr>
          <w:t>info@nethavhaniattorneys.co.za</w:t>
        </w:r>
      </w:hyperlink>
      <w:r w:rsidR="008A7417">
        <w:rPr>
          <w:rFonts w:cs="Arial"/>
          <w:spacing w:val="-1"/>
          <w:sz w:val="24"/>
          <w:szCs w:val="24"/>
          <w:lang w:val="en-GB"/>
        </w:rPr>
        <w:t xml:space="preserve"> </w:t>
      </w:r>
    </w:p>
    <w:p w14:paraId="60A2343C" w14:textId="77777777" w:rsidR="008A7417" w:rsidRDefault="008A7417" w:rsidP="00A5675A">
      <w:pPr>
        <w:pStyle w:val="BodyText"/>
        <w:tabs>
          <w:tab w:val="left" w:pos="3969"/>
          <w:tab w:val="left" w:pos="4536"/>
        </w:tabs>
        <w:spacing w:before="120" w:after="120"/>
        <w:ind w:left="4536" w:right="-28" w:hanging="4536"/>
        <w:rPr>
          <w:rFonts w:cs="Arial"/>
          <w:spacing w:val="-1"/>
          <w:sz w:val="24"/>
          <w:szCs w:val="24"/>
          <w:lang w:val="en-GB"/>
        </w:rPr>
      </w:pPr>
    </w:p>
    <w:p w14:paraId="6795D6D1" w14:textId="005C6899" w:rsidR="003C17D5" w:rsidRDefault="00DC507E" w:rsidP="00A5675A">
      <w:pPr>
        <w:pStyle w:val="BodyText"/>
        <w:tabs>
          <w:tab w:val="left" w:pos="3969"/>
          <w:tab w:val="left" w:pos="4536"/>
        </w:tabs>
        <w:spacing w:before="120" w:after="120"/>
        <w:ind w:left="4536" w:right="-28" w:hanging="4536"/>
        <w:rPr>
          <w:rFonts w:cs="Arial"/>
          <w:sz w:val="24"/>
          <w:szCs w:val="24"/>
          <w:lang w:val="en-GB"/>
        </w:rPr>
      </w:pPr>
      <w:r w:rsidRPr="00AA66AF">
        <w:rPr>
          <w:rFonts w:cs="Arial"/>
          <w:sz w:val="24"/>
          <w:szCs w:val="24"/>
          <w:lang w:val="en-GB"/>
        </w:rPr>
        <w:t>Counsel</w:t>
      </w:r>
      <w:r w:rsidRPr="00AA66AF">
        <w:rPr>
          <w:rFonts w:cs="Arial"/>
          <w:spacing w:val="-4"/>
          <w:sz w:val="24"/>
          <w:szCs w:val="24"/>
          <w:lang w:val="en-GB"/>
        </w:rPr>
        <w:t xml:space="preserve"> </w:t>
      </w:r>
      <w:r w:rsidRPr="00AA66AF">
        <w:rPr>
          <w:rFonts w:cs="Arial"/>
          <w:sz w:val="24"/>
          <w:szCs w:val="24"/>
          <w:lang w:val="en-GB"/>
        </w:rPr>
        <w:t>for</w:t>
      </w:r>
      <w:r w:rsidRPr="00AA66AF">
        <w:rPr>
          <w:rFonts w:cs="Arial"/>
          <w:spacing w:val="-3"/>
          <w:sz w:val="24"/>
          <w:szCs w:val="24"/>
          <w:lang w:val="en-GB"/>
        </w:rPr>
        <w:t xml:space="preserve"> </w:t>
      </w:r>
      <w:r w:rsidR="00C20879">
        <w:rPr>
          <w:rFonts w:cs="Arial"/>
          <w:sz w:val="24"/>
          <w:szCs w:val="24"/>
          <w:lang w:val="en-GB"/>
        </w:rPr>
        <w:t xml:space="preserve">Third </w:t>
      </w:r>
      <w:r w:rsidRPr="00AA66AF">
        <w:rPr>
          <w:rFonts w:cs="Arial"/>
          <w:sz w:val="24"/>
          <w:szCs w:val="24"/>
          <w:lang w:val="en-GB"/>
        </w:rPr>
        <w:t>Respondent</w:t>
      </w:r>
      <w:r w:rsidR="0088764F" w:rsidRPr="00AA66AF">
        <w:rPr>
          <w:rFonts w:cs="Arial"/>
          <w:sz w:val="24"/>
          <w:szCs w:val="24"/>
          <w:lang w:val="en-GB"/>
        </w:rPr>
        <w:t>:</w:t>
      </w:r>
      <w:r w:rsidR="00A5675A">
        <w:rPr>
          <w:rFonts w:cs="Arial"/>
          <w:sz w:val="24"/>
          <w:szCs w:val="24"/>
          <w:lang w:val="en-GB"/>
        </w:rPr>
        <w:tab/>
        <w:t>E Janse van Rensburg</w:t>
      </w:r>
    </w:p>
    <w:p w14:paraId="3D27C7AA" w14:textId="2E3508CF" w:rsidR="00A5675A" w:rsidRDefault="00A5675A" w:rsidP="00A5675A">
      <w:pPr>
        <w:pStyle w:val="BodyText"/>
        <w:tabs>
          <w:tab w:val="left" w:pos="3969"/>
          <w:tab w:val="left" w:pos="4536"/>
        </w:tabs>
        <w:spacing w:before="120" w:after="120"/>
        <w:ind w:left="4536" w:right="-28" w:hanging="4536"/>
        <w:rPr>
          <w:rFonts w:cs="Arial"/>
          <w:sz w:val="24"/>
          <w:szCs w:val="24"/>
          <w:lang w:val="en-GB"/>
        </w:rPr>
      </w:pPr>
      <w:r>
        <w:rPr>
          <w:rFonts w:cs="Arial"/>
          <w:sz w:val="24"/>
          <w:szCs w:val="24"/>
          <w:lang w:val="en-GB"/>
        </w:rPr>
        <w:tab/>
        <w:t>082 579 1889</w:t>
      </w:r>
    </w:p>
    <w:p w14:paraId="6422169D" w14:textId="190DC054" w:rsidR="00A5675A" w:rsidRPr="00AA66AF" w:rsidRDefault="00A5675A" w:rsidP="00A5675A">
      <w:pPr>
        <w:pStyle w:val="BodyText"/>
        <w:tabs>
          <w:tab w:val="left" w:pos="3969"/>
          <w:tab w:val="left" w:pos="4536"/>
        </w:tabs>
        <w:spacing w:before="120" w:after="120"/>
        <w:ind w:left="4536" w:right="-28" w:hanging="4536"/>
        <w:rPr>
          <w:rFonts w:cs="Arial"/>
          <w:sz w:val="24"/>
          <w:szCs w:val="24"/>
          <w:lang w:val="en-GB"/>
        </w:rPr>
      </w:pPr>
      <w:r>
        <w:rPr>
          <w:rFonts w:cs="Arial"/>
          <w:sz w:val="24"/>
          <w:szCs w:val="24"/>
          <w:lang w:val="en-GB"/>
        </w:rPr>
        <w:tab/>
      </w:r>
      <w:hyperlink r:id="rId11" w:history="1">
        <w:r w:rsidRPr="00626CE5">
          <w:rPr>
            <w:rStyle w:val="Hyperlink"/>
            <w:rFonts w:cs="Arial"/>
            <w:sz w:val="24"/>
            <w:szCs w:val="24"/>
            <w:lang w:val="en-GB"/>
          </w:rPr>
          <w:t>eugene@law.co.za</w:t>
        </w:r>
      </w:hyperlink>
      <w:r>
        <w:rPr>
          <w:rFonts w:cs="Arial"/>
          <w:sz w:val="24"/>
          <w:szCs w:val="24"/>
          <w:lang w:val="en-GB"/>
        </w:rPr>
        <w:t xml:space="preserve"> </w:t>
      </w:r>
    </w:p>
    <w:p w14:paraId="1B8C1973" w14:textId="49BADDCE" w:rsidR="00A5675A" w:rsidRDefault="001F3EB6" w:rsidP="00A5675A">
      <w:pPr>
        <w:pStyle w:val="BodyText"/>
        <w:tabs>
          <w:tab w:val="left" w:pos="3969"/>
          <w:tab w:val="left" w:pos="4536"/>
        </w:tabs>
        <w:spacing w:before="120" w:after="120"/>
        <w:ind w:left="4536" w:right="-28" w:hanging="4536"/>
        <w:rPr>
          <w:rFonts w:cs="Arial"/>
          <w:sz w:val="24"/>
          <w:szCs w:val="24"/>
          <w:lang w:val="en-GB"/>
        </w:rPr>
      </w:pPr>
      <w:r w:rsidRPr="00AA66AF">
        <w:rPr>
          <w:rFonts w:cs="Arial"/>
          <w:sz w:val="24"/>
          <w:szCs w:val="24"/>
          <w:lang w:val="en-GB"/>
        </w:rPr>
        <w:t xml:space="preserve">Attorney for </w:t>
      </w:r>
      <w:r w:rsidR="00C20879">
        <w:rPr>
          <w:rFonts w:cs="Arial"/>
          <w:sz w:val="24"/>
          <w:szCs w:val="24"/>
          <w:lang w:val="en-GB"/>
        </w:rPr>
        <w:t xml:space="preserve">Third </w:t>
      </w:r>
      <w:r w:rsidRPr="00AA66AF">
        <w:rPr>
          <w:rFonts w:cs="Arial"/>
          <w:sz w:val="24"/>
          <w:szCs w:val="24"/>
          <w:lang w:val="en-GB"/>
        </w:rPr>
        <w:t>Respondents:</w:t>
      </w:r>
      <w:r w:rsidR="00A5675A">
        <w:rPr>
          <w:rFonts w:cs="Arial"/>
          <w:sz w:val="24"/>
          <w:szCs w:val="24"/>
          <w:lang w:val="en-GB"/>
        </w:rPr>
        <w:tab/>
        <w:t>Marius Viljoen Attorneys</w:t>
      </w:r>
    </w:p>
    <w:p w14:paraId="48379B0D" w14:textId="63A67CA1" w:rsidR="00A5675A" w:rsidRDefault="00A5675A" w:rsidP="00A5675A">
      <w:pPr>
        <w:pStyle w:val="BodyText"/>
        <w:tabs>
          <w:tab w:val="left" w:pos="3969"/>
          <w:tab w:val="left" w:pos="4536"/>
        </w:tabs>
        <w:spacing w:before="120" w:after="120"/>
        <w:ind w:left="4536" w:right="-28" w:hanging="4536"/>
        <w:rPr>
          <w:rFonts w:cs="Arial"/>
          <w:sz w:val="24"/>
          <w:szCs w:val="24"/>
          <w:lang w:val="en-GB"/>
        </w:rPr>
      </w:pPr>
      <w:r>
        <w:rPr>
          <w:rFonts w:cs="Arial"/>
          <w:sz w:val="24"/>
          <w:szCs w:val="24"/>
          <w:lang w:val="en-GB"/>
        </w:rPr>
        <w:tab/>
        <w:t>083 457 7313</w:t>
      </w:r>
    </w:p>
    <w:p w14:paraId="40FAC56B" w14:textId="5E6699BE" w:rsidR="001F3EB6" w:rsidRPr="00AA66AF" w:rsidRDefault="00A5675A" w:rsidP="00A5675A">
      <w:pPr>
        <w:pStyle w:val="BodyText"/>
        <w:tabs>
          <w:tab w:val="left" w:pos="3969"/>
          <w:tab w:val="left" w:pos="4536"/>
        </w:tabs>
        <w:spacing w:before="120" w:after="120"/>
        <w:ind w:left="4536" w:right="-28" w:hanging="4536"/>
        <w:rPr>
          <w:rFonts w:cs="Arial"/>
          <w:sz w:val="24"/>
          <w:szCs w:val="24"/>
          <w:lang w:val="en-GB"/>
        </w:rPr>
      </w:pPr>
      <w:r>
        <w:rPr>
          <w:rFonts w:cs="Arial"/>
          <w:sz w:val="24"/>
          <w:szCs w:val="24"/>
          <w:lang w:val="en-GB"/>
        </w:rPr>
        <w:tab/>
      </w:r>
      <w:hyperlink r:id="rId12" w:history="1">
        <w:r w:rsidRPr="00626CE5">
          <w:rPr>
            <w:rStyle w:val="Hyperlink"/>
            <w:rFonts w:cs="Arial"/>
            <w:sz w:val="24"/>
            <w:szCs w:val="24"/>
            <w:lang w:val="en-GB"/>
          </w:rPr>
          <w:t>mariusviljoen@absamail.co.za</w:t>
        </w:r>
      </w:hyperlink>
      <w:r>
        <w:rPr>
          <w:rFonts w:cs="Arial"/>
          <w:sz w:val="24"/>
          <w:szCs w:val="24"/>
          <w:lang w:val="en-GB"/>
        </w:rPr>
        <w:t xml:space="preserve"> </w:t>
      </w:r>
      <w:r w:rsidR="00C20879">
        <w:rPr>
          <w:rFonts w:cs="Arial"/>
          <w:sz w:val="24"/>
          <w:szCs w:val="24"/>
          <w:lang w:val="en-GB"/>
        </w:rPr>
        <w:tab/>
      </w:r>
      <w:r w:rsidR="001F3EB6" w:rsidRPr="00AA66AF">
        <w:rPr>
          <w:rFonts w:cs="Arial"/>
          <w:sz w:val="24"/>
          <w:szCs w:val="24"/>
          <w:lang w:val="en-GB"/>
        </w:rPr>
        <w:tab/>
        <w:t xml:space="preserve"> </w:t>
      </w:r>
    </w:p>
    <w:p w14:paraId="580D9068" w14:textId="77777777" w:rsidR="001F3EB6" w:rsidRPr="00AA66AF" w:rsidRDefault="001F3EB6" w:rsidP="00A5675A">
      <w:pPr>
        <w:pStyle w:val="BodyText"/>
        <w:tabs>
          <w:tab w:val="left" w:pos="4536"/>
        </w:tabs>
        <w:spacing w:before="120" w:after="120"/>
        <w:ind w:left="4536" w:right="-28" w:hanging="4536"/>
        <w:rPr>
          <w:rFonts w:cs="Arial"/>
          <w:sz w:val="24"/>
          <w:szCs w:val="24"/>
          <w:lang w:val="en-GB"/>
        </w:rPr>
      </w:pPr>
    </w:p>
    <w:sectPr w:rsidR="001F3EB6" w:rsidRPr="00AA66AF" w:rsidSect="00991491">
      <w:footerReference w:type="default" r:id="rId13"/>
      <w:pgSz w:w="11910" w:h="16840"/>
      <w:pgMar w:top="1480" w:right="1137" w:bottom="1560" w:left="130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E5279D" w14:textId="77777777" w:rsidR="003A2C38" w:rsidRDefault="003A2C38" w:rsidP="00232F72">
      <w:r>
        <w:separator/>
      </w:r>
    </w:p>
  </w:endnote>
  <w:endnote w:type="continuationSeparator" w:id="0">
    <w:p w14:paraId="3C3FFCE4" w14:textId="77777777" w:rsidR="003A2C38" w:rsidRDefault="003A2C38" w:rsidP="00232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6169438"/>
      <w:docPartObj>
        <w:docPartGallery w:val="Page Numbers (Bottom of Page)"/>
        <w:docPartUnique/>
      </w:docPartObj>
    </w:sdtPr>
    <w:sdtEndPr/>
    <w:sdtContent>
      <w:p w14:paraId="604FCD18" w14:textId="5EF2BABD" w:rsidR="00991491" w:rsidRDefault="00991491">
        <w:pPr>
          <w:pStyle w:val="Footer"/>
          <w:jc w:val="right"/>
        </w:pPr>
        <w:r>
          <w:fldChar w:fldCharType="begin"/>
        </w:r>
        <w:r>
          <w:instrText>PAGE   \* MERGEFORMAT</w:instrText>
        </w:r>
        <w:r>
          <w:fldChar w:fldCharType="separate"/>
        </w:r>
        <w:r w:rsidR="001215E4" w:rsidRPr="001215E4">
          <w:rPr>
            <w:noProof/>
            <w:lang w:val="en-GB"/>
          </w:rPr>
          <w:t>14</w:t>
        </w:r>
        <w:r>
          <w:fldChar w:fldCharType="end"/>
        </w:r>
      </w:p>
    </w:sdtContent>
  </w:sdt>
  <w:p w14:paraId="4A6F30DE" w14:textId="77777777" w:rsidR="00991491" w:rsidRDefault="009914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90CEF9" w14:textId="77777777" w:rsidR="003A2C38" w:rsidRDefault="003A2C38" w:rsidP="00232F72">
      <w:r>
        <w:separator/>
      </w:r>
    </w:p>
  </w:footnote>
  <w:footnote w:type="continuationSeparator" w:id="0">
    <w:p w14:paraId="500798C6" w14:textId="77777777" w:rsidR="003A2C38" w:rsidRDefault="003A2C38" w:rsidP="00232F72">
      <w:r>
        <w:continuationSeparator/>
      </w:r>
    </w:p>
  </w:footnote>
  <w:footnote w:id="1">
    <w:p w14:paraId="7CE040E3" w14:textId="501A3F39" w:rsidR="005549D1" w:rsidRPr="005549D1" w:rsidRDefault="005549D1">
      <w:pPr>
        <w:pStyle w:val="FootnoteText"/>
        <w:rPr>
          <w:lang w:val="en-GB"/>
        </w:rPr>
      </w:pPr>
      <w:r>
        <w:rPr>
          <w:rStyle w:val="FootnoteReference"/>
        </w:rPr>
        <w:footnoteRef/>
      </w:r>
      <w:r>
        <w:t xml:space="preserve"> </w:t>
      </w:r>
      <w:r>
        <w:rPr>
          <w:lang w:val="en-GB"/>
        </w:rPr>
        <w:tab/>
        <w:t>CaseLines section 3</w:t>
      </w:r>
    </w:p>
  </w:footnote>
  <w:footnote w:id="2">
    <w:p w14:paraId="067E3A2F" w14:textId="5534256C" w:rsidR="00870D18" w:rsidRPr="00870D18" w:rsidRDefault="00870D18">
      <w:pPr>
        <w:pStyle w:val="FootnoteText"/>
        <w:rPr>
          <w:lang w:val="en-GB"/>
        </w:rPr>
      </w:pPr>
      <w:r>
        <w:rPr>
          <w:rStyle w:val="FootnoteReference"/>
        </w:rPr>
        <w:footnoteRef/>
      </w:r>
      <w:r>
        <w:t xml:space="preserve"> </w:t>
      </w:r>
      <w:r>
        <w:rPr>
          <w:lang w:val="en-GB"/>
        </w:rPr>
        <w:tab/>
        <w:t xml:space="preserve">See Rule 49(1)(b) and (c) read with section 17 of the </w:t>
      </w:r>
      <w:r w:rsidR="00F620E1">
        <w:rPr>
          <w:lang w:val="en-GB"/>
        </w:rPr>
        <w:t>Superior Courts Act, 10 of 2013.</w:t>
      </w:r>
    </w:p>
  </w:footnote>
  <w:footnote w:id="3">
    <w:p w14:paraId="3C687F1B" w14:textId="00796002" w:rsidR="00F620E1" w:rsidRPr="00F620E1" w:rsidRDefault="00F620E1" w:rsidP="00F620E1">
      <w:pPr>
        <w:pStyle w:val="FootnoteText"/>
        <w:ind w:left="709" w:hanging="709"/>
        <w:jc w:val="both"/>
        <w:rPr>
          <w:lang w:val="en-GB"/>
        </w:rPr>
      </w:pPr>
      <w:r>
        <w:rPr>
          <w:rStyle w:val="FootnoteReference"/>
        </w:rPr>
        <w:footnoteRef/>
      </w:r>
      <w:r>
        <w:t xml:space="preserve"> </w:t>
      </w:r>
      <w:r>
        <w:rPr>
          <w:lang w:val="en-GB"/>
        </w:rPr>
        <w:tab/>
        <w:t>Commissioner, South African Revenue Service v Sprigg Investment 117 CC t/a Global Investment 2012 (4) SA 551 (SCA)</w:t>
      </w:r>
    </w:p>
  </w:footnote>
  <w:footnote w:id="4">
    <w:p w14:paraId="1A8CA277" w14:textId="7B641E39" w:rsidR="0091210C" w:rsidRPr="0091210C" w:rsidRDefault="0091210C">
      <w:pPr>
        <w:pStyle w:val="FootnoteText"/>
        <w:rPr>
          <w:lang w:val="en-GB"/>
        </w:rPr>
      </w:pPr>
      <w:r>
        <w:rPr>
          <w:rStyle w:val="FootnoteReference"/>
        </w:rPr>
        <w:footnoteRef/>
      </w:r>
      <w:r>
        <w:t xml:space="preserve"> </w:t>
      </w:r>
      <w:r>
        <w:rPr>
          <w:lang w:val="en-GB"/>
        </w:rPr>
        <w:tab/>
        <w:t>Ven</w:t>
      </w:r>
      <w:r w:rsidR="00F2442B">
        <w:rPr>
          <w:lang w:val="en-GB"/>
        </w:rPr>
        <w:t>m</w:t>
      </w:r>
      <w:r>
        <w:rPr>
          <w:lang w:val="en-GB"/>
        </w:rPr>
        <w:t>op 275 (Pty) Ltd v Cleverla</w:t>
      </w:r>
      <w:r w:rsidR="00F2442B">
        <w:rPr>
          <w:lang w:val="en-GB"/>
        </w:rPr>
        <w:t>n</w:t>
      </w:r>
      <w:r>
        <w:rPr>
          <w:lang w:val="en-GB"/>
        </w:rPr>
        <w:t>d Projects (Pty) Ltd 2016 (1) SA 78 (GJ).</w:t>
      </w:r>
    </w:p>
  </w:footnote>
  <w:footnote w:id="5">
    <w:p w14:paraId="1E053635" w14:textId="146291C5" w:rsidR="0091210C" w:rsidRPr="0091210C" w:rsidRDefault="0091210C">
      <w:pPr>
        <w:pStyle w:val="FootnoteText"/>
        <w:rPr>
          <w:lang w:val="en-GB"/>
        </w:rPr>
      </w:pPr>
      <w:r>
        <w:rPr>
          <w:rStyle w:val="FootnoteReference"/>
        </w:rPr>
        <w:footnoteRef/>
      </w:r>
      <w:r>
        <w:t xml:space="preserve"> </w:t>
      </w:r>
      <w:r>
        <w:rPr>
          <w:lang w:val="en-GB"/>
        </w:rPr>
        <w:tab/>
        <w:t>CaseLines page</w:t>
      </w:r>
      <w:r w:rsidR="00460DB4">
        <w:rPr>
          <w:lang w:val="en-GB"/>
        </w:rPr>
        <w:t>s</w:t>
      </w:r>
      <w:r>
        <w:rPr>
          <w:lang w:val="en-GB"/>
        </w:rPr>
        <w:t xml:space="preserve"> 14 – 9 to 14 – 11.</w:t>
      </w:r>
    </w:p>
  </w:footnote>
  <w:footnote w:id="6">
    <w:p w14:paraId="4E5F3FF8" w14:textId="25CB1F34" w:rsidR="00C736DB" w:rsidRPr="00CA2B54" w:rsidRDefault="00C736DB" w:rsidP="00C736DB">
      <w:pPr>
        <w:pStyle w:val="FootnoteText"/>
        <w:rPr>
          <w:lang w:val="en-GB"/>
        </w:rPr>
      </w:pPr>
      <w:r>
        <w:rPr>
          <w:rStyle w:val="FootnoteReference"/>
        </w:rPr>
        <w:footnoteRef/>
      </w:r>
      <w:r>
        <w:t xml:space="preserve"> </w:t>
      </w:r>
      <w:r>
        <w:rPr>
          <w:lang w:val="en-GB"/>
        </w:rPr>
        <w:tab/>
        <w:t xml:space="preserve">Jenkins v SA Boiler Maker, </w:t>
      </w:r>
      <w:r w:rsidRPr="00F2442B">
        <w:rPr>
          <w:lang w:val="en-GB"/>
        </w:rPr>
        <w:t>Iron &amp; Steel Workers &amp; Ship Building Society 1946 WLD 15</w:t>
      </w:r>
      <w:r w:rsidR="001F1E9A">
        <w:rPr>
          <w:lang w:val="en-GB"/>
        </w:rPr>
        <w:t>.</w:t>
      </w:r>
      <w:r>
        <w:rPr>
          <w:lang w:val="en-GB"/>
        </w:rPr>
        <w:t xml:space="preserve"> </w:t>
      </w:r>
    </w:p>
  </w:footnote>
  <w:footnote w:id="7">
    <w:p w14:paraId="5A8B56C8" w14:textId="7F8E626B" w:rsidR="00DC6BC5" w:rsidRPr="00DC6BC5" w:rsidRDefault="00DC6BC5">
      <w:pPr>
        <w:pStyle w:val="FootnoteText"/>
        <w:rPr>
          <w:lang w:val="en-GB"/>
        </w:rPr>
      </w:pPr>
      <w:r>
        <w:rPr>
          <w:rStyle w:val="FootnoteReference"/>
        </w:rPr>
        <w:footnoteRef/>
      </w:r>
      <w:r>
        <w:t xml:space="preserve"> </w:t>
      </w:r>
      <w:r>
        <w:rPr>
          <w:lang w:val="en-GB"/>
        </w:rPr>
        <w:tab/>
        <w:t>CaseLines page</w:t>
      </w:r>
      <w:r w:rsidR="00460DB4">
        <w:rPr>
          <w:lang w:val="en-GB"/>
        </w:rPr>
        <w:t>s</w:t>
      </w:r>
      <w:r>
        <w:rPr>
          <w:lang w:val="en-GB"/>
        </w:rPr>
        <w:t xml:space="preserve"> 0001 – 6 to 0001 – 13.</w:t>
      </w:r>
    </w:p>
  </w:footnote>
  <w:footnote w:id="8">
    <w:p w14:paraId="66F66115" w14:textId="1AD885B6" w:rsidR="00174F5B" w:rsidRPr="00174F5B" w:rsidRDefault="00174F5B">
      <w:pPr>
        <w:pStyle w:val="FootnoteText"/>
        <w:rPr>
          <w:lang w:val="en-GB"/>
        </w:rPr>
      </w:pPr>
      <w:r>
        <w:rPr>
          <w:rStyle w:val="FootnoteReference"/>
        </w:rPr>
        <w:footnoteRef/>
      </w:r>
      <w:r>
        <w:t xml:space="preserve"> </w:t>
      </w:r>
      <w:r>
        <w:rPr>
          <w:lang w:val="en-GB"/>
        </w:rPr>
        <w:tab/>
        <w:t>CaseLines page</w:t>
      </w:r>
      <w:r w:rsidR="00460DB4">
        <w:rPr>
          <w:lang w:val="en-GB"/>
        </w:rPr>
        <w:t>s</w:t>
      </w:r>
      <w:r>
        <w:rPr>
          <w:lang w:val="en-GB"/>
        </w:rPr>
        <w:t xml:space="preserve"> 0006 – 1 to 0006 – 10.</w:t>
      </w:r>
    </w:p>
  </w:footnote>
  <w:footnote w:id="9">
    <w:p w14:paraId="399065B8" w14:textId="5AC36069" w:rsidR="00174F5B" w:rsidRPr="00174F5B" w:rsidRDefault="00174F5B">
      <w:pPr>
        <w:pStyle w:val="FootnoteText"/>
        <w:rPr>
          <w:lang w:val="en-GB"/>
        </w:rPr>
      </w:pPr>
      <w:r>
        <w:rPr>
          <w:rStyle w:val="FootnoteReference"/>
        </w:rPr>
        <w:footnoteRef/>
      </w:r>
      <w:r>
        <w:t xml:space="preserve"> </w:t>
      </w:r>
      <w:r>
        <w:rPr>
          <w:lang w:val="en-GB"/>
        </w:rPr>
        <w:tab/>
        <w:t>CaseLines page 0014 – 20.</w:t>
      </w:r>
    </w:p>
  </w:footnote>
  <w:footnote w:id="10">
    <w:p w14:paraId="7100997B" w14:textId="505D0012" w:rsidR="00073432" w:rsidRPr="00073432" w:rsidRDefault="00073432">
      <w:pPr>
        <w:pStyle w:val="FootnoteText"/>
        <w:rPr>
          <w:lang w:val="en-GB"/>
        </w:rPr>
      </w:pPr>
      <w:r>
        <w:rPr>
          <w:rStyle w:val="FootnoteReference"/>
        </w:rPr>
        <w:footnoteRef/>
      </w:r>
      <w:r>
        <w:t xml:space="preserve"> </w:t>
      </w:r>
      <w:r>
        <w:rPr>
          <w:lang w:val="en-GB"/>
        </w:rPr>
        <w:tab/>
        <w:t>CaseLines page</w:t>
      </w:r>
      <w:r w:rsidR="00460DB4">
        <w:rPr>
          <w:lang w:val="en-GB"/>
        </w:rPr>
        <w:t>s</w:t>
      </w:r>
      <w:r>
        <w:rPr>
          <w:lang w:val="en-GB"/>
        </w:rPr>
        <w:t xml:space="preserve"> 0014.2 – 1 to </w:t>
      </w:r>
      <w:r w:rsidR="00460DB4">
        <w:rPr>
          <w:lang w:val="en-GB"/>
        </w:rPr>
        <w:t>0014.2 – 18.</w:t>
      </w:r>
    </w:p>
  </w:footnote>
  <w:footnote w:id="11">
    <w:p w14:paraId="61C7DB09" w14:textId="4EFA95A4" w:rsidR="00E96491" w:rsidRPr="00E96491" w:rsidRDefault="00E96491" w:rsidP="00E96491">
      <w:pPr>
        <w:pStyle w:val="FootnoteText"/>
        <w:ind w:left="709" w:hanging="709"/>
        <w:jc w:val="both"/>
        <w:rPr>
          <w:lang w:val="en-GB"/>
        </w:rPr>
      </w:pPr>
      <w:r>
        <w:rPr>
          <w:rStyle w:val="FootnoteReference"/>
        </w:rPr>
        <w:footnoteRef/>
      </w:r>
      <w:r>
        <w:t xml:space="preserve"> </w:t>
      </w:r>
      <w:r>
        <w:rPr>
          <w:lang w:val="en-GB"/>
        </w:rPr>
        <w:tab/>
        <w:t>See Tractor and Excavator Spares (Pty) Ltd v Groenedijk 1976 (4) SA 359 (W); NV Alina II, Transnet Limited v NV Alina II 2013 (6) SA 556 (WCC) at 563E – F.</w:t>
      </w:r>
    </w:p>
  </w:footnote>
  <w:footnote w:id="12">
    <w:p w14:paraId="76357D6C" w14:textId="6B0DF931" w:rsidR="00A9631C" w:rsidRPr="00A9631C" w:rsidRDefault="00A9631C" w:rsidP="00A9631C">
      <w:pPr>
        <w:pStyle w:val="FootnoteText"/>
        <w:ind w:left="709" w:hanging="709"/>
        <w:jc w:val="both"/>
        <w:rPr>
          <w:i/>
          <w:iCs/>
          <w:lang w:val="en-GB"/>
        </w:rPr>
      </w:pPr>
      <w:r>
        <w:rPr>
          <w:rStyle w:val="FootnoteReference"/>
        </w:rPr>
        <w:footnoteRef/>
      </w:r>
      <w:r>
        <w:t xml:space="preserve"> </w:t>
      </w:r>
      <w:r>
        <w:rPr>
          <w:lang w:val="en-GB"/>
        </w:rPr>
        <w:tab/>
        <w:t>Herbstein and van Wincent: The Civil Practice of the High Court of South Africa 5</w:t>
      </w:r>
      <w:r w:rsidRPr="00A9631C">
        <w:rPr>
          <w:vertAlign w:val="superscript"/>
          <w:lang w:val="en-GB"/>
        </w:rPr>
        <w:t>th</w:t>
      </w:r>
      <w:r>
        <w:rPr>
          <w:lang w:val="en-GB"/>
        </w:rPr>
        <w:t xml:space="preserve"> Edition Vol 2, page 983 – “</w:t>
      </w:r>
      <w:r>
        <w:rPr>
          <w:i/>
          <w:iCs/>
          <w:lang w:val="en-GB"/>
        </w:rPr>
        <w:t xml:space="preserve">costs </w:t>
      </w:r>
      <w:r w:rsidR="00A57858" w:rsidRPr="00A57858">
        <w:rPr>
          <w:rFonts w:cs="Arial"/>
          <w:i/>
          <w:iCs/>
          <w:szCs w:val="24"/>
          <w:lang w:val="en-GB"/>
        </w:rPr>
        <w:t>de bonis propriis</w:t>
      </w:r>
      <w:r w:rsidR="00A57858">
        <w:rPr>
          <w:i/>
          <w:iCs/>
          <w:lang w:val="en-GB"/>
        </w:rPr>
        <w:t xml:space="preserve">, if sought, should be specially asked for, or an application for an order for the payment of costs </w:t>
      </w:r>
      <w:r w:rsidR="00A57858" w:rsidRPr="00A57858">
        <w:rPr>
          <w:rFonts w:cs="Arial"/>
          <w:i/>
          <w:iCs/>
          <w:szCs w:val="24"/>
          <w:lang w:val="en-GB"/>
        </w:rPr>
        <w:t>de bonis propriis</w:t>
      </w:r>
      <w:r w:rsidR="00A57858">
        <w:rPr>
          <w:i/>
          <w:iCs/>
          <w:lang w:val="en-GB"/>
        </w:rPr>
        <w:t xml:space="preserve"> should be made …”. </w:t>
      </w:r>
    </w:p>
  </w:footnote>
  <w:footnote w:id="13">
    <w:p w14:paraId="0C638ECC" w14:textId="3AE6B14F" w:rsidR="00123CA4" w:rsidRPr="00123CA4" w:rsidRDefault="00123CA4" w:rsidP="00123CA4">
      <w:pPr>
        <w:pStyle w:val="FootnoteText"/>
        <w:ind w:left="709" w:hanging="709"/>
        <w:jc w:val="both"/>
        <w:rPr>
          <w:lang w:val="en-GB"/>
        </w:rPr>
      </w:pPr>
      <w:r>
        <w:rPr>
          <w:rStyle w:val="FootnoteReference"/>
        </w:rPr>
        <w:footnoteRef/>
      </w:r>
      <w:r>
        <w:t xml:space="preserve"> </w:t>
      </w:r>
      <w:r>
        <w:rPr>
          <w:lang w:val="en-GB"/>
        </w:rPr>
        <w:tab/>
        <w:t>PL du Toit N.O. and Others v Du Toit Smuts and Partners and Another (Mpumalanga High Court as per Mashile J under case number 4748/2021 – unreported judgment dated 12 April 2023</w:t>
      </w:r>
      <w:r w:rsidR="003E5214">
        <w:rPr>
          <w:lang w:val="en-GB"/>
        </w:rPr>
        <w:t>)</w:t>
      </w:r>
      <w:r>
        <w:rPr>
          <w:lang w:val="en-GB"/>
        </w:rPr>
        <w:t>.</w:t>
      </w:r>
    </w:p>
  </w:footnote>
  <w:footnote w:id="14">
    <w:p w14:paraId="763D7CDE" w14:textId="7747E6B1" w:rsidR="00A57858" w:rsidRPr="00A57858" w:rsidRDefault="00A57858">
      <w:pPr>
        <w:pStyle w:val="FootnoteText"/>
        <w:rPr>
          <w:lang w:val="en-GB"/>
        </w:rPr>
      </w:pPr>
      <w:r>
        <w:rPr>
          <w:rStyle w:val="FootnoteReference"/>
        </w:rPr>
        <w:footnoteRef/>
      </w:r>
      <w:r>
        <w:t xml:space="preserve"> </w:t>
      </w:r>
      <w:r>
        <w:rPr>
          <w:lang w:val="en-GB"/>
        </w:rPr>
        <w:tab/>
        <w:t>Herbstein Ibid page 963.</w:t>
      </w:r>
    </w:p>
  </w:footnote>
  <w:footnote w:id="15">
    <w:p w14:paraId="76A1203C" w14:textId="70A4D2B5" w:rsidR="00322FB4" w:rsidRPr="00322FB4" w:rsidRDefault="00322FB4">
      <w:pPr>
        <w:pStyle w:val="FootnoteText"/>
        <w:rPr>
          <w:lang w:val="en-GB"/>
        </w:rPr>
      </w:pPr>
      <w:r>
        <w:rPr>
          <w:rStyle w:val="FootnoteReference"/>
        </w:rPr>
        <w:footnoteRef/>
      </w:r>
      <w:r>
        <w:t xml:space="preserve"> </w:t>
      </w:r>
      <w:r>
        <w:rPr>
          <w:lang w:val="en-GB"/>
        </w:rPr>
        <w:tab/>
        <w:t xml:space="preserve">Cape and Transvaal Land and Finance Company Limited v De Villiers 1926 CPD 59. </w:t>
      </w:r>
    </w:p>
  </w:footnote>
  <w:footnote w:id="16">
    <w:p w14:paraId="4EB20411" w14:textId="77777777" w:rsidR="00520F92" w:rsidRPr="0098315A" w:rsidRDefault="00520F92" w:rsidP="00520F92">
      <w:pPr>
        <w:pStyle w:val="FootnoteText"/>
        <w:rPr>
          <w:lang w:val="en-GB"/>
        </w:rPr>
      </w:pPr>
      <w:r>
        <w:rPr>
          <w:rStyle w:val="FootnoteReference"/>
        </w:rPr>
        <w:footnoteRef/>
      </w:r>
      <w:r>
        <w:t xml:space="preserve"> </w:t>
      </w:r>
      <w:r>
        <w:rPr>
          <w:lang w:val="en-GB"/>
        </w:rPr>
        <w:tab/>
        <w:t xml:space="preserve">Regional Magistrate du Preez v Walker 1976 (4) SA 849 (A) at </w:t>
      </w:r>
      <w:r w:rsidRPr="00520F92">
        <w:rPr>
          <w:lang w:val="en-GB"/>
        </w:rPr>
        <w:t>852 – 3.</w:t>
      </w:r>
    </w:p>
  </w:footnote>
  <w:footnote w:id="17">
    <w:p w14:paraId="0040C594" w14:textId="37479103" w:rsidR="008B3F9B" w:rsidRPr="008B3F9B" w:rsidRDefault="008B3F9B">
      <w:pPr>
        <w:pStyle w:val="FootnoteText"/>
        <w:rPr>
          <w:lang w:val="en-GB"/>
        </w:rPr>
      </w:pPr>
      <w:r>
        <w:rPr>
          <w:rStyle w:val="FootnoteReference"/>
        </w:rPr>
        <w:footnoteRef/>
      </w:r>
      <w:r>
        <w:t xml:space="preserve"> </w:t>
      </w:r>
      <w:r>
        <w:rPr>
          <w:lang w:val="en-GB"/>
        </w:rPr>
        <w:tab/>
        <w:t>Herbstein Ibid pages 985 – 986.</w:t>
      </w:r>
    </w:p>
  </w:footnote>
  <w:footnote w:id="18">
    <w:p w14:paraId="68D7FCEC" w14:textId="438DF046" w:rsidR="00322FB4" w:rsidRPr="00322FB4" w:rsidRDefault="00322FB4">
      <w:pPr>
        <w:pStyle w:val="FootnoteText"/>
        <w:rPr>
          <w:lang w:val="en-GB"/>
        </w:rPr>
      </w:pPr>
      <w:r>
        <w:rPr>
          <w:rStyle w:val="FootnoteReference"/>
        </w:rPr>
        <w:footnoteRef/>
      </w:r>
      <w:r>
        <w:t xml:space="preserve"> </w:t>
      </w:r>
      <w:r>
        <w:rPr>
          <w:lang w:val="en-GB"/>
        </w:rPr>
        <w:tab/>
        <w:t>Herbstein Ibid page 818.</w:t>
      </w:r>
    </w:p>
  </w:footnote>
  <w:footnote w:id="19">
    <w:p w14:paraId="4F49D7DE" w14:textId="77777777" w:rsidR="00CF73E3" w:rsidRPr="00D15D48" w:rsidRDefault="00CF73E3" w:rsidP="00CF73E3">
      <w:pPr>
        <w:pStyle w:val="FootnoteText"/>
        <w:rPr>
          <w:lang w:val="en-GB"/>
        </w:rPr>
      </w:pPr>
      <w:r>
        <w:rPr>
          <w:rStyle w:val="FootnoteReference"/>
        </w:rPr>
        <w:footnoteRef/>
      </w:r>
      <w:r>
        <w:t xml:space="preserve"> </w:t>
      </w:r>
      <w:r>
        <w:rPr>
          <w:lang w:val="en-GB"/>
        </w:rPr>
        <w:tab/>
        <w:t>CaseLines pages 0014.8 – 1 to 0014.8 – 3, uploaded on 7 March 2023.</w:t>
      </w:r>
    </w:p>
  </w:footnote>
  <w:footnote w:id="20">
    <w:p w14:paraId="697D3CD8" w14:textId="77777777" w:rsidR="00D15D48" w:rsidRPr="00322FB4" w:rsidRDefault="00D15D48" w:rsidP="00D15D48">
      <w:pPr>
        <w:pStyle w:val="FootnoteText"/>
        <w:rPr>
          <w:lang w:val="en-GB"/>
        </w:rPr>
      </w:pPr>
      <w:r>
        <w:rPr>
          <w:rStyle w:val="FootnoteReference"/>
        </w:rPr>
        <w:footnoteRef/>
      </w:r>
      <w:r>
        <w:t xml:space="preserve"> </w:t>
      </w:r>
      <w:r>
        <w:rPr>
          <w:lang w:val="en-GB"/>
        </w:rPr>
        <w:tab/>
        <w:t>See applicant’s heads of argument, CaseLines page 0014.2 – 7.</w:t>
      </w:r>
    </w:p>
  </w:footnote>
  <w:footnote w:id="21">
    <w:p w14:paraId="602F4AC9" w14:textId="77777777" w:rsidR="00520F92" w:rsidRPr="00F448C6" w:rsidRDefault="00520F92" w:rsidP="00423D0F">
      <w:pPr>
        <w:pStyle w:val="FootnoteText"/>
        <w:ind w:left="709" w:hanging="709"/>
        <w:rPr>
          <w:lang w:val="en-GB"/>
        </w:rPr>
      </w:pPr>
      <w:r>
        <w:rPr>
          <w:rStyle w:val="FootnoteReference"/>
        </w:rPr>
        <w:footnoteRef/>
      </w:r>
      <w:r>
        <w:t xml:space="preserve"> </w:t>
      </w:r>
      <w:r>
        <w:rPr>
          <w:lang w:val="en-GB"/>
        </w:rPr>
        <w:tab/>
        <w:t xml:space="preserve">2014 (3) SA 265 (GP) at 289A – D; Erasmus Superior Court Practice, </w:t>
      </w:r>
      <w:r w:rsidRPr="00F448C6">
        <w:rPr>
          <w:rFonts w:cs="Arial"/>
          <w:szCs w:val="24"/>
          <w:lang w:val="en-GB"/>
        </w:rPr>
        <w:t>2</w:t>
      </w:r>
      <w:r w:rsidRPr="00F448C6">
        <w:rPr>
          <w:rFonts w:cs="Arial"/>
          <w:szCs w:val="24"/>
          <w:vertAlign w:val="superscript"/>
          <w:lang w:val="en-GB"/>
        </w:rPr>
        <w:t>nd</w:t>
      </w:r>
      <w:r w:rsidRPr="00F448C6">
        <w:rPr>
          <w:rFonts w:cs="Arial"/>
          <w:szCs w:val="24"/>
          <w:lang w:val="en-GB"/>
        </w:rPr>
        <w:t xml:space="preserve"> Edition</w:t>
      </w:r>
      <w:r>
        <w:rPr>
          <w:lang w:val="en-GB"/>
        </w:rPr>
        <w:t xml:space="preserve">, Volume 2, JUTA, Van Loggerenberg, page D5 – 30A to D5 – 31/32. </w:t>
      </w:r>
    </w:p>
  </w:footnote>
  <w:footnote w:id="22">
    <w:p w14:paraId="04B85D22" w14:textId="65725789" w:rsidR="002A71D4" w:rsidRPr="00BE7318" w:rsidRDefault="002A71D4" w:rsidP="002A71D4">
      <w:pPr>
        <w:pStyle w:val="FootnoteText"/>
        <w:ind w:left="709" w:hanging="709"/>
        <w:jc w:val="both"/>
        <w:rPr>
          <w:lang w:val="en-GB"/>
        </w:rPr>
      </w:pPr>
      <w:r>
        <w:rPr>
          <w:rStyle w:val="FootnoteReference"/>
        </w:rPr>
        <w:footnoteRef/>
      </w:r>
      <w:r>
        <w:t xml:space="preserve"> </w:t>
      </w:r>
      <w:r>
        <w:rPr>
          <w:lang w:val="en-GB"/>
        </w:rPr>
        <w:tab/>
      </w:r>
      <w:r>
        <w:rPr>
          <w:rFonts w:cs="Arial"/>
          <w:szCs w:val="24"/>
          <w:lang w:val="en-GB"/>
        </w:rPr>
        <w:t>Unreported judgment of Hacker v Hardman</w:t>
      </w:r>
      <w:r>
        <w:rPr>
          <w:lang w:val="en-GB"/>
        </w:rPr>
        <w:t xml:space="preserve"> 2018 JOL 40147 (ECD); (1415/2017) [2018] ZAECPEHC 15 (19 April 2018)</w:t>
      </w:r>
      <w:r w:rsidR="00BF1E9A">
        <w:rPr>
          <w:lang w:val="en-GB"/>
        </w:rPr>
        <w:t>; [14]</w:t>
      </w:r>
      <w:r>
        <w:rPr>
          <w:lang w:val="en-GB"/>
        </w:rPr>
        <w:t>.</w:t>
      </w:r>
    </w:p>
  </w:footnote>
  <w:footnote w:id="23">
    <w:p w14:paraId="76518690" w14:textId="14C83CCF" w:rsidR="009A0D92" w:rsidRPr="009A0D92" w:rsidRDefault="009A0D92">
      <w:pPr>
        <w:pStyle w:val="FootnoteText"/>
        <w:rPr>
          <w:lang w:val="en-GB"/>
        </w:rPr>
      </w:pPr>
      <w:r>
        <w:rPr>
          <w:rStyle w:val="FootnoteReference"/>
        </w:rPr>
        <w:footnoteRef/>
      </w:r>
      <w:r>
        <w:t xml:space="preserve"> </w:t>
      </w:r>
      <w:r>
        <w:rPr>
          <w:lang w:val="en-GB"/>
        </w:rPr>
        <w:tab/>
        <w:t>2016 (1) SA 78 at 87H – J.</w:t>
      </w:r>
    </w:p>
  </w:footnote>
  <w:footnote w:id="24">
    <w:p w14:paraId="5C2598E0" w14:textId="6D826531" w:rsidR="009A0D92" w:rsidRPr="009A0D92" w:rsidRDefault="009A0D92">
      <w:pPr>
        <w:pStyle w:val="FootnoteText"/>
        <w:rPr>
          <w:lang w:val="en-GB"/>
        </w:rPr>
      </w:pPr>
      <w:r>
        <w:rPr>
          <w:rStyle w:val="FootnoteReference"/>
        </w:rPr>
        <w:footnoteRef/>
      </w:r>
      <w:r>
        <w:t xml:space="preserve"> </w:t>
      </w:r>
      <w:r>
        <w:rPr>
          <w:lang w:val="en-GB"/>
        </w:rPr>
        <w:tab/>
        <w:t>A judgment in the United States Court of Appeals for the 7</w:t>
      </w:r>
      <w:r w:rsidRPr="009A0D92">
        <w:rPr>
          <w:vertAlign w:val="superscript"/>
          <w:lang w:val="en-GB"/>
        </w:rPr>
        <w:t>th</w:t>
      </w:r>
      <w:r>
        <w:rPr>
          <w:lang w:val="en-GB"/>
        </w:rPr>
        <w:t xml:space="preserve"> Circuit, 972F – D 955 (7</w:t>
      </w:r>
      <w:r w:rsidRPr="009A0D92">
        <w:rPr>
          <w:vertAlign w:val="superscript"/>
          <w:lang w:val="en-GB"/>
        </w:rPr>
        <w:t>th</w:t>
      </w:r>
      <w:r>
        <w:rPr>
          <w:lang w:val="en-GB"/>
        </w:rPr>
        <w:t xml:space="preserve"> CIR.1991) </w:t>
      </w:r>
    </w:p>
  </w:footnote>
  <w:footnote w:id="25">
    <w:p w14:paraId="2C6086DA" w14:textId="543ECCBF" w:rsidR="009A0D92" w:rsidRPr="009A0D92" w:rsidRDefault="009A0D92">
      <w:pPr>
        <w:pStyle w:val="FootnoteText"/>
        <w:rPr>
          <w:lang w:val="en-GB"/>
        </w:rPr>
      </w:pPr>
      <w:r>
        <w:rPr>
          <w:rStyle w:val="FootnoteReference"/>
        </w:rPr>
        <w:footnoteRef/>
      </w:r>
      <w:r>
        <w:t xml:space="preserve"> </w:t>
      </w:r>
      <w:r>
        <w:rPr>
          <w:lang w:val="en-GB"/>
        </w:rPr>
        <w:tab/>
        <w:t>2014 FCA 290</w:t>
      </w:r>
      <w:r w:rsidR="002A71D4">
        <w:rPr>
          <w:lang w:val="en-GB"/>
        </w:rPr>
        <w:t>, [23] – [25].</w:t>
      </w:r>
    </w:p>
  </w:footnote>
  <w:footnote w:id="26">
    <w:p w14:paraId="37D23E18" w14:textId="38F77F91" w:rsidR="00021D83" w:rsidRPr="00021D83" w:rsidRDefault="00021D83">
      <w:pPr>
        <w:pStyle w:val="FootnoteText"/>
        <w:rPr>
          <w:lang w:val="en-GB"/>
        </w:rPr>
      </w:pPr>
      <w:r>
        <w:rPr>
          <w:rStyle w:val="FootnoteReference"/>
        </w:rPr>
        <w:footnoteRef/>
      </w:r>
      <w:r>
        <w:t xml:space="preserve"> </w:t>
      </w:r>
      <w:r>
        <w:rPr>
          <w:lang w:val="en-GB"/>
        </w:rPr>
        <w:tab/>
        <w:t>2003 (6) SA 407 (SCA).</w:t>
      </w:r>
    </w:p>
  </w:footnote>
  <w:footnote w:id="27">
    <w:p w14:paraId="62F74507" w14:textId="60105767" w:rsidR="00382580" w:rsidRPr="003F15D7" w:rsidRDefault="00382580" w:rsidP="003F15D7">
      <w:pPr>
        <w:pStyle w:val="FootnoteText"/>
        <w:ind w:left="709" w:hanging="709"/>
        <w:jc w:val="both"/>
        <w:rPr>
          <w:color w:val="000000" w:themeColor="text1"/>
          <w:lang w:val="en-GB"/>
        </w:rPr>
      </w:pPr>
      <w:r>
        <w:rPr>
          <w:rStyle w:val="FootnoteReference"/>
        </w:rPr>
        <w:footnoteRef/>
      </w:r>
      <w:r>
        <w:t xml:space="preserve"> </w:t>
      </w:r>
      <w:r>
        <w:rPr>
          <w:lang w:val="en-GB"/>
        </w:rPr>
        <w:tab/>
        <w:t xml:space="preserve">Constitutional Court Directive with effect from 1 May 2023 regarding the effective and optimal use of court time during hearings in the Constitutional Court. </w:t>
      </w:r>
    </w:p>
  </w:footnote>
  <w:footnote w:id="28">
    <w:p w14:paraId="7A6BEC55" w14:textId="7CF780AB" w:rsidR="00050F58" w:rsidRPr="00050F58" w:rsidRDefault="00050F58" w:rsidP="003F15D7">
      <w:pPr>
        <w:pStyle w:val="Heading2"/>
        <w:shd w:val="clear" w:color="auto" w:fill="FFFFFF"/>
        <w:spacing w:before="0" w:beforeAutospacing="0" w:after="180" w:afterAutospacing="0"/>
        <w:rPr>
          <w:rFonts w:cs="Arial"/>
          <w:b w:val="0"/>
          <w:bCs w:val="0"/>
          <w:color w:val="64473A"/>
          <w:sz w:val="20"/>
          <w:szCs w:val="20"/>
        </w:rPr>
      </w:pPr>
      <w:r w:rsidRPr="003F15D7">
        <w:rPr>
          <w:rStyle w:val="FootnoteReference"/>
          <w:color w:val="000000" w:themeColor="text1"/>
          <w:sz w:val="20"/>
          <w:szCs w:val="20"/>
        </w:rPr>
        <w:footnoteRef/>
      </w:r>
      <w:r w:rsidR="003F15D7">
        <w:rPr>
          <w:rFonts w:cs="Arial"/>
          <w:b w:val="0"/>
          <w:bCs w:val="0"/>
          <w:color w:val="000000" w:themeColor="text1"/>
          <w:sz w:val="20"/>
          <w:szCs w:val="20"/>
        </w:rPr>
        <w:tab/>
      </w:r>
      <w:r w:rsidRPr="003F15D7">
        <w:rPr>
          <w:rFonts w:cs="Arial"/>
          <w:b w:val="0"/>
          <w:bCs w:val="0"/>
          <w:color w:val="000000" w:themeColor="text1"/>
          <w:sz w:val="20"/>
          <w:szCs w:val="20"/>
        </w:rPr>
        <w:t>(44393/2020) [2022] ZAGPJHC 566 (12 August 2022).</w:t>
      </w:r>
    </w:p>
    <w:p w14:paraId="5D08D084" w14:textId="1956763D" w:rsidR="00050F58" w:rsidRPr="00050F58" w:rsidRDefault="00050F58">
      <w:pPr>
        <w:pStyle w:val="FootnoteText"/>
        <w:rPr>
          <w:lang w:val="en-GB"/>
        </w:rPr>
      </w:pPr>
    </w:p>
  </w:footnote>
  <w:footnote w:id="29">
    <w:p w14:paraId="5FF6FFB5" w14:textId="77777777" w:rsidR="00520F92" w:rsidRPr="00B7585D" w:rsidRDefault="00520F92" w:rsidP="00520F92">
      <w:pPr>
        <w:pStyle w:val="FootnoteText"/>
        <w:rPr>
          <w:lang w:val="en-GB"/>
        </w:rPr>
      </w:pPr>
      <w:r>
        <w:rPr>
          <w:rStyle w:val="FootnoteReference"/>
        </w:rPr>
        <w:footnoteRef/>
      </w:r>
      <w:r>
        <w:t xml:space="preserve"> </w:t>
      </w:r>
      <w:r>
        <w:rPr>
          <w:lang w:val="en-GB"/>
        </w:rPr>
        <w:tab/>
        <w:t>Nel v Waterberg Landbouers Ko-operatiewe Vereeniging 1946 AD 597 at 607 – 608.</w:t>
      </w:r>
    </w:p>
  </w:footnote>
  <w:footnote w:id="30">
    <w:p w14:paraId="21BCBE17" w14:textId="77777777" w:rsidR="00520F92" w:rsidRPr="00145044" w:rsidRDefault="00520F92" w:rsidP="001F1E9A">
      <w:pPr>
        <w:pStyle w:val="FootnoteText"/>
        <w:ind w:left="709" w:hanging="709"/>
        <w:jc w:val="both"/>
        <w:rPr>
          <w:lang w:val="en-GB"/>
        </w:rPr>
      </w:pPr>
      <w:r>
        <w:rPr>
          <w:rStyle w:val="FootnoteReference"/>
        </w:rPr>
        <w:footnoteRef/>
      </w:r>
      <w:r>
        <w:t xml:space="preserve"> </w:t>
      </w:r>
      <w:r>
        <w:rPr>
          <w:lang w:val="en-GB"/>
        </w:rPr>
        <w:tab/>
        <w:t>Boost Sports Africa (Pty) Ltd v Southern African Breweries (Pty) Ltd 2015 (5) SA 38 (SCA) at para 27; applying the dicta in the matter in re Alluvial Creek Limited 1929 UCD at 535.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328DF"/>
    <w:multiLevelType w:val="hybridMultilevel"/>
    <w:tmpl w:val="44746BAA"/>
    <w:lvl w:ilvl="0" w:tplc="F3FA4166">
      <w:start w:val="2"/>
      <w:numFmt w:val="decimal"/>
      <w:lvlText w:val="(%1)"/>
      <w:lvlJc w:val="left"/>
      <w:pPr>
        <w:ind w:left="140" w:hanging="720"/>
      </w:pPr>
      <w:rPr>
        <w:rFonts w:ascii="Times New Roman" w:eastAsia="Times New Roman" w:hAnsi="Times New Roman" w:cs="Times New Roman" w:hint="default"/>
        <w:w w:val="100"/>
        <w:sz w:val="22"/>
        <w:szCs w:val="22"/>
        <w:lang w:val="en-US" w:eastAsia="en-US" w:bidi="ar-SA"/>
      </w:rPr>
    </w:lvl>
    <w:lvl w:ilvl="1" w:tplc="6DACB8C2">
      <w:numFmt w:val="bullet"/>
      <w:lvlText w:val="•"/>
      <w:lvlJc w:val="left"/>
      <w:pPr>
        <w:ind w:left="1086" w:hanging="720"/>
      </w:pPr>
      <w:rPr>
        <w:rFonts w:hint="default"/>
        <w:lang w:val="en-US" w:eastAsia="en-US" w:bidi="ar-SA"/>
      </w:rPr>
    </w:lvl>
    <w:lvl w:ilvl="2" w:tplc="8344512E">
      <w:numFmt w:val="bullet"/>
      <w:lvlText w:val="•"/>
      <w:lvlJc w:val="left"/>
      <w:pPr>
        <w:ind w:left="2033" w:hanging="720"/>
      </w:pPr>
      <w:rPr>
        <w:rFonts w:hint="default"/>
        <w:lang w:val="en-US" w:eastAsia="en-US" w:bidi="ar-SA"/>
      </w:rPr>
    </w:lvl>
    <w:lvl w:ilvl="3" w:tplc="E4F8ACA6">
      <w:numFmt w:val="bullet"/>
      <w:lvlText w:val="•"/>
      <w:lvlJc w:val="left"/>
      <w:pPr>
        <w:ind w:left="2979" w:hanging="720"/>
      </w:pPr>
      <w:rPr>
        <w:rFonts w:hint="default"/>
        <w:lang w:val="en-US" w:eastAsia="en-US" w:bidi="ar-SA"/>
      </w:rPr>
    </w:lvl>
    <w:lvl w:ilvl="4" w:tplc="E978673A">
      <w:numFmt w:val="bullet"/>
      <w:lvlText w:val="•"/>
      <w:lvlJc w:val="left"/>
      <w:pPr>
        <w:ind w:left="3926" w:hanging="720"/>
      </w:pPr>
      <w:rPr>
        <w:rFonts w:hint="default"/>
        <w:lang w:val="en-US" w:eastAsia="en-US" w:bidi="ar-SA"/>
      </w:rPr>
    </w:lvl>
    <w:lvl w:ilvl="5" w:tplc="BB3EDFBC">
      <w:numFmt w:val="bullet"/>
      <w:lvlText w:val="•"/>
      <w:lvlJc w:val="left"/>
      <w:pPr>
        <w:ind w:left="4873" w:hanging="720"/>
      </w:pPr>
      <w:rPr>
        <w:rFonts w:hint="default"/>
        <w:lang w:val="en-US" w:eastAsia="en-US" w:bidi="ar-SA"/>
      </w:rPr>
    </w:lvl>
    <w:lvl w:ilvl="6" w:tplc="BFE8B70E">
      <w:numFmt w:val="bullet"/>
      <w:lvlText w:val="•"/>
      <w:lvlJc w:val="left"/>
      <w:pPr>
        <w:ind w:left="5819" w:hanging="720"/>
      </w:pPr>
      <w:rPr>
        <w:rFonts w:hint="default"/>
        <w:lang w:val="en-US" w:eastAsia="en-US" w:bidi="ar-SA"/>
      </w:rPr>
    </w:lvl>
    <w:lvl w:ilvl="7" w:tplc="4BD81E22">
      <w:numFmt w:val="bullet"/>
      <w:lvlText w:val="•"/>
      <w:lvlJc w:val="left"/>
      <w:pPr>
        <w:ind w:left="6766" w:hanging="720"/>
      </w:pPr>
      <w:rPr>
        <w:rFonts w:hint="default"/>
        <w:lang w:val="en-US" w:eastAsia="en-US" w:bidi="ar-SA"/>
      </w:rPr>
    </w:lvl>
    <w:lvl w:ilvl="8" w:tplc="43347546">
      <w:numFmt w:val="bullet"/>
      <w:lvlText w:val="•"/>
      <w:lvlJc w:val="left"/>
      <w:pPr>
        <w:ind w:left="7713" w:hanging="720"/>
      </w:pPr>
      <w:rPr>
        <w:rFonts w:hint="default"/>
        <w:lang w:val="en-US" w:eastAsia="en-US" w:bidi="ar-SA"/>
      </w:rPr>
    </w:lvl>
  </w:abstractNum>
  <w:abstractNum w:abstractNumId="1">
    <w:nsid w:val="0CD5780A"/>
    <w:multiLevelType w:val="hybridMultilevel"/>
    <w:tmpl w:val="DB4A4F5C"/>
    <w:lvl w:ilvl="0" w:tplc="100CF99C">
      <w:start w:val="1"/>
      <w:numFmt w:val="decimal"/>
      <w:lvlText w:val="%1."/>
      <w:lvlJc w:val="left"/>
      <w:pPr>
        <w:ind w:left="140" w:hanging="720"/>
      </w:pPr>
      <w:rPr>
        <w:rFonts w:ascii="Times New Roman" w:eastAsia="Times New Roman" w:hAnsi="Times New Roman" w:cs="Times New Roman" w:hint="default"/>
        <w:w w:val="99"/>
        <w:sz w:val="26"/>
        <w:szCs w:val="26"/>
        <w:lang w:val="en-US" w:eastAsia="en-US" w:bidi="ar-SA"/>
      </w:rPr>
    </w:lvl>
    <w:lvl w:ilvl="1" w:tplc="9918B7EA">
      <w:numFmt w:val="bullet"/>
      <w:lvlText w:val="•"/>
      <w:lvlJc w:val="left"/>
      <w:pPr>
        <w:ind w:left="1086" w:hanging="720"/>
      </w:pPr>
      <w:rPr>
        <w:rFonts w:hint="default"/>
        <w:lang w:val="en-US" w:eastAsia="en-US" w:bidi="ar-SA"/>
      </w:rPr>
    </w:lvl>
    <w:lvl w:ilvl="2" w:tplc="0A62B786">
      <w:numFmt w:val="bullet"/>
      <w:lvlText w:val="•"/>
      <w:lvlJc w:val="left"/>
      <w:pPr>
        <w:ind w:left="2033" w:hanging="720"/>
      </w:pPr>
      <w:rPr>
        <w:rFonts w:hint="default"/>
        <w:lang w:val="en-US" w:eastAsia="en-US" w:bidi="ar-SA"/>
      </w:rPr>
    </w:lvl>
    <w:lvl w:ilvl="3" w:tplc="24181684">
      <w:numFmt w:val="bullet"/>
      <w:lvlText w:val="•"/>
      <w:lvlJc w:val="left"/>
      <w:pPr>
        <w:ind w:left="2979" w:hanging="720"/>
      </w:pPr>
      <w:rPr>
        <w:rFonts w:hint="default"/>
        <w:lang w:val="en-US" w:eastAsia="en-US" w:bidi="ar-SA"/>
      </w:rPr>
    </w:lvl>
    <w:lvl w:ilvl="4" w:tplc="3DFC6CF6">
      <w:numFmt w:val="bullet"/>
      <w:lvlText w:val="•"/>
      <w:lvlJc w:val="left"/>
      <w:pPr>
        <w:ind w:left="3926" w:hanging="720"/>
      </w:pPr>
      <w:rPr>
        <w:rFonts w:hint="default"/>
        <w:lang w:val="en-US" w:eastAsia="en-US" w:bidi="ar-SA"/>
      </w:rPr>
    </w:lvl>
    <w:lvl w:ilvl="5" w:tplc="80B07CB2">
      <w:numFmt w:val="bullet"/>
      <w:lvlText w:val="•"/>
      <w:lvlJc w:val="left"/>
      <w:pPr>
        <w:ind w:left="4873" w:hanging="720"/>
      </w:pPr>
      <w:rPr>
        <w:rFonts w:hint="default"/>
        <w:lang w:val="en-US" w:eastAsia="en-US" w:bidi="ar-SA"/>
      </w:rPr>
    </w:lvl>
    <w:lvl w:ilvl="6" w:tplc="2140D5C2">
      <w:numFmt w:val="bullet"/>
      <w:lvlText w:val="•"/>
      <w:lvlJc w:val="left"/>
      <w:pPr>
        <w:ind w:left="5819" w:hanging="720"/>
      </w:pPr>
      <w:rPr>
        <w:rFonts w:hint="default"/>
        <w:lang w:val="en-US" w:eastAsia="en-US" w:bidi="ar-SA"/>
      </w:rPr>
    </w:lvl>
    <w:lvl w:ilvl="7" w:tplc="EABE0CB4">
      <w:numFmt w:val="bullet"/>
      <w:lvlText w:val="•"/>
      <w:lvlJc w:val="left"/>
      <w:pPr>
        <w:ind w:left="6766" w:hanging="720"/>
      </w:pPr>
      <w:rPr>
        <w:rFonts w:hint="default"/>
        <w:lang w:val="en-US" w:eastAsia="en-US" w:bidi="ar-SA"/>
      </w:rPr>
    </w:lvl>
    <w:lvl w:ilvl="8" w:tplc="BD76D0DA">
      <w:numFmt w:val="bullet"/>
      <w:lvlText w:val="•"/>
      <w:lvlJc w:val="left"/>
      <w:pPr>
        <w:ind w:left="7713" w:hanging="720"/>
      </w:pPr>
      <w:rPr>
        <w:rFonts w:hint="default"/>
        <w:lang w:val="en-US" w:eastAsia="en-US" w:bidi="ar-SA"/>
      </w:rPr>
    </w:lvl>
  </w:abstractNum>
  <w:abstractNum w:abstractNumId="2">
    <w:nsid w:val="30C76E67"/>
    <w:multiLevelType w:val="hybridMultilevel"/>
    <w:tmpl w:val="70226352"/>
    <w:lvl w:ilvl="0" w:tplc="C3D07690">
      <w:start w:val="16"/>
      <w:numFmt w:val="decimal"/>
      <w:lvlText w:val="%1"/>
      <w:lvlJc w:val="left"/>
      <w:pPr>
        <w:ind w:left="378" w:hanging="238"/>
      </w:pPr>
      <w:rPr>
        <w:rFonts w:ascii="Times New Roman" w:eastAsia="Times New Roman" w:hAnsi="Times New Roman" w:cs="Times New Roman" w:hint="default"/>
        <w:spacing w:val="0"/>
        <w:w w:val="100"/>
        <w:position w:val="9"/>
        <w:sz w:val="17"/>
        <w:szCs w:val="17"/>
        <w:lang w:val="en-US" w:eastAsia="en-US" w:bidi="ar-SA"/>
      </w:rPr>
    </w:lvl>
    <w:lvl w:ilvl="1" w:tplc="F0F0F09C">
      <w:numFmt w:val="bullet"/>
      <w:lvlText w:val="•"/>
      <w:lvlJc w:val="left"/>
      <w:pPr>
        <w:ind w:left="1302" w:hanging="238"/>
      </w:pPr>
      <w:rPr>
        <w:rFonts w:hint="default"/>
        <w:lang w:val="en-US" w:eastAsia="en-US" w:bidi="ar-SA"/>
      </w:rPr>
    </w:lvl>
    <w:lvl w:ilvl="2" w:tplc="3A8EC2B0">
      <w:numFmt w:val="bullet"/>
      <w:lvlText w:val="•"/>
      <w:lvlJc w:val="left"/>
      <w:pPr>
        <w:ind w:left="2225" w:hanging="238"/>
      </w:pPr>
      <w:rPr>
        <w:rFonts w:hint="default"/>
        <w:lang w:val="en-US" w:eastAsia="en-US" w:bidi="ar-SA"/>
      </w:rPr>
    </w:lvl>
    <w:lvl w:ilvl="3" w:tplc="8072F4B0">
      <w:numFmt w:val="bullet"/>
      <w:lvlText w:val="•"/>
      <w:lvlJc w:val="left"/>
      <w:pPr>
        <w:ind w:left="3147" w:hanging="238"/>
      </w:pPr>
      <w:rPr>
        <w:rFonts w:hint="default"/>
        <w:lang w:val="en-US" w:eastAsia="en-US" w:bidi="ar-SA"/>
      </w:rPr>
    </w:lvl>
    <w:lvl w:ilvl="4" w:tplc="A894E8F8">
      <w:numFmt w:val="bullet"/>
      <w:lvlText w:val="•"/>
      <w:lvlJc w:val="left"/>
      <w:pPr>
        <w:ind w:left="4070" w:hanging="238"/>
      </w:pPr>
      <w:rPr>
        <w:rFonts w:hint="default"/>
        <w:lang w:val="en-US" w:eastAsia="en-US" w:bidi="ar-SA"/>
      </w:rPr>
    </w:lvl>
    <w:lvl w:ilvl="5" w:tplc="338AC0C8">
      <w:numFmt w:val="bullet"/>
      <w:lvlText w:val="•"/>
      <w:lvlJc w:val="left"/>
      <w:pPr>
        <w:ind w:left="4993" w:hanging="238"/>
      </w:pPr>
      <w:rPr>
        <w:rFonts w:hint="default"/>
        <w:lang w:val="en-US" w:eastAsia="en-US" w:bidi="ar-SA"/>
      </w:rPr>
    </w:lvl>
    <w:lvl w:ilvl="6" w:tplc="5EE035BE">
      <w:numFmt w:val="bullet"/>
      <w:lvlText w:val="•"/>
      <w:lvlJc w:val="left"/>
      <w:pPr>
        <w:ind w:left="5915" w:hanging="238"/>
      </w:pPr>
      <w:rPr>
        <w:rFonts w:hint="default"/>
        <w:lang w:val="en-US" w:eastAsia="en-US" w:bidi="ar-SA"/>
      </w:rPr>
    </w:lvl>
    <w:lvl w:ilvl="7" w:tplc="0B3C6FFC">
      <w:numFmt w:val="bullet"/>
      <w:lvlText w:val="•"/>
      <w:lvlJc w:val="left"/>
      <w:pPr>
        <w:ind w:left="6838" w:hanging="238"/>
      </w:pPr>
      <w:rPr>
        <w:rFonts w:hint="default"/>
        <w:lang w:val="en-US" w:eastAsia="en-US" w:bidi="ar-SA"/>
      </w:rPr>
    </w:lvl>
    <w:lvl w:ilvl="8" w:tplc="9272C774">
      <w:numFmt w:val="bullet"/>
      <w:lvlText w:val="•"/>
      <w:lvlJc w:val="left"/>
      <w:pPr>
        <w:ind w:left="7761" w:hanging="238"/>
      </w:pPr>
      <w:rPr>
        <w:rFonts w:hint="default"/>
        <w:lang w:val="en-US" w:eastAsia="en-US" w:bidi="ar-SA"/>
      </w:rPr>
    </w:lvl>
  </w:abstractNum>
  <w:abstractNum w:abstractNumId="3">
    <w:nsid w:val="318A3298"/>
    <w:multiLevelType w:val="hybridMultilevel"/>
    <w:tmpl w:val="679C51F4"/>
    <w:lvl w:ilvl="0" w:tplc="5AE8F68C">
      <w:start w:val="1"/>
      <w:numFmt w:val="lowerRoman"/>
      <w:lvlText w:val="(%1)"/>
      <w:lvlJc w:val="left"/>
      <w:pPr>
        <w:ind w:left="1580" w:hanging="720"/>
      </w:pPr>
      <w:rPr>
        <w:rFonts w:ascii="Times New Roman" w:eastAsia="Times New Roman" w:hAnsi="Times New Roman" w:cs="Times New Roman" w:hint="default"/>
        <w:w w:val="100"/>
        <w:sz w:val="22"/>
        <w:szCs w:val="22"/>
        <w:lang w:val="en-US" w:eastAsia="en-US" w:bidi="ar-SA"/>
      </w:rPr>
    </w:lvl>
    <w:lvl w:ilvl="1" w:tplc="178235F4">
      <w:numFmt w:val="bullet"/>
      <w:lvlText w:val="•"/>
      <w:lvlJc w:val="left"/>
      <w:pPr>
        <w:ind w:left="2382" w:hanging="720"/>
      </w:pPr>
      <w:rPr>
        <w:rFonts w:hint="default"/>
        <w:lang w:val="en-US" w:eastAsia="en-US" w:bidi="ar-SA"/>
      </w:rPr>
    </w:lvl>
    <w:lvl w:ilvl="2" w:tplc="3FCA97F0">
      <w:numFmt w:val="bullet"/>
      <w:lvlText w:val="•"/>
      <w:lvlJc w:val="left"/>
      <w:pPr>
        <w:ind w:left="3185" w:hanging="720"/>
      </w:pPr>
      <w:rPr>
        <w:rFonts w:hint="default"/>
        <w:lang w:val="en-US" w:eastAsia="en-US" w:bidi="ar-SA"/>
      </w:rPr>
    </w:lvl>
    <w:lvl w:ilvl="3" w:tplc="60E485FA">
      <w:numFmt w:val="bullet"/>
      <w:lvlText w:val="•"/>
      <w:lvlJc w:val="left"/>
      <w:pPr>
        <w:ind w:left="3987" w:hanging="720"/>
      </w:pPr>
      <w:rPr>
        <w:rFonts w:hint="default"/>
        <w:lang w:val="en-US" w:eastAsia="en-US" w:bidi="ar-SA"/>
      </w:rPr>
    </w:lvl>
    <w:lvl w:ilvl="4" w:tplc="6AFCBA00">
      <w:numFmt w:val="bullet"/>
      <w:lvlText w:val="•"/>
      <w:lvlJc w:val="left"/>
      <w:pPr>
        <w:ind w:left="4790" w:hanging="720"/>
      </w:pPr>
      <w:rPr>
        <w:rFonts w:hint="default"/>
        <w:lang w:val="en-US" w:eastAsia="en-US" w:bidi="ar-SA"/>
      </w:rPr>
    </w:lvl>
    <w:lvl w:ilvl="5" w:tplc="104215E2">
      <w:numFmt w:val="bullet"/>
      <w:lvlText w:val="•"/>
      <w:lvlJc w:val="left"/>
      <w:pPr>
        <w:ind w:left="5593" w:hanging="720"/>
      </w:pPr>
      <w:rPr>
        <w:rFonts w:hint="default"/>
        <w:lang w:val="en-US" w:eastAsia="en-US" w:bidi="ar-SA"/>
      </w:rPr>
    </w:lvl>
    <w:lvl w:ilvl="6" w:tplc="EBA4873A">
      <w:numFmt w:val="bullet"/>
      <w:lvlText w:val="•"/>
      <w:lvlJc w:val="left"/>
      <w:pPr>
        <w:ind w:left="6395" w:hanging="720"/>
      </w:pPr>
      <w:rPr>
        <w:rFonts w:hint="default"/>
        <w:lang w:val="en-US" w:eastAsia="en-US" w:bidi="ar-SA"/>
      </w:rPr>
    </w:lvl>
    <w:lvl w:ilvl="7" w:tplc="3558C26E">
      <w:numFmt w:val="bullet"/>
      <w:lvlText w:val="•"/>
      <w:lvlJc w:val="left"/>
      <w:pPr>
        <w:ind w:left="7198" w:hanging="720"/>
      </w:pPr>
      <w:rPr>
        <w:rFonts w:hint="default"/>
        <w:lang w:val="en-US" w:eastAsia="en-US" w:bidi="ar-SA"/>
      </w:rPr>
    </w:lvl>
    <w:lvl w:ilvl="8" w:tplc="A9D83104">
      <w:numFmt w:val="bullet"/>
      <w:lvlText w:val="•"/>
      <w:lvlJc w:val="left"/>
      <w:pPr>
        <w:ind w:left="8001" w:hanging="720"/>
      </w:pPr>
      <w:rPr>
        <w:rFonts w:hint="default"/>
        <w:lang w:val="en-US" w:eastAsia="en-US" w:bidi="ar-SA"/>
      </w:rPr>
    </w:lvl>
  </w:abstractNum>
  <w:abstractNum w:abstractNumId="4">
    <w:nsid w:val="3958349C"/>
    <w:multiLevelType w:val="hybridMultilevel"/>
    <w:tmpl w:val="EBFE1B30"/>
    <w:lvl w:ilvl="0" w:tplc="805CB4B2">
      <w:start w:val="2"/>
      <w:numFmt w:val="lowerLetter"/>
      <w:lvlText w:val="(%1)"/>
      <w:lvlJc w:val="left"/>
      <w:pPr>
        <w:ind w:left="1580" w:hanging="720"/>
      </w:pPr>
      <w:rPr>
        <w:rFonts w:ascii="Times New Roman" w:eastAsia="Times New Roman" w:hAnsi="Times New Roman" w:cs="Times New Roman" w:hint="default"/>
        <w:w w:val="100"/>
        <w:sz w:val="22"/>
        <w:szCs w:val="22"/>
        <w:lang w:val="en-US" w:eastAsia="en-US" w:bidi="ar-SA"/>
      </w:rPr>
    </w:lvl>
    <w:lvl w:ilvl="1" w:tplc="7F4C107C">
      <w:numFmt w:val="bullet"/>
      <w:lvlText w:val="•"/>
      <w:lvlJc w:val="left"/>
      <w:pPr>
        <w:ind w:left="2382" w:hanging="720"/>
      </w:pPr>
      <w:rPr>
        <w:rFonts w:hint="default"/>
        <w:lang w:val="en-US" w:eastAsia="en-US" w:bidi="ar-SA"/>
      </w:rPr>
    </w:lvl>
    <w:lvl w:ilvl="2" w:tplc="BBD6B5C8">
      <w:numFmt w:val="bullet"/>
      <w:lvlText w:val="•"/>
      <w:lvlJc w:val="left"/>
      <w:pPr>
        <w:ind w:left="3185" w:hanging="720"/>
      </w:pPr>
      <w:rPr>
        <w:rFonts w:hint="default"/>
        <w:lang w:val="en-US" w:eastAsia="en-US" w:bidi="ar-SA"/>
      </w:rPr>
    </w:lvl>
    <w:lvl w:ilvl="3" w:tplc="381844A4">
      <w:numFmt w:val="bullet"/>
      <w:lvlText w:val="•"/>
      <w:lvlJc w:val="left"/>
      <w:pPr>
        <w:ind w:left="3987" w:hanging="720"/>
      </w:pPr>
      <w:rPr>
        <w:rFonts w:hint="default"/>
        <w:lang w:val="en-US" w:eastAsia="en-US" w:bidi="ar-SA"/>
      </w:rPr>
    </w:lvl>
    <w:lvl w:ilvl="4" w:tplc="A04E467A">
      <w:numFmt w:val="bullet"/>
      <w:lvlText w:val="•"/>
      <w:lvlJc w:val="left"/>
      <w:pPr>
        <w:ind w:left="4790" w:hanging="720"/>
      </w:pPr>
      <w:rPr>
        <w:rFonts w:hint="default"/>
        <w:lang w:val="en-US" w:eastAsia="en-US" w:bidi="ar-SA"/>
      </w:rPr>
    </w:lvl>
    <w:lvl w:ilvl="5" w:tplc="2AA213B4">
      <w:numFmt w:val="bullet"/>
      <w:lvlText w:val="•"/>
      <w:lvlJc w:val="left"/>
      <w:pPr>
        <w:ind w:left="5593" w:hanging="720"/>
      </w:pPr>
      <w:rPr>
        <w:rFonts w:hint="default"/>
        <w:lang w:val="en-US" w:eastAsia="en-US" w:bidi="ar-SA"/>
      </w:rPr>
    </w:lvl>
    <w:lvl w:ilvl="6" w:tplc="44F4A86C">
      <w:numFmt w:val="bullet"/>
      <w:lvlText w:val="•"/>
      <w:lvlJc w:val="left"/>
      <w:pPr>
        <w:ind w:left="6395" w:hanging="720"/>
      </w:pPr>
      <w:rPr>
        <w:rFonts w:hint="default"/>
        <w:lang w:val="en-US" w:eastAsia="en-US" w:bidi="ar-SA"/>
      </w:rPr>
    </w:lvl>
    <w:lvl w:ilvl="7" w:tplc="ADDA3840">
      <w:numFmt w:val="bullet"/>
      <w:lvlText w:val="•"/>
      <w:lvlJc w:val="left"/>
      <w:pPr>
        <w:ind w:left="7198" w:hanging="720"/>
      </w:pPr>
      <w:rPr>
        <w:rFonts w:hint="default"/>
        <w:lang w:val="en-US" w:eastAsia="en-US" w:bidi="ar-SA"/>
      </w:rPr>
    </w:lvl>
    <w:lvl w:ilvl="8" w:tplc="72D824C8">
      <w:numFmt w:val="bullet"/>
      <w:lvlText w:val="•"/>
      <w:lvlJc w:val="left"/>
      <w:pPr>
        <w:ind w:left="8001" w:hanging="720"/>
      </w:pPr>
      <w:rPr>
        <w:rFonts w:hint="default"/>
        <w:lang w:val="en-US" w:eastAsia="en-US" w:bidi="ar-SA"/>
      </w:rPr>
    </w:lvl>
  </w:abstractNum>
  <w:abstractNum w:abstractNumId="5">
    <w:nsid w:val="3A1327CD"/>
    <w:multiLevelType w:val="multilevel"/>
    <w:tmpl w:val="5766637C"/>
    <w:lvl w:ilvl="0">
      <w:start w:val="3"/>
      <w:numFmt w:val="decimal"/>
      <w:lvlText w:val="%1"/>
      <w:lvlJc w:val="left"/>
      <w:pPr>
        <w:ind w:left="360" w:hanging="360"/>
      </w:pPr>
      <w:rPr>
        <w:rFonts w:hint="default"/>
        <w:sz w:val="26"/>
      </w:rPr>
    </w:lvl>
    <w:lvl w:ilvl="1">
      <w:start w:val="1"/>
      <w:numFmt w:val="decimal"/>
      <w:lvlText w:val="%1.%2"/>
      <w:lvlJc w:val="left"/>
      <w:pPr>
        <w:ind w:left="1211" w:hanging="360"/>
      </w:pPr>
      <w:rPr>
        <w:rFonts w:hint="default"/>
        <w:sz w:val="26"/>
      </w:rPr>
    </w:lvl>
    <w:lvl w:ilvl="2">
      <w:start w:val="1"/>
      <w:numFmt w:val="decimal"/>
      <w:lvlText w:val="%1.%2.%3"/>
      <w:lvlJc w:val="left"/>
      <w:pPr>
        <w:ind w:left="2422" w:hanging="720"/>
      </w:pPr>
      <w:rPr>
        <w:rFonts w:hint="default"/>
        <w:sz w:val="26"/>
      </w:rPr>
    </w:lvl>
    <w:lvl w:ilvl="3">
      <w:start w:val="1"/>
      <w:numFmt w:val="decimal"/>
      <w:lvlText w:val="%1.%2.%3.%4"/>
      <w:lvlJc w:val="left"/>
      <w:pPr>
        <w:ind w:left="3633" w:hanging="1080"/>
      </w:pPr>
      <w:rPr>
        <w:rFonts w:hint="default"/>
        <w:sz w:val="26"/>
      </w:rPr>
    </w:lvl>
    <w:lvl w:ilvl="4">
      <w:start w:val="1"/>
      <w:numFmt w:val="decimal"/>
      <w:lvlText w:val="%1.%2.%3.%4.%5"/>
      <w:lvlJc w:val="left"/>
      <w:pPr>
        <w:ind w:left="4484" w:hanging="1080"/>
      </w:pPr>
      <w:rPr>
        <w:rFonts w:hint="default"/>
        <w:sz w:val="26"/>
      </w:rPr>
    </w:lvl>
    <w:lvl w:ilvl="5">
      <w:start w:val="1"/>
      <w:numFmt w:val="decimal"/>
      <w:lvlText w:val="%1.%2.%3.%4.%5.%6"/>
      <w:lvlJc w:val="left"/>
      <w:pPr>
        <w:ind w:left="5695" w:hanging="1440"/>
      </w:pPr>
      <w:rPr>
        <w:rFonts w:hint="default"/>
        <w:sz w:val="26"/>
      </w:rPr>
    </w:lvl>
    <w:lvl w:ilvl="6">
      <w:start w:val="1"/>
      <w:numFmt w:val="decimal"/>
      <w:lvlText w:val="%1.%2.%3.%4.%5.%6.%7"/>
      <w:lvlJc w:val="left"/>
      <w:pPr>
        <w:ind w:left="6546" w:hanging="1440"/>
      </w:pPr>
      <w:rPr>
        <w:rFonts w:hint="default"/>
        <w:sz w:val="26"/>
      </w:rPr>
    </w:lvl>
    <w:lvl w:ilvl="7">
      <w:start w:val="1"/>
      <w:numFmt w:val="decimal"/>
      <w:lvlText w:val="%1.%2.%3.%4.%5.%6.%7.%8"/>
      <w:lvlJc w:val="left"/>
      <w:pPr>
        <w:ind w:left="7757" w:hanging="1800"/>
      </w:pPr>
      <w:rPr>
        <w:rFonts w:hint="default"/>
        <w:sz w:val="26"/>
      </w:rPr>
    </w:lvl>
    <w:lvl w:ilvl="8">
      <w:start w:val="1"/>
      <w:numFmt w:val="decimal"/>
      <w:lvlText w:val="%1.%2.%3.%4.%5.%6.%7.%8.%9"/>
      <w:lvlJc w:val="left"/>
      <w:pPr>
        <w:ind w:left="8608" w:hanging="1800"/>
      </w:pPr>
      <w:rPr>
        <w:rFonts w:hint="default"/>
        <w:sz w:val="26"/>
      </w:rPr>
    </w:lvl>
  </w:abstractNum>
  <w:abstractNum w:abstractNumId="6">
    <w:nsid w:val="3EB614F9"/>
    <w:multiLevelType w:val="hybridMultilevel"/>
    <w:tmpl w:val="989065EC"/>
    <w:lvl w:ilvl="0" w:tplc="A9EE98E6">
      <w:start w:val="1"/>
      <w:numFmt w:val="decimal"/>
      <w:lvlText w:val="%1."/>
      <w:lvlJc w:val="left"/>
      <w:pPr>
        <w:ind w:left="1272"/>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1" w:tplc="1DF2353A">
      <w:start w:val="1"/>
      <w:numFmt w:val="lowerLetter"/>
      <w:lvlText w:val="%2"/>
      <w:lvlJc w:val="left"/>
      <w:pPr>
        <w:ind w:left="180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2" w:tplc="66786540">
      <w:start w:val="1"/>
      <w:numFmt w:val="lowerRoman"/>
      <w:lvlText w:val="%3"/>
      <w:lvlJc w:val="left"/>
      <w:pPr>
        <w:ind w:left="252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3" w:tplc="A9080ADC">
      <w:start w:val="1"/>
      <w:numFmt w:val="decimal"/>
      <w:lvlText w:val="%4"/>
      <w:lvlJc w:val="left"/>
      <w:pPr>
        <w:ind w:left="324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4" w:tplc="0A10535E">
      <w:start w:val="1"/>
      <w:numFmt w:val="lowerLetter"/>
      <w:lvlText w:val="%5"/>
      <w:lvlJc w:val="left"/>
      <w:pPr>
        <w:ind w:left="396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5" w:tplc="C68EEAB2">
      <w:start w:val="1"/>
      <w:numFmt w:val="lowerRoman"/>
      <w:lvlText w:val="%6"/>
      <w:lvlJc w:val="left"/>
      <w:pPr>
        <w:ind w:left="468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6" w:tplc="5EF2CEB0">
      <w:start w:val="1"/>
      <w:numFmt w:val="decimal"/>
      <w:lvlText w:val="%7"/>
      <w:lvlJc w:val="left"/>
      <w:pPr>
        <w:ind w:left="540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7" w:tplc="E68E92C2">
      <w:start w:val="1"/>
      <w:numFmt w:val="lowerLetter"/>
      <w:lvlText w:val="%8"/>
      <w:lvlJc w:val="left"/>
      <w:pPr>
        <w:ind w:left="612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8" w:tplc="AA16C38E">
      <w:start w:val="1"/>
      <w:numFmt w:val="lowerRoman"/>
      <w:lvlText w:val="%9"/>
      <w:lvlJc w:val="left"/>
      <w:pPr>
        <w:ind w:left="684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abstractNum>
  <w:abstractNum w:abstractNumId="7">
    <w:nsid w:val="42161AC1"/>
    <w:multiLevelType w:val="hybridMultilevel"/>
    <w:tmpl w:val="223A7560"/>
    <w:lvl w:ilvl="0" w:tplc="65A258EE">
      <w:start w:val="1"/>
      <w:numFmt w:val="decimal"/>
      <w:lvlText w:val="%1."/>
      <w:lvlJc w:val="left"/>
      <w:pPr>
        <w:ind w:left="140" w:hanging="720"/>
      </w:pPr>
      <w:rPr>
        <w:rFonts w:ascii="Times New Roman" w:eastAsia="Times New Roman" w:hAnsi="Times New Roman" w:cs="Times New Roman" w:hint="default"/>
        <w:w w:val="99"/>
        <w:sz w:val="26"/>
        <w:szCs w:val="26"/>
        <w:lang w:val="en-US" w:eastAsia="en-US" w:bidi="ar-SA"/>
      </w:rPr>
    </w:lvl>
    <w:lvl w:ilvl="1" w:tplc="FD902CA4">
      <w:numFmt w:val="bullet"/>
      <w:lvlText w:val="•"/>
      <w:lvlJc w:val="left"/>
      <w:pPr>
        <w:ind w:left="1086" w:hanging="720"/>
      </w:pPr>
      <w:rPr>
        <w:rFonts w:hint="default"/>
        <w:lang w:val="en-US" w:eastAsia="en-US" w:bidi="ar-SA"/>
      </w:rPr>
    </w:lvl>
    <w:lvl w:ilvl="2" w:tplc="FB2434E6">
      <w:numFmt w:val="bullet"/>
      <w:lvlText w:val="•"/>
      <w:lvlJc w:val="left"/>
      <w:pPr>
        <w:ind w:left="2033" w:hanging="720"/>
      </w:pPr>
      <w:rPr>
        <w:rFonts w:hint="default"/>
        <w:lang w:val="en-US" w:eastAsia="en-US" w:bidi="ar-SA"/>
      </w:rPr>
    </w:lvl>
    <w:lvl w:ilvl="3" w:tplc="DC8A2CDA">
      <w:numFmt w:val="bullet"/>
      <w:lvlText w:val="•"/>
      <w:lvlJc w:val="left"/>
      <w:pPr>
        <w:ind w:left="2979" w:hanging="720"/>
      </w:pPr>
      <w:rPr>
        <w:rFonts w:hint="default"/>
        <w:lang w:val="en-US" w:eastAsia="en-US" w:bidi="ar-SA"/>
      </w:rPr>
    </w:lvl>
    <w:lvl w:ilvl="4" w:tplc="F93C1704">
      <w:numFmt w:val="bullet"/>
      <w:lvlText w:val="•"/>
      <w:lvlJc w:val="left"/>
      <w:pPr>
        <w:ind w:left="3926" w:hanging="720"/>
      </w:pPr>
      <w:rPr>
        <w:rFonts w:hint="default"/>
        <w:lang w:val="en-US" w:eastAsia="en-US" w:bidi="ar-SA"/>
      </w:rPr>
    </w:lvl>
    <w:lvl w:ilvl="5" w:tplc="757697C8">
      <w:numFmt w:val="bullet"/>
      <w:lvlText w:val="•"/>
      <w:lvlJc w:val="left"/>
      <w:pPr>
        <w:ind w:left="4873" w:hanging="720"/>
      </w:pPr>
      <w:rPr>
        <w:rFonts w:hint="default"/>
        <w:lang w:val="en-US" w:eastAsia="en-US" w:bidi="ar-SA"/>
      </w:rPr>
    </w:lvl>
    <w:lvl w:ilvl="6" w:tplc="61EAC222">
      <w:numFmt w:val="bullet"/>
      <w:lvlText w:val="•"/>
      <w:lvlJc w:val="left"/>
      <w:pPr>
        <w:ind w:left="5819" w:hanging="720"/>
      </w:pPr>
      <w:rPr>
        <w:rFonts w:hint="default"/>
        <w:lang w:val="en-US" w:eastAsia="en-US" w:bidi="ar-SA"/>
      </w:rPr>
    </w:lvl>
    <w:lvl w:ilvl="7" w:tplc="2EFA89A2">
      <w:numFmt w:val="bullet"/>
      <w:lvlText w:val="•"/>
      <w:lvlJc w:val="left"/>
      <w:pPr>
        <w:ind w:left="6766" w:hanging="720"/>
      </w:pPr>
      <w:rPr>
        <w:rFonts w:hint="default"/>
        <w:lang w:val="en-US" w:eastAsia="en-US" w:bidi="ar-SA"/>
      </w:rPr>
    </w:lvl>
    <w:lvl w:ilvl="8" w:tplc="B5702610">
      <w:numFmt w:val="bullet"/>
      <w:lvlText w:val="•"/>
      <w:lvlJc w:val="left"/>
      <w:pPr>
        <w:ind w:left="7713" w:hanging="720"/>
      </w:pPr>
      <w:rPr>
        <w:rFonts w:hint="default"/>
        <w:lang w:val="en-US" w:eastAsia="en-US" w:bidi="ar-SA"/>
      </w:rPr>
    </w:lvl>
  </w:abstractNum>
  <w:abstractNum w:abstractNumId="8">
    <w:nsid w:val="4C046D23"/>
    <w:multiLevelType w:val="hybridMultilevel"/>
    <w:tmpl w:val="45DED0CA"/>
    <w:lvl w:ilvl="0" w:tplc="79BA5854">
      <w:start w:val="42"/>
      <w:numFmt w:val="decimal"/>
      <w:lvlText w:val="[%1]"/>
      <w:lvlJc w:val="left"/>
      <w:pPr>
        <w:ind w:left="140" w:hanging="720"/>
      </w:pPr>
      <w:rPr>
        <w:rFonts w:hint="default"/>
        <w:spacing w:val="0"/>
        <w:w w:val="99"/>
        <w:lang w:val="en-US" w:eastAsia="en-US" w:bidi="ar-SA"/>
      </w:rPr>
    </w:lvl>
    <w:lvl w:ilvl="1" w:tplc="E8BE7638">
      <w:start w:val="1"/>
      <w:numFmt w:val="decimal"/>
      <w:lvlText w:val="%2."/>
      <w:lvlJc w:val="left"/>
      <w:pPr>
        <w:ind w:left="1580" w:hanging="720"/>
      </w:pPr>
      <w:rPr>
        <w:rFonts w:ascii="Times New Roman" w:eastAsia="Times New Roman" w:hAnsi="Times New Roman" w:cs="Times New Roman" w:hint="default"/>
        <w:w w:val="100"/>
        <w:sz w:val="22"/>
        <w:szCs w:val="22"/>
        <w:lang w:val="en-US" w:eastAsia="en-US" w:bidi="ar-SA"/>
      </w:rPr>
    </w:lvl>
    <w:lvl w:ilvl="2" w:tplc="A880BC66">
      <w:numFmt w:val="bullet"/>
      <w:lvlText w:val="•"/>
      <w:lvlJc w:val="left"/>
      <w:pPr>
        <w:ind w:left="1580" w:hanging="720"/>
      </w:pPr>
      <w:rPr>
        <w:rFonts w:hint="default"/>
        <w:lang w:val="en-US" w:eastAsia="en-US" w:bidi="ar-SA"/>
      </w:rPr>
    </w:lvl>
    <w:lvl w:ilvl="3" w:tplc="4F26BD9C">
      <w:numFmt w:val="bullet"/>
      <w:lvlText w:val="•"/>
      <w:lvlJc w:val="left"/>
      <w:pPr>
        <w:ind w:left="2583" w:hanging="720"/>
      </w:pPr>
      <w:rPr>
        <w:rFonts w:hint="default"/>
        <w:lang w:val="en-US" w:eastAsia="en-US" w:bidi="ar-SA"/>
      </w:rPr>
    </w:lvl>
    <w:lvl w:ilvl="4" w:tplc="AA8083DE">
      <w:numFmt w:val="bullet"/>
      <w:lvlText w:val="•"/>
      <w:lvlJc w:val="left"/>
      <w:pPr>
        <w:ind w:left="3586" w:hanging="720"/>
      </w:pPr>
      <w:rPr>
        <w:rFonts w:hint="default"/>
        <w:lang w:val="en-US" w:eastAsia="en-US" w:bidi="ar-SA"/>
      </w:rPr>
    </w:lvl>
    <w:lvl w:ilvl="5" w:tplc="46E4241C">
      <w:numFmt w:val="bullet"/>
      <w:lvlText w:val="•"/>
      <w:lvlJc w:val="left"/>
      <w:pPr>
        <w:ind w:left="4589" w:hanging="720"/>
      </w:pPr>
      <w:rPr>
        <w:rFonts w:hint="default"/>
        <w:lang w:val="en-US" w:eastAsia="en-US" w:bidi="ar-SA"/>
      </w:rPr>
    </w:lvl>
    <w:lvl w:ilvl="6" w:tplc="8DA6A17E">
      <w:numFmt w:val="bullet"/>
      <w:lvlText w:val="•"/>
      <w:lvlJc w:val="left"/>
      <w:pPr>
        <w:ind w:left="5593" w:hanging="720"/>
      </w:pPr>
      <w:rPr>
        <w:rFonts w:hint="default"/>
        <w:lang w:val="en-US" w:eastAsia="en-US" w:bidi="ar-SA"/>
      </w:rPr>
    </w:lvl>
    <w:lvl w:ilvl="7" w:tplc="C6F09468">
      <w:numFmt w:val="bullet"/>
      <w:lvlText w:val="•"/>
      <w:lvlJc w:val="left"/>
      <w:pPr>
        <w:ind w:left="6596" w:hanging="720"/>
      </w:pPr>
      <w:rPr>
        <w:rFonts w:hint="default"/>
        <w:lang w:val="en-US" w:eastAsia="en-US" w:bidi="ar-SA"/>
      </w:rPr>
    </w:lvl>
    <w:lvl w:ilvl="8" w:tplc="D98A3D9A">
      <w:numFmt w:val="bullet"/>
      <w:lvlText w:val="•"/>
      <w:lvlJc w:val="left"/>
      <w:pPr>
        <w:ind w:left="7599" w:hanging="720"/>
      </w:pPr>
      <w:rPr>
        <w:rFonts w:hint="default"/>
        <w:lang w:val="en-US" w:eastAsia="en-US" w:bidi="ar-SA"/>
      </w:rPr>
    </w:lvl>
  </w:abstractNum>
  <w:abstractNum w:abstractNumId="9">
    <w:nsid w:val="56A24780"/>
    <w:multiLevelType w:val="multilevel"/>
    <w:tmpl w:val="5DFAD67C"/>
    <w:lvl w:ilvl="0">
      <w:start w:val="6"/>
      <w:numFmt w:val="decimal"/>
      <w:lvlText w:val="%1"/>
      <w:lvlJc w:val="left"/>
      <w:pPr>
        <w:ind w:left="2408" w:hanging="1136"/>
      </w:pPr>
      <w:rPr>
        <w:rFonts w:hint="default"/>
        <w:lang w:val="en-US" w:eastAsia="en-US" w:bidi="ar-SA"/>
      </w:rPr>
    </w:lvl>
    <w:lvl w:ilvl="1">
      <w:start w:val="5"/>
      <w:numFmt w:val="decimal"/>
      <w:lvlText w:val="%1.%2"/>
      <w:lvlJc w:val="left"/>
      <w:pPr>
        <w:ind w:left="2408" w:hanging="1136"/>
      </w:pPr>
      <w:rPr>
        <w:rFonts w:hint="default"/>
        <w:lang w:val="en-US" w:eastAsia="en-US" w:bidi="ar-SA"/>
      </w:rPr>
    </w:lvl>
    <w:lvl w:ilvl="2">
      <w:start w:val="23"/>
      <w:numFmt w:val="decimal"/>
      <w:lvlText w:val="%1.%2.%3"/>
      <w:lvlJc w:val="left"/>
      <w:pPr>
        <w:ind w:left="2408" w:hanging="1136"/>
      </w:pPr>
      <w:rPr>
        <w:rFonts w:ascii="Times New Roman" w:eastAsia="Times New Roman" w:hAnsi="Times New Roman" w:cs="Times New Roman" w:hint="default"/>
        <w:i/>
        <w:iCs/>
        <w:spacing w:val="-2"/>
        <w:w w:val="99"/>
        <w:sz w:val="20"/>
        <w:szCs w:val="20"/>
        <w:lang w:val="en-US" w:eastAsia="en-US" w:bidi="ar-SA"/>
      </w:rPr>
    </w:lvl>
    <w:lvl w:ilvl="3">
      <w:numFmt w:val="bullet"/>
      <w:lvlText w:val="•"/>
      <w:lvlJc w:val="left"/>
      <w:pPr>
        <w:ind w:left="4561" w:hanging="1136"/>
      </w:pPr>
      <w:rPr>
        <w:rFonts w:hint="default"/>
        <w:lang w:val="en-US" w:eastAsia="en-US" w:bidi="ar-SA"/>
      </w:rPr>
    </w:lvl>
    <w:lvl w:ilvl="4">
      <w:numFmt w:val="bullet"/>
      <w:lvlText w:val="•"/>
      <w:lvlJc w:val="left"/>
      <w:pPr>
        <w:ind w:left="5282" w:hanging="1136"/>
      </w:pPr>
      <w:rPr>
        <w:rFonts w:hint="default"/>
        <w:lang w:val="en-US" w:eastAsia="en-US" w:bidi="ar-SA"/>
      </w:rPr>
    </w:lvl>
    <w:lvl w:ilvl="5">
      <w:numFmt w:val="bullet"/>
      <w:lvlText w:val="•"/>
      <w:lvlJc w:val="left"/>
      <w:pPr>
        <w:ind w:left="6003" w:hanging="1136"/>
      </w:pPr>
      <w:rPr>
        <w:rFonts w:hint="default"/>
        <w:lang w:val="en-US" w:eastAsia="en-US" w:bidi="ar-SA"/>
      </w:rPr>
    </w:lvl>
    <w:lvl w:ilvl="6">
      <w:numFmt w:val="bullet"/>
      <w:lvlText w:val="•"/>
      <w:lvlJc w:val="left"/>
      <w:pPr>
        <w:ind w:left="6723" w:hanging="1136"/>
      </w:pPr>
      <w:rPr>
        <w:rFonts w:hint="default"/>
        <w:lang w:val="en-US" w:eastAsia="en-US" w:bidi="ar-SA"/>
      </w:rPr>
    </w:lvl>
    <w:lvl w:ilvl="7">
      <w:numFmt w:val="bullet"/>
      <w:lvlText w:val="•"/>
      <w:lvlJc w:val="left"/>
      <w:pPr>
        <w:ind w:left="7444" w:hanging="1136"/>
      </w:pPr>
      <w:rPr>
        <w:rFonts w:hint="default"/>
        <w:lang w:val="en-US" w:eastAsia="en-US" w:bidi="ar-SA"/>
      </w:rPr>
    </w:lvl>
    <w:lvl w:ilvl="8">
      <w:numFmt w:val="bullet"/>
      <w:lvlText w:val="•"/>
      <w:lvlJc w:val="left"/>
      <w:pPr>
        <w:ind w:left="8165" w:hanging="1136"/>
      </w:pPr>
      <w:rPr>
        <w:rFonts w:hint="default"/>
        <w:lang w:val="en-US" w:eastAsia="en-US" w:bidi="ar-SA"/>
      </w:rPr>
    </w:lvl>
  </w:abstractNum>
  <w:abstractNum w:abstractNumId="10">
    <w:nsid w:val="58C41935"/>
    <w:multiLevelType w:val="hybridMultilevel"/>
    <w:tmpl w:val="8736B932"/>
    <w:lvl w:ilvl="0" w:tplc="2E7460AC">
      <w:start w:val="1"/>
      <w:numFmt w:val="decimal"/>
      <w:lvlText w:val="3.%1"/>
      <w:lvlJc w:val="left"/>
      <w:pPr>
        <w:ind w:left="720" w:hanging="360"/>
      </w:pPr>
      <w:rPr>
        <w:rFonts w:hint="default"/>
        <w:b w:val="0"/>
        <w:bCs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5D7E052C"/>
    <w:multiLevelType w:val="multilevel"/>
    <w:tmpl w:val="678A7486"/>
    <w:lvl w:ilvl="0">
      <w:start w:val="1"/>
      <w:numFmt w:val="decimal"/>
      <w:lvlText w:val="%1."/>
      <w:lvlJc w:val="left"/>
      <w:pPr>
        <w:tabs>
          <w:tab w:val="num" w:pos="851"/>
        </w:tabs>
        <w:ind w:left="851" w:hanging="851"/>
      </w:pPr>
      <w:rPr>
        <w:rFonts w:hint="default"/>
        <w:spacing w:val="0"/>
        <w:w w:val="99"/>
        <w:sz w:val="24"/>
        <w:szCs w:val="24"/>
        <w:lang w:val="en-US" w:eastAsia="en-US" w:bidi="ar-SA"/>
      </w:rPr>
    </w:lvl>
    <w:lvl w:ilvl="1">
      <w:start w:val="1"/>
      <w:numFmt w:val="decimal"/>
      <w:lvlText w:val="%1.%2."/>
      <w:lvlJc w:val="left"/>
      <w:pPr>
        <w:tabs>
          <w:tab w:val="num" w:pos="1701"/>
        </w:tabs>
        <w:ind w:left="1701" w:hanging="850"/>
      </w:pPr>
      <w:rPr>
        <w:rFonts w:hint="default"/>
        <w:lang w:val="en-US" w:eastAsia="en-US" w:bidi="ar-SA"/>
      </w:rPr>
    </w:lvl>
    <w:lvl w:ilvl="2">
      <w:start w:val="1"/>
      <w:numFmt w:val="decimal"/>
      <w:lvlText w:val="%1.%2.%3."/>
      <w:lvlJc w:val="left"/>
      <w:pPr>
        <w:tabs>
          <w:tab w:val="num" w:pos="2835"/>
        </w:tabs>
        <w:ind w:left="2835" w:hanging="1134"/>
      </w:pPr>
      <w:rPr>
        <w:rFonts w:hint="default"/>
        <w:lang w:val="en-US" w:eastAsia="en-US" w:bidi="ar-SA"/>
      </w:rPr>
    </w:lvl>
    <w:lvl w:ilvl="3">
      <w:start w:val="1"/>
      <w:numFmt w:val="decimal"/>
      <w:lvlText w:val="%1.%2.%3.%4."/>
      <w:lvlJc w:val="left"/>
      <w:pPr>
        <w:tabs>
          <w:tab w:val="num" w:pos="4536"/>
        </w:tabs>
        <w:ind w:left="4536" w:hanging="1701"/>
      </w:pPr>
      <w:rPr>
        <w:rFonts w:hint="default"/>
        <w:lang w:val="en-US" w:eastAsia="en-US" w:bidi="ar-SA"/>
      </w:rPr>
    </w:lvl>
    <w:lvl w:ilvl="4">
      <w:start w:val="1"/>
      <w:numFmt w:val="decimal"/>
      <w:lvlText w:val="%1.%2.%3.%4.%5."/>
      <w:lvlJc w:val="left"/>
      <w:pPr>
        <w:ind w:left="2232" w:hanging="792"/>
      </w:pPr>
      <w:rPr>
        <w:rFonts w:hint="default"/>
        <w:lang w:val="en-US" w:eastAsia="en-US" w:bidi="ar-SA"/>
      </w:rPr>
    </w:lvl>
    <w:lvl w:ilvl="5">
      <w:start w:val="1"/>
      <w:numFmt w:val="decimal"/>
      <w:lvlText w:val="%1.%2.%3.%4.%5.%6."/>
      <w:lvlJc w:val="left"/>
      <w:pPr>
        <w:ind w:left="2736" w:hanging="936"/>
      </w:pPr>
      <w:rPr>
        <w:rFonts w:hint="default"/>
        <w:lang w:val="en-US" w:eastAsia="en-US" w:bidi="ar-SA"/>
      </w:rPr>
    </w:lvl>
    <w:lvl w:ilvl="6">
      <w:start w:val="1"/>
      <w:numFmt w:val="decimal"/>
      <w:lvlText w:val="%1.%2.%3.%4.%5.%6.%7."/>
      <w:lvlJc w:val="left"/>
      <w:pPr>
        <w:ind w:left="3240" w:hanging="1080"/>
      </w:pPr>
      <w:rPr>
        <w:rFonts w:hint="default"/>
        <w:lang w:val="en-US" w:eastAsia="en-US" w:bidi="ar-SA"/>
      </w:rPr>
    </w:lvl>
    <w:lvl w:ilvl="7">
      <w:start w:val="1"/>
      <w:numFmt w:val="decimal"/>
      <w:lvlText w:val="%1.%2.%3.%4.%5.%6.%7.%8."/>
      <w:lvlJc w:val="left"/>
      <w:pPr>
        <w:ind w:left="3744" w:hanging="1224"/>
      </w:pPr>
      <w:rPr>
        <w:rFonts w:hint="default"/>
        <w:lang w:val="en-US" w:eastAsia="en-US" w:bidi="ar-SA"/>
      </w:rPr>
    </w:lvl>
    <w:lvl w:ilvl="8">
      <w:start w:val="1"/>
      <w:numFmt w:val="decimal"/>
      <w:lvlText w:val="%1.%2.%3.%4.%5.%6.%7.%8.%9."/>
      <w:lvlJc w:val="left"/>
      <w:pPr>
        <w:ind w:left="4320" w:hanging="1440"/>
      </w:pPr>
      <w:rPr>
        <w:rFonts w:hint="default"/>
        <w:lang w:val="en-US" w:eastAsia="en-US" w:bidi="ar-SA"/>
      </w:rPr>
    </w:lvl>
  </w:abstractNum>
  <w:abstractNum w:abstractNumId="12">
    <w:nsid w:val="6388187D"/>
    <w:multiLevelType w:val="hybridMultilevel"/>
    <w:tmpl w:val="EB28114A"/>
    <w:lvl w:ilvl="0" w:tplc="C2BAD668">
      <w:start w:val="1"/>
      <w:numFmt w:val="lowerRoman"/>
      <w:lvlText w:val="(%1)"/>
      <w:lvlJc w:val="left"/>
      <w:pPr>
        <w:ind w:left="2988" w:hanging="720"/>
      </w:pPr>
      <w:rPr>
        <w:rFonts w:eastAsia="Arial" w:cs="Arial" w:hint="default"/>
        <w:i/>
        <w:sz w:val="22"/>
      </w:rPr>
    </w:lvl>
    <w:lvl w:ilvl="1" w:tplc="1C090019" w:tentative="1">
      <w:start w:val="1"/>
      <w:numFmt w:val="lowerLetter"/>
      <w:lvlText w:val="%2."/>
      <w:lvlJc w:val="left"/>
      <w:pPr>
        <w:ind w:left="3348" w:hanging="360"/>
      </w:pPr>
    </w:lvl>
    <w:lvl w:ilvl="2" w:tplc="1C09001B" w:tentative="1">
      <w:start w:val="1"/>
      <w:numFmt w:val="lowerRoman"/>
      <w:lvlText w:val="%3."/>
      <w:lvlJc w:val="right"/>
      <w:pPr>
        <w:ind w:left="4068" w:hanging="180"/>
      </w:pPr>
    </w:lvl>
    <w:lvl w:ilvl="3" w:tplc="1C09000F" w:tentative="1">
      <w:start w:val="1"/>
      <w:numFmt w:val="decimal"/>
      <w:lvlText w:val="%4."/>
      <w:lvlJc w:val="left"/>
      <w:pPr>
        <w:ind w:left="4788" w:hanging="360"/>
      </w:pPr>
    </w:lvl>
    <w:lvl w:ilvl="4" w:tplc="1C090019" w:tentative="1">
      <w:start w:val="1"/>
      <w:numFmt w:val="lowerLetter"/>
      <w:lvlText w:val="%5."/>
      <w:lvlJc w:val="left"/>
      <w:pPr>
        <w:ind w:left="5508" w:hanging="360"/>
      </w:pPr>
    </w:lvl>
    <w:lvl w:ilvl="5" w:tplc="1C09001B" w:tentative="1">
      <w:start w:val="1"/>
      <w:numFmt w:val="lowerRoman"/>
      <w:lvlText w:val="%6."/>
      <w:lvlJc w:val="right"/>
      <w:pPr>
        <w:ind w:left="6228" w:hanging="180"/>
      </w:pPr>
    </w:lvl>
    <w:lvl w:ilvl="6" w:tplc="1C09000F" w:tentative="1">
      <w:start w:val="1"/>
      <w:numFmt w:val="decimal"/>
      <w:lvlText w:val="%7."/>
      <w:lvlJc w:val="left"/>
      <w:pPr>
        <w:ind w:left="6948" w:hanging="360"/>
      </w:pPr>
    </w:lvl>
    <w:lvl w:ilvl="7" w:tplc="1C090019" w:tentative="1">
      <w:start w:val="1"/>
      <w:numFmt w:val="lowerLetter"/>
      <w:lvlText w:val="%8."/>
      <w:lvlJc w:val="left"/>
      <w:pPr>
        <w:ind w:left="7668" w:hanging="360"/>
      </w:pPr>
    </w:lvl>
    <w:lvl w:ilvl="8" w:tplc="1C09001B" w:tentative="1">
      <w:start w:val="1"/>
      <w:numFmt w:val="lowerRoman"/>
      <w:lvlText w:val="%9."/>
      <w:lvlJc w:val="right"/>
      <w:pPr>
        <w:ind w:left="8388" w:hanging="180"/>
      </w:pPr>
    </w:lvl>
  </w:abstractNum>
  <w:abstractNum w:abstractNumId="13">
    <w:nsid w:val="65897CDD"/>
    <w:multiLevelType w:val="multilevel"/>
    <w:tmpl w:val="E11ED2B0"/>
    <w:lvl w:ilvl="0">
      <w:start w:val="6"/>
      <w:numFmt w:val="decimal"/>
      <w:lvlText w:val="%1"/>
      <w:lvlJc w:val="left"/>
      <w:pPr>
        <w:ind w:left="2408" w:hanging="1136"/>
      </w:pPr>
      <w:rPr>
        <w:rFonts w:hint="default"/>
        <w:lang w:val="en-US" w:eastAsia="en-US" w:bidi="ar-SA"/>
      </w:rPr>
    </w:lvl>
    <w:lvl w:ilvl="1">
      <w:start w:val="5"/>
      <w:numFmt w:val="decimal"/>
      <w:lvlText w:val="%1.%2"/>
      <w:lvlJc w:val="left"/>
      <w:pPr>
        <w:ind w:left="2408" w:hanging="1136"/>
      </w:pPr>
      <w:rPr>
        <w:rFonts w:hint="default"/>
        <w:lang w:val="en-US" w:eastAsia="en-US" w:bidi="ar-SA"/>
      </w:rPr>
    </w:lvl>
    <w:lvl w:ilvl="2">
      <w:start w:val="20"/>
      <w:numFmt w:val="decimal"/>
      <w:lvlText w:val="%1.%2.%3"/>
      <w:lvlJc w:val="left"/>
      <w:pPr>
        <w:ind w:left="2408" w:hanging="1136"/>
      </w:pPr>
      <w:rPr>
        <w:rFonts w:ascii="Times New Roman" w:eastAsia="Times New Roman" w:hAnsi="Times New Roman" w:cs="Times New Roman" w:hint="default"/>
        <w:i/>
        <w:iCs/>
        <w:spacing w:val="-2"/>
        <w:w w:val="99"/>
        <w:sz w:val="20"/>
        <w:szCs w:val="20"/>
        <w:lang w:val="en-US" w:eastAsia="en-US" w:bidi="ar-SA"/>
      </w:rPr>
    </w:lvl>
    <w:lvl w:ilvl="3">
      <w:numFmt w:val="bullet"/>
      <w:lvlText w:val="•"/>
      <w:lvlJc w:val="left"/>
      <w:pPr>
        <w:ind w:left="4561" w:hanging="1136"/>
      </w:pPr>
      <w:rPr>
        <w:rFonts w:hint="default"/>
        <w:lang w:val="en-US" w:eastAsia="en-US" w:bidi="ar-SA"/>
      </w:rPr>
    </w:lvl>
    <w:lvl w:ilvl="4">
      <w:numFmt w:val="bullet"/>
      <w:lvlText w:val="•"/>
      <w:lvlJc w:val="left"/>
      <w:pPr>
        <w:ind w:left="5282" w:hanging="1136"/>
      </w:pPr>
      <w:rPr>
        <w:rFonts w:hint="default"/>
        <w:lang w:val="en-US" w:eastAsia="en-US" w:bidi="ar-SA"/>
      </w:rPr>
    </w:lvl>
    <w:lvl w:ilvl="5">
      <w:numFmt w:val="bullet"/>
      <w:lvlText w:val="•"/>
      <w:lvlJc w:val="left"/>
      <w:pPr>
        <w:ind w:left="6003" w:hanging="1136"/>
      </w:pPr>
      <w:rPr>
        <w:rFonts w:hint="default"/>
        <w:lang w:val="en-US" w:eastAsia="en-US" w:bidi="ar-SA"/>
      </w:rPr>
    </w:lvl>
    <w:lvl w:ilvl="6">
      <w:numFmt w:val="bullet"/>
      <w:lvlText w:val="•"/>
      <w:lvlJc w:val="left"/>
      <w:pPr>
        <w:ind w:left="6723" w:hanging="1136"/>
      </w:pPr>
      <w:rPr>
        <w:rFonts w:hint="default"/>
        <w:lang w:val="en-US" w:eastAsia="en-US" w:bidi="ar-SA"/>
      </w:rPr>
    </w:lvl>
    <w:lvl w:ilvl="7">
      <w:numFmt w:val="bullet"/>
      <w:lvlText w:val="•"/>
      <w:lvlJc w:val="left"/>
      <w:pPr>
        <w:ind w:left="7444" w:hanging="1136"/>
      </w:pPr>
      <w:rPr>
        <w:rFonts w:hint="default"/>
        <w:lang w:val="en-US" w:eastAsia="en-US" w:bidi="ar-SA"/>
      </w:rPr>
    </w:lvl>
    <w:lvl w:ilvl="8">
      <w:numFmt w:val="bullet"/>
      <w:lvlText w:val="•"/>
      <w:lvlJc w:val="left"/>
      <w:pPr>
        <w:ind w:left="8165" w:hanging="1136"/>
      </w:pPr>
      <w:rPr>
        <w:rFonts w:hint="default"/>
        <w:lang w:val="en-US" w:eastAsia="en-US" w:bidi="ar-SA"/>
      </w:rPr>
    </w:lvl>
  </w:abstractNum>
  <w:abstractNum w:abstractNumId="14">
    <w:nsid w:val="664B22DE"/>
    <w:multiLevelType w:val="hybridMultilevel"/>
    <w:tmpl w:val="A65CA846"/>
    <w:lvl w:ilvl="0" w:tplc="30D24990">
      <w:start w:val="1"/>
      <w:numFmt w:val="decimal"/>
      <w:lvlText w:val="%1."/>
      <w:lvlJc w:val="left"/>
      <w:pPr>
        <w:ind w:left="860" w:hanging="720"/>
      </w:pPr>
      <w:rPr>
        <w:rFonts w:ascii="Times New Roman" w:eastAsia="Times New Roman" w:hAnsi="Times New Roman" w:cs="Times New Roman" w:hint="default"/>
        <w:w w:val="100"/>
        <w:sz w:val="22"/>
        <w:szCs w:val="22"/>
        <w:lang w:val="en-US" w:eastAsia="en-US" w:bidi="ar-SA"/>
      </w:rPr>
    </w:lvl>
    <w:lvl w:ilvl="1" w:tplc="8132E8EE">
      <w:numFmt w:val="bullet"/>
      <w:lvlText w:val="•"/>
      <w:lvlJc w:val="left"/>
      <w:pPr>
        <w:ind w:left="1734" w:hanging="720"/>
      </w:pPr>
      <w:rPr>
        <w:rFonts w:hint="default"/>
        <w:lang w:val="en-US" w:eastAsia="en-US" w:bidi="ar-SA"/>
      </w:rPr>
    </w:lvl>
    <w:lvl w:ilvl="2" w:tplc="ACC81D74">
      <w:numFmt w:val="bullet"/>
      <w:lvlText w:val="•"/>
      <w:lvlJc w:val="left"/>
      <w:pPr>
        <w:ind w:left="2609" w:hanging="720"/>
      </w:pPr>
      <w:rPr>
        <w:rFonts w:hint="default"/>
        <w:lang w:val="en-US" w:eastAsia="en-US" w:bidi="ar-SA"/>
      </w:rPr>
    </w:lvl>
    <w:lvl w:ilvl="3" w:tplc="2DBE5468">
      <w:numFmt w:val="bullet"/>
      <w:lvlText w:val="•"/>
      <w:lvlJc w:val="left"/>
      <w:pPr>
        <w:ind w:left="3483" w:hanging="720"/>
      </w:pPr>
      <w:rPr>
        <w:rFonts w:hint="default"/>
        <w:lang w:val="en-US" w:eastAsia="en-US" w:bidi="ar-SA"/>
      </w:rPr>
    </w:lvl>
    <w:lvl w:ilvl="4" w:tplc="972C009C">
      <w:numFmt w:val="bullet"/>
      <w:lvlText w:val="•"/>
      <w:lvlJc w:val="left"/>
      <w:pPr>
        <w:ind w:left="4358" w:hanging="720"/>
      </w:pPr>
      <w:rPr>
        <w:rFonts w:hint="default"/>
        <w:lang w:val="en-US" w:eastAsia="en-US" w:bidi="ar-SA"/>
      </w:rPr>
    </w:lvl>
    <w:lvl w:ilvl="5" w:tplc="AEAEDF2A">
      <w:numFmt w:val="bullet"/>
      <w:lvlText w:val="•"/>
      <w:lvlJc w:val="left"/>
      <w:pPr>
        <w:ind w:left="5233" w:hanging="720"/>
      </w:pPr>
      <w:rPr>
        <w:rFonts w:hint="default"/>
        <w:lang w:val="en-US" w:eastAsia="en-US" w:bidi="ar-SA"/>
      </w:rPr>
    </w:lvl>
    <w:lvl w:ilvl="6" w:tplc="D3D4E6C2">
      <w:numFmt w:val="bullet"/>
      <w:lvlText w:val="•"/>
      <w:lvlJc w:val="left"/>
      <w:pPr>
        <w:ind w:left="6107" w:hanging="720"/>
      </w:pPr>
      <w:rPr>
        <w:rFonts w:hint="default"/>
        <w:lang w:val="en-US" w:eastAsia="en-US" w:bidi="ar-SA"/>
      </w:rPr>
    </w:lvl>
    <w:lvl w:ilvl="7" w:tplc="2C729ADA">
      <w:numFmt w:val="bullet"/>
      <w:lvlText w:val="•"/>
      <w:lvlJc w:val="left"/>
      <w:pPr>
        <w:ind w:left="6982" w:hanging="720"/>
      </w:pPr>
      <w:rPr>
        <w:rFonts w:hint="default"/>
        <w:lang w:val="en-US" w:eastAsia="en-US" w:bidi="ar-SA"/>
      </w:rPr>
    </w:lvl>
    <w:lvl w:ilvl="8" w:tplc="1C1EF6AE">
      <w:numFmt w:val="bullet"/>
      <w:lvlText w:val="•"/>
      <w:lvlJc w:val="left"/>
      <w:pPr>
        <w:ind w:left="7857" w:hanging="720"/>
      </w:pPr>
      <w:rPr>
        <w:rFonts w:hint="default"/>
        <w:lang w:val="en-US" w:eastAsia="en-US" w:bidi="ar-SA"/>
      </w:rPr>
    </w:lvl>
  </w:abstractNum>
  <w:abstractNum w:abstractNumId="15">
    <w:nsid w:val="699D7088"/>
    <w:multiLevelType w:val="hybridMultilevel"/>
    <w:tmpl w:val="9CE20EBA"/>
    <w:lvl w:ilvl="0" w:tplc="3070BD8C">
      <w:start w:val="1"/>
      <w:numFmt w:val="lowerRoman"/>
      <w:lvlText w:val="(%1)"/>
      <w:lvlJc w:val="left"/>
      <w:pPr>
        <w:ind w:left="1580" w:hanging="720"/>
      </w:pPr>
      <w:rPr>
        <w:rFonts w:ascii="Times New Roman" w:eastAsia="Times New Roman" w:hAnsi="Times New Roman" w:cs="Times New Roman" w:hint="default"/>
        <w:w w:val="100"/>
        <w:sz w:val="22"/>
        <w:szCs w:val="22"/>
        <w:lang w:val="en-US" w:eastAsia="en-US" w:bidi="ar-SA"/>
      </w:rPr>
    </w:lvl>
    <w:lvl w:ilvl="1" w:tplc="2F0AD752">
      <w:numFmt w:val="bullet"/>
      <w:lvlText w:val="•"/>
      <w:lvlJc w:val="left"/>
      <w:pPr>
        <w:ind w:left="2382" w:hanging="720"/>
      </w:pPr>
      <w:rPr>
        <w:rFonts w:hint="default"/>
        <w:lang w:val="en-US" w:eastAsia="en-US" w:bidi="ar-SA"/>
      </w:rPr>
    </w:lvl>
    <w:lvl w:ilvl="2" w:tplc="ED069B74">
      <w:numFmt w:val="bullet"/>
      <w:lvlText w:val="•"/>
      <w:lvlJc w:val="left"/>
      <w:pPr>
        <w:ind w:left="3185" w:hanging="720"/>
      </w:pPr>
      <w:rPr>
        <w:rFonts w:hint="default"/>
        <w:lang w:val="en-US" w:eastAsia="en-US" w:bidi="ar-SA"/>
      </w:rPr>
    </w:lvl>
    <w:lvl w:ilvl="3" w:tplc="5E3EE950">
      <w:numFmt w:val="bullet"/>
      <w:lvlText w:val="•"/>
      <w:lvlJc w:val="left"/>
      <w:pPr>
        <w:ind w:left="3987" w:hanging="720"/>
      </w:pPr>
      <w:rPr>
        <w:rFonts w:hint="default"/>
        <w:lang w:val="en-US" w:eastAsia="en-US" w:bidi="ar-SA"/>
      </w:rPr>
    </w:lvl>
    <w:lvl w:ilvl="4" w:tplc="5E904636">
      <w:numFmt w:val="bullet"/>
      <w:lvlText w:val="•"/>
      <w:lvlJc w:val="left"/>
      <w:pPr>
        <w:ind w:left="4790" w:hanging="720"/>
      </w:pPr>
      <w:rPr>
        <w:rFonts w:hint="default"/>
        <w:lang w:val="en-US" w:eastAsia="en-US" w:bidi="ar-SA"/>
      </w:rPr>
    </w:lvl>
    <w:lvl w:ilvl="5" w:tplc="12D6204A">
      <w:numFmt w:val="bullet"/>
      <w:lvlText w:val="•"/>
      <w:lvlJc w:val="left"/>
      <w:pPr>
        <w:ind w:left="5593" w:hanging="720"/>
      </w:pPr>
      <w:rPr>
        <w:rFonts w:hint="default"/>
        <w:lang w:val="en-US" w:eastAsia="en-US" w:bidi="ar-SA"/>
      </w:rPr>
    </w:lvl>
    <w:lvl w:ilvl="6" w:tplc="F870944E">
      <w:numFmt w:val="bullet"/>
      <w:lvlText w:val="•"/>
      <w:lvlJc w:val="left"/>
      <w:pPr>
        <w:ind w:left="6395" w:hanging="720"/>
      </w:pPr>
      <w:rPr>
        <w:rFonts w:hint="default"/>
        <w:lang w:val="en-US" w:eastAsia="en-US" w:bidi="ar-SA"/>
      </w:rPr>
    </w:lvl>
    <w:lvl w:ilvl="7" w:tplc="FF366CA2">
      <w:numFmt w:val="bullet"/>
      <w:lvlText w:val="•"/>
      <w:lvlJc w:val="left"/>
      <w:pPr>
        <w:ind w:left="7198" w:hanging="720"/>
      </w:pPr>
      <w:rPr>
        <w:rFonts w:hint="default"/>
        <w:lang w:val="en-US" w:eastAsia="en-US" w:bidi="ar-SA"/>
      </w:rPr>
    </w:lvl>
    <w:lvl w:ilvl="8" w:tplc="1CB22098">
      <w:numFmt w:val="bullet"/>
      <w:lvlText w:val="•"/>
      <w:lvlJc w:val="left"/>
      <w:pPr>
        <w:ind w:left="8001" w:hanging="720"/>
      </w:pPr>
      <w:rPr>
        <w:rFonts w:hint="default"/>
        <w:lang w:val="en-US" w:eastAsia="en-US" w:bidi="ar-SA"/>
      </w:rPr>
    </w:lvl>
  </w:abstractNum>
  <w:abstractNum w:abstractNumId="16">
    <w:nsid w:val="714647F5"/>
    <w:multiLevelType w:val="hybridMultilevel"/>
    <w:tmpl w:val="8A125B86"/>
    <w:lvl w:ilvl="0" w:tplc="B83C4FAE">
      <w:start w:val="4"/>
      <w:numFmt w:val="decimal"/>
      <w:lvlText w:val="%1"/>
      <w:lvlJc w:val="left"/>
      <w:pPr>
        <w:ind w:left="1273" w:hanging="152"/>
      </w:pPr>
      <w:rPr>
        <w:rFonts w:ascii="Times New Roman" w:eastAsia="Times New Roman" w:hAnsi="Times New Roman" w:cs="Times New Roman" w:hint="default"/>
        <w:w w:val="100"/>
        <w:position w:val="9"/>
        <w:sz w:val="17"/>
        <w:szCs w:val="17"/>
        <w:lang w:val="en-US" w:eastAsia="en-US" w:bidi="ar-SA"/>
      </w:rPr>
    </w:lvl>
    <w:lvl w:ilvl="1" w:tplc="26DE5F64">
      <w:numFmt w:val="bullet"/>
      <w:lvlText w:val="•"/>
      <w:lvlJc w:val="left"/>
      <w:pPr>
        <w:ind w:left="2112" w:hanging="152"/>
      </w:pPr>
      <w:rPr>
        <w:rFonts w:hint="default"/>
        <w:lang w:val="en-US" w:eastAsia="en-US" w:bidi="ar-SA"/>
      </w:rPr>
    </w:lvl>
    <w:lvl w:ilvl="2" w:tplc="0A5A994E">
      <w:numFmt w:val="bullet"/>
      <w:lvlText w:val="•"/>
      <w:lvlJc w:val="left"/>
      <w:pPr>
        <w:ind w:left="2945" w:hanging="152"/>
      </w:pPr>
      <w:rPr>
        <w:rFonts w:hint="default"/>
        <w:lang w:val="en-US" w:eastAsia="en-US" w:bidi="ar-SA"/>
      </w:rPr>
    </w:lvl>
    <w:lvl w:ilvl="3" w:tplc="B52CD6E6">
      <w:numFmt w:val="bullet"/>
      <w:lvlText w:val="•"/>
      <w:lvlJc w:val="left"/>
      <w:pPr>
        <w:ind w:left="3777" w:hanging="152"/>
      </w:pPr>
      <w:rPr>
        <w:rFonts w:hint="default"/>
        <w:lang w:val="en-US" w:eastAsia="en-US" w:bidi="ar-SA"/>
      </w:rPr>
    </w:lvl>
    <w:lvl w:ilvl="4" w:tplc="B0148CE8">
      <w:numFmt w:val="bullet"/>
      <w:lvlText w:val="•"/>
      <w:lvlJc w:val="left"/>
      <w:pPr>
        <w:ind w:left="4610" w:hanging="152"/>
      </w:pPr>
      <w:rPr>
        <w:rFonts w:hint="default"/>
        <w:lang w:val="en-US" w:eastAsia="en-US" w:bidi="ar-SA"/>
      </w:rPr>
    </w:lvl>
    <w:lvl w:ilvl="5" w:tplc="11380E48">
      <w:numFmt w:val="bullet"/>
      <w:lvlText w:val="•"/>
      <w:lvlJc w:val="left"/>
      <w:pPr>
        <w:ind w:left="5443" w:hanging="152"/>
      </w:pPr>
      <w:rPr>
        <w:rFonts w:hint="default"/>
        <w:lang w:val="en-US" w:eastAsia="en-US" w:bidi="ar-SA"/>
      </w:rPr>
    </w:lvl>
    <w:lvl w:ilvl="6" w:tplc="36C2FC38">
      <w:numFmt w:val="bullet"/>
      <w:lvlText w:val="•"/>
      <w:lvlJc w:val="left"/>
      <w:pPr>
        <w:ind w:left="6275" w:hanging="152"/>
      </w:pPr>
      <w:rPr>
        <w:rFonts w:hint="default"/>
        <w:lang w:val="en-US" w:eastAsia="en-US" w:bidi="ar-SA"/>
      </w:rPr>
    </w:lvl>
    <w:lvl w:ilvl="7" w:tplc="A1FCEF9A">
      <w:numFmt w:val="bullet"/>
      <w:lvlText w:val="•"/>
      <w:lvlJc w:val="left"/>
      <w:pPr>
        <w:ind w:left="7108" w:hanging="152"/>
      </w:pPr>
      <w:rPr>
        <w:rFonts w:hint="default"/>
        <w:lang w:val="en-US" w:eastAsia="en-US" w:bidi="ar-SA"/>
      </w:rPr>
    </w:lvl>
    <w:lvl w:ilvl="8" w:tplc="71A8D7B2">
      <w:numFmt w:val="bullet"/>
      <w:lvlText w:val="•"/>
      <w:lvlJc w:val="left"/>
      <w:pPr>
        <w:ind w:left="7941" w:hanging="152"/>
      </w:pPr>
      <w:rPr>
        <w:rFonts w:hint="default"/>
        <w:lang w:val="en-US" w:eastAsia="en-US" w:bidi="ar-SA"/>
      </w:rPr>
    </w:lvl>
  </w:abstractNum>
  <w:abstractNum w:abstractNumId="17">
    <w:nsid w:val="74CE607C"/>
    <w:multiLevelType w:val="hybridMultilevel"/>
    <w:tmpl w:val="8B4082E0"/>
    <w:lvl w:ilvl="0" w:tplc="2D64DA56">
      <w:start w:val="17"/>
      <w:numFmt w:val="decimal"/>
      <w:lvlText w:val="%1."/>
      <w:lvlJc w:val="left"/>
      <w:pPr>
        <w:ind w:left="14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CA0E582">
      <w:start w:val="1"/>
      <w:numFmt w:val="lowerLetter"/>
      <w:lvlText w:val="%2"/>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0C087E2">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0F67864">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AB0BCA0">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E7C6C0C">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8741400">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1A8A0D4">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02CD78A">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8">
    <w:nsid w:val="75330717"/>
    <w:multiLevelType w:val="multilevel"/>
    <w:tmpl w:val="42A2B214"/>
    <w:lvl w:ilvl="0">
      <w:start w:val="2"/>
      <w:numFmt w:val="decimal"/>
      <w:lvlText w:val="%1"/>
      <w:lvlJc w:val="left"/>
      <w:pPr>
        <w:ind w:left="1983" w:hanging="711"/>
      </w:pPr>
      <w:rPr>
        <w:rFonts w:hint="default"/>
        <w:lang w:val="en-US" w:eastAsia="en-US" w:bidi="ar-SA"/>
      </w:rPr>
    </w:lvl>
    <w:lvl w:ilvl="1">
      <w:start w:val="1"/>
      <w:numFmt w:val="decimal"/>
      <w:lvlText w:val="%1.%2"/>
      <w:lvlJc w:val="left"/>
      <w:pPr>
        <w:ind w:left="1983" w:hanging="711"/>
      </w:pPr>
      <w:rPr>
        <w:rFonts w:ascii="Times New Roman" w:eastAsia="Times New Roman" w:hAnsi="Times New Roman" w:cs="Times New Roman" w:hint="default"/>
        <w:i/>
        <w:iCs/>
        <w:spacing w:val="0"/>
        <w:w w:val="99"/>
        <w:sz w:val="20"/>
        <w:szCs w:val="20"/>
        <w:lang w:val="en-US" w:eastAsia="en-US" w:bidi="ar-SA"/>
      </w:rPr>
    </w:lvl>
    <w:lvl w:ilvl="2">
      <w:numFmt w:val="bullet"/>
      <w:lvlText w:val="•"/>
      <w:lvlJc w:val="left"/>
      <w:pPr>
        <w:ind w:left="3505" w:hanging="711"/>
      </w:pPr>
      <w:rPr>
        <w:rFonts w:hint="default"/>
        <w:lang w:val="en-US" w:eastAsia="en-US" w:bidi="ar-SA"/>
      </w:rPr>
    </w:lvl>
    <w:lvl w:ilvl="3">
      <w:numFmt w:val="bullet"/>
      <w:lvlText w:val="•"/>
      <w:lvlJc w:val="left"/>
      <w:pPr>
        <w:ind w:left="4267" w:hanging="711"/>
      </w:pPr>
      <w:rPr>
        <w:rFonts w:hint="default"/>
        <w:lang w:val="en-US" w:eastAsia="en-US" w:bidi="ar-SA"/>
      </w:rPr>
    </w:lvl>
    <w:lvl w:ilvl="4">
      <w:numFmt w:val="bullet"/>
      <w:lvlText w:val="•"/>
      <w:lvlJc w:val="left"/>
      <w:pPr>
        <w:ind w:left="5030" w:hanging="711"/>
      </w:pPr>
      <w:rPr>
        <w:rFonts w:hint="default"/>
        <w:lang w:val="en-US" w:eastAsia="en-US" w:bidi="ar-SA"/>
      </w:rPr>
    </w:lvl>
    <w:lvl w:ilvl="5">
      <w:numFmt w:val="bullet"/>
      <w:lvlText w:val="•"/>
      <w:lvlJc w:val="left"/>
      <w:pPr>
        <w:ind w:left="5793" w:hanging="711"/>
      </w:pPr>
      <w:rPr>
        <w:rFonts w:hint="default"/>
        <w:lang w:val="en-US" w:eastAsia="en-US" w:bidi="ar-SA"/>
      </w:rPr>
    </w:lvl>
    <w:lvl w:ilvl="6">
      <w:numFmt w:val="bullet"/>
      <w:lvlText w:val="•"/>
      <w:lvlJc w:val="left"/>
      <w:pPr>
        <w:ind w:left="6555" w:hanging="711"/>
      </w:pPr>
      <w:rPr>
        <w:rFonts w:hint="default"/>
        <w:lang w:val="en-US" w:eastAsia="en-US" w:bidi="ar-SA"/>
      </w:rPr>
    </w:lvl>
    <w:lvl w:ilvl="7">
      <w:numFmt w:val="bullet"/>
      <w:lvlText w:val="•"/>
      <w:lvlJc w:val="left"/>
      <w:pPr>
        <w:ind w:left="7318" w:hanging="711"/>
      </w:pPr>
      <w:rPr>
        <w:rFonts w:hint="default"/>
        <w:lang w:val="en-US" w:eastAsia="en-US" w:bidi="ar-SA"/>
      </w:rPr>
    </w:lvl>
    <w:lvl w:ilvl="8">
      <w:numFmt w:val="bullet"/>
      <w:lvlText w:val="•"/>
      <w:lvlJc w:val="left"/>
      <w:pPr>
        <w:ind w:left="8081" w:hanging="711"/>
      </w:pPr>
      <w:rPr>
        <w:rFonts w:hint="default"/>
        <w:lang w:val="en-US" w:eastAsia="en-US" w:bidi="ar-SA"/>
      </w:rPr>
    </w:lvl>
  </w:abstractNum>
  <w:abstractNum w:abstractNumId="19">
    <w:nsid w:val="76BC673F"/>
    <w:multiLevelType w:val="hybridMultilevel"/>
    <w:tmpl w:val="61904830"/>
    <w:lvl w:ilvl="0" w:tplc="E53A919C">
      <w:start w:val="1"/>
      <w:numFmt w:val="lowerRoman"/>
      <w:lvlText w:val="(%1)"/>
      <w:lvlJc w:val="left"/>
      <w:pPr>
        <w:ind w:left="2300" w:hanging="720"/>
      </w:pPr>
      <w:rPr>
        <w:rFonts w:ascii="Times New Roman" w:eastAsia="Times New Roman" w:hAnsi="Times New Roman" w:cs="Times New Roman" w:hint="default"/>
        <w:w w:val="100"/>
        <w:sz w:val="22"/>
        <w:szCs w:val="22"/>
        <w:lang w:val="en-US" w:eastAsia="en-US" w:bidi="ar-SA"/>
      </w:rPr>
    </w:lvl>
    <w:lvl w:ilvl="1" w:tplc="B046FDBA">
      <w:numFmt w:val="bullet"/>
      <w:lvlText w:val="•"/>
      <w:lvlJc w:val="left"/>
      <w:pPr>
        <w:ind w:left="3030" w:hanging="720"/>
      </w:pPr>
      <w:rPr>
        <w:rFonts w:hint="default"/>
        <w:lang w:val="en-US" w:eastAsia="en-US" w:bidi="ar-SA"/>
      </w:rPr>
    </w:lvl>
    <w:lvl w:ilvl="2" w:tplc="95184ECC">
      <w:numFmt w:val="bullet"/>
      <w:lvlText w:val="•"/>
      <w:lvlJc w:val="left"/>
      <w:pPr>
        <w:ind w:left="3761" w:hanging="720"/>
      </w:pPr>
      <w:rPr>
        <w:rFonts w:hint="default"/>
        <w:lang w:val="en-US" w:eastAsia="en-US" w:bidi="ar-SA"/>
      </w:rPr>
    </w:lvl>
    <w:lvl w:ilvl="3" w:tplc="643AA3B6">
      <w:numFmt w:val="bullet"/>
      <w:lvlText w:val="•"/>
      <w:lvlJc w:val="left"/>
      <w:pPr>
        <w:ind w:left="4491" w:hanging="720"/>
      </w:pPr>
      <w:rPr>
        <w:rFonts w:hint="default"/>
        <w:lang w:val="en-US" w:eastAsia="en-US" w:bidi="ar-SA"/>
      </w:rPr>
    </w:lvl>
    <w:lvl w:ilvl="4" w:tplc="EDFC98B4">
      <w:numFmt w:val="bullet"/>
      <w:lvlText w:val="•"/>
      <w:lvlJc w:val="left"/>
      <w:pPr>
        <w:ind w:left="5222" w:hanging="720"/>
      </w:pPr>
      <w:rPr>
        <w:rFonts w:hint="default"/>
        <w:lang w:val="en-US" w:eastAsia="en-US" w:bidi="ar-SA"/>
      </w:rPr>
    </w:lvl>
    <w:lvl w:ilvl="5" w:tplc="CA1ABA3E">
      <w:numFmt w:val="bullet"/>
      <w:lvlText w:val="•"/>
      <w:lvlJc w:val="left"/>
      <w:pPr>
        <w:ind w:left="5953" w:hanging="720"/>
      </w:pPr>
      <w:rPr>
        <w:rFonts w:hint="default"/>
        <w:lang w:val="en-US" w:eastAsia="en-US" w:bidi="ar-SA"/>
      </w:rPr>
    </w:lvl>
    <w:lvl w:ilvl="6" w:tplc="5E288360">
      <w:numFmt w:val="bullet"/>
      <w:lvlText w:val="•"/>
      <w:lvlJc w:val="left"/>
      <w:pPr>
        <w:ind w:left="6683" w:hanging="720"/>
      </w:pPr>
      <w:rPr>
        <w:rFonts w:hint="default"/>
        <w:lang w:val="en-US" w:eastAsia="en-US" w:bidi="ar-SA"/>
      </w:rPr>
    </w:lvl>
    <w:lvl w:ilvl="7" w:tplc="6B529F1E">
      <w:numFmt w:val="bullet"/>
      <w:lvlText w:val="•"/>
      <w:lvlJc w:val="left"/>
      <w:pPr>
        <w:ind w:left="7414" w:hanging="720"/>
      </w:pPr>
      <w:rPr>
        <w:rFonts w:hint="default"/>
        <w:lang w:val="en-US" w:eastAsia="en-US" w:bidi="ar-SA"/>
      </w:rPr>
    </w:lvl>
    <w:lvl w:ilvl="8" w:tplc="D87815E2">
      <w:numFmt w:val="bullet"/>
      <w:lvlText w:val="•"/>
      <w:lvlJc w:val="left"/>
      <w:pPr>
        <w:ind w:left="8145" w:hanging="720"/>
      </w:pPr>
      <w:rPr>
        <w:rFonts w:hint="default"/>
        <w:lang w:val="en-US" w:eastAsia="en-US" w:bidi="ar-SA"/>
      </w:rPr>
    </w:lvl>
  </w:abstractNum>
  <w:abstractNum w:abstractNumId="20">
    <w:nsid w:val="79F61981"/>
    <w:multiLevelType w:val="multilevel"/>
    <w:tmpl w:val="0FCA1AC8"/>
    <w:lvl w:ilvl="0">
      <w:start w:val="10"/>
      <w:numFmt w:val="decimal"/>
      <w:lvlText w:val="%1"/>
      <w:lvlJc w:val="left"/>
      <w:pPr>
        <w:ind w:left="140" w:hanging="540"/>
      </w:pPr>
      <w:rPr>
        <w:rFonts w:hint="default"/>
        <w:lang w:val="en-US" w:eastAsia="en-US" w:bidi="ar-SA"/>
      </w:rPr>
    </w:lvl>
    <w:lvl w:ilvl="1">
      <w:start w:val="1"/>
      <w:numFmt w:val="decimal"/>
      <w:lvlText w:val="%1.%2"/>
      <w:lvlJc w:val="left"/>
      <w:pPr>
        <w:ind w:left="140" w:hanging="540"/>
        <w:jc w:val="right"/>
      </w:pPr>
      <w:rPr>
        <w:rFonts w:ascii="Arial" w:eastAsia="Times New Roman" w:hAnsi="Arial" w:cs="Arial" w:hint="default"/>
        <w:w w:val="99"/>
        <w:sz w:val="26"/>
        <w:szCs w:val="26"/>
        <w:lang w:val="en-US" w:eastAsia="en-US" w:bidi="ar-SA"/>
      </w:rPr>
    </w:lvl>
    <w:lvl w:ilvl="2">
      <w:numFmt w:val="bullet"/>
      <w:lvlText w:val="•"/>
      <w:lvlJc w:val="left"/>
      <w:pPr>
        <w:ind w:left="2033" w:hanging="540"/>
      </w:pPr>
      <w:rPr>
        <w:rFonts w:hint="default"/>
        <w:lang w:val="en-US" w:eastAsia="en-US" w:bidi="ar-SA"/>
      </w:rPr>
    </w:lvl>
    <w:lvl w:ilvl="3">
      <w:numFmt w:val="bullet"/>
      <w:lvlText w:val="•"/>
      <w:lvlJc w:val="left"/>
      <w:pPr>
        <w:ind w:left="2979" w:hanging="540"/>
      </w:pPr>
      <w:rPr>
        <w:rFonts w:hint="default"/>
        <w:lang w:val="en-US" w:eastAsia="en-US" w:bidi="ar-SA"/>
      </w:rPr>
    </w:lvl>
    <w:lvl w:ilvl="4">
      <w:numFmt w:val="bullet"/>
      <w:lvlText w:val="•"/>
      <w:lvlJc w:val="left"/>
      <w:pPr>
        <w:ind w:left="3926" w:hanging="540"/>
      </w:pPr>
      <w:rPr>
        <w:rFonts w:hint="default"/>
        <w:lang w:val="en-US" w:eastAsia="en-US" w:bidi="ar-SA"/>
      </w:rPr>
    </w:lvl>
    <w:lvl w:ilvl="5">
      <w:numFmt w:val="bullet"/>
      <w:lvlText w:val="•"/>
      <w:lvlJc w:val="left"/>
      <w:pPr>
        <w:ind w:left="4873" w:hanging="540"/>
      </w:pPr>
      <w:rPr>
        <w:rFonts w:hint="default"/>
        <w:lang w:val="en-US" w:eastAsia="en-US" w:bidi="ar-SA"/>
      </w:rPr>
    </w:lvl>
    <w:lvl w:ilvl="6">
      <w:numFmt w:val="bullet"/>
      <w:lvlText w:val="•"/>
      <w:lvlJc w:val="left"/>
      <w:pPr>
        <w:ind w:left="5819" w:hanging="540"/>
      </w:pPr>
      <w:rPr>
        <w:rFonts w:hint="default"/>
        <w:lang w:val="en-US" w:eastAsia="en-US" w:bidi="ar-SA"/>
      </w:rPr>
    </w:lvl>
    <w:lvl w:ilvl="7">
      <w:numFmt w:val="bullet"/>
      <w:lvlText w:val="•"/>
      <w:lvlJc w:val="left"/>
      <w:pPr>
        <w:ind w:left="6766" w:hanging="540"/>
      </w:pPr>
      <w:rPr>
        <w:rFonts w:hint="default"/>
        <w:lang w:val="en-US" w:eastAsia="en-US" w:bidi="ar-SA"/>
      </w:rPr>
    </w:lvl>
    <w:lvl w:ilvl="8">
      <w:numFmt w:val="bullet"/>
      <w:lvlText w:val="•"/>
      <w:lvlJc w:val="left"/>
      <w:pPr>
        <w:ind w:left="7713" w:hanging="540"/>
      </w:pPr>
      <w:rPr>
        <w:rFonts w:hint="default"/>
        <w:lang w:val="en-US" w:eastAsia="en-US" w:bidi="ar-SA"/>
      </w:rPr>
    </w:lvl>
  </w:abstractNum>
  <w:abstractNum w:abstractNumId="21">
    <w:nsid w:val="7C353ED2"/>
    <w:multiLevelType w:val="hybridMultilevel"/>
    <w:tmpl w:val="BEC05112"/>
    <w:lvl w:ilvl="0" w:tplc="C7F0EB12">
      <w:start w:val="1"/>
      <w:numFmt w:val="decimal"/>
      <w:lvlText w:val="3.%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7"/>
  </w:num>
  <w:num w:numId="3">
    <w:abstractNumId w:val="15"/>
  </w:num>
  <w:num w:numId="4">
    <w:abstractNumId w:val="4"/>
  </w:num>
  <w:num w:numId="5">
    <w:abstractNumId w:val="19"/>
  </w:num>
  <w:num w:numId="6">
    <w:abstractNumId w:val="3"/>
  </w:num>
  <w:num w:numId="7">
    <w:abstractNumId w:val="2"/>
  </w:num>
  <w:num w:numId="8">
    <w:abstractNumId w:val="8"/>
  </w:num>
  <w:num w:numId="9">
    <w:abstractNumId w:val="0"/>
  </w:num>
  <w:num w:numId="10">
    <w:abstractNumId w:val="9"/>
  </w:num>
  <w:num w:numId="11">
    <w:abstractNumId w:val="13"/>
  </w:num>
  <w:num w:numId="12">
    <w:abstractNumId w:val="18"/>
  </w:num>
  <w:num w:numId="13">
    <w:abstractNumId w:val="16"/>
  </w:num>
  <w:num w:numId="14">
    <w:abstractNumId w:val="14"/>
  </w:num>
  <w:num w:numId="15">
    <w:abstractNumId w:val="20"/>
  </w:num>
  <w:num w:numId="16">
    <w:abstractNumId w:val="11"/>
  </w:num>
  <w:num w:numId="17">
    <w:abstractNumId w:val="5"/>
  </w:num>
  <w:num w:numId="18">
    <w:abstractNumId w:val="21"/>
  </w:num>
  <w:num w:numId="19">
    <w:abstractNumId w:val="10"/>
  </w:num>
  <w:num w:numId="20">
    <w:abstractNumId w:val="17"/>
  </w:num>
  <w:num w:numId="21">
    <w:abstractNumId w:val="12"/>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sjSytDQxMjc3MzG3NDFR0lEKTi0uzszPAykwrAUA7/CnnywAAAA="/>
  </w:docVars>
  <w:rsids>
    <w:rsidRoot w:val="007A78E0"/>
    <w:rsid w:val="0001312E"/>
    <w:rsid w:val="00021848"/>
    <w:rsid w:val="00021D83"/>
    <w:rsid w:val="00036295"/>
    <w:rsid w:val="000459DE"/>
    <w:rsid w:val="00050F58"/>
    <w:rsid w:val="00073432"/>
    <w:rsid w:val="00082272"/>
    <w:rsid w:val="00093B3A"/>
    <w:rsid w:val="000A3735"/>
    <w:rsid w:val="000B5AEF"/>
    <w:rsid w:val="000D6A47"/>
    <w:rsid w:val="00114F19"/>
    <w:rsid w:val="001209B4"/>
    <w:rsid w:val="001215E4"/>
    <w:rsid w:val="00123CA4"/>
    <w:rsid w:val="00133F02"/>
    <w:rsid w:val="00167E15"/>
    <w:rsid w:val="00174F5B"/>
    <w:rsid w:val="001A00E0"/>
    <w:rsid w:val="001A4E2C"/>
    <w:rsid w:val="001A525B"/>
    <w:rsid w:val="001B23DA"/>
    <w:rsid w:val="001B6BF0"/>
    <w:rsid w:val="001E5FD5"/>
    <w:rsid w:val="001F1E9A"/>
    <w:rsid w:val="001F3EB6"/>
    <w:rsid w:val="002137BD"/>
    <w:rsid w:val="002217D4"/>
    <w:rsid w:val="00232F72"/>
    <w:rsid w:val="00246984"/>
    <w:rsid w:val="00254F88"/>
    <w:rsid w:val="00262DF2"/>
    <w:rsid w:val="00265914"/>
    <w:rsid w:val="00282A8A"/>
    <w:rsid w:val="00283722"/>
    <w:rsid w:val="002858DF"/>
    <w:rsid w:val="0029163C"/>
    <w:rsid w:val="00295C9D"/>
    <w:rsid w:val="002A71D4"/>
    <w:rsid w:val="002B7D81"/>
    <w:rsid w:val="002C11BA"/>
    <w:rsid w:val="002C4401"/>
    <w:rsid w:val="002F1233"/>
    <w:rsid w:val="002F4D13"/>
    <w:rsid w:val="00322FB4"/>
    <w:rsid w:val="0034515A"/>
    <w:rsid w:val="00366C2D"/>
    <w:rsid w:val="003740BC"/>
    <w:rsid w:val="00382580"/>
    <w:rsid w:val="00395DEB"/>
    <w:rsid w:val="003A2C38"/>
    <w:rsid w:val="003A4AB6"/>
    <w:rsid w:val="003C100B"/>
    <w:rsid w:val="003C17D5"/>
    <w:rsid w:val="003D1BEE"/>
    <w:rsid w:val="003E5214"/>
    <w:rsid w:val="003F15D7"/>
    <w:rsid w:val="00407C59"/>
    <w:rsid w:val="00410DAC"/>
    <w:rsid w:val="00423D0F"/>
    <w:rsid w:val="00424435"/>
    <w:rsid w:val="00424619"/>
    <w:rsid w:val="004517AE"/>
    <w:rsid w:val="00460DB4"/>
    <w:rsid w:val="00470831"/>
    <w:rsid w:val="0047526D"/>
    <w:rsid w:val="004A0E3D"/>
    <w:rsid w:val="004A678B"/>
    <w:rsid w:val="004A6F13"/>
    <w:rsid w:val="004C21AF"/>
    <w:rsid w:val="004D03C8"/>
    <w:rsid w:val="004D17EA"/>
    <w:rsid w:val="004D5A0C"/>
    <w:rsid w:val="004D7B25"/>
    <w:rsid w:val="004E0D65"/>
    <w:rsid w:val="00520F92"/>
    <w:rsid w:val="00532EE4"/>
    <w:rsid w:val="005342E6"/>
    <w:rsid w:val="005504DC"/>
    <w:rsid w:val="005549D1"/>
    <w:rsid w:val="00583426"/>
    <w:rsid w:val="005B5AA4"/>
    <w:rsid w:val="005C717A"/>
    <w:rsid w:val="005D1D71"/>
    <w:rsid w:val="005E4503"/>
    <w:rsid w:val="005F311E"/>
    <w:rsid w:val="00601432"/>
    <w:rsid w:val="0061272C"/>
    <w:rsid w:val="00621AF2"/>
    <w:rsid w:val="006674A3"/>
    <w:rsid w:val="0067672F"/>
    <w:rsid w:val="00693574"/>
    <w:rsid w:val="006A0872"/>
    <w:rsid w:val="006A1541"/>
    <w:rsid w:val="006B045A"/>
    <w:rsid w:val="006B37FA"/>
    <w:rsid w:val="006C035B"/>
    <w:rsid w:val="00712763"/>
    <w:rsid w:val="00736302"/>
    <w:rsid w:val="00743745"/>
    <w:rsid w:val="007609E7"/>
    <w:rsid w:val="00777462"/>
    <w:rsid w:val="00785C94"/>
    <w:rsid w:val="007A78E0"/>
    <w:rsid w:val="00805BDE"/>
    <w:rsid w:val="008614E3"/>
    <w:rsid w:val="00865B44"/>
    <w:rsid w:val="00870D18"/>
    <w:rsid w:val="00883D6A"/>
    <w:rsid w:val="0088764F"/>
    <w:rsid w:val="00893C1E"/>
    <w:rsid w:val="008A2C52"/>
    <w:rsid w:val="008A7417"/>
    <w:rsid w:val="008B3F9B"/>
    <w:rsid w:val="008B488A"/>
    <w:rsid w:val="008C07D1"/>
    <w:rsid w:val="0090402C"/>
    <w:rsid w:val="0091210C"/>
    <w:rsid w:val="00982428"/>
    <w:rsid w:val="00991491"/>
    <w:rsid w:val="009A0A4C"/>
    <w:rsid w:val="009A0D92"/>
    <w:rsid w:val="009A7774"/>
    <w:rsid w:val="009E0627"/>
    <w:rsid w:val="009E4DDE"/>
    <w:rsid w:val="00A075AF"/>
    <w:rsid w:val="00A15886"/>
    <w:rsid w:val="00A33728"/>
    <w:rsid w:val="00A43ACB"/>
    <w:rsid w:val="00A5675A"/>
    <w:rsid w:val="00A56D6A"/>
    <w:rsid w:val="00A57858"/>
    <w:rsid w:val="00A71DB8"/>
    <w:rsid w:val="00A9631C"/>
    <w:rsid w:val="00AA66AF"/>
    <w:rsid w:val="00AB51C9"/>
    <w:rsid w:val="00AE1467"/>
    <w:rsid w:val="00AE4F97"/>
    <w:rsid w:val="00AE789D"/>
    <w:rsid w:val="00AE7F11"/>
    <w:rsid w:val="00B01D20"/>
    <w:rsid w:val="00B04DF5"/>
    <w:rsid w:val="00B323A4"/>
    <w:rsid w:val="00B45563"/>
    <w:rsid w:val="00B67C08"/>
    <w:rsid w:val="00B705E8"/>
    <w:rsid w:val="00B814E6"/>
    <w:rsid w:val="00BA652F"/>
    <w:rsid w:val="00BB61F7"/>
    <w:rsid w:val="00BC6C61"/>
    <w:rsid w:val="00BD3865"/>
    <w:rsid w:val="00BE01ED"/>
    <w:rsid w:val="00BE4954"/>
    <w:rsid w:val="00BE657C"/>
    <w:rsid w:val="00BE7318"/>
    <w:rsid w:val="00BF1E9A"/>
    <w:rsid w:val="00BF2BCD"/>
    <w:rsid w:val="00C20879"/>
    <w:rsid w:val="00C65D6A"/>
    <w:rsid w:val="00C65D7C"/>
    <w:rsid w:val="00C6795F"/>
    <w:rsid w:val="00C7081B"/>
    <w:rsid w:val="00C736DB"/>
    <w:rsid w:val="00C87A9A"/>
    <w:rsid w:val="00CA2B54"/>
    <w:rsid w:val="00CA5D0F"/>
    <w:rsid w:val="00CD25D9"/>
    <w:rsid w:val="00CF73E3"/>
    <w:rsid w:val="00CF7E92"/>
    <w:rsid w:val="00D02D85"/>
    <w:rsid w:val="00D101AC"/>
    <w:rsid w:val="00D10EB5"/>
    <w:rsid w:val="00D15D48"/>
    <w:rsid w:val="00D344FE"/>
    <w:rsid w:val="00D4495F"/>
    <w:rsid w:val="00D85AEE"/>
    <w:rsid w:val="00D93A74"/>
    <w:rsid w:val="00DA0FC4"/>
    <w:rsid w:val="00DC507E"/>
    <w:rsid w:val="00DC6BC5"/>
    <w:rsid w:val="00DD462D"/>
    <w:rsid w:val="00DD7252"/>
    <w:rsid w:val="00DD7A83"/>
    <w:rsid w:val="00DF6F77"/>
    <w:rsid w:val="00E0253B"/>
    <w:rsid w:val="00E96491"/>
    <w:rsid w:val="00EA53E8"/>
    <w:rsid w:val="00F011E7"/>
    <w:rsid w:val="00F052FC"/>
    <w:rsid w:val="00F055A7"/>
    <w:rsid w:val="00F05C46"/>
    <w:rsid w:val="00F05DAF"/>
    <w:rsid w:val="00F2442B"/>
    <w:rsid w:val="00F25174"/>
    <w:rsid w:val="00F42BA1"/>
    <w:rsid w:val="00F575BB"/>
    <w:rsid w:val="00F620E1"/>
    <w:rsid w:val="00FA39D8"/>
    <w:rsid w:val="00FB423C"/>
    <w:rsid w:val="00FC20C7"/>
    <w:rsid w:val="00FC5A70"/>
    <w:rsid w:val="00FD2108"/>
    <w:rsid w:val="00FD4250"/>
    <w:rsid w:val="00FE1DC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513F4"/>
  <w15:docId w15:val="{3E4A15E1-1C02-4E07-BE6F-75F55BACF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5C9D"/>
    <w:rPr>
      <w:rFonts w:ascii="Arial" w:eastAsia="Times New Roman" w:hAnsi="Arial" w:cs="Times New Roman"/>
      <w:sz w:val="24"/>
    </w:rPr>
  </w:style>
  <w:style w:type="paragraph" w:styleId="Heading1">
    <w:name w:val="heading 1"/>
    <w:basedOn w:val="Normal"/>
    <w:next w:val="Normal"/>
    <w:link w:val="Heading1Char"/>
    <w:uiPriority w:val="9"/>
    <w:qFormat/>
    <w:rsid w:val="004D17E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4517AE"/>
    <w:pPr>
      <w:widowControl/>
      <w:autoSpaceDE/>
      <w:autoSpaceDN/>
      <w:spacing w:before="100" w:beforeAutospacing="1" w:after="100" w:afterAutospacing="1"/>
      <w:outlineLvl w:val="1"/>
    </w:pPr>
    <w:rPr>
      <w:b/>
      <w:bCs/>
      <w:sz w:val="36"/>
      <w:szCs w:val="36"/>
      <w:lang w:val="en-ZA"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6"/>
      <w:szCs w:val="26"/>
    </w:rPr>
  </w:style>
  <w:style w:type="paragraph" w:styleId="ListParagraph">
    <w:name w:val="List Paragraph"/>
    <w:basedOn w:val="Normal"/>
    <w:uiPriority w:val="1"/>
    <w:qFormat/>
    <w:rsid w:val="00FD2108"/>
    <w:pPr>
      <w:ind w:left="140"/>
      <w:jc w:val="both"/>
    </w:pPr>
  </w:style>
  <w:style w:type="paragraph" w:customStyle="1" w:styleId="TableParagraph">
    <w:name w:val="Table Paragraph"/>
    <w:basedOn w:val="Normal"/>
    <w:uiPriority w:val="1"/>
    <w:qFormat/>
  </w:style>
  <w:style w:type="table" w:styleId="TableGrid">
    <w:name w:val="Table Grid"/>
    <w:basedOn w:val="TableNormal"/>
    <w:uiPriority w:val="59"/>
    <w:rsid w:val="00232F72"/>
    <w:pPr>
      <w:widowControl/>
      <w:autoSpaceDE/>
      <w:autoSpaceDN/>
    </w:pPr>
    <w:rPr>
      <w:rFonts w:ascii="Arial" w:eastAsia="Calibri" w:hAnsi="Arial" w:cs="Arial"/>
      <w:sz w:val="20"/>
      <w:szCs w:val="20"/>
      <w:lang w:val="en-GB" w:eastAsia="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qFormat/>
    <w:rsid w:val="00262DF2"/>
    <w:rPr>
      <w:sz w:val="20"/>
      <w:szCs w:val="20"/>
    </w:rPr>
  </w:style>
  <w:style w:type="character" w:customStyle="1" w:styleId="FootnoteTextChar">
    <w:name w:val="Footnote Text Char"/>
    <w:basedOn w:val="DefaultParagraphFont"/>
    <w:link w:val="FootnoteText"/>
    <w:uiPriority w:val="99"/>
    <w:rsid w:val="00262DF2"/>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232F72"/>
    <w:rPr>
      <w:vertAlign w:val="superscript"/>
    </w:rPr>
  </w:style>
  <w:style w:type="character" w:customStyle="1" w:styleId="Heading2Char">
    <w:name w:val="Heading 2 Char"/>
    <w:basedOn w:val="DefaultParagraphFont"/>
    <w:link w:val="Heading2"/>
    <w:uiPriority w:val="9"/>
    <w:rsid w:val="004517AE"/>
    <w:rPr>
      <w:rFonts w:ascii="Times New Roman" w:eastAsia="Times New Roman" w:hAnsi="Times New Roman" w:cs="Times New Roman"/>
      <w:b/>
      <w:bCs/>
      <w:sz w:val="36"/>
      <w:szCs w:val="36"/>
      <w:lang w:val="en-ZA" w:eastAsia="en-ZA"/>
    </w:rPr>
  </w:style>
  <w:style w:type="character" w:styleId="Hyperlink">
    <w:name w:val="Hyperlink"/>
    <w:basedOn w:val="DefaultParagraphFont"/>
    <w:uiPriority w:val="99"/>
    <w:unhideWhenUsed/>
    <w:rsid w:val="00036295"/>
    <w:rPr>
      <w:color w:val="0000FF" w:themeColor="hyperlink"/>
      <w:u w:val="single"/>
    </w:rPr>
  </w:style>
  <w:style w:type="character" w:customStyle="1" w:styleId="UnresolvedMention">
    <w:name w:val="Unresolved Mention"/>
    <w:basedOn w:val="DefaultParagraphFont"/>
    <w:uiPriority w:val="99"/>
    <w:semiHidden/>
    <w:unhideWhenUsed/>
    <w:rsid w:val="00036295"/>
    <w:rPr>
      <w:color w:val="605E5C"/>
      <w:shd w:val="clear" w:color="auto" w:fill="E1DFDD"/>
    </w:rPr>
  </w:style>
  <w:style w:type="character" w:customStyle="1" w:styleId="BodyTextChar">
    <w:name w:val="Body Text Char"/>
    <w:basedOn w:val="DefaultParagraphFont"/>
    <w:link w:val="BodyText"/>
    <w:uiPriority w:val="1"/>
    <w:rsid w:val="005B5AA4"/>
    <w:rPr>
      <w:rFonts w:ascii="Times New Roman" w:eastAsia="Times New Roman" w:hAnsi="Times New Roman" w:cs="Times New Roman"/>
      <w:sz w:val="26"/>
      <w:szCs w:val="26"/>
    </w:rPr>
  </w:style>
  <w:style w:type="paragraph" w:styleId="NormalWeb">
    <w:name w:val="Normal (Web)"/>
    <w:basedOn w:val="Normal"/>
    <w:uiPriority w:val="99"/>
    <w:semiHidden/>
    <w:unhideWhenUsed/>
    <w:rsid w:val="00FD2108"/>
    <w:pPr>
      <w:widowControl/>
      <w:autoSpaceDE/>
      <w:autoSpaceDN/>
      <w:spacing w:before="100" w:beforeAutospacing="1" w:after="100" w:afterAutospacing="1"/>
    </w:pPr>
    <w:rPr>
      <w:szCs w:val="24"/>
      <w:lang w:val="en-ZA" w:eastAsia="en-ZA"/>
    </w:rPr>
  </w:style>
  <w:style w:type="character" w:customStyle="1" w:styleId="Heading1Char">
    <w:name w:val="Heading 1 Char"/>
    <w:basedOn w:val="DefaultParagraphFont"/>
    <w:link w:val="Heading1"/>
    <w:rsid w:val="004D17EA"/>
    <w:rPr>
      <w:rFonts w:asciiTheme="majorHAnsi" w:eastAsiaTheme="majorEastAsia" w:hAnsiTheme="majorHAnsi" w:cstheme="majorBidi"/>
      <w:color w:val="365F91" w:themeColor="accent1" w:themeShade="BF"/>
      <w:sz w:val="32"/>
      <w:szCs w:val="32"/>
    </w:rPr>
  </w:style>
  <w:style w:type="table" w:customStyle="1" w:styleId="TableGrid0">
    <w:name w:val="TableGrid"/>
    <w:rsid w:val="004D17EA"/>
    <w:pPr>
      <w:widowControl/>
      <w:autoSpaceDE/>
      <w:autoSpaceDN/>
    </w:pPr>
    <w:rPr>
      <w:rFonts w:eastAsiaTheme="minorEastAsia"/>
      <w:kern w:val="2"/>
      <w:lang w:val="en-ZA" w:eastAsia="en-ZA"/>
      <w14:ligatures w14:val="standardContextual"/>
    </w:rPr>
    <w:tblPr>
      <w:tblCellMar>
        <w:top w:w="0" w:type="dxa"/>
        <w:left w:w="0" w:type="dxa"/>
        <w:bottom w:w="0" w:type="dxa"/>
        <w:right w:w="0" w:type="dxa"/>
      </w:tblCellMar>
    </w:tblPr>
  </w:style>
  <w:style w:type="paragraph" w:styleId="Header">
    <w:name w:val="header"/>
    <w:basedOn w:val="Normal"/>
    <w:link w:val="HeaderChar"/>
    <w:uiPriority w:val="99"/>
    <w:unhideWhenUsed/>
    <w:rsid w:val="00991491"/>
    <w:pPr>
      <w:tabs>
        <w:tab w:val="center" w:pos="4513"/>
        <w:tab w:val="right" w:pos="9026"/>
      </w:tabs>
    </w:pPr>
  </w:style>
  <w:style w:type="character" w:customStyle="1" w:styleId="HeaderChar">
    <w:name w:val="Header Char"/>
    <w:basedOn w:val="DefaultParagraphFont"/>
    <w:link w:val="Header"/>
    <w:uiPriority w:val="99"/>
    <w:rsid w:val="00991491"/>
    <w:rPr>
      <w:rFonts w:ascii="Arial" w:eastAsia="Times New Roman" w:hAnsi="Arial" w:cs="Times New Roman"/>
      <w:sz w:val="24"/>
    </w:rPr>
  </w:style>
  <w:style w:type="paragraph" w:styleId="Footer">
    <w:name w:val="footer"/>
    <w:basedOn w:val="Normal"/>
    <w:link w:val="FooterChar"/>
    <w:uiPriority w:val="99"/>
    <w:unhideWhenUsed/>
    <w:rsid w:val="00991491"/>
    <w:pPr>
      <w:tabs>
        <w:tab w:val="center" w:pos="4513"/>
        <w:tab w:val="right" w:pos="9026"/>
      </w:tabs>
    </w:pPr>
  </w:style>
  <w:style w:type="character" w:customStyle="1" w:styleId="FooterChar">
    <w:name w:val="Footer Char"/>
    <w:basedOn w:val="DefaultParagraphFont"/>
    <w:link w:val="Footer"/>
    <w:uiPriority w:val="99"/>
    <w:rsid w:val="00991491"/>
    <w:rPr>
      <w:rFonts w:ascii="Arial" w:eastAsia="Times New Roman" w:hAnsi="Arial" w:cs="Times New Roman"/>
      <w:sz w:val="24"/>
    </w:rPr>
  </w:style>
  <w:style w:type="paragraph" w:customStyle="1" w:styleId="paragnum">
    <w:name w:val="paragnum"/>
    <w:basedOn w:val="Normal"/>
    <w:rsid w:val="00021D83"/>
    <w:pPr>
      <w:widowControl/>
      <w:autoSpaceDE/>
      <w:autoSpaceDN/>
      <w:spacing w:before="100" w:beforeAutospacing="1" w:after="100" w:afterAutospacing="1"/>
    </w:pPr>
    <w:rPr>
      <w:rFonts w:ascii="Times New Roman" w:hAnsi="Times New Roman"/>
      <w:szCs w:val="24"/>
      <w:lang w:val="en-ZA" w:eastAsia="en-ZA"/>
    </w:rPr>
  </w:style>
  <w:style w:type="paragraph" w:customStyle="1" w:styleId="western">
    <w:name w:val="western"/>
    <w:basedOn w:val="Normal"/>
    <w:rsid w:val="00050F58"/>
    <w:pPr>
      <w:widowControl/>
      <w:autoSpaceDE/>
      <w:autoSpaceDN/>
      <w:spacing w:before="100" w:beforeAutospacing="1" w:after="100" w:afterAutospacing="1"/>
    </w:pPr>
    <w:rPr>
      <w:rFonts w:ascii="Times New Roman" w:hAnsi="Times New Roman"/>
      <w:szCs w:val="24"/>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966551">
      <w:bodyDiv w:val="1"/>
      <w:marLeft w:val="0"/>
      <w:marRight w:val="0"/>
      <w:marTop w:val="0"/>
      <w:marBottom w:val="0"/>
      <w:divBdr>
        <w:top w:val="none" w:sz="0" w:space="0" w:color="auto"/>
        <w:left w:val="none" w:sz="0" w:space="0" w:color="auto"/>
        <w:bottom w:val="none" w:sz="0" w:space="0" w:color="auto"/>
        <w:right w:val="none" w:sz="0" w:space="0" w:color="auto"/>
      </w:divBdr>
    </w:div>
    <w:div w:id="776364767">
      <w:bodyDiv w:val="1"/>
      <w:marLeft w:val="0"/>
      <w:marRight w:val="0"/>
      <w:marTop w:val="0"/>
      <w:marBottom w:val="0"/>
      <w:divBdr>
        <w:top w:val="none" w:sz="0" w:space="0" w:color="auto"/>
        <w:left w:val="none" w:sz="0" w:space="0" w:color="auto"/>
        <w:bottom w:val="none" w:sz="0" w:space="0" w:color="auto"/>
        <w:right w:val="none" w:sz="0" w:space="0" w:color="auto"/>
      </w:divBdr>
    </w:div>
    <w:div w:id="830290773">
      <w:bodyDiv w:val="1"/>
      <w:marLeft w:val="0"/>
      <w:marRight w:val="0"/>
      <w:marTop w:val="0"/>
      <w:marBottom w:val="0"/>
      <w:divBdr>
        <w:top w:val="none" w:sz="0" w:space="0" w:color="auto"/>
        <w:left w:val="none" w:sz="0" w:space="0" w:color="auto"/>
        <w:bottom w:val="none" w:sz="0" w:space="0" w:color="auto"/>
        <w:right w:val="none" w:sz="0" w:space="0" w:color="auto"/>
      </w:divBdr>
    </w:div>
    <w:div w:id="1500579699">
      <w:bodyDiv w:val="1"/>
      <w:marLeft w:val="0"/>
      <w:marRight w:val="0"/>
      <w:marTop w:val="0"/>
      <w:marBottom w:val="0"/>
      <w:divBdr>
        <w:top w:val="none" w:sz="0" w:space="0" w:color="auto"/>
        <w:left w:val="none" w:sz="0" w:space="0" w:color="auto"/>
        <w:bottom w:val="none" w:sz="0" w:space="0" w:color="auto"/>
        <w:right w:val="none" w:sz="0" w:space="0" w:color="auto"/>
      </w:divBdr>
    </w:div>
    <w:div w:id="1650673033">
      <w:bodyDiv w:val="1"/>
      <w:marLeft w:val="0"/>
      <w:marRight w:val="0"/>
      <w:marTop w:val="0"/>
      <w:marBottom w:val="0"/>
      <w:divBdr>
        <w:top w:val="none" w:sz="0" w:space="0" w:color="auto"/>
        <w:left w:val="none" w:sz="0" w:space="0" w:color="auto"/>
        <w:bottom w:val="none" w:sz="0" w:space="0" w:color="auto"/>
        <w:right w:val="none" w:sz="0" w:space="0" w:color="auto"/>
      </w:divBdr>
    </w:div>
    <w:div w:id="2020698376">
      <w:bodyDiv w:val="1"/>
      <w:marLeft w:val="0"/>
      <w:marRight w:val="0"/>
      <w:marTop w:val="0"/>
      <w:marBottom w:val="0"/>
      <w:divBdr>
        <w:top w:val="none" w:sz="0" w:space="0" w:color="auto"/>
        <w:left w:val="none" w:sz="0" w:space="0" w:color="auto"/>
        <w:bottom w:val="none" w:sz="0" w:space="0" w:color="auto"/>
        <w:right w:val="none" w:sz="0" w:space="0" w:color="auto"/>
      </w:divBdr>
    </w:div>
    <w:div w:id="20514897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mariusviljoen@absamail.co.z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ugene@law.co.za"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info@nethavhaniattorneys.co.za" TargetMode="External"/><Relationship Id="rId4" Type="http://schemas.openxmlformats.org/officeDocument/2006/relationships/webSettings" Target="webSettings.xml"/><Relationship Id="rId9" Type="http://schemas.openxmlformats.org/officeDocument/2006/relationships/hyperlink" Target="mailto:mukwevo@rsabar.co.z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2936</Words>
  <Characters>16737</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Adv Jonathan de Beer</dc:creator>
  <cp:lastModifiedBy>Mokone</cp:lastModifiedBy>
  <cp:revision>3</cp:revision>
  <cp:lastPrinted>2023-05-22T08:31:00Z</cp:lastPrinted>
  <dcterms:created xsi:type="dcterms:W3CDTF">2023-06-02T11:10:00Z</dcterms:created>
  <dcterms:modified xsi:type="dcterms:W3CDTF">2023-06-02T11:11:00Z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2022-06-08T00:00:00Z</vt:filetime>
  </property>
  <property fmtid="{D5CDD505-2E9C-101B-9397-08002B2CF9AE}" pid="3" name="Creator">
    <vt:lpwstr>Microsoft® Word 2016</vt:lpwstr>
  </property>
  <property fmtid="{D5CDD505-2E9C-101B-9397-08002B2CF9AE}" pid="4" name="LastSaved">
    <vt:filetime>2022-11-08T00:00:00Z</vt:filetime>
  </property>
  <property fmtid="{D5CDD505-2E9C-101B-9397-08002B2CF9AE}" pid="5" name="GrammarlyDocumentId">
    <vt:lpwstr>9f0bb519c3827af5d6af4272d3def5dbedb0372163d268437b288532ce9ec144</vt:lpwstr>
  </property>
</Properties>
</file>