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E31BA4" w:rsidRDefault="00A60BC7" w:rsidP="00A60BC7">
      <w:pPr>
        <w:pStyle w:val="Title"/>
        <w:spacing w:after="120" w:line="360" w:lineRule="auto"/>
        <w:rPr>
          <w:rFonts w:ascii="Times New Roman" w:hAnsi="Times New Roman" w:cs="Times New Roman"/>
          <w:sz w:val="24"/>
        </w:rPr>
      </w:pPr>
      <w:bookmarkStart w:id="0" w:name="_GoBack"/>
      <w:bookmarkEnd w:id="0"/>
      <w:r w:rsidRPr="00E31BA4">
        <w:rPr>
          <w:rFonts w:ascii="Times New Roman" w:hAnsi="Times New Roman" w:cs="Times New Roman"/>
          <w:noProof/>
          <w:sz w:val="24"/>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E31BA4" w:rsidRDefault="00E519F2" w:rsidP="00E519F2">
      <w:pPr>
        <w:spacing w:line="240" w:lineRule="auto"/>
        <w:jc w:val="center"/>
        <w:rPr>
          <w:rFonts w:ascii="Times New Roman" w:hAnsi="Times New Roman"/>
          <w:b/>
          <w:sz w:val="24"/>
        </w:rPr>
      </w:pPr>
      <w:r w:rsidRPr="00E31BA4">
        <w:rPr>
          <w:rFonts w:ascii="Times New Roman" w:hAnsi="Times New Roman"/>
          <w:b/>
          <w:sz w:val="24"/>
        </w:rPr>
        <w:t xml:space="preserve">IN THE HIGH COURT OF SOUTH AFRICA, </w:t>
      </w:r>
    </w:p>
    <w:p w14:paraId="01EF9AF4" w14:textId="7C2821B0" w:rsidR="00E519F2" w:rsidRPr="00E31BA4" w:rsidRDefault="00E519F2" w:rsidP="00E519F2">
      <w:pPr>
        <w:spacing w:line="240" w:lineRule="auto"/>
        <w:jc w:val="center"/>
        <w:rPr>
          <w:rFonts w:ascii="Times New Roman" w:hAnsi="Times New Roman"/>
          <w:b/>
          <w:sz w:val="24"/>
        </w:rPr>
      </w:pPr>
      <w:r w:rsidRPr="00E31BA4">
        <w:rPr>
          <w:rFonts w:ascii="Times New Roman" w:hAnsi="Times New Roman"/>
          <w:b/>
          <w:sz w:val="24"/>
        </w:rPr>
        <w:t>GAUTENG</w:t>
      </w:r>
      <w:r w:rsidR="00B25A53" w:rsidRPr="00E31BA4">
        <w:rPr>
          <w:rFonts w:ascii="Times New Roman" w:hAnsi="Times New Roman"/>
          <w:b/>
          <w:sz w:val="24"/>
        </w:rPr>
        <w:t xml:space="preserve"> </w:t>
      </w:r>
      <w:r w:rsidRPr="00E31BA4">
        <w:rPr>
          <w:rFonts w:ascii="Times New Roman" w:hAnsi="Times New Roman"/>
          <w:b/>
          <w:sz w:val="24"/>
        </w:rPr>
        <w:t xml:space="preserve">DIVISION, </w:t>
      </w:r>
      <w:r w:rsidR="00687172" w:rsidRPr="00E31BA4">
        <w:rPr>
          <w:rFonts w:ascii="Times New Roman" w:hAnsi="Times New Roman"/>
          <w:b/>
          <w:sz w:val="24"/>
        </w:rPr>
        <w:t>PRETORIA</w:t>
      </w:r>
    </w:p>
    <w:p w14:paraId="4A505D1D" w14:textId="77777777" w:rsidR="00601F7C" w:rsidRPr="00E31BA4" w:rsidRDefault="00601F7C" w:rsidP="00E519F2">
      <w:pPr>
        <w:spacing w:line="240" w:lineRule="auto"/>
        <w:jc w:val="center"/>
        <w:rPr>
          <w:rFonts w:ascii="Times New Roman" w:hAnsi="Times New Roman"/>
          <w:b/>
          <w:sz w:val="24"/>
        </w:rPr>
      </w:pPr>
    </w:p>
    <w:p w14:paraId="60182ABA" w14:textId="0EA08D82" w:rsidR="00E519F2" w:rsidRPr="00E31BA4" w:rsidRDefault="00601F7C" w:rsidP="00601F7C">
      <w:pPr>
        <w:spacing w:line="240" w:lineRule="auto"/>
        <w:jc w:val="right"/>
        <w:rPr>
          <w:rFonts w:ascii="Times New Roman" w:hAnsi="Times New Roman"/>
          <w:b/>
          <w:sz w:val="24"/>
        </w:rPr>
      </w:pPr>
      <w:r w:rsidRPr="00E31BA4">
        <w:rPr>
          <w:rFonts w:ascii="Times New Roman" w:hAnsi="Times New Roman"/>
          <w:b/>
          <w:sz w:val="24"/>
        </w:rPr>
        <w:tab/>
      </w:r>
      <w:r w:rsidRPr="00E31BA4">
        <w:rPr>
          <w:rFonts w:ascii="Times New Roman" w:hAnsi="Times New Roman"/>
          <w:b/>
          <w:sz w:val="24"/>
        </w:rPr>
        <w:tab/>
      </w:r>
      <w:r w:rsidRPr="00E31BA4">
        <w:rPr>
          <w:rFonts w:ascii="Times New Roman" w:hAnsi="Times New Roman"/>
          <w:b/>
          <w:sz w:val="24"/>
        </w:rPr>
        <w:tab/>
      </w:r>
      <w:r w:rsidRPr="00E31BA4">
        <w:rPr>
          <w:rFonts w:ascii="Times New Roman" w:hAnsi="Times New Roman"/>
          <w:b/>
          <w:sz w:val="24"/>
        </w:rPr>
        <w:tab/>
      </w:r>
      <w:r w:rsidRPr="00E31BA4">
        <w:rPr>
          <w:rFonts w:ascii="Times New Roman" w:hAnsi="Times New Roman"/>
          <w:b/>
          <w:sz w:val="24"/>
        </w:rPr>
        <w:tab/>
      </w:r>
      <w:r w:rsidRPr="00E31BA4">
        <w:rPr>
          <w:rFonts w:ascii="Times New Roman" w:hAnsi="Times New Roman"/>
          <w:b/>
          <w:sz w:val="24"/>
        </w:rPr>
        <w:tab/>
        <w:t xml:space="preserve">CASE NO: </w:t>
      </w:r>
      <w:r w:rsidR="00FA361F" w:rsidRPr="00E31BA4">
        <w:rPr>
          <w:rFonts w:ascii="Times New Roman" w:hAnsi="Times New Roman"/>
          <w:b/>
          <w:sz w:val="24"/>
        </w:rPr>
        <w:t>31304/2022</w:t>
      </w:r>
    </w:p>
    <w:p w14:paraId="424B6A12" w14:textId="332B3B04" w:rsidR="00005586" w:rsidRPr="00E31BA4" w:rsidRDefault="00005586" w:rsidP="00E519F2">
      <w:pPr>
        <w:jc w:val="right"/>
        <w:rPr>
          <w:rFonts w:ascii="Times New Roman" w:hAnsi="Times New Roman"/>
          <w:b/>
          <w:sz w:val="24"/>
        </w:rPr>
      </w:pPr>
    </w:p>
    <w:p w14:paraId="31CA93AA" w14:textId="038E152E" w:rsidR="00E519F2" w:rsidRPr="00E31BA4" w:rsidRDefault="00792993" w:rsidP="00647012">
      <w:pPr>
        <w:jc w:val="right"/>
        <w:rPr>
          <w:rFonts w:ascii="Times New Roman" w:hAnsi="Times New Roman"/>
          <w:sz w:val="24"/>
        </w:rPr>
      </w:pPr>
      <w:r w:rsidRPr="00E31BA4">
        <w:rPr>
          <w:rFonts w:ascii="Times New Roman" w:hAnsi="Times New Roman"/>
          <w:noProof/>
          <w:sz w:val="24"/>
          <w:lang w:val="en-US"/>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77457EEE"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1227C8">
                              <w:rPr>
                                <w:rFonts w:ascii="Century Gothic" w:hAnsi="Century Gothic"/>
                                <w:b/>
                                <w:sz w:val="18"/>
                                <w:szCs w:val="18"/>
                              </w:rPr>
                              <w:t>2</w:t>
                            </w:r>
                            <w:r w:rsidR="005320FC">
                              <w:rPr>
                                <w:rFonts w:ascii="Century Gothic" w:hAnsi="Century Gothic"/>
                                <w:b/>
                                <w:sz w:val="18"/>
                                <w:szCs w:val="18"/>
                              </w:rPr>
                              <w:t>6</w:t>
                            </w:r>
                            <w:r w:rsidR="001227C8">
                              <w:rPr>
                                <w:rFonts w:ascii="Century Gothic" w:hAnsi="Century Gothic"/>
                                <w:b/>
                                <w:sz w:val="18"/>
                                <w:szCs w:val="18"/>
                              </w:rPr>
                              <w:t xml:space="preserve"> May </w:t>
                            </w:r>
                            <w:r w:rsidR="0093513D">
                              <w:rPr>
                                <w:rFonts w:ascii="Century Gothic" w:hAnsi="Century Gothic"/>
                                <w:b/>
                                <w:sz w:val="18"/>
                                <w:szCs w:val="18"/>
                              </w:rPr>
                              <w:t>2023</w:t>
                            </w:r>
                            <w:r w:rsidRPr="00084341">
                              <w:rPr>
                                <w:rFonts w:ascii="Century Gothic" w:hAnsi="Century Gothic"/>
                                <w:b/>
                                <w:sz w:val="18"/>
                                <w:szCs w:val="18"/>
                              </w:rPr>
                              <w:tab/>
                            </w:r>
                            <w:r w:rsidR="00757CBA">
                              <w:rPr>
                                <w:rFonts w:ascii="Century Gothic" w:hAnsi="Century Gothic"/>
                                <w:b/>
                                <w:sz w:val="18"/>
                                <w:szCs w:val="18"/>
                              </w:rPr>
                              <w:t xml:space="preserve">          </w:t>
                            </w:r>
                            <w:r w:rsidRPr="00084341">
                              <w:rPr>
                                <w:rFonts w:ascii="Century Gothic" w:hAnsi="Century Gothic"/>
                                <w:b/>
                                <w:sz w:val="18"/>
                                <w:szCs w:val="18"/>
                              </w:rPr>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77457EEE"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1227C8">
                        <w:rPr>
                          <w:rFonts w:ascii="Century Gothic" w:hAnsi="Century Gothic"/>
                          <w:b/>
                          <w:sz w:val="18"/>
                          <w:szCs w:val="18"/>
                        </w:rPr>
                        <w:t>2</w:t>
                      </w:r>
                      <w:r w:rsidR="005320FC">
                        <w:rPr>
                          <w:rFonts w:ascii="Century Gothic" w:hAnsi="Century Gothic"/>
                          <w:b/>
                          <w:sz w:val="18"/>
                          <w:szCs w:val="18"/>
                        </w:rPr>
                        <w:t>6</w:t>
                      </w:r>
                      <w:r w:rsidR="001227C8">
                        <w:rPr>
                          <w:rFonts w:ascii="Century Gothic" w:hAnsi="Century Gothic"/>
                          <w:b/>
                          <w:sz w:val="18"/>
                          <w:szCs w:val="18"/>
                        </w:rPr>
                        <w:t xml:space="preserve"> May </w:t>
                      </w:r>
                      <w:r w:rsidR="0093513D">
                        <w:rPr>
                          <w:rFonts w:ascii="Century Gothic" w:hAnsi="Century Gothic"/>
                          <w:b/>
                          <w:sz w:val="18"/>
                          <w:szCs w:val="18"/>
                        </w:rPr>
                        <w:t>2023</w:t>
                      </w:r>
                      <w:r w:rsidRPr="00084341">
                        <w:rPr>
                          <w:rFonts w:ascii="Century Gothic" w:hAnsi="Century Gothic"/>
                          <w:b/>
                          <w:sz w:val="18"/>
                          <w:szCs w:val="18"/>
                        </w:rPr>
                        <w:tab/>
                      </w:r>
                      <w:r w:rsidR="00757CBA">
                        <w:rPr>
                          <w:rFonts w:ascii="Century Gothic" w:hAnsi="Century Gothic"/>
                          <w:b/>
                          <w:sz w:val="18"/>
                          <w:szCs w:val="18"/>
                        </w:rPr>
                        <w:t xml:space="preserve">          </w:t>
                      </w:r>
                      <w:r w:rsidRPr="00084341">
                        <w:rPr>
                          <w:rFonts w:ascii="Century Gothic" w:hAnsi="Century Gothic"/>
                          <w:b/>
                          <w:sz w:val="18"/>
                          <w:szCs w:val="18"/>
                        </w:rPr>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E31BA4" w:rsidRDefault="00F9123D" w:rsidP="00E519F2">
      <w:pPr>
        <w:rPr>
          <w:rFonts w:ascii="Times New Roman" w:hAnsi="Times New Roman"/>
          <w:sz w:val="24"/>
        </w:rPr>
      </w:pPr>
    </w:p>
    <w:p w14:paraId="79B48B3F" w14:textId="77777777" w:rsidR="00E519F2" w:rsidRPr="00E31BA4" w:rsidRDefault="00E519F2" w:rsidP="00E519F2">
      <w:pPr>
        <w:rPr>
          <w:rFonts w:ascii="Times New Roman" w:hAnsi="Times New Roman"/>
          <w:sz w:val="24"/>
        </w:rPr>
      </w:pPr>
    </w:p>
    <w:p w14:paraId="1E4EDFFB" w14:textId="77777777" w:rsidR="00E519F2" w:rsidRPr="00E31BA4" w:rsidRDefault="00E519F2" w:rsidP="00E519F2">
      <w:pPr>
        <w:rPr>
          <w:rFonts w:ascii="Times New Roman" w:hAnsi="Times New Roman"/>
          <w:sz w:val="24"/>
        </w:rPr>
      </w:pPr>
    </w:p>
    <w:p w14:paraId="52F36FD5" w14:textId="77777777" w:rsidR="00E519F2" w:rsidRPr="00E31BA4" w:rsidRDefault="00E519F2" w:rsidP="00E519F2">
      <w:pPr>
        <w:spacing w:line="480" w:lineRule="auto"/>
        <w:rPr>
          <w:rFonts w:ascii="Times New Roman" w:hAnsi="Times New Roman"/>
          <w:sz w:val="24"/>
        </w:rPr>
      </w:pPr>
    </w:p>
    <w:p w14:paraId="60161B70" w14:textId="77777777" w:rsidR="00E519F2" w:rsidRPr="00E31BA4" w:rsidRDefault="00E519F2" w:rsidP="00E519F2">
      <w:pPr>
        <w:spacing w:line="480" w:lineRule="auto"/>
        <w:rPr>
          <w:rFonts w:ascii="Times New Roman" w:hAnsi="Times New Roman"/>
          <w:sz w:val="24"/>
        </w:rPr>
      </w:pPr>
    </w:p>
    <w:p w14:paraId="4B278874" w14:textId="7D67E763" w:rsidR="00E519F2" w:rsidRPr="00E31BA4" w:rsidRDefault="006B3B69" w:rsidP="00E36E33">
      <w:pPr>
        <w:tabs>
          <w:tab w:val="left" w:pos="8460"/>
        </w:tabs>
        <w:spacing w:line="480" w:lineRule="auto"/>
        <w:rPr>
          <w:rFonts w:ascii="Times New Roman" w:hAnsi="Times New Roman"/>
          <w:sz w:val="24"/>
        </w:rPr>
      </w:pPr>
      <w:r w:rsidRPr="00E31BA4">
        <w:rPr>
          <w:rFonts w:ascii="Times New Roman" w:hAnsi="Times New Roman"/>
          <w:sz w:val="24"/>
        </w:rPr>
        <w:t xml:space="preserve"> </w:t>
      </w:r>
      <w:r w:rsidR="00E519F2" w:rsidRPr="00E31BA4">
        <w:rPr>
          <w:rFonts w:ascii="Times New Roman" w:hAnsi="Times New Roman"/>
          <w:sz w:val="24"/>
        </w:rPr>
        <w:t>In the</w:t>
      </w:r>
      <w:r w:rsidR="005103BA" w:rsidRPr="00E31BA4">
        <w:rPr>
          <w:rFonts w:ascii="Times New Roman" w:hAnsi="Times New Roman"/>
          <w:sz w:val="24"/>
        </w:rPr>
        <w:t xml:space="preserve"> </w:t>
      </w:r>
      <w:r w:rsidR="002B1C11" w:rsidRPr="00E31BA4">
        <w:rPr>
          <w:rFonts w:ascii="Times New Roman" w:hAnsi="Times New Roman"/>
          <w:sz w:val="24"/>
        </w:rPr>
        <w:t>matter</w:t>
      </w:r>
      <w:r w:rsidR="00E519F2" w:rsidRPr="00E31BA4">
        <w:rPr>
          <w:rFonts w:ascii="Times New Roman" w:hAnsi="Times New Roman"/>
          <w:sz w:val="24"/>
        </w:rPr>
        <w:t xml:space="preserve"> between:</w:t>
      </w:r>
    </w:p>
    <w:p w14:paraId="1624BF5F" w14:textId="49AB137C" w:rsidR="00B5421C" w:rsidRPr="00E31BA4" w:rsidRDefault="00B5421C" w:rsidP="00E36E33">
      <w:pPr>
        <w:tabs>
          <w:tab w:val="left" w:pos="8460"/>
        </w:tabs>
        <w:spacing w:line="480" w:lineRule="auto"/>
        <w:rPr>
          <w:rFonts w:ascii="Times New Roman" w:hAnsi="Times New Roman"/>
          <w:sz w:val="24"/>
        </w:rPr>
      </w:pPr>
    </w:p>
    <w:tbl>
      <w:tblPr>
        <w:tblW w:w="10831" w:type="dxa"/>
        <w:tblLook w:val="0000" w:firstRow="0" w:lastRow="0" w:firstColumn="0" w:lastColumn="0" w:noHBand="0" w:noVBand="0"/>
      </w:tblPr>
      <w:tblGrid>
        <w:gridCol w:w="8460"/>
        <w:gridCol w:w="2371"/>
      </w:tblGrid>
      <w:tr w:rsidR="00647012" w:rsidRPr="00E31BA4" w14:paraId="62D6BDD3" w14:textId="77777777" w:rsidTr="0093513D">
        <w:tc>
          <w:tcPr>
            <w:tcW w:w="8460" w:type="dxa"/>
          </w:tcPr>
          <w:p w14:paraId="65D0EAE0" w14:textId="0698992D" w:rsidR="00B5421C" w:rsidRPr="00E31BA4" w:rsidRDefault="00FA6CEE" w:rsidP="00687172">
            <w:pPr>
              <w:spacing w:line="240" w:lineRule="auto"/>
              <w:jc w:val="left"/>
              <w:rPr>
                <w:rFonts w:ascii="Times New Roman" w:hAnsi="Times New Roman"/>
                <w:b/>
                <w:bCs/>
                <w:sz w:val="24"/>
              </w:rPr>
            </w:pPr>
            <w:r w:rsidRPr="00E31BA4">
              <w:rPr>
                <w:rFonts w:ascii="Times New Roman" w:hAnsi="Times New Roman"/>
                <w:b/>
                <w:bCs/>
                <w:sz w:val="24"/>
              </w:rPr>
              <w:t xml:space="preserve">SKY </w:t>
            </w:r>
            <w:r w:rsidR="00FA361F" w:rsidRPr="00E31BA4">
              <w:rPr>
                <w:rFonts w:ascii="Times New Roman" w:hAnsi="Times New Roman"/>
                <w:b/>
                <w:bCs/>
                <w:sz w:val="24"/>
              </w:rPr>
              <w:t xml:space="preserve">METRO EQUIPMENT (PTY) LTD                              </w:t>
            </w:r>
            <w:r w:rsidRPr="00E31BA4">
              <w:rPr>
                <w:rFonts w:ascii="Times New Roman" w:hAnsi="Times New Roman"/>
                <w:b/>
                <w:bCs/>
                <w:sz w:val="24"/>
              </w:rPr>
              <w:t xml:space="preserve"> </w:t>
            </w:r>
            <w:r w:rsidR="00362721" w:rsidRPr="00E31BA4">
              <w:rPr>
                <w:rFonts w:ascii="Times New Roman" w:hAnsi="Times New Roman"/>
                <w:b/>
                <w:bCs/>
                <w:sz w:val="24"/>
              </w:rPr>
              <w:t xml:space="preserve">        </w:t>
            </w:r>
            <w:r w:rsidR="00A2350C" w:rsidRPr="00E31BA4">
              <w:rPr>
                <w:rFonts w:ascii="Times New Roman" w:hAnsi="Times New Roman"/>
                <w:b/>
                <w:bCs/>
                <w:sz w:val="24"/>
              </w:rPr>
              <w:t xml:space="preserve">  </w:t>
            </w:r>
            <w:r w:rsidR="00362721" w:rsidRPr="00E31BA4">
              <w:rPr>
                <w:rFonts w:ascii="Times New Roman" w:hAnsi="Times New Roman"/>
                <w:b/>
                <w:bCs/>
                <w:sz w:val="24"/>
              </w:rPr>
              <w:t xml:space="preserve"> </w:t>
            </w:r>
            <w:r w:rsidR="0093513D" w:rsidRPr="00E31BA4">
              <w:rPr>
                <w:rFonts w:ascii="Times New Roman" w:hAnsi="Times New Roman"/>
                <w:b/>
                <w:bCs/>
                <w:sz w:val="24"/>
              </w:rPr>
              <w:t xml:space="preserve"> APP</w:t>
            </w:r>
            <w:r w:rsidR="00687172" w:rsidRPr="00E31BA4">
              <w:rPr>
                <w:rFonts w:ascii="Times New Roman" w:hAnsi="Times New Roman"/>
                <w:b/>
                <w:bCs/>
                <w:sz w:val="24"/>
              </w:rPr>
              <w:t xml:space="preserve">LICANT </w:t>
            </w:r>
          </w:p>
          <w:p w14:paraId="1D80ED6A" w14:textId="32EFD962" w:rsidR="00EA3873" w:rsidRPr="00E31BA4" w:rsidRDefault="00B5421C" w:rsidP="008C4F15">
            <w:pPr>
              <w:spacing w:line="240" w:lineRule="auto"/>
              <w:ind w:right="-2388"/>
              <w:jc w:val="left"/>
              <w:rPr>
                <w:rFonts w:ascii="Times New Roman" w:hAnsi="Times New Roman"/>
                <w:b/>
                <w:bCs/>
                <w:sz w:val="24"/>
              </w:rPr>
            </w:pPr>
            <w:r w:rsidRPr="00E31BA4">
              <w:rPr>
                <w:rFonts w:ascii="Times New Roman" w:hAnsi="Times New Roman"/>
                <w:b/>
                <w:bCs/>
                <w:sz w:val="24"/>
              </w:rPr>
              <w:t xml:space="preserve">                 </w:t>
            </w:r>
          </w:p>
        </w:tc>
        <w:tc>
          <w:tcPr>
            <w:tcW w:w="2371" w:type="dxa"/>
          </w:tcPr>
          <w:p w14:paraId="7620C948" w14:textId="12B4C36E" w:rsidR="00647012" w:rsidRPr="00E31BA4" w:rsidRDefault="00647012" w:rsidP="008C4F15">
            <w:pPr>
              <w:spacing w:line="240" w:lineRule="auto"/>
              <w:jc w:val="right"/>
              <w:rPr>
                <w:rFonts w:ascii="Times New Roman" w:hAnsi="Times New Roman"/>
                <w:sz w:val="24"/>
              </w:rPr>
            </w:pPr>
          </w:p>
        </w:tc>
      </w:tr>
      <w:tr w:rsidR="00005586" w:rsidRPr="00E31BA4" w14:paraId="333645C3" w14:textId="77777777" w:rsidTr="0093513D">
        <w:tc>
          <w:tcPr>
            <w:tcW w:w="8460" w:type="dxa"/>
          </w:tcPr>
          <w:p w14:paraId="67BE8838" w14:textId="77777777" w:rsidR="00005586" w:rsidRPr="00E31BA4" w:rsidRDefault="00005586" w:rsidP="005103BA">
            <w:pPr>
              <w:spacing w:line="240" w:lineRule="auto"/>
              <w:jc w:val="left"/>
              <w:rPr>
                <w:rFonts w:ascii="Times New Roman" w:hAnsi="Times New Roman"/>
                <w:b/>
                <w:bCs/>
                <w:sz w:val="24"/>
              </w:rPr>
            </w:pPr>
          </w:p>
        </w:tc>
        <w:tc>
          <w:tcPr>
            <w:tcW w:w="2371" w:type="dxa"/>
          </w:tcPr>
          <w:p w14:paraId="137CBB9E" w14:textId="77777777" w:rsidR="00005586" w:rsidRPr="00E31BA4" w:rsidRDefault="00005586" w:rsidP="00F9123D">
            <w:pPr>
              <w:spacing w:line="240" w:lineRule="auto"/>
              <w:jc w:val="right"/>
              <w:rPr>
                <w:rFonts w:ascii="Times New Roman" w:hAnsi="Times New Roman"/>
                <w:sz w:val="24"/>
              </w:rPr>
            </w:pPr>
          </w:p>
        </w:tc>
      </w:tr>
      <w:tr w:rsidR="00005586" w:rsidRPr="00E31BA4" w14:paraId="25A1FEE2" w14:textId="77777777" w:rsidTr="0093513D">
        <w:tc>
          <w:tcPr>
            <w:tcW w:w="8460" w:type="dxa"/>
          </w:tcPr>
          <w:p w14:paraId="5D057F9A" w14:textId="7D5BE21E" w:rsidR="00005586" w:rsidRPr="00E31BA4" w:rsidRDefault="00005586" w:rsidP="005103BA">
            <w:pPr>
              <w:spacing w:line="240" w:lineRule="auto"/>
              <w:jc w:val="left"/>
              <w:rPr>
                <w:rFonts w:ascii="Times New Roman" w:hAnsi="Times New Roman"/>
                <w:b/>
                <w:sz w:val="24"/>
              </w:rPr>
            </w:pPr>
          </w:p>
        </w:tc>
        <w:tc>
          <w:tcPr>
            <w:tcW w:w="2371" w:type="dxa"/>
          </w:tcPr>
          <w:p w14:paraId="36FD11D6" w14:textId="02BB225A" w:rsidR="00F15E41" w:rsidRPr="00E31BA4" w:rsidRDefault="00F15E41" w:rsidP="00E36E33">
            <w:pPr>
              <w:tabs>
                <w:tab w:val="left" w:pos="2076"/>
              </w:tabs>
              <w:spacing w:line="240" w:lineRule="auto"/>
              <w:rPr>
                <w:rFonts w:ascii="Times New Roman" w:hAnsi="Times New Roman"/>
                <w:sz w:val="24"/>
              </w:rPr>
            </w:pPr>
          </w:p>
        </w:tc>
      </w:tr>
      <w:tr w:rsidR="00647012" w:rsidRPr="00E31BA4" w14:paraId="7DC2C509" w14:textId="77777777" w:rsidTr="0093513D">
        <w:tc>
          <w:tcPr>
            <w:tcW w:w="8460" w:type="dxa"/>
          </w:tcPr>
          <w:p w14:paraId="05BFF3FB" w14:textId="4DAB7833" w:rsidR="00F15E41" w:rsidRPr="00E31BA4" w:rsidRDefault="00B5421C" w:rsidP="00F9123D">
            <w:pPr>
              <w:spacing w:line="240" w:lineRule="auto"/>
              <w:jc w:val="left"/>
              <w:rPr>
                <w:rFonts w:ascii="Times New Roman" w:hAnsi="Times New Roman"/>
                <w:bCs/>
                <w:sz w:val="24"/>
              </w:rPr>
            </w:pPr>
            <w:r w:rsidRPr="00E31BA4">
              <w:rPr>
                <w:rFonts w:ascii="Times New Roman" w:hAnsi="Times New Roman"/>
                <w:bCs/>
                <w:sz w:val="24"/>
              </w:rPr>
              <w:t xml:space="preserve">And </w:t>
            </w:r>
          </w:p>
        </w:tc>
        <w:tc>
          <w:tcPr>
            <w:tcW w:w="2371" w:type="dxa"/>
          </w:tcPr>
          <w:p w14:paraId="2FFFA752" w14:textId="48FE85EB" w:rsidR="00F15E41" w:rsidRPr="00E31BA4" w:rsidRDefault="00F15E41" w:rsidP="00F9123D">
            <w:pPr>
              <w:spacing w:line="240" w:lineRule="auto"/>
              <w:jc w:val="right"/>
              <w:rPr>
                <w:rFonts w:ascii="Times New Roman" w:hAnsi="Times New Roman"/>
                <w:sz w:val="24"/>
              </w:rPr>
            </w:pPr>
          </w:p>
        </w:tc>
      </w:tr>
      <w:tr w:rsidR="00647012" w:rsidRPr="00E31BA4" w14:paraId="12B7EC8E" w14:textId="77777777" w:rsidTr="0093513D">
        <w:tc>
          <w:tcPr>
            <w:tcW w:w="8460" w:type="dxa"/>
          </w:tcPr>
          <w:p w14:paraId="47849FCA" w14:textId="08F46B60" w:rsidR="00647012" w:rsidRPr="00E31BA4" w:rsidRDefault="00647012" w:rsidP="00F9123D">
            <w:pPr>
              <w:spacing w:line="240" w:lineRule="auto"/>
              <w:jc w:val="left"/>
              <w:rPr>
                <w:rFonts w:ascii="Times New Roman" w:hAnsi="Times New Roman"/>
                <w:sz w:val="24"/>
              </w:rPr>
            </w:pPr>
            <w:r w:rsidRPr="00E31BA4">
              <w:rPr>
                <w:rFonts w:ascii="Times New Roman" w:hAnsi="Times New Roman"/>
                <w:sz w:val="24"/>
              </w:rPr>
              <w:t xml:space="preserve">  </w:t>
            </w:r>
          </w:p>
        </w:tc>
        <w:tc>
          <w:tcPr>
            <w:tcW w:w="2371" w:type="dxa"/>
          </w:tcPr>
          <w:p w14:paraId="45F2E7EB" w14:textId="77777777" w:rsidR="00647012" w:rsidRPr="00E31BA4" w:rsidRDefault="00647012" w:rsidP="00F9123D">
            <w:pPr>
              <w:spacing w:line="240" w:lineRule="auto"/>
              <w:jc w:val="right"/>
              <w:rPr>
                <w:rFonts w:ascii="Times New Roman" w:hAnsi="Times New Roman"/>
                <w:sz w:val="24"/>
              </w:rPr>
            </w:pPr>
          </w:p>
        </w:tc>
      </w:tr>
      <w:tr w:rsidR="00647012" w:rsidRPr="00E31BA4" w14:paraId="2803DE47" w14:textId="77777777" w:rsidTr="0093513D">
        <w:tc>
          <w:tcPr>
            <w:tcW w:w="8460" w:type="dxa"/>
          </w:tcPr>
          <w:p w14:paraId="7F508AC0" w14:textId="77777777" w:rsidR="00647012" w:rsidRPr="00E31BA4" w:rsidRDefault="00647012" w:rsidP="000F05C4">
            <w:pPr>
              <w:spacing w:line="240" w:lineRule="auto"/>
              <w:jc w:val="left"/>
              <w:rPr>
                <w:rFonts w:ascii="Times New Roman" w:hAnsi="Times New Roman"/>
                <w:sz w:val="24"/>
              </w:rPr>
            </w:pPr>
          </w:p>
          <w:p w14:paraId="34FAB052" w14:textId="77777777" w:rsidR="00647012" w:rsidRPr="00E31BA4" w:rsidRDefault="00647012" w:rsidP="00F9123D">
            <w:pPr>
              <w:spacing w:line="240" w:lineRule="auto"/>
              <w:jc w:val="left"/>
              <w:rPr>
                <w:rFonts w:ascii="Times New Roman" w:hAnsi="Times New Roman"/>
                <w:sz w:val="24"/>
              </w:rPr>
            </w:pPr>
          </w:p>
        </w:tc>
        <w:tc>
          <w:tcPr>
            <w:tcW w:w="2371" w:type="dxa"/>
          </w:tcPr>
          <w:p w14:paraId="104AFE20" w14:textId="77777777" w:rsidR="00647012" w:rsidRPr="00E31BA4" w:rsidRDefault="00647012" w:rsidP="00F9123D">
            <w:pPr>
              <w:spacing w:line="240" w:lineRule="auto"/>
              <w:jc w:val="right"/>
              <w:rPr>
                <w:rFonts w:ascii="Times New Roman" w:hAnsi="Times New Roman"/>
                <w:sz w:val="24"/>
              </w:rPr>
            </w:pPr>
          </w:p>
        </w:tc>
      </w:tr>
      <w:tr w:rsidR="00F15E41" w:rsidRPr="00E31BA4" w14:paraId="11BBA1C8" w14:textId="77777777" w:rsidTr="0093513D">
        <w:tc>
          <w:tcPr>
            <w:tcW w:w="8460" w:type="dxa"/>
          </w:tcPr>
          <w:p w14:paraId="38FFB6ED" w14:textId="77777777" w:rsidR="00FA361F" w:rsidRPr="00E31BA4" w:rsidRDefault="00FA361F" w:rsidP="0093513D">
            <w:pPr>
              <w:spacing w:line="240" w:lineRule="auto"/>
              <w:ind w:right="-2388"/>
              <w:jc w:val="left"/>
              <w:rPr>
                <w:rFonts w:ascii="Times New Roman" w:hAnsi="Times New Roman"/>
                <w:b/>
                <w:bCs/>
                <w:sz w:val="24"/>
              </w:rPr>
            </w:pPr>
            <w:r w:rsidRPr="00E31BA4">
              <w:rPr>
                <w:rFonts w:ascii="Times New Roman" w:hAnsi="Times New Roman"/>
                <w:b/>
                <w:bCs/>
                <w:sz w:val="24"/>
              </w:rPr>
              <w:t xml:space="preserve">THE </w:t>
            </w:r>
            <w:r w:rsidR="00FA6CEE" w:rsidRPr="00E31BA4">
              <w:rPr>
                <w:rFonts w:ascii="Times New Roman" w:hAnsi="Times New Roman"/>
                <w:b/>
                <w:bCs/>
                <w:sz w:val="24"/>
              </w:rPr>
              <w:t>W</w:t>
            </w:r>
            <w:r w:rsidRPr="00E31BA4">
              <w:rPr>
                <w:rFonts w:ascii="Times New Roman" w:hAnsi="Times New Roman"/>
                <w:b/>
                <w:bCs/>
                <w:sz w:val="24"/>
              </w:rPr>
              <w:t xml:space="preserve">HOLESALE AND RETAIL SECTOR </w:t>
            </w:r>
          </w:p>
          <w:p w14:paraId="291940FF" w14:textId="0B68F191" w:rsidR="00FA361F" w:rsidRPr="00E31BA4" w:rsidRDefault="00FA361F" w:rsidP="0093513D">
            <w:pPr>
              <w:spacing w:line="240" w:lineRule="auto"/>
              <w:ind w:right="-2388"/>
              <w:jc w:val="left"/>
              <w:rPr>
                <w:rFonts w:ascii="Times New Roman" w:hAnsi="Times New Roman"/>
                <w:b/>
                <w:bCs/>
                <w:sz w:val="24"/>
              </w:rPr>
            </w:pPr>
            <w:r w:rsidRPr="00E31BA4">
              <w:rPr>
                <w:rFonts w:ascii="Times New Roman" w:hAnsi="Times New Roman"/>
                <w:b/>
                <w:bCs/>
                <w:sz w:val="24"/>
              </w:rPr>
              <w:t xml:space="preserve">EDUCATION AND TRAINING AUTHORITY </w:t>
            </w:r>
          </w:p>
          <w:p w14:paraId="184E27E5" w14:textId="6B01E652" w:rsidR="00FA361F" w:rsidRPr="00E31BA4" w:rsidRDefault="00FA361F" w:rsidP="00FA361F">
            <w:pPr>
              <w:spacing w:line="240" w:lineRule="auto"/>
              <w:ind w:right="-2388"/>
              <w:jc w:val="left"/>
              <w:rPr>
                <w:rFonts w:ascii="Times New Roman" w:hAnsi="Times New Roman"/>
                <w:b/>
                <w:bCs/>
                <w:sz w:val="24"/>
              </w:rPr>
            </w:pPr>
            <w:r w:rsidRPr="00E31BA4">
              <w:rPr>
                <w:rFonts w:ascii="Times New Roman" w:hAnsi="Times New Roman"/>
                <w:b/>
                <w:bCs/>
                <w:sz w:val="24"/>
              </w:rPr>
              <w:t>(W&amp;</w:t>
            </w:r>
            <w:r w:rsidR="00FA6CEE" w:rsidRPr="00E31BA4">
              <w:rPr>
                <w:rFonts w:ascii="Times New Roman" w:hAnsi="Times New Roman"/>
                <w:b/>
                <w:bCs/>
                <w:sz w:val="24"/>
              </w:rPr>
              <w:t>RSETA</w:t>
            </w:r>
            <w:r w:rsidR="005747AB">
              <w:rPr>
                <w:rFonts w:ascii="Times New Roman" w:hAnsi="Times New Roman"/>
                <w:b/>
                <w:bCs/>
                <w:sz w:val="24"/>
              </w:rPr>
              <w:t>.</w:t>
            </w:r>
            <w:r w:rsidRPr="00E31BA4">
              <w:rPr>
                <w:rFonts w:ascii="Times New Roman" w:hAnsi="Times New Roman"/>
                <w:b/>
                <w:bCs/>
                <w:sz w:val="24"/>
              </w:rPr>
              <w:t xml:space="preserve">)          </w:t>
            </w:r>
            <w:r w:rsidR="00721D98" w:rsidRPr="00E31BA4">
              <w:rPr>
                <w:rFonts w:ascii="Times New Roman" w:hAnsi="Times New Roman"/>
                <w:b/>
                <w:bCs/>
                <w:sz w:val="24"/>
              </w:rPr>
              <w:t xml:space="preserve">   </w:t>
            </w:r>
            <w:r w:rsidR="00A2350C" w:rsidRPr="00E31BA4">
              <w:rPr>
                <w:rFonts w:ascii="Times New Roman" w:hAnsi="Times New Roman"/>
                <w:b/>
                <w:bCs/>
                <w:sz w:val="24"/>
              </w:rPr>
              <w:t xml:space="preserve">               </w:t>
            </w:r>
            <w:r w:rsidR="0093513D" w:rsidRPr="00E31BA4">
              <w:rPr>
                <w:rFonts w:ascii="Times New Roman" w:hAnsi="Times New Roman"/>
                <w:b/>
                <w:bCs/>
                <w:sz w:val="24"/>
              </w:rPr>
              <w:t xml:space="preserve">                     </w:t>
            </w:r>
            <w:r w:rsidR="00BB1A9F" w:rsidRPr="00E31BA4">
              <w:rPr>
                <w:rFonts w:ascii="Times New Roman" w:hAnsi="Times New Roman"/>
                <w:b/>
                <w:bCs/>
                <w:sz w:val="24"/>
              </w:rPr>
              <w:t xml:space="preserve">                  </w:t>
            </w:r>
            <w:r w:rsidR="005747AB">
              <w:rPr>
                <w:rFonts w:ascii="Times New Roman" w:hAnsi="Times New Roman"/>
                <w:b/>
                <w:bCs/>
                <w:sz w:val="24"/>
              </w:rPr>
              <w:t xml:space="preserve">      </w:t>
            </w:r>
            <w:r w:rsidRPr="00E31BA4">
              <w:rPr>
                <w:rFonts w:ascii="Times New Roman" w:hAnsi="Times New Roman"/>
                <w:b/>
                <w:bCs/>
                <w:sz w:val="24"/>
              </w:rPr>
              <w:t xml:space="preserve">FIRST </w:t>
            </w:r>
            <w:r w:rsidR="00BB1A9F" w:rsidRPr="00E31BA4">
              <w:rPr>
                <w:rFonts w:ascii="Times New Roman" w:hAnsi="Times New Roman"/>
                <w:b/>
                <w:bCs/>
                <w:sz w:val="24"/>
              </w:rPr>
              <w:t>RESPONDENT</w:t>
            </w:r>
          </w:p>
          <w:p w14:paraId="59112CBD" w14:textId="77777777" w:rsidR="00FA361F" w:rsidRPr="00E31BA4" w:rsidRDefault="00FA361F" w:rsidP="00FA361F">
            <w:pPr>
              <w:spacing w:line="240" w:lineRule="auto"/>
              <w:ind w:right="-2388"/>
              <w:jc w:val="left"/>
              <w:rPr>
                <w:rFonts w:ascii="Times New Roman" w:hAnsi="Times New Roman"/>
                <w:b/>
                <w:bCs/>
                <w:sz w:val="24"/>
              </w:rPr>
            </w:pPr>
          </w:p>
          <w:p w14:paraId="0BE8AF5A" w14:textId="77777777" w:rsidR="00E67597" w:rsidRDefault="00E67597" w:rsidP="00FA361F">
            <w:pPr>
              <w:spacing w:line="240" w:lineRule="auto"/>
              <w:ind w:right="-2388"/>
              <w:jc w:val="left"/>
              <w:rPr>
                <w:rFonts w:ascii="Times New Roman" w:hAnsi="Times New Roman"/>
                <w:b/>
                <w:bCs/>
                <w:sz w:val="24"/>
              </w:rPr>
            </w:pPr>
            <w:r>
              <w:rPr>
                <w:rFonts w:ascii="Times New Roman" w:hAnsi="Times New Roman"/>
                <w:b/>
                <w:bCs/>
                <w:sz w:val="24"/>
              </w:rPr>
              <w:t>ALTRON TMT (PTY) LTD trading as</w:t>
            </w:r>
          </w:p>
          <w:p w14:paraId="1D9D3BF0" w14:textId="197DD889" w:rsidR="00F15E41" w:rsidRPr="00E31BA4" w:rsidRDefault="00FA361F" w:rsidP="00FA361F">
            <w:pPr>
              <w:spacing w:line="240" w:lineRule="auto"/>
              <w:ind w:right="-2388"/>
              <w:jc w:val="left"/>
              <w:rPr>
                <w:rFonts w:ascii="Times New Roman" w:hAnsi="Times New Roman"/>
                <w:b/>
                <w:bCs/>
                <w:sz w:val="24"/>
              </w:rPr>
            </w:pPr>
            <w:r w:rsidRPr="00E31BA4">
              <w:rPr>
                <w:rFonts w:ascii="Times New Roman" w:hAnsi="Times New Roman"/>
                <w:b/>
                <w:bCs/>
                <w:sz w:val="24"/>
              </w:rPr>
              <w:t>ALTRON DOCUMENT SOLUTIONS</w:t>
            </w:r>
            <w:r w:rsidR="0093513D" w:rsidRPr="00E31BA4">
              <w:rPr>
                <w:rFonts w:ascii="Times New Roman" w:hAnsi="Times New Roman"/>
                <w:b/>
                <w:bCs/>
                <w:sz w:val="24"/>
              </w:rPr>
              <w:t xml:space="preserve">                          </w:t>
            </w:r>
            <w:r w:rsidRPr="00E31BA4">
              <w:rPr>
                <w:rFonts w:ascii="Times New Roman" w:hAnsi="Times New Roman"/>
                <w:b/>
                <w:bCs/>
                <w:sz w:val="24"/>
              </w:rPr>
              <w:t>SECOND RESPONDENT</w:t>
            </w:r>
            <w:r w:rsidR="0093513D" w:rsidRPr="00E31BA4">
              <w:rPr>
                <w:rFonts w:ascii="Times New Roman" w:hAnsi="Times New Roman"/>
                <w:b/>
                <w:bCs/>
                <w:sz w:val="24"/>
              </w:rPr>
              <w:t xml:space="preserve">                               </w:t>
            </w:r>
          </w:p>
        </w:tc>
        <w:tc>
          <w:tcPr>
            <w:tcW w:w="2371" w:type="dxa"/>
          </w:tcPr>
          <w:p w14:paraId="34112B6C" w14:textId="70EE2B4F" w:rsidR="00F15E41" w:rsidRPr="00E31BA4" w:rsidRDefault="00F15E41" w:rsidP="00E36E33">
            <w:pPr>
              <w:spacing w:line="240" w:lineRule="auto"/>
              <w:jc w:val="right"/>
              <w:rPr>
                <w:rFonts w:ascii="Times New Roman" w:hAnsi="Times New Roman"/>
                <w:sz w:val="24"/>
              </w:rPr>
            </w:pPr>
            <w:r w:rsidRPr="00E31BA4">
              <w:rPr>
                <w:rFonts w:ascii="Times New Roman" w:hAnsi="Times New Roman"/>
                <w:sz w:val="24"/>
              </w:rPr>
              <w:t xml:space="preserve"> </w:t>
            </w:r>
          </w:p>
        </w:tc>
      </w:tr>
      <w:tr w:rsidR="00F15E41" w:rsidRPr="00E31BA4" w14:paraId="20C50AF1" w14:textId="77777777" w:rsidTr="0093513D">
        <w:tc>
          <w:tcPr>
            <w:tcW w:w="8460" w:type="dxa"/>
          </w:tcPr>
          <w:p w14:paraId="7BE4A701" w14:textId="77777777" w:rsidR="00F15E41" w:rsidRDefault="00F15E41" w:rsidP="00E36E33">
            <w:pPr>
              <w:spacing w:line="240" w:lineRule="auto"/>
              <w:jc w:val="left"/>
              <w:rPr>
                <w:rFonts w:ascii="Times New Roman" w:hAnsi="Times New Roman"/>
                <w:b/>
                <w:bCs/>
                <w:sz w:val="24"/>
              </w:rPr>
            </w:pPr>
          </w:p>
          <w:p w14:paraId="20022A37" w14:textId="77777777" w:rsidR="005320FC" w:rsidRDefault="005320FC" w:rsidP="00E36E33">
            <w:pPr>
              <w:spacing w:line="240" w:lineRule="auto"/>
              <w:jc w:val="left"/>
              <w:rPr>
                <w:rFonts w:ascii="Times New Roman" w:hAnsi="Times New Roman"/>
                <w:b/>
                <w:bCs/>
                <w:sz w:val="24"/>
              </w:rPr>
            </w:pPr>
          </w:p>
          <w:p w14:paraId="217C3B6A" w14:textId="77777777" w:rsidR="005320FC" w:rsidRDefault="005320FC" w:rsidP="00E36E33">
            <w:pPr>
              <w:spacing w:line="240" w:lineRule="auto"/>
              <w:jc w:val="left"/>
              <w:rPr>
                <w:rFonts w:ascii="Times New Roman" w:hAnsi="Times New Roman"/>
                <w:b/>
                <w:bCs/>
                <w:sz w:val="24"/>
              </w:rPr>
            </w:pPr>
          </w:p>
          <w:p w14:paraId="3D5E2018" w14:textId="77777777" w:rsidR="005320FC" w:rsidRDefault="005320FC" w:rsidP="00E36E33">
            <w:pPr>
              <w:spacing w:line="240" w:lineRule="auto"/>
              <w:jc w:val="left"/>
              <w:rPr>
                <w:rFonts w:ascii="Times New Roman" w:hAnsi="Times New Roman"/>
                <w:b/>
                <w:bCs/>
                <w:sz w:val="24"/>
              </w:rPr>
            </w:pPr>
          </w:p>
          <w:p w14:paraId="6C91D500" w14:textId="77777777" w:rsidR="005320FC" w:rsidRDefault="005320FC" w:rsidP="00E36E33">
            <w:pPr>
              <w:spacing w:line="240" w:lineRule="auto"/>
              <w:jc w:val="left"/>
              <w:rPr>
                <w:rFonts w:ascii="Times New Roman" w:hAnsi="Times New Roman"/>
                <w:b/>
                <w:bCs/>
                <w:sz w:val="24"/>
              </w:rPr>
            </w:pPr>
          </w:p>
          <w:p w14:paraId="2D58BEA0" w14:textId="77777777" w:rsidR="005320FC" w:rsidRPr="0093086D" w:rsidRDefault="005320FC" w:rsidP="00E36E33">
            <w:pPr>
              <w:spacing w:line="240" w:lineRule="auto"/>
              <w:jc w:val="left"/>
              <w:rPr>
                <w:rFonts w:ascii="Times New Roman" w:hAnsi="Times New Roman"/>
                <w:b/>
                <w:bCs/>
                <w:sz w:val="24"/>
              </w:rPr>
            </w:pPr>
          </w:p>
          <w:p w14:paraId="72E0EBE5" w14:textId="77777777" w:rsidR="009E0878" w:rsidRDefault="009E0878" w:rsidP="00E36E33">
            <w:pPr>
              <w:spacing w:line="240" w:lineRule="auto"/>
              <w:jc w:val="left"/>
              <w:rPr>
                <w:rFonts w:ascii="Times New Roman" w:hAnsi="Times New Roman"/>
                <w:i/>
                <w:iCs/>
                <w:sz w:val="24"/>
              </w:rPr>
            </w:pPr>
          </w:p>
          <w:p w14:paraId="4F779011" w14:textId="597B866D" w:rsidR="001F4E1A" w:rsidRDefault="001F4E1A" w:rsidP="00E36E33">
            <w:pPr>
              <w:spacing w:line="240" w:lineRule="auto"/>
              <w:jc w:val="left"/>
              <w:rPr>
                <w:rFonts w:ascii="Times New Roman" w:hAnsi="Times New Roman"/>
                <w:i/>
                <w:iCs/>
                <w:sz w:val="24"/>
              </w:rPr>
            </w:pPr>
            <w:r w:rsidRPr="0093086D">
              <w:rPr>
                <w:rFonts w:ascii="Times New Roman" w:hAnsi="Times New Roman"/>
                <w:i/>
                <w:iCs/>
                <w:sz w:val="24"/>
              </w:rPr>
              <w:lastRenderedPageBreak/>
              <w:t>DISCLAIMER</w:t>
            </w:r>
          </w:p>
          <w:p w14:paraId="15D86FAB" w14:textId="77777777" w:rsidR="0093086D" w:rsidRDefault="0093086D" w:rsidP="00E36E33">
            <w:pPr>
              <w:spacing w:line="240" w:lineRule="auto"/>
              <w:jc w:val="left"/>
              <w:rPr>
                <w:rFonts w:ascii="Times New Roman" w:hAnsi="Times New Roman"/>
                <w:i/>
                <w:iCs/>
                <w:sz w:val="24"/>
              </w:rPr>
            </w:pPr>
          </w:p>
          <w:p w14:paraId="663A3D70" w14:textId="072AA71A" w:rsidR="0093086D" w:rsidRPr="0093086D" w:rsidRDefault="0093086D" w:rsidP="0093086D">
            <w:pPr>
              <w:spacing w:line="240" w:lineRule="auto"/>
              <w:rPr>
                <w:rFonts w:ascii="Times New Roman" w:hAnsi="Times New Roman"/>
                <w:sz w:val="24"/>
                <w:u w:val="single"/>
              </w:rPr>
            </w:pPr>
            <w:r>
              <w:rPr>
                <w:rFonts w:ascii="Times New Roman" w:hAnsi="Times New Roman"/>
                <w:sz w:val="24"/>
              </w:rPr>
              <w:t xml:space="preserve">This judgment is issued by the Judge whose name is reflected herein and is submitted electronically to the parties/ their legal representatives by email. The judgment is further uploaded to the electronic file of this matter on Caselines by the judge or his secretary. The date of judgment is deemed to be </w:t>
            </w:r>
            <w:r w:rsidR="00754DFD">
              <w:rPr>
                <w:rFonts w:ascii="Times New Roman" w:hAnsi="Times New Roman"/>
                <w:sz w:val="24"/>
              </w:rPr>
              <w:t>2</w:t>
            </w:r>
            <w:r w:rsidR="005320FC">
              <w:rPr>
                <w:rFonts w:ascii="Times New Roman" w:hAnsi="Times New Roman"/>
                <w:sz w:val="24"/>
              </w:rPr>
              <w:t>6</w:t>
            </w:r>
            <w:r w:rsidR="00754DFD">
              <w:rPr>
                <w:rFonts w:ascii="Times New Roman" w:hAnsi="Times New Roman"/>
                <w:sz w:val="24"/>
              </w:rPr>
              <w:t xml:space="preserve"> May </w:t>
            </w:r>
            <w:r w:rsidR="00757CBA">
              <w:rPr>
                <w:rFonts w:ascii="Times New Roman" w:hAnsi="Times New Roman"/>
                <w:sz w:val="24"/>
              </w:rPr>
              <w:t>2023</w:t>
            </w:r>
            <w:r w:rsidR="00754DFD">
              <w:rPr>
                <w:rFonts w:ascii="Times New Roman" w:hAnsi="Times New Roman"/>
                <w:sz w:val="24"/>
              </w:rPr>
              <w:t>.</w:t>
            </w:r>
          </w:p>
        </w:tc>
        <w:tc>
          <w:tcPr>
            <w:tcW w:w="2371" w:type="dxa"/>
          </w:tcPr>
          <w:p w14:paraId="6353CBF9" w14:textId="77777777" w:rsidR="00F15E41" w:rsidRPr="00E31BA4" w:rsidRDefault="00F15E41" w:rsidP="00E36E33">
            <w:pPr>
              <w:spacing w:line="240" w:lineRule="auto"/>
              <w:jc w:val="right"/>
              <w:rPr>
                <w:rFonts w:ascii="Times New Roman" w:hAnsi="Times New Roman"/>
                <w:sz w:val="24"/>
              </w:rPr>
            </w:pPr>
          </w:p>
        </w:tc>
      </w:tr>
      <w:tr w:rsidR="005320FC" w:rsidRPr="00E31BA4" w14:paraId="1B2F5D22" w14:textId="77777777" w:rsidTr="0093513D">
        <w:tc>
          <w:tcPr>
            <w:tcW w:w="8460" w:type="dxa"/>
          </w:tcPr>
          <w:p w14:paraId="6E904AD2" w14:textId="77777777" w:rsidR="005320FC" w:rsidRDefault="005320FC" w:rsidP="00E36E33">
            <w:pPr>
              <w:spacing w:line="240" w:lineRule="auto"/>
              <w:jc w:val="left"/>
              <w:rPr>
                <w:rFonts w:ascii="Times New Roman" w:hAnsi="Times New Roman"/>
                <w:b/>
                <w:bCs/>
                <w:sz w:val="24"/>
              </w:rPr>
            </w:pPr>
          </w:p>
        </w:tc>
        <w:tc>
          <w:tcPr>
            <w:tcW w:w="2371" w:type="dxa"/>
          </w:tcPr>
          <w:p w14:paraId="30933A46" w14:textId="77777777" w:rsidR="005320FC" w:rsidRPr="00E31BA4" w:rsidRDefault="005320FC" w:rsidP="00E36E33">
            <w:pPr>
              <w:spacing w:line="240" w:lineRule="auto"/>
              <w:jc w:val="right"/>
              <w:rPr>
                <w:rFonts w:ascii="Times New Roman" w:hAnsi="Times New Roman"/>
                <w:sz w:val="24"/>
              </w:rPr>
            </w:pPr>
          </w:p>
        </w:tc>
      </w:tr>
    </w:tbl>
    <w:p w14:paraId="14C90506" w14:textId="63A6821D" w:rsidR="00E519F2" w:rsidRPr="00E31BA4" w:rsidRDefault="00AB7752" w:rsidP="00AB7752">
      <w:pPr>
        <w:rPr>
          <w:rFonts w:ascii="Times New Roman" w:hAnsi="Times New Roman"/>
          <w:sz w:val="24"/>
        </w:rPr>
      </w:pPr>
      <w:r w:rsidRPr="00E31BA4">
        <w:rPr>
          <w:rFonts w:ascii="Times New Roman" w:hAnsi="Times New Roman"/>
          <w:sz w:val="24"/>
        </w:rPr>
        <w:t>____________________________________________________________________</w:t>
      </w:r>
      <w:r w:rsidR="00F15E41" w:rsidRPr="00E31BA4">
        <w:rPr>
          <w:rFonts w:ascii="Times New Roman" w:hAnsi="Times New Roman"/>
          <w:sz w:val="24"/>
        </w:rPr>
        <w:tab/>
      </w:r>
      <w:r w:rsidR="00F15E41" w:rsidRPr="00E31BA4">
        <w:rPr>
          <w:rFonts w:ascii="Times New Roman" w:hAnsi="Times New Roman"/>
          <w:sz w:val="24"/>
        </w:rPr>
        <w:tab/>
      </w:r>
    </w:p>
    <w:p w14:paraId="7ED266E8" w14:textId="77777777" w:rsidR="00E519F2" w:rsidRPr="00E31BA4" w:rsidRDefault="00E519F2" w:rsidP="00E519F2">
      <w:pPr>
        <w:pStyle w:val="Heading2"/>
        <w:spacing w:line="276" w:lineRule="auto"/>
        <w:rPr>
          <w:rFonts w:ascii="Times New Roman" w:hAnsi="Times New Roman" w:cs="Times New Roman"/>
          <w:sz w:val="24"/>
        </w:rPr>
      </w:pPr>
      <w:r w:rsidRPr="00E31BA4">
        <w:rPr>
          <w:rFonts w:ascii="Times New Roman" w:hAnsi="Times New Roman" w:cs="Times New Roman"/>
          <w:sz w:val="24"/>
        </w:rPr>
        <w:t>JUDGMENT</w:t>
      </w:r>
    </w:p>
    <w:p w14:paraId="135FA440" w14:textId="7CBA280A" w:rsidR="00E519F2" w:rsidRPr="00E31BA4" w:rsidRDefault="00794EA0" w:rsidP="00E519F2">
      <w:pPr>
        <w:spacing w:after="480" w:line="480" w:lineRule="auto"/>
        <w:rPr>
          <w:rFonts w:ascii="Times New Roman" w:hAnsi="Times New Roman"/>
          <w:sz w:val="24"/>
        </w:rPr>
      </w:pPr>
      <w:r w:rsidRPr="00E31BA4">
        <w:rPr>
          <w:rFonts w:ascii="Times New Roman" w:hAnsi="Times New Roman"/>
          <w:sz w:val="24"/>
        </w:rPr>
        <w:t>____________________________________________________________________</w:t>
      </w:r>
    </w:p>
    <w:p w14:paraId="430F56CE" w14:textId="4DA44D4C" w:rsidR="00E70877" w:rsidRPr="00E31BA4" w:rsidRDefault="00AB7752" w:rsidP="00E519F2">
      <w:pPr>
        <w:spacing w:after="480" w:line="480" w:lineRule="auto"/>
        <w:rPr>
          <w:rFonts w:ascii="Times New Roman" w:hAnsi="Times New Roman"/>
          <w:b/>
          <w:sz w:val="24"/>
        </w:rPr>
      </w:pPr>
      <w:r w:rsidRPr="00E31BA4">
        <w:rPr>
          <w:rFonts w:ascii="Times New Roman" w:hAnsi="Times New Roman"/>
          <w:b/>
          <w:sz w:val="24"/>
        </w:rPr>
        <w:t xml:space="preserve">Coram </w:t>
      </w:r>
      <w:r w:rsidR="00851DB4" w:rsidRPr="00E31BA4">
        <w:rPr>
          <w:rFonts w:ascii="Times New Roman" w:hAnsi="Times New Roman"/>
          <w:b/>
          <w:sz w:val="24"/>
        </w:rPr>
        <w:t xml:space="preserve">NOKO AJ </w:t>
      </w:r>
    </w:p>
    <w:p w14:paraId="7909A899" w14:textId="09485789" w:rsidR="000C073E" w:rsidRPr="00E31BA4" w:rsidRDefault="000C073E" w:rsidP="00E519F2">
      <w:pPr>
        <w:spacing w:after="480" w:line="480" w:lineRule="auto"/>
        <w:rPr>
          <w:rFonts w:ascii="Times New Roman" w:hAnsi="Times New Roman"/>
          <w:bCs/>
          <w:i/>
          <w:iCs/>
          <w:sz w:val="24"/>
        </w:rPr>
      </w:pPr>
      <w:r w:rsidRPr="00E31BA4">
        <w:rPr>
          <w:rFonts w:ascii="Times New Roman" w:hAnsi="Times New Roman"/>
          <w:bCs/>
          <w:i/>
          <w:iCs/>
          <w:sz w:val="24"/>
        </w:rPr>
        <w:t>Introduction</w:t>
      </w:r>
      <w:r w:rsidR="00E53C93" w:rsidRPr="00E31BA4">
        <w:rPr>
          <w:rFonts w:ascii="Times New Roman" w:hAnsi="Times New Roman"/>
          <w:bCs/>
          <w:i/>
          <w:iCs/>
          <w:sz w:val="24"/>
        </w:rPr>
        <w:t xml:space="preserve"> </w:t>
      </w:r>
    </w:p>
    <w:p w14:paraId="70E8CEB2" w14:textId="4A07D0E1" w:rsidR="005747AB" w:rsidRPr="005747AB" w:rsidRDefault="00FA6CEE" w:rsidP="00325DC2">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bCs/>
          <w:sz w:val="24"/>
        </w:rPr>
        <w:t xml:space="preserve">The applicant brought an application for </w:t>
      </w:r>
      <w:r w:rsidR="005747AB">
        <w:rPr>
          <w:rFonts w:ascii="Times New Roman" w:hAnsi="Times New Roman"/>
          <w:bCs/>
          <w:sz w:val="24"/>
        </w:rPr>
        <w:t>a</w:t>
      </w:r>
      <w:r w:rsidRPr="00E31BA4">
        <w:rPr>
          <w:rFonts w:ascii="Times New Roman" w:hAnsi="Times New Roman"/>
          <w:bCs/>
          <w:sz w:val="24"/>
        </w:rPr>
        <w:t xml:space="preserve"> review and setting aside of the award of a tender </w:t>
      </w:r>
      <w:r w:rsidR="00E31BA4" w:rsidRPr="00E31BA4">
        <w:rPr>
          <w:rFonts w:ascii="Times New Roman" w:hAnsi="Times New Roman"/>
          <w:bCs/>
          <w:sz w:val="24"/>
        </w:rPr>
        <w:t xml:space="preserve">under bid number WRSCM-2021/2022 – 0028 </w:t>
      </w:r>
      <w:r w:rsidR="0093086D">
        <w:rPr>
          <w:rFonts w:ascii="Times New Roman" w:hAnsi="Times New Roman"/>
          <w:bCs/>
          <w:sz w:val="24"/>
        </w:rPr>
        <w:t xml:space="preserve">which was </w:t>
      </w:r>
      <w:r w:rsidR="00E31BA4" w:rsidRPr="00E31BA4">
        <w:rPr>
          <w:rFonts w:ascii="Times New Roman" w:hAnsi="Times New Roman"/>
          <w:bCs/>
          <w:sz w:val="24"/>
        </w:rPr>
        <w:t xml:space="preserve">awarded to </w:t>
      </w:r>
      <w:r w:rsidRPr="00E31BA4">
        <w:rPr>
          <w:rFonts w:ascii="Times New Roman" w:hAnsi="Times New Roman"/>
          <w:bCs/>
          <w:sz w:val="24"/>
        </w:rPr>
        <w:t>second respondent by the first respondent</w:t>
      </w:r>
      <w:r w:rsidR="005747AB">
        <w:rPr>
          <w:rFonts w:ascii="Times New Roman" w:hAnsi="Times New Roman"/>
          <w:bCs/>
          <w:sz w:val="24"/>
        </w:rPr>
        <w:t xml:space="preserve"> on 3 February 2022</w:t>
      </w:r>
      <w:r w:rsidRPr="00E31BA4">
        <w:rPr>
          <w:rFonts w:ascii="Times New Roman" w:hAnsi="Times New Roman"/>
          <w:bCs/>
          <w:sz w:val="24"/>
        </w:rPr>
        <w:t xml:space="preserve">. </w:t>
      </w:r>
      <w:r w:rsidR="005747AB">
        <w:rPr>
          <w:rFonts w:ascii="Times New Roman" w:hAnsi="Times New Roman"/>
          <w:bCs/>
          <w:sz w:val="24"/>
        </w:rPr>
        <w:t>The applicant contends</w:t>
      </w:r>
      <w:r w:rsidR="007B7F50">
        <w:rPr>
          <w:rFonts w:ascii="Times New Roman" w:hAnsi="Times New Roman"/>
          <w:bCs/>
          <w:sz w:val="24"/>
        </w:rPr>
        <w:t xml:space="preserve">, </w:t>
      </w:r>
      <w:r w:rsidR="007B7F50" w:rsidRPr="007B7F50">
        <w:rPr>
          <w:rFonts w:ascii="Times New Roman" w:hAnsi="Times New Roman"/>
          <w:bCs/>
          <w:i/>
          <w:iCs/>
          <w:sz w:val="24"/>
        </w:rPr>
        <w:t>inter alia</w:t>
      </w:r>
      <w:r w:rsidR="007B7F50">
        <w:rPr>
          <w:rFonts w:ascii="Times New Roman" w:hAnsi="Times New Roman"/>
          <w:bCs/>
          <w:sz w:val="24"/>
        </w:rPr>
        <w:t>, that</w:t>
      </w:r>
      <w:r w:rsidR="005747AB">
        <w:rPr>
          <w:rFonts w:ascii="Times New Roman" w:hAnsi="Times New Roman"/>
          <w:bCs/>
          <w:sz w:val="24"/>
        </w:rPr>
        <w:t xml:space="preserve"> the integrity of the bid </w:t>
      </w:r>
      <w:r w:rsidR="00AF16AE">
        <w:rPr>
          <w:rFonts w:ascii="Times New Roman" w:hAnsi="Times New Roman"/>
          <w:bCs/>
          <w:sz w:val="24"/>
        </w:rPr>
        <w:t>e</w:t>
      </w:r>
      <w:r w:rsidR="007C6581">
        <w:rPr>
          <w:rFonts w:ascii="Times New Roman" w:hAnsi="Times New Roman"/>
          <w:bCs/>
          <w:sz w:val="24"/>
        </w:rPr>
        <w:t xml:space="preserve">valuation </w:t>
      </w:r>
      <w:r w:rsidR="00AF16AE">
        <w:rPr>
          <w:rFonts w:ascii="Times New Roman" w:hAnsi="Times New Roman"/>
          <w:bCs/>
          <w:sz w:val="24"/>
        </w:rPr>
        <w:t>wa</w:t>
      </w:r>
      <w:r w:rsidR="005747AB">
        <w:rPr>
          <w:rFonts w:ascii="Times New Roman" w:hAnsi="Times New Roman"/>
          <w:bCs/>
          <w:sz w:val="24"/>
        </w:rPr>
        <w:t xml:space="preserve">s vitiated by irregularities and </w:t>
      </w:r>
      <w:r w:rsidR="007C6581">
        <w:rPr>
          <w:rFonts w:ascii="Times New Roman" w:hAnsi="Times New Roman"/>
          <w:bCs/>
          <w:sz w:val="24"/>
        </w:rPr>
        <w:t xml:space="preserve">was </w:t>
      </w:r>
      <w:r w:rsidR="005747AB">
        <w:rPr>
          <w:rFonts w:ascii="Times New Roman" w:hAnsi="Times New Roman"/>
          <w:bCs/>
          <w:sz w:val="24"/>
        </w:rPr>
        <w:t>not in compliance with the Preferential Procurement Policy Framework Act</w:t>
      </w:r>
      <w:r w:rsidR="007B7F50">
        <w:rPr>
          <w:rFonts w:ascii="Times New Roman" w:hAnsi="Times New Roman"/>
          <w:bCs/>
          <w:sz w:val="24"/>
        </w:rPr>
        <w:t xml:space="preserve"> 5 of 2000 (</w:t>
      </w:r>
      <w:r w:rsidR="007B7F50" w:rsidRPr="007B7F50">
        <w:rPr>
          <w:rFonts w:ascii="Times New Roman" w:hAnsi="Times New Roman"/>
          <w:bCs/>
          <w:i/>
          <w:iCs/>
          <w:sz w:val="24"/>
        </w:rPr>
        <w:t>PPPFA</w:t>
      </w:r>
      <w:r w:rsidR="007B7F50">
        <w:rPr>
          <w:rFonts w:ascii="Times New Roman" w:hAnsi="Times New Roman"/>
          <w:bCs/>
          <w:sz w:val="24"/>
        </w:rPr>
        <w:t>)</w:t>
      </w:r>
      <w:r w:rsidR="007C6581">
        <w:rPr>
          <w:rFonts w:ascii="Times New Roman" w:hAnsi="Times New Roman"/>
          <w:bCs/>
          <w:sz w:val="24"/>
        </w:rPr>
        <w:t xml:space="preserve"> as the </w:t>
      </w:r>
      <w:r w:rsidR="0093086D">
        <w:rPr>
          <w:rFonts w:ascii="Times New Roman" w:hAnsi="Times New Roman"/>
          <w:bCs/>
          <w:sz w:val="24"/>
        </w:rPr>
        <w:t>second respondent</w:t>
      </w:r>
      <w:r w:rsidR="00757CBA">
        <w:rPr>
          <w:rFonts w:ascii="Times New Roman" w:hAnsi="Times New Roman"/>
          <w:bCs/>
          <w:sz w:val="24"/>
        </w:rPr>
        <w:t>’s bid</w:t>
      </w:r>
      <w:r w:rsidR="0093086D">
        <w:rPr>
          <w:rFonts w:ascii="Times New Roman" w:hAnsi="Times New Roman"/>
          <w:bCs/>
          <w:sz w:val="24"/>
        </w:rPr>
        <w:t xml:space="preserve"> </w:t>
      </w:r>
      <w:r w:rsidR="007C6581">
        <w:rPr>
          <w:rFonts w:ascii="Times New Roman" w:hAnsi="Times New Roman"/>
          <w:bCs/>
          <w:sz w:val="24"/>
        </w:rPr>
        <w:t xml:space="preserve">did not comply with the </w:t>
      </w:r>
      <w:r w:rsidR="00757CBA">
        <w:rPr>
          <w:rFonts w:ascii="Times New Roman" w:hAnsi="Times New Roman"/>
          <w:bCs/>
          <w:sz w:val="24"/>
        </w:rPr>
        <w:t xml:space="preserve">tender </w:t>
      </w:r>
      <w:r w:rsidR="007C6581">
        <w:rPr>
          <w:rFonts w:ascii="Times New Roman" w:hAnsi="Times New Roman"/>
          <w:bCs/>
          <w:sz w:val="24"/>
        </w:rPr>
        <w:t>specifications</w:t>
      </w:r>
      <w:r w:rsidR="001F4E1A">
        <w:rPr>
          <w:rFonts w:ascii="Times New Roman" w:hAnsi="Times New Roman"/>
          <w:bCs/>
          <w:sz w:val="24"/>
        </w:rPr>
        <w:t>.</w:t>
      </w:r>
    </w:p>
    <w:p w14:paraId="15D126E2" w14:textId="77777777" w:rsidR="005747AB" w:rsidRPr="005747AB" w:rsidRDefault="005747AB" w:rsidP="005747AB">
      <w:pPr>
        <w:pStyle w:val="ListParagraph"/>
        <w:tabs>
          <w:tab w:val="left" w:pos="540"/>
        </w:tabs>
        <w:spacing w:after="160" w:line="480" w:lineRule="auto"/>
        <w:ind w:left="0" w:right="1"/>
        <w:rPr>
          <w:rFonts w:ascii="Times New Roman" w:hAnsi="Times New Roman"/>
          <w:i/>
          <w:iCs/>
          <w:sz w:val="24"/>
        </w:rPr>
      </w:pPr>
    </w:p>
    <w:p w14:paraId="647975A9" w14:textId="5154D22B" w:rsidR="00FA6CEE" w:rsidRPr="00E31BA4" w:rsidRDefault="005747AB" w:rsidP="00325DC2">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bCs/>
          <w:sz w:val="24"/>
        </w:rPr>
        <w:t>Both first and second respondent</w:t>
      </w:r>
      <w:r w:rsidR="007B7F50">
        <w:rPr>
          <w:rFonts w:ascii="Times New Roman" w:hAnsi="Times New Roman"/>
          <w:bCs/>
          <w:sz w:val="24"/>
        </w:rPr>
        <w:t>s</w:t>
      </w:r>
      <w:r>
        <w:rPr>
          <w:rFonts w:ascii="Times New Roman" w:hAnsi="Times New Roman"/>
          <w:bCs/>
          <w:sz w:val="24"/>
        </w:rPr>
        <w:t xml:space="preserve"> have served notice</w:t>
      </w:r>
      <w:r w:rsidR="007B7F50">
        <w:rPr>
          <w:rFonts w:ascii="Times New Roman" w:hAnsi="Times New Roman"/>
          <w:bCs/>
          <w:sz w:val="24"/>
        </w:rPr>
        <w:t>s</w:t>
      </w:r>
      <w:r>
        <w:rPr>
          <w:rFonts w:ascii="Times New Roman" w:hAnsi="Times New Roman"/>
          <w:bCs/>
          <w:sz w:val="24"/>
        </w:rPr>
        <w:t xml:space="preserve"> </w:t>
      </w:r>
      <w:r w:rsidR="0093086D">
        <w:rPr>
          <w:rFonts w:ascii="Times New Roman" w:hAnsi="Times New Roman"/>
          <w:bCs/>
          <w:sz w:val="24"/>
        </w:rPr>
        <w:t xml:space="preserve">of intention </w:t>
      </w:r>
      <w:r>
        <w:rPr>
          <w:rFonts w:ascii="Times New Roman" w:hAnsi="Times New Roman"/>
          <w:bCs/>
          <w:sz w:val="24"/>
        </w:rPr>
        <w:t>to oppose</w:t>
      </w:r>
      <w:r w:rsidR="007B7F50">
        <w:rPr>
          <w:rFonts w:ascii="Times New Roman" w:hAnsi="Times New Roman"/>
          <w:bCs/>
          <w:sz w:val="24"/>
        </w:rPr>
        <w:t xml:space="preserve"> the application</w:t>
      </w:r>
      <w:r>
        <w:rPr>
          <w:rFonts w:ascii="Times New Roman" w:hAnsi="Times New Roman"/>
          <w:bCs/>
          <w:sz w:val="24"/>
        </w:rPr>
        <w:t>. The first respondent served answering affidavit and heads of argument whereas the second resp</w:t>
      </w:r>
      <w:r w:rsidR="008A6CAF">
        <w:rPr>
          <w:rFonts w:ascii="Times New Roman" w:hAnsi="Times New Roman"/>
          <w:bCs/>
          <w:sz w:val="24"/>
        </w:rPr>
        <w:t>on</w:t>
      </w:r>
      <w:r>
        <w:rPr>
          <w:rFonts w:ascii="Times New Roman" w:hAnsi="Times New Roman"/>
          <w:bCs/>
          <w:sz w:val="24"/>
        </w:rPr>
        <w:t>d</w:t>
      </w:r>
      <w:r w:rsidR="008A6CAF">
        <w:rPr>
          <w:rFonts w:ascii="Times New Roman" w:hAnsi="Times New Roman"/>
          <w:bCs/>
          <w:sz w:val="24"/>
        </w:rPr>
        <w:t>e</w:t>
      </w:r>
      <w:r>
        <w:rPr>
          <w:rFonts w:ascii="Times New Roman" w:hAnsi="Times New Roman"/>
          <w:bCs/>
          <w:sz w:val="24"/>
        </w:rPr>
        <w:t>n</w:t>
      </w:r>
      <w:r w:rsidR="008A6CAF">
        <w:rPr>
          <w:rFonts w:ascii="Times New Roman" w:hAnsi="Times New Roman"/>
          <w:bCs/>
          <w:sz w:val="24"/>
        </w:rPr>
        <w:t>t</w:t>
      </w:r>
      <w:r>
        <w:rPr>
          <w:rFonts w:ascii="Times New Roman" w:hAnsi="Times New Roman"/>
          <w:bCs/>
          <w:sz w:val="24"/>
        </w:rPr>
        <w:t xml:space="preserve"> only served </w:t>
      </w:r>
      <w:r w:rsidR="008A6CAF">
        <w:rPr>
          <w:rFonts w:ascii="Times New Roman" w:hAnsi="Times New Roman"/>
          <w:bCs/>
          <w:sz w:val="24"/>
        </w:rPr>
        <w:t>its heads of argument</w:t>
      </w:r>
      <w:r w:rsidR="00AF16AE">
        <w:rPr>
          <w:rFonts w:ascii="Times New Roman" w:hAnsi="Times New Roman"/>
          <w:bCs/>
          <w:sz w:val="24"/>
        </w:rPr>
        <w:t xml:space="preserve"> and </w:t>
      </w:r>
      <w:r w:rsidR="0093086D">
        <w:rPr>
          <w:rFonts w:ascii="Times New Roman" w:hAnsi="Times New Roman"/>
          <w:bCs/>
          <w:sz w:val="24"/>
        </w:rPr>
        <w:t xml:space="preserve">did not </w:t>
      </w:r>
      <w:r w:rsidR="00AF16AE">
        <w:rPr>
          <w:rFonts w:ascii="Times New Roman" w:hAnsi="Times New Roman"/>
          <w:bCs/>
          <w:sz w:val="24"/>
        </w:rPr>
        <w:t xml:space="preserve">serve </w:t>
      </w:r>
      <w:r w:rsidR="001F4E1A">
        <w:rPr>
          <w:rFonts w:ascii="Times New Roman" w:hAnsi="Times New Roman"/>
          <w:bCs/>
          <w:sz w:val="24"/>
        </w:rPr>
        <w:t xml:space="preserve">an </w:t>
      </w:r>
      <w:r w:rsidR="00AF16AE">
        <w:rPr>
          <w:rFonts w:ascii="Times New Roman" w:hAnsi="Times New Roman"/>
          <w:bCs/>
          <w:sz w:val="24"/>
        </w:rPr>
        <w:t>answering affidavit</w:t>
      </w:r>
      <w:r w:rsidR="008A6CAF">
        <w:rPr>
          <w:rFonts w:ascii="Times New Roman" w:hAnsi="Times New Roman"/>
          <w:bCs/>
          <w:sz w:val="24"/>
        </w:rPr>
        <w:t xml:space="preserve">. </w:t>
      </w:r>
    </w:p>
    <w:p w14:paraId="309243E4" w14:textId="77777777" w:rsidR="00E31BA4" w:rsidRPr="00E31BA4" w:rsidRDefault="00E31BA4" w:rsidP="00E31BA4">
      <w:pPr>
        <w:pStyle w:val="ListParagraph"/>
        <w:tabs>
          <w:tab w:val="left" w:pos="540"/>
        </w:tabs>
        <w:spacing w:after="160" w:line="480" w:lineRule="auto"/>
        <w:ind w:left="0" w:right="1"/>
        <w:rPr>
          <w:rFonts w:ascii="Times New Roman" w:hAnsi="Times New Roman"/>
          <w:i/>
          <w:iCs/>
          <w:sz w:val="24"/>
        </w:rPr>
      </w:pPr>
    </w:p>
    <w:p w14:paraId="7472F724" w14:textId="77777777" w:rsidR="00FA6CEE" w:rsidRPr="00E31BA4" w:rsidRDefault="00FA6CEE" w:rsidP="00FA6CEE">
      <w:pPr>
        <w:pStyle w:val="ListParagraph"/>
        <w:tabs>
          <w:tab w:val="left" w:pos="540"/>
        </w:tabs>
        <w:spacing w:after="160" w:line="480" w:lineRule="auto"/>
        <w:ind w:left="0" w:right="1"/>
        <w:rPr>
          <w:rFonts w:ascii="Times New Roman" w:hAnsi="Times New Roman"/>
          <w:i/>
          <w:iCs/>
          <w:sz w:val="24"/>
        </w:rPr>
      </w:pPr>
      <w:r w:rsidRPr="00E31BA4">
        <w:rPr>
          <w:rFonts w:ascii="Times New Roman" w:hAnsi="Times New Roman"/>
          <w:i/>
          <w:iCs/>
          <w:sz w:val="24"/>
        </w:rPr>
        <w:t>Background</w:t>
      </w:r>
    </w:p>
    <w:p w14:paraId="79802227" w14:textId="77777777" w:rsidR="00FA6CEE" w:rsidRPr="00E31BA4" w:rsidRDefault="00FA6CEE" w:rsidP="00FA6CEE">
      <w:pPr>
        <w:pStyle w:val="ListParagraph"/>
        <w:rPr>
          <w:rFonts w:ascii="Times New Roman" w:hAnsi="Times New Roman"/>
          <w:sz w:val="24"/>
        </w:rPr>
      </w:pPr>
    </w:p>
    <w:p w14:paraId="02B64ACB" w14:textId="6606AC10" w:rsidR="00D813DF" w:rsidRPr="001F4E1A" w:rsidRDefault="00FA6CEE" w:rsidP="00325DC2">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lastRenderedPageBreak/>
        <w:t xml:space="preserve">The first respondent </w:t>
      </w:r>
      <w:r w:rsidR="001F4E1A">
        <w:rPr>
          <w:rFonts w:ascii="Times New Roman" w:hAnsi="Times New Roman"/>
          <w:sz w:val="24"/>
        </w:rPr>
        <w:t xml:space="preserve">in September 2021 </w:t>
      </w:r>
      <w:r w:rsidR="00E31BA4" w:rsidRPr="00E31BA4">
        <w:rPr>
          <w:rFonts w:ascii="Times New Roman" w:hAnsi="Times New Roman"/>
          <w:sz w:val="24"/>
        </w:rPr>
        <w:t xml:space="preserve">published an invitation to </w:t>
      </w:r>
      <w:r w:rsidR="007C6581">
        <w:rPr>
          <w:rFonts w:ascii="Times New Roman" w:hAnsi="Times New Roman"/>
          <w:sz w:val="24"/>
        </w:rPr>
        <w:t xml:space="preserve">tender </w:t>
      </w:r>
      <w:r w:rsidR="00E31BA4" w:rsidRPr="00E31BA4">
        <w:rPr>
          <w:rFonts w:ascii="Times New Roman" w:hAnsi="Times New Roman"/>
          <w:sz w:val="24"/>
        </w:rPr>
        <w:t xml:space="preserve">for the supply, installation, support and leasing of multifunctional printers </w:t>
      </w:r>
      <w:r w:rsidR="00AF16AE">
        <w:rPr>
          <w:rFonts w:ascii="Times New Roman" w:hAnsi="Times New Roman"/>
          <w:sz w:val="24"/>
        </w:rPr>
        <w:t>(</w:t>
      </w:r>
      <w:r w:rsidR="00AF16AE" w:rsidRPr="00AF16AE">
        <w:rPr>
          <w:rFonts w:ascii="Times New Roman" w:hAnsi="Times New Roman"/>
          <w:i/>
          <w:iCs/>
          <w:sz w:val="24"/>
        </w:rPr>
        <w:t>goods and services</w:t>
      </w:r>
      <w:r w:rsidR="00AF16AE">
        <w:rPr>
          <w:rFonts w:ascii="Times New Roman" w:hAnsi="Times New Roman"/>
          <w:sz w:val="24"/>
        </w:rPr>
        <w:t xml:space="preserve">) </w:t>
      </w:r>
      <w:r w:rsidR="00E31BA4" w:rsidRPr="00E31BA4">
        <w:rPr>
          <w:rFonts w:ascii="Times New Roman" w:hAnsi="Times New Roman"/>
          <w:sz w:val="24"/>
        </w:rPr>
        <w:t xml:space="preserve">for a period of </w:t>
      </w:r>
      <w:r w:rsidR="008A6CAF">
        <w:rPr>
          <w:rFonts w:ascii="Times New Roman" w:hAnsi="Times New Roman"/>
          <w:sz w:val="24"/>
        </w:rPr>
        <w:t>5</w:t>
      </w:r>
      <w:r w:rsidR="00E31BA4" w:rsidRPr="00E31BA4">
        <w:rPr>
          <w:rFonts w:ascii="Times New Roman" w:hAnsi="Times New Roman"/>
          <w:sz w:val="24"/>
        </w:rPr>
        <w:t xml:space="preserve"> years</w:t>
      </w:r>
      <w:r w:rsidR="007B7F50">
        <w:rPr>
          <w:rFonts w:ascii="Times New Roman" w:hAnsi="Times New Roman"/>
          <w:sz w:val="24"/>
        </w:rPr>
        <w:t xml:space="preserve">. The period of 5 years </w:t>
      </w:r>
      <w:r w:rsidR="008A6CAF">
        <w:rPr>
          <w:rFonts w:ascii="Times New Roman" w:hAnsi="Times New Roman"/>
          <w:sz w:val="24"/>
        </w:rPr>
        <w:t xml:space="preserve">was subsequently </w:t>
      </w:r>
      <w:r w:rsidR="00AF16AE">
        <w:rPr>
          <w:rFonts w:ascii="Times New Roman" w:hAnsi="Times New Roman"/>
          <w:sz w:val="24"/>
        </w:rPr>
        <w:t xml:space="preserve">reduced </w:t>
      </w:r>
      <w:r w:rsidR="008A6CAF">
        <w:rPr>
          <w:rFonts w:ascii="Times New Roman" w:hAnsi="Times New Roman"/>
          <w:sz w:val="24"/>
        </w:rPr>
        <w:t>to 3 years</w:t>
      </w:r>
      <w:r w:rsidR="00E31BA4" w:rsidRPr="00E31BA4">
        <w:rPr>
          <w:rFonts w:ascii="Times New Roman" w:hAnsi="Times New Roman"/>
          <w:sz w:val="24"/>
        </w:rPr>
        <w:t xml:space="preserve">. </w:t>
      </w:r>
      <w:r w:rsidR="008A6CAF">
        <w:rPr>
          <w:rFonts w:ascii="Times New Roman" w:hAnsi="Times New Roman"/>
          <w:sz w:val="24"/>
        </w:rPr>
        <w:t xml:space="preserve">The services and </w:t>
      </w:r>
      <w:r w:rsidR="00AF16AE">
        <w:rPr>
          <w:rFonts w:ascii="Times New Roman" w:hAnsi="Times New Roman"/>
          <w:sz w:val="24"/>
        </w:rPr>
        <w:t>goods</w:t>
      </w:r>
      <w:r w:rsidR="008A6CAF">
        <w:rPr>
          <w:rFonts w:ascii="Times New Roman" w:hAnsi="Times New Roman"/>
          <w:sz w:val="24"/>
        </w:rPr>
        <w:t xml:space="preserve"> were </w:t>
      </w:r>
      <w:r w:rsidR="007B7F50">
        <w:rPr>
          <w:rFonts w:ascii="Times New Roman" w:hAnsi="Times New Roman"/>
          <w:sz w:val="24"/>
        </w:rPr>
        <w:t xml:space="preserve">to be </w:t>
      </w:r>
      <w:r w:rsidR="008A6CAF">
        <w:rPr>
          <w:rFonts w:ascii="Times New Roman" w:hAnsi="Times New Roman"/>
          <w:sz w:val="24"/>
        </w:rPr>
        <w:t xml:space="preserve">installed </w:t>
      </w:r>
      <w:r w:rsidR="006C4730">
        <w:rPr>
          <w:rFonts w:ascii="Times New Roman" w:hAnsi="Times New Roman"/>
          <w:sz w:val="24"/>
        </w:rPr>
        <w:t xml:space="preserve">at its </w:t>
      </w:r>
      <w:r w:rsidR="00F67E21">
        <w:rPr>
          <w:rFonts w:ascii="Times New Roman" w:hAnsi="Times New Roman"/>
          <w:sz w:val="24"/>
        </w:rPr>
        <w:t>regions and TVET colleges in South Africa</w:t>
      </w:r>
      <w:r w:rsidR="008A6CAF">
        <w:rPr>
          <w:rFonts w:ascii="Times New Roman" w:hAnsi="Times New Roman"/>
          <w:sz w:val="24"/>
        </w:rPr>
        <w:t xml:space="preserve">. </w:t>
      </w:r>
      <w:r w:rsidR="00F67E21">
        <w:rPr>
          <w:rFonts w:ascii="Times New Roman" w:hAnsi="Times New Roman"/>
          <w:sz w:val="24"/>
        </w:rPr>
        <w:t>T</w:t>
      </w:r>
      <w:r w:rsidR="00D813DF">
        <w:rPr>
          <w:rFonts w:ascii="Times New Roman" w:hAnsi="Times New Roman"/>
          <w:sz w:val="24"/>
        </w:rPr>
        <w:t xml:space="preserve">he </w:t>
      </w:r>
      <w:r w:rsidR="007C6581">
        <w:rPr>
          <w:rFonts w:ascii="Times New Roman" w:hAnsi="Times New Roman"/>
          <w:sz w:val="24"/>
        </w:rPr>
        <w:t>tender</w:t>
      </w:r>
      <w:r w:rsidR="00D813DF">
        <w:rPr>
          <w:rFonts w:ascii="Times New Roman" w:hAnsi="Times New Roman"/>
          <w:sz w:val="24"/>
        </w:rPr>
        <w:t xml:space="preserve"> specification required</w:t>
      </w:r>
      <w:r w:rsidR="00F67E21">
        <w:rPr>
          <w:rFonts w:ascii="Times New Roman" w:hAnsi="Times New Roman"/>
          <w:sz w:val="24"/>
        </w:rPr>
        <w:t xml:space="preserve"> that</w:t>
      </w:r>
      <w:r w:rsidR="00D813DF">
        <w:rPr>
          <w:rFonts w:ascii="Times New Roman" w:hAnsi="Times New Roman"/>
          <w:sz w:val="24"/>
        </w:rPr>
        <w:t xml:space="preserve"> </w:t>
      </w:r>
      <w:r w:rsidR="00D813DF" w:rsidRPr="001227C8">
        <w:rPr>
          <w:rFonts w:ascii="Times New Roman" w:hAnsi="Times New Roman"/>
          <w:i/>
          <w:sz w:val="24"/>
        </w:rPr>
        <w:t>“</w:t>
      </w:r>
      <w:r w:rsidR="00F67E21">
        <w:rPr>
          <w:rFonts w:ascii="Times New Roman" w:hAnsi="Times New Roman"/>
          <w:i/>
          <w:iCs/>
          <w:sz w:val="24"/>
        </w:rPr>
        <w:t>…</w:t>
      </w:r>
      <w:r w:rsidR="00D813DF" w:rsidRPr="00D813DF">
        <w:rPr>
          <w:rFonts w:ascii="Times New Roman" w:hAnsi="Times New Roman"/>
          <w:i/>
          <w:iCs/>
          <w:sz w:val="24"/>
        </w:rPr>
        <w:t xml:space="preserve"> the appointed service provider should conf</w:t>
      </w:r>
      <w:r w:rsidR="00F67E21">
        <w:rPr>
          <w:rFonts w:ascii="Times New Roman" w:hAnsi="Times New Roman"/>
          <w:i/>
          <w:iCs/>
          <w:sz w:val="24"/>
        </w:rPr>
        <w:t>o</w:t>
      </w:r>
      <w:r w:rsidR="00D813DF" w:rsidRPr="00D813DF">
        <w:rPr>
          <w:rFonts w:ascii="Times New Roman" w:hAnsi="Times New Roman"/>
          <w:i/>
          <w:iCs/>
          <w:sz w:val="24"/>
        </w:rPr>
        <w:t>rm to the following: provision of Centrally managed print solution, Multifunctional devices, provision of maintenance and support of the Solution a</w:t>
      </w:r>
      <w:r w:rsidR="007C6581">
        <w:rPr>
          <w:rFonts w:ascii="Times New Roman" w:hAnsi="Times New Roman"/>
          <w:i/>
          <w:iCs/>
          <w:sz w:val="24"/>
        </w:rPr>
        <w:t>n</w:t>
      </w:r>
      <w:r w:rsidR="00D813DF" w:rsidRPr="00D813DF">
        <w:rPr>
          <w:rFonts w:ascii="Times New Roman" w:hAnsi="Times New Roman"/>
          <w:i/>
          <w:iCs/>
          <w:sz w:val="24"/>
        </w:rPr>
        <w:t>d devices for the 5</w:t>
      </w:r>
      <w:r w:rsidR="00D813DF">
        <w:rPr>
          <w:rFonts w:ascii="Times New Roman" w:hAnsi="Times New Roman"/>
          <w:i/>
          <w:iCs/>
          <w:sz w:val="24"/>
        </w:rPr>
        <w:t>-</w:t>
      </w:r>
      <w:r w:rsidR="00D813DF" w:rsidRPr="00D813DF">
        <w:rPr>
          <w:rFonts w:ascii="Times New Roman" w:hAnsi="Times New Roman"/>
          <w:i/>
          <w:iCs/>
          <w:sz w:val="24"/>
        </w:rPr>
        <w:t>year period and provision of toner cartridges and consumables for the duration of the contract</w:t>
      </w:r>
      <w:r w:rsidR="00D813DF" w:rsidRPr="001227C8">
        <w:rPr>
          <w:rFonts w:ascii="Times New Roman" w:hAnsi="Times New Roman"/>
          <w:i/>
          <w:sz w:val="24"/>
        </w:rPr>
        <w:t>”</w:t>
      </w:r>
      <w:r w:rsidR="00D813DF">
        <w:rPr>
          <w:rFonts w:ascii="Times New Roman" w:hAnsi="Times New Roman"/>
          <w:sz w:val="24"/>
        </w:rPr>
        <w:t>.</w:t>
      </w:r>
      <w:r w:rsidR="00120633">
        <w:rPr>
          <w:rStyle w:val="FootnoteReference"/>
          <w:rFonts w:ascii="Times New Roman" w:hAnsi="Times New Roman"/>
          <w:sz w:val="24"/>
        </w:rPr>
        <w:footnoteReference w:id="2"/>
      </w:r>
    </w:p>
    <w:p w14:paraId="2903DA26" w14:textId="77777777" w:rsidR="001F4E1A" w:rsidRPr="00D813DF" w:rsidRDefault="001F4E1A" w:rsidP="001F4E1A">
      <w:pPr>
        <w:pStyle w:val="ListParagraph"/>
        <w:tabs>
          <w:tab w:val="left" w:pos="540"/>
        </w:tabs>
        <w:spacing w:after="160" w:line="480" w:lineRule="auto"/>
        <w:ind w:left="0" w:right="1"/>
        <w:rPr>
          <w:rFonts w:ascii="Times New Roman" w:hAnsi="Times New Roman"/>
          <w:i/>
          <w:iCs/>
          <w:sz w:val="24"/>
        </w:rPr>
      </w:pPr>
    </w:p>
    <w:p w14:paraId="17311527" w14:textId="544577D5" w:rsidR="00FA6CEE" w:rsidRPr="00E31BA4" w:rsidRDefault="008A6CAF" w:rsidP="00325DC2">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The </w:t>
      </w:r>
      <w:r w:rsidR="00F67E21">
        <w:rPr>
          <w:rFonts w:ascii="Times New Roman" w:hAnsi="Times New Roman"/>
          <w:sz w:val="24"/>
        </w:rPr>
        <w:t xml:space="preserve">bid </w:t>
      </w:r>
      <w:r>
        <w:rPr>
          <w:rFonts w:ascii="Times New Roman" w:hAnsi="Times New Roman"/>
          <w:sz w:val="24"/>
        </w:rPr>
        <w:t>evaluation process</w:t>
      </w:r>
      <w:r w:rsidR="00D813DF">
        <w:rPr>
          <w:rFonts w:ascii="Times New Roman" w:hAnsi="Times New Roman"/>
          <w:sz w:val="24"/>
        </w:rPr>
        <w:t xml:space="preserve"> had three stages</w:t>
      </w:r>
      <w:r w:rsidR="00757CBA">
        <w:rPr>
          <w:rFonts w:ascii="Times New Roman" w:hAnsi="Times New Roman"/>
          <w:sz w:val="24"/>
        </w:rPr>
        <w:t>. F</w:t>
      </w:r>
      <w:r w:rsidR="00D813DF">
        <w:rPr>
          <w:rFonts w:ascii="Times New Roman" w:hAnsi="Times New Roman"/>
          <w:sz w:val="24"/>
        </w:rPr>
        <w:t xml:space="preserve">irst, </w:t>
      </w:r>
      <w:r>
        <w:rPr>
          <w:rFonts w:ascii="Times New Roman" w:hAnsi="Times New Roman"/>
          <w:sz w:val="24"/>
        </w:rPr>
        <w:t xml:space="preserve">compliance with </w:t>
      </w:r>
      <w:r w:rsidR="00C61264">
        <w:rPr>
          <w:rFonts w:ascii="Times New Roman" w:hAnsi="Times New Roman"/>
          <w:sz w:val="24"/>
        </w:rPr>
        <w:t>administrative</w:t>
      </w:r>
      <w:r w:rsidR="007C6581">
        <w:rPr>
          <w:rFonts w:ascii="Times New Roman" w:hAnsi="Times New Roman"/>
          <w:sz w:val="24"/>
        </w:rPr>
        <w:t>/mandatory</w:t>
      </w:r>
      <w:r w:rsidR="00C61264">
        <w:rPr>
          <w:rFonts w:ascii="Times New Roman" w:hAnsi="Times New Roman"/>
          <w:sz w:val="24"/>
        </w:rPr>
        <w:t xml:space="preserve"> </w:t>
      </w:r>
      <w:r>
        <w:rPr>
          <w:rFonts w:ascii="Times New Roman" w:hAnsi="Times New Roman"/>
          <w:sz w:val="24"/>
        </w:rPr>
        <w:t xml:space="preserve">requirements, </w:t>
      </w:r>
      <w:r w:rsidR="00D813DF">
        <w:rPr>
          <w:rFonts w:ascii="Times New Roman" w:hAnsi="Times New Roman"/>
          <w:sz w:val="24"/>
        </w:rPr>
        <w:t>secondly,</w:t>
      </w:r>
      <w:r>
        <w:rPr>
          <w:rFonts w:ascii="Times New Roman" w:hAnsi="Times New Roman"/>
          <w:sz w:val="24"/>
        </w:rPr>
        <w:t xml:space="preserve"> technical evaluation for which a bidder should meet 80% threshold </w:t>
      </w:r>
      <w:r w:rsidR="00D813DF">
        <w:rPr>
          <w:rFonts w:ascii="Times New Roman" w:hAnsi="Times New Roman"/>
          <w:sz w:val="24"/>
        </w:rPr>
        <w:t xml:space="preserve">to proceed to the </w:t>
      </w:r>
      <w:r w:rsidR="0093086D">
        <w:rPr>
          <w:rFonts w:ascii="Times New Roman" w:hAnsi="Times New Roman"/>
          <w:sz w:val="24"/>
        </w:rPr>
        <w:t xml:space="preserve">next </w:t>
      </w:r>
      <w:r w:rsidR="00D813DF">
        <w:rPr>
          <w:rFonts w:ascii="Times New Roman" w:hAnsi="Times New Roman"/>
          <w:sz w:val="24"/>
        </w:rPr>
        <w:t xml:space="preserve">stage </w:t>
      </w:r>
      <w:r>
        <w:rPr>
          <w:rFonts w:ascii="Times New Roman" w:hAnsi="Times New Roman"/>
          <w:sz w:val="24"/>
        </w:rPr>
        <w:t>and lastly evaluation on pricing and preference</w:t>
      </w:r>
      <w:r w:rsidR="00F67E21">
        <w:rPr>
          <w:rFonts w:ascii="Times New Roman" w:hAnsi="Times New Roman"/>
          <w:sz w:val="24"/>
        </w:rPr>
        <w:t xml:space="preserve"> points</w:t>
      </w:r>
      <w:r w:rsidR="00757CBA">
        <w:rPr>
          <w:rFonts w:ascii="Times New Roman" w:hAnsi="Times New Roman"/>
          <w:sz w:val="24"/>
        </w:rPr>
        <w:t xml:space="preserve"> system</w:t>
      </w:r>
      <w:r>
        <w:rPr>
          <w:rFonts w:ascii="Times New Roman" w:hAnsi="Times New Roman"/>
          <w:sz w:val="24"/>
        </w:rPr>
        <w:t xml:space="preserve">. </w:t>
      </w:r>
      <w:r w:rsidR="00A36937">
        <w:rPr>
          <w:rFonts w:ascii="Times New Roman" w:hAnsi="Times New Roman"/>
          <w:sz w:val="24"/>
        </w:rPr>
        <w:t xml:space="preserve">The </w:t>
      </w:r>
      <w:r w:rsidR="00757CBA">
        <w:rPr>
          <w:rFonts w:ascii="Times New Roman" w:hAnsi="Times New Roman"/>
          <w:sz w:val="24"/>
        </w:rPr>
        <w:t xml:space="preserve">first </w:t>
      </w:r>
      <w:r w:rsidR="00A36937">
        <w:rPr>
          <w:rFonts w:ascii="Times New Roman" w:hAnsi="Times New Roman"/>
          <w:sz w:val="24"/>
        </w:rPr>
        <w:t xml:space="preserve">respondent received </w:t>
      </w:r>
      <w:r w:rsidR="00AF16AE">
        <w:rPr>
          <w:rFonts w:ascii="Times New Roman" w:hAnsi="Times New Roman"/>
          <w:sz w:val="24"/>
        </w:rPr>
        <w:t>eight (</w:t>
      </w:r>
      <w:r w:rsidR="00A36937">
        <w:rPr>
          <w:rFonts w:ascii="Times New Roman" w:hAnsi="Times New Roman"/>
          <w:sz w:val="24"/>
        </w:rPr>
        <w:t>8</w:t>
      </w:r>
      <w:r w:rsidR="00AF16AE">
        <w:rPr>
          <w:rFonts w:ascii="Times New Roman" w:hAnsi="Times New Roman"/>
          <w:sz w:val="24"/>
        </w:rPr>
        <w:t>)</w:t>
      </w:r>
      <w:r w:rsidR="00A36937">
        <w:rPr>
          <w:rFonts w:ascii="Times New Roman" w:hAnsi="Times New Roman"/>
          <w:sz w:val="24"/>
        </w:rPr>
        <w:t xml:space="preserve"> bids</w:t>
      </w:r>
      <w:r w:rsidR="00F67E21">
        <w:rPr>
          <w:rFonts w:ascii="Times New Roman" w:hAnsi="Times New Roman"/>
          <w:sz w:val="24"/>
        </w:rPr>
        <w:t xml:space="preserve"> and </w:t>
      </w:r>
      <w:r w:rsidR="00AF16AE">
        <w:rPr>
          <w:rFonts w:ascii="Times New Roman" w:hAnsi="Times New Roman"/>
          <w:sz w:val="24"/>
        </w:rPr>
        <w:t>one (</w:t>
      </w:r>
      <w:r w:rsidR="00F67E21">
        <w:rPr>
          <w:rFonts w:ascii="Times New Roman" w:hAnsi="Times New Roman"/>
          <w:sz w:val="24"/>
        </w:rPr>
        <w:t>1</w:t>
      </w:r>
      <w:r w:rsidR="00AF16AE">
        <w:rPr>
          <w:rFonts w:ascii="Times New Roman" w:hAnsi="Times New Roman"/>
          <w:sz w:val="24"/>
        </w:rPr>
        <w:t>)</w:t>
      </w:r>
      <w:r w:rsidR="00F67E21">
        <w:rPr>
          <w:rFonts w:ascii="Times New Roman" w:hAnsi="Times New Roman"/>
          <w:sz w:val="24"/>
        </w:rPr>
        <w:t xml:space="preserve"> was disqualified for failing to satisfy the administrative requirements</w:t>
      </w:r>
      <w:r w:rsidR="00A36937">
        <w:rPr>
          <w:rFonts w:ascii="Times New Roman" w:hAnsi="Times New Roman"/>
          <w:sz w:val="24"/>
        </w:rPr>
        <w:t>. F</w:t>
      </w:r>
      <w:r w:rsidR="00FA6CEE" w:rsidRPr="00E31BA4">
        <w:rPr>
          <w:rFonts w:ascii="Times New Roman" w:hAnsi="Times New Roman"/>
          <w:sz w:val="24"/>
        </w:rPr>
        <w:t>ive</w:t>
      </w:r>
      <w:r w:rsidR="00AF16AE">
        <w:rPr>
          <w:rFonts w:ascii="Times New Roman" w:hAnsi="Times New Roman"/>
          <w:sz w:val="24"/>
        </w:rPr>
        <w:t xml:space="preserve"> (5)</w:t>
      </w:r>
      <w:r>
        <w:rPr>
          <w:rFonts w:ascii="Times New Roman" w:hAnsi="Times New Roman"/>
          <w:sz w:val="24"/>
        </w:rPr>
        <w:t xml:space="preserve"> of the </w:t>
      </w:r>
      <w:r w:rsidR="00AF16AE">
        <w:rPr>
          <w:rFonts w:ascii="Times New Roman" w:hAnsi="Times New Roman"/>
          <w:sz w:val="24"/>
        </w:rPr>
        <w:t>seven (</w:t>
      </w:r>
      <w:r w:rsidR="00F67E21">
        <w:rPr>
          <w:rFonts w:ascii="Times New Roman" w:hAnsi="Times New Roman"/>
          <w:sz w:val="24"/>
        </w:rPr>
        <w:t>7</w:t>
      </w:r>
      <w:r w:rsidR="00AF16AE">
        <w:rPr>
          <w:rFonts w:ascii="Times New Roman" w:hAnsi="Times New Roman"/>
          <w:sz w:val="24"/>
        </w:rPr>
        <w:t>)</w:t>
      </w:r>
      <w:r w:rsidR="00F67E21">
        <w:rPr>
          <w:rFonts w:ascii="Times New Roman" w:hAnsi="Times New Roman"/>
          <w:sz w:val="24"/>
        </w:rPr>
        <w:t xml:space="preserve"> </w:t>
      </w:r>
      <w:r>
        <w:rPr>
          <w:rFonts w:ascii="Times New Roman" w:hAnsi="Times New Roman"/>
          <w:sz w:val="24"/>
        </w:rPr>
        <w:t xml:space="preserve">bidders including the applicant and second respondent </w:t>
      </w:r>
      <w:r w:rsidR="00F67E21">
        <w:rPr>
          <w:rFonts w:ascii="Times New Roman" w:hAnsi="Times New Roman"/>
          <w:sz w:val="24"/>
        </w:rPr>
        <w:t xml:space="preserve">who </w:t>
      </w:r>
      <w:r>
        <w:rPr>
          <w:rFonts w:ascii="Times New Roman" w:hAnsi="Times New Roman"/>
          <w:sz w:val="24"/>
        </w:rPr>
        <w:t xml:space="preserve">went through the first stage </w:t>
      </w:r>
      <w:r w:rsidR="00992856">
        <w:rPr>
          <w:rFonts w:ascii="Times New Roman" w:hAnsi="Times New Roman"/>
          <w:sz w:val="24"/>
        </w:rPr>
        <w:t xml:space="preserve">met the </w:t>
      </w:r>
      <w:r>
        <w:rPr>
          <w:rFonts w:ascii="Times New Roman" w:hAnsi="Times New Roman"/>
          <w:sz w:val="24"/>
        </w:rPr>
        <w:t xml:space="preserve">80% </w:t>
      </w:r>
      <w:r w:rsidR="00992856">
        <w:rPr>
          <w:rFonts w:ascii="Times New Roman" w:hAnsi="Times New Roman"/>
          <w:sz w:val="24"/>
        </w:rPr>
        <w:t xml:space="preserve">threshold </w:t>
      </w:r>
      <w:r>
        <w:rPr>
          <w:rFonts w:ascii="Times New Roman" w:hAnsi="Times New Roman"/>
          <w:sz w:val="24"/>
        </w:rPr>
        <w:t xml:space="preserve">on the </w:t>
      </w:r>
      <w:r w:rsidR="00992856">
        <w:rPr>
          <w:rFonts w:ascii="Times New Roman" w:hAnsi="Times New Roman"/>
          <w:sz w:val="24"/>
        </w:rPr>
        <w:t>technical evaluation</w:t>
      </w:r>
      <w:r>
        <w:rPr>
          <w:rFonts w:ascii="Times New Roman" w:hAnsi="Times New Roman"/>
          <w:sz w:val="24"/>
        </w:rPr>
        <w:t xml:space="preserve"> stage</w:t>
      </w:r>
      <w:r w:rsidR="00D813DF">
        <w:rPr>
          <w:rFonts w:ascii="Times New Roman" w:hAnsi="Times New Roman"/>
          <w:sz w:val="24"/>
        </w:rPr>
        <w:t xml:space="preserve"> and proceeded to the </w:t>
      </w:r>
      <w:r w:rsidR="00875A81">
        <w:rPr>
          <w:rFonts w:ascii="Times New Roman" w:hAnsi="Times New Roman"/>
          <w:sz w:val="24"/>
        </w:rPr>
        <w:t xml:space="preserve">final </w:t>
      </w:r>
      <w:r w:rsidR="00D813DF">
        <w:rPr>
          <w:rFonts w:ascii="Times New Roman" w:hAnsi="Times New Roman"/>
          <w:sz w:val="24"/>
        </w:rPr>
        <w:t>stage</w:t>
      </w:r>
      <w:r w:rsidR="00992856">
        <w:rPr>
          <w:rFonts w:ascii="Times New Roman" w:hAnsi="Times New Roman"/>
          <w:sz w:val="24"/>
        </w:rPr>
        <w:t xml:space="preserve">. The </w:t>
      </w:r>
      <w:r>
        <w:rPr>
          <w:rFonts w:ascii="Times New Roman" w:hAnsi="Times New Roman"/>
          <w:sz w:val="24"/>
        </w:rPr>
        <w:t>second respondent’s pricing was the lowest</w:t>
      </w:r>
      <w:r w:rsidR="00D813DF">
        <w:rPr>
          <w:rFonts w:ascii="Times New Roman" w:hAnsi="Times New Roman"/>
          <w:sz w:val="24"/>
        </w:rPr>
        <w:t xml:space="preserve"> </w:t>
      </w:r>
      <w:r w:rsidR="00465D29">
        <w:rPr>
          <w:rFonts w:ascii="Times New Roman" w:hAnsi="Times New Roman"/>
          <w:sz w:val="24"/>
        </w:rPr>
        <w:t xml:space="preserve">at R5 091 291.73 </w:t>
      </w:r>
      <w:r w:rsidR="00D813DF">
        <w:rPr>
          <w:rFonts w:ascii="Times New Roman" w:hAnsi="Times New Roman"/>
          <w:sz w:val="24"/>
        </w:rPr>
        <w:t xml:space="preserve">and the bid was then awarded to it. The applicant’s </w:t>
      </w:r>
      <w:r w:rsidR="00120633">
        <w:rPr>
          <w:rFonts w:ascii="Times New Roman" w:hAnsi="Times New Roman"/>
          <w:sz w:val="24"/>
        </w:rPr>
        <w:t xml:space="preserve">bid </w:t>
      </w:r>
      <w:r w:rsidR="00D813DF">
        <w:rPr>
          <w:rFonts w:ascii="Times New Roman" w:hAnsi="Times New Roman"/>
          <w:sz w:val="24"/>
        </w:rPr>
        <w:t xml:space="preserve">was the second lowest in terms of pricing </w:t>
      </w:r>
      <w:r w:rsidR="00465D29">
        <w:rPr>
          <w:rFonts w:ascii="Times New Roman" w:hAnsi="Times New Roman"/>
          <w:sz w:val="24"/>
        </w:rPr>
        <w:t xml:space="preserve">at R5 645 185.73 </w:t>
      </w:r>
      <w:r w:rsidR="00D813DF">
        <w:rPr>
          <w:rFonts w:ascii="Times New Roman" w:hAnsi="Times New Roman"/>
          <w:sz w:val="24"/>
        </w:rPr>
        <w:t>and its bid together with the other</w:t>
      </w:r>
      <w:r w:rsidR="00875A81">
        <w:rPr>
          <w:rFonts w:ascii="Times New Roman" w:hAnsi="Times New Roman"/>
          <w:sz w:val="24"/>
        </w:rPr>
        <w:t xml:space="preserve"> bidder</w:t>
      </w:r>
      <w:r w:rsidR="00D813DF">
        <w:rPr>
          <w:rFonts w:ascii="Times New Roman" w:hAnsi="Times New Roman"/>
          <w:sz w:val="24"/>
        </w:rPr>
        <w:t>s were unsuccessful.</w:t>
      </w:r>
    </w:p>
    <w:p w14:paraId="65C9C1FA" w14:textId="77777777" w:rsidR="00FA6CEE" w:rsidRPr="00E31BA4" w:rsidRDefault="00FA6CEE" w:rsidP="00FA6CEE">
      <w:pPr>
        <w:pStyle w:val="ListParagraph"/>
        <w:tabs>
          <w:tab w:val="left" w:pos="540"/>
        </w:tabs>
        <w:spacing w:after="160" w:line="480" w:lineRule="auto"/>
        <w:ind w:left="0" w:right="1"/>
        <w:rPr>
          <w:rFonts w:ascii="Times New Roman" w:hAnsi="Times New Roman"/>
          <w:i/>
          <w:iCs/>
          <w:sz w:val="24"/>
        </w:rPr>
      </w:pPr>
    </w:p>
    <w:p w14:paraId="18589032" w14:textId="567B3D3C" w:rsidR="00B245E4" w:rsidRPr="00B245E4" w:rsidRDefault="00465D29" w:rsidP="00325DC2">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The applicant was dissatisfied that its bid was unsuccessful and </w:t>
      </w:r>
      <w:r w:rsidRPr="00AF16AE">
        <w:rPr>
          <w:rFonts w:ascii="Times New Roman" w:hAnsi="Times New Roman"/>
          <w:sz w:val="24"/>
        </w:rPr>
        <w:t>penned</w:t>
      </w:r>
      <w:r>
        <w:rPr>
          <w:rFonts w:ascii="Times New Roman" w:hAnsi="Times New Roman"/>
          <w:sz w:val="24"/>
        </w:rPr>
        <w:t xml:space="preserve"> a letter on </w:t>
      </w:r>
      <w:r w:rsidR="00C61264">
        <w:rPr>
          <w:rFonts w:ascii="Times New Roman" w:hAnsi="Times New Roman"/>
          <w:sz w:val="24"/>
        </w:rPr>
        <w:t>28 February 2022</w:t>
      </w:r>
      <w:r>
        <w:rPr>
          <w:rFonts w:ascii="Times New Roman" w:hAnsi="Times New Roman"/>
          <w:sz w:val="24"/>
        </w:rPr>
        <w:t xml:space="preserve"> to the second respondent relaying its objection to </w:t>
      </w:r>
      <w:r w:rsidR="00AF16AE">
        <w:rPr>
          <w:rFonts w:ascii="Times New Roman" w:hAnsi="Times New Roman"/>
          <w:sz w:val="24"/>
        </w:rPr>
        <w:t>its</w:t>
      </w:r>
      <w:r>
        <w:rPr>
          <w:rFonts w:ascii="Times New Roman" w:hAnsi="Times New Roman"/>
          <w:sz w:val="24"/>
        </w:rPr>
        <w:t xml:space="preserve"> bid being </w:t>
      </w:r>
      <w:r w:rsidR="001F4E1A">
        <w:rPr>
          <w:rFonts w:ascii="Times New Roman" w:hAnsi="Times New Roman"/>
          <w:sz w:val="24"/>
        </w:rPr>
        <w:t>unsuccessful</w:t>
      </w:r>
      <w:r>
        <w:rPr>
          <w:rFonts w:ascii="Times New Roman" w:hAnsi="Times New Roman"/>
          <w:sz w:val="24"/>
        </w:rPr>
        <w:t xml:space="preserve">. </w:t>
      </w:r>
      <w:r w:rsidR="00757CBA">
        <w:rPr>
          <w:rFonts w:ascii="Times New Roman" w:hAnsi="Times New Roman"/>
          <w:sz w:val="24"/>
        </w:rPr>
        <w:t>In terms of the letter t</w:t>
      </w:r>
      <w:r>
        <w:rPr>
          <w:rFonts w:ascii="Times New Roman" w:hAnsi="Times New Roman"/>
          <w:sz w:val="24"/>
        </w:rPr>
        <w:t xml:space="preserve">he applicant </w:t>
      </w:r>
      <w:r w:rsidR="00FA6CEE" w:rsidRPr="00E31BA4">
        <w:rPr>
          <w:rFonts w:ascii="Times New Roman" w:hAnsi="Times New Roman"/>
          <w:sz w:val="24"/>
        </w:rPr>
        <w:t xml:space="preserve">requested </w:t>
      </w:r>
      <w:r w:rsidR="00C61264">
        <w:rPr>
          <w:rFonts w:ascii="Times New Roman" w:hAnsi="Times New Roman"/>
          <w:sz w:val="24"/>
        </w:rPr>
        <w:t>the reason</w:t>
      </w:r>
      <w:r w:rsidR="00AF16AE">
        <w:rPr>
          <w:rFonts w:ascii="Times New Roman" w:hAnsi="Times New Roman"/>
          <w:sz w:val="24"/>
        </w:rPr>
        <w:t>s</w:t>
      </w:r>
      <w:r w:rsidR="00C61264">
        <w:rPr>
          <w:rFonts w:ascii="Times New Roman" w:hAnsi="Times New Roman"/>
          <w:sz w:val="24"/>
        </w:rPr>
        <w:t xml:space="preserve"> for its bid being unsuccessful, </w:t>
      </w:r>
      <w:r w:rsidR="0093086D">
        <w:rPr>
          <w:rFonts w:ascii="Times New Roman" w:hAnsi="Times New Roman"/>
          <w:sz w:val="24"/>
        </w:rPr>
        <w:t xml:space="preserve">a </w:t>
      </w:r>
      <w:r w:rsidR="00C61264">
        <w:rPr>
          <w:rFonts w:ascii="Times New Roman" w:hAnsi="Times New Roman"/>
          <w:sz w:val="24"/>
        </w:rPr>
        <w:t>copy of its scorecard</w:t>
      </w:r>
      <w:r w:rsidR="0093086D">
        <w:rPr>
          <w:rFonts w:ascii="Times New Roman" w:hAnsi="Times New Roman"/>
          <w:sz w:val="24"/>
        </w:rPr>
        <w:t xml:space="preserve">, </w:t>
      </w:r>
      <w:r w:rsidR="00C61264">
        <w:rPr>
          <w:rFonts w:ascii="Times New Roman" w:hAnsi="Times New Roman"/>
          <w:sz w:val="24"/>
        </w:rPr>
        <w:t xml:space="preserve">the scorecard of the successful bidder, copies of </w:t>
      </w:r>
      <w:r w:rsidR="00C61264">
        <w:rPr>
          <w:rFonts w:ascii="Times New Roman" w:hAnsi="Times New Roman"/>
          <w:sz w:val="24"/>
        </w:rPr>
        <w:lastRenderedPageBreak/>
        <w:t xml:space="preserve">minutes of the </w:t>
      </w:r>
      <w:r w:rsidR="001F4E1A">
        <w:rPr>
          <w:rFonts w:ascii="Times New Roman" w:hAnsi="Times New Roman"/>
          <w:sz w:val="24"/>
        </w:rPr>
        <w:t>Bid Evaluation Committee (</w:t>
      </w:r>
      <w:r w:rsidR="00C61264">
        <w:rPr>
          <w:rFonts w:ascii="Times New Roman" w:hAnsi="Times New Roman"/>
          <w:sz w:val="24"/>
        </w:rPr>
        <w:t>BEC</w:t>
      </w:r>
      <w:r w:rsidR="001F4E1A">
        <w:rPr>
          <w:rFonts w:ascii="Times New Roman" w:hAnsi="Times New Roman"/>
          <w:sz w:val="24"/>
        </w:rPr>
        <w:t>)</w:t>
      </w:r>
      <w:r w:rsidR="00C61264">
        <w:rPr>
          <w:rFonts w:ascii="Times New Roman" w:hAnsi="Times New Roman"/>
          <w:sz w:val="24"/>
        </w:rPr>
        <w:t xml:space="preserve"> and </w:t>
      </w:r>
      <w:r w:rsidR="001F4E1A">
        <w:rPr>
          <w:rFonts w:ascii="Times New Roman" w:hAnsi="Times New Roman"/>
          <w:sz w:val="24"/>
        </w:rPr>
        <w:t xml:space="preserve">Bid Adjudication </w:t>
      </w:r>
      <w:r w:rsidR="00437B54">
        <w:rPr>
          <w:rFonts w:ascii="Times New Roman" w:hAnsi="Times New Roman"/>
          <w:sz w:val="24"/>
        </w:rPr>
        <w:t>C</w:t>
      </w:r>
      <w:r w:rsidR="001F4E1A">
        <w:rPr>
          <w:rFonts w:ascii="Times New Roman" w:hAnsi="Times New Roman"/>
          <w:sz w:val="24"/>
        </w:rPr>
        <w:t>ommittee (</w:t>
      </w:r>
      <w:r w:rsidR="00C61264">
        <w:rPr>
          <w:rFonts w:ascii="Times New Roman" w:hAnsi="Times New Roman"/>
          <w:sz w:val="24"/>
        </w:rPr>
        <w:t>BAC</w:t>
      </w:r>
      <w:r w:rsidR="001F4E1A">
        <w:rPr>
          <w:rFonts w:ascii="Times New Roman" w:hAnsi="Times New Roman"/>
          <w:sz w:val="24"/>
        </w:rPr>
        <w:t>)</w:t>
      </w:r>
      <w:r w:rsidR="00C61264">
        <w:rPr>
          <w:rFonts w:ascii="Times New Roman" w:hAnsi="Times New Roman"/>
          <w:sz w:val="24"/>
        </w:rPr>
        <w:t xml:space="preserve">. The </w:t>
      </w:r>
      <w:r w:rsidR="00B245E4">
        <w:rPr>
          <w:rFonts w:ascii="Times New Roman" w:hAnsi="Times New Roman"/>
          <w:sz w:val="24"/>
        </w:rPr>
        <w:t>first</w:t>
      </w:r>
      <w:r w:rsidR="00C61264">
        <w:rPr>
          <w:rFonts w:ascii="Times New Roman" w:hAnsi="Times New Roman"/>
          <w:sz w:val="24"/>
        </w:rPr>
        <w:t xml:space="preserve"> respondent provided reasons on</w:t>
      </w:r>
      <w:r w:rsidR="00B245E4">
        <w:rPr>
          <w:rFonts w:ascii="Times New Roman" w:hAnsi="Times New Roman"/>
          <w:sz w:val="24"/>
        </w:rPr>
        <w:t xml:space="preserve"> 1 April 2022</w:t>
      </w:r>
      <w:r w:rsidR="00C61264">
        <w:rPr>
          <w:rFonts w:ascii="Times New Roman" w:hAnsi="Times New Roman"/>
          <w:sz w:val="24"/>
        </w:rPr>
        <w:t xml:space="preserve"> setting out the procedures that was followed in terms of the stages set out above and </w:t>
      </w:r>
      <w:r w:rsidR="00AF16AE">
        <w:rPr>
          <w:rFonts w:ascii="Times New Roman" w:hAnsi="Times New Roman"/>
          <w:sz w:val="24"/>
        </w:rPr>
        <w:t xml:space="preserve">furnished the applicant with </w:t>
      </w:r>
      <w:r w:rsidR="00C61264">
        <w:rPr>
          <w:rFonts w:ascii="Times New Roman" w:hAnsi="Times New Roman"/>
          <w:sz w:val="24"/>
        </w:rPr>
        <w:t>scorecard for the technical evaluation and the scoring for pricing and preference</w:t>
      </w:r>
      <w:r w:rsidR="00875A81">
        <w:rPr>
          <w:rFonts w:ascii="Times New Roman" w:hAnsi="Times New Roman"/>
          <w:sz w:val="24"/>
        </w:rPr>
        <w:t xml:space="preserve"> points</w:t>
      </w:r>
      <w:r w:rsidR="00C61264">
        <w:rPr>
          <w:rFonts w:ascii="Times New Roman" w:hAnsi="Times New Roman"/>
          <w:sz w:val="24"/>
        </w:rPr>
        <w:t>. In addition to the aforesaid</w:t>
      </w:r>
      <w:r w:rsidR="00875A81">
        <w:rPr>
          <w:rFonts w:ascii="Times New Roman" w:hAnsi="Times New Roman"/>
          <w:sz w:val="24"/>
        </w:rPr>
        <w:t xml:space="preserve">, </w:t>
      </w:r>
      <w:r w:rsidR="00C61264">
        <w:rPr>
          <w:rFonts w:ascii="Times New Roman" w:hAnsi="Times New Roman"/>
          <w:sz w:val="24"/>
        </w:rPr>
        <w:t xml:space="preserve">the </w:t>
      </w:r>
      <w:r w:rsidR="00875A81">
        <w:rPr>
          <w:rFonts w:ascii="Times New Roman" w:hAnsi="Times New Roman"/>
          <w:sz w:val="24"/>
        </w:rPr>
        <w:t xml:space="preserve">first </w:t>
      </w:r>
      <w:r w:rsidR="00C61264">
        <w:rPr>
          <w:rFonts w:ascii="Times New Roman" w:hAnsi="Times New Roman"/>
          <w:sz w:val="24"/>
        </w:rPr>
        <w:t xml:space="preserve">respondent provided the applicant with </w:t>
      </w:r>
      <w:r w:rsidR="0093086D">
        <w:rPr>
          <w:rFonts w:ascii="Times New Roman" w:hAnsi="Times New Roman"/>
          <w:sz w:val="24"/>
        </w:rPr>
        <w:t xml:space="preserve">the </w:t>
      </w:r>
      <w:r w:rsidR="00C61264">
        <w:rPr>
          <w:rFonts w:ascii="Times New Roman" w:hAnsi="Times New Roman"/>
          <w:sz w:val="24"/>
        </w:rPr>
        <w:t xml:space="preserve">minutes of the </w:t>
      </w:r>
      <w:r w:rsidR="00875A81">
        <w:rPr>
          <w:rFonts w:ascii="Times New Roman" w:hAnsi="Times New Roman"/>
          <w:sz w:val="24"/>
        </w:rPr>
        <w:t>BE</w:t>
      </w:r>
      <w:r w:rsidR="007C6581">
        <w:rPr>
          <w:rFonts w:ascii="Times New Roman" w:hAnsi="Times New Roman"/>
          <w:sz w:val="24"/>
        </w:rPr>
        <w:t>C</w:t>
      </w:r>
      <w:r w:rsidR="00C61264">
        <w:rPr>
          <w:rFonts w:ascii="Times New Roman" w:hAnsi="Times New Roman"/>
          <w:sz w:val="24"/>
        </w:rPr>
        <w:t xml:space="preserve"> and the </w:t>
      </w:r>
      <w:r w:rsidR="00875A81">
        <w:rPr>
          <w:rFonts w:ascii="Times New Roman" w:hAnsi="Times New Roman"/>
          <w:sz w:val="24"/>
        </w:rPr>
        <w:t>BAC</w:t>
      </w:r>
      <w:r w:rsidR="00757CBA">
        <w:rPr>
          <w:rFonts w:ascii="Times New Roman" w:hAnsi="Times New Roman"/>
          <w:sz w:val="24"/>
        </w:rPr>
        <w:t xml:space="preserve"> meetings</w:t>
      </w:r>
      <w:r w:rsidR="00C61264">
        <w:rPr>
          <w:rFonts w:ascii="Times New Roman" w:hAnsi="Times New Roman"/>
          <w:sz w:val="24"/>
        </w:rPr>
        <w:t xml:space="preserve">. </w:t>
      </w:r>
      <w:r w:rsidR="00875A81">
        <w:rPr>
          <w:rFonts w:ascii="Times New Roman" w:hAnsi="Times New Roman"/>
          <w:sz w:val="24"/>
        </w:rPr>
        <w:t>T</w:t>
      </w:r>
      <w:r w:rsidR="00C61264">
        <w:rPr>
          <w:rFonts w:ascii="Times New Roman" w:hAnsi="Times New Roman"/>
          <w:sz w:val="24"/>
        </w:rPr>
        <w:t xml:space="preserve">he </w:t>
      </w:r>
      <w:r w:rsidR="00757CBA">
        <w:rPr>
          <w:rFonts w:ascii="Times New Roman" w:hAnsi="Times New Roman"/>
          <w:sz w:val="24"/>
        </w:rPr>
        <w:t>first</w:t>
      </w:r>
      <w:r w:rsidR="00C61264">
        <w:rPr>
          <w:rFonts w:ascii="Times New Roman" w:hAnsi="Times New Roman"/>
          <w:sz w:val="24"/>
        </w:rPr>
        <w:t xml:space="preserve"> respondent stated that</w:t>
      </w:r>
      <w:r w:rsidR="00757CBA">
        <w:rPr>
          <w:rFonts w:ascii="Times New Roman" w:hAnsi="Times New Roman"/>
          <w:sz w:val="24"/>
        </w:rPr>
        <w:t xml:space="preserve"> the said minutes</w:t>
      </w:r>
      <w:r w:rsidR="00C61264">
        <w:rPr>
          <w:rFonts w:ascii="Times New Roman" w:hAnsi="Times New Roman"/>
          <w:sz w:val="24"/>
        </w:rPr>
        <w:t xml:space="preserve"> </w:t>
      </w:r>
      <w:r w:rsidR="00C61264" w:rsidRPr="001227C8">
        <w:rPr>
          <w:rFonts w:ascii="Times New Roman" w:hAnsi="Times New Roman"/>
          <w:i/>
          <w:sz w:val="24"/>
        </w:rPr>
        <w:t>“</w:t>
      </w:r>
      <w:r w:rsidR="00757CBA" w:rsidRPr="001227C8">
        <w:rPr>
          <w:rFonts w:ascii="Times New Roman" w:hAnsi="Times New Roman"/>
          <w:i/>
          <w:sz w:val="24"/>
        </w:rPr>
        <w:t>…</w:t>
      </w:r>
      <w:r w:rsidR="00C61264" w:rsidRPr="00C61264">
        <w:rPr>
          <w:rFonts w:ascii="Times New Roman" w:hAnsi="Times New Roman"/>
          <w:i/>
          <w:iCs/>
          <w:sz w:val="24"/>
        </w:rPr>
        <w:t xml:space="preserve"> were</w:t>
      </w:r>
      <w:r w:rsidR="00A36937" w:rsidRPr="00C61264">
        <w:rPr>
          <w:rFonts w:ascii="Times New Roman" w:hAnsi="Times New Roman"/>
          <w:i/>
          <w:iCs/>
          <w:sz w:val="24"/>
        </w:rPr>
        <w:t xml:space="preserve"> </w:t>
      </w:r>
      <w:r w:rsidR="00C61264" w:rsidRPr="00C61264">
        <w:rPr>
          <w:rFonts w:ascii="Times New Roman" w:hAnsi="Times New Roman"/>
          <w:i/>
          <w:iCs/>
          <w:sz w:val="24"/>
        </w:rPr>
        <w:t xml:space="preserve">given in </w:t>
      </w:r>
      <w:r w:rsidR="00C61264" w:rsidRPr="007C6581">
        <w:rPr>
          <w:rFonts w:ascii="Times New Roman" w:hAnsi="Times New Roman"/>
          <w:i/>
          <w:iCs/>
          <w:sz w:val="24"/>
          <w:u w:val="single"/>
        </w:rPr>
        <w:t>support of the reasons</w:t>
      </w:r>
      <w:r w:rsidR="00C61264" w:rsidRPr="00C61264">
        <w:rPr>
          <w:rFonts w:ascii="Times New Roman" w:hAnsi="Times New Roman"/>
          <w:i/>
          <w:iCs/>
          <w:sz w:val="24"/>
        </w:rPr>
        <w:t xml:space="preserve"> provided to the applicant. However, these documents do not constitute the reason of the first respondent’s decision”</w:t>
      </w:r>
      <w:r w:rsidR="00C61264">
        <w:rPr>
          <w:rFonts w:ascii="Times New Roman" w:hAnsi="Times New Roman"/>
          <w:sz w:val="24"/>
        </w:rPr>
        <w:t>.</w:t>
      </w:r>
      <w:r w:rsidR="00C61264">
        <w:rPr>
          <w:rStyle w:val="FootnoteReference"/>
          <w:rFonts w:ascii="Times New Roman" w:hAnsi="Times New Roman"/>
          <w:sz w:val="24"/>
        </w:rPr>
        <w:footnoteReference w:id="3"/>
      </w:r>
      <w:r w:rsidR="00FA6CEE" w:rsidRPr="00E31BA4">
        <w:rPr>
          <w:rFonts w:ascii="Times New Roman" w:hAnsi="Times New Roman"/>
          <w:sz w:val="24"/>
        </w:rPr>
        <w:t xml:space="preserve"> </w:t>
      </w:r>
      <w:r w:rsidR="007C6581">
        <w:rPr>
          <w:rFonts w:ascii="Times New Roman" w:hAnsi="Times New Roman"/>
          <w:sz w:val="24"/>
        </w:rPr>
        <w:t>(underlining added).</w:t>
      </w:r>
    </w:p>
    <w:p w14:paraId="18A08CA8" w14:textId="77777777" w:rsidR="00B245E4" w:rsidRPr="00B245E4" w:rsidRDefault="00B245E4" w:rsidP="00B245E4">
      <w:pPr>
        <w:pStyle w:val="ListParagraph"/>
        <w:rPr>
          <w:rFonts w:ascii="Times New Roman" w:hAnsi="Times New Roman"/>
          <w:sz w:val="24"/>
        </w:rPr>
      </w:pPr>
    </w:p>
    <w:p w14:paraId="47490795" w14:textId="086A4240" w:rsidR="00E56EA6" w:rsidRPr="00E56EA6" w:rsidRDefault="00FA6CEE" w:rsidP="00325DC2">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The </w:t>
      </w:r>
      <w:r w:rsidR="00875A81">
        <w:rPr>
          <w:rFonts w:ascii="Times New Roman" w:hAnsi="Times New Roman"/>
          <w:sz w:val="24"/>
        </w:rPr>
        <w:t xml:space="preserve">applicant’s </w:t>
      </w:r>
      <w:r w:rsidR="00B245E4">
        <w:rPr>
          <w:rFonts w:ascii="Times New Roman" w:hAnsi="Times New Roman"/>
          <w:sz w:val="24"/>
        </w:rPr>
        <w:t>attorneys formally objected on 4 April 2022 to the awarding of t</w:t>
      </w:r>
      <w:r w:rsidR="008812A9">
        <w:rPr>
          <w:rFonts w:ascii="Times New Roman" w:hAnsi="Times New Roman"/>
          <w:sz w:val="24"/>
        </w:rPr>
        <w:t>he</w:t>
      </w:r>
      <w:r w:rsidR="00B245E4">
        <w:rPr>
          <w:rFonts w:ascii="Times New Roman" w:hAnsi="Times New Roman"/>
          <w:sz w:val="24"/>
        </w:rPr>
        <w:t xml:space="preserve"> tender to the second respondent on the basis that its bid for multifunctional printers (</w:t>
      </w:r>
      <w:r w:rsidR="00B245E4" w:rsidRPr="00B245E4">
        <w:rPr>
          <w:rFonts w:ascii="Times New Roman" w:hAnsi="Times New Roman"/>
          <w:i/>
          <w:iCs/>
          <w:sz w:val="24"/>
        </w:rPr>
        <w:t>printers</w:t>
      </w:r>
      <w:r w:rsidR="00B245E4">
        <w:rPr>
          <w:rFonts w:ascii="Times New Roman" w:hAnsi="Times New Roman"/>
          <w:sz w:val="24"/>
        </w:rPr>
        <w:t xml:space="preserve">) was of a lesser specification </w:t>
      </w:r>
      <w:r w:rsidR="007C6581">
        <w:rPr>
          <w:rFonts w:ascii="Times New Roman" w:hAnsi="Times New Roman"/>
          <w:sz w:val="24"/>
        </w:rPr>
        <w:t xml:space="preserve">in relation to what was required in terms of the </w:t>
      </w:r>
      <w:r w:rsidR="00757CBA">
        <w:rPr>
          <w:rFonts w:ascii="Times New Roman" w:hAnsi="Times New Roman"/>
          <w:sz w:val="24"/>
        </w:rPr>
        <w:t>tender</w:t>
      </w:r>
      <w:r w:rsidR="008812A9">
        <w:rPr>
          <w:rFonts w:ascii="Times New Roman" w:hAnsi="Times New Roman"/>
          <w:sz w:val="24"/>
        </w:rPr>
        <w:t xml:space="preserve">. The applicant’s attorneys </w:t>
      </w:r>
      <w:r w:rsidR="00B245E4">
        <w:rPr>
          <w:rFonts w:ascii="Times New Roman" w:hAnsi="Times New Roman"/>
          <w:sz w:val="24"/>
        </w:rPr>
        <w:t>further requested second respondent’s pricing on the printers</w:t>
      </w:r>
      <w:r w:rsidR="001F4E1A">
        <w:rPr>
          <w:rFonts w:ascii="Times New Roman" w:hAnsi="Times New Roman"/>
          <w:sz w:val="24"/>
        </w:rPr>
        <w:t>,</w:t>
      </w:r>
      <w:r w:rsidR="00B245E4">
        <w:rPr>
          <w:rFonts w:ascii="Times New Roman" w:hAnsi="Times New Roman"/>
          <w:sz w:val="24"/>
        </w:rPr>
        <w:t xml:space="preserve"> the models of the </w:t>
      </w:r>
      <w:r w:rsidR="001F4E1A">
        <w:rPr>
          <w:rFonts w:ascii="Times New Roman" w:hAnsi="Times New Roman"/>
          <w:sz w:val="24"/>
        </w:rPr>
        <w:t xml:space="preserve">printers </w:t>
      </w:r>
      <w:r w:rsidR="00B245E4">
        <w:rPr>
          <w:rFonts w:ascii="Times New Roman" w:hAnsi="Times New Roman"/>
          <w:sz w:val="24"/>
        </w:rPr>
        <w:t xml:space="preserve">offered </w:t>
      </w:r>
      <w:r w:rsidR="000368FA">
        <w:rPr>
          <w:rFonts w:ascii="Times New Roman" w:hAnsi="Times New Roman"/>
          <w:sz w:val="24"/>
        </w:rPr>
        <w:t xml:space="preserve">and </w:t>
      </w:r>
      <w:r w:rsidR="00AF16AE">
        <w:rPr>
          <w:rFonts w:ascii="Times New Roman" w:hAnsi="Times New Roman"/>
          <w:sz w:val="24"/>
        </w:rPr>
        <w:t xml:space="preserve">further requested </w:t>
      </w:r>
      <w:r w:rsidR="00B245E4">
        <w:rPr>
          <w:rFonts w:ascii="Times New Roman" w:hAnsi="Times New Roman"/>
          <w:sz w:val="24"/>
        </w:rPr>
        <w:t xml:space="preserve">that no agreement should be signed with the second respondent until its objection is dealt with. The first respondent replied on 12 April 2022 and stated that there is no basis for alleging that the printers were of </w:t>
      </w:r>
      <w:r w:rsidR="000368FA">
        <w:rPr>
          <w:rFonts w:ascii="Times New Roman" w:hAnsi="Times New Roman"/>
          <w:sz w:val="24"/>
        </w:rPr>
        <w:t xml:space="preserve">a </w:t>
      </w:r>
      <w:r w:rsidR="00B245E4">
        <w:rPr>
          <w:rFonts w:ascii="Times New Roman" w:hAnsi="Times New Roman"/>
          <w:sz w:val="24"/>
        </w:rPr>
        <w:t>lesser specification, further that all information required</w:t>
      </w:r>
      <w:r w:rsidR="00AF16AE">
        <w:rPr>
          <w:rFonts w:ascii="Times New Roman" w:hAnsi="Times New Roman"/>
          <w:sz w:val="24"/>
        </w:rPr>
        <w:t xml:space="preserve"> by the applicant </w:t>
      </w:r>
      <w:r w:rsidR="00B245E4">
        <w:rPr>
          <w:rFonts w:ascii="Times New Roman" w:hAnsi="Times New Roman"/>
          <w:sz w:val="24"/>
        </w:rPr>
        <w:t>has been provided and lastly that there is no legal impediment restricting the first respondent to</w:t>
      </w:r>
      <w:r w:rsidR="009D582F">
        <w:rPr>
          <w:rFonts w:ascii="Times New Roman" w:hAnsi="Times New Roman"/>
          <w:sz w:val="24"/>
        </w:rPr>
        <w:t xml:space="preserve"> </w:t>
      </w:r>
      <w:r w:rsidR="00757CBA">
        <w:rPr>
          <w:rFonts w:ascii="Times New Roman" w:hAnsi="Times New Roman"/>
          <w:sz w:val="24"/>
        </w:rPr>
        <w:t xml:space="preserve">enter into an agreement </w:t>
      </w:r>
      <w:r w:rsidR="009D582F">
        <w:rPr>
          <w:rFonts w:ascii="Times New Roman" w:hAnsi="Times New Roman"/>
          <w:sz w:val="24"/>
        </w:rPr>
        <w:t xml:space="preserve">with the </w:t>
      </w:r>
      <w:r w:rsidR="001F4E1A">
        <w:rPr>
          <w:rFonts w:ascii="Times New Roman" w:hAnsi="Times New Roman"/>
          <w:sz w:val="24"/>
        </w:rPr>
        <w:t>second</w:t>
      </w:r>
      <w:r w:rsidR="009D582F">
        <w:rPr>
          <w:rFonts w:ascii="Times New Roman" w:hAnsi="Times New Roman"/>
          <w:sz w:val="24"/>
        </w:rPr>
        <w:t xml:space="preserve"> respondent. The applicant’s attorneys sent another letter on 12 April 2022 explaining that as </w:t>
      </w:r>
      <w:r w:rsidR="007C6581">
        <w:rPr>
          <w:rFonts w:ascii="Times New Roman" w:hAnsi="Times New Roman"/>
          <w:sz w:val="24"/>
        </w:rPr>
        <w:t>their client</w:t>
      </w:r>
      <w:r w:rsidR="00556F53">
        <w:rPr>
          <w:rFonts w:ascii="Times New Roman" w:hAnsi="Times New Roman"/>
          <w:sz w:val="24"/>
        </w:rPr>
        <w:t xml:space="preserve"> is an </w:t>
      </w:r>
      <w:r w:rsidR="009D582F">
        <w:rPr>
          <w:rFonts w:ascii="Times New Roman" w:hAnsi="Times New Roman"/>
          <w:sz w:val="24"/>
        </w:rPr>
        <w:t>expert in the industry it harbours a belie</w:t>
      </w:r>
      <w:r w:rsidR="00AF16AE">
        <w:rPr>
          <w:rFonts w:ascii="Times New Roman" w:hAnsi="Times New Roman"/>
          <w:sz w:val="24"/>
        </w:rPr>
        <w:t>f</w:t>
      </w:r>
      <w:r w:rsidR="009D582F">
        <w:rPr>
          <w:rFonts w:ascii="Times New Roman" w:hAnsi="Times New Roman"/>
          <w:sz w:val="24"/>
        </w:rPr>
        <w:t xml:space="preserve"> that the second respondent’s printers are not of correct quality as required in terms of specification</w:t>
      </w:r>
      <w:r w:rsidR="00757CBA">
        <w:rPr>
          <w:rFonts w:ascii="Times New Roman" w:hAnsi="Times New Roman"/>
          <w:sz w:val="24"/>
        </w:rPr>
        <w:t>s</w:t>
      </w:r>
      <w:r w:rsidR="000368FA">
        <w:rPr>
          <w:rFonts w:ascii="Times New Roman" w:hAnsi="Times New Roman"/>
          <w:sz w:val="24"/>
        </w:rPr>
        <w:t xml:space="preserve"> and need the information </w:t>
      </w:r>
      <w:r w:rsidR="00AF16AE">
        <w:rPr>
          <w:rFonts w:ascii="Times New Roman" w:hAnsi="Times New Roman"/>
          <w:sz w:val="24"/>
        </w:rPr>
        <w:t>of</w:t>
      </w:r>
      <w:r w:rsidR="000368FA">
        <w:rPr>
          <w:rFonts w:ascii="Times New Roman" w:hAnsi="Times New Roman"/>
          <w:sz w:val="24"/>
        </w:rPr>
        <w:t xml:space="preserve"> the model of printers quoted and offered by the second respondent</w:t>
      </w:r>
      <w:r w:rsidR="009D582F">
        <w:rPr>
          <w:rFonts w:ascii="Times New Roman" w:hAnsi="Times New Roman"/>
          <w:sz w:val="24"/>
        </w:rPr>
        <w:t xml:space="preserve">. The first respondent replied on 24 April 2022 that there is no legal basis for the applicant to request the second respondent’s </w:t>
      </w:r>
      <w:r w:rsidR="00AF16AE">
        <w:rPr>
          <w:rFonts w:ascii="Times New Roman" w:hAnsi="Times New Roman"/>
          <w:sz w:val="24"/>
        </w:rPr>
        <w:t>documents</w:t>
      </w:r>
      <w:r w:rsidR="00E56EA6">
        <w:rPr>
          <w:rFonts w:ascii="Times New Roman" w:hAnsi="Times New Roman"/>
          <w:sz w:val="24"/>
        </w:rPr>
        <w:t>.</w:t>
      </w:r>
    </w:p>
    <w:p w14:paraId="4D9B8309" w14:textId="77777777" w:rsidR="00E56EA6" w:rsidRPr="00E56EA6" w:rsidRDefault="00E56EA6" w:rsidP="00E56EA6">
      <w:pPr>
        <w:pStyle w:val="ListParagraph"/>
        <w:tabs>
          <w:tab w:val="left" w:pos="540"/>
        </w:tabs>
        <w:spacing w:after="160" w:line="480" w:lineRule="auto"/>
        <w:ind w:left="0" w:right="1"/>
        <w:rPr>
          <w:rFonts w:ascii="Times New Roman" w:hAnsi="Times New Roman"/>
          <w:i/>
          <w:iCs/>
          <w:sz w:val="24"/>
        </w:rPr>
      </w:pPr>
    </w:p>
    <w:p w14:paraId="6FFC33FD" w14:textId="3BC08A9E" w:rsidR="00B245E4" w:rsidRPr="00B245E4" w:rsidRDefault="00E56EA6" w:rsidP="00325DC2">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The applicant</w:t>
      </w:r>
      <w:r w:rsidR="00556F53">
        <w:rPr>
          <w:rFonts w:ascii="Times New Roman" w:hAnsi="Times New Roman"/>
          <w:sz w:val="24"/>
        </w:rPr>
        <w:t>’s attorneys</w:t>
      </w:r>
      <w:r>
        <w:rPr>
          <w:rFonts w:ascii="Times New Roman" w:hAnsi="Times New Roman"/>
          <w:sz w:val="24"/>
        </w:rPr>
        <w:t xml:space="preserve"> forwarded a further correspondence to the first respondent laying the </w:t>
      </w:r>
      <w:r w:rsidR="0093086D">
        <w:rPr>
          <w:rFonts w:ascii="Times New Roman" w:hAnsi="Times New Roman"/>
          <w:sz w:val="24"/>
        </w:rPr>
        <w:t xml:space="preserve">legal </w:t>
      </w:r>
      <w:r>
        <w:rPr>
          <w:rFonts w:ascii="Times New Roman" w:hAnsi="Times New Roman"/>
          <w:sz w:val="24"/>
        </w:rPr>
        <w:t xml:space="preserve">basis for the request that the procurement regulatory framework is prescribed by section 217 of the Constitution </w:t>
      </w:r>
      <w:r w:rsidR="00E67597">
        <w:rPr>
          <w:rFonts w:ascii="Times New Roman" w:hAnsi="Times New Roman"/>
          <w:sz w:val="24"/>
        </w:rPr>
        <w:t xml:space="preserve">of the Republic of South Africa, </w:t>
      </w:r>
      <w:r w:rsidR="00757CBA">
        <w:rPr>
          <w:rFonts w:ascii="Times New Roman" w:hAnsi="Times New Roman"/>
          <w:sz w:val="24"/>
        </w:rPr>
        <w:t>Act 108 of 1996 (</w:t>
      </w:r>
      <w:r w:rsidR="00757CBA" w:rsidRPr="00757CBA">
        <w:rPr>
          <w:rFonts w:ascii="Times New Roman" w:hAnsi="Times New Roman"/>
          <w:i/>
          <w:iCs/>
          <w:sz w:val="24"/>
        </w:rPr>
        <w:t>Constitution</w:t>
      </w:r>
      <w:r w:rsidR="00757CBA">
        <w:rPr>
          <w:rFonts w:ascii="Times New Roman" w:hAnsi="Times New Roman"/>
          <w:sz w:val="24"/>
        </w:rPr>
        <w:t xml:space="preserve">) </w:t>
      </w:r>
      <w:r>
        <w:rPr>
          <w:rFonts w:ascii="Times New Roman" w:hAnsi="Times New Roman"/>
          <w:sz w:val="24"/>
        </w:rPr>
        <w:t>read with P</w:t>
      </w:r>
      <w:r w:rsidR="000368FA">
        <w:rPr>
          <w:rFonts w:ascii="Times New Roman" w:hAnsi="Times New Roman"/>
          <w:sz w:val="24"/>
        </w:rPr>
        <w:t>PPFA</w:t>
      </w:r>
      <w:r>
        <w:rPr>
          <w:rFonts w:ascii="Times New Roman" w:hAnsi="Times New Roman"/>
          <w:sz w:val="24"/>
        </w:rPr>
        <w:t xml:space="preserve"> in terms of which </w:t>
      </w:r>
      <w:r w:rsidR="00556F53">
        <w:rPr>
          <w:rFonts w:ascii="Times New Roman" w:hAnsi="Times New Roman"/>
          <w:sz w:val="24"/>
        </w:rPr>
        <w:t xml:space="preserve">a </w:t>
      </w:r>
      <w:r>
        <w:rPr>
          <w:rFonts w:ascii="Times New Roman" w:hAnsi="Times New Roman"/>
          <w:sz w:val="24"/>
        </w:rPr>
        <w:t>bid which do not respond to tender specification should not be accepted.</w:t>
      </w:r>
      <w:r w:rsidR="00B245E4">
        <w:rPr>
          <w:rFonts w:ascii="Times New Roman" w:hAnsi="Times New Roman"/>
          <w:sz w:val="24"/>
        </w:rPr>
        <w:t xml:space="preserve"> </w:t>
      </w:r>
      <w:r>
        <w:rPr>
          <w:rFonts w:ascii="Times New Roman" w:hAnsi="Times New Roman"/>
          <w:sz w:val="24"/>
        </w:rPr>
        <w:t>Further that P</w:t>
      </w:r>
      <w:r w:rsidR="000368FA">
        <w:rPr>
          <w:rFonts w:ascii="Times New Roman" w:hAnsi="Times New Roman"/>
          <w:sz w:val="24"/>
        </w:rPr>
        <w:t xml:space="preserve">romotion of </w:t>
      </w:r>
      <w:r>
        <w:rPr>
          <w:rFonts w:ascii="Times New Roman" w:hAnsi="Times New Roman"/>
          <w:sz w:val="24"/>
        </w:rPr>
        <w:t>A</w:t>
      </w:r>
      <w:r w:rsidR="000368FA">
        <w:rPr>
          <w:rFonts w:ascii="Times New Roman" w:hAnsi="Times New Roman"/>
          <w:sz w:val="24"/>
        </w:rPr>
        <w:t xml:space="preserve">dministrative </w:t>
      </w:r>
      <w:r>
        <w:rPr>
          <w:rFonts w:ascii="Times New Roman" w:hAnsi="Times New Roman"/>
          <w:sz w:val="24"/>
        </w:rPr>
        <w:t>J</w:t>
      </w:r>
      <w:r w:rsidR="000368FA">
        <w:rPr>
          <w:rFonts w:ascii="Times New Roman" w:hAnsi="Times New Roman"/>
          <w:sz w:val="24"/>
        </w:rPr>
        <w:t xml:space="preserve">ustice </w:t>
      </w:r>
      <w:r>
        <w:rPr>
          <w:rFonts w:ascii="Times New Roman" w:hAnsi="Times New Roman"/>
          <w:sz w:val="24"/>
        </w:rPr>
        <w:t>A</w:t>
      </w:r>
      <w:r w:rsidR="000368FA">
        <w:rPr>
          <w:rFonts w:ascii="Times New Roman" w:hAnsi="Times New Roman"/>
          <w:sz w:val="24"/>
        </w:rPr>
        <w:t>ct 3 of 2000</w:t>
      </w:r>
      <w:r>
        <w:rPr>
          <w:rFonts w:ascii="Times New Roman" w:hAnsi="Times New Roman"/>
          <w:sz w:val="24"/>
        </w:rPr>
        <w:t xml:space="preserve"> </w:t>
      </w:r>
      <w:r w:rsidR="000368FA">
        <w:rPr>
          <w:rFonts w:ascii="Times New Roman" w:hAnsi="Times New Roman"/>
          <w:sz w:val="24"/>
        </w:rPr>
        <w:t>(</w:t>
      </w:r>
      <w:r w:rsidR="000368FA" w:rsidRPr="00D65110">
        <w:rPr>
          <w:rFonts w:ascii="Times New Roman" w:hAnsi="Times New Roman"/>
          <w:i/>
          <w:iCs/>
          <w:sz w:val="24"/>
        </w:rPr>
        <w:t>PAJA</w:t>
      </w:r>
      <w:r w:rsidR="000368FA">
        <w:rPr>
          <w:rFonts w:ascii="Times New Roman" w:hAnsi="Times New Roman"/>
          <w:sz w:val="24"/>
        </w:rPr>
        <w:t xml:space="preserve">) </w:t>
      </w:r>
      <w:r>
        <w:rPr>
          <w:rFonts w:ascii="Times New Roman" w:hAnsi="Times New Roman"/>
          <w:sz w:val="24"/>
        </w:rPr>
        <w:t>allows the applicant to challenge the procurement decisions which are not in accordance with the legal prescripts.</w:t>
      </w:r>
      <w:r w:rsidR="009D7770">
        <w:rPr>
          <w:rFonts w:ascii="Times New Roman" w:hAnsi="Times New Roman"/>
          <w:sz w:val="24"/>
        </w:rPr>
        <w:t xml:space="preserve"> In this regard the applicant persisted with the request for the second respondent’s model of printers. The applicant further attached </w:t>
      </w:r>
      <w:r w:rsidR="001F4E1A">
        <w:rPr>
          <w:rFonts w:ascii="Times New Roman" w:hAnsi="Times New Roman"/>
          <w:sz w:val="24"/>
        </w:rPr>
        <w:t xml:space="preserve">a </w:t>
      </w:r>
      <w:r w:rsidR="009D7770">
        <w:rPr>
          <w:rFonts w:ascii="Times New Roman" w:hAnsi="Times New Roman"/>
          <w:sz w:val="24"/>
        </w:rPr>
        <w:t xml:space="preserve">request for </w:t>
      </w:r>
      <w:r w:rsidR="001F4E1A">
        <w:rPr>
          <w:rFonts w:ascii="Times New Roman" w:hAnsi="Times New Roman"/>
          <w:sz w:val="24"/>
        </w:rPr>
        <w:t>i</w:t>
      </w:r>
      <w:r w:rsidR="009D7770">
        <w:rPr>
          <w:rFonts w:ascii="Times New Roman" w:hAnsi="Times New Roman"/>
          <w:sz w:val="24"/>
        </w:rPr>
        <w:t xml:space="preserve">nformation form </w:t>
      </w:r>
      <w:r w:rsidR="0093086D">
        <w:rPr>
          <w:rFonts w:ascii="Times New Roman" w:hAnsi="Times New Roman"/>
          <w:sz w:val="24"/>
        </w:rPr>
        <w:t xml:space="preserve">prescribed </w:t>
      </w:r>
      <w:r w:rsidR="009D7770">
        <w:rPr>
          <w:rFonts w:ascii="Times New Roman" w:hAnsi="Times New Roman"/>
          <w:sz w:val="24"/>
        </w:rPr>
        <w:t>in terms of P</w:t>
      </w:r>
      <w:r w:rsidR="000368FA">
        <w:rPr>
          <w:rFonts w:ascii="Times New Roman" w:hAnsi="Times New Roman"/>
          <w:sz w:val="24"/>
        </w:rPr>
        <w:t>romotion of Access to Information Act</w:t>
      </w:r>
      <w:r w:rsidR="00D65110">
        <w:rPr>
          <w:rFonts w:ascii="Times New Roman" w:hAnsi="Times New Roman"/>
          <w:sz w:val="24"/>
        </w:rPr>
        <w:t xml:space="preserve"> 2 of 2000</w:t>
      </w:r>
      <w:r w:rsidR="000368FA">
        <w:rPr>
          <w:rFonts w:ascii="Times New Roman" w:hAnsi="Times New Roman"/>
          <w:sz w:val="24"/>
        </w:rPr>
        <w:t xml:space="preserve"> (</w:t>
      </w:r>
      <w:r w:rsidR="000368FA" w:rsidRPr="00D65110">
        <w:rPr>
          <w:rFonts w:ascii="Times New Roman" w:hAnsi="Times New Roman"/>
          <w:i/>
          <w:iCs/>
          <w:sz w:val="24"/>
        </w:rPr>
        <w:t>PAIA</w:t>
      </w:r>
      <w:r w:rsidR="000368FA">
        <w:rPr>
          <w:rFonts w:ascii="Times New Roman" w:hAnsi="Times New Roman"/>
          <w:sz w:val="24"/>
        </w:rPr>
        <w:t>)</w:t>
      </w:r>
      <w:r w:rsidR="009D7770">
        <w:rPr>
          <w:rFonts w:ascii="Times New Roman" w:hAnsi="Times New Roman"/>
          <w:sz w:val="24"/>
        </w:rPr>
        <w:t>. In response the first respondent conveyed that the applica</w:t>
      </w:r>
      <w:r w:rsidR="0093086D">
        <w:rPr>
          <w:rFonts w:ascii="Times New Roman" w:hAnsi="Times New Roman"/>
          <w:sz w:val="24"/>
        </w:rPr>
        <w:t>nt</w:t>
      </w:r>
      <w:r w:rsidR="009D7770">
        <w:rPr>
          <w:rFonts w:ascii="Times New Roman" w:hAnsi="Times New Roman"/>
          <w:sz w:val="24"/>
        </w:rPr>
        <w:t>’s co</w:t>
      </w:r>
      <w:r w:rsidR="00AF16AE">
        <w:rPr>
          <w:rFonts w:ascii="Times New Roman" w:hAnsi="Times New Roman"/>
          <w:sz w:val="24"/>
        </w:rPr>
        <w:t xml:space="preserve">rrespondence </w:t>
      </w:r>
      <w:r w:rsidR="009D7770">
        <w:rPr>
          <w:rFonts w:ascii="Times New Roman" w:hAnsi="Times New Roman"/>
          <w:sz w:val="24"/>
        </w:rPr>
        <w:t>refer</w:t>
      </w:r>
      <w:r w:rsidR="00AF16AE">
        <w:rPr>
          <w:rFonts w:ascii="Times New Roman" w:hAnsi="Times New Roman"/>
          <w:sz w:val="24"/>
        </w:rPr>
        <w:t>red</w:t>
      </w:r>
      <w:r w:rsidR="009D7770">
        <w:rPr>
          <w:rFonts w:ascii="Times New Roman" w:hAnsi="Times New Roman"/>
          <w:sz w:val="24"/>
        </w:rPr>
        <w:t xml:space="preserve"> to PAJA but has failed to demonstrate that </w:t>
      </w:r>
      <w:r w:rsidR="00556F53">
        <w:rPr>
          <w:rFonts w:ascii="Times New Roman" w:hAnsi="Times New Roman"/>
          <w:sz w:val="24"/>
        </w:rPr>
        <w:t>its</w:t>
      </w:r>
      <w:r w:rsidR="009D7770">
        <w:rPr>
          <w:rFonts w:ascii="Times New Roman" w:hAnsi="Times New Roman"/>
          <w:sz w:val="24"/>
        </w:rPr>
        <w:t xml:space="preserve"> decision </w:t>
      </w:r>
      <w:r w:rsidR="001D7774">
        <w:rPr>
          <w:rFonts w:ascii="Times New Roman" w:hAnsi="Times New Roman"/>
          <w:sz w:val="24"/>
        </w:rPr>
        <w:t>implicates the legislative requirement that</w:t>
      </w:r>
      <w:r w:rsidR="00AF16AE">
        <w:rPr>
          <w:rFonts w:ascii="Times New Roman" w:hAnsi="Times New Roman"/>
          <w:sz w:val="24"/>
        </w:rPr>
        <w:t xml:space="preserve"> the decision to award</w:t>
      </w:r>
      <w:r w:rsidR="001D7774">
        <w:rPr>
          <w:rFonts w:ascii="Times New Roman" w:hAnsi="Times New Roman"/>
          <w:sz w:val="24"/>
        </w:rPr>
        <w:t xml:space="preserve"> should be </w:t>
      </w:r>
      <w:r w:rsidR="009D7770">
        <w:rPr>
          <w:rFonts w:ascii="Times New Roman" w:hAnsi="Times New Roman"/>
          <w:sz w:val="24"/>
        </w:rPr>
        <w:t xml:space="preserve">reasonable, </w:t>
      </w:r>
      <w:r w:rsidR="001D7774">
        <w:rPr>
          <w:rFonts w:ascii="Times New Roman" w:hAnsi="Times New Roman"/>
          <w:sz w:val="24"/>
        </w:rPr>
        <w:t>lawful and</w:t>
      </w:r>
      <w:r w:rsidR="00E67597">
        <w:rPr>
          <w:rFonts w:ascii="Times New Roman" w:hAnsi="Times New Roman"/>
          <w:sz w:val="24"/>
        </w:rPr>
        <w:t>/</w:t>
      </w:r>
      <w:r w:rsidR="001D7774">
        <w:rPr>
          <w:rFonts w:ascii="Times New Roman" w:hAnsi="Times New Roman"/>
          <w:sz w:val="24"/>
        </w:rPr>
        <w:t>or procedurally fair and besides</w:t>
      </w:r>
      <w:r w:rsidR="009D7770">
        <w:rPr>
          <w:rFonts w:ascii="Times New Roman" w:hAnsi="Times New Roman"/>
          <w:sz w:val="24"/>
        </w:rPr>
        <w:t xml:space="preserve"> </w:t>
      </w:r>
      <w:r w:rsidR="00D65110">
        <w:rPr>
          <w:rFonts w:ascii="Times New Roman" w:hAnsi="Times New Roman"/>
          <w:sz w:val="24"/>
        </w:rPr>
        <w:t xml:space="preserve">that </w:t>
      </w:r>
      <w:r w:rsidR="009D7770">
        <w:rPr>
          <w:rFonts w:ascii="Times New Roman" w:hAnsi="Times New Roman"/>
          <w:sz w:val="24"/>
        </w:rPr>
        <w:t>their reasons for the request are still unsatisfactory and therefore</w:t>
      </w:r>
      <w:r w:rsidR="0093086D">
        <w:rPr>
          <w:rFonts w:ascii="Times New Roman" w:hAnsi="Times New Roman"/>
          <w:sz w:val="24"/>
        </w:rPr>
        <w:t xml:space="preserve"> the first respondent is </w:t>
      </w:r>
      <w:r w:rsidR="009D7770">
        <w:rPr>
          <w:rFonts w:ascii="Times New Roman" w:hAnsi="Times New Roman"/>
          <w:sz w:val="24"/>
        </w:rPr>
        <w:t xml:space="preserve">unable to forward the request to the second respondent for </w:t>
      </w:r>
      <w:r w:rsidR="00AF16AE">
        <w:rPr>
          <w:rFonts w:ascii="Times New Roman" w:hAnsi="Times New Roman"/>
          <w:sz w:val="24"/>
        </w:rPr>
        <w:t>its</w:t>
      </w:r>
      <w:r w:rsidR="009D7770">
        <w:rPr>
          <w:rFonts w:ascii="Times New Roman" w:hAnsi="Times New Roman"/>
          <w:sz w:val="24"/>
        </w:rPr>
        <w:t xml:space="preserve"> </w:t>
      </w:r>
      <w:r w:rsidR="00D65110">
        <w:rPr>
          <w:rFonts w:ascii="Times New Roman" w:hAnsi="Times New Roman"/>
          <w:sz w:val="24"/>
        </w:rPr>
        <w:t>consent</w:t>
      </w:r>
      <w:r w:rsidR="009D7770">
        <w:rPr>
          <w:rFonts w:ascii="Times New Roman" w:hAnsi="Times New Roman"/>
          <w:sz w:val="24"/>
        </w:rPr>
        <w:t>. In addition, if the applicant is of the view that the reason</w:t>
      </w:r>
      <w:r w:rsidR="00556F53">
        <w:rPr>
          <w:rFonts w:ascii="Times New Roman" w:hAnsi="Times New Roman"/>
          <w:sz w:val="24"/>
        </w:rPr>
        <w:t>s</w:t>
      </w:r>
      <w:r w:rsidR="009D7770">
        <w:rPr>
          <w:rFonts w:ascii="Times New Roman" w:hAnsi="Times New Roman"/>
          <w:sz w:val="24"/>
        </w:rPr>
        <w:t xml:space="preserve"> given </w:t>
      </w:r>
      <w:r w:rsidR="00556F53">
        <w:rPr>
          <w:rFonts w:ascii="Times New Roman" w:hAnsi="Times New Roman"/>
          <w:sz w:val="24"/>
        </w:rPr>
        <w:t>were</w:t>
      </w:r>
      <w:r w:rsidR="009D7770">
        <w:rPr>
          <w:rFonts w:ascii="Times New Roman" w:hAnsi="Times New Roman"/>
          <w:sz w:val="24"/>
        </w:rPr>
        <w:t xml:space="preserve"> not satisfactory the</w:t>
      </w:r>
      <w:r w:rsidR="001F4E1A">
        <w:rPr>
          <w:rFonts w:ascii="Times New Roman" w:hAnsi="Times New Roman"/>
          <w:sz w:val="24"/>
        </w:rPr>
        <w:t>n the</w:t>
      </w:r>
      <w:r w:rsidR="009D7770">
        <w:rPr>
          <w:rFonts w:ascii="Times New Roman" w:hAnsi="Times New Roman"/>
          <w:sz w:val="24"/>
        </w:rPr>
        <w:t xml:space="preserve"> applicant </w:t>
      </w:r>
      <w:r w:rsidR="001D7774">
        <w:rPr>
          <w:rFonts w:ascii="Times New Roman" w:hAnsi="Times New Roman"/>
          <w:sz w:val="24"/>
        </w:rPr>
        <w:t>m</w:t>
      </w:r>
      <w:r w:rsidR="009D7770">
        <w:rPr>
          <w:rFonts w:ascii="Times New Roman" w:hAnsi="Times New Roman"/>
          <w:sz w:val="24"/>
        </w:rPr>
        <w:t>ay invoke the provisions of section 6 of PAJA and launch legal proceedings.</w:t>
      </w:r>
      <w:r w:rsidR="00053E41">
        <w:rPr>
          <w:rFonts w:ascii="Times New Roman" w:hAnsi="Times New Roman"/>
          <w:sz w:val="24"/>
        </w:rPr>
        <w:t xml:space="preserve"> The applicant responded that the second respondent’s bid </w:t>
      </w:r>
      <w:r w:rsidR="00D65110">
        <w:rPr>
          <w:rFonts w:ascii="Times New Roman" w:hAnsi="Times New Roman"/>
          <w:sz w:val="24"/>
        </w:rPr>
        <w:t xml:space="preserve">documents </w:t>
      </w:r>
      <w:r w:rsidR="00053E41">
        <w:rPr>
          <w:rFonts w:ascii="Times New Roman" w:hAnsi="Times New Roman"/>
          <w:sz w:val="24"/>
        </w:rPr>
        <w:t>for</w:t>
      </w:r>
      <w:r w:rsidR="00D65110">
        <w:rPr>
          <w:rFonts w:ascii="Times New Roman" w:hAnsi="Times New Roman"/>
          <w:sz w:val="24"/>
        </w:rPr>
        <w:t>m</w:t>
      </w:r>
      <w:r w:rsidR="00053E41">
        <w:rPr>
          <w:rFonts w:ascii="Times New Roman" w:hAnsi="Times New Roman"/>
          <w:sz w:val="24"/>
        </w:rPr>
        <w:t xml:space="preserve"> part of the record of the tender and such </w:t>
      </w:r>
      <w:r w:rsidR="001F4E1A">
        <w:rPr>
          <w:rFonts w:ascii="Times New Roman" w:hAnsi="Times New Roman"/>
          <w:sz w:val="24"/>
        </w:rPr>
        <w:t>documents are not</w:t>
      </w:r>
      <w:r w:rsidR="00053E41">
        <w:rPr>
          <w:rFonts w:ascii="Times New Roman" w:hAnsi="Times New Roman"/>
          <w:sz w:val="24"/>
        </w:rPr>
        <w:t xml:space="preserve"> private and consent of the bidder </w:t>
      </w:r>
      <w:r w:rsidR="001F4E1A">
        <w:rPr>
          <w:rFonts w:ascii="Times New Roman" w:hAnsi="Times New Roman"/>
          <w:sz w:val="24"/>
        </w:rPr>
        <w:t xml:space="preserve">to make such </w:t>
      </w:r>
      <w:r w:rsidR="0093086D">
        <w:rPr>
          <w:rFonts w:ascii="Times New Roman" w:hAnsi="Times New Roman"/>
          <w:sz w:val="24"/>
        </w:rPr>
        <w:t xml:space="preserve">documents </w:t>
      </w:r>
      <w:r w:rsidR="001F4E1A">
        <w:rPr>
          <w:rFonts w:ascii="Times New Roman" w:hAnsi="Times New Roman"/>
          <w:sz w:val="24"/>
        </w:rPr>
        <w:t xml:space="preserve">available </w:t>
      </w:r>
      <w:r w:rsidR="00053E41">
        <w:rPr>
          <w:rFonts w:ascii="Times New Roman" w:hAnsi="Times New Roman"/>
          <w:sz w:val="24"/>
        </w:rPr>
        <w:t xml:space="preserve">is not required. </w:t>
      </w:r>
    </w:p>
    <w:p w14:paraId="7F9281BB" w14:textId="77777777" w:rsidR="00053E41" w:rsidRPr="00053E41" w:rsidRDefault="00053E41" w:rsidP="00053E41">
      <w:pPr>
        <w:pStyle w:val="ListParagraph"/>
        <w:rPr>
          <w:rFonts w:ascii="Times New Roman" w:hAnsi="Times New Roman"/>
          <w:i/>
          <w:iCs/>
          <w:sz w:val="24"/>
        </w:rPr>
      </w:pPr>
    </w:p>
    <w:p w14:paraId="608B0580" w14:textId="011BD12E" w:rsidR="00FA6CEE" w:rsidRPr="00E31BA4" w:rsidRDefault="001B02C0" w:rsidP="00325DC2">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The applicant then decided to bring an application in terms of </w:t>
      </w:r>
      <w:r w:rsidR="0093086D">
        <w:rPr>
          <w:rFonts w:ascii="Times New Roman" w:hAnsi="Times New Roman"/>
          <w:sz w:val="24"/>
        </w:rPr>
        <w:t>R</w:t>
      </w:r>
      <w:r w:rsidRPr="00E31BA4">
        <w:rPr>
          <w:rFonts w:ascii="Times New Roman" w:hAnsi="Times New Roman"/>
          <w:sz w:val="24"/>
        </w:rPr>
        <w:t xml:space="preserve">ule 53 of the Uniform </w:t>
      </w:r>
      <w:r w:rsidR="002D49FA">
        <w:rPr>
          <w:rFonts w:ascii="Times New Roman" w:hAnsi="Times New Roman"/>
          <w:sz w:val="24"/>
        </w:rPr>
        <w:t>R</w:t>
      </w:r>
      <w:r w:rsidRPr="00E31BA4">
        <w:rPr>
          <w:rFonts w:ascii="Times New Roman" w:hAnsi="Times New Roman"/>
          <w:sz w:val="24"/>
        </w:rPr>
        <w:t xml:space="preserve">ules of </w:t>
      </w:r>
      <w:r w:rsidR="002D49FA">
        <w:rPr>
          <w:rFonts w:ascii="Times New Roman" w:hAnsi="Times New Roman"/>
          <w:sz w:val="24"/>
        </w:rPr>
        <w:t>C</w:t>
      </w:r>
      <w:r w:rsidRPr="00E31BA4">
        <w:rPr>
          <w:rFonts w:ascii="Times New Roman" w:hAnsi="Times New Roman"/>
          <w:sz w:val="24"/>
        </w:rPr>
        <w:t>ourt</w:t>
      </w:r>
      <w:r w:rsidR="002D49FA">
        <w:rPr>
          <w:rFonts w:ascii="Times New Roman" w:hAnsi="Times New Roman"/>
          <w:sz w:val="24"/>
        </w:rPr>
        <w:t xml:space="preserve"> for the review and setting aside </w:t>
      </w:r>
      <w:r w:rsidR="00053E41">
        <w:rPr>
          <w:rFonts w:ascii="Times New Roman" w:hAnsi="Times New Roman"/>
          <w:sz w:val="24"/>
        </w:rPr>
        <w:t>of</w:t>
      </w:r>
      <w:r w:rsidR="002D49FA">
        <w:rPr>
          <w:rFonts w:ascii="Times New Roman" w:hAnsi="Times New Roman"/>
          <w:sz w:val="24"/>
        </w:rPr>
        <w:t xml:space="preserve"> the decision to award the </w:t>
      </w:r>
      <w:r w:rsidR="00757CBA">
        <w:rPr>
          <w:rFonts w:ascii="Times New Roman" w:hAnsi="Times New Roman"/>
          <w:sz w:val="24"/>
        </w:rPr>
        <w:t xml:space="preserve">tender </w:t>
      </w:r>
      <w:r w:rsidR="002D49FA">
        <w:rPr>
          <w:rFonts w:ascii="Times New Roman" w:hAnsi="Times New Roman"/>
          <w:sz w:val="24"/>
        </w:rPr>
        <w:t>to the second respondent. This application wa</w:t>
      </w:r>
      <w:r w:rsidR="00DC29A0">
        <w:rPr>
          <w:rFonts w:ascii="Times New Roman" w:hAnsi="Times New Roman"/>
          <w:sz w:val="24"/>
        </w:rPr>
        <w:t xml:space="preserve">s also in terms of </w:t>
      </w:r>
      <w:r w:rsidR="00053E41">
        <w:rPr>
          <w:rFonts w:ascii="Times New Roman" w:hAnsi="Times New Roman"/>
          <w:sz w:val="24"/>
        </w:rPr>
        <w:t>PAJA as the first respondent</w:t>
      </w:r>
      <w:r w:rsidR="0093086D">
        <w:rPr>
          <w:rFonts w:ascii="Times New Roman" w:hAnsi="Times New Roman"/>
          <w:sz w:val="24"/>
        </w:rPr>
        <w:t xml:space="preserve"> also</w:t>
      </w:r>
      <w:r w:rsidR="00053E41">
        <w:rPr>
          <w:rFonts w:ascii="Times New Roman" w:hAnsi="Times New Roman"/>
          <w:sz w:val="24"/>
        </w:rPr>
        <w:t xml:space="preserve"> failed to provide adequate reasons as envisaged in terms of section 5 thereof</w:t>
      </w:r>
      <w:r w:rsidR="00DC29A0">
        <w:rPr>
          <w:rFonts w:ascii="Times New Roman" w:hAnsi="Times New Roman"/>
          <w:sz w:val="24"/>
        </w:rPr>
        <w:t>.</w:t>
      </w:r>
      <w:r w:rsidR="002D49FA">
        <w:rPr>
          <w:rFonts w:ascii="Times New Roman" w:hAnsi="Times New Roman"/>
          <w:sz w:val="24"/>
        </w:rPr>
        <w:t xml:space="preserve"> </w:t>
      </w:r>
      <w:r w:rsidR="00DC29A0">
        <w:rPr>
          <w:rFonts w:ascii="Times New Roman" w:hAnsi="Times New Roman"/>
          <w:sz w:val="24"/>
        </w:rPr>
        <w:t xml:space="preserve">The application </w:t>
      </w:r>
      <w:r w:rsidR="00053E41">
        <w:rPr>
          <w:rFonts w:ascii="Times New Roman" w:hAnsi="Times New Roman"/>
          <w:sz w:val="24"/>
        </w:rPr>
        <w:t>i</w:t>
      </w:r>
      <w:r w:rsidR="00DC29A0">
        <w:rPr>
          <w:rFonts w:ascii="Times New Roman" w:hAnsi="Times New Roman"/>
          <w:sz w:val="24"/>
        </w:rPr>
        <w:t>s two-pronged, P</w:t>
      </w:r>
      <w:r w:rsidRPr="00E31BA4">
        <w:rPr>
          <w:rFonts w:ascii="Times New Roman" w:hAnsi="Times New Roman"/>
          <w:sz w:val="24"/>
        </w:rPr>
        <w:t>art A</w:t>
      </w:r>
      <w:r w:rsidR="000026E3">
        <w:rPr>
          <w:rFonts w:ascii="Times New Roman" w:hAnsi="Times New Roman"/>
          <w:sz w:val="24"/>
        </w:rPr>
        <w:t>,</w:t>
      </w:r>
      <w:r w:rsidRPr="00E31BA4">
        <w:rPr>
          <w:rFonts w:ascii="Times New Roman" w:hAnsi="Times New Roman"/>
          <w:sz w:val="24"/>
        </w:rPr>
        <w:t xml:space="preserve"> in terms of which the applicant </w:t>
      </w:r>
      <w:r w:rsidR="00DC29A0">
        <w:rPr>
          <w:rFonts w:ascii="Times New Roman" w:hAnsi="Times New Roman"/>
          <w:sz w:val="24"/>
        </w:rPr>
        <w:t>sought</w:t>
      </w:r>
      <w:r w:rsidR="00D65110">
        <w:rPr>
          <w:rFonts w:ascii="Times New Roman" w:hAnsi="Times New Roman"/>
          <w:sz w:val="24"/>
        </w:rPr>
        <w:t xml:space="preserve">, </w:t>
      </w:r>
      <w:r w:rsidR="00D65110" w:rsidRPr="001227C8">
        <w:rPr>
          <w:rFonts w:ascii="Times New Roman" w:hAnsi="Times New Roman"/>
          <w:i/>
          <w:sz w:val="24"/>
        </w:rPr>
        <w:t>inter alia</w:t>
      </w:r>
      <w:r w:rsidR="00D65110">
        <w:rPr>
          <w:rFonts w:ascii="Times New Roman" w:hAnsi="Times New Roman"/>
          <w:sz w:val="24"/>
        </w:rPr>
        <w:t>,</w:t>
      </w:r>
      <w:r w:rsidR="00DC29A0">
        <w:rPr>
          <w:rFonts w:ascii="Times New Roman" w:hAnsi="Times New Roman"/>
          <w:sz w:val="24"/>
        </w:rPr>
        <w:t xml:space="preserve"> for </w:t>
      </w:r>
      <w:r w:rsidR="00DC29A0">
        <w:rPr>
          <w:rFonts w:ascii="Times New Roman" w:hAnsi="Times New Roman"/>
          <w:sz w:val="24"/>
        </w:rPr>
        <w:lastRenderedPageBreak/>
        <w:t xml:space="preserve">an order directing the first respondent </w:t>
      </w:r>
      <w:r w:rsidRPr="00E31BA4">
        <w:rPr>
          <w:rFonts w:ascii="Times New Roman" w:hAnsi="Times New Roman"/>
          <w:sz w:val="24"/>
        </w:rPr>
        <w:t xml:space="preserve">to provide the bid documents </w:t>
      </w:r>
      <w:r w:rsidR="00DC29A0">
        <w:rPr>
          <w:rFonts w:ascii="Times New Roman" w:hAnsi="Times New Roman"/>
          <w:sz w:val="24"/>
        </w:rPr>
        <w:t>of</w:t>
      </w:r>
      <w:r w:rsidRPr="00E31BA4">
        <w:rPr>
          <w:rFonts w:ascii="Times New Roman" w:hAnsi="Times New Roman"/>
          <w:sz w:val="24"/>
        </w:rPr>
        <w:t xml:space="preserve"> the second respondent and </w:t>
      </w:r>
      <w:r w:rsidR="00DC29A0">
        <w:rPr>
          <w:rFonts w:ascii="Times New Roman" w:hAnsi="Times New Roman"/>
          <w:sz w:val="24"/>
        </w:rPr>
        <w:t>P</w:t>
      </w:r>
      <w:r w:rsidRPr="00E31BA4">
        <w:rPr>
          <w:rFonts w:ascii="Times New Roman" w:hAnsi="Times New Roman"/>
          <w:sz w:val="24"/>
        </w:rPr>
        <w:t xml:space="preserve">art B in terms of which the </w:t>
      </w:r>
      <w:r w:rsidR="00AF16AE">
        <w:rPr>
          <w:rFonts w:ascii="Times New Roman" w:hAnsi="Times New Roman"/>
          <w:sz w:val="24"/>
        </w:rPr>
        <w:t xml:space="preserve">applicant </w:t>
      </w:r>
      <w:r w:rsidR="00556F53">
        <w:rPr>
          <w:rFonts w:ascii="Times New Roman" w:hAnsi="Times New Roman"/>
          <w:sz w:val="24"/>
        </w:rPr>
        <w:t>seek</w:t>
      </w:r>
      <w:r w:rsidR="001F4E1A">
        <w:rPr>
          <w:rFonts w:ascii="Times New Roman" w:hAnsi="Times New Roman"/>
          <w:sz w:val="24"/>
        </w:rPr>
        <w:t>s</w:t>
      </w:r>
      <w:r w:rsidR="00556F53">
        <w:rPr>
          <w:rFonts w:ascii="Times New Roman" w:hAnsi="Times New Roman"/>
          <w:sz w:val="24"/>
        </w:rPr>
        <w:t xml:space="preserve"> an order</w:t>
      </w:r>
      <w:r w:rsidRPr="00E31BA4">
        <w:rPr>
          <w:rFonts w:ascii="Times New Roman" w:hAnsi="Times New Roman"/>
          <w:sz w:val="24"/>
        </w:rPr>
        <w:t xml:space="preserve"> to review and set aside the award g</w:t>
      </w:r>
      <w:r w:rsidR="00DC29A0">
        <w:rPr>
          <w:rFonts w:ascii="Times New Roman" w:hAnsi="Times New Roman"/>
          <w:sz w:val="24"/>
        </w:rPr>
        <w:t>r</w:t>
      </w:r>
      <w:r w:rsidRPr="00E31BA4">
        <w:rPr>
          <w:rFonts w:ascii="Times New Roman" w:hAnsi="Times New Roman"/>
          <w:sz w:val="24"/>
        </w:rPr>
        <w:t>a</w:t>
      </w:r>
      <w:r w:rsidR="00DC29A0">
        <w:rPr>
          <w:rFonts w:ascii="Times New Roman" w:hAnsi="Times New Roman"/>
          <w:sz w:val="24"/>
        </w:rPr>
        <w:t>n</w:t>
      </w:r>
      <w:r w:rsidRPr="00E31BA4">
        <w:rPr>
          <w:rFonts w:ascii="Times New Roman" w:hAnsi="Times New Roman"/>
          <w:sz w:val="24"/>
        </w:rPr>
        <w:t xml:space="preserve">ted in favour of the second respondent on the basis that </w:t>
      </w:r>
      <w:r w:rsidR="000852E7" w:rsidRPr="00E31BA4">
        <w:rPr>
          <w:rFonts w:ascii="Times New Roman" w:hAnsi="Times New Roman"/>
          <w:sz w:val="24"/>
        </w:rPr>
        <w:t xml:space="preserve">the second respondent’s bid </w:t>
      </w:r>
      <w:r w:rsidR="0014112F">
        <w:rPr>
          <w:rFonts w:ascii="Times New Roman" w:hAnsi="Times New Roman"/>
          <w:sz w:val="24"/>
        </w:rPr>
        <w:t>did</w:t>
      </w:r>
      <w:r w:rsidR="000852E7" w:rsidRPr="00E31BA4">
        <w:rPr>
          <w:rFonts w:ascii="Times New Roman" w:hAnsi="Times New Roman"/>
          <w:sz w:val="24"/>
        </w:rPr>
        <w:t xml:space="preserve"> not comply with the </w:t>
      </w:r>
      <w:r w:rsidR="00757CBA">
        <w:rPr>
          <w:rFonts w:ascii="Times New Roman" w:hAnsi="Times New Roman"/>
          <w:sz w:val="24"/>
        </w:rPr>
        <w:t xml:space="preserve">tender </w:t>
      </w:r>
      <w:r w:rsidR="000852E7" w:rsidRPr="00E31BA4">
        <w:rPr>
          <w:rFonts w:ascii="Times New Roman" w:hAnsi="Times New Roman"/>
          <w:sz w:val="24"/>
        </w:rPr>
        <w:t>specification</w:t>
      </w:r>
      <w:r w:rsidR="00D65110">
        <w:rPr>
          <w:rFonts w:ascii="Times New Roman" w:hAnsi="Times New Roman"/>
          <w:sz w:val="24"/>
        </w:rPr>
        <w:t>s</w:t>
      </w:r>
      <w:r w:rsidR="000852E7" w:rsidRPr="00E31BA4">
        <w:rPr>
          <w:rFonts w:ascii="Times New Roman" w:hAnsi="Times New Roman"/>
          <w:sz w:val="24"/>
        </w:rPr>
        <w:t>.</w:t>
      </w:r>
      <w:r w:rsidR="00FA6CEE" w:rsidRPr="00E31BA4">
        <w:rPr>
          <w:rFonts w:ascii="Times New Roman" w:hAnsi="Times New Roman"/>
          <w:sz w:val="24"/>
        </w:rPr>
        <w:t xml:space="preserve"> </w:t>
      </w:r>
      <w:r w:rsidR="0014112F">
        <w:rPr>
          <w:rFonts w:ascii="Times New Roman" w:hAnsi="Times New Roman"/>
          <w:sz w:val="24"/>
        </w:rPr>
        <w:t xml:space="preserve">The </w:t>
      </w:r>
      <w:r w:rsidR="00D65110">
        <w:rPr>
          <w:rFonts w:ascii="Times New Roman" w:hAnsi="Times New Roman"/>
          <w:sz w:val="24"/>
        </w:rPr>
        <w:t xml:space="preserve">applicant re-iterated its contention that </w:t>
      </w:r>
      <w:r w:rsidR="000026E3">
        <w:rPr>
          <w:rFonts w:ascii="Times New Roman" w:hAnsi="Times New Roman"/>
          <w:sz w:val="24"/>
        </w:rPr>
        <w:t xml:space="preserve">the </w:t>
      </w:r>
      <w:r w:rsidR="006174F4">
        <w:rPr>
          <w:rFonts w:ascii="Times New Roman" w:hAnsi="Times New Roman"/>
          <w:sz w:val="24"/>
        </w:rPr>
        <w:t>second</w:t>
      </w:r>
      <w:r w:rsidR="0014112F">
        <w:rPr>
          <w:rFonts w:ascii="Times New Roman" w:hAnsi="Times New Roman"/>
          <w:sz w:val="24"/>
        </w:rPr>
        <w:t xml:space="preserve"> respondent</w:t>
      </w:r>
      <w:r w:rsidR="000026E3">
        <w:rPr>
          <w:rFonts w:ascii="Times New Roman" w:hAnsi="Times New Roman"/>
          <w:sz w:val="24"/>
        </w:rPr>
        <w:t>’s</w:t>
      </w:r>
      <w:r w:rsidR="0014112F">
        <w:rPr>
          <w:rFonts w:ascii="Times New Roman" w:hAnsi="Times New Roman"/>
          <w:sz w:val="24"/>
        </w:rPr>
        <w:t xml:space="preserve"> printer</w:t>
      </w:r>
      <w:r w:rsidR="00D65110">
        <w:rPr>
          <w:rFonts w:ascii="Times New Roman" w:hAnsi="Times New Roman"/>
          <w:sz w:val="24"/>
        </w:rPr>
        <w:t xml:space="preserve">s were </w:t>
      </w:r>
      <w:r w:rsidR="0014112F">
        <w:rPr>
          <w:rFonts w:ascii="Times New Roman" w:hAnsi="Times New Roman"/>
          <w:sz w:val="24"/>
        </w:rPr>
        <w:t xml:space="preserve">of a lesser specification and the pricing did </w:t>
      </w:r>
      <w:r w:rsidR="00556F53">
        <w:rPr>
          <w:rFonts w:ascii="Times New Roman" w:hAnsi="Times New Roman"/>
          <w:sz w:val="24"/>
        </w:rPr>
        <w:t xml:space="preserve">not </w:t>
      </w:r>
      <w:r w:rsidR="0014112F">
        <w:rPr>
          <w:rFonts w:ascii="Times New Roman" w:hAnsi="Times New Roman"/>
          <w:sz w:val="24"/>
        </w:rPr>
        <w:t xml:space="preserve">coincide with the machine specification required in terms of the </w:t>
      </w:r>
      <w:r w:rsidR="00757CBA">
        <w:rPr>
          <w:rFonts w:ascii="Times New Roman" w:hAnsi="Times New Roman"/>
          <w:sz w:val="24"/>
        </w:rPr>
        <w:t>tender</w:t>
      </w:r>
      <w:r w:rsidR="0014112F">
        <w:rPr>
          <w:rFonts w:ascii="Times New Roman" w:hAnsi="Times New Roman"/>
          <w:sz w:val="24"/>
        </w:rPr>
        <w:t xml:space="preserve">.  </w:t>
      </w:r>
    </w:p>
    <w:p w14:paraId="284F3120" w14:textId="77777777" w:rsidR="000852E7" w:rsidRPr="00E31BA4" w:rsidRDefault="000852E7" w:rsidP="000852E7">
      <w:pPr>
        <w:pStyle w:val="ListParagraph"/>
        <w:rPr>
          <w:rFonts w:ascii="Times New Roman" w:hAnsi="Times New Roman"/>
          <w:i/>
          <w:iCs/>
          <w:sz w:val="24"/>
        </w:rPr>
      </w:pPr>
    </w:p>
    <w:p w14:paraId="2989D8CE" w14:textId="6EA422D2" w:rsidR="000852E7" w:rsidRPr="0014112F" w:rsidRDefault="000852E7" w:rsidP="00325DC2">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 The first respondent re</w:t>
      </w:r>
      <w:r w:rsidR="0014112F">
        <w:rPr>
          <w:rFonts w:ascii="Times New Roman" w:hAnsi="Times New Roman"/>
          <w:sz w:val="24"/>
        </w:rPr>
        <w:t xml:space="preserve">plied </w:t>
      </w:r>
      <w:r w:rsidRPr="00E31BA4">
        <w:rPr>
          <w:rFonts w:ascii="Times New Roman" w:hAnsi="Times New Roman"/>
          <w:sz w:val="24"/>
        </w:rPr>
        <w:t xml:space="preserve">to </w:t>
      </w:r>
      <w:r w:rsidR="00757CBA">
        <w:rPr>
          <w:rFonts w:ascii="Times New Roman" w:hAnsi="Times New Roman"/>
          <w:sz w:val="24"/>
        </w:rPr>
        <w:t>R</w:t>
      </w:r>
      <w:r w:rsidRPr="00E31BA4">
        <w:rPr>
          <w:rFonts w:ascii="Times New Roman" w:hAnsi="Times New Roman"/>
          <w:sz w:val="24"/>
        </w:rPr>
        <w:t xml:space="preserve">ule 53 application and </w:t>
      </w:r>
      <w:r w:rsidR="0014112F">
        <w:rPr>
          <w:rFonts w:ascii="Times New Roman" w:hAnsi="Times New Roman"/>
          <w:sz w:val="24"/>
        </w:rPr>
        <w:t xml:space="preserve">delivered records </w:t>
      </w:r>
      <w:r w:rsidRPr="00E31BA4">
        <w:rPr>
          <w:rFonts w:ascii="Times New Roman" w:hAnsi="Times New Roman"/>
          <w:sz w:val="24"/>
        </w:rPr>
        <w:t xml:space="preserve">related to the </w:t>
      </w:r>
      <w:r w:rsidR="00757CBA">
        <w:rPr>
          <w:rFonts w:ascii="Times New Roman" w:hAnsi="Times New Roman"/>
          <w:sz w:val="24"/>
        </w:rPr>
        <w:t xml:space="preserve">tender </w:t>
      </w:r>
      <w:r w:rsidR="0014112F">
        <w:rPr>
          <w:rFonts w:ascii="Times New Roman" w:hAnsi="Times New Roman"/>
          <w:sz w:val="24"/>
        </w:rPr>
        <w:t xml:space="preserve">and </w:t>
      </w:r>
      <w:r w:rsidRPr="00E31BA4">
        <w:rPr>
          <w:rFonts w:ascii="Times New Roman" w:hAnsi="Times New Roman"/>
          <w:sz w:val="24"/>
        </w:rPr>
        <w:t>included th</w:t>
      </w:r>
      <w:r w:rsidR="000026E3">
        <w:rPr>
          <w:rFonts w:ascii="Times New Roman" w:hAnsi="Times New Roman"/>
          <w:sz w:val="24"/>
        </w:rPr>
        <w:t xml:space="preserve">e second respondent’s bid </w:t>
      </w:r>
      <w:r w:rsidRPr="00E31BA4">
        <w:rPr>
          <w:rFonts w:ascii="Times New Roman" w:hAnsi="Times New Roman"/>
          <w:sz w:val="24"/>
        </w:rPr>
        <w:t xml:space="preserve">documents which the </w:t>
      </w:r>
      <w:r w:rsidR="000026E3">
        <w:rPr>
          <w:rFonts w:ascii="Times New Roman" w:hAnsi="Times New Roman"/>
          <w:sz w:val="24"/>
        </w:rPr>
        <w:t>first respondent previously refused to make available to the applicant</w:t>
      </w:r>
      <w:r w:rsidRPr="00E31BA4">
        <w:rPr>
          <w:rFonts w:ascii="Times New Roman" w:hAnsi="Times New Roman"/>
          <w:sz w:val="24"/>
        </w:rPr>
        <w:t xml:space="preserve">. To this end the applicant contended that in view of the </w:t>
      </w:r>
      <w:r w:rsidR="00757CBA">
        <w:rPr>
          <w:rFonts w:ascii="Times New Roman" w:hAnsi="Times New Roman"/>
          <w:sz w:val="24"/>
        </w:rPr>
        <w:t xml:space="preserve">fact that the </w:t>
      </w:r>
      <w:r w:rsidR="00904DE7">
        <w:rPr>
          <w:rFonts w:ascii="Times New Roman" w:hAnsi="Times New Roman"/>
          <w:sz w:val="24"/>
        </w:rPr>
        <w:t xml:space="preserve">first respondent </w:t>
      </w:r>
      <w:r w:rsidR="00757CBA">
        <w:rPr>
          <w:rFonts w:ascii="Times New Roman" w:hAnsi="Times New Roman"/>
          <w:sz w:val="24"/>
        </w:rPr>
        <w:t xml:space="preserve">has </w:t>
      </w:r>
      <w:r w:rsidR="00904DE7">
        <w:rPr>
          <w:rFonts w:ascii="Times New Roman" w:hAnsi="Times New Roman"/>
          <w:sz w:val="24"/>
        </w:rPr>
        <w:t xml:space="preserve">now delivered the documents requested the relief sought in </w:t>
      </w:r>
      <w:r w:rsidR="001C23E0">
        <w:rPr>
          <w:rFonts w:ascii="Times New Roman" w:hAnsi="Times New Roman"/>
          <w:sz w:val="24"/>
        </w:rPr>
        <w:t>P</w:t>
      </w:r>
      <w:r w:rsidR="001F4E1A">
        <w:rPr>
          <w:rFonts w:ascii="Times New Roman" w:hAnsi="Times New Roman"/>
          <w:sz w:val="24"/>
        </w:rPr>
        <w:t>art A</w:t>
      </w:r>
      <w:r w:rsidR="00904DE7">
        <w:rPr>
          <w:rFonts w:ascii="Times New Roman" w:hAnsi="Times New Roman"/>
          <w:sz w:val="24"/>
        </w:rPr>
        <w:t xml:space="preserve"> </w:t>
      </w:r>
      <w:r w:rsidRPr="00E31BA4">
        <w:rPr>
          <w:rFonts w:ascii="Times New Roman" w:hAnsi="Times New Roman"/>
          <w:sz w:val="24"/>
        </w:rPr>
        <w:t>falls away except that the applicant would persist</w:t>
      </w:r>
      <w:r w:rsidR="00757CBA">
        <w:rPr>
          <w:rFonts w:ascii="Times New Roman" w:hAnsi="Times New Roman"/>
          <w:sz w:val="24"/>
        </w:rPr>
        <w:t>s</w:t>
      </w:r>
      <w:r w:rsidRPr="00E31BA4">
        <w:rPr>
          <w:rFonts w:ascii="Times New Roman" w:hAnsi="Times New Roman"/>
          <w:sz w:val="24"/>
        </w:rPr>
        <w:t xml:space="preserve"> </w:t>
      </w:r>
      <w:r w:rsidR="000026E3">
        <w:rPr>
          <w:rFonts w:ascii="Times New Roman" w:hAnsi="Times New Roman"/>
          <w:sz w:val="24"/>
        </w:rPr>
        <w:t xml:space="preserve">with the prayer that </w:t>
      </w:r>
      <w:r w:rsidRPr="00E31BA4">
        <w:rPr>
          <w:rFonts w:ascii="Times New Roman" w:hAnsi="Times New Roman"/>
          <w:sz w:val="24"/>
        </w:rPr>
        <w:t>the applicant be ordered to pay the costs.</w:t>
      </w:r>
    </w:p>
    <w:p w14:paraId="7838F947" w14:textId="77777777" w:rsidR="0014112F" w:rsidRPr="0014112F" w:rsidRDefault="0014112F" w:rsidP="0014112F">
      <w:pPr>
        <w:pStyle w:val="ListParagraph"/>
        <w:rPr>
          <w:rFonts w:ascii="Times New Roman" w:hAnsi="Times New Roman"/>
          <w:i/>
          <w:iCs/>
          <w:sz w:val="24"/>
        </w:rPr>
      </w:pPr>
    </w:p>
    <w:p w14:paraId="6781C394" w14:textId="2AE9DF2D" w:rsidR="0014112F" w:rsidRDefault="0014112F" w:rsidP="00EB44E3">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Issues in dispute</w:t>
      </w:r>
    </w:p>
    <w:p w14:paraId="12567C88" w14:textId="6E2CBAFB" w:rsidR="0014112F" w:rsidRPr="00AF16AE" w:rsidRDefault="00AF16AE" w:rsidP="001C23E0">
      <w:pPr>
        <w:pStyle w:val="ListParagraph"/>
        <w:numPr>
          <w:ilvl w:val="0"/>
          <w:numId w:val="2"/>
        </w:numPr>
        <w:tabs>
          <w:tab w:val="left" w:pos="540"/>
        </w:tabs>
        <w:spacing w:after="160" w:line="480" w:lineRule="auto"/>
        <w:ind w:right="1"/>
        <w:rPr>
          <w:rFonts w:ascii="Times New Roman" w:hAnsi="Times New Roman"/>
          <w:sz w:val="24"/>
        </w:rPr>
      </w:pPr>
      <w:r>
        <w:rPr>
          <w:rFonts w:ascii="Times New Roman" w:hAnsi="Times New Roman"/>
          <w:sz w:val="24"/>
        </w:rPr>
        <w:t xml:space="preserve">The issue to be decided are as set out in the </w:t>
      </w:r>
      <w:r w:rsidR="00757CBA">
        <w:rPr>
          <w:rFonts w:ascii="Times New Roman" w:hAnsi="Times New Roman"/>
          <w:sz w:val="24"/>
        </w:rPr>
        <w:t>Amended N</w:t>
      </w:r>
      <w:r>
        <w:rPr>
          <w:rFonts w:ascii="Times New Roman" w:hAnsi="Times New Roman"/>
          <w:sz w:val="24"/>
        </w:rPr>
        <w:t xml:space="preserve">otice of </w:t>
      </w:r>
      <w:r w:rsidR="00757CBA">
        <w:rPr>
          <w:rFonts w:ascii="Times New Roman" w:hAnsi="Times New Roman"/>
          <w:sz w:val="24"/>
        </w:rPr>
        <w:t>M</w:t>
      </w:r>
      <w:r>
        <w:rPr>
          <w:rFonts w:ascii="Times New Roman" w:hAnsi="Times New Roman"/>
          <w:sz w:val="24"/>
        </w:rPr>
        <w:t>otion</w:t>
      </w:r>
      <w:r w:rsidR="008A2534">
        <w:rPr>
          <w:rStyle w:val="FootnoteReference"/>
          <w:rFonts w:ascii="Times New Roman" w:hAnsi="Times New Roman"/>
          <w:sz w:val="24"/>
        </w:rPr>
        <w:footnoteReference w:id="4"/>
      </w:r>
      <w:r>
        <w:rPr>
          <w:rFonts w:ascii="Times New Roman" w:hAnsi="Times New Roman"/>
          <w:sz w:val="24"/>
        </w:rPr>
        <w:t xml:space="preserve"> and are summarised as follows:</w:t>
      </w:r>
    </w:p>
    <w:p w14:paraId="6923829C" w14:textId="764B8C13" w:rsidR="0014112F" w:rsidRPr="001C23E0" w:rsidRDefault="001C23E0" w:rsidP="001C23E0">
      <w:pPr>
        <w:pStyle w:val="ListParagraph"/>
        <w:numPr>
          <w:ilvl w:val="1"/>
          <w:numId w:val="12"/>
        </w:numPr>
        <w:tabs>
          <w:tab w:val="left" w:pos="630"/>
        </w:tabs>
        <w:spacing w:after="160" w:line="480" w:lineRule="auto"/>
        <w:ind w:left="630" w:right="1" w:hanging="630"/>
        <w:rPr>
          <w:rFonts w:ascii="Times New Roman" w:hAnsi="Times New Roman"/>
          <w:i/>
          <w:iCs/>
          <w:sz w:val="24"/>
        </w:rPr>
      </w:pPr>
      <w:r w:rsidRPr="001C23E0">
        <w:rPr>
          <w:rFonts w:ascii="Times New Roman" w:hAnsi="Times New Roman"/>
          <w:sz w:val="24"/>
        </w:rPr>
        <w:lastRenderedPageBreak/>
        <w:t>First, w</w:t>
      </w:r>
      <w:r w:rsidR="0014112F" w:rsidRPr="001C23E0">
        <w:rPr>
          <w:rFonts w:ascii="Times New Roman" w:hAnsi="Times New Roman"/>
          <w:sz w:val="24"/>
        </w:rPr>
        <w:t xml:space="preserve">hether the second respondent is entitled to </w:t>
      </w:r>
      <w:r w:rsidR="00757CBA">
        <w:rPr>
          <w:rFonts w:ascii="Times New Roman" w:hAnsi="Times New Roman"/>
          <w:sz w:val="24"/>
        </w:rPr>
        <w:t>address the court</w:t>
      </w:r>
      <w:r w:rsidR="0014112F" w:rsidRPr="001C23E0">
        <w:rPr>
          <w:rFonts w:ascii="Times New Roman" w:hAnsi="Times New Roman"/>
          <w:sz w:val="24"/>
        </w:rPr>
        <w:t xml:space="preserve"> despite having failed to file</w:t>
      </w:r>
      <w:r w:rsidR="00757CBA">
        <w:rPr>
          <w:rFonts w:ascii="Times New Roman" w:hAnsi="Times New Roman"/>
          <w:sz w:val="24"/>
        </w:rPr>
        <w:t xml:space="preserve"> an</w:t>
      </w:r>
      <w:r w:rsidR="0014112F" w:rsidRPr="001C23E0">
        <w:rPr>
          <w:rFonts w:ascii="Times New Roman" w:hAnsi="Times New Roman"/>
          <w:sz w:val="24"/>
        </w:rPr>
        <w:t xml:space="preserve"> </w:t>
      </w:r>
      <w:r w:rsidR="00904DE7" w:rsidRPr="001C23E0">
        <w:rPr>
          <w:rFonts w:ascii="Times New Roman" w:hAnsi="Times New Roman"/>
          <w:sz w:val="24"/>
        </w:rPr>
        <w:t>answering affidavit</w:t>
      </w:r>
      <w:r w:rsidRPr="001C23E0">
        <w:rPr>
          <w:rFonts w:ascii="Times New Roman" w:hAnsi="Times New Roman"/>
          <w:sz w:val="24"/>
        </w:rPr>
        <w:t>. This point was raised by the applicant</w:t>
      </w:r>
      <w:r w:rsidR="00325DC2">
        <w:rPr>
          <w:rFonts w:ascii="Times New Roman" w:hAnsi="Times New Roman"/>
          <w:sz w:val="24"/>
        </w:rPr>
        <w:t>’s counsel</w:t>
      </w:r>
      <w:r w:rsidRPr="001C23E0">
        <w:rPr>
          <w:rFonts w:ascii="Times New Roman" w:hAnsi="Times New Roman"/>
          <w:sz w:val="24"/>
        </w:rPr>
        <w:t xml:space="preserve"> from the bar. </w:t>
      </w:r>
    </w:p>
    <w:p w14:paraId="2228800D" w14:textId="6576189A" w:rsidR="00EB44E3" w:rsidRPr="00904DE7" w:rsidRDefault="001C23E0" w:rsidP="001C23E0">
      <w:pPr>
        <w:pStyle w:val="ListParagraph"/>
        <w:numPr>
          <w:ilvl w:val="1"/>
          <w:numId w:val="12"/>
        </w:numPr>
        <w:tabs>
          <w:tab w:val="left" w:pos="630"/>
        </w:tabs>
        <w:spacing w:after="160" w:line="480" w:lineRule="auto"/>
        <w:ind w:left="630" w:right="1" w:hanging="630"/>
        <w:rPr>
          <w:rFonts w:ascii="Times New Roman" w:hAnsi="Times New Roman"/>
          <w:i/>
          <w:iCs/>
          <w:sz w:val="24"/>
        </w:rPr>
      </w:pPr>
      <w:r>
        <w:rPr>
          <w:rFonts w:ascii="Times New Roman" w:hAnsi="Times New Roman"/>
          <w:sz w:val="24"/>
        </w:rPr>
        <w:t>Secondly, w</w:t>
      </w:r>
      <w:r w:rsidR="00EB44E3">
        <w:rPr>
          <w:rFonts w:ascii="Times New Roman" w:hAnsi="Times New Roman"/>
          <w:sz w:val="24"/>
        </w:rPr>
        <w:t xml:space="preserve">hether the applicant is entitled to legal costs for having </w:t>
      </w:r>
      <w:r w:rsidR="00325DC2">
        <w:rPr>
          <w:rFonts w:ascii="Times New Roman" w:hAnsi="Times New Roman"/>
          <w:sz w:val="24"/>
        </w:rPr>
        <w:t xml:space="preserve">been compelled </w:t>
      </w:r>
      <w:r w:rsidR="00EB44E3">
        <w:rPr>
          <w:rFonts w:ascii="Times New Roman" w:hAnsi="Times New Roman"/>
          <w:sz w:val="24"/>
        </w:rPr>
        <w:t xml:space="preserve">to bring </w:t>
      </w:r>
      <w:r>
        <w:rPr>
          <w:rFonts w:ascii="Times New Roman" w:hAnsi="Times New Roman"/>
          <w:sz w:val="24"/>
        </w:rPr>
        <w:t xml:space="preserve">an </w:t>
      </w:r>
      <w:r w:rsidR="00EB44E3">
        <w:rPr>
          <w:rFonts w:ascii="Times New Roman" w:hAnsi="Times New Roman"/>
          <w:sz w:val="24"/>
        </w:rPr>
        <w:t xml:space="preserve">application in terms </w:t>
      </w:r>
      <w:r w:rsidR="00904DE7">
        <w:rPr>
          <w:rFonts w:ascii="Times New Roman" w:hAnsi="Times New Roman"/>
          <w:sz w:val="24"/>
        </w:rPr>
        <w:t>o</w:t>
      </w:r>
      <w:r w:rsidR="00EB44E3">
        <w:rPr>
          <w:rFonts w:ascii="Times New Roman" w:hAnsi="Times New Roman"/>
          <w:sz w:val="24"/>
        </w:rPr>
        <w:t xml:space="preserve">f PAIA for information which could have been availed </w:t>
      </w:r>
      <w:r w:rsidR="00325DC2">
        <w:rPr>
          <w:rFonts w:ascii="Times New Roman" w:hAnsi="Times New Roman"/>
          <w:sz w:val="24"/>
        </w:rPr>
        <w:t>b</w:t>
      </w:r>
      <w:r>
        <w:rPr>
          <w:rFonts w:ascii="Times New Roman" w:hAnsi="Times New Roman"/>
          <w:sz w:val="24"/>
        </w:rPr>
        <w:t xml:space="preserve">y the first respondent </w:t>
      </w:r>
      <w:r w:rsidR="00325DC2">
        <w:rPr>
          <w:rFonts w:ascii="Times New Roman" w:hAnsi="Times New Roman"/>
          <w:sz w:val="24"/>
        </w:rPr>
        <w:t>as</w:t>
      </w:r>
      <w:r w:rsidR="00EB44E3">
        <w:rPr>
          <w:rFonts w:ascii="Times New Roman" w:hAnsi="Times New Roman"/>
          <w:sz w:val="24"/>
        </w:rPr>
        <w:t xml:space="preserve"> request</w:t>
      </w:r>
      <w:r w:rsidR="00325DC2">
        <w:rPr>
          <w:rFonts w:ascii="Times New Roman" w:hAnsi="Times New Roman"/>
          <w:sz w:val="24"/>
        </w:rPr>
        <w:t>ed</w:t>
      </w:r>
      <w:r w:rsidR="00EB44E3">
        <w:rPr>
          <w:rFonts w:ascii="Times New Roman" w:hAnsi="Times New Roman"/>
          <w:sz w:val="24"/>
        </w:rPr>
        <w:t xml:space="preserve"> prior to the launching of the </w:t>
      </w:r>
      <w:r w:rsidR="00325DC2">
        <w:rPr>
          <w:rFonts w:ascii="Times New Roman" w:hAnsi="Times New Roman"/>
          <w:sz w:val="24"/>
        </w:rPr>
        <w:t xml:space="preserve">review </w:t>
      </w:r>
      <w:r w:rsidR="00EB44E3">
        <w:rPr>
          <w:rFonts w:ascii="Times New Roman" w:hAnsi="Times New Roman"/>
          <w:sz w:val="24"/>
        </w:rPr>
        <w:t>application.</w:t>
      </w:r>
    </w:p>
    <w:p w14:paraId="36C0B581" w14:textId="1E9FD884" w:rsidR="001C23E0" w:rsidRDefault="001C23E0" w:rsidP="001C23E0">
      <w:pPr>
        <w:pStyle w:val="ListParagraph"/>
        <w:numPr>
          <w:ilvl w:val="1"/>
          <w:numId w:val="12"/>
        </w:numPr>
        <w:tabs>
          <w:tab w:val="left" w:pos="630"/>
        </w:tabs>
        <w:spacing w:after="160" w:line="480" w:lineRule="auto"/>
        <w:ind w:left="630" w:right="1" w:hanging="630"/>
        <w:rPr>
          <w:rFonts w:ascii="Times New Roman" w:hAnsi="Times New Roman"/>
          <w:sz w:val="24"/>
        </w:rPr>
      </w:pPr>
      <w:r>
        <w:rPr>
          <w:rFonts w:ascii="Times New Roman" w:hAnsi="Times New Roman"/>
          <w:sz w:val="24"/>
        </w:rPr>
        <w:t xml:space="preserve">Thirdly, whether the decision by the first respondent </w:t>
      </w:r>
      <w:r w:rsidR="000C5D47">
        <w:rPr>
          <w:rFonts w:ascii="Times New Roman" w:hAnsi="Times New Roman"/>
          <w:sz w:val="24"/>
        </w:rPr>
        <w:t>t</w:t>
      </w:r>
      <w:r>
        <w:rPr>
          <w:rFonts w:ascii="Times New Roman" w:hAnsi="Times New Roman"/>
          <w:sz w:val="24"/>
        </w:rPr>
        <w:t xml:space="preserve">o dismiss the applicant’s request for information </w:t>
      </w:r>
      <w:r w:rsidR="000C5D47">
        <w:rPr>
          <w:rFonts w:ascii="Times New Roman" w:hAnsi="Times New Roman"/>
          <w:sz w:val="24"/>
        </w:rPr>
        <w:t xml:space="preserve">is reviewable and </w:t>
      </w:r>
      <w:r w:rsidR="00325DC2">
        <w:rPr>
          <w:rFonts w:ascii="Times New Roman" w:hAnsi="Times New Roman"/>
          <w:sz w:val="24"/>
        </w:rPr>
        <w:t xml:space="preserve">susceptible </w:t>
      </w:r>
      <w:r w:rsidR="000C5D47">
        <w:rPr>
          <w:rFonts w:ascii="Times New Roman" w:hAnsi="Times New Roman"/>
          <w:sz w:val="24"/>
        </w:rPr>
        <w:t>to be set aside.</w:t>
      </w:r>
    </w:p>
    <w:p w14:paraId="79C38119" w14:textId="38765414" w:rsidR="0014112F" w:rsidRPr="00D65110" w:rsidRDefault="000C5D47" w:rsidP="001C23E0">
      <w:pPr>
        <w:pStyle w:val="ListParagraph"/>
        <w:numPr>
          <w:ilvl w:val="1"/>
          <w:numId w:val="12"/>
        </w:numPr>
        <w:tabs>
          <w:tab w:val="left" w:pos="630"/>
        </w:tabs>
        <w:spacing w:after="160" w:line="480" w:lineRule="auto"/>
        <w:ind w:left="630" w:right="1" w:hanging="630"/>
        <w:rPr>
          <w:rFonts w:ascii="Times New Roman" w:hAnsi="Times New Roman"/>
          <w:sz w:val="24"/>
        </w:rPr>
      </w:pPr>
      <w:r>
        <w:rPr>
          <w:rFonts w:ascii="Times New Roman" w:hAnsi="Times New Roman"/>
          <w:sz w:val="24"/>
        </w:rPr>
        <w:t>Fourthly</w:t>
      </w:r>
      <w:r w:rsidR="001C23E0">
        <w:rPr>
          <w:rFonts w:ascii="Times New Roman" w:hAnsi="Times New Roman"/>
          <w:sz w:val="24"/>
        </w:rPr>
        <w:t>, w</w:t>
      </w:r>
      <w:r w:rsidR="00EB44E3" w:rsidRPr="00904DE7">
        <w:rPr>
          <w:rFonts w:ascii="Times New Roman" w:hAnsi="Times New Roman"/>
          <w:sz w:val="24"/>
        </w:rPr>
        <w:t>hether</w:t>
      </w:r>
      <w:r w:rsidR="00D65110">
        <w:rPr>
          <w:rFonts w:ascii="Times New Roman" w:hAnsi="Times New Roman"/>
          <w:sz w:val="24"/>
        </w:rPr>
        <w:t xml:space="preserve"> </w:t>
      </w:r>
      <w:r w:rsidR="00904DE7" w:rsidRPr="00D65110">
        <w:rPr>
          <w:rFonts w:ascii="Times New Roman" w:hAnsi="Times New Roman"/>
          <w:sz w:val="24"/>
        </w:rPr>
        <w:t xml:space="preserve">the </w:t>
      </w:r>
      <w:r w:rsidR="00757CBA">
        <w:rPr>
          <w:rFonts w:ascii="Times New Roman" w:hAnsi="Times New Roman"/>
          <w:sz w:val="24"/>
        </w:rPr>
        <w:t xml:space="preserve">tender </w:t>
      </w:r>
      <w:r w:rsidR="00EB44E3" w:rsidRPr="00D65110">
        <w:rPr>
          <w:rFonts w:ascii="Times New Roman" w:hAnsi="Times New Roman"/>
          <w:sz w:val="24"/>
        </w:rPr>
        <w:t>required of the bidder</w:t>
      </w:r>
      <w:r w:rsidR="00325DC2">
        <w:rPr>
          <w:rFonts w:ascii="Times New Roman" w:hAnsi="Times New Roman"/>
          <w:sz w:val="24"/>
        </w:rPr>
        <w:t>s</w:t>
      </w:r>
      <w:r w:rsidR="00EB44E3" w:rsidRPr="00D65110">
        <w:rPr>
          <w:rFonts w:ascii="Times New Roman" w:hAnsi="Times New Roman"/>
          <w:sz w:val="24"/>
        </w:rPr>
        <w:t xml:space="preserve"> to price for 21 of 52 printers and</w:t>
      </w:r>
      <w:r w:rsidR="00D65110">
        <w:rPr>
          <w:rFonts w:ascii="Times New Roman" w:hAnsi="Times New Roman"/>
          <w:sz w:val="24"/>
        </w:rPr>
        <w:t xml:space="preserve"> also whether </w:t>
      </w:r>
      <w:r w:rsidR="00904DE7" w:rsidRPr="00D65110">
        <w:rPr>
          <w:rFonts w:ascii="Times New Roman" w:hAnsi="Times New Roman"/>
          <w:sz w:val="24"/>
        </w:rPr>
        <w:t xml:space="preserve">the </w:t>
      </w:r>
      <w:r w:rsidR="00EB44E3" w:rsidRPr="00D65110">
        <w:rPr>
          <w:rFonts w:ascii="Times New Roman" w:hAnsi="Times New Roman"/>
          <w:sz w:val="24"/>
        </w:rPr>
        <w:t>bid solution required 100% - page coverage</w:t>
      </w:r>
      <w:r w:rsidR="00904DE7" w:rsidRPr="00D65110">
        <w:rPr>
          <w:rFonts w:ascii="Times New Roman" w:hAnsi="Times New Roman"/>
          <w:sz w:val="24"/>
        </w:rPr>
        <w:t>,</w:t>
      </w:r>
      <w:r w:rsidR="00EB44E3" w:rsidRPr="00D65110">
        <w:rPr>
          <w:rFonts w:ascii="Times New Roman" w:hAnsi="Times New Roman"/>
          <w:sz w:val="24"/>
        </w:rPr>
        <w:t xml:space="preserve"> </w:t>
      </w:r>
    </w:p>
    <w:p w14:paraId="7C8C5312" w14:textId="1425D262" w:rsidR="00904DE7" w:rsidRPr="00E31BA4" w:rsidRDefault="000C5D47" w:rsidP="001C23E0">
      <w:pPr>
        <w:pStyle w:val="ListParagraph"/>
        <w:numPr>
          <w:ilvl w:val="1"/>
          <w:numId w:val="12"/>
        </w:numPr>
        <w:tabs>
          <w:tab w:val="left" w:pos="630"/>
        </w:tabs>
        <w:spacing w:after="160" w:line="480" w:lineRule="auto"/>
        <w:ind w:left="630" w:right="1" w:hanging="630"/>
        <w:rPr>
          <w:rFonts w:ascii="Times New Roman" w:hAnsi="Times New Roman"/>
          <w:i/>
          <w:iCs/>
          <w:sz w:val="24"/>
        </w:rPr>
      </w:pPr>
      <w:r>
        <w:rPr>
          <w:rFonts w:ascii="Times New Roman" w:hAnsi="Times New Roman"/>
          <w:sz w:val="24"/>
        </w:rPr>
        <w:lastRenderedPageBreak/>
        <w:t>Fifthly</w:t>
      </w:r>
      <w:r w:rsidR="001C23E0">
        <w:rPr>
          <w:rFonts w:ascii="Times New Roman" w:hAnsi="Times New Roman"/>
          <w:sz w:val="24"/>
        </w:rPr>
        <w:t>, i</w:t>
      </w:r>
      <w:r w:rsidR="00904DE7">
        <w:rPr>
          <w:rFonts w:ascii="Times New Roman" w:hAnsi="Times New Roman"/>
          <w:sz w:val="24"/>
        </w:rPr>
        <w:t xml:space="preserve">f the court </w:t>
      </w:r>
      <w:r w:rsidR="001C23E0">
        <w:rPr>
          <w:rFonts w:ascii="Times New Roman" w:hAnsi="Times New Roman"/>
          <w:sz w:val="24"/>
        </w:rPr>
        <w:t>finds</w:t>
      </w:r>
      <w:r w:rsidR="00904DE7">
        <w:rPr>
          <w:rFonts w:ascii="Times New Roman" w:hAnsi="Times New Roman"/>
          <w:sz w:val="24"/>
        </w:rPr>
        <w:t xml:space="preserve"> that there were irregularities and that the tender should be set aside </w:t>
      </w:r>
      <w:r w:rsidR="001C23E0">
        <w:rPr>
          <w:rFonts w:ascii="Times New Roman" w:hAnsi="Times New Roman"/>
          <w:sz w:val="24"/>
        </w:rPr>
        <w:t xml:space="preserve">then </w:t>
      </w:r>
      <w:r w:rsidR="00904DE7">
        <w:rPr>
          <w:rFonts w:ascii="Times New Roman" w:hAnsi="Times New Roman"/>
          <w:sz w:val="24"/>
        </w:rPr>
        <w:t>wh</w:t>
      </w:r>
      <w:r w:rsidR="00D65110">
        <w:rPr>
          <w:rFonts w:ascii="Times New Roman" w:hAnsi="Times New Roman"/>
          <w:sz w:val="24"/>
        </w:rPr>
        <w:t>a</w:t>
      </w:r>
      <w:r w:rsidR="00904DE7">
        <w:rPr>
          <w:rFonts w:ascii="Times New Roman" w:hAnsi="Times New Roman"/>
          <w:sz w:val="24"/>
        </w:rPr>
        <w:t>t an appropriate remedy</w:t>
      </w:r>
      <w:r w:rsidR="00757CBA">
        <w:rPr>
          <w:rFonts w:ascii="Times New Roman" w:hAnsi="Times New Roman"/>
          <w:sz w:val="24"/>
        </w:rPr>
        <w:t xml:space="preserve"> should be</w:t>
      </w:r>
      <w:r w:rsidR="00904DE7">
        <w:rPr>
          <w:rFonts w:ascii="Times New Roman" w:hAnsi="Times New Roman"/>
          <w:sz w:val="24"/>
        </w:rPr>
        <w:t>.</w:t>
      </w:r>
    </w:p>
    <w:p w14:paraId="33858365" w14:textId="508934B9" w:rsidR="009B4E4B" w:rsidRPr="00E31BA4" w:rsidRDefault="009B4E4B" w:rsidP="009B4E4B">
      <w:pPr>
        <w:pStyle w:val="ListParagraph"/>
        <w:tabs>
          <w:tab w:val="left" w:pos="540"/>
        </w:tabs>
        <w:spacing w:after="160" w:line="480" w:lineRule="auto"/>
        <w:ind w:left="0" w:right="1"/>
        <w:rPr>
          <w:rFonts w:ascii="Times New Roman" w:hAnsi="Times New Roman"/>
          <w:i/>
          <w:iCs/>
          <w:sz w:val="24"/>
        </w:rPr>
      </w:pPr>
    </w:p>
    <w:p w14:paraId="512F8EB7" w14:textId="1CDA5FF8" w:rsidR="00097BEE" w:rsidRPr="00097BEE" w:rsidRDefault="000C5D47" w:rsidP="00107D73">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In respect of the first issue </w:t>
      </w:r>
      <w:r w:rsidR="00325DC2">
        <w:rPr>
          <w:rFonts w:ascii="Times New Roman" w:hAnsi="Times New Roman"/>
          <w:sz w:val="24"/>
        </w:rPr>
        <w:t xml:space="preserve">that the second respondent not be given audience to address the court, </w:t>
      </w:r>
      <w:r>
        <w:rPr>
          <w:rFonts w:ascii="Times New Roman" w:hAnsi="Times New Roman"/>
          <w:sz w:val="24"/>
        </w:rPr>
        <w:t>t</w:t>
      </w:r>
      <w:r w:rsidR="009B4E4B" w:rsidRPr="00E31BA4">
        <w:rPr>
          <w:rFonts w:ascii="Times New Roman" w:hAnsi="Times New Roman"/>
          <w:sz w:val="24"/>
        </w:rPr>
        <w:t xml:space="preserve">he applicant </w:t>
      </w:r>
      <w:r w:rsidR="00904DE7">
        <w:rPr>
          <w:rFonts w:ascii="Times New Roman" w:hAnsi="Times New Roman"/>
          <w:sz w:val="24"/>
        </w:rPr>
        <w:t xml:space="preserve">contended </w:t>
      </w:r>
      <w:r w:rsidR="009B4E4B" w:rsidRPr="00E31BA4">
        <w:rPr>
          <w:rFonts w:ascii="Times New Roman" w:hAnsi="Times New Roman"/>
          <w:sz w:val="24"/>
        </w:rPr>
        <w:t xml:space="preserve">that the second respondent has not filed </w:t>
      </w:r>
      <w:r w:rsidR="00325DC2">
        <w:rPr>
          <w:rFonts w:ascii="Times New Roman" w:hAnsi="Times New Roman"/>
          <w:sz w:val="24"/>
        </w:rPr>
        <w:t xml:space="preserve">an </w:t>
      </w:r>
      <w:r w:rsidR="009B4E4B" w:rsidRPr="00E31BA4">
        <w:rPr>
          <w:rFonts w:ascii="Times New Roman" w:hAnsi="Times New Roman"/>
          <w:sz w:val="24"/>
        </w:rPr>
        <w:t xml:space="preserve">answering </w:t>
      </w:r>
      <w:r w:rsidR="00820141">
        <w:rPr>
          <w:rFonts w:ascii="Times New Roman" w:hAnsi="Times New Roman"/>
          <w:sz w:val="24"/>
        </w:rPr>
        <w:t xml:space="preserve">affidavit </w:t>
      </w:r>
      <w:r w:rsidR="009B4E4B" w:rsidRPr="00E31BA4">
        <w:rPr>
          <w:rFonts w:ascii="Times New Roman" w:hAnsi="Times New Roman"/>
          <w:sz w:val="24"/>
        </w:rPr>
        <w:t>or opposing papers and to this end the submission</w:t>
      </w:r>
      <w:r w:rsidR="00334007" w:rsidRPr="00E31BA4">
        <w:rPr>
          <w:rFonts w:ascii="Times New Roman" w:hAnsi="Times New Roman"/>
          <w:sz w:val="24"/>
        </w:rPr>
        <w:t>s</w:t>
      </w:r>
      <w:r w:rsidR="009B4E4B" w:rsidRPr="00E31BA4">
        <w:rPr>
          <w:rFonts w:ascii="Times New Roman" w:hAnsi="Times New Roman"/>
          <w:sz w:val="24"/>
        </w:rPr>
        <w:t xml:space="preserve"> </w:t>
      </w:r>
      <w:r w:rsidR="00904DE7">
        <w:rPr>
          <w:rFonts w:ascii="Times New Roman" w:hAnsi="Times New Roman"/>
          <w:sz w:val="24"/>
        </w:rPr>
        <w:t xml:space="preserve">made </w:t>
      </w:r>
      <w:r w:rsidR="009B4E4B" w:rsidRPr="00E31BA4">
        <w:rPr>
          <w:rFonts w:ascii="Times New Roman" w:hAnsi="Times New Roman"/>
          <w:sz w:val="24"/>
        </w:rPr>
        <w:t xml:space="preserve">through </w:t>
      </w:r>
      <w:r w:rsidR="00556F53">
        <w:rPr>
          <w:rFonts w:ascii="Times New Roman" w:hAnsi="Times New Roman"/>
          <w:sz w:val="24"/>
        </w:rPr>
        <w:t xml:space="preserve">its </w:t>
      </w:r>
      <w:r w:rsidR="009B4E4B" w:rsidRPr="00E31BA4">
        <w:rPr>
          <w:rFonts w:ascii="Times New Roman" w:hAnsi="Times New Roman"/>
          <w:sz w:val="24"/>
        </w:rPr>
        <w:t xml:space="preserve">heads of argument and the summary of arguments should not be considered </w:t>
      </w:r>
      <w:r w:rsidR="00904DE7">
        <w:rPr>
          <w:rFonts w:ascii="Times New Roman" w:hAnsi="Times New Roman"/>
          <w:sz w:val="24"/>
        </w:rPr>
        <w:t xml:space="preserve">by the court. </w:t>
      </w:r>
      <w:r>
        <w:rPr>
          <w:rFonts w:ascii="Times New Roman" w:hAnsi="Times New Roman"/>
          <w:sz w:val="24"/>
        </w:rPr>
        <w:t xml:space="preserve">This is predicated on the </w:t>
      </w:r>
      <w:r w:rsidR="00325DC2">
        <w:rPr>
          <w:rFonts w:ascii="Times New Roman" w:hAnsi="Times New Roman"/>
          <w:sz w:val="24"/>
        </w:rPr>
        <w:t xml:space="preserve">submission </w:t>
      </w:r>
      <w:r>
        <w:rPr>
          <w:rFonts w:ascii="Times New Roman" w:hAnsi="Times New Roman"/>
          <w:sz w:val="24"/>
        </w:rPr>
        <w:t xml:space="preserve">that the second respondent should present facts in an affidavit upon which legal arguments as set out in the heads of arguments will be </w:t>
      </w:r>
      <w:r w:rsidR="00325DC2">
        <w:rPr>
          <w:rFonts w:ascii="Times New Roman" w:hAnsi="Times New Roman"/>
          <w:sz w:val="24"/>
        </w:rPr>
        <w:t>based</w:t>
      </w:r>
      <w:r>
        <w:rPr>
          <w:rFonts w:ascii="Times New Roman" w:hAnsi="Times New Roman"/>
          <w:sz w:val="24"/>
        </w:rPr>
        <w:t xml:space="preserve">. In support of this argument counsel for the applicant further made reference to </w:t>
      </w:r>
      <w:r w:rsidR="00325DC2">
        <w:rPr>
          <w:rFonts w:ascii="Times New Roman" w:hAnsi="Times New Roman"/>
          <w:sz w:val="24"/>
        </w:rPr>
        <w:t>R</w:t>
      </w:r>
      <w:r>
        <w:rPr>
          <w:rFonts w:ascii="Times New Roman" w:hAnsi="Times New Roman"/>
          <w:sz w:val="24"/>
        </w:rPr>
        <w:t xml:space="preserve">ule 6(5)(d)(ii) of the Uniform Rules of Court which provides that the respondent opposing the application </w:t>
      </w:r>
      <w:r w:rsidRPr="005A0808">
        <w:rPr>
          <w:rFonts w:ascii="Times New Roman" w:hAnsi="Times New Roman"/>
          <w:sz w:val="24"/>
          <w:u w:val="single"/>
        </w:rPr>
        <w:t>shall</w:t>
      </w:r>
      <w:r>
        <w:rPr>
          <w:rFonts w:ascii="Times New Roman" w:hAnsi="Times New Roman"/>
          <w:sz w:val="24"/>
        </w:rPr>
        <w:t xml:space="preserve"> deliver </w:t>
      </w:r>
      <w:r w:rsidR="00325DC2">
        <w:rPr>
          <w:rFonts w:ascii="Times New Roman" w:hAnsi="Times New Roman"/>
          <w:sz w:val="24"/>
        </w:rPr>
        <w:t xml:space="preserve">the </w:t>
      </w:r>
      <w:r>
        <w:rPr>
          <w:rFonts w:ascii="Times New Roman" w:hAnsi="Times New Roman"/>
          <w:sz w:val="24"/>
        </w:rPr>
        <w:t xml:space="preserve">answering affidavit within 15 days after service of notice of intention to oppose. </w:t>
      </w:r>
      <w:r w:rsidR="00097BEE">
        <w:rPr>
          <w:rFonts w:ascii="Times New Roman" w:hAnsi="Times New Roman"/>
          <w:sz w:val="24"/>
        </w:rPr>
        <w:t xml:space="preserve">Counsel further referred the court to the unreported judgment of Makhafola J, in </w:t>
      </w:r>
      <w:r w:rsidR="00097BEE" w:rsidRPr="00107D73">
        <w:rPr>
          <w:rFonts w:ascii="Times New Roman" w:hAnsi="Times New Roman"/>
          <w:i/>
          <w:iCs/>
          <w:sz w:val="24"/>
        </w:rPr>
        <w:t>S Ma</w:t>
      </w:r>
      <w:r w:rsidR="00325DC2">
        <w:rPr>
          <w:rFonts w:ascii="Times New Roman" w:hAnsi="Times New Roman"/>
          <w:i/>
          <w:iCs/>
          <w:sz w:val="24"/>
        </w:rPr>
        <w:t>b</w:t>
      </w:r>
      <w:r w:rsidR="00097BEE" w:rsidRPr="00107D73">
        <w:rPr>
          <w:rFonts w:ascii="Times New Roman" w:hAnsi="Times New Roman"/>
          <w:i/>
          <w:iCs/>
          <w:sz w:val="24"/>
        </w:rPr>
        <w:t>o</w:t>
      </w:r>
      <w:r w:rsidR="00325DC2">
        <w:rPr>
          <w:rFonts w:ascii="Times New Roman" w:hAnsi="Times New Roman"/>
          <w:i/>
          <w:iCs/>
          <w:sz w:val="24"/>
        </w:rPr>
        <w:t>h</w:t>
      </w:r>
      <w:r w:rsidR="00097BEE" w:rsidRPr="00107D73">
        <w:rPr>
          <w:rFonts w:ascii="Times New Roman" w:hAnsi="Times New Roman"/>
          <w:i/>
          <w:iCs/>
          <w:sz w:val="24"/>
        </w:rPr>
        <w:t>o</w:t>
      </w:r>
      <w:r w:rsidR="00325DC2">
        <w:rPr>
          <w:rFonts w:ascii="Times New Roman" w:hAnsi="Times New Roman"/>
          <w:i/>
          <w:iCs/>
          <w:sz w:val="24"/>
        </w:rPr>
        <w:t xml:space="preserve"> and Others </w:t>
      </w:r>
      <w:r w:rsidR="00097BEE" w:rsidRPr="00107D73">
        <w:rPr>
          <w:rFonts w:ascii="Times New Roman" w:hAnsi="Times New Roman"/>
          <w:i/>
          <w:iCs/>
          <w:sz w:val="24"/>
        </w:rPr>
        <w:t>v Minister of Home Affairs</w:t>
      </w:r>
      <w:r w:rsidR="00097BEE">
        <w:rPr>
          <w:rStyle w:val="FootnoteReference"/>
          <w:rFonts w:ascii="Times New Roman" w:hAnsi="Times New Roman"/>
          <w:i/>
          <w:iCs/>
          <w:sz w:val="24"/>
        </w:rPr>
        <w:footnoteReference w:id="5"/>
      </w:r>
      <w:r w:rsidR="00097BEE">
        <w:rPr>
          <w:rFonts w:ascii="Times New Roman" w:hAnsi="Times New Roman"/>
          <w:sz w:val="24"/>
        </w:rPr>
        <w:t xml:space="preserve"> where the court stated at para </w:t>
      </w:r>
      <w:r w:rsidR="00325DC2">
        <w:rPr>
          <w:rFonts w:ascii="Times New Roman" w:hAnsi="Times New Roman"/>
          <w:sz w:val="24"/>
        </w:rPr>
        <w:t>[</w:t>
      </w:r>
      <w:r w:rsidR="00097BEE">
        <w:rPr>
          <w:rFonts w:ascii="Times New Roman" w:hAnsi="Times New Roman"/>
          <w:sz w:val="24"/>
        </w:rPr>
        <w:t>13</w:t>
      </w:r>
      <w:r w:rsidR="00325DC2">
        <w:rPr>
          <w:rFonts w:ascii="Times New Roman" w:hAnsi="Times New Roman"/>
          <w:sz w:val="24"/>
        </w:rPr>
        <w:t>]</w:t>
      </w:r>
      <w:r w:rsidR="00097BEE">
        <w:rPr>
          <w:rFonts w:ascii="Times New Roman" w:hAnsi="Times New Roman"/>
          <w:sz w:val="24"/>
        </w:rPr>
        <w:t xml:space="preserve"> that </w:t>
      </w:r>
      <w:r w:rsidR="00097BEE" w:rsidRPr="001227C8">
        <w:rPr>
          <w:rFonts w:ascii="Times New Roman" w:hAnsi="Times New Roman"/>
          <w:i/>
          <w:sz w:val="24"/>
        </w:rPr>
        <w:t>“</w:t>
      </w:r>
      <w:r w:rsidR="00325DC2">
        <w:rPr>
          <w:rFonts w:ascii="Times New Roman" w:hAnsi="Times New Roman"/>
          <w:sz w:val="24"/>
        </w:rPr>
        <w:t xml:space="preserve">… </w:t>
      </w:r>
      <w:r w:rsidR="00501172">
        <w:rPr>
          <w:rFonts w:ascii="Times New Roman" w:hAnsi="Times New Roman"/>
          <w:i/>
          <w:iCs/>
          <w:sz w:val="24"/>
        </w:rPr>
        <w:t>A</w:t>
      </w:r>
      <w:r w:rsidR="00097BEE" w:rsidRPr="00107D73">
        <w:rPr>
          <w:rFonts w:ascii="Times New Roman" w:hAnsi="Times New Roman"/>
          <w:i/>
          <w:iCs/>
          <w:sz w:val="24"/>
        </w:rPr>
        <w:t xml:space="preserve">rgument is not evidence, and it is not given under oath. It is merely </w:t>
      </w:r>
      <w:r w:rsidR="00501172">
        <w:rPr>
          <w:rFonts w:ascii="Times New Roman" w:hAnsi="Times New Roman"/>
          <w:i/>
          <w:iCs/>
          <w:sz w:val="24"/>
        </w:rPr>
        <w:t xml:space="preserve">a </w:t>
      </w:r>
      <w:r w:rsidR="00097BEE" w:rsidRPr="00107D73">
        <w:rPr>
          <w:rFonts w:ascii="Times New Roman" w:hAnsi="Times New Roman"/>
          <w:i/>
          <w:iCs/>
          <w:sz w:val="24"/>
        </w:rPr>
        <w:t xml:space="preserve">persuasive comment </w:t>
      </w:r>
      <w:r w:rsidR="00501172">
        <w:rPr>
          <w:rFonts w:ascii="Times New Roman" w:hAnsi="Times New Roman"/>
          <w:i/>
          <w:iCs/>
          <w:sz w:val="24"/>
        </w:rPr>
        <w:t xml:space="preserve">made </w:t>
      </w:r>
      <w:r w:rsidR="00097BEE" w:rsidRPr="00107D73">
        <w:rPr>
          <w:rFonts w:ascii="Times New Roman" w:hAnsi="Times New Roman"/>
          <w:i/>
          <w:iCs/>
          <w:sz w:val="24"/>
        </w:rPr>
        <w:t>by the parties or legal representatives with regard to</w:t>
      </w:r>
      <w:r w:rsidR="00501172">
        <w:rPr>
          <w:rFonts w:ascii="Times New Roman" w:hAnsi="Times New Roman"/>
          <w:i/>
          <w:iCs/>
          <w:sz w:val="24"/>
        </w:rPr>
        <w:t xml:space="preserve"> </w:t>
      </w:r>
      <w:r w:rsidR="00097BEE" w:rsidRPr="00107D73">
        <w:rPr>
          <w:rFonts w:ascii="Times New Roman" w:hAnsi="Times New Roman"/>
          <w:i/>
          <w:iCs/>
          <w:sz w:val="24"/>
        </w:rPr>
        <w:t>questions of fact or law. Argument does not constitute evidence</w:t>
      </w:r>
      <w:r w:rsidR="00501172">
        <w:rPr>
          <w:rFonts w:ascii="Times New Roman" w:hAnsi="Times New Roman"/>
          <w:i/>
          <w:iCs/>
          <w:sz w:val="24"/>
        </w:rPr>
        <w:t xml:space="preserve">, </w:t>
      </w:r>
      <w:r w:rsidR="00097BEE" w:rsidRPr="00107D73">
        <w:rPr>
          <w:rFonts w:ascii="Times New Roman" w:hAnsi="Times New Roman"/>
          <w:i/>
          <w:iCs/>
          <w:sz w:val="24"/>
        </w:rPr>
        <w:t xml:space="preserve">and cannot replace evidence. In casu; the heads of argument do not serve as </w:t>
      </w:r>
      <w:r w:rsidR="00501172">
        <w:rPr>
          <w:rFonts w:ascii="Times New Roman" w:hAnsi="Times New Roman"/>
          <w:i/>
          <w:iCs/>
          <w:sz w:val="24"/>
        </w:rPr>
        <w:t xml:space="preserve">the </w:t>
      </w:r>
      <w:r w:rsidR="00097BEE" w:rsidRPr="00107D73">
        <w:rPr>
          <w:rFonts w:ascii="Times New Roman" w:hAnsi="Times New Roman"/>
          <w:i/>
          <w:iCs/>
          <w:sz w:val="24"/>
        </w:rPr>
        <w:t>answering affidavits of the respondent</w:t>
      </w:r>
      <w:r w:rsidR="00097BEE">
        <w:rPr>
          <w:rFonts w:ascii="Times New Roman" w:hAnsi="Times New Roman"/>
          <w:i/>
          <w:iCs/>
          <w:sz w:val="24"/>
        </w:rPr>
        <w:t>”</w:t>
      </w:r>
      <w:r w:rsidR="00097BEE">
        <w:rPr>
          <w:rFonts w:ascii="Times New Roman" w:hAnsi="Times New Roman"/>
          <w:sz w:val="24"/>
        </w:rPr>
        <w:t>.</w:t>
      </w:r>
      <w:r w:rsidR="00097BEE">
        <w:rPr>
          <w:rStyle w:val="FootnoteReference"/>
          <w:rFonts w:ascii="Times New Roman" w:hAnsi="Times New Roman"/>
          <w:sz w:val="24"/>
        </w:rPr>
        <w:footnoteReference w:id="6"/>
      </w:r>
    </w:p>
    <w:p w14:paraId="40A11812" w14:textId="77777777" w:rsidR="00097BEE" w:rsidRPr="00097BEE" w:rsidRDefault="00097BEE" w:rsidP="00097BEE">
      <w:pPr>
        <w:pStyle w:val="ListParagraph"/>
        <w:tabs>
          <w:tab w:val="left" w:pos="540"/>
        </w:tabs>
        <w:spacing w:after="160" w:line="480" w:lineRule="auto"/>
        <w:ind w:left="0" w:right="1"/>
        <w:rPr>
          <w:rFonts w:ascii="Times New Roman" w:hAnsi="Times New Roman"/>
          <w:i/>
          <w:iCs/>
          <w:sz w:val="24"/>
        </w:rPr>
      </w:pPr>
    </w:p>
    <w:p w14:paraId="2B72BBF5" w14:textId="50FD4406" w:rsidR="00107D73" w:rsidRPr="00E31BA4" w:rsidRDefault="00E945DC" w:rsidP="00107D73">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The second respondent may however</w:t>
      </w:r>
      <w:r w:rsidR="006174F4">
        <w:rPr>
          <w:rFonts w:ascii="Times New Roman" w:hAnsi="Times New Roman"/>
          <w:sz w:val="24"/>
        </w:rPr>
        <w:t>, so went applicant’s counsel arguments,</w:t>
      </w:r>
      <w:r w:rsidRPr="00E31BA4">
        <w:rPr>
          <w:rFonts w:ascii="Times New Roman" w:hAnsi="Times New Roman"/>
          <w:sz w:val="24"/>
        </w:rPr>
        <w:t xml:space="preserve"> be permitted to address the court </w:t>
      </w:r>
      <w:r w:rsidR="00097BEE">
        <w:rPr>
          <w:rFonts w:ascii="Times New Roman" w:hAnsi="Times New Roman"/>
          <w:sz w:val="24"/>
        </w:rPr>
        <w:t xml:space="preserve">without filing </w:t>
      </w:r>
      <w:r w:rsidR="00501172">
        <w:rPr>
          <w:rFonts w:ascii="Times New Roman" w:hAnsi="Times New Roman"/>
          <w:sz w:val="24"/>
        </w:rPr>
        <w:t xml:space="preserve">an </w:t>
      </w:r>
      <w:r w:rsidR="00097BEE">
        <w:rPr>
          <w:rFonts w:ascii="Times New Roman" w:hAnsi="Times New Roman"/>
          <w:sz w:val="24"/>
        </w:rPr>
        <w:t xml:space="preserve">answering affidavit </w:t>
      </w:r>
      <w:r w:rsidR="00904DE7">
        <w:rPr>
          <w:rFonts w:ascii="Times New Roman" w:hAnsi="Times New Roman"/>
          <w:sz w:val="24"/>
        </w:rPr>
        <w:t>if</w:t>
      </w:r>
      <w:r w:rsidRPr="00E31BA4">
        <w:rPr>
          <w:rFonts w:ascii="Times New Roman" w:hAnsi="Times New Roman"/>
          <w:sz w:val="24"/>
        </w:rPr>
        <w:t xml:space="preserve"> its submission</w:t>
      </w:r>
      <w:r w:rsidR="00097BEE">
        <w:rPr>
          <w:rFonts w:ascii="Times New Roman" w:hAnsi="Times New Roman"/>
          <w:sz w:val="24"/>
        </w:rPr>
        <w:t>s</w:t>
      </w:r>
      <w:r w:rsidRPr="00E31BA4">
        <w:rPr>
          <w:rFonts w:ascii="Times New Roman" w:hAnsi="Times New Roman"/>
          <w:sz w:val="24"/>
        </w:rPr>
        <w:t xml:space="preserve"> would be </w:t>
      </w:r>
      <w:r w:rsidR="00097BEE">
        <w:rPr>
          <w:rFonts w:ascii="Times New Roman" w:hAnsi="Times New Roman"/>
          <w:sz w:val="24"/>
        </w:rPr>
        <w:t xml:space="preserve">limited </w:t>
      </w:r>
      <w:r w:rsidRPr="00E31BA4">
        <w:rPr>
          <w:rFonts w:ascii="Times New Roman" w:hAnsi="Times New Roman"/>
          <w:sz w:val="24"/>
        </w:rPr>
        <w:t>to the arguments on point</w:t>
      </w:r>
      <w:r w:rsidR="00EB44E3">
        <w:rPr>
          <w:rFonts w:ascii="Times New Roman" w:hAnsi="Times New Roman"/>
          <w:sz w:val="24"/>
        </w:rPr>
        <w:t>s</w:t>
      </w:r>
      <w:r w:rsidRPr="00E31BA4">
        <w:rPr>
          <w:rFonts w:ascii="Times New Roman" w:hAnsi="Times New Roman"/>
          <w:sz w:val="24"/>
        </w:rPr>
        <w:t xml:space="preserve"> of law.</w:t>
      </w:r>
      <w:r w:rsidR="00097BEE">
        <w:rPr>
          <w:rFonts w:ascii="Times New Roman" w:hAnsi="Times New Roman"/>
          <w:sz w:val="24"/>
        </w:rPr>
        <w:t xml:space="preserve"> </w:t>
      </w:r>
      <w:r w:rsidR="006174F4">
        <w:rPr>
          <w:rFonts w:ascii="Times New Roman" w:hAnsi="Times New Roman"/>
          <w:sz w:val="24"/>
        </w:rPr>
        <w:t>That notwithstanding</w:t>
      </w:r>
      <w:r w:rsidR="00097BEE">
        <w:rPr>
          <w:rFonts w:ascii="Times New Roman" w:hAnsi="Times New Roman"/>
          <w:sz w:val="24"/>
        </w:rPr>
        <w:t xml:space="preserve">, </w:t>
      </w:r>
      <w:r w:rsidRPr="00E31BA4">
        <w:rPr>
          <w:rFonts w:ascii="Times New Roman" w:hAnsi="Times New Roman"/>
          <w:sz w:val="24"/>
        </w:rPr>
        <w:t>it is expected that summary of the point</w:t>
      </w:r>
      <w:r w:rsidR="00EB44E3">
        <w:rPr>
          <w:rFonts w:ascii="Times New Roman" w:hAnsi="Times New Roman"/>
          <w:sz w:val="24"/>
        </w:rPr>
        <w:t>s</w:t>
      </w:r>
      <w:r w:rsidRPr="00E31BA4">
        <w:rPr>
          <w:rFonts w:ascii="Times New Roman" w:hAnsi="Times New Roman"/>
          <w:sz w:val="24"/>
        </w:rPr>
        <w:t xml:space="preserve"> of law </w:t>
      </w:r>
      <w:r w:rsidR="00556F53">
        <w:rPr>
          <w:rFonts w:ascii="Times New Roman" w:hAnsi="Times New Roman"/>
          <w:sz w:val="24"/>
        </w:rPr>
        <w:t xml:space="preserve">intended </w:t>
      </w:r>
      <w:r w:rsidRPr="00E31BA4">
        <w:rPr>
          <w:rFonts w:ascii="Times New Roman" w:hAnsi="Times New Roman"/>
          <w:sz w:val="24"/>
        </w:rPr>
        <w:t xml:space="preserve">to be argued should have </w:t>
      </w:r>
      <w:r w:rsidR="00097BEE">
        <w:rPr>
          <w:rFonts w:ascii="Times New Roman" w:hAnsi="Times New Roman"/>
          <w:sz w:val="24"/>
        </w:rPr>
        <w:t xml:space="preserve">first </w:t>
      </w:r>
      <w:r w:rsidRPr="00E31BA4">
        <w:rPr>
          <w:rFonts w:ascii="Times New Roman" w:hAnsi="Times New Roman"/>
          <w:sz w:val="24"/>
        </w:rPr>
        <w:t>be</w:t>
      </w:r>
      <w:r w:rsidR="00757CBA">
        <w:rPr>
          <w:rFonts w:ascii="Times New Roman" w:hAnsi="Times New Roman"/>
          <w:sz w:val="24"/>
        </w:rPr>
        <w:t>en</w:t>
      </w:r>
      <w:r w:rsidRPr="00E31BA4">
        <w:rPr>
          <w:rFonts w:ascii="Times New Roman" w:hAnsi="Times New Roman"/>
          <w:sz w:val="24"/>
        </w:rPr>
        <w:t xml:space="preserve"> </w:t>
      </w:r>
      <w:r w:rsidR="00556F53">
        <w:rPr>
          <w:rFonts w:ascii="Times New Roman" w:hAnsi="Times New Roman"/>
          <w:sz w:val="24"/>
        </w:rPr>
        <w:t xml:space="preserve">served on </w:t>
      </w:r>
      <w:r w:rsidR="00556F53">
        <w:rPr>
          <w:rFonts w:ascii="Times New Roman" w:hAnsi="Times New Roman"/>
          <w:sz w:val="24"/>
        </w:rPr>
        <w:lastRenderedPageBreak/>
        <w:t>the applicant and filed with the</w:t>
      </w:r>
      <w:r w:rsidRPr="00E31BA4">
        <w:rPr>
          <w:rFonts w:ascii="Times New Roman" w:hAnsi="Times New Roman"/>
          <w:sz w:val="24"/>
        </w:rPr>
        <w:t xml:space="preserve"> court for the </w:t>
      </w:r>
      <w:r w:rsidR="00556F53">
        <w:rPr>
          <w:rFonts w:ascii="Times New Roman" w:hAnsi="Times New Roman"/>
          <w:sz w:val="24"/>
        </w:rPr>
        <w:t xml:space="preserve">applicant </w:t>
      </w:r>
      <w:r w:rsidR="00EB44E3">
        <w:rPr>
          <w:rFonts w:ascii="Times New Roman" w:hAnsi="Times New Roman"/>
          <w:sz w:val="24"/>
        </w:rPr>
        <w:t>to prepare their response to those points of law</w:t>
      </w:r>
      <w:r w:rsidRPr="00E31BA4">
        <w:rPr>
          <w:rFonts w:ascii="Times New Roman" w:hAnsi="Times New Roman"/>
          <w:sz w:val="24"/>
        </w:rPr>
        <w:t>.</w:t>
      </w:r>
      <w:r w:rsidR="00195295">
        <w:rPr>
          <w:rFonts w:ascii="Times New Roman" w:hAnsi="Times New Roman"/>
          <w:sz w:val="24"/>
        </w:rPr>
        <w:t xml:space="preserve"> </w:t>
      </w:r>
    </w:p>
    <w:p w14:paraId="747CA254" w14:textId="77777777" w:rsidR="00334007" w:rsidRPr="00E31BA4" w:rsidRDefault="00334007" w:rsidP="00334007">
      <w:pPr>
        <w:pStyle w:val="ListParagraph"/>
        <w:tabs>
          <w:tab w:val="left" w:pos="540"/>
        </w:tabs>
        <w:spacing w:after="160" w:line="480" w:lineRule="auto"/>
        <w:ind w:left="0" w:right="1"/>
        <w:rPr>
          <w:rFonts w:ascii="Times New Roman" w:hAnsi="Times New Roman"/>
          <w:i/>
          <w:iCs/>
          <w:sz w:val="24"/>
        </w:rPr>
      </w:pPr>
    </w:p>
    <w:p w14:paraId="1A541815" w14:textId="56B819F3" w:rsidR="00334007" w:rsidRPr="00EB44E3" w:rsidRDefault="00334007" w:rsidP="00325DC2">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Counsel for the second respondent retorted that the arguments intended to be advanced are on the basis of the documents which are already before the court and it was therefore unnecessary to serve</w:t>
      </w:r>
      <w:r w:rsidR="005A0808">
        <w:rPr>
          <w:rFonts w:ascii="Times New Roman" w:hAnsi="Times New Roman"/>
          <w:sz w:val="24"/>
        </w:rPr>
        <w:t xml:space="preserve"> and file</w:t>
      </w:r>
      <w:r w:rsidRPr="00E31BA4">
        <w:rPr>
          <w:rFonts w:ascii="Times New Roman" w:hAnsi="Times New Roman"/>
          <w:sz w:val="24"/>
        </w:rPr>
        <w:t xml:space="preserve"> opposing or answering affidavits. Counsel further </w:t>
      </w:r>
      <w:r w:rsidR="002D778F">
        <w:rPr>
          <w:rFonts w:ascii="Times New Roman" w:hAnsi="Times New Roman"/>
          <w:sz w:val="24"/>
        </w:rPr>
        <w:t xml:space="preserve">contended that there are instances where an affidavit need not be served and </w:t>
      </w:r>
      <w:r w:rsidRPr="00E31BA4">
        <w:rPr>
          <w:rFonts w:ascii="Times New Roman" w:hAnsi="Times New Roman"/>
          <w:sz w:val="24"/>
        </w:rPr>
        <w:t xml:space="preserve">arguments </w:t>
      </w:r>
      <w:r w:rsidR="002D778F">
        <w:rPr>
          <w:rFonts w:ascii="Times New Roman" w:hAnsi="Times New Roman"/>
          <w:sz w:val="24"/>
        </w:rPr>
        <w:t>may be based on</w:t>
      </w:r>
      <w:r w:rsidRPr="00E31BA4">
        <w:rPr>
          <w:rFonts w:ascii="Times New Roman" w:hAnsi="Times New Roman"/>
          <w:sz w:val="24"/>
        </w:rPr>
        <w:t xml:space="preserve"> the papers file</w:t>
      </w:r>
      <w:r w:rsidR="002D778F">
        <w:rPr>
          <w:rFonts w:ascii="Times New Roman" w:hAnsi="Times New Roman"/>
          <w:sz w:val="24"/>
        </w:rPr>
        <w:t>d by other</w:t>
      </w:r>
      <w:r w:rsidRPr="00E31BA4">
        <w:rPr>
          <w:rFonts w:ascii="Times New Roman" w:hAnsi="Times New Roman"/>
          <w:sz w:val="24"/>
        </w:rPr>
        <w:t xml:space="preserve"> the parties before the court. The applicant replied that the </w:t>
      </w:r>
      <w:r w:rsidR="00556F53">
        <w:rPr>
          <w:rFonts w:ascii="Times New Roman" w:hAnsi="Times New Roman"/>
          <w:sz w:val="24"/>
        </w:rPr>
        <w:t>counsel for second respondent</w:t>
      </w:r>
      <w:r w:rsidR="00757CBA">
        <w:rPr>
          <w:rFonts w:ascii="Times New Roman" w:hAnsi="Times New Roman"/>
          <w:sz w:val="24"/>
        </w:rPr>
        <w:t xml:space="preserve"> should </w:t>
      </w:r>
      <w:r w:rsidR="00556F53">
        <w:rPr>
          <w:rFonts w:ascii="Times New Roman" w:hAnsi="Times New Roman"/>
          <w:sz w:val="24"/>
        </w:rPr>
        <w:t>tentatively be accorded audience</w:t>
      </w:r>
      <w:r w:rsidR="006174F4">
        <w:rPr>
          <w:rFonts w:ascii="Times New Roman" w:hAnsi="Times New Roman"/>
          <w:sz w:val="24"/>
        </w:rPr>
        <w:t>,</w:t>
      </w:r>
      <w:r w:rsidR="00556F53">
        <w:rPr>
          <w:rFonts w:ascii="Times New Roman" w:hAnsi="Times New Roman"/>
          <w:sz w:val="24"/>
        </w:rPr>
        <w:t xml:space="preserve"> </w:t>
      </w:r>
      <w:r w:rsidRPr="00E31BA4">
        <w:rPr>
          <w:rFonts w:ascii="Times New Roman" w:hAnsi="Times New Roman"/>
          <w:sz w:val="24"/>
        </w:rPr>
        <w:t xml:space="preserve">but the </w:t>
      </w:r>
      <w:r w:rsidR="00556F53">
        <w:rPr>
          <w:rFonts w:ascii="Times New Roman" w:hAnsi="Times New Roman"/>
          <w:sz w:val="24"/>
        </w:rPr>
        <w:t xml:space="preserve">court must still make a determination if </w:t>
      </w:r>
      <w:r w:rsidR="00097BEE">
        <w:rPr>
          <w:rFonts w:ascii="Times New Roman" w:hAnsi="Times New Roman"/>
          <w:sz w:val="24"/>
        </w:rPr>
        <w:t xml:space="preserve">the </w:t>
      </w:r>
      <w:r w:rsidR="00556F53">
        <w:rPr>
          <w:rFonts w:ascii="Times New Roman" w:hAnsi="Times New Roman"/>
          <w:sz w:val="24"/>
        </w:rPr>
        <w:t xml:space="preserve">arguments advanced complies with the </w:t>
      </w:r>
      <w:r w:rsidR="00097BEE">
        <w:rPr>
          <w:rFonts w:ascii="Times New Roman" w:hAnsi="Times New Roman"/>
          <w:sz w:val="24"/>
        </w:rPr>
        <w:t>R</w:t>
      </w:r>
      <w:r w:rsidR="00556F53">
        <w:rPr>
          <w:rFonts w:ascii="Times New Roman" w:hAnsi="Times New Roman"/>
          <w:sz w:val="24"/>
        </w:rPr>
        <w:t>ules</w:t>
      </w:r>
      <w:r w:rsidR="00097BEE">
        <w:rPr>
          <w:rFonts w:ascii="Times New Roman" w:hAnsi="Times New Roman"/>
          <w:sz w:val="24"/>
        </w:rPr>
        <w:t xml:space="preserve"> of Court</w:t>
      </w:r>
      <w:r w:rsidR="00556F53">
        <w:rPr>
          <w:rFonts w:ascii="Times New Roman" w:hAnsi="Times New Roman"/>
          <w:sz w:val="24"/>
        </w:rPr>
        <w:t xml:space="preserve"> and if not, su</w:t>
      </w:r>
      <w:r w:rsidR="00757CBA">
        <w:rPr>
          <w:rFonts w:ascii="Times New Roman" w:hAnsi="Times New Roman"/>
          <w:sz w:val="24"/>
        </w:rPr>
        <w:t xml:space="preserve">ch arguments </w:t>
      </w:r>
      <w:r w:rsidR="00556F53">
        <w:rPr>
          <w:rFonts w:ascii="Times New Roman" w:hAnsi="Times New Roman"/>
          <w:sz w:val="24"/>
        </w:rPr>
        <w:t xml:space="preserve">should </w:t>
      </w:r>
      <w:r w:rsidRPr="00E31BA4">
        <w:rPr>
          <w:rFonts w:ascii="Times New Roman" w:hAnsi="Times New Roman"/>
          <w:sz w:val="24"/>
        </w:rPr>
        <w:t xml:space="preserve">be jettisoned and not </w:t>
      </w:r>
      <w:r w:rsidR="00556F53">
        <w:rPr>
          <w:rFonts w:ascii="Times New Roman" w:hAnsi="Times New Roman"/>
          <w:sz w:val="24"/>
        </w:rPr>
        <w:t xml:space="preserve">be </w:t>
      </w:r>
      <w:r w:rsidRPr="00E31BA4">
        <w:rPr>
          <w:rFonts w:ascii="Times New Roman" w:hAnsi="Times New Roman"/>
          <w:sz w:val="24"/>
        </w:rPr>
        <w:t xml:space="preserve">considered for the purposes of </w:t>
      </w:r>
      <w:r w:rsidR="00D65110">
        <w:rPr>
          <w:rFonts w:ascii="Times New Roman" w:hAnsi="Times New Roman"/>
          <w:sz w:val="24"/>
        </w:rPr>
        <w:t xml:space="preserve">adjudicating </w:t>
      </w:r>
      <w:r w:rsidRPr="00E31BA4">
        <w:rPr>
          <w:rFonts w:ascii="Times New Roman" w:hAnsi="Times New Roman"/>
          <w:sz w:val="24"/>
        </w:rPr>
        <w:t xml:space="preserve">this </w:t>
      </w:r>
      <w:r w:rsidRPr="00E31BA4">
        <w:rPr>
          <w:rFonts w:ascii="Times New Roman" w:hAnsi="Times New Roman"/>
          <w:i/>
          <w:iCs/>
          <w:sz w:val="24"/>
        </w:rPr>
        <w:t>lis</w:t>
      </w:r>
      <w:r w:rsidRPr="00E31BA4">
        <w:rPr>
          <w:rFonts w:ascii="Times New Roman" w:hAnsi="Times New Roman"/>
          <w:sz w:val="24"/>
        </w:rPr>
        <w:t>.</w:t>
      </w:r>
    </w:p>
    <w:p w14:paraId="7FCEB1C6" w14:textId="77777777" w:rsidR="00EB44E3" w:rsidRPr="00EB44E3" w:rsidRDefault="00EB44E3" w:rsidP="00EB44E3">
      <w:pPr>
        <w:pStyle w:val="ListParagraph"/>
        <w:rPr>
          <w:rFonts w:ascii="Times New Roman" w:hAnsi="Times New Roman"/>
          <w:i/>
          <w:iCs/>
          <w:sz w:val="24"/>
        </w:rPr>
      </w:pPr>
    </w:p>
    <w:p w14:paraId="65DA6B14" w14:textId="24A3E6C5" w:rsidR="00E9319D" w:rsidRPr="00E9319D" w:rsidRDefault="00097BEE" w:rsidP="00325DC2">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This court has noted that t</w:t>
      </w:r>
      <w:r w:rsidR="0001748F">
        <w:rPr>
          <w:rFonts w:ascii="Times New Roman" w:hAnsi="Times New Roman"/>
          <w:sz w:val="24"/>
        </w:rPr>
        <w:t xml:space="preserve">he </w:t>
      </w:r>
      <w:r>
        <w:rPr>
          <w:rFonts w:ascii="Times New Roman" w:hAnsi="Times New Roman"/>
          <w:sz w:val="24"/>
        </w:rPr>
        <w:t>U</w:t>
      </w:r>
      <w:r w:rsidR="0001748F">
        <w:rPr>
          <w:rFonts w:ascii="Times New Roman" w:hAnsi="Times New Roman"/>
          <w:sz w:val="24"/>
        </w:rPr>
        <w:t xml:space="preserve">niform </w:t>
      </w:r>
      <w:r>
        <w:rPr>
          <w:rFonts w:ascii="Times New Roman" w:hAnsi="Times New Roman"/>
          <w:sz w:val="24"/>
        </w:rPr>
        <w:t>R</w:t>
      </w:r>
      <w:r w:rsidR="0001748F">
        <w:rPr>
          <w:rFonts w:ascii="Times New Roman" w:hAnsi="Times New Roman"/>
          <w:sz w:val="24"/>
        </w:rPr>
        <w:t>ule</w:t>
      </w:r>
      <w:r w:rsidR="00D65110">
        <w:rPr>
          <w:rFonts w:ascii="Times New Roman" w:hAnsi="Times New Roman"/>
          <w:sz w:val="24"/>
        </w:rPr>
        <w:t>s</w:t>
      </w:r>
      <w:r>
        <w:rPr>
          <w:rFonts w:ascii="Times New Roman" w:hAnsi="Times New Roman"/>
          <w:sz w:val="24"/>
        </w:rPr>
        <w:t xml:space="preserve"> of Court</w:t>
      </w:r>
      <w:r w:rsidR="0001748F">
        <w:rPr>
          <w:rFonts w:ascii="Times New Roman" w:hAnsi="Times New Roman"/>
          <w:sz w:val="24"/>
        </w:rPr>
        <w:t xml:space="preserve"> as referred to by the applicant’s counsel requires</w:t>
      </w:r>
      <w:r w:rsidR="00D65110">
        <w:rPr>
          <w:rFonts w:ascii="Times New Roman" w:hAnsi="Times New Roman"/>
          <w:sz w:val="24"/>
        </w:rPr>
        <w:t>,</w:t>
      </w:r>
      <w:r w:rsidR="0001748F">
        <w:rPr>
          <w:rFonts w:ascii="Times New Roman" w:hAnsi="Times New Roman"/>
          <w:sz w:val="24"/>
        </w:rPr>
        <w:t xml:space="preserve"> in peremptory terms</w:t>
      </w:r>
      <w:r w:rsidR="006174F4">
        <w:rPr>
          <w:rFonts w:ascii="Times New Roman" w:hAnsi="Times New Roman"/>
          <w:sz w:val="24"/>
        </w:rPr>
        <w:t>,</w:t>
      </w:r>
      <w:r w:rsidR="0001748F">
        <w:rPr>
          <w:rFonts w:ascii="Times New Roman" w:hAnsi="Times New Roman"/>
          <w:sz w:val="24"/>
        </w:rPr>
        <w:t xml:space="preserve"> that the respondent should file</w:t>
      </w:r>
      <w:r w:rsidR="006174F4">
        <w:rPr>
          <w:rFonts w:ascii="Times New Roman" w:hAnsi="Times New Roman"/>
          <w:sz w:val="24"/>
        </w:rPr>
        <w:t xml:space="preserve"> an</w:t>
      </w:r>
      <w:r w:rsidR="0001748F">
        <w:rPr>
          <w:rFonts w:ascii="Times New Roman" w:hAnsi="Times New Roman"/>
          <w:sz w:val="24"/>
        </w:rPr>
        <w:t xml:space="preserve"> opposing affidavit within 15 days of serving </w:t>
      </w:r>
      <w:r w:rsidR="006174F4">
        <w:rPr>
          <w:rFonts w:ascii="Times New Roman" w:hAnsi="Times New Roman"/>
          <w:sz w:val="24"/>
        </w:rPr>
        <w:t xml:space="preserve">a </w:t>
      </w:r>
      <w:r w:rsidR="0001748F">
        <w:rPr>
          <w:rFonts w:ascii="Times New Roman" w:hAnsi="Times New Roman"/>
          <w:sz w:val="24"/>
        </w:rPr>
        <w:t xml:space="preserve">notice of intention to oppose. The respondent has no option if the intention </w:t>
      </w:r>
      <w:r w:rsidR="001C045A">
        <w:rPr>
          <w:rFonts w:ascii="Times New Roman" w:hAnsi="Times New Roman"/>
          <w:sz w:val="24"/>
        </w:rPr>
        <w:t xml:space="preserve">is </w:t>
      </w:r>
      <w:r w:rsidR="0001748F">
        <w:rPr>
          <w:rFonts w:ascii="Times New Roman" w:hAnsi="Times New Roman"/>
          <w:sz w:val="24"/>
        </w:rPr>
        <w:t xml:space="preserve">to engage with the facts raised in the application but to file </w:t>
      </w:r>
      <w:r w:rsidR="006174F4">
        <w:rPr>
          <w:rFonts w:ascii="Times New Roman" w:hAnsi="Times New Roman"/>
          <w:sz w:val="24"/>
        </w:rPr>
        <w:t xml:space="preserve">an </w:t>
      </w:r>
      <w:r w:rsidR="005A0808">
        <w:rPr>
          <w:rFonts w:ascii="Times New Roman" w:hAnsi="Times New Roman"/>
          <w:sz w:val="24"/>
        </w:rPr>
        <w:t xml:space="preserve">opposing </w:t>
      </w:r>
      <w:r w:rsidR="0001748F">
        <w:rPr>
          <w:rFonts w:ascii="Times New Roman" w:hAnsi="Times New Roman"/>
          <w:sz w:val="24"/>
        </w:rPr>
        <w:t>affidavit taking issue</w:t>
      </w:r>
      <w:r w:rsidR="00D65110">
        <w:rPr>
          <w:rFonts w:ascii="Times New Roman" w:hAnsi="Times New Roman"/>
          <w:sz w:val="24"/>
        </w:rPr>
        <w:t>s</w:t>
      </w:r>
      <w:r w:rsidR="0001748F">
        <w:rPr>
          <w:rFonts w:ascii="Times New Roman" w:hAnsi="Times New Roman"/>
          <w:sz w:val="24"/>
        </w:rPr>
        <w:t xml:space="preserve"> with aspect</w:t>
      </w:r>
      <w:r w:rsidR="00E9319D">
        <w:rPr>
          <w:rFonts w:ascii="Times New Roman" w:hAnsi="Times New Roman"/>
          <w:sz w:val="24"/>
        </w:rPr>
        <w:t>/s</w:t>
      </w:r>
      <w:r w:rsidR="0001748F">
        <w:rPr>
          <w:rFonts w:ascii="Times New Roman" w:hAnsi="Times New Roman"/>
          <w:sz w:val="24"/>
        </w:rPr>
        <w:t xml:space="preserve"> of the applicant’s </w:t>
      </w:r>
      <w:r w:rsidR="006174F4">
        <w:rPr>
          <w:rFonts w:ascii="Times New Roman" w:hAnsi="Times New Roman"/>
          <w:sz w:val="24"/>
        </w:rPr>
        <w:t>case</w:t>
      </w:r>
      <w:r w:rsidR="0001748F">
        <w:rPr>
          <w:rFonts w:ascii="Times New Roman" w:hAnsi="Times New Roman"/>
          <w:sz w:val="24"/>
        </w:rPr>
        <w:t>. Where the respondent does not deal with any aspects of the averments in the applicant</w:t>
      </w:r>
      <w:r w:rsidR="005A0808">
        <w:rPr>
          <w:rFonts w:ascii="Times New Roman" w:hAnsi="Times New Roman"/>
          <w:sz w:val="24"/>
        </w:rPr>
        <w:t>’</w:t>
      </w:r>
      <w:r w:rsidR="0001748F">
        <w:rPr>
          <w:rFonts w:ascii="Times New Roman" w:hAnsi="Times New Roman"/>
          <w:sz w:val="24"/>
        </w:rPr>
        <w:t xml:space="preserve">s papers such failure </w:t>
      </w:r>
      <w:r w:rsidR="005A0808">
        <w:rPr>
          <w:rFonts w:ascii="Times New Roman" w:hAnsi="Times New Roman"/>
          <w:sz w:val="24"/>
        </w:rPr>
        <w:t xml:space="preserve">may </w:t>
      </w:r>
      <w:r w:rsidR="0001748F">
        <w:rPr>
          <w:rFonts w:ascii="Times New Roman" w:hAnsi="Times New Roman"/>
          <w:sz w:val="24"/>
        </w:rPr>
        <w:t>ordinarily</w:t>
      </w:r>
      <w:r w:rsidR="006174F4">
        <w:rPr>
          <w:rFonts w:ascii="Times New Roman" w:hAnsi="Times New Roman"/>
          <w:sz w:val="24"/>
        </w:rPr>
        <w:t xml:space="preserve"> be</w:t>
      </w:r>
      <w:r w:rsidR="0001748F">
        <w:rPr>
          <w:rFonts w:ascii="Times New Roman" w:hAnsi="Times New Roman"/>
          <w:sz w:val="24"/>
        </w:rPr>
        <w:t xml:space="preserve"> construed as amounting to </w:t>
      </w:r>
      <w:r w:rsidR="008E3840">
        <w:rPr>
          <w:rFonts w:ascii="Times New Roman" w:hAnsi="Times New Roman"/>
          <w:sz w:val="24"/>
        </w:rPr>
        <w:t>an admission</w:t>
      </w:r>
      <w:r w:rsidR="006174F4">
        <w:rPr>
          <w:rFonts w:ascii="Times New Roman" w:hAnsi="Times New Roman"/>
          <w:sz w:val="24"/>
        </w:rPr>
        <w:t xml:space="preserve"> of averments made by the applicant</w:t>
      </w:r>
      <w:r w:rsidR="008E3840">
        <w:rPr>
          <w:rFonts w:ascii="Times New Roman" w:hAnsi="Times New Roman"/>
          <w:sz w:val="24"/>
        </w:rPr>
        <w:t>.</w:t>
      </w:r>
    </w:p>
    <w:p w14:paraId="074ADCAC" w14:textId="77777777" w:rsidR="00E9319D" w:rsidRPr="00E9319D" w:rsidRDefault="00E9319D" w:rsidP="00E9319D">
      <w:pPr>
        <w:pStyle w:val="ListParagraph"/>
        <w:rPr>
          <w:rFonts w:ascii="Times New Roman" w:hAnsi="Times New Roman"/>
          <w:sz w:val="24"/>
        </w:rPr>
      </w:pPr>
    </w:p>
    <w:p w14:paraId="0066B8DD" w14:textId="2AE5B126" w:rsidR="00EB44E3" w:rsidRPr="00E31BA4" w:rsidRDefault="00097BEE" w:rsidP="00325DC2">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This court</w:t>
      </w:r>
      <w:r w:rsidR="00000A8C">
        <w:rPr>
          <w:rFonts w:ascii="Times New Roman" w:hAnsi="Times New Roman"/>
          <w:sz w:val="24"/>
        </w:rPr>
        <w:t xml:space="preserve"> having permitted the second respondent to argue and as fortified by the heads or argument the court </w:t>
      </w:r>
      <w:r>
        <w:rPr>
          <w:rFonts w:ascii="Times New Roman" w:hAnsi="Times New Roman"/>
          <w:sz w:val="24"/>
        </w:rPr>
        <w:t>f</w:t>
      </w:r>
      <w:r w:rsidR="00000A8C">
        <w:rPr>
          <w:rFonts w:ascii="Times New Roman" w:hAnsi="Times New Roman"/>
          <w:sz w:val="24"/>
        </w:rPr>
        <w:t xml:space="preserve">ound </w:t>
      </w:r>
      <w:r>
        <w:rPr>
          <w:rFonts w:ascii="Times New Roman" w:hAnsi="Times New Roman"/>
          <w:sz w:val="24"/>
        </w:rPr>
        <w:t>that the</w:t>
      </w:r>
      <w:r w:rsidR="007570C3">
        <w:rPr>
          <w:rFonts w:ascii="Times New Roman" w:hAnsi="Times New Roman"/>
          <w:sz w:val="24"/>
        </w:rPr>
        <w:t xml:space="preserve"> arguments raised </w:t>
      </w:r>
      <w:r>
        <w:rPr>
          <w:rFonts w:ascii="Times New Roman" w:hAnsi="Times New Roman"/>
          <w:sz w:val="24"/>
        </w:rPr>
        <w:t xml:space="preserve">by the second respondent </w:t>
      </w:r>
      <w:r w:rsidR="007570C3">
        <w:rPr>
          <w:rFonts w:ascii="Times New Roman" w:hAnsi="Times New Roman"/>
          <w:sz w:val="24"/>
        </w:rPr>
        <w:t>engage</w:t>
      </w:r>
      <w:r w:rsidR="00DC7EF8">
        <w:rPr>
          <w:rFonts w:ascii="Times New Roman" w:hAnsi="Times New Roman"/>
          <w:sz w:val="24"/>
        </w:rPr>
        <w:t>d</w:t>
      </w:r>
      <w:r w:rsidR="007570C3">
        <w:rPr>
          <w:rFonts w:ascii="Times New Roman" w:hAnsi="Times New Roman"/>
          <w:sz w:val="24"/>
        </w:rPr>
        <w:t xml:space="preserve"> with the facts</w:t>
      </w:r>
      <w:r w:rsidR="00E9319D">
        <w:rPr>
          <w:rFonts w:ascii="Times New Roman" w:hAnsi="Times New Roman"/>
          <w:sz w:val="24"/>
        </w:rPr>
        <w:t xml:space="preserve"> in the papers </w:t>
      </w:r>
      <w:r w:rsidR="007570C3">
        <w:rPr>
          <w:rFonts w:ascii="Times New Roman" w:hAnsi="Times New Roman"/>
          <w:sz w:val="24"/>
        </w:rPr>
        <w:t xml:space="preserve">presented by the </w:t>
      </w:r>
      <w:r>
        <w:rPr>
          <w:rFonts w:ascii="Times New Roman" w:hAnsi="Times New Roman"/>
          <w:sz w:val="24"/>
        </w:rPr>
        <w:t>parties</w:t>
      </w:r>
      <w:r w:rsidR="00B25FCE">
        <w:rPr>
          <w:rFonts w:ascii="Times New Roman" w:hAnsi="Times New Roman"/>
          <w:sz w:val="24"/>
        </w:rPr>
        <w:t xml:space="preserve">. Further that such approach </w:t>
      </w:r>
      <w:r>
        <w:rPr>
          <w:rFonts w:ascii="Times New Roman" w:hAnsi="Times New Roman"/>
          <w:sz w:val="24"/>
        </w:rPr>
        <w:t xml:space="preserve">is </w:t>
      </w:r>
      <w:r w:rsidR="007570C3">
        <w:rPr>
          <w:rFonts w:ascii="Times New Roman" w:hAnsi="Times New Roman"/>
          <w:sz w:val="24"/>
        </w:rPr>
        <w:t xml:space="preserve">inconsistent with the provisions of the </w:t>
      </w:r>
      <w:r w:rsidR="00757CBA">
        <w:rPr>
          <w:rFonts w:ascii="Times New Roman" w:hAnsi="Times New Roman"/>
          <w:sz w:val="24"/>
        </w:rPr>
        <w:t>R</w:t>
      </w:r>
      <w:r w:rsidR="00B25FCE">
        <w:rPr>
          <w:rFonts w:ascii="Times New Roman" w:hAnsi="Times New Roman"/>
          <w:sz w:val="24"/>
        </w:rPr>
        <w:t>ule</w:t>
      </w:r>
      <w:r w:rsidR="00757CBA">
        <w:rPr>
          <w:rFonts w:ascii="Times New Roman" w:hAnsi="Times New Roman"/>
          <w:sz w:val="24"/>
        </w:rPr>
        <w:t xml:space="preserve"> 6(5)</w:t>
      </w:r>
      <w:r w:rsidR="00B25FCE">
        <w:rPr>
          <w:rFonts w:ascii="Times New Roman" w:hAnsi="Times New Roman"/>
          <w:sz w:val="24"/>
        </w:rPr>
        <w:t xml:space="preserve">(d)(ii) </w:t>
      </w:r>
      <w:r w:rsidR="007570C3">
        <w:rPr>
          <w:rFonts w:ascii="Times New Roman" w:hAnsi="Times New Roman"/>
          <w:sz w:val="24"/>
        </w:rPr>
        <w:t xml:space="preserve">which is couched in peremptory </w:t>
      </w:r>
      <w:r w:rsidR="007570C3">
        <w:rPr>
          <w:rFonts w:ascii="Times New Roman" w:hAnsi="Times New Roman"/>
          <w:sz w:val="24"/>
        </w:rPr>
        <w:lastRenderedPageBreak/>
        <w:t>terms</w:t>
      </w:r>
      <w:r>
        <w:rPr>
          <w:rFonts w:ascii="Times New Roman" w:hAnsi="Times New Roman"/>
          <w:sz w:val="24"/>
        </w:rPr>
        <w:t xml:space="preserve"> that the second respondent should have filed </w:t>
      </w:r>
      <w:r w:rsidR="00501172">
        <w:rPr>
          <w:rFonts w:ascii="Times New Roman" w:hAnsi="Times New Roman"/>
          <w:sz w:val="24"/>
        </w:rPr>
        <w:t xml:space="preserve">an </w:t>
      </w:r>
      <w:r>
        <w:rPr>
          <w:rFonts w:ascii="Times New Roman" w:hAnsi="Times New Roman"/>
          <w:sz w:val="24"/>
        </w:rPr>
        <w:t>answering affidavit</w:t>
      </w:r>
      <w:r w:rsidR="007570C3">
        <w:rPr>
          <w:rFonts w:ascii="Times New Roman" w:hAnsi="Times New Roman"/>
          <w:sz w:val="24"/>
        </w:rPr>
        <w:t xml:space="preserve">. If the intention was only to raise points of law </w:t>
      </w:r>
      <w:r w:rsidR="0001748F">
        <w:rPr>
          <w:rFonts w:ascii="Times New Roman" w:hAnsi="Times New Roman"/>
          <w:sz w:val="24"/>
        </w:rPr>
        <w:t>Rule 6(5)(d)(iii) provides</w:t>
      </w:r>
      <w:r w:rsidR="00000A8C">
        <w:rPr>
          <w:rFonts w:ascii="Times New Roman" w:hAnsi="Times New Roman"/>
          <w:sz w:val="24"/>
        </w:rPr>
        <w:t>,</w:t>
      </w:r>
      <w:r w:rsidR="005A0808">
        <w:rPr>
          <w:rFonts w:ascii="Times New Roman" w:hAnsi="Times New Roman"/>
          <w:sz w:val="24"/>
        </w:rPr>
        <w:t xml:space="preserve"> </w:t>
      </w:r>
      <w:r w:rsidR="007570C3">
        <w:rPr>
          <w:rFonts w:ascii="Times New Roman" w:hAnsi="Times New Roman"/>
          <w:sz w:val="24"/>
        </w:rPr>
        <w:t>also in peremptory terms</w:t>
      </w:r>
      <w:r w:rsidR="00B25FCE">
        <w:rPr>
          <w:rFonts w:ascii="Times New Roman" w:hAnsi="Times New Roman"/>
          <w:sz w:val="24"/>
        </w:rPr>
        <w:t>,</w:t>
      </w:r>
      <w:r w:rsidR="007570C3">
        <w:rPr>
          <w:rFonts w:ascii="Times New Roman" w:hAnsi="Times New Roman"/>
          <w:sz w:val="24"/>
        </w:rPr>
        <w:t xml:space="preserve"> that </w:t>
      </w:r>
      <w:r w:rsidR="007570C3" w:rsidRPr="001227C8">
        <w:rPr>
          <w:rFonts w:ascii="Times New Roman" w:hAnsi="Times New Roman"/>
          <w:i/>
          <w:sz w:val="24"/>
        </w:rPr>
        <w:t>“</w:t>
      </w:r>
      <w:r w:rsidR="0001748F" w:rsidRPr="0001748F">
        <w:rPr>
          <w:rFonts w:ascii="Times New Roman" w:hAnsi="Times New Roman"/>
          <w:i/>
          <w:iCs/>
          <w:sz w:val="24"/>
        </w:rPr>
        <w:t xml:space="preserve">if </w:t>
      </w:r>
      <w:r w:rsidR="00F56DDA">
        <w:rPr>
          <w:rFonts w:ascii="Times New Roman" w:hAnsi="Times New Roman"/>
          <w:i/>
          <w:iCs/>
          <w:sz w:val="24"/>
        </w:rPr>
        <w:t>such</w:t>
      </w:r>
      <w:r w:rsidR="00000A8C">
        <w:rPr>
          <w:rFonts w:ascii="Times New Roman" w:hAnsi="Times New Roman"/>
          <w:i/>
          <w:iCs/>
          <w:sz w:val="24"/>
        </w:rPr>
        <w:t xml:space="preserve"> party</w:t>
      </w:r>
      <w:r w:rsidR="0001748F" w:rsidRPr="0001748F">
        <w:rPr>
          <w:rFonts w:ascii="Times New Roman" w:hAnsi="Times New Roman"/>
          <w:i/>
          <w:iCs/>
          <w:sz w:val="24"/>
        </w:rPr>
        <w:t xml:space="preserve"> intends to raise any question of law </w:t>
      </w:r>
      <w:r w:rsidR="00E9319D" w:rsidRPr="0001748F">
        <w:rPr>
          <w:rFonts w:ascii="Times New Roman" w:hAnsi="Times New Roman"/>
          <w:i/>
          <w:iCs/>
          <w:sz w:val="24"/>
        </w:rPr>
        <w:t>only,</w:t>
      </w:r>
      <w:r w:rsidR="0001748F" w:rsidRPr="0001748F">
        <w:rPr>
          <w:rFonts w:ascii="Times New Roman" w:hAnsi="Times New Roman"/>
          <w:i/>
          <w:iCs/>
          <w:sz w:val="24"/>
        </w:rPr>
        <w:t xml:space="preserve"> </w:t>
      </w:r>
      <w:r w:rsidR="00000A8C">
        <w:rPr>
          <w:rFonts w:ascii="Times New Roman" w:hAnsi="Times New Roman"/>
          <w:i/>
          <w:iCs/>
          <w:sz w:val="24"/>
        </w:rPr>
        <w:t xml:space="preserve">such </w:t>
      </w:r>
      <w:r w:rsidR="00F56DDA">
        <w:rPr>
          <w:rFonts w:ascii="Times New Roman" w:hAnsi="Times New Roman"/>
          <w:i/>
          <w:iCs/>
          <w:sz w:val="24"/>
        </w:rPr>
        <w:t>person</w:t>
      </w:r>
      <w:r w:rsidR="00000A8C">
        <w:rPr>
          <w:rFonts w:ascii="Times New Roman" w:hAnsi="Times New Roman"/>
          <w:i/>
          <w:iCs/>
          <w:sz w:val="24"/>
        </w:rPr>
        <w:t xml:space="preserve"> </w:t>
      </w:r>
      <w:r w:rsidR="00F56DDA">
        <w:rPr>
          <w:rFonts w:ascii="Times New Roman" w:hAnsi="Times New Roman"/>
          <w:i/>
          <w:iCs/>
          <w:sz w:val="24"/>
          <w:u w:val="single"/>
        </w:rPr>
        <w:t>must</w:t>
      </w:r>
      <w:r w:rsidR="0001748F" w:rsidRPr="0001748F">
        <w:rPr>
          <w:rFonts w:ascii="Times New Roman" w:hAnsi="Times New Roman"/>
          <w:i/>
          <w:iCs/>
          <w:sz w:val="24"/>
        </w:rPr>
        <w:t xml:space="preserve"> deliver notice of intention to do so, within the time stated in the preceding sub-paragraph, setting forth such question</w:t>
      </w:r>
      <w:r w:rsidR="0001748F" w:rsidRPr="001227C8">
        <w:rPr>
          <w:rFonts w:ascii="Times New Roman" w:hAnsi="Times New Roman"/>
          <w:i/>
          <w:sz w:val="24"/>
        </w:rPr>
        <w:t>”</w:t>
      </w:r>
      <w:r w:rsidR="005A0808">
        <w:rPr>
          <w:rFonts w:ascii="Times New Roman" w:hAnsi="Times New Roman"/>
          <w:sz w:val="24"/>
        </w:rPr>
        <w:t>.</w:t>
      </w:r>
      <w:r w:rsidR="00E9319D">
        <w:rPr>
          <w:rFonts w:ascii="Times New Roman" w:hAnsi="Times New Roman"/>
          <w:sz w:val="24"/>
        </w:rPr>
        <w:t xml:space="preserve"> </w:t>
      </w:r>
      <w:r w:rsidR="00EA12F1">
        <w:rPr>
          <w:rFonts w:ascii="Times New Roman" w:hAnsi="Times New Roman"/>
          <w:sz w:val="24"/>
        </w:rPr>
        <w:t>(</w:t>
      </w:r>
      <w:r w:rsidR="005A0808">
        <w:rPr>
          <w:rFonts w:ascii="Times New Roman" w:hAnsi="Times New Roman"/>
          <w:sz w:val="24"/>
        </w:rPr>
        <w:t>underling</w:t>
      </w:r>
      <w:r w:rsidR="00EA12F1">
        <w:rPr>
          <w:rFonts w:ascii="Times New Roman" w:hAnsi="Times New Roman"/>
          <w:sz w:val="24"/>
        </w:rPr>
        <w:t xml:space="preserve"> added).</w:t>
      </w:r>
      <w:r w:rsidR="007570C3">
        <w:rPr>
          <w:rFonts w:ascii="Times New Roman" w:hAnsi="Times New Roman"/>
          <w:sz w:val="24"/>
        </w:rPr>
        <w:t xml:space="preserve"> It is noted that the court as a repository of discretion may still allow such </w:t>
      </w:r>
      <w:r w:rsidR="00000A8C">
        <w:rPr>
          <w:rFonts w:ascii="Times New Roman" w:hAnsi="Times New Roman"/>
          <w:sz w:val="24"/>
        </w:rPr>
        <w:t xml:space="preserve">arguments </w:t>
      </w:r>
      <w:r w:rsidR="007570C3">
        <w:rPr>
          <w:rFonts w:ascii="Times New Roman" w:hAnsi="Times New Roman"/>
          <w:sz w:val="24"/>
        </w:rPr>
        <w:t xml:space="preserve">provided that the </w:t>
      </w:r>
      <w:r w:rsidR="00E9319D">
        <w:rPr>
          <w:rFonts w:ascii="Times New Roman" w:hAnsi="Times New Roman"/>
          <w:sz w:val="24"/>
        </w:rPr>
        <w:t xml:space="preserve">other </w:t>
      </w:r>
      <w:r w:rsidR="007570C3">
        <w:rPr>
          <w:rFonts w:ascii="Times New Roman" w:hAnsi="Times New Roman"/>
          <w:sz w:val="24"/>
        </w:rPr>
        <w:t>parties may not be prejudiced. In this case the applicant vigorously contended that the second respondent</w:t>
      </w:r>
      <w:r w:rsidR="00000A8C">
        <w:rPr>
          <w:rFonts w:ascii="Times New Roman" w:hAnsi="Times New Roman"/>
          <w:sz w:val="24"/>
        </w:rPr>
        <w:t>’s</w:t>
      </w:r>
      <w:r w:rsidR="007570C3">
        <w:rPr>
          <w:rFonts w:ascii="Times New Roman" w:hAnsi="Times New Roman"/>
          <w:sz w:val="24"/>
        </w:rPr>
        <w:t xml:space="preserve"> submission</w:t>
      </w:r>
      <w:r w:rsidR="00000A8C">
        <w:rPr>
          <w:rFonts w:ascii="Times New Roman" w:hAnsi="Times New Roman"/>
          <w:sz w:val="24"/>
        </w:rPr>
        <w:t>s</w:t>
      </w:r>
      <w:r w:rsidR="007570C3">
        <w:rPr>
          <w:rFonts w:ascii="Times New Roman" w:hAnsi="Times New Roman"/>
          <w:sz w:val="24"/>
        </w:rPr>
        <w:t xml:space="preserve"> should not be considered and no audience be accorded to its counsel. </w:t>
      </w:r>
      <w:r w:rsidR="00370D65">
        <w:rPr>
          <w:rFonts w:ascii="Times New Roman" w:hAnsi="Times New Roman"/>
          <w:sz w:val="24"/>
        </w:rPr>
        <w:t xml:space="preserve">Now that </w:t>
      </w:r>
      <w:r w:rsidR="007570C3">
        <w:rPr>
          <w:rFonts w:ascii="Times New Roman" w:hAnsi="Times New Roman"/>
          <w:sz w:val="24"/>
        </w:rPr>
        <w:t>second responde</w:t>
      </w:r>
      <w:r w:rsidR="00EA12F1">
        <w:rPr>
          <w:rFonts w:ascii="Times New Roman" w:hAnsi="Times New Roman"/>
          <w:sz w:val="24"/>
        </w:rPr>
        <w:t>n</w:t>
      </w:r>
      <w:r w:rsidR="007570C3">
        <w:rPr>
          <w:rFonts w:ascii="Times New Roman" w:hAnsi="Times New Roman"/>
          <w:sz w:val="24"/>
        </w:rPr>
        <w:t>t’s counsel ha</w:t>
      </w:r>
      <w:r w:rsidR="00370D65">
        <w:rPr>
          <w:rFonts w:ascii="Times New Roman" w:hAnsi="Times New Roman"/>
          <w:sz w:val="24"/>
        </w:rPr>
        <w:t>s</w:t>
      </w:r>
      <w:r w:rsidR="007570C3">
        <w:rPr>
          <w:rFonts w:ascii="Times New Roman" w:hAnsi="Times New Roman"/>
          <w:sz w:val="24"/>
        </w:rPr>
        <w:t xml:space="preserve"> not </w:t>
      </w:r>
      <w:r w:rsidR="00000A8C">
        <w:rPr>
          <w:rFonts w:ascii="Times New Roman" w:hAnsi="Times New Roman"/>
          <w:sz w:val="24"/>
        </w:rPr>
        <w:t xml:space="preserve">even </w:t>
      </w:r>
      <w:r w:rsidR="007570C3">
        <w:rPr>
          <w:rFonts w:ascii="Times New Roman" w:hAnsi="Times New Roman"/>
          <w:sz w:val="24"/>
        </w:rPr>
        <w:t>requested a postponement to file answering papers</w:t>
      </w:r>
      <w:r w:rsidR="00F56DDA">
        <w:rPr>
          <w:rFonts w:ascii="Times New Roman" w:hAnsi="Times New Roman"/>
          <w:sz w:val="24"/>
        </w:rPr>
        <w:t xml:space="preserve">, </w:t>
      </w:r>
      <w:r w:rsidR="007570C3">
        <w:rPr>
          <w:rFonts w:ascii="Times New Roman" w:hAnsi="Times New Roman"/>
          <w:sz w:val="24"/>
        </w:rPr>
        <w:t xml:space="preserve">the court is left with no option </w:t>
      </w:r>
      <w:r w:rsidR="005A0808">
        <w:rPr>
          <w:rFonts w:ascii="Times New Roman" w:hAnsi="Times New Roman"/>
          <w:sz w:val="24"/>
        </w:rPr>
        <w:t xml:space="preserve">but to </w:t>
      </w:r>
      <w:r w:rsidR="00EA12F1">
        <w:rPr>
          <w:rFonts w:ascii="Times New Roman" w:hAnsi="Times New Roman"/>
          <w:sz w:val="24"/>
        </w:rPr>
        <w:t xml:space="preserve">conclude that </w:t>
      </w:r>
      <w:r w:rsidR="007570C3">
        <w:rPr>
          <w:rFonts w:ascii="Times New Roman" w:hAnsi="Times New Roman"/>
          <w:sz w:val="24"/>
        </w:rPr>
        <w:t xml:space="preserve">second respondent is not entitled to </w:t>
      </w:r>
      <w:r w:rsidR="00370D65">
        <w:rPr>
          <w:rFonts w:ascii="Times New Roman" w:hAnsi="Times New Roman"/>
          <w:sz w:val="24"/>
        </w:rPr>
        <w:t xml:space="preserve">the </w:t>
      </w:r>
      <w:r w:rsidR="007570C3">
        <w:rPr>
          <w:rFonts w:ascii="Times New Roman" w:hAnsi="Times New Roman"/>
          <w:sz w:val="24"/>
        </w:rPr>
        <w:t xml:space="preserve">audience of the court and the heads of argument and summary thereof </w:t>
      </w:r>
      <w:r w:rsidR="00E9319D">
        <w:rPr>
          <w:rFonts w:ascii="Times New Roman" w:hAnsi="Times New Roman"/>
          <w:sz w:val="24"/>
        </w:rPr>
        <w:t>must b</w:t>
      </w:r>
      <w:r w:rsidR="007570C3">
        <w:rPr>
          <w:rFonts w:ascii="Times New Roman" w:hAnsi="Times New Roman"/>
          <w:sz w:val="24"/>
        </w:rPr>
        <w:t>e struck out with costs.</w:t>
      </w:r>
    </w:p>
    <w:p w14:paraId="01F1C554" w14:textId="7BA71653" w:rsidR="00FA6CEE" w:rsidRDefault="00FA6CEE" w:rsidP="00FA6CEE">
      <w:pPr>
        <w:pStyle w:val="ListParagraph"/>
        <w:tabs>
          <w:tab w:val="left" w:pos="540"/>
        </w:tabs>
        <w:spacing w:after="160" w:line="480" w:lineRule="auto"/>
        <w:ind w:left="0" w:right="1"/>
        <w:rPr>
          <w:rFonts w:ascii="Times New Roman" w:hAnsi="Times New Roman"/>
          <w:i/>
          <w:iCs/>
          <w:sz w:val="24"/>
        </w:rPr>
      </w:pPr>
    </w:p>
    <w:p w14:paraId="06A106AA" w14:textId="2CB84E4C" w:rsidR="003C5294" w:rsidRPr="00B25FCE" w:rsidRDefault="00370D65" w:rsidP="008A45E2">
      <w:pPr>
        <w:pStyle w:val="ListParagraph"/>
        <w:numPr>
          <w:ilvl w:val="0"/>
          <w:numId w:val="2"/>
        </w:numPr>
        <w:tabs>
          <w:tab w:val="left" w:pos="540"/>
        </w:tabs>
        <w:spacing w:after="160" w:line="480" w:lineRule="auto"/>
        <w:ind w:right="1"/>
        <w:rPr>
          <w:rFonts w:ascii="Times New Roman" w:hAnsi="Times New Roman"/>
          <w:i/>
          <w:iCs/>
          <w:sz w:val="24"/>
        </w:rPr>
      </w:pPr>
      <w:r w:rsidRPr="00B25FCE">
        <w:rPr>
          <w:rFonts w:ascii="Times New Roman" w:hAnsi="Times New Roman"/>
          <w:bCs/>
          <w:sz w:val="24"/>
        </w:rPr>
        <w:t xml:space="preserve">The second issue in dispute relates to the insistence </w:t>
      </w:r>
      <w:r w:rsidR="00000A8C" w:rsidRPr="00B25FCE">
        <w:rPr>
          <w:rFonts w:ascii="Times New Roman" w:hAnsi="Times New Roman"/>
          <w:bCs/>
          <w:sz w:val="24"/>
        </w:rPr>
        <w:t xml:space="preserve">that the court should award </w:t>
      </w:r>
      <w:r w:rsidRPr="00B25FCE">
        <w:rPr>
          <w:rFonts w:ascii="Times New Roman" w:hAnsi="Times New Roman"/>
          <w:bCs/>
          <w:sz w:val="24"/>
        </w:rPr>
        <w:t xml:space="preserve">legal costs in respect of Part A as the </w:t>
      </w:r>
      <w:r w:rsidR="0063460B" w:rsidRPr="00B25FCE">
        <w:rPr>
          <w:rFonts w:ascii="Times New Roman" w:hAnsi="Times New Roman"/>
          <w:bCs/>
          <w:sz w:val="24"/>
        </w:rPr>
        <w:t>applicant’s counsel submitted that the</w:t>
      </w:r>
      <w:r w:rsidR="00F967DD" w:rsidRPr="00B25FCE">
        <w:rPr>
          <w:rFonts w:ascii="Times New Roman" w:hAnsi="Times New Roman"/>
          <w:bCs/>
          <w:sz w:val="24"/>
        </w:rPr>
        <w:t xml:space="preserve"> applicant was compelled to</w:t>
      </w:r>
      <w:r w:rsidRPr="00B25FCE">
        <w:rPr>
          <w:rFonts w:ascii="Times New Roman" w:hAnsi="Times New Roman"/>
          <w:bCs/>
          <w:sz w:val="24"/>
        </w:rPr>
        <w:t xml:space="preserve"> bring an application </w:t>
      </w:r>
      <w:r w:rsidR="00F967DD" w:rsidRPr="00B25FCE">
        <w:rPr>
          <w:rFonts w:ascii="Times New Roman" w:hAnsi="Times New Roman"/>
          <w:bCs/>
          <w:sz w:val="24"/>
        </w:rPr>
        <w:t>seek</w:t>
      </w:r>
      <w:r w:rsidRPr="00B25FCE">
        <w:rPr>
          <w:rFonts w:ascii="Times New Roman" w:hAnsi="Times New Roman"/>
          <w:bCs/>
          <w:sz w:val="24"/>
        </w:rPr>
        <w:t>ing</w:t>
      </w:r>
      <w:r w:rsidR="00F967DD" w:rsidRPr="00B25FCE">
        <w:rPr>
          <w:rFonts w:ascii="Times New Roman" w:hAnsi="Times New Roman"/>
          <w:bCs/>
          <w:sz w:val="24"/>
        </w:rPr>
        <w:t xml:space="preserve"> an order as envisaged in </w:t>
      </w:r>
      <w:r w:rsidRPr="00B25FCE">
        <w:rPr>
          <w:rFonts w:ascii="Times New Roman" w:hAnsi="Times New Roman"/>
          <w:bCs/>
          <w:sz w:val="24"/>
        </w:rPr>
        <w:t>P</w:t>
      </w:r>
      <w:r w:rsidR="00F967DD" w:rsidRPr="00B25FCE">
        <w:rPr>
          <w:rFonts w:ascii="Times New Roman" w:hAnsi="Times New Roman"/>
          <w:bCs/>
          <w:sz w:val="24"/>
        </w:rPr>
        <w:t>art A</w:t>
      </w:r>
      <w:r w:rsidRPr="00B25FCE">
        <w:rPr>
          <w:rFonts w:ascii="Times New Roman" w:hAnsi="Times New Roman"/>
          <w:bCs/>
          <w:sz w:val="24"/>
        </w:rPr>
        <w:t>. The prayer</w:t>
      </w:r>
      <w:r w:rsidR="00000A8C" w:rsidRPr="00B25FCE">
        <w:rPr>
          <w:rFonts w:ascii="Times New Roman" w:hAnsi="Times New Roman"/>
          <w:bCs/>
          <w:sz w:val="24"/>
        </w:rPr>
        <w:t>s</w:t>
      </w:r>
      <w:r w:rsidRPr="00B25FCE">
        <w:rPr>
          <w:rFonts w:ascii="Times New Roman" w:hAnsi="Times New Roman"/>
          <w:bCs/>
          <w:sz w:val="24"/>
        </w:rPr>
        <w:t xml:space="preserve"> in Part A </w:t>
      </w:r>
      <w:r w:rsidR="0063460B" w:rsidRPr="00B25FCE">
        <w:rPr>
          <w:rFonts w:ascii="Times New Roman" w:hAnsi="Times New Roman"/>
          <w:bCs/>
          <w:sz w:val="24"/>
        </w:rPr>
        <w:t>w</w:t>
      </w:r>
      <w:r w:rsidR="00000A8C" w:rsidRPr="00B25FCE">
        <w:rPr>
          <w:rFonts w:ascii="Times New Roman" w:hAnsi="Times New Roman"/>
          <w:bCs/>
          <w:sz w:val="24"/>
        </w:rPr>
        <w:t>ere</w:t>
      </w:r>
      <w:r w:rsidR="0063460B" w:rsidRPr="00B25FCE">
        <w:rPr>
          <w:rFonts w:ascii="Times New Roman" w:hAnsi="Times New Roman"/>
          <w:bCs/>
          <w:sz w:val="24"/>
        </w:rPr>
        <w:t xml:space="preserve"> triggered by the first respondent who instead of providing the</w:t>
      </w:r>
      <w:r w:rsidRPr="00B25FCE">
        <w:rPr>
          <w:rFonts w:ascii="Times New Roman" w:hAnsi="Times New Roman"/>
          <w:bCs/>
          <w:sz w:val="24"/>
        </w:rPr>
        <w:t xml:space="preserve"> applicant with the </w:t>
      </w:r>
      <w:r w:rsidR="0063460B" w:rsidRPr="00B25FCE">
        <w:rPr>
          <w:rFonts w:ascii="Times New Roman" w:hAnsi="Times New Roman"/>
          <w:bCs/>
          <w:sz w:val="24"/>
        </w:rPr>
        <w:t xml:space="preserve">information requested in terms of </w:t>
      </w:r>
      <w:r w:rsidR="006933EA" w:rsidRPr="00B25FCE">
        <w:rPr>
          <w:rFonts w:ascii="Times New Roman" w:hAnsi="Times New Roman"/>
          <w:bCs/>
          <w:sz w:val="24"/>
        </w:rPr>
        <w:t xml:space="preserve">PAIA </w:t>
      </w:r>
      <w:r w:rsidR="003C5294" w:rsidRPr="00B25FCE">
        <w:rPr>
          <w:rFonts w:ascii="Times New Roman" w:hAnsi="Times New Roman"/>
          <w:bCs/>
          <w:sz w:val="24"/>
        </w:rPr>
        <w:t>responded that the reason</w:t>
      </w:r>
      <w:r w:rsidR="005A0808" w:rsidRPr="00B25FCE">
        <w:rPr>
          <w:rFonts w:ascii="Times New Roman" w:hAnsi="Times New Roman"/>
          <w:bCs/>
          <w:sz w:val="24"/>
        </w:rPr>
        <w:t>s</w:t>
      </w:r>
      <w:r w:rsidR="003C5294" w:rsidRPr="00B25FCE">
        <w:rPr>
          <w:rFonts w:ascii="Times New Roman" w:hAnsi="Times New Roman"/>
          <w:bCs/>
          <w:sz w:val="24"/>
        </w:rPr>
        <w:t xml:space="preserve"> which were provided </w:t>
      </w:r>
      <w:r w:rsidR="005A0808" w:rsidRPr="00B25FCE">
        <w:rPr>
          <w:rFonts w:ascii="Times New Roman" w:hAnsi="Times New Roman"/>
          <w:bCs/>
          <w:sz w:val="24"/>
        </w:rPr>
        <w:t xml:space="preserve">by the applicant </w:t>
      </w:r>
      <w:r w:rsidR="003C5294" w:rsidRPr="00B25FCE">
        <w:rPr>
          <w:rFonts w:ascii="Times New Roman" w:hAnsi="Times New Roman"/>
          <w:bCs/>
          <w:sz w:val="24"/>
        </w:rPr>
        <w:t xml:space="preserve">were </w:t>
      </w:r>
      <w:r w:rsidR="00E9319D" w:rsidRPr="00B25FCE">
        <w:rPr>
          <w:rFonts w:ascii="Times New Roman" w:hAnsi="Times New Roman"/>
          <w:bCs/>
          <w:sz w:val="24"/>
        </w:rPr>
        <w:t>in</w:t>
      </w:r>
      <w:r w:rsidR="003C5294" w:rsidRPr="00B25FCE">
        <w:rPr>
          <w:rFonts w:ascii="Times New Roman" w:hAnsi="Times New Roman"/>
          <w:bCs/>
          <w:sz w:val="24"/>
        </w:rPr>
        <w:t xml:space="preserve">sufficient and </w:t>
      </w:r>
      <w:r w:rsidRPr="00B25FCE">
        <w:rPr>
          <w:rFonts w:ascii="Times New Roman" w:hAnsi="Times New Roman"/>
          <w:bCs/>
          <w:sz w:val="24"/>
        </w:rPr>
        <w:t xml:space="preserve">stated further that </w:t>
      </w:r>
      <w:r w:rsidR="003C5294" w:rsidRPr="00B25FCE">
        <w:rPr>
          <w:rFonts w:ascii="Times New Roman" w:hAnsi="Times New Roman"/>
          <w:bCs/>
          <w:sz w:val="24"/>
        </w:rPr>
        <w:t>if the applicant is aggrieved then provisions of section 6 of PAJA may be invoked</w:t>
      </w:r>
      <w:r w:rsidR="00B25FCE">
        <w:rPr>
          <w:rFonts w:ascii="Times New Roman" w:hAnsi="Times New Roman"/>
          <w:bCs/>
          <w:sz w:val="24"/>
        </w:rPr>
        <w:t xml:space="preserve">. Anyway, so went the argument, </w:t>
      </w:r>
      <w:r w:rsidR="00000A8C" w:rsidRPr="00B25FCE">
        <w:rPr>
          <w:rFonts w:ascii="Times New Roman" w:hAnsi="Times New Roman"/>
          <w:bCs/>
          <w:sz w:val="24"/>
        </w:rPr>
        <w:t xml:space="preserve">the applicant should </w:t>
      </w:r>
      <w:r w:rsidR="00B25FCE">
        <w:rPr>
          <w:rFonts w:ascii="Times New Roman" w:hAnsi="Times New Roman"/>
          <w:bCs/>
          <w:sz w:val="24"/>
        </w:rPr>
        <w:t xml:space="preserve">have </w:t>
      </w:r>
      <w:r w:rsidR="00000A8C" w:rsidRPr="00B25FCE">
        <w:rPr>
          <w:rFonts w:ascii="Times New Roman" w:hAnsi="Times New Roman"/>
          <w:bCs/>
          <w:sz w:val="24"/>
        </w:rPr>
        <w:t>be</w:t>
      </w:r>
      <w:r w:rsidR="00B25FCE">
        <w:rPr>
          <w:rFonts w:ascii="Times New Roman" w:hAnsi="Times New Roman"/>
          <w:bCs/>
          <w:sz w:val="24"/>
        </w:rPr>
        <w:t>en</w:t>
      </w:r>
      <w:r w:rsidR="00000A8C" w:rsidRPr="00B25FCE">
        <w:rPr>
          <w:rFonts w:ascii="Times New Roman" w:hAnsi="Times New Roman"/>
          <w:bCs/>
          <w:sz w:val="24"/>
        </w:rPr>
        <w:t xml:space="preserve"> able t</w:t>
      </w:r>
      <w:r w:rsidR="00B25FCE">
        <w:rPr>
          <w:rFonts w:ascii="Times New Roman" w:hAnsi="Times New Roman"/>
          <w:bCs/>
          <w:sz w:val="24"/>
        </w:rPr>
        <w:t>o</w:t>
      </w:r>
      <w:r w:rsidR="00000A8C" w:rsidRPr="00B25FCE">
        <w:rPr>
          <w:rFonts w:ascii="Times New Roman" w:hAnsi="Times New Roman"/>
          <w:bCs/>
          <w:sz w:val="24"/>
        </w:rPr>
        <w:t xml:space="preserve"> challenge the award on the basis of the information already provided</w:t>
      </w:r>
      <w:r w:rsidR="00B25FCE">
        <w:rPr>
          <w:rFonts w:ascii="Times New Roman" w:hAnsi="Times New Roman"/>
          <w:bCs/>
          <w:sz w:val="24"/>
        </w:rPr>
        <w:t xml:space="preserve"> by the first respondent.</w:t>
      </w:r>
    </w:p>
    <w:p w14:paraId="508D381C" w14:textId="77777777" w:rsidR="00B25FCE" w:rsidRPr="00B25FCE" w:rsidRDefault="00B25FCE" w:rsidP="00B25FCE">
      <w:pPr>
        <w:pStyle w:val="ListParagraph"/>
        <w:rPr>
          <w:rFonts w:ascii="Times New Roman" w:hAnsi="Times New Roman"/>
          <w:i/>
          <w:iCs/>
          <w:sz w:val="24"/>
        </w:rPr>
      </w:pPr>
    </w:p>
    <w:p w14:paraId="04E6B5AE" w14:textId="2325A720" w:rsidR="00DC7EF8" w:rsidRPr="00DC7EF8" w:rsidRDefault="003C5294"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The</w:t>
      </w:r>
      <w:r w:rsidR="00777191">
        <w:rPr>
          <w:rFonts w:ascii="Times New Roman" w:hAnsi="Times New Roman"/>
          <w:sz w:val="24"/>
        </w:rPr>
        <w:t xml:space="preserve"> applicant</w:t>
      </w:r>
      <w:r>
        <w:rPr>
          <w:rFonts w:ascii="Times New Roman" w:hAnsi="Times New Roman"/>
          <w:sz w:val="24"/>
        </w:rPr>
        <w:t xml:space="preserve"> contended that the</w:t>
      </w:r>
      <w:r w:rsidR="0088443F">
        <w:rPr>
          <w:rFonts w:ascii="Times New Roman" w:hAnsi="Times New Roman"/>
          <w:sz w:val="24"/>
        </w:rPr>
        <w:t xml:space="preserve"> legal bases for the request of the documents were clearly set out in the letters sent to the first respondent which were </w:t>
      </w:r>
      <w:r w:rsidR="00DC7EF8">
        <w:rPr>
          <w:rFonts w:ascii="Times New Roman" w:hAnsi="Times New Roman"/>
          <w:sz w:val="24"/>
        </w:rPr>
        <w:t>subsequently elaborated on by the attorneys for the applicant</w:t>
      </w:r>
      <w:r w:rsidR="00B25FCE">
        <w:rPr>
          <w:rFonts w:ascii="Times New Roman" w:hAnsi="Times New Roman"/>
          <w:sz w:val="24"/>
        </w:rPr>
        <w:t xml:space="preserve">. Further that </w:t>
      </w:r>
      <w:r w:rsidR="00DC7EF8">
        <w:rPr>
          <w:rFonts w:ascii="Times New Roman" w:hAnsi="Times New Roman"/>
          <w:sz w:val="24"/>
        </w:rPr>
        <w:t xml:space="preserve">there were no valid reasons for the first </w:t>
      </w:r>
      <w:r w:rsidR="00DC7EF8">
        <w:rPr>
          <w:rFonts w:ascii="Times New Roman" w:hAnsi="Times New Roman"/>
          <w:sz w:val="24"/>
        </w:rPr>
        <w:lastRenderedPageBreak/>
        <w:t xml:space="preserve">respondent to refuse the request to make such documents available to the applicant.  In addition, the </w:t>
      </w:r>
      <w:r>
        <w:rPr>
          <w:rFonts w:ascii="Times New Roman" w:hAnsi="Times New Roman"/>
          <w:sz w:val="24"/>
        </w:rPr>
        <w:t xml:space="preserve">documents requested were not private documents and the first respondent did not need to seek consent from the second respondent </w:t>
      </w:r>
      <w:r w:rsidR="00DC7EF8">
        <w:rPr>
          <w:rFonts w:ascii="Times New Roman" w:hAnsi="Times New Roman"/>
          <w:sz w:val="24"/>
        </w:rPr>
        <w:t>for such documents to be made available</w:t>
      </w:r>
      <w:r w:rsidR="00B25FCE">
        <w:rPr>
          <w:rFonts w:ascii="Times New Roman" w:hAnsi="Times New Roman"/>
          <w:sz w:val="24"/>
        </w:rPr>
        <w:t>.</w:t>
      </w:r>
    </w:p>
    <w:p w14:paraId="21D47778" w14:textId="77777777" w:rsidR="00DC7EF8" w:rsidRPr="00DC7EF8" w:rsidRDefault="00DC7EF8" w:rsidP="00DC7EF8">
      <w:pPr>
        <w:pStyle w:val="ListParagraph"/>
        <w:rPr>
          <w:rFonts w:ascii="Times New Roman" w:hAnsi="Times New Roman"/>
          <w:sz w:val="24"/>
        </w:rPr>
      </w:pPr>
    </w:p>
    <w:p w14:paraId="289BD4B6" w14:textId="00CC3C02" w:rsidR="003C5294" w:rsidRPr="00CD1AA0" w:rsidRDefault="00282DFC"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In addition, so went the </w:t>
      </w:r>
      <w:r w:rsidR="00DC7EF8">
        <w:rPr>
          <w:rFonts w:ascii="Times New Roman" w:hAnsi="Times New Roman"/>
          <w:sz w:val="24"/>
        </w:rPr>
        <w:t xml:space="preserve">applicant’s </w:t>
      </w:r>
      <w:r>
        <w:rPr>
          <w:rFonts w:ascii="Times New Roman" w:hAnsi="Times New Roman"/>
          <w:sz w:val="24"/>
        </w:rPr>
        <w:t xml:space="preserve">argument, </w:t>
      </w:r>
      <w:r w:rsidR="00DC7EF8">
        <w:rPr>
          <w:rFonts w:ascii="Times New Roman" w:hAnsi="Times New Roman"/>
          <w:sz w:val="24"/>
        </w:rPr>
        <w:t>if the c</w:t>
      </w:r>
      <w:r w:rsidR="00000A8C">
        <w:rPr>
          <w:rFonts w:ascii="Times New Roman" w:hAnsi="Times New Roman"/>
          <w:sz w:val="24"/>
        </w:rPr>
        <w:t>o</w:t>
      </w:r>
      <w:r w:rsidR="00DC7EF8">
        <w:rPr>
          <w:rFonts w:ascii="Times New Roman" w:hAnsi="Times New Roman"/>
          <w:sz w:val="24"/>
        </w:rPr>
        <w:t xml:space="preserve">urt accepts the defence by the first respondent that the applicant should have exhausted the internal remedies it must be noted that </w:t>
      </w:r>
      <w:r>
        <w:rPr>
          <w:rFonts w:ascii="Times New Roman" w:hAnsi="Times New Roman"/>
          <w:sz w:val="24"/>
        </w:rPr>
        <w:t xml:space="preserve">there were attempts to exhaust </w:t>
      </w:r>
      <w:r w:rsidR="00DC7EF8">
        <w:rPr>
          <w:rFonts w:ascii="Times New Roman" w:hAnsi="Times New Roman"/>
          <w:sz w:val="24"/>
        </w:rPr>
        <w:t xml:space="preserve">the said </w:t>
      </w:r>
      <w:r>
        <w:rPr>
          <w:rFonts w:ascii="Times New Roman" w:hAnsi="Times New Roman"/>
          <w:sz w:val="24"/>
        </w:rPr>
        <w:t>internal remed</w:t>
      </w:r>
      <w:r w:rsidR="00DC7EF8">
        <w:rPr>
          <w:rFonts w:ascii="Times New Roman" w:hAnsi="Times New Roman"/>
          <w:sz w:val="24"/>
        </w:rPr>
        <w:t>ies</w:t>
      </w:r>
      <w:r>
        <w:rPr>
          <w:rFonts w:ascii="Times New Roman" w:hAnsi="Times New Roman"/>
          <w:sz w:val="24"/>
        </w:rPr>
        <w:t xml:space="preserve"> but sa</w:t>
      </w:r>
      <w:r w:rsidR="00C60F42">
        <w:rPr>
          <w:rFonts w:ascii="Times New Roman" w:hAnsi="Times New Roman"/>
          <w:sz w:val="24"/>
        </w:rPr>
        <w:t>m</w:t>
      </w:r>
      <w:r>
        <w:rPr>
          <w:rFonts w:ascii="Times New Roman" w:hAnsi="Times New Roman"/>
          <w:sz w:val="24"/>
        </w:rPr>
        <w:t>e could not be done</w:t>
      </w:r>
      <w:r w:rsidR="00C60F42">
        <w:rPr>
          <w:rFonts w:ascii="Times New Roman" w:hAnsi="Times New Roman"/>
          <w:sz w:val="24"/>
        </w:rPr>
        <w:t xml:space="preserve"> and </w:t>
      </w:r>
      <w:r>
        <w:rPr>
          <w:rFonts w:ascii="Times New Roman" w:hAnsi="Times New Roman"/>
          <w:sz w:val="24"/>
        </w:rPr>
        <w:t>what was left</w:t>
      </w:r>
      <w:r w:rsidR="00DC7EF8">
        <w:rPr>
          <w:rFonts w:ascii="Times New Roman" w:hAnsi="Times New Roman"/>
          <w:sz w:val="24"/>
        </w:rPr>
        <w:t xml:space="preserve"> for the applicant </w:t>
      </w:r>
      <w:r>
        <w:rPr>
          <w:rFonts w:ascii="Times New Roman" w:hAnsi="Times New Roman"/>
          <w:sz w:val="24"/>
        </w:rPr>
        <w:t>was to approach the court. The relief from court would have in any event provide</w:t>
      </w:r>
      <w:r w:rsidR="00F56DDA">
        <w:rPr>
          <w:rFonts w:ascii="Times New Roman" w:hAnsi="Times New Roman"/>
          <w:sz w:val="24"/>
        </w:rPr>
        <w:t>d</w:t>
      </w:r>
      <w:r>
        <w:rPr>
          <w:rFonts w:ascii="Times New Roman" w:hAnsi="Times New Roman"/>
          <w:sz w:val="24"/>
        </w:rPr>
        <w:t xml:space="preserve"> a proper re</w:t>
      </w:r>
      <w:r w:rsidR="00C60F42">
        <w:rPr>
          <w:rFonts w:ascii="Times New Roman" w:hAnsi="Times New Roman"/>
          <w:sz w:val="24"/>
        </w:rPr>
        <w:t>dress</w:t>
      </w:r>
      <w:r>
        <w:rPr>
          <w:rFonts w:ascii="Times New Roman" w:hAnsi="Times New Roman"/>
          <w:sz w:val="24"/>
        </w:rPr>
        <w:t xml:space="preserve"> unlike exhausting internal remed</w:t>
      </w:r>
      <w:r w:rsidR="00DC7EF8">
        <w:rPr>
          <w:rFonts w:ascii="Times New Roman" w:hAnsi="Times New Roman"/>
          <w:sz w:val="24"/>
        </w:rPr>
        <w:t>ies</w:t>
      </w:r>
      <w:r>
        <w:rPr>
          <w:rFonts w:ascii="Times New Roman" w:hAnsi="Times New Roman"/>
          <w:sz w:val="24"/>
        </w:rPr>
        <w:t>. In the alternative the court is requested to grant condonation for non-compliance with the PAIA.</w:t>
      </w:r>
    </w:p>
    <w:p w14:paraId="690598C4" w14:textId="53AB991C" w:rsidR="00CD1AA0" w:rsidRPr="00E31BA4" w:rsidRDefault="00CD1AA0" w:rsidP="00CD1AA0">
      <w:pPr>
        <w:pStyle w:val="ListParagraph"/>
        <w:tabs>
          <w:tab w:val="left" w:pos="540"/>
        </w:tabs>
        <w:spacing w:after="160" w:line="480" w:lineRule="auto"/>
        <w:ind w:left="0" w:right="1"/>
        <w:rPr>
          <w:rFonts w:ascii="Times New Roman" w:hAnsi="Times New Roman"/>
          <w:i/>
          <w:iCs/>
          <w:sz w:val="24"/>
        </w:rPr>
      </w:pPr>
    </w:p>
    <w:p w14:paraId="11186B17" w14:textId="2216C126" w:rsidR="00E80E1A" w:rsidRPr="00E31BA4" w:rsidRDefault="00E80E1A" w:rsidP="00E80E1A">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The counsel for </w:t>
      </w:r>
      <w:r w:rsidR="00B25FCE">
        <w:rPr>
          <w:rFonts w:ascii="Times New Roman" w:hAnsi="Times New Roman"/>
          <w:sz w:val="24"/>
        </w:rPr>
        <w:t xml:space="preserve">the </w:t>
      </w:r>
      <w:r w:rsidRPr="00E31BA4">
        <w:rPr>
          <w:rFonts w:ascii="Times New Roman" w:hAnsi="Times New Roman"/>
          <w:sz w:val="24"/>
        </w:rPr>
        <w:t xml:space="preserve">first respondent </w:t>
      </w:r>
      <w:r w:rsidR="00DC7EF8">
        <w:rPr>
          <w:rFonts w:ascii="Times New Roman" w:hAnsi="Times New Roman"/>
          <w:sz w:val="24"/>
        </w:rPr>
        <w:t xml:space="preserve">in response </w:t>
      </w:r>
      <w:r w:rsidRPr="00E31BA4">
        <w:rPr>
          <w:rFonts w:ascii="Times New Roman" w:hAnsi="Times New Roman"/>
          <w:sz w:val="24"/>
        </w:rPr>
        <w:t>contended that the applica</w:t>
      </w:r>
      <w:r w:rsidR="001C045A">
        <w:rPr>
          <w:rFonts w:ascii="Times New Roman" w:hAnsi="Times New Roman"/>
          <w:sz w:val="24"/>
        </w:rPr>
        <w:t>nt</w:t>
      </w:r>
      <w:r w:rsidRPr="00E31BA4">
        <w:rPr>
          <w:rFonts w:ascii="Times New Roman" w:hAnsi="Times New Roman"/>
          <w:sz w:val="24"/>
        </w:rPr>
        <w:t xml:space="preserve"> failed to appreciate the distinction between request for reasons </w:t>
      </w:r>
      <w:r w:rsidR="00E11C7B">
        <w:rPr>
          <w:rFonts w:ascii="Times New Roman" w:hAnsi="Times New Roman"/>
          <w:sz w:val="24"/>
        </w:rPr>
        <w:t xml:space="preserve">for the decision </w:t>
      </w:r>
      <w:r w:rsidRPr="00E31BA4">
        <w:rPr>
          <w:rFonts w:ascii="Times New Roman" w:hAnsi="Times New Roman"/>
          <w:sz w:val="24"/>
        </w:rPr>
        <w:t xml:space="preserve">versus </w:t>
      </w:r>
      <w:r w:rsidR="00E11C7B">
        <w:rPr>
          <w:rFonts w:ascii="Times New Roman" w:hAnsi="Times New Roman"/>
          <w:sz w:val="24"/>
        </w:rPr>
        <w:t>record of the decision</w:t>
      </w:r>
      <w:r w:rsidRPr="00E31BA4">
        <w:rPr>
          <w:rFonts w:ascii="Times New Roman" w:hAnsi="Times New Roman"/>
          <w:sz w:val="24"/>
        </w:rPr>
        <w:t>. In terms of the correspondence between the parties the applicant commenced by stating that it object</w:t>
      </w:r>
      <w:r w:rsidR="00C60F42">
        <w:rPr>
          <w:rFonts w:ascii="Times New Roman" w:hAnsi="Times New Roman"/>
          <w:sz w:val="24"/>
        </w:rPr>
        <w:t>s</w:t>
      </w:r>
      <w:r w:rsidRPr="00E31BA4">
        <w:rPr>
          <w:rFonts w:ascii="Times New Roman" w:hAnsi="Times New Roman"/>
          <w:sz w:val="24"/>
        </w:rPr>
        <w:t xml:space="preserve"> to the rejection of its bid and </w:t>
      </w:r>
      <w:r w:rsidR="00C60F42">
        <w:rPr>
          <w:rFonts w:ascii="Times New Roman" w:hAnsi="Times New Roman"/>
          <w:sz w:val="24"/>
        </w:rPr>
        <w:t xml:space="preserve">also </w:t>
      </w:r>
      <w:r w:rsidRPr="00E31BA4">
        <w:rPr>
          <w:rFonts w:ascii="Times New Roman" w:hAnsi="Times New Roman"/>
          <w:sz w:val="24"/>
        </w:rPr>
        <w:t>requested reason</w:t>
      </w:r>
      <w:r>
        <w:rPr>
          <w:rFonts w:ascii="Times New Roman" w:hAnsi="Times New Roman"/>
          <w:sz w:val="24"/>
        </w:rPr>
        <w:t>s</w:t>
      </w:r>
      <w:r w:rsidRPr="00E31BA4">
        <w:rPr>
          <w:rFonts w:ascii="Times New Roman" w:hAnsi="Times New Roman"/>
          <w:sz w:val="24"/>
        </w:rPr>
        <w:t xml:space="preserve"> why </w:t>
      </w:r>
      <w:r w:rsidR="00C60F42">
        <w:rPr>
          <w:rFonts w:ascii="Times New Roman" w:hAnsi="Times New Roman"/>
          <w:sz w:val="24"/>
        </w:rPr>
        <w:t xml:space="preserve">its bid </w:t>
      </w:r>
      <w:r w:rsidRPr="00E31BA4">
        <w:rPr>
          <w:rFonts w:ascii="Times New Roman" w:hAnsi="Times New Roman"/>
          <w:sz w:val="24"/>
        </w:rPr>
        <w:t>was rejected and the details of the documents which were considered to award</w:t>
      </w:r>
      <w:r>
        <w:rPr>
          <w:rFonts w:ascii="Times New Roman" w:hAnsi="Times New Roman"/>
          <w:sz w:val="24"/>
        </w:rPr>
        <w:t xml:space="preserve"> </w:t>
      </w:r>
      <w:r w:rsidR="00C60F42">
        <w:rPr>
          <w:rFonts w:ascii="Times New Roman" w:hAnsi="Times New Roman"/>
          <w:sz w:val="24"/>
        </w:rPr>
        <w:t xml:space="preserve">the bid </w:t>
      </w:r>
      <w:r>
        <w:rPr>
          <w:rFonts w:ascii="Times New Roman" w:hAnsi="Times New Roman"/>
          <w:sz w:val="24"/>
        </w:rPr>
        <w:t>to the second respondent</w:t>
      </w:r>
      <w:r w:rsidRPr="00E31BA4">
        <w:rPr>
          <w:rFonts w:ascii="Times New Roman" w:hAnsi="Times New Roman"/>
          <w:sz w:val="24"/>
        </w:rPr>
        <w:t xml:space="preserve">. In this regard the </w:t>
      </w:r>
      <w:r w:rsidR="00C60F42">
        <w:rPr>
          <w:rFonts w:ascii="Times New Roman" w:hAnsi="Times New Roman"/>
          <w:sz w:val="24"/>
        </w:rPr>
        <w:t xml:space="preserve">first </w:t>
      </w:r>
      <w:r w:rsidRPr="00E31BA4">
        <w:rPr>
          <w:rFonts w:ascii="Times New Roman" w:hAnsi="Times New Roman"/>
          <w:sz w:val="24"/>
        </w:rPr>
        <w:t>respondent prepared a reply and first explained the process from the receipt of the bids until an award is made. That</w:t>
      </w:r>
      <w:r w:rsidR="00B25FCE">
        <w:rPr>
          <w:rFonts w:ascii="Times New Roman" w:hAnsi="Times New Roman"/>
          <w:sz w:val="24"/>
        </w:rPr>
        <w:t>,</w:t>
      </w:r>
      <w:r w:rsidRPr="00E31BA4">
        <w:rPr>
          <w:rFonts w:ascii="Times New Roman" w:hAnsi="Times New Roman"/>
          <w:sz w:val="24"/>
        </w:rPr>
        <w:t xml:space="preserve"> in this case</w:t>
      </w:r>
      <w:r w:rsidR="00B25FCE">
        <w:rPr>
          <w:rFonts w:ascii="Times New Roman" w:hAnsi="Times New Roman"/>
          <w:sz w:val="24"/>
        </w:rPr>
        <w:t>,</w:t>
      </w:r>
      <w:r w:rsidRPr="00E31BA4">
        <w:rPr>
          <w:rFonts w:ascii="Times New Roman" w:hAnsi="Times New Roman"/>
          <w:sz w:val="24"/>
        </w:rPr>
        <w:t xml:space="preserve"> the </w:t>
      </w:r>
      <w:r w:rsidR="00B25FCE">
        <w:rPr>
          <w:rFonts w:ascii="Times New Roman" w:hAnsi="Times New Roman"/>
          <w:sz w:val="24"/>
        </w:rPr>
        <w:t xml:space="preserve">complete </w:t>
      </w:r>
      <w:r w:rsidRPr="00E31BA4">
        <w:rPr>
          <w:rFonts w:ascii="Times New Roman" w:hAnsi="Times New Roman"/>
          <w:sz w:val="24"/>
        </w:rPr>
        <w:t>process was undertaken and the second respondent</w:t>
      </w:r>
      <w:r w:rsidR="00C60F42">
        <w:rPr>
          <w:rFonts w:ascii="Times New Roman" w:hAnsi="Times New Roman"/>
          <w:sz w:val="24"/>
        </w:rPr>
        <w:t xml:space="preserve">’s </w:t>
      </w:r>
      <w:r w:rsidRPr="00E31BA4">
        <w:rPr>
          <w:rFonts w:ascii="Times New Roman" w:hAnsi="Times New Roman"/>
          <w:sz w:val="24"/>
        </w:rPr>
        <w:t>bid was the lowest.</w:t>
      </w:r>
    </w:p>
    <w:p w14:paraId="70D0F9AA" w14:textId="77777777" w:rsidR="00E80E1A" w:rsidRPr="00E31BA4" w:rsidRDefault="00E80E1A" w:rsidP="00E80E1A">
      <w:pPr>
        <w:pStyle w:val="ListParagraph"/>
        <w:rPr>
          <w:rFonts w:ascii="Times New Roman" w:hAnsi="Times New Roman"/>
          <w:sz w:val="24"/>
        </w:rPr>
      </w:pPr>
    </w:p>
    <w:p w14:paraId="26CAF4B7" w14:textId="48C9BD5F" w:rsidR="00282DFC" w:rsidRPr="00282DFC" w:rsidRDefault="0025359F" w:rsidP="00E80E1A">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w:t>
      </w:r>
      <w:r w:rsidR="00E80E1A">
        <w:rPr>
          <w:rFonts w:ascii="Times New Roman" w:hAnsi="Times New Roman"/>
          <w:sz w:val="24"/>
        </w:rPr>
        <w:t xml:space="preserve">he counsel for the </w:t>
      </w:r>
      <w:r w:rsidR="00CD1AA0">
        <w:rPr>
          <w:rFonts w:ascii="Times New Roman" w:hAnsi="Times New Roman"/>
          <w:sz w:val="24"/>
        </w:rPr>
        <w:t xml:space="preserve">first </w:t>
      </w:r>
      <w:r w:rsidR="00E80E1A">
        <w:rPr>
          <w:rFonts w:ascii="Times New Roman" w:hAnsi="Times New Roman"/>
          <w:sz w:val="24"/>
        </w:rPr>
        <w:t xml:space="preserve">respondent </w:t>
      </w:r>
      <w:r w:rsidR="00B25FCE">
        <w:rPr>
          <w:rFonts w:ascii="Times New Roman" w:hAnsi="Times New Roman"/>
          <w:sz w:val="24"/>
        </w:rPr>
        <w:t xml:space="preserve">averred that </w:t>
      </w:r>
      <w:r w:rsidR="00E80E1A" w:rsidRPr="00E31BA4">
        <w:rPr>
          <w:rFonts w:ascii="Times New Roman" w:hAnsi="Times New Roman"/>
          <w:sz w:val="24"/>
        </w:rPr>
        <w:t xml:space="preserve">the applicant </w:t>
      </w:r>
      <w:r w:rsidR="00B25FCE">
        <w:rPr>
          <w:rFonts w:ascii="Times New Roman" w:hAnsi="Times New Roman"/>
          <w:sz w:val="24"/>
        </w:rPr>
        <w:t xml:space="preserve">did </w:t>
      </w:r>
      <w:r w:rsidR="00E80E1A" w:rsidRPr="00E31BA4">
        <w:rPr>
          <w:rFonts w:ascii="Times New Roman" w:hAnsi="Times New Roman"/>
          <w:sz w:val="24"/>
        </w:rPr>
        <w:t>subsequently submit request for information in terms of P</w:t>
      </w:r>
      <w:r w:rsidR="00E80E1A">
        <w:rPr>
          <w:rFonts w:ascii="Times New Roman" w:hAnsi="Times New Roman"/>
          <w:sz w:val="24"/>
        </w:rPr>
        <w:t>AIA</w:t>
      </w:r>
      <w:r w:rsidR="00B25FCE">
        <w:rPr>
          <w:rFonts w:ascii="Times New Roman" w:hAnsi="Times New Roman"/>
          <w:sz w:val="24"/>
        </w:rPr>
        <w:t xml:space="preserve"> but failed to </w:t>
      </w:r>
      <w:r w:rsidR="00E80E1A" w:rsidRPr="00E31BA4">
        <w:rPr>
          <w:rFonts w:ascii="Times New Roman" w:hAnsi="Times New Roman"/>
          <w:sz w:val="24"/>
        </w:rPr>
        <w:t>exhaust internal remed</w:t>
      </w:r>
      <w:r w:rsidR="00CD1AA0">
        <w:rPr>
          <w:rFonts w:ascii="Times New Roman" w:hAnsi="Times New Roman"/>
          <w:sz w:val="24"/>
        </w:rPr>
        <w:t>ies</w:t>
      </w:r>
      <w:r w:rsidR="00E80E1A" w:rsidRPr="00E31BA4">
        <w:rPr>
          <w:rFonts w:ascii="Times New Roman" w:hAnsi="Times New Roman"/>
          <w:sz w:val="24"/>
        </w:rPr>
        <w:t xml:space="preserve"> </w:t>
      </w:r>
      <w:r w:rsidR="00B25FCE" w:rsidRPr="00E31BA4">
        <w:rPr>
          <w:rFonts w:ascii="Times New Roman" w:hAnsi="Times New Roman"/>
          <w:sz w:val="24"/>
        </w:rPr>
        <w:t>as envisaged in terms of section 7</w:t>
      </w:r>
      <w:r w:rsidR="00B25FCE">
        <w:rPr>
          <w:rFonts w:ascii="Times New Roman" w:hAnsi="Times New Roman"/>
          <w:sz w:val="24"/>
        </w:rPr>
        <w:t>4</w:t>
      </w:r>
      <w:r w:rsidR="00B25FCE" w:rsidRPr="00E31BA4">
        <w:rPr>
          <w:rFonts w:ascii="Times New Roman" w:hAnsi="Times New Roman"/>
          <w:sz w:val="24"/>
        </w:rPr>
        <w:t xml:space="preserve"> of PAIA </w:t>
      </w:r>
      <w:r w:rsidR="00E80E1A" w:rsidRPr="00E31BA4">
        <w:rPr>
          <w:rFonts w:ascii="Times New Roman" w:hAnsi="Times New Roman"/>
          <w:sz w:val="24"/>
        </w:rPr>
        <w:t xml:space="preserve">pursuant to the </w:t>
      </w:r>
      <w:r w:rsidR="00C93CD4">
        <w:rPr>
          <w:rFonts w:ascii="Times New Roman" w:hAnsi="Times New Roman"/>
          <w:sz w:val="24"/>
        </w:rPr>
        <w:t>first</w:t>
      </w:r>
      <w:r w:rsidR="00E80E1A" w:rsidRPr="00E31BA4">
        <w:rPr>
          <w:rFonts w:ascii="Times New Roman" w:hAnsi="Times New Roman"/>
          <w:sz w:val="24"/>
        </w:rPr>
        <w:t xml:space="preserve"> respondent </w:t>
      </w:r>
      <w:r w:rsidR="00000A8C">
        <w:rPr>
          <w:rFonts w:ascii="Times New Roman" w:hAnsi="Times New Roman"/>
          <w:sz w:val="24"/>
        </w:rPr>
        <w:t xml:space="preserve">refusing to </w:t>
      </w:r>
      <w:r w:rsidR="00000A8C">
        <w:rPr>
          <w:rFonts w:ascii="Times New Roman" w:hAnsi="Times New Roman"/>
          <w:sz w:val="24"/>
        </w:rPr>
        <w:lastRenderedPageBreak/>
        <w:t xml:space="preserve">avail </w:t>
      </w:r>
      <w:r w:rsidR="00E80E1A" w:rsidRPr="00E31BA4">
        <w:rPr>
          <w:rFonts w:ascii="Times New Roman" w:hAnsi="Times New Roman"/>
          <w:sz w:val="24"/>
        </w:rPr>
        <w:t xml:space="preserve">the </w:t>
      </w:r>
      <w:r w:rsidR="00B25FCE">
        <w:rPr>
          <w:rFonts w:ascii="Times New Roman" w:hAnsi="Times New Roman"/>
          <w:sz w:val="24"/>
        </w:rPr>
        <w:t xml:space="preserve">requested </w:t>
      </w:r>
      <w:r w:rsidR="00E80E1A" w:rsidRPr="00E31BA4">
        <w:rPr>
          <w:rFonts w:ascii="Times New Roman" w:hAnsi="Times New Roman"/>
          <w:sz w:val="24"/>
        </w:rPr>
        <w:t xml:space="preserve">documents.  </w:t>
      </w:r>
      <w:r w:rsidR="00282DFC">
        <w:rPr>
          <w:rFonts w:ascii="Times New Roman" w:hAnsi="Times New Roman"/>
          <w:sz w:val="24"/>
        </w:rPr>
        <w:t>The information requested by the applicant cannot be classified as the reasons for the decision taken by the first respondent</w:t>
      </w:r>
      <w:r w:rsidR="00C93CD4">
        <w:rPr>
          <w:rFonts w:ascii="Times New Roman" w:hAnsi="Times New Roman"/>
          <w:sz w:val="24"/>
        </w:rPr>
        <w:t xml:space="preserve"> </w:t>
      </w:r>
      <w:r w:rsidR="009E01D5">
        <w:rPr>
          <w:rFonts w:ascii="Times New Roman" w:hAnsi="Times New Roman"/>
          <w:sz w:val="24"/>
        </w:rPr>
        <w:t xml:space="preserve">as </w:t>
      </w:r>
      <w:r w:rsidR="00C93CD4">
        <w:rPr>
          <w:rFonts w:ascii="Times New Roman" w:hAnsi="Times New Roman"/>
          <w:sz w:val="24"/>
        </w:rPr>
        <w:t>such information is the record of decision</w:t>
      </w:r>
      <w:r w:rsidR="00282DFC">
        <w:rPr>
          <w:rFonts w:ascii="Times New Roman" w:hAnsi="Times New Roman"/>
          <w:sz w:val="24"/>
        </w:rPr>
        <w:t xml:space="preserve">. </w:t>
      </w:r>
      <w:r w:rsidR="00E2003F">
        <w:rPr>
          <w:rFonts w:ascii="Times New Roman" w:hAnsi="Times New Roman"/>
          <w:sz w:val="24"/>
        </w:rPr>
        <w:t>T</w:t>
      </w:r>
      <w:r w:rsidR="00282DFC">
        <w:rPr>
          <w:rFonts w:ascii="Times New Roman" w:hAnsi="Times New Roman"/>
          <w:sz w:val="24"/>
        </w:rPr>
        <w:t>he reason</w:t>
      </w:r>
      <w:r w:rsidR="00C93CD4">
        <w:rPr>
          <w:rFonts w:ascii="Times New Roman" w:hAnsi="Times New Roman"/>
          <w:sz w:val="24"/>
        </w:rPr>
        <w:t>s</w:t>
      </w:r>
      <w:r w:rsidR="00282DFC">
        <w:rPr>
          <w:rFonts w:ascii="Times New Roman" w:hAnsi="Times New Roman"/>
          <w:sz w:val="24"/>
        </w:rPr>
        <w:t xml:space="preserve"> for the decision having already been provided by </w:t>
      </w:r>
      <w:r w:rsidR="00C93CD4">
        <w:rPr>
          <w:rFonts w:ascii="Times New Roman" w:hAnsi="Times New Roman"/>
          <w:sz w:val="24"/>
        </w:rPr>
        <w:t xml:space="preserve">the first </w:t>
      </w:r>
      <w:r w:rsidR="00282DFC">
        <w:rPr>
          <w:rFonts w:ascii="Times New Roman" w:hAnsi="Times New Roman"/>
          <w:sz w:val="24"/>
        </w:rPr>
        <w:t xml:space="preserve">respondent in reply under the letter dated </w:t>
      </w:r>
      <w:r w:rsidR="00C93CD4">
        <w:rPr>
          <w:rFonts w:ascii="Times New Roman" w:hAnsi="Times New Roman"/>
          <w:sz w:val="24"/>
        </w:rPr>
        <w:t>1 April 2021</w:t>
      </w:r>
      <w:r w:rsidR="00282DFC">
        <w:rPr>
          <w:rFonts w:ascii="Times New Roman" w:hAnsi="Times New Roman"/>
          <w:sz w:val="24"/>
        </w:rPr>
        <w:t xml:space="preserve"> when the </w:t>
      </w:r>
      <w:r w:rsidR="00E2003F">
        <w:rPr>
          <w:rFonts w:ascii="Times New Roman" w:hAnsi="Times New Roman"/>
          <w:sz w:val="24"/>
        </w:rPr>
        <w:t>first</w:t>
      </w:r>
      <w:r w:rsidR="00282DFC">
        <w:rPr>
          <w:rFonts w:ascii="Times New Roman" w:hAnsi="Times New Roman"/>
          <w:sz w:val="24"/>
        </w:rPr>
        <w:t xml:space="preserve"> respondent explained the process and provided scorecards and minutes of the committees. The l</w:t>
      </w:r>
      <w:r w:rsidR="00C93CD4">
        <w:rPr>
          <w:rFonts w:ascii="Times New Roman" w:hAnsi="Times New Roman"/>
          <w:sz w:val="24"/>
        </w:rPr>
        <w:t>a</w:t>
      </w:r>
      <w:r w:rsidR="00DC7EF8">
        <w:rPr>
          <w:rFonts w:ascii="Times New Roman" w:hAnsi="Times New Roman"/>
          <w:sz w:val="24"/>
        </w:rPr>
        <w:t>t</w:t>
      </w:r>
      <w:r w:rsidR="00C93CD4">
        <w:rPr>
          <w:rFonts w:ascii="Times New Roman" w:hAnsi="Times New Roman"/>
          <w:sz w:val="24"/>
        </w:rPr>
        <w:t>ter</w:t>
      </w:r>
      <w:r w:rsidR="00282DFC">
        <w:rPr>
          <w:rFonts w:ascii="Times New Roman" w:hAnsi="Times New Roman"/>
          <w:sz w:val="24"/>
        </w:rPr>
        <w:t xml:space="preserve"> documents were not part of the reasons </w:t>
      </w:r>
      <w:r w:rsidR="00E2003F">
        <w:rPr>
          <w:rFonts w:ascii="Times New Roman" w:hAnsi="Times New Roman"/>
          <w:sz w:val="24"/>
        </w:rPr>
        <w:t>b</w:t>
      </w:r>
      <w:r w:rsidR="00282DFC">
        <w:rPr>
          <w:rFonts w:ascii="Times New Roman" w:hAnsi="Times New Roman"/>
          <w:sz w:val="24"/>
        </w:rPr>
        <w:t>ut were just provided to the applicant.</w:t>
      </w:r>
      <w:r w:rsidR="00E2003F">
        <w:rPr>
          <w:rFonts w:ascii="Times New Roman" w:hAnsi="Times New Roman"/>
          <w:sz w:val="24"/>
        </w:rPr>
        <w:t xml:space="preserve"> If the applicant </w:t>
      </w:r>
      <w:r w:rsidR="00CD1AA0">
        <w:rPr>
          <w:rFonts w:ascii="Times New Roman" w:hAnsi="Times New Roman"/>
          <w:sz w:val="24"/>
        </w:rPr>
        <w:t xml:space="preserve">required the </w:t>
      </w:r>
      <w:r w:rsidR="00E2003F">
        <w:rPr>
          <w:rFonts w:ascii="Times New Roman" w:hAnsi="Times New Roman"/>
          <w:sz w:val="24"/>
        </w:rPr>
        <w:t xml:space="preserve">documents </w:t>
      </w:r>
      <w:r w:rsidR="00CD1AA0">
        <w:rPr>
          <w:rFonts w:ascii="Times New Roman" w:hAnsi="Times New Roman"/>
          <w:sz w:val="24"/>
        </w:rPr>
        <w:t xml:space="preserve">the applicant should have just </w:t>
      </w:r>
      <w:r w:rsidR="00E2003F">
        <w:rPr>
          <w:rFonts w:ascii="Times New Roman" w:hAnsi="Times New Roman"/>
          <w:sz w:val="24"/>
        </w:rPr>
        <w:t>launch</w:t>
      </w:r>
      <w:r w:rsidR="00CD1AA0">
        <w:rPr>
          <w:rFonts w:ascii="Times New Roman" w:hAnsi="Times New Roman"/>
          <w:sz w:val="24"/>
        </w:rPr>
        <w:t>ed</w:t>
      </w:r>
      <w:r w:rsidR="00E2003F">
        <w:rPr>
          <w:rFonts w:ascii="Times New Roman" w:hAnsi="Times New Roman"/>
          <w:sz w:val="24"/>
        </w:rPr>
        <w:t xml:space="preserve"> </w:t>
      </w:r>
      <w:r w:rsidR="00F56DDA">
        <w:rPr>
          <w:rFonts w:ascii="Times New Roman" w:hAnsi="Times New Roman"/>
          <w:sz w:val="24"/>
        </w:rPr>
        <w:t xml:space="preserve">a </w:t>
      </w:r>
      <w:r w:rsidR="00000A8C">
        <w:rPr>
          <w:rFonts w:ascii="Times New Roman" w:hAnsi="Times New Roman"/>
          <w:sz w:val="24"/>
        </w:rPr>
        <w:t>R</w:t>
      </w:r>
      <w:r w:rsidR="00E2003F">
        <w:rPr>
          <w:rFonts w:ascii="Times New Roman" w:hAnsi="Times New Roman"/>
          <w:sz w:val="24"/>
        </w:rPr>
        <w:t xml:space="preserve">ule 53 application without which the applicant would not have been able to have access </w:t>
      </w:r>
      <w:r w:rsidR="00000A8C">
        <w:rPr>
          <w:rFonts w:ascii="Times New Roman" w:hAnsi="Times New Roman"/>
          <w:sz w:val="24"/>
        </w:rPr>
        <w:t>to the documents requested</w:t>
      </w:r>
      <w:r w:rsidR="00E2003F">
        <w:rPr>
          <w:rFonts w:ascii="Times New Roman" w:hAnsi="Times New Roman"/>
          <w:sz w:val="24"/>
        </w:rPr>
        <w:t xml:space="preserve">. In any event the applicant failed to provide persuasive </w:t>
      </w:r>
      <w:r w:rsidR="00000A8C">
        <w:rPr>
          <w:rFonts w:ascii="Times New Roman" w:hAnsi="Times New Roman"/>
          <w:sz w:val="24"/>
        </w:rPr>
        <w:t xml:space="preserve">reasons underpinning </w:t>
      </w:r>
      <w:r w:rsidR="00E2003F">
        <w:rPr>
          <w:rFonts w:ascii="Times New Roman" w:hAnsi="Times New Roman"/>
          <w:sz w:val="24"/>
        </w:rPr>
        <w:t>the basis why such information should be availed. If such bas</w:t>
      </w:r>
      <w:r w:rsidR="00B25FCE">
        <w:rPr>
          <w:rFonts w:ascii="Times New Roman" w:hAnsi="Times New Roman"/>
          <w:sz w:val="24"/>
        </w:rPr>
        <w:t>e</w:t>
      </w:r>
      <w:r w:rsidR="00E2003F">
        <w:rPr>
          <w:rFonts w:ascii="Times New Roman" w:hAnsi="Times New Roman"/>
          <w:sz w:val="24"/>
        </w:rPr>
        <w:t>s came forth the first respondent would have had to approach the second respondent to obtain its consent to provide the applicant wit</w:t>
      </w:r>
      <w:r w:rsidR="00C93CD4">
        <w:rPr>
          <w:rFonts w:ascii="Times New Roman" w:hAnsi="Times New Roman"/>
          <w:sz w:val="24"/>
        </w:rPr>
        <w:t>h</w:t>
      </w:r>
      <w:r w:rsidR="00E2003F">
        <w:rPr>
          <w:rFonts w:ascii="Times New Roman" w:hAnsi="Times New Roman"/>
          <w:sz w:val="24"/>
        </w:rPr>
        <w:t xml:space="preserve"> the requested documentation. </w:t>
      </w:r>
    </w:p>
    <w:p w14:paraId="531ADE1B" w14:textId="77777777" w:rsidR="00282DFC" w:rsidRPr="00282DFC" w:rsidRDefault="00282DFC" w:rsidP="00282DFC">
      <w:pPr>
        <w:pStyle w:val="ListParagraph"/>
        <w:rPr>
          <w:rFonts w:ascii="Times New Roman" w:hAnsi="Times New Roman"/>
          <w:sz w:val="24"/>
        </w:rPr>
      </w:pPr>
    </w:p>
    <w:p w14:paraId="6C3A312E" w14:textId="77EE7EB0" w:rsidR="00E80E1A" w:rsidRPr="00CD1AA0" w:rsidRDefault="00E80E1A" w:rsidP="00E80E1A">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The </w:t>
      </w:r>
      <w:r w:rsidR="00C93CD4">
        <w:rPr>
          <w:rFonts w:ascii="Times New Roman" w:hAnsi="Times New Roman"/>
          <w:sz w:val="24"/>
        </w:rPr>
        <w:t xml:space="preserve">counsel for the first respondent proceeded and further asserted that </w:t>
      </w:r>
      <w:r w:rsidR="00B25FCE">
        <w:rPr>
          <w:rFonts w:ascii="Times New Roman" w:hAnsi="Times New Roman"/>
          <w:sz w:val="24"/>
        </w:rPr>
        <w:t xml:space="preserve">the </w:t>
      </w:r>
      <w:r w:rsidRPr="00E31BA4">
        <w:rPr>
          <w:rFonts w:ascii="Times New Roman" w:hAnsi="Times New Roman"/>
          <w:sz w:val="24"/>
        </w:rPr>
        <w:t>applicant thereafter launched these proceedings in terms of Rule 53</w:t>
      </w:r>
      <w:r>
        <w:rPr>
          <w:rFonts w:ascii="Times New Roman" w:hAnsi="Times New Roman"/>
          <w:sz w:val="24"/>
        </w:rPr>
        <w:t xml:space="preserve"> of the Uniform Rule</w:t>
      </w:r>
      <w:r w:rsidR="00B25FCE">
        <w:rPr>
          <w:rFonts w:ascii="Times New Roman" w:hAnsi="Times New Roman"/>
          <w:sz w:val="24"/>
        </w:rPr>
        <w:t>s</w:t>
      </w:r>
      <w:r>
        <w:rPr>
          <w:rFonts w:ascii="Times New Roman" w:hAnsi="Times New Roman"/>
          <w:sz w:val="24"/>
        </w:rPr>
        <w:t xml:space="preserve"> of Court</w:t>
      </w:r>
      <w:r w:rsidRPr="00E31BA4">
        <w:rPr>
          <w:rFonts w:ascii="Times New Roman" w:hAnsi="Times New Roman"/>
          <w:sz w:val="24"/>
        </w:rPr>
        <w:t xml:space="preserve"> but still ha</w:t>
      </w:r>
      <w:r w:rsidR="009E01D5">
        <w:rPr>
          <w:rFonts w:ascii="Times New Roman" w:hAnsi="Times New Roman"/>
          <w:sz w:val="24"/>
        </w:rPr>
        <w:t>d</w:t>
      </w:r>
      <w:r w:rsidRPr="00E31BA4">
        <w:rPr>
          <w:rFonts w:ascii="Times New Roman" w:hAnsi="Times New Roman"/>
          <w:sz w:val="24"/>
        </w:rPr>
        <w:t xml:space="preserve"> </w:t>
      </w:r>
      <w:r w:rsidR="00DC7EF8">
        <w:rPr>
          <w:rFonts w:ascii="Times New Roman" w:hAnsi="Times New Roman"/>
          <w:sz w:val="24"/>
        </w:rPr>
        <w:t xml:space="preserve">Part </w:t>
      </w:r>
      <w:r w:rsidRPr="00E31BA4">
        <w:rPr>
          <w:rFonts w:ascii="Times New Roman" w:hAnsi="Times New Roman"/>
          <w:sz w:val="24"/>
        </w:rPr>
        <w:t>A which relate</w:t>
      </w:r>
      <w:r w:rsidR="009E01D5">
        <w:rPr>
          <w:rFonts w:ascii="Times New Roman" w:hAnsi="Times New Roman"/>
          <w:sz w:val="24"/>
        </w:rPr>
        <w:t>d</w:t>
      </w:r>
      <w:r w:rsidRPr="00E31BA4">
        <w:rPr>
          <w:rFonts w:ascii="Times New Roman" w:hAnsi="Times New Roman"/>
          <w:sz w:val="24"/>
        </w:rPr>
        <w:t xml:space="preserve"> to a recourse in terms of PAIA. The application in respect of </w:t>
      </w:r>
      <w:r w:rsidR="00DC7EF8">
        <w:rPr>
          <w:rFonts w:ascii="Times New Roman" w:hAnsi="Times New Roman"/>
          <w:sz w:val="24"/>
        </w:rPr>
        <w:t>Part</w:t>
      </w:r>
      <w:r w:rsidRPr="00E31BA4">
        <w:rPr>
          <w:rFonts w:ascii="Times New Roman" w:hAnsi="Times New Roman"/>
          <w:sz w:val="24"/>
        </w:rPr>
        <w:t xml:space="preserve"> A should therefore </w:t>
      </w:r>
      <w:r w:rsidR="00000A8C">
        <w:rPr>
          <w:rFonts w:ascii="Times New Roman" w:hAnsi="Times New Roman"/>
          <w:sz w:val="24"/>
        </w:rPr>
        <w:t xml:space="preserve">be </w:t>
      </w:r>
      <w:r w:rsidRPr="00E31BA4">
        <w:rPr>
          <w:rFonts w:ascii="Times New Roman" w:hAnsi="Times New Roman"/>
          <w:sz w:val="24"/>
        </w:rPr>
        <w:t xml:space="preserve">dismissed since it was not preceded by the applicant </w:t>
      </w:r>
      <w:r w:rsidR="00C93CD4">
        <w:rPr>
          <w:rFonts w:ascii="Times New Roman" w:hAnsi="Times New Roman"/>
          <w:sz w:val="24"/>
        </w:rPr>
        <w:t xml:space="preserve">having </w:t>
      </w:r>
      <w:r w:rsidRPr="00E31BA4">
        <w:rPr>
          <w:rFonts w:ascii="Times New Roman" w:hAnsi="Times New Roman"/>
          <w:sz w:val="24"/>
        </w:rPr>
        <w:t>exhaust</w:t>
      </w:r>
      <w:r w:rsidR="00C93CD4">
        <w:rPr>
          <w:rFonts w:ascii="Times New Roman" w:hAnsi="Times New Roman"/>
          <w:sz w:val="24"/>
        </w:rPr>
        <w:t>ed</w:t>
      </w:r>
      <w:r w:rsidRPr="00E31BA4">
        <w:rPr>
          <w:rFonts w:ascii="Times New Roman" w:hAnsi="Times New Roman"/>
          <w:sz w:val="24"/>
        </w:rPr>
        <w:t xml:space="preserve"> internal remed</w:t>
      </w:r>
      <w:r>
        <w:rPr>
          <w:rFonts w:ascii="Times New Roman" w:hAnsi="Times New Roman"/>
          <w:sz w:val="24"/>
        </w:rPr>
        <w:t xml:space="preserve">ies </w:t>
      </w:r>
      <w:r w:rsidR="00000A8C">
        <w:rPr>
          <w:rFonts w:ascii="Times New Roman" w:hAnsi="Times New Roman"/>
          <w:sz w:val="24"/>
        </w:rPr>
        <w:t xml:space="preserve">in terms of section </w:t>
      </w:r>
      <w:r w:rsidRPr="00E31BA4">
        <w:rPr>
          <w:rFonts w:ascii="Times New Roman" w:hAnsi="Times New Roman"/>
          <w:sz w:val="24"/>
        </w:rPr>
        <w:t>7</w:t>
      </w:r>
      <w:r w:rsidR="00DC7EF8">
        <w:rPr>
          <w:rFonts w:ascii="Times New Roman" w:hAnsi="Times New Roman"/>
          <w:sz w:val="24"/>
        </w:rPr>
        <w:t>4</w:t>
      </w:r>
      <w:r w:rsidR="00000A8C">
        <w:rPr>
          <w:rFonts w:ascii="Times New Roman" w:hAnsi="Times New Roman"/>
          <w:sz w:val="24"/>
        </w:rPr>
        <w:t xml:space="preserve"> of PAIA</w:t>
      </w:r>
      <w:r w:rsidRPr="00E31BA4">
        <w:rPr>
          <w:rFonts w:ascii="Times New Roman" w:hAnsi="Times New Roman"/>
          <w:sz w:val="24"/>
        </w:rPr>
        <w:t xml:space="preserve"> but also because </w:t>
      </w:r>
      <w:r>
        <w:rPr>
          <w:rFonts w:ascii="Times New Roman" w:hAnsi="Times New Roman"/>
          <w:sz w:val="24"/>
        </w:rPr>
        <w:t>R</w:t>
      </w:r>
      <w:r w:rsidRPr="00E31BA4">
        <w:rPr>
          <w:rFonts w:ascii="Times New Roman" w:hAnsi="Times New Roman"/>
          <w:sz w:val="24"/>
        </w:rPr>
        <w:t xml:space="preserve">ule 53 provided an automatic remedy to the applicant’s plight </w:t>
      </w:r>
      <w:r>
        <w:rPr>
          <w:rFonts w:ascii="Times New Roman" w:hAnsi="Times New Roman"/>
          <w:sz w:val="24"/>
        </w:rPr>
        <w:t xml:space="preserve">if </w:t>
      </w:r>
      <w:r w:rsidRPr="00E31BA4">
        <w:rPr>
          <w:rFonts w:ascii="Times New Roman" w:hAnsi="Times New Roman"/>
          <w:sz w:val="24"/>
        </w:rPr>
        <w:t xml:space="preserve">second respondent’s bid documents </w:t>
      </w:r>
      <w:r w:rsidR="00C93CD4">
        <w:rPr>
          <w:rFonts w:ascii="Times New Roman" w:hAnsi="Times New Roman"/>
          <w:sz w:val="24"/>
        </w:rPr>
        <w:t xml:space="preserve">were </w:t>
      </w:r>
      <w:r w:rsidR="00DC7EF8">
        <w:rPr>
          <w:rFonts w:ascii="Times New Roman" w:hAnsi="Times New Roman"/>
          <w:sz w:val="24"/>
        </w:rPr>
        <w:t xml:space="preserve">not </w:t>
      </w:r>
      <w:r w:rsidR="00CD1AA0">
        <w:rPr>
          <w:rFonts w:ascii="Times New Roman" w:hAnsi="Times New Roman"/>
          <w:sz w:val="24"/>
        </w:rPr>
        <w:t xml:space="preserve">availed by the </w:t>
      </w:r>
      <w:r w:rsidR="009E01D5">
        <w:rPr>
          <w:rFonts w:ascii="Times New Roman" w:hAnsi="Times New Roman"/>
          <w:sz w:val="24"/>
        </w:rPr>
        <w:t>first</w:t>
      </w:r>
      <w:r w:rsidR="00CD1AA0">
        <w:rPr>
          <w:rFonts w:ascii="Times New Roman" w:hAnsi="Times New Roman"/>
          <w:sz w:val="24"/>
        </w:rPr>
        <w:t xml:space="preserve"> respondent</w:t>
      </w:r>
      <w:r w:rsidRPr="00E31BA4">
        <w:rPr>
          <w:rFonts w:ascii="Times New Roman" w:hAnsi="Times New Roman"/>
          <w:sz w:val="24"/>
        </w:rPr>
        <w:t xml:space="preserve">. The said documents were </w:t>
      </w:r>
      <w:r w:rsidR="00CD1AA0">
        <w:rPr>
          <w:rFonts w:ascii="Times New Roman" w:hAnsi="Times New Roman"/>
          <w:sz w:val="24"/>
        </w:rPr>
        <w:t xml:space="preserve">in any event </w:t>
      </w:r>
      <w:r w:rsidRPr="00E31BA4">
        <w:rPr>
          <w:rFonts w:ascii="Times New Roman" w:hAnsi="Times New Roman"/>
          <w:sz w:val="24"/>
        </w:rPr>
        <w:t xml:space="preserve">provided in compliance with </w:t>
      </w:r>
      <w:r w:rsidR="00000A8C">
        <w:rPr>
          <w:rFonts w:ascii="Times New Roman" w:hAnsi="Times New Roman"/>
          <w:sz w:val="24"/>
        </w:rPr>
        <w:t>R</w:t>
      </w:r>
      <w:r w:rsidRPr="00E31BA4">
        <w:rPr>
          <w:rFonts w:ascii="Times New Roman" w:hAnsi="Times New Roman"/>
          <w:sz w:val="24"/>
        </w:rPr>
        <w:t xml:space="preserve">ule 53 and </w:t>
      </w:r>
      <w:r w:rsidR="00DC7EF8">
        <w:rPr>
          <w:rFonts w:ascii="Times New Roman" w:hAnsi="Times New Roman"/>
          <w:sz w:val="24"/>
        </w:rPr>
        <w:t>P</w:t>
      </w:r>
      <w:r w:rsidRPr="00E31BA4">
        <w:rPr>
          <w:rFonts w:ascii="Times New Roman" w:hAnsi="Times New Roman"/>
          <w:sz w:val="24"/>
        </w:rPr>
        <w:t>art A of the notice of motion was never necessary.</w:t>
      </w:r>
      <w:r>
        <w:rPr>
          <w:rFonts w:ascii="Times New Roman" w:hAnsi="Times New Roman"/>
          <w:sz w:val="24"/>
        </w:rPr>
        <w:t xml:space="preserve"> </w:t>
      </w:r>
    </w:p>
    <w:p w14:paraId="06DD9280" w14:textId="77777777" w:rsidR="00CD1AA0" w:rsidRPr="00CD1AA0" w:rsidRDefault="00CD1AA0" w:rsidP="00CD1AA0">
      <w:pPr>
        <w:pStyle w:val="ListParagraph"/>
        <w:rPr>
          <w:rFonts w:ascii="Times New Roman" w:hAnsi="Times New Roman"/>
          <w:i/>
          <w:iCs/>
          <w:sz w:val="24"/>
        </w:rPr>
      </w:pPr>
    </w:p>
    <w:p w14:paraId="19BC9A44" w14:textId="2830D54D" w:rsidR="00EB3181" w:rsidRDefault="00B25FCE" w:rsidP="00EB3181">
      <w:pPr>
        <w:pStyle w:val="ListParagraph"/>
        <w:numPr>
          <w:ilvl w:val="0"/>
          <w:numId w:val="2"/>
        </w:numPr>
        <w:tabs>
          <w:tab w:val="left" w:pos="540"/>
        </w:tabs>
        <w:spacing w:after="160" w:line="480" w:lineRule="auto"/>
        <w:ind w:right="1"/>
        <w:rPr>
          <w:sz w:val="24"/>
        </w:rPr>
      </w:pPr>
      <w:r>
        <w:rPr>
          <w:rFonts w:ascii="Times New Roman" w:hAnsi="Times New Roman"/>
          <w:sz w:val="24"/>
        </w:rPr>
        <w:t>This court notes that w</w:t>
      </w:r>
      <w:r w:rsidR="00405F17">
        <w:rPr>
          <w:rFonts w:ascii="Times New Roman" w:hAnsi="Times New Roman"/>
          <w:sz w:val="24"/>
        </w:rPr>
        <w:t xml:space="preserve">ith regard to the legal principles applicable to legal challenges of decisions taken by the state organ reference </w:t>
      </w:r>
      <w:r>
        <w:rPr>
          <w:rFonts w:ascii="Times New Roman" w:hAnsi="Times New Roman"/>
          <w:sz w:val="24"/>
        </w:rPr>
        <w:t xml:space="preserve">should be </w:t>
      </w:r>
      <w:r w:rsidR="00405F17">
        <w:rPr>
          <w:rFonts w:ascii="Times New Roman" w:hAnsi="Times New Roman"/>
          <w:sz w:val="24"/>
        </w:rPr>
        <w:t>made to</w:t>
      </w:r>
      <w:r w:rsidR="0087094E">
        <w:rPr>
          <w:rFonts w:ascii="Times New Roman" w:hAnsi="Times New Roman"/>
          <w:sz w:val="24"/>
        </w:rPr>
        <w:t xml:space="preserve"> the provisions of </w:t>
      </w:r>
      <w:r w:rsidR="00F56DDA">
        <w:rPr>
          <w:rFonts w:ascii="Times New Roman" w:hAnsi="Times New Roman"/>
          <w:sz w:val="24"/>
        </w:rPr>
        <w:t xml:space="preserve">section </w:t>
      </w:r>
      <w:r w:rsidR="0087094E">
        <w:rPr>
          <w:rFonts w:ascii="Times New Roman" w:hAnsi="Times New Roman"/>
          <w:sz w:val="24"/>
        </w:rPr>
        <w:t xml:space="preserve">217 of the </w:t>
      </w:r>
      <w:r w:rsidR="00405F17">
        <w:rPr>
          <w:rFonts w:ascii="Times New Roman" w:hAnsi="Times New Roman"/>
          <w:sz w:val="24"/>
        </w:rPr>
        <w:t>C</w:t>
      </w:r>
      <w:r w:rsidR="0087094E">
        <w:rPr>
          <w:rFonts w:ascii="Times New Roman" w:hAnsi="Times New Roman"/>
          <w:sz w:val="24"/>
        </w:rPr>
        <w:t xml:space="preserve">onstitution and further in terms of the provisions of PPPFA. The applicant </w:t>
      </w:r>
      <w:r w:rsidR="0087094E">
        <w:rPr>
          <w:rFonts w:ascii="Times New Roman" w:hAnsi="Times New Roman"/>
          <w:sz w:val="24"/>
        </w:rPr>
        <w:lastRenderedPageBreak/>
        <w:t>has stated that having perused the scoring of the second respondent i</w:t>
      </w:r>
      <w:r w:rsidR="00C93CD4">
        <w:rPr>
          <w:rFonts w:ascii="Times New Roman" w:hAnsi="Times New Roman"/>
          <w:sz w:val="24"/>
        </w:rPr>
        <w:t>t is</w:t>
      </w:r>
      <w:r w:rsidR="0087094E">
        <w:rPr>
          <w:rFonts w:ascii="Times New Roman" w:hAnsi="Times New Roman"/>
          <w:sz w:val="24"/>
        </w:rPr>
        <w:t xml:space="preserve"> highly probable that the printers which were offered </w:t>
      </w:r>
      <w:r w:rsidR="00CD1AA0">
        <w:rPr>
          <w:rFonts w:ascii="Times New Roman" w:hAnsi="Times New Roman"/>
          <w:sz w:val="24"/>
        </w:rPr>
        <w:t xml:space="preserve">by the second respondent </w:t>
      </w:r>
      <w:r w:rsidR="0087094E">
        <w:rPr>
          <w:rFonts w:ascii="Times New Roman" w:hAnsi="Times New Roman"/>
          <w:sz w:val="24"/>
        </w:rPr>
        <w:t>were of lesser s</w:t>
      </w:r>
      <w:r>
        <w:rPr>
          <w:rFonts w:ascii="Times New Roman" w:hAnsi="Times New Roman"/>
          <w:sz w:val="24"/>
        </w:rPr>
        <w:t>pecifications</w:t>
      </w:r>
      <w:r w:rsidR="0087094E">
        <w:rPr>
          <w:rFonts w:ascii="Times New Roman" w:hAnsi="Times New Roman"/>
          <w:sz w:val="24"/>
        </w:rPr>
        <w:t xml:space="preserve"> and </w:t>
      </w:r>
      <w:r w:rsidR="00CD1AA0">
        <w:rPr>
          <w:rFonts w:ascii="Times New Roman" w:hAnsi="Times New Roman"/>
          <w:sz w:val="24"/>
        </w:rPr>
        <w:t xml:space="preserve">the second respondent’s </w:t>
      </w:r>
      <w:r w:rsidR="00EB3181">
        <w:rPr>
          <w:rFonts w:ascii="Times New Roman" w:hAnsi="Times New Roman"/>
          <w:sz w:val="24"/>
        </w:rPr>
        <w:t>bid</w:t>
      </w:r>
      <w:r w:rsidR="0087094E">
        <w:rPr>
          <w:rFonts w:ascii="Times New Roman" w:hAnsi="Times New Roman"/>
          <w:sz w:val="24"/>
        </w:rPr>
        <w:t xml:space="preserve"> may have </w:t>
      </w:r>
      <w:r w:rsidR="00C93CD4">
        <w:rPr>
          <w:rFonts w:ascii="Times New Roman" w:hAnsi="Times New Roman"/>
          <w:sz w:val="24"/>
        </w:rPr>
        <w:t xml:space="preserve">not ergo been </w:t>
      </w:r>
      <w:r w:rsidR="0087094E">
        <w:rPr>
          <w:rFonts w:ascii="Times New Roman" w:hAnsi="Times New Roman"/>
          <w:sz w:val="24"/>
        </w:rPr>
        <w:t>in terms of the specifications set out by the first respondent</w:t>
      </w:r>
      <w:r w:rsidR="00F01DF4">
        <w:rPr>
          <w:rFonts w:ascii="Times New Roman" w:hAnsi="Times New Roman"/>
          <w:sz w:val="24"/>
        </w:rPr>
        <w:t xml:space="preserve">. The first respondent having stated that </w:t>
      </w:r>
      <w:r w:rsidR="00974EC7">
        <w:rPr>
          <w:rFonts w:ascii="Times New Roman" w:hAnsi="Times New Roman"/>
          <w:sz w:val="24"/>
        </w:rPr>
        <w:t>f</w:t>
      </w:r>
      <w:r w:rsidR="009E01D5">
        <w:rPr>
          <w:rFonts w:ascii="Times New Roman" w:hAnsi="Times New Roman"/>
          <w:sz w:val="24"/>
        </w:rPr>
        <w:t>ro</w:t>
      </w:r>
      <w:r w:rsidR="00974EC7">
        <w:rPr>
          <w:rFonts w:ascii="Times New Roman" w:hAnsi="Times New Roman"/>
          <w:sz w:val="24"/>
        </w:rPr>
        <w:t xml:space="preserve">m </w:t>
      </w:r>
      <w:r w:rsidR="00F01DF4">
        <w:rPr>
          <w:rFonts w:ascii="Times New Roman" w:hAnsi="Times New Roman"/>
          <w:sz w:val="24"/>
        </w:rPr>
        <w:t xml:space="preserve">the information provided the applicant </w:t>
      </w:r>
      <w:r w:rsidR="00974EC7">
        <w:rPr>
          <w:rFonts w:ascii="Times New Roman" w:hAnsi="Times New Roman"/>
          <w:sz w:val="24"/>
        </w:rPr>
        <w:t xml:space="preserve">was </w:t>
      </w:r>
      <w:r w:rsidR="00F01DF4">
        <w:rPr>
          <w:rFonts w:ascii="Times New Roman" w:hAnsi="Times New Roman"/>
          <w:sz w:val="24"/>
        </w:rPr>
        <w:t xml:space="preserve">able to launch the </w:t>
      </w:r>
      <w:r w:rsidR="00EB3181">
        <w:rPr>
          <w:rFonts w:ascii="Times New Roman" w:hAnsi="Times New Roman"/>
          <w:sz w:val="24"/>
        </w:rPr>
        <w:t xml:space="preserve">legal </w:t>
      </w:r>
      <w:r w:rsidR="00F01DF4">
        <w:rPr>
          <w:rFonts w:ascii="Times New Roman" w:hAnsi="Times New Roman"/>
          <w:sz w:val="24"/>
        </w:rPr>
        <w:t>proceedings they may wish to commence. This reaction was not helpful</w:t>
      </w:r>
      <w:r>
        <w:rPr>
          <w:rFonts w:ascii="Times New Roman" w:hAnsi="Times New Roman"/>
          <w:sz w:val="24"/>
        </w:rPr>
        <w:t xml:space="preserve"> and </w:t>
      </w:r>
      <w:r w:rsidR="00F01DF4">
        <w:rPr>
          <w:rFonts w:ascii="Times New Roman" w:hAnsi="Times New Roman"/>
          <w:sz w:val="24"/>
        </w:rPr>
        <w:t>unreasonable</w:t>
      </w:r>
      <w:r>
        <w:rPr>
          <w:rFonts w:ascii="Times New Roman" w:hAnsi="Times New Roman"/>
          <w:sz w:val="24"/>
        </w:rPr>
        <w:t>. S</w:t>
      </w:r>
      <w:r w:rsidR="00EB3181">
        <w:rPr>
          <w:rFonts w:ascii="Times New Roman" w:hAnsi="Times New Roman"/>
          <w:sz w:val="24"/>
        </w:rPr>
        <w:t>uch dismissive propensit</w:t>
      </w:r>
      <w:r w:rsidR="009731FC">
        <w:rPr>
          <w:rFonts w:ascii="Times New Roman" w:hAnsi="Times New Roman"/>
          <w:sz w:val="24"/>
        </w:rPr>
        <w:t>ies</w:t>
      </w:r>
      <w:r w:rsidR="00EB3181">
        <w:rPr>
          <w:rFonts w:ascii="Times New Roman" w:hAnsi="Times New Roman"/>
          <w:sz w:val="24"/>
        </w:rPr>
        <w:t xml:space="preserve"> especially by the state organs was frowned upon by the full bench in </w:t>
      </w:r>
      <w:r w:rsidR="00EB3181" w:rsidRPr="00EB3181">
        <w:rPr>
          <w:rFonts w:ascii="Times New Roman" w:hAnsi="Times New Roman"/>
          <w:i/>
          <w:iCs/>
          <w:sz w:val="24"/>
        </w:rPr>
        <w:t>Paul v MEC for Health, Eastern Cape</w:t>
      </w:r>
      <w:r w:rsidR="009A1D56">
        <w:rPr>
          <w:rFonts w:ascii="Times New Roman" w:hAnsi="Times New Roman"/>
          <w:i/>
          <w:iCs/>
          <w:sz w:val="24"/>
        </w:rPr>
        <w:t xml:space="preserve"> Provincial Government</w:t>
      </w:r>
      <w:r w:rsidR="00EB3181" w:rsidRPr="00EB3181">
        <w:rPr>
          <w:rFonts w:ascii="Times New Roman" w:hAnsi="Times New Roman"/>
          <w:i/>
          <w:iCs/>
          <w:sz w:val="24"/>
        </w:rPr>
        <w:t xml:space="preserve"> and Others</w:t>
      </w:r>
      <w:r w:rsidR="009A1D56">
        <w:rPr>
          <w:rFonts w:ascii="Times New Roman" w:hAnsi="Times New Roman"/>
          <w:i/>
          <w:iCs/>
          <w:sz w:val="24"/>
        </w:rPr>
        <w:t>;</w:t>
      </w:r>
      <w:r w:rsidR="00EB3181" w:rsidRPr="00EB3181">
        <w:rPr>
          <w:rFonts w:ascii="Times New Roman" w:hAnsi="Times New Roman"/>
          <w:i/>
          <w:iCs/>
          <w:sz w:val="24"/>
        </w:rPr>
        <w:t xml:space="preserve"> Mbobo v MEC for Health, Eastern Cape </w:t>
      </w:r>
      <w:r w:rsidR="009A1D56">
        <w:rPr>
          <w:rFonts w:ascii="Times New Roman" w:hAnsi="Times New Roman"/>
          <w:i/>
          <w:iCs/>
          <w:sz w:val="24"/>
        </w:rPr>
        <w:t xml:space="preserve">Provincial Government </w:t>
      </w:r>
      <w:r w:rsidR="00EB3181" w:rsidRPr="00EB3181">
        <w:rPr>
          <w:rFonts w:ascii="Times New Roman" w:hAnsi="Times New Roman"/>
          <w:i/>
          <w:iCs/>
          <w:sz w:val="24"/>
        </w:rPr>
        <w:t>and Others</w:t>
      </w:r>
      <w:r w:rsidR="009A1D56">
        <w:rPr>
          <w:rFonts w:ascii="Times New Roman" w:hAnsi="Times New Roman"/>
          <w:i/>
          <w:iCs/>
          <w:sz w:val="24"/>
        </w:rPr>
        <w:t xml:space="preserve">; </w:t>
      </w:r>
      <w:r w:rsidR="00EB3181" w:rsidRPr="00EB3181">
        <w:rPr>
          <w:rFonts w:ascii="Times New Roman" w:hAnsi="Times New Roman"/>
          <w:i/>
          <w:iCs/>
          <w:sz w:val="24"/>
        </w:rPr>
        <w:t xml:space="preserve">Ncumani v MEC for Health, Eastern Cape </w:t>
      </w:r>
      <w:r w:rsidR="009A1D56">
        <w:rPr>
          <w:rFonts w:ascii="Times New Roman" w:hAnsi="Times New Roman"/>
          <w:i/>
          <w:iCs/>
          <w:sz w:val="24"/>
        </w:rPr>
        <w:t xml:space="preserve">Province </w:t>
      </w:r>
      <w:r w:rsidR="00EB3181" w:rsidRPr="00EB3181">
        <w:rPr>
          <w:rFonts w:ascii="Times New Roman" w:hAnsi="Times New Roman"/>
          <w:i/>
          <w:iCs/>
          <w:sz w:val="24"/>
        </w:rPr>
        <w:t>and Others</w:t>
      </w:r>
      <w:r w:rsidR="00CF5941">
        <w:rPr>
          <w:rStyle w:val="FootnoteReference"/>
          <w:rFonts w:ascii="Times New Roman" w:hAnsi="Times New Roman"/>
          <w:sz w:val="24"/>
        </w:rPr>
        <w:footnoteReference w:id="7"/>
      </w:r>
      <w:r w:rsidR="00F01DF4">
        <w:rPr>
          <w:rFonts w:ascii="Times New Roman" w:hAnsi="Times New Roman"/>
          <w:sz w:val="24"/>
        </w:rPr>
        <w:t xml:space="preserve"> </w:t>
      </w:r>
      <w:r w:rsidR="00D90B86">
        <w:rPr>
          <w:rFonts w:ascii="Times New Roman" w:hAnsi="Times New Roman"/>
          <w:sz w:val="24"/>
        </w:rPr>
        <w:t>(</w:t>
      </w:r>
      <w:r w:rsidR="00D90B86" w:rsidRPr="00D90B86">
        <w:rPr>
          <w:rFonts w:ascii="Times New Roman" w:hAnsi="Times New Roman"/>
          <w:i/>
          <w:iCs/>
          <w:sz w:val="24"/>
        </w:rPr>
        <w:t>Paul’s judgment</w:t>
      </w:r>
      <w:r w:rsidR="00D90B86">
        <w:rPr>
          <w:rFonts w:ascii="Times New Roman" w:hAnsi="Times New Roman"/>
          <w:sz w:val="24"/>
        </w:rPr>
        <w:t xml:space="preserve">) </w:t>
      </w:r>
      <w:r w:rsidR="00EB3181">
        <w:rPr>
          <w:rFonts w:ascii="Times New Roman" w:hAnsi="Times New Roman"/>
          <w:sz w:val="24"/>
        </w:rPr>
        <w:t xml:space="preserve">where the court held </w:t>
      </w:r>
      <w:r w:rsidR="00405F17">
        <w:rPr>
          <w:rFonts w:ascii="Times New Roman" w:hAnsi="Times New Roman"/>
          <w:sz w:val="24"/>
        </w:rPr>
        <w:t>that ordinarily requests to access information</w:t>
      </w:r>
    </w:p>
    <w:p w14:paraId="528B6B56" w14:textId="17B4185A" w:rsidR="00EB3181" w:rsidRDefault="00EB3181" w:rsidP="00EB3181">
      <w:pPr>
        <w:pStyle w:val="FootnoteText"/>
        <w:ind w:left="720"/>
        <w:rPr>
          <w:lang w:val="en-US"/>
        </w:rPr>
      </w:pPr>
      <w:r>
        <w:rPr>
          <w:sz w:val="24"/>
        </w:rPr>
        <w:tab/>
      </w:r>
      <w:r w:rsidRPr="009A1D56">
        <w:rPr>
          <w:lang w:val="en-US"/>
        </w:rPr>
        <w:t>“…</w:t>
      </w:r>
      <w:r>
        <w:rPr>
          <w:lang w:val="en-US"/>
        </w:rPr>
        <w:t xml:space="preserve"> </w:t>
      </w:r>
      <w:r w:rsidRPr="004A7A39">
        <w:rPr>
          <w:i/>
          <w:iCs/>
          <w:lang w:val="en-US"/>
        </w:rPr>
        <w:t>are regarded with disdain and are consequently ignored. Th</w:t>
      </w:r>
      <w:r w:rsidR="009A1D56">
        <w:rPr>
          <w:i/>
          <w:iCs/>
          <w:lang w:val="en-US"/>
        </w:rPr>
        <w:t>is</w:t>
      </w:r>
      <w:r w:rsidRPr="004A7A39">
        <w:rPr>
          <w:i/>
          <w:iCs/>
          <w:lang w:val="en-US"/>
        </w:rPr>
        <w:t xml:space="preserve"> attitude by the state functionaries has resulted in ordinary South Africans having to resort to the courts, burdening court rolls with court applications which are largely unopposed. This burdens the fiscus with unnecessary cost</w:t>
      </w:r>
      <w:r w:rsidR="009A1D56">
        <w:rPr>
          <w:i/>
          <w:iCs/>
          <w:lang w:val="en-US"/>
        </w:rPr>
        <w:t>s</w:t>
      </w:r>
      <w:r w:rsidRPr="004A7A39">
        <w:rPr>
          <w:i/>
          <w:iCs/>
          <w:lang w:val="en-US"/>
        </w:rPr>
        <w:t xml:space="preserve"> orders in circumstances where scarce resources are severely challenged by competing needs. The time may have arrived for costs </w:t>
      </w:r>
      <w:r w:rsidR="009A1D56">
        <w:rPr>
          <w:i/>
          <w:iCs/>
          <w:lang w:val="en-US"/>
        </w:rPr>
        <w:t xml:space="preserve">orders </w:t>
      </w:r>
      <w:r w:rsidRPr="004A7A39">
        <w:rPr>
          <w:i/>
          <w:iCs/>
          <w:lang w:val="en-US"/>
        </w:rPr>
        <w:t xml:space="preserve">in deserving cases to be made against the respective officials who </w:t>
      </w:r>
      <w:r w:rsidRPr="009A1D56">
        <w:rPr>
          <w:i/>
          <w:iCs/>
          <w:lang w:val="en-US"/>
        </w:rPr>
        <w:t>unnecessarily</w:t>
      </w:r>
      <w:r w:rsidRPr="004A7A39">
        <w:rPr>
          <w:i/>
          <w:iCs/>
          <w:lang w:val="en-US"/>
        </w:rPr>
        <w:t xml:space="preserve"> force ordinary citizens, many of whom </w:t>
      </w:r>
      <w:r w:rsidR="009A1D56">
        <w:rPr>
          <w:i/>
          <w:iCs/>
          <w:lang w:val="en-US"/>
        </w:rPr>
        <w:t>may be</w:t>
      </w:r>
      <w:r w:rsidRPr="004A7A39">
        <w:rPr>
          <w:i/>
          <w:iCs/>
          <w:lang w:val="en-US"/>
        </w:rPr>
        <w:t xml:space="preserve"> poor, to go to court to enforce a right that is enshrined in the Constitution and incontestabl</w:t>
      </w:r>
      <w:r w:rsidRPr="009A1D56">
        <w:rPr>
          <w:i/>
          <w:iCs/>
          <w:lang w:val="en-US"/>
        </w:rPr>
        <w:t>e.</w:t>
      </w:r>
      <w:r w:rsidRPr="001227C8">
        <w:rPr>
          <w:i/>
          <w:lang w:val="en-US"/>
        </w:rPr>
        <w:t>”</w:t>
      </w:r>
      <w:r>
        <w:rPr>
          <w:lang w:val="en-US"/>
        </w:rPr>
        <w:t xml:space="preserve"> </w:t>
      </w:r>
    </w:p>
    <w:p w14:paraId="572CFCCC" w14:textId="77777777" w:rsidR="00EB3181" w:rsidRDefault="00EB3181" w:rsidP="00EB3181">
      <w:pPr>
        <w:pStyle w:val="FootnoteText"/>
        <w:ind w:left="720"/>
        <w:rPr>
          <w:lang w:val="en-US"/>
        </w:rPr>
      </w:pPr>
    </w:p>
    <w:p w14:paraId="5D10CC54" w14:textId="77777777" w:rsidR="005320FC" w:rsidRDefault="005320FC" w:rsidP="00EB3181">
      <w:pPr>
        <w:pStyle w:val="FootnoteText"/>
        <w:ind w:left="720"/>
        <w:rPr>
          <w:lang w:val="en-US"/>
        </w:rPr>
      </w:pPr>
    </w:p>
    <w:p w14:paraId="17460498" w14:textId="6CA6DC8D" w:rsidR="00C93CD4" w:rsidRPr="00EB3181" w:rsidRDefault="00F01DF4" w:rsidP="00EB3181">
      <w:pPr>
        <w:pStyle w:val="ListParagraph"/>
        <w:numPr>
          <w:ilvl w:val="0"/>
          <w:numId w:val="2"/>
        </w:numPr>
        <w:tabs>
          <w:tab w:val="left" w:pos="540"/>
        </w:tabs>
        <w:spacing w:after="160" w:line="480" w:lineRule="auto"/>
        <w:ind w:right="1"/>
        <w:rPr>
          <w:rFonts w:ascii="Times New Roman" w:hAnsi="Times New Roman"/>
          <w:sz w:val="20"/>
          <w:lang w:val="en-US"/>
        </w:rPr>
      </w:pPr>
      <w:r w:rsidRPr="00EB3181">
        <w:rPr>
          <w:rFonts w:ascii="Times New Roman" w:hAnsi="Times New Roman"/>
          <w:sz w:val="24"/>
        </w:rPr>
        <w:t xml:space="preserve">The preliminary view </w:t>
      </w:r>
      <w:r w:rsidR="00C93CD4" w:rsidRPr="00EB3181">
        <w:rPr>
          <w:rFonts w:ascii="Times New Roman" w:hAnsi="Times New Roman"/>
          <w:sz w:val="24"/>
        </w:rPr>
        <w:t xml:space="preserve">of the applicant </w:t>
      </w:r>
      <w:r w:rsidR="00C44649" w:rsidRPr="00EB3181">
        <w:rPr>
          <w:rFonts w:ascii="Times New Roman" w:hAnsi="Times New Roman"/>
          <w:sz w:val="24"/>
        </w:rPr>
        <w:t xml:space="preserve">for the </w:t>
      </w:r>
      <w:r w:rsidRPr="00EB3181">
        <w:rPr>
          <w:rFonts w:ascii="Times New Roman" w:hAnsi="Times New Roman"/>
          <w:sz w:val="24"/>
        </w:rPr>
        <w:t>challenge was</w:t>
      </w:r>
      <w:r w:rsidR="00EB3181">
        <w:rPr>
          <w:rFonts w:ascii="Times New Roman" w:hAnsi="Times New Roman"/>
          <w:sz w:val="24"/>
        </w:rPr>
        <w:t xml:space="preserve"> that the second respondent’s </w:t>
      </w:r>
      <w:r w:rsidR="009731FC">
        <w:rPr>
          <w:rFonts w:ascii="Times New Roman" w:hAnsi="Times New Roman"/>
          <w:sz w:val="24"/>
        </w:rPr>
        <w:t>bid</w:t>
      </w:r>
      <w:r w:rsidR="00EB3181">
        <w:rPr>
          <w:rFonts w:ascii="Times New Roman" w:hAnsi="Times New Roman"/>
          <w:sz w:val="24"/>
        </w:rPr>
        <w:t xml:space="preserve"> to the </w:t>
      </w:r>
      <w:r w:rsidR="009731FC">
        <w:rPr>
          <w:rFonts w:ascii="Times New Roman" w:hAnsi="Times New Roman"/>
          <w:sz w:val="24"/>
        </w:rPr>
        <w:t xml:space="preserve">tender </w:t>
      </w:r>
      <w:r w:rsidR="00EB3181">
        <w:rPr>
          <w:rFonts w:ascii="Times New Roman" w:hAnsi="Times New Roman"/>
          <w:sz w:val="24"/>
        </w:rPr>
        <w:t xml:space="preserve">did not </w:t>
      </w:r>
      <w:r>
        <w:rPr>
          <w:rFonts w:ascii="Times New Roman" w:hAnsi="Times New Roman"/>
          <w:sz w:val="24"/>
        </w:rPr>
        <w:t>compl</w:t>
      </w:r>
      <w:r w:rsidR="00EB3181">
        <w:rPr>
          <w:rFonts w:ascii="Times New Roman" w:hAnsi="Times New Roman"/>
          <w:sz w:val="24"/>
        </w:rPr>
        <w:t>y</w:t>
      </w:r>
      <w:r>
        <w:rPr>
          <w:rFonts w:ascii="Times New Roman" w:hAnsi="Times New Roman"/>
          <w:sz w:val="24"/>
        </w:rPr>
        <w:t xml:space="preserve"> with </w:t>
      </w:r>
      <w:r w:rsidR="009731FC">
        <w:rPr>
          <w:rFonts w:ascii="Times New Roman" w:hAnsi="Times New Roman"/>
          <w:sz w:val="24"/>
        </w:rPr>
        <w:t xml:space="preserve">the tender </w:t>
      </w:r>
      <w:r>
        <w:rPr>
          <w:rFonts w:ascii="Times New Roman" w:hAnsi="Times New Roman"/>
          <w:sz w:val="24"/>
        </w:rPr>
        <w:t>specifications</w:t>
      </w:r>
      <w:r w:rsidR="00405F17">
        <w:rPr>
          <w:rFonts w:ascii="Times New Roman" w:hAnsi="Times New Roman"/>
          <w:sz w:val="24"/>
        </w:rPr>
        <w:t xml:space="preserve"> as the printers were of less quality</w:t>
      </w:r>
      <w:r>
        <w:rPr>
          <w:rFonts w:ascii="Times New Roman" w:hAnsi="Times New Roman"/>
          <w:sz w:val="24"/>
        </w:rPr>
        <w:t>. Just on this basis alone it is clear that the applicant needed the bid document</w:t>
      </w:r>
      <w:r w:rsidR="00C93CD4">
        <w:rPr>
          <w:rFonts w:ascii="Times New Roman" w:hAnsi="Times New Roman"/>
          <w:sz w:val="24"/>
        </w:rPr>
        <w:t>s</w:t>
      </w:r>
      <w:r>
        <w:rPr>
          <w:rFonts w:ascii="Times New Roman" w:hAnsi="Times New Roman"/>
          <w:sz w:val="24"/>
        </w:rPr>
        <w:t xml:space="preserve"> to proper</w:t>
      </w:r>
      <w:r w:rsidR="00A75BC8">
        <w:rPr>
          <w:rFonts w:ascii="Times New Roman" w:hAnsi="Times New Roman"/>
          <w:sz w:val="24"/>
        </w:rPr>
        <w:t>ly</w:t>
      </w:r>
      <w:r>
        <w:rPr>
          <w:rFonts w:ascii="Times New Roman" w:hAnsi="Times New Roman"/>
          <w:sz w:val="24"/>
        </w:rPr>
        <w:t xml:space="preserve"> couch and substantiate their </w:t>
      </w:r>
      <w:r w:rsidR="00C93CD4">
        <w:rPr>
          <w:rFonts w:ascii="Times New Roman" w:hAnsi="Times New Roman"/>
          <w:sz w:val="24"/>
        </w:rPr>
        <w:t>claim</w:t>
      </w:r>
      <w:r w:rsidR="00974EC7">
        <w:rPr>
          <w:rFonts w:ascii="Times New Roman" w:hAnsi="Times New Roman"/>
          <w:sz w:val="24"/>
        </w:rPr>
        <w:t>, lest the</w:t>
      </w:r>
      <w:r w:rsidR="00D90B86">
        <w:rPr>
          <w:rFonts w:ascii="Times New Roman" w:hAnsi="Times New Roman"/>
          <w:sz w:val="24"/>
        </w:rPr>
        <w:t>ir</w:t>
      </w:r>
      <w:r w:rsidR="00974EC7">
        <w:rPr>
          <w:rFonts w:ascii="Times New Roman" w:hAnsi="Times New Roman"/>
          <w:sz w:val="24"/>
        </w:rPr>
        <w:t xml:space="preserve"> view </w:t>
      </w:r>
      <w:r w:rsidR="00D90B86">
        <w:rPr>
          <w:rFonts w:ascii="Times New Roman" w:hAnsi="Times New Roman"/>
          <w:sz w:val="24"/>
        </w:rPr>
        <w:t>i</w:t>
      </w:r>
      <w:r w:rsidR="00974EC7">
        <w:rPr>
          <w:rFonts w:ascii="Times New Roman" w:hAnsi="Times New Roman"/>
          <w:sz w:val="24"/>
        </w:rPr>
        <w:t>s based on conjecture</w:t>
      </w:r>
      <w:r w:rsidR="00D90B86">
        <w:rPr>
          <w:rFonts w:ascii="Times New Roman" w:hAnsi="Times New Roman"/>
          <w:sz w:val="24"/>
        </w:rPr>
        <w:t xml:space="preserve"> and suppositions</w:t>
      </w:r>
      <w:r>
        <w:rPr>
          <w:rFonts w:ascii="Times New Roman" w:hAnsi="Times New Roman"/>
          <w:sz w:val="24"/>
        </w:rPr>
        <w:t xml:space="preserve">. The least the first respondent could have done was to request consent from the second respondent if, contrary to the </w:t>
      </w:r>
      <w:r w:rsidR="00C93CD4">
        <w:rPr>
          <w:rFonts w:ascii="Times New Roman" w:hAnsi="Times New Roman"/>
          <w:sz w:val="24"/>
        </w:rPr>
        <w:t>stance</w:t>
      </w:r>
      <w:r>
        <w:rPr>
          <w:rFonts w:ascii="Times New Roman" w:hAnsi="Times New Roman"/>
          <w:sz w:val="24"/>
        </w:rPr>
        <w:t xml:space="preserve"> of the applicant, such consent was required. There is no indication by the </w:t>
      </w:r>
      <w:r w:rsidR="009731FC">
        <w:rPr>
          <w:rFonts w:ascii="Times New Roman" w:hAnsi="Times New Roman"/>
          <w:sz w:val="24"/>
        </w:rPr>
        <w:t xml:space="preserve">first </w:t>
      </w:r>
      <w:r>
        <w:rPr>
          <w:rFonts w:ascii="Times New Roman" w:hAnsi="Times New Roman"/>
          <w:sz w:val="24"/>
        </w:rPr>
        <w:t xml:space="preserve">respondent that in reacting to the application in terms of </w:t>
      </w:r>
      <w:r w:rsidR="00405F17">
        <w:rPr>
          <w:rFonts w:ascii="Times New Roman" w:hAnsi="Times New Roman"/>
          <w:sz w:val="24"/>
        </w:rPr>
        <w:t>R</w:t>
      </w:r>
      <w:r>
        <w:rPr>
          <w:rFonts w:ascii="Times New Roman" w:hAnsi="Times New Roman"/>
          <w:sz w:val="24"/>
        </w:rPr>
        <w:t xml:space="preserve">ule 53 the first respondent sought </w:t>
      </w:r>
      <w:r w:rsidR="00D90B86">
        <w:rPr>
          <w:rFonts w:ascii="Times New Roman" w:hAnsi="Times New Roman"/>
          <w:sz w:val="24"/>
        </w:rPr>
        <w:t xml:space="preserve">and obtained </w:t>
      </w:r>
      <w:r>
        <w:rPr>
          <w:rFonts w:ascii="Times New Roman" w:hAnsi="Times New Roman"/>
          <w:sz w:val="24"/>
        </w:rPr>
        <w:t>the consent of the second respondent to make available the second respondent’s bid documents.</w:t>
      </w:r>
      <w:r w:rsidR="00360CAD">
        <w:rPr>
          <w:rFonts w:ascii="Times New Roman" w:hAnsi="Times New Roman"/>
          <w:sz w:val="24"/>
        </w:rPr>
        <w:t xml:space="preserve"> The attempt </w:t>
      </w:r>
      <w:r w:rsidR="00360CAD">
        <w:rPr>
          <w:rFonts w:ascii="Times New Roman" w:hAnsi="Times New Roman"/>
          <w:sz w:val="24"/>
        </w:rPr>
        <w:lastRenderedPageBreak/>
        <w:t>t</w:t>
      </w:r>
      <w:r w:rsidR="00C93CD4">
        <w:rPr>
          <w:rFonts w:ascii="Times New Roman" w:hAnsi="Times New Roman"/>
          <w:sz w:val="24"/>
        </w:rPr>
        <w:t xml:space="preserve">o </w:t>
      </w:r>
      <w:r w:rsidR="00360CAD">
        <w:rPr>
          <w:rFonts w:ascii="Times New Roman" w:hAnsi="Times New Roman"/>
          <w:sz w:val="24"/>
        </w:rPr>
        <w:t xml:space="preserve">differentiate between the reasons for the decision and the record for decision is </w:t>
      </w:r>
      <w:r w:rsidR="00974EC7">
        <w:rPr>
          <w:rFonts w:ascii="Times New Roman" w:hAnsi="Times New Roman"/>
          <w:sz w:val="24"/>
        </w:rPr>
        <w:t xml:space="preserve">a </w:t>
      </w:r>
      <w:r w:rsidR="00360CAD">
        <w:rPr>
          <w:rFonts w:ascii="Times New Roman" w:hAnsi="Times New Roman"/>
          <w:sz w:val="24"/>
        </w:rPr>
        <w:t>non-starter in this context</w:t>
      </w:r>
      <w:r w:rsidR="00C44649">
        <w:rPr>
          <w:rFonts w:ascii="Times New Roman" w:hAnsi="Times New Roman"/>
          <w:sz w:val="24"/>
        </w:rPr>
        <w:t>.</w:t>
      </w:r>
      <w:r w:rsidR="00C44649" w:rsidRPr="00C44649">
        <w:rPr>
          <w:rFonts w:ascii="Times New Roman" w:hAnsi="Times New Roman"/>
          <w:sz w:val="24"/>
          <w:lang w:val="en-US"/>
        </w:rPr>
        <w:t xml:space="preserve"> In any event on proper reading of section 11(3)</w:t>
      </w:r>
      <w:r w:rsidR="00C93CD4">
        <w:rPr>
          <w:rFonts w:ascii="Times New Roman" w:hAnsi="Times New Roman"/>
          <w:sz w:val="24"/>
          <w:lang w:val="en-US"/>
        </w:rPr>
        <w:t xml:space="preserve"> of PAIA</w:t>
      </w:r>
      <w:r w:rsidR="00C44649" w:rsidRPr="00C44649">
        <w:rPr>
          <w:rFonts w:ascii="Times New Roman" w:hAnsi="Times New Roman"/>
          <w:sz w:val="24"/>
          <w:lang w:val="en-US"/>
        </w:rPr>
        <w:t xml:space="preserve"> the reasons for the request a</w:t>
      </w:r>
      <w:r w:rsidR="00405F17">
        <w:rPr>
          <w:rFonts w:ascii="Times New Roman" w:hAnsi="Times New Roman"/>
          <w:sz w:val="24"/>
          <w:lang w:val="en-US"/>
        </w:rPr>
        <w:t xml:space="preserve">ppears to be </w:t>
      </w:r>
      <w:r w:rsidR="00C44649" w:rsidRPr="00C44649">
        <w:rPr>
          <w:rFonts w:ascii="Times New Roman" w:hAnsi="Times New Roman"/>
          <w:sz w:val="24"/>
          <w:lang w:val="en-US"/>
        </w:rPr>
        <w:t>irrelevant</w:t>
      </w:r>
      <w:r w:rsidR="00360CAD">
        <w:rPr>
          <w:rFonts w:ascii="Times New Roman" w:hAnsi="Times New Roman"/>
          <w:sz w:val="24"/>
        </w:rPr>
        <w:t>.</w:t>
      </w:r>
      <w:r w:rsidR="00E63E4B">
        <w:rPr>
          <w:rStyle w:val="FootnoteReference"/>
          <w:rFonts w:ascii="Times New Roman" w:hAnsi="Times New Roman"/>
          <w:sz w:val="24"/>
        </w:rPr>
        <w:footnoteReference w:id="8"/>
      </w:r>
      <w:r w:rsidR="00360CAD">
        <w:rPr>
          <w:rFonts w:ascii="Times New Roman" w:hAnsi="Times New Roman"/>
          <w:sz w:val="24"/>
        </w:rPr>
        <w:t xml:space="preserve"> </w:t>
      </w:r>
    </w:p>
    <w:p w14:paraId="42F391F0" w14:textId="77777777" w:rsidR="007D3360" w:rsidRPr="00C93CD4" w:rsidRDefault="007D3360" w:rsidP="007D3360">
      <w:pPr>
        <w:pStyle w:val="ListParagraph"/>
        <w:tabs>
          <w:tab w:val="left" w:pos="540"/>
        </w:tabs>
        <w:spacing w:after="160" w:line="480" w:lineRule="auto"/>
        <w:ind w:left="0" w:right="1"/>
        <w:rPr>
          <w:rFonts w:ascii="Times New Roman" w:hAnsi="Times New Roman"/>
          <w:i/>
          <w:iCs/>
          <w:sz w:val="24"/>
        </w:rPr>
      </w:pPr>
    </w:p>
    <w:p w14:paraId="42800204" w14:textId="7316E446" w:rsidR="0087094E" w:rsidRPr="00360CAD" w:rsidRDefault="00360CAD" w:rsidP="00E80E1A">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The applicant could not be expected to challenge the decision to award the tender to the second respondent unless they had sight </w:t>
      </w:r>
      <w:r w:rsidR="00D90B86">
        <w:rPr>
          <w:rFonts w:ascii="Times New Roman" w:hAnsi="Times New Roman"/>
          <w:sz w:val="24"/>
        </w:rPr>
        <w:t>of</w:t>
      </w:r>
      <w:r>
        <w:rPr>
          <w:rFonts w:ascii="Times New Roman" w:hAnsi="Times New Roman"/>
          <w:sz w:val="24"/>
        </w:rPr>
        <w:t xml:space="preserve"> the </w:t>
      </w:r>
      <w:r w:rsidR="00D90B86">
        <w:rPr>
          <w:rFonts w:ascii="Times New Roman" w:hAnsi="Times New Roman"/>
          <w:sz w:val="24"/>
        </w:rPr>
        <w:t>bid</w:t>
      </w:r>
      <w:r>
        <w:rPr>
          <w:rFonts w:ascii="Times New Roman" w:hAnsi="Times New Roman"/>
          <w:sz w:val="24"/>
        </w:rPr>
        <w:t xml:space="preserve"> </w:t>
      </w:r>
      <w:r w:rsidR="00405F17">
        <w:rPr>
          <w:rFonts w:ascii="Times New Roman" w:hAnsi="Times New Roman"/>
          <w:sz w:val="24"/>
        </w:rPr>
        <w:t>of</w:t>
      </w:r>
      <w:r>
        <w:rPr>
          <w:rFonts w:ascii="Times New Roman" w:hAnsi="Times New Roman"/>
          <w:sz w:val="24"/>
        </w:rPr>
        <w:t xml:space="preserve"> the second respondent. </w:t>
      </w:r>
      <w:r w:rsidR="000E095C">
        <w:rPr>
          <w:rFonts w:ascii="Times New Roman" w:hAnsi="Times New Roman"/>
          <w:sz w:val="24"/>
        </w:rPr>
        <w:t>A</w:t>
      </w:r>
      <w:r>
        <w:rPr>
          <w:rFonts w:ascii="Times New Roman" w:hAnsi="Times New Roman"/>
          <w:sz w:val="24"/>
        </w:rPr>
        <w:t xml:space="preserve"> party would </w:t>
      </w:r>
      <w:r w:rsidR="000E095C">
        <w:rPr>
          <w:rFonts w:ascii="Times New Roman" w:hAnsi="Times New Roman"/>
          <w:sz w:val="24"/>
        </w:rPr>
        <w:t xml:space="preserve">ordinarily </w:t>
      </w:r>
      <w:r>
        <w:rPr>
          <w:rFonts w:ascii="Times New Roman" w:hAnsi="Times New Roman"/>
          <w:sz w:val="24"/>
        </w:rPr>
        <w:t>not make sense of the score</w:t>
      </w:r>
      <w:r w:rsidR="00D90B86">
        <w:rPr>
          <w:rFonts w:ascii="Times New Roman" w:hAnsi="Times New Roman"/>
          <w:sz w:val="24"/>
        </w:rPr>
        <w:t xml:space="preserve">s of the bidders </w:t>
      </w:r>
      <w:r>
        <w:rPr>
          <w:rFonts w:ascii="Times New Roman" w:hAnsi="Times New Roman"/>
          <w:sz w:val="24"/>
        </w:rPr>
        <w:t>and minutes of the committee</w:t>
      </w:r>
      <w:r w:rsidR="00405F17">
        <w:rPr>
          <w:rFonts w:ascii="Times New Roman" w:hAnsi="Times New Roman"/>
          <w:sz w:val="24"/>
        </w:rPr>
        <w:t>s</w:t>
      </w:r>
      <w:r>
        <w:rPr>
          <w:rFonts w:ascii="Times New Roman" w:hAnsi="Times New Roman"/>
          <w:sz w:val="24"/>
        </w:rPr>
        <w:t xml:space="preserve"> unless records upon which the score and meeting were convened are made available to such a party. The assertion that the scorecards and the minutes were given to the applicant as a favour is condescending and contemptuous to the rights which are enshrined in the </w:t>
      </w:r>
      <w:r w:rsidR="009A1D56">
        <w:rPr>
          <w:rFonts w:ascii="Times New Roman" w:hAnsi="Times New Roman"/>
          <w:sz w:val="24"/>
        </w:rPr>
        <w:t>C</w:t>
      </w:r>
      <w:r>
        <w:rPr>
          <w:rFonts w:ascii="Times New Roman" w:hAnsi="Times New Roman"/>
          <w:sz w:val="24"/>
        </w:rPr>
        <w:t>onstitution relative to</w:t>
      </w:r>
      <w:r w:rsidR="00D90B86">
        <w:rPr>
          <w:rFonts w:ascii="Times New Roman" w:hAnsi="Times New Roman"/>
          <w:sz w:val="24"/>
        </w:rPr>
        <w:t xml:space="preserve">, </w:t>
      </w:r>
      <w:r w:rsidR="00D90B86" w:rsidRPr="00D90B86">
        <w:rPr>
          <w:rFonts w:ascii="Times New Roman" w:hAnsi="Times New Roman"/>
          <w:i/>
          <w:iCs/>
          <w:sz w:val="24"/>
        </w:rPr>
        <w:t>inter alia</w:t>
      </w:r>
      <w:r w:rsidR="00D90B86">
        <w:rPr>
          <w:rFonts w:ascii="Times New Roman" w:hAnsi="Times New Roman"/>
          <w:sz w:val="24"/>
        </w:rPr>
        <w:t>, fair and transparent</w:t>
      </w:r>
      <w:r>
        <w:rPr>
          <w:rFonts w:ascii="Times New Roman" w:hAnsi="Times New Roman"/>
          <w:sz w:val="24"/>
        </w:rPr>
        <w:t xml:space="preserve"> procurement of goods and services in the public sector</w:t>
      </w:r>
      <w:r w:rsidR="009731FC">
        <w:rPr>
          <w:rFonts w:ascii="Times New Roman" w:hAnsi="Times New Roman"/>
          <w:sz w:val="24"/>
        </w:rPr>
        <w:t xml:space="preserve"> and</w:t>
      </w:r>
      <w:r w:rsidR="000E095C">
        <w:rPr>
          <w:rFonts w:ascii="Times New Roman" w:hAnsi="Times New Roman"/>
          <w:sz w:val="24"/>
        </w:rPr>
        <w:t xml:space="preserve"> if anything</w:t>
      </w:r>
      <w:r w:rsidR="009731FC">
        <w:rPr>
          <w:rFonts w:ascii="Times New Roman" w:hAnsi="Times New Roman"/>
          <w:sz w:val="24"/>
        </w:rPr>
        <w:t>,</w:t>
      </w:r>
      <w:r w:rsidR="000E095C">
        <w:rPr>
          <w:rFonts w:ascii="Times New Roman" w:hAnsi="Times New Roman"/>
          <w:sz w:val="24"/>
        </w:rPr>
        <w:t xml:space="preserve"> the court</w:t>
      </w:r>
      <w:r w:rsidR="00D90B86">
        <w:rPr>
          <w:rFonts w:ascii="Times New Roman" w:hAnsi="Times New Roman"/>
          <w:sz w:val="24"/>
        </w:rPr>
        <w:t>s</w:t>
      </w:r>
      <w:r w:rsidR="000E095C">
        <w:rPr>
          <w:rFonts w:ascii="Times New Roman" w:hAnsi="Times New Roman"/>
          <w:sz w:val="24"/>
        </w:rPr>
        <w:t xml:space="preserve"> should frown at such conduct.</w:t>
      </w:r>
    </w:p>
    <w:p w14:paraId="6606FFD1" w14:textId="77777777" w:rsidR="00360CAD" w:rsidRPr="00360CAD" w:rsidRDefault="00360CAD" w:rsidP="00360CAD">
      <w:pPr>
        <w:pStyle w:val="ListParagraph"/>
        <w:tabs>
          <w:tab w:val="left" w:pos="540"/>
        </w:tabs>
        <w:spacing w:after="160" w:line="480" w:lineRule="auto"/>
        <w:ind w:left="0" w:right="1"/>
        <w:rPr>
          <w:rFonts w:ascii="Times New Roman" w:hAnsi="Times New Roman"/>
          <w:i/>
          <w:iCs/>
          <w:sz w:val="24"/>
        </w:rPr>
      </w:pPr>
    </w:p>
    <w:p w14:paraId="5571D222" w14:textId="50403861" w:rsidR="00360CAD" w:rsidRPr="00F01DF4" w:rsidRDefault="00360CAD" w:rsidP="00E80E1A">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Where a party request information in terms of PAIA and the holder of information refuses to provide information or is presumed to have refused such a public body is </w:t>
      </w:r>
      <w:r w:rsidR="00405F17">
        <w:rPr>
          <w:rFonts w:ascii="Times New Roman" w:hAnsi="Times New Roman"/>
          <w:sz w:val="24"/>
        </w:rPr>
        <w:t xml:space="preserve">ordinarily </w:t>
      </w:r>
      <w:r>
        <w:rPr>
          <w:rFonts w:ascii="Times New Roman" w:hAnsi="Times New Roman"/>
          <w:sz w:val="24"/>
        </w:rPr>
        <w:t>enjoined to direct the requester to a body to whom an appeal should be lodged</w:t>
      </w:r>
      <w:r w:rsidR="00974EC7">
        <w:rPr>
          <w:rFonts w:ascii="Times New Roman" w:hAnsi="Times New Roman"/>
          <w:sz w:val="24"/>
        </w:rPr>
        <w:t xml:space="preserve"> if a party wishes to challenge the decision to refuse</w:t>
      </w:r>
      <w:r>
        <w:rPr>
          <w:rFonts w:ascii="Times New Roman" w:hAnsi="Times New Roman"/>
          <w:sz w:val="24"/>
        </w:rPr>
        <w:t>.</w:t>
      </w:r>
      <w:r w:rsidR="000E095C">
        <w:rPr>
          <w:rFonts w:ascii="Times New Roman" w:hAnsi="Times New Roman"/>
          <w:sz w:val="24"/>
        </w:rPr>
        <w:t xml:space="preserve"> This will help avoid unnecessarily frustrating bidders and minimi</w:t>
      </w:r>
      <w:r w:rsidR="009A1D56">
        <w:rPr>
          <w:rFonts w:ascii="Times New Roman" w:hAnsi="Times New Roman"/>
          <w:sz w:val="24"/>
        </w:rPr>
        <w:t>se</w:t>
      </w:r>
      <w:r w:rsidR="000E095C">
        <w:rPr>
          <w:rFonts w:ascii="Times New Roman" w:hAnsi="Times New Roman"/>
          <w:sz w:val="24"/>
        </w:rPr>
        <w:t xml:space="preserve"> burdening </w:t>
      </w:r>
      <w:r w:rsidR="009731FC">
        <w:rPr>
          <w:rFonts w:ascii="Times New Roman" w:hAnsi="Times New Roman"/>
          <w:sz w:val="24"/>
        </w:rPr>
        <w:t xml:space="preserve">the </w:t>
      </w:r>
      <w:r w:rsidR="000E095C">
        <w:rPr>
          <w:rFonts w:ascii="Times New Roman" w:hAnsi="Times New Roman"/>
          <w:sz w:val="24"/>
        </w:rPr>
        <w:t xml:space="preserve">courts with frivolous </w:t>
      </w:r>
      <w:r w:rsidR="009731FC">
        <w:rPr>
          <w:rFonts w:ascii="Times New Roman" w:hAnsi="Times New Roman"/>
          <w:sz w:val="24"/>
        </w:rPr>
        <w:t>applications</w:t>
      </w:r>
      <w:r w:rsidR="000E095C">
        <w:rPr>
          <w:rFonts w:ascii="Times New Roman" w:hAnsi="Times New Roman"/>
          <w:sz w:val="24"/>
        </w:rPr>
        <w:t>.</w:t>
      </w:r>
    </w:p>
    <w:p w14:paraId="6CE6B23D" w14:textId="77777777" w:rsidR="00F01DF4" w:rsidRPr="00062F44" w:rsidRDefault="00F01DF4" w:rsidP="00F01DF4">
      <w:pPr>
        <w:pStyle w:val="ListParagraph"/>
        <w:tabs>
          <w:tab w:val="left" w:pos="540"/>
        </w:tabs>
        <w:spacing w:after="160" w:line="480" w:lineRule="auto"/>
        <w:ind w:left="0" w:right="1"/>
        <w:rPr>
          <w:rFonts w:ascii="Times New Roman" w:hAnsi="Times New Roman"/>
          <w:i/>
          <w:iCs/>
          <w:sz w:val="24"/>
        </w:rPr>
      </w:pPr>
    </w:p>
    <w:p w14:paraId="284A9733" w14:textId="3BCB99A8" w:rsidR="00E63E4B" w:rsidRPr="008A144C" w:rsidRDefault="00D90B86" w:rsidP="00F01DF4">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This court finds that n</w:t>
      </w:r>
      <w:r w:rsidR="001F3D46">
        <w:rPr>
          <w:rFonts w:ascii="Times New Roman" w:hAnsi="Times New Roman"/>
          <w:sz w:val="24"/>
        </w:rPr>
        <w:t xml:space="preserve">otwithstanding the </w:t>
      </w:r>
      <w:r>
        <w:rPr>
          <w:rFonts w:ascii="Times New Roman" w:hAnsi="Times New Roman"/>
          <w:sz w:val="24"/>
        </w:rPr>
        <w:t xml:space="preserve">observations </w:t>
      </w:r>
      <w:r w:rsidR="001F3D46">
        <w:rPr>
          <w:rFonts w:ascii="Times New Roman" w:hAnsi="Times New Roman"/>
          <w:sz w:val="24"/>
        </w:rPr>
        <w:t xml:space="preserve">alluded to above the applicant has problems </w:t>
      </w:r>
      <w:r w:rsidR="00360CAD">
        <w:rPr>
          <w:rFonts w:ascii="Times New Roman" w:hAnsi="Times New Roman"/>
          <w:sz w:val="24"/>
        </w:rPr>
        <w:t>which beset the approach</w:t>
      </w:r>
      <w:r w:rsidR="00974EC7">
        <w:rPr>
          <w:rFonts w:ascii="Times New Roman" w:hAnsi="Times New Roman"/>
          <w:sz w:val="24"/>
        </w:rPr>
        <w:t xml:space="preserve"> it took</w:t>
      </w:r>
      <w:r w:rsidR="00360CAD">
        <w:rPr>
          <w:rFonts w:ascii="Times New Roman" w:hAnsi="Times New Roman"/>
          <w:sz w:val="24"/>
        </w:rPr>
        <w:t xml:space="preserve"> </w:t>
      </w:r>
      <w:r w:rsidR="000E095C">
        <w:rPr>
          <w:rFonts w:ascii="Times New Roman" w:hAnsi="Times New Roman"/>
          <w:sz w:val="24"/>
        </w:rPr>
        <w:t>when</w:t>
      </w:r>
      <w:r w:rsidR="00360CAD">
        <w:rPr>
          <w:rFonts w:ascii="Times New Roman" w:hAnsi="Times New Roman"/>
          <w:sz w:val="24"/>
        </w:rPr>
        <w:t xml:space="preserve"> </w:t>
      </w:r>
      <w:r w:rsidR="001F3D46">
        <w:rPr>
          <w:rFonts w:ascii="Times New Roman" w:hAnsi="Times New Roman"/>
          <w:sz w:val="24"/>
        </w:rPr>
        <w:t>invoking the provisions of PAIA.</w:t>
      </w:r>
      <w:r w:rsidR="00360CAD">
        <w:rPr>
          <w:rFonts w:ascii="Times New Roman" w:hAnsi="Times New Roman"/>
          <w:sz w:val="24"/>
        </w:rPr>
        <w:t xml:space="preserve"> The provisions of the PAIA were considered by the full court in </w:t>
      </w:r>
      <w:r w:rsidR="00107966" w:rsidRPr="00107966">
        <w:rPr>
          <w:rFonts w:ascii="Times New Roman" w:hAnsi="Times New Roman"/>
          <w:i/>
          <w:iCs/>
          <w:sz w:val="24"/>
        </w:rPr>
        <w:t>Paul</w:t>
      </w:r>
      <w:r w:rsidR="007D3360">
        <w:rPr>
          <w:rFonts w:ascii="Times New Roman" w:hAnsi="Times New Roman"/>
          <w:i/>
          <w:iCs/>
          <w:sz w:val="24"/>
        </w:rPr>
        <w:t xml:space="preserve">’s </w:t>
      </w:r>
      <w:r w:rsidR="007D3360" w:rsidRPr="007D3360">
        <w:rPr>
          <w:rFonts w:ascii="Times New Roman" w:hAnsi="Times New Roman"/>
          <w:sz w:val="24"/>
        </w:rPr>
        <w:t>judgment</w:t>
      </w:r>
      <w:r w:rsidR="00974EC7">
        <w:rPr>
          <w:rStyle w:val="FootnoteReference"/>
          <w:rFonts w:ascii="Times New Roman" w:hAnsi="Times New Roman"/>
          <w:sz w:val="24"/>
        </w:rPr>
        <w:footnoteReference w:id="9"/>
      </w:r>
      <w:r w:rsidR="00107966" w:rsidRPr="00107966">
        <w:rPr>
          <w:rFonts w:ascii="Times New Roman" w:hAnsi="Times New Roman"/>
          <w:sz w:val="24"/>
        </w:rPr>
        <w:t xml:space="preserve"> where </w:t>
      </w:r>
      <w:r w:rsidR="00107966" w:rsidRPr="00107966">
        <w:rPr>
          <w:rFonts w:ascii="Times New Roman" w:hAnsi="Times New Roman"/>
          <w:sz w:val="24"/>
        </w:rPr>
        <w:lastRenderedPageBreak/>
        <w:t>the court made the following observations.</w:t>
      </w:r>
      <w:r w:rsidR="00107966">
        <w:rPr>
          <w:rFonts w:ascii="Times New Roman" w:hAnsi="Times New Roman"/>
          <w:sz w:val="24"/>
        </w:rPr>
        <w:t xml:space="preserve"> First, that </w:t>
      </w:r>
      <w:r w:rsidR="001D7887">
        <w:rPr>
          <w:rFonts w:ascii="Times New Roman" w:hAnsi="Times New Roman"/>
          <w:i/>
          <w:iCs/>
          <w:sz w:val="24"/>
        </w:rPr>
        <w:t>“</w:t>
      </w:r>
      <w:r w:rsidR="00107966" w:rsidRPr="00107966">
        <w:rPr>
          <w:rFonts w:ascii="Times New Roman" w:hAnsi="Times New Roman"/>
          <w:i/>
          <w:iCs/>
          <w:sz w:val="24"/>
        </w:rPr>
        <w:t xml:space="preserve">[O]ne of the things which stand out in section 11 is that compliance with procedural requirements of PAIA is not optional. If any of the </w:t>
      </w:r>
      <w:r w:rsidR="001D7887">
        <w:rPr>
          <w:rFonts w:ascii="Times New Roman" w:hAnsi="Times New Roman"/>
          <w:i/>
          <w:iCs/>
          <w:sz w:val="24"/>
        </w:rPr>
        <w:t xml:space="preserve">procedural </w:t>
      </w:r>
      <w:r w:rsidR="00107966" w:rsidRPr="00107966">
        <w:rPr>
          <w:rFonts w:ascii="Times New Roman" w:hAnsi="Times New Roman"/>
          <w:i/>
          <w:iCs/>
          <w:sz w:val="24"/>
        </w:rPr>
        <w:t>requirements is not complied with, the requester is not entitled to the record</w:t>
      </w:r>
      <w:r w:rsidR="00107966">
        <w:rPr>
          <w:rFonts w:ascii="Times New Roman" w:hAnsi="Times New Roman"/>
          <w:sz w:val="24"/>
        </w:rPr>
        <w:t>”.</w:t>
      </w:r>
      <w:r w:rsidR="004A7A39">
        <w:rPr>
          <w:rStyle w:val="FootnoteReference"/>
          <w:rFonts w:ascii="Times New Roman" w:hAnsi="Times New Roman"/>
          <w:sz w:val="24"/>
        </w:rPr>
        <w:footnoteReference w:id="10"/>
      </w:r>
      <w:r w:rsidR="00107966">
        <w:rPr>
          <w:rFonts w:ascii="Times New Roman" w:hAnsi="Times New Roman"/>
          <w:sz w:val="24"/>
        </w:rPr>
        <w:t xml:space="preserve">  Second</w:t>
      </w:r>
      <w:r w:rsidR="00010400">
        <w:rPr>
          <w:rFonts w:ascii="Times New Roman" w:hAnsi="Times New Roman"/>
          <w:sz w:val="24"/>
        </w:rPr>
        <w:t>ly,</w:t>
      </w:r>
      <w:r w:rsidR="00107966">
        <w:rPr>
          <w:rFonts w:ascii="Times New Roman" w:hAnsi="Times New Roman"/>
          <w:sz w:val="24"/>
        </w:rPr>
        <w:t xml:space="preserve"> unlike the usual pr</w:t>
      </w:r>
      <w:r w:rsidR="00616790">
        <w:rPr>
          <w:rFonts w:ascii="Times New Roman" w:hAnsi="Times New Roman"/>
          <w:sz w:val="24"/>
        </w:rPr>
        <w:t>ocedure se</w:t>
      </w:r>
      <w:r w:rsidR="009E01D5">
        <w:rPr>
          <w:rFonts w:ascii="Times New Roman" w:hAnsi="Times New Roman"/>
          <w:sz w:val="24"/>
        </w:rPr>
        <w:t>t</w:t>
      </w:r>
      <w:r w:rsidR="00616790">
        <w:rPr>
          <w:rFonts w:ascii="Times New Roman" w:hAnsi="Times New Roman"/>
          <w:sz w:val="24"/>
        </w:rPr>
        <w:t xml:space="preserve"> out in</w:t>
      </w:r>
      <w:r w:rsidR="00107966">
        <w:rPr>
          <w:rFonts w:ascii="Times New Roman" w:hAnsi="Times New Roman"/>
          <w:sz w:val="24"/>
        </w:rPr>
        <w:t xml:space="preserve"> Rule 6 </w:t>
      </w:r>
      <w:r w:rsidR="001D749F">
        <w:rPr>
          <w:rFonts w:ascii="Times New Roman" w:hAnsi="Times New Roman"/>
          <w:sz w:val="24"/>
        </w:rPr>
        <w:t xml:space="preserve">of the </w:t>
      </w:r>
      <w:r w:rsidR="00010400">
        <w:rPr>
          <w:rFonts w:ascii="Times New Roman" w:hAnsi="Times New Roman"/>
          <w:sz w:val="24"/>
        </w:rPr>
        <w:t xml:space="preserve">Uniform Rules of Court </w:t>
      </w:r>
      <w:r w:rsidR="00107966">
        <w:rPr>
          <w:rFonts w:ascii="Times New Roman" w:hAnsi="Times New Roman"/>
          <w:sz w:val="24"/>
        </w:rPr>
        <w:t xml:space="preserve">in which </w:t>
      </w:r>
      <w:r>
        <w:rPr>
          <w:rFonts w:ascii="Times New Roman" w:hAnsi="Times New Roman"/>
          <w:sz w:val="24"/>
        </w:rPr>
        <w:t>F</w:t>
      </w:r>
      <w:r w:rsidR="00107966">
        <w:rPr>
          <w:rFonts w:ascii="Times New Roman" w:hAnsi="Times New Roman"/>
          <w:sz w:val="24"/>
        </w:rPr>
        <w:t xml:space="preserve">orm 2(a) is </w:t>
      </w:r>
      <w:r w:rsidR="00010400">
        <w:rPr>
          <w:rFonts w:ascii="Times New Roman" w:hAnsi="Times New Roman"/>
          <w:sz w:val="24"/>
        </w:rPr>
        <w:t xml:space="preserve">used to commence motion proceedings, PAIA prescribes its </w:t>
      </w:r>
      <w:r w:rsidR="007D3360">
        <w:rPr>
          <w:rFonts w:ascii="Times New Roman" w:hAnsi="Times New Roman"/>
          <w:sz w:val="24"/>
        </w:rPr>
        <w:t xml:space="preserve">own </w:t>
      </w:r>
      <w:r w:rsidR="00010400">
        <w:rPr>
          <w:rFonts w:ascii="Times New Roman" w:hAnsi="Times New Roman"/>
          <w:sz w:val="24"/>
        </w:rPr>
        <w:t xml:space="preserve">specific form of the </w:t>
      </w:r>
      <w:r w:rsidR="009E01D5">
        <w:rPr>
          <w:rFonts w:ascii="Times New Roman" w:hAnsi="Times New Roman"/>
          <w:sz w:val="24"/>
        </w:rPr>
        <w:t>n</w:t>
      </w:r>
      <w:r w:rsidR="00010400">
        <w:rPr>
          <w:rFonts w:ascii="Times New Roman" w:hAnsi="Times New Roman"/>
          <w:sz w:val="24"/>
        </w:rPr>
        <w:t xml:space="preserve">otice of </w:t>
      </w:r>
      <w:r w:rsidR="009E01D5">
        <w:rPr>
          <w:rFonts w:ascii="Times New Roman" w:hAnsi="Times New Roman"/>
          <w:sz w:val="24"/>
        </w:rPr>
        <w:t>m</w:t>
      </w:r>
      <w:r w:rsidR="00010400">
        <w:rPr>
          <w:rFonts w:ascii="Times New Roman" w:hAnsi="Times New Roman"/>
          <w:sz w:val="24"/>
        </w:rPr>
        <w:t xml:space="preserve">otion for section 78 court applications, in terms of </w:t>
      </w:r>
      <w:r w:rsidR="00405F17">
        <w:rPr>
          <w:rFonts w:ascii="Times New Roman" w:hAnsi="Times New Roman"/>
          <w:sz w:val="24"/>
        </w:rPr>
        <w:t>R</w:t>
      </w:r>
      <w:r w:rsidR="00010400">
        <w:rPr>
          <w:rFonts w:ascii="Times New Roman" w:hAnsi="Times New Roman"/>
          <w:sz w:val="24"/>
        </w:rPr>
        <w:t>ule 2 and 3.</w:t>
      </w:r>
      <w:r w:rsidR="00010400">
        <w:rPr>
          <w:rStyle w:val="FootnoteReference"/>
          <w:rFonts w:ascii="Times New Roman" w:hAnsi="Times New Roman"/>
          <w:sz w:val="24"/>
        </w:rPr>
        <w:footnoteReference w:id="11"/>
      </w:r>
      <w:r w:rsidR="00010400">
        <w:rPr>
          <w:rFonts w:ascii="Times New Roman" w:hAnsi="Times New Roman"/>
          <w:sz w:val="24"/>
        </w:rPr>
        <w:t xml:space="preserve"> </w:t>
      </w:r>
      <w:r w:rsidR="00E63E4B">
        <w:rPr>
          <w:rFonts w:ascii="Times New Roman" w:hAnsi="Times New Roman"/>
          <w:sz w:val="24"/>
        </w:rPr>
        <w:t xml:space="preserve"> The notice of motion should, </w:t>
      </w:r>
      <w:r w:rsidR="00E63E4B" w:rsidRPr="00E63E4B">
        <w:rPr>
          <w:rFonts w:ascii="Times New Roman" w:hAnsi="Times New Roman"/>
          <w:i/>
          <w:iCs/>
          <w:sz w:val="24"/>
        </w:rPr>
        <w:t>inter alia</w:t>
      </w:r>
      <w:r w:rsidR="00E63E4B">
        <w:rPr>
          <w:rFonts w:ascii="Times New Roman" w:hAnsi="Times New Roman"/>
          <w:sz w:val="24"/>
        </w:rPr>
        <w:t>, stipulate if there was compl</w:t>
      </w:r>
      <w:r w:rsidR="007D3360">
        <w:rPr>
          <w:rFonts w:ascii="Times New Roman" w:hAnsi="Times New Roman"/>
          <w:sz w:val="24"/>
        </w:rPr>
        <w:t>iance</w:t>
      </w:r>
      <w:r w:rsidR="00E63E4B">
        <w:rPr>
          <w:rFonts w:ascii="Times New Roman" w:hAnsi="Times New Roman"/>
          <w:sz w:val="24"/>
        </w:rPr>
        <w:t xml:space="preserve"> with section 74 in terms of which internal remedies would have been exhausted</w:t>
      </w:r>
      <w:r w:rsidR="002C0801">
        <w:rPr>
          <w:rFonts w:ascii="Times New Roman" w:hAnsi="Times New Roman"/>
          <w:sz w:val="24"/>
        </w:rPr>
        <w:t>.</w:t>
      </w:r>
      <w:r w:rsidR="002C0801">
        <w:rPr>
          <w:rStyle w:val="FootnoteReference"/>
          <w:rFonts w:ascii="Times New Roman" w:hAnsi="Times New Roman"/>
          <w:sz w:val="24"/>
        </w:rPr>
        <w:footnoteReference w:id="12"/>
      </w:r>
      <w:r w:rsidR="002C0801">
        <w:rPr>
          <w:rFonts w:ascii="Times New Roman" w:hAnsi="Times New Roman"/>
          <w:sz w:val="24"/>
        </w:rPr>
        <w:t xml:space="preserve"> </w:t>
      </w:r>
      <w:r w:rsidR="00E63E4B">
        <w:rPr>
          <w:rFonts w:ascii="Times New Roman" w:hAnsi="Times New Roman"/>
          <w:sz w:val="24"/>
        </w:rPr>
        <w:t xml:space="preserve">Thirdly there is also a tendency to </w:t>
      </w:r>
      <w:r w:rsidR="00E63E4B" w:rsidRPr="001227C8">
        <w:rPr>
          <w:rFonts w:ascii="Times New Roman" w:hAnsi="Times New Roman"/>
          <w:i/>
          <w:sz w:val="24"/>
        </w:rPr>
        <w:t>“…</w:t>
      </w:r>
      <w:r w:rsidR="00405F17" w:rsidRPr="001227C8">
        <w:rPr>
          <w:rFonts w:ascii="Times New Roman" w:hAnsi="Times New Roman"/>
          <w:i/>
          <w:sz w:val="24"/>
        </w:rPr>
        <w:t xml:space="preserve"> </w:t>
      </w:r>
      <w:r w:rsidR="00E63E4B" w:rsidRPr="00E63E4B">
        <w:rPr>
          <w:rFonts w:ascii="Times New Roman" w:hAnsi="Times New Roman"/>
          <w:i/>
          <w:iCs/>
          <w:sz w:val="24"/>
        </w:rPr>
        <w:t xml:space="preserve">confuse PAIA applications with applications </w:t>
      </w:r>
      <w:r w:rsidR="001D7887">
        <w:rPr>
          <w:rFonts w:ascii="Times New Roman" w:hAnsi="Times New Roman"/>
          <w:i/>
          <w:iCs/>
          <w:sz w:val="24"/>
        </w:rPr>
        <w:t xml:space="preserve">in respect </w:t>
      </w:r>
      <w:r w:rsidR="00E63E4B" w:rsidRPr="00E63E4B">
        <w:rPr>
          <w:rFonts w:ascii="Times New Roman" w:hAnsi="Times New Roman"/>
          <w:i/>
          <w:iCs/>
          <w:sz w:val="24"/>
        </w:rPr>
        <w:t>of PAJA. These two types of applications are different and should not be conflated or confused. PAIA applications must comply fully with PAIA and any provisions or procedure under PAJA are of no assistance in the pursuit of relief under PAIA”</w:t>
      </w:r>
      <w:r w:rsidR="00E63E4B">
        <w:rPr>
          <w:rFonts w:ascii="Times New Roman" w:hAnsi="Times New Roman"/>
          <w:sz w:val="24"/>
        </w:rPr>
        <w:t>.</w:t>
      </w:r>
      <w:r w:rsidR="002C0801">
        <w:rPr>
          <w:rStyle w:val="FootnoteReference"/>
          <w:rFonts w:ascii="Times New Roman" w:hAnsi="Times New Roman"/>
          <w:sz w:val="24"/>
        </w:rPr>
        <w:footnoteReference w:id="13"/>
      </w:r>
      <w:r w:rsidR="00A75BC8">
        <w:rPr>
          <w:rFonts w:ascii="Times New Roman" w:hAnsi="Times New Roman"/>
          <w:sz w:val="24"/>
        </w:rPr>
        <w:t xml:space="preserve"> </w:t>
      </w:r>
      <w:r w:rsidR="001D7887">
        <w:rPr>
          <w:rFonts w:ascii="Times New Roman" w:hAnsi="Times New Roman"/>
          <w:sz w:val="24"/>
        </w:rPr>
        <w:t xml:space="preserve"> </w:t>
      </w:r>
      <w:r w:rsidR="001D749F">
        <w:rPr>
          <w:rFonts w:ascii="Times New Roman" w:hAnsi="Times New Roman"/>
          <w:sz w:val="24"/>
        </w:rPr>
        <w:t>Finally, i</w:t>
      </w:r>
      <w:r w:rsidR="00A75BC8">
        <w:rPr>
          <w:rFonts w:ascii="Times New Roman" w:hAnsi="Times New Roman"/>
          <w:sz w:val="24"/>
        </w:rPr>
        <w:t>t must also be clear from the application whether the information was</w:t>
      </w:r>
      <w:r>
        <w:rPr>
          <w:rFonts w:ascii="Times New Roman" w:hAnsi="Times New Roman"/>
          <w:sz w:val="24"/>
        </w:rPr>
        <w:t xml:space="preserve"> availed </w:t>
      </w:r>
      <w:r w:rsidR="00A75BC8">
        <w:rPr>
          <w:rFonts w:ascii="Times New Roman" w:hAnsi="Times New Roman"/>
          <w:sz w:val="24"/>
        </w:rPr>
        <w:t>in terms of section 25</w:t>
      </w:r>
      <w:r w:rsidR="001D749F">
        <w:rPr>
          <w:rStyle w:val="FootnoteReference"/>
          <w:rFonts w:ascii="Times New Roman" w:hAnsi="Times New Roman"/>
          <w:sz w:val="24"/>
        </w:rPr>
        <w:footnoteReference w:id="14"/>
      </w:r>
      <w:r w:rsidR="00A75BC8">
        <w:rPr>
          <w:rFonts w:ascii="Times New Roman" w:hAnsi="Times New Roman"/>
          <w:sz w:val="24"/>
        </w:rPr>
        <w:t xml:space="preserve"> or whether refusal</w:t>
      </w:r>
      <w:r w:rsidR="007612BE">
        <w:rPr>
          <w:rFonts w:ascii="Times New Roman" w:hAnsi="Times New Roman"/>
          <w:sz w:val="24"/>
        </w:rPr>
        <w:t xml:space="preserve"> to provide such information </w:t>
      </w:r>
      <w:r w:rsidR="00A75BC8">
        <w:rPr>
          <w:rFonts w:ascii="Times New Roman" w:hAnsi="Times New Roman"/>
          <w:sz w:val="24"/>
        </w:rPr>
        <w:t xml:space="preserve">is deemed in terms of section </w:t>
      </w:r>
      <w:r w:rsidR="00A75BC8">
        <w:rPr>
          <w:rFonts w:ascii="Times New Roman" w:hAnsi="Times New Roman"/>
          <w:sz w:val="24"/>
        </w:rPr>
        <w:lastRenderedPageBreak/>
        <w:t>27</w:t>
      </w:r>
      <w:r w:rsidR="001E63F2">
        <w:rPr>
          <w:rStyle w:val="FootnoteReference"/>
          <w:rFonts w:ascii="Times New Roman" w:hAnsi="Times New Roman"/>
          <w:sz w:val="24"/>
        </w:rPr>
        <w:footnoteReference w:id="15"/>
      </w:r>
      <w:r w:rsidR="00CF5941">
        <w:rPr>
          <w:rFonts w:ascii="Times New Roman" w:hAnsi="Times New Roman"/>
          <w:sz w:val="24"/>
        </w:rPr>
        <w:t xml:space="preserve"> of PAIA</w:t>
      </w:r>
      <w:r w:rsidR="00A75BC8">
        <w:rPr>
          <w:rFonts w:ascii="Times New Roman" w:hAnsi="Times New Roman"/>
          <w:sz w:val="24"/>
        </w:rPr>
        <w:t>.</w:t>
      </w:r>
      <w:r w:rsidR="006E4BDF">
        <w:rPr>
          <w:rFonts w:ascii="Times New Roman" w:hAnsi="Times New Roman"/>
          <w:sz w:val="24"/>
        </w:rPr>
        <w:t xml:space="preserve"> Non</w:t>
      </w:r>
      <w:r w:rsidR="002D1793">
        <w:rPr>
          <w:rFonts w:ascii="Times New Roman" w:hAnsi="Times New Roman"/>
          <w:sz w:val="24"/>
        </w:rPr>
        <w:t>-</w:t>
      </w:r>
      <w:r w:rsidR="006E4BDF">
        <w:rPr>
          <w:rFonts w:ascii="Times New Roman" w:hAnsi="Times New Roman"/>
          <w:sz w:val="24"/>
        </w:rPr>
        <w:t>compliance with the PAIA and the rules is therefore fatal to the application.</w:t>
      </w:r>
      <w:r w:rsidR="006E4BDF">
        <w:rPr>
          <w:rStyle w:val="FootnoteReference"/>
          <w:rFonts w:ascii="Times New Roman" w:hAnsi="Times New Roman"/>
          <w:sz w:val="24"/>
        </w:rPr>
        <w:footnoteReference w:id="16"/>
      </w:r>
      <w:r w:rsidR="002D1793">
        <w:rPr>
          <w:rFonts w:ascii="Times New Roman" w:hAnsi="Times New Roman"/>
          <w:sz w:val="24"/>
        </w:rPr>
        <w:t xml:space="preserve"> Despite this assertion </w:t>
      </w:r>
      <w:r w:rsidR="009E01D5">
        <w:rPr>
          <w:rFonts w:ascii="Times New Roman" w:hAnsi="Times New Roman"/>
          <w:sz w:val="24"/>
        </w:rPr>
        <w:t xml:space="preserve">this court is of the view </w:t>
      </w:r>
      <w:r w:rsidR="009731FC">
        <w:rPr>
          <w:rFonts w:ascii="Times New Roman" w:hAnsi="Times New Roman"/>
          <w:sz w:val="24"/>
        </w:rPr>
        <w:t xml:space="preserve">that </w:t>
      </w:r>
      <w:r w:rsidR="002D1793">
        <w:rPr>
          <w:rFonts w:ascii="Times New Roman" w:hAnsi="Times New Roman"/>
          <w:sz w:val="24"/>
        </w:rPr>
        <w:t xml:space="preserve">access to justice should ordinarily not be sacrificed </w:t>
      </w:r>
      <w:r w:rsidR="00405F17">
        <w:rPr>
          <w:rFonts w:ascii="Times New Roman" w:hAnsi="Times New Roman"/>
          <w:sz w:val="24"/>
        </w:rPr>
        <w:t>at</w:t>
      </w:r>
      <w:r w:rsidR="002D1793">
        <w:rPr>
          <w:rFonts w:ascii="Times New Roman" w:hAnsi="Times New Roman"/>
          <w:sz w:val="24"/>
        </w:rPr>
        <w:t xml:space="preserve"> the alt</w:t>
      </w:r>
      <w:r w:rsidR="00197EE5">
        <w:rPr>
          <w:rFonts w:ascii="Times New Roman" w:hAnsi="Times New Roman"/>
          <w:sz w:val="24"/>
        </w:rPr>
        <w:t>a</w:t>
      </w:r>
      <w:r w:rsidR="002D1793">
        <w:rPr>
          <w:rFonts w:ascii="Times New Roman" w:hAnsi="Times New Roman"/>
          <w:sz w:val="24"/>
        </w:rPr>
        <w:t>r of strict procedural formalities</w:t>
      </w:r>
      <w:r w:rsidR="007612BE">
        <w:rPr>
          <w:rFonts w:ascii="Times New Roman" w:hAnsi="Times New Roman"/>
          <w:sz w:val="24"/>
        </w:rPr>
        <w:t xml:space="preserve"> and</w:t>
      </w:r>
      <w:r w:rsidR="002D1793">
        <w:rPr>
          <w:rFonts w:ascii="Times New Roman" w:hAnsi="Times New Roman"/>
          <w:sz w:val="24"/>
        </w:rPr>
        <w:t xml:space="preserve"> as such where warranted flexibility should be accommodated</w:t>
      </w:r>
      <w:r w:rsidR="00E46F65">
        <w:rPr>
          <w:rFonts w:ascii="Times New Roman" w:hAnsi="Times New Roman"/>
          <w:sz w:val="24"/>
        </w:rPr>
        <w:t xml:space="preserve"> and defining hallmark should rather be substantial compliance</w:t>
      </w:r>
      <w:r w:rsidR="007612BE">
        <w:rPr>
          <w:rFonts w:ascii="Times New Roman" w:hAnsi="Times New Roman"/>
          <w:sz w:val="24"/>
        </w:rPr>
        <w:t xml:space="preserve"> with the Act</w:t>
      </w:r>
      <w:r w:rsidR="002D1793">
        <w:rPr>
          <w:rFonts w:ascii="Times New Roman" w:hAnsi="Times New Roman"/>
          <w:sz w:val="24"/>
        </w:rPr>
        <w:t xml:space="preserve">. </w:t>
      </w:r>
    </w:p>
    <w:p w14:paraId="50974E20" w14:textId="77777777" w:rsidR="00E63E4B" w:rsidRPr="00E63E4B" w:rsidRDefault="00E63E4B" w:rsidP="00E63E4B">
      <w:pPr>
        <w:pStyle w:val="ListParagraph"/>
        <w:rPr>
          <w:rFonts w:ascii="Times New Roman" w:hAnsi="Times New Roman"/>
          <w:sz w:val="24"/>
        </w:rPr>
      </w:pPr>
    </w:p>
    <w:p w14:paraId="5FCBB1AF" w14:textId="0CD2A337" w:rsidR="00F01DF4" w:rsidRPr="007612BE" w:rsidRDefault="00F01DF4" w:rsidP="00F01DF4">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A party who seeks a redress in terms of a specific statute is enjoined to ensure that the requirements </w:t>
      </w:r>
      <w:r w:rsidR="007612BE">
        <w:rPr>
          <w:rFonts w:ascii="Times New Roman" w:hAnsi="Times New Roman"/>
          <w:sz w:val="24"/>
        </w:rPr>
        <w:t xml:space="preserve">set out in that statute </w:t>
      </w:r>
      <w:r>
        <w:rPr>
          <w:rFonts w:ascii="Times New Roman" w:hAnsi="Times New Roman"/>
          <w:sz w:val="24"/>
        </w:rPr>
        <w:t xml:space="preserve">are met </w:t>
      </w:r>
      <w:r w:rsidR="00AD6F01">
        <w:rPr>
          <w:rFonts w:ascii="Times New Roman" w:hAnsi="Times New Roman"/>
          <w:sz w:val="24"/>
        </w:rPr>
        <w:t>before</w:t>
      </w:r>
      <w:r>
        <w:rPr>
          <w:rFonts w:ascii="Times New Roman" w:hAnsi="Times New Roman"/>
          <w:sz w:val="24"/>
        </w:rPr>
        <w:t xml:space="preserve"> the redress could be</w:t>
      </w:r>
      <w:r w:rsidR="00405F17">
        <w:rPr>
          <w:rFonts w:ascii="Times New Roman" w:hAnsi="Times New Roman"/>
          <w:sz w:val="24"/>
        </w:rPr>
        <w:t xml:space="preserve"> sought in terms thereof</w:t>
      </w:r>
      <w:r>
        <w:rPr>
          <w:rFonts w:ascii="Times New Roman" w:hAnsi="Times New Roman"/>
          <w:sz w:val="24"/>
        </w:rPr>
        <w:t xml:space="preserve">. The applicant has in this instance failed to bring the application within the four corners of </w:t>
      </w:r>
      <w:r w:rsidR="00405F17">
        <w:rPr>
          <w:rFonts w:ascii="Times New Roman" w:hAnsi="Times New Roman"/>
          <w:sz w:val="24"/>
        </w:rPr>
        <w:t xml:space="preserve">PAIA </w:t>
      </w:r>
      <w:r>
        <w:rPr>
          <w:rFonts w:ascii="Times New Roman" w:hAnsi="Times New Roman"/>
          <w:sz w:val="24"/>
        </w:rPr>
        <w:t xml:space="preserve">and to this end Part A of the application </w:t>
      </w:r>
      <w:r w:rsidR="00405F17">
        <w:rPr>
          <w:rFonts w:ascii="Times New Roman" w:hAnsi="Times New Roman"/>
          <w:sz w:val="24"/>
        </w:rPr>
        <w:t>is</w:t>
      </w:r>
      <w:r>
        <w:rPr>
          <w:rFonts w:ascii="Times New Roman" w:hAnsi="Times New Roman"/>
          <w:sz w:val="24"/>
        </w:rPr>
        <w:t xml:space="preserve"> </w:t>
      </w:r>
      <w:r w:rsidR="007612BE">
        <w:rPr>
          <w:rFonts w:ascii="Times New Roman" w:hAnsi="Times New Roman"/>
          <w:sz w:val="24"/>
        </w:rPr>
        <w:t>unsustainable</w:t>
      </w:r>
      <w:r>
        <w:rPr>
          <w:rFonts w:ascii="Times New Roman" w:hAnsi="Times New Roman"/>
          <w:sz w:val="24"/>
        </w:rPr>
        <w:t xml:space="preserve">. In any event the required documents have </w:t>
      </w:r>
      <w:r w:rsidR="002D1793">
        <w:rPr>
          <w:rFonts w:ascii="Times New Roman" w:hAnsi="Times New Roman"/>
          <w:sz w:val="24"/>
        </w:rPr>
        <w:t xml:space="preserve">been </w:t>
      </w:r>
      <w:r>
        <w:rPr>
          <w:rFonts w:ascii="Times New Roman" w:hAnsi="Times New Roman"/>
          <w:sz w:val="24"/>
        </w:rPr>
        <w:t xml:space="preserve">provided </w:t>
      </w:r>
      <w:r w:rsidR="002D1793">
        <w:rPr>
          <w:rFonts w:ascii="Times New Roman" w:hAnsi="Times New Roman"/>
          <w:sz w:val="24"/>
        </w:rPr>
        <w:t xml:space="preserve">in terms of </w:t>
      </w:r>
      <w:r>
        <w:rPr>
          <w:rFonts w:ascii="Times New Roman" w:hAnsi="Times New Roman"/>
          <w:sz w:val="24"/>
        </w:rPr>
        <w:t>the provisions of Rule 53 of the Uniform Rules of Court.</w:t>
      </w:r>
      <w:r w:rsidR="006E4BDF">
        <w:rPr>
          <w:rFonts w:ascii="Times New Roman" w:hAnsi="Times New Roman"/>
          <w:sz w:val="24"/>
        </w:rPr>
        <w:t xml:space="preserve"> </w:t>
      </w:r>
      <w:r w:rsidR="00405F17">
        <w:rPr>
          <w:rFonts w:ascii="Times New Roman" w:hAnsi="Times New Roman"/>
          <w:sz w:val="24"/>
        </w:rPr>
        <w:t>As such</w:t>
      </w:r>
      <w:r w:rsidR="001D749F">
        <w:rPr>
          <w:rFonts w:ascii="Times New Roman" w:hAnsi="Times New Roman"/>
          <w:sz w:val="24"/>
        </w:rPr>
        <w:t>,</w:t>
      </w:r>
      <w:r w:rsidR="006E4BDF">
        <w:rPr>
          <w:rFonts w:ascii="Times New Roman" w:hAnsi="Times New Roman"/>
          <w:sz w:val="24"/>
        </w:rPr>
        <w:t xml:space="preserve"> </w:t>
      </w:r>
      <w:r w:rsidR="007612BE">
        <w:rPr>
          <w:rFonts w:ascii="Times New Roman" w:hAnsi="Times New Roman"/>
          <w:sz w:val="24"/>
        </w:rPr>
        <w:t xml:space="preserve">Part A </w:t>
      </w:r>
      <w:r w:rsidR="006E4BDF">
        <w:rPr>
          <w:rFonts w:ascii="Times New Roman" w:hAnsi="Times New Roman"/>
          <w:sz w:val="24"/>
        </w:rPr>
        <w:t xml:space="preserve">was unnecessary as it sought to duplicate what </w:t>
      </w:r>
      <w:r w:rsidR="00405F17">
        <w:rPr>
          <w:rFonts w:ascii="Times New Roman" w:hAnsi="Times New Roman"/>
          <w:sz w:val="24"/>
        </w:rPr>
        <w:t>R</w:t>
      </w:r>
      <w:r w:rsidR="006E4BDF">
        <w:rPr>
          <w:rFonts w:ascii="Times New Roman" w:hAnsi="Times New Roman"/>
          <w:sz w:val="24"/>
        </w:rPr>
        <w:t>ule 53 caters for.</w:t>
      </w:r>
      <w:r w:rsidR="002D1793">
        <w:rPr>
          <w:rFonts w:ascii="Times New Roman" w:hAnsi="Times New Roman"/>
          <w:sz w:val="24"/>
        </w:rPr>
        <w:t xml:space="preserve"> </w:t>
      </w:r>
      <w:r w:rsidR="007612BE">
        <w:rPr>
          <w:rFonts w:ascii="Times New Roman" w:hAnsi="Times New Roman"/>
          <w:sz w:val="24"/>
        </w:rPr>
        <w:t xml:space="preserve">In the end, in view of the lack of prospects of success on the merits of the claims in Part A </w:t>
      </w:r>
      <w:r w:rsidR="00AD0922">
        <w:rPr>
          <w:rFonts w:ascii="Times New Roman" w:hAnsi="Times New Roman"/>
          <w:sz w:val="24"/>
        </w:rPr>
        <w:t>the p</w:t>
      </w:r>
      <w:r w:rsidR="007612BE">
        <w:rPr>
          <w:rFonts w:ascii="Times New Roman" w:hAnsi="Times New Roman"/>
          <w:sz w:val="24"/>
        </w:rPr>
        <w:t xml:space="preserve">rayer for legal costs would </w:t>
      </w:r>
      <w:r w:rsidR="00AD0922">
        <w:rPr>
          <w:rFonts w:ascii="Times New Roman" w:hAnsi="Times New Roman"/>
          <w:sz w:val="24"/>
        </w:rPr>
        <w:t>not b</w:t>
      </w:r>
      <w:r w:rsidR="007612BE">
        <w:rPr>
          <w:rFonts w:ascii="Times New Roman" w:hAnsi="Times New Roman"/>
          <w:sz w:val="24"/>
        </w:rPr>
        <w:t>e successful.</w:t>
      </w:r>
    </w:p>
    <w:p w14:paraId="5FB507C1" w14:textId="77777777" w:rsidR="004C003D" w:rsidRPr="004C003D" w:rsidRDefault="004C003D" w:rsidP="004C003D">
      <w:pPr>
        <w:pStyle w:val="ListParagraph"/>
        <w:rPr>
          <w:rFonts w:ascii="Times New Roman" w:hAnsi="Times New Roman"/>
          <w:i/>
          <w:iCs/>
          <w:sz w:val="24"/>
        </w:rPr>
      </w:pPr>
    </w:p>
    <w:p w14:paraId="20F48592" w14:textId="199E98C0" w:rsidR="004C003D" w:rsidRPr="0087094E" w:rsidRDefault="004C003D" w:rsidP="00F01DF4">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The </w:t>
      </w:r>
      <w:r w:rsidR="008A144C">
        <w:rPr>
          <w:rFonts w:ascii="Times New Roman" w:hAnsi="Times New Roman"/>
          <w:sz w:val="24"/>
        </w:rPr>
        <w:t xml:space="preserve">court has observed that the </w:t>
      </w:r>
      <w:r>
        <w:rPr>
          <w:rFonts w:ascii="Times New Roman" w:hAnsi="Times New Roman"/>
          <w:sz w:val="24"/>
        </w:rPr>
        <w:t>counsel for the applicant contended that</w:t>
      </w:r>
      <w:r w:rsidR="009E01D5">
        <w:rPr>
          <w:rFonts w:ascii="Times New Roman" w:hAnsi="Times New Roman"/>
          <w:sz w:val="24"/>
        </w:rPr>
        <w:t xml:space="preserve"> </w:t>
      </w:r>
      <w:r w:rsidR="00405F17">
        <w:rPr>
          <w:rFonts w:ascii="Times New Roman" w:hAnsi="Times New Roman"/>
          <w:sz w:val="24"/>
        </w:rPr>
        <w:t xml:space="preserve">the </w:t>
      </w:r>
      <w:r w:rsidR="009E01D5">
        <w:rPr>
          <w:rFonts w:ascii="Times New Roman" w:hAnsi="Times New Roman"/>
          <w:sz w:val="24"/>
        </w:rPr>
        <w:t>applicant made</w:t>
      </w:r>
      <w:r>
        <w:rPr>
          <w:rFonts w:ascii="Times New Roman" w:hAnsi="Times New Roman"/>
          <w:sz w:val="24"/>
        </w:rPr>
        <w:t xml:space="preserve"> </w:t>
      </w:r>
      <w:r w:rsidRPr="001227C8">
        <w:rPr>
          <w:rFonts w:ascii="Times New Roman" w:hAnsi="Times New Roman"/>
          <w:i/>
          <w:sz w:val="24"/>
        </w:rPr>
        <w:t>“</w:t>
      </w:r>
      <w:r w:rsidR="00405F17" w:rsidRPr="001227C8">
        <w:rPr>
          <w:rFonts w:ascii="Times New Roman" w:hAnsi="Times New Roman"/>
          <w:i/>
          <w:sz w:val="24"/>
        </w:rPr>
        <w:t>…</w:t>
      </w:r>
      <w:r w:rsidR="00AD6F01">
        <w:rPr>
          <w:rFonts w:ascii="Times New Roman" w:hAnsi="Times New Roman"/>
          <w:i/>
          <w:iCs/>
          <w:sz w:val="24"/>
        </w:rPr>
        <w:t xml:space="preserve"> </w:t>
      </w:r>
      <w:r w:rsidRPr="009A1F14">
        <w:rPr>
          <w:rFonts w:ascii="Times New Roman" w:hAnsi="Times New Roman"/>
          <w:i/>
          <w:iCs/>
          <w:sz w:val="24"/>
        </w:rPr>
        <w:t>every effort to comply with all internal remedies</w:t>
      </w:r>
      <w:r w:rsidR="000B5FF8" w:rsidRPr="009A1F14">
        <w:rPr>
          <w:rFonts w:ascii="Times New Roman" w:hAnsi="Times New Roman"/>
          <w:i/>
          <w:iCs/>
          <w:sz w:val="24"/>
        </w:rPr>
        <w:t xml:space="preserve">, in so far as they were available and had no other choice but </w:t>
      </w:r>
      <w:r w:rsidR="00035281">
        <w:rPr>
          <w:rFonts w:ascii="Times New Roman" w:hAnsi="Times New Roman"/>
          <w:i/>
          <w:iCs/>
          <w:sz w:val="24"/>
        </w:rPr>
        <w:t xml:space="preserve">to </w:t>
      </w:r>
      <w:r w:rsidR="000B5FF8" w:rsidRPr="009A1F14">
        <w:rPr>
          <w:rFonts w:ascii="Times New Roman" w:hAnsi="Times New Roman"/>
          <w:i/>
          <w:iCs/>
          <w:sz w:val="24"/>
        </w:rPr>
        <w:t xml:space="preserve">bring the current application and specifically </w:t>
      </w:r>
      <w:r w:rsidR="009A1F14" w:rsidRPr="009A1F14">
        <w:rPr>
          <w:rFonts w:ascii="Times New Roman" w:hAnsi="Times New Roman"/>
          <w:i/>
          <w:iCs/>
          <w:sz w:val="24"/>
        </w:rPr>
        <w:t>insert PART A thereof”</w:t>
      </w:r>
      <w:r w:rsidR="009A1F14">
        <w:rPr>
          <w:rStyle w:val="FootnoteReference"/>
          <w:rFonts w:ascii="Times New Roman" w:hAnsi="Times New Roman"/>
          <w:i/>
          <w:iCs/>
          <w:sz w:val="24"/>
        </w:rPr>
        <w:footnoteReference w:id="17"/>
      </w:r>
      <w:r w:rsidR="009A1F14" w:rsidRPr="009A1F14">
        <w:rPr>
          <w:rFonts w:ascii="Times New Roman" w:hAnsi="Times New Roman"/>
          <w:i/>
          <w:iCs/>
          <w:sz w:val="24"/>
        </w:rPr>
        <w:t>.</w:t>
      </w:r>
      <w:r w:rsidR="000B5FF8">
        <w:rPr>
          <w:rFonts w:ascii="Times New Roman" w:hAnsi="Times New Roman"/>
          <w:sz w:val="24"/>
        </w:rPr>
        <w:t xml:space="preserve"> At the same time the applicant contends that the re</w:t>
      </w:r>
      <w:r w:rsidR="00405F17">
        <w:rPr>
          <w:rFonts w:ascii="Times New Roman" w:hAnsi="Times New Roman"/>
          <w:sz w:val="24"/>
        </w:rPr>
        <w:t>lief</w:t>
      </w:r>
      <w:r w:rsidR="000B5FF8">
        <w:rPr>
          <w:rFonts w:ascii="Times New Roman" w:hAnsi="Times New Roman"/>
          <w:sz w:val="24"/>
        </w:rPr>
        <w:t xml:space="preserve"> it could have obtained by exhausting internal remed</w:t>
      </w:r>
      <w:r w:rsidR="00405F17">
        <w:rPr>
          <w:rFonts w:ascii="Times New Roman" w:hAnsi="Times New Roman"/>
          <w:sz w:val="24"/>
        </w:rPr>
        <w:t>ies</w:t>
      </w:r>
      <w:r w:rsidR="000B5FF8">
        <w:rPr>
          <w:rFonts w:ascii="Times New Roman" w:hAnsi="Times New Roman"/>
          <w:sz w:val="24"/>
        </w:rPr>
        <w:t xml:space="preserve"> would in any event</w:t>
      </w:r>
      <w:r w:rsidR="00AD6F01">
        <w:rPr>
          <w:rFonts w:ascii="Times New Roman" w:hAnsi="Times New Roman"/>
          <w:sz w:val="24"/>
        </w:rPr>
        <w:t xml:space="preserve"> </w:t>
      </w:r>
      <w:r w:rsidR="000B5FF8" w:rsidRPr="001227C8">
        <w:rPr>
          <w:rFonts w:ascii="Times New Roman" w:hAnsi="Times New Roman"/>
          <w:i/>
          <w:sz w:val="24"/>
        </w:rPr>
        <w:t>“</w:t>
      </w:r>
      <w:r w:rsidR="00405F17" w:rsidRPr="001227C8">
        <w:rPr>
          <w:rFonts w:ascii="Times New Roman" w:hAnsi="Times New Roman"/>
          <w:i/>
          <w:sz w:val="24"/>
        </w:rPr>
        <w:t>…</w:t>
      </w:r>
      <w:r w:rsidR="00AD6F01" w:rsidRPr="001227C8">
        <w:rPr>
          <w:rFonts w:ascii="Times New Roman" w:hAnsi="Times New Roman"/>
          <w:i/>
          <w:sz w:val="24"/>
        </w:rPr>
        <w:t xml:space="preserve"> </w:t>
      </w:r>
      <w:r w:rsidR="000B5FF8" w:rsidRPr="000B5FF8">
        <w:rPr>
          <w:rFonts w:ascii="Times New Roman" w:hAnsi="Times New Roman"/>
          <w:i/>
          <w:iCs/>
          <w:sz w:val="24"/>
        </w:rPr>
        <w:t xml:space="preserve">not provide the </w:t>
      </w:r>
      <w:r w:rsidR="00035281">
        <w:rPr>
          <w:rFonts w:ascii="Times New Roman" w:hAnsi="Times New Roman"/>
          <w:i/>
          <w:iCs/>
          <w:sz w:val="24"/>
        </w:rPr>
        <w:t>A</w:t>
      </w:r>
      <w:r w:rsidR="000B5FF8" w:rsidRPr="000B5FF8">
        <w:rPr>
          <w:rFonts w:ascii="Times New Roman" w:hAnsi="Times New Roman"/>
          <w:i/>
          <w:iCs/>
          <w:sz w:val="24"/>
        </w:rPr>
        <w:t>pplicant with the relief that is equivalent to the relief t</w:t>
      </w:r>
      <w:r w:rsidR="00035281">
        <w:rPr>
          <w:rFonts w:ascii="Times New Roman" w:hAnsi="Times New Roman"/>
          <w:i/>
          <w:iCs/>
          <w:sz w:val="24"/>
        </w:rPr>
        <w:t>hat a C</w:t>
      </w:r>
      <w:r w:rsidR="000B5FF8" w:rsidRPr="000B5FF8">
        <w:rPr>
          <w:rFonts w:ascii="Times New Roman" w:hAnsi="Times New Roman"/>
          <w:i/>
          <w:iCs/>
          <w:sz w:val="24"/>
        </w:rPr>
        <w:t xml:space="preserve">ourt can grant upon review making judicial </w:t>
      </w:r>
      <w:r w:rsidR="000B5FF8" w:rsidRPr="000B5FF8">
        <w:rPr>
          <w:rFonts w:ascii="Times New Roman" w:hAnsi="Times New Roman"/>
          <w:i/>
          <w:iCs/>
          <w:sz w:val="24"/>
        </w:rPr>
        <w:lastRenderedPageBreak/>
        <w:t xml:space="preserve">review the only option available to the </w:t>
      </w:r>
      <w:r w:rsidR="00F56C3F">
        <w:rPr>
          <w:rFonts w:ascii="Times New Roman" w:hAnsi="Times New Roman"/>
          <w:i/>
          <w:iCs/>
          <w:sz w:val="24"/>
        </w:rPr>
        <w:t>A</w:t>
      </w:r>
      <w:r w:rsidR="000B5FF8" w:rsidRPr="000B5FF8">
        <w:rPr>
          <w:rFonts w:ascii="Times New Roman" w:hAnsi="Times New Roman"/>
          <w:i/>
          <w:iCs/>
          <w:sz w:val="24"/>
        </w:rPr>
        <w:t>pplicant”.</w:t>
      </w:r>
      <w:r w:rsidR="000B5FF8">
        <w:rPr>
          <w:rStyle w:val="FootnoteReference"/>
          <w:rFonts w:ascii="Times New Roman" w:hAnsi="Times New Roman"/>
          <w:i/>
          <w:iCs/>
          <w:sz w:val="24"/>
        </w:rPr>
        <w:footnoteReference w:id="18"/>
      </w:r>
      <w:r w:rsidR="000B5FF8">
        <w:rPr>
          <w:rFonts w:ascii="Times New Roman" w:hAnsi="Times New Roman"/>
          <w:sz w:val="24"/>
        </w:rPr>
        <w:t xml:space="preserve">  </w:t>
      </w:r>
      <w:r w:rsidR="009A1F14">
        <w:rPr>
          <w:rFonts w:ascii="Times New Roman" w:hAnsi="Times New Roman"/>
          <w:sz w:val="24"/>
        </w:rPr>
        <w:t>The applicant appears to have been approbating and reprobating and in this direction</w:t>
      </w:r>
      <w:r w:rsidR="009E01D5">
        <w:rPr>
          <w:rFonts w:ascii="Times New Roman" w:hAnsi="Times New Roman"/>
          <w:sz w:val="24"/>
        </w:rPr>
        <w:t xml:space="preserve"> the applicant</w:t>
      </w:r>
      <w:r w:rsidR="009A1F14">
        <w:rPr>
          <w:rFonts w:ascii="Times New Roman" w:hAnsi="Times New Roman"/>
          <w:sz w:val="24"/>
        </w:rPr>
        <w:t xml:space="preserve"> subtly requested condonation with</w:t>
      </w:r>
      <w:r w:rsidR="009E01D5">
        <w:rPr>
          <w:rFonts w:ascii="Times New Roman" w:hAnsi="Times New Roman"/>
          <w:sz w:val="24"/>
        </w:rPr>
        <w:t>out</w:t>
      </w:r>
      <w:r w:rsidR="009A1F14">
        <w:rPr>
          <w:rFonts w:ascii="Times New Roman" w:hAnsi="Times New Roman"/>
          <w:sz w:val="24"/>
        </w:rPr>
        <w:t xml:space="preserve"> more by </w:t>
      </w:r>
      <w:r w:rsidR="009E01D5">
        <w:rPr>
          <w:rFonts w:ascii="Times New Roman" w:hAnsi="Times New Roman"/>
          <w:sz w:val="24"/>
        </w:rPr>
        <w:t xml:space="preserve">just </w:t>
      </w:r>
      <w:r w:rsidR="009A1F14">
        <w:rPr>
          <w:rFonts w:ascii="Times New Roman" w:hAnsi="Times New Roman"/>
          <w:sz w:val="24"/>
        </w:rPr>
        <w:t xml:space="preserve">stating that </w:t>
      </w:r>
      <w:r w:rsidR="009A1F14" w:rsidRPr="001227C8">
        <w:rPr>
          <w:rFonts w:ascii="Times New Roman" w:hAnsi="Times New Roman"/>
          <w:i/>
          <w:sz w:val="24"/>
        </w:rPr>
        <w:t>“</w:t>
      </w:r>
      <w:r w:rsidR="009A1F14" w:rsidRPr="009A1F14">
        <w:rPr>
          <w:rFonts w:ascii="Times New Roman" w:hAnsi="Times New Roman"/>
          <w:i/>
          <w:iCs/>
          <w:sz w:val="24"/>
        </w:rPr>
        <w:t>[I]f the Applicant has no</w:t>
      </w:r>
      <w:r w:rsidR="009E01D5">
        <w:rPr>
          <w:rFonts w:ascii="Times New Roman" w:hAnsi="Times New Roman"/>
          <w:i/>
          <w:iCs/>
          <w:sz w:val="24"/>
        </w:rPr>
        <w:t>t</w:t>
      </w:r>
      <w:r w:rsidR="009A1F14" w:rsidRPr="009A1F14">
        <w:rPr>
          <w:rFonts w:ascii="Times New Roman" w:hAnsi="Times New Roman"/>
          <w:i/>
          <w:iCs/>
          <w:sz w:val="24"/>
        </w:rPr>
        <w:t xml:space="preserve"> complied with PAIA (which is denied), then the Applicant seeks condonation for </w:t>
      </w:r>
      <w:r w:rsidR="009A1F14" w:rsidRPr="009A1F14">
        <w:rPr>
          <w:rFonts w:ascii="Times New Roman" w:hAnsi="Times New Roman"/>
          <w:i/>
          <w:iCs/>
          <w:sz w:val="24"/>
          <w:u w:val="single"/>
        </w:rPr>
        <w:t>any</w:t>
      </w:r>
      <w:r w:rsidR="009A1F14" w:rsidRPr="009A1F14">
        <w:rPr>
          <w:rFonts w:ascii="Times New Roman" w:hAnsi="Times New Roman"/>
          <w:i/>
          <w:iCs/>
          <w:sz w:val="24"/>
        </w:rPr>
        <w:t xml:space="preserve"> non-compli</w:t>
      </w:r>
      <w:r w:rsidR="009A1F14">
        <w:rPr>
          <w:rFonts w:ascii="Times New Roman" w:hAnsi="Times New Roman"/>
          <w:i/>
          <w:iCs/>
          <w:sz w:val="24"/>
        </w:rPr>
        <w:t>a</w:t>
      </w:r>
      <w:r w:rsidR="009A1F14" w:rsidRPr="009A1F14">
        <w:rPr>
          <w:rFonts w:ascii="Times New Roman" w:hAnsi="Times New Roman"/>
          <w:i/>
          <w:iCs/>
          <w:sz w:val="24"/>
        </w:rPr>
        <w:t>nce”</w:t>
      </w:r>
      <w:r w:rsidR="009A1F14">
        <w:rPr>
          <w:rFonts w:ascii="Times New Roman" w:hAnsi="Times New Roman"/>
          <w:sz w:val="24"/>
        </w:rPr>
        <w:t>,</w:t>
      </w:r>
      <w:r w:rsidR="009A1F14">
        <w:rPr>
          <w:rStyle w:val="FootnoteReference"/>
          <w:rFonts w:ascii="Times New Roman" w:hAnsi="Times New Roman"/>
          <w:sz w:val="24"/>
        </w:rPr>
        <w:footnoteReference w:id="19"/>
      </w:r>
      <w:r w:rsidR="009A1F14">
        <w:rPr>
          <w:rFonts w:ascii="Times New Roman" w:hAnsi="Times New Roman"/>
          <w:sz w:val="24"/>
        </w:rPr>
        <w:t xml:space="preserve"> (</w:t>
      </w:r>
      <w:r w:rsidR="00405F17">
        <w:rPr>
          <w:rFonts w:ascii="Times New Roman" w:hAnsi="Times New Roman"/>
          <w:sz w:val="24"/>
        </w:rPr>
        <w:t>underlining</w:t>
      </w:r>
      <w:r w:rsidR="009A1F14">
        <w:rPr>
          <w:rFonts w:ascii="Times New Roman" w:hAnsi="Times New Roman"/>
          <w:sz w:val="24"/>
        </w:rPr>
        <w:t xml:space="preserve"> added). Further that </w:t>
      </w:r>
      <w:r w:rsidR="009A1F14" w:rsidRPr="001227C8">
        <w:rPr>
          <w:rFonts w:ascii="Times New Roman" w:hAnsi="Times New Roman"/>
          <w:i/>
          <w:sz w:val="24"/>
        </w:rPr>
        <w:t>“</w:t>
      </w:r>
      <w:r w:rsidR="009A1F14" w:rsidRPr="009A1F14">
        <w:rPr>
          <w:rFonts w:ascii="Times New Roman" w:hAnsi="Times New Roman"/>
          <w:i/>
          <w:iCs/>
          <w:sz w:val="24"/>
        </w:rPr>
        <w:t xml:space="preserve">[I]n so far as this Honourable </w:t>
      </w:r>
      <w:r w:rsidR="00F56C3F">
        <w:rPr>
          <w:rFonts w:ascii="Times New Roman" w:hAnsi="Times New Roman"/>
          <w:i/>
          <w:iCs/>
          <w:sz w:val="24"/>
        </w:rPr>
        <w:t>C</w:t>
      </w:r>
      <w:r w:rsidR="009A1F14" w:rsidRPr="009A1F14">
        <w:rPr>
          <w:rFonts w:ascii="Times New Roman" w:hAnsi="Times New Roman"/>
          <w:i/>
          <w:iCs/>
          <w:sz w:val="24"/>
        </w:rPr>
        <w:t>ourt finds that the Applicant should have complied with section 74 of PAIA, the Applicant humbly seeks condonation in this regard</w:t>
      </w:r>
      <w:r w:rsidR="009A1F14">
        <w:rPr>
          <w:rFonts w:ascii="Times New Roman" w:hAnsi="Times New Roman"/>
          <w:sz w:val="24"/>
        </w:rPr>
        <w:t>”.</w:t>
      </w:r>
      <w:r w:rsidR="009A1F14">
        <w:rPr>
          <w:rStyle w:val="FootnoteReference"/>
          <w:rFonts w:ascii="Times New Roman" w:hAnsi="Times New Roman"/>
          <w:sz w:val="24"/>
        </w:rPr>
        <w:footnoteReference w:id="20"/>
      </w:r>
      <w:r w:rsidR="009A1F14">
        <w:rPr>
          <w:rFonts w:ascii="Times New Roman" w:hAnsi="Times New Roman"/>
          <w:sz w:val="24"/>
        </w:rPr>
        <w:t xml:space="preserve"> Even more startling the applicant submitted that </w:t>
      </w:r>
      <w:r w:rsidR="009A1F14" w:rsidRPr="001227C8">
        <w:rPr>
          <w:rFonts w:ascii="Times New Roman" w:hAnsi="Times New Roman"/>
          <w:i/>
          <w:sz w:val="24"/>
        </w:rPr>
        <w:t>“</w:t>
      </w:r>
      <w:r w:rsidR="00B4490E">
        <w:rPr>
          <w:rFonts w:ascii="Times New Roman" w:hAnsi="Times New Roman"/>
          <w:i/>
          <w:iCs/>
          <w:sz w:val="24"/>
        </w:rPr>
        <w:t>T</w:t>
      </w:r>
      <w:r w:rsidR="009A1F14" w:rsidRPr="009E01D5">
        <w:rPr>
          <w:rFonts w:ascii="Times New Roman" w:hAnsi="Times New Roman"/>
          <w:i/>
          <w:iCs/>
          <w:sz w:val="24"/>
        </w:rPr>
        <w:t xml:space="preserve">he </w:t>
      </w:r>
      <w:r w:rsidR="00B4490E">
        <w:rPr>
          <w:rFonts w:ascii="Times New Roman" w:hAnsi="Times New Roman"/>
          <w:i/>
          <w:iCs/>
          <w:sz w:val="24"/>
        </w:rPr>
        <w:t>A</w:t>
      </w:r>
      <w:r w:rsidR="009A1F14" w:rsidRPr="009E01D5">
        <w:rPr>
          <w:rFonts w:ascii="Times New Roman" w:hAnsi="Times New Roman"/>
          <w:i/>
          <w:iCs/>
          <w:sz w:val="24"/>
        </w:rPr>
        <w:t xml:space="preserve">pplicant has thus been wholly successful in respect of Part A, and costs should be awarded </w:t>
      </w:r>
      <w:r w:rsidR="00B4490E">
        <w:rPr>
          <w:rFonts w:ascii="Times New Roman" w:hAnsi="Times New Roman"/>
          <w:i/>
          <w:iCs/>
          <w:sz w:val="24"/>
        </w:rPr>
        <w:t xml:space="preserve">in the Applicant’s </w:t>
      </w:r>
      <w:r w:rsidR="009A1F14" w:rsidRPr="009E01D5">
        <w:rPr>
          <w:rFonts w:ascii="Times New Roman" w:hAnsi="Times New Roman"/>
          <w:i/>
          <w:iCs/>
          <w:sz w:val="24"/>
        </w:rPr>
        <w:t>favour</w:t>
      </w:r>
      <w:r w:rsidR="009E01D5" w:rsidRPr="001227C8">
        <w:rPr>
          <w:rFonts w:ascii="Times New Roman" w:hAnsi="Times New Roman"/>
          <w:i/>
          <w:sz w:val="24"/>
        </w:rPr>
        <w:t>”</w:t>
      </w:r>
      <w:r w:rsidR="009A1F14">
        <w:rPr>
          <w:rFonts w:ascii="Times New Roman" w:hAnsi="Times New Roman"/>
          <w:sz w:val="24"/>
        </w:rPr>
        <w:t>.</w:t>
      </w:r>
      <w:r w:rsidR="009E01D5">
        <w:rPr>
          <w:rStyle w:val="FootnoteReference"/>
          <w:rFonts w:ascii="Times New Roman" w:hAnsi="Times New Roman"/>
          <w:sz w:val="24"/>
        </w:rPr>
        <w:footnoteReference w:id="21"/>
      </w:r>
    </w:p>
    <w:p w14:paraId="7A9F6851" w14:textId="77777777" w:rsidR="00AD0922" w:rsidRPr="008A144C" w:rsidRDefault="00AD0922" w:rsidP="00AD0922">
      <w:pPr>
        <w:pStyle w:val="ListParagraph"/>
        <w:tabs>
          <w:tab w:val="left" w:pos="540"/>
        </w:tabs>
        <w:spacing w:after="160" w:line="480" w:lineRule="auto"/>
        <w:ind w:left="0" w:right="1"/>
        <w:rPr>
          <w:rFonts w:ascii="Times New Roman" w:hAnsi="Times New Roman"/>
          <w:i/>
          <w:iCs/>
          <w:sz w:val="24"/>
        </w:rPr>
      </w:pPr>
    </w:p>
    <w:p w14:paraId="5071EE66" w14:textId="77FB3EFD" w:rsidR="00AD0922" w:rsidRPr="00E63E4B" w:rsidRDefault="00AD0922" w:rsidP="00AD0922">
      <w:pPr>
        <w:pStyle w:val="ListParagraph"/>
        <w:numPr>
          <w:ilvl w:val="0"/>
          <w:numId w:val="2"/>
        </w:numPr>
        <w:tabs>
          <w:tab w:val="left" w:pos="540"/>
        </w:tabs>
        <w:spacing w:line="480" w:lineRule="auto"/>
        <w:ind w:right="1"/>
        <w:rPr>
          <w:rFonts w:ascii="Times New Roman" w:hAnsi="Times New Roman"/>
          <w:i/>
          <w:iCs/>
          <w:sz w:val="24"/>
        </w:rPr>
      </w:pPr>
      <w:r>
        <w:rPr>
          <w:rFonts w:ascii="Times New Roman" w:hAnsi="Times New Roman"/>
          <w:sz w:val="24"/>
        </w:rPr>
        <w:t xml:space="preserve"> In view of the nonchalant approach by the applicant regarding the request for condonation th</w:t>
      </w:r>
      <w:r w:rsidR="00F67D47">
        <w:rPr>
          <w:rFonts w:ascii="Times New Roman" w:hAnsi="Times New Roman"/>
          <w:sz w:val="24"/>
        </w:rPr>
        <w:t xml:space="preserve">ere is no basis to give </w:t>
      </w:r>
      <w:r w:rsidR="009731FC">
        <w:rPr>
          <w:rFonts w:ascii="Times New Roman" w:hAnsi="Times New Roman"/>
          <w:sz w:val="24"/>
        </w:rPr>
        <w:t xml:space="preserve">the request </w:t>
      </w:r>
      <w:r>
        <w:rPr>
          <w:rFonts w:ascii="Times New Roman" w:hAnsi="Times New Roman"/>
          <w:sz w:val="24"/>
        </w:rPr>
        <w:t xml:space="preserve">further attention </w:t>
      </w:r>
      <w:r w:rsidR="00F67D47">
        <w:rPr>
          <w:rFonts w:ascii="Times New Roman" w:hAnsi="Times New Roman"/>
          <w:sz w:val="24"/>
        </w:rPr>
        <w:t xml:space="preserve">by </w:t>
      </w:r>
      <w:r>
        <w:rPr>
          <w:rFonts w:ascii="Times New Roman" w:hAnsi="Times New Roman"/>
          <w:sz w:val="24"/>
        </w:rPr>
        <w:t>this court and the request for condonation is bound to fail.</w:t>
      </w:r>
    </w:p>
    <w:p w14:paraId="7A39964D" w14:textId="24373540" w:rsidR="00E80E1A" w:rsidRPr="002D1793" w:rsidRDefault="002D1793" w:rsidP="00AD0922">
      <w:pPr>
        <w:rPr>
          <w:rFonts w:ascii="Times New Roman" w:hAnsi="Times New Roman"/>
          <w:bCs/>
          <w:i/>
          <w:iCs/>
          <w:sz w:val="24"/>
        </w:rPr>
      </w:pPr>
      <w:r>
        <w:rPr>
          <w:rFonts w:ascii="Times New Roman" w:hAnsi="Times New Roman"/>
          <w:bCs/>
          <w:sz w:val="24"/>
        </w:rPr>
        <w:t xml:space="preserve">      </w:t>
      </w:r>
      <w:r w:rsidRPr="002D1793">
        <w:rPr>
          <w:rFonts w:ascii="Times New Roman" w:hAnsi="Times New Roman"/>
          <w:bCs/>
          <w:i/>
          <w:iCs/>
          <w:sz w:val="24"/>
        </w:rPr>
        <w:t xml:space="preserve"> </w:t>
      </w:r>
    </w:p>
    <w:p w14:paraId="55BA8C76" w14:textId="7456C7A1" w:rsidR="001E63F2" w:rsidRPr="001E63F2" w:rsidRDefault="00334007" w:rsidP="00AD0922">
      <w:pPr>
        <w:pStyle w:val="ListParagraph"/>
        <w:numPr>
          <w:ilvl w:val="0"/>
          <w:numId w:val="2"/>
        </w:numPr>
        <w:tabs>
          <w:tab w:val="left" w:pos="540"/>
        </w:tabs>
        <w:spacing w:line="480" w:lineRule="auto"/>
        <w:ind w:right="1"/>
        <w:rPr>
          <w:rFonts w:ascii="Times New Roman" w:hAnsi="Times New Roman"/>
          <w:i/>
          <w:iCs/>
          <w:sz w:val="24"/>
        </w:rPr>
      </w:pPr>
      <w:r w:rsidRPr="00E31BA4">
        <w:rPr>
          <w:rFonts w:ascii="Times New Roman" w:hAnsi="Times New Roman"/>
          <w:bCs/>
          <w:sz w:val="24"/>
        </w:rPr>
        <w:t xml:space="preserve">The </w:t>
      </w:r>
      <w:r w:rsidR="00AD0922">
        <w:rPr>
          <w:rFonts w:ascii="Times New Roman" w:hAnsi="Times New Roman"/>
          <w:bCs/>
          <w:sz w:val="24"/>
        </w:rPr>
        <w:t xml:space="preserve">third issue </w:t>
      </w:r>
      <w:r w:rsidR="007F6162">
        <w:rPr>
          <w:rFonts w:ascii="Times New Roman" w:hAnsi="Times New Roman"/>
          <w:bCs/>
          <w:sz w:val="24"/>
        </w:rPr>
        <w:t>for determination</w:t>
      </w:r>
      <w:r w:rsidR="001E63F2">
        <w:rPr>
          <w:rFonts w:ascii="Times New Roman" w:hAnsi="Times New Roman"/>
          <w:bCs/>
          <w:sz w:val="24"/>
        </w:rPr>
        <w:t xml:space="preserve"> which relates to the question whether the decision by the first respondent to dismiss the </w:t>
      </w:r>
      <w:r w:rsidR="005179D2">
        <w:rPr>
          <w:rFonts w:ascii="Times New Roman" w:hAnsi="Times New Roman"/>
          <w:bCs/>
          <w:sz w:val="24"/>
        </w:rPr>
        <w:t>request for information is reviewable and susceptible to be set aside is closely linked to the aforegoing discuss</w:t>
      </w:r>
      <w:r w:rsidR="009731FC">
        <w:rPr>
          <w:rFonts w:ascii="Times New Roman" w:hAnsi="Times New Roman"/>
          <w:bCs/>
          <w:sz w:val="24"/>
        </w:rPr>
        <w:t>ion</w:t>
      </w:r>
      <w:r w:rsidR="005179D2">
        <w:rPr>
          <w:rFonts w:ascii="Times New Roman" w:hAnsi="Times New Roman"/>
          <w:bCs/>
          <w:sz w:val="24"/>
        </w:rPr>
        <w:t xml:space="preserve"> on PAIA. The applicant having requested the said information in terms of PAIA but failed to exhaust internal remedies disqualifie</w:t>
      </w:r>
      <w:r w:rsidR="00B4490E">
        <w:rPr>
          <w:rFonts w:ascii="Times New Roman" w:hAnsi="Times New Roman"/>
          <w:bCs/>
          <w:sz w:val="24"/>
        </w:rPr>
        <w:t>d</w:t>
      </w:r>
      <w:r w:rsidR="005179D2">
        <w:rPr>
          <w:rFonts w:ascii="Times New Roman" w:hAnsi="Times New Roman"/>
          <w:bCs/>
          <w:sz w:val="24"/>
        </w:rPr>
        <w:t xml:space="preserve"> the applicant from succeeding with the said relief. In the premises the request to review and set aside the said impugned decision </w:t>
      </w:r>
      <w:r w:rsidR="009731FC">
        <w:rPr>
          <w:rFonts w:ascii="Times New Roman" w:hAnsi="Times New Roman"/>
          <w:bCs/>
          <w:sz w:val="24"/>
        </w:rPr>
        <w:t xml:space="preserve">not to avail documents is </w:t>
      </w:r>
      <w:r w:rsidR="005179D2">
        <w:rPr>
          <w:rFonts w:ascii="Times New Roman" w:hAnsi="Times New Roman"/>
          <w:bCs/>
          <w:sz w:val="24"/>
        </w:rPr>
        <w:t>unsustainable and falls to be dismissed.</w:t>
      </w:r>
      <w:r w:rsidR="001E63F2">
        <w:rPr>
          <w:rFonts w:ascii="Times New Roman" w:hAnsi="Times New Roman"/>
          <w:bCs/>
          <w:sz w:val="24"/>
        </w:rPr>
        <w:t xml:space="preserve"> </w:t>
      </w:r>
      <w:r w:rsidR="007F6162">
        <w:rPr>
          <w:rFonts w:ascii="Times New Roman" w:hAnsi="Times New Roman"/>
          <w:bCs/>
          <w:sz w:val="24"/>
        </w:rPr>
        <w:t xml:space="preserve"> </w:t>
      </w:r>
    </w:p>
    <w:p w14:paraId="70AB817A" w14:textId="77777777" w:rsidR="001E63F2" w:rsidRPr="001E63F2" w:rsidRDefault="001E63F2" w:rsidP="001E63F2">
      <w:pPr>
        <w:pStyle w:val="ListParagraph"/>
        <w:rPr>
          <w:rFonts w:ascii="Times New Roman" w:hAnsi="Times New Roman"/>
          <w:bCs/>
          <w:sz w:val="24"/>
        </w:rPr>
      </w:pPr>
    </w:p>
    <w:p w14:paraId="7FD7077B" w14:textId="12D66D8A" w:rsidR="00334007" w:rsidRPr="00C549BB" w:rsidRDefault="001E63F2" w:rsidP="00AD0922">
      <w:pPr>
        <w:pStyle w:val="ListParagraph"/>
        <w:numPr>
          <w:ilvl w:val="0"/>
          <w:numId w:val="2"/>
        </w:numPr>
        <w:tabs>
          <w:tab w:val="left" w:pos="540"/>
        </w:tabs>
        <w:spacing w:line="480" w:lineRule="auto"/>
        <w:ind w:right="1"/>
        <w:rPr>
          <w:rFonts w:ascii="Times New Roman" w:hAnsi="Times New Roman"/>
          <w:i/>
          <w:iCs/>
          <w:sz w:val="24"/>
        </w:rPr>
      </w:pPr>
      <w:r>
        <w:rPr>
          <w:rFonts w:ascii="Times New Roman" w:hAnsi="Times New Roman"/>
          <w:bCs/>
          <w:sz w:val="24"/>
        </w:rPr>
        <w:lastRenderedPageBreak/>
        <w:t xml:space="preserve">The fourth issue for determination </w:t>
      </w:r>
      <w:r w:rsidR="007F6162">
        <w:rPr>
          <w:rFonts w:ascii="Times New Roman" w:hAnsi="Times New Roman"/>
          <w:bCs/>
          <w:sz w:val="24"/>
        </w:rPr>
        <w:t xml:space="preserve">is the centre piece of the </w:t>
      </w:r>
      <w:r w:rsidR="005C7564">
        <w:rPr>
          <w:rFonts w:ascii="Times New Roman" w:hAnsi="Times New Roman"/>
          <w:bCs/>
          <w:sz w:val="24"/>
        </w:rPr>
        <w:t xml:space="preserve">irregularities upon which </w:t>
      </w:r>
      <w:r w:rsidR="007F6162">
        <w:rPr>
          <w:rFonts w:ascii="Times New Roman" w:hAnsi="Times New Roman"/>
          <w:bCs/>
          <w:sz w:val="24"/>
        </w:rPr>
        <w:t xml:space="preserve">application for the review and setting aside </w:t>
      </w:r>
      <w:r w:rsidR="00F371D5">
        <w:rPr>
          <w:rFonts w:ascii="Times New Roman" w:hAnsi="Times New Roman"/>
          <w:bCs/>
          <w:sz w:val="24"/>
        </w:rPr>
        <w:t xml:space="preserve">of </w:t>
      </w:r>
      <w:r w:rsidR="007F6162">
        <w:rPr>
          <w:rFonts w:ascii="Times New Roman" w:hAnsi="Times New Roman"/>
          <w:bCs/>
          <w:sz w:val="24"/>
        </w:rPr>
        <w:t>the award</w:t>
      </w:r>
      <w:r w:rsidR="005C7564">
        <w:rPr>
          <w:rFonts w:ascii="Times New Roman" w:hAnsi="Times New Roman"/>
          <w:bCs/>
          <w:sz w:val="24"/>
        </w:rPr>
        <w:t xml:space="preserve"> is predicated. The bas</w:t>
      </w:r>
      <w:r w:rsidR="00F02733">
        <w:rPr>
          <w:rFonts w:ascii="Times New Roman" w:hAnsi="Times New Roman"/>
          <w:bCs/>
          <w:sz w:val="24"/>
        </w:rPr>
        <w:t>i</w:t>
      </w:r>
      <w:r w:rsidR="005C7564">
        <w:rPr>
          <w:rFonts w:ascii="Times New Roman" w:hAnsi="Times New Roman"/>
          <w:bCs/>
          <w:sz w:val="24"/>
        </w:rPr>
        <w:t xml:space="preserve">s of the irregularity argument </w:t>
      </w:r>
      <w:r w:rsidR="00F67D47">
        <w:rPr>
          <w:rFonts w:ascii="Times New Roman" w:hAnsi="Times New Roman"/>
          <w:bCs/>
          <w:sz w:val="24"/>
        </w:rPr>
        <w:t>is</w:t>
      </w:r>
      <w:r w:rsidR="005C7564">
        <w:rPr>
          <w:rFonts w:ascii="Times New Roman" w:hAnsi="Times New Roman"/>
          <w:bCs/>
          <w:sz w:val="24"/>
        </w:rPr>
        <w:t xml:space="preserve"> two</w:t>
      </w:r>
      <w:r w:rsidR="00F371D5">
        <w:rPr>
          <w:rFonts w:ascii="Times New Roman" w:hAnsi="Times New Roman"/>
          <w:bCs/>
          <w:sz w:val="24"/>
        </w:rPr>
        <w:t>-</w:t>
      </w:r>
      <w:r w:rsidR="009731FC">
        <w:rPr>
          <w:rFonts w:ascii="Times New Roman" w:hAnsi="Times New Roman"/>
          <w:bCs/>
          <w:sz w:val="24"/>
        </w:rPr>
        <w:t>legged. F</w:t>
      </w:r>
      <w:r w:rsidR="00EE7CCD">
        <w:rPr>
          <w:rFonts w:ascii="Times New Roman" w:hAnsi="Times New Roman"/>
          <w:bCs/>
          <w:sz w:val="24"/>
        </w:rPr>
        <w:t>irst</w:t>
      </w:r>
      <w:r w:rsidR="005C7564">
        <w:rPr>
          <w:rFonts w:ascii="Times New Roman" w:hAnsi="Times New Roman"/>
          <w:bCs/>
          <w:sz w:val="24"/>
        </w:rPr>
        <w:t>,</w:t>
      </w:r>
      <w:r w:rsidR="00EE7CCD">
        <w:rPr>
          <w:rFonts w:ascii="Times New Roman" w:hAnsi="Times New Roman"/>
          <w:bCs/>
          <w:sz w:val="24"/>
        </w:rPr>
        <w:t xml:space="preserve"> failure </w:t>
      </w:r>
      <w:r w:rsidR="00F67D47">
        <w:rPr>
          <w:rFonts w:ascii="Times New Roman" w:hAnsi="Times New Roman"/>
          <w:bCs/>
          <w:sz w:val="24"/>
        </w:rPr>
        <w:t xml:space="preserve">by the second respondent </w:t>
      </w:r>
      <w:r w:rsidR="00EE7CCD">
        <w:rPr>
          <w:rFonts w:ascii="Times New Roman" w:hAnsi="Times New Roman"/>
          <w:bCs/>
          <w:sz w:val="24"/>
        </w:rPr>
        <w:t xml:space="preserve">to price for central print solution </w:t>
      </w:r>
      <w:r w:rsidR="00F67D47">
        <w:rPr>
          <w:rFonts w:ascii="Times New Roman" w:hAnsi="Times New Roman"/>
          <w:bCs/>
          <w:sz w:val="24"/>
        </w:rPr>
        <w:t xml:space="preserve">in respect of </w:t>
      </w:r>
      <w:r w:rsidR="00EE7CCD">
        <w:rPr>
          <w:rFonts w:ascii="Times New Roman" w:hAnsi="Times New Roman"/>
          <w:bCs/>
          <w:sz w:val="24"/>
        </w:rPr>
        <w:t>all printers and second</w:t>
      </w:r>
      <w:r w:rsidR="00CD1214">
        <w:rPr>
          <w:rFonts w:ascii="Times New Roman" w:hAnsi="Times New Roman"/>
          <w:bCs/>
          <w:sz w:val="24"/>
        </w:rPr>
        <w:t>ly,</w:t>
      </w:r>
      <w:r w:rsidR="00EE7CCD">
        <w:rPr>
          <w:rFonts w:ascii="Times New Roman" w:hAnsi="Times New Roman"/>
          <w:bCs/>
          <w:sz w:val="24"/>
        </w:rPr>
        <w:t xml:space="preserve"> failure </w:t>
      </w:r>
      <w:r w:rsidR="00F67D47">
        <w:rPr>
          <w:rFonts w:ascii="Times New Roman" w:hAnsi="Times New Roman"/>
          <w:bCs/>
          <w:sz w:val="24"/>
        </w:rPr>
        <w:t xml:space="preserve">by the second respondent </w:t>
      </w:r>
      <w:r w:rsidR="00EE7CCD">
        <w:rPr>
          <w:rFonts w:ascii="Times New Roman" w:hAnsi="Times New Roman"/>
          <w:bCs/>
          <w:sz w:val="24"/>
        </w:rPr>
        <w:t>to quote for</w:t>
      </w:r>
      <w:r w:rsidR="001536AF">
        <w:rPr>
          <w:rFonts w:ascii="Times New Roman" w:hAnsi="Times New Roman"/>
          <w:bCs/>
          <w:sz w:val="24"/>
        </w:rPr>
        <w:t xml:space="preserve"> 100%-page coverage.</w:t>
      </w:r>
      <w:r w:rsidR="00EE7CCD">
        <w:rPr>
          <w:rFonts w:ascii="Times New Roman" w:hAnsi="Times New Roman"/>
          <w:bCs/>
          <w:sz w:val="24"/>
        </w:rPr>
        <w:t xml:space="preserve"> </w:t>
      </w:r>
    </w:p>
    <w:p w14:paraId="2A8BFA79" w14:textId="06581A3E" w:rsidR="002D1793" w:rsidRPr="00C549BB" w:rsidRDefault="002D1793" w:rsidP="00C549BB">
      <w:pPr>
        <w:spacing w:line="480" w:lineRule="auto"/>
        <w:rPr>
          <w:rFonts w:ascii="Times New Roman" w:hAnsi="Times New Roman"/>
          <w:bCs/>
          <w:i/>
          <w:iCs/>
          <w:sz w:val="24"/>
        </w:rPr>
      </w:pPr>
    </w:p>
    <w:p w14:paraId="3E050E58" w14:textId="403556BB" w:rsidR="004D08AA" w:rsidRDefault="00AE6DE3" w:rsidP="00F67D47">
      <w:pPr>
        <w:pStyle w:val="ListParagraph"/>
        <w:numPr>
          <w:ilvl w:val="0"/>
          <w:numId w:val="2"/>
        </w:numPr>
        <w:tabs>
          <w:tab w:val="left" w:pos="540"/>
        </w:tabs>
        <w:spacing w:line="480" w:lineRule="auto"/>
        <w:ind w:right="1"/>
        <w:rPr>
          <w:rFonts w:ascii="Times New Roman" w:hAnsi="Times New Roman"/>
          <w:bCs/>
          <w:sz w:val="24"/>
        </w:rPr>
      </w:pPr>
      <w:r>
        <w:rPr>
          <w:rFonts w:ascii="Times New Roman" w:hAnsi="Times New Roman"/>
          <w:bCs/>
          <w:sz w:val="24"/>
        </w:rPr>
        <w:t xml:space="preserve">With regard to the first </w:t>
      </w:r>
      <w:r w:rsidR="009731FC">
        <w:rPr>
          <w:rFonts w:ascii="Times New Roman" w:hAnsi="Times New Roman"/>
          <w:bCs/>
          <w:sz w:val="24"/>
        </w:rPr>
        <w:t xml:space="preserve">leg </w:t>
      </w:r>
      <w:r>
        <w:rPr>
          <w:rFonts w:ascii="Times New Roman" w:hAnsi="Times New Roman"/>
          <w:bCs/>
          <w:sz w:val="24"/>
        </w:rPr>
        <w:t xml:space="preserve">of the irregularity argument counsel for the </w:t>
      </w:r>
      <w:r w:rsidR="00D638A2">
        <w:rPr>
          <w:rFonts w:ascii="Times New Roman" w:hAnsi="Times New Roman"/>
          <w:bCs/>
          <w:sz w:val="24"/>
        </w:rPr>
        <w:t>applicant</w:t>
      </w:r>
      <w:r w:rsidR="00334007" w:rsidRPr="00E31BA4">
        <w:rPr>
          <w:rFonts w:ascii="Times New Roman" w:hAnsi="Times New Roman"/>
          <w:bCs/>
          <w:sz w:val="24"/>
        </w:rPr>
        <w:t xml:space="preserve"> contended that </w:t>
      </w:r>
      <w:r w:rsidR="00D638A2">
        <w:rPr>
          <w:rFonts w:ascii="Times New Roman" w:hAnsi="Times New Roman"/>
          <w:bCs/>
          <w:sz w:val="24"/>
        </w:rPr>
        <w:t xml:space="preserve">the </w:t>
      </w:r>
      <w:r w:rsidR="00334007" w:rsidRPr="00E31BA4">
        <w:rPr>
          <w:rFonts w:ascii="Times New Roman" w:hAnsi="Times New Roman"/>
          <w:bCs/>
          <w:sz w:val="24"/>
        </w:rPr>
        <w:t xml:space="preserve">award to the second respondent was irregular as the bid submitted by the second respondent did not </w:t>
      </w:r>
      <w:r w:rsidR="00CD1214">
        <w:rPr>
          <w:rFonts w:ascii="Times New Roman" w:hAnsi="Times New Roman"/>
          <w:bCs/>
          <w:sz w:val="24"/>
        </w:rPr>
        <w:t xml:space="preserve">comply with </w:t>
      </w:r>
      <w:r w:rsidR="00334007" w:rsidRPr="00E31BA4">
        <w:rPr>
          <w:rFonts w:ascii="Times New Roman" w:hAnsi="Times New Roman"/>
          <w:bCs/>
          <w:sz w:val="24"/>
        </w:rPr>
        <w:t>the</w:t>
      </w:r>
      <w:r w:rsidR="0044785E">
        <w:rPr>
          <w:rFonts w:ascii="Times New Roman" w:hAnsi="Times New Roman"/>
          <w:bCs/>
          <w:sz w:val="24"/>
        </w:rPr>
        <w:t xml:space="preserve"> bid specification</w:t>
      </w:r>
      <w:r w:rsidR="00CD1214">
        <w:rPr>
          <w:rFonts w:ascii="Times New Roman" w:hAnsi="Times New Roman"/>
          <w:bCs/>
          <w:sz w:val="24"/>
        </w:rPr>
        <w:t>s</w:t>
      </w:r>
      <w:r w:rsidR="00334007" w:rsidRPr="00E31BA4">
        <w:rPr>
          <w:rFonts w:ascii="Times New Roman" w:hAnsi="Times New Roman"/>
          <w:bCs/>
          <w:sz w:val="24"/>
        </w:rPr>
        <w:t xml:space="preserve"> issued by the first respondent.</w:t>
      </w:r>
      <w:r w:rsidR="00FD58D5" w:rsidRPr="00E31BA4">
        <w:rPr>
          <w:rFonts w:ascii="Times New Roman" w:hAnsi="Times New Roman"/>
          <w:bCs/>
          <w:sz w:val="24"/>
        </w:rPr>
        <w:t xml:space="preserve"> The contention is predicated on the submission</w:t>
      </w:r>
      <w:r w:rsidR="00C549BB">
        <w:rPr>
          <w:rFonts w:ascii="Times New Roman" w:hAnsi="Times New Roman"/>
          <w:bCs/>
          <w:sz w:val="24"/>
        </w:rPr>
        <w:t>s</w:t>
      </w:r>
      <w:r w:rsidR="00614C44">
        <w:rPr>
          <w:rFonts w:ascii="Times New Roman" w:hAnsi="Times New Roman"/>
          <w:bCs/>
          <w:sz w:val="24"/>
        </w:rPr>
        <w:t xml:space="preserve">, first, </w:t>
      </w:r>
      <w:r w:rsidR="00FD58D5" w:rsidRPr="00E31BA4">
        <w:rPr>
          <w:rFonts w:ascii="Times New Roman" w:hAnsi="Times New Roman"/>
          <w:bCs/>
          <w:sz w:val="24"/>
        </w:rPr>
        <w:t xml:space="preserve">that </w:t>
      </w:r>
      <w:r w:rsidR="00CD1214">
        <w:rPr>
          <w:rFonts w:ascii="Times New Roman" w:hAnsi="Times New Roman"/>
          <w:bCs/>
          <w:sz w:val="24"/>
        </w:rPr>
        <w:t xml:space="preserve">whilst </w:t>
      </w:r>
      <w:r w:rsidR="00FD58D5" w:rsidRPr="00E31BA4">
        <w:rPr>
          <w:rFonts w:ascii="Times New Roman" w:hAnsi="Times New Roman"/>
          <w:bCs/>
          <w:sz w:val="24"/>
        </w:rPr>
        <w:t xml:space="preserve">the first respondent invited the public to tender for the provision of centralised print solution for 52 printers the second respondent made provision for a solution </w:t>
      </w:r>
      <w:r w:rsidR="00F81811">
        <w:rPr>
          <w:rFonts w:ascii="Times New Roman" w:hAnsi="Times New Roman"/>
          <w:bCs/>
          <w:sz w:val="24"/>
        </w:rPr>
        <w:t xml:space="preserve">only </w:t>
      </w:r>
      <w:r w:rsidR="00FD58D5" w:rsidRPr="00E31BA4">
        <w:rPr>
          <w:rFonts w:ascii="Times New Roman" w:hAnsi="Times New Roman"/>
          <w:bCs/>
          <w:sz w:val="24"/>
        </w:rPr>
        <w:t xml:space="preserve">for 21 printers hence </w:t>
      </w:r>
      <w:r w:rsidR="00CD1214">
        <w:rPr>
          <w:rFonts w:ascii="Times New Roman" w:hAnsi="Times New Roman"/>
          <w:bCs/>
          <w:sz w:val="24"/>
        </w:rPr>
        <w:t>its</w:t>
      </w:r>
      <w:r w:rsidR="00FD58D5" w:rsidRPr="00E31BA4">
        <w:rPr>
          <w:rFonts w:ascii="Times New Roman" w:hAnsi="Times New Roman"/>
          <w:bCs/>
          <w:sz w:val="24"/>
        </w:rPr>
        <w:t xml:space="preserve"> price was </w:t>
      </w:r>
      <w:r w:rsidR="009731FC">
        <w:rPr>
          <w:rFonts w:ascii="Times New Roman" w:hAnsi="Times New Roman"/>
          <w:bCs/>
          <w:sz w:val="24"/>
        </w:rPr>
        <w:t xml:space="preserve">the </w:t>
      </w:r>
      <w:r w:rsidR="00FD58D5" w:rsidRPr="00E31BA4">
        <w:rPr>
          <w:rFonts w:ascii="Times New Roman" w:hAnsi="Times New Roman"/>
          <w:bCs/>
          <w:sz w:val="24"/>
        </w:rPr>
        <w:t>lowe</w:t>
      </w:r>
      <w:r w:rsidR="009731FC">
        <w:rPr>
          <w:rFonts w:ascii="Times New Roman" w:hAnsi="Times New Roman"/>
          <w:bCs/>
          <w:sz w:val="24"/>
        </w:rPr>
        <w:t>st</w:t>
      </w:r>
      <w:r w:rsidR="00FD58D5" w:rsidRPr="00E31BA4">
        <w:rPr>
          <w:rFonts w:ascii="Times New Roman" w:hAnsi="Times New Roman"/>
          <w:bCs/>
          <w:sz w:val="24"/>
        </w:rPr>
        <w:t>.</w:t>
      </w:r>
      <w:r w:rsidR="00614C44">
        <w:rPr>
          <w:rFonts w:ascii="Times New Roman" w:hAnsi="Times New Roman"/>
          <w:bCs/>
          <w:sz w:val="24"/>
        </w:rPr>
        <w:t xml:space="preserve"> Specifically that the second respondent</w:t>
      </w:r>
      <w:r w:rsidR="00CD1214">
        <w:rPr>
          <w:rFonts w:ascii="Times New Roman" w:hAnsi="Times New Roman"/>
          <w:bCs/>
          <w:sz w:val="24"/>
        </w:rPr>
        <w:t xml:space="preserve"> has</w:t>
      </w:r>
      <w:r w:rsidR="00614C44">
        <w:rPr>
          <w:rFonts w:ascii="Times New Roman" w:hAnsi="Times New Roman"/>
          <w:bCs/>
          <w:sz w:val="24"/>
        </w:rPr>
        <w:t xml:space="preserve"> </w:t>
      </w:r>
      <w:r w:rsidR="00614C44" w:rsidRPr="001227C8">
        <w:rPr>
          <w:rFonts w:ascii="Times New Roman" w:hAnsi="Times New Roman"/>
          <w:bCs/>
          <w:i/>
          <w:sz w:val="24"/>
        </w:rPr>
        <w:t>“</w:t>
      </w:r>
      <w:r w:rsidR="00614C44">
        <w:rPr>
          <w:rFonts w:ascii="Times New Roman" w:hAnsi="Times New Roman"/>
          <w:bCs/>
          <w:sz w:val="24"/>
        </w:rPr>
        <w:t>…</w:t>
      </w:r>
      <w:r w:rsidR="00B4490E">
        <w:rPr>
          <w:rFonts w:ascii="Times New Roman" w:hAnsi="Times New Roman"/>
          <w:bCs/>
          <w:sz w:val="24"/>
        </w:rPr>
        <w:t xml:space="preserve"> </w:t>
      </w:r>
      <w:r w:rsidR="00614C44" w:rsidRPr="00614C44">
        <w:rPr>
          <w:rFonts w:ascii="Times New Roman" w:hAnsi="Times New Roman"/>
          <w:bCs/>
          <w:i/>
          <w:iCs/>
          <w:sz w:val="24"/>
        </w:rPr>
        <w:t xml:space="preserve">failed to cater for </w:t>
      </w:r>
      <w:r w:rsidR="000F1FE7">
        <w:rPr>
          <w:rFonts w:ascii="Times New Roman" w:hAnsi="Times New Roman"/>
          <w:bCs/>
          <w:i/>
          <w:iCs/>
          <w:sz w:val="24"/>
        </w:rPr>
        <w:t xml:space="preserve">a </w:t>
      </w:r>
      <w:r w:rsidR="00614C44" w:rsidRPr="00614C44">
        <w:rPr>
          <w:rFonts w:ascii="Times New Roman" w:hAnsi="Times New Roman"/>
          <w:bCs/>
          <w:i/>
          <w:iCs/>
          <w:sz w:val="24"/>
        </w:rPr>
        <w:t xml:space="preserve">software licence for all of the printers and only catered for 21 (twenty one) out of </w:t>
      </w:r>
      <w:r w:rsidR="000F1FE7">
        <w:rPr>
          <w:rFonts w:ascii="Times New Roman" w:hAnsi="Times New Roman"/>
          <w:bCs/>
          <w:i/>
          <w:iCs/>
          <w:sz w:val="24"/>
        </w:rPr>
        <w:t xml:space="preserve">the </w:t>
      </w:r>
      <w:r w:rsidR="00614C44" w:rsidRPr="00614C44">
        <w:rPr>
          <w:rFonts w:ascii="Times New Roman" w:hAnsi="Times New Roman"/>
          <w:bCs/>
          <w:i/>
          <w:iCs/>
          <w:sz w:val="24"/>
        </w:rPr>
        <w:t xml:space="preserve">52 </w:t>
      </w:r>
      <w:r w:rsidR="000F1FE7">
        <w:rPr>
          <w:rFonts w:ascii="Times New Roman" w:hAnsi="Times New Roman"/>
          <w:bCs/>
          <w:i/>
          <w:iCs/>
          <w:sz w:val="24"/>
        </w:rPr>
        <w:t xml:space="preserve">(fifty-two) </w:t>
      </w:r>
      <w:r w:rsidR="00614C44" w:rsidRPr="00614C44">
        <w:rPr>
          <w:rFonts w:ascii="Times New Roman" w:hAnsi="Times New Roman"/>
          <w:bCs/>
          <w:i/>
          <w:iCs/>
          <w:sz w:val="24"/>
        </w:rPr>
        <w:t>thereof to have software</w:t>
      </w:r>
      <w:r w:rsidR="00614C44" w:rsidRPr="001227C8">
        <w:rPr>
          <w:rFonts w:ascii="Times New Roman" w:hAnsi="Times New Roman"/>
          <w:bCs/>
          <w:i/>
          <w:sz w:val="24"/>
        </w:rPr>
        <w:t>”</w:t>
      </w:r>
      <w:r w:rsidR="00614C44">
        <w:rPr>
          <w:rFonts w:ascii="Times New Roman" w:hAnsi="Times New Roman"/>
          <w:bCs/>
          <w:sz w:val="24"/>
        </w:rPr>
        <w:t>.</w:t>
      </w:r>
      <w:r w:rsidR="00614C44">
        <w:rPr>
          <w:rStyle w:val="FootnoteReference"/>
          <w:rFonts w:ascii="Times New Roman" w:hAnsi="Times New Roman"/>
          <w:bCs/>
          <w:sz w:val="24"/>
        </w:rPr>
        <w:footnoteReference w:id="22"/>
      </w:r>
      <w:r w:rsidR="00614C44">
        <w:rPr>
          <w:rFonts w:ascii="Times New Roman" w:hAnsi="Times New Roman"/>
          <w:bCs/>
          <w:sz w:val="24"/>
        </w:rPr>
        <w:t xml:space="preserve"> </w:t>
      </w:r>
      <w:r w:rsidR="00F81811">
        <w:rPr>
          <w:rFonts w:ascii="Times New Roman" w:hAnsi="Times New Roman"/>
          <w:bCs/>
          <w:sz w:val="24"/>
        </w:rPr>
        <w:t xml:space="preserve"> The </w:t>
      </w:r>
      <w:r>
        <w:rPr>
          <w:rFonts w:ascii="Times New Roman" w:hAnsi="Times New Roman"/>
          <w:bCs/>
          <w:sz w:val="24"/>
        </w:rPr>
        <w:t xml:space="preserve">applicant further contended that </w:t>
      </w:r>
      <w:r w:rsidR="009731FC">
        <w:rPr>
          <w:rFonts w:ascii="Times New Roman" w:hAnsi="Times New Roman"/>
          <w:bCs/>
          <w:sz w:val="24"/>
        </w:rPr>
        <w:t xml:space="preserve">the bid </w:t>
      </w:r>
      <w:r w:rsidR="00F81811">
        <w:rPr>
          <w:rFonts w:ascii="Times New Roman" w:hAnsi="Times New Roman"/>
          <w:bCs/>
          <w:sz w:val="24"/>
        </w:rPr>
        <w:t>by the first respondent seem</w:t>
      </w:r>
      <w:r w:rsidR="00C549BB">
        <w:rPr>
          <w:rFonts w:ascii="Times New Roman" w:hAnsi="Times New Roman"/>
          <w:bCs/>
          <w:sz w:val="24"/>
        </w:rPr>
        <w:t>s</w:t>
      </w:r>
      <w:r w:rsidR="00F81811">
        <w:rPr>
          <w:rFonts w:ascii="Times New Roman" w:hAnsi="Times New Roman"/>
          <w:bCs/>
          <w:sz w:val="24"/>
        </w:rPr>
        <w:t xml:space="preserve"> to suggest that there is no need for the software in respect of the rest of the printers</w:t>
      </w:r>
      <w:r>
        <w:rPr>
          <w:rFonts w:ascii="Times New Roman" w:hAnsi="Times New Roman"/>
          <w:bCs/>
          <w:sz w:val="24"/>
        </w:rPr>
        <w:t xml:space="preserve"> as they are standalone and is</w:t>
      </w:r>
      <w:r w:rsidR="00F81811">
        <w:rPr>
          <w:rFonts w:ascii="Times New Roman" w:hAnsi="Times New Roman"/>
          <w:bCs/>
          <w:sz w:val="24"/>
        </w:rPr>
        <w:t xml:space="preserve">, so went the argument, lopsided and unsustainable since all printers requires the software </w:t>
      </w:r>
      <w:r w:rsidR="00EE7CCD">
        <w:rPr>
          <w:rFonts w:ascii="Times New Roman" w:hAnsi="Times New Roman"/>
          <w:bCs/>
          <w:sz w:val="24"/>
        </w:rPr>
        <w:t xml:space="preserve"> and in fact comes with software built in. </w:t>
      </w:r>
    </w:p>
    <w:p w14:paraId="53E76BF8" w14:textId="77777777" w:rsidR="004D08AA" w:rsidRPr="00E31BA4" w:rsidRDefault="004D08AA" w:rsidP="004D08AA">
      <w:pPr>
        <w:pStyle w:val="ListParagraph"/>
        <w:rPr>
          <w:rFonts w:ascii="Times New Roman" w:hAnsi="Times New Roman"/>
          <w:sz w:val="24"/>
        </w:rPr>
      </w:pPr>
    </w:p>
    <w:p w14:paraId="60965CF7" w14:textId="594D1348" w:rsidR="00F16D2D" w:rsidRPr="001227C8" w:rsidRDefault="004D08AA">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The counsel for the </w:t>
      </w:r>
      <w:r>
        <w:rPr>
          <w:rFonts w:ascii="Times New Roman" w:hAnsi="Times New Roman"/>
          <w:sz w:val="24"/>
        </w:rPr>
        <w:t xml:space="preserve">first </w:t>
      </w:r>
      <w:r w:rsidRPr="00E31BA4">
        <w:rPr>
          <w:rFonts w:ascii="Times New Roman" w:hAnsi="Times New Roman"/>
          <w:sz w:val="24"/>
        </w:rPr>
        <w:t>respondent contended</w:t>
      </w:r>
      <w:r>
        <w:rPr>
          <w:rFonts w:ascii="Times New Roman" w:hAnsi="Times New Roman"/>
          <w:sz w:val="24"/>
        </w:rPr>
        <w:t xml:space="preserve"> </w:t>
      </w:r>
      <w:r w:rsidR="009731FC">
        <w:rPr>
          <w:rFonts w:ascii="Times New Roman" w:hAnsi="Times New Roman"/>
          <w:sz w:val="24"/>
        </w:rPr>
        <w:t xml:space="preserve">in reply </w:t>
      </w:r>
      <w:r w:rsidRPr="00E31BA4">
        <w:rPr>
          <w:rFonts w:ascii="Times New Roman" w:hAnsi="Times New Roman"/>
          <w:sz w:val="24"/>
        </w:rPr>
        <w:t xml:space="preserve">that the information in the tender documents were clear and </w:t>
      </w:r>
      <w:r>
        <w:rPr>
          <w:rFonts w:ascii="Times New Roman" w:hAnsi="Times New Roman"/>
          <w:sz w:val="24"/>
        </w:rPr>
        <w:t xml:space="preserve">the applicant </w:t>
      </w:r>
      <w:r w:rsidRPr="00E31BA4">
        <w:rPr>
          <w:rFonts w:ascii="Times New Roman" w:hAnsi="Times New Roman"/>
          <w:sz w:val="24"/>
        </w:rPr>
        <w:t>would have noted that ordinarily printers which a</w:t>
      </w:r>
      <w:r>
        <w:rPr>
          <w:rFonts w:ascii="Times New Roman" w:hAnsi="Times New Roman"/>
          <w:sz w:val="24"/>
        </w:rPr>
        <w:t>r</w:t>
      </w:r>
      <w:r w:rsidRPr="00E31BA4">
        <w:rPr>
          <w:rFonts w:ascii="Times New Roman" w:hAnsi="Times New Roman"/>
          <w:sz w:val="24"/>
        </w:rPr>
        <w:t xml:space="preserve">e standalone </w:t>
      </w:r>
      <w:r>
        <w:rPr>
          <w:rFonts w:ascii="Times New Roman" w:hAnsi="Times New Roman"/>
          <w:sz w:val="24"/>
        </w:rPr>
        <w:t xml:space="preserve">do </w:t>
      </w:r>
      <w:r w:rsidRPr="00E31BA4">
        <w:rPr>
          <w:rFonts w:ascii="Times New Roman" w:hAnsi="Times New Roman"/>
          <w:sz w:val="24"/>
        </w:rPr>
        <w:t xml:space="preserve">not require the centralised </w:t>
      </w:r>
      <w:r>
        <w:rPr>
          <w:rFonts w:ascii="Times New Roman" w:hAnsi="Times New Roman"/>
          <w:sz w:val="24"/>
        </w:rPr>
        <w:t>print</w:t>
      </w:r>
      <w:r w:rsidRPr="00E31BA4">
        <w:rPr>
          <w:rFonts w:ascii="Times New Roman" w:hAnsi="Times New Roman"/>
          <w:sz w:val="24"/>
        </w:rPr>
        <w:t xml:space="preserve"> solution. In this regard the applicant should have been able to </w:t>
      </w:r>
      <w:r>
        <w:rPr>
          <w:rFonts w:ascii="Times New Roman" w:hAnsi="Times New Roman"/>
          <w:sz w:val="24"/>
        </w:rPr>
        <w:t xml:space="preserve">decipher </w:t>
      </w:r>
      <w:r w:rsidRPr="00E31BA4">
        <w:rPr>
          <w:rFonts w:ascii="Times New Roman" w:hAnsi="Times New Roman"/>
          <w:sz w:val="24"/>
        </w:rPr>
        <w:t xml:space="preserve">that in fact only 21 printers </w:t>
      </w:r>
      <w:r>
        <w:rPr>
          <w:rFonts w:ascii="Times New Roman" w:hAnsi="Times New Roman"/>
          <w:sz w:val="24"/>
        </w:rPr>
        <w:t>do</w:t>
      </w:r>
      <w:r w:rsidRPr="00E31BA4">
        <w:rPr>
          <w:rFonts w:ascii="Times New Roman" w:hAnsi="Times New Roman"/>
          <w:sz w:val="24"/>
        </w:rPr>
        <w:t xml:space="preserve"> require a </w:t>
      </w:r>
      <w:r w:rsidRPr="00E31BA4">
        <w:rPr>
          <w:rFonts w:ascii="Times New Roman" w:hAnsi="Times New Roman"/>
          <w:sz w:val="24"/>
        </w:rPr>
        <w:lastRenderedPageBreak/>
        <w:t xml:space="preserve">centralised </w:t>
      </w:r>
      <w:r>
        <w:rPr>
          <w:rFonts w:ascii="Times New Roman" w:hAnsi="Times New Roman"/>
          <w:sz w:val="24"/>
        </w:rPr>
        <w:t xml:space="preserve">print </w:t>
      </w:r>
      <w:r w:rsidRPr="00E31BA4">
        <w:rPr>
          <w:rFonts w:ascii="Times New Roman" w:hAnsi="Times New Roman"/>
          <w:sz w:val="24"/>
        </w:rPr>
        <w:t xml:space="preserve">solution. It was not </w:t>
      </w:r>
      <w:r>
        <w:rPr>
          <w:rFonts w:ascii="Times New Roman" w:hAnsi="Times New Roman"/>
          <w:sz w:val="24"/>
        </w:rPr>
        <w:t xml:space="preserve">only </w:t>
      </w:r>
      <w:r w:rsidRPr="00E31BA4">
        <w:rPr>
          <w:rFonts w:ascii="Times New Roman" w:hAnsi="Times New Roman"/>
          <w:sz w:val="24"/>
        </w:rPr>
        <w:t>the second respondent who was a</w:t>
      </w:r>
      <w:r>
        <w:rPr>
          <w:rFonts w:ascii="Times New Roman" w:hAnsi="Times New Roman"/>
          <w:sz w:val="24"/>
        </w:rPr>
        <w:t>wa</w:t>
      </w:r>
      <w:r w:rsidRPr="00E31BA4">
        <w:rPr>
          <w:rFonts w:ascii="Times New Roman" w:hAnsi="Times New Roman"/>
          <w:sz w:val="24"/>
        </w:rPr>
        <w:t>re of this position as Nashua</w:t>
      </w:r>
      <w:r>
        <w:rPr>
          <w:rFonts w:ascii="Times New Roman" w:hAnsi="Times New Roman"/>
          <w:sz w:val="24"/>
        </w:rPr>
        <w:t xml:space="preserve"> Kopano</w:t>
      </w:r>
      <w:r w:rsidRPr="00E31BA4">
        <w:rPr>
          <w:rFonts w:ascii="Times New Roman" w:hAnsi="Times New Roman"/>
          <w:sz w:val="24"/>
        </w:rPr>
        <w:t xml:space="preserve"> also made a bid for 21 </w:t>
      </w:r>
      <w:r>
        <w:rPr>
          <w:rFonts w:ascii="Times New Roman" w:hAnsi="Times New Roman"/>
          <w:sz w:val="24"/>
        </w:rPr>
        <w:t xml:space="preserve">printers </w:t>
      </w:r>
      <w:r w:rsidRPr="00E31BA4">
        <w:rPr>
          <w:rFonts w:ascii="Times New Roman" w:hAnsi="Times New Roman"/>
          <w:sz w:val="24"/>
        </w:rPr>
        <w:t>in respect of the centralised print solution</w:t>
      </w:r>
      <w:r>
        <w:rPr>
          <w:rFonts w:ascii="Times New Roman" w:hAnsi="Times New Roman"/>
          <w:sz w:val="24"/>
        </w:rPr>
        <w:t xml:space="preserve"> and this </w:t>
      </w:r>
      <w:r w:rsidR="009731FC">
        <w:rPr>
          <w:rFonts w:ascii="Times New Roman" w:hAnsi="Times New Roman"/>
          <w:sz w:val="24"/>
        </w:rPr>
        <w:t xml:space="preserve">assertion </w:t>
      </w:r>
      <w:r>
        <w:rPr>
          <w:rFonts w:ascii="Times New Roman" w:hAnsi="Times New Roman"/>
          <w:sz w:val="24"/>
        </w:rPr>
        <w:t>was not dispute</w:t>
      </w:r>
      <w:r w:rsidR="00F371D5">
        <w:rPr>
          <w:rFonts w:ascii="Times New Roman" w:hAnsi="Times New Roman"/>
          <w:sz w:val="24"/>
        </w:rPr>
        <w:t>d by the applicant</w:t>
      </w:r>
      <w:r w:rsidRPr="00E31BA4">
        <w:rPr>
          <w:rFonts w:ascii="Times New Roman" w:hAnsi="Times New Roman"/>
          <w:sz w:val="24"/>
        </w:rPr>
        <w:t xml:space="preserve">. </w:t>
      </w:r>
      <w:r>
        <w:rPr>
          <w:rFonts w:ascii="Times New Roman" w:hAnsi="Times New Roman"/>
          <w:sz w:val="24"/>
        </w:rPr>
        <w:t xml:space="preserve"> The first respondent’s specification did distinguish between different types of multifunctional devices needed, namely, </w:t>
      </w:r>
    </w:p>
    <w:p w14:paraId="7C037404" w14:textId="77777777" w:rsidR="004D08AA" w:rsidRPr="00B731CA" w:rsidRDefault="004D08AA">
      <w:pPr>
        <w:pStyle w:val="ListParagraph"/>
        <w:rPr>
          <w:u w:val="single"/>
        </w:rPr>
      </w:pPr>
    </w:p>
    <w:p w14:paraId="2B86A561" w14:textId="63C8C553" w:rsidR="004D08AA" w:rsidRPr="001227C8" w:rsidRDefault="004D08AA" w:rsidP="001227C8">
      <w:pPr>
        <w:pStyle w:val="ListParagraph"/>
        <w:numPr>
          <w:ilvl w:val="1"/>
          <w:numId w:val="2"/>
        </w:numPr>
        <w:tabs>
          <w:tab w:val="left" w:pos="630"/>
          <w:tab w:val="left" w:pos="2269"/>
        </w:tabs>
        <w:spacing w:after="160" w:line="480" w:lineRule="auto"/>
        <w:ind w:left="1417" w:right="1"/>
        <w:rPr>
          <w:rFonts w:ascii="Times New Roman" w:hAnsi="Times New Roman"/>
          <w:i/>
          <w:iCs/>
          <w:sz w:val="24"/>
        </w:rPr>
      </w:pPr>
      <w:r w:rsidRPr="001227C8">
        <w:rPr>
          <w:rFonts w:ascii="Times New Roman" w:hAnsi="Times New Roman"/>
          <w:i/>
          <w:iCs/>
          <w:sz w:val="24"/>
        </w:rPr>
        <w:t>“</w:t>
      </w:r>
      <w:r w:rsidRPr="001227C8">
        <w:rPr>
          <w:rFonts w:ascii="Times New Roman" w:hAnsi="Times New Roman"/>
          <w:i/>
          <w:iCs/>
          <w:sz w:val="24"/>
          <w:u w:val="single"/>
        </w:rPr>
        <w:t>Printer 1</w:t>
      </w:r>
      <w:r w:rsidRPr="001227C8">
        <w:rPr>
          <w:rFonts w:ascii="Times New Roman" w:hAnsi="Times New Roman"/>
          <w:i/>
          <w:iCs/>
          <w:sz w:val="24"/>
        </w:rPr>
        <w:t xml:space="preserve"> is a day-to-day high-volume printing and scanning for </w:t>
      </w:r>
      <w:r w:rsidR="00F16D2D">
        <w:rPr>
          <w:rFonts w:ascii="Times New Roman" w:hAnsi="Times New Roman"/>
          <w:i/>
          <w:iCs/>
          <w:sz w:val="24"/>
        </w:rPr>
        <w:t xml:space="preserve">the </w:t>
      </w:r>
      <w:r w:rsidRPr="001227C8">
        <w:rPr>
          <w:rFonts w:ascii="Times New Roman" w:hAnsi="Times New Roman"/>
          <w:i/>
          <w:iCs/>
          <w:sz w:val="24"/>
        </w:rPr>
        <w:t>regional offices</w:t>
      </w:r>
      <w:r w:rsidR="00F371D5" w:rsidRPr="001227C8">
        <w:rPr>
          <w:rFonts w:ascii="Times New Roman" w:hAnsi="Times New Roman"/>
          <w:i/>
          <w:iCs/>
          <w:sz w:val="24"/>
        </w:rPr>
        <w:t>.</w:t>
      </w:r>
      <w:r w:rsidRPr="001227C8">
        <w:rPr>
          <w:rFonts w:ascii="Times New Roman" w:hAnsi="Times New Roman"/>
          <w:i/>
          <w:iCs/>
          <w:sz w:val="24"/>
        </w:rPr>
        <w:t xml:space="preserve">     </w:t>
      </w:r>
      <w:r w:rsidR="00F371D5" w:rsidRPr="001227C8">
        <w:rPr>
          <w:rFonts w:ascii="Times New Roman" w:hAnsi="Times New Roman"/>
          <w:i/>
          <w:iCs/>
          <w:sz w:val="24"/>
        </w:rPr>
        <w:t>T</w:t>
      </w:r>
      <w:r w:rsidRPr="001227C8">
        <w:rPr>
          <w:rFonts w:ascii="Times New Roman" w:hAnsi="Times New Roman"/>
          <w:i/>
          <w:iCs/>
          <w:sz w:val="24"/>
        </w:rPr>
        <w:t xml:space="preserve">he first respondent required </w:t>
      </w:r>
      <w:r w:rsidRPr="001227C8">
        <w:rPr>
          <w:rFonts w:ascii="Times New Roman" w:hAnsi="Times New Roman"/>
          <w:b/>
          <w:bCs/>
          <w:i/>
          <w:iCs/>
          <w:sz w:val="24"/>
          <w:u w:val="single"/>
        </w:rPr>
        <w:t>21</w:t>
      </w:r>
      <w:r w:rsidRPr="001227C8">
        <w:rPr>
          <w:rFonts w:ascii="Times New Roman" w:hAnsi="Times New Roman"/>
          <w:i/>
          <w:iCs/>
          <w:sz w:val="24"/>
          <w:u w:val="single"/>
        </w:rPr>
        <w:t xml:space="preserve"> of these printers</w:t>
      </w:r>
      <w:r w:rsidRPr="001227C8">
        <w:rPr>
          <w:rFonts w:ascii="Times New Roman" w:hAnsi="Times New Roman"/>
          <w:i/>
          <w:iCs/>
          <w:sz w:val="24"/>
        </w:rPr>
        <w:t>. (</w:t>
      </w:r>
      <w:r w:rsidR="009731FC" w:rsidRPr="001227C8">
        <w:rPr>
          <w:rFonts w:ascii="Times New Roman" w:hAnsi="Times New Roman"/>
          <w:i/>
          <w:iCs/>
          <w:sz w:val="24"/>
        </w:rPr>
        <w:t>underlining</w:t>
      </w:r>
      <w:r w:rsidRPr="001227C8">
        <w:rPr>
          <w:rFonts w:ascii="Times New Roman" w:hAnsi="Times New Roman"/>
          <w:i/>
          <w:iCs/>
          <w:sz w:val="24"/>
        </w:rPr>
        <w:t xml:space="preserve"> added).</w:t>
      </w:r>
    </w:p>
    <w:p w14:paraId="61281A01" w14:textId="19A3772B" w:rsidR="001D65DB" w:rsidRDefault="001D65DB" w:rsidP="001227C8">
      <w:pPr>
        <w:pStyle w:val="ListParagraph"/>
        <w:numPr>
          <w:ilvl w:val="1"/>
          <w:numId w:val="2"/>
        </w:numPr>
        <w:tabs>
          <w:tab w:val="left" w:pos="630"/>
          <w:tab w:val="left" w:pos="2269"/>
        </w:tabs>
        <w:spacing w:after="160" w:line="480" w:lineRule="auto"/>
        <w:ind w:left="1417" w:right="1"/>
        <w:rPr>
          <w:rFonts w:ascii="Times New Roman" w:hAnsi="Times New Roman"/>
          <w:i/>
          <w:iCs/>
          <w:sz w:val="24"/>
        </w:rPr>
      </w:pPr>
      <w:r w:rsidRPr="00B731CA">
        <w:rPr>
          <w:rFonts w:ascii="Times New Roman" w:hAnsi="Times New Roman"/>
          <w:i/>
          <w:iCs/>
          <w:sz w:val="24"/>
          <w:u w:val="single"/>
        </w:rPr>
        <w:t>Printer 2</w:t>
      </w:r>
      <w:r w:rsidRPr="00B731CA">
        <w:rPr>
          <w:rFonts w:ascii="Times New Roman" w:hAnsi="Times New Roman"/>
          <w:i/>
          <w:iCs/>
          <w:sz w:val="24"/>
        </w:rPr>
        <w:t xml:space="preserve"> is described as a high-quality lo</w:t>
      </w:r>
      <w:r>
        <w:rPr>
          <w:rFonts w:ascii="Times New Roman" w:hAnsi="Times New Roman"/>
          <w:i/>
          <w:iCs/>
          <w:sz w:val="24"/>
        </w:rPr>
        <w:t xml:space="preserve">w volume device for printing of </w:t>
      </w:r>
      <w:r w:rsidRPr="00B731CA">
        <w:rPr>
          <w:rFonts w:ascii="Times New Roman" w:hAnsi="Times New Roman"/>
          <w:i/>
          <w:iCs/>
          <w:sz w:val="24"/>
        </w:rPr>
        <w:t xml:space="preserve">certificates issued to learners which would be stationed at the first respondent’s head office and only </w:t>
      </w:r>
      <w:r w:rsidRPr="00753D6D">
        <w:rPr>
          <w:rFonts w:ascii="Times New Roman" w:hAnsi="Times New Roman"/>
          <w:b/>
          <w:bCs/>
          <w:i/>
          <w:iCs/>
          <w:sz w:val="24"/>
          <w:u w:val="single"/>
        </w:rPr>
        <w:t>one</w:t>
      </w:r>
      <w:r w:rsidRPr="00753D6D">
        <w:rPr>
          <w:rFonts w:ascii="Times New Roman" w:hAnsi="Times New Roman"/>
          <w:i/>
          <w:iCs/>
          <w:sz w:val="24"/>
          <w:u w:val="single"/>
        </w:rPr>
        <w:t xml:space="preserve"> printer was required</w:t>
      </w:r>
      <w:r>
        <w:rPr>
          <w:rFonts w:ascii="Times New Roman" w:hAnsi="Times New Roman"/>
          <w:i/>
          <w:iCs/>
          <w:sz w:val="24"/>
        </w:rPr>
        <w:t>. (underlining added)</w:t>
      </w:r>
    </w:p>
    <w:p w14:paraId="1B200178" w14:textId="77C4AA43" w:rsidR="001D65DB" w:rsidRDefault="001D65DB" w:rsidP="008B3939">
      <w:pPr>
        <w:pStyle w:val="ListParagraph"/>
        <w:numPr>
          <w:ilvl w:val="1"/>
          <w:numId w:val="2"/>
        </w:numPr>
        <w:tabs>
          <w:tab w:val="left" w:pos="2269"/>
        </w:tabs>
        <w:spacing w:after="160" w:line="480" w:lineRule="auto"/>
        <w:ind w:left="1417" w:right="1"/>
        <w:rPr>
          <w:rFonts w:ascii="Times New Roman" w:hAnsi="Times New Roman"/>
          <w:i/>
          <w:iCs/>
          <w:sz w:val="24"/>
        </w:rPr>
      </w:pPr>
      <w:r w:rsidRPr="00B731CA">
        <w:rPr>
          <w:rFonts w:ascii="Times New Roman" w:hAnsi="Times New Roman"/>
          <w:i/>
          <w:iCs/>
          <w:sz w:val="24"/>
          <w:u w:val="single"/>
        </w:rPr>
        <w:t>Printer 3</w:t>
      </w:r>
      <w:r w:rsidR="00F16D2D">
        <w:rPr>
          <w:rFonts w:ascii="Times New Roman" w:hAnsi="Times New Roman"/>
          <w:i/>
          <w:iCs/>
          <w:sz w:val="24"/>
        </w:rPr>
        <w:t xml:space="preserve"> is described as a desk</w:t>
      </w:r>
      <w:r w:rsidRPr="00B731CA">
        <w:rPr>
          <w:rFonts w:ascii="Times New Roman" w:hAnsi="Times New Roman"/>
          <w:i/>
          <w:iCs/>
          <w:sz w:val="24"/>
        </w:rPr>
        <w:t xml:space="preserve">top printer used in TVET colleges as a standalone device. The first respondent required </w:t>
      </w:r>
      <w:r w:rsidRPr="0089435A">
        <w:rPr>
          <w:rFonts w:ascii="Times New Roman" w:hAnsi="Times New Roman"/>
          <w:b/>
          <w:bCs/>
          <w:i/>
          <w:iCs/>
          <w:sz w:val="24"/>
          <w:u w:val="single"/>
        </w:rPr>
        <w:t>31</w:t>
      </w:r>
      <w:r w:rsidRPr="0089435A">
        <w:rPr>
          <w:rFonts w:ascii="Times New Roman" w:hAnsi="Times New Roman"/>
          <w:i/>
          <w:iCs/>
          <w:sz w:val="24"/>
          <w:u w:val="single"/>
        </w:rPr>
        <w:t xml:space="preserve"> of these printers</w:t>
      </w:r>
      <w:r>
        <w:rPr>
          <w:rFonts w:ascii="Times New Roman" w:hAnsi="Times New Roman"/>
          <w:i/>
          <w:iCs/>
          <w:sz w:val="24"/>
        </w:rPr>
        <w:t>”</w:t>
      </w:r>
      <w:r>
        <w:rPr>
          <w:rStyle w:val="FootnoteReference"/>
          <w:rFonts w:ascii="Times New Roman" w:hAnsi="Times New Roman"/>
          <w:i/>
          <w:iCs/>
          <w:sz w:val="24"/>
        </w:rPr>
        <w:footnoteReference w:id="23"/>
      </w:r>
      <w:r>
        <w:rPr>
          <w:rFonts w:ascii="Times New Roman" w:hAnsi="Times New Roman"/>
          <w:i/>
          <w:iCs/>
          <w:sz w:val="24"/>
        </w:rPr>
        <w:t>, (underlining added).</w:t>
      </w:r>
    </w:p>
    <w:p w14:paraId="2813BEAA" w14:textId="77777777" w:rsidR="004D08AA" w:rsidRPr="00B731CA" w:rsidRDefault="004D08AA" w:rsidP="001227C8">
      <w:pPr>
        <w:tabs>
          <w:tab w:val="left" w:pos="2269"/>
        </w:tabs>
        <w:ind w:left="1417"/>
      </w:pPr>
    </w:p>
    <w:p w14:paraId="67231813" w14:textId="19A836D1" w:rsidR="004D08AA" w:rsidRDefault="004D08AA" w:rsidP="004D08AA">
      <w:pPr>
        <w:pStyle w:val="ListParagraph"/>
        <w:numPr>
          <w:ilvl w:val="0"/>
          <w:numId w:val="2"/>
        </w:numPr>
        <w:tabs>
          <w:tab w:val="left" w:pos="540"/>
        </w:tabs>
        <w:spacing w:after="160" w:line="480" w:lineRule="auto"/>
        <w:ind w:right="1"/>
        <w:rPr>
          <w:rFonts w:ascii="Times New Roman" w:hAnsi="Times New Roman"/>
          <w:sz w:val="24"/>
        </w:rPr>
      </w:pPr>
      <w:r>
        <w:rPr>
          <w:rFonts w:ascii="Times New Roman" w:hAnsi="Times New Roman"/>
          <w:sz w:val="24"/>
        </w:rPr>
        <w:t>These descriptions are referenced and are in paragraph 49.4 of the first respondent’s answering affidavit. The applicant in its replying affidavit did not specifically deny the averments in this paragraph and one can assume that same is admitted</w:t>
      </w:r>
      <w:r w:rsidR="00F67D47">
        <w:rPr>
          <w:rFonts w:ascii="Times New Roman" w:hAnsi="Times New Roman"/>
          <w:sz w:val="24"/>
        </w:rPr>
        <w:t xml:space="preserve">. These descriptions are further delineated in para 3.4 of the tender specifications where it is stated, </w:t>
      </w:r>
      <w:r w:rsidR="00F67D47" w:rsidRPr="00A177CE">
        <w:rPr>
          <w:rFonts w:ascii="Times New Roman" w:hAnsi="Times New Roman"/>
          <w:i/>
          <w:iCs/>
          <w:sz w:val="24"/>
        </w:rPr>
        <w:t>inter alia</w:t>
      </w:r>
      <w:r w:rsidR="00F67D47">
        <w:rPr>
          <w:rFonts w:ascii="Times New Roman" w:hAnsi="Times New Roman"/>
          <w:sz w:val="24"/>
        </w:rPr>
        <w:t xml:space="preserve">, under printer 2 that </w:t>
      </w:r>
      <w:r w:rsidR="00F67D47" w:rsidRPr="001227C8">
        <w:rPr>
          <w:rFonts w:ascii="Times New Roman" w:hAnsi="Times New Roman"/>
          <w:i/>
          <w:sz w:val="24"/>
        </w:rPr>
        <w:t>“</w:t>
      </w:r>
      <w:r w:rsidR="00F67D47" w:rsidRPr="00F67D47">
        <w:rPr>
          <w:rFonts w:ascii="Times New Roman" w:hAnsi="Times New Roman"/>
          <w:i/>
          <w:iCs/>
          <w:sz w:val="24"/>
        </w:rPr>
        <w:t xml:space="preserve">[O]ne printer </w:t>
      </w:r>
      <w:r w:rsidR="00F67D47">
        <w:rPr>
          <w:rFonts w:ascii="Times New Roman" w:hAnsi="Times New Roman"/>
          <w:i/>
          <w:iCs/>
          <w:sz w:val="24"/>
        </w:rPr>
        <w:t>per TVET college is required for the 31 colleges …”.</w:t>
      </w:r>
      <w:r w:rsidR="00A177CE">
        <w:rPr>
          <w:rStyle w:val="FootnoteReference"/>
          <w:rFonts w:ascii="Times New Roman" w:hAnsi="Times New Roman"/>
          <w:i/>
          <w:iCs/>
          <w:sz w:val="24"/>
        </w:rPr>
        <w:footnoteReference w:id="24"/>
      </w:r>
    </w:p>
    <w:p w14:paraId="08B56B06" w14:textId="77777777" w:rsidR="00305A07" w:rsidRPr="00E31BA4" w:rsidRDefault="00305A07" w:rsidP="00305A07">
      <w:pPr>
        <w:pStyle w:val="ListParagraph"/>
        <w:tabs>
          <w:tab w:val="left" w:pos="540"/>
        </w:tabs>
        <w:spacing w:after="160" w:line="480" w:lineRule="auto"/>
        <w:ind w:left="0" w:right="1"/>
        <w:rPr>
          <w:rFonts w:ascii="Times New Roman" w:hAnsi="Times New Roman"/>
          <w:i/>
          <w:iCs/>
          <w:sz w:val="24"/>
        </w:rPr>
      </w:pPr>
    </w:p>
    <w:p w14:paraId="691697FE" w14:textId="49506537" w:rsidR="00FD58D5" w:rsidRPr="001536AF" w:rsidRDefault="00305A07"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lastRenderedPageBreak/>
        <w:t xml:space="preserve">The second </w:t>
      </w:r>
      <w:r w:rsidR="009731FC">
        <w:rPr>
          <w:rFonts w:ascii="Times New Roman" w:hAnsi="Times New Roman"/>
          <w:sz w:val="24"/>
        </w:rPr>
        <w:t>leg</w:t>
      </w:r>
      <w:r>
        <w:rPr>
          <w:rFonts w:ascii="Times New Roman" w:hAnsi="Times New Roman"/>
          <w:sz w:val="24"/>
        </w:rPr>
        <w:t xml:space="preserve"> o</w:t>
      </w:r>
      <w:r w:rsidR="009731FC">
        <w:rPr>
          <w:rFonts w:ascii="Times New Roman" w:hAnsi="Times New Roman"/>
          <w:sz w:val="24"/>
        </w:rPr>
        <w:t>f</w:t>
      </w:r>
      <w:r>
        <w:rPr>
          <w:rFonts w:ascii="Times New Roman" w:hAnsi="Times New Roman"/>
          <w:sz w:val="24"/>
        </w:rPr>
        <w:t xml:space="preserve"> irregularity</w:t>
      </w:r>
      <w:r w:rsidR="009731FC">
        <w:rPr>
          <w:rFonts w:ascii="Times New Roman" w:hAnsi="Times New Roman"/>
          <w:sz w:val="24"/>
        </w:rPr>
        <w:t xml:space="preserve"> argument</w:t>
      </w:r>
      <w:r>
        <w:rPr>
          <w:rFonts w:ascii="Times New Roman" w:hAnsi="Times New Roman"/>
          <w:sz w:val="24"/>
        </w:rPr>
        <w:t xml:space="preserve"> is based on the applicant’s contention that the</w:t>
      </w:r>
      <w:r w:rsidR="00FD58D5" w:rsidRPr="00E31BA4">
        <w:rPr>
          <w:rFonts w:ascii="Times New Roman" w:hAnsi="Times New Roman"/>
          <w:sz w:val="24"/>
        </w:rPr>
        <w:t xml:space="preserve"> tender specifications required of the </w:t>
      </w:r>
      <w:r w:rsidR="006E5705">
        <w:rPr>
          <w:rFonts w:ascii="Times New Roman" w:hAnsi="Times New Roman"/>
          <w:sz w:val="24"/>
        </w:rPr>
        <w:t xml:space="preserve">bidder </w:t>
      </w:r>
      <w:r w:rsidR="00FD58D5" w:rsidRPr="00E31BA4">
        <w:rPr>
          <w:rFonts w:ascii="Times New Roman" w:hAnsi="Times New Roman"/>
          <w:sz w:val="24"/>
        </w:rPr>
        <w:t xml:space="preserve">to provide </w:t>
      </w:r>
      <w:r w:rsidR="006E5705">
        <w:rPr>
          <w:rFonts w:ascii="Times New Roman" w:hAnsi="Times New Roman"/>
          <w:sz w:val="24"/>
        </w:rPr>
        <w:t>100%-</w:t>
      </w:r>
      <w:r w:rsidR="00FD58D5" w:rsidRPr="00E31BA4">
        <w:rPr>
          <w:rFonts w:ascii="Times New Roman" w:hAnsi="Times New Roman"/>
          <w:sz w:val="24"/>
        </w:rPr>
        <w:t>pa</w:t>
      </w:r>
      <w:r w:rsidR="006E5705">
        <w:rPr>
          <w:rFonts w:ascii="Times New Roman" w:hAnsi="Times New Roman"/>
          <w:sz w:val="24"/>
        </w:rPr>
        <w:t>ge</w:t>
      </w:r>
      <w:r w:rsidR="00FD58D5" w:rsidRPr="00E31BA4">
        <w:rPr>
          <w:rFonts w:ascii="Times New Roman" w:hAnsi="Times New Roman"/>
          <w:sz w:val="24"/>
        </w:rPr>
        <w:t xml:space="preserve"> coverage</w:t>
      </w:r>
      <w:r w:rsidR="0080622D">
        <w:rPr>
          <w:rFonts w:ascii="Times New Roman" w:hAnsi="Times New Roman"/>
          <w:sz w:val="24"/>
        </w:rPr>
        <w:t xml:space="preserve"> for A4 printing or imaging</w:t>
      </w:r>
      <w:r w:rsidR="00FD58D5" w:rsidRPr="00E31BA4">
        <w:rPr>
          <w:rFonts w:ascii="Times New Roman" w:hAnsi="Times New Roman"/>
          <w:sz w:val="24"/>
        </w:rPr>
        <w:t xml:space="preserve"> and the second respondent only priced for 5%</w:t>
      </w:r>
      <w:r w:rsidR="006E5705">
        <w:rPr>
          <w:rFonts w:ascii="Times New Roman" w:hAnsi="Times New Roman"/>
          <w:sz w:val="24"/>
        </w:rPr>
        <w:t xml:space="preserve">-page coverage </w:t>
      </w:r>
      <w:r w:rsidR="00FD58D5" w:rsidRPr="00E31BA4">
        <w:rPr>
          <w:rFonts w:ascii="Times New Roman" w:hAnsi="Times New Roman"/>
          <w:sz w:val="24"/>
        </w:rPr>
        <w:t xml:space="preserve">hence </w:t>
      </w:r>
      <w:r w:rsidR="006E5705">
        <w:rPr>
          <w:rFonts w:ascii="Times New Roman" w:hAnsi="Times New Roman"/>
          <w:sz w:val="24"/>
        </w:rPr>
        <w:t xml:space="preserve">its </w:t>
      </w:r>
      <w:r w:rsidR="00FD58D5" w:rsidRPr="00E31BA4">
        <w:rPr>
          <w:rFonts w:ascii="Times New Roman" w:hAnsi="Times New Roman"/>
          <w:sz w:val="24"/>
        </w:rPr>
        <w:t xml:space="preserve">price was </w:t>
      </w:r>
      <w:r w:rsidR="006E5705">
        <w:rPr>
          <w:rFonts w:ascii="Times New Roman" w:hAnsi="Times New Roman"/>
          <w:sz w:val="24"/>
        </w:rPr>
        <w:t xml:space="preserve">the </w:t>
      </w:r>
      <w:r w:rsidR="00FD58D5" w:rsidRPr="00E31BA4">
        <w:rPr>
          <w:rFonts w:ascii="Times New Roman" w:hAnsi="Times New Roman"/>
          <w:sz w:val="24"/>
        </w:rPr>
        <w:t>lowe</w:t>
      </w:r>
      <w:r w:rsidR="006E5705">
        <w:rPr>
          <w:rFonts w:ascii="Times New Roman" w:hAnsi="Times New Roman"/>
          <w:sz w:val="24"/>
        </w:rPr>
        <w:t>st</w:t>
      </w:r>
      <w:r w:rsidR="00FD58D5" w:rsidRPr="00E31BA4">
        <w:rPr>
          <w:rFonts w:ascii="Times New Roman" w:hAnsi="Times New Roman"/>
          <w:sz w:val="24"/>
        </w:rPr>
        <w:t>.</w:t>
      </w:r>
      <w:r>
        <w:rPr>
          <w:rFonts w:ascii="Times New Roman" w:hAnsi="Times New Roman"/>
          <w:sz w:val="24"/>
        </w:rPr>
        <w:t xml:space="preserve"> The bid, so counsel for the applicant proceeded, was therefore not in accordance with the specifications and the award was therefore irregular and is </w:t>
      </w:r>
      <w:r w:rsidR="00E73CD4">
        <w:rPr>
          <w:rFonts w:ascii="Times New Roman" w:hAnsi="Times New Roman"/>
          <w:sz w:val="24"/>
        </w:rPr>
        <w:t xml:space="preserve">susceptible </w:t>
      </w:r>
      <w:r>
        <w:rPr>
          <w:rFonts w:ascii="Times New Roman" w:hAnsi="Times New Roman"/>
          <w:sz w:val="24"/>
        </w:rPr>
        <w:t>to be set aside in terms of PAJA.</w:t>
      </w:r>
    </w:p>
    <w:p w14:paraId="35221C2A" w14:textId="77777777" w:rsidR="001536AF" w:rsidRPr="001536AF" w:rsidRDefault="001536AF" w:rsidP="001536AF">
      <w:pPr>
        <w:pStyle w:val="ListParagraph"/>
        <w:tabs>
          <w:tab w:val="left" w:pos="540"/>
        </w:tabs>
        <w:spacing w:after="160" w:line="480" w:lineRule="auto"/>
        <w:ind w:left="0" w:right="1"/>
        <w:rPr>
          <w:rFonts w:ascii="Times New Roman" w:hAnsi="Times New Roman"/>
          <w:i/>
          <w:iCs/>
          <w:sz w:val="24"/>
        </w:rPr>
      </w:pPr>
    </w:p>
    <w:p w14:paraId="374F7589" w14:textId="5867A427" w:rsidR="00FB5897" w:rsidRPr="00FB5897" w:rsidRDefault="001536AF"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The applicant further contended that</w:t>
      </w:r>
      <w:r w:rsidR="00305A07">
        <w:rPr>
          <w:rFonts w:ascii="Times New Roman" w:hAnsi="Times New Roman"/>
          <w:sz w:val="24"/>
        </w:rPr>
        <w:t>,</w:t>
      </w:r>
      <w:r>
        <w:rPr>
          <w:rFonts w:ascii="Times New Roman" w:hAnsi="Times New Roman"/>
          <w:sz w:val="24"/>
        </w:rPr>
        <w:t xml:space="preserve"> </w:t>
      </w:r>
      <w:r w:rsidR="00305A07">
        <w:rPr>
          <w:rFonts w:ascii="Times New Roman" w:hAnsi="Times New Roman"/>
          <w:sz w:val="24"/>
        </w:rPr>
        <w:t>as an alternative argument,</w:t>
      </w:r>
      <w:r w:rsidR="00026337">
        <w:rPr>
          <w:rFonts w:ascii="Times New Roman" w:hAnsi="Times New Roman"/>
          <w:sz w:val="24"/>
        </w:rPr>
        <w:t xml:space="preserve"> d</w:t>
      </w:r>
      <w:r w:rsidR="00FB5897">
        <w:rPr>
          <w:rFonts w:ascii="Times New Roman" w:hAnsi="Times New Roman"/>
          <w:sz w:val="24"/>
        </w:rPr>
        <w:t xml:space="preserve">ue to inability to make an exact determination </w:t>
      </w:r>
      <w:r w:rsidR="00F371D5">
        <w:rPr>
          <w:rFonts w:ascii="Times New Roman" w:hAnsi="Times New Roman"/>
          <w:sz w:val="24"/>
        </w:rPr>
        <w:t xml:space="preserve">on the page coverage </w:t>
      </w:r>
      <w:r w:rsidR="00026337">
        <w:rPr>
          <w:rFonts w:ascii="Times New Roman" w:hAnsi="Times New Roman"/>
          <w:sz w:val="24"/>
        </w:rPr>
        <w:t xml:space="preserve">the applicant </w:t>
      </w:r>
      <w:r w:rsidR="00FB5897">
        <w:rPr>
          <w:rFonts w:ascii="Times New Roman" w:hAnsi="Times New Roman"/>
          <w:sz w:val="24"/>
        </w:rPr>
        <w:t xml:space="preserve">then decided to provide 100%-page coverage and if there be another explanation then it meant again that </w:t>
      </w:r>
      <w:r w:rsidR="00FB5897" w:rsidRPr="001227C8">
        <w:rPr>
          <w:rFonts w:ascii="Times New Roman" w:hAnsi="Times New Roman"/>
          <w:i/>
          <w:sz w:val="24"/>
        </w:rPr>
        <w:t>“</w:t>
      </w:r>
      <w:r w:rsidR="00FB5897" w:rsidRPr="004D11A4">
        <w:rPr>
          <w:rFonts w:ascii="Times New Roman" w:hAnsi="Times New Roman"/>
          <w:i/>
          <w:iCs/>
          <w:sz w:val="24"/>
        </w:rPr>
        <w:t xml:space="preserve">the First </w:t>
      </w:r>
      <w:r w:rsidR="00237DEE">
        <w:rPr>
          <w:rFonts w:ascii="Times New Roman" w:hAnsi="Times New Roman"/>
          <w:i/>
          <w:iCs/>
          <w:sz w:val="24"/>
        </w:rPr>
        <w:t>R</w:t>
      </w:r>
      <w:r w:rsidR="00FB5897" w:rsidRPr="004D11A4">
        <w:rPr>
          <w:rFonts w:ascii="Times New Roman" w:hAnsi="Times New Roman"/>
          <w:i/>
          <w:iCs/>
          <w:sz w:val="24"/>
        </w:rPr>
        <w:t>esponde</w:t>
      </w:r>
      <w:r w:rsidR="00FB5897">
        <w:rPr>
          <w:rFonts w:ascii="Times New Roman" w:hAnsi="Times New Roman"/>
          <w:i/>
          <w:iCs/>
          <w:sz w:val="24"/>
        </w:rPr>
        <w:t>n</w:t>
      </w:r>
      <w:r w:rsidR="00FB5897" w:rsidRPr="004D11A4">
        <w:rPr>
          <w:rFonts w:ascii="Times New Roman" w:hAnsi="Times New Roman"/>
          <w:i/>
          <w:iCs/>
          <w:sz w:val="24"/>
        </w:rPr>
        <w:t>t’s bid specification was not clear resulting in prejudice to all the bi</w:t>
      </w:r>
      <w:r w:rsidR="00FB5897">
        <w:rPr>
          <w:rFonts w:ascii="Times New Roman" w:hAnsi="Times New Roman"/>
          <w:i/>
          <w:iCs/>
          <w:sz w:val="24"/>
        </w:rPr>
        <w:t>d</w:t>
      </w:r>
      <w:r w:rsidR="00FB5897" w:rsidRPr="004D11A4">
        <w:rPr>
          <w:rFonts w:ascii="Times New Roman" w:hAnsi="Times New Roman"/>
          <w:i/>
          <w:iCs/>
          <w:sz w:val="24"/>
        </w:rPr>
        <w:t>ders</w:t>
      </w:r>
      <w:r w:rsidR="00FB5897">
        <w:rPr>
          <w:rFonts w:ascii="Times New Roman" w:hAnsi="Times New Roman"/>
          <w:sz w:val="24"/>
        </w:rPr>
        <w:t>”.</w:t>
      </w:r>
      <w:r w:rsidR="00FB5897">
        <w:rPr>
          <w:rStyle w:val="FootnoteReference"/>
          <w:rFonts w:ascii="Times New Roman" w:hAnsi="Times New Roman"/>
          <w:sz w:val="24"/>
        </w:rPr>
        <w:footnoteReference w:id="25"/>
      </w:r>
    </w:p>
    <w:p w14:paraId="7E5CE41B" w14:textId="77777777" w:rsidR="00FB5897" w:rsidRPr="00FB5897" w:rsidRDefault="00FB5897" w:rsidP="00FB5897">
      <w:pPr>
        <w:pStyle w:val="ListParagraph"/>
        <w:rPr>
          <w:rFonts w:ascii="Times New Roman" w:hAnsi="Times New Roman"/>
          <w:sz w:val="24"/>
        </w:rPr>
      </w:pPr>
    </w:p>
    <w:p w14:paraId="44C49903" w14:textId="35EEEBB4" w:rsidR="001536AF" w:rsidRPr="00FB5897" w:rsidRDefault="00305A07"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An alternative further </w:t>
      </w:r>
      <w:r w:rsidR="00F371D5">
        <w:rPr>
          <w:rFonts w:ascii="Times New Roman" w:hAnsi="Times New Roman"/>
          <w:sz w:val="24"/>
        </w:rPr>
        <w:t>argument</w:t>
      </w:r>
      <w:r>
        <w:rPr>
          <w:rFonts w:ascii="Times New Roman" w:hAnsi="Times New Roman"/>
          <w:sz w:val="24"/>
        </w:rPr>
        <w:t xml:space="preserve"> is that the </w:t>
      </w:r>
      <w:r w:rsidR="00E46F65" w:rsidRPr="001227C8">
        <w:rPr>
          <w:rFonts w:ascii="Times New Roman" w:hAnsi="Times New Roman"/>
          <w:i/>
          <w:sz w:val="24"/>
        </w:rPr>
        <w:t>“</w:t>
      </w:r>
      <w:r w:rsidR="00E46F65" w:rsidRPr="00E46F65">
        <w:rPr>
          <w:rFonts w:ascii="Times New Roman" w:hAnsi="Times New Roman"/>
          <w:i/>
          <w:iCs/>
          <w:sz w:val="24"/>
        </w:rPr>
        <w:t>[T]he First respondent’s bias towards the Applicant is blatant</w:t>
      </w:r>
      <w:r w:rsidR="00E46F65" w:rsidRPr="001227C8">
        <w:rPr>
          <w:rFonts w:ascii="Times New Roman" w:hAnsi="Times New Roman"/>
          <w:i/>
          <w:sz w:val="24"/>
        </w:rPr>
        <w:t>”</w:t>
      </w:r>
      <w:r w:rsidR="00E46F65">
        <w:rPr>
          <w:rStyle w:val="FootnoteReference"/>
          <w:rFonts w:ascii="Times New Roman" w:hAnsi="Times New Roman"/>
          <w:sz w:val="24"/>
        </w:rPr>
        <w:footnoteReference w:id="26"/>
      </w:r>
      <w:r>
        <w:rPr>
          <w:rFonts w:ascii="Times New Roman" w:hAnsi="Times New Roman"/>
          <w:sz w:val="24"/>
        </w:rPr>
        <w:t xml:space="preserve"> hence its bid was unsuccessful.</w:t>
      </w:r>
    </w:p>
    <w:p w14:paraId="3D0C0335" w14:textId="77777777" w:rsidR="00FB5897" w:rsidRPr="00FB5897" w:rsidRDefault="00FB5897" w:rsidP="00FB5897">
      <w:pPr>
        <w:pStyle w:val="ListParagraph"/>
        <w:rPr>
          <w:rFonts w:ascii="Times New Roman" w:hAnsi="Times New Roman"/>
          <w:i/>
          <w:iCs/>
          <w:sz w:val="24"/>
        </w:rPr>
      </w:pPr>
    </w:p>
    <w:p w14:paraId="232BFFDD" w14:textId="048BC04D" w:rsidR="00FB5897" w:rsidRPr="00305A07" w:rsidRDefault="00FB5897" w:rsidP="00FB5897">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The first respondent in retort contended that</w:t>
      </w:r>
      <w:r w:rsidRPr="00E31BA4">
        <w:rPr>
          <w:rFonts w:ascii="Times New Roman" w:hAnsi="Times New Roman"/>
          <w:sz w:val="24"/>
        </w:rPr>
        <w:t xml:space="preserve"> the information provided to the </w:t>
      </w:r>
      <w:r>
        <w:rPr>
          <w:rFonts w:ascii="Times New Roman" w:hAnsi="Times New Roman"/>
          <w:sz w:val="24"/>
        </w:rPr>
        <w:t>bidders clearly indicates</w:t>
      </w:r>
      <w:r w:rsidRPr="00E31BA4">
        <w:rPr>
          <w:rFonts w:ascii="Times New Roman" w:hAnsi="Times New Roman"/>
          <w:sz w:val="24"/>
        </w:rPr>
        <w:t xml:space="preserve"> the </w:t>
      </w:r>
      <w:r w:rsidR="00E73CD4">
        <w:rPr>
          <w:rFonts w:ascii="Times New Roman" w:hAnsi="Times New Roman"/>
          <w:sz w:val="24"/>
        </w:rPr>
        <w:t xml:space="preserve">load </w:t>
      </w:r>
      <w:r w:rsidRPr="00E31BA4">
        <w:rPr>
          <w:rFonts w:ascii="Times New Roman" w:hAnsi="Times New Roman"/>
          <w:sz w:val="24"/>
        </w:rPr>
        <w:t>of the printing work required</w:t>
      </w:r>
      <w:r>
        <w:rPr>
          <w:rFonts w:ascii="Times New Roman" w:hAnsi="Times New Roman"/>
          <w:sz w:val="24"/>
        </w:rPr>
        <w:t xml:space="preserve"> by the first respondent</w:t>
      </w:r>
      <w:r w:rsidRPr="00E31BA4">
        <w:rPr>
          <w:rFonts w:ascii="Times New Roman" w:hAnsi="Times New Roman"/>
          <w:sz w:val="24"/>
        </w:rPr>
        <w:t xml:space="preserve"> and further that the </w:t>
      </w:r>
      <w:r>
        <w:rPr>
          <w:rFonts w:ascii="Times New Roman" w:hAnsi="Times New Roman"/>
          <w:sz w:val="24"/>
        </w:rPr>
        <w:t xml:space="preserve">bidder should </w:t>
      </w:r>
      <w:r w:rsidRPr="00E31BA4">
        <w:rPr>
          <w:rFonts w:ascii="Times New Roman" w:hAnsi="Times New Roman"/>
          <w:sz w:val="24"/>
        </w:rPr>
        <w:t xml:space="preserve">have been able to assess and conclude that there was no need to provide </w:t>
      </w:r>
      <w:r>
        <w:rPr>
          <w:rFonts w:ascii="Times New Roman" w:hAnsi="Times New Roman"/>
          <w:sz w:val="24"/>
        </w:rPr>
        <w:t xml:space="preserve">for </w:t>
      </w:r>
      <w:r w:rsidRPr="00E31BA4">
        <w:rPr>
          <w:rFonts w:ascii="Times New Roman" w:hAnsi="Times New Roman"/>
          <w:sz w:val="24"/>
        </w:rPr>
        <w:t xml:space="preserve">100% </w:t>
      </w:r>
      <w:r>
        <w:rPr>
          <w:rFonts w:ascii="Times New Roman" w:hAnsi="Times New Roman"/>
          <w:sz w:val="24"/>
        </w:rPr>
        <w:t>page-</w:t>
      </w:r>
      <w:r w:rsidRPr="00E31BA4">
        <w:rPr>
          <w:rFonts w:ascii="Times New Roman" w:hAnsi="Times New Roman"/>
          <w:sz w:val="24"/>
        </w:rPr>
        <w:t>coverage.</w:t>
      </w:r>
      <w:r>
        <w:rPr>
          <w:rFonts w:ascii="Times New Roman" w:hAnsi="Times New Roman"/>
          <w:sz w:val="24"/>
        </w:rPr>
        <w:t xml:space="preserve"> The first respondent having stated that </w:t>
      </w:r>
      <w:r w:rsidRPr="00402502">
        <w:rPr>
          <w:rFonts w:ascii="Times New Roman" w:hAnsi="Times New Roman"/>
          <w:i/>
          <w:iCs/>
          <w:sz w:val="24"/>
        </w:rPr>
        <w:t xml:space="preserve">“[P]age coverage is the </w:t>
      </w:r>
      <w:r w:rsidRPr="00CD1214">
        <w:rPr>
          <w:rFonts w:ascii="Times New Roman" w:hAnsi="Times New Roman"/>
          <w:i/>
          <w:iCs/>
          <w:sz w:val="24"/>
          <w:u w:val="single"/>
        </w:rPr>
        <w:t>estimated</w:t>
      </w:r>
      <w:r w:rsidRPr="00402502">
        <w:rPr>
          <w:rFonts w:ascii="Times New Roman" w:hAnsi="Times New Roman"/>
          <w:i/>
          <w:iCs/>
          <w:sz w:val="24"/>
        </w:rPr>
        <w:t xml:space="preserve"> amount of coverage on a printed page; the amount of ‘ink’ on the page relative to the page size. For example, if a picture is printed that covers the whole page this is considered to be seen as 100%coverage. If a text document, such </w:t>
      </w:r>
      <w:r w:rsidR="00F371D5">
        <w:rPr>
          <w:rFonts w:ascii="Times New Roman" w:hAnsi="Times New Roman"/>
          <w:i/>
          <w:iCs/>
          <w:sz w:val="24"/>
        </w:rPr>
        <w:t xml:space="preserve">as </w:t>
      </w:r>
      <w:r w:rsidRPr="00402502">
        <w:rPr>
          <w:rFonts w:ascii="Times New Roman" w:hAnsi="Times New Roman"/>
          <w:i/>
          <w:iCs/>
          <w:sz w:val="24"/>
        </w:rPr>
        <w:t>a memorandum is printed, coverage may be 10% depending on the line spacing, f</w:t>
      </w:r>
      <w:r>
        <w:rPr>
          <w:rFonts w:ascii="Times New Roman" w:hAnsi="Times New Roman"/>
          <w:i/>
          <w:iCs/>
          <w:sz w:val="24"/>
        </w:rPr>
        <w:t>o</w:t>
      </w:r>
      <w:r w:rsidRPr="00402502">
        <w:rPr>
          <w:rFonts w:ascii="Times New Roman" w:hAnsi="Times New Roman"/>
          <w:i/>
          <w:iCs/>
          <w:sz w:val="24"/>
        </w:rPr>
        <w:t xml:space="preserve">nt size </w:t>
      </w:r>
      <w:r w:rsidRPr="00402502">
        <w:rPr>
          <w:rFonts w:ascii="Times New Roman" w:hAnsi="Times New Roman"/>
          <w:i/>
          <w:iCs/>
          <w:sz w:val="24"/>
        </w:rPr>
        <w:lastRenderedPageBreak/>
        <w:t>and number of letters etc”</w:t>
      </w:r>
      <w:r>
        <w:rPr>
          <w:rFonts w:ascii="Times New Roman" w:hAnsi="Times New Roman"/>
          <w:sz w:val="24"/>
        </w:rPr>
        <w:t>.</w:t>
      </w:r>
      <w:r>
        <w:rPr>
          <w:rStyle w:val="FootnoteReference"/>
          <w:rFonts w:ascii="Times New Roman" w:hAnsi="Times New Roman"/>
          <w:sz w:val="24"/>
        </w:rPr>
        <w:footnoteReference w:id="27"/>
      </w:r>
      <w:r>
        <w:rPr>
          <w:rFonts w:ascii="Times New Roman" w:hAnsi="Times New Roman"/>
          <w:sz w:val="24"/>
        </w:rPr>
        <w:t xml:space="preserve"> </w:t>
      </w:r>
      <w:r w:rsidR="00F371D5">
        <w:rPr>
          <w:rFonts w:ascii="Times New Roman" w:hAnsi="Times New Roman"/>
          <w:sz w:val="24"/>
        </w:rPr>
        <w:t>T</w:t>
      </w:r>
      <w:r>
        <w:rPr>
          <w:rFonts w:ascii="Times New Roman" w:hAnsi="Times New Roman"/>
          <w:sz w:val="24"/>
        </w:rPr>
        <w:t xml:space="preserve">he applicant in its reply confirms that the toner will be impacted by the number of pages </w:t>
      </w:r>
      <w:r w:rsidR="00F371D5">
        <w:rPr>
          <w:rFonts w:ascii="Times New Roman" w:hAnsi="Times New Roman"/>
          <w:sz w:val="24"/>
        </w:rPr>
        <w:t xml:space="preserve">to be </w:t>
      </w:r>
      <w:r>
        <w:rPr>
          <w:rFonts w:ascii="Times New Roman" w:hAnsi="Times New Roman"/>
          <w:sz w:val="24"/>
        </w:rPr>
        <w:t>printed. Counsel</w:t>
      </w:r>
      <w:r w:rsidR="00F371D5">
        <w:rPr>
          <w:rFonts w:ascii="Times New Roman" w:hAnsi="Times New Roman"/>
          <w:sz w:val="24"/>
        </w:rPr>
        <w:t xml:space="preserve"> for the respondent</w:t>
      </w:r>
      <w:r>
        <w:rPr>
          <w:rFonts w:ascii="Times New Roman" w:hAnsi="Times New Roman"/>
          <w:sz w:val="24"/>
        </w:rPr>
        <w:t xml:space="preserve"> stated further that it therefore follows that without the exact numbers of pages being known a party may not be able to quote with military precision for the toner required. This can only be worked out from the historical usage</w:t>
      </w:r>
      <w:r w:rsidR="00026337">
        <w:rPr>
          <w:rFonts w:ascii="Times New Roman" w:hAnsi="Times New Roman"/>
          <w:sz w:val="24"/>
        </w:rPr>
        <w:t xml:space="preserve"> and the information on historical usage was provided to the bidders</w:t>
      </w:r>
      <w:r>
        <w:rPr>
          <w:rFonts w:ascii="Times New Roman" w:hAnsi="Times New Roman"/>
          <w:sz w:val="24"/>
        </w:rPr>
        <w:t>.</w:t>
      </w:r>
      <w:r>
        <w:rPr>
          <w:rStyle w:val="FootnoteReference"/>
          <w:rFonts w:ascii="Times New Roman" w:hAnsi="Times New Roman"/>
          <w:sz w:val="24"/>
        </w:rPr>
        <w:footnoteReference w:id="28"/>
      </w:r>
      <w:r>
        <w:rPr>
          <w:rFonts w:ascii="Times New Roman" w:hAnsi="Times New Roman"/>
          <w:sz w:val="24"/>
        </w:rPr>
        <w:t xml:space="preserve"> To this end having to quote for 100% would have been unreasonable and </w:t>
      </w:r>
      <w:r w:rsidR="00E73CD4">
        <w:rPr>
          <w:rFonts w:ascii="Times New Roman" w:hAnsi="Times New Roman"/>
          <w:sz w:val="24"/>
        </w:rPr>
        <w:t>w</w:t>
      </w:r>
      <w:r>
        <w:rPr>
          <w:rFonts w:ascii="Times New Roman" w:hAnsi="Times New Roman"/>
          <w:sz w:val="24"/>
        </w:rPr>
        <w:t xml:space="preserve">ould have amounted to incurring unnecessary expense. </w:t>
      </w:r>
    </w:p>
    <w:p w14:paraId="0BC6B256" w14:textId="77777777" w:rsidR="00FB5897" w:rsidRPr="00FB5897" w:rsidRDefault="00FB5897" w:rsidP="00FB5897">
      <w:pPr>
        <w:pStyle w:val="ListParagraph"/>
        <w:rPr>
          <w:rFonts w:ascii="Times New Roman" w:hAnsi="Times New Roman"/>
          <w:sz w:val="24"/>
        </w:rPr>
      </w:pPr>
    </w:p>
    <w:p w14:paraId="42D284AA" w14:textId="4C9C1319" w:rsidR="00887B94" w:rsidRPr="00E31BA4" w:rsidRDefault="00D736D4" w:rsidP="00FA6CEE">
      <w:pPr>
        <w:pStyle w:val="ListParagraph"/>
        <w:numPr>
          <w:ilvl w:val="0"/>
          <w:numId w:val="2"/>
        </w:numPr>
        <w:tabs>
          <w:tab w:val="left" w:pos="540"/>
        </w:tabs>
        <w:spacing w:after="160" w:line="480" w:lineRule="auto"/>
        <w:ind w:right="1"/>
        <w:rPr>
          <w:rFonts w:ascii="Times New Roman" w:hAnsi="Times New Roman"/>
          <w:i/>
          <w:iCs/>
          <w:sz w:val="24"/>
        </w:rPr>
      </w:pPr>
      <w:r w:rsidRPr="00E31BA4">
        <w:rPr>
          <w:rFonts w:ascii="Times New Roman" w:hAnsi="Times New Roman"/>
          <w:sz w:val="24"/>
        </w:rPr>
        <w:t xml:space="preserve">The </w:t>
      </w:r>
      <w:r w:rsidR="00402502">
        <w:rPr>
          <w:rFonts w:ascii="Times New Roman" w:hAnsi="Times New Roman"/>
          <w:sz w:val="24"/>
        </w:rPr>
        <w:t>first respondent’</w:t>
      </w:r>
      <w:r w:rsidRPr="00E31BA4">
        <w:rPr>
          <w:rFonts w:ascii="Times New Roman" w:hAnsi="Times New Roman"/>
          <w:sz w:val="24"/>
        </w:rPr>
        <w:t xml:space="preserve">s counsel further argued that </w:t>
      </w:r>
      <w:r w:rsidR="00026337">
        <w:rPr>
          <w:rFonts w:ascii="Times New Roman" w:hAnsi="Times New Roman"/>
          <w:sz w:val="24"/>
        </w:rPr>
        <w:t xml:space="preserve">the legal principles </w:t>
      </w:r>
      <w:r w:rsidRPr="00E31BA4">
        <w:rPr>
          <w:rFonts w:ascii="Times New Roman" w:hAnsi="Times New Roman"/>
          <w:sz w:val="24"/>
        </w:rPr>
        <w:t xml:space="preserve">in relation to review and setting aside of </w:t>
      </w:r>
      <w:r w:rsidR="006C156B">
        <w:rPr>
          <w:rFonts w:ascii="Times New Roman" w:hAnsi="Times New Roman"/>
          <w:sz w:val="24"/>
        </w:rPr>
        <w:t>the award</w:t>
      </w:r>
      <w:r w:rsidR="00026337">
        <w:rPr>
          <w:rFonts w:ascii="Times New Roman" w:hAnsi="Times New Roman"/>
          <w:sz w:val="24"/>
        </w:rPr>
        <w:t>s</w:t>
      </w:r>
      <w:r w:rsidR="006C156B">
        <w:rPr>
          <w:rFonts w:ascii="Times New Roman" w:hAnsi="Times New Roman"/>
          <w:sz w:val="24"/>
        </w:rPr>
        <w:t xml:space="preserve"> and</w:t>
      </w:r>
      <w:r w:rsidR="00026337">
        <w:rPr>
          <w:rFonts w:ascii="Times New Roman" w:hAnsi="Times New Roman"/>
          <w:sz w:val="24"/>
        </w:rPr>
        <w:t xml:space="preserve">/ </w:t>
      </w:r>
      <w:r w:rsidR="006C156B">
        <w:rPr>
          <w:rFonts w:ascii="Times New Roman" w:hAnsi="Times New Roman"/>
          <w:sz w:val="24"/>
        </w:rPr>
        <w:t xml:space="preserve">or </w:t>
      </w:r>
      <w:r w:rsidR="00632282">
        <w:rPr>
          <w:rFonts w:ascii="Times New Roman" w:hAnsi="Times New Roman"/>
          <w:sz w:val="24"/>
        </w:rPr>
        <w:t>bid</w:t>
      </w:r>
      <w:r w:rsidR="00026337">
        <w:rPr>
          <w:rFonts w:ascii="Times New Roman" w:hAnsi="Times New Roman"/>
          <w:sz w:val="24"/>
        </w:rPr>
        <w:t xml:space="preserve">s </w:t>
      </w:r>
      <w:r w:rsidR="0058451D">
        <w:rPr>
          <w:rFonts w:ascii="Times New Roman" w:hAnsi="Times New Roman"/>
          <w:sz w:val="24"/>
        </w:rPr>
        <w:t>requires t</w:t>
      </w:r>
      <w:r w:rsidR="00026337">
        <w:rPr>
          <w:rFonts w:ascii="Times New Roman" w:hAnsi="Times New Roman"/>
          <w:sz w:val="24"/>
        </w:rPr>
        <w:t xml:space="preserve">hat a party should be able to demonstrate that there was an irregularity and further </w:t>
      </w:r>
      <w:r w:rsidRPr="00E31BA4">
        <w:rPr>
          <w:rFonts w:ascii="Times New Roman" w:hAnsi="Times New Roman"/>
          <w:sz w:val="24"/>
        </w:rPr>
        <w:t xml:space="preserve">demonstrate that such </w:t>
      </w:r>
      <w:r w:rsidR="00632282">
        <w:rPr>
          <w:rFonts w:ascii="Times New Roman" w:hAnsi="Times New Roman"/>
          <w:sz w:val="24"/>
        </w:rPr>
        <w:t xml:space="preserve">an </w:t>
      </w:r>
      <w:r w:rsidRPr="00E31BA4">
        <w:rPr>
          <w:rFonts w:ascii="Times New Roman" w:hAnsi="Times New Roman"/>
          <w:sz w:val="24"/>
        </w:rPr>
        <w:t>irregularity was material such that the tender would not have been awarded</w:t>
      </w:r>
      <w:r w:rsidR="00632282">
        <w:rPr>
          <w:rFonts w:ascii="Times New Roman" w:hAnsi="Times New Roman"/>
          <w:sz w:val="24"/>
        </w:rPr>
        <w:t xml:space="preserve"> at all or at least </w:t>
      </w:r>
      <w:r w:rsidR="00AC0E8F">
        <w:rPr>
          <w:rFonts w:ascii="Times New Roman" w:hAnsi="Times New Roman"/>
          <w:sz w:val="24"/>
        </w:rPr>
        <w:t>be</w:t>
      </w:r>
      <w:r w:rsidR="000C4225">
        <w:rPr>
          <w:rFonts w:ascii="Times New Roman" w:hAnsi="Times New Roman"/>
          <w:sz w:val="24"/>
        </w:rPr>
        <w:t>en</w:t>
      </w:r>
      <w:r w:rsidR="00AC0E8F">
        <w:rPr>
          <w:rFonts w:ascii="Times New Roman" w:hAnsi="Times New Roman"/>
          <w:sz w:val="24"/>
        </w:rPr>
        <w:t xml:space="preserve"> awarded to the applicant</w:t>
      </w:r>
      <w:r w:rsidRPr="00E31BA4">
        <w:rPr>
          <w:rFonts w:ascii="Times New Roman" w:hAnsi="Times New Roman"/>
          <w:sz w:val="24"/>
        </w:rPr>
        <w:t>. It being</w:t>
      </w:r>
      <w:r w:rsidR="00026337">
        <w:rPr>
          <w:rFonts w:ascii="Times New Roman" w:hAnsi="Times New Roman"/>
          <w:sz w:val="24"/>
        </w:rPr>
        <w:t xml:space="preserve"> noted, so went the argument,</w:t>
      </w:r>
      <w:r w:rsidRPr="00E31BA4">
        <w:rPr>
          <w:rFonts w:ascii="Times New Roman" w:hAnsi="Times New Roman"/>
          <w:sz w:val="24"/>
        </w:rPr>
        <w:t xml:space="preserve"> that the applicant is no longer challenging the award on the basis on technical requirements but on pricing</w:t>
      </w:r>
      <w:r w:rsidR="00632282">
        <w:rPr>
          <w:rFonts w:ascii="Times New Roman" w:hAnsi="Times New Roman"/>
          <w:sz w:val="24"/>
        </w:rPr>
        <w:t xml:space="preserve"> to demonstrate the materiality of the alleged irregularity</w:t>
      </w:r>
      <w:r w:rsidRPr="00E31BA4">
        <w:rPr>
          <w:rFonts w:ascii="Times New Roman" w:hAnsi="Times New Roman"/>
          <w:sz w:val="24"/>
        </w:rPr>
        <w:t xml:space="preserve"> the applicant should have also demonstrated </w:t>
      </w:r>
      <w:r w:rsidR="00AC0E8F">
        <w:rPr>
          <w:rFonts w:ascii="Times New Roman" w:hAnsi="Times New Roman"/>
          <w:sz w:val="24"/>
        </w:rPr>
        <w:t xml:space="preserve">that </w:t>
      </w:r>
      <w:r w:rsidRPr="00E31BA4">
        <w:rPr>
          <w:rFonts w:ascii="Times New Roman" w:hAnsi="Times New Roman"/>
          <w:sz w:val="24"/>
        </w:rPr>
        <w:t xml:space="preserve">had the applicant submitted a </w:t>
      </w:r>
      <w:r w:rsidR="00AC0E8F">
        <w:rPr>
          <w:rFonts w:ascii="Times New Roman" w:hAnsi="Times New Roman"/>
          <w:sz w:val="24"/>
        </w:rPr>
        <w:t>centralised print solution f</w:t>
      </w:r>
      <w:r w:rsidRPr="00E31BA4">
        <w:rPr>
          <w:rFonts w:ascii="Times New Roman" w:hAnsi="Times New Roman"/>
          <w:sz w:val="24"/>
        </w:rPr>
        <w:t>or 21 printers</w:t>
      </w:r>
      <w:r w:rsidR="00E73CD4">
        <w:rPr>
          <w:rFonts w:ascii="Times New Roman" w:hAnsi="Times New Roman"/>
          <w:sz w:val="24"/>
        </w:rPr>
        <w:t xml:space="preserve"> only</w:t>
      </w:r>
      <w:r w:rsidRPr="00E31BA4">
        <w:rPr>
          <w:rFonts w:ascii="Times New Roman" w:hAnsi="Times New Roman"/>
          <w:sz w:val="24"/>
        </w:rPr>
        <w:t xml:space="preserve"> and also </w:t>
      </w:r>
      <w:r w:rsidR="000C4225">
        <w:rPr>
          <w:rFonts w:ascii="Times New Roman" w:hAnsi="Times New Roman"/>
          <w:sz w:val="24"/>
        </w:rPr>
        <w:t xml:space="preserve">tendered </w:t>
      </w:r>
      <w:r w:rsidRPr="00E31BA4">
        <w:rPr>
          <w:rFonts w:ascii="Times New Roman" w:hAnsi="Times New Roman"/>
          <w:sz w:val="24"/>
        </w:rPr>
        <w:t>for 5%</w:t>
      </w:r>
      <w:r w:rsidR="00632282">
        <w:rPr>
          <w:rFonts w:ascii="Times New Roman" w:hAnsi="Times New Roman"/>
          <w:sz w:val="24"/>
        </w:rPr>
        <w:t xml:space="preserve"> paper-</w:t>
      </w:r>
      <w:r w:rsidRPr="00E31BA4">
        <w:rPr>
          <w:rFonts w:ascii="Times New Roman" w:hAnsi="Times New Roman"/>
          <w:sz w:val="24"/>
        </w:rPr>
        <w:t>coverage the applicant</w:t>
      </w:r>
      <w:r w:rsidR="00AC0E8F">
        <w:rPr>
          <w:rFonts w:ascii="Times New Roman" w:hAnsi="Times New Roman"/>
          <w:sz w:val="24"/>
        </w:rPr>
        <w:t>’s price would have been the lowest</w:t>
      </w:r>
      <w:r w:rsidRPr="00E31BA4">
        <w:rPr>
          <w:rFonts w:ascii="Times New Roman" w:hAnsi="Times New Roman"/>
          <w:sz w:val="24"/>
        </w:rPr>
        <w:t xml:space="preserve">. In principle evidence must be presented to demonstrate that but for the irregularity the applicant would have won the tender. In view of the fact that no evidence has been </w:t>
      </w:r>
      <w:r w:rsidR="00632282">
        <w:rPr>
          <w:rFonts w:ascii="Times New Roman" w:hAnsi="Times New Roman"/>
          <w:sz w:val="24"/>
        </w:rPr>
        <w:t xml:space="preserve">tendered </w:t>
      </w:r>
      <w:r w:rsidRPr="00E31BA4">
        <w:rPr>
          <w:rFonts w:ascii="Times New Roman" w:hAnsi="Times New Roman"/>
          <w:sz w:val="24"/>
        </w:rPr>
        <w:t xml:space="preserve">by the applicant the court </w:t>
      </w:r>
      <w:r w:rsidR="00026337">
        <w:rPr>
          <w:rFonts w:ascii="Times New Roman" w:hAnsi="Times New Roman"/>
          <w:sz w:val="24"/>
        </w:rPr>
        <w:t xml:space="preserve">will be </w:t>
      </w:r>
      <w:r w:rsidR="000C4225">
        <w:rPr>
          <w:rFonts w:ascii="Times New Roman" w:hAnsi="Times New Roman"/>
          <w:sz w:val="24"/>
        </w:rPr>
        <w:t>unable</w:t>
      </w:r>
      <w:r w:rsidRPr="00E31BA4">
        <w:rPr>
          <w:rFonts w:ascii="Times New Roman" w:hAnsi="Times New Roman"/>
          <w:sz w:val="24"/>
        </w:rPr>
        <w:t xml:space="preserve"> to determine the effect </w:t>
      </w:r>
      <w:r w:rsidR="006C156B">
        <w:rPr>
          <w:rFonts w:ascii="Times New Roman" w:hAnsi="Times New Roman"/>
          <w:sz w:val="24"/>
        </w:rPr>
        <w:t xml:space="preserve">or materiality </w:t>
      </w:r>
      <w:r w:rsidRPr="00E31BA4">
        <w:rPr>
          <w:rFonts w:ascii="Times New Roman" w:hAnsi="Times New Roman"/>
          <w:sz w:val="24"/>
        </w:rPr>
        <w:t xml:space="preserve">of the </w:t>
      </w:r>
      <w:r w:rsidR="00AC0E8F">
        <w:rPr>
          <w:rFonts w:ascii="Times New Roman" w:hAnsi="Times New Roman"/>
          <w:sz w:val="24"/>
        </w:rPr>
        <w:t xml:space="preserve">alleged </w:t>
      </w:r>
      <w:r w:rsidRPr="00E31BA4">
        <w:rPr>
          <w:rFonts w:ascii="Times New Roman" w:hAnsi="Times New Roman"/>
          <w:sz w:val="24"/>
        </w:rPr>
        <w:t>irregularity on the whole tender award and would therefore</w:t>
      </w:r>
      <w:r w:rsidR="00026337">
        <w:rPr>
          <w:rFonts w:ascii="Times New Roman" w:hAnsi="Times New Roman"/>
          <w:sz w:val="24"/>
        </w:rPr>
        <w:t xml:space="preserve"> </w:t>
      </w:r>
      <w:r w:rsidRPr="00E31BA4">
        <w:rPr>
          <w:rFonts w:ascii="Times New Roman" w:hAnsi="Times New Roman"/>
          <w:sz w:val="24"/>
        </w:rPr>
        <w:t xml:space="preserve">find </w:t>
      </w:r>
      <w:r w:rsidR="00026337">
        <w:rPr>
          <w:rFonts w:ascii="Times New Roman" w:hAnsi="Times New Roman"/>
          <w:sz w:val="24"/>
        </w:rPr>
        <w:t xml:space="preserve">no </w:t>
      </w:r>
      <w:r w:rsidRPr="00E31BA4">
        <w:rPr>
          <w:rFonts w:ascii="Times New Roman" w:hAnsi="Times New Roman"/>
          <w:sz w:val="24"/>
        </w:rPr>
        <w:t xml:space="preserve">basis to set </w:t>
      </w:r>
      <w:r w:rsidR="00026337">
        <w:rPr>
          <w:rFonts w:ascii="Times New Roman" w:hAnsi="Times New Roman"/>
          <w:sz w:val="24"/>
        </w:rPr>
        <w:t xml:space="preserve">the award </w:t>
      </w:r>
      <w:r w:rsidRPr="00E31BA4">
        <w:rPr>
          <w:rFonts w:ascii="Times New Roman" w:hAnsi="Times New Roman"/>
          <w:sz w:val="24"/>
        </w:rPr>
        <w:t>aside.</w:t>
      </w:r>
    </w:p>
    <w:p w14:paraId="213844E7" w14:textId="77777777" w:rsidR="00887B94" w:rsidRPr="00E31BA4" w:rsidRDefault="00887B94" w:rsidP="00887B94">
      <w:pPr>
        <w:pStyle w:val="ListParagraph"/>
        <w:rPr>
          <w:rFonts w:ascii="Times New Roman" w:hAnsi="Times New Roman"/>
          <w:sz w:val="24"/>
        </w:rPr>
      </w:pPr>
    </w:p>
    <w:p w14:paraId="2460720A" w14:textId="73E37481" w:rsidR="00632282" w:rsidRPr="006C156B" w:rsidRDefault="00026337"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lastRenderedPageBreak/>
        <w:t xml:space="preserve">The first respondent proceeded and contended that the </w:t>
      </w:r>
      <w:r w:rsidR="00E73CD4">
        <w:rPr>
          <w:rFonts w:ascii="Times New Roman" w:hAnsi="Times New Roman"/>
          <w:sz w:val="24"/>
        </w:rPr>
        <w:t xml:space="preserve">tender </w:t>
      </w:r>
      <w:r>
        <w:rPr>
          <w:rFonts w:ascii="Times New Roman" w:hAnsi="Times New Roman"/>
          <w:sz w:val="24"/>
        </w:rPr>
        <w:t>specification clearly required that the pricing should have been linked to all the items. The applicant has failed to comply herewith since its pricing was not compliant because the pricing was not itemised instead</w:t>
      </w:r>
      <w:r w:rsidR="00887B94" w:rsidRPr="00E31BA4">
        <w:rPr>
          <w:rFonts w:ascii="Times New Roman" w:hAnsi="Times New Roman"/>
          <w:sz w:val="24"/>
        </w:rPr>
        <w:t xml:space="preserve"> </w:t>
      </w:r>
      <w:r w:rsidR="00AC0E8F">
        <w:rPr>
          <w:rFonts w:ascii="Times New Roman" w:hAnsi="Times New Roman"/>
          <w:sz w:val="24"/>
        </w:rPr>
        <w:t>i</w:t>
      </w:r>
      <w:r w:rsidR="00887B94" w:rsidRPr="00E31BA4">
        <w:rPr>
          <w:rFonts w:ascii="Times New Roman" w:hAnsi="Times New Roman"/>
          <w:sz w:val="24"/>
        </w:rPr>
        <w:t>t</w:t>
      </w:r>
      <w:r w:rsidR="00AC0E8F">
        <w:rPr>
          <w:rFonts w:ascii="Times New Roman" w:hAnsi="Times New Roman"/>
          <w:sz w:val="24"/>
        </w:rPr>
        <w:t>s</w:t>
      </w:r>
      <w:r w:rsidR="00887B94" w:rsidRPr="00E31BA4">
        <w:rPr>
          <w:rFonts w:ascii="Times New Roman" w:hAnsi="Times New Roman"/>
          <w:sz w:val="24"/>
        </w:rPr>
        <w:t xml:space="preserve"> bid </w:t>
      </w:r>
      <w:r w:rsidR="00AC0E8F">
        <w:rPr>
          <w:rFonts w:ascii="Times New Roman" w:hAnsi="Times New Roman"/>
          <w:sz w:val="24"/>
        </w:rPr>
        <w:t xml:space="preserve">price is reflected as </w:t>
      </w:r>
      <w:r w:rsidR="00887B94" w:rsidRPr="00026337">
        <w:rPr>
          <w:rFonts w:ascii="Times New Roman" w:hAnsi="Times New Roman"/>
          <w:sz w:val="24"/>
        </w:rPr>
        <w:t>extra.</w:t>
      </w:r>
      <w:r w:rsidR="00887B94" w:rsidRPr="00E31BA4">
        <w:rPr>
          <w:rFonts w:ascii="Times New Roman" w:hAnsi="Times New Roman"/>
          <w:sz w:val="24"/>
        </w:rPr>
        <w:t xml:space="preserve"> This implies that the first respondent would have been expected to pay extra for the solution.</w:t>
      </w:r>
      <w:r w:rsidR="00D736D4" w:rsidRPr="00E31BA4">
        <w:rPr>
          <w:rFonts w:ascii="Times New Roman" w:hAnsi="Times New Roman"/>
          <w:sz w:val="24"/>
        </w:rPr>
        <w:t xml:space="preserve"> </w:t>
      </w:r>
    </w:p>
    <w:p w14:paraId="084C5996" w14:textId="741596D2" w:rsidR="00A538A8" w:rsidRDefault="00A538A8" w:rsidP="00A538A8">
      <w:pPr>
        <w:rPr>
          <w:rFonts w:ascii="Times New Roman" w:hAnsi="Times New Roman"/>
          <w:i/>
          <w:iCs/>
          <w:sz w:val="24"/>
        </w:rPr>
      </w:pPr>
    </w:p>
    <w:p w14:paraId="5CEDE556" w14:textId="6F8BCAE4" w:rsidR="00A538A8" w:rsidRDefault="001A0205" w:rsidP="00A538A8">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Legal principles apropos adjudication of legal challenges in terms of PAJA </w:t>
      </w:r>
      <w:r w:rsidR="0058451D">
        <w:rPr>
          <w:rFonts w:ascii="Times New Roman" w:hAnsi="Times New Roman"/>
          <w:sz w:val="24"/>
        </w:rPr>
        <w:t xml:space="preserve">enjoins </w:t>
      </w:r>
      <w:r>
        <w:rPr>
          <w:rFonts w:ascii="Times New Roman" w:hAnsi="Times New Roman"/>
          <w:sz w:val="24"/>
        </w:rPr>
        <w:t xml:space="preserve">one should defer to the guidance set out by the </w:t>
      </w:r>
      <w:r w:rsidR="0058451D">
        <w:rPr>
          <w:rFonts w:ascii="Times New Roman" w:hAnsi="Times New Roman"/>
          <w:sz w:val="24"/>
        </w:rPr>
        <w:t>C</w:t>
      </w:r>
      <w:r w:rsidR="00A538A8">
        <w:rPr>
          <w:rFonts w:ascii="Times New Roman" w:hAnsi="Times New Roman"/>
          <w:sz w:val="24"/>
        </w:rPr>
        <w:t xml:space="preserve">onstitutional </w:t>
      </w:r>
      <w:r w:rsidR="0058451D">
        <w:rPr>
          <w:rFonts w:ascii="Times New Roman" w:hAnsi="Times New Roman"/>
          <w:sz w:val="24"/>
        </w:rPr>
        <w:t>C</w:t>
      </w:r>
      <w:r w:rsidR="00A538A8">
        <w:rPr>
          <w:rFonts w:ascii="Times New Roman" w:hAnsi="Times New Roman"/>
          <w:sz w:val="24"/>
        </w:rPr>
        <w:t>ourt</w:t>
      </w:r>
      <w:r>
        <w:rPr>
          <w:rFonts w:ascii="Times New Roman" w:hAnsi="Times New Roman"/>
          <w:sz w:val="24"/>
        </w:rPr>
        <w:t xml:space="preserve"> in </w:t>
      </w:r>
      <w:r w:rsidRPr="001A0205">
        <w:rPr>
          <w:rFonts w:ascii="Times New Roman" w:hAnsi="Times New Roman"/>
          <w:i/>
          <w:iCs/>
          <w:sz w:val="24"/>
          <w:lang w:val="en-US"/>
        </w:rPr>
        <w:t>Allpay Consolidated Investment Holdings Pty Ltd and Others v Chief Executive Officer</w:t>
      </w:r>
      <w:r w:rsidR="0058451D">
        <w:rPr>
          <w:rFonts w:ascii="Times New Roman" w:hAnsi="Times New Roman"/>
          <w:i/>
          <w:iCs/>
          <w:sz w:val="24"/>
          <w:lang w:val="en-US"/>
        </w:rPr>
        <w:t>,</w:t>
      </w:r>
      <w:r w:rsidRPr="001A0205">
        <w:rPr>
          <w:rFonts w:ascii="Times New Roman" w:hAnsi="Times New Roman"/>
          <w:i/>
          <w:iCs/>
          <w:sz w:val="24"/>
          <w:lang w:val="en-US"/>
        </w:rPr>
        <w:t xml:space="preserve"> South African Social Security Agency and Others</w:t>
      </w:r>
      <w:r w:rsidRPr="001A0205">
        <w:rPr>
          <w:rStyle w:val="FootnoteReference"/>
          <w:rFonts w:ascii="Times New Roman" w:hAnsi="Times New Roman"/>
          <w:sz w:val="24"/>
        </w:rPr>
        <w:t xml:space="preserve"> </w:t>
      </w:r>
      <w:r w:rsidR="00A538A8">
        <w:rPr>
          <w:rStyle w:val="FootnoteReference"/>
          <w:rFonts w:ascii="Times New Roman" w:hAnsi="Times New Roman"/>
          <w:sz w:val="24"/>
        </w:rPr>
        <w:footnoteReference w:id="29"/>
      </w:r>
      <w:r w:rsidR="00A538A8">
        <w:rPr>
          <w:rFonts w:ascii="Times New Roman" w:hAnsi="Times New Roman"/>
          <w:sz w:val="24"/>
        </w:rPr>
        <w:t xml:space="preserve"> </w:t>
      </w:r>
      <w:r w:rsidR="00E73CD4">
        <w:rPr>
          <w:rFonts w:ascii="Times New Roman" w:hAnsi="Times New Roman"/>
          <w:sz w:val="24"/>
        </w:rPr>
        <w:t>(</w:t>
      </w:r>
      <w:r w:rsidR="00E73CD4" w:rsidRPr="00E73CD4">
        <w:rPr>
          <w:rFonts w:ascii="Times New Roman" w:hAnsi="Times New Roman"/>
          <w:i/>
          <w:iCs/>
          <w:sz w:val="24"/>
        </w:rPr>
        <w:t>Allpay</w:t>
      </w:r>
      <w:r w:rsidR="00E73CD4">
        <w:rPr>
          <w:rFonts w:ascii="Times New Roman" w:hAnsi="Times New Roman"/>
          <w:sz w:val="24"/>
        </w:rPr>
        <w:t xml:space="preserve">) </w:t>
      </w:r>
      <w:r>
        <w:rPr>
          <w:rFonts w:ascii="Times New Roman" w:hAnsi="Times New Roman"/>
          <w:sz w:val="24"/>
        </w:rPr>
        <w:t xml:space="preserve">where it was held that </w:t>
      </w:r>
      <w:r w:rsidR="00A538A8" w:rsidRPr="001227C8">
        <w:rPr>
          <w:rFonts w:ascii="Times New Roman" w:hAnsi="Times New Roman"/>
          <w:i/>
          <w:sz w:val="24"/>
        </w:rPr>
        <w:t>“</w:t>
      </w:r>
      <w:r w:rsidR="00A538A8" w:rsidRPr="00B91A6A">
        <w:rPr>
          <w:rFonts w:ascii="Times New Roman" w:hAnsi="Times New Roman"/>
          <w:i/>
          <w:iCs/>
          <w:sz w:val="24"/>
        </w:rPr>
        <w:t>[T]he proper approach is to establish, factually, whether an irregularity occurred. Then the irregularity must be legally evaluated to determine whether it amounts to a ground of review under PAJA. This legal evaluation must, where appropriate, take int</w:t>
      </w:r>
      <w:r w:rsidR="00A538A8">
        <w:rPr>
          <w:rFonts w:ascii="Times New Roman" w:hAnsi="Times New Roman"/>
          <w:i/>
          <w:iCs/>
          <w:sz w:val="24"/>
        </w:rPr>
        <w:t>o</w:t>
      </w:r>
      <w:r w:rsidR="00A538A8" w:rsidRPr="00B91A6A">
        <w:rPr>
          <w:rFonts w:ascii="Times New Roman" w:hAnsi="Times New Roman"/>
          <w:i/>
          <w:iCs/>
          <w:sz w:val="24"/>
        </w:rPr>
        <w:t xml:space="preserve"> account the materiality of any deviance from legal requirements, by linking the question of compliance to the purpose of the provision, before concluding that a review under PAJA has been established.”</w:t>
      </w:r>
      <w:r w:rsidR="00A538A8">
        <w:rPr>
          <w:rStyle w:val="FootnoteReference"/>
          <w:rFonts w:ascii="Times New Roman" w:hAnsi="Times New Roman"/>
          <w:i/>
          <w:iCs/>
          <w:sz w:val="24"/>
        </w:rPr>
        <w:footnoteReference w:id="30"/>
      </w:r>
    </w:p>
    <w:p w14:paraId="60B62297" w14:textId="77777777" w:rsidR="002D59CF" w:rsidRDefault="002D59CF" w:rsidP="002D59CF">
      <w:pPr>
        <w:pStyle w:val="ListParagraph"/>
        <w:tabs>
          <w:tab w:val="left" w:pos="540"/>
        </w:tabs>
        <w:spacing w:after="160" w:line="480" w:lineRule="auto"/>
        <w:ind w:left="0" w:right="1"/>
        <w:rPr>
          <w:rFonts w:ascii="Times New Roman" w:hAnsi="Times New Roman"/>
          <w:i/>
          <w:iCs/>
          <w:sz w:val="24"/>
        </w:rPr>
      </w:pPr>
    </w:p>
    <w:p w14:paraId="4232AED1" w14:textId="60F37EB8" w:rsidR="002D59CF" w:rsidRDefault="002D59CF" w:rsidP="00A538A8">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It therefore follows that a party </w:t>
      </w:r>
      <w:r w:rsidR="00F64125">
        <w:rPr>
          <w:rFonts w:ascii="Times New Roman" w:hAnsi="Times New Roman"/>
          <w:sz w:val="24"/>
        </w:rPr>
        <w:t xml:space="preserve">must be able to prove factually that there was irregularity and thereafter a determination would have to be made whether such irregularity </w:t>
      </w:r>
      <w:r w:rsidR="006C156B">
        <w:rPr>
          <w:rFonts w:ascii="Times New Roman" w:hAnsi="Times New Roman"/>
          <w:sz w:val="24"/>
        </w:rPr>
        <w:t xml:space="preserve">implicates any of the </w:t>
      </w:r>
      <w:r w:rsidR="00F64125">
        <w:rPr>
          <w:rFonts w:ascii="Times New Roman" w:hAnsi="Times New Roman"/>
          <w:sz w:val="24"/>
        </w:rPr>
        <w:t>ground</w:t>
      </w:r>
      <w:r w:rsidR="00E73CD4">
        <w:rPr>
          <w:rFonts w:ascii="Times New Roman" w:hAnsi="Times New Roman"/>
          <w:sz w:val="24"/>
        </w:rPr>
        <w:t>s</w:t>
      </w:r>
      <w:r w:rsidR="00F64125">
        <w:rPr>
          <w:rFonts w:ascii="Times New Roman" w:hAnsi="Times New Roman"/>
          <w:sz w:val="24"/>
        </w:rPr>
        <w:t xml:space="preserve"> of review under PAJA.</w:t>
      </w:r>
    </w:p>
    <w:p w14:paraId="0D5D70AF" w14:textId="77777777" w:rsidR="00A538A8" w:rsidRPr="00D24051" w:rsidRDefault="00A538A8" w:rsidP="00A538A8">
      <w:pPr>
        <w:pStyle w:val="ListParagraph"/>
        <w:rPr>
          <w:rFonts w:ascii="Times New Roman" w:hAnsi="Times New Roman"/>
          <w:i/>
          <w:iCs/>
          <w:sz w:val="24"/>
        </w:rPr>
      </w:pPr>
    </w:p>
    <w:p w14:paraId="0D7585DA" w14:textId="6F548015" w:rsidR="000C4225" w:rsidRDefault="00A538A8" w:rsidP="001A0205">
      <w:pPr>
        <w:pStyle w:val="ListParagraph"/>
        <w:numPr>
          <w:ilvl w:val="0"/>
          <w:numId w:val="2"/>
        </w:numPr>
        <w:tabs>
          <w:tab w:val="left" w:pos="540"/>
        </w:tabs>
        <w:spacing w:line="480" w:lineRule="auto"/>
        <w:ind w:right="1"/>
        <w:rPr>
          <w:rFonts w:ascii="Times New Roman" w:hAnsi="Times New Roman"/>
          <w:i/>
          <w:iCs/>
          <w:sz w:val="24"/>
        </w:rPr>
      </w:pPr>
      <w:r>
        <w:rPr>
          <w:rFonts w:ascii="Times New Roman" w:hAnsi="Times New Roman"/>
          <w:sz w:val="24"/>
        </w:rPr>
        <w:t xml:space="preserve">The </w:t>
      </w:r>
      <w:r w:rsidR="0058451D">
        <w:rPr>
          <w:rFonts w:ascii="Times New Roman" w:hAnsi="Times New Roman"/>
          <w:sz w:val="24"/>
        </w:rPr>
        <w:t>C</w:t>
      </w:r>
      <w:r w:rsidR="006C156B">
        <w:rPr>
          <w:rFonts w:ascii="Times New Roman" w:hAnsi="Times New Roman"/>
          <w:sz w:val="24"/>
        </w:rPr>
        <w:t xml:space="preserve">onstitutional </w:t>
      </w:r>
      <w:r w:rsidR="0058451D">
        <w:rPr>
          <w:rFonts w:ascii="Times New Roman" w:hAnsi="Times New Roman"/>
          <w:sz w:val="24"/>
        </w:rPr>
        <w:t>C</w:t>
      </w:r>
      <w:r>
        <w:rPr>
          <w:rFonts w:ascii="Times New Roman" w:hAnsi="Times New Roman"/>
          <w:sz w:val="24"/>
        </w:rPr>
        <w:t xml:space="preserve">ourt having further stated at para 34 that </w:t>
      </w:r>
      <w:r w:rsidRPr="001227C8">
        <w:rPr>
          <w:rFonts w:ascii="Times New Roman" w:hAnsi="Times New Roman"/>
          <w:i/>
          <w:sz w:val="24"/>
        </w:rPr>
        <w:t>“</w:t>
      </w:r>
      <w:r w:rsidRPr="00D24051">
        <w:rPr>
          <w:rFonts w:ascii="Times New Roman" w:hAnsi="Times New Roman"/>
          <w:i/>
          <w:iCs/>
          <w:sz w:val="24"/>
        </w:rPr>
        <w:t xml:space="preserve">An </w:t>
      </w:r>
      <w:r w:rsidR="00665554">
        <w:rPr>
          <w:rFonts w:ascii="Times New Roman" w:hAnsi="Times New Roman"/>
          <w:i/>
          <w:iCs/>
          <w:sz w:val="24"/>
        </w:rPr>
        <w:t>‘</w:t>
      </w:r>
      <w:r w:rsidRPr="00D24051">
        <w:rPr>
          <w:rFonts w:ascii="Times New Roman" w:hAnsi="Times New Roman"/>
          <w:i/>
          <w:iCs/>
          <w:sz w:val="24"/>
        </w:rPr>
        <w:t>acceptable tender</w:t>
      </w:r>
      <w:r w:rsidR="001227C8">
        <w:rPr>
          <w:rFonts w:ascii="Times New Roman" w:hAnsi="Times New Roman"/>
          <w:i/>
          <w:iCs/>
          <w:sz w:val="24"/>
        </w:rPr>
        <w:t xml:space="preserve"> </w:t>
      </w:r>
      <w:r w:rsidRPr="00D24051">
        <w:rPr>
          <w:rFonts w:ascii="Times New Roman" w:hAnsi="Times New Roman"/>
          <w:i/>
          <w:iCs/>
          <w:sz w:val="24"/>
        </w:rPr>
        <w:t xml:space="preserve">under the Procurement Act is any </w:t>
      </w:r>
      <w:r w:rsidR="00665554">
        <w:rPr>
          <w:rFonts w:ascii="Times New Roman" w:hAnsi="Times New Roman"/>
          <w:i/>
          <w:iCs/>
          <w:sz w:val="24"/>
        </w:rPr>
        <w:t>‘</w:t>
      </w:r>
      <w:r w:rsidRPr="00D24051">
        <w:rPr>
          <w:rFonts w:ascii="Times New Roman" w:hAnsi="Times New Roman"/>
          <w:i/>
          <w:iCs/>
          <w:sz w:val="24"/>
        </w:rPr>
        <w:t>tender which, in all respects, complies wit</w:t>
      </w:r>
      <w:r w:rsidR="002D59CF">
        <w:rPr>
          <w:rFonts w:ascii="Times New Roman" w:hAnsi="Times New Roman"/>
          <w:i/>
          <w:iCs/>
          <w:sz w:val="24"/>
        </w:rPr>
        <w:t>h</w:t>
      </w:r>
      <w:r w:rsidRPr="00D24051">
        <w:rPr>
          <w:rFonts w:ascii="Times New Roman" w:hAnsi="Times New Roman"/>
          <w:i/>
          <w:iCs/>
          <w:sz w:val="24"/>
        </w:rPr>
        <w:t xml:space="preserve"> the specifications and conditions of tender as set out in the tender document</w:t>
      </w:r>
      <w:r w:rsidR="00665554">
        <w:rPr>
          <w:rFonts w:ascii="Times New Roman" w:hAnsi="Times New Roman"/>
          <w:i/>
          <w:iCs/>
          <w:sz w:val="24"/>
        </w:rPr>
        <w:t>…’</w:t>
      </w:r>
      <w:r w:rsidRPr="00D24051">
        <w:rPr>
          <w:rFonts w:ascii="Times New Roman" w:hAnsi="Times New Roman"/>
          <w:i/>
          <w:iCs/>
          <w:sz w:val="24"/>
        </w:rPr>
        <w:t xml:space="preserve"> The </w:t>
      </w:r>
      <w:r w:rsidRPr="00D24051">
        <w:rPr>
          <w:rFonts w:ascii="Times New Roman" w:hAnsi="Times New Roman"/>
          <w:i/>
          <w:iCs/>
          <w:sz w:val="24"/>
        </w:rPr>
        <w:lastRenderedPageBreak/>
        <w:t xml:space="preserve">Preferential Procurement Regulations (Procurement </w:t>
      </w:r>
      <w:r w:rsidR="0058451D">
        <w:rPr>
          <w:rFonts w:ascii="Times New Roman" w:hAnsi="Times New Roman"/>
          <w:i/>
          <w:iCs/>
          <w:sz w:val="24"/>
        </w:rPr>
        <w:t>R</w:t>
      </w:r>
      <w:r w:rsidRPr="00D24051">
        <w:rPr>
          <w:rFonts w:ascii="Times New Roman" w:hAnsi="Times New Roman"/>
          <w:i/>
          <w:iCs/>
          <w:sz w:val="24"/>
        </w:rPr>
        <w:t xml:space="preserve">egulations) define a tender as </w:t>
      </w:r>
      <w:r w:rsidR="00665554">
        <w:rPr>
          <w:rFonts w:ascii="Times New Roman" w:hAnsi="Times New Roman"/>
          <w:i/>
          <w:iCs/>
          <w:sz w:val="24"/>
        </w:rPr>
        <w:t>– ‘</w:t>
      </w:r>
      <w:r w:rsidRPr="00D24051">
        <w:rPr>
          <w:rFonts w:ascii="Times New Roman" w:hAnsi="Times New Roman"/>
          <w:i/>
          <w:iCs/>
          <w:sz w:val="24"/>
        </w:rPr>
        <w:t>a written offer in a prescribed or stipulated form in response to an invitation by an organ of state for the provision of services, works or goods, through price quotations, advertised competitive tendering process or proposals</w:t>
      </w:r>
      <w:r w:rsidR="00665554">
        <w:rPr>
          <w:rFonts w:ascii="Times New Roman" w:hAnsi="Times New Roman"/>
          <w:i/>
          <w:iCs/>
          <w:sz w:val="24"/>
        </w:rPr>
        <w:t xml:space="preserve"> …’</w:t>
      </w:r>
      <w:r w:rsidRPr="00D24051">
        <w:rPr>
          <w:rFonts w:ascii="Times New Roman" w:hAnsi="Times New Roman"/>
          <w:i/>
          <w:iCs/>
          <w:sz w:val="24"/>
        </w:rPr>
        <w:t>”.</w:t>
      </w:r>
      <w:r w:rsidR="0058451D">
        <w:rPr>
          <w:rFonts w:ascii="Times New Roman" w:hAnsi="Times New Roman"/>
          <w:i/>
          <w:iCs/>
          <w:sz w:val="24"/>
        </w:rPr>
        <w:t xml:space="preserve"> </w:t>
      </w:r>
      <w:r w:rsidR="0058451D">
        <w:rPr>
          <w:rFonts w:ascii="Times New Roman" w:hAnsi="Times New Roman"/>
          <w:sz w:val="24"/>
        </w:rPr>
        <w:t>Where there is non-compliance the organ of the state has no authority to condone same as such may be construed as offending the doctrine of legality.</w:t>
      </w:r>
      <w:r w:rsidR="0058451D">
        <w:rPr>
          <w:rStyle w:val="FootnoteReference"/>
          <w:rFonts w:ascii="Times New Roman" w:hAnsi="Times New Roman"/>
          <w:sz w:val="24"/>
        </w:rPr>
        <w:footnoteReference w:id="31"/>
      </w:r>
    </w:p>
    <w:p w14:paraId="5753843E" w14:textId="77777777" w:rsidR="001A0205" w:rsidRPr="001A0205" w:rsidRDefault="001A0205" w:rsidP="001A0205">
      <w:pPr>
        <w:pStyle w:val="ListParagraph"/>
        <w:rPr>
          <w:rFonts w:ascii="Times New Roman" w:hAnsi="Times New Roman"/>
          <w:i/>
          <w:iCs/>
          <w:sz w:val="24"/>
        </w:rPr>
      </w:pPr>
    </w:p>
    <w:p w14:paraId="1B0C4420" w14:textId="1AF6ACCB" w:rsidR="00A538A8" w:rsidRPr="00A538A8" w:rsidRDefault="001A0205" w:rsidP="001A0205">
      <w:pPr>
        <w:pStyle w:val="ListParagraph"/>
        <w:numPr>
          <w:ilvl w:val="0"/>
          <w:numId w:val="2"/>
        </w:numPr>
        <w:tabs>
          <w:tab w:val="left" w:pos="540"/>
        </w:tabs>
        <w:spacing w:line="480" w:lineRule="auto"/>
        <w:ind w:right="1"/>
        <w:rPr>
          <w:rFonts w:ascii="Times New Roman" w:hAnsi="Times New Roman"/>
          <w:i/>
          <w:iCs/>
          <w:sz w:val="24"/>
        </w:rPr>
      </w:pPr>
      <w:r>
        <w:rPr>
          <w:rFonts w:ascii="Times New Roman" w:hAnsi="Times New Roman"/>
          <w:sz w:val="24"/>
        </w:rPr>
        <w:t>A determination should therefore be made with regard to two argument</w:t>
      </w:r>
      <w:r w:rsidR="00E0519C">
        <w:rPr>
          <w:rFonts w:ascii="Times New Roman" w:hAnsi="Times New Roman"/>
          <w:sz w:val="24"/>
        </w:rPr>
        <w:t>s</w:t>
      </w:r>
      <w:r>
        <w:rPr>
          <w:rFonts w:ascii="Times New Roman" w:hAnsi="Times New Roman"/>
          <w:sz w:val="24"/>
        </w:rPr>
        <w:t xml:space="preserve"> raised by the applicant which found the contention for irregularity in the award of the bid to the second respondent. On the first argument on the number of printers which required pricing under centralised printing solution th</w:t>
      </w:r>
      <w:r w:rsidR="00B5544F">
        <w:rPr>
          <w:rFonts w:ascii="Times New Roman" w:hAnsi="Times New Roman"/>
          <w:sz w:val="24"/>
        </w:rPr>
        <w:t>is</w:t>
      </w:r>
      <w:r>
        <w:rPr>
          <w:rFonts w:ascii="Times New Roman" w:hAnsi="Times New Roman"/>
          <w:sz w:val="24"/>
        </w:rPr>
        <w:t xml:space="preserve"> </w:t>
      </w:r>
      <w:r w:rsidR="001807AE">
        <w:rPr>
          <w:rFonts w:ascii="Times New Roman" w:hAnsi="Times New Roman"/>
          <w:sz w:val="24"/>
        </w:rPr>
        <w:t xml:space="preserve">court finds that the </w:t>
      </w:r>
      <w:r w:rsidR="00A538A8">
        <w:rPr>
          <w:rFonts w:ascii="Times New Roman" w:hAnsi="Times New Roman"/>
          <w:sz w:val="24"/>
        </w:rPr>
        <w:t xml:space="preserve">evidence clearly indicates that there </w:t>
      </w:r>
      <w:r w:rsidR="006C156B">
        <w:rPr>
          <w:rFonts w:ascii="Times New Roman" w:hAnsi="Times New Roman"/>
          <w:sz w:val="24"/>
        </w:rPr>
        <w:t xml:space="preserve">were </w:t>
      </w:r>
      <w:r w:rsidR="00A538A8">
        <w:rPr>
          <w:rFonts w:ascii="Times New Roman" w:hAnsi="Times New Roman"/>
          <w:sz w:val="24"/>
        </w:rPr>
        <w:t>different numbers of printers for different locations</w:t>
      </w:r>
      <w:r w:rsidR="006C156B">
        <w:rPr>
          <w:rFonts w:ascii="Times New Roman" w:hAnsi="Times New Roman"/>
          <w:sz w:val="24"/>
        </w:rPr>
        <w:t xml:space="preserve"> required by the first </w:t>
      </w:r>
      <w:r w:rsidR="001807AE">
        <w:rPr>
          <w:rFonts w:ascii="Times New Roman" w:hAnsi="Times New Roman"/>
          <w:sz w:val="24"/>
        </w:rPr>
        <w:t>respondent</w:t>
      </w:r>
      <w:r w:rsidR="00A538A8">
        <w:rPr>
          <w:rFonts w:ascii="Times New Roman" w:hAnsi="Times New Roman"/>
          <w:sz w:val="24"/>
        </w:rPr>
        <w:t xml:space="preserve">. This was admitted by both parties. This being the case </w:t>
      </w:r>
      <w:r w:rsidR="006C156B">
        <w:rPr>
          <w:rFonts w:ascii="Times New Roman" w:hAnsi="Times New Roman"/>
          <w:sz w:val="24"/>
        </w:rPr>
        <w:t>it follow</w:t>
      </w:r>
      <w:r w:rsidR="001807AE">
        <w:rPr>
          <w:rFonts w:ascii="Times New Roman" w:hAnsi="Times New Roman"/>
          <w:sz w:val="24"/>
        </w:rPr>
        <w:t>s</w:t>
      </w:r>
      <w:r w:rsidR="006C156B">
        <w:rPr>
          <w:rFonts w:ascii="Times New Roman" w:hAnsi="Times New Roman"/>
          <w:sz w:val="24"/>
        </w:rPr>
        <w:t xml:space="preserve"> by logic that their requirements/ specification</w:t>
      </w:r>
      <w:r w:rsidR="001807AE">
        <w:rPr>
          <w:rFonts w:ascii="Times New Roman" w:hAnsi="Times New Roman"/>
          <w:sz w:val="24"/>
        </w:rPr>
        <w:t>s</w:t>
      </w:r>
      <w:r w:rsidR="006C156B">
        <w:rPr>
          <w:rFonts w:ascii="Times New Roman" w:hAnsi="Times New Roman"/>
          <w:sz w:val="24"/>
        </w:rPr>
        <w:t xml:space="preserve"> will be different otherwise there would not have been any differentiation </w:t>
      </w:r>
      <w:r w:rsidR="001807AE">
        <w:rPr>
          <w:rFonts w:ascii="Times New Roman" w:hAnsi="Times New Roman"/>
          <w:sz w:val="24"/>
        </w:rPr>
        <w:t xml:space="preserve">of the printers. There were 21 printers which required centralised printing solution and 31 which were standalone. There is no cogent basis for the </w:t>
      </w:r>
      <w:r w:rsidR="00A538A8">
        <w:rPr>
          <w:rFonts w:ascii="Times New Roman" w:hAnsi="Times New Roman"/>
          <w:sz w:val="24"/>
        </w:rPr>
        <w:t>applicant</w:t>
      </w:r>
      <w:r w:rsidR="001807AE">
        <w:rPr>
          <w:rFonts w:ascii="Times New Roman" w:hAnsi="Times New Roman"/>
          <w:sz w:val="24"/>
        </w:rPr>
        <w:t xml:space="preserve"> to have therefore priced centralised printing solution for all 52 printers. The applicant’s contention that second respondent should have priced for 52 printers </w:t>
      </w:r>
      <w:r w:rsidR="00A538A8">
        <w:rPr>
          <w:rFonts w:ascii="Times New Roman" w:hAnsi="Times New Roman"/>
          <w:sz w:val="24"/>
        </w:rPr>
        <w:t>is</w:t>
      </w:r>
      <w:r w:rsidR="001807AE">
        <w:rPr>
          <w:rFonts w:ascii="Times New Roman" w:hAnsi="Times New Roman"/>
          <w:sz w:val="24"/>
        </w:rPr>
        <w:t xml:space="preserve"> </w:t>
      </w:r>
      <w:r w:rsidR="00E73CD4">
        <w:rPr>
          <w:rFonts w:ascii="Times New Roman" w:hAnsi="Times New Roman"/>
          <w:sz w:val="24"/>
        </w:rPr>
        <w:t xml:space="preserve">therefore </w:t>
      </w:r>
      <w:r w:rsidR="001807AE">
        <w:rPr>
          <w:rFonts w:ascii="Times New Roman" w:hAnsi="Times New Roman"/>
          <w:sz w:val="24"/>
        </w:rPr>
        <w:t>baseless,</w:t>
      </w:r>
      <w:r w:rsidR="00A538A8">
        <w:rPr>
          <w:rFonts w:ascii="Times New Roman" w:hAnsi="Times New Roman"/>
          <w:sz w:val="24"/>
        </w:rPr>
        <w:t xml:space="preserve"> unsustainable and stand to be dismissed.</w:t>
      </w:r>
    </w:p>
    <w:p w14:paraId="46D0B386" w14:textId="77777777" w:rsidR="00A538A8" w:rsidRPr="00A538A8" w:rsidRDefault="00A538A8" w:rsidP="00A538A8">
      <w:pPr>
        <w:pStyle w:val="ListParagraph"/>
        <w:tabs>
          <w:tab w:val="left" w:pos="540"/>
        </w:tabs>
        <w:spacing w:after="160" w:line="480" w:lineRule="auto"/>
        <w:ind w:left="0" w:right="1"/>
        <w:rPr>
          <w:rFonts w:ascii="Times New Roman" w:hAnsi="Times New Roman"/>
          <w:i/>
          <w:iCs/>
          <w:sz w:val="24"/>
        </w:rPr>
      </w:pPr>
    </w:p>
    <w:p w14:paraId="19889D98" w14:textId="17C290DB" w:rsidR="00D30C53" w:rsidRPr="00A538A8" w:rsidRDefault="00632282" w:rsidP="002D59CF">
      <w:pPr>
        <w:pStyle w:val="ListParagraph"/>
        <w:numPr>
          <w:ilvl w:val="0"/>
          <w:numId w:val="2"/>
        </w:numPr>
        <w:tabs>
          <w:tab w:val="left" w:pos="540"/>
        </w:tabs>
        <w:spacing w:line="480" w:lineRule="auto"/>
        <w:ind w:right="1"/>
        <w:rPr>
          <w:rFonts w:ascii="Times New Roman" w:hAnsi="Times New Roman"/>
          <w:i/>
          <w:iCs/>
          <w:sz w:val="24"/>
        </w:rPr>
      </w:pPr>
      <w:r>
        <w:rPr>
          <w:rFonts w:ascii="Times New Roman" w:hAnsi="Times New Roman"/>
          <w:sz w:val="24"/>
        </w:rPr>
        <w:t xml:space="preserve">The </w:t>
      </w:r>
      <w:r w:rsidR="001807AE">
        <w:rPr>
          <w:rFonts w:ascii="Times New Roman" w:hAnsi="Times New Roman"/>
          <w:sz w:val="24"/>
        </w:rPr>
        <w:t xml:space="preserve">above conclusion is countenanced by the submission made by the </w:t>
      </w:r>
      <w:r>
        <w:rPr>
          <w:rFonts w:ascii="Times New Roman" w:hAnsi="Times New Roman"/>
          <w:sz w:val="24"/>
        </w:rPr>
        <w:t>applicant</w:t>
      </w:r>
      <w:r w:rsidR="001807AE">
        <w:rPr>
          <w:rFonts w:ascii="Times New Roman" w:hAnsi="Times New Roman"/>
          <w:sz w:val="24"/>
        </w:rPr>
        <w:t xml:space="preserve"> who conceded that</w:t>
      </w:r>
      <w:r w:rsidR="00A538A8">
        <w:rPr>
          <w:rFonts w:ascii="Times New Roman" w:hAnsi="Times New Roman"/>
          <w:sz w:val="24"/>
        </w:rPr>
        <w:t xml:space="preserve"> </w:t>
      </w:r>
      <w:r w:rsidR="000C4225">
        <w:rPr>
          <w:rFonts w:ascii="Times New Roman" w:hAnsi="Times New Roman"/>
          <w:sz w:val="24"/>
        </w:rPr>
        <w:t>stand alone printers do not need a central print solution for as long as they</w:t>
      </w:r>
      <w:r w:rsidR="006C156B">
        <w:rPr>
          <w:rFonts w:ascii="Times New Roman" w:hAnsi="Times New Roman"/>
          <w:sz w:val="24"/>
        </w:rPr>
        <w:t xml:space="preserve"> are</w:t>
      </w:r>
      <w:r w:rsidR="000C4225">
        <w:rPr>
          <w:rFonts w:ascii="Times New Roman" w:hAnsi="Times New Roman"/>
          <w:sz w:val="24"/>
        </w:rPr>
        <w:t xml:space="preserve"> be</w:t>
      </w:r>
      <w:r w:rsidR="00B5544F">
        <w:rPr>
          <w:rFonts w:ascii="Times New Roman" w:hAnsi="Times New Roman"/>
          <w:sz w:val="24"/>
        </w:rPr>
        <w:t>ing</w:t>
      </w:r>
      <w:r w:rsidR="000C4225">
        <w:rPr>
          <w:rFonts w:ascii="Times New Roman" w:hAnsi="Times New Roman"/>
          <w:sz w:val="24"/>
        </w:rPr>
        <w:t xml:space="preserve"> used as standalone.</w:t>
      </w:r>
      <w:r w:rsidR="006C156B">
        <w:rPr>
          <w:rStyle w:val="FootnoteReference"/>
          <w:rFonts w:ascii="Times New Roman" w:hAnsi="Times New Roman"/>
          <w:sz w:val="24"/>
        </w:rPr>
        <w:footnoteReference w:id="32"/>
      </w:r>
      <w:r w:rsidR="000C4225">
        <w:rPr>
          <w:rFonts w:ascii="Times New Roman" w:hAnsi="Times New Roman"/>
          <w:sz w:val="24"/>
        </w:rPr>
        <w:t xml:space="preserve"> </w:t>
      </w:r>
      <w:r w:rsidR="00A8302B">
        <w:rPr>
          <w:rFonts w:ascii="Times New Roman" w:hAnsi="Times New Roman"/>
          <w:sz w:val="24"/>
        </w:rPr>
        <w:t xml:space="preserve">With this </w:t>
      </w:r>
      <w:r w:rsidR="000C4225">
        <w:rPr>
          <w:rFonts w:ascii="Times New Roman" w:hAnsi="Times New Roman"/>
          <w:sz w:val="24"/>
        </w:rPr>
        <w:t>concession by the applicant</w:t>
      </w:r>
      <w:r w:rsidR="00E73CD4">
        <w:rPr>
          <w:rFonts w:ascii="Times New Roman" w:hAnsi="Times New Roman"/>
          <w:sz w:val="24"/>
        </w:rPr>
        <w:t xml:space="preserve"> its</w:t>
      </w:r>
      <w:r w:rsidR="001227C8">
        <w:rPr>
          <w:rFonts w:ascii="Times New Roman" w:hAnsi="Times New Roman"/>
          <w:sz w:val="24"/>
        </w:rPr>
        <w:t xml:space="preserve"> </w:t>
      </w:r>
      <w:r w:rsidR="00DA23D8">
        <w:rPr>
          <w:rFonts w:ascii="Times New Roman" w:hAnsi="Times New Roman"/>
          <w:sz w:val="24"/>
        </w:rPr>
        <w:t>case is</w:t>
      </w:r>
      <w:r w:rsidR="00E73CD4">
        <w:rPr>
          <w:rFonts w:ascii="Times New Roman" w:hAnsi="Times New Roman"/>
          <w:sz w:val="24"/>
        </w:rPr>
        <w:t xml:space="preserve"> therefore </w:t>
      </w:r>
      <w:r w:rsidR="00DA23D8">
        <w:rPr>
          <w:rFonts w:ascii="Times New Roman" w:hAnsi="Times New Roman"/>
          <w:sz w:val="24"/>
        </w:rPr>
        <w:lastRenderedPageBreak/>
        <w:t>determined</w:t>
      </w:r>
      <w:r w:rsidR="000C4225">
        <w:rPr>
          <w:rFonts w:ascii="Times New Roman" w:hAnsi="Times New Roman"/>
          <w:sz w:val="24"/>
        </w:rPr>
        <w:t xml:space="preserve"> and </w:t>
      </w:r>
      <w:r w:rsidR="00DA23D8">
        <w:rPr>
          <w:rFonts w:ascii="Times New Roman" w:hAnsi="Times New Roman"/>
          <w:sz w:val="24"/>
        </w:rPr>
        <w:t xml:space="preserve">further </w:t>
      </w:r>
      <w:r w:rsidR="000C4225">
        <w:rPr>
          <w:rFonts w:ascii="Times New Roman" w:hAnsi="Times New Roman"/>
          <w:sz w:val="24"/>
        </w:rPr>
        <w:t>argument</w:t>
      </w:r>
      <w:r w:rsidR="00A8302B">
        <w:rPr>
          <w:rFonts w:ascii="Times New Roman" w:hAnsi="Times New Roman"/>
          <w:sz w:val="24"/>
        </w:rPr>
        <w:t>s</w:t>
      </w:r>
      <w:r w:rsidR="00DA23D8">
        <w:rPr>
          <w:rFonts w:ascii="Times New Roman" w:hAnsi="Times New Roman"/>
          <w:sz w:val="24"/>
        </w:rPr>
        <w:t xml:space="preserve"> on this aspect</w:t>
      </w:r>
      <w:r w:rsidR="000C4225">
        <w:rPr>
          <w:rFonts w:ascii="Times New Roman" w:hAnsi="Times New Roman"/>
          <w:sz w:val="24"/>
        </w:rPr>
        <w:t xml:space="preserve"> need no</w:t>
      </w:r>
      <w:r w:rsidR="00A8302B">
        <w:rPr>
          <w:rFonts w:ascii="Times New Roman" w:hAnsi="Times New Roman"/>
          <w:sz w:val="24"/>
        </w:rPr>
        <w:t>t</w:t>
      </w:r>
      <w:r w:rsidR="000C4225">
        <w:rPr>
          <w:rFonts w:ascii="Times New Roman" w:hAnsi="Times New Roman"/>
          <w:sz w:val="24"/>
        </w:rPr>
        <w:t xml:space="preserve"> </w:t>
      </w:r>
      <w:r w:rsidR="00A8302B">
        <w:rPr>
          <w:rFonts w:ascii="Times New Roman" w:hAnsi="Times New Roman"/>
          <w:sz w:val="24"/>
        </w:rPr>
        <w:t xml:space="preserve">detain the attention of this court and </w:t>
      </w:r>
      <w:r w:rsidR="000C4225">
        <w:rPr>
          <w:rFonts w:ascii="Times New Roman" w:hAnsi="Times New Roman"/>
          <w:sz w:val="24"/>
        </w:rPr>
        <w:t>further analysis</w:t>
      </w:r>
      <w:r w:rsidR="00A8302B">
        <w:rPr>
          <w:rFonts w:ascii="Times New Roman" w:hAnsi="Times New Roman"/>
          <w:sz w:val="24"/>
        </w:rPr>
        <w:t xml:space="preserve"> is unnecessary</w:t>
      </w:r>
      <w:r w:rsidR="000C4225">
        <w:rPr>
          <w:rFonts w:ascii="Times New Roman" w:hAnsi="Times New Roman"/>
          <w:sz w:val="24"/>
        </w:rPr>
        <w:t>. There would not have been a need for the first respondent under these circumstances to purchase a solution</w:t>
      </w:r>
      <w:r w:rsidR="00DA23D8">
        <w:rPr>
          <w:rFonts w:ascii="Times New Roman" w:hAnsi="Times New Roman"/>
          <w:sz w:val="24"/>
        </w:rPr>
        <w:t xml:space="preserve"> for all 52 printers</w:t>
      </w:r>
      <w:r w:rsidR="000C4225">
        <w:rPr>
          <w:rFonts w:ascii="Times New Roman" w:hAnsi="Times New Roman"/>
          <w:sz w:val="24"/>
        </w:rPr>
        <w:t xml:space="preserve"> which was not requested and not needed at the time.  This would have amounted to wasteful expenditure</w:t>
      </w:r>
      <w:r w:rsidR="00D30C53">
        <w:rPr>
          <w:rFonts w:ascii="Times New Roman" w:hAnsi="Times New Roman"/>
          <w:sz w:val="24"/>
        </w:rPr>
        <w:t>.</w:t>
      </w:r>
      <w:r w:rsidR="00A538A8">
        <w:rPr>
          <w:rFonts w:ascii="Times New Roman" w:hAnsi="Times New Roman"/>
          <w:sz w:val="24"/>
        </w:rPr>
        <w:t xml:space="preserve"> In the circumstances </w:t>
      </w:r>
      <w:r w:rsidR="00473F48">
        <w:rPr>
          <w:rFonts w:ascii="Times New Roman" w:hAnsi="Times New Roman"/>
          <w:sz w:val="24"/>
        </w:rPr>
        <w:t xml:space="preserve">it is the finding of this court that </w:t>
      </w:r>
      <w:r w:rsidR="00A538A8">
        <w:rPr>
          <w:rFonts w:ascii="Times New Roman" w:hAnsi="Times New Roman"/>
          <w:sz w:val="24"/>
        </w:rPr>
        <w:t>the applicant has failed to tender evidence to prove factual irregularity</w:t>
      </w:r>
      <w:r w:rsidR="00DA23D8">
        <w:rPr>
          <w:rFonts w:ascii="Times New Roman" w:hAnsi="Times New Roman"/>
          <w:sz w:val="24"/>
        </w:rPr>
        <w:t xml:space="preserve"> that the provision of the solution </w:t>
      </w:r>
      <w:r w:rsidR="00B5544F">
        <w:rPr>
          <w:rFonts w:ascii="Times New Roman" w:hAnsi="Times New Roman"/>
          <w:sz w:val="24"/>
        </w:rPr>
        <w:t>in respect of 21 printers w</w:t>
      </w:r>
      <w:r w:rsidR="00DA23D8">
        <w:rPr>
          <w:rFonts w:ascii="Times New Roman" w:hAnsi="Times New Roman"/>
          <w:sz w:val="24"/>
        </w:rPr>
        <w:t xml:space="preserve">as inconsistent with the </w:t>
      </w:r>
      <w:r w:rsidR="00E73CD4">
        <w:rPr>
          <w:rFonts w:ascii="Times New Roman" w:hAnsi="Times New Roman"/>
          <w:sz w:val="24"/>
        </w:rPr>
        <w:t xml:space="preserve">tender </w:t>
      </w:r>
      <w:r w:rsidR="00DA23D8">
        <w:rPr>
          <w:rFonts w:ascii="Times New Roman" w:hAnsi="Times New Roman"/>
          <w:sz w:val="24"/>
        </w:rPr>
        <w:t>specification</w:t>
      </w:r>
      <w:r w:rsidR="00E73CD4">
        <w:rPr>
          <w:rFonts w:ascii="Times New Roman" w:hAnsi="Times New Roman"/>
          <w:sz w:val="24"/>
        </w:rPr>
        <w:t>s</w:t>
      </w:r>
      <w:r w:rsidR="00A538A8">
        <w:rPr>
          <w:rFonts w:ascii="Times New Roman" w:hAnsi="Times New Roman"/>
          <w:sz w:val="24"/>
        </w:rPr>
        <w:t xml:space="preserve">. </w:t>
      </w:r>
      <w:r w:rsidR="00473F48">
        <w:rPr>
          <w:rFonts w:ascii="Times New Roman" w:hAnsi="Times New Roman"/>
          <w:sz w:val="24"/>
        </w:rPr>
        <w:t xml:space="preserve"> Having failed to prove factual irregularity there is no basis for the court to proceed and made an inquiry on the second leg set out in </w:t>
      </w:r>
      <w:r w:rsidR="00B5544F">
        <w:rPr>
          <w:rFonts w:ascii="Times New Roman" w:hAnsi="Times New Roman"/>
          <w:sz w:val="24"/>
        </w:rPr>
        <w:t xml:space="preserve">the </w:t>
      </w:r>
      <w:r w:rsidR="00473F48" w:rsidRPr="00473F48">
        <w:rPr>
          <w:rFonts w:ascii="Times New Roman" w:hAnsi="Times New Roman"/>
          <w:i/>
          <w:iCs/>
          <w:sz w:val="24"/>
        </w:rPr>
        <w:t>Allpay</w:t>
      </w:r>
      <w:r w:rsidR="00473F48">
        <w:rPr>
          <w:rFonts w:ascii="Times New Roman" w:hAnsi="Times New Roman"/>
          <w:sz w:val="24"/>
        </w:rPr>
        <w:t>’s case.</w:t>
      </w:r>
    </w:p>
    <w:p w14:paraId="5B64226D" w14:textId="77777777" w:rsidR="00A538A8" w:rsidRPr="00D30C53" w:rsidRDefault="00A538A8" w:rsidP="002D59CF">
      <w:pPr>
        <w:pStyle w:val="ListParagraph"/>
        <w:tabs>
          <w:tab w:val="left" w:pos="540"/>
        </w:tabs>
        <w:spacing w:line="480" w:lineRule="auto"/>
        <w:ind w:left="0" w:right="1"/>
        <w:rPr>
          <w:rFonts w:ascii="Times New Roman" w:hAnsi="Times New Roman"/>
          <w:i/>
          <w:iCs/>
          <w:sz w:val="24"/>
        </w:rPr>
      </w:pPr>
    </w:p>
    <w:p w14:paraId="01F0A037" w14:textId="00ADBC12" w:rsidR="00EB7995" w:rsidRPr="00EB7995" w:rsidRDefault="00D30C53" w:rsidP="00EB7995">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The </w:t>
      </w:r>
      <w:r w:rsidR="00473F48">
        <w:rPr>
          <w:rFonts w:ascii="Times New Roman" w:hAnsi="Times New Roman"/>
          <w:sz w:val="24"/>
        </w:rPr>
        <w:t xml:space="preserve">second basis for the irregularity as contended by the applicant relating to the pricing of the page coverage is on the basis that the </w:t>
      </w:r>
      <w:r w:rsidR="00E73CD4">
        <w:rPr>
          <w:rFonts w:ascii="Times New Roman" w:hAnsi="Times New Roman"/>
          <w:sz w:val="24"/>
        </w:rPr>
        <w:t xml:space="preserve">tender </w:t>
      </w:r>
      <w:r w:rsidR="00473F48">
        <w:rPr>
          <w:rFonts w:ascii="Times New Roman" w:hAnsi="Times New Roman"/>
          <w:sz w:val="24"/>
        </w:rPr>
        <w:t>specifications required a 100</w:t>
      </w:r>
      <w:r w:rsidR="00E73CD4">
        <w:rPr>
          <w:rFonts w:ascii="Times New Roman" w:hAnsi="Times New Roman"/>
          <w:sz w:val="24"/>
        </w:rPr>
        <w:t>%</w:t>
      </w:r>
      <w:r w:rsidR="00473F48">
        <w:rPr>
          <w:rFonts w:ascii="Times New Roman" w:hAnsi="Times New Roman"/>
          <w:sz w:val="24"/>
        </w:rPr>
        <w:t xml:space="preserve">-page coverage. This </w:t>
      </w:r>
      <w:r w:rsidR="00B5544F">
        <w:rPr>
          <w:rFonts w:ascii="Times New Roman" w:hAnsi="Times New Roman"/>
          <w:sz w:val="24"/>
        </w:rPr>
        <w:t xml:space="preserve">alleged specifications for 100%-page coverage </w:t>
      </w:r>
      <w:r w:rsidR="00473F48">
        <w:rPr>
          <w:rFonts w:ascii="Times New Roman" w:hAnsi="Times New Roman"/>
          <w:sz w:val="24"/>
        </w:rPr>
        <w:t xml:space="preserve">could not be explicitly discerned from the record. The record however </w:t>
      </w:r>
      <w:r w:rsidR="00E0519C">
        <w:rPr>
          <w:rFonts w:ascii="Times New Roman" w:hAnsi="Times New Roman"/>
          <w:sz w:val="24"/>
        </w:rPr>
        <w:t>does</w:t>
      </w:r>
      <w:r>
        <w:rPr>
          <w:rFonts w:ascii="Times New Roman" w:hAnsi="Times New Roman"/>
          <w:sz w:val="24"/>
        </w:rPr>
        <w:t xml:space="preserve"> provide the history of usage which </w:t>
      </w:r>
      <w:r w:rsidR="00A538A8">
        <w:rPr>
          <w:rFonts w:ascii="Times New Roman" w:hAnsi="Times New Roman"/>
          <w:sz w:val="24"/>
        </w:rPr>
        <w:t xml:space="preserve">was meant </w:t>
      </w:r>
      <w:r w:rsidR="0031732C">
        <w:rPr>
          <w:rFonts w:ascii="Times New Roman" w:hAnsi="Times New Roman"/>
          <w:sz w:val="24"/>
        </w:rPr>
        <w:t xml:space="preserve">to </w:t>
      </w:r>
      <w:r>
        <w:rPr>
          <w:rFonts w:ascii="Times New Roman" w:hAnsi="Times New Roman"/>
          <w:sz w:val="24"/>
        </w:rPr>
        <w:t xml:space="preserve">guide the bidders to avoid </w:t>
      </w:r>
      <w:r w:rsidR="00473F48">
        <w:rPr>
          <w:rFonts w:ascii="Times New Roman" w:hAnsi="Times New Roman"/>
          <w:sz w:val="24"/>
        </w:rPr>
        <w:t xml:space="preserve">having the </w:t>
      </w:r>
      <w:r>
        <w:rPr>
          <w:rFonts w:ascii="Times New Roman" w:hAnsi="Times New Roman"/>
          <w:sz w:val="24"/>
        </w:rPr>
        <w:t>first respondent spend</w:t>
      </w:r>
      <w:r w:rsidR="00473F48">
        <w:rPr>
          <w:rFonts w:ascii="Times New Roman" w:hAnsi="Times New Roman"/>
          <w:sz w:val="24"/>
        </w:rPr>
        <w:t>ing</w:t>
      </w:r>
      <w:r>
        <w:rPr>
          <w:rFonts w:ascii="Times New Roman" w:hAnsi="Times New Roman"/>
          <w:sz w:val="24"/>
        </w:rPr>
        <w:t xml:space="preserve"> money on goods and</w:t>
      </w:r>
      <w:r w:rsidR="00AC0E8F">
        <w:rPr>
          <w:rFonts w:ascii="Times New Roman" w:hAnsi="Times New Roman"/>
          <w:sz w:val="24"/>
        </w:rPr>
        <w:t>/or</w:t>
      </w:r>
      <w:r>
        <w:rPr>
          <w:rFonts w:ascii="Times New Roman" w:hAnsi="Times New Roman"/>
          <w:sz w:val="24"/>
        </w:rPr>
        <w:t xml:space="preserve"> services </w:t>
      </w:r>
      <w:r w:rsidR="00DA23D8">
        <w:rPr>
          <w:rFonts w:ascii="Times New Roman" w:hAnsi="Times New Roman"/>
          <w:sz w:val="24"/>
        </w:rPr>
        <w:t xml:space="preserve">which </w:t>
      </w:r>
      <w:r w:rsidR="00473F48">
        <w:rPr>
          <w:rFonts w:ascii="Times New Roman" w:hAnsi="Times New Roman"/>
          <w:sz w:val="24"/>
        </w:rPr>
        <w:t>it did not need</w:t>
      </w:r>
      <w:r>
        <w:rPr>
          <w:rFonts w:ascii="Times New Roman" w:hAnsi="Times New Roman"/>
          <w:sz w:val="24"/>
        </w:rPr>
        <w:t>.</w:t>
      </w:r>
      <w:r w:rsidR="00473F48">
        <w:rPr>
          <w:rFonts w:ascii="Times New Roman" w:hAnsi="Times New Roman"/>
          <w:sz w:val="24"/>
        </w:rPr>
        <w:t xml:space="preserve"> The said record shows that the consumption differs from one region to the other hence pri</w:t>
      </w:r>
      <w:r w:rsidR="00B5544F">
        <w:rPr>
          <w:rFonts w:ascii="Times New Roman" w:hAnsi="Times New Roman"/>
          <w:sz w:val="24"/>
        </w:rPr>
        <w:t>c</w:t>
      </w:r>
      <w:r w:rsidR="00473F48">
        <w:rPr>
          <w:rFonts w:ascii="Times New Roman" w:hAnsi="Times New Roman"/>
          <w:sz w:val="24"/>
        </w:rPr>
        <w:t>ing for 100%</w:t>
      </w:r>
      <w:r w:rsidR="00B5544F">
        <w:rPr>
          <w:rFonts w:ascii="Times New Roman" w:hAnsi="Times New Roman"/>
          <w:sz w:val="24"/>
        </w:rPr>
        <w:t>-</w:t>
      </w:r>
      <w:r w:rsidR="00473F48">
        <w:rPr>
          <w:rFonts w:ascii="Times New Roman" w:hAnsi="Times New Roman"/>
          <w:sz w:val="24"/>
        </w:rPr>
        <w:t xml:space="preserve"> </w:t>
      </w:r>
      <w:r w:rsidR="00B5544F">
        <w:rPr>
          <w:rFonts w:ascii="Times New Roman" w:hAnsi="Times New Roman"/>
          <w:sz w:val="24"/>
        </w:rPr>
        <w:t xml:space="preserve">page coverage </w:t>
      </w:r>
      <w:r w:rsidR="00473F48">
        <w:rPr>
          <w:rFonts w:ascii="Times New Roman" w:hAnsi="Times New Roman"/>
          <w:sz w:val="24"/>
        </w:rPr>
        <w:t>may have been an unnecessary expense for other regions.</w:t>
      </w:r>
      <w:r w:rsidR="00C67F94">
        <w:rPr>
          <w:rFonts w:ascii="Times New Roman" w:hAnsi="Times New Roman"/>
          <w:sz w:val="24"/>
        </w:rPr>
        <w:t xml:space="preserve"> </w:t>
      </w:r>
      <w:r w:rsidR="00473F48">
        <w:rPr>
          <w:rFonts w:ascii="Times New Roman" w:hAnsi="Times New Roman"/>
          <w:sz w:val="24"/>
        </w:rPr>
        <w:t>To this end t</w:t>
      </w:r>
      <w:r w:rsidR="00DA23D8">
        <w:rPr>
          <w:rFonts w:ascii="Times New Roman" w:hAnsi="Times New Roman"/>
          <w:sz w:val="24"/>
        </w:rPr>
        <w:t xml:space="preserve">he applicant has failed to prove that the </w:t>
      </w:r>
      <w:r w:rsidR="00E73CD4">
        <w:rPr>
          <w:rFonts w:ascii="Times New Roman" w:hAnsi="Times New Roman"/>
          <w:sz w:val="24"/>
        </w:rPr>
        <w:t>tender</w:t>
      </w:r>
      <w:r w:rsidR="00DA23D8">
        <w:rPr>
          <w:rFonts w:ascii="Times New Roman" w:hAnsi="Times New Roman"/>
          <w:sz w:val="24"/>
        </w:rPr>
        <w:t xml:space="preserve"> required 100%-page coverage and to this end it</w:t>
      </w:r>
      <w:r w:rsidR="00473F48">
        <w:rPr>
          <w:rFonts w:ascii="Times New Roman" w:hAnsi="Times New Roman"/>
          <w:sz w:val="24"/>
        </w:rPr>
        <w:t xml:space="preserve"> failed to satisfy the </w:t>
      </w:r>
      <w:r w:rsidR="00DA23D8">
        <w:rPr>
          <w:rFonts w:ascii="Times New Roman" w:hAnsi="Times New Roman"/>
          <w:sz w:val="24"/>
        </w:rPr>
        <w:t xml:space="preserve">first </w:t>
      </w:r>
      <w:r w:rsidR="00473F48">
        <w:rPr>
          <w:rFonts w:ascii="Times New Roman" w:hAnsi="Times New Roman"/>
          <w:sz w:val="24"/>
        </w:rPr>
        <w:t xml:space="preserve">leg </w:t>
      </w:r>
      <w:r w:rsidR="00DA23D8">
        <w:rPr>
          <w:rFonts w:ascii="Times New Roman" w:hAnsi="Times New Roman"/>
          <w:sz w:val="24"/>
        </w:rPr>
        <w:t xml:space="preserve">set out in </w:t>
      </w:r>
      <w:r w:rsidR="00DA23D8">
        <w:rPr>
          <w:rFonts w:ascii="Times New Roman" w:hAnsi="Times New Roman"/>
          <w:i/>
          <w:iCs/>
          <w:sz w:val="24"/>
        </w:rPr>
        <w:t>A</w:t>
      </w:r>
      <w:r w:rsidR="00DA23D8" w:rsidRPr="00DA23D8">
        <w:rPr>
          <w:rFonts w:ascii="Times New Roman" w:hAnsi="Times New Roman"/>
          <w:i/>
          <w:iCs/>
          <w:sz w:val="24"/>
        </w:rPr>
        <w:t>llpay</w:t>
      </w:r>
      <w:r w:rsidR="00DA23D8">
        <w:rPr>
          <w:rFonts w:ascii="Times New Roman" w:hAnsi="Times New Roman"/>
          <w:sz w:val="24"/>
        </w:rPr>
        <w:t xml:space="preserve"> case. </w:t>
      </w:r>
      <w:r w:rsidR="00AC0E8F">
        <w:rPr>
          <w:rFonts w:ascii="Times New Roman" w:hAnsi="Times New Roman"/>
          <w:sz w:val="24"/>
        </w:rPr>
        <w:t>I</w:t>
      </w:r>
      <w:r w:rsidR="00C67F94">
        <w:rPr>
          <w:rFonts w:ascii="Times New Roman" w:hAnsi="Times New Roman"/>
          <w:sz w:val="24"/>
        </w:rPr>
        <w:t xml:space="preserve">n the premises the application is bound to fail for lack of </w:t>
      </w:r>
      <w:r w:rsidR="00DA23D8">
        <w:rPr>
          <w:rFonts w:ascii="Times New Roman" w:hAnsi="Times New Roman"/>
          <w:sz w:val="24"/>
        </w:rPr>
        <w:t xml:space="preserve">evidence of </w:t>
      </w:r>
      <w:r w:rsidR="00C67F94">
        <w:rPr>
          <w:rFonts w:ascii="Times New Roman" w:hAnsi="Times New Roman"/>
          <w:sz w:val="24"/>
        </w:rPr>
        <w:t xml:space="preserve">the </w:t>
      </w:r>
      <w:r w:rsidR="00B5544F">
        <w:rPr>
          <w:rFonts w:ascii="Times New Roman" w:hAnsi="Times New Roman"/>
          <w:sz w:val="24"/>
        </w:rPr>
        <w:t xml:space="preserve">factual </w:t>
      </w:r>
      <w:r w:rsidR="00C67F94">
        <w:rPr>
          <w:rFonts w:ascii="Times New Roman" w:hAnsi="Times New Roman"/>
          <w:sz w:val="24"/>
        </w:rPr>
        <w:t>irregularity of the tender and</w:t>
      </w:r>
      <w:r w:rsidR="0031732C">
        <w:rPr>
          <w:rFonts w:ascii="Times New Roman" w:hAnsi="Times New Roman"/>
          <w:sz w:val="24"/>
        </w:rPr>
        <w:t xml:space="preserve"> the court cannot be detained to consider the second leg of the inquiry.</w:t>
      </w:r>
      <w:r w:rsidR="00C67F94">
        <w:rPr>
          <w:rFonts w:ascii="Times New Roman" w:hAnsi="Times New Roman"/>
          <w:sz w:val="24"/>
        </w:rPr>
        <w:t xml:space="preserve"> </w:t>
      </w:r>
    </w:p>
    <w:p w14:paraId="04ED8609" w14:textId="77777777" w:rsidR="00A538A8" w:rsidRPr="001F2E66" w:rsidRDefault="00A538A8" w:rsidP="00A538A8">
      <w:pPr>
        <w:pStyle w:val="ListParagraph"/>
        <w:spacing w:line="480" w:lineRule="auto"/>
        <w:ind w:left="0"/>
        <w:rPr>
          <w:rFonts w:ascii="Times New Roman" w:hAnsi="Times New Roman"/>
          <w:i/>
          <w:iCs/>
          <w:sz w:val="24"/>
        </w:rPr>
      </w:pPr>
    </w:p>
    <w:p w14:paraId="2656C4A3" w14:textId="04F14F79" w:rsidR="00A8302B" w:rsidRPr="0069346E" w:rsidRDefault="00DA23D8" w:rsidP="00325DC2">
      <w:pPr>
        <w:pStyle w:val="ListParagraph"/>
        <w:numPr>
          <w:ilvl w:val="0"/>
          <w:numId w:val="2"/>
        </w:numPr>
        <w:spacing w:after="160" w:line="480" w:lineRule="auto"/>
        <w:ind w:right="1"/>
        <w:rPr>
          <w:rFonts w:ascii="Times New Roman" w:hAnsi="Times New Roman"/>
          <w:i/>
          <w:iCs/>
          <w:sz w:val="24"/>
        </w:rPr>
      </w:pPr>
      <w:r w:rsidRPr="0069346E">
        <w:rPr>
          <w:rFonts w:ascii="Times New Roman" w:hAnsi="Times New Roman"/>
          <w:sz w:val="24"/>
        </w:rPr>
        <w:lastRenderedPageBreak/>
        <w:t xml:space="preserve">In view of the failure by the applicant to satisfy the first requirement that set out in </w:t>
      </w:r>
      <w:r w:rsidRPr="0069346E">
        <w:rPr>
          <w:rFonts w:ascii="Times New Roman" w:hAnsi="Times New Roman"/>
          <w:i/>
          <w:iCs/>
          <w:sz w:val="24"/>
        </w:rPr>
        <w:t>Allpay</w:t>
      </w:r>
      <w:r w:rsidR="00B5544F">
        <w:rPr>
          <w:rFonts w:ascii="Times New Roman" w:hAnsi="Times New Roman"/>
          <w:i/>
          <w:iCs/>
          <w:sz w:val="24"/>
        </w:rPr>
        <w:t>’s</w:t>
      </w:r>
      <w:r w:rsidRPr="0069346E">
        <w:rPr>
          <w:rFonts w:ascii="Times New Roman" w:hAnsi="Times New Roman"/>
          <w:sz w:val="24"/>
        </w:rPr>
        <w:t xml:space="preserve"> judgment </w:t>
      </w:r>
      <w:r w:rsidR="00B5544F">
        <w:rPr>
          <w:rFonts w:ascii="Times New Roman" w:hAnsi="Times New Roman"/>
          <w:sz w:val="24"/>
        </w:rPr>
        <w:t xml:space="preserve">ergo </w:t>
      </w:r>
      <w:r w:rsidRPr="0069346E">
        <w:rPr>
          <w:rFonts w:ascii="Times New Roman" w:hAnsi="Times New Roman"/>
          <w:i/>
          <w:iCs/>
          <w:sz w:val="24"/>
        </w:rPr>
        <w:t>ca</w:t>
      </w:r>
      <w:r w:rsidR="007027A0" w:rsidRPr="0069346E">
        <w:rPr>
          <w:rFonts w:ascii="Times New Roman" w:hAnsi="Times New Roman"/>
          <w:i/>
          <w:iCs/>
          <w:sz w:val="24"/>
        </w:rPr>
        <w:t>dit quaestio</w:t>
      </w:r>
      <w:r w:rsidRPr="0069346E">
        <w:rPr>
          <w:rFonts w:ascii="Times New Roman" w:hAnsi="Times New Roman"/>
          <w:sz w:val="24"/>
        </w:rPr>
        <w:t xml:space="preserve">. </w:t>
      </w:r>
      <w:r w:rsidR="007027A0" w:rsidRPr="0069346E">
        <w:rPr>
          <w:rFonts w:ascii="Times New Roman" w:hAnsi="Times New Roman"/>
          <w:sz w:val="24"/>
        </w:rPr>
        <w:t>That n</w:t>
      </w:r>
      <w:r w:rsidR="00E354EE" w:rsidRPr="0069346E">
        <w:rPr>
          <w:rFonts w:ascii="Times New Roman" w:hAnsi="Times New Roman"/>
          <w:sz w:val="24"/>
        </w:rPr>
        <w:t>otwithstanding the applicant</w:t>
      </w:r>
      <w:r w:rsidR="0069346E" w:rsidRPr="0069346E">
        <w:rPr>
          <w:rFonts w:ascii="Times New Roman" w:hAnsi="Times New Roman"/>
          <w:sz w:val="24"/>
        </w:rPr>
        <w:t xml:space="preserve">’s case is plagued </w:t>
      </w:r>
      <w:r w:rsidR="005C0BAE">
        <w:rPr>
          <w:rFonts w:ascii="Times New Roman" w:hAnsi="Times New Roman"/>
          <w:sz w:val="24"/>
        </w:rPr>
        <w:t xml:space="preserve">with </w:t>
      </w:r>
      <w:r w:rsidR="00665554">
        <w:rPr>
          <w:rFonts w:ascii="Times New Roman" w:hAnsi="Times New Roman"/>
          <w:sz w:val="24"/>
        </w:rPr>
        <w:t xml:space="preserve">a </w:t>
      </w:r>
      <w:r w:rsidR="005C0BAE">
        <w:rPr>
          <w:rFonts w:ascii="Times New Roman" w:hAnsi="Times New Roman"/>
          <w:sz w:val="24"/>
        </w:rPr>
        <w:t xml:space="preserve">myriad of </w:t>
      </w:r>
      <w:r w:rsidR="0069346E" w:rsidRPr="0069346E">
        <w:rPr>
          <w:rFonts w:ascii="Times New Roman" w:hAnsi="Times New Roman"/>
          <w:sz w:val="24"/>
        </w:rPr>
        <w:t>shortfalls</w:t>
      </w:r>
      <w:r w:rsidR="005C0BAE">
        <w:rPr>
          <w:rFonts w:ascii="Times New Roman" w:hAnsi="Times New Roman"/>
          <w:sz w:val="24"/>
        </w:rPr>
        <w:t xml:space="preserve"> and </w:t>
      </w:r>
      <w:r w:rsidR="00E73CD4">
        <w:rPr>
          <w:rFonts w:ascii="Times New Roman" w:hAnsi="Times New Roman"/>
          <w:sz w:val="24"/>
        </w:rPr>
        <w:t>pitfalls</w:t>
      </w:r>
      <w:r w:rsidR="0069346E" w:rsidRPr="0069346E">
        <w:rPr>
          <w:rFonts w:ascii="Times New Roman" w:hAnsi="Times New Roman"/>
          <w:sz w:val="24"/>
        </w:rPr>
        <w:t>. First, applicant</w:t>
      </w:r>
      <w:r w:rsidR="00E354EE" w:rsidRPr="0069346E">
        <w:rPr>
          <w:rFonts w:ascii="Times New Roman" w:hAnsi="Times New Roman"/>
          <w:sz w:val="24"/>
        </w:rPr>
        <w:t xml:space="preserve"> has failed to satisfy the requirement</w:t>
      </w:r>
      <w:r w:rsidR="007027A0" w:rsidRPr="0069346E">
        <w:rPr>
          <w:rFonts w:ascii="Times New Roman" w:hAnsi="Times New Roman"/>
          <w:sz w:val="24"/>
        </w:rPr>
        <w:t>s</w:t>
      </w:r>
      <w:r w:rsidR="00E354EE" w:rsidRPr="0069346E">
        <w:rPr>
          <w:rFonts w:ascii="Times New Roman" w:hAnsi="Times New Roman"/>
          <w:sz w:val="24"/>
        </w:rPr>
        <w:t xml:space="preserve"> of the second leg</w:t>
      </w:r>
      <w:r w:rsidR="007027A0" w:rsidRPr="0069346E">
        <w:rPr>
          <w:rFonts w:ascii="Times New Roman" w:hAnsi="Times New Roman"/>
          <w:sz w:val="24"/>
        </w:rPr>
        <w:t xml:space="preserve"> which requires that an inquiry be made to determine which legal ground set out in section 6 of PAJA is implicated.</w:t>
      </w:r>
      <w:r w:rsidR="00E354EE" w:rsidRPr="0069346E">
        <w:rPr>
          <w:rFonts w:ascii="Times New Roman" w:hAnsi="Times New Roman"/>
          <w:sz w:val="24"/>
        </w:rPr>
        <w:t xml:space="preserve"> </w:t>
      </w:r>
      <w:r w:rsidR="007027A0" w:rsidRPr="0069346E">
        <w:rPr>
          <w:rFonts w:ascii="Times New Roman" w:hAnsi="Times New Roman"/>
          <w:sz w:val="24"/>
        </w:rPr>
        <w:t>The applicant h</w:t>
      </w:r>
      <w:r w:rsidR="00E354EE" w:rsidRPr="0069346E">
        <w:rPr>
          <w:rFonts w:ascii="Times New Roman" w:hAnsi="Times New Roman"/>
          <w:sz w:val="24"/>
        </w:rPr>
        <w:t xml:space="preserve">as failed </w:t>
      </w:r>
      <w:r w:rsidR="0069346E" w:rsidRPr="0069346E">
        <w:rPr>
          <w:rFonts w:ascii="Times New Roman" w:hAnsi="Times New Roman"/>
          <w:sz w:val="24"/>
        </w:rPr>
        <w:t xml:space="preserve">to engage </w:t>
      </w:r>
      <w:r w:rsidR="00A538A8" w:rsidRPr="0069346E">
        <w:rPr>
          <w:rFonts w:ascii="Times New Roman" w:hAnsi="Times New Roman"/>
          <w:sz w:val="24"/>
        </w:rPr>
        <w:t xml:space="preserve">with the legal evaluation of the irregularity </w:t>
      </w:r>
      <w:r w:rsidR="00A8302B" w:rsidRPr="0069346E">
        <w:rPr>
          <w:rFonts w:ascii="Times New Roman" w:hAnsi="Times New Roman"/>
          <w:sz w:val="24"/>
        </w:rPr>
        <w:t>b</w:t>
      </w:r>
      <w:r w:rsidR="00A538A8" w:rsidRPr="0069346E">
        <w:rPr>
          <w:rFonts w:ascii="Times New Roman" w:hAnsi="Times New Roman"/>
          <w:sz w:val="24"/>
        </w:rPr>
        <w:t xml:space="preserve">y stating a </w:t>
      </w:r>
      <w:r w:rsidR="007027A0" w:rsidRPr="0069346E">
        <w:rPr>
          <w:rFonts w:ascii="Times New Roman" w:hAnsi="Times New Roman"/>
          <w:sz w:val="24"/>
        </w:rPr>
        <w:t xml:space="preserve">specific </w:t>
      </w:r>
      <w:r w:rsidR="00A538A8" w:rsidRPr="0069346E">
        <w:rPr>
          <w:rFonts w:ascii="Times New Roman" w:hAnsi="Times New Roman"/>
          <w:sz w:val="24"/>
        </w:rPr>
        <w:t xml:space="preserve">ground upon which it relies at. Instead, </w:t>
      </w:r>
      <w:r w:rsidR="007027A0" w:rsidRPr="0069346E">
        <w:rPr>
          <w:rFonts w:ascii="Times New Roman" w:hAnsi="Times New Roman"/>
          <w:sz w:val="24"/>
        </w:rPr>
        <w:t xml:space="preserve">the applicant just listed </w:t>
      </w:r>
      <w:r w:rsidR="00A538A8" w:rsidRPr="0069346E">
        <w:rPr>
          <w:rFonts w:ascii="Times New Roman" w:hAnsi="Times New Roman"/>
          <w:sz w:val="24"/>
        </w:rPr>
        <w:t>seven grounds</w:t>
      </w:r>
      <w:r w:rsidR="00A8302B">
        <w:rPr>
          <w:rStyle w:val="FootnoteReference"/>
          <w:rFonts w:ascii="Times New Roman" w:hAnsi="Times New Roman"/>
          <w:sz w:val="24"/>
        </w:rPr>
        <w:footnoteReference w:id="33"/>
      </w:r>
      <w:r w:rsidR="00A538A8" w:rsidRPr="0069346E">
        <w:rPr>
          <w:rFonts w:ascii="Times New Roman" w:hAnsi="Times New Roman"/>
          <w:sz w:val="24"/>
        </w:rPr>
        <w:t xml:space="preserve"> </w:t>
      </w:r>
      <w:r w:rsidR="007027A0" w:rsidRPr="0069346E">
        <w:rPr>
          <w:rFonts w:ascii="Times New Roman" w:hAnsi="Times New Roman"/>
          <w:sz w:val="24"/>
        </w:rPr>
        <w:t>(</w:t>
      </w:r>
      <w:r w:rsidR="00A538A8" w:rsidRPr="0069346E">
        <w:rPr>
          <w:rFonts w:ascii="Times New Roman" w:hAnsi="Times New Roman"/>
          <w:sz w:val="24"/>
        </w:rPr>
        <w:t>as set out in the PAJA</w:t>
      </w:r>
      <w:r w:rsidR="007027A0" w:rsidRPr="0069346E">
        <w:rPr>
          <w:rFonts w:ascii="Times New Roman" w:hAnsi="Times New Roman"/>
          <w:sz w:val="24"/>
        </w:rPr>
        <w:t>)</w:t>
      </w:r>
      <w:r w:rsidR="00A538A8" w:rsidRPr="0069346E">
        <w:rPr>
          <w:rFonts w:ascii="Times New Roman" w:hAnsi="Times New Roman"/>
          <w:sz w:val="24"/>
        </w:rPr>
        <w:t xml:space="preserve"> </w:t>
      </w:r>
      <w:r w:rsidR="007027A0" w:rsidRPr="0069346E">
        <w:rPr>
          <w:rFonts w:ascii="Times New Roman" w:hAnsi="Times New Roman"/>
          <w:sz w:val="24"/>
        </w:rPr>
        <w:t>in its</w:t>
      </w:r>
      <w:r w:rsidR="00A538A8" w:rsidRPr="0069346E">
        <w:rPr>
          <w:rFonts w:ascii="Times New Roman" w:hAnsi="Times New Roman"/>
          <w:sz w:val="24"/>
        </w:rPr>
        <w:t xml:space="preserve"> supplementary affidavit</w:t>
      </w:r>
      <w:r w:rsidR="00E354EE" w:rsidRPr="0069346E">
        <w:rPr>
          <w:rFonts w:ascii="Times New Roman" w:hAnsi="Times New Roman"/>
          <w:sz w:val="24"/>
        </w:rPr>
        <w:t xml:space="preserve"> without clearly linking </w:t>
      </w:r>
      <w:r w:rsidR="007027A0" w:rsidRPr="0069346E">
        <w:rPr>
          <w:rFonts w:ascii="Times New Roman" w:hAnsi="Times New Roman"/>
          <w:sz w:val="24"/>
        </w:rPr>
        <w:t>the said listed grounds</w:t>
      </w:r>
      <w:r w:rsidR="00E354EE" w:rsidRPr="0069346E">
        <w:rPr>
          <w:rFonts w:ascii="Times New Roman" w:hAnsi="Times New Roman"/>
          <w:sz w:val="24"/>
        </w:rPr>
        <w:t xml:space="preserve"> with any alleged irregularity.</w:t>
      </w:r>
      <w:r w:rsidR="00E354EE">
        <w:rPr>
          <w:rStyle w:val="FootnoteReference"/>
          <w:rFonts w:ascii="Times New Roman" w:hAnsi="Times New Roman"/>
          <w:sz w:val="24"/>
        </w:rPr>
        <w:footnoteReference w:id="34"/>
      </w:r>
      <w:r w:rsidR="007027A0" w:rsidRPr="0069346E">
        <w:rPr>
          <w:rFonts w:ascii="Times New Roman" w:hAnsi="Times New Roman"/>
          <w:sz w:val="24"/>
        </w:rPr>
        <w:t xml:space="preserve"> </w:t>
      </w:r>
      <w:r w:rsidR="0069346E" w:rsidRPr="0069346E">
        <w:rPr>
          <w:rFonts w:ascii="Times New Roman" w:hAnsi="Times New Roman"/>
          <w:sz w:val="24"/>
        </w:rPr>
        <w:t>Secondly, t</w:t>
      </w:r>
      <w:r w:rsidR="007027A0" w:rsidRPr="0069346E">
        <w:rPr>
          <w:rFonts w:ascii="Times New Roman" w:hAnsi="Times New Roman"/>
          <w:sz w:val="24"/>
        </w:rPr>
        <w:t xml:space="preserve">he applicant has further failed to provide evidence to </w:t>
      </w:r>
      <w:r w:rsidR="0069346E" w:rsidRPr="0069346E">
        <w:rPr>
          <w:rFonts w:ascii="Times New Roman" w:hAnsi="Times New Roman"/>
          <w:sz w:val="24"/>
        </w:rPr>
        <w:t xml:space="preserve">demonstrate the materiality of the alleged irregularity as is also required in the </w:t>
      </w:r>
      <w:r w:rsidR="0069346E" w:rsidRPr="0069346E">
        <w:rPr>
          <w:rFonts w:ascii="Times New Roman" w:hAnsi="Times New Roman"/>
          <w:i/>
          <w:iCs/>
          <w:sz w:val="24"/>
        </w:rPr>
        <w:t>Allpay</w:t>
      </w:r>
      <w:r w:rsidR="0069346E" w:rsidRPr="0069346E">
        <w:rPr>
          <w:rFonts w:ascii="Times New Roman" w:hAnsi="Times New Roman"/>
          <w:sz w:val="24"/>
        </w:rPr>
        <w:t xml:space="preserve"> case. </w:t>
      </w:r>
      <w:r w:rsidR="00B046BC">
        <w:rPr>
          <w:rFonts w:ascii="Times New Roman" w:hAnsi="Times New Roman"/>
          <w:sz w:val="24"/>
        </w:rPr>
        <w:t xml:space="preserve">To this end, as submitted by the first respondent, the applicant should have tendered evidence to demonstrate that had it tendered for the central print solution for 21 printers and for 5%-page coverage its bid would have been the lowest. </w:t>
      </w:r>
      <w:r w:rsidR="0069346E" w:rsidRPr="0069346E">
        <w:rPr>
          <w:rFonts w:ascii="Times New Roman" w:hAnsi="Times New Roman"/>
          <w:sz w:val="24"/>
        </w:rPr>
        <w:t xml:space="preserve">Thirdly, the applicant has further failed to </w:t>
      </w:r>
      <w:r w:rsidR="0090768E">
        <w:rPr>
          <w:rFonts w:ascii="Times New Roman" w:hAnsi="Times New Roman"/>
          <w:sz w:val="24"/>
        </w:rPr>
        <w:t xml:space="preserve">present a persuasive argument </w:t>
      </w:r>
      <w:r w:rsidR="00E73CD4">
        <w:rPr>
          <w:rFonts w:ascii="Times New Roman" w:hAnsi="Times New Roman"/>
          <w:sz w:val="24"/>
        </w:rPr>
        <w:t xml:space="preserve">or even evidence to support </w:t>
      </w:r>
      <w:r w:rsidR="0090768E">
        <w:rPr>
          <w:rFonts w:ascii="Times New Roman" w:hAnsi="Times New Roman"/>
          <w:sz w:val="24"/>
        </w:rPr>
        <w:t xml:space="preserve">that the </w:t>
      </w:r>
      <w:r w:rsidR="00E73CD4">
        <w:rPr>
          <w:rFonts w:ascii="Times New Roman" w:hAnsi="Times New Roman"/>
          <w:sz w:val="24"/>
        </w:rPr>
        <w:t xml:space="preserve">tender </w:t>
      </w:r>
      <w:r w:rsidR="0090768E">
        <w:rPr>
          <w:rFonts w:ascii="Times New Roman" w:hAnsi="Times New Roman"/>
          <w:sz w:val="24"/>
        </w:rPr>
        <w:t>should be awarded to the applicant</w:t>
      </w:r>
      <w:r w:rsidR="00B046BC">
        <w:rPr>
          <w:rFonts w:ascii="Times New Roman" w:hAnsi="Times New Roman"/>
          <w:sz w:val="24"/>
        </w:rPr>
        <w:t xml:space="preserve"> and alternatively further</w:t>
      </w:r>
      <w:r w:rsidR="0090768E">
        <w:rPr>
          <w:rFonts w:ascii="Times New Roman" w:hAnsi="Times New Roman"/>
          <w:sz w:val="24"/>
        </w:rPr>
        <w:t xml:space="preserve"> that the bid be remitted to the </w:t>
      </w:r>
      <w:r w:rsidR="0090768E">
        <w:rPr>
          <w:rFonts w:ascii="Times New Roman" w:hAnsi="Times New Roman"/>
          <w:sz w:val="24"/>
        </w:rPr>
        <w:lastRenderedPageBreak/>
        <w:t>first respondent’s committees for reconsideration</w:t>
      </w:r>
      <w:r w:rsidR="00B046BC">
        <w:rPr>
          <w:rFonts w:ascii="Times New Roman" w:hAnsi="Times New Roman"/>
          <w:sz w:val="24"/>
        </w:rPr>
        <w:t>.</w:t>
      </w:r>
      <w:r w:rsidR="0090768E">
        <w:rPr>
          <w:rFonts w:ascii="Times New Roman" w:hAnsi="Times New Roman"/>
          <w:sz w:val="24"/>
        </w:rPr>
        <w:t xml:space="preserve"> </w:t>
      </w:r>
      <w:r w:rsidR="00B046BC">
        <w:rPr>
          <w:rFonts w:ascii="Times New Roman" w:hAnsi="Times New Roman"/>
          <w:sz w:val="24"/>
        </w:rPr>
        <w:t>F</w:t>
      </w:r>
      <w:r w:rsidR="0090768E">
        <w:rPr>
          <w:rFonts w:ascii="Times New Roman" w:hAnsi="Times New Roman"/>
          <w:sz w:val="24"/>
        </w:rPr>
        <w:t>ourthly</w:t>
      </w:r>
      <w:r w:rsidR="00B046BC">
        <w:rPr>
          <w:rFonts w:ascii="Times New Roman" w:hAnsi="Times New Roman"/>
          <w:sz w:val="24"/>
        </w:rPr>
        <w:t>,</w:t>
      </w:r>
      <w:r w:rsidR="0090768E">
        <w:rPr>
          <w:rFonts w:ascii="Times New Roman" w:hAnsi="Times New Roman"/>
          <w:sz w:val="24"/>
        </w:rPr>
        <w:t xml:space="preserve"> the applicant has failed to </w:t>
      </w:r>
      <w:r w:rsidR="0069346E" w:rsidRPr="0069346E">
        <w:rPr>
          <w:rFonts w:ascii="Times New Roman" w:hAnsi="Times New Roman"/>
          <w:sz w:val="24"/>
        </w:rPr>
        <w:t xml:space="preserve">present </w:t>
      </w:r>
      <w:r w:rsidR="00B046BC">
        <w:rPr>
          <w:rFonts w:ascii="Times New Roman" w:hAnsi="Times New Roman"/>
          <w:sz w:val="24"/>
        </w:rPr>
        <w:t xml:space="preserve">cogent </w:t>
      </w:r>
      <w:r w:rsidR="0069346E" w:rsidRPr="0069346E">
        <w:rPr>
          <w:rFonts w:ascii="Times New Roman" w:hAnsi="Times New Roman"/>
          <w:sz w:val="24"/>
        </w:rPr>
        <w:t>argument</w:t>
      </w:r>
      <w:r w:rsidR="00B046BC">
        <w:rPr>
          <w:rFonts w:ascii="Times New Roman" w:hAnsi="Times New Roman"/>
          <w:sz w:val="24"/>
        </w:rPr>
        <w:t>s</w:t>
      </w:r>
      <w:r w:rsidR="00E73CD4">
        <w:rPr>
          <w:rFonts w:ascii="Times New Roman" w:hAnsi="Times New Roman"/>
          <w:sz w:val="24"/>
        </w:rPr>
        <w:t xml:space="preserve"> and or evidence</w:t>
      </w:r>
      <w:r w:rsidR="0069346E" w:rsidRPr="0069346E">
        <w:rPr>
          <w:rFonts w:ascii="Times New Roman" w:hAnsi="Times New Roman"/>
          <w:sz w:val="24"/>
        </w:rPr>
        <w:t xml:space="preserve"> for the submission that the first respondent was biased against the </w:t>
      </w:r>
      <w:r w:rsidR="00E354EE" w:rsidRPr="0069346E">
        <w:rPr>
          <w:rFonts w:ascii="Times New Roman" w:hAnsi="Times New Roman"/>
          <w:sz w:val="24"/>
        </w:rPr>
        <w:t xml:space="preserve">applicant or even </w:t>
      </w:r>
      <w:r w:rsidR="00A8302B" w:rsidRPr="0069346E">
        <w:rPr>
          <w:rFonts w:ascii="Times New Roman" w:hAnsi="Times New Roman"/>
          <w:sz w:val="24"/>
        </w:rPr>
        <w:t xml:space="preserve">in favour of the second respondent. </w:t>
      </w:r>
      <w:r w:rsidR="0069346E">
        <w:rPr>
          <w:rFonts w:ascii="Times New Roman" w:hAnsi="Times New Roman"/>
          <w:sz w:val="24"/>
        </w:rPr>
        <w:t>Lastly, t</w:t>
      </w:r>
      <w:r w:rsidR="00A8302B" w:rsidRPr="0069346E">
        <w:rPr>
          <w:rFonts w:ascii="Times New Roman" w:hAnsi="Times New Roman"/>
          <w:sz w:val="24"/>
        </w:rPr>
        <w:t>he contention that the specification</w:t>
      </w:r>
      <w:r w:rsidR="0069346E">
        <w:rPr>
          <w:rFonts w:ascii="Times New Roman" w:hAnsi="Times New Roman"/>
          <w:sz w:val="24"/>
        </w:rPr>
        <w:t>s</w:t>
      </w:r>
      <w:r w:rsidR="00A8302B" w:rsidRPr="0069346E">
        <w:rPr>
          <w:rFonts w:ascii="Times New Roman" w:hAnsi="Times New Roman"/>
          <w:sz w:val="24"/>
        </w:rPr>
        <w:t xml:space="preserve"> w</w:t>
      </w:r>
      <w:r w:rsidR="0069346E">
        <w:rPr>
          <w:rFonts w:ascii="Times New Roman" w:hAnsi="Times New Roman"/>
          <w:sz w:val="24"/>
        </w:rPr>
        <w:t>ere</w:t>
      </w:r>
      <w:r w:rsidR="00A8302B" w:rsidRPr="0069346E">
        <w:rPr>
          <w:rFonts w:ascii="Times New Roman" w:hAnsi="Times New Roman"/>
          <w:sz w:val="24"/>
        </w:rPr>
        <w:t xml:space="preserve"> not clear and unfair to all bidders i</w:t>
      </w:r>
      <w:r w:rsidR="004D4200">
        <w:rPr>
          <w:rFonts w:ascii="Times New Roman" w:hAnsi="Times New Roman"/>
          <w:sz w:val="24"/>
        </w:rPr>
        <w:t>s</w:t>
      </w:r>
      <w:r w:rsidR="00A8302B" w:rsidRPr="0069346E">
        <w:rPr>
          <w:rFonts w:ascii="Times New Roman" w:hAnsi="Times New Roman"/>
          <w:sz w:val="24"/>
        </w:rPr>
        <w:t xml:space="preserve"> not supported by evidence </w:t>
      </w:r>
      <w:r w:rsidR="0069346E">
        <w:rPr>
          <w:rFonts w:ascii="Times New Roman" w:hAnsi="Times New Roman"/>
          <w:sz w:val="24"/>
        </w:rPr>
        <w:t xml:space="preserve">as no other bidders came forward to confirm that the alleged statement that </w:t>
      </w:r>
      <w:r w:rsidR="00B046BC">
        <w:rPr>
          <w:rFonts w:ascii="Times New Roman" w:hAnsi="Times New Roman"/>
          <w:sz w:val="24"/>
        </w:rPr>
        <w:t xml:space="preserve">there was a </w:t>
      </w:r>
      <w:r w:rsidR="0069346E">
        <w:rPr>
          <w:rFonts w:ascii="Times New Roman" w:hAnsi="Times New Roman"/>
          <w:sz w:val="24"/>
        </w:rPr>
        <w:t>lack of clarity on the specifications</w:t>
      </w:r>
      <w:r w:rsidR="00B046BC">
        <w:rPr>
          <w:rFonts w:ascii="Times New Roman" w:hAnsi="Times New Roman"/>
          <w:sz w:val="24"/>
        </w:rPr>
        <w:t xml:space="preserve"> and they</w:t>
      </w:r>
      <w:r w:rsidR="0069346E">
        <w:rPr>
          <w:rFonts w:ascii="Times New Roman" w:hAnsi="Times New Roman"/>
          <w:sz w:val="24"/>
        </w:rPr>
        <w:t xml:space="preserve"> negatively affected them</w:t>
      </w:r>
      <w:r w:rsidR="00B046BC">
        <w:rPr>
          <w:rFonts w:ascii="Times New Roman" w:hAnsi="Times New Roman"/>
          <w:sz w:val="24"/>
        </w:rPr>
        <w:t xml:space="preserve"> in their bidding</w:t>
      </w:r>
      <w:r w:rsidR="0069346E">
        <w:rPr>
          <w:rFonts w:ascii="Times New Roman" w:hAnsi="Times New Roman"/>
          <w:sz w:val="24"/>
        </w:rPr>
        <w:t xml:space="preserve">. </w:t>
      </w:r>
    </w:p>
    <w:p w14:paraId="3219A40B" w14:textId="77777777" w:rsidR="00E354EE" w:rsidRPr="00E354EE" w:rsidRDefault="00E354EE" w:rsidP="00E354EE">
      <w:pPr>
        <w:pStyle w:val="ListParagraph"/>
        <w:rPr>
          <w:rFonts w:ascii="Times New Roman" w:hAnsi="Times New Roman"/>
          <w:i/>
          <w:iCs/>
          <w:sz w:val="24"/>
        </w:rPr>
      </w:pPr>
    </w:p>
    <w:p w14:paraId="561E7A6B" w14:textId="37F303CB" w:rsidR="00E354EE" w:rsidRPr="00E354EE" w:rsidRDefault="00E354EE"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 xml:space="preserve">In the premises the reliefs sought in both </w:t>
      </w:r>
      <w:r w:rsidR="0069346E">
        <w:rPr>
          <w:rFonts w:ascii="Times New Roman" w:hAnsi="Times New Roman"/>
          <w:sz w:val="24"/>
        </w:rPr>
        <w:t>P</w:t>
      </w:r>
      <w:r>
        <w:rPr>
          <w:rFonts w:ascii="Times New Roman" w:hAnsi="Times New Roman"/>
          <w:sz w:val="24"/>
        </w:rPr>
        <w:t xml:space="preserve">art A and </w:t>
      </w:r>
      <w:r w:rsidR="0069346E">
        <w:rPr>
          <w:rFonts w:ascii="Times New Roman" w:hAnsi="Times New Roman"/>
          <w:sz w:val="24"/>
        </w:rPr>
        <w:t xml:space="preserve">Part </w:t>
      </w:r>
      <w:r>
        <w:rPr>
          <w:rFonts w:ascii="Times New Roman" w:hAnsi="Times New Roman"/>
          <w:sz w:val="24"/>
        </w:rPr>
        <w:t>B are unsustainable and falls to be dismissed.</w:t>
      </w:r>
    </w:p>
    <w:p w14:paraId="6A4B4F15" w14:textId="77777777" w:rsidR="00E354EE" w:rsidRPr="00E354EE" w:rsidRDefault="00E354EE" w:rsidP="00E354EE">
      <w:pPr>
        <w:pStyle w:val="ListParagraph"/>
        <w:rPr>
          <w:rFonts w:ascii="Times New Roman" w:hAnsi="Times New Roman"/>
          <w:sz w:val="24"/>
        </w:rPr>
      </w:pPr>
    </w:p>
    <w:p w14:paraId="33DAEF9B" w14:textId="77777777" w:rsidR="00E354EE" w:rsidRPr="0008666B" w:rsidRDefault="00E354EE" w:rsidP="00E354EE">
      <w:pPr>
        <w:pStyle w:val="ListParagraph"/>
        <w:tabs>
          <w:tab w:val="left" w:pos="540"/>
        </w:tabs>
        <w:spacing w:after="160" w:line="480" w:lineRule="auto"/>
        <w:ind w:left="0" w:right="1"/>
        <w:rPr>
          <w:rFonts w:ascii="Times New Roman" w:hAnsi="Times New Roman"/>
          <w:i/>
          <w:iCs/>
          <w:sz w:val="24"/>
        </w:rPr>
      </w:pPr>
      <w:r w:rsidRPr="0008666B">
        <w:rPr>
          <w:rFonts w:ascii="Times New Roman" w:hAnsi="Times New Roman"/>
          <w:i/>
          <w:iCs/>
          <w:sz w:val="24"/>
        </w:rPr>
        <w:t>Costs</w:t>
      </w:r>
    </w:p>
    <w:p w14:paraId="7126D65C" w14:textId="77777777" w:rsidR="00E354EE" w:rsidRPr="00E354EE" w:rsidRDefault="00E354EE" w:rsidP="00E354EE">
      <w:pPr>
        <w:pStyle w:val="ListParagraph"/>
        <w:rPr>
          <w:rFonts w:ascii="Times New Roman" w:hAnsi="Times New Roman"/>
          <w:sz w:val="24"/>
        </w:rPr>
      </w:pPr>
    </w:p>
    <w:p w14:paraId="23BD595A" w14:textId="655E2BAC" w:rsidR="00E354EE" w:rsidRPr="001227C8" w:rsidRDefault="00E354EE" w:rsidP="00FA6CEE">
      <w:pPr>
        <w:pStyle w:val="ListParagraph"/>
        <w:numPr>
          <w:ilvl w:val="0"/>
          <w:numId w:val="2"/>
        </w:numPr>
        <w:tabs>
          <w:tab w:val="left" w:pos="540"/>
        </w:tabs>
        <w:spacing w:after="160" w:line="480" w:lineRule="auto"/>
        <w:ind w:right="1"/>
        <w:rPr>
          <w:rFonts w:ascii="Times New Roman" w:hAnsi="Times New Roman"/>
          <w:i/>
          <w:iCs/>
          <w:sz w:val="24"/>
        </w:rPr>
      </w:pPr>
      <w:r>
        <w:rPr>
          <w:rFonts w:ascii="Times New Roman" w:hAnsi="Times New Roman"/>
          <w:sz w:val="24"/>
        </w:rPr>
        <w:t>Both parties having submitted that the costs</w:t>
      </w:r>
      <w:r w:rsidR="00E73CD4">
        <w:rPr>
          <w:rFonts w:ascii="Times New Roman" w:hAnsi="Times New Roman"/>
          <w:sz w:val="24"/>
        </w:rPr>
        <w:t xml:space="preserve"> should</w:t>
      </w:r>
      <w:r>
        <w:rPr>
          <w:rFonts w:ascii="Times New Roman" w:hAnsi="Times New Roman"/>
          <w:sz w:val="24"/>
        </w:rPr>
        <w:t xml:space="preserve"> follow the suit</w:t>
      </w:r>
      <w:r w:rsidR="0008666B">
        <w:rPr>
          <w:rFonts w:ascii="Times New Roman" w:hAnsi="Times New Roman"/>
          <w:sz w:val="24"/>
        </w:rPr>
        <w:t xml:space="preserve"> and the court is of the view that there is no basis to deviate therefrom.</w:t>
      </w:r>
      <w:r>
        <w:rPr>
          <w:rFonts w:ascii="Times New Roman" w:hAnsi="Times New Roman"/>
          <w:sz w:val="24"/>
        </w:rPr>
        <w:t xml:space="preserve"> </w:t>
      </w:r>
    </w:p>
    <w:p w14:paraId="78011098" w14:textId="77777777" w:rsidR="001227C8" w:rsidRPr="00E31BA4" w:rsidRDefault="001227C8" w:rsidP="001227C8">
      <w:pPr>
        <w:pStyle w:val="ListParagraph"/>
        <w:tabs>
          <w:tab w:val="left" w:pos="540"/>
        </w:tabs>
        <w:spacing w:after="160" w:line="480" w:lineRule="auto"/>
        <w:ind w:left="0" w:right="1"/>
        <w:rPr>
          <w:rFonts w:ascii="Times New Roman" w:hAnsi="Times New Roman"/>
          <w:i/>
          <w:iCs/>
          <w:sz w:val="24"/>
        </w:rPr>
      </w:pPr>
    </w:p>
    <w:p w14:paraId="190BC06F" w14:textId="68FAC78C" w:rsidR="000E06E4" w:rsidRPr="00E31BA4" w:rsidRDefault="000E06E4" w:rsidP="00447B53">
      <w:pPr>
        <w:pStyle w:val="ListParagraph"/>
        <w:tabs>
          <w:tab w:val="left" w:pos="540"/>
        </w:tabs>
        <w:spacing w:after="160" w:line="480" w:lineRule="auto"/>
        <w:ind w:left="0" w:right="1"/>
        <w:rPr>
          <w:rFonts w:ascii="Times New Roman" w:hAnsi="Times New Roman"/>
          <w:i/>
          <w:iCs/>
          <w:sz w:val="24"/>
        </w:rPr>
      </w:pPr>
      <w:r w:rsidRPr="00E31BA4">
        <w:rPr>
          <w:rFonts w:ascii="Times New Roman" w:hAnsi="Times New Roman"/>
          <w:i/>
          <w:iCs/>
          <w:sz w:val="24"/>
        </w:rPr>
        <w:t>Conclusion</w:t>
      </w:r>
    </w:p>
    <w:p w14:paraId="60980885" w14:textId="77777777" w:rsidR="005109A3" w:rsidRPr="00E31BA4" w:rsidRDefault="005109A3" w:rsidP="005109A3">
      <w:pPr>
        <w:pStyle w:val="ListParagraph"/>
        <w:rPr>
          <w:rFonts w:ascii="Times New Roman" w:hAnsi="Times New Roman"/>
          <w:sz w:val="24"/>
        </w:rPr>
      </w:pPr>
    </w:p>
    <w:p w14:paraId="7D6C5C07" w14:textId="516C5919" w:rsidR="005109A3" w:rsidRPr="00E31BA4" w:rsidRDefault="005109A3" w:rsidP="006A522A">
      <w:pPr>
        <w:pStyle w:val="ListParagraph"/>
        <w:numPr>
          <w:ilvl w:val="0"/>
          <w:numId w:val="2"/>
        </w:numPr>
        <w:tabs>
          <w:tab w:val="left" w:pos="540"/>
        </w:tabs>
        <w:spacing w:after="160" w:line="480" w:lineRule="auto"/>
        <w:ind w:right="720"/>
        <w:rPr>
          <w:rFonts w:ascii="Times New Roman" w:hAnsi="Times New Roman"/>
          <w:sz w:val="24"/>
        </w:rPr>
      </w:pPr>
      <w:r w:rsidRPr="00E31BA4">
        <w:rPr>
          <w:rFonts w:ascii="Times New Roman" w:hAnsi="Times New Roman"/>
          <w:sz w:val="24"/>
        </w:rPr>
        <w:t xml:space="preserve">In </w:t>
      </w:r>
      <w:r w:rsidR="006D7710" w:rsidRPr="00E31BA4">
        <w:rPr>
          <w:rFonts w:ascii="Times New Roman" w:hAnsi="Times New Roman"/>
          <w:sz w:val="24"/>
        </w:rPr>
        <w:t>consequence</w:t>
      </w:r>
      <w:r w:rsidRPr="00E31BA4">
        <w:rPr>
          <w:rFonts w:ascii="Times New Roman" w:hAnsi="Times New Roman"/>
          <w:sz w:val="24"/>
        </w:rPr>
        <w:t>, I make the following order:</w:t>
      </w:r>
    </w:p>
    <w:p w14:paraId="41137B98" w14:textId="77777777" w:rsidR="005109A3" w:rsidRPr="00E31BA4" w:rsidRDefault="005109A3" w:rsidP="005109A3">
      <w:pPr>
        <w:pStyle w:val="ListParagraph"/>
        <w:rPr>
          <w:rFonts w:ascii="Times New Roman" w:hAnsi="Times New Roman"/>
          <w:sz w:val="24"/>
        </w:rPr>
      </w:pPr>
    </w:p>
    <w:p w14:paraId="28911F50" w14:textId="5FF50838" w:rsidR="005109A3" w:rsidRDefault="00C67F94" w:rsidP="00B046BC">
      <w:pPr>
        <w:pStyle w:val="ListParagraph"/>
        <w:numPr>
          <w:ilvl w:val="0"/>
          <w:numId w:val="9"/>
        </w:numPr>
        <w:tabs>
          <w:tab w:val="left" w:pos="540"/>
        </w:tabs>
        <w:spacing w:after="160" w:line="480" w:lineRule="auto"/>
        <w:ind w:right="720"/>
        <w:rPr>
          <w:rFonts w:ascii="Times New Roman" w:hAnsi="Times New Roman"/>
          <w:sz w:val="24"/>
        </w:rPr>
      </w:pPr>
      <w:r>
        <w:rPr>
          <w:rFonts w:ascii="Times New Roman" w:hAnsi="Times New Roman"/>
          <w:sz w:val="24"/>
        </w:rPr>
        <w:t xml:space="preserve">The application </w:t>
      </w:r>
      <w:r w:rsidR="002F32EA">
        <w:rPr>
          <w:rFonts w:ascii="Times New Roman" w:hAnsi="Times New Roman"/>
          <w:sz w:val="24"/>
        </w:rPr>
        <w:t>for</w:t>
      </w:r>
      <w:r>
        <w:rPr>
          <w:rFonts w:ascii="Times New Roman" w:hAnsi="Times New Roman"/>
          <w:sz w:val="24"/>
        </w:rPr>
        <w:t xml:space="preserve"> </w:t>
      </w:r>
      <w:r w:rsidR="0069346E">
        <w:rPr>
          <w:rFonts w:ascii="Times New Roman" w:hAnsi="Times New Roman"/>
          <w:sz w:val="24"/>
        </w:rPr>
        <w:t>costs</w:t>
      </w:r>
      <w:r w:rsidR="002F32EA">
        <w:rPr>
          <w:rFonts w:ascii="Times New Roman" w:hAnsi="Times New Roman"/>
          <w:sz w:val="24"/>
        </w:rPr>
        <w:t xml:space="preserve"> order</w:t>
      </w:r>
      <w:r w:rsidR="0069346E">
        <w:rPr>
          <w:rFonts w:ascii="Times New Roman" w:hAnsi="Times New Roman"/>
          <w:sz w:val="24"/>
        </w:rPr>
        <w:t xml:space="preserve"> in respect of Part A is dismissed </w:t>
      </w:r>
      <w:r>
        <w:rPr>
          <w:rFonts w:ascii="Times New Roman" w:hAnsi="Times New Roman"/>
          <w:sz w:val="24"/>
        </w:rPr>
        <w:t>with costs</w:t>
      </w:r>
      <w:r w:rsidR="00B046BC">
        <w:rPr>
          <w:rFonts w:ascii="Times New Roman" w:hAnsi="Times New Roman"/>
          <w:sz w:val="24"/>
        </w:rPr>
        <w:t>.</w:t>
      </w:r>
    </w:p>
    <w:p w14:paraId="1C169AC3" w14:textId="44CC1A8B" w:rsidR="0069346E" w:rsidRDefault="0069346E" w:rsidP="00B046BC">
      <w:pPr>
        <w:pStyle w:val="ListParagraph"/>
        <w:numPr>
          <w:ilvl w:val="0"/>
          <w:numId w:val="9"/>
        </w:numPr>
        <w:tabs>
          <w:tab w:val="left" w:pos="540"/>
        </w:tabs>
        <w:spacing w:after="160" w:line="480" w:lineRule="auto"/>
        <w:ind w:right="1"/>
        <w:rPr>
          <w:rFonts w:ascii="Times New Roman" w:hAnsi="Times New Roman"/>
          <w:sz w:val="24"/>
        </w:rPr>
      </w:pPr>
      <w:r>
        <w:rPr>
          <w:rFonts w:ascii="Times New Roman" w:hAnsi="Times New Roman"/>
          <w:sz w:val="24"/>
        </w:rPr>
        <w:t>The application for condonation for non-compliance with section 74 of</w:t>
      </w:r>
      <w:r w:rsidR="00B046BC">
        <w:rPr>
          <w:rFonts w:ascii="Times New Roman" w:hAnsi="Times New Roman"/>
          <w:sz w:val="24"/>
        </w:rPr>
        <w:t xml:space="preserve"> P</w:t>
      </w:r>
      <w:r>
        <w:rPr>
          <w:rFonts w:ascii="Times New Roman" w:hAnsi="Times New Roman"/>
          <w:sz w:val="24"/>
        </w:rPr>
        <w:t xml:space="preserve">romotion of Access to </w:t>
      </w:r>
      <w:r w:rsidR="0091301A">
        <w:rPr>
          <w:rFonts w:ascii="Times New Roman" w:hAnsi="Times New Roman"/>
          <w:sz w:val="24"/>
        </w:rPr>
        <w:t>I</w:t>
      </w:r>
      <w:r>
        <w:rPr>
          <w:rFonts w:ascii="Times New Roman" w:hAnsi="Times New Roman"/>
          <w:sz w:val="24"/>
        </w:rPr>
        <w:t>nformation Act 2 of 2000 is di</w:t>
      </w:r>
      <w:r w:rsidR="002F32EA">
        <w:rPr>
          <w:rFonts w:ascii="Times New Roman" w:hAnsi="Times New Roman"/>
          <w:sz w:val="24"/>
        </w:rPr>
        <w:t>s</w:t>
      </w:r>
      <w:r>
        <w:rPr>
          <w:rFonts w:ascii="Times New Roman" w:hAnsi="Times New Roman"/>
          <w:sz w:val="24"/>
        </w:rPr>
        <w:t>missed</w:t>
      </w:r>
      <w:r w:rsidR="002F32EA">
        <w:rPr>
          <w:rFonts w:ascii="Times New Roman" w:hAnsi="Times New Roman"/>
          <w:sz w:val="24"/>
        </w:rPr>
        <w:t xml:space="preserve"> with costs</w:t>
      </w:r>
      <w:r>
        <w:rPr>
          <w:rFonts w:ascii="Times New Roman" w:hAnsi="Times New Roman"/>
          <w:sz w:val="24"/>
        </w:rPr>
        <w:t xml:space="preserve">. </w:t>
      </w:r>
    </w:p>
    <w:p w14:paraId="7B641FAF" w14:textId="35C0045E" w:rsidR="00C67F94" w:rsidRDefault="00C67F94" w:rsidP="00B046BC">
      <w:pPr>
        <w:pStyle w:val="ListParagraph"/>
        <w:numPr>
          <w:ilvl w:val="0"/>
          <w:numId w:val="9"/>
        </w:numPr>
        <w:tabs>
          <w:tab w:val="left" w:pos="540"/>
        </w:tabs>
        <w:spacing w:after="160" w:line="480" w:lineRule="auto"/>
        <w:ind w:right="720"/>
        <w:rPr>
          <w:rFonts w:ascii="Times New Roman" w:hAnsi="Times New Roman"/>
          <w:sz w:val="24"/>
        </w:rPr>
      </w:pPr>
      <w:r>
        <w:rPr>
          <w:rFonts w:ascii="Times New Roman" w:hAnsi="Times New Roman"/>
          <w:sz w:val="24"/>
        </w:rPr>
        <w:t>The second respondent</w:t>
      </w:r>
      <w:r w:rsidR="004B0340">
        <w:rPr>
          <w:rFonts w:ascii="Times New Roman" w:hAnsi="Times New Roman"/>
          <w:sz w:val="24"/>
        </w:rPr>
        <w:t>’</w:t>
      </w:r>
      <w:r>
        <w:rPr>
          <w:rFonts w:ascii="Times New Roman" w:hAnsi="Times New Roman"/>
          <w:sz w:val="24"/>
        </w:rPr>
        <w:t>s heads of argument are struck out with costs.</w:t>
      </w:r>
    </w:p>
    <w:p w14:paraId="0F1B04B3" w14:textId="02F0DB62" w:rsidR="0008666B" w:rsidRDefault="002F32EA" w:rsidP="00B046BC">
      <w:pPr>
        <w:pStyle w:val="ListParagraph"/>
        <w:numPr>
          <w:ilvl w:val="0"/>
          <w:numId w:val="9"/>
        </w:numPr>
        <w:tabs>
          <w:tab w:val="left" w:pos="540"/>
        </w:tabs>
        <w:spacing w:after="160" w:line="480" w:lineRule="auto"/>
        <w:ind w:right="720"/>
        <w:rPr>
          <w:rFonts w:ascii="Times New Roman" w:hAnsi="Times New Roman"/>
          <w:sz w:val="24"/>
        </w:rPr>
      </w:pPr>
      <w:r>
        <w:rPr>
          <w:rFonts w:ascii="Times New Roman" w:hAnsi="Times New Roman"/>
          <w:sz w:val="24"/>
        </w:rPr>
        <w:t>The application for</w:t>
      </w:r>
      <w:r w:rsidR="0090768E">
        <w:rPr>
          <w:rFonts w:ascii="Times New Roman" w:hAnsi="Times New Roman"/>
          <w:sz w:val="24"/>
        </w:rPr>
        <w:t xml:space="preserve"> prayers sought in Part B are dismissed with costs. </w:t>
      </w:r>
    </w:p>
    <w:p w14:paraId="1E14144B" w14:textId="035B34BA" w:rsidR="002F32EA" w:rsidRDefault="002F32EA" w:rsidP="0008666B">
      <w:pPr>
        <w:pStyle w:val="ListParagraph"/>
        <w:tabs>
          <w:tab w:val="left" w:pos="540"/>
        </w:tabs>
        <w:spacing w:after="160" w:line="480" w:lineRule="auto"/>
        <w:ind w:left="840" w:right="720"/>
        <w:rPr>
          <w:rFonts w:ascii="Times New Roman" w:hAnsi="Times New Roman"/>
          <w:sz w:val="24"/>
        </w:rPr>
      </w:pPr>
    </w:p>
    <w:p w14:paraId="691FF592" w14:textId="77777777" w:rsidR="005320FC" w:rsidRDefault="005320FC" w:rsidP="0008666B">
      <w:pPr>
        <w:pStyle w:val="ListParagraph"/>
        <w:tabs>
          <w:tab w:val="left" w:pos="540"/>
        </w:tabs>
        <w:spacing w:after="160" w:line="480" w:lineRule="auto"/>
        <w:ind w:left="840" w:right="720"/>
        <w:rPr>
          <w:rFonts w:ascii="Times New Roman" w:hAnsi="Times New Roman"/>
          <w:sz w:val="24"/>
        </w:rPr>
      </w:pPr>
    </w:p>
    <w:p w14:paraId="38EFFFE1" w14:textId="77777777" w:rsidR="003426E1" w:rsidRPr="00A2109B" w:rsidRDefault="003426E1" w:rsidP="006A522A">
      <w:pPr>
        <w:ind w:left="360" w:hanging="360"/>
        <w:jc w:val="right"/>
        <w:rPr>
          <w:rFonts w:ascii="Times New Roman" w:hAnsi="Times New Roman"/>
          <w:sz w:val="24"/>
          <w:u w:val="single"/>
        </w:rPr>
      </w:pPr>
      <w:r w:rsidRPr="00A2109B">
        <w:rPr>
          <w:rFonts w:ascii="Times New Roman" w:hAnsi="Times New Roman"/>
          <w:sz w:val="24"/>
          <w:u w:val="single"/>
        </w:rPr>
        <w:lastRenderedPageBreak/>
        <w:t>___________________________</w:t>
      </w:r>
    </w:p>
    <w:p w14:paraId="6A382A29" w14:textId="60C491F9" w:rsidR="003426E1" w:rsidRDefault="003426E1" w:rsidP="006A522A">
      <w:pPr>
        <w:jc w:val="right"/>
        <w:rPr>
          <w:rFonts w:ascii="Times New Roman" w:hAnsi="Times New Roman"/>
          <w:b/>
          <w:bCs/>
          <w:sz w:val="24"/>
        </w:rPr>
      </w:pPr>
      <w:r w:rsidRPr="00A2109B">
        <w:rPr>
          <w:rFonts w:ascii="Times New Roman" w:hAnsi="Times New Roman"/>
          <w:b/>
          <w:bCs/>
          <w:sz w:val="24"/>
        </w:rPr>
        <w:t>N</w:t>
      </w:r>
      <w:r w:rsidR="00B046BC">
        <w:rPr>
          <w:rFonts w:ascii="Times New Roman" w:hAnsi="Times New Roman"/>
          <w:b/>
          <w:bCs/>
          <w:sz w:val="24"/>
        </w:rPr>
        <w:t>OKO MV</w:t>
      </w:r>
      <w:r w:rsidRPr="00A2109B">
        <w:rPr>
          <w:rFonts w:ascii="Times New Roman" w:hAnsi="Times New Roman"/>
          <w:b/>
          <w:bCs/>
          <w:sz w:val="24"/>
        </w:rPr>
        <w:t>,</w:t>
      </w:r>
    </w:p>
    <w:p w14:paraId="49512908" w14:textId="0ADA7CF5" w:rsidR="002F32EA" w:rsidRPr="002F32EA" w:rsidRDefault="002F32EA" w:rsidP="006A522A">
      <w:pPr>
        <w:jc w:val="right"/>
        <w:rPr>
          <w:rFonts w:ascii="Times New Roman" w:hAnsi="Times New Roman"/>
          <w:sz w:val="24"/>
        </w:rPr>
      </w:pPr>
      <w:r w:rsidRPr="002F32EA">
        <w:rPr>
          <w:rFonts w:ascii="Times New Roman" w:hAnsi="Times New Roman"/>
          <w:sz w:val="24"/>
        </w:rPr>
        <w:t>ACTING JUDGE OF GAUTENG DIVISION,</w:t>
      </w:r>
    </w:p>
    <w:p w14:paraId="78F79A46" w14:textId="332FCCAB" w:rsidR="003426E1" w:rsidRPr="00A2109B" w:rsidRDefault="00BB1A9F" w:rsidP="00C23DFF">
      <w:pPr>
        <w:jc w:val="right"/>
        <w:rPr>
          <w:rFonts w:ascii="Times New Roman" w:hAnsi="Times New Roman"/>
          <w:sz w:val="24"/>
        </w:rPr>
      </w:pPr>
      <w:r w:rsidRPr="00A2109B">
        <w:rPr>
          <w:rFonts w:ascii="Times New Roman" w:hAnsi="Times New Roman"/>
          <w:sz w:val="24"/>
        </w:rPr>
        <w:t>PRETORIA</w:t>
      </w:r>
    </w:p>
    <w:p w14:paraId="089E6E3E" w14:textId="77777777" w:rsidR="00B046BC" w:rsidRPr="00A2109B" w:rsidRDefault="00B046BC" w:rsidP="003426E1">
      <w:pPr>
        <w:pStyle w:val="ListParagraph"/>
        <w:rPr>
          <w:rFonts w:ascii="Times New Roman" w:hAnsi="Times New Roman"/>
          <w:sz w:val="24"/>
        </w:rPr>
      </w:pPr>
    </w:p>
    <w:p w14:paraId="538F70A9" w14:textId="77777777" w:rsidR="00E73CD4" w:rsidRDefault="00E73CD4" w:rsidP="008873A2">
      <w:pPr>
        <w:rPr>
          <w:rFonts w:ascii="Times New Roman" w:hAnsi="Times New Roman"/>
          <w:b/>
          <w:bCs/>
          <w:sz w:val="24"/>
        </w:rPr>
      </w:pPr>
    </w:p>
    <w:p w14:paraId="29F036CC" w14:textId="50C5E92E" w:rsidR="003426E1" w:rsidRPr="00A2109B" w:rsidRDefault="003426E1" w:rsidP="008873A2">
      <w:pPr>
        <w:rPr>
          <w:rFonts w:ascii="Times New Roman" w:hAnsi="Times New Roman"/>
          <w:b/>
          <w:bCs/>
          <w:sz w:val="24"/>
        </w:rPr>
      </w:pPr>
      <w:r w:rsidRPr="00A2109B">
        <w:rPr>
          <w:rFonts w:ascii="Times New Roman" w:hAnsi="Times New Roman"/>
          <w:b/>
          <w:bCs/>
          <w:sz w:val="24"/>
        </w:rPr>
        <w:t>APPEARANCES</w:t>
      </w:r>
    </w:p>
    <w:p w14:paraId="373E3273" w14:textId="77777777" w:rsidR="00E73CD4" w:rsidRDefault="00E73CD4" w:rsidP="004B0340">
      <w:pPr>
        <w:rPr>
          <w:rFonts w:ascii="Times New Roman" w:hAnsi="Times New Roman"/>
          <w:sz w:val="24"/>
        </w:rPr>
      </w:pPr>
    </w:p>
    <w:p w14:paraId="7C7FEC41" w14:textId="40E1F343" w:rsidR="00A2109B" w:rsidRPr="00A2109B" w:rsidRDefault="004B0340" w:rsidP="004B0340">
      <w:pPr>
        <w:rPr>
          <w:rFonts w:ascii="Times New Roman" w:hAnsi="Times New Roman"/>
          <w:sz w:val="24"/>
        </w:rPr>
      </w:pPr>
      <w:r w:rsidRPr="00A2109B">
        <w:rPr>
          <w:rFonts w:ascii="Times New Roman" w:hAnsi="Times New Roman"/>
          <w:sz w:val="24"/>
        </w:rPr>
        <w:t>Counsel for the applicant</w:t>
      </w:r>
      <w:r w:rsidRPr="00A2109B">
        <w:rPr>
          <w:rFonts w:ascii="Times New Roman" w:hAnsi="Times New Roman"/>
          <w:sz w:val="24"/>
        </w:rPr>
        <w:tab/>
      </w:r>
      <w:r w:rsidRPr="00A2109B">
        <w:rPr>
          <w:rFonts w:ascii="Times New Roman" w:hAnsi="Times New Roman"/>
          <w:sz w:val="24"/>
        </w:rPr>
        <w:tab/>
        <w:t>:</w:t>
      </w:r>
      <w:r w:rsidRPr="00A2109B">
        <w:rPr>
          <w:rFonts w:ascii="Times New Roman" w:hAnsi="Times New Roman"/>
          <w:sz w:val="24"/>
        </w:rPr>
        <w:tab/>
        <w:t>Adv MF Jooste</w:t>
      </w:r>
    </w:p>
    <w:p w14:paraId="79D9EAFF" w14:textId="52E699F9" w:rsidR="004B0340"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Centaur Chambers</w:t>
      </w:r>
      <w:r w:rsidR="008E348B" w:rsidRPr="00A2109B">
        <w:rPr>
          <w:rFonts w:ascii="Times New Roman" w:hAnsi="Times New Roman"/>
          <w:sz w:val="24"/>
        </w:rPr>
        <w:tab/>
      </w:r>
      <w:r w:rsidR="008873A2" w:rsidRPr="00A2109B">
        <w:rPr>
          <w:rFonts w:ascii="Times New Roman" w:hAnsi="Times New Roman"/>
          <w:sz w:val="24"/>
        </w:rPr>
        <w:tab/>
      </w:r>
      <w:r w:rsidR="003426E1" w:rsidRPr="00A2109B">
        <w:rPr>
          <w:rFonts w:ascii="Times New Roman" w:hAnsi="Times New Roman"/>
          <w:sz w:val="24"/>
        </w:rPr>
        <w:tab/>
      </w:r>
    </w:p>
    <w:p w14:paraId="32569DA4" w14:textId="4539FE58" w:rsidR="004B0340" w:rsidRPr="00A2109B" w:rsidRDefault="004B0340" w:rsidP="004B0340">
      <w:pPr>
        <w:rPr>
          <w:rFonts w:ascii="Times New Roman" w:hAnsi="Times New Roman"/>
          <w:sz w:val="24"/>
        </w:rPr>
      </w:pPr>
      <w:r w:rsidRPr="00A2109B">
        <w:rPr>
          <w:rFonts w:ascii="Times New Roman" w:hAnsi="Times New Roman"/>
          <w:sz w:val="24"/>
        </w:rPr>
        <w:t>Attorneys for the applicant</w:t>
      </w:r>
      <w:r w:rsidRPr="00A2109B">
        <w:rPr>
          <w:rFonts w:ascii="Times New Roman" w:hAnsi="Times New Roman"/>
          <w:sz w:val="24"/>
        </w:rPr>
        <w:tab/>
      </w:r>
      <w:r w:rsidRPr="00A2109B">
        <w:rPr>
          <w:rFonts w:ascii="Times New Roman" w:hAnsi="Times New Roman"/>
          <w:sz w:val="24"/>
        </w:rPr>
        <w:tab/>
        <w:t>:</w:t>
      </w:r>
      <w:r w:rsidRPr="00A2109B">
        <w:rPr>
          <w:rFonts w:ascii="Times New Roman" w:hAnsi="Times New Roman"/>
          <w:sz w:val="24"/>
        </w:rPr>
        <w:tab/>
      </w:r>
      <w:r w:rsidR="00A2109B" w:rsidRPr="00A2109B">
        <w:rPr>
          <w:rFonts w:ascii="Times New Roman" w:hAnsi="Times New Roman"/>
          <w:sz w:val="24"/>
        </w:rPr>
        <w:t xml:space="preserve">Tamara Klos </w:t>
      </w:r>
      <w:r w:rsidR="00A07CC3">
        <w:rPr>
          <w:rFonts w:ascii="Times New Roman" w:hAnsi="Times New Roman"/>
          <w:sz w:val="24"/>
        </w:rPr>
        <w:t>A</w:t>
      </w:r>
      <w:r w:rsidR="00A2109B" w:rsidRPr="00A2109B">
        <w:rPr>
          <w:rFonts w:ascii="Times New Roman" w:hAnsi="Times New Roman"/>
          <w:sz w:val="24"/>
        </w:rPr>
        <w:t>ttorneys</w:t>
      </w:r>
    </w:p>
    <w:p w14:paraId="19457283" w14:textId="3C581BAA"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Umhlanga</w:t>
      </w:r>
    </w:p>
    <w:p w14:paraId="1B2A193C" w14:textId="74669CE5"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 xml:space="preserve">c/o Friedland Hart Solomon </w:t>
      </w:r>
      <w:r w:rsidR="00A07CC3">
        <w:rPr>
          <w:rFonts w:ascii="Times New Roman" w:hAnsi="Times New Roman"/>
          <w:sz w:val="24"/>
        </w:rPr>
        <w:t xml:space="preserve">&amp; </w:t>
      </w:r>
      <w:r w:rsidRPr="00A2109B">
        <w:rPr>
          <w:rFonts w:ascii="Times New Roman" w:hAnsi="Times New Roman"/>
          <w:sz w:val="24"/>
        </w:rPr>
        <w:t>Nicholson</w:t>
      </w:r>
    </w:p>
    <w:p w14:paraId="2F9EF053" w14:textId="3480AFEA"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Pretoria</w:t>
      </w:r>
    </w:p>
    <w:p w14:paraId="3777258D" w14:textId="77777777" w:rsidR="001227C8" w:rsidRDefault="001227C8" w:rsidP="004B0340">
      <w:pPr>
        <w:rPr>
          <w:rFonts w:ascii="Times New Roman" w:hAnsi="Times New Roman"/>
          <w:sz w:val="24"/>
        </w:rPr>
      </w:pPr>
    </w:p>
    <w:p w14:paraId="119F66FA" w14:textId="5BE691E0" w:rsidR="004B0340" w:rsidRPr="00A2109B" w:rsidRDefault="004B0340" w:rsidP="004B0340">
      <w:pPr>
        <w:rPr>
          <w:rFonts w:ascii="Times New Roman" w:hAnsi="Times New Roman"/>
          <w:sz w:val="24"/>
        </w:rPr>
      </w:pPr>
      <w:r w:rsidRPr="00A2109B">
        <w:rPr>
          <w:rFonts w:ascii="Times New Roman" w:hAnsi="Times New Roman"/>
          <w:sz w:val="24"/>
        </w:rPr>
        <w:t>Counsel for the 1</w:t>
      </w:r>
      <w:r w:rsidRPr="00A2109B">
        <w:rPr>
          <w:rFonts w:ascii="Times New Roman" w:hAnsi="Times New Roman"/>
          <w:sz w:val="24"/>
          <w:vertAlign w:val="superscript"/>
        </w:rPr>
        <w:t>st</w:t>
      </w:r>
      <w:r w:rsidRPr="00A2109B">
        <w:rPr>
          <w:rFonts w:ascii="Times New Roman" w:hAnsi="Times New Roman"/>
          <w:sz w:val="24"/>
        </w:rPr>
        <w:t xml:space="preserve"> respondent</w:t>
      </w:r>
      <w:r w:rsidRPr="00A2109B">
        <w:rPr>
          <w:rFonts w:ascii="Times New Roman" w:hAnsi="Times New Roman"/>
          <w:sz w:val="24"/>
        </w:rPr>
        <w:tab/>
      </w:r>
      <w:r w:rsidR="00A2109B">
        <w:rPr>
          <w:rFonts w:ascii="Times New Roman" w:hAnsi="Times New Roman"/>
          <w:sz w:val="24"/>
        </w:rPr>
        <w:tab/>
      </w:r>
      <w:r w:rsidRPr="00A2109B">
        <w:rPr>
          <w:rFonts w:ascii="Times New Roman" w:hAnsi="Times New Roman"/>
          <w:sz w:val="24"/>
        </w:rPr>
        <w:t>:</w:t>
      </w:r>
      <w:r w:rsidRPr="00A2109B">
        <w:rPr>
          <w:rFonts w:ascii="Times New Roman" w:hAnsi="Times New Roman"/>
          <w:sz w:val="24"/>
        </w:rPr>
        <w:tab/>
      </w:r>
      <w:r w:rsidR="00A2109B" w:rsidRPr="00A2109B">
        <w:rPr>
          <w:rFonts w:ascii="Times New Roman" w:hAnsi="Times New Roman"/>
          <w:sz w:val="24"/>
        </w:rPr>
        <w:t>Adv L Segeels-Ncube</w:t>
      </w:r>
    </w:p>
    <w:p w14:paraId="034774E6" w14:textId="6ED7F284"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Sandton Chambers.</w:t>
      </w:r>
    </w:p>
    <w:p w14:paraId="294FB78F" w14:textId="54BA931C" w:rsidR="004B0340" w:rsidRPr="00A2109B" w:rsidRDefault="004B0340" w:rsidP="004B0340">
      <w:pPr>
        <w:rPr>
          <w:rFonts w:ascii="Times New Roman" w:hAnsi="Times New Roman"/>
          <w:sz w:val="24"/>
        </w:rPr>
      </w:pPr>
      <w:r w:rsidRPr="00A2109B">
        <w:rPr>
          <w:rFonts w:ascii="Times New Roman" w:hAnsi="Times New Roman"/>
          <w:sz w:val="24"/>
        </w:rPr>
        <w:t>Attorneys for the 1</w:t>
      </w:r>
      <w:r w:rsidRPr="00A2109B">
        <w:rPr>
          <w:rFonts w:ascii="Times New Roman" w:hAnsi="Times New Roman"/>
          <w:sz w:val="24"/>
          <w:vertAlign w:val="superscript"/>
        </w:rPr>
        <w:t>st</w:t>
      </w:r>
      <w:r w:rsidRPr="00A2109B">
        <w:rPr>
          <w:rFonts w:ascii="Times New Roman" w:hAnsi="Times New Roman"/>
          <w:sz w:val="24"/>
        </w:rPr>
        <w:t xml:space="preserve"> respondent</w:t>
      </w:r>
      <w:r w:rsidRPr="00A2109B">
        <w:rPr>
          <w:rFonts w:ascii="Times New Roman" w:hAnsi="Times New Roman"/>
          <w:sz w:val="24"/>
        </w:rPr>
        <w:tab/>
        <w:t>:</w:t>
      </w:r>
      <w:r w:rsidRPr="00A2109B">
        <w:rPr>
          <w:rFonts w:ascii="Times New Roman" w:hAnsi="Times New Roman"/>
          <w:sz w:val="24"/>
        </w:rPr>
        <w:tab/>
        <w:t xml:space="preserve">Webber Wentzel </w:t>
      </w:r>
      <w:r w:rsidR="00A2109B" w:rsidRPr="00A2109B">
        <w:rPr>
          <w:rFonts w:ascii="Times New Roman" w:hAnsi="Times New Roman"/>
          <w:sz w:val="24"/>
        </w:rPr>
        <w:t>A</w:t>
      </w:r>
      <w:r w:rsidRPr="00A2109B">
        <w:rPr>
          <w:rFonts w:ascii="Times New Roman" w:hAnsi="Times New Roman"/>
          <w:sz w:val="24"/>
        </w:rPr>
        <w:t>ttorneys</w:t>
      </w:r>
    </w:p>
    <w:p w14:paraId="186FDEE6" w14:textId="0A592FD3" w:rsidR="00E73CD4" w:rsidRDefault="004B0340"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Sandton</w:t>
      </w:r>
      <w:r w:rsidR="00E73CD4">
        <w:rPr>
          <w:rFonts w:ascii="Times New Roman" w:hAnsi="Times New Roman"/>
          <w:sz w:val="24"/>
        </w:rPr>
        <w:t>.</w:t>
      </w:r>
    </w:p>
    <w:p w14:paraId="06A1FCD6" w14:textId="5F02288C" w:rsidR="004B0340" w:rsidRPr="00A2109B" w:rsidRDefault="004B0340" w:rsidP="004B0340">
      <w:pPr>
        <w:rPr>
          <w:rFonts w:ascii="Times New Roman" w:hAnsi="Times New Roman"/>
          <w:sz w:val="24"/>
        </w:rPr>
      </w:pPr>
      <w:r w:rsidRPr="00A2109B">
        <w:rPr>
          <w:rFonts w:ascii="Times New Roman" w:hAnsi="Times New Roman"/>
          <w:sz w:val="24"/>
        </w:rPr>
        <w:t>Counsel for the 2</w:t>
      </w:r>
      <w:r w:rsidRPr="00A2109B">
        <w:rPr>
          <w:rFonts w:ascii="Times New Roman" w:hAnsi="Times New Roman"/>
          <w:sz w:val="24"/>
          <w:vertAlign w:val="superscript"/>
        </w:rPr>
        <w:t>nd</w:t>
      </w:r>
      <w:r w:rsidRPr="00A2109B">
        <w:rPr>
          <w:rFonts w:ascii="Times New Roman" w:hAnsi="Times New Roman"/>
          <w:sz w:val="24"/>
        </w:rPr>
        <w:t xml:space="preserve"> respondent</w:t>
      </w:r>
      <w:r w:rsidRPr="00A2109B">
        <w:rPr>
          <w:rFonts w:ascii="Times New Roman" w:hAnsi="Times New Roman"/>
          <w:sz w:val="24"/>
        </w:rPr>
        <w:tab/>
        <w:t>:</w:t>
      </w:r>
      <w:r w:rsidRPr="00A2109B">
        <w:rPr>
          <w:rFonts w:ascii="Times New Roman" w:hAnsi="Times New Roman"/>
          <w:sz w:val="24"/>
        </w:rPr>
        <w:tab/>
        <w:t>Adv J Berger</w:t>
      </w:r>
      <w:r w:rsidR="00A2109B" w:rsidRPr="00A2109B">
        <w:rPr>
          <w:rFonts w:ascii="Times New Roman" w:hAnsi="Times New Roman"/>
          <w:sz w:val="24"/>
        </w:rPr>
        <w:t>,</w:t>
      </w:r>
    </w:p>
    <w:p w14:paraId="70DA6E74" w14:textId="73ADD52C"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Sandton Chambers.</w:t>
      </w:r>
    </w:p>
    <w:p w14:paraId="0F6D3F63" w14:textId="46081E8C" w:rsidR="004B0340" w:rsidRPr="00A2109B" w:rsidRDefault="004B0340" w:rsidP="004B0340">
      <w:pPr>
        <w:rPr>
          <w:rFonts w:ascii="Times New Roman" w:hAnsi="Times New Roman"/>
          <w:sz w:val="24"/>
        </w:rPr>
      </w:pPr>
      <w:r w:rsidRPr="00A2109B">
        <w:rPr>
          <w:rFonts w:ascii="Times New Roman" w:hAnsi="Times New Roman"/>
          <w:sz w:val="24"/>
        </w:rPr>
        <w:t>Attorneys for the 2</w:t>
      </w:r>
      <w:r w:rsidRPr="00A2109B">
        <w:rPr>
          <w:rFonts w:ascii="Times New Roman" w:hAnsi="Times New Roman"/>
          <w:sz w:val="24"/>
          <w:vertAlign w:val="superscript"/>
        </w:rPr>
        <w:t xml:space="preserve">nd </w:t>
      </w:r>
      <w:r w:rsidRPr="00A2109B">
        <w:rPr>
          <w:rFonts w:ascii="Times New Roman" w:hAnsi="Times New Roman"/>
          <w:sz w:val="24"/>
        </w:rPr>
        <w:t>respondent</w:t>
      </w:r>
      <w:r w:rsidRPr="00A2109B">
        <w:rPr>
          <w:rFonts w:ascii="Times New Roman" w:hAnsi="Times New Roman"/>
          <w:sz w:val="24"/>
        </w:rPr>
        <w:tab/>
        <w:t>:</w:t>
      </w:r>
      <w:r w:rsidR="00A2109B" w:rsidRPr="00A2109B">
        <w:rPr>
          <w:rFonts w:ascii="Times New Roman" w:hAnsi="Times New Roman"/>
          <w:sz w:val="24"/>
        </w:rPr>
        <w:tab/>
        <w:t>Ramsay Webber Inc</w:t>
      </w:r>
    </w:p>
    <w:p w14:paraId="4088AC8A" w14:textId="50308C50"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Sandton,</w:t>
      </w:r>
    </w:p>
    <w:p w14:paraId="7183BB24" w14:textId="5839E6FF"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c/o Andrea Ray Attorneys</w:t>
      </w:r>
    </w:p>
    <w:p w14:paraId="405FB4BB" w14:textId="0D26AC0D" w:rsidR="00A2109B" w:rsidRPr="00A2109B" w:rsidRDefault="00A2109B" w:rsidP="004B0340">
      <w:pPr>
        <w:rPr>
          <w:rFonts w:ascii="Times New Roman" w:hAnsi="Times New Roman"/>
          <w:sz w:val="24"/>
        </w:rPr>
      </w:pP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Pretoria</w:t>
      </w:r>
      <w:r w:rsidR="00E73CD4">
        <w:rPr>
          <w:rFonts w:ascii="Times New Roman" w:hAnsi="Times New Roman"/>
          <w:sz w:val="24"/>
        </w:rPr>
        <w:t>.</w:t>
      </w:r>
    </w:p>
    <w:p w14:paraId="7B948C0D" w14:textId="7241BCF1" w:rsidR="003426E1" w:rsidRPr="00A2109B" w:rsidRDefault="003426E1" w:rsidP="004B0340">
      <w:pPr>
        <w:rPr>
          <w:rFonts w:ascii="Times New Roman" w:hAnsi="Times New Roman"/>
          <w:sz w:val="24"/>
        </w:rPr>
      </w:pPr>
      <w:r w:rsidRPr="00A2109B">
        <w:rPr>
          <w:rFonts w:ascii="Times New Roman" w:hAnsi="Times New Roman"/>
          <w:sz w:val="24"/>
        </w:rPr>
        <w:tab/>
      </w:r>
    </w:p>
    <w:p w14:paraId="6DB925DB" w14:textId="79B35F39" w:rsidR="008873A2" w:rsidRPr="00A2109B" w:rsidRDefault="00A2109B" w:rsidP="008873A2">
      <w:pPr>
        <w:rPr>
          <w:rFonts w:ascii="Times New Roman" w:hAnsi="Times New Roman"/>
          <w:sz w:val="24"/>
        </w:rPr>
      </w:pPr>
      <w:r w:rsidRPr="00A2109B">
        <w:rPr>
          <w:rFonts w:ascii="Times New Roman" w:hAnsi="Times New Roman"/>
          <w:sz w:val="24"/>
        </w:rPr>
        <w:t>Date of hearing</w:t>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t>:</w:t>
      </w:r>
      <w:r w:rsidR="002F1CE3">
        <w:rPr>
          <w:rFonts w:ascii="Times New Roman" w:hAnsi="Times New Roman"/>
          <w:sz w:val="24"/>
        </w:rPr>
        <w:tab/>
        <w:t>14 February 2023.</w:t>
      </w:r>
    </w:p>
    <w:p w14:paraId="4F659106" w14:textId="0DD8DBF6" w:rsidR="008873A2" w:rsidRPr="00E31BA4" w:rsidRDefault="008873A2" w:rsidP="008873A2">
      <w:pPr>
        <w:rPr>
          <w:rFonts w:cs="Arial"/>
          <w:sz w:val="24"/>
        </w:rPr>
      </w:pPr>
      <w:r w:rsidRPr="00A2109B">
        <w:rPr>
          <w:rFonts w:ascii="Times New Roman" w:hAnsi="Times New Roman"/>
          <w:sz w:val="24"/>
        </w:rPr>
        <w:t>Date of judgment</w:t>
      </w:r>
      <w:r w:rsidRPr="00A2109B">
        <w:rPr>
          <w:rFonts w:ascii="Times New Roman" w:hAnsi="Times New Roman"/>
          <w:sz w:val="24"/>
        </w:rPr>
        <w:tab/>
      </w:r>
      <w:r w:rsidRPr="00A2109B">
        <w:rPr>
          <w:rFonts w:ascii="Times New Roman" w:hAnsi="Times New Roman"/>
          <w:sz w:val="24"/>
        </w:rPr>
        <w:tab/>
      </w:r>
      <w:r w:rsidRPr="00A2109B">
        <w:rPr>
          <w:rFonts w:ascii="Times New Roman" w:hAnsi="Times New Roman"/>
          <w:sz w:val="24"/>
        </w:rPr>
        <w:tab/>
      </w:r>
      <w:r w:rsidR="00A2109B" w:rsidRPr="00A2109B">
        <w:rPr>
          <w:rFonts w:ascii="Times New Roman" w:hAnsi="Times New Roman"/>
          <w:sz w:val="24"/>
        </w:rPr>
        <w:t>:</w:t>
      </w:r>
      <w:r w:rsidR="00A2109B" w:rsidRPr="00A2109B">
        <w:rPr>
          <w:rFonts w:ascii="Times New Roman" w:hAnsi="Times New Roman"/>
          <w:sz w:val="24"/>
        </w:rPr>
        <w:tab/>
      </w:r>
      <w:r w:rsidR="001227C8">
        <w:rPr>
          <w:rFonts w:ascii="Times New Roman" w:hAnsi="Times New Roman"/>
          <w:sz w:val="24"/>
        </w:rPr>
        <w:t>2</w:t>
      </w:r>
      <w:r w:rsidR="005320FC">
        <w:rPr>
          <w:rFonts w:ascii="Times New Roman" w:hAnsi="Times New Roman"/>
          <w:sz w:val="24"/>
        </w:rPr>
        <w:t>6</w:t>
      </w:r>
      <w:r w:rsidR="001227C8">
        <w:rPr>
          <w:rFonts w:ascii="Times New Roman" w:hAnsi="Times New Roman"/>
          <w:sz w:val="24"/>
        </w:rPr>
        <w:t xml:space="preserve"> May 2023</w:t>
      </w:r>
    </w:p>
    <w:p w14:paraId="65FBBA13" w14:textId="20961890" w:rsidR="008873A2" w:rsidRPr="00E31BA4" w:rsidRDefault="008873A2" w:rsidP="008873A2">
      <w:pPr>
        <w:rPr>
          <w:rFonts w:cs="Arial"/>
          <w:sz w:val="24"/>
        </w:rPr>
      </w:pPr>
    </w:p>
    <w:p w14:paraId="3939155E" w14:textId="09F9B2E3" w:rsidR="008873A2" w:rsidRPr="00E31BA4" w:rsidRDefault="008873A2" w:rsidP="008873A2">
      <w:pPr>
        <w:ind w:firstLine="90"/>
        <w:rPr>
          <w:rFonts w:cs="Arial"/>
          <w:sz w:val="24"/>
        </w:rPr>
      </w:pPr>
    </w:p>
    <w:sectPr w:rsidR="008873A2" w:rsidRPr="00E31BA4"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D9CF6" w14:textId="77777777" w:rsidR="00376A17" w:rsidRDefault="00376A17">
      <w:r>
        <w:separator/>
      </w:r>
    </w:p>
  </w:endnote>
  <w:endnote w:type="continuationSeparator" w:id="0">
    <w:p w14:paraId="1E39526E" w14:textId="77777777" w:rsidR="00376A17" w:rsidRDefault="0037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E6B32" w14:textId="77777777" w:rsidR="00376A17" w:rsidRDefault="00376A17" w:rsidP="00927532">
      <w:pPr>
        <w:spacing w:line="240" w:lineRule="auto"/>
      </w:pPr>
      <w:r>
        <w:separator/>
      </w:r>
    </w:p>
  </w:footnote>
  <w:footnote w:type="continuationSeparator" w:id="0">
    <w:p w14:paraId="3755C143" w14:textId="77777777" w:rsidR="00376A17" w:rsidRDefault="00376A17" w:rsidP="00927532">
      <w:pPr>
        <w:spacing w:line="240" w:lineRule="auto"/>
      </w:pPr>
      <w:r>
        <w:continuationSeparator/>
      </w:r>
    </w:p>
  </w:footnote>
  <w:footnote w:type="continuationNotice" w:id="1">
    <w:p w14:paraId="17EEA051" w14:textId="77777777" w:rsidR="00376A17" w:rsidRDefault="00376A17" w:rsidP="00927532">
      <w:pPr>
        <w:spacing w:line="240" w:lineRule="auto"/>
      </w:pPr>
    </w:p>
  </w:footnote>
  <w:footnote w:id="2">
    <w:p w14:paraId="4075BCBA" w14:textId="5D1BF3C7" w:rsidR="00120633" w:rsidRPr="00120633" w:rsidRDefault="00120633" w:rsidP="007D3360">
      <w:pPr>
        <w:pStyle w:val="FootnoteText"/>
        <w:rPr>
          <w:lang w:val="en-US"/>
        </w:rPr>
      </w:pPr>
      <w:r>
        <w:rPr>
          <w:rStyle w:val="FootnoteReference"/>
        </w:rPr>
        <w:footnoteRef/>
      </w:r>
      <w:r>
        <w:t xml:space="preserve"> </w:t>
      </w:r>
      <w:r>
        <w:rPr>
          <w:lang w:val="en-US"/>
        </w:rPr>
        <w:t xml:space="preserve">Bid specifications, </w:t>
      </w:r>
      <w:r w:rsidR="006E0080">
        <w:rPr>
          <w:lang w:val="en-US"/>
        </w:rPr>
        <w:t>CaseLines 004-032</w:t>
      </w:r>
      <w:r>
        <w:rPr>
          <w:lang w:val="en-US"/>
        </w:rPr>
        <w:t>.</w:t>
      </w:r>
    </w:p>
  </w:footnote>
  <w:footnote w:id="3">
    <w:p w14:paraId="3868A018" w14:textId="5C4CBA8B" w:rsidR="00C61264" w:rsidRPr="00C61264" w:rsidRDefault="00C61264" w:rsidP="007D3360">
      <w:pPr>
        <w:pStyle w:val="FootnoteText"/>
        <w:rPr>
          <w:lang w:val="en-US"/>
        </w:rPr>
      </w:pPr>
      <w:r>
        <w:rPr>
          <w:rStyle w:val="FootnoteReference"/>
        </w:rPr>
        <w:footnoteRef/>
      </w:r>
      <w:r>
        <w:t xml:space="preserve"> </w:t>
      </w:r>
      <w:r>
        <w:rPr>
          <w:lang w:val="en-US"/>
        </w:rPr>
        <w:t xml:space="preserve">See </w:t>
      </w:r>
      <w:r w:rsidR="001F4E1A">
        <w:rPr>
          <w:lang w:val="en-US"/>
        </w:rPr>
        <w:t>F</w:t>
      </w:r>
      <w:r>
        <w:rPr>
          <w:lang w:val="en-US"/>
        </w:rPr>
        <w:t xml:space="preserve">irst </w:t>
      </w:r>
      <w:r w:rsidR="001F4E1A">
        <w:rPr>
          <w:lang w:val="en-US"/>
        </w:rPr>
        <w:t>R</w:t>
      </w:r>
      <w:r>
        <w:rPr>
          <w:lang w:val="en-US"/>
        </w:rPr>
        <w:t xml:space="preserve">espondent’s </w:t>
      </w:r>
      <w:r w:rsidR="0093086D">
        <w:rPr>
          <w:lang w:val="en-US"/>
        </w:rPr>
        <w:t>A</w:t>
      </w:r>
      <w:r>
        <w:rPr>
          <w:lang w:val="en-US"/>
        </w:rPr>
        <w:t xml:space="preserve">nswering </w:t>
      </w:r>
      <w:r w:rsidR="0093086D">
        <w:rPr>
          <w:lang w:val="en-US"/>
        </w:rPr>
        <w:t>A</w:t>
      </w:r>
      <w:r>
        <w:rPr>
          <w:lang w:val="en-US"/>
        </w:rPr>
        <w:t xml:space="preserve">ffidavit </w:t>
      </w:r>
      <w:r w:rsidR="001F4E1A">
        <w:rPr>
          <w:lang w:val="en-US"/>
        </w:rPr>
        <w:t xml:space="preserve">Caseline </w:t>
      </w:r>
      <w:r w:rsidR="006E0080">
        <w:rPr>
          <w:lang w:val="en-US"/>
        </w:rPr>
        <w:t xml:space="preserve">023-7 at </w:t>
      </w:r>
      <w:r>
        <w:rPr>
          <w:lang w:val="en-US"/>
        </w:rPr>
        <w:t>para 18.</w:t>
      </w:r>
    </w:p>
  </w:footnote>
  <w:footnote w:id="4">
    <w:p w14:paraId="651248CA" w14:textId="3DD2BFD0" w:rsidR="008A2534" w:rsidRPr="008A2534" w:rsidRDefault="008A2534" w:rsidP="000026E3">
      <w:pPr>
        <w:spacing w:line="240" w:lineRule="auto"/>
        <w:rPr>
          <w:rFonts w:ascii="Times New Roman" w:hAnsi="Times New Roman"/>
          <w:sz w:val="20"/>
          <w:szCs w:val="20"/>
        </w:rPr>
      </w:pPr>
      <w:r>
        <w:rPr>
          <w:rStyle w:val="FootnoteReference"/>
        </w:rPr>
        <w:footnoteRef/>
      </w:r>
      <w:r>
        <w:t xml:space="preserve"> </w:t>
      </w:r>
      <w:r w:rsidRPr="008A2534">
        <w:rPr>
          <w:rFonts w:ascii="Times New Roman" w:hAnsi="Times New Roman"/>
          <w:sz w:val="20"/>
          <w:szCs w:val="20"/>
        </w:rPr>
        <w:t>The two parts</w:t>
      </w:r>
      <w:r w:rsidR="00325DC2">
        <w:rPr>
          <w:rFonts w:ascii="Times New Roman" w:hAnsi="Times New Roman"/>
          <w:sz w:val="20"/>
          <w:szCs w:val="20"/>
        </w:rPr>
        <w:t xml:space="preserve"> in the Amended Notice of Motion</w:t>
      </w:r>
      <w:r w:rsidRPr="008A2534">
        <w:rPr>
          <w:rFonts w:ascii="Times New Roman" w:hAnsi="Times New Roman"/>
          <w:sz w:val="20"/>
          <w:szCs w:val="20"/>
        </w:rPr>
        <w:t xml:space="preserve"> are as </w:t>
      </w:r>
      <w:r w:rsidR="006E0080">
        <w:rPr>
          <w:rFonts w:ascii="Times New Roman" w:hAnsi="Times New Roman"/>
          <w:sz w:val="20"/>
          <w:szCs w:val="20"/>
        </w:rPr>
        <w:t>set out below. (see CaseLines 022-1.)</w:t>
      </w:r>
    </w:p>
    <w:p w14:paraId="12F02D5E" w14:textId="3FA1F5C6" w:rsidR="008A2534" w:rsidRPr="002A77CC" w:rsidRDefault="008A2534" w:rsidP="008A2534">
      <w:pPr>
        <w:spacing w:line="240" w:lineRule="auto"/>
        <w:ind w:firstLine="360"/>
        <w:rPr>
          <w:rFonts w:ascii="Times New Roman" w:hAnsi="Times New Roman"/>
          <w:i/>
          <w:iCs/>
          <w:sz w:val="20"/>
          <w:szCs w:val="20"/>
          <w:lang w:val="en-GB"/>
        </w:rPr>
      </w:pPr>
      <w:r w:rsidRPr="008A2534">
        <w:rPr>
          <w:rFonts w:ascii="Times New Roman" w:hAnsi="Times New Roman"/>
          <w:sz w:val="20"/>
          <w:szCs w:val="20"/>
        </w:rPr>
        <w:t xml:space="preserve"> </w:t>
      </w:r>
      <w:r w:rsidRPr="002A77CC">
        <w:rPr>
          <w:rFonts w:ascii="Times New Roman" w:hAnsi="Times New Roman"/>
          <w:i/>
          <w:iCs/>
          <w:sz w:val="20"/>
          <w:szCs w:val="20"/>
          <w:lang w:val="en-GB"/>
        </w:rPr>
        <w:t>Part A:</w:t>
      </w:r>
    </w:p>
    <w:p w14:paraId="23092CF7" w14:textId="77777777" w:rsidR="008A2534" w:rsidRPr="002A77CC" w:rsidRDefault="008A2534" w:rsidP="008A2534">
      <w:pPr>
        <w:pStyle w:val="ListParagraph"/>
        <w:numPr>
          <w:ilvl w:val="0"/>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The First Respondent is ordered to produce and file the full record pertaining its decision to award the tender in respect of the appointment of a service provider for supply, installation, support and leasing of multifunctional printers for a period of 5 (five) years for the First Respondent under tender number WRSCM- 2021/022- 0028 (“the tender”, “the decision”, “the award”), to the Second Respondent, including but not limited the copies of:</w:t>
      </w:r>
    </w:p>
    <w:p w14:paraId="320ED3F3" w14:textId="77777777" w:rsidR="008A2534" w:rsidRPr="002A77CC" w:rsidRDefault="008A2534" w:rsidP="008A2534">
      <w:pPr>
        <w:pStyle w:val="ListParagraph"/>
        <w:numPr>
          <w:ilvl w:val="1"/>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The minutes of all meetings of the bid evaluation committees under tender number WRSCM- 2021/2022- 0028;</w:t>
      </w:r>
    </w:p>
    <w:p w14:paraId="7DE5F168" w14:textId="77777777" w:rsidR="008A2534" w:rsidRPr="002A77CC" w:rsidRDefault="008A2534" w:rsidP="008A2534">
      <w:pPr>
        <w:pStyle w:val="ListParagraph"/>
        <w:numPr>
          <w:ilvl w:val="1"/>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Pricing of the Second Respondent’s proposal under tender number WRSCM- 2021/2022- 0028;</w:t>
      </w:r>
    </w:p>
    <w:p w14:paraId="796B24B4" w14:textId="77777777" w:rsidR="008A2534" w:rsidRPr="002A77CC" w:rsidRDefault="008A2534" w:rsidP="008A2534">
      <w:pPr>
        <w:pStyle w:val="ListParagraph"/>
        <w:numPr>
          <w:ilvl w:val="1"/>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Models of the printers of the Second Respondent’s proposal under tender number WRSCM- 2021/2022- 0028.</w:t>
      </w:r>
    </w:p>
    <w:p w14:paraId="1E6C0C65" w14:textId="31BBE83F" w:rsidR="008A2534" w:rsidRDefault="008A2534" w:rsidP="008A2534">
      <w:pPr>
        <w:pStyle w:val="ListParagraph"/>
        <w:numPr>
          <w:ilvl w:val="0"/>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That the parties be authorised to supplement their papers as necessary in respect of Part B after receipt of the full record, specifically the items referred to in prayers 1.1 to 1.3 thereof.</w:t>
      </w:r>
    </w:p>
    <w:p w14:paraId="10C990DB" w14:textId="368BE0C9" w:rsidR="00E67597" w:rsidRDefault="00E67597" w:rsidP="008A2534">
      <w:pPr>
        <w:pStyle w:val="ListParagraph"/>
        <w:numPr>
          <w:ilvl w:val="0"/>
          <w:numId w:val="10"/>
        </w:numPr>
        <w:spacing w:line="240" w:lineRule="auto"/>
        <w:rPr>
          <w:rFonts w:ascii="Times New Roman" w:hAnsi="Times New Roman"/>
          <w:i/>
          <w:iCs/>
          <w:sz w:val="20"/>
          <w:szCs w:val="20"/>
          <w:lang w:val="en-GB"/>
        </w:rPr>
      </w:pPr>
      <w:r>
        <w:rPr>
          <w:rFonts w:ascii="Times New Roman" w:hAnsi="Times New Roman"/>
          <w:i/>
          <w:iCs/>
          <w:sz w:val="20"/>
          <w:szCs w:val="20"/>
          <w:lang w:val="en-GB"/>
        </w:rPr>
        <w:t>Costs of the application, only if opposed.</w:t>
      </w:r>
    </w:p>
    <w:p w14:paraId="2F3B5830" w14:textId="2626D87F" w:rsidR="00E67597" w:rsidRDefault="00820141" w:rsidP="008A2534">
      <w:pPr>
        <w:pStyle w:val="ListParagraph"/>
        <w:numPr>
          <w:ilvl w:val="0"/>
          <w:numId w:val="10"/>
        </w:numPr>
        <w:spacing w:line="240" w:lineRule="auto"/>
        <w:rPr>
          <w:rFonts w:ascii="Times New Roman" w:hAnsi="Times New Roman"/>
          <w:i/>
          <w:iCs/>
          <w:sz w:val="20"/>
          <w:szCs w:val="20"/>
          <w:lang w:val="en-GB"/>
        </w:rPr>
      </w:pPr>
      <w:r>
        <w:rPr>
          <w:rFonts w:ascii="Times New Roman" w:hAnsi="Times New Roman"/>
          <w:i/>
          <w:iCs/>
          <w:sz w:val="20"/>
          <w:szCs w:val="20"/>
          <w:lang w:val="en-GB"/>
        </w:rPr>
        <w:t>Further and/or alternative relief.</w:t>
      </w:r>
    </w:p>
    <w:p w14:paraId="4D89CFA2" w14:textId="77777777" w:rsidR="001C23E0" w:rsidRPr="002A77CC" w:rsidRDefault="001C23E0" w:rsidP="001C23E0">
      <w:pPr>
        <w:pStyle w:val="ListParagraph"/>
        <w:spacing w:line="240" w:lineRule="auto"/>
        <w:rPr>
          <w:rFonts w:ascii="Times New Roman" w:hAnsi="Times New Roman"/>
          <w:i/>
          <w:iCs/>
          <w:sz w:val="20"/>
          <w:szCs w:val="20"/>
          <w:lang w:val="en-GB"/>
        </w:rPr>
      </w:pPr>
    </w:p>
    <w:p w14:paraId="32245409" w14:textId="20F11AA0" w:rsidR="008A2534" w:rsidRPr="002A77CC" w:rsidRDefault="001C23E0" w:rsidP="008A2534">
      <w:pPr>
        <w:spacing w:line="240" w:lineRule="auto"/>
        <w:ind w:left="360"/>
        <w:rPr>
          <w:rFonts w:ascii="Times New Roman" w:hAnsi="Times New Roman"/>
          <w:i/>
          <w:iCs/>
          <w:sz w:val="20"/>
          <w:szCs w:val="20"/>
          <w:lang w:val="en-GB"/>
        </w:rPr>
      </w:pPr>
      <w:r>
        <w:rPr>
          <w:rFonts w:ascii="Times New Roman" w:hAnsi="Times New Roman"/>
          <w:i/>
          <w:iCs/>
          <w:sz w:val="20"/>
          <w:szCs w:val="20"/>
          <w:lang w:val="en-GB"/>
        </w:rPr>
        <w:t xml:space="preserve"> </w:t>
      </w:r>
      <w:r w:rsidR="008A2534" w:rsidRPr="002A77CC">
        <w:rPr>
          <w:rFonts w:ascii="Times New Roman" w:hAnsi="Times New Roman"/>
          <w:i/>
          <w:iCs/>
          <w:sz w:val="20"/>
          <w:szCs w:val="20"/>
          <w:lang w:val="en-GB"/>
        </w:rPr>
        <w:t>Part B:</w:t>
      </w:r>
    </w:p>
    <w:p w14:paraId="36B8B2D7" w14:textId="77777777" w:rsidR="008A2534" w:rsidRPr="002A77CC" w:rsidRDefault="008A2534" w:rsidP="008A2534">
      <w:pPr>
        <w:pStyle w:val="ListParagraph"/>
        <w:numPr>
          <w:ilvl w:val="0"/>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The following decisions are reviewed and set aside, and declared invalid:</w:t>
      </w:r>
    </w:p>
    <w:p w14:paraId="66B1A637" w14:textId="77777777" w:rsidR="008A2534" w:rsidRPr="002A77CC" w:rsidRDefault="008A2534" w:rsidP="008A2534">
      <w:pPr>
        <w:pStyle w:val="ListParagraph"/>
        <w:numPr>
          <w:ilvl w:val="1"/>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the decision of the First Respondent, dated 3 February 2022, to award bid number WRSCM- 2021/2022- 0028 to the Second Respondent and not to accept the Applicant’s bid due to a low score on the technical evaluation (“the tender award”);</w:t>
      </w:r>
    </w:p>
    <w:p w14:paraId="48426A17" w14:textId="77777777" w:rsidR="008A2534" w:rsidRPr="002A77CC" w:rsidRDefault="008A2534" w:rsidP="008A2534">
      <w:pPr>
        <w:pStyle w:val="ListParagraph"/>
        <w:numPr>
          <w:ilvl w:val="1"/>
          <w:numId w:val="10"/>
        </w:numPr>
        <w:spacing w:line="240" w:lineRule="auto"/>
        <w:rPr>
          <w:rFonts w:ascii="Times New Roman" w:hAnsi="Times New Roman"/>
          <w:i/>
          <w:iCs/>
          <w:sz w:val="20"/>
          <w:szCs w:val="20"/>
          <w:lang w:val="en-GB"/>
        </w:rPr>
      </w:pPr>
      <w:r w:rsidRPr="002A77CC">
        <w:rPr>
          <w:rFonts w:ascii="Times New Roman" w:hAnsi="Times New Roman"/>
          <w:i/>
          <w:iCs/>
          <w:sz w:val="20"/>
          <w:szCs w:val="20"/>
          <w:lang w:val="en-GB"/>
        </w:rPr>
        <w:t>the decision of the First Respondent dated 17 May 2022, dismissing the Applicant’s request for information regarding the Second Respondent’s bid under bid number WRSCM- 2021/2022- 0028 (“the decision”);</w:t>
      </w:r>
    </w:p>
    <w:p w14:paraId="36ECD397" w14:textId="77777777" w:rsidR="008A2534" w:rsidRPr="002A77CC" w:rsidRDefault="008A2534" w:rsidP="008A2534">
      <w:pPr>
        <w:spacing w:line="240" w:lineRule="auto"/>
        <w:ind w:left="2880" w:hanging="1440"/>
        <w:rPr>
          <w:rFonts w:ascii="Times New Roman" w:hAnsi="Times New Roman"/>
          <w:i/>
          <w:iCs/>
          <w:sz w:val="20"/>
          <w:szCs w:val="20"/>
          <w:lang w:val="en-GB"/>
        </w:rPr>
      </w:pPr>
      <w:r w:rsidRPr="002A77CC">
        <w:rPr>
          <w:rFonts w:ascii="Times New Roman" w:hAnsi="Times New Roman"/>
          <w:i/>
          <w:iCs/>
          <w:sz w:val="20"/>
          <w:szCs w:val="20"/>
          <w:lang w:val="en-GB"/>
        </w:rPr>
        <w:t>3.2A(i)</w:t>
      </w:r>
      <w:r w:rsidRPr="002A77CC">
        <w:rPr>
          <w:rFonts w:ascii="Times New Roman" w:hAnsi="Times New Roman"/>
          <w:i/>
          <w:iCs/>
          <w:sz w:val="20"/>
          <w:szCs w:val="20"/>
          <w:lang w:val="en-GB"/>
        </w:rPr>
        <w:tab/>
        <w:t>the decision of the First Respondent, dated 3 February 2022, to award bid number WRSCM- 2021/2022- 0028 to the Second Respondent and not to accept the Applicant’s bid due to a low score on the pricing evaluation be set aside;</w:t>
      </w:r>
    </w:p>
    <w:p w14:paraId="367E1C86" w14:textId="77777777" w:rsidR="008A2534" w:rsidRPr="002A77CC" w:rsidRDefault="008A2534" w:rsidP="008A2534">
      <w:pPr>
        <w:spacing w:line="240" w:lineRule="auto"/>
        <w:ind w:left="2880" w:hanging="1440"/>
        <w:rPr>
          <w:rFonts w:ascii="Times New Roman" w:hAnsi="Times New Roman"/>
          <w:i/>
          <w:iCs/>
          <w:sz w:val="20"/>
          <w:szCs w:val="20"/>
          <w:lang w:val="en-GB"/>
        </w:rPr>
      </w:pPr>
      <w:r w:rsidRPr="002A77CC">
        <w:rPr>
          <w:rFonts w:ascii="Times New Roman" w:hAnsi="Times New Roman"/>
          <w:i/>
          <w:iCs/>
          <w:sz w:val="20"/>
          <w:szCs w:val="20"/>
          <w:lang w:val="en-GB"/>
        </w:rPr>
        <w:t>3.2A(ii)</w:t>
      </w:r>
      <w:r w:rsidRPr="002A77CC">
        <w:rPr>
          <w:rFonts w:ascii="Times New Roman" w:hAnsi="Times New Roman"/>
          <w:i/>
          <w:iCs/>
          <w:sz w:val="20"/>
          <w:szCs w:val="20"/>
          <w:lang w:val="en-GB"/>
        </w:rPr>
        <w:tab/>
        <w:t>that the entire tender process under bid number WRSCM- 2021/2022- 0028 and any subsequent contract entered into with the Second Respondent is hereby reviewed and set aside;</w:t>
      </w:r>
    </w:p>
    <w:p w14:paraId="1F192443" w14:textId="77777777" w:rsidR="008A2534" w:rsidRPr="002A77CC" w:rsidRDefault="008A2534" w:rsidP="008A2534">
      <w:pPr>
        <w:spacing w:line="240" w:lineRule="auto"/>
        <w:ind w:left="2880" w:hanging="1440"/>
        <w:rPr>
          <w:rFonts w:ascii="Times New Roman" w:hAnsi="Times New Roman"/>
          <w:i/>
          <w:iCs/>
          <w:sz w:val="20"/>
          <w:szCs w:val="20"/>
          <w:lang w:val="en-GB"/>
        </w:rPr>
      </w:pPr>
      <w:r w:rsidRPr="002A77CC">
        <w:rPr>
          <w:rFonts w:ascii="Times New Roman" w:hAnsi="Times New Roman"/>
          <w:i/>
          <w:iCs/>
          <w:sz w:val="20"/>
          <w:szCs w:val="20"/>
          <w:lang w:val="en-GB"/>
        </w:rPr>
        <w:t>3.2A(iii)</w:t>
      </w:r>
      <w:r w:rsidRPr="002A77CC">
        <w:rPr>
          <w:rFonts w:ascii="Times New Roman" w:hAnsi="Times New Roman"/>
          <w:i/>
          <w:iCs/>
          <w:sz w:val="20"/>
          <w:szCs w:val="20"/>
          <w:lang w:val="en-GB"/>
        </w:rPr>
        <w:tab/>
        <w:t>that the entire tender process under bid number WRSCM- 2021/2022- 0028 and any subsequent contract entered into with any service provider stemming therefrom, is hereby reviewed and set aside.</w:t>
      </w:r>
    </w:p>
    <w:p w14:paraId="2290E12E" w14:textId="6526FA0F" w:rsidR="008A2534" w:rsidRPr="002A77CC" w:rsidRDefault="00820141" w:rsidP="008A2534">
      <w:pPr>
        <w:spacing w:line="240" w:lineRule="auto"/>
        <w:ind w:left="720" w:hanging="720"/>
        <w:rPr>
          <w:rFonts w:ascii="Times New Roman" w:hAnsi="Times New Roman"/>
          <w:i/>
          <w:iCs/>
          <w:sz w:val="20"/>
          <w:szCs w:val="20"/>
          <w:lang w:val="en-GB"/>
        </w:rPr>
      </w:pPr>
      <w:r>
        <w:rPr>
          <w:rFonts w:ascii="Times New Roman" w:hAnsi="Times New Roman"/>
          <w:i/>
          <w:iCs/>
          <w:sz w:val="20"/>
          <w:szCs w:val="20"/>
          <w:lang w:val="en-GB"/>
        </w:rPr>
        <w:t>6</w:t>
      </w:r>
      <w:r w:rsidR="008A2534" w:rsidRPr="002A77CC">
        <w:rPr>
          <w:rFonts w:ascii="Times New Roman" w:hAnsi="Times New Roman"/>
          <w:i/>
          <w:iCs/>
          <w:sz w:val="20"/>
          <w:szCs w:val="20"/>
          <w:lang w:val="en-GB"/>
        </w:rPr>
        <w:t>.</w:t>
      </w:r>
      <w:r w:rsidR="008A2534" w:rsidRPr="002A77CC">
        <w:rPr>
          <w:rFonts w:ascii="Times New Roman" w:hAnsi="Times New Roman"/>
          <w:i/>
          <w:iCs/>
          <w:sz w:val="20"/>
          <w:szCs w:val="20"/>
          <w:lang w:val="en-GB"/>
        </w:rPr>
        <w:tab/>
        <w:t>The Applicant’s bid under tender number WRSCM- 2021/2022- 0028 is remitted to the bid committees of the First Respondent for reconsideration;</w:t>
      </w:r>
    </w:p>
    <w:p w14:paraId="2B1B5616" w14:textId="5475A809" w:rsidR="008A2534" w:rsidRPr="002A77CC" w:rsidRDefault="00820141" w:rsidP="008A2534">
      <w:pPr>
        <w:spacing w:line="240" w:lineRule="auto"/>
        <w:ind w:left="720" w:hanging="720"/>
        <w:rPr>
          <w:rFonts w:ascii="Times New Roman" w:hAnsi="Times New Roman"/>
          <w:i/>
          <w:iCs/>
          <w:sz w:val="20"/>
          <w:szCs w:val="20"/>
          <w:lang w:val="en-GB"/>
        </w:rPr>
      </w:pPr>
      <w:r>
        <w:rPr>
          <w:rFonts w:ascii="Times New Roman" w:hAnsi="Times New Roman"/>
          <w:i/>
          <w:iCs/>
          <w:sz w:val="20"/>
          <w:szCs w:val="20"/>
          <w:lang w:val="en-GB"/>
        </w:rPr>
        <w:t>7</w:t>
      </w:r>
      <w:r w:rsidR="008A2534" w:rsidRPr="002A77CC">
        <w:rPr>
          <w:rFonts w:ascii="Times New Roman" w:hAnsi="Times New Roman"/>
          <w:i/>
          <w:iCs/>
          <w:sz w:val="20"/>
          <w:szCs w:val="20"/>
          <w:lang w:val="en-GB"/>
        </w:rPr>
        <w:t>.</w:t>
      </w:r>
      <w:r w:rsidR="008A2534" w:rsidRPr="002A77CC">
        <w:rPr>
          <w:rFonts w:ascii="Times New Roman" w:hAnsi="Times New Roman"/>
          <w:i/>
          <w:iCs/>
          <w:sz w:val="20"/>
          <w:szCs w:val="20"/>
          <w:lang w:val="en-GB"/>
        </w:rPr>
        <w:tab/>
        <w:t xml:space="preserve">In the alternative to prayers </w:t>
      </w:r>
      <w:r>
        <w:rPr>
          <w:rFonts w:ascii="Times New Roman" w:hAnsi="Times New Roman"/>
          <w:i/>
          <w:iCs/>
          <w:sz w:val="20"/>
          <w:szCs w:val="20"/>
          <w:lang w:val="en-GB"/>
        </w:rPr>
        <w:t>5</w:t>
      </w:r>
      <w:r w:rsidR="008A2534" w:rsidRPr="002A77CC">
        <w:rPr>
          <w:rFonts w:ascii="Times New Roman" w:hAnsi="Times New Roman"/>
          <w:i/>
          <w:iCs/>
          <w:sz w:val="20"/>
          <w:szCs w:val="20"/>
          <w:lang w:val="en-GB"/>
        </w:rPr>
        <w:t xml:space="preserve"> and </w:t>
      </w:r>
      <w:r>
        <w:rPr>
          <w:rFonts w:ascii="Times New Roman" w:hAnsi="Times New Roman"/>
          <w:i/>
          <w:iCs/>
          <w:sz w:val="20"/>
          <w:szCs w:val="20"/>
          <w:lang w:val="en-GB"/>
        </w:rPr>
        <w:t>6</w:t>
      </w:r>
      <w:r w:rsidR="008A2534" w:rsidRPr="002A77CC">
        <w:rPr>
          <w:rFonts w:ascii="Times New Roman" w:hAnsi="Times New Roman"/>
          <w:i/>
          <w:iCs/>
          <w:sz w:val="20"/>
          <w:szCs w:val="20"/>
          <w:lang w:val="en-GB"/>
        </w:rPr>
        <w:t xml:space="preserve"> above:</w:t>
      </w:r>
    </w:p>
    <w:p w14:paraId="52C2628E" w14:textId="7100911D" w:rsidR="008A2534" w:rsidRPr="002A77CC" w:rsidRDefault="008A2534" w:rsidP="008A2534">
      <w:pPr>
        <w:spacing w:line="240" w:lineRule="auto"/>
        <w:ind w:left="720" w:hanging="720"/>
        <w:rPr>
          <w:rFonts w:ascii="Times New Roman" w:hAnsi="Times New Roman"/>
          <w:i/>
          <w:iCs/>
          <w:sz w:val="20"/>
          <w:szCs w:val="20"/>
          <w:lang w:val="en-GB"/>
        </w:rPr>
      </w:pPr>
      <w:r w:rsidRPr="002A77CC">
        <w:rPr>
          <w:rFonts w:ascii="Times New Roman" w:hAnsi="Times New Roman"/>
          <w:i/>
          <w:iCs/>
          <w:sz w:val="20"/>
          <w:szCs w:val="20"/>
          <w:lang w:val="en-GB"/>
        </w:rPr>
        <w:tab/>
      </w:r>
      <w:r w:rsidR="00820141">
        <w:rPr>
          <w:rFonts w:ascii="Times New Roman" w:hAnsi="Times New Roman"/>
          <w:i/>
          <w:iCs/>
          <w:sz w:val="20"/>
          <w:szCs w:val="20"/>
          <w:lang w:val="en-GB"/>
        </w:rPr>
        <w:t>7</w:t>
      </w:r>
      <w:r w:rsidRPr="002A77CC">
        <w:rPr>
          <w:rFonts w:ascii="Times New Roman" w:hAnsi="Times New Roman"/>
          <w:i/>
          <w:iCs/>
          <w:sz w:val="20"/>
          <w:szCs w:val="20"/>
          <w:lang w:val="en-GB"/>
        </w:rPr>
        <w:t>.1</w:t>
      </w:r>
      <w:r w:rsidRPr="002A77CC">
        <w:rPr>
          <w:rFonts w:ascii="Times New Roman" w:hAnsi="Times New Roman"/>
          <w:i/>
          <w:iCs/>
          <w:sz w:val="20"/>
          <w:szCs w:val="20"/>
          <w:lang w:val="en-GB"/>
        </w:rPr>
        <w:tab/>
        <w:t>The Decision is reviewed and set aside and declared invalid;</w:t>
      </w:r>
    </w:p>
    <w:p w14:paraId="064BD641" w14:textId="0B9ED6A9" w:rsidR="008A2534" w:rsidRDefault="00820141" w:rsidP="008A2534">
      <w:pPr>
        <w:spacing w:line="240" w:lineRule="auto"/>
        <w:ind w:left="1440" w:hanging="720"/>
        <w:rPr>
          <w:rFonts w:ascii="Times New Roman" w:hAnsi="Times New Roman"/>
          <w:i/>
          <w:iCs/>
          <w:sz w:val="20"/>
          <w:szCs w:val="20"/>
          <w:lang w:val="en-GB"/>
        </w:rPr>
      </w:pPr>
      <w:r>
        <w:rPr>
          <w:rFonts w:ascii="Times New Roman" w:hAnsi="Times New Roman"/>
          <w:i/>
          <w:iCs/>
          <w:sz w:val="20"/>
          <w:szCs w:val="20"/>
          <w:lang w:val="en-GB"/>
        </w:rPr>
        <w:t>7</w:t>
      </w:r>
      <w:r w:rsidR="008A2534" w:rsidRPr="002A77CC">
        <w:rPr>
          <w:rFonts w:ascii="Times New Roman" w:hAnsi="Times New Roman"/>
          <w:i/>
          <w:iCs/>
          <w:sz w:val="20"/>
          <w:szCs w:val="20"/>
          <w:lang w:val="en-GB"/>
        </w:rPr>
        <w:t>.2</w:t>
      </w:r>
      <w:r w:rsidR="008A2534" w:rsidRPr="002A77CC">
        <w:rPr>
          <w:rFonts w:ascii="Times New Roman" w:hAnsi="Times New Roman"/>
          <w:i/>
          <w:iCs/>
          <w:sz w:val="20"/>
          <w:szCs w:val="20"/>
          <w:lang w:val="en-GB"/>
        </w:rPr>
        <w:tab/>
        <w:t>The bid under bid number MLM/2020-21/MM/005 be awarded to the Applicant based on its bid submitted.</w:t>
      </w:r>
    </w:p>
    <w:p w14:paraId="74CE6EB3" w14:textId="302D28AA" w:rsidR="00820141" w:rsidRDefault="00820141" w:rsidP="001227C8">
      <w:pPr>
        <w:spacing w:line="240" w:lineRule="auto"/>
        <w:ind w:left="720" w:hanging="720"/>
        <w:rPr>
          <w:rFonts w:ascii="Times New Roman" w:hAnsi="Times New Roman"/>
          <w:i/>
          <w:iCs/>
          <w:sz w:val="20"/>
          <w:szCs w:val="20"/>
          <w:lang w:val="en-GB"/>
        </w:rPr>
      </w:pPr>
      <w:r>
        <w:rPr>
          <w:rFonts w:ascii="Times New Roman" w:hAnsi="Times New Roman"/>
          <w:i/>
          <w:iCs/>
          <w:sz w:val="20"/>
          <w:szCs w:val="20"/>
          <w:lang w:val="en-GB"/>
        </w:rPr>
        <w:t>8.</w:t>
      </w:r>
      <w:r>
        <w:rPr>
          <w:rFonts w:ascii="Times New Roman" w:hAnsi="Times New Roman"/>
          <w:i/>
          <w:iCs/>
          <w:sz w:val="20"/>
          <w:szCs w:val="20"/>
          <w:lang w:val="en-GB"/>
        </w:rPr>
        <w:tab/>
        <w:t>The costs of this application are to be paid, jointly and severally, by any respondents opposing the relief.</w:t>
      </w:r>
    </w:p>
    <w:p w14:paraId="4F7DD60D" w14:textId="093E050A" w:rsidR="00820141" w:rsidRPr="002A77CC" w:rsidRDefault="00820141" w:rsidP="001227C8">
      <w:pPr>
        <w:spacing w:line="240" w:lineRule="auto"/>
        <w:rPr>
          <w:rFonts w:ascii="Times New Roman" w:hAnsi="Times New Roman"/>
          <w:i/>
          <w:iCs/>
          <w:sz w:val="20"/>
          <w:szCs w:val="20"/>
          <w:lang w:val="en-GB"/>
        </w:rPr>
      </w:pPr>
      <w:r>
        <w:rPr>
          <w:rFonts w:ascii="Times New Roman" w:hAnsi="Times New Roman"/>
          <w:i/>
          <w:iCs/>
          <w:sz w:val="20"/>
          <w:szCs w:val="20"/>
          <w:lang w:val="en-GB"/>
        </w:rPr>
        <w:t>9.</w:t>
      </w:r>
      <w:r>
        <w:rPr>
          <w:rFonts w:ascii="Times New Roman" w:hAnsi="Times New Roman"/>
          <w:i/>
          <w:iCs/>
          <w:sz w:val="20"/>
          <w:szCs w:val="20"/>
          <w:lang w:val="en-GB"/>
        </w:rPr>
        <w:tab/>
        <w:t>Further and/or alternative relief.</w:t>
      </w:r>
    </w:p>
    <w:p w14:paraId="266727F9" w14:textId="77777777" w:rsidR="008A2534" w:rsidRPr="002A77CC" w:rsidRDefault="008A2534" w:rsidP="008A2534">
      <w:pPr>
        <w:spacing w:line="240" w:lineRule="auto"/>
        <w:ind w:left="720" w:hanging="720"/>
        <w:rPr>
          <w:rFonts w:ascii="Times New Roman" w:hAnsi="Times New Roman"/>
          <w:i/>
          <w:iCs/>
          <w:sz w:val="20"/>
          <w:szCs w:val="20"/>
          <w:lang w:val="en-GB"/>
        </w:rPr>
      </w:pPr>
    </w:p>
    <w:p w14:paraId="5E754350" w14:textId="77777777" w:rsidR="008A2534" w:rsidRPr="002A77CC" w:rsidRDefault="008A2534" w:rsidP="008A2534">
      <w:pPr>
        <w:spacing w:line="240" w:lineRule="auto"/>
        <w:rPr>
          <w:rFonts w:ascii="Times New Roman" w:hAnsi="Times New Roman"/>
          <w:i/>
          <w:iCs/>
          <w:sz w:val="20"/>
          <w:szCs w:val="20"/>
          <w:lang w:val="en-GB"/>
        </w:rPr>
      </w:pPr>
    </w:p>
    <w:p w14:paraId="53A43552" w14:textId="77777777" w:rsidR="008A2534" w:rsidRPr="002A77CC" w:rsidRDefault="008A2534" w:rsidP="008A2534">
      <w:pPr>
        <w:spacing w:line="240" w:lineRule="auto"/>
        <w:ind w:left="720"/>
        <w:rPr>
          <w:rFonts w:ascii="Times New Roman" w:hAnsi="Times New Roman"/>
          <w:i/>
          <w:iCs/>
          <w:sz w:val="20"/>
          <w:szCs w:val="20"/>
          <w:lang w:val="en-GB"/>
        </w:rPr>
      </w:pPr>
    </w:p>
    <w:p w14:paraId="6CDB85AB" w14:textId="5D9E5BC9" w:rsidR="008A2534" w:rsidRPr="008A2534" w:rsidRDefault="008A2534">
      <w:pPr>
        <w:pStyle w:val="FootnoteText"/>
        <w:rPr>
          <w:lang w:val="en-US"/>
        </w:rPr>
      </w:pPr>
    </w:p>
  </w:footnote>
  <w:footnote w:id="5">
    <w:p w14:paraId="1E2500C2" w14:textId="2691B103" w:rsidR="00097BEE" w:rsidRPr="005A0808" w:rsidRDefault="00097BEE" w:rsidP="00097BEE">
      <w:pPr>
        <w:pStyle w:val="FootnoteText"/>
        <w:rPr>
          <w:lang w:val="en-US"/>
        </w:rPr>
      </w:pPr>
      <w:r>
        <w:rPr>
          <w:rStyle w:val="FootnoteReference"/>
        </w:rPr>
        <w:footnoteRef/>
      </w:r>
      <w:r>
        <w:t xml:space="preserve"> </w:t>
      </w:r>
      <w:r w:rsidR="006E0080">
        <w:t>(</w:t>
      </w:r>
      <w:r>
        <w:rPr>
          <w:lang w:val="en-US"/>
        </w:rPr>
        <w:t>833/2007</w:t>
      </w:r>
      <w:r w:rsidR="00501172">
        <w:rPr>
          <w:lang w:val="en-US"/>
        </w:rPr>
        <w:t xml:space="preserve">, </w:t>
      </w:r>
      <w:r w:rsidR="00777191">
        <w:rPr>
          <w:lang w:val="en-US"/>
        </w:rPr>
        <w:t>1128/2007</w:t>
      </w:r>
      <w:r>
        <w:rPr>
          <w:lang w:val="en-US"/>
        </w:rPr>
        <w:t xml:space="preserve"> [201</w:t>
      </w:r>
      <w:r w:rsidR="00777191">
        <w:rPr>
          <w:lang w:val="en-US"/>
        </w:rPr>
        <w:t>1</w:t>
      </w:r>
      <w:r>
        <w:rPr>
          <w:lang w:val="en-US"/>
        </w:rPr>
        <w:t xml:space="preserve">] </w:t>
      </w:r>
      <w:r w:rsidR="00777191">
        <w:rPr>
          <w:lang w:val="en-US"/>
        </w:rPr>
        <w:t>ZAL</w:t>
      </w:r>
      <w:r w:rsidR="00501172">
        <w:rPr>
          <w:lang w:val="en-US"/>
        </w:rPr>
        <w:t>M</w:t>
      </w:r>
      <w:r w:rsidR="00777191">
        <w:rPr>
          <w:lang w:val="en-US"/>
        </w:rPr>
        <w:t>PHC 4 (</w:t>
      </w:r>
      <w:r>
        <w:rPr>
          <w:lang w:val="en-US"/>
        </w:rPr>
        <w:t xml:space="preserve">28 </w:t>
      </w:r>
      <w:r w:rsidR="00777191">
        <w:rPr>
          <w:lang w:val="en-US"/>
        </w:rPr>
        <w:t>November 2011)</w:t>
      </w:r>
      <w:r>
        <w:rPr>
          <w:lang w:val="en-US"/>
        </w:rPr>
        <w:t>.</w:t>
      </w:r>
    </w:p>
  </w:footnote>
  <w:footnote w:id="6">
    <w:p w14:paraId="0C9AE01B" w14:textId="36518CBA" w:rsidR="00097BEE" w:rsidRPr="00107D73" w:rsidRDefault="00097BEE" w:rsidP="00097BEE">
      <w:pPr>
        <w:pStyle w:val="FootnoteText"/>
        <w:rPr>
          <w:lang w:val="en-US"/>
        </w:rPr>
      </w:pPr>
      <w:r>
        <w:rPr>
          <w:rStyle w:val="FootnoteReference"/>
        </w:rPr>
        <w:footnoteRef/>
      </w:r>
      <w:r>
        <w:t xml:space="preserve"> </w:t>
      </w:r>
      <w:r>
        <w:rPr>
          <w:lang w:val="en-US"/>
        </w:rPr>
        <w:t xml:space="preserve">See para 7 of the </w:t>
      </w:r>
      <w:r w:rsidR="006174F4">
        <w:rPr>
          <w:lang w:val="en-US"/>
        </w:rPr>
        <w:t>A</w:t>
      </w:r>
      <w:r>
        <w:rPr>
          <w:lang w:val="en-US"/>
        </w:rPr>
        <w:t xml:space="preserve">pplicant’s </w:t>
      </w:r>
      <w:r w:rsidR="006174F4">
        <w:rPr>
          <w:lang w:val="en-US"/>
        </w:rPr>
        <w:t>S</w:t>
      </w:r>
      <w:r>
        <w:rPr>
          <w:lang w:val="en-US"/>
        </w:rPr>
        <w:t xml:space="preserve">upplementary </w:t>
      </w:r>
      <w:r w:rsidR="006174F4">
        <w:rPr>
          <w:lang w:val="en-US"/>
        </w:rPr>
        <w:t>H</w:t>
      </w:r>
      <w:r>
        <w:rPr>
          <w:lang w:val="en-US"/>
        </w:rPr>
        <w:t xml:space="preserve">eads of </w:t>
      </w:r>
      <w:r w:rsidR="006174F4">
        <w:rPr>
          <w:lang w:val="en-US"/>
        </w:rPr>
        <w:t>A</w:t>
      </w:r>
      <w:r>
        <w:rPr>
          <w:lang w:val="en-US"/>
        </w:rPr>
        <w:t>rgument</w:t>
      </w:r>
      <w:r w:rsidR="00777191">
        <w:rPr>
          <w:lang w:val="en-US"/>
        </w:rPr>
        <w:t>, CaseLines 025-32.</w:t>
      </w:r>
    </w:p>
  </w:footnote>
  <w:footnote w:id="7">
    <w:p w14:paraId="32180475" w14:textId="3593B425" w:rsidR="00CF5941" w:rsidRPr="00CF5941" w:rsidRDefault="00CF5941" w:rsidP="007D3360">
      <w:pPr>
        <w:pStyle w:val="FootnoteText"/>
        <w:rPr>
          <w:lang w:val="en-US"/>
        </w:rPr>
      </w:pPr>
      <w:r>
        <w:rPr>
          <w:rStyle w:val="FootnoteReference"/>
        </w:rPr>
        <w:footnoteRef/>
      </w:r>
      <w:r>
        <w:t xml:space="preserve"> </w:t>
      </w:r>
      <w:r w:rsidR="00F12250" w:rsidRPr="00F12250">
        <w:rPr>
          <w:lang w:val="en-US"/>
        </w:rPr>
        <w:t>(5031/2018</w:t>
      </w:r>
      <w:r w:rsidR="009A1D56">
        <w:rPr>
          <w:lang w:val="en-US"/>
        </w:rPr>
        <w:t>;</w:t>
      </w:r>
      <w:r w:rsidR="00F12250" w:rsidRPr="00F12250">
        <w:rPr>
          <w:lang w:val="en-US"/>
        </w:rPr>
        <w:t xml:space="preserve"> 5108/2018</w:t>
      </w:r>
      <w:r w:rsidR="009A1D56">
        <w:rPr>
          <w:lang w:val="en-US"/>
        </w:rPr>
        <w:t>;</w:t>
      </w:r>
      <w:r w:rsidR="00F12250" w:rsidRPr="00F12250">
        <w:rPr>
          <w:lang w:val="en-US"/>
        </w:rPr>
        <w:t xml:space="preserve"> 5689/2018) </w:t>
      </w:r>
      <w:r w:rsidR="009A1D56">
        <w:rPr>
          <w:lang w:val="en-US"/>
        </w:rPr>
        <w:t xml:space="preserve">[2019] ZAECMHC 18; [2019] 3 All SA 879 (ECM) </w:t>
      </w:r>
      <w:r w:rsidR="00F12250" w:rsidRPr="00F12250">
        <w:rPr>
          <w:lang w:val="en-US"/>
        </w:rPr>
        <w:t>(29 March 2019)</w:t>
      </w:r>
      <w:r w:rsidR="00EB3181">
        <w:rPr>
          <w:color w:val="FF0000"/>
          <w:lang w:val="en-US"/>
        </w:rPr>
        <w:t>.</w:t>
      </w:r>
    </w:p>
  </w:footnote>
  <w:footnote w:id="8">
    <w:p w14:paraId="56F531EB" w14:textId="12FA13D8" w:rsidR="00E63E4B" w:rsidRPr="00C44649" w:rsidRDefault="00E63E4B" w:rsidP="007D3360">
      <w:pPr>
        <w:pStyle w:val="FootnoteText"/>
        <w:rPr>
          <w:lang w:val="en-US"/>
        </w:rPr>
      </w:pPr>
      <w:r>
        <w:rPr>
          <w:rStyle w:val="FootnoteReference"/>
        </w:rPr>
        <w:footnoteRef/>
      </w:r>
      <w:r>
        <w:rPr>
          <w:lang w:val="en-US"/>
        </w:rPr>
        <w:t xml:space="preserve"> The section provide that </w:t>
      </w:r>
      <w:r w:rsidRPr="009A1D56">
        <w:rPr>
          <w:lang w:val="en-US"/>
        </w:rPr>
        <w:t>“…</w:t>
      </w:r>
      <w:r w:rsidR="009A1D56">
        <w:rPr>
          <w:lang w:val="en-US"/>
        </w:rPr>
        <w:t xml:space="preserve"> </w:t>
      </w:r>
      <w:r w:rsidR="009A1D56" w:rsidRPr="001227C8">
        <w:rPr>
          <w:lang w:val="en-US"/>
        </w:rPr>
        <w:t>A requ</w:t>
      </w:r>
      <w:r w:rsidR="009A1D56">
        <w:rPr>
          <w:lang w:val="en-US"/>
        </w:rPr>
        <w:t>est</w:t>
      </w:r>
      <w:r w:rsidRPr="00C44649">
        <w:rPr>
          <w:lang w:val="en-US"/>
        </w:rPr>
        <w:t xml:space="preserve">er’s right of access contemplated in subsection (1) is, subject to this Act, not affected by –  (a) </w:t>
      </w:r>
      <w:r w:rsidR="004A7A39">
        <w:rPr>
          <w:lang w:val="en-US"/>
        </w:rPr>
        <w:t xml:space="preserve"> </w:t>
      </w:r>
      <w:r w:rsidRPr="00C44649">
        <w:rPr>
          <w:lang w:val="en-US"/>
        </w:rPr>
        <w:t>any reasons the requester gives for requesting access; or</w:t>
      </w:r>
    </w:p>
    <w:p w14:paraId="151CC20D" w14:textId="3F6ADB35" w:rsidR="00A75BC8" w:rsidRDefault="00E63E4B" w:rsidP="007D3360">
      <w:pPr>
        <w:pStyle w:val="FootnoteText"/>
        <w:rPr>
          <w:lang w:val="en-US"/>
        </w:rPr>
      </w:pPr>
      <w:r w:rsidRPr="00C44649">
        <w:rPr>
          <w:lang w:val="en-US"/>
        </w:rPr>
        <w:tab/>
      </w:r>
      <w:r w:rsidRPr="00C44649">
        <w:rPr>
          <w:lang w:val="en-US"/>
        </w:rPr>
        <w:tab/>
      </w:r>
      <w:r w:rsidRPr="00C44649">
        <w:rPr>
          <w:lang w:val="en-US"/>
        </w:rPr>
        <w:tab/>
      </w:r>
      <w:r w:rsidR="00A75BC8">
        <w:rPr>
          <w:lang w:val="en-US"/>
        </w:rPr>
        <w:t xml:space="preserve">                   </w:t>
      </w:r>
      <w:r w:rsidR="004A7A39">
        <w:rPr>
          <w:lang w:val="en-US"/>
        </w:rPr>
        <w:t xml:space="preserve">       </w:t>
      </w:r>
      <w:r w:rsidRPr="00C44649">
        <w:rPr>
          <w:lang w:val="en-US"/>
        </w:rPr>
        <w:t xml:space="preserve">(b) the information officer’s belief as to what the requester’s reasons are for </w:t>
      </w:r>
      <w:r w:rsidR="00A75BC8">
        <w:rPr>
          <w:lang w:val="en-US"/>
        </w:rPr>
        <w:t xml:space="preserve">     </w:t>
      </w:r>
    </w:p>
    <w:p w14:paraId="21DAB4FB" w14:textId="4F10B0D1" w:rsidR="00E63E4B" w:rsidRPr="00E63E4B" w:rsidRDefault="00A75BC8" w:rsidP="007D3360">
      <w:pPr>
        <w:pStyle w:val="FootnoteText"/>
        <w:rPr>
          <w:lang w:val="en-US"/>
        </w:rPr>
      </w:pPr>
      <w:r>
        <w:rPr>
          <w:lang w:val="en-US"/>
        </w:rPr>
        <w:t xml:space="preserve">                                                     </w:t>
      </w:r>
      <w:r w:rsidR="004A7A39">
        <w:rPr>
          <w:lang w:val="en-US"/>
        </w:rPr>
        <w:t xml:space="preserve">  </w:t>
      </w:r>
      <w:r w:rsidR="00E63E4B" w:rsidRPr="00C44649">
        <w:rPr>
          <w:lang w:val="en-US"/>
        </w:rPr>
        <w:t>requesting access”.</w:t>
      </w:r>
    </w:p>
  </w:footnote>
  <w:footnote w:id="9">
    <w:p w14:paraId="60D224E5" w14:textId="1F325432" w:rsidR="00974EC7" w:rsidRPr="00974EC7" w:rsidRDefault="00974EC7">
      <w:pPr>
        <w:pStyle w:val="FootnoteText"/>
        <w:rPr>
          <w:lang w:val="en-US"/>
        </w:rPr>
      </w:pPr>
      <w:r>
        <w:rPr>
          <w:rStyle w:val="FootnoteReference"/>
        </w:rPr>
        <w:footnoteRef/>
      </w:r>
      <w:r>
        <w:t xml:space="preserve"> </w:t>
      </w:r>
      <w:r>
        <w:rPr>
          <w:lang w:val="en-US"/>
        </w:rPr>
        <w:t xml:space="preserve">See note </w:t>
      </w:r>
      <w:r w:rsidR="00D90B86">
        <w:rPr>
          <w:lang w:val="en-US"/>
        </w:rPr>
        <w:t>6</w:t>
      </w:r>
      <w:r>
        <w:rPr>
          <w:lang w:val="en-US"/>
        </w:rPr>
        <w:t xml:space="preserve"> above.</w:t>
      </w:r>
    </w:p>
  </w:footnote>
  <w:footnote w:id="10">
    <w:p w14:paraId="7A75C6E3" w14:textId="2678971B" w:rsidR="004A7A39" w:rsidRPr="004A7A39" w:rsidRDefault="004A7A39">
      <w:pPr>
        <w:pStyle w:val="FootnoteText"/>
        <w:rPr>
          <w:lang w:val="en-US"/>
        </w:rPr>
      </w:pPr>
      <w:r>
        <w:rPr>
          <w:rStyle w:val="FootnoteReference"/>
        </w:rPr>
        <w:footnoteRef/>
      </w:r>
      <w:r>
        <w:t xml:space="preserve"> Ibid</w:t>
      </w:r>
      <w:r w:rsidR="00D90B86">
        <w:t>,</w:t>
      </w:r>
      <w:r>
        <w:t xml:space="preserve"> at para </w:t>
      </w:r>
      <w:r w:rsidR="00D90B86">
        <w:t>[</w:t>
      </w:r>
      <w:r>
        <w:t>10</w:t>
      </w:r>
      <w:r w:rsidR="00D90B86">
        <w:t>]</w:t>
      </w:r>
      <w:r>
        <w:t>.</w:t>
      </w:r>
    </w:p>
  </w:footnote>
  <w:footnote w:id="11">
    <w:p w14:paraId="172D99C9" w14:textId="18D0D184" w:rsidR="00010400" w:rsidRPr="00010400" w:rsidRDefault="00010400" w:rsidP="007D3360">
      <w:pPr>
        <w:pStyle w:val="FootnoteText"/>
        <w:rPr>
          <w:lang w:val="en-US"/>
        </w:rPr>
      </w:pPr>
      <w:r>
        <w:rPr>
          <w:rStyle w:val="FootnoteReference"/>
        </w:rPr>
        <w:footnoteRef/>
      </w:r>
      <w:r>
        <w:t xml:space="preserve"> </w:t>
      </w:r>
      <w:r>
        <w:rPr>
          <w:lang w:val="en-US"/>
        </w:rPr>
        <w:t>Ibid</w:t>
      </w:r>
      <w:r w:rsidR="001D749F">
        <w:rPr>
          <w:lang w:val="en-US"/>
        </w:rPr>
        <w:t xml:space="preserve">, </w:t>
      </w:r>
      <w:r w:rsidR="00405F17">
        <w:rPr>
          <w:lang w:val="en-US"/>
        </w:rPr>
        <w:t xml:space="preserve">note 6, </w:t>
      </w:r>
      <w:r>
        <w:rPr>
          <w:lang w:val="en-US"/>
        </w:rPr>
        <w:t xml:space="preserve">at para </w:t>
      </w:r>
      <w:r w:rsidR="00D90B86">
        <w:rPr>
          <w:lang w:val="en-US"/>
        </w:rPr>
        <w:t>[</w:t>
      </w:r>
      <w:r>
        <w:rPr>
          <w:lang w:val="en-US"/>
        </w:rPr>
        <w:t>33</w:t>
      </w:r>
      <w:r w:rsidR="00D90B86">
        <w:rPr>
          <w:lang w:val="en-US"/>
        </w:rPr>
        <w:t>]</w:t>
      </w:r>
      <w:r>
        <w:rPr>
          <w:lang w:val="en-US"/>
        </w:rPr>
        <w:t>.</w:t>
      </w:r>
    </w:p>
  </w:footnote>
  <w:footnote w:id="12">
    <w:p w14:paraId="33EA0AF5" w14:textId="70B880B6" w:rsidR="002C0801" w:rsidRPr="002C0801" w:rsidRDefault="002C0801" w:rsidP="007D3360">
      <w:pPr>
        <w:pStyle w:val="FootnoteText"/>
        <w:rPr>
          <w:lang w:val="en-US"/>
        </w:rPr>
      </w:pPr>
      <w:r>
        <w:rPr>
          <w:rStyle w:val="FootnoteReference"/>
        </w:rPr>
        <w:footnoteRef/>
      </w:r>
      <w:r>
        <w:t xml:space="preserve"> </w:t>
      </w:r>
      <w:r>
        <w:rPr>
          <w:lang w:val="en-US"/>
        </w:rPr>
        <w:t xml:space="preserve">See </w:t>
      </w:r>
      <w:r w:rsidRPr="002C0801">
        <w:rPr>
          <w:i/>
          <w:iCs/>
          <w:lang w:val="en-US"/>
        </w:rPr>
        <w:t>Dengetenge Holdings (Pty) Ltd v Southern Sphere Mining &amp; Development</w:t>
      </w:r>
      <w:r w:rsidR="00197EE5">
        <w:rPr>
          <w:lang w:val="en-US"/>
        </w:rPr>
        <w:t xml:space="preserve"> </w:t>
      </w:r>
      <w:r w:rsidR="00197EE5">
        <w:rPr>
          <w:i/>
          <w:lang w:val="en-US"/>
        </w:rPr>
        <w:t xml:space="preserve">Company Ltd and Others </w:t>
      </w:r>
      <w:r>
        <w:rPr>
          <w:lang w:val="en-US"/>
        </w:rPr>
        <w:t>2014</w:t>
      </w:r>
      <w:r w:rsidR="00197EE5">
        <w:rPr>
          <w:lang w:val="en-US"/>
        </w:rPr>
        <w:t xml:space="preserve"> </w:t>
      </w:r>
      <w:r>
        <w:rPr>
          <w:lang w:val="en-US"/>
        </w:rPr>
        <w:t>(</w:t>
      </w:r>
      <w:r w:rsidR="00197EE5">
        <w:rPr>
          <w:lang w:val="en-US"/>
        </w:rPr>
        <w:t>5</w:t>
      </w:r>
      <w:r>
        <w:rPr>
          <w:lang w:val="en-US"/>
        </w:rPr>
        <w:t xml:space="preserve">) SA 138 (CC) at </w:t>
      </w:r>
      <w:r w:rsidR="007D3360">
        <w:rPr>
          <w:lang w:val="en-US"/>
        </w:rPr>
        <w:t>1</w:t>
      </w:r>
      <w:r>
        <w:rPr>
          <w:lang w:val="en-US"/>
        </w:rPr>
        <w:t xml:space="preserve">27 </w:t>
      </w:r>
      <w:r w:rsidRPr="002C0801">
        <w:rPr>
          <w:i/>
          <w:iCs/>
          <w:lang w:val="en-US"/>
        </w:rPr>
        <w:t>et seq</w:t>
      </w:r>
      <w:r>
        <w:rPr>
          <w:i/>
          <w:iCs/>
          <w:lang w:val="en-US"/>
        </w:rPr>
        <w:t xml:space="preserve"> </w:t>
      </w:r>
      <w:r>
        <w:rPr>
          <w:lang w:val="en-US"/>
        </w:rPr>
        <w:t>where reference was made of the parties having to exhaust internal remedies before launching the review process.</w:t>
      </w:r>
    </w:p>
  </w:footnote>
  <w:footnote w:id="13">
    <w:p w14:paraId="5ED63C06" w14:textId="55E56E6C" w:rsidR="002C0801" w:rsidRPr="002C0801" w:rsidRDefault="002C0801" w:rsidP="007D3360">
      <w:pPr>
        <w:pStyle w:val="FootnoteText"/>
        <w:rPr>
          <w:lang w:val="en-US"/>
        </w:rPr>
      </w:pPr>
      <w:r>
        <w:rPr>
          <w:rStyle w:val="FootnoteReference"/>
        </w:rPr>
        <w:footnoteRef/>
      </w:r>
      <w:r>
        <w:t xml:space="preserve"> </w:t>
      </w:r>
      <w:r w:rsidR="006E4BDF">
        <w:t xml:space="preserve">See </w:t>
      </w:r>
      <w:r w:rsidR="006E4BDF" w:rsidRPr="00405F17">
        <w:rPr>
          <w:i/>
          <w:iCs/>
        </w:rPr>
        <w:t>Paul</w:t>
      </w:r>
      <w:r w:rsidR="00405F17">
        <w:t>’s</w:t>
      </w:r>
      <w:r w:rsidR="006E4BDF">
        <w:t xml:space="preserve"> judgment at para </w:t>
      </w:r>
      <w:r w:rsidR="00197EE5">
        <w:t>[</w:t>
      </w:r>
      <w:r w:rsidR="006E4BDF">
        <w:t>43</w:t>
      </w:r>
      <w:r w:rsidR="00197EE5">
        <w:t>]</w:t>
      </w:r>
      <w:r w:rsidR="006E4BDF">
        <w:t xml:space="preserve">. </w:t>
      </w:r>
      <w:r>
        <w:rPr>
          <w:lang w:val="en-US"/>
        </w:rPr>
        <w:t xml:space="preserve">The confusion becomes apparent </w:t>
      </w:r>
      <w:r w:rsidR="006E4BDF">
        <w:rPr>
          <w:lang w:val="en-US"/>
        </w:rPr>
        <w:t xml:space="preserve">when </w:t>
      </w:r>
      <w:r>
        <w:rPr>
          <w:lang w:val="en-US"/>
        </w:rPr>
        <w:t>reference</w:t>
      </w:r>
      <w:r w:rsidR="006E4BDF">
        <w:rPr>
          <w:lang w:val="en-US"/>
        </w:rPr>
        <w:t xml:space="preserve"> is made of </w:t>
      </w:r>
      <w:r>
        <w:rPr>
          <w:lang w:val="en-US"/>
        </w:rPr>
        <w:t>section 5 of PAJA and at the same time requesting</w:t>
      </w:r>
      <w:r w:rsidR="007D3360">
        <w:rPr>
          <w:lang w:val="en-US"/>
        </w:rPr>
        <w:t xml:space="preserve"> </w:t>
      </w:r>
      <w:r>
        <w:rPr>
          <w:lang w:val="en-US"/>
        </w:rPr>
        <w:t>information in terms of PAIA.</w:t>
      </w:r>
    </w:p>
  </w:footnote>
  <w:footnote w:id="14">
    <w:p w14:paraId="5522AF7A" w14:textId="5819410F" w:rsidR="00DA34E8" w:rsidRPr="00F03971" w:rsidRDefault="001D749F" w:rsidP="00DA34E8">
      <w:pPr>
        <w:pStyle w:val="FootnoteText"/>
        <w:rPr>
          <w:i/>
          <w:lang w:val="en-US"/>
        </w:rPr>
      </w:pPr>
      <w:r>
        <w:rPr>
          <w:rStyle w:val="FootnoteReference"/>
        </w:rPr>
        <w:footnoteRef/>
      </w:r>
      <w:r>
        <w:t xml:space="preserve"> </w:t>
      </w:r>
      <w:r>
        <w:rPr>
          <w:lang w:val="en-US"/>
        </w:rPr>
        <w:t>Section 25 of</w:t>
      </w:r>
      <w:r w:rsidR="00DA34E8">
        <w:rPr>
          <w:lang w:val="en-US"/>
        </w:rPr>
        <w:t xml:space="preserve"> PAIA provides</w:t>
      </w:r>
      <w:r w:rsidR="001E63F2">
        <w:rPr>
          <w:lang w:val="en-US"/>
        </w:rPr>
        <w:t xml:space="preserve"> that</w:t>
      </w:r>
      <w:r w:rsidR="00DA34E8">
        <w:rPr>
          <w:lang w:val="en-US"/>
        </w:rPr>
        <w:t xml:space="preserve"> </w:t>
      </w:r>
      <w:r w:rsidR="001E63F2" w:rsidRPr="001E63F2">
        <w:rPr>
          <w:i/>
          <w:iCs/>
          <w:lang w:val="en-US"/>
        </w:rPr>
        <w:t>“</w:t>
      </w:r>
      <w:r w:rsidR="00DA34E8" w:rsidRPr="00F03971">
        <w:rPr>
          <w:i/>
          <w:lang w:val="en-US"/>
        </w:rPr>
        <w:t>(1) Except if the provisions regarding third party notification and intervention contemplated in Chapter 5 of this Part apply, the information officer to whom the request is made or transferred, must, as soon as reasonably possible, but in any event within 30 days, after the request is received –</w:t>
      </w:r>
    </w:p>
    <w:p w14:paraId="2EB2B1B7" w14:textId="4E8EE2B2" w:rsidR="00DA34E8" w:rsidRPr="00F03971" w:rsidRDefault="00DA34E8" w:rsidP="00DA34E8">
      <w:pPr>
        <w:pStyle w:val="FootnoteText"/>
        <w:numPr>
          <w:ilvl w:val="0"/>
          <w:numId w:val="13"/>
        </w:numPr>
        <w:rPr>
          <w:i/>
          <w:lang w:val="en-US"/>
        </w:rPr>
      </w:pPr>
      <w:r w:rsidRPr="00F03971">
        <w:rPr>
          <w:i/>
          <w:lang w:val="en-US"/>
        </w:rPr>
        <w:t>decide in accordance with this Act whether to grant the request; and</w:t>
      </w:r>
    </w:p>
    <w:p w14:paraId="18587D85" w14:textId="327DDC1B" w:rsidR="00DA34E8" w:rsidRPr="00F03971" w:rsidRDefault="00DA34E8" w:rsidP="00DA34E8">
      <w:pPr>
        <w:pStyle w:val="FootnoteText"/>
        <w:numPr>
          <w:ilvl w:val="0"/>
          <w:numId w:val="13"/>
        </w:numPr>
        <w:rPr>
          <w:i/>
          <w:lang w:val="en-US"/>
        </w:rPr>
      </w:pPr>
      <w:r w:rsidRPr="00F03971">
        <w:rPr>
          <w:i/>
          <w:lang w:val="en-US"/>
        </w:rPr>
        <w:t>notify the requester of the decision and, if the requester stated, as contemplated in section 18(2)(e), that he or she wishes to be informed of the decision in any other matter, inform him or her in that manner if it i</w:t>
      </w:r>
      <w:r>
        <w:rPr>
          <w:i/>
          <w:lang w:val="en-US"/>
        </w:rPr>
        <w:t>s</w:t>
      </w:r>
      <w:r w:rsidRPr="00F03971">
        <w:rPr>
          <w:i/>
          <w:lang w:val="en-US"/>
        </w:rPr>
        <w:t xml:space="preserve"> reasonably possible.</w:t>
      </w:r>
    </w:p>
    <w:p w14:paraId="5E55C244" w14:textId="05B79A2C" w:rsidR="00DA34E8" w:rsidRPr="00F03971" w:rsidRDefault="00DA34E8" w:rsidP="001E63F2">
      <w:pPr>
        <w:pStyle w:val="FootnoteText"/>
        <w:numPr>
          <w:ilvl w:val="0"/>
          <w:numId w:val="14"/>
        </w:numPr>
        <w:rPr>
          <w:i/>
          <w:lang w:val="en-US"/>
        </w:rPr>
      </w:pPr>
      <w:r w:rsidRPr="00F03971">
        <w:rPr>
          <w:i/>
          <w:lang w:val="en-US"/>
        </w:rPr>
        <w:t>If the request for access is granted</w:t>
      </w:r>
      <w:r w:rsidR="00AD6F01">
        <w:rPr>
          <w:i/>
          <w:lang w:val="en-US"/>
        </w:rPr>
        <w:t xml:space="preserve"> </w:t>
      </w:r>
      <w:r w:rsidR="001E63F2">
        <w:rPr>
          <w:i/>
          <w:lang w:val="en-US"/>
        </w:rPr>
        <w:t>…</w:t>
      </w:r>
    </w:p>
    <w:p w14:paraId="1B0A9924" w14:textId="77777777" w:rsidR="00DA34E8" w:rsidRPr="00F03971" w:rsidRDefault="00DA34E8" w:rsidP="00DA34E8">
      <w:pPr>
        <w:pStyle w:val="FootnoteText"/>
        <w:numPr>
          <w:ilvl w:val="0"/>
          <w:numId w:val="14"/>
        </w:numPr>
        <w:rPr>
          <w:i/>
          <w:lang w:val="en-US"/>
        </w:rPr>
      </w:pPr>
      <w:r w:rsidRPr="00F03971">
        <w:rPr>
          <w:i/>
          <w:lang w:val="en-US"/>
        </w:rPr>
        <w:t>If the request for access is refused, the notice in terms of subsection (1)(b) must –</w:t>
      </w:r>
    </w:p>
    <w:p w14:paraId="00A1BA98" w14:textId="77777777" w:rsidR="00DA34E8" w:rsidRPr="00F03971" w:rsidRDefault="00DA34E8" w:rsidP="00DA34E8">
      <w:pPr>
        <w:pStyle w:val="FootnoteText"/>
        <w:numPr>
          <w:ilvl w:val="0"/>
          <w:numId w:val="16"/>
        </w:numPr>
        <w:rPr>
          <w:i/>
          <w:lang w:val="en-US"/>
        </w:rPr>
      </w:pPr>
      <w:r w:rsidRPr="00F03971">
        <w:rPr>
          <w:i/>
          <w:lang w:val="en-US"/>
        </w:rPr>
        <w:t>state adequate reasons for the refusal, including the provisions of this Act relied upon;</w:t>
      </w:r>
    </w:p>
    <w:p w14:paraId="57801BC1" w14:textId="62641542" w:rsidR="00DA34E8" w:rsidRPr="00DA34E8" w:rsidRDefault="00DA34E8" w:rsidP="00DA34E8">
      <w:pPr>
        <w:pStyle w:val="FootnoteText"/>
        <w:numPr>
          <w:ilvl w:val="0"/>
          <w:numId w:val="16"/>
        </w:numPr>
        <w:rPr>
          <w:i/>
          <w:color w:val="000000" w:themeColor="text1"/>
          <w:lang w:val="en-US"/>
        </w:rPr>
      </w:pPr>
      <w:r w:rsidRPr="00DA34E8">
        <w:rPr>
          <w:i/>
          <w:color w:val="000000" w:themeColor="text1"/>
          <w:lang w:val="en-US"/>
        </w:rPr>
        <w:t>exclude, from such reasons, any reference to the content of the record; and</w:t>
      </w:r>
    </w:p>
    <w:p w14:paraId="721027A2" w14:textId="77BDDDE8" w:rsidR="001D749F" w:rsidRPr="001E63F2" w:rsidRDefault="00DA34E8" w:rsidP="001E63F2">
      <w:pPr>
        <w:pStyle w:val="FootnoteText"/>
        <w:numPr>
          <w:ilvl w:val="0"/>
          <w:numId w:val="16"/>
        </w:numPr>
        <w:rPr>
          <w:color w:val="000000" w:themeColor="text1"/>
          <w:lang w:val="en-US"/>
        </w:rPr>
      </w:pPr>
      <w:r w:rsidRPr="00DA34E8">
        <w:rPr>
          <w:i/>
          <w:color w:val="000000" w:themeColor="text1"/>
          <w:lang w:val="en-US"/>
        </w:rPr>
        <w:t>state that the requester may lodge an internal appeal, complaint to the Information Regulator or an application with a court, as the case may be, against the refusal of the request, and the procedure (including the period) for lodging the internal appeal, complaint to the Information Regulator or application, as the case may be.”</w:t>
      </w:r>
    </w:p>
  </w:footnote>
  <w:footnote w:id="15">
    <w:p w14:paraId="3A2311AE" w14:textId="66AFB1B1" w:rsidR="001E63F2" w:rsidRPr="001E63F2" w:rsidRDefault="001E63F2">
      <w:pPr>
        <w:pStyle w:val="FootnoteText"/>
        <w:rPr>
          <w:lang w:val="en-US"/>
        </w:rPr>
      </w:pPr>
      <w:r>
        <w:rPr>
          <w:rStyle w:val="FootnoteReference"/>
        </w:rPr>
        <w:footnoteRef/>
      </w:r>
      <w:r>
        <w:t xml:space="preserve"> </w:t>
      </w:r>
      <w:r>
        <w:rPr>
          <w:lang w:val="en-US"/>
        </w:rPr>
        <w:t xml:space="preserve">Section 27 of PAIA provides that </w:t>
      </w:r>
      <w:r w:rsidRPr="00AD6F01">
        <w:rPr>
          <w:i/>
          <w:lang w:val="en-US"/>
        </w:rPr>
        <w:t>“</w:t>
      </w:r>
      <w:r w:rsidRPr="00F03971">
        <w:rPr>
          <w:i/>
          <w:lang w:val="en-US"/>
        </w:rPr>
        <w:t>If an information officer fails to give the decision on a request for access to the requester concerned within the period contemplated in section 25(1), the information officer is, for the purposes of this Act, regarded as having refused the request”</w:t>
      </w:r>
      <w:r>
        <w:rPr>
          <w:i/>
          <w:lang w:val="en-US"/>
        </w:rPr>
        <w:t>.</w:t>
      </w:r>
    </w:p>
  </w:footnote>
  <w:footnote w:id="16">
    <w:p w14:paraId="4B56ED73" w14:textId="5824A241" w:rsidR="006E4BDF" w:rsidRPr="006E4BDF" w:rsidRDefault="006E4BDF">
      <w:pPr>
        <w:pStyle w:val="FootnoteText"/>
        <w:rPr>
          <w:lang w:val="en-US"/>
        </w:rPr>
      </w:pPr>
      <w:r>
        <w:rPr>
          <w:rStyle w:val="FootnoteReference"/>
        </w:rPr>
        <w:footnoteRef/>
      </w:r>
      <w:r>
        <w:t xml:space="preserve"> “</w:t>
      </w:r>
      <w:r w:rsidRPr="006E4BDF">
        <w:rPr>
          <w:i/>
          <w:iCs/>
          <w:lang w:val="en-US"/>
        </w:rPr>
        <w:t xml:space="preserve">Rule 3(1) of PAIA rules requires an application contemplated in section 78 of PAIA to be brought on notice of motion that substantially correspond with the form of notice of motion annexed to the rule. </w:t>
      </w:r>
      <w:r w:rsidR="001227C8" w:rsidRPr="006E4BDF">
        <w:rPr>
          <w:i/>
          <w:iCs/>
          <w:lang w:val="en-US"/>
        </w:rPr>
        <w:t>Therefore,</w:t>
      </w:r>
      <w:r w:rsidRPr="006E4BDF">
        <w:rPr>
          <w:i/>
          <w:iCs/>
          <w:lang w:val="en-US"/>
        </w:rPr>
        <w:t xml:space="preserve"> the wanton use and adaptation of Form</w:t>
      </w:r>
      <w:r w:rsidR="00AD6F01">
        <w:rPr>
          <w:i/>
          <w:iCs/>
          <w:lang w:val="en-US"/>
        </w:rPr>
        <w:t xml:space="preserve"> </w:t>
      </w:r>
      <w:r w:rsidRPr="006E4BDF">
        <w:rPr>
          <w:i/>
          <w:iCs/>
          <w:lang w:val="en-US"/>
        </w:rPr>
        <w:t>2(</w:t>
      </w:r>
      <w:r w:rsidR="00AD6F01">
        <w:rPr>
          <w:i/>
          <w:iCs/>
          <w:lang w:val="en-US"/>
        </w:rPr>
        <w:t>a</w:t>
      </w:r>
      <w:r w:rsidRPr="006E4BDF">
        <w:rPr>
          <w:i/>
          <w:iCs/>
          <w:lang w:val="en-US"/>
        </w:rPr>
        <w:t>) annexed to the Uniform Rules is in violation of PAIA and the PAIA rules. There is no legal basis for granting an</w:t>
      </w:r>
      <w:r w:rsidR="002D1793">
        <w:rPr>
          <w:i/>
          <w:iCs/>
          <w:lang w:val="en-US"/>
        </w:rPr>
        <w:t>y</w:t>
      </w:r>
      <w:r w:rsidRPr="006E4BDF">
        <w:rPr>
          <w:i/>
          <w:iCs/>
          <w:lang w:val="en-US"/>
        </w:rPr>
        <w:t xml:space="preserve"> relief in an application brought on notice of motion in terms of section 78 where the form of the notice of motion is not in substantial compliance with the prescribed form”</w:t>
      </w:r>
      <w:r>
        <w:rPr>
          <w:lang w:val="en-US"/>
        </w:rPr>
        <w:t xml:space="preserve">.  See </w:t>
      </w:r>
      <w:r w:rsidRPr="008A144C">
        <w:rPr>
          <w:i/>
          <w:iCs/>
          <w:lang w:val="en-US"/>
        </w:rPr>
        <w:t>Paul</w:t>
      </w:r>
      <w:r w:rsidR="008A144C">
        <w:rPr>
          <w:lang w:val="en-US"/>
        </w:rPr>
        <w:t>’s</w:t>
      </w:r>
      <w:r>
        <w:rPr>
          <w:lang w:val="en-US"/>
        </w:rPr>
        <w:t xml:space="preserve"> judgment at para </w:t>
      </w:r>
      <w:r w:rsidR="00AD6F01">
        <w:rPr>
          <w:lang w:val="en-US"/>
        </w:rPr>
        <w:t>[</w:t>
      </w:r>
      <w:r>
        <w:rPr>
          <w:lang w:val="en-US"/>
        </w:rPr>
        <w:t>58</w:t>
      </w:r>
      <w:r w:rsidR="00AD6F01">
        <w:rPr>
          <w:lang w:val="en-US"/>
        </w:rPr>
        <w:t>]</w:t>
      </w:r>
      <w:r>
        <w:rPr>
          <w:lang w:val="en-US"/>
        </w:rPr>
        <w:t>.</w:t>
      </w:r>
    </w:p>
  </w:footnote>
  <w:footnote w:id="17">
    <w:p w14:paraId="613A54A3" w14:textId="2F033A53" w:rsidR="009A1F14" w:rsidRPr="009A1F14" w:rsidRDefault="009A1F14">
      <w:pPr>
        <w:pStyle w:val="FootnoteText"/>
        <w:rPr>
          <w:lang w:val="en-US"/>
        </w:rPr>
      </w:pPr>
      <w:r>
        <w:rPr>
          <w:rStyle w:val="FootnoteReference"/>
        </w:rPr>
        <w:footnoteRef/>
      </w:r>
      <w:r>
        <w:t xml:space="preserve"> </w:t>
      </w:r>
      <w:r>
        <w:rPr>
          <w:lang w:val="en-US"/>
        </w:rPr>
        <w:t xml:space="preserve">See </w:t>
      </w:r>
      <w:r w:rsidR="001E63F2">
        <w:rPr>
          <w:lang w:val="en-US"/>
        </w:rPr>
        <w:t>A</w:t>
      </w:r>
      <w:r>
        <w:rPr>
          <w:lang w:val="en-US"/>
        </w:rPr>
        <w:t xml:space="preserve">pplicant’s </w:t>
      </w:r>
      <w:r w:rsidR="001E63F2">
        <w:rPr>
          <w:lang w:val="en-US"/>
        </w:rPr>
        <w:t>H</w:t>
      </w:r>
      <w:r>
        <w:rPr>
          <w:lang w:val="en-US"/>
        </w:rPr>
        <w:t xml:space="preserve">eads of </w:t>
      </w:r>
      <w:r w:rsidR="001E63F2">
        <w:rPr>
          <w:lang w:val="en-US"/>
        </w:rPr>
        <w:t>A</w:t>
      </w:r>
      <w:r>
        <w:rPr>
          <w:lang w:val="en-US"/>
        </w:rPr>
        <w:t>rgument</w:t>
      </w:r>
      <w:r w:rsidR="001E63F2">
        <w:rPr>
          <w:lang w:val="en-US"/>
        </w:rPr>
        <w:t xml:space="preserve"> on</w:t>
      </w:r>
      <w:r>
        <w:rPr>
          <w:lang w:val="en-US"/>
        </w:rPr>
        <w:t xml:space="preserve"> </w:t>
      </w:r>
      <w:r w:rsidR="00F02733" w:rsidRPr="00F02733">
        <w:rPr>
          <w:color w:val="000000" w:themeColor="text1"/>
        </w:rPr>
        <w:t xml:space="preserve">CaseLines 025 </w:t>
      </w:r>
      <w:r w:rsidR="00F02733">
        <w:rPr>
          <w:color w:val="000000" w:themeColor="text1"/>
        </w:rPr>
        <w:t>–</w:t>
      </w:r>
      <w:r w:rsidR="00F02733" w:rsidRPr="00F02733">
        <w:rPr>
          <w:color w:val="000000" w:themeColor="text1"/>
        </w:rPr>
        <w:t xml:space="preserve"> 10</w:t>
      </w:r>
      <w:r w:rsidR="00F02733">
        <w:rPr>
          <w:color w:val="000000" w:themeColor="text1"/>
        </w:rPr>
        <w:t xml:space="preserve">, </w:t>
      </w:r>
      <w:r>
        <w:rPr>
          <w:lang w:val="en-US"/>
        </w:rPr>
        <w:t>at para 22.</w:t>
      </w:r>
    </w:p>
  </w:footnote>
  <w:footnote w:id="18">
    <w:p w14:paraId="70B2DB36" w14:textId="5253129C" w:rsidR="000B5FF8" w:rsidRPr="000B5FF8" w:rsidRDefault="000B5FF8">
      <w:pPr>
        <w:pStyle w:val="FootnoteText"/>
        <w:rPr>
          <w:lang w:val="en-US"/>
        </w:rPr>
      </w:pPr>
      <w:r>
        <w:rPr>
          <w:rStyle w:val="FootnoteReference"/>
        </w:rPr>
        <w:footnoteRef/>
      </w:r>
      <w:r>
        <w:t xml:space="preserve"> </w:t>
      </w:r>
      <w:r w:rsidR="00F02733">
        <w:t>Ibid, at para 23.</w:t>
      </w:r>
    </w:p>
  </w:footnote>
  <w:footnote w:id="19">
    <w:p w14:paraId="5BDC51D5" w14:textId="1F3FD5D4" w:rsidR="009A1F14" w:rsidRPr="009A1F14" w:rsidRDefault="009A1F14">
      <w:pPr>
        <w:pStyle w:val="FootnoteText"/>
        <w:rPr>
          <w:lang w:val="en-US"/>
        </w:rPr>
      </w:pPr>
      <w:r>
        <w:rPr>
          <w:rStyle w:val="FootnoteReference"/>
        </w:rPr>
        <w:footnoteRef/>
      </w:r>
      <w:r>
        <w:t xml:space="preserve"> </w:t>
      </w:r>
      <w:r w:rsidR="00F02733">
        <w:t xml:space="preserve">See </w:t>
      </w:r>
      <w:r w:rsidR="009731FC">
        <w:t>A</w:t>
      </w:r>
      <w:r w:rsidR="00F02733">
        <w:t xml:space="preserve">pplicant’s </w:t>
      </w:r>
      <w:r w:rsidR="00F56C3F">
        <w:t>Replying</w:t>
      </w:r>
      <w:r w:rsidR="00F02733">
        <w:t xml:space="preserve"> Affidavit</w:t>
      </w:r>
      <w:r w:rsidR="001E63F2">
        <w:t xml:space="preserve"> on</w:t>
      </w:r>
      <w:r w:rsidR="00F02733">
        <w:t xml:space="preserve"> CaseLines 024-9, </w:t>
      </w:r>
      <w:r>
        <w:rPr>
          <w:lang w:val="en-US"/>
        </w:rPr>
        <w:t xml:space="preserve">at para 11.9. </w:t>
      </w:r>
    </w:p>
  </w:footnote>
  <w:footnote w:id="20">
    <w:p w14:paraId="4AB4B69A" w14:textId="5B07D401" w:rsidR="009A1F14" w:rsidRPr="009A1F14" w:rsidRDefault="009A1F14">
      <w:pPr>
        <w:pStyle w:val="FootnoteText"/>
        <w:rPr>
          <w:lang w:val="en-US"/>
        </w:rPr>
      </w:pPr>
      <w:r>
        <w:rPr>
          <w:rStyle w:val="FootnoteReference"/>
        </w:rPr>
        <w:footnoteRef/>
      </w:r>
      <w:r>
        <w:t xml:space="preserve"> </w:t>
      </w:r>
      <w:r w:rsidRPr="00F02733">
        <w:rPr>
          <w:i/>
          <w:iCs/>
          <w:lang w:val="en-US"/>
        </w:rPr>
        <w:t>Ibid</w:t>
      </w:r>
      <w:r w:rsidR="00F02733" w:rsidRPr="00F02733">
        <w:rPr>
          <w:i/>
          <w:iCs/>
          <w:lang w:val="en-US"/>
        </w:rPr>
        <w:t>,</w:t>
      </w:r>
      <w:r>
        <w:rPr>
          <w:lang w:val="en-US"/>
        </w:rPr>
        <w:t xml:space="preserve"> at para 14.3.</w:t>
      </w:r>
    </w:p>
  </w:footnote>
  <w:footnote w:id="21">
    <w:p w14:paraId="02A0C78F" w14:textId="61FA5125" w:rsidR="009E01D5" w:rsidRPr="009E01D5" w:rsidRDefault="009E01D5">
      <w:pPr>
        <w:pStyle w:val="FootnoteText"/>
        <w:rPr>
          <w:lang w:val="en-US"/>
        </w:rPr>
      </w:pPr>
      <w:r>
        <w:rPr>
          <w:rStyle w:val="FootnoteReference"/>
        </w:rPr>
        <w:footnoteRef/>
      </w:r>
      <w:r>
        <w:t xml:space="preserve"> </w:t>
      </w:r>
      <w:r w:rsidR="00F02733" w:rsidRPr="00F02733">
        <w:rPr>
          <w:i/>
          <w:iCs/>
        </w:rPr>
        <w:t>Ibid</w:t>
      </w:r>
      <w:r w:rsidR="00F02733">
        <w:t>, CaseLines 024-5, at para 7.4.</w:t>
      </w:r>
    </w:p>
  </w:footnote>
  <w:footnote w:id="22">
    <w:p w14:paraId="1FD826F5" w14:textId="19BD16F8" w:rsidR="00614C44" w:rsidRPr="00614C44" w:rsidRDefault="00614C44" w:rsidP="007D3360">
      <w:pPr>
        <w:pStyle w:val="FootnoteText"/>
        <w:rPr>
          <w:lang w:val="en-US"/>
        </w:rPr>
      </w:pPr>
      <w:r>
        <w:rPr>
          <w:rStyle w:val="FootnoteReference"/>
        </w:rPr>
        <w:footnoteRef/>
      </w:r>
      <w:r>
        <w:t xml:space="preserve"> </w:t>
      </w:r>
      <w:r>
        <w:rPr>
          <w:lang w:val="en-US"/>
        </w:rPr>
        <w:t xml:space="preserve">See </w:t>
      </w:r>
      <w:r w:rsidR="00A177CE">
        <w:rPr>
          <w:lang w:val="en-US"/>
        </w:rPr>
        <w:t>Applicant</w:t>
      </w:r>
      <w:r>
        <w:rPr>
          <w:lang w:val="en-US"/>
        </w:rPr>
        <w:t xml:space="preserve">’s </w:t>
      </w:r>
      <w:r w:rsidR="00F371D5">
        <w:rPr>
          <w:lang w:val="en-US"/>
        </w:rPr>
        <w:t>H</w:t>
      </w:r>
      <w:r>
        <w:rPr>
          <w:lang w:val="en-US"/>
        </w:rPr>
        <w:t xml:space="preserve">eads of </w:t>
      </w:r>
      <w:r w:rsidR="00F371D5">
        <w:rPr>
          <w:lang w:val="en-US"/>
        </w:rPr>
        <w:t>A</w:t>
      </w:r>
      <w:r>
        <w:rPr>
          <w:lang w:val="en-US"/>
        </w:rPr>
        <w:t xml:space="preserve">rgument </w:t>
      </w:r>
      <w:r w:rsidR="00A177CE">
        <w:rPr>
          <w:lang w:val="en-US"/>
        </w:rPr>
        <w:t xml:space="preserve">CaseLines 25-6, </w:t>
      </w:r>
      <w:r>
        <w:rPr>
          <w:lang w:val="en-US"/>
        </w:rPr>
        <w:t>at para 10</w:t>
      </w:r>
      <w:r w:rsidR="00A177CE">
        <w:rPr>
          <w:lang w:val="en-US"/>
        </w:rPr>
        <w:t>.</w:t>
      </w:r>
    </w:p>
  </w:footnote>
  <w:footnote w:id="23">
    <w:p w14:paraId="3071502D" w14:textId="77777777" w:rsidR="001D65DB" w:rsidRPr="00D04639" w:rsidRDefault="001D65DB" w:rsidP="001D65DB">
      <w:pPr>
        <w:pStyle w:val="FootnoteText"/>
        <w:rPr>
          <w:lang w:val="en-US"/>
        </w:rPr>
      </w:pPr>
      <w:r>
        <w:rPr>
          <w:rStyle w:val="FootnoteReference"/>
        </w:rPr>
        <w:footnoteRef/>
      </w:r>
      <w:r>
        <w:t xml:space="preserve"> </w:t>
      </w:r>
      <w:r>
        <w:rPr>
          <w:lang w:val="en-US"/>
        </w:rPr>
        <w:t>See First Respondent’s Answering Affidavit, CaseLines 023-20 at para 49.4.</w:t>
      </w:r>
    </w:p>
  </w:footnote>
  <w:footnote w:id="24">
    <w:p w14:paraId="654BA965" w14:textId="4CFF500F" w:rsidR="00A177CE" w:rsidRPr="00A177CE" w:rsidRDefault="00A177CE">
      <w:pPr>
        <w:pStyle w:val="FootnoteText"/>
        <w:rPr>
          <w:lang w:val="en-US"/>
        </w:rPr>
      </w:pPr>
      <w:r>
        <w:rPr>
          <w:rStyle w:val="FootnoteReference"/>
        </w:rPr>
        <w:footnoteRef/>
      </w:r>
      <w:r>
        <w:t xml:space="preserve"> </w:t>
      </w:r>
      <w:r>
        <w:rPr>
          <w:lang w:val="en-US"/>
        </w:rPr>
        <w:t>See Bid specifications CaseLines 02</w:t>
      </w:r>
      <w:r w:rsidR="00224949">
        <w:rPr>
          <w:lang w:val="en-US"/>
        </w:rPr>
        <w:t>0-50</w:t>
      </w:r>
    </w:p>
  </w:footnote>
  <w:footnote w:id="25">
    <w:p w14:paraId="42BC07E5" w14:textId="69ED909C" w:rsidR="00FB5897" w:rsidRPr="004D11A4" w:rsidRDefault="00FB5897" w:rsidP="00FB5897">
      <w:pPr>
        <w:pStyle w:val="FootnoteText"/>
        <w:rPr>
          <w:lang w:val="en-US"/>
        </w:rPr>
      </w:pPr>
      <w:r>
        <w:rPr>
          <w:rStyle w:val="FootnoteReference"/>
        </w:rPr>
        <w:footnoteRef/>
      </w:r>
      <w:r>
        <w:t xml:space="preserve"> </w:t>
      </w:r>
      <w:r>
        <w:rPr>
          <w:lang w:val="en-US"/>
        </w:rPr>
        <w:t xml:space="preserve">See </w:t>
      </w:r>
      <w:r w:rsidR="00E0519C">
        <w:rPr>
          <w:lang w:val="en-US"/>
        </w:rPr>
        <w:t>A</w:t>
      </w:r>
      <w:r>
        <w:rPr>
          <w:lang w:val="en-US"/>
        </w:rPr>
        <w:t xml:space="preserve">pplicant’s </w:t>
      </w:r>
      <w:r w:rsidR="00E0519C">
        <w:rPr>
          <w:lang w:val="en-US"/>
        </w:rPr>
        <w:t>R</w:t>
      </w:r>
      <w:r>
        <w:rPr>
          <w:lang w:val="en-US"/>
        </w:rPr>
        <w:t xml:space="preserve">eplying </w:t>
      </w:r>
      <w:r w:rsidR="00E0519C">
        <w:rPr>
          <w:lang w:val="en-US"/>
        </w:rPr>
        <w:t>A</w:t>
      </w:r>
      <w:r>
        <w:rPr>
          <w:lang w:val="en-US"/>
        </w:rPr>
        <w:t>ffidavit</w:t>
      </w:r>
      <w:r w:rsidR="00E0519C">
        <w:rPr>
          <w:lang w:val="en-US"/>
        </w:rPr>
        <w:t>, CaseLines 024-17 at para 24.11.</w:t>
      </w:r>
    </w:p>
  </w:footnote>
  <w:footnote w:id="26">
    <w:p w14:paraId="22AFF913" w14:textId="3F150238" w:rsidR="00E46F65" w:rsidRPr="00E46F65" w:rsidRDefault="00E46F65">
      <w:pPr>
        <w:pStyle w:val="FootnoteText"/>
        <w:rPr>
          <w:lang w:val="en-US"/>
        </w:rPr>
      </w:pPr>
      <w:r>
        <w:rPr>
          <w:rStyle w:val="FootnoteReference"/>
        </w:rPr>
        <w:footnoteRef/>
      </w:r>
      <w:r>
        <w:t xml:space="preserve"> </w:t>
      </w:r>
      <w:r>
        <w:rPr>
          <w:lang w:val="en-US"/>
        </w:rPr>
        <w:t xml:space="preserve">See </w:t>
      </w:r>
      <w:r w:rsidR="00E0519C">
        <w:rPr>
          <w:lang w:val="en-US"/>
        </w:rPr>
        <w:t>A</w:t>
      </w:r>
      <w:r>
        <w:rPr>
          <w:lang w:val="en-US"/>
        </w:rPr>
        <w:t>pplicant’s</w:t>
      </w:r>
      <w:r w:rsidR="00E0519C">
        <w:rPr>
          <w:lang w:val="en-US"/>
        </w:rPr>
        <w:t xml:space="preserve"> R</w:t>
      </w:r>
      <w:r>
        <w:rPr>
          <w:lang w:val="en-US"/>
        </w:rPr>
        <w:t xml:space="preserve">eplying </w:t>
      </w:r>
      <w:r w:rsidR="00E0519C">
        <w:rPr>
          <w:lang w:val="en-US"/>
        </w:rPr>
        <w:t>A</w:t>
      </w:r>
      <w:r>
        <w:rPr>
          <w:lang w:val="en-US"/>
        </w:rPr>
        <w:t>ffidavit</w:t>
      </w:r>
      <w:r w:rsidR="00E0519C">
        <w:rPr>
          <w:lang w:val="en-US"/>
        </w:rPr>
        <w:t>, CaseLines</w:t>
      </w:r>
      <w:r>
        <w:rPr>
          <w:lang w:val="en-US"/>
        </w:rPr>
        <w:t xml:space="preserve"> </w:t>
      </w:r>
      <w:r w:rsidR="00E0519C">
        <w:rPr>
          <w:lang w:val="en-US"/>
        </w:rPr>
        <w:t xml:space="preserve">024-15 </w:t>
      </w:r>
      <w:r>
        <w:rPr>
          <w:lang w:val="en-US"/>
        </w:rPr>
        <w:t>at para 23.9.3</w:t>
      </w:r>
      <w:r w:rsidR="00E0519C">
        <w:rPr>
          <w:lang w:val="en-US"/>
        </w:rPr>
        <w:t>.</w:t>
      </w:r>
    </w:p>
  </w:footnote>
  <w:footnote w:id="27">
    <w:p w14:paraId="6A037DAD" w14:textId="28AD9B0B" w:rsidR="00FB5897" w:rsidRPr="004D11A4" w:rsidRDefault="00FB5897" w:rsidP="00FB5897">
      <w:pPr>
        <w:pStyle w:val="FootnoteText"/>
        <w:rPr>
          <w:lang w:val="en-US"/>
        </w:rPr>
      </w:pPr>
      <w:r>
        <w:rPr>
          <w:rStyle w:val="FootnoteReference"/>
        </w:rPr>
        <w:footnoteRef/>
      </w:r>
      <w:r>
        <w:t xml:space="preserve"> </w:t>
      </w:r>
      <w:r w:rsidRPr="004D11A4">
        <w:rPr>
          <w:lang w:val="en-US"/>
        </w:rPr>
        <w:t xml:space="preserve">See </w:t>
      </w:r>
      <w:r w:rsidR="00E0519C">
        <w:rPr>
          <w:lang w:val="en-US"/>
        </w:rPr>
        <w:t>F</w:t>
      </w:r>
      <w:r w:rsidRPr="004D11A4">
        <w:rPr>
          <w:lang w:val="en-US"/>
        </w:rPr>
        <w:t xml:space="preserve">irst </w:t>
      </w:r>
      <w:r w:rsidR="00E0519C">
        <w:rPr>
          <w:lang w:val="en-US"/>
        </w:rPr>
        <w:t>R</w:t>
      </w:r>
      <w:r w:rsidRPr="004D11A4">
        <w:rPr>
          <w:lang w:val="en-US"/>
        </w:rPr>
        <w:t xml:space="preserve">espondent </w:t>
      </w:r>
      <w:r w:rsidR="00E0519C">
        <w:rPr>
          <w:lang w:val="en-US"/>
        </w:rPr>
        <w:t>A</w:t>
      </w:r>
      <w:r w:rsidRPr="004D11A4">
        <w:rPr>
          <w:lang w:val="en-US"/>
        </w:rPr>
        <w:t>nswering</w:t>
      </w:r>
      <w:r w:rsidR="00E0519C">
        <w:rPr>
          <w:lang w:val="en-US"/>
        </w:rPr>
        <w:t xml:space="preserve"> A</w:t>
      </w:r>
      <w:r w:rsidRPr="004D11A4">
        <w:rPr>
          <w:lang w:val="en-US"/>
        </w:rPr>
        <w:t xml:space="preserve">ffidavit, </w:t>
      </w:r>
      <w:r w:rsidR="00E0519C">
        <w:rPr>
          <w:lang w:val="en-US"/>
        </w:rPr>
        <w:t>C</w:t>
      </w:r>
      <w:r w:rsidRPr="004D11A4">
        <w:rPr>
          <w:lang w:val="en-US"/>
        </w:rPr>
        <w:t>ase</w:t>
      </w:r>
      <w:r w:rsidR="00E0519C">
        <w:rPr>
          <w:lang w:val="en-US"/>
        </w:rPr>
        <w:t>L</w:t>
      </w:r>
      <w:r w:rsidRPr="004D11A4">
        <w:rPr>
          <w:lang w:val="en-US"/>
        </w:rPr>
        <w:t>ine</w:t>
      </w:r>
      <w:r w:rsidR="00E0519C">
        <w:rPr>
          <w:lang w:val="en-US"/>
        </w:rPr>
        <w:t>s</w:t>
      </w:r>
      <w:r w:rsidRPr="004D11A4">
        <w:rPr>
          <w:lang w:val="en-US"/>
        </w:rPr>
        <w:t xml:space="preserve"> 023-23</w:t>
      </w:r>
      <w:r w:rsidR="00E0519C">
        <w:rPr>
          <w:lang w:val="en-US"/>
        </w:rPr>
        <w:t xml:space="preserve">, </w:t>
      </w:r>
      <w:r w:rsidR="00E0519C" w:rsidRPr="004D11A4">
        <w:rPr>
          <w:lang w:val="en-US"/>
        </w:rPr>
        <w:t>para 50.3</w:t>
      </w:r>
      <w:r>
        <w:rPr>
          <w:lang w:val="en-US"/>
        </w:rPr>
        <w:t>.</w:t>
      </w:r>
    </w:p>
  </w:footnote>
  <w:footnote w:id="28">
    <w:p w14:paraId="22F93F20" w14:textId="6AFE8F87" w:rsidR="00FB5897" w:rsidRPr="004D11A4" w:rsidRDefault="00FB5897" w:rsidP="00FB5897">
      <w:pPr>
        <w:pStyle w:val="FootnoteText"/>
        <w:rPr>
          <w:lang w:val="en-US"/>
        </w:rPr>
      </w:pPr>
      <w:r>
        <w:rPr>
          <w:rStyle w:val="FootnoteReference"/>
        </w:rPr>
        <w:footnoteRef/>
      </w:r>
      <w:r>
        <w:t xml:space="preserve"> </w:t>
      </w:r>
      <w:r>
        <w:rPr>
          <w:lang w:val="en-US"/>
        </w:rPr>
        <w:t xml:space="preserve">See </w:t>
      </w:r>
      <w:r w:rsidR="00E0519C">
        <w:rPr>
          <w:lang w:val="en-US"/>
        </w:rPr>
        <w:t>A</w:t>
      </w:r>
      <w:r>
        <w:rPr>
          <w:lang w:val="en-US"/>
        </w:rPr>
        <w:t xml:space="preserve">pplicant’s </w:t>
      </w:r>
      <w:r w:rsidR="00E0519C">
        <w:rPr>
          <w:lang w:val="en-US"/>
        </w:rPr>
        <w:t>R</w:t>
      </w:r>
      <w:r>
        <w:rPr>
          <w:lang w:val="en-US"/>
        </w:rPr>
        <w:t xml:space="preserve">eplying </w:t>
      </w:r>
      <w:r w:rsidR="00E0519C">
        <w:rPr>
          <w:lang w:val="en-US"/>
        </w:rPr>
        <w:t>A</w:t>
      </w:r>
      <w:r>
        <w:rPr>
          <w:lang w:val="en-US"/>
        </w:rPr>
        <w:t>ffidavit</w:t>
      </w:r>
      <w:r w:rsidR="00E0519C">
        <w:rPr>
          <w:lang w:val="en-US"/>
        </w:rPr>
        <w:t>, CaseLines 024-16,</w:t>
      </w:r>
      <w:r w:rsidR="00E0519C" w:rsidRPr="00E0519C">
        <w:rPr>
          <w:lang w:val="en-US"/>
        </w:rPr>
        <w:t xml:space="preserve"> </w:t>
      </w:r>
      <w:r w:rsidR="00E0519C">
        <w:rPr>
          <w:lang w:val="en-US"/>
        </w:rPr>
        <w:t>para 24.5 and 24.6.</w:t>
      </w:r>
    </w:p>
  </w:footnote>
  <w:footnote w:id="29">
    <w:p w14:paraId="4C0B8F43" w14:textId="0670CEF1" w:rsidR="00A538A8" w:rsidRPr="00B91A6A" w:rsidRDefault="00A538A8" w:rsidP="00A538A8">
      <w:pPr>
        <w:pStyle w:val="FootnoteText"/>
        <w:rPr>
          <w:lang w:val="en-US"/>
        </w:rPr>
      </w:pPr>
      <w:r>
        <w:rPr>
          <w:rStyle w:val="FootnoteReference"/>
        </w:rPr>
        <w:footnoteRef/>
      </w:r>
      <w:r>
        <w:t xml:space="preserve"> </w:t>
      </w:r>
      <w:r>
        <w:rPr>
          <w:lang w:val="en-US"/>
        </w:rPr>
        <w:t>2014 (1) SA 604 (CC).</w:t>
      </w:r>
    </w:p>
  </w:footnote>
  <w:footnote w:id="30">
    <w:p w14:paraId="7283D59A" w14:textId="0608DED3" w:rsidR="00A538A8" w:rsidRPr="00B91A6A" w:rsidRDefault="00A538A8" w:rsidP="00A538A8">
      <w:pPr>
        <w:pStyle w:val="FootnoteText"/>
        <w:rPr>
          <w:lang w:val="en-US"/>
        </w:rPr>
      </w:pPr>
      <w:r>
        <w:rPr>
          <w:rStyle w:val="FootnoteReference"/>
        </w:rPr>
        <w:footnoteRef/>
      </w:r>
      <w:r>
        <w:t xml:space="preserve"> </w:t>
      </w:r>
      <w:r w:rsidRPr="00E0519C">
        <w:rPr>
          <w:i/>
          <w:iCs/>
          <w:lang w:val="en-US"/>
        </w:rPr>
        <w:t>Ibid</w:t>
      </w:r>
      <w:r w:rsidR="00E0519C" w:rsidRPr="00E0519C">
        <w:rPr>
          <w:i/>
          <w:iCs/>
          <w:lang w:val="en-US"/>
        </w:rPr>
        <w:t>,</w:t>
      </w:r>
      <w:r>
        <w:rPr>
          <w:lang w:val="en-US"/>
        </w:rPr>
        <w:t xml:space="preserve"> at para 28.</w:t>
      </w:r>
    </w:p>
  </w:footnote>
  <w:footnote w:id="31">
    <w:p w14:paraId="1DF09487" w14:textId="3E73529F" w:rsidR="0058451D" w:rsidRPr="0058451D" w:rsidRDefault="0058451D">
      <w:pPr>
        <w:pStyle w:val="FootnoteText"/>
        <w:rPr>
          <w:lang w:val="en-US"/>
        </w:rPr>
      </w:pPr>
      <w:r>
        <w:rPr>
          <w:rStyle w:val="FootnoteReference"/>
        </w:rPr>
        <w:footnoteRef/>
      </w:r>
      <w:r>
        <w:t xml:space="preserve"> </w:t>
      </w:r>
      <w:r>
        <w:rPr>
          <w:lang w:val="en-US"/>
        </w:rPr>
        <w:t xml:space="preserve">See </w:t>
      </w:r>
      <w:r w:rsidR="00665554">
        <w:rPr>
          <w:i/>
          <w:lang w:val="en-US"/>
        </w:rPr>
        <w:t xml:space="preserve">Dr JS </w:t>
      </w:r>
      <w:r w:rsidRPr="0058451D">
        <w:rPr>
          <w:i/>
          <w:iCs/>
          <w:lang w:val="en-US"/>
        </w:rPr>
        <w:t xml:space="preserve">Moroka </w:t>
      </w:r>
      <w:r w:rsidR="00665554">
        <w:rPr>
          <w:i/>
          <w:iCs/>
          <w:lang w:val="en-US"/>
        </w:rPr>
        <w:t xml:space="preserve">Municipality and Others </w:t>
      </w:r>
      <w:r w:rsidRPr="0058451D">
        <w:rPr>
          <w:i/>
          <w:iCs/>
          <w:lang w:val="en-US"/>
        </w:rPr>
        <w:t>v Betram (Pty) Ltd</w:t>
      </w:r>
      <w:r w:rsidR="00665554">
        <w:rPr>
          <w:lang w:val="en-US"/>
        </w:rPr>
        <w:t xml:space="preserve"> </w:t>
      </w:r>
      <w:r w:rsidR="00665554">
        <w:rPr>
          <w:i/>
          <w:lang w:val="en-US"/>
        </w:rPr>
        <w:t>and Another</w:t>
      </w:r>
      <w:r w:rsidR="00665554">
        <w:rPr>
          <w:lang w:val="en-US"/>
        </w:rPr>
        <w:t xml:space="preserve"> (937/2012) </w:t>
      </w:r>
      <w:r>
        <w:rPr>
          <w:lang w:val="en-US"/>
        </w:rPr>
        <w:t xml:space="preserve">[2014] 1 All SA 545 </w:t>
      </w:r>
      <w:r w:rsidR="00665554">
        <w:rPr>
          <w:lang w:val="en-US"/>
        </w:rPr>
        <w:t>(</w:t>
      </w:r>
      <w:r>
        <w:rPr>
          <w:lang w:val="en-US"/>
        </w:rPr>
        <w:t>SCA</w:t>
      </w:r>
      <w:r w:rsidR="00665554">
        <w:rPr>
          <w:lang w:val="en-US"/>
        </w:rPr>
        <w:t>)</w:t>
      </w:r>
      <w:r>
        <w:rPr>
          <w:lang w:val="en-US"/>
        </w:rPr>
        <w:t xml:space="preserve"> at para </w:t>
      </w:r>
      <w:r w:rsidR="00665554">
        <w:rPr>
          <w:lang w:val="en-US"/>
        </w:rPr>
        <w:t>[</w:t>
      </w:r>
      <w:r>
        <w:rPr>
          <w:lang w:val="en-US"/>
        </w:rPr>
        <w:t>18</w:t>
      </w:r>
      <w:r w:rsidR="00665554">
        <w:rPr>
          <w:lang w:val="en-US"/>
        </w:rPr>
        <w:t>]</w:t>
      </w:r>
      <w:r>
        <w:rPr>
          <w:lang w:val="en-US"/>
        </w:rPr>
        <w:t>.</w:t>
      </w:r>
    </w:p>
  </w:footnote>
  <w:footnote w:id="32">
    <w:p w14:paraId="28A82AF3" w14:textId="564F3F8D" w:rsidR="006C156B" w:rsidRPr="006C156B" w:rsidRDefault="006C156B">
      <w:pPr>
        <w:pStyle w:val="FootnoteText"/>
        <w:rPr>
          <w:lang w:val="en-US"/>
        </w:rPr>
      </w:pPr>
      <w:r>
        <w:rPr>
          <w:rStyle w:val="FootnoteReference"/>
        </w:rPr>
        <w:footnoteRef/>
      </w:r>
      <w:r w:rsidRPr="006C156B">
        <w:t xml:space="preserve"> </w:t>
      </w:r>
      <w:r w:rsidRPr="006C156B">
        <w:rPr>
          <w:bCs/>
        </w:rPr>
        <w:t>The applicant having stated</w:t>
      </w:r>
      <w:r w:rsidR="00E0519C">
        <w:rPr>
          <w:bCs/>
        </w:rPr>
        <w:t xml:space="preserve"> in the Replying Affidavit</w:t>
      </w:r>
      <w:r>
        <w:rPr>
          <w:bCs/>
        </w:rPr>
        <w:t xml:space="preserve"> </w:t>
      </w:r>
      <w:r w:rsidR="00B5544F">
        <w:rPr>
          <w:bCs/>
        </w:rPr>
        <w:t>on</w:t>
      </w:r>
      <w:r>
        <w:rPr>
          <w:bCs/>
        </w:rPr>
        <w:t xml:space="preserve"> </w:t>
      </w:r>
      <w:r w:rsidR="00E0519C">
        <w:rPr>
          <w:bCs/>
        </w:rPr>
        <w:t>C</w:t>
      </w:r>
      <w:r>
        <w:rPr>
          <w:bCs/>
        </w:rPr>
        <w:t>ase</w:t>
      </w:r>
      <w:r w:rsidR="00E0519C">
        <w:rPr>
          <w:bCs/>
        </w:rPr>
        <w:t>L</w:t>
      </w:r>
      <w:r>
        <w:rPr>
          <w:bCs/>
        </w:rPr>
        <w:t>ine</w:t>
      </w:r>
      <w:r w:rsidR="00E0519C">
        <w:rPr>
          <w:bCs/>
        </w:rPr>
        <w:t>s</w:t>
      </w:r>
      <w:r>
        <w:rPr>
          <w:bCs/>
        </w:rPr>
        <w:t xml:space="preserve"> 024-13 </w:t>
      </w:r>
      <w:r w:rsidR="00B5544F">
        <w:rPr>
          <w:bCs/>
        </w:rPr>
        <w:t xml:space="preserve">at para 23.2 </w:t>
      </w:r>
      <w:r>
        <w:rPr>
          <w:bCs/>
        </w:rPr>
        <w:t>that</w:t>
      </w:r>
      <w:r w:rsidRPr="006C156B">
        <w:rPr>
          <w:bCs/>
        </w:rPr>
        <w:t xml:space="preserve"> </w:t>
      </w:r>
      <w:r w:rsidR="00665554">
        <w:rPr>
          <w:bCs/>
        </w:rPr>
        <w:t>y</w:t>
      </w:r>
      <w:r w:rsidRPr="001227C8">
        <w:rPr>
          <w:bCs/>
          <w:i/>
        </w:rPr>
        <w:t>“</w:t>
      </w:r>
      <w:r w:rsidRPr="006C156B">
        <w:rPr>
          <w:bCs/>
          <w:i/>
          <w:iCs/>
        </w:rPr>
        <w:t>[I]t is standard industry practice that the printer has software installed in case the customer wants to make use of the software at a later stage by connecting the printer to more than one computer</w:t>
      </w:r>
      <w:r w:rsidRPr="006C156B">
        <w:rPr>
          <w:bCs/>
        </w:rPr>
        <w:t xml:space="preserve"> (</w:t>
      </w:r>
      <w:r w:rsidRPr="00B046BC">
        <w:rPr>
          <w:bCs/>
          <w:i/>
          <w:iCs/>
        </w:rPr>
        <w:t>i.e. if the printer no longer has standalone use</w:t>
      </w:r>
      <w:r w:rsidRPr="006C156B">
        <w:rPr>
          <w:bCs/>
        </w:rPr>
        <w:t>).</w:t>
      </w:r>
      <w:r w:rsidR="00665554" w:rsidRPr="001227C8">
        <w:rPr>
          <w:bCs/>
          <w:i/>
        </w:rPr>
        <w:t>”</w:t>
      </w:r>
      <w:r w:rsidRPr="006C156B">
        <w:rPr>
          <w:bCs/>
        </w:rPr>
        <w:t xml:space="preserve"> </w:t>
      </w:r>
    </w:p>
  </w:footnote>
  <w:footnote w:id="33">
    <w:p w14:paraId="7D749A63" w14:textId="2136D509" w:rsidR="00A8302B" w:rsidRPr="00A8302B" w:rsidRDefault="00A8302B">
      <w:pPr>
        <w:pStyle w:val="FootnoteText"/>
        <w:rPr>
          <w:lang w:val="en-US"/>
        </w:rPr>
      </w:pPr>
      <w:r>
        <w:rPr>
          <w:rStyle w:val="FootnoteReference"/>
        </w:rPr>
        <w:footnoteRef/>
      </w:r>
      <w:r>
        <w:t xml:space="preserve"> </w:t>
      </w:r>
      <w:r w:rsidR="00DA34E8">
        <w:rPr>
          <w:lang w:val="en-US"/>
        </w:rPr>
        <w:t>Section</w:t>
      </w:r>
      <w:r w:rsidR="00DA34E8">
        <w:rPr>
          <w:color w:val="FF0000"/>
          <w:lang w:val="en-US"/>
        </w:rPr>
        <w:t xml:space="preserve"> </w:t>
      </w:r>
      <w:r w:rsidR="00DA34E8" w:rsidRPr="00E74747">
        <w:rPr>
          <w:color w:val="000000" w:themeColor="text1"/>
          <w:lang w:val="en-US"/>
        </w:rPr>
        <w:t>6(2)(iii) of the Promotion of Administrative Justice Act, 2000 (“PAJA”) and the principle of legality, as the decisions by the First Respondent to not award the tender to the Applicant for the reasons it did and to award the said tender to the Second Respondent in this matter was biased or reasonably suspected of bias.  Section 6(2)(c) of PAJA and the principle of legality, as the action taken by the First Respondent regarding the Applicant’s complaint herein was procedurally unfair.  Section 6(2)(d) of PAJA and the principle of legality, as the decisions taken by the First Respondent regarding this matter was materially influenced by an error of law.  Section 6(2)(e)(iii) of PAJA and the principle of legality, as the decisions taken by the First Respondent regarding this matter was taken because irrelevant considerations were taken into account or relevant considerations were not taken into account.  Section 6(2)(f)(i) of PAJA and the principle of legality, as the decisions taken by the First Respondent regarding this matter itself contravenes a law or is not authorized by the empowering provision.  Section 6(2)(f)(bb) and (cc) of PAJA and the principle of legality as, the decisions taken by the First Respondent regarding this matter is not rationally connected to the purpose of the provision or the information before the administrator.  Section 6(2)(i) of PAJA and the principle of legality as the decisions taken by the First Respondent regarding this matter is otherwise unconstitutional or unlawful.</w:t>
      </w:r>
    </w:p>
  </w:footnote>
  <w:footnote w:id="34">
    <w:p w14:paraId="44A329E4" w14:textId="6801D56F" w:rsidR="00E354EE" w:rsidRPr="00E354EE" w:rsidRDefault="00E354EE">
      <w:pPr>
        <w:pStyle w:val="FootnoteText"/>
        <w:rPr>
          <w:lang w:val="en-US"/>
        </w:rPr>
      </w:pPr>
      <w:r>
        <w:rPr>
          <w:rStyle w:val="FootnoteReference"/>
        </w:rPr>
        <w:footnoteRef/>
      </w:r>
      <w:r>
        <w:t xml:space="preserve"> </w:t>
      </w:r>
      <w:r w:rsidR="00E74747">
        <w:rPr>
          <w:lang w:val="en-US"/>
        </w:rPr>
        <w:t xml:space="preserve">See para 46 of the first respondent’s heads of argument where reference was made of </w:t>
      </w:r>
      <w:r w:rsidR="00E74747" w:rsidRPr="00E354EE">
        <w:rPr>
          <w:i/>
          <w:iCs/>
          <w:lang w:val="en-US"/>
        </w:rPr>
        <w:t xml:space="preserve">Bato </w:t>
      </w:r>
      <w:r w:rsidR="00E74747">
        <w:rPr>
          <w:i/>
          <w:iCs/>
          <w:lang w:val="en-US"/>
        </w:rPr>
        <w:t>S</w:t>
      </w:r>
      <w:r w:rsidR="00E74747" w:rsidRPr="00E354EE">
        <w:rPr>
          <w:i/>
          <w:iCs/>
          <w:lang w:val="en-US"/>
        </w:rPr>
        <w:t>tar</w:t>
      </w:r>
      <w:r w:rsidR="00E74747">
        <w:rPr>
          <w:i/>
          <w:iCs/>
          <w:lang w:val="en-US"/>
        </w:rPr>
        <w:t xml:space="preserve"> Fishing (Pty) Ltd</w:t>
      </w:r>
      <w:r w:rsidR="00E74747" w:rsidRPr="00E354EE">
        <w:rPr>
          <w:i/>
          <w:iCs/>
          <w:lang w:val="en-US"/>
        </w:rPr>
        <w:t xml:space="preserve"> v M</w:t>
      </w:r>
      <w:r w:rsidR="00E74747">
        <w:rPr>
          <w:i/>
          <w:iCs/>
          <w:lang w:val="en-US"/>
        </w:rPr>
        <w:t>i</w:t>
      </w:r>
      <w:r w:rsidR="00E74747" w:rsidRPr="00E354EE">
        <w:rPr>
          <w:i/>
          <w:iCs/>
          <w:lang w:val="en-US"/>
        </w:rPr>
        <w:t>niste</w:t>
      </w:r>
      <w:r w:rsidR="00E74747">
        <w:rPr>
          <w:i/>
          <w:iCs/>
          <w:lang w:val="en-US"/>
        </w:rPr>
        <w:t>r</w:t>
      </w:r>
      <w:r w:rsidR="00E74747" w:rsidRPr="00E354EE">
        <w:rPr>
          <w:i/>
          <w:iCs/>
          <w:lang w:val="en-US"/>
        </w:rPr>
        <w:t xml:space="preserve"> of Environmental Affairs</w:t>
      </w:r>
      <w:r w:rsidR="00E74747">
        <w:rPr>
          <w:lang w:val="en-US"/>
        </w:rPr>
        <w:t xml:space="preserve"> </w:t>
      </w:r>
      <w:r w:rsidR="00E74747">
        <w:rPr>
          <w:i/>
          <w:lang w:val="en-US"/>
        </w:rPr>
        <w:t xml:space="preserve">and Tourism and Others </w:t>
      </w:r>
      <w:r w:rsidR="00E74747">
        <w:rPr>
          <w:lang w:val="en-US"/>
        </w:rPr>
        <w:t xml:space="preserve">2004 (4) SA 490 (CC) para </w:t>
      </w:r>
      <w:r w:rsidR="00A07CC3">
        <w:rPr>
          <w:lang w:val="en-US"/>
        </w:rPr>
        <w:t>[</w:t>
      </w:r>
      <w:r w:rsidR="00E74747">
        <w:rPr>
          <w:lang w:val="en-US"/>
        </w:rPr>
        <w:t>27</w:t>
      </w:r>
      <w:r w:rsidR="00A07CC3">
        <w:rPr>
          <w:lang w:val="en-US"/>
        </w:rPr>
        <w:t>]</w:t>
      </w:r>
      <w:r w:rsidR="00E74747">
        <w:rPr>
          <w:lang w:val="en-US"/>
        </w:rPr>
        <w:t xml:space="preserve"> where it is stated that </w:t>
      </w:r>
      <w:r w:rsidR="00E74747">
        <w:rPr>
          <w:i/>
          <w:lang w:val="en-US"/>
        </w:rPr>
        <w:t>“The Minister and the Chief Director argue that the applicant did not disclose its causes of action sufficiently clearly or precisely for the respondents to be able to respond to them.  Where a litigant relies upon a statutory provision, it is not necessary to specify it, but it must be clear from the facts alleged by the litigant that the section is relevant and operative.  I am prepared to assume, in favour of the applicant, for the purposes of this case, that its failure to identify with any precision the provisions of PAJA upon which it relied is not fatal to its cause of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4C9FF6A7"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B01D97">
      <w:rPr>
        <w:rStyle w:val="PageNumber"/>
        <w:rFonts w:cs="Arial"/>
        <w:noProof/>
        <w:sz w:val="20"/>
        <w:szCs w:val="20"/>
      </w:rPr>
      <w:t>2</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092D17"/>
    <w:multiLevelType w:val="multilevel"/>
    <w:tmpl w:val="0BBA5006"/>
    <w:lvl w:ilvl="0">
      <w:start w:val="10"/>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1EB0A62"/>
    <w:multiLevelType w:val="hybridMultilevel"/>
    <w:tmpl w:val="E848B5D2"/>
    <w:lvl w:ilvl="0" w:tplc="6D725082">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3">
    <w:nsid w:val="184A166A"/>
    <w:multiLevelType w:val="hybridMultilevel"/>
    <w:tmpl w:val="2980767C"/>
    <w:lvl w:ilvl="0" w:tplc="B76AE8A8">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4">
    <w:nsid w:val="232F7E4E"/>
    <w:multiLevelType w:val="multilevel"/>
    <w:tmpl w:val="0E66C0C8"/>
    <w:styleLink w:val="CurrentList1"/>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496B85"/>
    <w:multiLevelType w:val="multilevel"/>
    <w:tmpl w:val="0E66C0C8"/>
    <w:styleLink w:val="CurrentList2"/>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FB012FC"/>
    <w:multiLevelType w:val="hybridMultilevel"/>
    <w:tmpl w:val="070CDA72"/>
    <w:lvl w:ilvl="0" w:tplc="56B84CA6">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415B7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920A7A"/>
    <w:multiLevelType w:val="multilevel"/>
    <w:tmpl w:val="23AE4458"/>
    <w:lvl w:ilvl="0">
      <w:start w:val="1"/>
      <w:numFmt w:val="decimal"/>
      <w:lvlText w:val="[%1]"/>
      <w:lvlJc w:val="left"/>
      <w:pPr>
        <w:ind w:left="0" w:firstLine="0"/>
      </w:pPr>
      <w:rPr>
        <w:rFonts w:ascii="Times New Roman" w:hAnsi="Times New Roman" w:cs="Times New Roman" w:hint="default"/>
        <w:b w:val="0"/>
        <w:i w:val="0"/>
        <w:color w:val="auto"/>
        <w:sz w:val="24"/>
        <w:szCs w:val="24"/>
      </w:rPr>
    </w:lvl>
    <w:lvl w:ilvl="1">
      <w:start w:val="1"/>
      <w:numFmt w:val="decimal"/>
      <w:lvlText w:val="%1.%2"/>
      <w:lvlJc w:val="left"/>
      <w:pPr>
        <w:tabs>
          <w:tab w:val="num" w:pos="3007"/>
        </w:tabs>
        <w:ind w:left="3120"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C3A0903"/>
    <w:multiLevelType w:val="multilevel"/>
    <w:tmpl w:val="EA848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50EF153B"/>
    <w:multiLevelType w:val="multilevel"/>
    <w:tmpl w:val="89F01EC6"/>
    <w:lvl w:ilvl="0">
      <w:start w:val="3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68058F"/>
    <w:multiLevelType w:val="hybridMultilevel"/>
    <w:tmpl w:val="B6C67D80"/>
    <w:lvl w:ilvl="0" w:tplc="A2368AF8">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2">
    <w:nsid w:val="588A5F70"/>
    <w:multiLevelType w:val="hybridMultilevel"/>
    <w:tmpl w:val="F6EC725C"/>
    <w:lvl w:ilvl="0" w:tplc="A40602A2">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C472D6"/>
    <w:multiLevelType w:val="multilevel"/>
    <w:tmpl w:val="ADCAD3A6"/>
    <w:lvl w:ilvl="0">
      <w:start w:val="1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6803109E"/>
    <w:multiLevelType w:val="multilevel"/>
    <w:tmpl w:val="A53EB0F8"/>
    <w:lvl w:ilvl="0">
      <w:start w:val="2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69B62895"/>
    <w:multiLevelType w:val="multilevel"/>
    <w:tmpl w:val="07EC5D4E"/>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8"/>
  </w:num>
  <w:num w:numId="3">
    <w:abstractNumId w:val="10"/>
  </w:num>
  <w:num w:numId="4">
    <w:abstractNumId w:val="12"/>
  </w:num>
  <w:num w:numId="5">
    <w:abstractNumId w:val="4"/>
  </w:num>
  <w:num w:numId="6">
    <w:abstractNumId w:val="5"/>
  </w:num>
  <w:num w:numId="7">
    <w:abstractNumId w:val="13"/>
  </w:num>
  <w:num w:numId="8">
    <w:abstractNumId w:val="14"/>
  </w:num>
  <w:num w:numId="9">
    <w:abstractNumId w:val="15"/>
  </w:num>
  <w:num w:numId="10">
    <w:abstractNumId w:val="9"/>
  </w:num>
  <w:num w:numId="11">
    <w:abstractNumId w:val="7"/>
  </w:num>
  <w:num w:numId="12">
    <w:abstractNumId w:val="1"/>
  </w:num>
  <w:num w:numId="13">
    <w:abstractNumId w:val="6"/>
  </w:num>
  <w:num w:numId="14">
    <w:abstractNumId w:val="2"/>
  </w:num>
  <w:num w:numId="15">
    <w:abstractNumId w:val="11"/>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A8C"/>
    <w:rsid w:val="00000EF8"/>
    <w:rsid w:val="00001488"/>
    <w:rsid w:val="000014AB"/>
    <w:rsid w:val="00001C2B"/>
    <w:rsid w:val="00001C90"/>
    <w:rsid w:val="00001D87"/>
    <w:rsid w:val="00001ED1"/>
    <w:rsid w:val="00001F37"/>
    <w:rsid w:val="00001F4A"/>
    <w:rsid w:val="000026E3"/>
    <w:rsid w:val="00002A5A"/>
    <w:rsid w:val="00002D1B"/>
    <w:rsid w:val="00003B22"/>
    <w:rsid w:val="00004DCC"/>
    <w:rsid w:val="00005098"/>
    <w:rsid w:val="000054B3"/>
    <w:rsid w:val="00005559"/>
    <w:rsid w:val="00005586"/>
    <w:rsid w:val="00005EAD"/>
    <w:rsid w:val="00005FB2"/>
    <w:rsid w:val="00006217"/>
    <w:rsid w:val="000067E8"/>
    <w:rsid w:val="00006EF4"/>
    <w:rsid w:val="000075E6"/>
    <w:rsid w:val="00007649"/>
    <w:rsid w:val="000077D9"/>
    <w:rsid w:val="00007A49"/>
    <w:rsid w:val="00007F4C"/>
    <w:rsid w:val="00010400"/>
    <w:rsid w:val="00010555"/>
    <w:rsid w:val="000105FA"/>
    <w:rsid w:val="0001097C"/>
    <w:rsid w:val="00011B90"/>
    <w:rsid w:val="00011E15"/>
    <w:rsid w:val="00012122"/>
    <w:rsid w:val="00012338"/>
    <w:rsid w:val="00013098"/>
    <w:rsid w:val="000132C8"/>
    <w:rsid w:val="000138E7"/>
    <w:rsid w:val="00013C41"/>
    <w:rsid w:val="00015564"/>
    <w:rsid w:val="000159D0"/>
    <w:rsid w:val="000159E3"/>
    <w:rsid w:val="00015DF2"/>
    <w:rsid w:val="000167A0"/>
    <w:rsid w:val="00016CAE"/>
    <w:rsid w:val="0001748F"/>
    <w:rsid w:val="00017ADC"/>
    <w:rsid w:val="00017F38"/>
    <w:rsid w:val="00017FBE"/>
    <w:rsid w:val="000201F3"/>
    <w:rsid w:val="00021426"/>
    <w:rsid w:val="0002183E"/>
    <w:rsid w:val="000218D9"/>
    <w:rsid w:val="00022137"/>
    <w:rsid w:val="00022553"/>
    <w:rsid w:val="00022755"/>
    <w:rsid w:val="00022DBD"/>
    <w:rsid w:val="0002339D"/>
    <w:rsid w:val="00023E81"/>
    <w:rsid w:val="00024CFC"/>
    <w:rsid w:val="00024D9F"/>
    <w:rsid w:val="00024EEC"/>
    <w:rsid w:val="00025230"/>
    <w:rsid w:val="000257BF"/>
    <w:rsid w:val="00025954"/>
    <w:rsid w:val="00025AC8"/>
    <w:rsid w:val="00025F74"/>
    <w:rsid w:val="00026337"/>
    <w:rsid w:val="0002779C"/>
    <w:rsid w:val="00027F96"/>
    <w:rsid w:val="0003016A"/>
    <w:rsid w:val="00030771"/>
    <w:rsid w:val="00031320"/>
    <w:rsid w:val="0003134A"/>
    <w:rsid w:val="00031BEB"/>
    <w:rsid w:val="00032B62"/>
    <w:rsid w:val="0003304E"/>
    <w:rsid w:val="00033905"/>
    <w:rsid w:val="00033951"/>
    <w:rsid w:val="00033B8B"/>
    <w:rsid w:val="00033BB2"/>
    <w:rsid w:val="00033D80"/>
    <w:rsid w:val="00033E4B"/>
    <w:rsid w:val="00034750"/>
    <w:rsid w:val="00034CA4"/>
    <w:rsid w:val="00035281"/>
    <w:rsid w:val="00035663"/>
    <w:rsid w:val="000368F0"/>
    <w:rsid w:val="000368FA"/>
    <w:rsid w:val="00036C6F"/>
    <w:rsid w:val="0003747A"/>
    <w:rsid w:val="00037BEE"/>
    <w:rsid w:val="00040628"/>
    <w:rsid w:val="0004112A"/>
    <w:rsid w:val="0004116B"/>
    <w:rsid w:val="00041412"/>
    <w:rsid w:val="000417FB"/>
    <w:rsid w:val="00042147"/>
    <w:rsid w:val="000424CF"/>
    <w:rsid w:val="00042F90"/>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30B2"/>
    <w:rsid w:val="00053E41"/>
    <w:rsid w:val="000542E5"/>
    <w:rsid w:val="0005441F"/>
    <w:rsid w:val="000544E5"/>
    <w:rsid w:val="000548AD"/>
    <w:rsid w:val="000552D2"/>
    <w:rsid w:val="00055739"/>
    <w:rsid w:val="00055DEE"/>
    <w:rsid w:val="00056201"/>
    <w:rsid w:val="00056B1C"/>
    <w:rsid w:val="00056D7C"/>
    <w:rsid w:val="00057567"/>
    <w:rsid w:val="00057638"/>
    <w:rsid w:val="00057700"/>
    <w:rsid w:val="000610F7"/>
    <w:rsid w:val="00061D0B"/>
    <w:rsid w:val="00061E96"/>
    <w:rsid w:val="00062F44"/>
    <w:rsid w:val="00063810"/>
    <w:rsid w:val="0006381A"/>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8D0"/>
    <w:rsid w:val="00070B87"/>
    <w:rsid w:val="00071C87"/>
    <w:rsid w:val="00071CED"/>
    <w:rsid w:val="00072209"/>
    <w:rsid w:val="00072880"/>
    <w:rsid w:val="00072E6A"/>
    <w:rsid w:val="00073083"/>
    <w:rsid w:val="00073173"/>
    <w:rsid w:val="000736CC"/>
    <w:rsid w:val="00073A15"/>
    <w:rsid w:val="00073B67"/>
    <w:rsid w:val="000747FF"/>
    <w:rsid w:val="00074EFC"/>
    <w:rsid w:val="000751BC"/>
    <w:rsid w:val="0007555F"/>
    <w:rsid w:val="00075846"/>
    <w:rsid w:val="00075EF8"/>
    <w:rsid w:val="00076993"/>
    <w:rsid w:val="00076B87"/>
    <w:rsid w:val="00076FDD"/>
    <w:rsid w:val="000774B9"/>
    <w:rsid w:val="00077825"/>
    <w:rsid w:val="00077BE9"/>
    <w:rsid w:val="00080236"/>
    <w:rsid w:val="00080D72"/>
    <w:rsid w:val="000815CC"/>
    <w:rsid w:val="000818E4"/>
    <w:rsid w:val="00081F68"/>
    <w:rsid w:val="00082591"/>
    <w:rsid w:val="000846A3"/>
    <w:rsid w:val="000848F5"/>
    <w:rsid w:val="00084DB1"/>
    <w:rsid w:val="000852E7"/>
    <w:rsid w:val="000859AD"/>
    <w:rsid w:val="000859E7"/>
    <w:rsid w:val="00085B09"/>
    <w:rsid w:val="00085F6E"/>
    <w:rsid w:val="00085F9F"/>
    <w:rsid w:val="00085FC0"/>
    <w:rsid w:val="0008666B"/>
    <w:rsid w:val="00086D96"/>
    <w:rsid w:val="00091291"/>
    <w:rsid w:val="000920BA"/>
    <w:rsid w:val="00092D66"/>
    <w:rsid w:val="00093730"/>
    <w:rsid w:val="00093F4D"/>
    <w:rsid w:val="00093FBF"/>
    <w:rsid w:val="000942F8"/>
    <w:rsid w:val="0009496E"/>
    <w:rsid w:val="00094BC0"/>
    <w:rsid w:val="000958D3"/>
    <w:rsid w:val="00096174"/>
    <w:rsid w:val="000966A1"/>
    <w:rsid w:val="00096978"/>
    <w:rsid w:val="00096B38"/>
    <w:rsid w:val="00096E35"/>
    <w:rsid w:val="000971D5"/>
    <w:rsid w:val="00097375"/>
    <w:rsid w:val="0009746F"/>
    <w:rsid w:val="000974D9"/>
    <w:rsid w:val="00097B28"/>
    <w:rsid w:val="00097BEE"/>
    <w:rsid w:val="00097D61"/>
    <w:rsid w:val="000A01D1"/>
    <w:rsid w:val="000A0765"/>
    <w:rsid w:val="000A14BA"/>
    <w:rsid w:val="000A21B9"/>
    <w:rsid w:val="000A2296"/>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0C07"/>
    <w:rsid w:val="000B133B"/>
    <w:rsid w:val="000B1D38"/>
    <w:rsid w:val="000B20BE"/>
    <w:rsid w:val="000B3AD7"/>
    <w:rsid w:val="000B4664"/>
    <w:rsid w:val="000B5120"/>
    <w:rsid w:val="000B57F7"/>
    <w:rsid w:val="000B5FF8"/>
    <w:rsid w:val="000B60D0"/>
    <w:rsid w:val="000B62E1"/>
    <w:rsid w:val="000B66C8"/>
    <w:rsid w:val="000B6AB6"/>
    <w:rsid w:val="000B73E6"/>
    <w:rsid w:val="000B7560"/>
    <w:rsid w:val="000B7740"/>
    <w:rsid w:val="000B7F2F"/>
    <w:rsid w:val="000C024B"/>
    <w:rsid w:val="000C073E"/>
    <w:rsid w:val="000C0E4C"/>
    <w:rsid w:val="000C11A2"/>
    <w:rsid w:val="000C23CE"/>
    <w:rsid w:val="000C295E"/>
    <w:rsid w:val="000C2F7E"/>
    <w:rsid w:val="000C340C"/>
    <w:rsid w:val="000C37A9"/>
    <w:rsid w:val="000C37B9"/>
    <w:rsid w:val="000C3E6D"/>
    <w:rsid w:val="000C4225"/>
    <w:rsid w:val="000C54B8"/>
    <w:rsid w:val="000C589E"/>
    <w:rsid w:val="000C5D47"/>
    <w:rsid w:val="000C6187"/>
    <w:rsid w:val="000C6459"/>
    <w:rsid w:val="000C671C"/>
    <w:rsid w:val="000C6929"/>
    <w:rsid w:val="000C7459"/>
    <w:rsid w:val="000C7699"/>
    <w:rsid w:val="000C79C6"/>
    <w:rsid w:val="000C7D50"/>
    <w:rsid w:val="000C7F43"/>
    <w:rsid w:val="000D051A"/>
    <w:rsid w:val="000D102B"/>
    <w:rsid w:val="000D132A"/>
    <w:rsid w:val="000D1ECD"/>
    <w:rsid w:val="000D2CEB"/>
    <w:rsid w:val="000D2F06"/>
    <w:rsid w:val="000D3A78"/>
    <w:rsid w:val="000D40E2"/>
    <w:rsid w:val="000D480F"/>
    <w:rsid w:val="000D4BC5"/>
    <w:rsid w:val="000D4D04"/>
    <w:rsid w:val="000D4EBD"/>
    <w:rsid w:val="000D512A"/>
    <w:rsid w:val="000D5462"/>
    <w:rsid w:val="000D60CB"/>
    <w:rsid w:val="000D6515"/>
    <w:rsid w:val="000D65C9"/>
    <w:rsid w:val="000D67EE"/>
    <w:rsid w:val="000D7AD3"/>
    <w:rsid w:val="000E06E4"/>
    <w:rsid w:val="000E0869"/>
    <w:rsid w:val="000E095C"/>
    <w:rsid w:val="000E0B6E"/>
    <w:rsid w:val="000E0CCE"/>
    <w:rsid w:val="000E0F0F"/>
    <w:rsid w:val="000E110F"/>
    <w:rsid w:val="000E117E"/>
    <w:rsid w:val="000E1B5D"/>
    <w:rsid w:val="000E1B61"/>
    <w:rsid w:val="000E21A8"/>
    <w:rsid w:val="000E22D9"/>
    <w:rsid w:val="000E28D4"/>
    <w:rsid w:val="000E2B3D"/>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1FE7"/>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2EF"/>
    <w:rsid w:val="000F66CF"/>
    <w:rsid w:val="000F686D"/>
    <w:rsid w:val="000F6ED1"/>
    <w:rsid w:val="000F6FF5"/>
    <w:rsid w:val="000F75ED"/>
    <w:rsid w:val="0010088E"/>
    <w:rsid w:val="001017AA"/>
    <w:rsid w:val="00101811"/>
    <w:rsid w:val="0010191A"/>
    <w:rsid w:val="001026AC"/>
    <w:rsid w:val="00102832"/>
    <w:rsid w:val="00102A45"/>
    <w:rsid w:val="00103EE7"/>
    <w:rsid w:val="0010452B"/>
    <w:rsid w:val="00104818"/>
    <w:rsid w:val="00105D5A"/>
    <w:rsid w:val="001061C2"/>
    <w:rsid w:val="001074A3"/>
    <w:rsid w:val="00107966"/>
    <w:rsid w:val="00107D73"/>
    <w:rsid w:val="00110198"/>
    <w:rsid w:val="00110911"/>
    <w:rsid w:val="00110B59"/>
    <w:rsid w:val="00110C9C"/>
    <w:rsid w:val="001119A7"/>
    <w:rsid w:val="0011232E"/>
    <w:rsid w:val="00112648"/>
    <w:rsid w:val="00112796"/>
    <w:rsid w:val="00112E3E"/>
    <w:rsid w:val="00112FA3"/>
    <w:rsid w:val="00113782"/>
    <w:rsid w:val="00113984"/>
    <w:rsid w:val="00114662"/>
    <w:rsid w:val="001161D5"/>
    <w:rsid w:val="001164AF"/>
    <w:rsid w:val="00117303"/>
    <w:rsid w:val="00117F01"/>
    <w:rsid w:val="00120633"/>
    <w:rsid w:val="00120A5D"/>
    <w:rsid w:val="00120B19"/>
    <w:rsid w:val="001211F9"/>
    <w:rsid w:val="0012138A"/>
    <w:rsid w:val="001227C8"/>
    <w:rsid w:val="00122AF9"/>
    <w:rsid w:val="001236DB"/>
    <w:rsid w:val="00124028"/>
    <w:rsid w:val="001241B2"/>
    <w:rsid w:val="00124235"/>
    <w:rsid w:val="001246AF"/>
    <w:rsid w:val="001249F8"/>
    <w:rsid w:val="00124A80"/>
    <w:rsid w:val="00125C9C"/>
    <w:rsid w:val="0012708E"/>
    <w:rsid w:val="001277E1"/>
    <w:rsid w:val="001301CC"/>
    <w:rsid w:val="00130561"/>
    <w:rsid w:val="00130946"/>
    <w:rsid w:val="00130B0A"/>
    <w:rsid w:val="0013102F"/>
    <w:rsid w:val="00131080"/>
    <w:rsid w:val="00131AB6"/>
    <w:rsid w:val="00131D0D"/>
    <w:rsid w:val="0013226D"/>
    <w:rsid w:val="0013320B"/>
    <w:rsid w:val="00133940"/>
    <w:rsid w:val="00133C40"/>
    <w:rsid w:val="00134210"/>
    <w:rsid w:val="00135CEF"/>
    <w:rsid w:val="00136787"/>
    <w:rsid w:val="00137139"/>
    <w:rsid w:val="00137943"/>
    <w:rsid w:val="00137B1B"/>
    <w:rsid w:val="00140568"/>
    <w:rsid w:val="00140FCD"/>
    <w:rsid w:val="0014112F"/>
    <w:rsid w:val="001418F6"/>
    <w:rsid w:val="00141934"/>
    <w:rsid w:val="0014293C"/>
    <w:rsid w:val="00143208"/>
    <w:rsid w:val="00143C72"/>
    <w:rsid w:val="0014511D"/>
    <w:rsid w:val="00145C4D"/>
    <w:rsid w:val="00145F25"/>
    <w:rsid w:val="0014646E"/>
    <w:rsid w:val="0014686F"/>
    <w:rsid w:val="00146A52"/>
    <w:rsid w:val="00146A5D"/>
    <w:rsid w:val="00146FE2"/>
    <w:rsid w:val="00147534"/>
    <w:rsid w:val="001475BE"/>
    <w:rsid w:val="00147E83"/>
    <w:rsid w:val="00147F0A"/>
    <w:rsid w:val="0015043C"/>
    <w:rsid w:val="0015158E"/>
    <w:rsid w:val="001515C2"/>
    <w:rsid w:val="00151A5C"/>
    <w:rsid w:val="001521BF"/>
    <w:rsid w:val="001522F0"/>
    <w:rsid w:val="00152374"/>
    <w:rsid w:val="0015346F"/>
    <w:rsid w:val="001536AF"/>
    <w:rsid w:val="001539DC"/>
    <w:rsid w:val="00154DFB"/>
    <w:rsid w:val="00155D72"/>
    <w:rsid w:val="001561ED"/>
    <w:rsid w:val="00156BE8"/>
    <w:rsid w:val="0015711A"/>
    <w:rsid w:val="001575F7"/>
    <w:rsid w:val="00160C3A"/>
    <w:rsid w:val="00160CB0"/>
    <w:rsid w:val="00161306"/>
    <w:rsid w:val="00161774"/>
    <w:rsid w:val="001624DA"/>
    <w:rsid w:val="0016357E"/>
    <w:rsid w:val="00163946"/>
    <w:rsid w:val="001639B4"/>
    <w:rsid w:val="00165B65"/>
    <w:rsid w:val="001661BD"/>
    <w:rsid w:val="001663F8"/>
    <w:rsid w:val="00166C64"/>
    <w:rsid w:val="001670E1"/>
    <w:rsid w:val="001677D4"/>
    <w:rsid w:val="00167C60"/>
    <w:rsid w:val="001705DD"/>
    <w:rsid w:val="001708A2"/>
    <w:rsid w:val="001708C3"/>
    <w:rsid w:val="00170A01"/>
    <w:rsid w:val="00170EF1"/>
    <w:rsid w:val="00170FFC"/>
    <w:rsid w:val="001714AF"/>
    <w:rsid w:val="00171E72"/>
    <w:rsid w:val="00171EEF"/>
    <w:rsid w:val="0017249D"/>
    <w:rsid w:val="001724D6"/>
    <w:rsid w:val="001725DC"/>
    <w:rsid w:val="0017293F"/>
    <w:rsid w:val="00173012"/>
    <w:rsid w:val="001735DD"/>
    <w:rsid w:val="0017412B"/>
    <w:rsid w:val="00174292"/>
    <w:rsid w:val="0017471E"/>
    <w:rsid w:val="001754F1"/>
    <w:rsid w:val="001755D7"/>
    <w:rsid w:val="0017613A"/>
    <w:rsid w:val="00176392"/>
    <w:rsid w:val="00176D66"/>
    <w:rsid w:val="00176E33"/>
    <w:rsid w:val="001772A5"/>
    <w:rsid w:val="0017735D"/>
    <w:rsid w:val="001777F9"/>
    <w:rsid w:val="001801F6"/>
    <w:rsid w:val="00180708"/>
    <w:rsid w:val="001807AE"/>
    <w:rsid w:val="00180BF0"/>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3BA"/>
    <w:rsid w:val="00187A23"/>
    <w:rsid w:val="00187F7D"/>
    <w:rsid w:val="001900C0"/>
    <w:rsid w:val="00190C48"/>
    <w:rsid w:val="0019118A"/>
    <w:rsid w:val="001920EA"/>
    <w:rsid w:val="00192438"/>
    <w:rsid w:val="001928D0"/>
    <w:rsid w:val="00192CEE"/>
    <w:rsid w:val="00192D3B"/>
    <w:rsid w:val="00192FB3"/>
    <w:rsid w:val="0019333D"/>
    <w:rsid w:val="001936C6"/>
    <w:rsid w:val="00193F44"/>
    <w:rsid w:val="00195295"/>
    <w:rsid w:val="0019591C"/>
    <w:rsid w:val="00195CC3"/>
    <w:rsid w:val="00195E8F"/>
    <w:rsid w:val="00196531"/>
    <w:rsid w:val="00196D92"/>
    <w:rsid w:val="001978CD"/>
    <w:rsid w:val="00197E9D"/>
    <w:rsid w:val="00197EE5"/>
    <w:rsid w:val="001A0205"/>
    <w:rsid w:val="001A0D6D"/>
    <w:rsid w:val="001A181F"/>
    <w:rsid w:val="001A185D"/>
    <w:rsid w:val="001A1F5C"/>
    <w:rsid w:val="001A211A"/>
    <w:rsid w:val="001A288B"/>
    <w:rsid w:val="001A29BA"/>
    <w:rsid w:val="001A3F92"/>
    <w:rsid w:val="001A4019"/>
    <w:rsid w:val="001A4353"/>
    <w:rsid w:val="001A4417"/>
    <w:rsid w:val="001A4535"/>
    <w:rsid w:val="001A5D83"/>
    <w:rsid w:val="001A677B"/>
    <w:rsid w:val="001A6CA8"/>
    <w:rsid w:val="001A6EAE"/>
    <w:rsid w:val="001A6F70"/>
    <w:rsid w:val="001A7257"/>
    <w:rsid w:val="001B02C0"/>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5D03"/>
    <w:rsid w:val="001B6735"/>
    <w:rsid w:val="001B6D01"/>
    <w:rsid w:val="001B7144"/>
    <w:rsid w:val="001B78E5"/>
    <w:rsid w:val="001B7B42"/>
    <w:rsid w:val="001C0207"/>
    <w:rsid w:val="001C0390"/>
    <w:rsid w:val="001C045A"/>
    <w:rsid w:val="001C0640"/>
    <w:rsid w:val="001C066F"/>
    <w:rsid w:val="001C06E4"/>
    <w:rsid w:val="001C0DA5"/>
    <w:rsid w:val="001C139D"/>
    <w:rsid w:val="001C18FD"/>
    <w:rsid w:val="001C1FBB"/>
    <w:rsid w:val="001C20ED"/>
    <w:rsid w:val="001C2207"/>
    <w:rsid w:val="001C23E0"/>
    <w:rsid w:val="001C242B"/>
    <w:rsid w:val="001C2908"/>
    <w:rsid w:val="001C40D9"/>
    <w:rsid w:val="001C4D7F"/>
    <w:rsid w:val="001C508B"/>
    <w:rsid w:val="001C53A3"/>
    <w:rsid w:val="001C54CF"/>
    <w:rsid w:val="001C5776"/>
    <w:rsid w:val="001C57B1"/>
    <w:rsid w:val="001C6472"/>
    <w:rsid w:val="001C6C89"/>
    <w:rsid w:val="001C749A"/>
    <w:rsid w:val="001C7EF5"/>
    <w:rsid w:val="001D0863"/>
    <w:rsid w:val="001D0A15"/>
    <w:rsid w:val="001D0DC9"/>
    <w:rsid w:val="001D0F50"/>
    <w:rsid w:val="001D18EE"/>
    <w:rsid w:val="001D29C7"/>
    <w:rsid w:val="001D2B60"/>
    <w:rsid w:val="001D3140"/>
    <w:rsid w:val="001D4425"/>
    <w:rsid w:val="001D470B"/>
    <w:rsid w:val="001D47C8"/>
    <w:rsid w:val="001D4E67"/>
    <w:rsid w:val="001D546C"/>
    <w:rsid w:val="001D5D3E"/>
    <w:rsid w:val="001D6026"/>
    <w:rsid w:val="001D6341"/>
    <w:rsid w:val="001D65DB"/>
    <w:rsid w:val="001D67A8"/>
    <w:rsid w:val="001D6B02"/>
    <w:rsid w:val="001D749F"/>
    <w:rsid w:val="001D7774"/>
    <w:rsid w:val="001D7887"/>
    <w:rsid w:val="001D7B87"/>
    <w:rsid w:val="001E021E"/>
    <w:rsid w:val="001E03C3"/>
    <w:rsid w:val="001E0FAC"/>
    <w:rsid w:val="001E143C"/>
    <w:rsid w:val="001E156C"/>
    <w:rsid w:val="001E221F"/>
    <w:rsid w:val="001E22A1"/>
    <w:rsid w:val="001E2530"/>
    <w:rsid w:val="001E2BD6"/>
    <w:rsid w:val="001E316D"/>
    <w:rsid w:val="001E394B"/>
    <w:rsid w:val="001E3AF6"/>
    <w:rsid w:val="001E3C31"/>
    <w:rsid w:val="001E3E1F"/>
    <w:rsid w:val="001E4134"/>
    <w:rsid w:val="001E4B2F"/>
    <w:rsid w:val="001E4DB4"/>
    <w:rsid w:val="001E4E87"/>
    <w:rsid w:val="001E5B65"/>
    <w:rsid w:val="001E5DF1"/>
    <w:rsid w:val="001E5E97"/>
    <w:rsid w:val="001E63F2"/>
    <w:rsid w:val="001E694F"/>
    <w:rsid w:val="001E714A"/>
    <w:rsid w:val="001E72B0"/>
    <w:rsid w:val="001E791E"/>
    <w:rsid w:val="001E7B3D"/>
    <w:rsid w:val="001F044D"/>
    <w:rsid w:val="001F0548"/>
    <w:rsid w:val="001F07C9"/>
    <w:rsid w:val="001F0C9D"/>
    <w:rsid w:val="001F1401"/>
    <w:rsid w:val="001F1FAB"/>
    <w:rsid w:val="001F2002"/>
    <w:rsid w:val="001F25DE"/>
    <w:rsid w:val="001F29CC"/>
    <w:rsid w:val="001F2B93"/>
    <w:rsid w:val="001F2E66"/>
    <w:rsid w:val="001F326A"/>
    <w:rsid w:val="001F3D46"/>
    <w:rsid w:val="001F41B9"/>
    <w:rsid w:val="001F43F3"/>
    <w:rsid w:val="001F45A3"/>
    <w:rsid w:val="001F4D08"/>
    <w:rsid w:val="001F4E1A"/>
    <w:rsid w:val="001F577B"/>
    <w:rsid w:val="001F5A15"/>
    <w:rsid w:val="001F5C5B"/>
    <w:rsid w:val="001F5CEA"/>
    <w:rsid w:val="001F5D1C"/>
    <w:rsid w:val="001F6491"/>
    <w:rsid w:val="001F6807"/>
    <w:rsid w:val="00201B08"/>
    <w:rsid w:val="00202075"/>
    <w:rsid w:val="002024CE"/>
    <w:rsid w:val="00203474"/>
    <w:rsid w:val="0020349D"/>
    <w:rsid w:val="00203AE3"/>
    <w:rsid w:val="00204D01"/>
    <w:rsid w:val="0020513E"/>
    <w:rsid w:val="00205577"/>
    <w:rsid w:val="0020580A"/>
    <w:rsid w:val="00205AC4"/>
    <w:rsid w:val="00205D02"/>
    <w:rsid w:val="00205DE8"/>
    <w:rsid w:val="00205FA5"/>
    <w:rsid w:val="00206393"/>
    <w:rsid w:val="00206E70"/>
    <w:rsid w:val="002070EB"/>
    <w:rsid w:val="00207312"/>
    <w:rsid w:val="00207BAD"/>
    <w:rsid w:val="00210399"/>
    <w:rsid w:val="00210ACE"/>
    <w:rsid w:val="0021110A"/>
    <w:rsid w:val="002113CA"/>
    <w:rsid w:val="002129DA"/>
    <w:rsid w:val="0021309A"/>
    <w:rsid w:val="002130A3"/>
    <w:rsid w:val="002130F8"/>
    <w:rsid w:val="0021467E"/>
    <w:rsid w:val="00214942"/>
    <w:rsid w:val="00214A36"/>
    <w:rsid w:val="00214D44"/>
    <w:rsid w:val="0021536D"/>
    <w:rsid w:val="00215625"/>
    <w:rsid w:val="00215A62"/>
    <w:rsid w:val="0021667B"/>
    <w:rsid w:val="00216CB7"/>
    <w:rsid w:val="002171B3"/>
    <w:rsid w:val="00220401"/>
    <w:rsid w:val="0022062B"/>
    <w:rsid w:val="00220798"/>
    <w:rsid w:val="0022087F"/>
    <w:rsid w:val="002214A8"/>
    <w:rsid w:val="0022168A"/>
    <w:rsid w:val="002217AB"/>
    <w:rsid w:val="00221B2D"/>
    <w:rsid w:val="0022220F"/>
    <w:rsid w:val="00222D82"/>
    <w:rsid w:val="002233C3"/>
    <w:rsid w:val="002233ED"/>
    <w:rsid w:val="00223AA7"/>
    <w:rsid w:val="00224949"/>
    <w:rsid w:val="00224AA8"/>
    <w:rsid w:val="00225102"/>
    <w:rsid w:val="00225437"/>
    <w:rsid w:val="0022643C"/>
    <w:rsid w:val="002266F7"/>
    <w:rsid w:val="00226A78"/>
    <w:rsid w:val="00226EA7"/>
    <w:rsid w:val="0022707A"/>
    <w:rsid w:val="002275E5"/>
    <w:rsid w:val="00227EEF"/>
    <w:rsid w:val="00230A6E"/>
    <w:rsid w:val="00231AC4"/>
    <w:rsid w:val="00231E85"/>
    <w:rsid w:val="002321CB"/>
    <w:rsid w:val="00232827"/>
    <w:rsid w:val="00232E66"/>
    <w:rsid w:val="00233523"/>
    <w:rsid w:val="002338BC"/>
    <w:rsid w:val="00233934"/>
    <w:rsid w:val="00233A86"/>
    <w:rsid w:val="00233E2F"/>
    <w:rsid w:val="0023455A"/>
    <w:rsid w:val="00234F5C"/>
    <w:rsid w:val="00235167"/>
    <w:rsid w:val="00235493"/>
    <w:rsid w:val="00235507"/>
    <w:rsid w:val="0023604E"/>
    <w:rsid w:val="00237261"/>
    <w:rsid w:val="002378A6"/>
    <w:rsid w:val="00237DEE"/>
    <w:rsid w:val="0024022C"/>
    <w:rsid w:val="002409CB"/>
    <w:rsid w:val="00240C58"/>
    <w:rsid w:val="00241548"/>
    <w:rsid w:val="00242E83"/>
    <w:rsid w:val="002437F4"/>
    <w:rsid w:val="00243C3C"/>
    <w:rsid w:val="00243F62"/>
    <w:rsid w:val="00244131"/>
    <w:rsid w:val="002444AB"/>
    <w:rsid w:val="00244CBB"/>
    <w:rsid w:val="00244FE6"/>
    <w:rsid w:val="002458F9"/>
    <w:rsid w:val="00246840"/>
    <w:rsid w:val="00246E13"/>
    <w:rsid w:val="002476ED"/>
    <w:rsid w:val="00247B9E"/>
    <w:rsid w:val="00250378"/>
    <w:rsid w:val="00250648"/>
    <w:rsid w:val="00250BD9"/>
    <w:rsid w:val="00250C99"/>
    <w:rsid w:val="0025141C"/>
    <w:rsid w:val="002520C1"/>
    <w:rsid w:val="00252B17"/>
    <w:rsid w:val="00252B87"/>
    <w:rsid w:val="00252ECC"/>
    <w:rsid w:val="0025308B"/>
    <w:rsid w:val="0025358C"/>
    <w:rsid w:val="0025359F"/>
    <w:rsid w:val="00253BD4"/>
    <w:rsid w:val="00253DB2"/>
    <w:rsid w:val="00255177"/>
    <w:rsid w:val="00255A8F"/>
    <w:rsid w:val="0025691A"/>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6B66"/>
    <w:rsid w:val="00266CD4"/>
    <w:rsid w:val="0026732D"/>
    <w:rsid w:val="002673B6"/>
    <w:rsid w:val="002675F7"/>
    <w:rsid w:val="00270609"/>
    <w:rsid w:val="00270C3D"/>
    <w:rsid w:val="002713AC"/>
    <w:rsid w:val="002723E4"/>
    <w:rsid w:val="002725D0"/>
    <w:rsid w:val="00272BBF"/>
    <w:rsid w:val="00272E54"/>
    <w:rsid w:val="00272E9D"/>
    <w:rsid w:val="00273767"/>
    <w:rsid w:val="00273A0F"/>
    <w:rsid w:val="002740B9"/>
    <w:rsid w:val="0027430B"/>
    <w:rsid w:val="0027530E"/>
    <w:rsid w:val="00275F1E"/>
    <w:rsid w:val="00277BCD"/>
    <w:rsid w:val="00277C59"/>
    <w:rsid w:val="0028107E"/>
    <w:rsid w:val="00281E81"/>
    <w:rsid w:val="00282837"/>
    <w:rsid w:val="00282DFC"/>
    <w:rsid w:val="00282FDA"/>
    <w:rsid w:val="00283115"/>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873A5"/>
    <w:rsid w:val="00290804"/>
    <w:rsid w:val="00290C84"/>
    <w:rsid w:val="00291B61"/>
    <w:rsid w:val="00291FC3"/>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113"/>
    <w:rsid w:val="002A121E"/>
    <w:rsid w:val="002A1F85"/>
    <w:rsid w:val="002A2EFA"/>
    <w:rsid w:val="002A3037"/>
    <w:rsid w:val="002A3124"/>
    <w:rsid w:val="002A3288"/>
    <w:rsid w:val="002A3952"/>
    <w:rsid w:val="002A3D79"/>
    <w:rsid w:val="002A511C"/>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625"/>
    <w:rsid w:val="002B3A89"/>
    <w:rsid w:val="002B3BF0"/>
    <w:rsid w:val="002B415D"/>
    <w:rsid w:val="002B46B1"/>
    <w:rsid w:val="002B4EA7"/>
    <w:rsid w:val="002B5804"/>
    <w:rsid w:val="002B6279"/>
    <w:rsid w:val="002B66F3"/>
    <w:rsid w:val="002B6AEB"/>
    <w:rsid w:val="002B7B1D"/>
    <w:rsid w:val="002C0527"/>
    <w:rsid w:val="002C065B"/>
    <w:rsid w:val="002C079B"/>
    <w:rsid w:val="002C0801"/>
    <w:rsid w:val="002C0E0A"/>
    <w:rsid w:val="002C1012"/>
    <w:rsid w:val="002C1E67"/>
    <w:rsid w:val="002C2C33"/>
    <w:rsid w:val="002C385F"/>
    <w:rsid w:val="002C3CFF"/>
    <w:rsid w:val="002C45A7"/>
    <w:rsid w:val="002C4732"/>
    <w:rsid w:val="002C4CDA"/>
    <w:rsid w:val="002C5318"/>
    <w:rsid w:val="002D1793"/>
    <w:rsid w:val="002D2DFD"/>
    <w:rsid w:val="002D49FA"/>
    <w:rsid w:val="002D4B08"/>
    <w:rsid w:val="002D5225"/>
    <w:rsid w:val="002D59CF"/>
    <w:rsid w:val="002D5A1F"/>
    <w:rsid w:val="002D5E3E"/>
    <w:rsid w:val="002D5FBF"/>
    <w:rsid w:val="002D6185"/>
    <w:rsid w:val="002D689D"/>
    <w:rsid w:val="002D6B99"/>
    <w:rsid w:val="002D778F"/>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96D"/>
    <w:rsid w:val="002E6A1F"/>
    <w:rsid w:val="002E791D"/>
    <w:rsid w:val="002E7EF0"/>
    <w:rsid w:val="002F07FB"/>
    <w:rsid w:val="002F0C6B"/>
    <w:rsid w:val="002F0CD2"/>
    <w:rsid w:val="002F0DE8"/>
    <w:rsid w:val="002F12A0"/>
    <w:rsid w:val="002F1778"/>
    <w:rsid w:val="002F1CE3"/>
    <w:rsid w:val="002F2397"/>
    <w:rsid w:val="002F26C0"/>
    <w:rsid w:val="002F321E"/>
    <w:rsid w:val="002F32EA"/>
    <w:rsid w:val="002F36CF"/>
    <w:rsid w:val="002F39A0"/>
    <w:rsid w:val="002F4D90"/>
    <w:rsid w:val="002F5B33"/>
    <w:rsid w:val="002F5F15"/>
    <w:rsid w:val="002F6FAE"/>
    <w:rsid w:val="002F71CA"/>
    <w:rsid w:val="002F75BE"/>
    <w:rsid w:val="002F7CD9"/>
    <w:rsid w:val="003000F4"/>
    <w:rsid w:val="00300BF6"/>
    <w:rsid w:val="00300DB0"/>
    <w:rsid w:val="00302692"/>
    <w:rsid w:val="00302D6C"/>
    <w:rsid w:val="00302F7A"/>
    <w:rsid w:val="0030314B"/>
    <w:rsid w:val="00303A19"/>
    <w:rsid w:val="00304381"/>
    <w:rsid w:val="003043D5"/>
    <w:rsid w:val="003043DC"/>
    <w:rsid w:val="00304413"/>
    <w:rsid w:val="00304C08"/>
    <w:rsid w:val="00304DE0"/>
    <w:rsid w:val="00305047"/>
    <w:rsid w:val="00305A07"/>
    <w:rsid w:val="00305E04"/>
    <w:rsid w:val="00305F2C"/>
    <w:rsid w:val="00306287"/>
    <w:rsid w:val="003062F8"/>
    <w:rsid w:val="00306B3E"/>
    <w:rsid w:val="003072D7"/>
    <w:rsid w:val="00307686"/>
    <w:rsid w:val="00307DB8"/>
    <w:rsid w:val="00307EBB"/>
    <w:rsid w:val="00307F09"/>
    <w:rsid w:val="003103AD"/>
    <w:rsid w:val="003105AD"/>
    <w:rsid w:val="0031080C"/>
    <w:rsid w:val="003108ED"/>
    <w:rsid w:val="00310A4F"/>
    <w:rsid w:val="00311B5B"/>
    <w:rsid w:val="003126A3"/>
    <w:rsid w:val="00313096"/>
    <w:rsid w:val="0031340E"/>
    <w:rsid w:val="003140C1"/>
    <w:rsid w:val="0031415A"/>
    <w:rsid w:val="003142DD"/>
    <w:rsid w:val="00314379"/>
    <w:rsid w:val="003143C4"/>
    <w:rsid w:val="00314507"/>
    <w:rsid w:val="0031494D"/>
    <w:rsid w:val="00314AFE"/>
    <w:rsid w:val="00314B23"/>
    <w:rsid w:val="00314BC2"/>
    <w:rsid w:val="00314F33"/>
    <w:rsid w:val="00315357"/>
    <w:rsid w:val="00316206"/>
    <w:rsid w:val="00316E45"/>
    <w:rsid w:val="00317088"/>
    <w:rsid w:val="00317125"/>
    <w:rsid w:val="0031732C"/>
    <w:rsid w:val="00317946"/>
    <w:rsid w:val="00317F6B"/>
    <w:rsid w:val="003208E1"/>
    <w:rsid w:val="00321329"/>
    <w:rsid w:val="00321B38"/>
    <w:rsid w:val="00321CC5"/>
    <w:rsid w:val="003222F6"/>
    <w:rsid w:val="00322F66"/>
    <w:rsid w:val="00323968"/>
    <w:rsid w:val="00323AD5"/>
    <w:rsid w:val="00323B4E"/>
    <w:rsid w:val="00324159"/>
    <w:rsid w:val="0032458F"/>
    <w:rsid w:val="00324711"/>
    <w:rsid w:val="00324CFA"/>
    <w:rsid w:val="00324FE9"/>
    <w:rsid w:val="003251D3"/>
    <w:rsid w:val="00325DC2"/>
    <w:rsid w:val="00325E88"/>
    <w:rsid w:val="00326226"/>
    <w:rsid w:val="00326EEB"/>
    <w:rsid w:val="003301BC"/>
    <w:rsid w:val="00331104"/>
    <w:rsid w:val="00332046"/>
    <w:rsid w:val="003321C0"/>
    <w:rsid w:val="00332DC2"/>
    <w:rsid w:val="00333640"/>
    <w:rsid w:val="0033385A"/>
    <w:rsid w:val="00333DBF"/>
    <w:rsid w:val="00334007"/>
    <w:rsid w:val="0033445E"/>
    <w:rsid w:val="00334FDF"/>
    <w:rsid w:val="0033509B"/>
    <w:rsid w:val="003354C2"/>
    <w:rsid w:val="0033556F"/>
    <w:rsid w:val="00335863"/>
    <w:rsid w:val="00335999"/>
    <w:rsid w:val="00335B24"/>
    <w:rsid w:val="00336182"/>
    <w:rsid w:val="00336322"/>
    <w:rsid w:val="003366C6"/>
    <w:rsid w:val="00336A9E"/>
    <w:rsid w:val="00336F02"/>
    <w:rsid w:val="00340901"/>
    <w:rsid w:val="00340D05"/>
    <w:rsid w:val="003413B0"/>
    <w:rsid w:val="003416EC"/>
    <w:rsid w:val="003426E1"/>
    <w:rsid w:val="003426E4"/>
    <w:rsid w:val="0034400D"/>
    <w:rsid w:val="003444DE"/>
    <w:rsid w:val="00344E28"/>
    <w:rsid w:val="00345324"/>
    <w:rsid w:val="003455C8"/>
    <w:rsid w:val="00346BCB"/>
    <w:rsid w:val="00346E7C"/>
    <w:rsid w:val="00346FDD"/>
    <w:rsid w:val="00347ECB"/>
    <w:rsid w:val="003500F3"/>
    <w:rsid w:val="0035089D"/>
    <w:rsid w:val="00350AEA"/>
    <w:rsid w:val="00350EFE"/>
    <w:rsid w:val="00351419"/>
    <w:rsid w:val="00351572"/>
    <w:rsid w:val="00352205"/>
    <w:rsid w:val="00352B6C"/>
    <w:rsid w:val="003534A4"/>
    <w:rsid w:val="003536E2"/>
    <w:rsid w:val="00354025"/>
    <w:rsid w:val="003542D4"/>
    <w:rsid w:val="0035432F"/>
    <w:rsid w:val="003546FF"/>
    <w:rsid w:val="00354877"/>
    <w:rsid w:val="00354EA6"/>
    <w:rsid w:val="00355474"/>
    <w:rsid w:val="0035569E"/>
    <w:rsid w:val="00356378"/>
    <w:rsid w:val="0035648A"/>
    <w:rsid w:val="00356C7A"/>
    <w:rsid w:val="00360557"/>
    <w:rsid w:val="00360AF9"/>
    <w:rsid w:val="00360CAD"/>
    <w:rsid w:val="003613D5"/>
    <w:rsid w:val="003618EB"/>
    <w:rsid w:val="00361DFE"/>
    <w:rsid w:val="00362721"/>
    <w:rsid w:val="00362EE3"/>
    <w:rsid w:val="00363174"/>
    <w:rsid w:val="003638CA"/>
    <w:rsid w:val="0036399C"/>
    <w:rsid w:val="00364585"/>
    <w:rsid w:val="00364B3C"/>
    <w:rsid w:val="0036500E"/>
    <w:rsid w:val="003651ED"/>
    <w:rsid w:val="0036549E"/>
    <w:rsid w:val="0036591C"/>
    <w:rsid w:val="00365DF7"/>
    <w:rsid w:val="00365F7B"/>
    <w:rsid w:val="0036620A"/>
    <w:rsid w:val="00366873"/>
    <w:rsid w:val="00366A57"/>
    <w:rsid w:val="00367933"/>
    <w:rsid w:val="00367CAF"/>
    <w:rsid w:val="0037095D"/>
    <w:rsid w:val="00370B43"/>
    <w:rsid w:val="00370D65"/>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AF8"/>
    <w:rsid w:val="00375CBF"/>
    <w:rsid w:val="00375E5B"/>
    <w:rsid w:val="003763AE"/>
    <w:rsid w:val="00376A17"/>
    <w:rsid w:val="00376DCC"/>
    <w:rsid w:val="0037775D"/>
    <w:rsid w:val="00380006"/>
    <w:rsid w:val="00380268"/>
    <w:rsid w:val="00380623"/>
    <w:rsid w:val="00380D14"/>
    <w:rsid w:val="00381068"/>
    <w:rsid w:val="00381359"/>
    <w:rsid w:val="003819A0"/>
    <w:rsid w:val="00381CE0"/>
    <w:rsid w:val="0038213A"/>
    <w:rsid w:val="0038225F"/>
    <w:rsid w:val="003822FF"/>
    <w:rsid w:val="00382AE3"/>
    <w:rsid w:val="0038301C"/>
    <w:rsid w:val="00383E02"/>
    <w:rsid w:val="0038461A"/>
    <w:rsid w:val="00384662"/>
    <w:rsid w:val="0038487F"/>
    <w:rsid w:val="00384BD7"/>
    <w:rsid w:val="0038543F"/>
    <w:rsid w:val="00385926"/>
    <w:rsid w:val="00385DFD"/>
    <w:rsid w:val="00386BCB"/>
    <w:rsid w:val="003871EF"/>
    <w:rsid w:val="00391131"/>
    <w:rsid w:val="00391B4A"/>
    <w:rsid w:val="00391D1F"/>
    <w:rsid w:val="00391F69"/>
    <w:rsid w:val="00392014"/>
    <w:rsid w:val="00392057"/>
    <w:rsid w:val="00392398"/>
    <w:rsid w:val="00392A26"/>
    <w:rsid w:val="0039373A"/>
    <w:rsid w:val="00394070"/>
    <w:rsid w:val="00394223"/>
    <w:rsid w:val="003944ED"/>
    <w:rsid w:val="003945CB"/>
    <w:rsid w:val="003951DB"/>
    <w:rsid w:val="00395828"/>
    <w:rsid w:val="00395EC4"/>
    <w:rsid w:val="0039683F"/>
    <w:rsid w:val="003969B1"/>
    <w:rsid w:val="00397D15"/>
    <w:rsid w:val="00397D48"/>
    <w:rsid w:val="00397EF3"/>
    <w:rsid w:val="003A1710"/>
    <w:rsid w:val="003A1A6A"/>
    <w:rsid w:val="003A1D8B"/>
    <w:rsid w:val="003A3094"/>
    <w:rsid w:val="003A3466"/>
    <w:rsid w:val="003A3911"/>
    <w:rsid w:val="003A4135"/>
    <w:rsid w:val="003A42B6"/>
    <w:rsid w:val="003A4D53"/>
    <w:rsid w:val="003A4F05"/>
    <w:rsid w:val="003A566F"/>
    <w:rsid w:val="003A5A5E"/>
    <w:rsid w:val="003A6328"/>
    <w:rsid w:val="003A676C"/>
    <w:rsid w:val="003A71B6"/>
    <w:rsid w:val="003B0642"/>
    <w:rsid w:val="003B0788"/>
    <w:rsid w:val="003B13E2"/>
    <w:rsid w:val="003B1D7E"/>
    <w:rsid w:val="003B2DF6"/>
    <w:rsid w:val="003B3243"/>
    <w:rsid w:val="003B3610"/>
    <w:rsid w:val="003B4214"/>
    <w:rsid w:val="003B4B09"/>
    <w:rsid w:val="003B4C4F"/>
    <w:rsid w:val="003B4DD1"/>
    <w:rsid w:val="003B4E34"/>
    <w:rsid w:val="003B512F"/>
    <w:rsid w:val="003B58E4"/>
    <w:rsid w:val="003B5942"/>
    <w:rsid w:val="003B5D58"/>
    <w:rsid w:val="003B6B32"/>
    <w:rsid w:val="003B70E5"/>
    <w:rsid w:val="003B7324"/>
    <w:rsid w:val="003B7D91"/>
    <w:rsid w:val="003C0814"/>
    <w:rsid w:val="003C0AB4"/>
    <w:rsid w:val="003C0B06"/>
    <w:rsid w:val="003C2FDD"/>
    <w:rsid w:val="003C4522"/>
    <w:rsid w:val="003C4AD8"/>
    <w:rsid w:val="003C5294"/>
    <w:rsid w:val="003C5AF6"/>
    <w:rsid w:val="003C5D34"/>
    <w:rsid w:val="003C6994"/>
    <w:rsid w:val="003C704E"/>
    <w:rsid w:val="003D0180"/>
    <w:rsid w:val="003D0457"/>
    <w:rsid w:val="003D04E2"/>
    <w:rsid w:val="003D0E11"/>
    <w:rsid w:val="003D1711"/>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E0E"/>
    <w:rsid w:val="003E43F0"/>
    <w:rsid w:val="003E52C0"/>
    <w:rsid w:val="003E552E"/>
    <w:rsid w:val="003E5E70"/>
    <w:rsid w:val="003E61A9"/>
    <w:rsid w:val="003E65FE"/>
    <w:rsid w:val="003E7D6D"/>
    <w:rsid w:val="003F04A8"/>
    <w:rsid w:val="003F1F55"/>
    <w:rsid w:val="003F2554"/>
    <w:rsid w:val="003F259D"/>
    <w:rsid w:val="003F279B"/>
    <w:rsid w:val="003F2C71"/>
    <w:rsid w:val="003F2F06"/>
    <w:rsid w:val="003F33B2"/>
    <w:rsid w:val="003F3767"/>
    <w:rsid w:val="003F3B09"/>
    <w:rsid w:val="003F3CEF"/>
    <w:rsid w:val="003F4B9C"/>
    <w:rsid w:val="003F4FD8"/>
    <w:rsid w:val="003F50D5"/>
    <w:rsid w:val="003F51B2"/>
    <w:rsid w:val="003F587A"/>
    <w:rsid w:val="003F5AE4"/>
    <w:rsid w:val="003F61EB"/>
    <w:rsid w:val="003F648F"/>
    <w:rsid w:val="003F6D53"/>
    <w:rsid w:val="00400401"/>
    <w:rsid w:val="004008A7"/>
    <w:rsid w:val="00400B7E"/>
    <w:rsid w:val="004019DC"/>
    <w:rsid w:val="00401DC1"/>
    <w:rsid w:val="00401DF0"/>
    <w:rsid w:val="00402502"/>
    <w:rsid w:val="00403727"/>
    <w:rsid w:val="00403A20"/>
    <w:rsid w:val="00404C85"/>
    <w:rsid w:val="00405F17"/>
    <w:rsid w:val="004061B6"/>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9A9"/>
    <w:rsid w:val="00417C2A"/>
    <w:rsid w:val="00417FD9"/>
    <w:rsid w:val="00420962"/>
    <w:rsid w:val="004211A6"/>
    <w:rsid w:val="0042181B"/>
    <w:rsid w:val="004228BE"/>
    <w:rsid w:val="00422A45"/>
    <w:rsid w:val="00423006"/>
    <w:rsid w:val="004235CA"/>
    <w:rsid w:val="004243BD"/>
    <w:rsid w:val="00424437"/>
    <w:rsid w:val="004245D2"/>
    <w:rsid w:val="0042501E"/>
    <w:rsid w:val="00425370"/>
    <w:rsid w:val="004258D8"/>
    <w:rsid w:val="004262D5"/>
    <w:rsid w:val="0042632F"/>
    <w:rsid w:val="00426919"/>
    <w:rsid w:val="0042698B"/>
    <w:rsid w:val="004269B5"/>
    <w:rsid w:val="00426BE4"/>
    <w:rsid w:val="00426E39"/>
    <w:rsid w:val="00427C64"/>
    <w:rsid w:val="00431235"/>
    <w:rsid w:val="004321F4"/>
    <w:rsid w:val="00432668"/>
    <w:rsid w:val="00432AE8"/>
    <w:rsid w:val="004331BE"/>
    <w:rsid w:val="004333F4"/>
    <w:rsid w:val="00434641"/>
    <w:rsid w:val="00434F13"/>
    <w:rsid w:val="00434F4D"/>
    <w:rsid w:val="00435067"/>
    <w:rsid w:val="00435324"/>
    <w:rsid w:val="00435700"/>
    <w:rsid w:val="00435A4F"/>
    <w:rsid w:val="00435A8C"/>
    <w:rsid w:val="00435AAF"/>
    <w:rsid w:val="00437828"/>
    <w:rsid w:val="0043796F"/>
    <w:rsid w:val="00437B54"/>
    <w:rsid w:val="00437E16"/>
    <w:rsid w:val="00440318"/>
    <w:rsid w:val="004406E0"/>
    <w:rsid w:val="00440A40"/>
    <w:rsid w:val="00440EAF"/>
    <w:rsid w:val="00441BBC"/>
    <w:rsid w:val="004420CD"/>
    <w:rsid w:val="004427AA"/>
    <w:rsid w:val="00442BF2"/>
    <w:rsid w:val="00442F6A"/>
    <w:rsid w:val="004431C7"/>
    <w:rsid w:val="00443880"/>
    <w:rsid w:val="00444B32"/>
    <w:rsid w:val="004452DF"/>
    <w:rsid w:val="00445816"/>
    <w:rsid w:val="0044699A"/>
    <w:rsid w:val="0044785E"/>
    <w:rsid w:val="0044792B"/>
    <w:rsid w:val="004479AE"/>
    <w:rsid w:val="00447B53"/>
    <w:rsid w:val="0045082F"/>
    <w:rsid w:val="004511FE"/>
    <w:rsid w:val="0045158E"/>
    <w:rsid w:val="004515C4"/>
    <w:rsid w:val="0045160D"/>
    <w:rsid w:val="0045190F"/>
    <w:rsid w:val="00451BEA"/>
    <w:rsid w:val="00452064"/>
    <w:rsid w:val="004520E6"/>
    <w:rsid w:val="00452814"/>
    <w:rsid w:val="00453B72"/>
    <w:rsid w:val="00454041"/>
    <w:rsid w:val="004545F2"/>
    <w:rsid w:val="00454D23"/>
    <w:rsid w:val="004552B6"/>
    <w:rsid w:val="00455D86"/>
    <w:rsid w:val="004561D0"/>
    <w:rsid w:val="00456252"/>
    <w:rsid w:val="00456273"/>
    <w:rsid w:val="00456993"/>
    <w:rsid w:val="00456CE3"/>
    <w:rsid w:val="00457E51"/>
    <w:rsid w:val="00460172"/>
    <w:rsid w:val="0046071D"/>
    <w:rsid w:val="00460D14"/>
    <w:rsid w:val="004623B9"/>
    <w:rsid w:val="004624C9"/>
    <w:rsid w:val="00462FF8"/>
    <w:rsid w:val="00463135"/>
    <w:rsid w:val="00463734"/>
    <w:rsid w:val="004638A7"/>
    <w:rsid w:val="00463966"/>
    <w:rsid w:val="00463E05"/>
    <w:rsid w:val="004645E9"/>
    <w:rsid w:val="00464BBD"/>
    <w:rsid w:val="00464F4F"/>
    <w:rsid w:val="00465D29"/>
    <w:rsid w:val="00466100"/>
    <w:rsid w:val="0046713A"/>
    <w:rsid w:val="00467C97"/>
    <w:rsid w:val="00470226"/>
    <w:rsid w:val="004707F3"/>
    <w:rsid w:val="004709CA"/>
    <w:rsid w:val="004711BC"/>
    <w:rsid w:val="00471429"/>
    <w:rsid w:val="00471E18"/>
    <w:rsid w:val="00472669"/>
    <w:rsid w:val="00472D4A"/>
    <w:rsid w:val="00472DC2"/>
    <w:rsid w:val="00473442"/>
    <w:rsid w:val="0047361A"/>
    <w:rsid w:val="00473896"/>
    <w:rsid w:val="00473A15"/>
    <w:rsid w:val="00473A33"/>
    <w:rsid w:val="00473F48"/>
    <w:rsid w:val="00474AEB"/>
    <w:rsid w:val="00475341"/>
    <w:rsid w:val="00475FB1"/>
    <w:rsid w:val="004760AA"/>
    <w:rsid w:val="004761C4"/>
    <w:rsid w:val="004762BD"/>
    <w:rsid w:val="004764E5"/>
    <w:rsid w:val="0047673B"/>
    <w:rsid w:val="004769E5"/>
    <w:rsid w:val="004771CA"/>
    <w:rsid w:val="0047727B"/>
    <w:rsid w:val="00477A6D"/>
    <w:rsid w:val="00477A97"/>
    <w:rsid w:val="0048003B"/>
    <w:rsid w:val="004803AA"/>
    <w:rsid w:val="004806DA"/>
    <w:rsid w:val="00480B78"/>
    <w:rsid w:val="00480EDC"/>
    <w:rsid w:val="00481489"/>
    <w:rsid w:val="00481EDE"/>
    <w:rsid w:val="004820C0"/>
    <w:rsid w:val="0048381F"/>
    <w:rsid w:val="0048453D"/>
    <w:rsid w:val="00484A7E"/>
    <w:rsid w:val="00484C1C"/>
    <w:rsid w:val="00484C88"/>
    <w:rsid w:val="00484F1E"/>
    <w:rsid w:val="00485157"/>
    <w:rsid w:val="004855F7"/>
    <w:rsid w:val="004857D5"/>
    <w:rsid w:val="0048596A"/>
    <w:rsid w:val="00485FCD"/>
    <w:rsid w:val="00486104"/>
    <w:rsid w:val="00486A26"/>
    <w:rsid w:val="00486FDE"/>
    <w:rsid w:val="00491039"/>
    <w:rsid w:val="00491F6F"/>
    <w:rsid w:val="00492346"/>
    <w:rsid w:val="0049250F"/>
    <w:rsid w:val="004926F8"/>
    <w:rsid w:val="00492D8D"/>
    <w:rsid w:val="00492E76"/>
    <w:rsid w:val="00492E9E"/>
    <w:rsid w:val="004939D7"/>
    <w:rsid w:val="004949A5"/>
    <w:rsid w:val="00495268"/>
    <w:rsid w:val="00495619"/>
    <w:rsid w:val="004959A3"/>
    <w:rsid w:val="00495C25"/>
    <w:rsid w:val="00495D3E"/>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AF6"/>
    <w:rsid w:val="004A564A"/>
    <w:rsid w:val="004A65DB"/>
    <w:rsid w:val="004A6C05"/>
    <w:rsid w:val="004A7A39"/>
    <w:rsid w:val="004B0340"/>
    <w:rsid w:val="004B05BB"/>
    <w:rsid w:val="004B0892"/>
    <w:rsid w:val="004B0D02"/>
    <w:rsid w:val="004B135D"/>
    <w:rsid w:val="004B2274"/>
    <w:rsid w:val="004B2823"/>
    <w:rsid w:val="004B2BF2"/>
    <w:rsid w:val="004B2D66"/>
    <w:rsid w:val="004B3E4C"/>
    <w:rsid w:val="004B4714"/>
    <w:rsid w:val="004B4CD3"/>
    <w:rsid w:val="004B501B"/>
    <w:rsid w:val="004B50A7"/>
    <w:rsid w:val="004B5FD9"/>
    <w:rsid w:val="004B758C"/>
    <w:rsid w:val="004C003D"/>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A06"/>
    <w:rsid w:val="004C7BCF"/>
    <w:rsid w:val="004C7E3B"/>
    <w:rsid w:val="004C7FE8"/>
    <w:rsid w:val="004D0531"/>
    <w:rsid w:val="004D08AA"/>
    <w:rsid w:val="004D0D6D"/>
    <w:rsid w:val="004D11A4"/>
    <w:rsid w:val="004D21B2"/>
    <w:rsid w:val="004D29DB"/>
    <w:rsid w:val="004D2B43"/>
    <w:rsid w:val="004D390A"/>
    <w:rsid w:val="004D3A8E"/>
    <w:rsid w:val="004D3F33"/>
    <w:rsid w:val="004D40F1"/>
    <w:rsid w:val="004D4141"/>
    <w:rsid w:val="004D4200"/>
    <w:rsid w:val="004D44C7"/>
    <w:rsid w:val="004D459A"/>
    <w:rsid w:val="004D5E79"/>
    <w:rsid w:val="004D6A2C"/>
    <w:rsid w:val="004D6EBA"/>
    <w:rsid w:val="004D6F93"/>
    <w:rsid w:val="004D7445"/>
    <w:rsid w:val="004D77E9"/>
    <w:rsid w:val="004D7A2C"/>
    <w:rsid w:val="004E00CE"/>
    <w:rsid w:val="004E06FF"/>
    <w:rsid w:val="004E07AF"/>
    <w:rsid w:val="004E07DA"/>
    <w:rsid w:val="004E09F5"/>
    <w:rsid w:val="004E2C88"/>
    <w:rsid w:val="004E33DC"/>
    <w:rsid w:val="004E33E4"/>
    <w:rsid w:val="004E39E0"/>
    <w:rsid w:val="004E4443"/>
    <w:rsid w:val="004E4520"/>
    <w:rsid w:val="004E4715"/>
    <w:rsid w:val="004E4733"/>
    <w:rsid w:val="004E4EA6"/>
    <w:rsid w:val="004E4ED0"/>
    <w:rsid w:val="004E57D8"/>
    <w:rsid w:val="004E6EB1"/>
    <w:rsid w:val="004E737F"/>
    <w:rsid w:val="004E7D8D"/>
    <w:rsid w:val="004E7E6B"/>
    <w:rsid w:val="004F0C8E"/>
    <w:rsid w:val="004F1301"/>
    <w:rsid w:val="004F1DA4"/>
    <w:rsid w:val="004F254E"/>
    <w:rsid w:val="004F3121"/>
    <w:rsid w:val="004F344A"/>
    <w:rsid w:val="004F3588"/>
    <w:rsid w:val="004F3706"/>
    <w:rsid w:val="004F3A4F"/>
    <w:rsid w:val="004F3C4D"/>
    <w:rsid w:val="004F476A"/>
    <w:rsid w:val="004F4DE1"/>
    <w:rsid w:val="004F4E46"/>
    <w:rsid w:val="004F50C0"/>
    <w:rsid w:val="004F5FE6"/>
    <w:rsid w:val="004F6469"/>
    <w:rsid w:val="004F6B91"/>
    <w:rsid w:val="004F765E"/>
    <w:rsid w:val="00500F7E"/>
    <w:rsid w:val="00501155"/>
    <w:rsid w:val="00501172"/>
    <w:rsid w:val="00501285"/>
    <w:rsid w:val="005014FF"/>
    <w:rsid w:val="005015D2"/>
    <w:rsid w:val="0050199D"/>
    <w:rsid w:val="0050230D"/>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09A3"/>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6FB"/>
    <w:rsid w:val="00516CFC"/>
    <w:rsid w:val="005179D2"/>
    <w:rsid w:val="00517A9B"/>
    <w:rsid w:val="00517FCB"/>
    <w:rsid w:val="005202DB"/>
    <w:rsid w:val="00520382"/>
    <w:rsid w:val="005204A2"/>
    <w:rsid w:val="00520524"/>
    <w:rsid w:val="005206F6"/>
    <w:rsid w:val="0052096B"/>
    <w:rsid w:val="0052123B"/>
    <w:rsid w:val="0052130F"/>
    <w:rsid w:val="00521484"/>
    <w:rsid w:val="005214C7"/>
    <w:rsid w:val="00521719"/>
    <w:rsid w:val="00521A39"/>
    <w:rsid w:val="00522FA1"/>
    <w:rsid w:val="0052362C"/>
    <w:rsid w:val="0052392E"/>
    <w:rsid w:val="00523B48"/>
    <w:rsid w:val="00523BD3"/>
    <w:rsid w:val="00524FF8"/>
    <w:rsid w:val="0052725D"/>
    <w:rsid w:val="00527B04"/>
    <w:rsid w:val="00527B81"/>
    <w:rsid w:val="00527C01"/>
    <w:rsid w:val="0053041F"/>
    <w:rsid w:val="005305A0"/>
    <w:rsid w:val="00530DBD"/>
    <w:rsid w:val="005311CF"/>
    <w:rsid w:val="00531530"/>
    <w:rsid w:val="0053162F"/>
    <w:rsid w:val="00531F08"/>
    <w:rsid w:val="00531F0A"/>
    <w:rsid w:val="005320FC"/>
    <w:rsid w:val="005325B5"/>
    <w:rsid w:val="0053350F"/>
    <w:rsid w:val="00533A78"/>
    <w:rsid w:val="00533F0C"/>
    <w:rsid w:val="00534FAB"/>
    <w:rsid w:val="00535FC0"/>
    <w:rsid w:val="00535FFD"/>
    <w:rsid w:val="005361ED"/>
    <w:rsid w:val="00536878"/>
    <w:rsid w:val="005369E7"/>
    <w:rsid w:val="0053761E"/>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5C2"/>
    <w:rsid w:val="005462A3"/>
    <w:rsid w:val="00546575"/>
    <w:rsid w:val="00546A80"/>
    <w:rsid w:val="00546BA9"/>
    <w:rsid w:val="00547557"/>
    <w:rsid w:val="005476AF"/>
    <w:rsid w:val="005476E4"/>
    <w:rsid w:val="00550362"/>
    <w:rsid w:val="005505A7"/>
    <w:rsid w:val="005513E4"/>
    <w:rsid w:val="00551477"/>
    <w:rsid w:val="00551D91"/>
    <w:rsid w:val="00551DC9"/>
    <w:rsid w:val="0055202D"/>
    <w:rsid w:val="005529C9"/>
    <w:rsid w:val="00553C68"/>
    <w:rsid w:val="005541F7"/>
    <w:rsid w:val="00554424"/>
    <w:rsid w:val="00554A2A"/>
    <w:rsid w:val="0055588D"/>
    <w:rsid w:val="0055664E"/>
    <w:rsid w:val="00556A2D"/>
    <w:rsid w:val="00556CE8"/>
    <w:rsid w:val="00556EE0"/>
    <w:rsid w:val="00556F53"/>
    <w:rsid w:val="00557DBB"/>
    <w:rsid w:val="00560390"/>
    <w:rsid w:val="0056096D"/>
    <w:rsid w:val="00560BDD"/>
    <w:rsid w:val="00560C1E"/>
    <w:rsid w:val="00561703"/>
    <w:rsid w:val="005617EB"/>
    <w:rsid w:val="0056185A"/>
    <w:rsid w:val="0056199E"/>
    <w:rsid w:val="00561ECA"/>
    <w:rsid w:val="00562443"/>
    <w:rsid w:val="00562E2A"/>
    <w:rsid w:val="00563751"/>
    <w:rsid w:val="00563F98"/>
    <w:rsid w:val="00566B8F"/>
    <w:rsid w:val="005673AA"/>
    <w:rsid w:val="00567644"/>
    <w:rsid w:val="00567AD5"/>
    <w:rsid w:val="00567C47"/>
    <w:rsid w:val="005705F4"/>
    <w:rsid w:val="005736FF"/>
    <w:rsid w:val="00573E64"/>
    <w:rsid w:val="005747AB"/>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3115"/>
    <w:rsid w:val="00584315"/>
    <w:rsid w:val="00584445"/>
    <w:rsid w:val="0058451D"/>
    <w:rsid w:val="00584582"/>
    <w:rsid w:val="00584B36"/>
    <w:rsid w:val="00584F5B"/>
    <w:rsid w:val="00585BCC"/>
    <w:rsid w:val="00585DA0"/>
    <w:rsid w:val="0058695A"/>
    <w:rsid w:val="00586BE3"/>
    <w:rsid w:val="0058778D"/>
    <w:rsid w:val="00587E14"/>
    <w:rsid w:val="00591155"/>
    <w:rsid w:val="00591948"/>
    <w:rsid w:val="00591DA5"/>
    <w:rsid w:val="005927EF"/>
    <w:rsid w:val="00592E3C"/>
    <w:rsid w:val="005930E4"/>
    <w:rsid w:val="00594466"/>
    <w:rsid w:val="00594646"/>
    <w:rsid w:val="005948E2"/>
    <w:rsid w:val="00594BCE"/>
    <w:rsid w:val="00594E81"/>
    <w:rsid w:val="00596E16"/>
    <w:rsid w:val="005975F3"/>
    <w:rsid w:val="00597791"/>
    <w:rsid w:val="00597833"/>
    <w:rsid w:val="005A0808"/>
    <w:rsid w:val="005A1024"/>
    <w:rsid w:val="005A1239"/>
    <w:rsid w:val="005A1C4C"/>
    <w:rsid w:val="005A1E2E"/>
    <w:rsid w:val="005A240B"/>
    <w:rsid w:val="005A254E"/>
    <w:rsid w:val="005A30EF"/>
    <w:rsid w:val="005A3244"/>
    <w:rsid w:val="005A34F9"/>
    <w:rsid w:val="005A48B5"/>
    <w:rsid w:val="005A4B62"/>
    <w:rsid w:val="005A5BF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D7E"/>
    <w:rsid w:val="005B5DED"/>
    <w:rsid w:val="005B64DF"/>
    <w:rsid w:val="005B66F0"/>
    <w:rsid w:val="005B6DD1"/>
    <w:rsid w:val="005B6FAC"/>
    <w:rsid w:val="005B74E4"/>
    <w:rsid w:val="005B78C6"/>
    <w:rsid w:val="005B798F"/>
    <w:rsid w:val="005B79AF"/>
    <w:rsid w:val="005B7A3F"/>
    <w:rsid w:val="005B7C1F"/>
    <w:rsid w:val="005B7E35"/>
    <w:rsid w:val="005C0ACE"/>
    <w:rsid w:val="005C0BAE"/>
    <w:rsid w:val="005C163B"/>
    <w:rsid w:val="005C1B88"/>
    <w:rsid w:val="005C1B97"/>
    <w:rsid w:val="005C1EBE"/>
    <w:rsid w:val="005C32EB"/>
    <w:rsid w:val="005C39BD"/>
    <w:rsid w:val="005C3F84"/>
    <w:rsid w:val="005C51D9"/>
    <w:rsid w:val="005C5A21"/>
    <w:rsid w:val="005C60A1"/>
    <w:rsid w:val="005C6F9D"/>
    <w:rsid w:val="005C72A1"/>
    <w:rsid w:val="005C7564"/>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461"/>
    <w:rsid w:val="005D55B1"/>
    <w:rsid w:val="005D655F"/>
    <w:rsid w:val="005D6ADC"/>
    <w:rsid w:val="005D742B"/>
    <w:rsid w:val="005D7979"/>
    <w:rsid w:val="005D7F06"/>
    <w:rsid w:val="005E0153"/>
    <w:rsid w:val="005E0406"/>
    <w:rsid w:val="005E0443"/>
    <w:rsid w:val="005E0578"/>
    <w:rsid w:val="005E08AC"/>
    <w:rsid w:val="005E15E0"/>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F5"/>
    <w:rsid w:val="005E7763"/>
    <w:rsid w:val="005F0208"/>
    <w:rsid w:val="005F0555"/>
    <w:rsid w:val="005F0823"/>
    <w:rsid w:val="005F0890"/>
    <w:rsid w:val="005F117F"/>
    <w:rsid w:val="005F1BB5"/>
    <w:rsid w:val="005F2C38"/>
    <w:rsid w:val="005F3B98"/>
    <w:rsid w:val="005F4D31"/>
    <w:rsid w:val="005F5F00"/>
    <w:rsid w:val="005F6A25"/>
    <w:rsid w:val="005F6F57"/>
    <w:rsid w:val="005F7142"/>
    <w:rsid w:val="005F7C1C"/>
    <w:rsid w:val="005F7CF6"/>
    <w:rsid w:val="00600543"/>
    <w:rsid w:val="00600DC7"/>
    <w:rsid w:val="006013FC"/>
    <w:rsid w:val="006016C9"/>
    <w:rsid w:val="00601F7C"/>
    <w:rsid w:val="00602A5D"/>
    <w:rsid w:val="006032B4"/>
    <w:rsid w:val="00603C51"/>
    <w:rsid w:val="00603F1F"/>
    <w:rsid w:val="00604666"/>
    <w:rsid w:val="00604993"/>
    <w:rsid w:val="00604997"/>
    <w:rsid w:val="00606428"/>
    <w:rsid w:val="006066F8"/>
    <w:rsid w:val="0060703A"/>
    <w:rsid w:val="0060734E"/>
    <w:rsid w:val="0061001F"/>
    <w:rsid w:val="00610473"/>
    <w:rsid w:val="0061179F"/>
    <w:rsid w:val="006117D4"/>
    <w:rsid w:val="00611BDB"/>
    <w:rsid w:val="00611C3F"/>
    <w:rsid w:val="00611CF4"/>
    <w:rsid w:val="006122FC"/>
    <w:rsid w:val="0061256F"/>
    <w:rsid w:val="00612A88"/>
    <w:rsid w:val="00613B06"/>
    <w:rsid w:val="00613F44"/>
    <w:rsid w:val="006140BA"/>
    <w:rsid w:val="006145AB"/>
    <w:rsid w:val="0061468E"/>
    <w:rsid w:val="00614A51"/>
    <w:rsid w:val="00614A7C"/>
    <w:rsid w:val="00614C44"/>
    <w:rsid w:val="00614D6B"/>
    <w:rsid w:val="00614E56"/>
    <w:rsid w:val="006156D1"/>
    <w:rsid w:val="00616430"/>
    <w:rsid w:val="00616790"/>
    <w:rsid w:val="00616C76"/>
    <w:rsid w:val="006173F0"/>
    <w:rsid w:val="006174F4"/>
    <w:rsid w:val="006175AA"/>
    <w:rsid w:val="00617A23"/>
    <w:rsid w:val="006206AB"/>
    <w:rsid w:val="006209EB"/>
    <w:rsid w:val="0062139F"/>
    <w:rsid w:val="00621F03"/>
    <w:rsid w:val="00622AFD"/>
    <w:rsid w:val="00622CED"/>
    <w:rsid w:val="00622E03"/>
    <w:rsid w:val="0062315F"/>
    <w:rsid w:val="00624287"/>
    <w:rsid w:val="00624409"/>
    <w:rsid w:val="0062575C"/>
    <w:rsid w:val="00625D0B"/>
    <w:rsid w:val="00626C77"/>
    <w:rsid w:val="00627BF1"/>
    <w:rsid w:val="00627FB2"/>
    <w:rsid w:val="006308C0"/>
    <w:rsid w:val="006319DA"/>
    <w:rsid w:val="00632282"/>
    <w:rsid w:val="006323F3"/>
    <w:rsid w:val="006325EA"/>
    <w:rsid w:val="00632834"/>
    <w:rsid w:val="00632CC0"/>
    <w:rsid w:val="006333D3"/>
    <w:rsid w:val="00633FA9"/>
    <w:rsid w:val="0063401C"/>
    <w:rsid w:val="00634445"/>
    <w:rsid w:val="006345AA"/>
    <w:rsid w:val="0063460B"/>
    <w:rsid w:val="00634D8F"/>
    <w:rsid w:val="00634E7C"/>
    <w:rsid w:val="00635148"/>
    <w:rsid w:val="006351F3"/>
    <w:rsid w:val="00635488"/>
    <w:rsid w:val="00635754"/>
    <w:rsid w:val="00635DF9"/>
    <w:rsid w:val="006369CA"/>
    <w:rsid w:val="00637023"/>
    <w:rsid w:val="00637293"/>
    <w:rsid w:val="00637A40"/>
    <w:rsid w:val="00640216"/>
    <w:rsid w:val="0064131B"/>
    <w:rsid w:val="00641CAF"/>
    <w:rsid w:val="00642504"/>
    <w:rsid w:val="00642569"/>
    <w:rsid w:val="00642896"/>
    <w:rsid w:val="006437E1"/>
    <w:rsid w:val="00644114"/>
    <w:rsid w:val="006448CC"/>
    <w:rsid w:val="00644CD5"/>
    <w:rsid w:val="00645BB7"/>
    <w:rsid w:val="00645C5B"/>
    <w:rsid w:val="00647012"/>
    <w:rsid w:val="00647117"/>
    <w:rsid w:val="0064771B"/>
    <w:rsid w:val="00647840"/>
    <w:rsid w:val="00651769"/>
    <w:rsid w:val="00651D66"/>
    <w:rsid w:val="00652F45"/>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398"/>
    <w:rsid w:val="00664C70"/>
    <w:rsid w:val="00664DD2"/>
    <w:rsid w:val="00664EB6"/>
    <w:rsid w:val="00664F5B"/>
    <w:rsid w:val="00665554"/>
    <w:rsid w:val="00665AE4"/>
    <w:rsid w:val="00665AE5"/>
    <w:rsid w:val="00665B0D"/>
    <w:rsid w:val="00665B5C"/>
    <w:rsid w:val="00665DF1"/>
    <w:rsid w:val="00665F2C"/>
    <w:rsid w:val="00666DD1"/>
    <w:rsid w:val="00666EE9"/>
    <w:rsid w:val="0066746F"/>
    <w:rsid w:val="00667CEE"/>
    <w:rsid w:val="00670458"/>
    <w:rsid w:val="006715CD"/>
    <w:rsid w:val="006719A8"/>
    <w:rsid w:val="00671C60"/>
    <w:rsid w:val="006720E5"/>
    <w:rsid w:val="00672A1D"/>
    <w:rsid w:val="00673223"/>
    <w:rsid w:val="0067371B"/>
    <w:rsid w:val="00674197"/>
    <w:rsid w:val="006742EC"/>
    <w:rsid w:val="00674503"/>
    <w:rsid w:val="00674B3E"/>
    <w:rsid w:val="0067517E"/>
    <w:rsid w:val="00675D9B"/>
    <w:rsid w:val="00676144"/>
    <w:rsid w:val="0067618A"/>
    <w:rsid w:val="00676916"/>
    <w:rsid w:val="00676A26"/>
    <w:rsid w:val="00676B2B"/>
    <w:rsid w:val="00676D8B"/>
    <w:rsid w:val="006807B1"/>
    <w:rsid w:val="00680814"/>
    <w:rsid w:val="0068096B"/>
    <w:rsid w:val="00680FE7"/>
    <w:rsid w:val="00682AA6"/>
    <w:rsid w:val="00682D11"/>
    <w:rsid w:val="00683979"/>
    <w:rsid w:val="00683E3C"/>
    <w:rsid w:val="00683FA2"/>
    <w:rsid w:val="0068445B"/>
    <w:rsid w:val="00684930"/>
    <w:rsid w:val="00684934"/>
    <w:rsid w:val="00684B02"/>
    <w:rsid w:val="0068500B"/>
    <w:rsid w:val="0068515E"/>
    <w:rsid w:val="00685412"/>
    <w:rsid w:val="00685563"/>
    <w:rsid w:val="006858C8"/>
    <w:rsid w:val="006858C9"/>
    <w:rsid w:val="006862B7"/>
    <w:rsid w:val="0068649B"/>
    <w:rsid w:val="006869B5"/>
    <w:rsid w:val="00686D54"/>
    <w:rsid w:val="00686F44"/>
    <w:rsid w:val="00686F4B"/>
    <w:rsid w:val="00687172"/>
    <w:rsid w:val="00687275"/>
    <w:rsid w:val="0068795E"/>
    <w:rsid w:val="00690134"/>
    <w:rsid w:val="00690556"/>
    <w:rsid w:val="006906BA"/>
    <w:rsid w:val="0069071E"/>
    <w:rsid w:val="006910BF"/>
    <w:rsid w:val="00691448"/>
    <w:rsid w:val="00691EEC"/>
    <w:rsid w:val="00691FCB"/>
    <w:rsid w:val="006927A4"/>
    <w:rsid w:val="006933EA"/>
    <w:rsid w:val="0069346E"/>
    <w:rsid w:val="006935EB"/>
    <w:rsid w:val="006954F3"/>
    <w:rsid w:val="00697643"/>
    <w:rsid w:val="006A123D"/>
    <w:rsid w:val="006A1AAD"/>
    <w:rsid w:val="006A1BF5"/>
    <w:rsid w:val="006A1FF0"/>
    <w:rsid w:val="006A2FCE"/>
    <w:rsid w:val="006A2FEE"/>
    <w:rsid w:val="006A3237"/>
    <w:rsid w:val="006A426F"/>
    <w:rsid w:val="006A4644"/>
    <w:rsid w:val="006A4BEF"/>
    <w:rsid w:val="006A4F88"/>
    <w:rsid w:val="006A522A"/>
    <w:rsid w:val="006A5B43"/>
    <w:rsid w:val="006A5CED"/>
    <w:rsid w:val="006A671E"/>
    <w:rsid w:val="006A6F5A"/>
    <w:rsid w:val="006A70BC"/>
    <w:rsid w:val="006A72C2"/>
    <w:rsid w:val="006A7E5A"/>
    <w:rsid w:val="006A7F83"/>
    <w:rsid w:val="006B08FB"/>
    <w:rsid w:val="006B0B3A"/>
    <w:rsid w:val="006B152E"/>
    <w:rsid w:val="006B17D3"/>
    <w:rsid w:val="006B1C88"/>
    <w:rsid w:val="006B212B"/>
    <w:rsid w:val="006B3982"/>
    <w:rsid w:val="006B3B69"/>
    <w:rsid w:val="006B3FC7"/>
    <w:rsid w:val="006B637C"/>
    <w:rsid w:val="006B6829"/>
    <w:rsid w:val="006B76A7"/>
    <w:rsid w:val="006C0454"/>
    <w:rsid w:val="006C05EE"/>
    <w:rsid w:val="006C0938"/>
    <w:rsid w:val="006C0ADA"/>
    <w:rsid w:val="006C0FED"/>
    <w:rsid w:val="006C138C"/>
    <w:rsid w:val="006C156B"/>
    <w:rsid w:val="006C1F02"/>
    <w:rsid w:val="006C2326"/>
    <w:rsid w:val="006C3672"/>
    <w:rsid w:val="006C367F"/>
    <w:rsid w:val="006C4730"/>
    <w:rsid w:val="006C4A7D"/>
    <w:rsid w:val="006C4BD0"/>
    <w:rsid w:val="006C4D91"/>
    <w:rsid w:val="006C5691"/>
    <w:rsid w:val="006C57A1"/>
    <w:rsid w:val="006C589B"/>
    <w:rsid w:val="006C5C35"/>
    <w:rsid w:val="006C5EBB"/>
    <w:rsid w:val="006C6B22"/>
    <w:rsid w:val="006C6F01"/>
    <w:rsid w:val="006C6FB8"/>
    <w:rsid w:val="006C7219"/>
    <w:rsid w:val="006C7266"/>
    <w:rsid w:val="006C7927"/>
    <w:rsid w:val="006C7C77"/>
    <w:rsid w:val="006D090E"/>
    <w:rsid w:val="006D2252"/>
    <w:rsid w:val="006D26E0"/>
    <w:rsid w:val="006D2764"/>
    <w:rsid w:val="006D2D41"/>
    <w:rsid w:val="006D3B46"/>
    <w:rsid w:val="006D3E01"/>
    <w:rsid w:val="006D3F41"/>
    <w:rsid w:val="006D4A01"/>
    <w:rsid w:val="006D4B57"/>
    <w:rsid w:val="006D4D0E"/>
    <w:rsid w:val="006D5A9F"/>
    <w:rsid w:val="006D681E"/>
    <w:rsid w:val="006D6D8C"/>
    <w:rsid w:val="006D6FB2"/>
    <w:rsid w:val="006D7590"/>
    <w:rsid w:val="006D7710"/>
    <w:rsid w:val="006E0080"/>
    <w:rsid w:val="006E0492"/>
    <w:rsid w:val="006E06CA"/>
    <w:rsid w:val="006E0A42"/>
    <w:rsid w:val="006E159F"/>
    <w:rsid w:val="006E1B89"/>
    <w:rsid w:val="006E256A"/>
    <w:rsid w:val="006E2AFD"/>
    <w:rsid w:val="006E37C2"/>
    <w:rsid w:val="006E3F9E"/>
    <w:rsid w:val="006E45FA"/>
    <w:rsid w:val="006E46CB"/>
    <w:rsid w:val="006E4BDF"/>
    <w:rsid w:val="006E4CAE"/>
    <w:rsid w:val="006E540C"/>
    <w:rsid w:val="006E5705"/>
    <w:rsid w:val="006E5AB6"/>
    <w:rsid w:val="006E5E40"/>
    <w:rsid w:val="006E6163"/>
    <w:rsid w:val="006E65CF"/>
    <w:rsid w:val="006E6A20"/>
    <w:rsid w:val="006E7355"/>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4DE"/>
    <w:rsid w:val="006F4A4B"/>
    <w:rsid w:val="006F553A"/>
    <w:rsid w:val="006F5E3F"/>
    <w:rsid w:val="006F686E"/>
    <w:rsid w:val="006F7323"/>
    <w:rsid w:val="00700061"/>
    <w:rsid w:val="0070019B"/>
    <w:rsid w:val="007007A3"/>
    <w:rsid w:val="00700A43"/>
    <w:rsid w:val="00700D77"/>
    <w:rsid w:val="00701472"/>
    <w:rsid w:val="00701CF6"/>
    <w:rsid w:val="0070227A"/>
    <w:rsid w:val="00702729"/>
    <w:rsid w:val="007027A0"/>
    <w:rsid w:val="007029E4"/>
    <w:rsid w:val="007033B8"/>
    <w:rsid w:val="00703509"/>
    <w:rsid w:val="0070391C"/>
    <w:rsid w:val="00704060"/>
    <w:rsid w:val="0070549A"/>
    <w:rsid w:val="00706F8C"/>
    <w:rsid w:val="00706F9A"/>
    <w:rsid w:val="0070706B"/>
    <w:rsid w:val="007075C2"/>
    <w:rsid w:val="007078DF"/>
    <w:rsid w:val="00707DAB"/>
    <w:rsid w:val="00707FBF"/>
    <w:rsid w:val="0071086A"/>
    <w:rsid w:val="0071088A"/>
    <w:rsid w:val="00710E06"/>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920"/>
    <w:rsid w:val="00717AC1"/>
    <w:rsid w:val="007202A9"/>
    <w:rsid w:val="00720440"/>
    <w:rsid w:val="00720445"/>
    <w:rsid w:val="007206EB"/>
    <w:rsid w:val="0072076B"/>
    <w:rsid w:val="00720E75"/>
    <w:rsid w:val="00721857"/>
    <w:rsid w:val="00721D98"/>
    <w:rsid w:val="00722186"/>
    <w:rsid w:val="007226A1"/>
    <w:rsid w:val="00722F63"/>
    <w:rsid w:val="0072551B"/>
    <w:rsid w:val="007256A8"/>
    <w:rsid w:val="00725888"/>
    <w:rsid w:val="00726373"/>
    <w:rsid w:val="00726A05"/>
    <w:rsid w:val="00727B8B"/>
    <w:rsid w:val="007302D1"/>
    <w:rsid w:val="0073055E"/>
    <w:rsid w:val="00730596"/>
    <w:rsid w:val="007317DA"/>
    <w:rsid w:val="00731A9A"/>
    <w:rsid w:val="00732342"/>
    <w:rsid w:val="00732690"/>
    <w:rsid w:val="007340EE"/>
    <w:rsid w:val="007344EC"/>
    <w:rsid w:val="00734CD7"/>
    <w:rsid w:val="0073555E"/>
    <w:rsid w:val="00735ACB"/>
    <w:rsid w:val="00736331"/>
    <w:rsid w:val="007372BC"/>
    <w:rsid w:val="007376BE"/>
    <w:rsid w:val="00740477"/>
    <w:rsid w:val="007404E2"/>
    <w:rsid w:val="00740AA5"/>
    <w:rsid w:val="00740D48"/>
    <w:rsid w:val="00740FB0"/>
    <w:rsid w:val="00741440"/>
    <w:rsid w:val="00741BAD"/>
    <w:rsid w:val="00742386"/>
    <w:rsid w:val="00742A62"/>
    <w:rsid w:val="00743394"/>
    <w:rsid w:val="007439AE"/>
    <w:rsid w:val="00743D6C"/>
    <w:rsid w:val="00743F47"/>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AED"/>
    <w:rsid w:val="00750C9E"/>
    <w:rsid w:val="00750DF2"/>
    <w:rsid w:val="00750E5B"/>
    <w:rsid w:val="007513C0"/>
    <w:rsid w:val="00751941"/>
    <w:rsid w:val="00753763"/>
    <w:rsid w:val="00753D6D"/>
    <w:rsid w:val="007547AC"/>
    <w:rsid w:val="00754B6C"/>
    <w:rsid w:val="00754C47"/>
    <w:rsid w:val="00754DFD"/>
    <w:rsid w:val="00754E8A"/>
    <w:rsid w:val="007552DD"/>
    <w:rsid w:val="00755498"/>
    <w:rsid w:val="007556E2"/>
    <w:rsid w:val="00755996"/>
    <w:rsid w:val="00756215"/>
    <w:rsid w:val="0075627D"/>
    <w:rsid w:val="007562E4"/>
    <w:rsid w:val="0075643D"/>
    <w:rsid w:val="007570C3"/>
    <w:rsid w:val="00757CBA"/>
    <w:rsid w:val="007612BE"/>
    <w:rsid w:val="00761C4F"/>
    <w:rsid w:val="00761FF5"/>
    <w:rsid w:val="00762E16"/>
    <w:rsid w:val="00764942"/>
    <w:rsid w:val="00765DD9"/>
    <w:rsid w:val="007664D7"/>
    <w:rsid w:val="00766A8D"/>
    <w:rsid w:val="007670B8"/>
    <w:rsid w:val="007670F2"/>
    <w:rsid w:val="00770026"/>
    <w:rsid w:val="0077019E"/>
    <w:rsid w:val="00770582"/>
    <w:rsid w:val="00770A50"/>
    <w:rsid w:val="007710D8"/>
    <w:rsid w:val="007718E7"/>
    <w:rsid w:val="00771C53"/>
    <w:rsid w:val="007720D4"/>
    <w:rsid w:val="007721BE"/>
    <w:rsid w:val="0077283C"/>
    <w:rsid w:val="00772AA3"/>
    <w:rsid w:val="00772B3B"/>
    <w:rsid w:val="00772E6E"/>
    <w:rsid w:val="007731E1"/>
    <w:rsid w:val="007735B9"/>
    <w:rsid w:val="007737B2"/>
    <w:rsid w:val="00774290"/>
    <w:rsid w:val="00777191"/>
    <w:rsid w:val="007774AB"/>
    <w:rsid w:val="007777D3"/>
    <w:rsid w:val="00777820"/>
    <w:rsid w:val="0077782E"/>
    <w:rsid w:val="00777EF7"/>
    <w:rsid w:val="0078006E"/>
    <w:rsid w:val="00780379"/>
    <w:rsid w:val="00780729"/>
    <w:rsid w:val="00780B8E"/>
    <w:rsid w:val="00780BE2"/>
    <w:rsid w:val="0078156E"/>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88C"/>
    <w:rsid w:val="00787DAE"/>
    <w:rsid w:val="00790209"/>
    <w:rsid w:val="00790223"/>
    <w:rsid w:val="007905FF"/>
    <w:rsid w:val="007906B2"/>
    <w:rsid w:val="00790C1A"/>
    <w:rsid w:val="00790C8A"/>
    <w:rsid w:val="00791DC5"/>
    <w:rsid w:val="00792721"/>
    <w:rsid w:val="00792993"/>
    <w:rsid w:val="00792E2D"/>
    <w:rsid w:val="00793230"/>
    <w:rsid w:val="00793927"/>
    <w:rsid w:val="00793D5B"/>
    <w:rsid w:val="00793EE3"/>
    <w:rsid w:val="0079400F"/>
    <w:rsid w:val="00794540"/>
    <w:rsid w:val="007948B6"/>
    <w:rsid w:val="00794D15"/>
    <w:rsid w:val="00794EA0"/>
    <w:rsid w:val="00795155"/>
    <w:rsid w:val="00795327"/>
    <w:rsid w:val="00795CE8"/>
    <w:rsid w:val="00796072"/>
    <w:rsid w:val="00796554"/>
    <w:rsid w:val="007976E4"/>
    <w:rsid w:val="00797E2C"/>
    <w:rsid w:val="00797F89"/>
    <w:rsid w:val="007A033E"/>
    <w:rsid w:val="007A04D4"/>
    <w:rsid w:val="007A08E5"/>
    <w:rsid w:val="007A0B54"/>
    <w:rsid w:val="007A11DB"/>
    <w:rsid w:val="007A121D"/>
    <w:rsid w:val="007A1722"/>
    <w:rsid w:val="007A18DF"/>
    <w:rsid w:val="007A18E5"/>
    <w:rsid w:val="007A1FEF"/>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4414"/>
    <w:rsid w:val="007B4BE0"/>
    <w:rsid w:val="007B5084"/>
    <w:rsid w:val="007B522C"/>
    <w:rsid w:val="007B5EE1"/>
    <w:rsid w:val="007B5F5D"/>
    <w:rsid w:val="007B66E4"/>
    <w:rsid w:val="007B6D61"/>
    <w:rsid w:val="007B708D"/>
    <w:rsid w:val="007B70CB"/>
    <w:rsid w:val="007B7910"/>
    <w:rsid w:val="007B7F50"/>
    <w:rsid w:val="007C0F00"/>
    <w:rsid w:val="007C158F"/>
    <w:rsid w:val="007C2716"/>
    <w:rsid w:val="007C293B"/>
    <w:rsid w:val="007C2DE8"/>
    <w:rsid w:val="007C3D84"/>
    <w:rsid w:val="007C42D1"/>
    <w:rsid w:val="007C4F2D"/>
    <w:rsid w:val="007C5D85"/>
    <w:rsid w:val="007C6581"/>
    <w:rsid w:val="007C69F3"/>
    <w:rsid w:val="007C6BD3"/>
    <w:rsid w:val="007C6F3F"/>
    <w:rsid w:val="007C6FC9"/>
    <w:rsid w:val="007C72FD"/>
    <w:rsid w:val="007C784A"/>
    <w:rsid w:val="007C7CF1"/>
    <w:rsid w:val="007D02AA"/>
    <w:rsid w:val="007D0C67"/>
    <w:rsid w:val="007D3360"/>
    <w:rsid w:val="007D3A15"/>
    <w:rsid w:val="007D456C"/>
    <w:rsid w:val="007D47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7B2"/>
    <w:rsid w:val="007E1056"/>
    <w:rsid w:val="007E139E"/>
    <w:rsid w:val="007E1FEC"/>
    <w:rsid w:val="007E2A32"/>
    <w:rsid w:val="007E2FE1"/>
    <w:rsid w:val="007E3127"/>
    <w:rsid w:val="007E3A4D"/>
    <w:rsid w:val="007E3E5A"/>
    <w:rsid w:val="007E40AE"/>
    <w:rsid w:val="007E42D3"/>
    <w:rsid w:val="007E43C5"/>
    <w:rsid w:val="007E4701"/>
    <w:rsid w:val="007E4B3C"/>
    <w:rsid w:val="007E53BF"/>
    <w:rsid w:val="007E54DF"/>
    <w:rsid w:val="007E5AFD"/>
    <w:rsid w:val="007E6403"/>
    <w:rsid w:val="007E6A88"/>
    <w:rsid w:val="007E6BC9"/>
    <w:rsid w:val="007E77D3"/>
    <w:rsid w:val="007E7AA5"/>
    <w:rsid w:val="007E7D4E"/>
    <w:rsid w:val="007F0EEB"/>
    <w:rsid w:val="007F2000"/>
    <w:rsid w:val="007F2681"/>
    <w:rsid w:val="007F30E4"/>
    <w:rsid w:val="007F3E5E"/>
    <w:rsid w:val="007F4BF5"/>
    <w:rsid w:val="007F50E4"/>
    <w:rsid w:val="007F59FB"/>
    <w:rsid w:val="007F5B0B"/>
    <w:rsid w:val="007F60F7"/>
    <w:rsid w:val="007F6162"/>
    <w:rsid w:val="007F6224"/>
    <w:rsid w:val="007F62D8"/>
    <w:rsid w:val="007F65EE"/>
    <w:rsid w:val="007F6997"/>
    <w:rsid w:val="007F6D72"/>
    <w:rsid w:val="007F6E3F"/>
    <w:rsid w:val="007F746F"/>
    <w:rsid w:val="008003F7"/>
    <w:rsid w:val="008005D2"/>
    <w:rsid w:val="00800E26"/>
    <w:rsid w:val="00800F8E"/>
    <w:rsid w:val="00801588"/>
    <w:rsid w:val="00801A8A"/>
    <w:rsid w:val="008021CB"/>
    <w:rsid w:val="00802297"/>
    <w:rsid w:val="00803A46"/>
    <w:rsid w:val="00804AF3"/>
    <w:rsid w:val="008054E7"/>
    <w:rsid w:val="0080622D"/>
    <w:rsid w:val="008068A0"/>
    <w:rsid w:val="00806F24"/>
    <w:rsid w:val="0080770A"/>
    <w:rsid w:val="008078F5"/>
    <w:rsid w:val="0081016B"/>
    <w:rsid w:val="00810502"/>
    <w:rsid w:val="0081056B"/>
    <w:rsid w:val="00810A77"/>
    <w:rsid w:val="00810DB0"/>
    <w:rsid w:val="00811CE1"/>
    <w:rsid w:val="0081251D"/>
    <w:rsid w:val="00812E90"/>
    <w:rsid w:val="00812EB8"/>
    <w:rsid w:val="00812F16"/>
    <w:rsid w:val="0081315F"/>
    <w:rsid w:val="0081378C"/>
    <w:rsid w:val="00813E3C"/>
    <w:rsid w:val="0081430C"/>
    <w:rsid w:val="00814523"/>
    <w:rsid w:val="00814ED3"/>
    <w:rsid w:val="0081567F"/>
    <w:rsid w:val="00816163"/>
    <w:rsid w:val="008163C2"/>
    <w:rsid w:val="00817381"/>
    <w:rsid w:val="008178AD"/>
    <w:rsid w:val="008178C5"/>
    <w:rsid w:val="00820141"/>
    <w:rsid w:val="0082064C"/>
    <w:rsid w:val="008209AF"/>
    <w:rsid w:val="00820B8B"/>
    <w:rsid w:val="008212D6"/>
    <w:rsid w:val="008213CB"/>
    <w:rsid w:val="008227F6"/>
    <w:rsid w:val="00822936"/>
    <w:rsid w:val="00822B64"/>
    <w:rsid w:val="00822E9F"/>
    <w:rsid w:val="00823E76"/>
    <w:rsid w:val="00823EA8"/>
    <w:rsid w:val="00824224"/>
    <w:rsid w:val="00824228"/>
    <w:rsid w:val="008252E0"/>
    <w:rsid w:val="00825490"/>
    <w:rsid w:val="00825DB0"/>
    <w:rsid w:val="00827343"/>
    <w:rsid w:val="0082756D"/>
    <w:rsid w:val="008306B6"/>
    <w:rsid w:val="00831586"/>
    <w:rsid w:val="00831927"/>
    <w:rsid w:val="00832677"/>
    <w:rsid w:val="00833137"/>
    <w:rsid w:val="008339F2"/>
    <w:rsid w:val="00834083"/>
    <w:rsid w:val="00834ACB"/>
    <w:rsid w:val="00834FDE"/>
    <w:rsid w:val="00836150"/>
    <w:rsid w:val="008366FA"/>
    <w:rsid w:val="00836C38"/>
    <w:rsid w:val="00837366"/>
    <w:rsid w:val="00837712"/>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3D7"/>
    <w:rsid w:val="008549B7"/>
    <w:rsid w:val="00855223"/>
    <w:rsid w:val="008565A3"/>
    <w:rsid w:val="008567C4"/>
    <w:rsid w:val="00856AC4"/>
    <w:rsid w:val="00856F27"/>
    <w:rsid w:val="008600DD"/>
    <w:rsid w:val="008601F3"/>
    <w:rsid w:val="00860AAC"/>
    <w:rsid w:val="00861367"/>
    <w:rsid w:val="00861DF4"/>
    <w:rsid w:val="008621DE"/>
    <w:rsid w:val="008629E3"/>
    <w:rsid w:val="00863518"/>
    <w:rsid w:val="00864290"/>
    <w:rsid w:val="00864675"/>
    <w:rsid w:val="0086539A"/>
    <w:rsid w:val="008654A5"/>
    <w:rsid w:val="0086565A"/>
    <w:rsid w:val="00865EAF"/>
    <w:rsid w:val="008664AD"/>
    <w:rsid w:val="008667F9"/>
    <w:rsid w:val="00867B69"/>
    <w:rsid w:val="00870435"/>
    <w:rsid w:val="00870482"/>
    <w:rsid w:val="0087094E"/>
    <w:rsid w:val="008709B2"/>
    <w:rsid w:val="00870A03"/>
    <w:rsid w:val="0087148E"/>
    <w:rsid w:val="0087181A"/>
    <w:rsid w:val="00871C70"/>
    <w:rsid w:val="00872A14"/>
    <w:rsid w:val="00872A2E"/>
    <w:rsid w:val="00872DAF"/>
    <w:rsid w:val="00872EB0"/>
    <w:rsid w:val="0087340C"/>
    <w:rsid w:val="0087482B"/>
    <w:rsid w:val="00874A20"/>
    <w:rsid w:val="00874F62"/>
    <w:rsid w:val="008750ED"/>
    <w:rsid w:val="0087581D"/>
    <w:rsid w:val="00875A81"/>
    <w:rsid w:val="0087720A"/>
    <w:rsid w:val="00877FF3"/>
    <w:rsid w:val="00880513"/>
    <w:rsid w:val="0088112A"/>
    <w:rsid w:val="008812A9"/>
    <w:rsid w:val="008820B5"/>
    <w:rsid w:val="00882227"/>
    <w:rsid w:val="00882BAD"/>
    <w:rsid w:val="0088369B"/>
    <w:rsid w:val="00883872"/>
    <w:rsid w:val="00883A4A"/>
    <w:rsid w:val="00883DD5"/>
    <w:rsid w:val="00883F43"/>
    <w:rsid w:val="00884147"/>
    <w:rsid w:val="0088443F"/>
    <w:rsid w:val="00884584"/>
    <w:rsid w:val="00884698"/>
    <w:rsid w:val="008849FA"/>
    <w:rsid w:val="008856A3"/>
    <w:rsid w:val="00885738"/>
    <w:rsid w:val="00885B2E"/>
    <w:rsid w:val="00886048"/>
    <w:rsid w:val="008865AF"/>
    <w:rsid w:val="008865D4"/>
    <w:rsid w:val="008868BD"/>
    <w:rsid w:val="00886956"/>
    <w:rsid w:val="008872FF"/>
    <w:rsid w:val="0088733C"/>
    <w:rsid w:val="008873A2"/>
    <w:rsid w:val="00887B94"/>
    <w:rsid w:val="00887D5E"/>
    <w:rsid w:val="00890288"/>
    <w:rsid w:val="00890ACF"/>
    <w:rsid w:val="00890C03"/>
    <w:rsid w:val="00890C8B"/>
    <w:rsid w:val="00891077"/>
    <w:rsid w:val="00891603"/>
    <w:rsid w:val="00891ABA"/>
    <w:rsid w:val="00891E32"/>
    <w:rsid w:val="00894283"/>
    <w:rsid w:val="0089435A"/>
    <w:rsid w:val="00895551"/>
    <w:rsid w:val="00895694"/>
    <w:rsid w:val="008956F1"/>
    <w:rsid w:val="00895CE9"/>
    <w:rsid w:val="008966E9"/>
    <w:rsid w:val="008968EE"/>
    <w:rsid w:val="008972FD"/>
    <w:rsid w:val="0089777D"/>
    <w:rsid w:val="008A037D"/>
    <w:rsid w:val="008A07BF"/>
    <w:rsid w:val="008A0F71"/>
    <w:rsid w:val="008A144C"/>
    <w:rsid w:val="008A151C"/>
    <w:rsid w:val="008A1BF2"/>
    <w:rsid w:val="008A1E73"/>
    <w:rsid w:val="008A2534"/>
    <w:rsid w:val="008A2D05"/>
    <w:rsid w:val="008A33A5"/>
    <w:rsid w:val="008A39B1"/>
    <w:rsid w:val="008A3B5E"/>
    <w:rsid w:val="008A4759"/>
    <w:rsid w:val="008A4DCB"/>
    <w:rsid w:val="008A555A"/>
    <w:rsid w:val="008A5AC5"/>
    <w:rsid w:val="008A603F"/>
    <w:rsid w:val="008A6302"/>
    <w:rsid w:val="008A6519"/>
    <w:rsid w:val="008A6A8B"/>
    <w:rsid w:val="008A6CAF"/>
    <w:rsid w:val="008A793B"/>
    <w:rsid w:val="008A7F53"/>
    <w:rsid w:val="008B0399"/>
    <w:rsid w:val="008B084E"/>
    <w:rsid w:val="008B128D"/>
    <w:rsid w:val="008B1706"/>
    <w:rsid w:val="008B2E64"/>
    <w:rsid w:val="008B37B5"/>
    <w:rsid w:val="008B3871"/>
    <w:rsid w:val="008B3939"/>
    <w:rsid w:val="008B39F1"/>
    <w:rsid w:val="008B471D"/>
    <w:rsid w:val="008B4885"/>
    <w:rsid w:val="008B48E1"/>
    <w:rsid w:val="008B4B00"/>
    <w:rsid w:val="008B5ECC"/>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6D2"/>
    <w:rsid w:val="008C39B9"/>
    <w:rsid w:val="008C3D00"/>
    <w:rsid w:val="008C3D7B"/>
    <w:rsid w:val="008C3E7B"/>
    <w:rsid w:val="008C417C"/>
    <w:rsid w:val="008C4F15"/>
    <w:rsid w:val="008C5264"/>
    <w:rsid w:val="008C54BA"/>
    <w:rsid w:val="008C6233"/>
    <w:rsid w:val="008C6243"/>
    <w:rsid w:val="008C64E5"/>
    <w:rsid w:val="008C6E21"/>
    <w:rsid w:val="008C6F20"/>
    <w:rsid w:val="008C6F9E"/>
    <w:rsid w:val="008C6FE8"/>
    <w:rsid w:val="008C737E"/>
    <w:rsid w:val="008C7452"/>
    <w:rsid w:val="008D0320"/>
    <w:rsid w:val="008D064B"/>
    <w:rsid w:val="008D143D"/>
    <w:rsid w:val="008D145D"/>
    <w:rsid w:val="008D17D7"/>
    <w:rsid w:val="008D24B9"/>
    <w:rsid w:val="008D3955"/>
    <w:rsid w:val="008D3D19"/>
    <w:rsid w:val="008D3D31"/>
    <w:rsid w:val="008D5861"/>
    <w:rsid w:val="008D5ED6"/>
    <w:rsid w:val="008D6328"/>
    <w:rsid w:val="008D69DA"/>
    <w:rsid w:val="008D6AC2"/>
    <w:rsid w:val="008D6B72"/>
    <w:rsid w:val="008D6D85"/>
    <w:rsid w:val="008D6E02"/>
    <w:rsid w:val="008D6FF3"/>
    <w:rsid w:val="008D73A0"/>
    <w:rsid w:val="008D792A"/>
    <w:rsid w:val="008E021C"/>
    <w:rsid w:val="008E143A"/>
    <w:rsid w:val="008E14D4"/>
    <w:rsid w:val="008E1EFC"/>
    <w:rsid w:val="008E2B6C"/>
    <w:rsid w:val="008E322F"/>
    <w:rsid w:val="008E348B"/>
    <w:rsid w:val="008E3840"/>
    <w:rsid w:val="008E3C1B"/>
    <w:rsid w:val="008E5275"/>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454"/>
    <w:rsid w:val="008F6506"/>
    <w:rsid w:val="009003D1"/>
    <w:rsid w:val="0090047A"/>
    <w:rsid w:val="009005BA"/>
    <w:rsid w:val="009005BE"/>
    <w:rsid w:val="00900804"/>
    <w:rsid w:val="00901F13"/>
    <w:rsid w:val="00902220"/>
    <w:rsid w:val="0090255B"/>
    <w:rsid w:val="00902AA6"/>
    <w:rsid w:val="00902C59"/>
    <w:rsid w:val="00903A9A"/>
    <w:rsid w:val="009046D2"/>
    <w:rsid w:val="00904A11"/>
    <w:rsid w:val="00904DE7"/>
    <w:rsid w:val="009051B5"/>
    <w:rsid w:val="0090539E"/>
    <w:rsid w:val="009055D2"/>
    <w:rsid w:val="0090564E"/>
    <w:rsid w:val="00905A7D"/>
    <w:rsid w:val="00905B00"/>
    <w:rsid w:val="0090746A"/>
    <w:rsid w:val="0090768E"/>
    <w:rsid w:val="00907A42"/>
    <w:rsid w:val="00907A7C"/>
    <w:rsid w:val="00907AB1"/>
    <w:rsid w:val="00907BCA"/>
    <w:rsid w:val="00907C5E"/>
    <w:rsid w:val="009101AA"/>
    <w:rsid w:val="009104A9"/>
    <w:rsid w:val="0091175B"/>
    <w:rsid w:val="00911AC0"/>
    <w:rsid w:val="009120C5"/>
    <w:rsid w:val="009126FC"/>
    <w:rsid w:val="0091301A"/>
    <w:rsid w:val="009133B0"/>
    <w:rsid w:val="009137AE"/>
    <w:rsid w:val="009139CA"/>
    <w:rsid w:val="009156AA"/>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3DC"/>
    <w:rsid w:val="009238F5"/>
    <w:rsid w:val="00924992"/>
    <w:rsid w:val="00925726"/>
    <w:rsid w:val="00925F86"/>
    <w:rsid w:val="00927532"/>
    <w:rsid w:val="0093086D"/>
    <w:rsid w:val="00930AD8"/>
    <w:rsid w:val="009310A7"/>
    <w:rsid w:val="009323AA"/>
    <w:rsid w:val="00932618"/>
    <w:rsid w:val="0093261A"/>
    <w:rsid w:val="00933173"/>
    <w:rsid w:val="00933320"/>
    <w:rsid w:val="0093361C"/>
    <w:rsid w:val="00933695"/>
    <w:rsid w:val="00933CC4"/>
    <w:rsid w:val="00934298"/>
    <w:rsid w:val="00934649"/>
    <w:rsid w:val="0093513D"/>
    <w:rsid w:val="00935AFB"/>
    <w:rsid w:val="0093610E"/>
    <w:rsid w:val="00936618"/>
    <w:rsid w:val="009371A8"/>
    <w:rsid w:val="009371C2"/>
    <w:rsid w:val="00937FEE"/>
    <w:rsid w:val="00940DB6"/>
    <w:rsid w:val="009412A4"/>
    <w:rsid w:val="00941D59"/>
    <w:rsid w:val="00942AE1"/>
    <w:rsid w:val="00942E24"/>
    <w:rsid w:val="00942F9D"/>
    <w:rsid w:val="0094449D"/>
    <w:rsid w:val="009448BD"/>
    <w:rsid w:val="00944B08"/>
    <w:rsid w:val="00944CD8"/>
    <w:rsid w:val="00944F65"/>
    <w:rsid w:val="009458C8"/>
    <w:rsid w:val="009463BB"/>
    <w:rsid w:val="00946958"/>
    <w:rsid w:val="009475F6"/>
    <w:rsid w:val="00947A6D"/>
    <w:rsid w:val="00950898"/>
    <w:rsid w:val="00950B7A"/>
    <w:rsid w:val="00951068"/>
    <w:rsid w:val="0095128E"/>
    <w:rsid w:val="00951C93"/>
    <w:rsid w:val="00953315"/>
    <w:rsid w:val="00954A4F"/>
    <w:rsid w:val="00954B6A"/>
    <w:rsid w:val="00956AFB"/>
    <w:rsid w:val="00956B1D"/>
    <w:rsid w:val="00957C19"/>
    <w:rsid w:val="00960C10"/>
    <w:rsid w:val="00960C59"/>
    <w:rsid w:val="00961B65"/>
    <w:rsid w:val="00961EE7"/>
    <w:rsid w:val="00962054"/>
    <w:rsid w:val="00963B35"/>
    <w:rsid w:val="0096404E"/>
    <w:rsid w:val="009647C4"/>
    <w:rsid w:val="00964802"/>
    <w:rsid w:val="00964B85"/>
    <w:rsid w:val="0096562C"/>
    <w:rsid w:val="0096753F"/>
    <w:rsid w:val="00967793"/>
    <w:rsid w:val="00967C74"/>
    <w:rsid w:val="00967CF2"/>
    <w:rsid w:val="00967DC6"/>
    <w:rsid w:val="00970450"/>
    <w:rsid w:val="00970E9F"/>
    <w:rsid w:val="00971208"/>
    <w:rsid w:val="0097135B"/>
    <w:rsid w:val="00971A05"/>
    <w:rsid w:val="00971EDF"/>
    <w:rsid w:val="009731FC"/>
    <w:rsid w:val="00973354"/>
    <w:rsid w:val="009738E8"/>
    <w:rsid w:val="00974287"/>
    <w:rsid w:val="00974EC7"/>
    <w:rsid w:val="0097543B"/>
    <w:rsid w:val="00975AB0"/>
    <w:rsid w:val="00976684"/>
    <w:rsid w:val="009768EB"/>
    <w:rsid w:val="00976DCA"/>
    <w:rsid w:val="00977044"/>
    <w:rsid w:val="009774DA"/>
    <w:rsid w:val="00977993"/>
    <w:rsid w:val="009806D7"/>
    <w:rsid w:val="00980773"/>
    <w:rsid w:val="00981041"/>
    <w:rsid w:val="00982AE1"/>
    <w:rsid w:val="00982D20"/>
    <w:rsid w:val="0098339B"/>
    <w:rsid w:val="0098377A"/>
    <w:rsid w:val="00983CDF"/>
    <w:rsid w:val="00983EDB"/>
    <w:rsid w:val="00983F0C"/>
    <w:rsid w:val="009853E4"/>
    <w:rsid w:val="00985DAB"/>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856"/>
    <w:rsid w:val="00992A26"/>
    <w:rsid w:val="00992AEC"/>
    <w:rsid w:val="00993397"/>
    <w:rsid w:val="00993B34"/>
    <w:rsid w:val="00993B8D"/>
    <w:rsid w:val="00993F80"/>
    <w:rsid w:val="0099413A"/>
    <w:rsid w:val="0099526A"/>
    <w:rsid w:val="009959E4"/>
    <w:rsid w:val="00996384"/>
    <w:rsid w:val="00996A34"/>
    <w:rsid w:val="009974B5"/>
    <w:rsid w:val="009976AB"/>
    <w:rsid w:val="00997727"/>
    <w:rsid w:val="009A0F3F"/>
    <w:rsid w:val="009A1518"/>
    <w:rsid w:val="009A15DC"/>
    <w:rsid w:val="009A17F3"/>
    <w:rsid w:val="009A1B1F"/>
    <w:rsid w:val="009A1D56"/>
    <w:rsid w:val="009A1F14"/>
    <w:rsid w:val="009A1FED"/>
    <w:rsid w:val="009A213F"/>
    <w:rsid w:val="009A2272"/>
    <w:rsid w:val="009A23E8"/>
    <w:rsid w:val="009A283F"/>
    <w:rsid w:val="009A2BCE"/>
    <w:rsid w:val="009A2CD7"/>
    <w:rsid w:val="009A2F92"/>
    <w:rsid w:val="009A3015"/>
    <w:rsid w:val="009A32FD"/>
    <w:rsid w:val="009A3355"/>
    <w:rsid w:val="009A389B"/>
    <w:rsid w:val="009A4FD8"/>
    <w:rsid w:val="009A60B2"/>
    <w:rsid w:val="009A66C7"/>
    <w:rsid w:val="009A6861"/>
    <w:rsid w:val="009B0643"/>
    <w:rsid w:val="009B0664"/>
    <w:rsid w:val="009B0704"/>
    <w:rsid w:val="009B0E43"/>
    <w:rsid w:val="009B11FE"/>
    <w:rsid w:val="009B152B"/>
    <w:rsid w:val="009B1670"/>
    <w:rsid w:val="009B1B35"/>
    <w:rsid w:val="009B1CC2"/>
    <w:rsid w:val="009B1D57"/>
    <w:rsid w:val="009B21C2"/>
    <w:rsid w:val="009B254C"/>
    <w:rsid w:val="009B2684"/>
    <w:rsid w:val="009B2BC9"/>
    <w:rsid w:val="009B2E52"/>
    <w:rsid w:val="009B2E8A"/>
    <w:rsid w:val="009B37CD"/>
    <w:rsid w:val="009B3A7E"/>
    <w:rsid w:val="009B3F12"/>
    <w:rsid w:val="009B4A55"/>
    <w:rsid w:val="009B4C47"/>
    <w:rsid w:val="009B4E4B"/>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044"/>
    <w:rsid w:val="009D08AC"/>
    <w:rsid w:val="009D12CF"/>
    <w:rsid w:val="009D152A"/>
    <w:rsid w:val="009D1B52"/>
    <w:rsid w:val="009D222D"/>
    <w:rsid w:val="009D291B"/>
    <w:rsid w:val="009D3722"/>
    <w:rsid w:val="009D3745"/>
    <w:rsid w:val="009D3762"/>
    <w:rsid w:val="009D3C45"/>
    <w:rsid w:val="009D3FA1"/>
    <w:rsid w:val="009D506E"/>
    <w:rsid w:val="009D582F"/>
    <w:rsid w:val="009D5A35"/>
    <w:rsid w:val="009D604B"/>
    <w:rsid w:val="009D6331"/>
    <w:rsid w:val="009D6EAA"/>
    <w:rsid w:val="009D701B"/>
    <w:rsid w:val="009D7770"/>
    <w:rsid w:val="009D7C05"/>
    <w:rsid w:val="009E000C"/>
    <w:rsid w:val="009E01B0"/>
    <w:rsid w:val="009E01D5"/>
    <w:rsid w:val="009E0462"/>
    <w:rsid w:val="009E069B"/>
    <w:rsid w:val="009E0878"/>
    <w:rsid w:val="009E0C18"/>
    <w:rsid w:val="009E1141"/>
    <w:rsid w:val="009E1529"/>
    <w:rsid w:val="009E1572"/>
    <w:rsid w:val="009E17D5"/>
    <w:rsid w:val="009E1B17"/>
    <w:rsid w:val="009E20F0"/>
    <w:rsid w:val="009E237C"/>
    <w:rsid w:val="009E238F"/>
    <w:rsid w:val="009E2B59"/>
    <w:rsid w:val="009E2BCC"/>
    <w:rsid w:val="009E3AA1"/>
    <w:rsid w:val="009E3E41"/>
    <w:rsid w:val="009E3F73"/>
    <w:rsid w:val="009E3FFD"/>
    <w:rsid w:val="009E4BDE"/>
    <w:rsid w:val="009E5878"/>
    <w:rsid w:val="009E63BE"/>
    <w:rsid w:val="009E72BE"/>
    <w:rsid w:val="009F108F"/>
    <w:rsid w:val="009F14D6"/>
    <w:rsid w:val="009F17A5"/>
    <w:rsid w:val="009F1BCD"/>
    <w:rsid w:val="009F2796"/>
    <w:rsid w:val="009F3275"/>
    <w:rsid w:val="009F32A4"/>
    <w:rsid w:val="009F3A41"/>
    <w:rsid w:val="009F3FE6"/>
    <w:rsid w:val="009F43D7"/>
    <w:rsid w:val="009F46AF"/>
    <w:rsid w:val="009F4C50"/>
    <w:rsid w:val="009F523A"/>
    <w:rsid w:val="009F54FB"/>
    <w:rsid w:val="009F5B47"/>
    <w:rsid w:val="009F5C11"/>
    <w:rsid w:val="009F6059"/>
    <w:rsid w:val="009F675E"/>
    <w:rsid w:val="009F6AAC"/>
    <w:rsid w:val="009F6AD3"/>
    <w:rsid w:val="009F6AD7"/>
    <w:rsid w:val="009F6DA9"/>
    <w:rsid w:val="009F7085"/>
    <w:rsid w:val="00A006E9"/>
    <w:rsid w:val="00A0253A"/>
    <w:rsid w:val="00A02FD6"/>
    <w:rsid w:val="00A0323D"/>
    <w:rsid w:val="00A03610"/>
    <w:rsid w:val="00A03C78"/>
    <w:rsid w:val="00A03F3E"/>
    <w:rsid w:val="00A04198"/>
    <w:rsid w:val="00A043F8"/>
    <w:rsid w:val="00A04690"/>
    <w:rsid w:val="00A04A38"/>
    <w:rsid w:val="00A05440"/>
    <w:rsid w:val="00A0595D"/>
    <w:rsid w:val="00A07155"/>
    <w:rsid w:val="00A07CC3"/>
    <w:rsid w:val="00A07D53"/>
    <w:rsid w:val="00A07F9A"/>
    <w:rsid w:val="00A11227"/>
    <w:rsid w:val="00A11579"/>
    <w:rsid w:val="00A11BEA"/>
    <w:rsid w:val="00A11BEC"/>
    <w:rsid w:val="00A11D5A"/>
    <w:rsid w:val="00A129D6"/>
    <w:rsid w:val="00A131B0"/>
    <w:rsid w:val="00A13472"/>
    <w:rsid w:val="00A13943"/>
    <w:rsid w:val="00A13B4A"/>
    <w:rsid w:val="00A149D5"/>
    <w:rsid w:val="00A14D22"/>
    <w:rsid w:val="00A15B14"/>
    <w:rsid w:val="00A15B83"/>
    <w:rsid w:val="00A1620E"/>
    <w:rsid w:val="00A16ED2"/>
    <w:rsid w:val="00A1744B"/>
    <w:rsid w:val="00A177CE"/>
    <w:rsid w:val="00A17864"/>
    <w:rsid w:val="00A17C99"/>
    <w:rsid w:val="00A17F45"/>
    <w:rsid w:val="00A20228"/>
    <w:rsid w:val="00A2109B"/>
    <w:rsid w:val="00A21BF1"/>
    <w:rsid w:val="00A222FF"/>
    <w:rsid w:val="00A2281D"/>
    <w:rsid w:val="00A23078"/>
    <w:rsid w:val="00A2319B"/>
    <w:rsid w:val="00A2350C"/>
    <w:rsid w:val="00A238E3"/>
    <w:rsid w:val="00A23C6E"/>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6ED"/>
    <w:rsid w:val="00A3692C"/>
    <w:rsid w:val="00A36937"/>
    <w:rsid w:val="00A36E9A"/>
    <w:rsid w:val="00A3766D"/>
    <w:rsid w:val="00A3767C"/>
    <w:rsid w:val="00A37C61"/>
    <w:rsid w:val="00A403ED"/>
    <w:rsid w:val="00A4054E"/>
    <w:rsid w:val="00A413AD"/>
    <w:rsid w:val="00A41701"/>
    <w:rsid w:val="00A41863"/>
    <w:rsid w:val="00A418E1"/>
    <w:rsid w:val="00A421C4"/>
    <w:rsid w:val="00A42958"/>
    <w:rsid w:val="00A42D78"/>
    <w:rsid w:val="00A443D3"/>
    <w:rsid w:val="00A44619"/>
    <w:rsid w:val="00A44D8D"/>
    <w:rsid w:val="00A44DB3"/>
    <w:rsid w:val="00A4572A"/>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8A8"/>
    <w:rsid w:val="00A53A72"/>
    <w:rsid w:val="00A53BE5"/>
    <w:rsid w:val="00A54938"/>
    <w:rsid w:val="00A54B34"/>
    <w:rsid w:val="00A553A7"/>
    <w:rsid w:val="00A5543E"/>
    <w:rsid w:val="00A556FA"/>
    <w:rsid w:val="00A56329"/>
    <w:rsid w:val="00A56BDA"/>
    <w:rsid w:val="00A57EF5"/>
    <w:rsid w:val="00A60B0B"/>
    <w:rsid w:val="00A60BC7"/>
    <w:rsid w:val="00A60C07"/>
    <w:rsid w:val="00A62612"/>
    <w:rsid w:val="00A628AE"/>
    <w:rsid w:val="00A62A36"/>
    <w:rsid w:val="00A62AF3"/>
    <w:rsid w:val="00A62BC4"/>
    <w:rsid w:val="00A62FAE"/>
    <w:rsid w:val="00A6358C"/>
    <w:rsid w:val="00A63BF3"/>
    <w:rsid w:val="00A63E29"/>
    <w:rsid w:val="00A64635"/>
    <w:rsid w:val="00A64D41"/>
    <w:rsid w:val="00A64EA8"/>
    <w:rsid w:val="00A656B3"/>
    <w:rsid w:val="00A65A8E"/>
    <w:rsid w:val="00A65AD4"/>
    <w:rsid w:val="00A66B07"/>
    <w:rsid w:val="00A67559"/>
    <w:rsid w:val="00A67590"/>
    <w:rsid w:val="00A67B55"/>
    <w:rsid w:val="00A701BD"/>
    <w:rsid w:val="00A702E4"/>
    <w:rsid w:val="00A70307"/>
    <w:rsid w:val="00A70762"/>
    <w:rsid w:val="00A70C05"/>
    <w:rsid w:val="00A70F36"/>
    <w:rsid w:val="00A7134A"/>
    <w:rsid w:val="00A713BB"/>
    <w:rsid w:val="00A71574"/>
    <w:rsid w:val="00A71797"/>
    <w:rsid w:val="00A7197E"/>
    <w:rsid w:val="00A71BCE"/>
    <w:rsid w:val="00A71D9A"/>
    <w:rsid w:val="00A722CD"/>
    <w:rsid w:val="00A729B7"/>
    <w:rsid w:val="00A731DC"/>
    <w:rsid w:val="00A735AE"/>
    <w:rsid w:val="00A73B2F"/>
    <w:rsid w:val="00A7497A"/>
    <w:rsid w:val="00A74C63"/>
    <w:rsid w:val="00A753D1"/>
    <w:rsid w:val="00A75759"/>
    <w:rsid w:val="00A75BC8"/>
    <w:rsid w:val="00A76B51"/>
    <w:rsid w:val="00A76C04"/>
    <w:rsid w:val="00A77E53"/>
    <w:rsid w:val="00A8012C"/>
    <w:rsid w:val="00A806AE"/>
    <w:rsid w:val="00A80795"/>
    <w:rsid w:val="00A80AFE"/>
    <w:rsid w:val="00A8144F"/>
    <w:rsid w:val="00A8155B"/>
    <w:rsid w:val="00A8196F"/>
    <w:rsid w:val="00A82069"/>
    <w:rsid w:val="00A82486"/>
    <w:rsid w:val="00A8302B"/>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0B33"/>
    <w:rsid w:val="00A91A3C"/>
    <w:rsid w:val="00A91B82"/>
    <w:rsid w:val="00A91F3B"/>
    <w:rsid w:val="00A92EC3"/>
    <w:rsid w:val="00A93BBE"/>
    <w:rsid w:val="00A946B0"/>
    <w:rsid w:val="00A94AA6"/>
    <w:rsid w:val="00A94F7B"/>
    <w:rsid w:val="00A9503F"/>
    <w:rsid w:val="00A9568F"/>
    <w:rsid w:val="00A95888"/>
    <w:rsid w:val="00A96648"/>
    <w:rsid w:val="00AA0454"/>
    <w:rsid w:val="00AA22AB"/>
    <w:rsid w:val="00AA282C"/>
    <w:rsid w:val="00AA311B"/>
    <w:rsid w:val="00AA3361"/>
    <w:rsid w:val="00AA3D06"/>
    <w:rsid w:val="00AA44F7"/>
    <w:rsid w:val="00AA45E1"/>
    <w:rsid w:val="00AA5386"/>
    <w:rsid w:val="00AA65C7"/>
    <w:rsid w:val="00AA6837"/>
    <w:rsid w:val="00AA6DB3"/>
    <w:rsid w:val="00AA76DD"/>
    <w:rsid w:val="00AA7BF2"/>
    <w:rsid w:val="00AA7C2B"/>
    <w:rsid w:val="00AA7F57"/>
    <w:rsid w:val="00AB0120"/>
    <w:rsid w:val="00AB0840"/>
    <w:rsid w:val="00AB0BA2"/>
    <w:rsid w:val="00AB0C4C"/>
    <w:rsid w:val="00AB10F6"/>
    <w:rsid w:val="00AB118E"/>
    <w:rsid w:val="00AB1776"/>
    <w:rsid w:val="00AB1936"/>
    <w:rsid w:val="00AB1E4C"/>
    <w:rsid w:val="00AB24C0"/>
    <w:rsid w:val="00AB2CC2"/>
    <w:rsid w:val="00AB2D94"/>
    <w:rsid w:val="00AB2F90"/>
    <w:rsid w:val="00AB2FCB"/>
    <w:rsid w:val="00AB3102"/>
    <w:rsid w:val="00AB36EB"/>
    <w:rsid w:val="00AB3B2D"/>
    <w:rsid w:val="00AB3EBE"/>
    <w:rsid w:val="00AB40CC"/>
    <w:rsid w:val="00AB4604"/>
    <w:rsid w:val="00AB4CD1"/>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575"/>
    <w:rsid w:val="00AC062F"/>
    <w:rsid w:val="00AC0E8F"/>
    <w:rsid w:val="00AC1250"/>
    <w:rsid w:val="00AC1ACE"/>
    <w:rsid w:val="00AC2570"/>
    <w:rsid w:val="00AC2664"/>
    <w:rsid w:val="00AC28FD"/>
    <w:rsid w:val="00AC2DF9"/>
    <w:rsid w:val="00AC3858"/>
    <w:rsid w:val="00AC39C8"/>
    <w:rsid w:val="00AC4A19"/>
    <w:rsid w:val="00AC4C09"/>
    <w:rsid w:val="00AC4C44"/>
    <w:rsid w:val="00AC513A"/>
    <w:rsid w:val="00AC5588"/>
    <w:rsid w:val="00AC5A2B"/>
    <w:rsid w:val="00AC5A80"/>
    <w:rsid w:val="00AC5B98"/>
    <w:rsid w:val="00AC6E6A"/>
    <w:rsid w:val="00AC6EA9"/>
    <w:rsid w:val="00AC6F0C"/>
    <w:rsid w:val="00AC7CFF"/>
    <w:rsid w:val="00AD0922"/>
    <w:rsid w:val="00AD0AD8"/>
    <w:rsid w:val="00AD0B94"/>
    <w:rsid w:val="00AD12EC"/>
    <w:rsid w:val="00AD2CA8"/>
    <w:rsid w:val="00AD317C"/>
    <w:rsid w:val="00AD3354"/>
    <w:rsid w:val="00AD45CE"/>
    <w:rsid w:val="00AD4FB2"/>
    <w:rsid w:val="00AD5E29"/>
    <w:rsid w:val="00AD66BF"/>
    <w:rsid w:val="00AD68B0"/>
    <w:rsid w:val="00AD6B02"/>
    <w:rsid w:val="00AD6F01"/>
    <w:rsid w:val="00AD72FC"/>
    <w:rsid w:val="00AD7888"/>
    <w:rsid w:val="00AE1107"/>
    <w:rsid w:val="00AE1217"/>
    <w:rsid w:val="00AE12FD"/>
    <w:rsid w:val="00AE191D"/>
    <w:rsid w:val="00AE1F15"/>
    <w:rsid w:val="00AE336F"/>
    <w:rsid w:val="00AE3B3E"/>
    <w:rsid w:val="00AE3E0B"/>
    <w:rsid w:val="00AE4A43"/>
    <w:rsid w:val="00AE4C77"/>
    <w:rsid w:val="00AE4FD6"/>
    <w:rsid w:val="00AE576C"/>
    <w:rsid w:val="00AE5CEF"/>
    <w:rsid w:val="00AE6DE3"/>
    <w:rsid w:val="00AE7401"/>
    <w:rsid w:val="00AE7C28"/>
    <w:rsid w:val="00AF056D"/>
    <w:rsid w:val="00AF059E"/>
    <w:rsid w:val="00AF0CDE"/>
    <w:rsid w:val="00AF16A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3AE"/>
    <w:rsid w:val="00AF756A"/>
    <w:rsid w:val="00AF78DA"/>
    <w:rsid w:val="00AF7E93"/>
    <w:rsid w:val="00B001A9"/>
    <w:rsid w:val="00B01621"/>
    <w:rsid w:val="00B01D97"/>
    <w:rsid w:val="00B0230F"/>
    <w:rsid w:val="00B026A2"/>
    <w:rsid w:val="00B02A0E"/>
    <w:rsid w:val="00B02EC7"/>
    <w:rsid w:val="00B03A64"/>
    <w:rsid w:val="00B040A3"/>
    <w:rsid w:val="00B046BC"/>
    <w:rsid w:val="00B0475D"/>
    <w:rsid w:val="00B04873"/>
    <w:rsid w:val="00B04AF7"/>
    <w:rsid w:val="00B0529D"/>
    <w:rsid w:val="00B052BE"/>
    <w:rsid w:val="00B06935"/>
    <w:rsid w:val="00B07FBA"/>
    <w:rsid w:val="00B1116B"/>
    <w:rsid w:val="00B1156A"/>
    <w:rsid w:val="00B12A34"/>
    <w:rsid w:val="00B13D1E"/>
    <w:rsid w:val="00B14790"/>
    <w:rsid w:val="00B15286"/>
    <w:rsid w:val="00B153AB"/>
    <w:rsid w:val="00B16390"/>
    <w:rsid w:val="00B16465"/>
    <w:rsid w:val="00B174F7"/>
    <w:rsid w:val="00B17611"/>
    <w:rsid w:val="00B178E0"/>
    <w:rsid w:val="00B20568"/>
    <w:rsid w:val="00B20803"/>
    <w:rsid w:val="00B20CCF"/>
    <w:rsid w:val="00B20D46"/>
    <w:rsid w:val="00B213E9"/>
    <w:rsid w:val="00B215E7"/>
    <w:rsid w:val="00B21CD6"/>
    <w:rsid w:val="00B221D7"/>
    <w:rsid w:val="00B22704"/>
    <w:rsid w:val="00B22951"/>
    <w:rsid w:val="00B229FC"/>
    <w:rsid w:val="00B22F72"/>
    <w:rsid w:val="00B23486"/>
    <w:rsid w:val="00B234C9"/>
    <w:rsid w:val="00B245E4"/>
    <w:rsid w:val="00B24AC1"/>
    <w:rsid w:val="00B24C45"/>
    <w:rsid w:val="00B24E12"/>
    <w:rsid w:val="00B24F43"/>
    <w:rsid w:val="00B25559"/>
    <w:rsid w:val="00B25939"/>
    <w:rsid w:val="00B25A53"/>
    <w:rsid w:val="00B25CBA"/>
    <w:rsid w:val="00B25CC6"/>
    <w:rsid w:val="00B25FCE"/>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C4F"/>
    <w:rsid w:val="00B36D0E"/>
    <w:rsid w:val="00B3755C"/>
    <w:rsid w:val="00B3780B"/>
    <w:rsid w:val="00B37F3C"/>
    <w:rsid w:val="00B4040D"/>
    <w:rsid w:val="00B404AA"/>
    <w:rsid w:val="00B40746"/>
    <w:rsid w:val="00B40F0D"/>
    <w:rsid w:val="00B41247"/>
    <w:rsid w:val="00B42381"/>
    <w:rsid w:val="00B42754"/>
    <w:rsid w:val="00B427DD"/>
    <w:rsid w:val="00B42B17"/>
    <w:rsid w:val="00B42E48"/>
    <w:rsid w:val="00B42E9E"/>
    <w:rsid w:val="00B4399A"/>
    <w:rsid w:val="00B43BB5"/>
    <w:rsid w:val="00B440E7"/>
    <w:rsid w:val="00B4490E"/>
    <w:rsid w:val="00B45B27"/>
    <w:rsid w:val="00B45FB8"/>
    <w:rsid w:val="00B461B7"/>
    <w:rsid w:val="00B469F4"/>
    <w:rsid w:val="00B46A63"/>
    <w:rsid w:val="00B46BA3"/>
    <w:rsid w:val="00B46C65"/>
    <w:rsid w:val="00B4716E"/>
    <w:rsid w:val="00B47282"/>
    <w:rsid w:val="00B50110"/>
    <w:rsid w:val="00B52F94"/>
    <w:rsid w:val="00B53E18"/>
    <w:rsid w:val="00B54008"/>
    <w:rsid w:val="00B5421C"/>
    <w:rsid w:val="00B5544F"/>
    <w:rsid w:val="00B56100"/>
    <w:rsid w:val="00B56A4E"/>
    <w:rsid w:val="00B571A9"/>
    <w:rsid w:val="00B5734A"/>
    <w:rsid w:val="00B5753B"/>
    <w:rsid w:val="00B60218"/>
    <w:rsid w:val="00B60A2D"/>
    <w:rsid w:val="00B629FA"/>
    <w:rsid w:val="00B62E19"/>
    <w:rsid w:val="00B62ECF"/>
    <w:rsid w:val="00B63143"/>
    <w:rsid w:val="00B63D03"/>
    <w:rsid w:val="00B64281"/>
    <w:rsid w:val="00B64787"/>
    <w:rsid w:val="00B652BF"/>
    <w:rsid w:val="00B65AFE"/>
    <w:rsid w:val="00B662D4"/>
    <w:rsid w:val="00B671BE"/>
    <w:rsid w:val="00B671EB"/>
    <w:rsid w:val="00B67612"/>
    <w:rsid w:val="00B67724"/>
    <w:rsid w:val="00B67D8D"/>
    <w:rsid w:val="00B70224"/>
    <w:rsid w:val="00B7050D"/>
    <w:rsid w:val="00B70996"/>
    <w:rsid w:val="00B70A4D"/>
    <w:rsid w:val="00B71243"/>
    <w:rsid w:val="00B715A3"/>
    <w:rsid w:val="00B71BA9"/>
    <w:rsid w:val="00B728B3"/>
    <w:rsid w:val="00B731CA"/>
    <w:rsid w:val="00B73389"/>
    <w:rsid w:val="00B73679"/>
    <w:rsid w:val="00B73B5C"/>
    <w:rsid w:val="00B745EF"/>
    <w:rsid w:val="00B74BED"/>
    <w:rsid w:val="00B7534B"/>
    <w:rsid w:val="00B76558"/>
    <w:rsid w:val="00B77B10"/>
    <w:rsid w:val="00B8051B"/>
    <w:rsid w:val="00B80D5B"/>
    <w:rsid w:val="00B81DD9"/>
    <w:rsid w:val="00B82AA2"/>
    <w:rsid w:val="00B83FFF"/>
    <w:rsid w:val="00B842EF"/>
    <w:rsid w:val="00B85842"/>
    <w:rsid w:val="00B85F3F"/>
    <w:rsid w:val="00B861C7"/>
    <w:rsid w:val="00B87315"/>
    <w:rsid w:val="00B873D4"/>
    <w:rsid w:val="00B87414"/>
    <w:rsid w:val="00B87E5B"/>
    <w:rsid w:val="00B903BF"/>
    <w:rsid w:val="00B90A1B"/>
    <w:rsid w:val="00B91A6A"/>
    <w:rsid w:val="00B91AF9"/>
    <w:rsid w:val="00B91C73"/>
    <w:rsid w:val="00B92321"/>
    <w:rsid w:val="00B92643"/>
    <w:rsid w:val="00B92B1C"/>
    <w:rsid w:val="00B934B6"/>
    <w:rsid w:val="00B9396C"/>
    <w:rsid w:val="00B95E60"/>
    <w:rsid w:val="00B961C5"/>
    <w:rsid w:val="00B96421"/>
    <w:rsid w:val="00B96921"/>
    <w:rsid w:val="00B97004"/>
    <w:rsid w:val="00B97193"/>
    <w:rsid w:val="00B9762F"/>
    <w:rsid w:val="00B978BC"/>
    <w:rsid w:val="00B97C45"/>
    <w:rsid w:val="00BA049C"/>
    <w:rsid w:val="00BA0DEA"/>
    <w:rsid w:val="00BA1064"/>
    <w:rsid w:val="00BA1623"/>
    <w:rsid w:val="00BA16EF"/>
    <w:rsid w:val="00BA173F"/>
    <w:rsid w:val="00BA2965"/>
    <w:rsid w:val="00BA2C5D"/>
    <w:rsid w:val="00BA3264"/>
    <w:rsid w:val="00BA3996"/>
    <w:rsid w:val="00BA3F1B"/>
    <w:rsid w:val="00BA40BF"/>
    <w:rsid w:val="00BA467C"/>
    <w:rsid w:val="00BA4844"/>
    <w:rsid w:val="00BA5051"/>
    <w:rsid w:val="00BA6F16"/>
    <w:rsid w:val="00BA76C6"/>
    <w:rsid w:val="00BA7890"/>
    <w:rsid w:val="00BB00FC"/>
    <w:rsid w:val="00BB086B"/>
    <w:rsid w:val="00BB15F8"/>
    <w:rsid w:val="00BB1775"/>
    <w:rsid w:val="00BB18D4"/>
    <w:rsid w:val="00BB1A9F"/>
    <w:rsid w:val="00BB2274"/>
    <w:rsid w:val="00BB3595"/>
    <w:rsid w:val="00BB3A24"/>
    <w:rsid w:val="00BB3B60"/>
    <w:rsid w:val="00BB3E23"/>
    <w:rsid w:val="00BB48D1"/>
    <w:rsid w:val="00BB49D7"/>
    <w:rsid w:val="00BB4F5C"/>
    <w:rsid w:val="00BB5A2B"/>
    <w:rsid w:val="00BB5A5A"/>
    <w:rsid w:val="00BB5E9C"/>
    <w:rsid w:val="00BB6E73"/>
    <w:rsid w:val="00BB746E"/>
    <w:rsid w:val="00BB797A"/>
    <w:rsid w:val="00BC05AA"/>
    <w:rsid w:val="00BC07C7"/>
    <w:rsid w:val="00BC0A59"/>
    <w:rsid w:val="00BC0B92"/>
    <w:rsid w:val="00BC0BC8"/>
    <w:rsid w:val="00BC11A4"/>
    <w:rsid w:val="00BC151E"/>
    <w:rsid w:val="00BC1784"/>
    <w:rsid w:val="00BC1CD5"/>
    <w:rsid w:val="00BC2B6C"/>
    <w:rsid w:val="00BC3107"/>
    <w:rsid w:val="00BC3C01"/>
    <w:rsid w:val="00BC3CEC"/>
    <w:rsid w:val="00BC4BBA"/>
    <w:rsid w:val="00BC4EE9"/>
    <w:rsid w:val="00BC5A16"/>
    <w:rsid w:val="00BC5A3B"/>
    <w:rsid w:val="00BC5B71"/>
    <w:rsid w:val="00BC66FA"/>
    <w:rsid w:val="00BC69DB"/>
    <w:rsid w:val="00BC7674"/>
    <w:rsid w:val="00BC7C5D"/>
    <w:rsid w:val="00BD03F4"/>
    <w:rsid w:val="00BD07EE"/>
    <w:rsid w:val="00BD0FAC"/>
    <w:rsid w:val="00BD1050"/>
    <w:rsid w:val="00BD2CEB"/>
    <w:rsid w:val="00BD2CF9"/>
    <w:rsid w:val="00BD2E18"/>
    <w:rsid w:val="00BD317F"/>
    <w:rsid w:val="00BD31AA"/>
    <w:rsid w:val="00BD3B8A"/>
    <w:rsid w:val="00BD422C"/>
    <w:rsid w:val="00BD4C64"/>
    <w:rsid w:val="00BD5319"/>
    <w:rsid w:val="00BD582C"/>
    <w:rsid w:val="00BD5A58"/>
    <w:rsid w:val="00BD6074"/>
    <w:rsid w:val="00BD64BD"/>
    <w:rsid w:val="00BD6568"/>
    <w:rsid w:val="00BD6709"/>
    <w:rsid w:val="00BD677D"/>
    <w:rsid w:val="00BD6D20"/>
    <w:rsid w:val="00BD6E66"/>
    <w:rsid w:val="00BD7437"/>
    <w:rsid w:val="00BD7678"/>
    <w:rsid w:val="00BD7DC8"/>
    <w:rsid w:val="00BD7E7F"/>
    <w:rsid w:val="00BE0334"/>
    <w:rsid w:val="00BE040A"/>
    <w:rsid w:val="00BE043A"/>
    <w:rsid w:val="00BE05C8"/>
    <w:rsid w:val="00BE07E8"/>
    <w:rsid w:val="00BE0F32"/>
    <w:rsid w:val="00BE15E4"/>
    <w:rsid w:val="00BE2053"/>
    <w:rsid w:val="00BE254D"/>
    <w:rsid w:val="00BE257C"/>
    <w:rsid w:val="00BE2F2B"/>
    <w:rsid w:val="00BE33E1"/>
    <w:rsid w:val="00BE4B51"/>
    <w:rsid w:val="00BE5491"/>
    <w:rsid w:val="00BE57A1"/>
    <w:rsid w:val="00BE5C9E"/>
    <w:rsid w:val="00BE6195"/>
    <w:rsid w:val="00BE62FF"/>
    <w:rsid w:val="00BE7E56"/>
    <w:rsid w:val="00BF0721"/>
    <w:rsid w:val="00BF0D2C"/>
    <w:rsid w:val="00BF1370"/>
    <w:rsid w:val="00BF1A2F"/>
    <w:rsid w:val="00BF1B96"/>
    <w:rsid w:val="00BF1DF0"/>
    <w:rsid w:val="00BF2034"/>
    <w:rsid w:val="00BF2115"/>
    <w:rsid w:val="00BF2229"/>
    <w:rsid w:val="00BF24AA"/>
    <w:rsid w:val="00BF2556"/>
    <w:rsid w:val="00BF2CA5"/>
    <w:rsid w:val="00BF3023"/>
    <w:rsid w:val="00BF3372"/>
    <w:rsid w:val="00BF362E"/>
    <w:rsid w:val="00BF3798"/>
    <w:rsid w:val="00BF4489"/>
    <w:rsid w:val="00BF5B89"/>
    <w:rsid w:val="00BF5E3D"/>
    <w:rsid w:val="00BF5EE6"/>
    <w:rsid w:val="00BF622A"/>
    <w:rsid w:val="00BF6693"/>
    <w:rsid w:val="00BF6ED4"/>
    <w:rsid w:val="00C00839"/>
    <w:rsid w:val="00C0144C"/>
    <w:rsid w:val="00C01970"/>
    <w:rsid w:val="00C01A9B"/>
    <w:rsid w:val="00C01AAB"/>
    <w:rsid w:val="00C02369"/>
    <w:rsid w:val="00C02640"/>
    <w:rsid w:val="00C026E4"/>
    <w:rsid w:val="00C02837"/>
    <w:rsid w:val="00C02A5E"/>
    <w:rsid w:val="00C02D8E"/>
    <w:rsid w:val="00C031F7"/>
    <w:rsid w:val="00C03412"/>
    <w:rsid w:val="00C03530"/>
    <w:rsid w:val="00C03B95"/>
    <w:rsid w:val="00C03CC3"/>
    <w:rsid w:val="00C0459C"/>
    <w:rsid w:val="00C046B3"/>
    <w:rsid w:val="00C04838"/>
    <w:rsid w:val="00C048DA"/>
    <w:rsid w:val="00C048E1"/>
    <w:rsid w:val="00C04CE2"/>
    <w:rsid w:val="00C056AB"/>
    <w:rsid w:val="00C067FD"/>
    <w:rsid w:val="00C06BB4"/>
    <w:rsid w:val="00C0730A"/>
    <w:rsid w:val="00C104D9"/>
    <w:rsid w:val="00C10706"/>
    <w:rsid w:val="00C10F3F"/>
    <w:rsid w:val="00C10F59"/>
    <w:rsid w:val="00C11DA8"/>
    <w:rsid w:val="00C120E4"/>
    <w:rsid w:val="00C12A8A"/>
    <w:rsid w:val="00C1341F"/>
    <w:rsid w:val="00C136B3"/>
    <w:rsid w:val="00C13AB1"/>
    <w:rsid w:val="00C1415C"/>
    <w:rsid w:val="00C14580"/>
    <w:rsid w:val="00C14587"/>
    <w:rsid w:val="00C14B89"/>
    <w:rsid w:val="00C14C93"/>
    <w:rsid w:val="00C14EA9"/>
    <w:rsid w:val="00C157A9"/>
    <w:rsid w:val="00C1700D"/>
    <w:rsid w:val="00C17086"/>
    <w:rsid w:val="00C177D0"/>
    <w:rsid w:val="00C17B2E"/>
    <w:rsid w:val="00C17E84"/>
    <w:rsid w:val="00C207C0"/>
    <w:rsid w:val="00C20F8D"/>
    <w:rsid w:val="00C2131A"/>
    <w:rsid w:val="00C220A2"/>
    <w:rsid w:val="00C227C0"/>
    <w:rsid w:val="00C23382"/>
    <w:rsid w:val="00C23811"/>
    <w:rsid w:val="00C23DFF"/>
    <w:rsid w:val="00C24023"/>
    <w:rsid w:val="00C24A56"/>
    <w:rsid w:val="00C25064"/>
    <w:rsid w:val="00C266D8"/>
    <w:rsid w:val="00C2775B"/>
    <w:rsid w:val="00C3009D"/>
    <w:rsid w:val="00C30149"/>
    <w:rsid w:val="00C309C9"/>
    <w:rsid w:val="00C30C56"/>
    <w:rsid w:val="00C31896"/>
    <w:rsid w:val="00C31AE3"/>
    <w:rsid w:val="00C3279B"/>
    <w:rsid w:val="00C33DBA"/>
    <w:rsid w:val="00C3511A"/>
    <w:rsid w:val="00C3525D"/>
    <w:rsid w:val="00C35632"/>
    <w:rsid w:val="00C359E9"/>
    <w:rsid w:val="00C35DC7"/>
    <w:rsid w:val="00C35F15"/>
    <w:rsid w:val="00C3650D"/>
    <w:rsid w:val="00C36693"/>
    <w:rsid w:val="00C369C0"/>
    <w:rsid w:val="00C40328"/>
    <w:rsid w:val="00C40B61"/>
    <w:rsid w:val="00C40F76"/>
    <w:rsid w:val="00C412D7"/>
    <w:rsid w:val="00C4157D"/>
    <w:rsid w:val="00C4204E"/>
    <w:rsid w:val="00C425F1"/>
    <w:rsid w:val="00C428BE"/>
    <w:rsid w:val="00C433B4"/>
    <w:rsid w:val="00C43814"/>
    <w:rsid w:val="00C43A2F"/>
    <w:rsid w:val="00C44348"/>
    <w:rsid w:val="00C44649"/>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24C"/>
    <w:rsid w:val="00C522B4"/>
    <w:rsid w:val="00C5291A"/>
    <w:rsid w:val="00C52B11"/>
    <w:rsid w:val="00C52CF4"/>
    <w:rsid w:val="00C5302F"/>
    <w:rsid w:val="00C53E36"/>
    <w:rsid w:val="00C5484F"/>
    <w:rsid w:val="00C549BB"/>
    <w:rsid w:val="00C54B37"/>
    <w:rsid w:val="00C556CC"/>
    <w:rsid w:val="00C558DF"/>
    <w:rsid w:val="00C560B5"/>
    <w:rsid w:val="00C566BC"/>
    <w:rsid w:val="00C56776"/>
    <w:rsid w:val="00C56E17"/>
    <w:rsid w:val="00C575B8"/>
    <w:rsid w:val="00C57757"/>
    <w:rsid w:val="00C57A08"/>
    <w:rsid w:val="00C60A60"/>
    <w:rsid w:val="00C60BA2"/>
    <w:rsid w:val="00C60EF2"/>
    <w:rsid w:val="00C60F42"/>
    <w:rsid w:val="00C6122C"/>
    <w:rsid w:val="00C61264"/>
    <w:rsid w:val="00C614D0"/>
    <w:rsid w:val="00C61A90"/>
    <w:rsid w:val="00C61D34"/>
    <w:rsid w:val="00C62EAE"/>
    <w:rsid w:val="00C630E3"/>
    <w:rsid w:val="00C63B40"/>
    <w:rsid w:val="00C64452"/>
    <w:rsid w:val="00C64622"/>
    <w:rsid w:val="00C647B9"/>
    <w:rsid w:val="00C65281"/>
    <w:rsid w:val="00C652AC"/>
    <w:rsid w:val="00C656FE"/>
    <w:rsid w:val="00C6635C"/>
    <w:rsid w:val="00C66459"/>
    <w:rsid w:val="00C66AE2"/>
    <w:rsid w:val="00C66F96"/>
    <w:rsid w:val="00C67467"/>
    <w:rsid w:val="00C676A1"/>
    <w:rsid w:val="00C67F94"/>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5D8"/>
    <w:rsid w:val="00C759A8"/>
    <w:rsid w:val="00C75C1D"/>
    <w:rsid w:val="00C75D19"/>
    <w:rsid w:val="00C7600C"/>
    <w:rsid w:val="00C761B8"/>
    <w:rsid w:val="00C768AD"/>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4BD2"/>
    <w:rsid w:val="00C851C3"/>
    <w:rsid w:val="00C85A46"/>
    <w:rsid w:val="00C85D3E"/>
    <w:rsid w:val="00C871B2"/>
    <w:rsid w:val="00C90255"/>
    <w:rsid w:val="00C903CE"/>
    <w:rsid w:val="00C90D76"/>
    <w:rsid w:val="00C91017"/>
    <w:rsid w:val="00C91D59"/>
    <w:rsid w:val="00C92514"/>
    <w:rsid w:val="00C92726"/>
    <w:rsid w:val="00C92C02"/>
    <w:rsid w:val="00C92E88"/>
    <w:rsid w:val="00C9329F"/>
    <w:rsid w:val="00C938CB"/>
    <w:rsid w:val="00C93A22"/>
    <w:rsid w:val="00C93A45"/>
    <w:rsid w:val="00C93CD4"/>
    <w:rsid w:val="00C940B0"/>
    <w:rsid w:val="00C941F7"/>
    <w:rsid w:val="00C94556"/>
    <w:rsid w:val="00C951EF"/>
    <w:rsid w:val="00C95286"/>
    <w:rsid w:val="00C95290"/>
    <w:rsid w:val="00C95443"/>
    <w:rsid w:val="00C95541"/>
    <w:rsid w:val="00C95C29"/>
    <w:rsid w:val="00C97EEB"/>
    <w:rsid w:val="00CA04A6"/>
    <w:rsid w:val="00CA08F0"/>
    <w:rsid w:val="00CA1A88"/>
    <w:rsid w:val="00CA2149"/>
    <w:rsid w:val="00CA2DAF"/>
    <w:rsid w:val="00CA2F0C"/>
    <w:rsid w:val="00CA39C2"/>
    <w:rsid w:val="00CA3A79"/>
    <w:rsid w:val="00CA4382"/>
    <w:rsid w:val="00CA4482"/>
    <w:rsid w:val="00CA48B9"/>
    <w:rsid w:val="00CA4AF9"/>
    <w:rsid w:val="00CA4BC5"/>
    <w:rsid w:val="00CA4DAF"/>
    <w:rsid w:val="00CA5C27"/>
    <w:rsid w:val="00CA60AF"/>
    <w:rsid w:val="00CA7BAA"/>
    <w:rsid w:val="00CB0162"/>
    <w:rsid w:val="00CB0DEC"/>
    <w:rsid w:val="00CB1554"/>
    <w:rsid w:val="00CB1A5F"/>
    <w:rsid w:val="00CB1B31"/>
    <w:rsid w:val="00CB203D"/>
    <w:rsid w:val="00CB24E6"/>
    <w:rsid w:val="00CB2F3E"/>
    <w:rsid w:val="00CB3197"/>
    <w:rsid w:val="00CB37BB"/>
    <w:rsid w:val="00CB3F82"/>
    <w:rsid w:val="00CB4613"/>
    <w:rsid w:val="00CB4C02"/>
    <w:rsid w:val="00CB5515"/>
    <w:rsid w:val="00CB5854"/>
    <w:rsid w:val="00CB5932"/>
    <w:rsid w:val="00CB65E4"/>
    <w:rsid w:val="00CB6652"/>
    <w:rsid w:val="00CB7280"/>
    <w:rsid w:val="00CB7643"/>
    <w:rsid w:val="00CB78BF"/>
    <w:rsid w:val="00CB7D12"/>
    <w:rsid w:val="00CC2F07"/>
    <w:rsid w:val="00CC2FD1"/>
    <w:rsid w:val="00CC346E"/>
    <w:rsid w:val="00CC3749"/>
    <w:rsid w:val="00CC42A5"/>
    <w:rsid w:val="00CC653A"/>
    <w:rsid w:val="00CC6870"/>
    <w:rsid w:val="00CC6911"/>
    <w:rsid w:val="00CC6DF6"/>
    <w:rsid w:val="00CC7326"/>
    <w:rsid w:val="00CC7852"/>
    <w:rsid w:val="00CC7CD6"/>
    <w:rsid w:val="00CD009C"/>
    <w:rsid w:val="00CD01BD"/>
    <w:rsid w:val="00CD02E9"/>
    <w:rsid w:val="00CD0548"/>
    <w:rsid w:val="00CD07A4"/>
    <w:rsid w:val="00CD0E59"/>
    <w:rsid w:val="00CD1214"/>
    <w:rsid w:val="00CD1437"/>
    <w:rsid w:val="00CD1489"/>
    <w:rsid w:val="00CD1AA0"/>
    <w:rsid w:val="00CD224E"/>
    <w:rsid w:val="00CD22B6"/>
    <w:rsid w:val="00CD2634"/>
    <w:rsid w:val="00CD27D4"/>
    <w:rsid w:val="00CD2A9D"/>
    <w:rsid w:val="00CD2C69"/>
    <w:rsid w:val="00CD3CDA"/>
    <w:rsid w:val="00CD4B3B"/>
    <w:rsid w:val="00CD4D8D"/>
    <w:rsid w:val="00CD56D6"/>
    <w:rsid w:val="00CD5B02"/>
    <w:rsid w:val="00CD61E6"/>
    <w:rsid w:val="00CD62F1"/>
    <w:rsid w:val="00CD63EC"/>
    <w:rsid w:val="00CD646B"/>
    <w:rsid w:val="00CD6DEC"/>
    <w:rsid w:val="00CD751E"/>
    <w:rsid w:val="00CD7562"/>
    <w:rsid w:val="00CD7D32"/>
    <w:rsid w:val="00CD7E57"/>
    <w:rsid w:val="00CE0292"/>
    <w:rsid w:val="00CE073F"/>
    <w:rsid w:val="00CE09A6"/>
    <w:rsid w:val="00CE0FC1"/>
    <w:rsid w:val="00CE1907"/>
    <w:rsid w:val="00CE1C54"/>
    <w:rsid w:val="00CE1FB2"/>
    <w:rsid w:val="00CE2766"/>
    <w:rsid w:val="00CE291C"/>
    <w:rsid w:val="00CE3364"/>
    <w:rsid w:val="00CE3430"/>
    <w:rsid w:val="00CE3E32"/>
    <w:rsid w:val="00CE40CD"/>
    <w:rsid w:val="00CE457F"/>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28"/>
    <w:rsid w:val="00CF2AEF"/>
    <w:rsid w:val="00CF35CA"/>
    <w:rsid w:val="00CF3997"/>
    <w:rsid w:val="00CF46B7"/>
    <w:rsid w:val="00CF48DC"/>
    <w:rsid w:val="00CF4FD0"/>
    <w:rsid w:val="00CF5941"/>
    <w:rsid w:val="00CF59A9"/>
    <w:rsid w:val="00CF5FC3"/>
    <w:rsid w:val="00CF6C0F"/>
    <w:rsid w:val="00CF74E1"/>
    <w:rsid w:val="00CF7A63"/>
    <w:rsid w:val="00CF7D0D"/>
    <w:rsid w:val="00D00A6D"/>
    <w:rsid w:val="00D01131"/>
    <w:rsid w:val="00D011B5"/>
    <w:rsid w:val="00D019C1"/>
    <w:rsid w:val="00D01A51"/>
    <w:rsid w:val="00D01AA6"/>
    <w:rsid w:val="00D01E80"/>
    <w:rsid w:val="00D01F45"/>
    <w:rsid w:val="00D01FCD"/>
    <w:rsid w:val="00D02725"/>
    <w:rsid w:val="00D02AEC"/>
    <w:rsid w:val="00D02D99"/>
    <w:rsid w:val="00D036E0"/>
    <w:rsid w:val="00D03865"/>
    <w:rsid w:val="00D0413C"/>
    <w:rsid w:val="00D04639"/>
    <w:rsid w:val="00D047FA"/>
    <w:rsid w:val="00D04EBA"/>
    <w:rsid w:val="00D06288"/>
    <w:rsid w:val="00D066EC"/>
    <w:rsid w:val="00D06CD3"/>
    <w:rsid w:val="00D072EF"/>
    <w:rsid w:val="00D07864"/>
    <w:rsid w:val="00D07D21"/>
    <w:rsid w:val="00D103E7"/>
    <w:rsid w:val="00D10FC3"/>
    <w:rsid w:val="00D11230"/>
    <w:rsid w:val="00D121C9"/>
    <w:rsid w:val="00D1228B"/>
    <w:rsid w:val="00D126C0"/>
    <w:rsid w:val="00D128C8"/>
    <w:rsid w:val="00D128CE"/>
    <w:rsid w:val="00D12AD3"/>
    <w:rsid w:val="00D12DFF"/>
    <w:rsid w:val="00D134D7"/>
    <w:rsid w:val="00D13FFC"/>
    <w:rsid w:val="00D1416B"/>
    <w:rsid w:val="00D144EC"/>
    <w:rsid w:val="00D14642"/>
    <w:rsid w:val="00D1466C"/>
    <w:rsid w:val="00D15788"/>
    <w:rsid w:val="00D1617C"/>
    <w:rsid w:val="00D162DE"/>
    <w:rsid w:val="00D163EF"/>
    <w:rsid w:val="00D1690A"/>
    <w:rsid w:val="00D16CC8"/>
    <w:rsid w:val="00D1781C"/>
    <w:rsid w:val="00D202BF"/>
    <w:rsid w:val="00D206FA"/>
    <w:rsid w:val="00D20AF4"/>
    <w:rsid w:val="00D21DFB"/>
    <w:rsid w:val="00D2244F"/>
    <w:rsid w:val="00D22919"/>
    <w:rsid w:val="00D22C9A"/>
    <w:rsid w:val="00D23AE5"/>
    <w:rsid w:val="00D24051"/>
    <w:rsid w:val="00D241F9"/>
    <w:rsid w:val="00D24B95"/>
    <w:rsid w:val="00D24BF7"/>
    <w:rsid w:val="00D25021"/>
    <w:rsid w:val="00D2539A"/>
    <w:rsid w:val="00D2547E"/>
    <w:rsid w:val="00D26011"/>
    <w:rsid w:val="00D26BE4"/>
    <w:rsid w:val="00D26C69"/>
    <w:rsid w:val="00D26F0F"/>
    <w:rsid w:val="00D27103"/>
    <w:rsid w:val="00D3053A"/>
    <w:rsid w:val="00D30C53"/>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37B1F"/>
    <w:rsid w:val="00D404BF"/>
    <w:rsid w:val="00D409DD"/>
    <w:rsid w:val="00D40DA1"/>
    <w:rsid w:val="00D41054"/>
    <w:rsid w:val="00D411BC"/>
    <w:rsid w:val="00D4142C"/>
    <w:rsid w:val="00D41B43"/>
    <w:rsid w:val="00D42034"/>
    <w:rsid w:val="00D424BE"/>
    <w:rsid w:val="00D429E5"/>
    <w:rsid w:val="00D43625"/>
    <w:rsid w:val="00D44AA7"/>
    <w:rsid w:val="00D457D2"/>
    <w:rsid w:val="00D4655A"/>
    <w:rsid w:val="00D46C24"/>
    <w:rsid w:val="00D4717C"/>
    <w:rsid w:val="00D47B3C"/>
    <w:rsid w:val="00D47C6A"/>
    <w:rsid w:val="00D50A57"/>
    <w:rsid w:val="00D50B30"/>
    <w:rsid w:val="00D5131F"/>
    <w:rsid w:val="00D51531"/>
    <w:rsid w:val="00D5190B"/>
    <w:rsid w:val="00D51FDA"/>
    <w:rsid w:val="00D53E64"/>
    <w:rsid w:val="00D548D9"/>
    <w:rsid w:val="00D54E5A"/>
    <w:rsid w:val="00D54EC5"/>
    <w:rsid w:val="00D55821"/>
    <w:rsid w:val="00D55E7F"/>
    <w:rsid w:val="00D56228"/>
    <w:rsid w:val="00D562E5"/>
    <w:rsid w:val="00D6051A"/>
    <w:rsid w:val="00D6078D"/>
    <w:rsid w:val="00D61128"/>
    <w:rsid w:val="00D620EC"/>
    <w:rsid w:val="00D62A1A"/>
    <w:rsid w:val="00D63319"/>
    <w:rsid w:val="00D638A2"/>
    <w:rsid w:val="00D63AC5"/>
    <w:rsid w:val="00D63EA2"/>
    <w:rsid w:val="00D65110"/>
    <w:rsid w:val="00D65422"/>
    <w:rsid w:val="00D65D61"/>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30E0"/>
    <w:rsid w:val="00D736D4"/>
    <w:rsid w:val="00D7423B"/>
    <w:rsid w:val="00D744E1"/>
    <w:rsid w:val="00D74D4F"/>
    <w:rsid w:val="00D7516C"/>
    <w:rsid w:val="00D75E6D"/>
    <w:rsid w:val="00D75FA5"/>
    <w:rsid w:val="00D76C53"/>
    <w:rsid w:val="00D813DF"/>
    <w:rsid w:val="00D82FA5"/>
    <w:rsid w:val="00D833BD"/>
    <w:rsid w:val="00D840C6"/>
    <w:rsid w:val="00D84907"/>
    <w:rsid w:val="00D8492F"/>
    <w:rsid w:val="00D85064"/>
    <w:rsid w:val="00D8537E"/>
    <w:rsid w:val="00D85BCA"/>
    <w:rsid w:val="00D85BDF"/>
    <w:rsid w:val="00D85FD6"/>
    <w:rsid w:val="00D85FE8"/>
    <w:rsid w:val="00D86074"/>
    <w:rsid w:val="00D863AB"/>
    <w:rsid w:val="00D8676B"/>
    <w:rsid w:val="00D86FD0"/>
    <w:rsid w:val="00D87E77"/>
    <w:rsid w:val="00D87E8C"/>
    <w:rsid w:val="00D87EF2"/>
    <w:rsid w:val="00D9070F"/>
    <w:rsid w:val="00D90B3F"/>
    <w:rsid w:val="00D90B86"/>
    <w:rsid w:val="00D91ECD"/>
    <w:rsid w:val="00D929B3"/>
    <w:rsid w:val="00D92EEB"/>
    <w:rsid w:val="00D94025"/>
    <w:rsid w:val="00D948D1"/>
    <w:rsid w:val="00D94D03"/>
    <w:rsid w:val="00D9567B"/>
    <w:rsid w:val="00D95EF2"/>
    <w:rsid w:val="00D95FF4"/>
    <w:rsid w:val="00D968BD"/>
    <w:rsid w:val="00D9734A"/>
    <w:rsid w:val="00DA0836"/>
    <w:rsid w:val="00DA08B9"/>
    <w:rsid w:val="00DA0A1D"/>
    <w:rsid w:val="00DA1376"/>
    <w:rsid w:val="00DA1E96"/>
    <w:rsid w:val="00DA23D8"/>
    <w:rsid w:val="00DA3388"/>
    <w:rsid w:val="00DA34E8"/>
    <w:rsid w:val="00DA351D"/>
    <w:rsid w:val="00DA3706"/>
    <w:rsid w:val="00DA435B"/>
    <w:rsid w:val="00DA442B"/>
    <w:rsid w:val="00DA5063"/>
    <w:rsid w:val="00DA509A"/>
    <w:rsid w:val="00DA5437"/>
    <w:rsid w:val="00DA5A7B"/>
    <w:rsid w:val="00DA6359"/>
    <w:rsid w:val="00DA7533"/>
    <w:rsid w:val="00DA767D"/>
    <w:rsid w:val="00DA792E"/>
    <w:rsid w:val="00DB0546"/>
    <w:rsid w:val="00DB0CB1"/>
    <w:rsid w:val="00DB1352"/>
    <w:rsid w:val="00DB162A"/>
    <w:rsid w:val="00DB173D"/>
    <w:rsid w:val="00DB2AE9"/>
    <w:rsid w:val="00DB30F0"/>
    <w:rsid w:val="00DB35BF"/>
    <w:rsid w:val="00DB3B32"/>
    <w:rsid w:val="00DB3EC4"/>
    <w:rsid w:val="00DB4349"/>
    <w:rsid w:val="00DB4622"/>
    <w:rsid w:val="00DB47A3"/>
    <w:rsid w:val="00DB47D2"/>
    <w:rsid w:val="00DB58CC"/>
    <w:rsid w:val="00DB654C"/>
    <w:rsid w:val="00DB7DE2"/>
    <w:rsid w:val="00DC099E"/>
    <w:rsid w:val="00DC0A39"/>
    <w:rsid w:val="00DC0C80"/>
    <w:rsid w:val="00DC18E1"/>
    <w:rsid w:val="00DC259E"/>
    <w:rsid w:val="00DC26D6"/>
    <w:rsid w:val="00DC29A0"/>
    <w:rsid w:val="00DC2E59"/>
    <w:rsid w:val="00DC2EB5"/>
    <w:rsid w:val="00DC3935"/>
    <w:rsid w:val="00DC4098"/>
    <w:rsid w:val="00DC4745"/>
    <w:rsid w:val="00DC492A"/>
    <w:rsid w:val="00DC4C43"/>
    <w:rsid w:val="00DC5808"/>
    <w:rsid w:val="00DC5E1D"/>
    <w:rsid w:val="00DC5EA2"/>
    <w:rsid w:val="00DC6717"/>
    <w:rsid w:val="00DC6798"/>
    <w:rsid w:val="00DC6D3F"/>
    <w:rsid w:val="00DC6E33"/>
    <w:rsid w:val="00DC74B6"/>
    <w:rsid w:val="00DC7EF8"/>
    <w:rsid w:val="00DD000F"/>
    <w:rsid w:val="00DD1124"/>
    <w:rsid w:val="00DD1948"/>
    <w:rsid w:val="00DD244F"/>
    <w:rsid w:val="00DD2BD4"/>
    <w:rsid w:val="00DD480B"/>
    <w:rsid w:val="00DD4980"/>
    <w:rsid w:val="00DD4983"/>
    <w:rsid w:val="00DD49E0"/>
    <w:rsid w:val="00DD66DB"/>
    <w:rsid w:val="00DD673C"/>
    <w:rsid w:val="00DD67C0"/>
    <w:rsid w:val="00DD67F1"/>
    <w:rsid w:val="00DD7146"/>
    <w:rsid w:val="00DD7BB6"/>
    <w:rsid w:val="00DE0391"/>
    <w:rsid w:val="00DE0996"/>
    <w:rsid w:val="00DE16EF"/>
    <w:rsid w:val="00DE1B5E"/>
    <w:rsid w:val="00DE2056"/>
    <w:rsid w:val="00DE23FA"/>
    <w:rsid w:val="00DE35A2"/>
    <w:rsid w:val="00DE3B49"/>
    <w:rsid w:val="00DE3D4F"/>
    <w:rsid w:val="00DE425A"/>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0CD3"/>
    <w:rsid w:val="00E01087"/>
    <w:rsid w:val="00E017FA"/>
    <w:rsid w:val="00E01CD3"/>
    <w:rsid w:val="00E01D8D"/>
    <w:rsid w:val="00E021A7"/>
    <w:rsid w:val="00E03EB5"/>
    <w:rsid w:val="00E0434D"/>
    <w:rsid w:val="00E04408"/>
    <w:rsid w:val="00E0456B"/>
    <w:rsid w:val="00E045AB"/>
    <w:rsid w:val="00E04741"/>
    <w:rsid w:val="00E0519C"/>
    <w:rsid w:val="00E05427"/>
    <w:rsid w:val="00E06357"/>
    <w:rsid w:val="00E07D2C"/>
    <w:rsid w:val="00E112DD"/>
    <w:rsid w:val="00E11478"/>
    <w:rsid w:val="00E1163E"/>
    <w:rsid w:val="00E11721"/>
    <w:rsid w:val="00E11BD1"/>
    <w:rsid w:val="00E11C5D"/>
    <w:rsid w:val="00E11C7B"/>
    <w:rsid w:val="00E11D9D"/>
    <w:rsid w:val="00E13076"/>
    <w:rsid w:val="00E13381"/>
    <w:rsid w:val="00E13DBD"/>
    <w:rsid w:val="00E149C4"/>
    <w:rsid w:val="00E14BEA"/>
    <w:rsid w:val="00E15158"/>
    <w:rsid w:val="00E1542D"/>
    <w:rsid w:val="00E1566E"/>
    <w:rsid w:val="00E16923"/>
    <w:rsid w:val="00E16BF5"/>
    <w:rsid w:val="00E1768E"/>
    <w:rsid w:val="00E2003F"/>
    <w:rsid w:val="00E2029A"/>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490"/>
    <w:rsid w:val="00E255AE"/>
    <w:rsid w:val="00E261D8"/>
    <w:rsid w:val="00E26C5C"/>
    <w:rsid w:val="00E27B88"/>
    <w:rsid w:val="00E27C60"/>
    <w:rsid w:val="00E30CB5"/>
    <w:rsid w:val="00E30D6E"/>
    <w:rsid w:val="00E30DA2"/>
    <w:rsid w:val="00E31BA4"/>
    <w:rsid w:val="00E31FD9"/>
    <w:rsid w:val="00E331AC"/>
    <w:rsid w:val="00E33AC0"/>
    <w:rsid w:val="00E33CED"/>
    <w:rsid w:val="00E34792"/>
    <w:rsid w:val="00E34A2B"/>
    <w:rsid w:val="00E34DBF"/>
    <w:rsid w:val="00E354EE"/>
    <w:rsid w:val="00E36191"/>
    <w:rsid w:val="00E36554"/>
    <w:rsid w:val="00E36B92"/>
    <w:rsid w:val="00E36E33"/>
    <w:rsid w:val="00E36EC4"/>
    <w:rsid w:val="00E37333"/>
    <w:rsid w:val="00E374B8"/>
    <w:rsid w:val="00E374D5"/>
    <w:rsid w:val="00E4001D"/>
    <w:rsid w:val="00E40428"/>
    <w:rsid w:val="00E40F97"/>
    <w:rsid w:val="00E4115D"/>
    <w:rsid w:val="00E41269"/>
    <w:rsid w:val="00E41DBD"/>
    <w:rsid w:val="00E42326"/>
    <w:rsid w:val="00E43133"/>
    <w:rsid w:val="00E43481"/>
    <w:rsid w:val="00E45181"/>
    <w:rsid w:val="00E460C4"/>
    <w:rsid w:val="00E466C8"/>
    <w:rsid w:val="00E4674B"/>
    <w:rsid w:val="00E46A55"/>
    <w:rsid w:val="00E46EF5"/>
    <w:rsid w:val="00E46F65"/>
    <w:rsid w:val="00E4758A"/>
    <w:rsid w:val="00E50788"/>
    <w:rsid w:val="00E5142F"/>
    <w:rsid w:val="00E51657"/>
    <w:rsid w:val="00E5178D"/>
    <w:rsid w:val="00E517F2"/>
    <w:rsid w:val="00E519F2"/>
    <w:rsid w:val="00E5312B"/>
    <w:rsid w:val="00E533FA"/>
    <w:rsid w:val="00E53C93"/>
    <w:rsid w:val="00E543BD"/>
    <w:rsid w:val="00E5476C"/>
    <w:rsid w:val="00E54B9F"/>
    <w:rsid w:val="00E554D2"/>
    <w:rsid w:val="00E5575D"/>
    <w:rsid w:val="00E55821"/>
    <w:rsid w:val="00E55F4F"/>
    <w:rsid w:val="00E563F7"/>
    <w:rsid w:val="00E56EA6"/>
    <w:rsid w:val="00E5743F"/>
    <w:rsid w:val="00E57832"/>
    <w:rsid w:val="00E57907"/>
    <w:rsid w:val="00E579F2"/>
    <w:rsid w:val="00E57A93"/>
    <w:rsid w:val="00E60423"/>
    <w:rsid w:val="00E60CA8"/>
    <w:rsid w:val="00E610AC"/>
    <w:rsid w:val="00E617D5"/>
    <w:rsid w:val="00E61D34"/>
    <w:rsid w:val="00E61E3D"/>
    <w:rsid w:val="00E63E4B"/>
    <w:rsid w:val="00E63F7D"/>
    <w:rsid w:val="00E64772"/>
    <w:rsid w:val="00E64FAC"/>
    <w:rsid w:val="00E650F6"/>
    <w:rsid w:val="00E65979"/>
    <w:rsid w:val="00E65A11"/>
    <w:rsid w:val="00E6660D"/>
    <w:rsid w:val="00E66663"/>
    <w:rsid w:val="00E6686C"/>
    <w:rsid w:val="00E66E66"/>
    <w:rsid w:val="00E67597"/>
    <w:rsid w:val="00E675FD"/>
    <w:rsid w:val="00E67844"/>
    <w:rsid w:val="00E67A82"/>
    <w:rsid w:val="00E67D92"/>
    <w:rsid w:val="00E70877"/>
    <w:rsid w:val="00E70906"/>
    <w:rsid w:val="00E70B62"/>
    <w:rsid w:val="00E70B64"/>
    <w:rsid w:val="00E71028"/>
    <w:rsid w:val="00E721AB"/>
    <w:rsid w:val="00E72E9E"/>
    <w:rsid w:val="00E73164"/>
    <w:rsid w:val="00E735E6"/>
    <w:rsid w:val="00E73CD4"/>
    <w:rsid w:val="00E73E4F"/>
    <w:rsid w:val="00E74026"/>
    <w:rsid w:val="00E74062"/>
    <w:rsid w:val="00E74747"/>
    <w:rsid w:val="00E74844"/>
    <w:rsid w:val="00E74A2F"/>
    <w:rsid w:val="00E74AC2"/>
    <w:rsid w:val="00E750A7"/>
    <w:rsid w:val="00E758A8"/>
    <w:rsid w:val="00E75B8B"/>
    <w:rsid w:val="00E7615D"/>
    <w:rsid w:val="00E763A8"/>
    <w:rsid w:val="00E766B5"/>
    <w:rsid w:val="00E769CF"/>
    <w:rsid w:val="00E77367"/>
    <w:rsid w:val="00E80472"/>
    <w:rsid w:val="00E809E6"/>
    <w:rsid w:val="00E80E1A"/>
    <w:rsid w:val="00E80E86"/>
    <w:rsid w:val="00E81253"/>
    <w:rsid w:val="00E81AE3"/>
    <w:rsid w:val="00E81C17"/>
    <w:rsid w:val="00E825AB"/>
    <w:rsid w:val="00E82FF5"/>
    <w:rsid w:val="00E83241"/>
    <w:rsid w:val="00E8355A"/>
    <w:rsid w:val="00E8361D"/>
    <w:rsid w:val="00E83B0B"/>
    <w:rsid w:val="00E844EE"/>
    <w:rsid w:val="00E8451E"/>
    <w:rsid w:val="00E853D5"/>
    <w:rsid w:val="00E85568"/>
    <w:rsid w:val="00E858C4"/>
    <w:rsid w:val="00E862BB"/>
    <w:rsid w:val="00E863A4"/>
    <w:rsid w:val="00E8650C"/>
    <w:rsid w:val="00E86ACF"/>
    <w:rsid w:val="00E86BF7"/>
    <w:rsid w:val="00E8702D"/>
    <w:rsid w:val="00E905CD"/>
    <w:rsid w:val="00E9099D"/>
    <w:rsid w:val="00E90B21"/>
    <w:rsid w:val="00E90D5E"/>
    <w:rsid w:val="00E91030"/>
    <w:rsid w:val="00E9121B"/>
    <w:rsid w:val="00E9173D"/>
    <w:rsid w:val="00E91E18"/>
    <w:rsid w:val="00E926CD"/>
    <w:rsid w:val="00E92C52"/>
    <w:rsid w:val="00E9319D"/>
    <w:rsid w:val="00E93A0C"/>
    <w:rsid w:val="00E93A23"/>
    <w:rsid w:val="00E9452F"/>
    <w:rsid w:val="00E945DC"/>
    <w:rsid w:val="00E95582"/>
    <w:rsid w:val="00E9597D"/>
    <w:rsid w:val="00E95C31"/>
    <w:rsid w:val="00E96C8E"/>
    <w:rsid w:val="00E96F2F"/>
    <w:rsid w:val="00E97196"/>
    <w:rsid w:val="00EA02B6"/>
    <w:rsid w:val="00EA0438"/>
    <w:rsid w:val="00EA0C72"/>
    <w:rsid w:val="00EA0E37"/>
    <w:rsid w:val="00EA12F1"/>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7B0"/>
    <w:rsid w:val="00EA6ADD"/>
    <w:rsid w:val="00EA6E19"/>
    <w:rsid w:val="00EA7F02"/>
    <w:rsid w:val="00EA7F72"/>
    <w:rsid w:val="00EB1221"/>
    <w:rsid w:val="00EB12F6"/>
    <w:rsid w:val="00EB2BDB"/>
    <w:rsid w:val="00EB3181"/>
    <w:rsid w:val="00EB3A59"/>
    <w:rsid w:val="00EB42D0"/>
    <w:rsid w:val="00EB44E3"/>
    <w:rsid w:val="00EB4551"/>
    <w:rsid w:val="00EB48CA"/>
    <w:rsid w:val="00EB518F"/>
    <w:rsid w:val="00EB5B60"/>
    <w:rsid w:val="00EB6235"/>
    <w:rsid w:val="00EB6240"/>
    <w:rsid w:val="00EB7995"/>
    <w:rsid w:val="00EC0359"/>
    <w:rsid w:val="00EC0B23"/>
    <w:rsid w:val="00EC1578"/>
    <w:rsid w:val="00EC15B5"/>
    <w:rsid w:val="00EC1DE3"/>
    <w:rsid w:val="00EC1FD7"/>
    <w:rsid w:val="00EC313B"/>
    <w:rsid w:val="00EC31DD"/>
    <w:rsid w:val="00EC3A75"/>
    <w:rsid w:val="00EC5686"/>
    <w:rsid w:val="00EC622A"/>
    <w:rsid w:val="00EC6337"/>
    <w:rsid w:val="00EC68EF"/>
    <w:rsid w:val="00EC6D8C"/>
    <w:rsid w:val="00EC70C4"/>
    <w:rsid w:val="00EC724B"/>
    <w:rsid w:val="00EC7673"/>
    <w:rsid w:val="00ED04E0"/>
    <w:rsid w:val="00ED04E9"/>
    <w:rsid w:val="00ED08D9"/>
    <w:rsid w:val="00ED091A"/>
    <w:rsid w:val="00ED1315"/>
    <w:rsid w:val="00ED2A07"/>
    <w:rsid w:val="00ED2C3B"/>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04"/>
    <w:rsid w:val="00EE1EC9"/>
    <w:rsid w:val="00EE296D"/>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DC7"/>
    <w:rsid w:val="00EE6E0F"/>
    <w:rsid w:val="00EE7CCD"/>
    <w:rsid w:val="00EF00A8"/>
    <w:rsid w:val="00EF07D8"/>
    <w:rsid w:val="00EF119D"/>
    <w:rsid w:val="00EF16B3"/>
    <w:rsid w:val="00EF1933"/>
    <w:rsid w:val="00EF1BE7"/>
    <w:rsid w:val="00EF1F1B"/>
    <w:rsid w:val="00EF20CB"/>
    <w:rsid w:val="00EF20D2"/>
    <w:rsid w:val="00EF27FF"/>
    <w:rsid w:val="00EF307B"/>
    <w:rsid w:val="00EF328F"/>
    <w:rsid w:val="00EF36AE"/>
    <w:rsid w:val="00EF37DF"/>
    <w:rsid w:val="00EF5092"/>
    <w:rsid w:val="00EF524B"/>
    <w:rsid w:val="00EF54A6"/>
    <w:rsid w:val="00EF5755"/>
    <w:rsid w:val="00EF5879"/>
    <w:rsid w:val="00EF63FA"/>
    <w:rsid w:val="00EF7132"/>
    <w:rsid w:val="00EF7315"/>
    <w:rsid w:val="00EF7D70"/>
    <w:rsid w:val="00F0035C"/>
    <w:rsid w:val="00F0085F"/>
    <w:rsid w:val="00F0090F"/>
    <w:rsid w:val="00F0093D"/>
    <w:rsid w:val="00F00C88"/>
    <w:rsid w:val="00F00E06"/>
    <w:rsid w:val="00F01053"/>
    <w:rsid w:val="00F017AD"/>
    <w:rsid w:val="00F01A26"/>
    <w:rsid w:val="00F01B08"/>
    <w:rsid w:val="00F01DF4"/>
    <w:rsid w:val="00F02733"/>
    <w:rsid w:val="00F03441"/>
    <w:rsid w:val="00F03DF9"/>
    <w:rsid w:val="00F04A62"/>
    <w:rsid w:val="00F04BCD"/>
    <w:rsid w:val="00F05426"/>
    <w:rsid w:val="00F0570D"/>
    <w:rsid w:val="00F05C6B"/>
    <w:rsid w:val="00F06274"/>
    <w:rsid w:val="00F10275"/>
    <w:rsid w:val="00F10417"/>
    <w:rsid w:val="00F10BBF"/>
    <w:rsid w:val="00F1105C"/>
    <w:rsid w:val="00F119C9"/>
    <w:rsid w:val="00F11DEB"/>
    <w:rsid w:val="00F12250"/>
    <w:rsid w:val="00F12A45"/>
    <w:rsid w:val="00F132A7"/>
    <w:rsid w:val="00F146D5"/>
    <w:rsid w:val="00F14708"/>
    <w:rsid w:val="00F14A55"/>
    <w:rsid w:val="00F14D28"/>
    <w:rsid w:val="00F14F2A"/>
    <w:rsid w:val="00F15B29"/>
    <w:rsid w:val="00F15E41"/>
    <w:rsid w:val="00F161C3"/>
    <w:rsid w:val="00F16251"/>
    <w:rsid w:val="00F1635C"/>
    <w:rsid w:val="00F16D2D"/>
    <w:rsid w:val="00F17371"/>
    <w:rsid w:val="00F174DA"/>
    <w:rsid w:val="00F17A6D"/>
    <w:rsid w:val="00F17FCC"/>
    <w:rsid w:val="00F204B3"/>
    <w:rsid w:val="00F209DE"/>
    <w:rsid w:val="00F20D6E"/>
    <w:rsid w:val="00F213B6"/>
    <w:rsid w:val="00F218E7"/>
    <w:rsid w:val="00F222F9"/>
    <w:rsid w:val="00F226F1"/>
    <w:rsid w:val="00F227BD"/>
    <w:rsid w:val="00F22F3F"/>
    <w:rsid w:val="00F23069"/>
    <w:rsid w:val="00F2389A"/>
    <w:rsid w:val="00F23A8A"/>
    <w:rsid w:val="00F252F9"/>
    <w:rsid w:val="00F25362"/>
    <w:rsid w:val="00F259BE"/>
    <w:rsid w:val="00F266EE"/>
    <w:rsid w:val="00F277B7"/>
    <w:rsid w:val="00F27AD7"/>
    <w:rsid w:val="00F30006"/>
    <w:rsid w:val="00F30857"/>
    <w:rsid w:val="00F31894"/>
    <w:rsid w:val="00F31AFF"/>
    <w:rsid w:val="00F31CE1"/>
    <w:rsid w:val="00F31E55"/>
    <w:rsid w:val="00F31F47"/>
    <w:rsid w:val="00F32095"/>
    <w:rsid w:val="00F32536"/>
    <w:rsid w:val="00F32E6B"/>
    <w:rsid w:val="00F32EDD"/>
    <w:rsid w:val="00F331DC"/>
    <w:rsid w:val="00F334C1"/>
    <w:rsid w:val="00F335CE"/>
    <w:rsid w:val="00F337D9"/>
    <w:rsid w:val="00F33886"/>
    <w:rsid w:val="00F33DD7"/>
    <w:rsid w:val="00F3412B"/>
    <w:rsid w:val="00F34D83"/>
    <w:rsid w:val="00F34DA6"/>
    <w:rsid w:val="00F34F1F"/>
    <w:rsid w:val="00F35321"/>
    <w:rsid w:val="00F357C9"/>
    <w:rsid w:val="00F35A59"/>
    <w:rsid w:val="00F35A66"/>
    <w:rsid w:val="00F35DE2"/>
    <w:rsid w:val="00F36912"/>
    <w:rsid w:val="00F36FFF"/>
    <w:rsid w:val="00F37110"/>
    <w:rsid w:val="00F371D5"/>
    <w:rsid w:val="00F372D4"/>
    <w:rsid w:val="00F37750"/>
    <w:rsid w:val="00F37881"/>
    <w:rsid w:val="00F40536"/>
    <w:rsid w:val="00F40B5D"/>
    <w:rsid w:val="00F414A8"/>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2DA"/>
    <w:rsid w:val="00F474E9"/>
    <w:rsid w:val="00F479B7"/>
    <w:rsid w:val="00F47A1B"/>
    <w:rsid w:val="00F47D07"/>
    <w:rsid w:val="00F51242"/>
    <w:rsid w:val="00F516F7"/>
    <w:rsid w:val="00F521A7"/>
    <w:rsid w:val="00F5280F"/>
    <w:rsid w:val="00F52F24"/>
    <w:rsid w:val="00F52F94"/>
    <w:rsid w:val="00F5346E"/>
    <w:rsid w:val="00F53761"/>
    <w:rsid w:val="00F5408C"/>
    <w:rsid w:val="00F553D8"/>
    <w:rsid w:val="00F55681"/>
    <w:rsid w:val="00F55B56"/>
    <w:rsid w:val="00F56027"/>
    <w:rsid w:val="00F56C3F"/>
    <w:rsid w:val="00F56DDA"/>
    <w:rsid w:val="00F5792C"/>
    <w:rsid w:val="00F603A7"/>
    <w:rsid w:val="00F60AE3"/>
    <w:rsid w:val="00F6196F"/>
    <w:rsid w:val="00F61EF0"/>
    <w:rsid w:val="00F622F7"/>
    <w:rsid w:val="00F62B9B"/>
    <w:rsid w:val="00F62F2C"/>
    <w:rsid w:val="00F63404"/>
    <w:rsid w:val="00F635DA"/>
    <w:rsid w:val="00F637C6"/>
    <w:rsid w:val="00F64125"/>
    <w:rsid w:val="00F64E6D"/>
    <w:rsid w:val="00F6540D"/>
    <w:rsid w:val="00F65730"/>
    <w:rsid w:val="00F65BBA"/>
    <w:rsid w:val="00F66124"/>
    <w:rsid w:val="00F662A6"/>
    <w:rsid w:val="00F66580"/>
    <w:rsid w:val="00F66825"/>
    <w:rsid w:val="00F669A9"/>
    <w:rsid w:val="00F67260"/>
    <w:rsid w:val="00F67672"/>
    <w:rsid w:val="00F67CA4"/>
    <w:rsid w:val="00F67D47"/>
    <w:rsid w:val="00F67E21"/>
    <w:rsid w:val="00F7038C"/>
    <w:rsid w:val="00F704AC"/>
    <w:rsid w:val="00F70787"/>
    <w:rsid w:val="00F712D7"/>
    <w:rsid w:val="00F716F3"/>
    <w:rsid w:val="00F7170C"/>
    <w:rsid w:val="00F717FF"/>
    <w:rsid w:val="00F71B3C"/>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811"/>
    <w:rsid w:val="00F81F3A"/>
    <w:rsid w:val="00F8226D"/>
    <w:rsid w:val="00F824CA"/>
    <w:rsid w:val="00F82BBC"/>
    <w:rsid w:val="00F82E8A"/>
    <w:rsid w:val="00F843B9"/>
    <w:rsid w:val="00F8479D"/>
    <w:rsid w:val="00F84808"/>
    <w:rsid w:val="00F85282"/>
    <w:rsid w:val="00F85398"/>
    <w:rsid w:val="00F85714"/>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3FD1"/>
    <w:rsid w:val="00F94A70"/>
    <w:rsid w:val="00F94B8A"/>
    <w:rsid w:val="00F94CBF"/>
    <w:rsid w:val="00F950B6"/>
    <w:rsid w:val="00F95286"/>
    <w:rsid w:val="00F955FA"/>
    <w:rsid w:val="00F95888"/>
    <w:rsid w:val="00F967DD"/>
    <w:rsid w:val="00F96E0B"/>
    <w:rsid w:val="00F96E1C"/>
    <w:rsid w:val="00F96E47"/>
    <w:rsid w:val="00F97075"/>
    <w:rsid w:val="00FA03B3"/>
    <w:rsid w:val="00FA03FE"/>
    <w:rsid w:val="00FA10CF"/>
    <w:rsid w:val="00FA16A5"/>
    <w:rsid w:val="00FA2980"/>
    <w:rsid w:val="00FA2F82"/>
    <w:rsid w:val="00FA3305"/>
    <w:rsid w:val="00FA361F"/>
    <w:rsid w:val="00FA37A4"/>
    <w:rsid w:val="00FA3CB2"/>
    <w:rsid w:val="00FA4F11"/>
    <w:rsid w:val="00FA4F5D"/>
    <w:rsid w:val="00FA6A88"/>
    <w:rsid w:val="00FA6AF2"/>
    <w:rsid w:val="00FA6CEE"/>
    <w:rsid w:val="00FA727B"/>
    <w:rsid w:val="00FB04DE"/>
    <w:rsid w:val="00FB05DB"/>
    <w:rsid w:val="00FB0DE0"/>
    <w:rsid w:val="00FB13DE"/>
    <w:rsid w:val="00FB1B22"/>
    <w:rsid w:val="00FB295A"/>
    <w:rsid w:val="00FB2AB0"/>
    <w:rsid w:val="00FB2E78"/>
    <w:rsid w:val="00FB31DA"/>
    <w:rsid w:val="00FB3225"/>
    <w:rsid w:val="00FB410A"/>
    <w:rsid w:val="00FB42CD"/>
    <w:rsid w:val="00FB4E6E"/>
    <w:rsid w:val="00FB4E87"/>
    <w:rsid w:val="00FB5461"/>
    <w:rsid w:val="00FB5686"/>
    <w:rsid w:val="00FB5897"/>
    <w:rsid w:val="00FB59BC"/>
    <w:rsid w:val="00FB5D5D"/>
    <w:rsid w:val="00FB5E7F"/>
    <w:rsid w:val="00FB676F"/>
    <w:rsid w:val="00FB6891"/>
    <w:rsid w:val="00FB6C89"/>
    <w:rsid w:val="00FB71A2"/>
    <w:rsid w:val="00FB7604"/>
    <w:rsid w:val="00FB7D61"/>
    <w:rsid w:val="00FC11F6"/>
    <w:rsid w:val="00FC18B6"/>
    <w:rsid w:val="00FC21AA"/>
    <w:rsid w:val="00FC2E3B"/>
    <w:rsid w:val="00FC3CF8"/>
    <w:rsid w:val="00FC4651"/>
    <w:rsid w:val="00FC477D"/>
    <w:rsid w:val="00FC5933"/>
    <w:rsid w:val="00FC66AE"/>
    <w:rsid w:val="00FC686D"/>
    <w:rsid w:val="00FC6FD7"/>
    <w:rsid w:val="00FD1054"/>
    <w:rsid w:val="00FD1234"/>
    <w:rsid w:val="00FD170E"/>
    <w:rsid w:val="00FD3093"/>
    <w:rsid w:val="00FD377F"/>
    <w:rsid w:val="00FD3C2B"/>
    <w:rsid w:val="00FD4447"/>
    <w:rsid w:val="00FD45FA"/>
    <w:rsid w:val="00FD460D"/>
    <w:rsid w:val="00FD4A71"/>
    <w:rsid w:val="00FD4B25"/>
    <w:rsid w:val="00FD4F5C"/>
    <w:rsid w:val="00FD5422"/>
    <w:rsid w:val="00FD58D5"/>
    <w:rsid w:val="00FD5B77"/>
    <w:rsid w:val="00FD5E00"/>
    <w:rsid w:val="00FD6022"/>
    <w:rsid w:val="00FD60D3"/>
    <w:rsid w:val="00FD60EC"/>
    <w:rsid w:val="00FD7035"/>
    <w:rsid w:val="00FD709A"/>
    <w:rsid w:val="00FD71BA"/>
    <w:rsid w:val="00FD7342"/>
    <w:rsid w:val="00FE0D93"/>
    <w:rsid w:val="00FE126A"/>
    <w:rsid w:val="00FE17CF"/>
    <w:rsid w:val="00FE18BF"/>
    <w:rsid w:val="00FE1905"/>
    <w:rsid w:val="00FE1D0F"/>
    <w:rsid w:val="00FE1FE4"/>
    <w:rsid w:val="00FE20A4"/>
    <w:rsid w:val="00FE2661"/>
    <w:rsid w:val="00FE2D28"/>
    <w:rsid w:val="00FE346C"/>
    <w:rsid w:val="00FE367D"/>
    <w:rsid w:val="00FE3DD9"/>
    <w:rsid w:val="00FE4B9C"/>
    <w:rsid w:val="00FE5605"/>
    <w:rsid w:val="00FE59D6"/>
    <w:rsid w:val="00FE6713"/>
    <w:rsid w:val="00FE6DC6"/>
    <w:rsid w:val="00FE6E3C"/>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4267"/>
    <w:rsid w:val="00FF44CE"/>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240E8D6-D28F-4138-B5C6-978F8706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93"/>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uiPriority w:val="99"/>
    <w:semiHidden/>
    <w:rsid w:val="007D3360"/>
    <w:pPr>
      <w:tabs>
        <w:tab w:val="left" w:pos="90"/>
      </w:tabs>
      <w:spacing w:line="240" w:lineRule="auto"/>
      <w:ind w:left="180" w:hanging="180"/>
    </w:pPr>
    <w:rPr>
      <w:rFonts w:ascii="Times New Roman" w:hAnsi="Times New Roman"/>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uiPriority w:val="99"/>
    <w:semiHidden/>
    <w:rsid w:val="007D3360"/>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numbering" w:customStyle="1" w:styleId="CurrentList1">
    <w:name w:val="Current List1"/>
    <w:uiPriority w:val="99"/>
    <w:rsid w:val="00E06357"/>
    <w:pPr>
      <w:numPr>
        <w:numId w:val="5"/>
      </w:numPr>
    </w:pPr>
  </w:style>
  <w:style w:type="numbering" w:customStyle="1" w:styleId="CurrentList2">
    <w:name w:val="Current List2"/>
    <w:uiPriority w:val="99"/>
    <w:rsid w:val="00BB1A9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851993149">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593274561">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0938-814C-4423-80DD-E278652D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27</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42643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Mokone</cp:lastModifiedBy>
  <cp:revision>2</cp:revision>
  <cp:lastPrinted>2023-05-25T12:58:00Z</cp:lastPrinted>
  <dcterms:created xsi:type="dcterms:W3CDTF">2023-06-02T11:28:00Z</dcterms:created>
  <dcterms:modified xsi:type="dcterms:W3CDTF">2023-06-02T11:28:00Z</dcterms:modified>
</cp:coreProperties>
</file>