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D9" w:rsidRPr="00DB2A06" w:rsidRDefault="00920DD9" w:rsidP="00920DD9">
      <w:pPr>
        <w:ind w:left="-270" w:right="-244"/>
        <w:jc w:val="center"/>
        <w:rPr>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920DD9" w:rsidRDefault="00920DD9">
      <w:pPr>
        <w:spacing w:after="296" w:line="259" w:lineRule="auto"/>
        <w:ind w:left="3437" w:firstLine="0"/>
        <w:jc w:val="left"/>
        <w:rPr>
          <w:noProof/>
          <w:lang w:val="en-US" w:eastAsia="en-US"/>
        </w:rPr>
      </w:pPr>
    </w:p>
    <w:p w:rsidR="006D2123" w:rsidRDefault="0090126E">
      <w:pPr>
        <w:spacing w:after="296" w:line="259" w:lineRule="auto"/>
        <w:ind w:left="3437" w:firstLine="0"/>
        <w:jc w:val="left"/>
      </w:pPr>
      <w:r>
        <w:rPr>
          <w:noProof/>
          <w:lang w:val="en-US" w:eastAsia="en-US"/>
        </w:rPr>
        <w:drawing>
          <wp:inline distT="0" distB="0" distL="0" distR="0">
            <wp:extent cx="1360931" cy="1360931"/>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7"/>
                    <a:stretch>
                      <a:fillRect/>
                    </a:stretch>
                  </pic:blipFill>
                  <pic:spPr>
                    <a:xfrm>
                      <a:off x="0" y="0"/>
                      <a:ext cx="1360931" cy="1360931"/>
                    </a:xfrm>
                    <a:prstGeom prst="rect">
                      <a:avLst/>
                    </a:prstGeom>
                  </pic:spPr>
                </pic:pic>
              </a:graphicData>
            </a:graphic>
          </wp:inline>
        </w:drawing>
      </w:r>
    </w:p>
    <w:p w:rsidR="006D2123" w:rsidRDefault="0090126E">
      <w:pPr>
        <w:spacing w:after="134" w:line="265" w:lineRule="auto"/>
        <w:ind w:left="10" w:hanging="10"/>
        <w:jc w:val="center"/>
      </w:pPr>
      <w:r>
        <w:rPr>
          <w:rFonts w:ascii="Calibri" w:eastAsia="Calibri" w:hAnsi="Calibri" w:cs="Calibri"/>
          <w:b/>
        </w:rPr>
        <w:t xml:space="preserve"> IN THE HIGH COURT OF SOUTH AFRICA </w:t>
      </w:r>
    </w:p>
    <w:p w:rsidR="006D2123" w:rsidRDefault="0090126E">
      <w:pPr>
        <w:spacing w:after="592" w:line="265" w:lineRule="auto"/>
        <w:ind w:left="10" w:hanging="10"/>
        <w:jc w:val="center"/>
      </w:pPr>
      <w:r>
        <w:rPr>
          <w:rFonts w:ascii="Calibri" w:eastAsia="Calibri" w:hAnsi="Calibri" w:cs="Calibri"/>
          <w:b/>
        </w:rPr>
        <w:t xml:space="preserve"> GAUTENG DIVISION, PRETORIA </w:t>
      </w:r>
    </w:p>
    <w:p w:rsidR="006D2123" w:rsidRDefault="0090126E">
      <w:pPr>
        <w:tabs>
          <w:tab w:val="right" w:pos="9018"/>
        </w:tabs>
        <w:spacing w:after="360" w:line="259" w:lineRule="auto"/>
        <w:ind w:left="0" w:firstLine="0"/>
        <w:jc w:val="left"/>
      </w:pPr>
      <w:r>
        <w:rPr>
          <w:noProof/>
          <w:lang w:val="en-US" w:eastAsia="en-US"/>
        </w:rPr>
        <w:drawing>
          <wp:inline distT="0" distB="0" distL="0" distR="0">
            <wp:extent cx="3235781" cy="1465618"/>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8"/>
                    <a:stretch>
                      <a:fillRect/>
                    </a:stretch>
                  </pic:blipFill>
                  <pic:spPr>
                    <a:xfrm>
                      <a:off x="0" y="0"/>
                      <a:ext cx="3235781" cy="1465618"/>
                    </a:xfrm>
                    <a:prstGeom prst="rect">
                      <a:avLst/>
                    </a:prstGeom>
                  </pic:spPr>
                </pic:pic>
              </a:graphicData>
            </a:graphic>
          </wp:inline>
        </w:drawing>
      </w:r>
      <w:r>
        <w:rPr>
          <w:rFonts w:ascii="Calibri" w:eastAsia="Calibri" w:hAnsi="Calibri" w:cs="Calibri"/>
          <w:b/>
        </w:rPr>
        <w:tab/>
        <w:t xml:space="preserve"> CASE NO: 27010/2018 </w:t>
      </w:r>
    </w:p>
    <w:p w:rsidR="006D2123" w:rsidRDefault="0090126E">
      <w:pPr>
        <w:spacing w:after="533"/>
        <w:ind w:left="-15" w:firstLine="0"/>
      </w:pPr>
      <w:r>
        <w:t xml:space="preserve"> In the matter between: </w:t>
      </w:r>
    </w:p>
    <w:p w:rsidR="006D2123" w:rsidRDefault="006D08A7">
      <w:pPr>
        <w:pStyle w:val="Heading1"/>
        <w:tabs>
          <w:tab w:val="right" w:pos="9018"/>
        </w:tabs>
        <w:spacing w:after="161"/>
        <w:ind w:left="0" w:firstLine="0"/>
      </w:pPr>
      <w:r>
        <w:t xml:space="preserve"> ANNA KGOMOTSO SELOMA                                                  </w:t>
      </w:r>
      <w:r w:rsidR="0090126E">
        <w:rPr>
          <w:b w:val="0"/>
        </w:rPr>
        <w:t xml:space="preserve"> </w:t>
      </w:r>
      <w:r w:rsidR="00676DB9">
        <w:rPr>
          <w:b w:val="0"/>
        </w:rPr>
        <w:t xml:space="preserve">                 </w:t>
      </w:r>
      <w:r w:rsidR="0090126E">
        <w:rPr>
          <w:b w:val="0"/>
        </w:rPr>
        <w:t xml:space="preserve">Plaintiff </w:t>
      </w:r>
    </w:p>
    <w:p w:rsidR="006D08A7" w:rsidRDefault="00A166A5">
      <w:pPr>
        <w:spacing w:after="34"/>
        <w:ind w:left="-15" w:right="5658" w:firstLine="0"/>
      </w:pPr>
      <w:r>
        <w:t>(</w:t>
      </w:r>
      <w:r w:rsidR="00920DD9">
        <w:t>ID NO: […]</w:t>
      </w:r>
      <w:r w:rsidR="0090126E">
        <w:t xml:space="preserve">) </w:t>
      </w:r>
    </w:p>
    <w:p w:rsidR="006D2123" w:rsidRDefault="0090126E">
      <w:pPr>
        <w:spacing w:after="34"/>
        <w:ind w:left="-15" w:right="5658" w:firstLine="0"/>
      </w:pPr>
      <w:r>
        <w:t xml:space="preserve"> obo </w:t>
      </w:r>
    </w:p>
    <w:p w:rsidR="006D2123" w:rsidRDefault="0090126E">
      <w:pPr>
        <w:spacing w:after="154" w:line="265" w:lineRule="auto"/>
        <w:ind w:left="10" w:hanging="10"/>
        <w:jc w:val="left"/>
      </w:pPr>
      <w:r>
        <w:rPr>
          <w:b/>
        </w:rPr>
        <w:t xml:space="preserve"> ORATILE KGOMOTSO SELOMA </w:t>
      </w:r>
    </w:p>
    <w:p w:rsidR="006D2123" w:rsidRDefault="006D08A7">
      <w:pPr>
        <w:spacing w:after="0" w:line="398" w:lineRule="auto"/>
        <w:ind w:left="67" w:right="5645" w:hanging="67"/>
        <w:jc w:val="left"/>
      </w:pPr>
      <w:r>
        <w:rPr>
          <w:b/>
        </w:rPr>
        <w:t>(</w:t>
      </w:r>
      <w:r w:rsidR="00920DD9">
        <w:t>ID NO: […]</w:t>
      </w:r>
      <w:r w:rsidR="0090126E" w:rsidRPr="002A15D5">
        <w:t>)</w:t>
      </w:r>
      <w:r w:rsidR="0090126E">
        <w:rPr>
          <w:b/>
        </w:rPr>
        <w:t xml:space="preserve"> </w:t>
      </w:r>
      <w:r w:rsidR="0090126E">
        <w:t xml:space="preserve">and </w:t>
      </w:r>
    </w:p>
    <w:p w:rsidR="006D2123" w:rsidRDefault="0090126E">
      <w:pPr>
        <w:spacing w:after="154" w:line="265" w:lineRule="auto"/>
        <w:ind w:left="10" w:hanging="10"/>
        <w:jc w:val="left"/>
      </w:pPr>
      <w:r>
        <w:rPr>
          <w:b/>
        </w:rPr>
        <w:t xml:space="preserve"> TSHEGOFATSO SELOMA </w:t>
      </w:r>
    </w:p>
    <w:p w:rsidR="006D08A7" w:rsidRPr="002A15D5" w:rsidRDefault="000A5580" w:rsidP="006D08A7">
      <w:pPr>
        <w:spacing w:after="611" w:line="265" w:lineRule="auto"/>
        <w:ind w:left="10" w:hanging="10"/>
        <w:jc w:val="left"/>
      </w:pPr>
      <w:r w:rsidRPr="002A15D5">
        <w:t>(</w:t>
      </w:r>
      <w:r w:rsidR="00920DD9">
        <w:t>IDENTITY NO: […]</w:t>
      </w:r>
      <w:bookmarkStart w:id="0" w:name="_GoBack"/>
      <w:bookmarkEnd w:id="0"/>
      <w:r w:rsidR="006D08A7" w:rsidRPr="002A15D5">
        <w:t>)</w:t>
      </w:r>
    </w:p>
    <w:p w:rsidR="006D08A7" w:rsidRDefault="0090126E" w:rsidP="006D08A7">
      <w:pPr>
        <w:spacing w:after="611" w:line="265" w:lineRule="auto"/>
        <w:ind w:left="10" w:hanging="10"/>
        <w:jc w:val="left"/>
      </w:pPr>
      <w:r>
        <w:t xml:space="preserve">and </w:t>
      </w:r>
    </w:p>
    <w:p w:rsidR="006D08A7" w:rsidRDefault="0090126E" w:rsidP="006D08A7">
      <w:pPr>
        <w:spacing w:after="611" w:line="265" w:lineRule="auto"/>
        <w:ind w:left="10" w:hanging="10"/>
        <w:jc w:val="left"/>
      </w:pPr>
      <w:r>
        <w:t xml:space="preserve"> </w:t>
      </w:r>
      <w:r w:rsidRPr="008D7B3F">
        <w:rPr>
          <w:b/>
        </w:rPr>
        <w:t>MINISTER OF POLICE</w:t>
      </w:r>
      <w:r>
        <w:t xml:space="preserve"> </w:t>
      </w:r>
      <w:r>
        <w:tab/>
        <w:t xml:space="preserve"> </w:t>
      </w:r>
      <w:r w:rsidR="006D08A7">
        <w:t xml:space="preserve">                                                       </w:t>
      </w:r>
      <w:r w:rsidR="00676DB9">
        <w:t xml:space="preserve">              </w:t>
      </w:r>
      <w:r>
        <w:t>Defendant</w:t>
      </w:r>
    </w:p>
    <w:p w:rsidR="006D2123" w:rsidRDefault="0090126E" w:rsidP="006D08A7">
      <w:pPr>
        <w:spacing w:after="611" w:line="265" w:lineRule="auto"/>
        <w:ind w:left="10" w:hanging="10"/>
        <w:jc w:val="left"/>
      </w:pPr>
      <w:r>
        <w:lastRenderedPageBreak/>
        <w:t xml:space="preserve"> </w:t>
      </w:r>
    </w:p>
    <w:p w:rsidR="006D2123" w:rsidRDefault="0090126E">
      <w:pPr>
        <w:spacing w:after="160" w:line="259" w:lineRule="auto"/>
        <w:ind w:left="209" w:firstLine="0"/>
        <w:jc w:val="left"/>
      </w:pPr>
      <w:r>
        <w:rPr>
          <w:rFonts w:ascii="Calibri" w:eastAsia="Calibri" w:hAnsi="Calibri" w:cs="Calibri"/>
          <w:b/>
        </w:rPr>
        <w:t xml:space="preserve"> ________________________________________________________________________ </w:t>
      </w:r>
    </w:p>
    <w:p w:rsidR="006D2123" w:rsidRPr="006D08A7" w:rsidRDefault="0090126E">
      <w:pPr>
        <w:spacing w:after="134" w:line="265" w:lineRule="auto"/>
        <w:ind w:left="10" w:hanging="10"/>
        <w:jc w:val="center"/>
      </w:pPr>
      <w:r w:rsidRPr="006D08A7">
        <w:rPr>
          <w:rFonts w:eastAsia="Calibri"/>
          <w:b/>
        </w:rPr>
        <w:t xml:space="preserve"> JUDGMENT </w:t>
      </w:r>
    </w:p>
    <w:p w:rsidR="006D08A7" w:rsidRDefault="0090126E" w:rsidP="006D08A7">
      <w:pPr>
        <w:spacing w:after="567" w:line="259" w:lineRule="auto"/>
        <w:ind w:left="0" w:firstLine="0"/>
        <w:jc w:val="center"/>
        <w:rPr>
          <w:rFonts w:ascii="Calibri" w:eastAsia="Calibri" w:hAnsi="Calibri" w:cs="Calibri"/>
          <w:b/>
          <w:sz w:val="22"/>
        </w:rPr>
      </w:pPr>
      <w:r>
        <w:rPr>
          <w:rFonts w:ascii="Calibri" w:eastAsia="Calibri" w:hAnsi="Calibri" w:cs="Calibri"/>
          <w:b/>
          <w:sz w:val="22"/>
        </w:rPr>
        <w:t xml:space="preserve"> ________________________________________________</w:t>
      </w:r>
      <w:r w:rsidR="006D08A7">
        <w:rPr>
          <w:rFonts w:ascii="Calibri" w:eastAsia="Calibri" w:hAnsi="Calibri" w:cs="Calibri"/>
          <w:b/>
          <w:sz w:val="22"/>
        </w:rPr>
        <w:t xml:space="preserve">____________________________    </w:t>
      </w:r>
    </w:p>
    <w:p w:rsidR="008D7B3F" w:rsidRPr="00074F07" w:rsidRDefault="006D08A7" w:rsidP="006D08A7">
      <w:pPr>
        <w:spacing w:after="567" w:line="259" w:lineRule="auto"/>
        <w:ind w:left="0" w:firstLine="0"/>
        <w:rPr>
          <w:rFonts w:ascii="Arial Nova" w:eastAsia="Calibri" w:hAnsi="Arial Nova"/>
          <w:szCs w:val="24"/>
        </w:rPr>
      </w:pPr>
      <w:r w:rsidRPr="00074F07">
        <w:rPr>
          <w:rFonts w:ascii="Arial Nova" w:eastAsia="Calibri" w:hAnsi="Arial Nova"/>
          <w:b/>
          <w:szCs w:val="24"/>
        </w:rPr>
        <w:t>MBONGWE J</w:t>
      </w:r>
      <w:r w:rsidRPr="00074F07">
        <w:rPr>
          <w:rFonts w:ascii="Arial Nova" w:eastAsia="Calibri" w:hAnsi="Arial Nova"/>
          <w:szCs w:val="24"/>
        </w:rPr>
        <w:t xml:space="preserve">: </w:t>
      </w:r>
    </w:p>
    <w:p w:rsidR="006D2123" w:rsidRPr="00074F07" w:rsidRDefault="0090126E" w:rsidP="006D08A7">
      <w:pPr>
        <w:spacing w:after="567" w:line="259" w:lineRule="auto"/>
        <w:ind w:left="0" w:firstLine="0"/>
        <w:rPr>
          <w:rFonts w:ascii="Arial Nova" w:eastAsia="Calibri" w:hAnsi="Arial Nova"/>
          <w:szCs w:val="24"/>
        </w:rPr>
      </w:pPr>
      <w:r w:rsidRPr="00074F07">
        <w:rPr>
          <w:rFonts w:ascii="Arial Nova" w:hAnsi="Arial Nova"/>
          <w:b/>
        </w:rPr>
        <w:t xml:space="preserve">INTRODUCTION </w:t>
      </w:r>
    </w:p>
    <w:p w:rsidR="002C5992" w:rsidRPr="006727D7" w:rsidRDefault="0090126E" w:rsidP="00824009">
      <w:pPr>
        <w:spacing w:after="729"/>
        <w:ind w:left="714"/>
        <w:rPr>
          <w:szCs w:val="24"/>
        </w:rPr>
      </w:pPr>
      <w:r w:rsidRPr="006727D7">
        <w:rPr>
          <w:sz w:val="22"/>
        </w:rPr>
        <w:t xml:space="preserve"> </w:t>
      </w:r>
      <w:r w:rsidR="008D7B3F" w:rsidRPr="006727D7">
        <w:rPr>
          <w:sz w:val="22"/>
        </w:rPr>
        <w:t>[1</w:t>
      </w:r>
      <w:r w:rsidR="008D7B3F" w:rsidRPr="006727D7">
        <w:rPr>
          <w:szCs w:val="24"/>
        </w:rPr>
        <w:t>]     This is</w:t>
      </w:r>
      <w:r w:rsidR="00A166A5" w:rsidRPr="006727D7">
        <w:rPr>
          <w:szCs w:val="24"/>
        </w:rPr>
        <w:t xml:space="preserve"> a </w:t>
      </w:r>
      <w:r w:rsidR="008D7B3F" w:rsidRPr="006727D7">
        <w:rPr>
          <w:szCs w:val="24"/>
        </w:rPr>
        <w:t>damages</w:t>
      </w:r>
      <w:r w:rsidR="00642126" w:rsidRPr="006727D7">
        <w:rPr>
          <w:szCs w:val="24"/>
        </w:rPr>
        <w:t xml:space="preserve"> claim </w:t>
      </w:r>
      <w:r w:rsidR="008D7B3F" w:rsidRPr="006727D7">
        <w:rPr>
          <w:szCs w:val="24"/>
        </w:rPr>
        <w:t>for loss of support institute</w:t>
      </w:r>
      <w:r w:rsidR="006A4FB4" w:rsidRPr="006727D7">
        <w:rPr>
          <w:szCs w:val="24"/>
        </w:rPr>
        <w:t xml:space="preserve">d by the plaintiff on behalf of </w:t>
      </w:r>
      <w:r w:rsidRPr="006727D7">
        <w:rPr>
          <w:szCs w:val="24"/>
        </w:rPr>
        <w:t>he</w:t>
      </w:r>
      <w:r w:rsidR="00BA720E" w:rsidRPr="006727D7">
        <w:rPr>
          <w:szCs w:val="24"/>
        </w:rPr>
        <w:t xml:space="preserve">r </w:t>
      </w:r>
      <w:r w:rsidR="00642126" w:rsidRPr="006727D7">
        <w:rPr>
          <w:szCs w:val="24"/>
        </w:rPr>
        <w:t xml:space="preserve">two minor grand-children </w:t>
      </w:r>
      <w:r w:rsidR="008D7B3F" w:rsidRPr="006727D7">
        <w:rPr>
          <w:szCs w:val="24"/>
        </w:rPr>
        <w:t>following the</w:t>
      </w:r>
      <w:r w:rsidR="00A166A5" w:rsidRPr="006727D7">
        <w:rPr>
          <w:szCs w:val="24"/>
        </w:rPr>
        <w:t xml:space="preserve"> </w:t>
      </w:r>
      <w:r w:rsidR="00FE4413" w:rsidRPr="006727D7">
        <w:rPr>
          <w:szCs w:val="24"/>
        </w:rPr>
        <w:t>killing of their mother,</w:t>
      </w:r>
      <w:r w:rsidR="00A166A5" w:rsidRPr="006727D7">
        <w:rPr>
          <w:szCs w:val="24"/>
        </w:rPr>
        <w:t xml:space="preserve"> </w:t>
      </w:r>
      <w:r w:rsidR="00642126" w:rsidRPr="006727D7">
        <w:rPr>
          <w:szCs w:val="24"/>
        </w:rPr>
        <w:t>Lisbeth</w:t>
      </w:r>
      <w:r w:rsidRPr="006727D7">
        <w:rPr>
          <w:szCs w:val="24"/>
        </w:rPr>
        <w:t xml:space="preserve"> Se</w:t>
      </w:r>
      <w:r w:rsidR="00BA720E" w:rsidRPr="006727D7">
        <w:rPr>
          <w:szCs w:val="24"/>
        </w:rPr>
        <w:t xml:space="preserve">loma (the </w:t>
      </w:r>
      <w:r w:rsidR="00642126" w:rsidRPr="006727D7">
        <w:rPr>
          <w:szCs w:val="24"/>
        </w:rPr>
        <w:t xml:space="preserve">deceased) on 15 </w:t>
      </w:r>
      <w:r w:rsidR="008D7B3F" w:rsidRPr="006727D7">
        <w:rPr>
          <w:szCs w:val="24"/>
        </w:rPr>
        <w:t>October 2017</w:t>
      </w:r>
      <w:r w:rsidR="00A166A5" w:rsidRPr="006727D7">
        <w:rPr>
          <w:szCs w:val="24"/>
        </w:rPr>
        <w:t>. The deceased was wrong</w:t>
      </w:r>
      <w:r w:rsidR="004D169A">
        <w:rPr>
          <w:szCs w:val="24"/>
        </w:rPr>
        <w:t xml:space="preserve"> </w:t>
      </w:r>
      <w:r w:rsidR="00A166A5" w:rsidRPr="006727D7">
        <w:rPr>
          <w:szCs w:val="24"/>
        </w:rPr>
        <w:t xml:space="preserve">fully </w:t>
      </w:r>
      <w:r w:rsidR="00642126" w:rsidRPr="006727D7">
        <w:rPr>
          <w:szCs w:val="24"/>
        </w:rPr>
        <w:t>and</w:t>
      </w:r>
      <w:r w:rsidR="008D7B3F" w:rsidRPr="006727D7">
        <w:rPr>
          <w:szCs w:val="24"/>
        </w:rPr>
        <w:t xml:space="preserve"> unlawfully shot with a firearm by </w:t>
      </w:r>
      <w:r w:rsidR="00A04EDB" w:rsidRPr="006727D7">
        <w:rPr>
          <w:szCs w:val="24"/>
        </w:rPr>
        <w:t>Constable Kgabo</w:t>
      </w:r>
      <w:r w:rsidR="00642126" w:rsidRPr="006727D7">
        <w:rPr>
          <w:szCs w:val="24"/>
        </w:rPr>
        <w:t xml:space="preserve"> </w:t>
      </w:r>
      <w:r w:rsidR="00A166A5" w:rsidRPr="006727D7">
        <w:rPr>
          <w:szCs w:val="24"/>
        </w:rPr>
        <w:t>Vincent Rammutla, her live -</w:t>
      </w:r>
      <w:r w:rsidR="00642126" w:rsidRPr="006727D7">
        <w:rPr>
          <w:szCs w:val="24"/>
        </w:rPr>
        <w:t>in</w:t>
      </w:r>
      <w:r w:rsidR="00A166A5" w:rsidRPr="006727D7">
        <w:rPr>
          <w:szCs w:val="24"/>
        </w:rPr>
        <w:t xml:space="preserve"> boyfriend who, </w:t>
      </w:r>
      <w:r w:rsidR="00642126" w:rsidRPr="006727D7">
        <w:rPr>
          <w:szCs w:val="24"/>
        </w:rPr>
        <w:t>at the time</w:t>
      </w:r>
      <w:r w:rsidR="00A166A5" w:rsidRPr="006727D7">
        <w:rPr>
          <w:szCs w:val="24"/>
        </w:rPr>
        <w:t xml:space="preserve">, was in the employ of </w:t>
      </w:r>
      <w:r w:rsidR="00A04EDB" w:rsidRPr="006727D7">
        <w:rPr>
          <w:szCs w:val="24"/>
        </w:rPr>
        <w:t xml:space="preserve">the </w:t>
      </w:r>
      <w:r w:rsidR="00642126" w:rsidRPr="006727D7">
        <w:rPr>
          <w:szCs w:val="24"/>
        </w:rPr>
        <w:t xml:space="preserve">South </w:t>
      </w:r>
      <w:r w:rsidR="00A166A5" w:rsidRPr="006727D7">
        <w:rPr>
          <w:szCs w:val="24"/>
        </w:rPr>
        <w:t xml:space="preserve">African </w:t>
      </w:r>
      <w:r w:rsidR="002C5992" w:rsidRPr="006727D7">
        <w:rPr>
          <w:szCs w:val="24"/>
        </w:rPr>
        <w:t>Police</w:t>
      </w:r>
      <w:r w:rsidR="00A04EDB" w:rsidRPr="006727D7">
        <w:rPr>
          <w:szCs w:val="24"/>
        </w:rPr>
        <w:t xml:space="preserve"> Service</w:t>
      </w:r>
      <w:r w:rsidR="00646E98" w:rsidRPr="006727D7">
        <w:rPr>
          <w:szCs w:val="24"/>
        </w:rPr>
        <w:t xml:space="preserve"> (SAPS)</w:t>
      </w:r>
      <w:r w:rsidR="00AD1D50" w:rsidRPr="006727D7">
        <w:rPr>
          <w:szCs w:val="24"/>
        </w:rPr>
        <w:t xml:space="preserve">. Rammutla was </w:t>
      </w:r>
      <w:r w:rsidR="002C5992" w:rsidRPr="006727D7">
        <w:rPr>
          <w:szCs w:val="24"/>
        </w:rPr>
        <w:t>working in the</w:t>
      </w:r>
      <w:r w:rsidR="00A04EDB" w:rsidRPr="006727D7">
        <w:rPr>
          <w:szCs w:val="24"/>
        </w:rPr>
        <w:t xml:space="preserve"> detective unit a</w:t>
      </w:r>
      <w:r w:rsidR="00A166A5" w:rsidRPr="006727D7">
        <w:rPr>
          <w:szCs w:val="24"/>
        </w:rPr>
        <w:t>t the Eesterus Police</w:t>
      </w:r>
      <w:r w:rsidR="002C5992" w:rsidRPr="006727D7">
        <w:rPr>
          <w:szCs w:val="24"/>
        </w:rPr>
        <w:t xml:space="preserve"> </w:t>
      </w:r>
      <w:r w:rsidR="00AD1D50" w:rsidRPr="006727D7">
        <w:rPr>
          <w:szCs w:val="24"/>
        </w:rPr>
        <w:t>Station. T</w:t>
      </w:r>
      <w:r w:rsidR="00FE4413" w:rsidRPr="006727D7">
        <w:rPr>
          <w:szCs w:val="24"/>
        </w:rPr>
        <w:t>he incident</w:t>
      </w:r>
      <w:r w:rsidR="00AD1D50" w:rsidRPr="006727D7">
        <w:rPr>
          <w:szCs w:val="24"/>
        </w:rPr>
        <w:t xml:space="preserve"> </w:t>
      </w:r>
      <w:r w:rsidR="002C5992" w:rsidRPr="006727D7">
        <w:rPr>
          <w:szCs w:val="24"/>
        </w:rPr>
        <w:t>occurred</w:t>
      </w:r>
      <w:r w:rsidR="00AD1D50" w:rsidRPr="006727D7">
        <w:rPr>
          <w:szCs w:val="24"/>
        </w:rPr>
        <w:t xml:space="preserve"> when Rammutla was </w:t>
      </w:r>
      <w:r w:rsidR="004D169A" w:rsidRPr="006727D7">
        <w:rPr>
          <w:szCs w:val="24"/>
        </w:rPr>
        <w:t>off-duty, at a residence rented,</w:t>
      </w:r>
      <w:r w:rsidR="002C5992" w:rsidRPr="006727D7">
        <w:rPr>
          <w:szCs w:val="24"/>
        </w:rPr>
        <w:t xml:space="preserve"> and shared by him and</w:t>
      </w:r>
      <w:r w:rsidR="00AD1D50" w:rsidRPr="006727D7">
        <w:rPr>
          <w:szCs w:val="24"/>
        </w:rPr>
        <w:t xml:space="preserve"> the deceased. The</w:t>
      </w:r>
      <w:r w:rsidR="00A04EDB" w:rsidRPr="006727D7">
        <w:rPr>
          <w:szCs w:val="24"/>
        </w:rPr>
        <w:t xml:space="preserve"> </w:t>
      </w:r>
      <w:r w:rsidRPr="006727D7">
        <w:rPr>
          <w:szCs w:val="24"/>
        </w:rPr>
        <w:t xml:space="preserve">plaintiff </w:t>
      </w:r>
      <w:r w:rsidR="00FE4413" w:rsidRPr="006727D7">
        <w:rPr>
          <w:szCs w:val="24"/>
        </w:rPr>
        <w:t xml:space="preserve">seeks </w:t>
      </w:r>
      <w:r w:rsidR="00A04EDB" w:rsidRPr="006727D7">
        <w:rPr>
          <w:szCs w:val="24"/>
        </w:rPr>
        <w:t xml:space="preserve">to hold the defendant vicariously </w:t>
      </w:r>
      <w:r w:rsidR="002C5992" w:rsidRPr="006727D7">
        <w:rPr>
          <w:szCs w:val="24"/>
        </w:rPr>
        <w:t xml:space="preserve">liable for the wrongful conduct </w:t>
      </w:r>
      <w:r w:rsidR="00A04EDB" w:rsidRPr="006727D7">
        <w:rPr>
          <w:szCs w:val="24"/>
        </w:rPr>
        <w:t>of Rammutl</w:t>
      </w:r>
      <w:r w:rsidR="00283965" w:rsidRPr="006727D7">
        <w:rPr>
          <w:szCs w:val="24"/>
        </w:rPr>
        <w:t>a</w:t>
      </w:r>
      <w:r w:rsidR="002C5992" w:rsidRPr="006727D7">
        <w:rPr>
          <w:szCs w:val="24"/>
        </w:rPr>
        <w:t>.</w:t>
      </w:r>
      <w:r w:rsidR="00283965" w:rsidRPr="006727D7">
        <w:rPr>
          <w:szCs w:val="24"/>
        </w:rPr>
        <w:t xml:space="preserve"> </w:t>
      </w:r>
    </w:p>
    <w:p w:rsidR="006A4FB4" w:rsidRPr="006727D7" w:rsidRDefault="006A4FB4" w:rsidP="00505E14">
      <w:r w:rsidRPr="006727D7">
        <w:t xml:space="preserve">[2]      </w:t>
      </w:r>
      <w:r w:rsidR="00676DB9">
        <w:tab/>
      </w:r>
      <w:r w:rsidRPr="006727D7">
        <w:t xml:space="preserve">The deceased was 29 years of age at the time of her death and a mother of </w:t>
      </w:r>
      <w:r w:rsidR="00676DB9" w:rsidRPr="006727D7">
        <w:t>two minor</w:t>
      </w:r>
      <w:r w:rsidRPr="006727D7">
        <w:t xml:space="preserve"> children</w:t>
      </w:r>
      <w:r w:rsidR="00505E14" w:rsidRPr="006727D7">
        <w:t>:</w:t>
      </w:r>
      <w:r w:rsidRPr="006727D7">
        <w:t xml:space="preserve"> - the younger was six weeks o</w:t>
      </w:r>
      <w:r w:rsidR="00676DB9">
        <w:t xml:space="preserve">ld at the time and born of the </w:t>
      </w:r>
      <w:r w:rsidRPr="006727D7">
        <w:t>relationship between the deceased and Rammutla. The deceased’s older child was born of her earlier relationship and was six years old when</w:t>
      </w:r>
      <w:r w:rsidR="00505E14" w:rsidRPr="006727D7">
        <w:t xml:space="preserve"> the</w:t>
      </w:r>
      <w:r w:rsidRPr="006727D7">
        <w:t xml:space="preserve"> incident occurred.</w:t>
      </w:r>
      <w:r w:rsidR="00505E14" w:rsidRPr="006727D7">
        <w:t xml:space="preserve"> </w:t>
      </w:r>
      <w:r w:rsidRPr="006727D7">
        <w:t>The</w:t>
      </w:r>
      <w:r w:rsidR="00986DE2">
        <w:t xml:space="preserve"> deceased had been</w:t>
      </w:r>
      <w:r w:rsidR="00505E14" w:rsidRPr="006727D7">
        <w:t xml:space="preserve"> employed as a </w:t>
      </w:r>
      <w:r w:rsidRPr="006727D7">
        <w:t>professio</w:t>
      </w:r>
      <w:r w:rsidR="00505E14" w:rsidRPr="006727D7">
        <w:t xml:space="preserve">nal nurse and </w:t>
      </w:r>
      <w:r w:rsidR="00220771" w:rsidRPr="006727D7">
        <w:t>had supported her</w:t>
      </w:r>
      <w:r w:rsidRPr="006727D7">
        <w:t xml:space="preserve"> two minor children</w:t>
      </w:r>
      <w:r w:rsidR="00220771" w:rsidRPr="006727D7">
        <w:t xml:space="preserve">. </w:t>
      </w:r>
      <w:r w:rsidR="00505E14" w:rsidRPr="006727D7">
        <w:t>Since her death</w:t>
      </w:r>
      <w:r w:rsidRPr="006727D7">
        <w:t xml:space="preserve"> the minor children</w:t>
      </w:r>
      <w:r w:rsidR="00220771" w:rsidRPr="006727D7">
        <w:t xml:space="preserve"> are in the care and custody of the plaintiff, their </w:t>
      </w:r>
      <w:r w:rsidR="00220771" w:rsidRPr="006727D7">
        <w:rPr>
          <w:szCs w:val="24"/>
        </w:rPr>
        <w:t>grandmother</w:t>
      </w:r>
      <w:r w:rsidR="00505E14" w:rsidRPr="006727D7">
        <w:rPr>
          <w:szCs w:val="24"/>
        </w:rPr>
        <w:t>,</w:t>
      </w:r>
      <w:r w:rsidR="00220771" w:rsidRPr="006727D7">
        <w:rPr>
          <w:szCs w:val="24"/>
        </w:rPr>
        <w:t xml:space="preserve"> </w:t>
      </w:r>
      <w:r w:rsidRPr="006727D7">
        <w:rPr>
          <w:szCs w:val="24"/>
        </w:rPr>
        <w:t>who is a p</w:t>
      </w:r>
      <w:r w:rsidR="00220771" w:rsidRPr="006727D7">
        <w:rPr>
          <w:szCs w:val="24"/>
        </w:rPr>
        <w:t>ensioner</w:t>
      </w:r>
      <w:r w:rsidRPr="006727D7">
        <w:rPr>
          <w:szCs w:val="24"/>
        </w:rPr>
        <w:t>.</w:t>
      </w:r>
      <w:r w:rsidRPr="006727D7">
        <w:t xml:space="preserve"> </w:t>
      </w:r>
    </w:p>
    <w:p w:rsidR="007361B8" w:rsidRPr="006727D7" w:rsidRDefault="007361B8" w:rsidP="007361B8">
      <w:pPr>
        <w:spacing w:after="729"/>
      </w:pPr>
      <w:r w:rsidRPr="006727D7">
        <w:t>[3]      The plaintiff seeks to hold the defendant vicariously liable for the wrongful and unlawful conduct of Rammutla even though Rammutla was off duty at the time of his commission of the murder.</w:t>
      </w:r>
    </w:p>
    <w:p w:rsidR="00676DB9" w:rsidRDefault="00676DB9" w:rsidP="00676DB9">
      <w:pPr>
        <w:spacing w:after="729"/>
        <w:ind w:hanging="9"/>
        <w:rPr>
          <w:b/>
        </w:rPr>
      </w:pPr>
    </w:p>
    <w:p w:rsidR="006D2123" w:rsidRPr="007361B8" w:rsidRDefault="0090126E" w:rsidP="00676DB9">
      <w:pPr>
        <w:spacing w:after="729"/>
        <w:ind w:hanging="9"/>
        <w:rPr>
          <w:rFonts w:ascii="Arial Nova" w:hAnsi="Arial Nova"/>
          <w:b/>
        </w:rPr>
      </w:pPr>
      <w:r w:rsidRPr="007361B8">
        <w:rPr>
          <w:b/>
        </w:rPr>
        <w:t xml:space="preserve">PREMISE OF THE PLAINTIFF’S CLAIM </w:t>
      </w:r>
    </w:p>
    <w:p w:rsidR="0050653A" w:rsidRPr="006727D7" w:rsidRDefault="007361B8" w:rsidP="007361B8">
      <w:pPr>
        <w:spacing w:after="123" w:line="259" w:lineRule="auto"/>
      </w:pPr>
      <w:r w:rsidRPr="006727D7">
        <w:t xml:space="preserve">[4]      </w:t>
      </w:r>
      <w:r w:rsidR="00FB4D47" w:rsidRPr="006727D7">
        <w:t xml:space="preserve">In amplification of its contention </w:t>
      </w:r>
      <w:r w:rsidR="000A5580" w:rsidRPr="006727D7">
        <w:t>that the defendant is vicariously</w:t>
      </w:r>
      <w:r w:rsidR="0050653A" w:rsidRPr="006727D7">
        <w:t xml:space="preserve"> liable for the </w:t>
      </w:r>
    </w:p>
    <w:p w:rsidR="006D2123" w:rsidRPr="006727D7" w:rsidRDefault="000A5580" w:rsidP="0050653A">
      <w:pPr>
        <w:spacing w:after="123" w:line="259" w:lineRule="auto"/>
        <w:ind w:left="719" w:firstLine="0"/>
      </w:pPr>
      <w:r w:rsidRPr="006727D7">
        <w:t>conduct</w:t>
      </w:r>
      <w:r w:rsidR="0090126E" w:rsidRPr="006727D7">
        <w:t xml:space="preserve"> of Rammutla</w:t>
      </w:r>
      <w:r w:rsidR="00FB4D47" w:rsidRPr="006727D7">
        <w:t>, th</w:t>
      </w:r>
      <w:r w:rsidR="006727D7" w:rsidRPr="006727D7">
        <w:t>e plaintiff alleges</w:t>
      </w:r>
      <w:r w:rsidR="00FB4D47" w:rsidRPr="006727D7">
        <w:t xml:space="preserve"> that;</w:t>
      </w:r>
      <w:r w:rsidR="0090126E" w:rsidRPr="006727D7">
        <w:t xml:space="preserve"> </w:t>
      </w:r>
    </w:p>
    <w:p w:rsidR="000A5580" w:rsidRPr="006727D7" w:rsidRDefault="000A5580" w:rsidP="000A5580">
      <w:pPr>
        <w:spacing w:after="123" w:line="259" w:lineRule="auto"/>
        <w:ind w:left="719" w:firstLine="0"/>
        <w:rPr>
          <w:sz w:val="22"/>
        </w:rPr>
      </w:pPr>
    </w:p>
    <w:p w:rsidR="00282A11" w:rsidRDefault="00282A11" w:rsidP="00282A11">
      <w:pPr>
        <w:pStyle w:val="ListParagraph"/>
        <w:numPr>
          <w:ilvl w:val="1"/>
          <w:numId w:val="12"/>
        </w:numPr>
        <w:rPr>
          <w:szCs w:val="24"/>
        </w:rPr>
      </w:pPr>
      <w:r>
        <w:rPr>
          <w:szCs w:val="24"/>
        </w:rPr>
        <w:t xml:space="preserve"> </w:t>
      </w:r>
      <w:r w:rsidR="00D26B18" w:rsidRPr="00282A11">
        <w:rPr>
          <w:szCs w:val="24"/>
        </w:rPr>
        <w:t>Rammutla</w:t>
      </w:r>
      <w:r w:rsidR="006727D7" w:rsidRPr="00282A11">
        <w:rPr>
          <w:szCs w:val="24"/>
        </w:rPr>
        <w:t xml:space="preserve"> ought not to have been in possession of</w:t>
      </w:r>
      <w:r w:rsidR="0090126E" w:rsidRPr="00282A11">
        <w:rPr>
          <w:szCs w:val="24"/>
        </w:rPr>
        <w:t xml:space="preserve"> </w:t>
      </w:r>
      <w:r w:rsidR="006727D7" w:rsidRPr="00282A11">
        <w:rPr>
          <w:szCs w:val="24"/>
        </w:rPr>
        <w:t xml:space="preserve">his official firearm as he </w:t>
      </w:r>
      <w:r>
        <w:rPr>
          <w:szCs w:val="24"/>
        </w:rPr>
        <w:t xml:space="preserve">      </w:t>
      </w:r>
    </w:p>
    <w:p w:rsidR="006D2123" w:rsidRPr="00896453" w:rsidRDefault="00282A11" w:rsidP="00896453">
      <w:pPr>
        <w:pStyle w:val="ListParagraph"/>
        <w:ind w:left="1020" w:firstLine="0"/>
        <w:rPr>
          <w:szCs w:val="24"/>
        </w:rPr>
      </w:pPr>
      <w:r>
        <w:rPr>
          <w:szCs w:val="24"/>
        </w:rPr>
        <w:t xml:space="preserve"> </w:t>
      </w:r>
      <w:r w:rsidR="006727D7" w:rsidRPr="00282A11">
        <w:rPr>
          <w:szCs w:val="24"/>
        </w:rPr>
        <w:t xml:space="preserve">was </w:t>
      </w:r>
      <w:r w:rsidR="00D26B18" w:rsidRPr="00282A11">
        <w:rPr>
          <w:szCs w:val="24"/>
        </w:rPr>
        <w:t>officially off duty.</w:t>
      </w:r>
      <w:r w:rsidR="006727D7" w:rsidRPr="00282A11">
        <w:rPr>
          <w:szCs w:val="24"/>
        </w:rPr>
        <w:t xml:space="preserve"> The plaintiff contends that by </w:t>
      </w:r>
      <w:r w:rsidR="00AA69B6" w:rsidRPr="00282A11">
        <w:rPr>
          <w:szCs w:val="24"/>
        </w:rPr>
        <w:t>permitting Rammutla</w:t>
      </w:r>
      <w:r w:rsidR="006727D7" w:rsidRPr="00282A11">
        <w:rPr>
          <w:szCs w:val="24"/>
        </w:rPr>
        <w:t xml:space="preserve"> to be in possession of the</w:t>
      </w:r>
      <w:r w:rsidR="0090126E" w:rsidRPr="00282A11">
        <w:rPr>
          <w:szCs w:val="24"/>
        </w:rPr>
        <w:t xml:space="preserve"> firearm</w:t>
      </w:r>
      <w:r w:rsidR="006727D7" w:rsidRPr="00282A11">
        <w:rPr>
          <w:szCs w:val="24"/>
        </w:rPr>
        <w:t xml:space="preserve"> whilst off duty, the</w:t>
      </w:r>
      <w:r w:rsidR="0090126E" w:rsidRPr="00282A11">
        <w:rPr>
          <w:szCs w:val="24"/>
        </w:rPr>
        <w:t xml:space="preserve"> off</w:t>
      </w:r>
      <w:r w:rsidR="006727D7" w:rsidRPr="00282A11">
        <w:rPr>
          <w:szCs w:val="24"/>
        </w:rPr>
        <w:t>icials  of the defendant had</w:t>
      </w:r>
      <w:r w:rsidR="0090126E" w:rsidRPr="00282A11">
        <w:rPr>
          <w:szCs w:val="24"/>
        </w:rPr>
        <w:t xml:space="preserve"> created</w:t>
      </w:r>
      <w:r w:rsidR="006727D7" w:rsidRPr="00282A11">
        <w:rPr>
          <w:szCs w:val="24"/>
        </w:rPr>
        <w:t xml:space="preserve"> a</w:t>
      </w:r>
      <w:r w:rsidR="0090126E" w:rsidRPr="00282A11">
        <w:rPr>
          <w:szCs w:val="24"/>
        </w:rPr>
        <w:t xml:space="preserve"> risk</w:t>
      </w:r>
      <w:r w:rsidR="006727D7" w:rsidRPr="00282A11">
        <w:rPr>
          <w:szCs w:val="24"/>
        </w:rPr>
        <w:t xml:space="preserve"> and failed to comply with</w:t>
      </w:r>
      <w:r w:rsidR="0090126E" w:rsidRPr="00282A11">
        <w:rPr>
          <w:szCs w:val="24"/>
        </w:rPr>
        <w:t xml:space="preserve"> the  provis</w:t>
      </w:r>
      <w:r w:rsidR="009A2F5C">
        <w:rPr>
          <w:szCs w:val="24"/>
        </w:rPr>
        <w:t>ions of paragraph 6 of the South African</w:t>
      </w:r>
      <w:r w:rsidR="00D26B18" w:rsidRPr="00282A11">
        <w:rPr>
          <w:szCs w:val="24"/>
        </w:rPr>
        <w:t xml:space="preserve"> Police Service Standing </w:t>
      </w:r>
      <w:r w:rsidR="0090126E" w:rsidRPr="00282A11">
        <w:rPr>
          <w:szCs w:val="24"/>
        </w:rPr>
        <w:t>Order 48</w:t>
      </w:r>
      <w:r w:rsidR="00647963">
        <w:rPr>
          <w:szCs w:val="24"/>
        </w:rPr>
        <w:t>.</w:t>
      </w:r>
    </w:p>
    <w:p w:rsidR="00143088" w:rsidRDefault="00143088" w:rsidP="000A5580">
      <w:pPr>
        <w:tabs>
          <w:tab w:val="center" w:pos="1625"/>
          <w:tab w:val="right" w:pos="9018"/>
        </w:tabs>
        <w:spacing w:after="123" w:line="259" w:lineRule="auto"/>
        <w:ind w:left="0" w:firstLine="0"/>
        <w:jc w:val="left"/>
      </w:pPr>
    </w:p>
    <w:p w:rsidR="00282A11" w:rsidRPr="00934092" w:rsidRDefault="00282A11" w:rsidP="00282A11">
      <w:pPr>
        <w:pStyle w:val="ListParagraph"/>
        <w:numPr>
          <w:ilvl w:val="1"/>
          <w:numId w:val="12"/>
        </w:numPr>
        <w:rPr>
          <w:color w:val="auto"/>
        </w:rPr>
      </w:pPr>
      <w:r w:rsidRPr="00934092">
        <w:rPr>
          <w:color w:val="auto"/>
        </w:rPr>
        <w:t xml:space="preserve"> </w:t>
      </w:r>
      <w:r w:rsidR="000E1F41" w:rsidRPr="00934092">
        <w:rPr>
          <w:color w:val="auto"/>
        </w:rPr>
        <w:t xml:space="preserve">Rammutla was not competent to be in possession of the official </w:t>
      </w:r>
      <w:r w:rsidRPr="00934092">
        <w:rPr>
          <w:color w:val="auto"/>
        </w:rPr>
        <w:t>firearm</w:t>
      </w:r>
      <w:r w:rsidR="000E1F41" w:rsidRPr="00934092">
        <w:rPr>
          <w:color w:val="auto"/>
        </w:rPr>
        <w:t xml:space="preserve"> as </w:t>
      </w:r>
      <w:r w:rsidRPr="00934092">
        <w:rPr>
          <w:color w:val="auto"/>
        </w:rPr>
        <w:t xml:space="preserve">   </w:t>
      </w:r>
    </w:p>
    <w:p w:rsidR="005550B5" w:rsidRPr="00934092" w:rsidRDefault="00282A11" w:rsidP="005550B5">
      <w:pPr>
        <w:pStyle w:val="ListParagraph"/>
        <w:ind w:left="1020" w:firstLine="0"/>
        <w:rPr>
          <w:color w:val="auto"/>
        </w:rPr>
      </w:pPr>
      <w:r w:rsidRPr="00934092">
        <w:rPr>
          <w:color w:val="auto"/>
        </w:rPr>
        <w:t xml:space="preserve"> h</w:t>
      </w:r>
      <w:r w:rsidR="000E1F41" w:rsidRPr="00934092">
        <w:rPr>
          <w:color w:val="auto"/>
        </w:rPr>
        <w:t>e had not attended the compulsory annual s</w:t>
      </w:r>
      <w:r w:rsidR="0090126E" w:rsidRPr="00934092">
        <w:rPr>
          <w:color w:val="auto"/>
        </w:rPr>
        <w:t>hooting</w:t>
      </w:r>
      <w:r w:rsidR="00986DE2">
        <w:rPr>
          <w:color w:val="auto"/>
        </w:rPr>
        <w:t xml:space="preserve"> practice between 15 October 2016 and 15</w:t>
      </w:r>
      <w:r w:rsidR="005550B5" w:rsidRPr="00934092">
        <w:rPr>
          <w:color w:val="auto"/>
        </w:rPr>
        <w:t xml:space="preserve"> October</w:t>
      </w:r>
      <w:r w:rsidRPr="00934092">
        <w:rPr>
          <w:color w:val="auto"/>
        </w:rPr>
        <w:t xml:space="preserve"> 2017</w:t>
      </w:r>
      <w:r w:rsidR="000E1F41" w:rsidRPr="00934092">
        <w:rPr>
          <w:color w:val="auto"/>
        </w:rPr>
        <w:t xml:space="preserve"> as</w:t>
      </w:r>
      <w:r w:rsidRPr="00934092">
        <w:rPr>
          <w:color w:val="auto"/>
        </w:rPr>
        <w:t xml:space="preserve"> </w:t>
      </w:r>
      <w:r w:rsidR="0090126E" w:rsidRPr="00934092">
        <w:rPr>
          <w:color w:val="auto"/>
        </w:rPr>
        <w:t>require</w:t>
      </w:r>
      <w:r w:rsidR="000E1F41" w:rsidRPr="00934092">
        <w:rPr>
          <w:color w:val="auto"/>
        </w:rPr>
        <w:t>d by the Standing Order 48 and Regulation</w:t>
      </w:r>
      <w:r w:rsidR="005550B5" w:rsidRPr="00934092">
        <w:rPr>
          <w:color w:val="auto"/>
        </w:rPr>
        <w:t>s</w:t>
      </w:r>
      <w:r w:rsidR="000E1F41" w:rsidRPr="00934092">
        <w:rPr>
          <w:color w:val="auto"/>
        </w:rPr>
        <w:t xml:space="preserve"> 79</w:t>
      </w:r>
      <w:r w:rsidR="005550B5" w:rsidRPr="00934092">
        <w:rPr>
          <w:color w:val="auto"/>
        </w:rPr>
        <w:t xml:space="preserve"> and 80</w:t>
      </w:r>
      <w:r w:rsidR="000E1F41" w:rsidRPr="00934092">
        <w:rPr>
          <w:color w:val="auto"/>
        </w:rPr>
        <w:t xml:space="preserve"> </w:t>
      </w:r>
      <w:r w:rsidRPr="00934092">
        <w:rPr>
          <w:color w:val="auto"/>
        </w:rPr>
        <w:t>of the</w:t>
      </w:r>
      <w:r w:rsidR="005550B5" w:rsidRPr="00934092">
        <w:rPr>
          <w:color w:val="auto"/>
        </w:rPr>
        <w:t xml:space="preserve"> Firearms</w:t>
      </w:r>
      <w:r w:rsidRPr="00934092">
        <w:rPr>
          <w:color w:val="auto"/>
        </w:rPr>
        <w:t xml:space="preserve"> </w:t>
      </w:r>
      <w:r w:rsidR="00272CD8" w:rsidRPr="00934092">
        <w:rPr>
          <w:color w:val="auto"/>
        </w:rPr>
        <w:t xml:space="preserve">Control Regulations. The </w:t>
      </w:r>
    </w:p>
    <w:p w:rsidR="006D2123" w:rsidRPr="00934092" w:rsidRDefault="00272CD8" w:rsidP="0006153C">
      <w:pPr>
        <w:pStyle w:val="ListParagraph"/>
        <w:ind w:left="1020" w:firstLine="0"/>
        <w:rPr>
          <w:color w:val="auto"/>
        </w:rPr>
      </w:pPr>
      <w:r w:rsidRPr="00934092">
        <w:rPr>
          <w:color w:val="auto"/>
        </w:rPr>
        <w:t>plaintiff’s cas</w:t>
      </w:r>
      <w:r w:rsidR="005550B5" w:rsidRPr="00934092">
        <w:rPr>
          <w:color w:val="auto"/>
        </w:rPr>
        <w:t xml:space="preserve">e is that in granting Rammutla </w:t>
      </w:r>
      <w:r w:rsidRPr="00934092">
        <w:rPr>
          <w:color w:val="auto"/>
        </w:rPr>
        <w:t xml:space="preserve">access to the firearm in such circumstance </w:t>
      </w:r>
      <w:r w:rsidR="0090126E" w:rsidRPr="00934092">
        <w:rPr>
          <w:color w:val="auto"/>
        </w:rPr>
        <w:t>and</w:t>
      </w:r>
      <w:r w:rsidR="00282A11" w:rsidRPr="00934092">
        <w:rPr>
          <w:color w:val="auto"/>
        </w:rPr>
        <w:t xml:space="preserve"> particularly at a time</w:t>
      </w:r>
      <w:r w:rsidR="005550B5" w:rsidRPr="00934092">
        <w:rPr>
          <w:color w:val="auto"/>
        </w:rPr>
        <w:t xml:space="preserve"> when</w:t>
      </w:r>
      <w:r w:rsidR="00282A11" w:rsidRPr="00934092">
        <w:rPr>
          <w:color w:val="auto"/>
        </w:rPr>
        <w:t xml:space="preserve"> </w:t>
      </w:r>
      <w:r w:rsidRPr="00934092">
        <w:rPr>
          <w:color w:val="auto"/>
        </w:rPr>
        <w:t>he was</w:t>
      </w:r>
      <w:r w:rsidR="0090126E" w:rsidRPr="00934092">
        <w:rPr>
          <w:color w:val="auto"/>
        </w:rPr>
        <w:t xml:space="preserve"> off duty</w:t>
      </w:r>
      <w:r w:rsidRPr="00934092">
        <w:rPr>
          <w:color w:val="auto"/>
        </w:rPr>
        <w:t>, the defendant had</w:t>
      </w:r>
      <w:r w:rsidR="0090126E" w:rsidRPr="00934092">
        <w:rPr>
          <w:color w:val="auto"/>
        </w:rPr>
        <w:t xml:space="preserve"> created a risk</w:t>
      </w:r>
      <w:r w:rsidR="0006153C" w:rsidRPr="00934092">
        <w:rPr>
          <w:color w:val="auto"/>
        </w:rPr>
        <w:t xml:space="preserve"> which manifested itself</w:t>
      </w:r>
      <w:r w:rsidR="00282A11" w:rsidRPr="00934092">
        <w:rPr>
          <w:color w:val="auto"/>
        </w:rPr>
        <w:t xml:space="preserve"> </w:t>
      </w:r>
      <w:r w:rsidRPr="00934092">
        <w:rPr>
          <w:color w:val="auto"/>
        </w:rPr>
        <w:t>with the shooting and killing of the deceased;</w:t>
      </w:r>
      <w:r w:rsidR="0090126E" w:rsidRPr="00934092">
        <w:rPr>
          <w:color w:val="auto"/>
        </w:rPr>
        <w:t xml:space="preserve"> </w:t>
      </w:r>
    </w:p>
    <w:p w:rsidR="00282A11" w:rsidRPr="00934092" w:rsidRDefault="00282A11" w:rsidP="00282A11">
      <w:pPr>
        <w:pStyle w:val="ListParagraph"/>
        <w:ind w:left="1020" w:firstLine="0"/>
        <w:rPr>
          <w:color w:val="auto"/>
        </w:rPr>
      </w:pPr>
    </w:p>
    <w:p w:rsidR="00282A11" w:rsidRPr="00934092" w:rsidRDefault="00282A11" w:rsidP="00282A11">
      <w:pPr>
        <w:pStyle w:val="ListParagraph"/>
        <w:numPr>
          <w:ilvl w:val="1"/>
          <w:numId w:val="12"/>
        </w:numPr>
        <w:rPr>
          <w:color w:val="auto"/>
        </w:rPr>
      </w:pPr>
      <w:r w:rsidRPr="00934092">
        <w:rPr>
          <w:color w:val="auto"/>
          <w:sz w:val="22"/>
        </w:rPr>
        <w:t xml:space="preserve"> </w:t>
      </w:r>
      <w:r w:rsidR="00272CD8" w:rsidRPr="00934092">
        <w:rPr>
          <w:color w:val="auto"/>
          <w:sz w:val="22"/>
        </w:rPr>
        <w:t>By</w:t>
      </w:r>
      <w:r w:rsidR="00F45374" w:rsidRPr="00934092">
        <w:rPr>
          <w:color w:val="auto"/>
          <w:sz w:val="22"/>
        </w:rPr>
        <w:t xml:space="preserve"> </w:t>
      </w:r>
      <w:r w:rsidR="00272CD8" w:rsidRPr="00934092">
        <w:rPr>
          <w:color w:val="auto"/>
          <w:sz w:val="22"/>
        </w:rPr>
        <w:t>placing Rammutla in posse</w:t>
      </w:r>
      <w:r w:rsidR="00646E98" w:rsidRPr="00934092">
        <w:rPr>
          <w:color w:val="auto"/>
          <w:sz w:val="22"/>
        </w:rPr>
        <w:t>ssion of the firearm in the two</w:t>
      </w:r>
      <w:r w:rsidR="00272CD8" w:rsidRPr="00934092">
        <w:rPr>
          <w:color w:val="auto"/>
          <w:sz w:val="22"/>
        </w:rPr>
        <w:t xml:space="preserve"> circumstances </w:t>
      </w:r>
      <w:r w:rsidRPr="00934092">
        <w:rPr>
          <w:color w:val="auto"/>
          <w:sz w:val="22"/>
        </w:rPr>
        <w:t xml:space="preserve">  </w:t>
      </w:r>
    </w:p>
    <w:p w:rsidR="00282A11" w:rsidRPr="00934092" w:rsidRDefault="00282A11" w:rsidP="00282A11">
      <w:pPr>
        <w:pStyle w:val="ListParagraph"/>
        <w:ind w:left="1020" w:firstLine="0"/>
        <w:rPr>
          <w:color w:val="auto"/>
          <w:szCs w:val="24"/>
        </w:rPr>
      </w:pPr>
      <w:r w:rsidRPr="00934092">
        <w:rPr>
          <w:color w:val="auto"/>
          <w:sz w:val="22"/>
        </w:rPr>
        <w:t xml:space="preserve"> </w:t>
      </w:r>
      <w:r w:rsidR="00272CD8" w:rsidRPr="00934092">
        <w:rPr>
          <w:color w:val="auto"/>
          <w:sz w:val="22"/>
        </w:rPr>
        <w:t xml:space="preserve">described above, the defendant </w:t>
      </w:r>
      <w:r w:rsidRPr="00934092">
        <w:rPr>
          <w:color w:val="auto"/>
          <w:szCs w:val="24"/>
        </w:rPr>
        <w:t xml:space="preserve">had intended that </w:t>
      </w:r>
      <w:r w:rsidR="00272CD8" w:rsidRPr="00934092">
        <w:rPr>
          <w:color w:val="auto"/>
          <w:szCs w:val="24"/>
        </w:rPr>
        <w:t xml:space="preserve">Rammutla continued to </w:t>
      </w:r>
      <w:r w:rsidRPr="00934092">
        <w:rPr>
          <w:color w:val="auto"/>
          <w:szCs w:val="24"/>
        </w:rPr>
        <w:t xml:space="preserve">  </w:t>
      </w:r>
    </w:p>
    <w:p w:rsidR="00282A11" w:rsidRPr="00934092" w:rsidRDefault="00282A11" w:rsidP="00282A11">
      <w:pPr>
        <w:pStyle w:val="ListParagraph"/>
        <w:ind w:left="1020" w:firstLine="0"/>
        <w:rPr>
          <w:color w:val="auto"/>
          <w:szCs w:val="24"/>
        </w:rPr>
      </w:pPr>
      <w:r w:rsidRPr="00934092">
        <w:rPr>
          <w:color w:val="auto"/>
          <w:szCs w:val="24"/>
        </w:rPr>
        <w:t xml:space="preserve"> carry </w:t>
      </w:r>
      <w:r w:rsidR="00272CD8" w:rsidRPr="00934092">
        <w:rPr>
          <w:color w:val="auto"/>
          <w:szCs w:val="24"/>
        </w:rPr>
        <w:t>out his officia</w:t>
      </w:r>
      <w:r w:rsidRPr="00934092">
        <w:rPr>
          <w:color w:val="auto"/>
          <w:szCs w:val="24"/>
        </w:rPr>
        <w:t>l duti</w:t>
      </w:r>
      <w:r w:rsidR="0006153C" w:rsidRPr="00934092">
        <w:rPr>
          <w:color w:val="auto"/>
          <w:szCs w:val="24"/>
        </w:rPr>
        <w:t xml:space="preserve">es, despite him being off duty. </w:t>
      </w:r>
      <w:r w:rsidR="00272CD8" w:rsidRPr="00934092">
        <w:rPr>
          <w:color w:val="auto"/>
          <w:szCs w:val="24"/>
        </w:rPr>
        <w:t>Based on</w:t>
      </w:r>
      <w:r w:rsidR="00EE6D60" w:rsidRPr="00934092">
        <w:rPr>
          <w:color w:val="auto"/>
          <w:szCs w:val="24"/>
        </w:rPr>
        <w:t xml:space="preserve"> this</w:t>
      </w:r>
      <w:r w:rsidR="0090126E" w:rsidRPr="00934092">
        <w:rPr>
          <w:color w:val="auto"/>
          <w:szCs w:val="24"/>
        </w:rPr>
        <w:t xml:space="preserve"> </w:t>
      </w:r>
    </w:p>
    <w:p w:rsidR="00282A11" w:rsidRPr="00934092" w:rsidRDefault="00282A11" w:rsidP="00282A11">
      <w:pPr>
        <w:pStyle w:val="ListParagraph"/>
        <w:ind w:left="1020" w:firstLine="0"/>
        <w:rPr>
          <w:color w:val="auto"/>
          <w:szCs w:val="24"/>
        </w:rPr>
      </w:pPr>
      <w:r w:rsidRPr="00934092">
        <w:rPr>
          <w:color w:val="auto"/>
          <w:szCs w:val="24"/>
        </w:rPr>
        <w:t xml:space="preserve"> </w:t>
      </w:r>
      <w:r w:rsidR="0090126E" w:rsidRPr="00934092">
        <w:rPr>
          <w:color w:val="auto"/>
          <w:szCs w:val="24"/>
        </w:rPr>
        <w:t>c</w:t>
      </w:r>
      <w:r w:rsidR="00272CD8" w:rsidRPr="00934092">
        <w:rPr>
          <w:color w:val="auto"/>
          <w:szCs w:val="24"/>
        </w:rPr>
        <w:t>ontent</w:t>
      </w:r>
      <w:r w:rsidR="0006153C" w:rsidRPr="00934092">
        <w:rPr>
          <w:color w:val="auto"/>
          <w:szCs w:val="24"/>
        </w:rPr>
        <w:t>ion</w:t>
      </w:r>
      <w:r w:rsidR="00272CD8" w:rsidRPr="00934092">
        <w:rPr>
          <w:color w:val="auto"/>
          <w:szCs w:val="24"/>
        </w:rPr>
        <w:t xml:space="preserve"> </w:t>
      </w:r>
      <w:r w:rsidR="00EE6D60" w:rsidRPr="00934092">
        <w:rPr>
          <w:color w:val="auto"/>
          <w:szCs w:val="24"/>
        </w:rPr>
        <w:t xml:space="preserve">the plaintiff alleges that the conduct of Rammutla falls within the </w:t>
      </w:r>
    </w:p>
    <w:p w:rsidR="00137384" w:rsidRDefault="00282A11" w:rsidP="00282A11">
      <w:pPr>
        <w:pStyle w:val="ListParagraph"/>
        <w:ind w:left="1020" w:firstLine="0"/>
      </w:pPr>
      <w:r w:rsidRPr="00934092">
        <w:rPr>
          <w:color w:val="auto"/>
          <w:szCs w:val="24"/>
        </w:rPr>
        <w:t xml:space="preserve"> </w:t>
      </w:r>
      <w:r w:rsidR="00EE6D60" w:rsidRPr="00934092">
        <w:rPr>
          <w:color w:val="auto"/>
          <w:szCs w:val="24"/>
        </w:rPr>
        <w:t>definition of a</w:t>
      </w:r>
      <w:r w:rsidR="0090126E" w:rsidRPr="00934092">
        <w:rPr>
          <w:color w:val="auto"/>
          <w:szCs w:val="24"/>
        </w:rPr>
        <w:t xml:space="preserve"> deviation case</w:t>
      </w:r>
      <w:r w:rsidR="0090126E">
        <w:t xml:space="preserve">. </w:t>
      </w:r>
    </w:p>
    <w:p w:rsidR="00AB5824" w:rsidRDefault="004D169A" w:rsidP="00AB5824">
      <w:pPr>
        <w:ind w:left="1438" w:firstLine="0"/>
      </w:pPr>
      <w:r>
        <w:t xml:space="preserve"> </w:t>
      </w:r>
    </w:p>
    <w:p w:rsidR="006D2123" w:rsidRPr="00137384" w:rsidRDefault="0090126E" w:rsidP="00AA69B6">
      <w:pPr>
        <w:ind w:hanging="9"/>
        <w:rPr>
          <w:b/>
        </w:rPr>
      </w:pPr>
      <w:r w:rsidRPr="00137384">
        <w:rPr>
          <w:b/>
        </w:rPr>
        <w:t xml:space="preserve">THE DEFENCE </w:t>
      </w:r>
    </w:p>
    <w:p w:rsidR="006D2123" w:rsidRPr="00005F78" w:rsidRDefault="00365C1A" w:rsidP="00005F78">
      <w:pPr>
        <w:rPr>
          <w:szCs w:val="24"/>
        </w:rPr>
      </w:pPr>
      <w:r w:rsidRPr="00005F78">
        <w:rPr>
          <w:szCs w:val="24"/>
        </w:rPr>
        <w:lastRenderedPageBreak/>
        <w:t xml:space="preserve">[5] </w:t>
      </w:r>
      <w:r w:rsidR="00005F78" w:rsidRPr="00005F78">
        <w:rPr>
          <w:szCs w:val="24"/>
        </w:rPr>
        <w:t xml:space="preserve"> </w:t>
      </w:r>
      <w:r w:rsidR="00005F78">
        <w:rPr>
          <w:szCs w:val="24"/>
        </w:rPr>
        <w:t xml:space="preserve">   </w:t>
      </w:r>
      <w:r w:rsidRPr="00005F78">
        <w:rPr>
          <w:szCs w:val="24"/>
        </w:rPr>
        <w:t xml:space="preserve"> </w:t>
      </w:r>
      <w:r w:rsidR="00646E98" w:rsidRPr="00005F78">
        <w:rPr>
          <w:szCs w:val="24"/>
        </w:rPr>
        <w:t>The defendant admitted that Rammutla was o</w:t>
      </w:r>
      <w:r w:rsidRPr="00005F78">
        <w:rPr>
          <w:szCs w:val="24"/>
        </w:rPr>
        <w:t>fficially off duty when he shot</w:t>
      </w:r>
      <w:r w:rsidR="001D4F99" w:rsidRPr="00005F78">
        <w:rPr>
          <w:szCs w:val="24"/>
        </w:rPr>
        <w:t xml:space="preserve"> and</w:t>
      </w:r>
      <w:r w:rsidR="00005F78" w:rsidRPr="00005F78">
        <w:rPr>
          <w:szCs w:val="24"/>
        </w:rPr>
        <w:t xml:space="preserve"> </w:t>
      </w:r>
      <w:r w:rsidR="00646E98" w:rsidRPr="00005F78">
        <w:rPr>
          <w:szCs w:val="24"/>
        </w:rPr>
        <w:t>killed the deceased</w:t>
      </w:r>
      <w:r w:rsidR="001D4F99" w:rsidRPr="00005F78">
        <w:rPr>
          <w:szCs w:val="24"/>
        </w:rPr>
        <w:t xml:space="preserve"> using his official firearm</w:t>
      </w:r>
      <w:r w:rsidR="00646E98" w:rsidRPr="00005F78">
        <w:rPr>
          <w:szCs w:val="24"/>
        </w:rPr>
        <w:t>, but de</w:t>
      </w:r>
      <w:r w:rsidR="001D4F99" w:rsidRPr="00005F78">
        <w:rPr>
          <w:szCs w:val="24"/>
        </w:rPr>
        <w:t>nied that it had created a</w:t>
      </w:r>
      <w:r w:rsidR="002805A4">
        <w:rPr>
          <w:szCs w:val="24"/>
        </w:rPr>
        <w:t xml:space="preserve"> </w:t>
      </w:r>
      <w:r w:rsidR="001D4F99" w:rsidRPr="00005F78">
        <w:rPr>
          <w:szCs w:val="24"/>
        </w:rPr>
        <w:t>risk</w:t>
      </w:r>
      <w:r w:rsidR="00005F78" w:rsidRPr="00005F78">
        <w:rPr>
          <w:szCs w:val="24"/>
        </w:rPr>
        <w:t xml:space="preserve"> </w:t>
      </w:r>
      <w:r w:rsidR="00646E98" w:rsidRPr="00005F78">
        <w:rPr>
          <w:szCs w:val="24"/>
        </w:rPr>
        <w:t xml:space="preserve">or failed to </w:t>
      </w:r>
      <w:r w:rsidR="0090126E" w:rsidRPr="00005F78">
        <w:rPr>
          <w:szCs w:val="24"/>
        </w:rPr>
        <w:t>comply with the provisions of para 6 of Standing Order 48</w:t>
      </w:r>
      <w:r w:rsidR="00282BEC" w:rsidRPr="00005F78">
        <w:rPr>
          <w:szCs w:val="24"/>
        </w:rPr>
        <w:t xml:space="preserve"> and Regulation 79 of the of the Firearms Control Regulations</w:t>
      </w:r>
      <w:r w:rsidR="0090126E" w:rsidRPr="00005F78">
        <w:rPr>
          <w:szCs w:val="24"/>
        </w:rPr>
        <w:t xml:space="preserve">. </w:t>
      </w:r>
    </w:p>
    <w:p w:rsidR="00937782" w:rsidRPr="00937782" w:rsidRDefault="00005F78" w:rsidP="0006153C">
      <w:pPr>
        <w:rPr>
          <w:szCs w:val="24"/>
        </w:rPr>
      </w:pPr>
      <w:r w:rsidRPr="00937782">
        <w:rPr>
          <w:szCs w:val="24"/>
        </w:rPr>
        <w:t>[6]</w:t>
      </w:r>
      <w:r w:rsidR="00937782">
        <w:rPr>
          <w:szCs w:val="24"/>
        </w:rPr>
        <w:t xml:space="preserve">   </w:t>
      </w:r>
      <w:r w:rsidR="002805A4">
        <w:rPr>
          <w:szCs w:val="24"/>
        </w:rPr>
        <w:t xml:space="preserve"> </w:t>
      </w:r>
      <w:r w:rsidRPr="00937782">
        <w:rPr>
          <w:szCs w:val="24"/>
        </w:rPr>
        <w:t xml:space="preserve"> </w:t>
      </w:r>
      <w:r w:rsidR="00AA69B6">
        <w:rPr>
          <w:szCs w:val="24"/>
        </w:rPr>
        <w:tab/>
      </w:r>
      <w:r w:rsidR="00646E98" w:rsidRPr="00937782">
        <w:rPr>
          <w:szCs w:val="24"/>
        </w:rPr>
        <w:t>The defendant</w:t>
      </w:r>
      <w:r w:rsidR="00F45374" w:rsidRPr="00937782">
        <w:rPr>
          <w:szCs w:val="24"/>
        </w:rPr>
        <w:t xml:space="preserve"> admit</w:t>
      </w:r>
      <w:r w:rsidR="00646E98" w:rsidRPr="00937782">
        <w:rPr>
          <w:szCs w:val="24"/>
        </w:rPr>
        <w:t>ted that Rammutla had used his official</w:t>
      </w:r>
      <w:r w:rsidR="00F45374" w:rsidRPr="00937782">
        <w:rPr>
          <w:szCs w:val="24"/>
        </w:rPr>
        <w:t xml:space="preserve"> firearm to </w:t>
      </w:r>
      <w:r w:rsidRPr="00937782">
        <w:rPr>
          <w:szCs w:val="24"/>
        </w:rPr>
        <w:t>shoot</w:t>
      </w:r>
      <w:r w:rsidR="00F841BF" w:rsidRPr="00937782">
        <w:rPr>
          <w:szCs w:val="24"/>
        </w:rPr>
        <w:t xml:space="preserve"> </w:t>
      </w:r>
      <w:r w:rsidRPr="00937782">
        <w:rPr>
          <w:szCs w:val="24"/>
        </w:rPr>
        <w:t>and</w:t>
      </w:r>
      <w:r w:rsidR="002805A4">
        <w:rPr>
          <w:szCs w:val="24"/>
        </w:rPr>
        <w:t xml:space="preserve"> </w:t>
      </w:r>
      <w:r w:rsidR="00462F87" w:rsidRPr="00937782">
        <w:rPr>
          <w:szCs w:val="24"/>
        </w:rPr>
        <w:t xml:space="preserve">kill the deceased, but </w:t>
      </w:r>
      <w:r w:rsidR="00F841BF" w:rsidRPr="00937782">
        <w:rPr>
          <w:szCs w:val="24"/>
        </w:rPr>
        <w:t>denied that</w:t>
      </w:r>
      <w:r w:rsidR="00647963" w:rsidRPr="00937782">
        <w:rPr>
          <w:szCs w:val="24"/>
        </w:rPr>
        <w:t xml:space="preserve"> Rammutla had not been competent to be</w:t>
      </w:r>
      <w:r w:rsidR="00937782" w:rsidRPr="00937782">
        <w:rPr>
          <w:szCs w:val="24"/>
        </w:rPr>
        <w:t xml:space="preserve"> in </w:t>
      </w:r>
      <w:r w:rsidR="00647963" w:rsidRPr="00937782">
        <w:rPr>
          <w:szCs w:val="24"/>
        </w:rPr>
        <w:t>possession of</w:t>
      </w:r>
      <w:r w:rsidR="00F841BF" w:rsidRPr="00937782">
        <w:rPr>
          <w:szCs w:val="24"/>
        </w:rPr>
        <w:t xml:space="preserve"> the firearm </w:t>
      </w:r>
      <w:r w:rsidR="00647963" w:rsidRPr="00937782">
        <w:rPr>
          <w:szCs w:val="24"/>
        </w:rPr>
        <w:t>as he had not attended the</w:t>
      </w:r>
      <w:r w:rsidR="0006153C">
        <w:rPr>
          <w:szCs w:val="24"/>
        </w:rPr>
        <w:t xml:space="preserve"> compuls</w:t>
      </w:r>
      <w:r w:rsidR="00A870D9">
        <w:rPr>
          <w:szCs w:val="24"/>
        </w:rPr>
        <w:t>ory shooting practice between 15</w:t>
      </w:r>
      <w:r w:rsidR="0006153C">
        <w:rPr>
          <w:szCs w:val="24"/>
        </w:rPr>
        <w:t xml:space="preserve"> O</w:t>
      </w:r>
      <w:r w:rsidR="00A870D9">
        <w:rPr>
          <w:szCs w:val="24"/>
        </w:rPr>
        <w:t>ctober 2016 and 15</w:t>
      </w:r>
      <w:r w:rsidR="0006153C">
        <w:rPr>
          <w:szCs w:val="24"/>
        </w:rPr>
        <w:t xml:space="preserve"> October</w:t>
      </w:r>
      <w:r w:rsidR="00647963" w:rsidRPr="00937782">
        <w:rPr>
          <w:szCs w:val="24"/>
        </w:rPr>
        <w:t xml:space="preserve"> 2017 and the defendant further denied that, by permitting Rammutla to be in p</w:t>
      </w:r>
      <w:r w:rsidR="0006153C">
        <w:rPr>
          <w:szCs w:val="24"/>
        </w:rPr>
        <w:t>ossession of the</w:t>
      </w:r>
      <w:r w:rsidR="00AA69B6">
        <w:rPr>
          <w:szCs w:val="24"/>
        </w:rPr>
        <w:t xml:space="preserve"> firearm </w:t>
      </w:r>
      <w:r w:rsidR="0006153C">
        <w:rPr>
          <w:szCs w:val="24"/>
        </w:rPr>
        <w:t>the defendant was negligent</w:t>
      </w:r>
      <w:r w:rsidR="002805A4">
        <w:rPr>
          <w:szCs w:val="24"/>
        </w:rPr>
        <w:t xml:space="preserve"> and had created a risk.</w:t>
      </w:r>
    </w:p>
    <w:p w:rsidR="006D2123" w:rsidRPr="00005F78" w:rsidRDefault="00937782" w:rsidP="002805A4">
      <w:pPr>
        <w:rPr>
          <w:szCs w:val="24"/>
        </w:rPr>
      </w:pPr>
      <w:r>
        <w:rPr>
          <w:szCs w:val="24"/>
        </w:rPr>
        <w:t xml:space="preserve">[7]   </w:t>
      </w:r>
      <w:r w:rsidR="00917713">
        <w:rPr>
          <w:szCs w:val="24"/>
        </w:rPr>
        <w:t xml:space="preserve"> </w:t>
      </w:r>
      <w:r w:rsidR="00F841BF" w:rsidRPr="00005F78">
        <w:rPr>
          <w:szCs w:val="24"/>
        </w:rPr>
        <w:t xml:space="preserve"> </w:t>
      </w:r>
      <w:r w:rsidR="00AA69B6">
        <w:rPr>
          <w:szCs w:val="24"/>
        </w:rPr>
        <w:tab/>
      </w:r>
      <w:r w:rsidR="00F841BF" w:rsidRPr="00005F78">
        <w:rPr>
          <w:szCs w:val="24"/>
        </w:rPr>
        <w:t xml:space="preserve">The </w:t>
      </w:r>
      <w:r w:rsidR="0090126E" w:rsidRPr="00005F78">
        <w:rPr>
          <w:szCs w:val="24"/>
        </w:rPr>
        <w:t>defendant</w:t>
      </w:r>
      <w:r>
        <w:rPr>
          <w:szCs w:val="24"/>
        </w:rPr>
        <w:t xml:space="preserve"> further denied</w:t>
      </w:r>
      <w:r w:rsidR="00F841BF" w:rsidRPr="00005F78">
        <w:rPr>
          <w:szCs w:val="24"/>
        </w:rPr>
        <w:t xml:space="preserve"> that it </w:t>
      </w:r>
      <w:r w:rsidR="00F45374" w:rsidRPr="00005F78">
        <w:rPr>
          <w:szCs w:val="24"/>
        </w:rPr>
        <w:t>is</w:t>
      </w:r>
      <w:r w:rsidR="00F841BF" w:rsidRPr="00005F78">
        <w:rPr>
          <w:szCs w:val="24"/>
        </w:rPr>
        <w:t xml:space="preserve"> liable for the conduct of Rammutla on the particular facts </w:t>
      </w:r>
      <w:r>
        <w:rPr>
          <w:szCs w:val="24"/>
        </w:rPr>
        <w:t>and</w:t>
      </w:r>
      <w:r w:rsidR="0090126E" w:rsidRPr="00005F78">
        <w:rPr>
          <w:szCs w:val="24"/>
        </w:rPr>
        <w:t xml:space="preserve"> circumstances of this case. </w:t>
      </w:r>
    </w:p>
    <w:p w:rsidR="006D2123" w:rsidRDefault="00937782" w:rsidP="00937782">
      <w:r>
        <w:t xml:space="preserve">[8]    </w:t>
      </w:r>
      <w:r w:rsidR="00AA69B6">
        <w:tab/>
      </w:r>
      <w:r w:rsidR="00462F87">
        <w:t>The defendant alleged that Rammutla was competent to</w:t>
      </w:r>
      <w:r>
        <w:t xml:space="preserve"> be issued with and be</w:t>
      </w:r>
      <w:r w:rsidR="003B6CD4">
        <w:t xml:space="preserve">        </w:t>
      </w:r>
      <w:r w:rsidR="00462F87">
        <w:t xml:space="preserve">in possession of </w:t>
      </w:r>
      <w:r w:rsidR="0090126E">
        <w:t>the</w:t>
      </w:r>
      <w:r w:rsidR="00462F87">
        <w:t xml:space="preserve"> firearm for use whilst </w:t>
      </w:r>
      <w:r w:rsidR="0090126E">
        <w:t>per</w:t>
      </w:r>
      <w:r w:rsidR="00462F87">
        <w:t>forming his official duties and</w:t>
      </w:r>
      <w:r w:rsidR="0090126E">
        <w:t xml:space="preserve"> not</w:t>
      </w:r>
      <w:r w:rsidR="003B6CD4">
        <w:t xml:space="preserve">        </w:t>
      </w:r>
      <w:r w:rsidR="0090126E">
        <w:t xml:space="preserve">for his personal and private use. </w:t>
      </w:r>
    </w:p>
    <w:p w:rsidR="00DA3A72" w:rsidRDefault="00937782" w:rsidP="00DA3A72">
      <w:r>
        <w:t>[9]</w:t>
      </w:r>
      <w:r w:rsidR="00917713">
        <w:t xml:space="preserve">  </w:t>
      </w:r>
      <w:r>
        <w:t xml:space="preserve"> </w:t>
      </w:r>
      <w:r w:rsidR="00AA69B6">
        <w:tab/>
      </w:r>
      <w:r w:rsidR="00462F87">
        <w:t>The defendant</w:t>
      </w:r>
      <w:r>
        <w:t xml:space="preserve"> further alleged</w:t>
      </w:r>
      <w:r w:rsidR="00462F87">
        <w:t xml:space="preserve"> that Rammutla had not been declared unfit</w:t>
      </w:r>
      <w:r>
        <w:t xml:space="preserve"> and</w:t>
      </w:r>
      <w:r w:rsidR="00AA69B6">
        <w:t xml:space="preserve">, </w:t>
      </w:r>
      <w:r w:rsidR="0090126E">
        <w:t>t</w:t>
      </w:r>
      <w:r>
        <w:t>herefore, incompetent to be</w:t>
      </w:r>
      <w:r w:rsidR="00462F87">
        <w:t xml:space="preserve"> in possession of the</w:t>
      </w:r>
      <w:r w:rsidR="00F841BF">
        <w:t xml:space="preserve"> firearm and that, as</w:t>
      </w:r>
      <w:r w:rsidR="00462F87">
        <w:t xml:space="preserve"> a  </w:t>
      </w:r>
      <w:r w:rsidR="00917713">
        <w:t xml:space="preserve">      </w:t>
      </w:r>
      <w:r w:rsidR="003B6CD4">
        <w:t xml:space="preserve">  </w:t>
      </w:r>
      <w:r w:rsidR="00462F87">
        <w:t>Detective in</w:t>
      </w:r>
      <w:r w:rsidR="0090126E">
        <w:t xml:space="preserve"> the SAPS, Rammutla was issued with the official firearm. </w:t>
      </w:r>
    </w:p>
    <w:p w:rsidR="006D2123" w:rsidRDefault="00937782" w:rsidP="00DA3A72">
      <w:r>
        <w:t xml:space="preserve">[10]    </w:t>
      </w:r>
      <w:r w:rsidR="00462F87">
        <w:t>The defendant denied that Rammutla was acting</w:t>
      </w:r>
      <w:r w:rsidR="0090126E">
        <w:t xml:space="preserve"> w</w:t>
      </w:r>
      <w:r w:rsidR="00462F87">
        <w:t>ithin the course and scope</w:t>
      </w:r>
      <w:r w:rsidR="003B6CD4">
        <w:t xml:space="preserve">           </w:t>
      </w:r>
      <w:r w:rsidR="0090126E">
        <w:t xml:space="preserve">of his employment when he shot and killed the deceased. </w:t>
      </w:r>
    </w:p>
    <w:p w:rsidR="006D2123" w:rsidRDefault="00DA3A72" w:rsidP="00937782">
      <w:r>
        <w:t xml:space="preserve">[11]  </w:t>
      </w:r>
      <w:r w:rsidR="003B6CD4">
        <w:t xml:space="preserve"> </w:t>
      </w:r>
      <w:r w:rsidR="00462F87">
        <w:t>The defendant alleged</w:t>
      </w:r>
      <w:r w:rsidR="0090126E">
        <w:t xml:space="preserve"> tha</w:t>
      </w:r>
      <w:r w:rsidR="00462F87">
        <w:t>t</w:t>
      </w:r>
      <w:r w:rsidR="0090126E">
        <w:t xml:space="preserve"> there </w:t>
      </w:r>
      <w:r w:rsidR="00462F87">
        <w:t>is insufficient</w:t>
      </w:r>
      <w:r w:rsidR="0090126E">
        <w:t xml:space="preserve"> link </w:t>
      </w:r>
      <w:r>
        <w:t xml:space="preserve">between the conduct of         </w:t>
      </w:r>
      <w:r w:rsidR="003B6CD4">
        <w:t xml:space="preserve"> </w:t>
      </w:r>
      <w:r>
        <w:t xml:space="preserve"> </w:t>
      </w:r>
      <w:r w:rsidR="00462F87">
        <w:t>Rammutla in his commission of the murder</w:t>
      </w:r>
      <w:r w:rsidR="0090126E">
        <w:t xml:space="preserve"> and </w:t>
      </w:r>
      <w:r w:rsidR="00462F87">
        <w:t>his official function as a</w:t>
      </w:r>
      <w:r w:rsidR="00AA69B6">
        <w:t xml:space="preserve"> police</w:t>
      </w:r>
      <w:r>
        <w:t xml:space="preserve">       </w:t>
      </w:r>
      <w:r w:rsidR="003B6CD4">
        <w:t xml:space="preserve"> </w:t>
      </w:r>
      <w:r>
        <w:t xml:space="preserve">  </w:t>
      </w:r>
      <w:r w:rsidR="0090126E">
        <w:t xml:space="preserve">officer. </w:t>
      </w:r>
    </w:p>
    <w:p w:rsidR="006D2123" w:rsidRPr="00FB794E" w:rsidRDefault="006618FC" w:rsidP="00AA69B6">
      <w:pPr>
        <w:ind w:left="720" w:hanging="720"/>
        <w:rPr>
          <w:szCs w:val="24"/>
        </w:rPr>
      </w:pPr>
      <w:r>
        <w:rPr>
          <w:szCs w:val="24"/>
        </w:rPr>
        <w:t>[12</w:t>
      </w:r>
      <w:r w:rsidR="00FB794E">
        <w:rPr>
          <w:szCs w:val="24"/>
        </w:rPr>
        <w:t xml:space="preserve">] </w:t>
      </w:r>
      <w:r w:rsidR="00DA3A72">
        <w:rPr>
          <w:szCs w:val="24"/>
        </w:rPr>
        <w:t xml:space="preserve">  </w:t>
      </w:r>
      <w:r w:rsidR="00AA69B6">
        <w:rPr>
          <w:szCs w:val="24"/>
        </w:rPr>
        <w:tab/>
      </w:r>
      <w:r w:rsidR="00653C18" w:rsidRPr="003B481F">
        <w:rPr>
          <w:szCs w:val="24"/>
        </w:rPr>
        <w:t>The defendant</w:t>
      </w:r>
      <w:r w:rsidR="0090126E" w:rsidRPr="003B481F">
        <w:rPr>
          <w:szCs w:val="24"/>
        </w:rPr>
        <w:t xml:space="preserve"> furthe</w:t>
      </w:r>
      <w:r w:rsidR="00653C18" w:rsidRPr="003B481F">
        <w:rPr>
          <w:szCs w:val="24"/>
        </w:rPr>
        <w:t xml:space="preserve">r alleged that there </w:t>
      </w:r>
      <w:r>
        <w:rPr>
          <w:szCs w:val="24"/>
        </w:rPr>
        <w:t>was an intimate</w:t>
      </w:r>
      <w:r w:rsidR="0090126E" w:rsidRPr="003B481F">
        <w:rPr>
          <w:szCs w:val="24"/>
        </w:rPr>
        <w:t xml:space="preserve"> relati</w:t>
      </w:r>
      <w:r>
        <w:rPr>
          <w:szCs w:val="24"/>
        </w:rPr>
        <w:t xml:space="preserve">onship </w:t>
      </w:r>
      <w:r w:rsidR="00653C18" w:rsidRPr="003B481F">
        <w:rPr>
          <w:szCs w:val="24"/>
        </w:rPr>
        <w:t>between</w:t>
      </w:r>
      <w:r w:rsidR="00FB794E">
        <w:rPr>
          <w:szCs w:val="24"/>
        </w:rPr>
        <w:t xml:space="preserve">         </w:t>
      </w:r>
      <w:r w:rsidR="00653C18" w:rsidRPr="003B481F">
        <w:rPr>
          <w:szCs w:val="24"/>
        </w:rPr>
        <w:t xml:space="preserve">Rammutla and the deceased and that the incident occurred in the house in </w:t>
      </w:r>
      <w:r w:rsidR="002805A4">
        <w:rPr>
          <w:szCs w:val="24"/>
        </w:rPr>
        <w:t>t</w:t>
      </w:r>
      <w:r w:rsidR="00653C18" w:rsidRPr="003B481F">
        <w:rPr>
          <w:szCs w:val="24"/>
        </w:rPr>
        <w:t>hey</w:t>
      </w:r>
      <w:r w:rsidR="002805A4">
        <w:rPr>
          <w:szCs w:val="24"/>
        </w:rPr>
        <w:t xml:space="preserve"> both</w:t>
      </w:r>
      <w:r w:rsidR="00653C18" w:rsidRPr="003B481F">
        <w:rPr>
          <w:szCs w:val="24"/>
        </w:rPr>
        <w:t xml:space="preserve"> resided in,</w:t>
      </w:r>
      <w:r w:rsidR="0090126E" w:rsidRPr="003B481F">
        <w:rPr>
          <w:szCs w:val="24"/>
        </w:rPr>
        <w:t xml:space="preserve"> which rendered the commission </w:t>
      </w:r>
      <w:r>
        <w:rPr>
          <w:szCs w:val="24"/>
        </w:rPr>
        <w:t>of the offence</w:t>
      </w:r>
      <w:r w:rsidR="00FB794E">
        <w:rPr>
          <w:szCs w:val="24"/>
        </w:rPr>
        <w:t xml:space="preserve"> distant from </w:t>
      </w:r>
      <w:r w:rsidR="003B481F" w:rsidRPr="00FB794E">
        <w:rPr>
          <w:szCs w:val="24"/>
        </w:rPr>
        <w:t>Rammutla’s</w:t>
      </w:r>
      <w:r w:rsidR="0090126E" w:rsidRPr="00FB794E">
        <w:rPr>
          <w:szCs w:val="24"/>
        </w:rPr>
        <w:t xml:space="preserve"> </w:t>
      </w:r>
      <w:r w:rsidR="003B481F" w:rsidRPr="00FB794E">
        <w:rPr>
          <w:szCs w:val="24"/>
        </w:rPr>
        <w:t xml:space="preserve">execution of official </w:t>
      </w:r>
      <w:r w:rsidR="00653C18" w:rsidRPr="00FB794E">
        <w:rPr>
          <w:szCs w:val="24"/>
        </w:rPr>
        <w:t>duties</w:t>
      </w:r>
      <w:r w:rsidR="003B481F" w:rsidRPr="00FB794E">
        <w:rPr>
          <w:szCs w:val="24"/>
        </w:rPr>
        <w:t xml:space="preserve">. There was, </w:t>
      </w:r>
      <w:r>
        <w:rPr>
          <w:szCs w:val="24"/>
        </w:rPr>
        <w:t>therefore, insufficient</w:t>
      </w:r>
      <w:r w:rsidR="00653C18" w:rsidRPr="00FB794E">
        <w:rPr>
          <w:szCs w:val="24"/>
        </w:rPr>
        <w:t xml:space="preserve"> connection</w:t>
      </w:r>
      <w:r w:rsidR="003B481F" w:rsidRPr="00FB794E">
        <w:rPr>
          <w:szCs w:val="24"/>
        </w:rPr>
        <w:t xml:space="preserve"> between </w:t>
      </w:r>
      <w:r w:rsidR="00653C18" w:rsidRPr="00FB794E">
        <w:rPr>
          <w:szCs w:val="24"/>
        </w:rPr>
        <w:t>Rammutla’s commission of the offence in his residence and his</w:t>
      </w:r>
      <w:r w:rsidR="002805A4">
        <w:rPr>
          <w:szCs w:val="24"/>
        </w:rPr>
        <w:t xml:space="preserve"> mere</w:t>
      </w:r>
      <w:r w:rsidR="00653C18" w:rsidRPr="00FB794E">
        <w:rPr>
          <w:szCs w:val="24"/>
        </w:rPr>
        <w:t xml:space="preserve"> employment</w:t>
      </w:r>
      <w:r w:rsidR="002805A4">
        <w:rPr>
          <w:szCs w:val="24"/>
        </w:rPr>
        <w:t xml:space="preserve"> did not render the defendant liable</w:t>
      </w:r>
      <w:r w:rsidR="0090126E" w:rsidRPr="00FB794E">
        <w:rPr>
          <w:szCs w:val="24"/>
        </w:rPr>
        <w:t xml:space="preserve">. </w:t>
      </w:r>
    </w:p>
    <w:p w:rsidR="00137384" w:rsidRDefault="00DA3A72" w:rsidP="00AA69B6">
      <w:pPr>
        <w:spacing w:after="270" w:line="265" w:lineRule="auto"/>
        <w:ind w:hanging="9"/>
        <w:jc w:val="left"/>
        <w:rPr>
          <w:b/>
        </w:rPr>
      </w:pPr>
      <w:r>
        <w:rPr>
          <w:b/>
        </w:rPr>
        <w:t>THE LAW</w:t>
      </w:r>
    </w:p>
    <w:p w:rsidR="00FB794E" w:rsidRDefault="0090126E" w:rsidP="00FB794E">
      <w:pPr>
        <w:spacing w:after="270" w:line="265" w:lineRule="auto"/>
        <w:ind w:left="0" w:firstLine="0"/>
        <w:jc w:val="left"/>
        <w:rPr>
          <w:b/>
        </w:rPr>
      </w:pPr>
      <w:r>
        <w:lastRenderedPageBreak/>
        <w:t xml:space="preserve"> </w:t>
      </w:r>
      <w:r w:rsidR="00AA69B6">
        <w:tab/>
      </w:r>
      <w:r w:rsidRPr="00137384">
        <w:rPr>
          <w:b/>
        </w:rPr>
        <w:t xml:space="preserve">VICARIOUS LIABILITY </w:t>
      </w:r>
    </w:p>
    <w:p w:rsidR="006D2123" w:rsidRPr="00FB794E" w:rsidRDefault="00DA3A72" w:rsidP="00DB24ED">
      <w:pPr>
        <w:spacing w:after="270" w:line="360" w:lineRule="auto"/>
        <w:ind w:left="731" w:hanging="731"/>
      </w:pPr>
      <w:r>
        <w:t>[13</w:t>
      </w:r>
      <w:r w:rsidR="00FB794E" w:rsidRPr="00FB794E">
        <w:t>]</w:t>
      </w:r>
      <w:r w:rsidR="00FB794E">
        <w:rPr>
          <w:b/>
        </w:rPr>
        <w:t xml:space="preserve"> </w:t>
      </w:r>
      <w:r>
        <w:t xml:space="preserve">  </w:t>
      </w:r>
      <w:r w:rsidR="00DB24ED">
        <w:tab/>
      </w:r>
      <w:r>
        <w:t>V</w:t>
      </w:r>
      <w:r w:rsidR="00FB794E">
        <w:t xml:space="preserve">icarious </w:t>
      </w:r>
      <w:r>
        <w:t xml:space="preserve">liability is </w:t>
      </w:r>
      <w:r w:rsidR="00FB794E">
        <w:t xml:space="preserve">a common law principle in terms of </w:t>
      </w:r>
      <w:r w:rsidR="0090126E">
        <w:t>which</w:t>
      </w:r>
      <w:r w:rsidR="00FB794E">
        <w:t xml:space="preserve"> an employer may</w:t>
      </w:r>
      <w:r>
        <w:t xml:space="preserve">         </w:t>
      </w:r>
      <w:r w:rsidR="00FB794E">
        <w:t xml:space="preserve">be held liable for the wrongful conduct of </w:t>
      </w:r>
      <w:r w:rsidR="0090126E">
        <w:t xml:space="preserve">his </w:t>
      </w:r>
      <w:r w:rsidR="00FB794E">
        <w:t xml:space="preserve">employee committed </w:t>
      </w:r>
      <w:r>
        <w:t>during</w:t>
      </w:r>
      <w:r w:rsidR="0090126E">
        <w:t xml:space="preserve"> the</w:t>
      </w:r>
      <w:r w:rsidR="00FB794E">
        <w:t xml:space="preserve"> </w:t>
      </w:r>
      <w:r>
        <w:t xml:space="preserve">         </w:t>
      </w:r>
      <w:r w:rsidR="00FB794E">
        <w:t>latter’s</w:t>
      </w:r>
      <w:r w:rsidR="0090126E">
        <w:t xml:space="preserve"> </w:t>
      </w:r>
      <w:r w:rsidR="00FB794E">
        <w:t>execution of his</w:t>
      </w:r>
      <w:r w:rsidR="0090126E">
        <w:t xml:space="preserve"> duties. </w:t>
      </w:r>
    </w:p>
    <w:p w:rsidR="006D2123" w:rsidRDefault="0090126E" w:rsidP="00593F89">
      <w:pPr>
        <w:pStyle w:val="Heading1"/>
        <w:ind w:firstLine="710"/>
      </w:pPr>
      <w:r>
        <w:t xml:space="preserve">LEGAL PRINCIPLES </w:t>
      </w:r>
    </w:p>
    <w:p w:rsidR="006D2123" w:rsidRDefault="00DA3A72" w:rsidP="00567000">
      <w:r>
        <w:t>[14</w:t>
      </w:r>
      <w:r w:rsidR="00FB794E">
        <w:t>]</w:t>
      </w:r>
      <w:r w:rsidR="00917713">
        <w:t xml:space="preserve"> </w:t>
      </w:r>
      <w:r w:rsidR="00593F89">
        <w:tab/>
      </w:r>
      <w:r w:rsidR="00FB794E">
        <w:t>The circumstances under which an</w:t>
      </w:r>
      <w:r w:rsidR="00567000">
        <w:t xml:space="preserve"> employer may be held </w:t>
      </w:r>
      <w:r w:rsidR="0090126E">
        <w:t xml:space="preserve">liable </w:t>
      </w:r>
      <w:r w:rsidR="00567000">
        <w:t>for the</w:t>
      </w:r>
      <w:r w:rsidR="00FB794E">
        <w:t xml:space="preserve"> </w:t>
      </w:r>
      <w:r w:rsidR="0090126E">
        <w:t>wrongful</w:t>
      </w:r>
      <w:r w:rsidR="00A649E8">
        <w:t xml:space="preserve">     </w:t>
      </w:r>
      <w:r w:rsidR="00567000">
        <w:t xml:space="preserve"> </w:t>
      </w:r>
      <w:r w:rsidR="00917713">
        <w:t xml:space="preserve"> </w:t>
      </w:r>
      <w:r w:rsidR="00567000">
        <w:t xml:space="preserve"> </w:t>
      </w:r>
      <w:r>
        <w:t>conduct of his</w:t>
      </w:r>
      <w:r w:rsidR="00567000">
        <w:t xml:space="preserve"> employee in terms</w:t>
      </w:r>
      <w:r w:rsidR="0090126E">
        <w:t xml:space="preserve"> of </w:t>
      </w:r>
      <w:r w:rsidR="00567000">
        <w:t xml:space="preserve">the common lawn principle of </w:t>
      </w:r>
      <w:r w:rsidR="0090126E">
        <w:t xml:space="preserve">vicarious  </w:t>
      </w:r>
      <w:r w:rsidR="00A649E8">
        <w:t xml:space="preserve">     </w:t>
      </w:r>
      <w:r w:rsidR="00567000">
        <w:t xml:space="preserve">  liability were defined in</w:t>
      </w:r>
      <w:r w:rsidR="00567000">
        <w:rPr>
          <w:i/>
        </w:rPr>
        <w:t xml:space="preserve"> Mkize v Martens </w:t>
      </w:r>
      <w:r w:rsidR="00567000">
        <w:t>1914 AD 382</w:t>
      </w:r>
      <w:r w:rsidR="0090126E">
        <w:t xml:space="preserve"> para 31</w:t>
      </w:r>
      <w:r w:rsidR="00567000">
        <w:t>9,</w:t>
      </w:r>
      <w:r>
        <w:t xml:space="preserve"> in</w:t>
      </w:r>
      <w:r w:rsidR="0090126E">
        <w:t xml:space="preserve"> the following </w:t>
      </w:r>
      <w:r w:rsidR="00A649E8">
        <w:t xml:space="preserve">      </w:t>
      </w:r>
      <w:r w:rsidR="00567000">
        <w:t xml:space="preserve"> </w:t>
      </w:r>
      <w:r w:rsidR="0090126E">
        <w:t xml:space="preserve">words: </w:t>
      </w:r>
    </w:p>
    <w:p w:rsidR="00CC635A" w:rsidRDefault="00DA3A72" w:rsidP="00593F89">
      <w:pPr>
        <w:spacing w:after="160" w:line="360" w:lineRule="auto"/>
        <w:ind w:left="1434" w:right="-11" w:hanging="10"/>
        <w:jc w:val="left"/>
        <w:rPr>
          <w:i/>
          <w:szCs w:val="24"/>
        </w:rPr>
      </w:pPr>
      <w:r>
        <w:rPr>
          <w:i/>
          <w:szCs w:val="24"/>
        </w:rPr>
        <w:t xml:space="preserve"> “…</w:t>
      </w:r>
      <w:r w:rsidR="00567000">
        <w:rPr>
          <w:i/>
          <w:szCs w:val="24"/>
        </w:rPr>
        <w:t>a master is answerable for the torts of his servant</w:t>
      </w:r>
      <w:r w:rsidR="0090126E" w:rsidRPr="002A2AE5">
        <w:rPr>
          <w:i/>
          <w:szCs w:val="24"/>
        </w:rPr>
        <w:t xml:space="preserve"> committed</w:t>
      </w:r>
      <w:r w:rsidR="00567000">
        <w:rPr>
          <w:i/>
          <w:szCs w:val="24"/>
        </w:rPr>
        <w:t xml:space="preserve"> in</w:t>
      </w:r>
      <w:r w:rsidR="0090126E" w:rsidRPr="002A2AE5">
        <w:rPr>
          <w:i/>
          <w:szCs w:val="24"/>
        </w:rPr>
        <w:t xml:space="preserve"> </w:t>
      </w:r>
      <w:r w:rsidR="00567000">
        <w:rPr>
          <w:i/>
          <w:szCs w:val="24"/>
        </w:rPr>
        <w:t xml:space="preserve">the course of his employment, bearing in mind that an </w:t>
      </w:r>
      <w:r w:rsidR="0090126E" w:rsidRPr="002A2AE5">
        <w:rPr>
          <w:i/>
          <w:szCs w:val="24"/>
        </w:rPr>
        <w:t>act</w:t>
      </w:r>
      <w:r w:rsidR="00567000">
        <w:rPr>
          <w:i/>
          <w:szCs w:val="24"/>
        </w:rPr>
        <w:t xml:space="preserve"> done by a</w:t>
      </w:r>
      <w:r w:rsidR="0090126E" w:rsidRPr="002A2AE5">
        <w:rPr>
          <w:i/>
          <w:szCs w:val="24"/>
        </w:rPr>
        <w:t xml:space="preserve"> </w:t>
      </w:r>
      <w:r w:rsidR="002A2AE5">
        <w:rPr>
          <w:i/>
          <w:szCs w:val="24"/>
        </w:rPr>
        <w:t xml:space="preserve">                     </w:t>
      </w:r>
      <w:r w:rsidR="00567000">
        <w:rPr>
          <w:i/>
          <w:szCs w:val="24"/>
        </w:rPr>
        <w:t xml:space="preserve"> servant solely for his own</w:t>
      </w:r>
      <w:r w:rsidR="0090126E" w:rsidRPr="002A2AE5">
        <w:rPr>
          <w:i/>
          <w:szCs w:val="24"/>
        </w:rPr>
        <w:t xml:space="preserve"> int</w:t>
      </w:r>
      <w:r w:rsidR="00567000">
        <w:rPr>
          <w:i/>
          <w:szCs w:val="24"/>
        </w:rPr>
        <w:t xml:space="preserve">erests and purpose, </w:t>
      </w:r>
      <w:r w:rsidR="0090126E" w:rsidRPr="002A2AE5">
        <w:rPr>
          <w:i/>
          <w:szCs w:val="24"/>
        </w:rPr>
        <w:t>and</w:t>
      </w:r>
      <w:r w:rsidR="00567000">
        <w:rPr>
          <w:i/>
          <w:szCs w:val="24"/>
        </w:rPr>
        <w:t xml:space="preserve"> outside </w:t>
      </w:r>
      <w:r w:rsidR="0090126E" w:rsidRPr="002A2AE5">
        <w:rPr>
          <w:i/>
          <w:szCs w:val="24"/>
        </w:rPr>
        <w:t>his</w:t>
      </w:r>
      <w:r>
        <w:rPr>
          <w:i/>
          <w:szCs w:val="24"/>
        </w:rPr>
        <w:t xml:space="preserve">                     </w:t>
      </w:r>
      <w:r w:rsidR="00567000">
        <w:rPr>
          <w:i/>
          <w:szCs w:val="24"/>
        </w:rPr>
        <w:t xml:space="preserve">  authority, is not in the course of his</w:t>
      </w:r>
      <w:r w:rsidR="0090126E" w:rsidRPr="002A2AE5">
        <w:rPr>
          <w:i/>
          <w:szCs w:val="24"/>
        </w:rPr>
        <w:t xml:space="preserve"> e</w:t>
      </w:r>
      <w:r w:rsidR="00567000">
        <w:rPr>
          <w:i/>
        </w:rPr>
        <w:t xml:space="preserve">mployment, </w:t>
      </w:r>
      <w:r w:rsidR="0090126E">
        <w:rPr>
          <w:i/>
        </w:rPr>
        <w:t>even</w:t>
      </w:r>
      <w:r w:rsidR="002A2AE5">
        <w:rPr>
          <w:i/>
        </w:rPr>
        <w:t xml:space="preserve"> </w:t>
      </w:r>
      <w:r w:rsidR="00567000">
        <w:rPr>
          <w:i/>
        </w:rPr>
        <w:t xml:space="preserve">though it </w:t>
      </w:r>
      <w:r w:rsidR="0090126E">
        <w:rPr>
          <w:i/>
        </w:rPr>
        <w:t xml:space="preserve">may </w:t>
      </w:r>
      <w:r>
        <w:rPr>
          <w:i/>
        </w:rPr>
        <w:t xml:space="preserve">                     </w:t>
      </w:r>
      <w:r w:rsidR="00567000">
        <w:rPr>
          <w:i/>
        </w:rPr>
        <w:t xml:space="preserve">  </w:t>
      </w:r>
      <w:r w:rsidR="0090126E">
        <w:rPr>
          <w:i/>
        </w:rPr>
        <w:t xml:space="preserve">have been done during his employment.” </w:t>
      </w:r>
    </w:p>
    <w:p w:rsidR="00AE5E50" w:rsidRDefault="00AE5E50" w:rsidP="00CC635A">
      <w:pPr>
        <w:spacing w:after="160" w:line="360" w:lineRule="auto"/>
        <w:ind w:right="-11"/>
        <w:rPr>
          <w:szCs w:val="24"/>
        </w:rPr>
      </w:pPr>
    </w:p>
    <w:p w:rsidR="006D2123" w:rsidRPr="0083537A" w:rsidRDefault="00DA3A72" w:rsidP="0083537A">
      <w:pPr>
        <w:spacing w:after="160" w:line="360" w:lineRule="auto"/>
        <w:ind w:right="-11"/>
      </w:pPr>
      <w:r>
        <w:rPr>
          <w:szCs w:val="24"/>
        </w:rPr>
        <w:t>[15</w:t>
      </w:r>
      <w:r w:rsidR="00AE5E50">
        <w:rPr>
          <w:szCs w:val="24"/>
        </w:rPr>
        <w:t xml:space="preserve">] </w:t>
      </w:r>
      <w:r w:rsidR="002233E4">
        <w:rPr>
          <w:szCs w:val="24"/>
        </w:rPr>
        <w:tab/>
      </w:r>
      <w:r w:rsidR="006575B5">
        <w:t>The la</w:t>
      </w:r>
      <w:r>
        <w:t>w underpinning the application of the principle of</w:t>
      </w:r>
      <w:r w:rsidR="006575B5">
        <w:t xml:space="preserve"> vicarious liability was</w:t>
      </w:r>
      <w:r>
        <w:t xml:space="preserve">        </w:t>
      </w:r>
      <w:r w:rsidR="006575B5">
        <w:t>dev</w:t>
      </w:r>
      <w:r w:rsidR="00AE5E50">
        <w:t xml:space="preserve">eloped further </w:t>
      </w:r>
      <w:r w:rsidR="006575B5">
        <w:t>in</w:t>
      </w:r>
      <w:r w:rsidR="00AE5E50">
        <w:t xml:space="preserve"> </w:t>
      </w:r>
      <w:r>
        <w:t>the following matters;</w:t>
      </w:r>
      <w:r w:rsidR="006575B5">
        <w:t xml:space="preserve"> Minister</w:t>
      </w:r>
      <w:r w:rsidR="006575B5">
        <w:rPr>
          <w:i/>
        </w:rPr>
        <w:t xml:space="preserve"> of Police v</w:t>
      </w:r>
      <w:r w:rsidR="0090126E">
        <w:rPr>
          <w:i/>
        </w:rPr>
        <w:t xml:space="preserve"> Rabie </w:t>
      </w:r>
      <w:r w:rsidR="006575B5">
        <w:t>1986 (1) SA 117</w:t>
      </w:r>
      <w:r w:rsidR="00ED0E3C">
        <w:t xml:space="preserve"> (A),</w:t>
      </w:r>
      <w:r w:rsidR="0083537A">
        <w:rPr>
          <w:i/>
        </w:rPr>
        <w:t xml:space="preserve"> K </w:t>
      </w:r>
      <w:r w:rsidR="006575B5">
        <w:rPr>
          <w:i/>
        </w:rPr>
        <w:t>v</w:t>
      </w:r>
      <w:r w:rsidR="0083537A">
        <w:rPr>
          <w:i/>
        </w:rPr>
        <w:t xml:space="preserve"> </w:t>
      </w:r>
      <w:r w:rsidR="006575B5">
        <w:rPr>
          <w:i/>
        </w:rPr>
        <w:t>Minister of</w:t>
      </w:r>
      <w:r w:rsidR="0090126E">
        <w:rPr>
          <w:i/>
        </w:rPr>
        <w:t xml:space="preserve"> S</w:t>
      </w:r>
      <w:r w:rsidR="006575B5">
        <w:rPr>
          <w:i/>
        </w:rPr>
        <w:t>afety and Security</w:t>
      </w:r>
      <w:r w:rsidR="006575B5">
        <w:t xml:space="preserve"> 2005 (3) SA </w:t>
      </w:r>
      <w:r w:rsidR="0090126E">
        <w:t xml:space="preserve">179 (SCA), </w:t>
      </w:r>
      <w:r w:rsidR="006575B5">
        <w:rPr>
          <w:i/>
        </w:rPr>
        <w:t>F v Minister</w:t>
      </w:r>
      <w:r w:rsidR="002233E4">
        <w:rPr>
          <w:i/>
        </w:rPr>
        <w:t xml:space="preserve"> </w:t>
      </w:r>
      <w:r w:rsidR="0083537A">
        <w:rPr>
          <w:i/>
        </w:rPr>
        <w:t>of</w:t>
      </w:r>
      <w:r w:rsidR="006575B5">
        <w:rPr>
          <w:i/>
        </w:rPr>
        <w:t xml:space="preserve"> Safety</w:t>
      </w:r>
      <w:r w:rsidR="00AE5E50">
        <w:rPr>
          <w:i/>
        </w:rPr>
        <w:t xml:space="preserve"> </w:t>
      </w:r>
      <w:r w:rsidR="006575B5">
        <w:rPr>
          <w:i/>
        </w:rPr>
        <w:t>and Security</w:t>
      </w:r>
      <w:r w:rsidR="0083537A">
        <w:rPr>
          <w:i/>
        </w:rPr>
        <w:t xml:space="preserve"> and Another</w:t>
      </w:r>
      <w:r w:rsidR="0083537A">
        <w:t xml:space="preserve"> (CCT 30/11) [2011] ZACC 37; 2012</w:t>
      </w:r>
      <w:r w:rsidR="006575B5">
        <w:t xml:space="preserve">(1) SA </w:t>
      </w:r>
      <w:r w:rsidR="0090126E">
        <w:t xml:space="preserve">536 </w:t>
      </w:r>
      <w:r w:rsidR="006575B5">
        <w:t>(</w:t>
      </w:r>
      <w:r w:rsidR="0083537A">
        <w:t>CC); 2012 (3) BLC 244 (CC);</w:t>
      </w:r>
      <w:r w:rsidR="006575B5">
        <w:t xml:space="preserve"> (2012)</w:t>
      </w:r>
      <w:r w:rsidR="0083537A">
        <w:t xml:space="preserve"> 33</w:t>
      </w:r>
      <w:r w:rsidR="0090126E">
        <w:t xml:space="preserve"> IL</w:t>
      </w:r>
      <w:r w:rsidR="0083537A">
        <w:rPr>
          <w:b/>
        </w:rPr>
        <w:t>J</w:t>
      </w:r>
      <w:r w:rsidR="0083537A">
        <w:t xml:space="preserve"> 93 (CC) </w:t>
      </w:r>
      <w:r w:rsidR="006575B5">
        <w:t>2013</w:t>
      </w:r>
      <w:r w:rsidR="0083537A">
        <w:t xml:space="preserve"> (2) SACR</w:t>
      </w:r>
      <w:r w:rsidR="0090126E">
        <w:t xml:space="preserve"> 20 (CC</w:t>
      </w:r>
      <w:r w:rsidR="0090126E" w:rsidRPr="006575B5">
        <w:rPr>
          <w:b/>
        </w:rPr>
        <w:t xml:space="preserve">). </w:t>
      </w:r>
    </w:p>
    <w:p w:rsidR="006575B5" w:rsidRDefault="006575B5" w:rsidP="006575B5">
      <w:pPr>
        <w:spacing w:after="0"/>
        <w:ind w:left="719" w:firstLine="0"/>
      </w:pPr>
    </w:p>
    <w:p w:rsidR="00946084" w:rsidRDefault="00946084" w:rsidP="00946084">
      <w:pPr>
        <w:spacing w:after="0" w:line="363" w:lineRule="auto"/>
      </w:pPr>
      <w:r>
        <w:t>[1</w:t>
      </w:r>
      <w:r w:rsidR="00642780">
        <w:t>6</w:t>
      </w:r>
      <w:r>
        <w:t>]</w:t>
      </w:r>
      <w:r w:rsidR="00A32ABA">
        <w:t xml:space="preserve"> </w:t>
      </w:r>
      <w:r w:rsidR="00FA79FA">
        <w:tab/>
      </w:r>
      <w:r>
        <w:t>In the</w:t>
      </w:r>
      <w:r w:rsidR="0090126E">
        <w:rPr>
          <w:i/>
        </w:rPr>
        <w:t xml:space="preserve"> Rabie </w:t>
      </w:r>
      <w:r w:rsidR="00A57854">
        <w:t>matter at 134C -</w:t>
      </w:r>
      <w:r>
        <w:t xml:space="preserve"> E, the court set out the two</w:t>
      </w:r>
      <w:r w:rsidR="0090126E">
        <w:t xml:space="preserve"> tes</w:t>
      </w:r>
      <w:r>
        <w:t>t</w:t>
      </w:r>
      <w:r w:rsidR="00A57854">
        <w:t>s</w:t>
      </w:r>
      <w:r>
        <w:t xml:space="preserve"> necessary in</w:t>
      </w:r>
      <w:r w:rsidR="0090126E">
        <w:t xml:space="preserve"> an  </w:t>
      </w:r>
    </w:p>
    <w:p w:rsidR="006D2123" w:rsidRDefault="00946084" w:rsidP="00946084">
      <w:pPr>
        <w:spacing w:after="0" w:line="363" w:lineRule="auto"/>
      </w:pPr>
      <w:r>
        <w:t xml:space="preserve">     </w:t>
      </w:r>
      <w:r w:rsidR="00A32ABA">
        <w:t xml:space="preserve"> </w:t>
      </w:r>
      <w:r>
        <w:t xml:space="preserve"> </w:t>
      </w:r>
      <w:r w:rsidR="00FA79FA">
        <w:tab/>
      </w:r>
      <w:r>
        <w:t xml:space="preserve">inquiry to determine whether an employer is vicarious </w:t>
      </w:r>
      <w:r w:rsidR="0090126E">
        <w:t>lia</w:t>
      </w:r>
      <w:r>
        <w:t xml:space="preserve">ble for </w:t>
      </w:r>
      <w:r w:rsidR="0090126E">
        <w:t xml:space="preserve">the conduct of its employee. In this regard the court said the following; </w:t>
      </w:r>
    </w:p>
    <w:p w:rsidR="00ED0E3C" w:rsidRDefault="00ED0E3C" w:rsidP="00946084">
      <w:pPr>
        <w:spacing w:after="0" w:line="363" w:lineRule="auto"/>
        <w:ind w:left="0" w:firstLine="0"/>
      </w:pPr>
    </w:p>
    <w:p w:rsidR="006D2123" w:rsidRPr="00946084" w:rsidRDefault="00A57854" w:rsidP="0087587D">
      <w:pPr>
        <w:spacing w:after="160" w:line="360" w:lineRule="auto"/>
        <w:ind w:left="1440" w:right="-11" w:firstLine="0"/>
        <w:jc w:val="left"/>
        <w:rPr>
          <w:i/>
        </w:rPr>
      </w:pPr>
      <w:r>
        <w:rPr>
          <w:i/>
        </w:rPr>
        <w:t xml:space="preserve">“It seems clear that an act done by a </w:t>
      </w:r>
      <w:r w:rsidR="0090126E">
        <w:rPr>
          <w:i/>
        </w:rPr>
        <w:t xml:space="preserve">servant </w:t>
      </w:r>
      <w:r>
        <w:rPr>
          <w:i/>
        </w:rPr>
        <w:t>solely for his</w:t>
      </w:r>
      <w:r w:rsidR="0087587D">
        <w:rPr>
          <w:i/>
        </w:rPr>
        <w:t xml:space="preserve"> own</w:t>
      </w:r>
      <w:r w:rsidR="00642780">
        <w:rPr>
          <w:i/>
        </w:rPr>
        <w:t xml:space="preserve"> </w:t>
      </w:r>
      <w:r>
        <w:rPr>
          <w:i/>
        </w:rPr>
        <w:t xml:space="preserve">interest and purposes, although occasioned by his </w:t>
      </w:r>
      <w:r w:rsidR="00354701">
        <w:rPr>
          <w:i/>
        </w:rPr>
        <w:t>employment,</w:t>
      </w:r>
      <w:r w:rsidR="00642780">
        <w:rPr>
          <w:i/>
        </w:rPr>
        <w:t xml:space="preserve"> </w:t>
      </w:r>
      <w:r>
        <w:rPr>
          <w:i/>
        </w:rPr>
        <w:t>may fall outside the course or scope of his employment,</w:t>
      </w:r>
      <w:r w:rsidR="0090126E">
        <w:rPr>
          <w:i/>
        </w:rPr>
        <w:t xml:space="preserve"> and </w:t>
      </w:r>
      <w:r>
        <w:rPr>
          <w:i/>
        </w:rPr>
        <w:t>that</w:t>
      </w:r>
      <w:r w:rsidR="0090126E">
        <w:rPr>
          <w:i/>
        </w:rPr>
        <w:t xml:space="preserve"> in</w:t>
      </w:r>
      <w:r>
        <w:rPr>
          <w:i/>
        </w:rPr>
        <w:t xml:space="preserve">     </w:t>
      </w:r>
      <w:r w:rsidR="00A649E8">
        <w:rPr>
          <w:i/>
        </w:rPr>
        <w:t xml:space="preserve"> </w:t>
      </w:r>
      <w:r>
        <w:rPr>
          <w:i/>
        </w:rPr>
        <w:t xml:space="preserve">  deciding whether an act of the servant does so fall,</w:t>
      </w:r>
      <w:r w:rsidR="0090126E">
        <w:rPr>
          <w:i/>
        </w:rPr>
        <w:t xml:space="preserve"> some </w:t>
      </w:r>
      <w:r>
        <w:rPr>
          <w:i/>
        </w:rPr>
        <w:t xml:space="preserve">reference is                       </w:t>
      </w:r>
      <w:r w:rsidR="00A649E8">
        <w:rPr>
          <w:i/>
        </w:rPr>
        <w:t xml:space="preserve"> </w:t>
      </w:r>
      <w:r>
        <w:rPr>
          <w:i/>
        </w:rPr>
        <w:t xml:space="preserve"> </w:t>
      </w:r>
      <w:r>
        <w:rPr>
          <w:i/>
        </w:rPr>
        <w:lastRenderedPageBreak/>
        <w:t>to be made</w:t>
      </w:r>
      <w:r w:rsidR="00BE0625">
        <w:rPr>
          <w:i/>
        </w:rPr>
        <w:t xml:space="preserve"> to the servant’s intention. The test</w:t>
      </w:r>
      <w:r w:rsidR="0090126E">
        <w:rPr>
          <w:i/>
        </w:rPr>
        <w:t xml:space="preserve"> in</w:t>
      </w:r>
      <w:r w:rsidR="00BE0625">
        <w:rPr>
          <w:i/>
        </w:rPr>
        <w:t xml:space="preserve"> this regard is</w:t>
      </w:r>
      <w:r w:rsidR="0090126E">
        <w:rPr>
          <w:i/>
        </w:rPr>
        <w:t xml:space="preserve"> </w:t>
      </w:r>
      <w:r w:rsidR="00BE0625">
        <w:rPr>
          <w:i/>
        </w:rPr>
        <w:t xml:space="preserve">                </w:t>
      </w:r>
      <w:r w:rsidR="00A649E8">
        <w:rPr>
          <w:i/>
        </w:rPr>
        <w:t xml:space="preserve"> </w:t>
      </w:r>
      <w:r w:rsidR="00BE0625">
        <w:rPr>
          <w:i/>
        </w:rPr>
        <w:t xml:space="preserve">  subjective. On the other hand, if</w:t>
      </w:r>
      <w:r w:rsidR="0090126E">
        <w:rPr>
          <w:i/>
        </w:rPr>
        <w:t xml:space="preserve"> th</w:t>
      </w:r>
      <w:r w:rsidR="00BE0625">
        <w:rPr>
          <w:i/>
        </w:rPr>
        <w:t>ere</w:t>
      </w:r>
      <w:r w:rsidR="0090126E">
        <w:rPr>
          <w:i/>
        </w:rPr>
        <w:t xml:space="preserve"> is </w:t>
      </w:r>
      <w:r w:rsidR="00BE0625">
        <w:rPr>
          <w:i/>
        </w:rPr>
        <w:t xml:space="preserve">nevertheless a </w:t>
      </w:r>
      <w:r w:rsidR="0090126E">
        <w:rPr>
          <w:i/>
        </w:rPr>
        <w:t>sufficiently</w:t>
      </w:r>
      <w:r w:rsidR="0087587D">
        <w:rPr>
          <w:i/>
        </w:rPr>
        <w:t xml:space="preserve"> </w:t>
      </w:r>
      <w:r w:rsidR="00BE0625">
        <w:rPr>
          <w:i/>
        </w:rPr>
        <w:t xml:space="preserve">                       </w:t>
      </w:r>
      <w:r w:rsidR="00A649E8">
        <w:rPr>
          <w:i/>
        </w:rPr>
        <w:t xml:space="preserve"> </w:t>
      </w:r>
      <w:r w:rsidR="00BE0625">
        <w:rPr>
          <w:i/>
        </w:rPr>
        <w:t xml:space="preserve"> close link between the servant’s</w:t>
      </w:r>
      <w:r w:rsidR="0090126E">
        <w:rPr>
          <w:i/>
        </w:rPr>
        <w:t xml:space="preserve"> acts</w:t>
      </w:r>
      <w:r w:rsidR="00946084">
        <w:rPr>
          <w:i/>
        </w:rPr>
        <w:t xml:space="preserve"> </w:t>
      </w:r>
      <w:r w:rsidR="00BE0625">
        <w:rPr>
          <w:i/>
        </w:rPr>
        <w:t xml:space="preserve">for his </w:t>
      </w:r>
      <w:r w:rsidR="0090126E">
        <w:rPr>
          <w:i/>
        </w:rPr>
        <w:t>own</w:t>
      </w:r>
      <w:r w:rsidR="00BE0625">
        <w:rPr>
          <w:i/>
        </w:rPr>
        <w:t xml:space="preserve"> interests </w:t>
      </w:r>
      <w:r w:rsidR="0090126E">
        <w:rPr>
          <w:i/>
        </w:rPr>
        <w:t xml:space="preserve">and  </w:t>
      </w:r>
      <w:r w:rsidR="00BE0625">
        <w:rPr>
          <w:i/>
        </w:rPr>
        <w:t xml:space="preserve">                      </w:t>
      </w:r>
      <w:r w:rsidR="00A649E8">
        <w:rPr>
          <w:i/>
        </w:rPr>
        <w:t xml:space="preserve"> </w:t>
      </w:r>
      <w:r w:rsidR="00BE0625">
        <w:rPr>
          <w:i/>
        </w:rPr>
        <w:t xml:space="preserve">  purposes and the business</w:t>
      </w:r>
      <w:r w:rsidR="0090126E">
        <w:rPr>
          <w:i/>
        </w:rPr>
        <w:t xml:space="preserve"> of his master,</w:t>
      </w:r>
      <w:r w:rsidR="00BE0625">
        <w:rPr>
          <w:i/>
        </w:rPr>
        <w:t xml:space="preserve"> </w:t>
      </w:r>
      <w:r w:rsidR="0090126E">
        <w:rPr>
          <w:i/>
        </w:rPr>
        <w:t>the master</w:t>
      </w:r>
      <w:r w:rsidR="00ED0E3C">
        <w:rPr>
          <w:i/>
        </w:rPr>
        <w:t xml:space="preserve"> </w:t>
      </w:r>
      <w:r w:rsidR="0090126E">
        <w:rPr>
          <w:i/>
        </w:rPr>
        <w:t xml:space="preserve">may yet be liable. </w:t>
      </w:r>
      <w:r w:rsidR="00BE0625">
        <w:rPr>
          <w:i/>
        </w:rPr>
        <w:t xml:space="preserve">                      </w:t>
      </w:r>
      <w:r w:rsidR="00A649E8">
        <w:rPr>
          <w:i/>
        </w:rPr>
        <w:t xml:space="preserve"> </w:t>
      </w:r>
      <w:r w:rsidR="00BE0625">
        <w:rPr>
          <w:i/>
        </w:rPr>
        <w:t xml:space="preserve"> </w:t>
      </w:r>
      <w:r w:rsidR="0090126E">
        <w:rPr>
          <w:i/>
        </w:rPr>
        <w:t xml:space="preserve">This is an objective test.’’ </w:t>
      </w:r>
    </w:p>
    <w:p w:rsidR="006D2123" w:rsidRPr="00665A85" w:rsidRDefault="00946084" w:rsidP="00354701">
      <w:pPr>
        <w:rPr>
          <w:szCs w:val="24"/>
        </w:rPr>
      </w:pPr>
      <w:r>
        <w:rPr>
          <w:szCs w:val="24"/>
        </w:rPr>
        <w:t>[1</w:t>
      </w:r>
      <w:r w:rsidR="00642780">
        <w:rPr>
          <w:szCs w:val="24"/>
        </w:rPr>
        <w:t>7</w:t>
      </w:r>
      <w:r>
        <w:rPr>
          <w:szCs w:val="24"/>
        </w:rPr>
        <w:t>]</w:t>
      </w:r>
      <w:r w:rsidR="00A32ABA">
        <w:rPr>
          <w:szCs w:val="24"/>
        </w:rPr>
        <w:t xml:space="preserve"> </w:t>
      </w:r>
      <w:r w:rsidR="00354701">
        <w:rPr>
          <w:szCs w:val="24"/>
        </w:rPr>
        <w:tab/>
      </w:r>
      <w:r w:rsidR="00665A85">
        <w:rPr>
          <w:szCs w:val="24"/>
        </w:rPr>
        <w:t>In the</w:t>
      </w:r>
      <w:r w:rsidR="00420903">
        <w:rPr>
          <w:szCs w:val="24"/>
        </w:rPr>
        <w:t xml:space="preserve"> matter of</w:t>
      </w:r>
      <w:r w:rsidR="0090126E" w:rsidRPr="00665A85">
        <w:rPr>
          <w:i/>
          <w:szCs w:val="24"/>
        </w:rPr>
        <w:t xml:space="preserve"> K </w:t>
      </w:r>
      <w:r w:rsidR="00420903">
        <w:rPr>
          <w:szCs w:val="24"/>
        </w:rPr>
        <w:t>at para 31</w:t>
      </w:r>
      <w:r w:rsidR="00665A85">
        <w:rPr>
          <w:szCs w:val="24"/>
        </w:rPr>
        <w:t xml:space="preserve">, the court determined that the </w:t>
      </w:r>
      <w:r>
        <w:rPr>
          <w:szCs w:val="24"/>
        </w:rPr>
        <w:t>connection or</w:t>
      </w:r>
      <w:r w:rsidR="00974C7F">
        <w:rPr>
          <w:szCs w:val="24"/>
        </w:rPr>
        <w:t xml:space="preserve"> proximity </w:t>
      </w:r>
      <w:r w:rsidR="00665A85">
        <w:rPr>
          <w:szCs w:val="24"/>
        </w:rPr>
        <w:t>of the employer’s mandate /</w:t>
      </w:r>
      <w:r>
        <w:rPr>
          <w:szCs w:val="24"/>
        </w:rPr>
        <w:t xml:space="preserve"> function to the actions</w:t>
      </w:r>
      <w:r w:rsidR="0090126E" w:rsidRPr="00665A85">
        <w:rPr>
          <w:szCs w:val="24"/>
        </w:rPr>
        <w:t xml:space="preserve"> of</w:t>
      </w:r>
      <w:r>
        <w:rPr>
          <w:szCs w:val="24"/>
        </w:rPr>
        <w:t xml:space="preserve"> the employee </w:t>
      </w:r>
      <w:r w:rsidR="00665A85">
        <w:rPr>
          <w:szCs w:val="24"/>
        </w:rPr>
        <w:t>was a factor</w:t>
      </w:r>
      <w:r w:rsidR="00354701">
        <w:rPr>
          <w:szCs w:val="24"/>
        </w:rPr>
        <w:t xml:space="preserve"> </w:t>
      </w:r>
      <w:r w:rsidR="00665A85">
        <w:rPr>
          <w:szCs w:val="24"/>
        </w:rPr>
        <w:t xml:space="preserve">for </w:t>
      </w:r>
      <w:r>
        <w:rPr>
          <w:szCs w:val="24"/>
        </w:rPr>
        <w:t>consideration in the determination</w:t>
      </w:r>
      <w:r w:rsidR="0090126E" w:rsidRPr="00665A85">
        <w:rPr>
          <w:szCs w:val="24"/>
        </w:rPr>
        <w:t xml:space="preserve"> whet</w:t>
      </w:r>
      <w:r>
        <w:rPr>
          <w:szCs w:val="24"/>
        </w:rPr>
        <w:t>her the actions were</w:t>
      </w:r>
      <w:r w:rsidR="00665A85">
        <w:rPr>
          <w:szCs w:val="24"/>
        </w:rPr>
        <w:t xml:space="preserve"> taken </w:t>
      </w:r>
      <w:r>
        <w:rPr>
          <w:szCs w:val="24"/>
        </w:rPr>
        <w:t>by</w:t>
      </w:r>
      <w:r w:rsidR="0090126E" w:rsidRPr="00665A85">
        <w:rPr>
          <w:szCs w:val="24"/>
        </w:rPr>
        <w:t xml:space="preserve"> the</w:t>
      </w:r>
      <w:r>
        <w:rPr>
          <w:szCs w:val="24"/>
        </w:rPr>
        <w:t xml:space="preserve"> employee during </w:t>
      </w:r>
      <w:r w:rsidR="0090126E" w:rsidRPr="00665A85">
        <w:rPr>
          <w:szCs w:val="24"/>
        </w:rPr>
        <w:t xml:space="preserve">his </w:t>
      </w:r>
      <w:r>
        <w:rPr>
          <w:szCs w:val="24"/>
        </w:rPr>
        <w:t xml:space="preserve">execution of his </w:t>
      </w:r>
      <w:r w:rsidR="0090126E" w:rsidRPr="00665A85">
        <w:rPr>
          <w:szCs w:val="24"/>
        </w:rPr>
        <w:t>m</w:t>
      </w:r>
      <w:r>
        <w:rPr>
          <w:szCs w:val="24"/>
        </w:rPr>
        <w:t xml:space="preserve">andate. </w:t>
      </w:r>
      <w:r w:rsidR="00665A85">
        <w:rPr>
          <w:szCs w:val="24"/>
        </w:rPr>
        <w:t>In</w:t>
      </w:r>
      <w:r>
        <w:rPr>
          <w:szCs w:val="24"/>
        </w:rPr>
        <w:t xml:space="preserve"> this regard </w:t>
      </w:r>
      <w:r w:rsidR="00665A85">
        <w:rPr>
          <w:szCs w:val="24"/>
        </w:rPr>
        <w:t xml:space="preserve">the </w:t>
      </w:r>
      <w:r w:rsidR="0090126E" w:rsidRPr="00665A85">
        <w:rPr>
          <w:szCs w:val="24"/>
        </w:rPr>
        <w:t>court said the</w:t>
      </w:r>
      <w:r w:rsidR="00974C7F">
        <w:rPr>
          <w:szCs w:val="24"/>
        </w:rPr>
        <w:t xml:space="preserve"> </w:t>
      </w:r>
      <w:r w:rsidR="0090126E" w:rsidRPr="00665A85">
        <w:rPr>
          <w:szCs w:val="24"/>
        </w:rPr>
        <w:t xml:space="preserve">following: </w:t>
      </w:r>
    </w:p>
    <w:p w:rsidR="006D2123" w:rsidRPr="00665A85" w:rsidRDefault="00354701" w:rsidP="00354701">
      <w:pPr>
        <w:spacing w:after="160" w:line="360" w:lineRule="auto"/>
        <w:ind w:left="1424" w:right="-11" w:firstLine="0"/>
        <w:rPr>
          <w:i/>
        </w:rPr>
      </w:pPr>
      <w:r w:rsidRPr="00354701">
        <w:rPr>
          <w:i/>
        </w:rPr>
        <w:t>“</w:t>
      </w:r>
      <w:r w:rsidR="0090126E">
        <w:rPr>
          <w:i/>
        </w:rPr>
        <w:t>The</w:t>
      </w:r>
      <w:r w:rsidR="00665A85">
        <w:rPr>
          <w:i/>
        </w:rPr>
        <w:t xml:space="preserve"> legal principles underlying vicarious responsibility are well -   </w:t>
      </w:r>
      <w:r w:rsidR="00A870D9">
        <w:rPr>
          <w:i/>
        </w:rPr>
        <w:t>established. An</w:t>
      </w:r>
      <w:r w:rsidR="00665A85">
        <w:rPr>
          <w:i/>
        </w:rPr>
        <w:t xml:space="preserve"> employer, whether a Minister of State or otherwise,</w:t>
      </w:r>
      <w:r w:rsidR="0090126E">
        <w:rPr>
          <w:i/>
        </w:rPr>
        <w:t xml:space="preserve"> will</w:t>
      </w:r>
      <w:r w:rsidR="00665A85">
        <w:rPr>
          <w:i/>
        </w:rPr>
        <w:t xml:space="preserve"> be vicariously liable</w:t>
      </w:r>
      <w:r w:rsidR="00420903">
        <w:rPr>
          <w:i/>
        </w:rPr>
        <w:t xml:space="preserve"> for the delict of an employee i</w:t>
      </w:r>
      <w:r w:rsidR="00665A85">
        <w:rPr>
          <w:i/>
        </w:rPr>
        <w:t xml:space="preserve">f the delict is  </w:t>
      </w:r>
      <w:r w:rsidR="00974C7F">
        <w:rPr>
          <w:i/>
        </w:rPr>
        <w:t xml:space="preserve">                    </w:t>
      </w:r>
      <w:r w:rsidR="00363161">
        <w:rPr>
          <w:i/>
        </w:rPr>
        <w:t xml:space="preserve"> </w:t>
      </w:r>
      <w:r w:rsidR="00665A85">
        <w:rPr>
          <w:i/>
        </w:rPr>
        <w:t xml:space="preserve">  committed by</w:t>
      </w:r>
      <w:r w:rsidR="0090126E">
        <w:rPr>
          <w:i/>
        </w:rPr>
        <w:t xml:space="preserve"> t</w:t>
      </w:r>
      <w:r w:rsidR="00665A85">
        <w:rPr>
          <w:i/>
        </w:rPr>
        <w:t xml:space="preserve">he </w:t>
      </w:r>
      <w:r w:rsidR="0090126E">
        <w:rPr>
          <w:i/>
        </w:rPr>
        <w:t>employe</w:t>
      </w:r>
      <w:r w:rsidR="00B87EED">
        <w:rPr>
          <w:i/>
        </w:rPr>
        <w:t>e in the course and scope of</w:t>
      </w:r>
      <w:r w:rsidR="00665A85">
        <w:rPr>
          <w:i/>
        </w:rPr>
        <w:t xml:space="preserve"> his or her   </w:t>
      </w:r>
      <w:r w:rsidR="00974C7F">
        <w:rPr>
          <w:i/>
        </w:rPr>
        <w:t xml:space="preserve">                     </w:t>
      </w:r>
      <w:r w:rsidR="00363161">
        <w:rPr>
          <w:i/>
        </w:rPr>
        <w:t xml:space="preserve"> </w:t>
      </w:r>
      <w:r w:rsidR="00665A85">
        <w:rPr>
          <w:i/>
        </w:rPr>
        <w:t xml:space="preserve"> employment. </w:t>
      </w:r>
      <w:r w:rsidR="00420903">
        <w:rPr>
          <w:i/>
        </w:rPr>
        <w:t>Difficulty frequently arises in the</w:t>
      </w:r>
      <w:r w:rsidR="0090126E">
        <w:rPr>
          <w:i/>
        </w:rPr>
        <w:t xml:space="preserve"> application</w:t>
      </w:r>
      <w:r w:rsidR="00420903">
        <w:rPr>
          <w:i/>
        </w:rPr>
        <w:t xml:space="preserve"> of</w:t>
      </w:r>
      <w:r>
        <w:rPr>
          <w:i/>
        </w:rPr>
        <w:t xml:space="preserve"> the rule, </w:t>
      </w:r>
      <w:r w:rsidR="00974C7F">
        <w:rPr>
          <w:i/>
        </w:rPr>
        <w:t xml:space="preserve">               </w:t>
      </w:r>
      <w:r w:rsidR="00363161">
        <w:rPr>
          <w:i/>
        </w:rPr>
        <w:t xml:space="preserve">  </w:t>
      </w:r>
      <w:r w:rsidR="00420903">
        <w:rPr>
          <w:i/>
        </w:rPr>
        <w:t xml:space="preserve"> </w:t>
      </w:r>
      <w:r w:rsidR="00665A85">
        <w:rPr>
          <w:i/>
        </w:rPr>
        <w:t>particularly in so</w:t>
      </w:r>
      <w:r w:rsidR="0090126E">
        <w:rPr>
          <w:i/>
        </w:rPr>
        <w:t xml:space="preserve"> –</w:t>
      </w:r>
      <w:r w:rsidR="00665A85">
        <w:rPr>
          <w:i/>
        </w:rPr>
        <w:t xml:space="preserve"> called ‘deviation’ </w:t>
      </w:r>
      <w:r w:rsidR="0090126E">
        <w:rPr>
          <w:i/>
        </w:rPr>
        <w:t xml:space="preserve">cases. </w:t>
      </w:r>
      <w:r w:rsidR="00665A85">
        <w:rPr>
          <w:i/>
        </w:rPr>
        <w:t xml:space="preserve">But the test, </w:t>
      </w:r>
      <w:r w:rsidR="0090126E">
        <w:rPr>
          <w:i/>
        </w:rPr>
        <w:t xml:space="preserve">commonly  </w:t>
      </w:r>
      <w:r w:rsidR="00665A85">
        <w:rPr>
          <w:i/>
        </w:rPr>
        <w:t xml:space="preserve"> </w:t>
      </w:r>
      <w:r w:rsidR="0090126E">
        <w:rPr>
          <w:i/>
        </w:rPr>
        <w:t>refe</w:t>
      </w:r>
      <w:r w:rsidR="00665A85">
        <w:rPr>
          <w:i/>
        </w:rPr>
        <w:t>r</w:t>
      </w:r>
      <w:r w:rsidR="0090126E">
        <w:rPr>
          <w:i/>
        </w:rPr>
        <w:t xml:space="preserve">red </w:t>
      </w:r>
      <w:r w:rsidR="00420903">
        <w:rPr>
          <w:i/>
        </w:rPr>
        <w:t>to as the ‘standard test’, has been</w:t>
      </w:r>
      <w:r w:rsidR="00665A85">
        <w:rPr>
          <w:i/>
        </w:rPr>
        <w:t xml:space="preserve"> repeatedly applied by </w:t>
      </w:r>
      <w:r>
        <w:rPr>
          <w:i/>
        </w:rPr>
        <w:t xml:space="preserve">this </w:t>
      </w:r>
      <w:r w:rsidR="00974C7F">
        <w:rPr>
          <w:i/>
        </w:rPr>
        <w:t xml:space="preserve">                     </w:t>
      </w:r>
      <w:r w:rsidR="00C846EF">
        <w:rPr>
          <w:i/>
        </w:rPr>
        <w:t xml:space="preserve"> </w:t>
      </w:r>
      <w:r w:rsidR="0090126E">
        <w:rPr>
          <w:i/>
        </w:rPr>
        <w:t>Court</w:t>
      </w:r>
      <w:r w:rsidR="00665A85">
        <w:rPr>
          <w:i/>
        </w:rPr>
        <w:t>.</w:t>
      </w:r>
      <w:r w:rsidR="00665A85">
        <w:rPr>
          <w:i/>
          <w:u w:color="000000"/>
        </w:rPr>
        <w:t xml:space="preserve"> Where there is a deviation the</w:t>
      </w:r>
      <w:r w:rsidR="0090126E" w:rsidRPr="00ED0E3C">
        <w:rPr>
          <w:i/>
          <w:u w:color="000000"/>
        </w:rPr>
        <w:t xml:space="preserve"> inquiry</w:t>
      </w:r>
      <w:r w:rsidR="00665A85">
        <w:rPr>
          <w:i/>
        </w:rPr>
        <w:t xml:space="preserve">, in short, is whether the  </w:t>
      </w:r>
      <w:r w:rsidR="00974C7F">
        <w:rPr>
          <w:i/>
        </w:rPr>
        <w:t xml:space="preserve">                    </w:t>
      </w:r>
      <w:r w:rsidR="00C846EF">
        <w:rPr>
          <w:i/>
        </w:rPr>
        <w:t xml:space="preserve">  </w:t>
      </w:r>
      <w:r w:rsidR="00665A85">
        <w:rPr>
          <w:i/>
        </w:rPr>
        <w:t>deviation was of such</w:t>
      </w:r>
      <w:r w:rsidR="00C846EF">
        <w:rPr>
          <w:i/>
        </w:rPr>
        <w:t xml:space="preserve"> a</w:t>
      </w:r>
      <w:r w:rsidR="00C846EF">
        <w:rPr>
          <w:i/>
          <w:u w:color="000000"/>
        </w:rPr>
        <w:t xml:space="preserve"> </w:t>
      </w:r>
      <w:r w:rsidR="00C846EF">
        <w:rPr>
          <w:i/>
        </w:rPr>
        <w:t xml:space="preserve">degree that it can be said that in doing what </w:t>
      </w:r>
      <w:r w:rsidR="00420903">
        <w:rPr>
          <w:i/>
        </w:rPr>
        <w:t>he</w:t>
      </w:r>
      <w:r w:rsidR="0090126E">
        <w:rPr>
          <w:i/>
        </w:rPr>
        <w:t xml:space="preserve"> or</w:t>
      </w:r>
      <w:r w:rsidR="00C846EF">
        <w:rPr>
          <w:i/>
        </w:rPr>
        <w:t xml:space="preserve"> she did, the</w:t>
      </w:r>
      <w:r w:rsidR="0090126E">
        <w:rPr>
          <w:i/>
        </w:rPr>
        <w:t xml:space="preserve"> </w:t>
      </w:r>
      <w:r w:rsidR="00C846EF">
        <w:rPr>
          <w:i/>
          <w:u w:color="000000"/>
        </w:rPr>
        <w:t>employee was still exercising the</w:t>
      </w:r>
      <w:r w:rsidR="0090126E" w:rsidRPr="00ED0E3C">
        <w:rPr>
          <w:i/>
          <w:u w:color="000000"/>
        </w:rPr>
        <w:t xml:space="preserve"> function</w:t>
      </w:r>
      <w:r w:rsidR="0090126E" w:rsidRPr="00ED0E3C">
        <w:rPr>
          <w:i/>
        </w:rPr>
        <w:t xml:space="preserve"> </w:t>
      </w:r>
      <w:r w:rsidR="00C846EF">
        <w:rPr>
          <w:i/>
          <w:u w:color="000000"/>
        </w:rPr>
        <w:t xml:space="preserve">to which </w:t>
      </w:r>
      <w:r w:rsidR="00B87EED">
        <w:rPr>
          <w:i/>
          <w:u w:color="000000"/>
        </w:rPr>
        <w:t>he or she was</w:t>
      </w:r>
      <w:r w:rsidR="0090126E" w:rsidRPr="00ED0E3C">
        <w:rPr>
          <w:i/>
          <w:u w:color="000000"/>
        </w:rPr>
        <w:t xml:space="preserve"> appoi</w:t>
      </w:r>
      <w:r w:rsidR="00B87EED">
        <w:rPr>
          <w:i/>
          <w:u w:color="000000"/>
        </w:rPr>
        <w:t>nted or was still</w:t>
      </w:r>
      <w:r w:rsidR="00C846EF">
        <w:rPr>
          <w:i/>
          <w:u w:color="000000"/>
        </w:rPr>
        <w:t xml:space="preserve"> carrying out</w:t>
      </w:r>
      <w:r w:rsidR="0090126E" w:rsidRPr="00ED0E3C">
        <w:rPr>
          <w:i/>
          <w:u w:color="000000"/>
        </w:rPr>
        <w:t xml:space="preserve"> some</w:t>
      </w:r>
      <w:r w:rsidR="0090126E" w:rsidRPr="00ED0E3C">
        <w:rPr>
          <w:i/>
        </w:rPr>
        <w:t xml:space="preserve"> </w:t>
      </w:r>
      <w:r w:rsidR="00C846EF">
        <w:rPr>
          <w:i/>
          <w:u w:color="000000"/>
        </w:rPr>
        <w:t xml:space="preserve">instruction </w:t>
      </w:r>
      <w:r w:rsidR="00B87EED">
        <w:rPr>
          <w:i/>
          <w:u w:color="000000"/>
        </w:rPr>
        <w:t>of his or</w:t>
      </w:r>
      <w:r w:rsidR="00C846EF">
        <w:rPr>
          <w:i/>
          <w:u w:color="000000"/>
        </w:rPr>
        <w:t xml:space="preserve"> her</w:t>
      </w:r>
      <w:r w:rsidR="0090126E" w:rsidRPr="00ED0E3C">
        <w:rPr>
          <w:i/>
          <w:u w:color="000000"/>
        </w:rPr>
        <w:t xml:space="preserve"> employe</w:t>
      </w:r>
      <w:r w:rsidR="0090126E" w:rsidRPr="00ED0E3C">
        <w:rPr>
          <w:i/>
        </w:rPr>
        <w:t>r</w:t>
      </w:r>
      <w:r w:rsidR="00A116AB">
        <w:rPr>
          <w:i/>
        </w:rPr>
        <w:t>. If</w:t>
      </w:r>
      <w:r w:rsidR="00C846EF">
        <w:rPr>
          <w:i/>
        </w:rPr>
        <w:t xml:space="preserve"> the answer is </w:t>
      </w:r>
      <w:r w:rsidR="0090126E">
        <w:rPr>
          <w:i/>
        </w:rPr>
        <w:t>yes</w:t>
      </w:r>
      <w:r w:rsidR="00A116AB" w:rsidRPr="00ED0E3C">
        <w:rPr>
          <w:i/>
          <w:u w:color="000000"/>
        </w:rPr>
        <w:t>,</w:t>
      </w:r>
      <w:r w:rsidR="0090126E" w:rsidRPr="00ED0E3C">
        <w:rPr>
          <w:i/>
        </w:rPr>
        <w:t xml:space="preserve"> </w:t>
      </w:r>
      <w:r w:rsidR="00B87EED">
        <w:rPr>
          <w:i/>
          <w:u w:color="000000"/>
        </w:rPr>
        <w:t>the employer</w:t>
      </w:r>
      <w:r>
        <w:rPr>
          <w:i/>
          <w:u w:color="000000"/>
        </w:rPr>
        <w:t xml:space="preserve"> will be liable</w:t>
      </w:r>
      <w:r w:rsidR="00C846EF">
        <w:rPr>
          <w:i/>
          <w:u w:color="000000"/>
        </w:rPr>
        <w:t xml:space="preserve"> </w:t>
      </w:r>
      <w:r w:rsidR="00B87EED">
        <w:rPr>
          <w:i/>
          <w:u w:color="000000"/>
        </w:rPr>
        <w:t>no matter</w:t>
      </w:r>
      <w:r w:rsidR="00C846EF">
        <w:rPr>
          <w:i/>
          <w:u w:color="000000"/>
        </w:rPr>
        <w:t xml:space="preserve"> how badly or dishonestly </w:t>
      </w:r>
      <w:r w:rsidR="0090126E" w:rsidRPr="00ED0E3C">
        <w:rPr>
          <w:i/>
          <w:u w:color="000000"/>
        </w:rPr>
        <w:t>or</w:t>
      </w:r>
      <w:r w:rsidR="00C846EF">
        <w:rPr>
          <w:i/>
          <w:u w:color="000000"/>
        </w:rPr>
        <w:t xml:space="preserve"> negligently those functions or</w:t>
      </w:r>
      <w:r w:rsidR="0090126E" w:rsidRPr="00ED0E3C">
        <w:rPr>
          <w:i/>
          <w:u w:color="000000"/>
        </w:rPr>
        <w:t xml:space="preserve"> </w:t>
      </w:r>
      <w:r w:rsidR="00B87EED">
        <w:rPr>
          <w:i/>
          <w:u w:color="000000"/>
        </w:rPr>
        <w:t>instructions</w:t>
      </w:r>
      <w:r w:rsidR="0090126E" w:rsidRPr="00ED0E3C">
        <w:rPr>
          <w:i/>
          <w:u w:color="000000"/>
        </w:rPr>
        <w:t xml:space="preserve"> </w:t>
      </w:r>
      <w:r w:rsidR="00C846EF">
        <w:rPr>
          <w:i/>
          <w:u w:color="000000"/>
        </w:rPr>
        <w:t xml:space="preserve">were being exercised by </w:t>
      </w:r>
      <w:r w:rsidR="0090126E" w:rsidRPr="00ED0E3C">
        <w:rPr>
          <w:i/>
          <w:u w:color="000000"/>
        </w:rPr>
        <w:t>the employee</w:t>
      </w:r>
      <w:r w:rsidR="0090126E">
        <w:rPr>
          <w:i/>
        </w:rPr>
        <w:t xml:space="preserve">.’’ </w:t>
      </w:r>
    </w:p>
    <w:p w:rsidR="00B87EED" w:rsidRDefault="00B87EED" w:rsidP="00BA720E"/>
    <w:p w:rsidR="00731826" w:rsidRDefault="00642780" w:rsidP="008151A9">
      <w:r>
        <w:t>[18</w:t>
      </w:r>
      <w:r w:rsidR="00237C7E">
        <w:t>]</w:t>
      </w:r>
      <w:r w:rsidR="00B87EED">
        <w:t xml:space="preserve"> </w:t>
      </w:r>
      <w:r w:rsidR="00285534">
        <w:tab/>
      </w:r>
      <w:r w:rsidR="00387D48">
        <w:t>Prior to embarking on an analysis of the plaintiff’s con</w:t>
      </w:r>
      <w:r w:rsidR="00BA720E">
        <w:t>tentions</w:t>
      </w:r>
      <w:r w:rsidR="00B87EED">
        <w:t xml:space="preserve"> and applying the</w:t>
      </w:r>
      <w:r w:rsidR="00237C7E">
        <w:t xml:space="preserve">      </w:t>
      </w:r>
      <w:r w:rsidR="00C20523">
        <w:t xml:space="preserve"> </w:t>
      </w:r>
      <w:r w:rsidR="00BA720E">
        <w:t xml:space="preserve">above </w:t>
      </w:r>
      <w:r w:rsidR="00387D48">
        <w:t xml:space="preserve">legal </w:t>
      </w:r>
      <w:r w:rsidR="0090126E">
        <w:t>principle</w:t>
      </w:r>
      <w:r w:rsidR="00387D48">
        <w:t>s</w:t>
      </w:r>
      <w:r w:rsidR="00280F83">
        <w:t xml:space="preserve"> </w:t>
      </w:r>
      <w:r w:rsidR="00B87EED">
        <w:t>to</w:t>
      </w:r>
      <w:r w:rsidR="00280F83">
        <w:t xml:space="preserve"> the facts</w:t>
      </w:r>
      <w:r w:rsidR="00B87EED">
        <w:t xml:space="preserve">, </w:t>
      </w:r>
      <w:r w:rsidR="00731826">
        <w:t xml:space="preserve">it is necessary </w:t>
      </w:r>
      <w:r w:rsidR="0090126E">
        <w:t>to</w:t>
      </w:r>
      <w:r w:rsidR="00387D48">
        <w:t xml:space="preserve"> traverse the relevant laws</w:t>
      </w:r>
      <w:r w:rsidR="00B87EED">
        <w:t xml:space="preserve">      </w:t>
      </w:r>
      <w:r w:rsidR="00237C7E">
        <w:t xml:space="preserve"> relied upon by the plaintiff</w:t>
      </w:r>
      <w:r w:rsidR="00B87EED">
        <w:t xml:space="preserve"> </w:t>
      </w:r>
      <w:r w:rsidR="00387D48">
        <w:t xml:space="preserve">relating to the </w:t>
      </w:r>
      <w:r w:rsidR="00731826">
        <w:t xml:space="preserve">issuing </w:t>
      </w:r>
      <w:r w:rsidR="0090126E">
        <w:t>and</w:t>
      </w:r>
      <w:r w:rsidR="00387D48">
        <w:t xml:space="preserve"> </w:t>
      </w:r>
      <w:r w:rsidR="0090126E">
        <w:t>poss</w:t>
      </w:r>
      <w:r w:rsidR="00731826">
        <w:t xml:space="preserve">ession of firearms </w:t>
      </w:r>
      <w:r w:rsidR="00237C7E">
        <w:t xml:space="preserve">in </w:t>
      </w:r>
      <w:r w:rsidR="00B87EED">
        <w:t>the SAPS fo</w:t>
      </w:r>
      <w:r w:rsidR="008151A9">
        <w:t>r purposes of determining the veracity of such contentions.</w:t>
      </w:r>
    </w:p>
    <w:p w:rsidR="005A5A5D" w:rsidRDefault="00731826" w:rsidP="00285534">
      <w:pPr>
        <w:ind w:hanging="9"/>
        <w:rPr>
          <w:b/>
        </w:rPr>
      </w:pPr>
      <w:r w:rsidRPr="00731826">
        <w:rPr>
          <w:b/>
        </w:rPr>
        <w:t>THE</w:t>
      </w:r>
      <w:r>
        <w:rPr>
          <w:b/>
        </w:rPr>
        <w:t xml:space="preserve"> </w:t>
      </w:r>
      <w:r w:rsidR="005A5A5D">
        <w:rPr>
          <w:b/>
        </w:rPr>
        <w:t>LAW</w:t>
      </w:r>
    </w:p>
    <w:p w:rsidR="00314E6C" w:rsidRPr="00C20523" w:rsidRDefault="00642780" w:rsidP="00C20523">
      <w:pPr>
        <w:rPr>
          <w:b/>
        </w:rPr>
      </w:pPr>
      <w:r>
        <w:lastRenderedPageBreak/>
        <w:t>[19</w:t>
      </w:r>
      <w:r w:rsidR="005A5A5D">
        <w:t>]</w:t>
      </w:r>
      <w:r w:rsidR="008151A9">
        <w:t xml:space="preserve"> </w:t>
      </w:r>
      <w:r w:rsidR="00285534">
        <w:tab/>
      </w:r>
      <w:r w:rsidR="00387D48">
        <w:t>The provisions of the law pertaining to the issuing and</w:t>
      </w:r>
      <w:r w:rsidR="0090126E">
        <w:t xml:space="preserve"> possess</w:t>
      </w:r>
      <w:r w:rsidR="00731826">
        <w:t>io</w:t>
      </w:r>
      <w:r w:rsidR="00387D48">
        <w:t>n of firearms</w:t>
      </w:r>
      <w:r w:rsidR="008151A9">
        <w:t xml:space="preserve">      </w:t>
      </w:r>
      <w:r w:rsidR="00C20523">
        <w:t xml:space="preserve"> </w:t>
      </w:r>
      <w:r w:rsidR="00387D48">
        <w:t>are</w:t>
      </w:r>
      <w:r w:rsidR="00314E6C">
        <w:rPr>
          <w:b/>
        </w:rPr>
        <w:t xml:space="preserve"> </w:t>
      </w:r>
      <w:r w:rsidR="00731826">
        <w:t xml:space="preserve">wide and are to </w:t>
      </w:r>
      <w:r w:rsidR="002B5E73">
        <w:t>be found in the</w:t>
      </w:r>
      <w:r w:rsidR="0090126E">
        <w:t xml:space="preserve"> Firearms</w:t>
      </w:r>
      <w:r w:rsidR="005A5A5D">
        <w:t xml:space="preserve"> Control</w:t>
      </w:r>
      <w:r w:rsidR="002B5E73">
        <w:t xml:space="preserve"> Act 60 </w:t>
      </w:r>
      <w:r w:rsidR="005A5A5D">
        <w:t>of 2000 (the Act).</w:t>
      </w:r>
      <w:r w:rsidR="00C20523">
        <w:t xml:space="preserve"> </w:t>
      </w:r>
      <w:r w:rsidR="008151A9">
        <w:t xml:space="preserve">      </w:t>
      </w:r>
      <w:r w:rsidR="00C20523">
        <w:t xml:space="preserve"> While</w:t>
      </w:r>
      <w:r w:rsidR="00314E6C">
        <w:t xml:space="preserve"> </w:t>
      </w:r>
      <w:r w:rsidR="005A5A5D">
        <w:t>t</w:t>
      </w:r>
      <w:r w:rsidR="00C20523">
        <w:t xml:space="preserve">hey are of general application, </w:t>
      </w:r>
      <w:r w:rsidR="005A5A5D">
        <w:t>including to the S</w:t>
      </w:r>
      <w:r w:rsidR="005933CB">
        <w:t xml:space="preserve">APS, other legal </w:t>
      </w:r>
      <w:r w:rsidR="008151A9">
        <w:t xml:space="preserve">      </w:t>
      </w:r>
      <w:r w:rsidR="00C20523">
        <w:t xml:space="preserve"> </w:t>
      </w:r>
      <w:r w:rsidR="005933CB">
        <w:t>measures were</w:t>
      </w:r>
      <w:r w:rsidR="00314E6C">
        <w:t xml:space="preserve"> </w:t>
      </w:r>
      <w:r w:rsidR="005A5A5D">
        <w:t>put in</w:t>
      </w:r>
      <w:r w:rsidR="0090126E">
        <w:t xml:space="preserve"> place </w:t>
      </w:r>
      <w:r w:rsidR="005A5A5D">
        <w:t>under the Act to specifically</w:t>
      </w:r>
      <w:r w:rsidR="0090126E">
        <w:t xml:space="preserve"> reg</w:t>
      </w:r>
      <w:r w:rsidR="005A5A5D">
        <w:t>ulate</w:t>
      </w:r>
      <w:r w:rsidR="005933CB">
        <w:t xml:space="preserve"> the issuing and possession of </w:t>
      </w:r>
      <w:r w:rsidR="005A5A5D">
        <w:t>firearms in the So</w:t>
      </w:r>
      <w:r w:rsidR="00DB0D3B">
        <w:t xml:space="preserve">uth African Police Service. In light of the basis of the issues in </w:t>
      </w:r>
      <w:r w:rsidR="005A5A5D">
        <w:t xml:space="preserve">this </w:t>
      </w:r>
      <w:r w:rsidR="003C3BD4">
        <w:t>matter, this</w:t>
      </w:r>
      <w:r w:rsidR="00314E6C">
        <w:t xml:space="preserve"> </w:t>
      </w:r>
      <w:r w:rsidR="0090126E">
        <w:t>judgment</w:t>
      </w:r>
      <w:r w:rsidR="005933CB">
        <w:t xml:space="preserve"> will </w:t>
      </w:r>
      <w:r w:rsidR="005A5A5D">
        <w:t>focus</w:t>
      </w:r>
      <w:r w:rsidR="001B6186">
        <w:t xml:space="preserve"> </w:t>
      </w:r>
      <w:r w:rsidR="005A5A5D">
        <w:t>on both</w:t>
      </w:r>
      <w:r w:rsidR="00E510F7">
        <w:t xml:space="preserve"> the </w:t>
      </w:r>
      <w:r w:rsidR="0090126E">
        <w:t>provisi</w:t>
      </w:r>
      <w:r w:rsidR="00314E6C">
        <w:t>ons of the</w:t>
      </w:r>
      <w:r w:rsidR="00AC7D52">
        <w:t xml:space="preserve"> </w:t>
      </w:r>
      <w:r w:rsidR="001B6186">
        <w:t xml:space="preserve">Act </w:t>
      </w:r>
      <w:r w:rsidR="00E510F7">
        <w:t xml:space="preserve">and </w:t>
      </w:r>
      <w:r w:rsidR="003C3BD4">
        <w:t>the ancillary measures</w:t>
      </w:r>
      <w:r w:rsidR="00E510F7">
        <w:t xml:space="preserve"> </w:t>
      </w:r>
      <w:r w:rsidR="003C3BD4">
        <w:t>specifically relating to the issuing and possession</w:t>
      </w:r>
      <w:r w:rsidR="00AC7D52">
        <w:t xml:space="preserve"> </w:t>
      </w:r>
      <w:r w:rsidR="003C3BD4">
        <w:t xml:space="preserve">of firearms </w:t>
      </w:r>
      <w:r w:rsidR="001B6186">
        <w:t>in the SAPS</w:t>
      </w:r>
      <w:r w:rsidR="003C3BD4">
        <w:t>.</w:t>
      </w:r>
      <w:r w:rsidR="0090126E">
        <w:t xml:space="preserve"> </w:t>
      </w:r>
    </w:p>
    <w:p w:rsidR="003C3BD4" w:rsidRDefault="003C3BD4" w:rsidP="00AC7D52">
      <w:pPr>
        <w:ind w:hanging="9"/>
        <w:rPr>
          <w:b/>
        </w:rPr>
      </w:pPr>
      <w:r w:rsidRPr="003C3BD4">
        <w:rPr>
          <w:b/>
        </w:rPr>
        <w:t>THE FIREARMS CONTROL ACT</w:t>
      </w:r>
      <w:r w:rsidR="00D22023">
        <w:rPr>
          <w:b/>
        </w:rPr>
        <w:t xml:space="preserve"> 60 OF 2000 (‘The Act’)</w:t>
      </w:r>
    </w:p>
    <w:p w:rsidR="00D22023" w:rsidRDefault="00E54EF5" w:rsidP="00E54EF5">
      <w:r>
        <w:t>[2</w:t>
      </w:r>
      <w:r w:rsidR="00642780">
        <w:t>0</w:t>
      </w:r>
      <w:r>
        <w:t>]</w:t>
      </w:r>
      <w:r w:rsidR="00953192">
        <w:t xml:space="preserve"> </w:t>
      </w:r>
      <w:r w:rsidR="00AC7D52">
        <w:tab/>
      </w:r>
      <w:r w:rsidR="00D22023">
        <w:t>The Firearms Control Act 60 0f 2000 was enacted to regulate</w:t>
      </w:r>
      <w:r w:rsidR="00280F83">
        <w:t xml:space="preserve"> the</w:t>
      </w:r>
      <w:r w:rsidR="00D22023">
        <w:t xml:space="preserve"> practical and</w:t>
      </w:r>
      <w:r>
        <w:t xml:space="preserve">    </w:t>
      </w:r>
      <w:r w:rsidR="00A870D9">
        <w:t xml:space="preserve"> </w:t>
      </w:r>
      <w:r w:rsidR="00D22023">
        <w:t xml:space="preserve"> </w:t>
      </w:r>
      <w:r w:rsidR="00B970F1">
        <w:t xml:space="preserve"> </w:t>
      </w:r>
      <w:r w:rsidR="00D22023">
        <w:t>procedural limitations on obtaining and handling firearms. The Act also stipulates certain prohibitions and imposes requirements for eligibility to obtain and possess</w:t>
      </w:r>
      <w:r w:rsidR="00FC1A5D">
        <w:t xml:space="preserve"> </w:t>
      </w:r>
      <w:r w:rsidR="00D22023">
        <w:t>a firearm.</w:t>
      </w:r>
      <w:r w:rsidR="003B6CD4">
        <w:t xml:space="preserve"> The provisions of section 2 of the Act set out the purpose </w:t>
      </w:r>
      <w:r w:rsidR="00280F83">
        <w:t>of the Act,</w:t>
      </w:r>
      <w:r w:rsidR="003B6CD4">
        <w:t xml:space="preserve"> being to:</w:t>
      </w:r>
    </w:p>
    <w:p w:rsidR="003B6CD4" w:rsidRPr="00552C35" w:rsidRDefault="002242F8" w:rsidP="003C3BD4">
      <w:pPr>
        <w:rPr>
          <w:i/>
        </w:rPr>
      </w:pPr>
      <w:r>
        <w:t xml:space="preserve">                “</w:t>
      </w:r>
      <w:r w:rsidR="003B6CD4" w:rsidRPr="00552C35">
        <w:rPr>
          <w:i/>
        </w:rPr>
        <w:t xml:space="preserve">(a) </w:t>
      </w:r>
      <w:r>
        <w:rPr>
          <w:i/>
        </w:rPr>
        <w:tab/>
      </w:r>
      <w:r w:rsidR="003B6CD4" w:rsidRPr="00552C35">
        <w:rPr>
          <w:i/>
        </w:rPr>
        <w:t>enhance the constitutional rights to life and bodily integrity;</w:t>
      </w:r>
    </w:p>
    <w:p w:rsidR="003B6CD4" w:rsidRPr="00552C35" w:rsidRDefault="003B6CD4" w:rsidP="002242F8">
      <w:pPr>
        <w:ind w:left="2160" w:hanging="2160"/>
        <w:rPr>
          <w:i/>
        </w:rPr>
      </w:pPr>
      <w:r w:rsidRPr="00552C35">
        <w:rPr>
          <w:i/>
        </w:rPr>
        <w:t xml:space="preserve">                 (b)</w:t>
      </w:r>
      <w:r w:rsidR="0010718D" w:rsidRPr="00552C35">
        <w:rPr>
          <w:i/>
        </w:rPr>
        <w:t xml:space="preserve">  </w:t>
      </w:r>
      <w:r w:rsidR="002242F8">
        <w:rPr>
          <w:i/>
        </w:rPr>
        <w:tab/>
      </w:r>
      <w:r w:rsidRPr="00552C35">
        <w:rPr>
          <w:i/>
        </w:rPr>
        <w:t xml:space="preserve">prevent the proliferation of illegally possessed firearms and, by </w:t>
      </w:r>
      <w:r w:rsidR="0010718D" w:rsidRPr="00552C35">
        <w:rPr>
          <w:i/>
        </w:rPr>
        <w:t xml:space="preserve">                       providing </w:t>
      </w:r>
      <w:r w:rsidRPr="00552C35">
        <w:rPr>
          <w:i/>
        </w:rPr>
        <w:t xml:space="preserve">for the removal of those firearms from society and by </w:t>
      </w:r>
      <w:r w:rsidR="0010718D" w:rsidRPr="00552C35">
        <w:rPr>
          <w:i/>
        </w:rPr>
        <w:t xml:space="preserve">                       </w:t>
      </w:r>
      <w:r w:rsidRPr="00552C35">
        <w:rPr>
          <w:i/>
        </w:rPr>
        <w:t>improving control over legally possessed firearms, to prevent crime involving the use of firearms;</w:t>
      </w:r>
    </w:p>
    <w:p w:rsidR="0010718D" w:rsidRPr="00552C35" w:rsidRDefault="0010718D" w:rsidP="002242F8">
      <w:pPr>
        <w:ind w:left="2160" w:hanging="1020"/>
        <w:rPr>
          <w:i/>
        </w:rPr>
      </w:pPr>
      <w:r w:rsidRPr="00552C35">
        <w:rPr>
          <w:i/>
        </w:rPr>
        <w:t xml:space="preserve">(c) </w:t>
      </w:r>
      <w:r w:rsidR="002242F8">
        <w:rPr>
          <w:i/>
        </w:rPr>
        <w:tab/>
      </w:r>
      <w:r w:rsidRPr="00552C35">
        <w:rPr>
          <w:i/>
        </w:rPr>
        <w:t>enable the State to remove illegally possessed firearms from society, to control the supply, possession, safe storage, transfer and use of firearms and to detect and punish the negligent or criminal use of</w:t>
      </w:r>
      <w:r w:rsidR="002242F8">
        <w:rPr>
          <w:i/>
        </w:rPr>
        <w:t xml:space="preserve"> </w:t>
      </w:r>
      <w:r w:rsidRPr="00552C35">
        <w:rPr>
          <w:i/>
        </w:rPr>
        <w:t>firearms;</w:t>
      </w:r>
    </w:p>
    <w:p w:rsidR="0010718D" w:rsidRPr="00552C35" w:rsidRDefault="0010718D" w:rsidP="002242F8">
      <w:pPr>
        <w:ind w:left="2160" w:hanging="1095"/>
        <w:rPr>
          <w:i/>
        </w:rPr>
      </w:pPr>
      <w:r w:rsidRPr="00552C35">
        <w:rPr>
          <w:i/>
        </w:rPr>
        <w:t xml:space="preserve">(d) </w:t>
      </w:r>
      <w:r w:rsidR="002242F8">
        <w:rPr>
          <w:i/>
        </w:rPr>
        <w:tab/>
      </w:r>
      <w:r w:rsidRPr="00552C35">
        <w:rPr>
          <w:i/>
        </w:rPr>
        <w:t>establish a comprehensive and effective system of firearm control and management; and</w:t>
      </w:r>
    </w:p>
    <w:p w:rsidR="0010718D" w:rsidRDefault="00E54EF5" w:rsidP="002242F8">
      <w:pPr>
        <w:ind w:left="2160" w:hanging="1095"/>
        <w:rPr>
          <w:i/>
        </w:rPr>
      </w:pPr>
      <w:r>
        <w:rPr>
          <w:i/>
        </w:rPr>
        <w:t>(e)</w:t>
      </w:r>
      <w:r w:rsidR="00552C35" w:rsidRPr="00552C35">
        <w:rPr>
          <w:i/>
        </w:rPr>
        <w:t xml:space="preserve"> </w:t>
      </w:r>
      <w:r w:rsidR="002242F8">
        <w:rPr>
          <w:i/>
        </w:rPr>
        <w:tab/>
      </w:r>
      <w:r w:rsidR="0010718D" w:rsidRPr="00552C35">
        <w:rPr>
          <w:i/>
        </w:rPr>
        <w:t>ensure the efficient monitoring and enforcement of legislation pertaining to the control of firearms.’’</w:t>
      </w:r>
    </w:p>
    <w:p w:rsidR="00E83970" w:rsidRDefault="00E83970" w:rsidP="0010718D">
      <w:pPr>
        <w:rPr>
          <w:i/>
        </w:rPr>
      </w:pPr>
    </w:p>
    <w:p w:rsidR="00E83970" w:rsidRDefault="00A57C5B" w:rsidP="0010718D">
      <w:r>
        <w:t>[2</w:t>
      </w:r>
      <w:r w:rsidR="00642780">
        <w:t>1</w:t>
      </w:r>
      <w:r>
        <w:t>]</w:t>
      </w:r>
      <w:r w:rsidR="00E83970">
        <w:t xml:space="preserve"> </w:t>
      </w:r>
      <w:r w:rsidR="00CF5A70">
        <w:tab/>
      </w:r>
      <w:r>
        <w:t>The provisions of</w:t>
      </w:r>
      <w:r w:rsidR="00CF65D8">
        <w:t xml:space="preserve"> section 3(1) of the Act impose</w:t>
      </w:r>
      <w:r>
        <w:t xml:space="preserve"> g</w:t>
      </w:r>
      <w:r w:rsidR="00CF5A70">
        <w:t xml:space="preserve">eneral prohibitions relating to </w:t>
      </w:r>
      <w:r w:rsidR="00CF65D8">
        <w:t xml:space="preserve">      </w:t>
      </w:r>
      <w:r w:rsidR="00953192">
        <w:t xml:space="preserve"> </w:t>
      </w:r>
      <w:r>
        <w:t>firearms and muzzle loading firearms at state thus:</w:t>
      </w:r>
    </w:p>
    <w:p w:rsidR="00533EF6" w:rsidRPr="0043302F" w:rsidRDefault="00CF5A70" w:rsidP="00CF5A70">
      <w:pPr>
        <w:ind w:left="2160" w:hanging="720"/>
        <w:rPr>
          <w:i/>
        </w:rPr>
      </w:pPr>
      <w:r>
        <w:rPr>
          <w:i/>
        </w:rPr>
        <w:lastRenderedPageBreak/>
        <w:t>“</w:t>
      </w:r>
      <w:r w:rsidR="00533EF6" w:rsidRPr="0043302F">
        <w:rPr>
          <w:i/>
        </w:rPr>
        <w:t xml:space="preserve">(1) </w:t>
      </w:r>
      <w:r>
        <w:rPr>
          <w:i/>
        </w:rPr>
        <w:tab/>
      </w:r>
      <w:r w:rsidR="00A57C5B" w:rsidRPr="0043302F">
        <w:rPr>
          <w:i/>
        </w:rPr>
        <w:t>No person</w:t>
      </w:r>
      <w:r w:rsidR="00533EF6" w:rsidRPr="0043302F">
        <w:rPr>
          <w:i/>
        </w:rPr>
        <w:t xml:space="preserve"> may possess a firearm unless he or she holds for that firearm- </w:t>
      </w:r>
    </w:p>
    <w:p w:rsidR="00533EF6" w:rsidRDefault="00533EF6" w:rsidP="00D50A39">
      <w:pPr>
        <w:pStyle w:val="ListParagraph"/>
        <w:numPr>
          <w:ilvl w:val="0"/>
          <w:numId w:val="13"/>
        </w:numPr>
        <w:rPr>
          <w:i/>
        </w:rPr>
      </w:pPr>
      <w:r w:rsidRPr="0043302F">
        <w:rPr>
          <w:i/>
        </w:rPr>
        <w:t>A licence, permit or authorisation issued in terms of this Act; or</w:t>
      </w:r>
    </w:p>
    <w:p w:rsidR="00CF65D8" w:rsidRPr="00CF65D8" w:rsidRDefault="00CF65D8" w:rsidP="00CF65D8">
      <w:pPr>
        <w:rPr>
          <w:i/>
        </w:rPr>
      </w:pPr>
      <w:r>
        <w:rPr>
          <w:i/>
        </w:rPr>
        <w:t xml:space="preserve">                    (b)…..</w:t>
      </w:r>
    </w:p>
    <w:p w:rsidR="00533EF6" w:rsidRPr="00777704" w:rsidRDefault="00533EF6" w:rsidP="00777704">
      <w:pPr>
        <w:ind w:hanging="720"/>
        <w:rPr>
          <w:i/>
        </w:rPr>
      </w:pPr>
    </w:p>
    <w:p w:rsidR="00533EF6" w:rsidRDefault="00533EF6" w:rsidP="00CF5A70">
      <w:pPr>
        <w:ind w:left="2160" w:hanging="1020"/>
        <w:rPr>
          <w:i/>
        </w:rPr>
      </w:pPr>
      <w:r w:rsidRPr="0043302F">
        <w:rPr>
          <w:i/>
        </w:rPr>
        <w:t xml:space="preserve">(2) </w:t>
      </w:r>
      <w:r w:rsidR="00CF5A70">
        <w:rPr>
          <w:i/>
        </w:rPr>
        <w:tab/>
      </w:r>
      <w:r w:rsidRPr="0043302F">
        <w:rPr>
          <w:i/>
        </w:rPr>
        <w:t>No person may possess a muzzle loading firearm</w:t>
      </w:r>
      <w:r w:rsidR="0043302F" w:rsidRPr="0043302F">
        <w:rPr>
          <w:i/>
        </w:rPr>
        <w:t xml:space="preserve"> unless he or she has</w:t>
      </w:r>
      <w:r w:rsidR="00CF5A70">
        <w:rPr>
          <w:i/>
        </w:rPr>
        <w:t xml:space="preserve"> </w:t>
      </w:r>
      <w:r w:rsidR="0043302F" w:rsidRPr="0043302F">
        <w:rPr>
          <w:i/>
        </w:rPr>
        <w:t>been issued with the relevant competency certificate.’’</w:t>
      </w:r>
    </w:p>
    <w:p w:rsidR="004558A8" w:rsidRDefault="004558A8" w:rsidP="00533EF6"/>
    <w:p w:rsidR="0043302F" w:rsidRDefault="00642780" w:rsidP="00953192">
      <w:r>
        <w:t>[22</w:t>
      </w:r>
      <w:r w:rsidR="008505C1">
        <w:t>]</w:t>
      </w:r>
      <w:r w:rsidR="00953192">
        <w:t xml:space="preserve"> </w:t>
      </w:r>
      <w:r w:rsidR="00D62FE2">
        <w:tab/>
      </w:r>
      <w:r w:rsidR="008505C1">
        <w:t>In terms of section 9(2) a person may only be issue</w:t>
      </w:r>
      <w:r w:rsidR="00777704">
        <w:t xml:space="preserve">d with a competency certificate </w:t>
      </w:r>
      <w:r w:rsidR="00953192">
        <w:t>i</w:t>
      </w:r>
      <w:r w:rsidR="008505C1">
        <w:t>f he or she;</w:t>
      </w:r>
    </w:p>
    <w:p w:rsidR="008505C1" w:rsidRPr="00BC48C5" w:rsidRDefault="00D62FE2" w:rsidP="00D62FE2">
      <w:pPr>
        <w:ind w:left="2160" w:hanging="720"/>
        <w:rPr>
          <w:i/>
        </w:rPr>
      </w:pPr>
      <w:r>
        <w:rPr>
          <w:i/>
        </w:rPr>
        <w:t>“</w:t>
      </w:r>
      <w:r w:rsidR="008505C1" w:rsidRPr="00BC48C5">
        <w:rPr>
          <w:i/>
        </w:rPr>
        <w:t xml:space="preserve">(c) </w:t>
      </w:r>
      <w:r>
        <w:rPr>
          <w:i/>
        </w:rPr>
        <w:tab/>
      </w:r>
      <w:r w:rsidR="008505C1" w:rsidRPr="00BC48C5">
        <w:rPr>
          <w:i/>
        </w:rPr>
        <w:t>is a fit and proper person to possess a firearm</w:t>
      </w:r>
      <w:r w:rsidR="00FB6BFA" w:rsidRPr="00BC48C5">
        <w:rPr>
          <w:i/>
        </w:rPr>
        <w:t>, to trade in firearms,</w:t>
      </w:r>
      <w:r>
        <w:rPr>
          <w:i/>
        </w:rPr>
        <w:t xml:space="preserve"> to manufacture firearms…</w:t>
      </w:r>
    </w:p>
    <w:p w:rsidR="00FB6BFA" w:rsidRPr="00BC48C5" w:rsidRDefault="004558A8" w:rsidP="00D62FE2">
      <w:pPr>
        <w:ind w:left="2160" w:hanging="720"/>
        <w:rPr>
          <w:i/>
        </w:rPr>
      </w:pPr>
      <w:r>
        <w:rPr>
          <w:i/>
        </w:rPr>
        <w:t xml:space="preserve">(l) </w:t>
      </w:r>
      <w:r w:rsidR="00D62FE2">
        <w:rPr>
          <w:i/>
        </w:rPr>
        <w:tab/>
      </w:r>
      <w:r>
        <w:rPr>
          <w:i/>
        </w:rPr>
        <w:t>i</w:t>
      </w:r>
      <w:r w:rsidR="00FB6BFA" w:rsidRPr="00BC48C5">
        <w:rPr>
          <w:i/>
        </w:rPr>
        <w:t xml:space="preserve">s not been convicted of an offence in terms of the Domestic       </w:t>
      </w:r>
      <w:r w:rsidR="00777704">
        <w:rPr>
          <w:i/>
        </w:rPr>
        <w:t xml:space="preserve">                      </w:t>
      </w:r>
      <w:r w:rsidR="00FB6BFA" w:rsidRPr="00BC48C5">
        <w:rPr>
          <w:i/>
        </w:rPr>
        <w:t xml:space="preserve"> Violence Act, 1998 (Act No. 106 of 1998), and sentenced to a </w:t>
      </w:r>
      <w:r w:rsidR="00777704">
        <w:rPr>
          <w:i/>
        </w:rPr>
        <w:t xml:space="preserve">                            </w:t>
      </w:r>
      <w:r w:rsidR="00FB6BFA" w:rsidRPr="00BC48C5">
        <w:rPr>
          <w:i/>
        </w:rPr>
        <w:t xml:space="preserve">  period of imprisonment without the option of a fine;</w:t>
      </w:r>
    </w:p>
    <w:p w:rsidR="00FB6BFA" w:rsidRPr="00BC48C5" w:rsidRDefault="00FB6BFA" w:rsidP="00D62FE2">
      <w:pPr>
        <w:ind w:left="2160" w:hanging="720"/>
        <w:rPr>
          <w:i/>
        </w:rPr>
      </w:pPr>
      <w:r w:rsidRPr="00BC48C5">
        <w:rPr>
          <w:i/>
        </w:rPr>
        <w:t xml:space="preserve">(m) </w:t>
      </w:r>
      <w:r w:rsidR="00D62FE2">
        <w:rPr>
          <w:i/>
        </w:rPr>
        <w:tab/>
      </w:r>
      <w:r w:rsidRPr="00BC48C5">
        <w:rPr>
          <w:i/>
        </w:rPr>
        <w:t>has not been convicted of an offence involving the negligent                              handling of a firearm;</w:t>
      </w:r>
    </w:p>
    <w:p w:rsidR="00FB6BFA" w:rsidRPr="00BC48C5" w:rsidRDefault="00FB6BFA" w:rsidP="00D62FE2">
      <w:pPr>
        <w:ind w:left="2160" w:hanging="720"/>
        <w:rPr>
          <w:i/>
        </w:rPr>
      </w:pPr>
      <w:r w:rsidRPr="00BC48C5">
        <w:rPr>
          <w:i/>
        </w:rPr>
        <w:t xml:space="preserve">(p) </w:t>
      </w:r>
      <w:r w:rsidR="00D62FE2">
        <w:rPr>
          <w:i/>
        </w:rPr>
        <w:tab/>
      </w:r>
      <w:r w:rsidRPr="00BC48C5">
        <w:rPr>
          <w:i/>
        </w:rPr>
        <w:t>has not become or been declared unfit to possess a firearm in</w:t>
      </w:r>
      <w:r w:rsidR="00280F83">
        <w:rPr>
          <w:i/>
        </w:rPr>
        <w:t xml:space="preserve">                              terms</w:t>
      </w:r>
      <w:r w:rsidR="00923EBF" w:rsidRPr="00BC48C5">
        <w:rPr>
          <w:i/>
        </w:rPr>
        <w:t xml:space="preserve"> </w:t>
      </w:r>
      <w:r w:rsidRPr="00BC48C5">
        <w:rPr>
          <w:i/>
        </w:rPr>
        <w:t>of this Act or the previous Act;</w:t>
      </w:r>
    </w:p>
    <w:p w:rsidR="00923EBF" w:rsidRPr="00BC48C5" w:rsidRDefault="00923EBF" w:rsidP="00D62FE2">
      <w:pPr>
        <w:ind w:left="2160" w:hanging="720"/>
        <w:rPr>
          <w:i/>
        </w:rPr>
      </w:pPr>
      <w:r w:rsidRPr="00BC48C5">
        <w:rPr>
          <w:i/>
        </w:rPr>
        <w:t>(q)</w:t>
      </w:r>
      <w:r w:rsidR="00777704">
        <w:rPr>
          <w:i/>
        </w:rPr>
        <w:t xml:space="preserve"> </w:t>
      </w:r>
      <w:r w:rsidRPr="00BC48C5">
        <w:rPr>
          <w:i/>
        </w:rPr>
        <w:t xml:space="preserve"> </w:t>
      </w:r>
      <w:r w:rsidR="00D62FE2">
        <w:rPr>
          <w:i/>
        </w:rPr>
        <w:tab/>
      </w:r>
      <w:r w:rsidRPr="00BC48C5">
        <w:rPr>
          <w:i/>
        </w:rPr>
        <w:t xml:space="preserve">has successfully completed the prescribed test on knowledge of </w:t>
      </w:r>
      <w:r w:rsidR="00777704">
        <w:rPr>
          <w:i/>
        </w:rPr>
        <w:t xml:space="preserve">                             </w:t>
      </w:r>
      <w:r w:rsidR="00280F83">
        <w:rPr>
          <w:i/>
        </w:rPr>
        <w:t xml:space="preserve"> </w:t>
      </w:r>
      <w:r w:rsidRPr="00BC48C5">
        <w:rPr>
          <w:i/>
        </w:rPr>
        <w:t>this Act;</w:t>
      </w:r>
    </w:p>
    <w:p w:rsidR="00C20FF9" w:rsidRPr="00BC48C5" w:rsidRDefault="00C20FF9" w:rsidP="00D62FE2">
      <w:pPr>
        <w:ind w:left="2160" w:hanging="720"/>
        <w:rPr>
          <w:i/>
        </w:rPr>
      </w:pPr>
      <w:r w:rsidRPr="00BC48C5">
        <w:rPr>
          <w:i/>
        </w:rPr>
        <w:t xml:space="preserve">(r) </w:t>
      </w:r>
      <w:r w:rsidR="00D62FE2">
        <w:rPr>
          <w:i/>
        </w:rPr>
        <w:tab/>
      </w:r>
      <w:r w:rsidRPr="00BC48C5">
        <w:rPr>
          <w:i/>
        </w:rPr>
        <w:t>has successfully completed the prescribed training and practical</w:t>
      </w:r>
      <w:r w:rsidR="00280F83">
        <w:rPr>
          <w:i/>
        </w:rPr>
        <w:t xml:space="preserve">                              test</w:t>
      </w:r>
      <w:r w:rsidRPr="00BC48C5">
        <w:rPr>
          <w:i/>
        </w:rPr>
        <w:t xml:space="preserve"> regarding the safe and efficient handling of a firearm;……</w:t>
      </w:r>
    </w:p>
    <w:p w:rsidR="00C20FF9" w:rsidRDefault="00C20FF9" w:rsidP="00533EF6"/>
    <w:p w:rsidR="00C20FF9" w:rsidRDefault="00C20FF9" w:rsidP="00953192">
      <w:r>
        <w:t>[2</w:t>
      </w:r>
      <w:r w:rsidR="009E4D25">
        <w:t>3</w:t>
      </w:r>
      <w:r>
        <w:t>]</w:t>
      </w:r>
      <w:r w:rsidR="00953192">
        <w:t xml:space="preserve"> </w:t>
      </w:r>
      <w:r w:rsidR="002A216D">
        <w:tab/>
      </w:r>
      <w:r w:rsidR="00894BE1">
        <w:t>In terms of section 102</w:t>
      </w:r>
      <w:r>
        <w:t xml:space="preserve"> the registrar may declare a person unfit </w:t>
      </w:r>
      <w:r w:rsidR="00071B5E">
        <w:t xml:space="preserve">to possess a     </w:t>
      </w:r>
      <w:r w:rsidR="00777704">
        <w:t xml:space="preserve"> </w:t>
      </w:r>
      <w:r w:rsidR="00071B5E">
        <w:t xml:space="preserve"> </w:t>
      </w:r>
      <w:r>
        <w:t>firearm if, on the grounds of information</w:t>
      </w:r>
      <w:r w:rsidR="00BC48C5">
        <w:t xml:space="preserve"> contained in a statement under oath or</w:t>
      </w:r>
      <w:r w:rsidR="00071B5E">
        <w:t xml:space="preserve">    </w:t>
      </w:r>
      <w:r w:rsidR="00953192">
        <w:t xml:space="preserve"> </w:t>
      </w:r>
      <w:r w:rsidR="00071B5E">
        <w:t xml:space="preserve"> </w:t>
      </w:r>
      <w:r w:rsidR="00BC48C5">
        <w:t>affirmation, including a statement made by a person called as a witness, it</w:t>
      </w:r>
      <w:r w:rsidR="00777704">
        <w:t xml:space="preserve">     </w:t>
      </w:r>
      <w:r w:rsidR="00953192">
        <w:t xml:space="preserve"> </w:t>
      </w:r>
      <w:r w:rsidR="00BC48C5">
        <w:t>appears that:</w:t>
      </w:r>
    </w:p>
    <w:p w:rsidR="00BC48C5" w:rsidRDefault="00D029AC" w:rsidP="00D029AC">
      <w:pPr>
        <w:ind w:left="2160" w:hanging="720"/>
        <w:rPr>
          <w:i/>
        </w:rPr>
      </w:pPr>
      <w:r>
        <w:rPr>
          <w:i/>
        </w:rPr>
        <w:lastRenderedPageBreak/>
        <w:t>“</w:t>
      </w:r>
      <w:r w:rsidR="00BC48C5" w:rsidRPr="00BC48C5">
        <w:rPr>
          <w:i/>
        </w:rPr>
        <w:t xml:space="preserve">(a) </w:t>
      </w:r>
      <w:r>
        <w:rPr>
          <w:i/>
        </w:rPr>
        <w:tab/>
      </w:r>
      <w:r w:rsidR="00BC48C5" w:rsidRPr="00BC48C5">
        <w:rPr>
          <w:i/>
        </w:rPr>
        <w:t>a final protection order has been issued</w:t>
      </w:r>
      <w:r w:rsidR="00071B5E">
        <w:rPr>
          <w:i/>
        </w:rPr>
        <w:t xml:space="preserve"> against such person in</w:t>
      </w:r>
      <w:r w:rsidR="00777704">
        <w:rPr>
          <w:i/>
        </w:rPr>
        <w:t xml:space="preserve">                      </w:t>
      </w:r>
      <w:r w:rsidR="00BC48C5" w:rsidRPr="00BC48C5">
        <w:rPr>
          <w:i/>
        </w:rPr>
        <w:t xml:space="preserve">  terms of the Domestic Violen</w:t>
      </w:r>
      <w:r w:rsidR="00194F05">
        <w:rPr>
          <w:i/>
        </w:rPr>
        <w:t>ce Act, 1998 (Act 116 of 1998)</w:t>
      </w:r>
    </w:p>
    <w:p w:rsidR="00194F05" w:rsidRDefault="00194F05" w:rsidP="00D029AC">
      <w:pPr>
        <w:ind w:left="2160" w:hanging="720"/>
        <w:rPr>
          <w:i/>
        </w:rPr>
      </w:pPr>
    </w:p>
    <w:p w:rsidR="00194F05" w:rsidRDefault="00194F05" w:rsidP="00D029AC">
      <w:pPr>
        <w:ind w:left="2160" w:hanging="720"/>
        <w:rPr>
          <w:i/>
        </w:rPr>
      </w:pPr>
    </w:p>
    <w:p w:rsidR="00BC48C5" w:rsidRPr="00194F05" w:rsidRDefault="00194F05" w:rsidP="00194F05">
      <w:pPr>
        <w:ind w:left="2160" w:hanging="726"/>
        <w:rPr>
          <w:i/>
        </w:rPr>
      </w:pPr>
      <w:r w:rsidRPr="00194F05">
        <w:rPr>
          <w:i/>
        </w:rPr>
        <w:t>(</w:t>
      </w:r>
      <w:r>
        <w:rPr>
          <w:i/>
        </w:rPr>
        <w:t>b)</w:t>
      </w:r>
      <w:r>
        <w:rPr>
          <w:i/>
        </w:rPr>
        <w:tab/>
      </w:r>
      <w:r w:rsidR="00071B5E" w:rsidRPr="00194F05">
        <w:rPr>
          <w:i/>
        </w:rPr>
        <w:t xml:space="preserve">that </w:t>
      </w:r>
      <w:r w:rsidR="00BC48C5" w:rsidRPr="00194F05">
        <w:rPr>
          <w:i/>
        </w:rPr>
        <w:t>person has expressed the intentio</w:t>
      </w:r>
      <w:r w:rsidR="00D029AC" w:rsidRPr="00194F05">
        <w:rPr>
          <w:i/>
        </w:rPr>
        <w:t>n to kill or injure himself or</w:t>
      </w:r>
      <w:r w:rsidR="00071B5E" w:rsidRPr="00194F05">
        <w:rPr>
          <w:i/>
        </w:rPr>
        <w:t xml:space="preserve">                        </w:t>
      </w:r>
      <w:r w:rsidR="00BC48C5" w:rsidRPr="00194F05">
        <w:rPr>
          <w:i/>
        </w:rPr>
        <w:t xml:space="preserve"> herself or any other person by mea</w:t>
      </w:r>
      <w:r w:rsidR="00041E2F" w:rsidRPr="00194F05">
        <w:rPr>
          <w:i/>
        </w:rPr>
        <w:t>ns of a firearm or any other</w:t>
      </w:r>
      <w:r w:rsidR="00071B5E" w:rsidRPr="00194F05">
        <w:rPr>
          <w:i/>
        </w:rPr>
        <w:t xml:space="preserve">                        </w:t>
      </w:r>
      <w:r w:rsidR="00BC48C5" w:rsidRPr="00194F05">
        <w:rPr>
          <w:i/>
        </w:rPr>
        <w:t xml:space="preserve"> dangerous weapon;</w:t>
      </w:r>
    </w:p>
    <w:p w:rsidR="009E5480" w:rsidRDefault="00194F05" w:rsidP="00194F05">
      <w:pPr>
        <w:ind w:left="2160" w:hanging="825"/>
        <w:rPr>
          <w:i/>
        </w:rPr>
      </w:pPr>
      <w:r w:rsidRPr="00194F05">
        <w:rPr>
          <w:i/>
        </w:rPr>
        <w:t>(c</w:t>
      </w:r>
      <w:r>
        <w:rPr>
          <w:i/>
        </w:rPr>
        <w:t>)</w:t>
      </w:r>
      <w:r>
        <w:rPr>
          <w:i/>
        </w:rPr>
        <w:tab/>
      </w:r>
      <w:r w:rsidR="00071B5E" w:rsidRPr="00194F05">
        <w:rPr>
          <w:i/>
        </w:rPr>
        <w:t>because</w:t>
      </w:r>
      <w:r w:rsidR="009E5480" w:rsidRPr="00194F05">
        <w:rPr>
          <w:i/>
        </w:rPr>
        <w:t xml:space="preserve"> of that person’s mental condition, inclination to violence or </w:t>
      </w:r>
      <w:r w:rsidR="00FE4650" w:rsidRPr="00194F05">
        <w:rPr>
          <w:i/>
        </w:rPr>
        <w:t xml:space="preserve">  </w:t>
      </w:r>
      <w:r w:rsidR="009E5480" w:rsidRPr="00FE4650">
        <w:rPr>
          <w:i/>
        </w:rPr>
        <w:t>dependence on any substance which has an intoxicating or narcotic effect,</w:t>
      </w:r>
      <w:r w:rsidR="0039316C">
        <w:rPr>
          <w:i/>
        </w:rPr>
        <w:t xml:space="preserve"> </w:t>
      </w:r>
      <w:r w:rsidR="009E5480" w:rsidRPr="006E6FD4">
        <w:rPr>
          <w:i/>
        </w:rPr>
        <w:t>the possession of a firearm by that person is not in the interests of that person or any other person;</w:t>
      </w:r>
    </w:p>
    <w:p w:rsidR="0039316C" w:rsidRPr="0039316C" w:rsidRDefault="006E6FD4" w:rsidP="00194F05">
      <w:pPr>
        <w:ind w:left="2160" w:hanging="825"/>
        <w:rPr>
          <w:i/>
        </w:rPr>
      </w:pPr>
      <w:r>
        <w:rPr>
          <w:i/>
        </w:rPr>
        <w:t>(</w:t>
      </w:r>
      <w:r w:rsidR="0039316C">
        <w:rPr>
          <w:i/>
        </w:rPr>
        <w:t>d</w:t>
      </w:r>
      <w:r>
        <w:rPr>
          <w:i/>
        </w:rPr>
        <w:t>)</w:t>
      </w:r>
      <w:r>
        <w:rPr>
          <w:i/>
        </w:rPr>
        <w:tab/>
      </w:r>
      <w:r w:rsidR="00615ED7" w:rsidRPr="006E6FD4">
        <w:rPr>
          <w:i/>
        </w:rPr>
        <w:t xml:space="preserve">that person has failed to take the prescribed steps for the safe-keeping </w:t>
      </w:r>
      <w:r w:rsidR="00615ED7" w:rsidRPr="00615ED7">
        <w:rPr>
          <w:i/>
        </w:rPr>
        <w:t>of any firearm; or</w:t>
      </w:r>
    </w:p>
    <w:p w:rsidR="007A7C3D" w:rsidRPr="0039316C" w:rsidRDefault="0039316C" w:rsidP="0039316C">
      <w:pPr>
        <w:ind w:firstLine="606"/>
        <w:rPr>
          <w:i/>
        </w:rPr>
      </w:pPr>
      <w:r>
        <w:rPr>
          <w:i/>
        </w:rPr>
        <w:t xml:space="preserve">(e) </w:t>
      </w:r>
      <w:r w:rsidR="00894BE1">
        <w:rPr>
          <w:i/>
        </w:rPr>
        <w:t xml:space="preserve">   </w:t>
      </w:r>
      <w:r w:rsidR="00194F05">
        <w:rPr>
          <w:i/>
        </w:rPr>
        <w:tab/>
      </w:r>
      <w:r w:rsidR="007A7C3D" w:rsidRPr="0039316C">
        <w:rPr>
          <w:i/>
        </w:rPr>
        <w:t>dies, or</w:t>
      </w:r>
    </w:p>
    <w:p w:rsidR="00C11E05" w:rsidRDefault="00CD146C" w:rsidP="00D15EFE">
      <w:pPr>
        <w:ind w:firstLine="0"/>
        <w:rPr>
          <w:i/>
        </w:rPr>
      </w:pPr>
      <w:r>
        <w:rPr>
          <w:i/>
        </w:rPr>
        <w:tab/>
        <w:t>(f)</w:t>
      </w:r>
      <w:r w:rsidR="00894BE1">
        <w:rPr>
          <w:i/>
        </w:rPr>
        <w:t xml:space="preserve">   </w:t>
      </w:r>
      <w:r w:rsidR="00194F05">
        <w:rPr>
          <w:i/>
        </w:rPr>
        <w:tab/>
      </w:r>
      <w:r w:rsidR="00615ED7" w:rsidRPr="0039316C">
        <w:rPr>
          <w:i/>
        </w:rPr>
        <w:t xml:space="preserve">that person has provided information required in terms of this Act </w:t>
      </w:r>
      <w:r w:rsidR="00894BE1">
        <w:rPr>
          <w:i/>
        </w:rPr>
        <w:t xml:space="preserve">   </w:t>
      </w:r>
      <w:r w:rsidR="00194F05">
        <w:rPr>
          <w:i/>
        </w:rPr>
        <w:t xml:space="preserve">    </w:t>
      </w:r>
      <w:r w:rsidR="00D15EFE">
        <w:rPr>
          <w:i/>
        </w:rPr>
        <w:tab/>
      </w:r>
      <w:r w:rsidR="00D15EFE">
        <w:rPr>
          <w:i/>
        </w:rPr>
        <w:tab/>
      </w:r>
      <w:r w:rsidR="00615ED7">
        <w:rPr>
          <w:i/>
        </w:rPr>
        <w:t>which is false or misleading.’’</w:t>
      </w:r>
    </w:p>
    <w:p w:rsidR="00314E6C" w:rsidRPr="00C11E05" w:rsidRDefault="00314E6C" w:rsidP="007A7C3D">
      <w:pPr>
        <w:pStyle w:val="ListParagraph"/>
        <w:ind w:firstLine="0"/>
        <w:rPr>
          <w:i/>
        </w:rPr>
      </w:pPr>
      <w:r>
        <w:t xml:space="preserve">  </w:t>
      </w:r>
    </w:p>
    <w:p w:rsidR="00314E6C" w:rsidRDefault="0090126E" w:rsidP="00393091">
      <w:pPr>
        <w:rPr>
          <w:b/>
        </w:rPr>
      </w:pPr>
      <w:r>
        <w:t xml:space="preserve"> </w:t>
      </w:r>
      <w:r w:rsidR="00F740D2">
        <w:tab/>
      </w:r>
      <w:r w:rsidR="003C3BD4" w:rsidRPr="003C3BD4">
        <w:rPr>
          <w:b/>
        </w:rPr>
        <w:t>THE</w:t>
      </w:r>
      <w:r w:rsidR="003C3BD4">
        <w:t xml:space="preserve"> </w:t>
      </w:r>
      <w:r w:rsidRPr="005D1EBF">
        <w:rPr>
          <w:b/>
        </w:rPr>
        <w:t>F</w:t>
      </w:r>
      <w:r w:rsidR="00314E6C">
        <w:rPr>
          <w:b/>
        </w:rPr>
        <w:t>IREARMS CONTROL REGULATIONS 2004</w:t>
      </w:r>
    </w:p>
    <w:p w:rsidR="00B517E2" w:rsidRDefault="00C11E05" w:rsidP="007A7C3D">
      <w:pPr>
        <w:spacing w:after="729"/>
      </w:pPr>
      <w:r>
        <w:t>[2</w:t>
      </w:r>
      <w:r w:rsidR="009E4D25">
        <w:t>4</w:t>
      </w:r>
      <w:r w:rsidR="00074F07">
        <w:t>]</w:t>
      </w:r>
      <w:r w:rsidR="007A7C3D">
        <w:t xml:space="preserve">    </w:t>
      </w:r>
      <w:r w:rsidR="005D1EBF" w:rsidRPr="00074F07">
        <w:t xml:space="preserve">Firearms Control </w:t>
      </w:r>
      <w:r w:rsidR="00883290" w:rsidRPr="00074F07">
        <w:t>Regulations were made under and</w:t>
      </w:r>
      <w:r w:rsidR="00314E6C" w:rsidRPr="00074F07">
        <w:t xml:space="preserve"> </w:t>
      </w:r>
      <w:r w:rsidR="00071B5E">
        <w:t>are, theref</w:t>
      </w:r>
      <w:r w:rsidR="007A7C3D">
        <w:t xml:space="preserve">ore, subject to the </w:t>
      </w:r>
      <w:r w:rsidR="005D1EBF" w:rsidRPr="00074F07">
        <w:t>provisions</w:t>
      </w:r>
      <w:r w:rsidR="007A7C3D">
        <w:t xml:space="preserve"> </w:t>
      </w:r>
      <w:r w:rsidR="00883290" w:rsidRPr="00074F07">
        <w:t xml:space="preserve">of the Firearms </w:t>
      </w:r>
      <w:r w:rsidR="005D1EBF" w:rsidRPr="00074F07">
        <w:t>Control</w:t>
      </w:r>
      <w:r w:rsidR="005933CB" w:rsidRPr="00074F07">
        <w:t xml:space="preserve"> Act. </w:t>
      </w:r>
      <w:r w:rsidR="007A7C3D">
        <w:t xml:space="preserve">Sections 79(b) and 80 of the </w:t>
      </w:r>
      <w:r w:rsidR="00BB51C2">
        <w:t>Regulations provide for the prescribed training and test in respect of the employees of the SAPS. The R</w:t>
      </w:r>
      <w:r w:rsidR="00B517E2">
        <w:t>egulations state that</w:t>
      </w:r>
      <w:r w:rsidR="00BB51C2">
        <w:t xml:space="preserve"> </w:t>
      </w:r>
      <w:r w:rsidR="00B517E2">
        <w:t>i</w:t>
      </w:r>
      <w:r w:rsidR="00BB51C2">
        <w:t>n order to sustain the competency of an employee of an Official Institution</w:t>
      </w:r>
      <w:r w:rsidR="00B517E2">
        <w:t xml:space="preserve"> </w:t>
      </w:r>
      <w:r w:rsidR="00BB51C2">
        <w:t>to whom a firearm was issued the head of the Official Institution must</w:t>
      </w:r>
      <w:r w:rsidR="00B517E2">
        <w:t xml:space="preserve"> – </w:t>
      </w:r>
    </w:p>
    <w:p w:rsidR="00896453" w:rsidRDefault="00953192" w:rsidP="007A7C3D">
      <w:pPr>
        <w:spacing w:after="729"/>
        <w:rPr>
          <w:i/>
        </w:rPr>
      </w:pPr>
      <w:r>
        <w:rPr>
          <w:i/>
        </w:rPr>
        <w:t xml:space="preserve">         </w:t>
      </w:r>
      <w:r w:rsidR="00907984">
        <w:rPr>
          <w:i/>
        </w:rPr>
        <w:tab/>
      </w:r>
      <w:r w:rsidR="00907984">
        <w:rPr>
          <w:i/>
        </w:rPr>
        <w:tab/>
        <w:t>“</w:t>
      </w:r>
      <w:r w:rsidR="00B517E2" w:rsidRPr="00C3791F">
        <w:rPr>
          <w:i/>
        </w:rPr>
        <w:t xml:space="preserve">(i) </w:t>
      </w:r>
      <w:r w:rsidR="00907984">
        <w:rPr>
          <w:i/>
        </w:rPr>
        <w:tab/>
      </w:r>
      <w:r w:rsidR="00B517E2" w:rsidRPr="00C3791F">
        <w:rPr>
          <w:i/>
        </w:rPr>
        <w:t>ensure that he or she undergo at least</w:t>
      </w:r>
      <w:r w:rsidR="00C3791F">
        <w:rPr>
          <w:i/>
        </w:rPr>
        <w:t xml:space="preserve"> one practical training </w:t>
      </w:r>
      <w:r w:rsidR="00907984">
        <w:rPr>
          <w:i/>
        </w:rPr>
        <w:tab/>
      </w:r>
      <w:r w:rsidR="00907984">
        <w:rPr>
          <w:i/>
        </w:rPr>
        <w:tab/>
      </w:r>
      <w:r w:rsidR="00907984">
        <w:rPr>
          <w:i/>
        </w:rPr>
        <w:tab/>
      </w:r>
      <w:r w:rsidR="00C3791F">
        <w:rPr>
          <w:i/>
        </w:rPr>
        <w:t>session</w:t>
      </w:r>
      <w:r w:rsidR="00B517E2" w:rsidRPr="00C3791F">
        <w:rPr>
          <w:i/>
        </w:rPr>
        <w:t xml:space="preserve"> </w:t>
      </w:r>
      <w:r>
        <w:rPr>
          <w:i/>
        </w:rPr>
        <w:t>at least</w:t>
      </w:r>
      <w:r w:rsidR="007A7C3D">
        <w:rPr>
          <w:i/>
        </w:rPr>
        <w:t xml:space="preserve"> </w:t>
      </w:r>
      <w:r w:rsidR="00B517E2" w:rsidRPr="00C3791F">
        <w:rPr>
          <w:i/>
        </w:rPr>
        <w:t xml:space="preserve">every 12 months or within a shorter </w:t>
      </w:r>
      <w:r w:rsidR="00907984">
        <w:rPr>
          <w:i/>
        </w:rPr>
        <w:tab/>
      </w:r>
      <w:r w:rsidR="00907984">
        <w:rPr>
          <w:i/>
        </w:rPr>
        <w:tab/>
      </w:r>
      <w:r w:rsidR="00907984">
        <w:rPr>
          <w:i/>
        </w:rPr>
        <w:tab/>
      </w:r>
      <w:r w:rsidR="00907984">
        <w:rPr>
          <w:i/>
        </w:rPr>
        <w:tab/>
      </w:r>
      <w:r w:rsidR="00B517E2" w:rsidRPr="00C3791F">
        <w:rPr>
          <w:i/>
        </w:rPr>
        <w:t xml:space="preserve">period as may be reasonably necessary in the circumstances, </w:t>
      </w:r>
      <w:r w:rsidR="00907984">
        <w:rPr>
          <w:i/>
        </w:rPr>
        <w:lastRenderedPageBreak/>
        <w:tab/>
      </w:r>
      <w:r w:rsidR="00907984">
        <w:rPr>
          <w:i/>
        </w:rPr>
        <w:tab/>
      </w:r>
      <w:r w:rsidR="00B517E2" w:rsidRPr="00C3791F">
        <w:rPr>
          <w:i/>
        </w:rPr>
        <w:t>in the proper and safe</w:t>
      </w:r>
      <w:r w:rsidR="00907984">
        <w:rPr>
          <w:i/>
        </w:rPr>
        <w:t xml:space="preserve"> </w:t>
      </w:r>
      <w:r w:rsidR="00B517E2" w:rsidRPr="00C3791F">
        <w:rPr>
          <w:i/>
        </w:rPr>
        <w:t xml:space="preserve">handling and use of the relevant </w:t>
      </w:r>
      <w:r w:rsidR="00907984">
        <w:rPr>
          <w:i/>
        </w:rPr>
        <w:tab/>
      </w:r>
      <w:r w:rsidR="00907984">
        <w:rPr>
          <w:i/>
        </w:rPr>
        <w:tab/>
      </w:r>
      <w:r w:rsidR="00907984">
        <w:rPr>
          <w:i/>
        </w:rPr>
        <w:tab/>
      </w:r>
      <w:r w:rsidR="00B517E2" w:rsidRPr="00C3791F">
        <w:rPr>
          <w:i/>
        </w:rPr>
        <w:t>firearm and ammunition; and</w:t>
      </w:r>
    </w:p>
    <w:p w:rsidR="004558A8" w:rsidRDefault="00896453" w:rsidP="00896453">
      <w:pPr>
        <w:spacing w:after="729"/>
        <w:rPr>
          <w:i/>
        </w:rPr>
      </w:pPr>
      <w:r>
        <w:rPr>
          <w:i/>
        </w:rPr>
        <w:t xml:space="preserve">        </w:t>
      </w:r>
      <w:r w:rsidR="00B517E2" w:rsidRPr="00C3791F">
        <w:rPr>
          <w:i/>
        </w:rPr>
        <w:t xml:space="preserve"> </w:t>
      </w:r>
      <w:r w:rsidR="00907984">
        <w:rPr>
          <w:i/>
        </w:rPr>
        <w:tab/>
      </w:r>
      <w:r w:rsidR="00907984">
        <w:rPr>
          <w:i/>
        </w:rPr>
        <w:tab/>
      </w:r>
      <w:r w:rsidR="00B517E2" w:rsidRPr="00C3791F">
        <w:rPr>
          <w:i/>
        </w:rPr>
        <w:t xml:space="preserve">(ii) </w:t>
      </w:r>
      <w:r w:rsidR="00907984">
        <w:rPr>
          <w:i/>
        </w:rPr>
        <w:tab/>
      </w:r>
      <w:r w:rsidR="00B517E2" w:rsidRPr="00C3791F">
        <w:rPr>
          <w:i/>
        </w:rPr>
        <w:t xml:space="preserve">undergo psychological debriefing within 48 hours after </w:t>
      </w:r>
      <w:r w:rsidR="00907984">
        <w:rPr>
          <w:i/>
        </w:rPr>
        <w:tab/>
      </w:r>
      <w:r w:rsidR="00907984">
        <w:rPr>
          <w:i/>
        </w:rPr>
        <w:tab/>
      </w:r>
      <w:r w:rsidR="00907984">
        <w:rPr>
          <w:i/>
        </w:rPr>
        <w:tab/>
      </w:r>
      <w:r w:rsidR="00B517E2" w:rsidRPr="00C3791F">
        <w:rPr>
          <w:i/>
        </w:rPr>
        <w:t xml:space="preserve">experiencing any violent incident, discharging their firearm or </w:t>
      </w:r>
      <w:r w:rsidR="00907984">
        <w:rPr>
          <w:i/>
        </w:rPr>
        <w:tab/>
      </w:r>
      <w:r w:rsidR="00907984">
        <w:rPr>
          <w:i/>
        </w:rPr>
        <w:tab/>
      </w:r>
      <w:r w:rsidR="00B517E2" w:rsidRPr="00C3791F">
        <w:rPr>
          <w:i/>
        </w:rPr>
        <w:t>witnessing a shooting</w:t>
      </w:r>
      <w:r w:rsidR="00C3791F" w:rsidRPr="00C3791F">
        <w:rPr>
          <w:i/>
        </w:rPr>
        <w:t>.</w:t>
      </w:r>
      <w:r w:rsidR="00B517E2" w:rsidRPr="00C3791F">
        <w:rPr>
          <w:i/>
        </w:rPr>
        <w:t>’’</w:t>
      </w:r>
    </w:p>
    <w:p w:rsidR="00896453" w:rsidRDefault="00907984" w:rsidP="00896453">
      <w:pPr>
        <w:spacing w:after="729"/>
        <w:rPr>
          <w:i/>
        </w:rPr>
      </w:pPr>
      <w:r>
        <w:rPr>
          <w:b/>
        </w:rPr>
        <w:tab/>
      </w:r>
      <w:r w:rsidR="0090126E" w:rsidRPr="009C1B3E">
        <w:rPr>
          <w:b/>
        </w:rPr>
        <w:t xml:space="preserve">FIREARMS AND AMMUNITION STANDING ORDER 48 </w:t>
      </w:r>
    </w:p>
    <w:p w:rsidR="00907984" w:rsidRDefault="00AA7C8B" w:rsidP="00907984">
      <w:pPr>
        <w:spacing w:after="729"/>
      </w:pPr>
      <w:r>
        <w:t>[2</w:t>
      </w:r>
      <w:r w:rsidR="009E4D25">
        <w:t>5</w:t>
      </w:r>
      <w:r w:rsidR="00074F07">
        <w:t>]</w:t>
      </w:r>
      <w:r w:rsidR="00896453">
        <w:t xml:space="preserve">  </w:t>
      </w:r>
      <w:r w:rsidR="00C3791F">
        <w:t xml:space="preserve"> </w:t>
      </w:r>
      <w:r w:rsidR="005933CB">
        <w:t xml:space="preserve"> </w:t>
      </w:r>
      <w:r w:rsidR="00C3791F">
        <w:t>Standing O</w:t>
      </w:r>
      <w:r w:rsidR="008035D1">
        <w:t>rder 48 provides for the training of pol</w:t>
      </w:r>
      <w:r w:rsidR="00907984">
        <w:t xml:space="preserve">ice officers before they may </w:t>
      </w:r>
      <w:r w:rsidR="00896453">
        <w:t xml:space="preserve">be </w:t>
      </w:r>
      <w:r w:rsidR="008035D1">
        <w:t xml:space="preserve">issued with official firearms and regulates the control of firearms and ammunition. Paragraph 6 of Standing Order 48 </w:t>
      </w:r>
      <w:r w:rsidR="0090126E">
        <w:t>read</w:t>
      </w:r>
      <w:r w:rsidR="008035D1">
        <w:t>s</w:t>
      </w:r>
      <w:r w:rsidR="0090126E">
        <w:t xml:space="preserve"> </w:t>
      </w:r>
      <w:r w:rsidR="008035D1">
        <w:t>thus</w:t>
      </w:r>
      <w:r w:rsidR="0090126E">
        <w:t xml:space="preserve">: </w:t>
      </w:r>
    </w:p>
    <w:p w:rsidR="009C1B3E" w:rsidRDefault="00907984" w:rsidP="00907984">
      <w:pPr>
        <w:spacing w:after="729"/>
        <w:rPr>
          <w:i/>
        </w:rPr>
      </w:pPr>
      <w:r>
        <w:tab/>
      </w:r>
      <w:r>
        <w:tab/>
      </w:r>
      <w:r w:rsidR="0090126E">
        <w:t>“</w:t>
      </w:r>
      <w:r w:rsidR="0090126E" w:rsidRPr="008035D1">
        <w:rPr>
          <w:i/>
          <w:u w:color="000000"/>
        </w:rPr>
        <w:t xml:space="preserve">A member is not entitled </w:t>
      </w:r>
      <w:r>
        <w:rPr>
          <w:i/>
          <w:u w:color="000000"/>
        </w:rPr>
        <w:t xml:space="preserve">to </w:t>
      </w:r>
      <w:r w:rsidR="0090126E" w:rsidRPr="008035D1">
        <w:rPr>
          <w:i/>
          <w:u w:color="000000"/>
        </w:rPr>
        <w:t>be issued with an official firearm</w:t>
      </w:r>
      <w:r w:rsidR="0090126E">
        <w:rPr>
          <w:i/>
        </w:rPr>
        <w:t xml:space="preserve"> on</w:t>
      </w:r>
      <w:r w:rsidR="009C1B3E">
        <w:rPr>
          <w:i/>
        </w:rPr>
        <w:t xml:space="preserve"> </w:t>
      </w:r>
      <w:r w:rsidR="0090126E">
        <w:rPr>
          <w:i/>
        </w:rPr>
        <w:t xml:space="preserve">his or </w:t>
      </w:r>
      <w:r w:rsidR="00D147D6">
        <w:rPr>
          <w:i/>
        </w:rPr>
        <w:tab/>
      </w:r>
      <w:r w:rsidR="0090126E">
        <w:rPr>
          <w:i/>
        </w:rPr>
        <w:t xml:space="preserve">her personal inventory for use in his or her private </w:t>
      </w:r>
      <w:r w:rsidR="00AA7C8B">
        <w:t>capacity</w:t>
      </w:r>
      <w:r w:rsidR="00AA7C8B">
        <w:rPr>
          <w:i/>
          <w:u w:color="000000"/>
        </w:rPr>
        <w:t xml:space="preserve"> </w:t>
      </w:r>
      <w:r>
        <w:rPr>
          <w:i/>
          <w:u w:color="000000"/>
        </w:rPr>
        <w:tab/>
      </w:r>
      <w:r w:rsidR="00AA7C8B">
        <w:rPr>
          <w:i/>
          <w:u w:color="000000"/>
        </w:rPr>
        <w:t>when</w:t>
      </w:r>
      <w:r w:rsidR="0090126E" w:rsidRPr="008035D1">
        <w:rPr>
          <w:i/>
          <w:u w:color="000000"/>
        </w:rPr>
        <w:t xml:space="preserve"> off</w:t>
      </w:r>
      <w:r w:rsidR="0090126E" w:rsidRPr="008035D1">
        <w:rPr>
          <w:i/>
        </w:rPr>
        <w:t xml:space="preserve"> </w:t>
      </w:r>
      <w:r w:rsidR="00AD233E">
        <w:rPr>
          <w:i/>
        </w:rPr>
        <w:tab/>
      </w:r>
      <w:r w:rsidR="0090126E" w:rsidRPr="008035D1">
        <w:rPr>
          <w:i/>
          <w:u w:color="000000"/>
        </w:rPr>
        <w:t>duty</w:t>
      </w:r>
      <w:r w:rsidR="00AA7C8B">
        <w:rPr>
          <w:i/>
        </w:rPr>
        <w:t>.’’</w:t>
      </w:r>
    </w:p>
    <w:p w:rsidR="00AA7C8B" w:rsidRDefault="00AA7C8B" w:rsidP="00A32ABA">
      <w:pPr>
        <w:spacing w:after="0" w:line="360" w:lineRule="auto"/>
        <w:ind w:right="2"/>
      </w:pPr>
      <w:r>
        <w:t>[2</w:t>
      </w:r>
      <w:r w:rsidR="009E4D25">
        <w:t>6</w:t>
      </w:r>
      <w:r>
        <w:t>]</w:t>
      </w:r>
      <w:r w:rsidR="00A32ABA">
        <w:t xml:space="preserve">   </w:t>
      </w:r>
      <w:r>
        <w:t xml:space="preserve"> In terms of para 8 of Standing Order 48 an official firearm may be withdrawn by a station commander, unit commander or section head from the personal inventory of a member if the member:</w:t>
      </w:r>
    </w:p>
    <w:p w:rsidR="00A32ABA" w:rsidRDefault="00AA7C8B" w:rsidP="00AA7C8B">
      <w:pPr>
        <w:spacing w:after="0" w:line="360" w:lineRule="auto"/>
        <w:ind w:right="2"/>
        <w:rPr>
          <w:i/>
        </w:rPr>
      </w:pPr>
      <w:r w:rsidRPr="00395C3A">
        <w:rPr>
          <w:i/>
        </w:rPr>
        <w:t xml:space="preserve">              </w:t>
      </w:r>
    </w:p>
    <w:p w:rsidR="00A32ABA" w:rsidRPr="00395C3A" w:rsidRDefault="00907984" w:rsidP="00A32ABA">
      <w:pPr>
        <w:spacing w:after="0" w:line="360" w:lineRule="auto"/>
        <w:ind w:right="2"/>
        <w:rPr>
          <w:i/>
        </w:rPr>
      </w:pPr>
      <w:r>
        <w:rPr>
          <w:i/>
        </w:rPr>
        <w:t xml:space="preserve">             </w:t>
      </w:r>
      <w:r>
        <w:rPr>
          <w:i/>
        </w:rPr>
        <w:tab/>
      </w:r>
      <w:r>
        <w:rPr>
          <w:i/>
        </w:rPr>
        <w:tab/>
        <w:t>“</w:t>
      </w:r>
      <w:r w:rsidR="00AA7C8B" w:rsidRPr="00395C3A">
        <w:rPr>
          <w:i/>
        </w:rPr>
        <w:t xml:space="preserve">(a) </w:t>
      </w:r>
      <w:r>
        <w:rPr>
          <w:i/>
        </w:rPr>
        <w:tab/>
      </w:r>
      <w:r w:rsidR="00AA7C8B" w:rsidRPr="00395C3A">
        <w:rPr>
          <w:i/>
        </w:rPr>
        <w:t xml:space="preserve">no longer requires a firearm for the execution of his or her </w:t>
      </w:r>
      <w:r>
        <w:rPr>
          <w:i/>
        </w:rPr>
        <w:tab/>
      </w:r>
      <w:r>
        <w:rPr>
          <w:i/>
        </w:rPr>
        <w:tab/>
      </w:r>
      <w:r>
        <w:rPr>
          <w:i/>
        </w:rPr>
        <w:tab/>
      </w:r>
      <w:r w:rsidR="00AA7C8B" w:rsidRPr="00395C3A">
        <w:rPr>
          <w:i/>
        </w:rPr>
        <w:t>duties;</w:t>
      </w:r>
    </w:p>
    <w:p w:rsidR="00AA7C8B" w:rsidRDefault="00907984" w:rsidP="00907984">
      <w:pPr>
        <w:spacing w:after="0" w:line="360" w:lineRule="auto"/>
        <w:ind w:left="0" w:right="2" w:firstLine="0"/>
        <w:rPr>
          <w:i/>
        </w:rPr>
      </w:pPr>
      <w:r>
        <w:rPr>
          <w:i/>
        </w:rPr>
        <w:t xml:space="preserve">                    </w:t>
      </w:r>
      <w:r>
        <w:rPr>
          <w:i/>
        </w:rPr>
        <w:tab/>
      </w:r>
      <w:r>
        <w:rPr>
          <w:i/>
        </w:rPr>
        <w:tab/>
      </w:r>
      <w:r w:rsidR="00A32ABA" w:rsidRPr="00A32ABA">
        <w:rPr>
          <w:i/>
        </w:rPr>
        <w:t>(b)</w:t>
      </w:r>
      <w:r>
        <w:rPr>
          <w:i/>
        </w:rPr>
        <w:tab/>
      </w:r>
      <w:r w:rsidR="00395C3A" w:rsidRPr="00A32ABA">
        <w:rPr>
          <w:i/>
        </w:rPr>
        <w:t xml:space="preserve">is not competent to handle a firearm in terms of regulation </w:t>
      </w:r>
      <w:r>
        <w:rPr>
          <w:i/>
        </w:rPr>
        <w:tab/>
      </w:r>
      <w:r>
        <w:rPr>
          <w:i/>
        </w:rPr>
        <w:tab/>
      </w:r>
      <w:r>
        <w:rPr>
          <w:i/>
        </w:rPr>
        <w:tab/>
      </w:r>
      <w:r>
        <w:rPr>
          <w:i/>
        </w:rPr>
        <w:tab/>
      </w:r>
      <w:r w:rsidR="00395C3A" w:rsidRPr="00A32ABA">
        <w:rPr>
          <w:i/>
        </w:rPr>
        <w:t xml:space="preserve">79 and </w:t>
      </w:r>
      <w:r>
        <w:rPr>
          <w:i/>
        </w:rPr>
        <w:t>o</w:t>
      </w:r>
      <w:r w:rsidR="00395C3A" w:rsidRPr="00A32ABA">
        <w:rPr>
          <w:i/>
        </w:rPr>
        <w:t>f the Regulations;</w:t>
      </w:r>
    </w:p>
    <w:p w:rsidR="00907984" w:rsidRDefault="00907984" w:rsidP="00907984">
      <w:pPr>
        <w:spacing w:after="0" w:line="360" w:lineRule="auto"/>
        <w:ind w:left="0" w:right="2" w:firstLine="0"/>
        <w:rPr>
          <w:i/>
        </w:rPr>
      </w:pPr>
      <w:r>
        <w:rPr>
          <w:i/>
        </w:rPr>
        <w:tab/>
      </w:r>
      <w:r>
        <w:rPr>
          <w:i/>
        </w:rPr>
        <w:tab/>
      </w:r>
      <w:r>
        <w:rPr>
          <w:i/>
        </w:rPr>
        <w:tab/>
        <w:t>(c)</w:t>
      </w:r>
      <w:r>
        <w:rPr>
          <w:i/>
        </w:rPr>
        <w:tab/>
      </w:r>
      <w:r w:rsidR="00395C3A" w:rsidRPr="00A32ABA">
        <w:rPr>
          <w:i/>
        </w:rPr>
        <w:t>is suspended in terms of the Discipline Regulations;</w:t>
      </w:r>
    </w:p>
    <w:p w:rsidR="00907984" w:rsidRDefault="00907984" w:rsidP="00907984">
      <w:pPr>
        <w:spacing w:after="0" w:line="360" w:lineRule="auto"/>
        <w:ind w:left="0" w:right="2" w:firstLine="0"/>
        <w:rPr>
          <w:i/>
        </w:rPr>
      </w:pPr>
      <w:r>
        <w:rPr>
          <w:i/>
        </w:rPr>
        <w:tab/>
      </w:r>
      <w:r>
        <w:rPr>
          <w:i/>
        </w:rPr>
        <w:tab/>
      </w:r>
      <w:r>
        <w:rPr>
          <w:i/>
        </w:rPr>
        <w:tab/>
        <w:t>(d)</w:t>
      </w:r>
      <w:r>
        <w:rPr>
          <w:i/>
        </w:rPr>
        <w:tab/>
      </w:r>
      <w:r w:rsidR="00395C3A" w:rsidRPr="00A32ABA">
        <w:rPr>
          <w:i/>
        </w:rPr>
        <w:t>dies</w:t>
      </w:r>
    </w:p>
    <w:p w:rsidR="00395C3A" w:rsidRDefault="00907984" w:rsidP="00907984">
      <w:pPr>
        <w:spacing w:after="0" w:line="360" w:lineRule="auto"/>
        <w:ind w:left="0" w:right="2" w:firstLine="0"/>
        <w:rPr>
          <w:i/>
        </w:rPr>
      </w:pPr>
      <w:r>
        <w:rPr>
          <w:i/>
        </w:rPr>
        <w:tab/>
      </w:r>
      <w:r>
        <w:rPr>
          <w:i/>
        </w:rPr>
        <w:tab/>
      </w:r>
      <w:r>
        <w:rPr>
          <w:i/>
        </w:rPr>
        <w:tab/>
        <w:t>(e)</w:t>
      </w:r>
      <w:r>
        <w:rPr>
          <w:i/>
        </w:rPr>
        <w:tab/>
      </w:r>
      <w:r w:rsidR="00395C3A" w:rsidRPr="00A32ABA">
        <w:rPr>
          <w:i/>
        </w:rPr>
        <w:t>is absent from duty without leave; or</w:t>
      </w:r>
    </w:p>
    <w:p w:rsidR="00395C3A" w:rsidRPr="00A32ABA" w:rsidRDefault="00907984" w:rsidP="00907984">
      <w:pPr>
        <w:spacing w:after="0" w:line="360" w:lineRule="auto"/>
        <w:ind w:left="0" w:right="2" w:firstLine="0"/>
        <w:rPr>
          <w:i/>
        </w:rPr>
      </w:pPr>
      <w:r>
        <w:rPr>
          <w:i/>
        </w:rPr>
        <w:tab/>
      </w:r>
      <w:r>
        <w:rPr>
          <w:i/>
        </w:rPr>
        <w:tab/>
      </w:r>
      <w:r>
        <w:rPr>
          <w:i/>
        </w:rPr>
        <w:tab/>
        <w:t>(f)</w:t>
      </w:r>
      <w:r>
        <w:rPr>
          <w:i/>
        </w:rPr>
        <w:tab/>
      </w:r>
      <w:r w:rsidR="00395C3A" w:rsidRPr="00A32ABA">
        <w:rPr>
          <w:i/>
        </w:rPr>
        <w:t>resigns from the Police.’’</w:t>
      </w:r>
    </w:p>
    <w:p w:rsidR="006D2123" w:rsidRDefault="0090126E">
      <w:pPr>
        <w:spacing w:after="0" w:line="360" w:lineRule="auto"/>
        <w:ind w:left="1439" w:right="2" w:firstLine="0"/>
      </w:pPr>
      <w:r>
        <w:lastRenderedPageBreak/>
        <w:t xml:space="preserve"> </w:t>
      </w:r>
    </w:p>
    <w:p w:rsidR="00F6617A" w:rsidRDefault="00907984" w:rsidP="00074F07">
      <w:pPr>
        <w:rPr>
          <w:b/>
        </w:rPr>
      </w:pPr>
      <w:r>
        <w:rPr>
          <w:b/>
        </w:rPr>
        <w:tab/>
      </w:r>
      <w:r w:rsidR="00F6617A" w:rsidRPr="00F6617A">
        <w:rPr>
          <w:b/>
        </w:rPr>
        <w:t>APPLICATION OF THE LEGAL</w:t>
      </w:r>
      <w:r w:rsidR="00665F04">
        <w:rPr>
          <w:b/>
        </w:rPr>
        <w:t xml:space="preserve"> PRINCIPLES </w:t>
      </w:r>
      <w:r w:rsidR="00F6617A" w:rsidRPr="00F6617A">
        <w:rPr>
          <w:b/>
        </w:rPr>
        <w:t>TO THE FACTS</w:t>
      </w:r>
    </w:p>
    <w:p w:rsidR="009E3084" w:rsidRDefault="00665F04" w:rsidP="007B055A">
      <w:r w:rsidRPr="00665F04">
        <w:t>[2</w:t>
      </w:r>
      <w:r w:rsidR="009E4D25">
        <w:t>7</w:t>
      </w:r>
      <w:r w:rsidRPr="00665F04">
        <w:t>]</w:t>
      </w:r>
      <w:r w:rsidR="00ED0B9E">
        <w:t xml:space="preserve"> </w:t>
      </w:r>
      <w:r w:rsidR="006861DB">
        <w:t xml:space="preserve">  </w:t>
      </w:r>
      <w:r w:rsidR="00ED0B9E">
        <w:t>T</w:t>
      </w:r>
      <w:r>
        <w:t xml:space="preserve">he principle in </w:t>
      </w:r>
      <w:r w:rsidRPr="00ED0B9E">
        <w:rPr>
          <w:i/>
        </w:rPr>
        <w:t>Mkize v Martens</w:t>
      </w:r>
      <w:r w:rsidR="00ED0B9E">
        <w:t xml:space="preserve"> established</w:t>
      </w:r>
      <w:r>
        <w:t xml:space="preserve"> the liabil</w:t>
      </w:r>
      <w:r w:rsidR="00ED0B9E">
        <w:t xml:space="preserve">ity of an employer for </w:t>
      </w:r>
      <w:r>
        <w:t>wrongful conduc</w:t>
      </w:r>
      <w:r w:rsidR="00ED0B9E">
        <w:t>t of his</w:t>
      </w:r>
      <w:r>
        <w:t xml:space="preserve"> employee.</w:t>
      </w:r>
      <w:r w:rsidR="00ED0B9E">
        <w:t xml:space="preserve"> The riders to the principle are of significance. The employee must have committed the tort in the course of executing his duties for the employer to be held vicariously liable.</w:t>
      </w:r>
      <w:r w:rsidR="006861DB">
        <w:t xml:space="preserve"> This principle was           developed further in </w:t>
      </w:r>
      <w:r w:rsidR="006861DB" w:rsidRPr="006861DB">
        <w:rPr>
          <w:i/>
        </w:rPr>
        <w:t>K v Minister of Safety and Security</w:t>
      </w:r>
      <w:r w:rsidR="00A3717F">
        <w:rPr>
          <w:i/>
        </w:rPr>
        <w:t xml:space="preserve"> </w:t>
      </w:r>
      <w:r w:rsidR="00A3717F">
        <w:t>where</w:t>
      </w:r>
      <w:r w:rsidR="006861DB">
        <w:rPr>
          <w:i/>
        </w:rPr>
        <w:t xml:space="preserve"> </w:t>
      </w:r>
      <w:r w:rsidR="006861DB">
        <w:t>the court laid down the two-leg</w:t>
      </w:r>
      <w:r w:rsidR="0014138D">
        <w:t xml:space="preserve"> inquiry </w:t>
      </w:r>
      <w:r w:rsidR="006861DB">
        <w:t>to</w:t>
      </w:r>
      <w:r w:rsidR="0014138D">
        <w:t xml:space="preserve"> be employed to</w:t>
      </w:r>
      <w:r w:rsidR="006861DB">
        <w:t xml:space="preserve"> determine vicarious liability</w:t>
      </w:r>
      <w:r w:rsidR="0014138D">
        <w:t xml:space="preserve"> of the employer</w:t>
      </w:r>
      <w:r w:rsidR="006861DB">
        <w:t>; the first being the subjective test</w:t>
      </w:r>
      <w:r w:rsidR="00A3717F">
        <w:t xml:space="preserve"> which relates to</w:t>
      </w:r>
      <w:r w:rsidR="0014138D">
        <w:t xml:space="preserve"> the employee’s state of mind when committing the tort. The inquiry in this regard is whether the employee was executing his duties when committing the wrongful act.</w:t>
      </w:r>
      <w:r w:rsidR="00DC6DBF">
        <w:t xml:space="preserve"> In the present matter Rammutla was off duty and in his reside</w:t>
      </w:r>
      <w:r w:rsidR="00A3717F">
        <w:t>nce when committing the murder. He had resorted to engage in</w:t>
      </w:r>
      <w:r w:rsidR="007B055A">
        <w:t xml:space="preserve"> dome</w:t>
      </w:r>
      <w:r w:rsidR="00A3717F">
        <w:t>stic violence, an act of criminality to serve his own interests and that went</w:t>
      </w:r>
      <w:r w:rsidR="007B055A">
        <w:t xml:space="preserve"> against the vein of his employment. </w:t>
      </w:r>
      <w:r w:rsidR="00DC6DBF">
        <w:t>The first</w:t>
      </w:r>
      <w:r w:rsidR="007B055A">
        <w:t xml:space="preserve"> leg of the</w:t>
      </w:r>
      <w:r w:rsidR="00DC6DBF">
        <w:t xml:space="preserve"> inqu</w:t>
      </w:r>
      <w:r w:rsidR="009E3084">
        <w:t>iry thus exonerates the defendant from vicarious liability</w:t>
      </w:r>
      <w:r w:rsidR="00A3717F">
        <w:t>.</w:t>
      </w:r>
      <w:r w:rsidR="00DC6DBF">
        <w:t xml:space="preserve"> </w:t>
      </w:r>
    </w:p>
    <w:p w:rsidR="007B055A" w:rsidRPr="00665F04" w:rsidRDefault="007B055A" w:rsidP="007B055A">
      <w:r>
        <w:t>[2</w:t>
      </w:r>
      <w:r w:rsidR="009E4D25">
        <w:t>8</w:t>
      </w:r>
      <w:r>
        <w:t>]</w:t>
      </w:r>
      <w:r w:rsidR="00B970F1">
        <w:t xml:space="preserve">   </w:t>
      </w:r>
      <w:r>
        <w:t xml:space="preserve"> On the aspect of the law the question that begs for an answer is whether the defendant</w:t>
      </w:r>
      <w:r w:rsidR="007B7BF5">
        <w:t xml:space="preserve"> had been negligent in letting Rammutla be in possession of the firearm while off duty and, therefore contravened the provisions of para 6 of Standing Order 48, as contended by the plaintiff. The plaintiff’s argument in this respect is formulated as follows;</w:t>
      </w:r>
    </w:p>
    <w:p w:rsidR="00A00139" w:rsidRDefault="0090126E" w:rsidP="00665F04">
      <w:pPr>
        <w:spacing w:after="733" w:line="360" w:lineRule="auto"/>
        <w:ind w:left="1434" w:right="-11" w:hanging="10"/>
        <w:rPr>
          <w:i/>
        </w:rPr>
      </w:pPr>
      <w:r>
        <w:t>“</w:t>
      </w:r>
      <w:r w:rsidR="00F6617A">
        <w:rPr>
          <w:i/>
        </w:rPr>
        <w:t xml:space="preserve"> .. when granting Rammutla a firearm</w:t>
      </w:r>
      <w:r>
        <w:rPr>
          <w:i/>
        </w:rPr>
        <w:t xml:space="preserve"> eve</w:t>
      </w:r>
      <w:r w:rsidR="00F6617A">
        <w:rPr>
          <w:i/>
        </w:rPr>
        <w:t xml:space="preserve">n when he was off </w:t>
      </w:r>
      <w:r w:rsidR="00665F04">
        <w:rPr>
          <w:i/>
        </w:rPr>
        <w:t>duty</w:t>
      </w:r>
      <w:r w:rsidR="00F6617A">
        <w:rPr>
          <w:i/>
        </w:rPr>
        <w:t xml:space="preserve"> the</w:t>
      </w:r>
      <w:r w:rsidR="00665F04">
        <w:rPr>
          <w:i/>
        </w:rPr>
        <w:t xml:space="preserve"> Minister </w:t>
      </w:r>
      <w:r w:rsidR="00C27ECD">
        <w:rPr>
          <w:i/>
        </w:rPr>
        <w:t>of Police had intended to enable Rammutla</w:t>
      </w:r>
      <w:r w:rsidR="00665F04">
        <w:rPr>
          <w:i/>
        </w:rPr>
        <w:t xml:space="preserve"> </w:t>
      </w:r>
      <w:r w:rsidR="00F6617A">
        <w:rPr>
          <w:i/>
        </w:rPr>
        <w:t xml:space="preserve">to perform the  </w:t>
      </w:r>
      <w:r w:rsidR="00665F04">
        <w:rPr>
          <w:i/>
        </w:rPr>
        <w:t xml:space="preserve">    </w:t>
      </w:r>
      <w:r w:rsidR="00F6617A">
        <w:rPr>
          <w:i/>
        </w:rPr>
        <w:t>employer’s functions and duties with that</w:t>
      </w:r>
      <w:r>
        <w:rPr>
          <w:i/>
        </w:rPr>
        <w:t xml:space="preserve"> firea</w:t>
      </w:r>
      <w:r w:rsidR="00F6617A">
        <w:rPr>
          <w:i/>
        </w:rPr>
        <w:t xml:space="preserve">rm whilst he was off-duty. Otherwise, </w:t>
      </w:r>
      <w:r w:rsidR="009C1B3E">
        <w:rPr>
          <w:i/>
        </w:rPr>
        <w:t>it w</w:t>
      </w:r>
      <w:r w:rsidR="00F6617A">
        <w:rPr>
          <w:i/>
        </w:rPr>
        <w:t xml:space="preserve">ould </w:t>
      </w:r>
      <w:r>
        <w:rPr>
          <w:i/>
        </w:rPr>
        <w:t>d</w:t>
      </w:r>
      <w:r w:rsidR="009C1B3E">
        <w:rPr>
          <w:i/>
        </w:rPr>
        <w:t>efy logic as</w:t>
      </w:r>
      <w:r>
        <w:rPr>
          <w:i/>
        </w:rPr>
        <w:t xml:space="preserve"> to </w:t>
      </w:r>
      <w:r w:rsidR="00C27ECD">
        <w:rPr>
          <w:i/>
        </w:rPr>
        <w:t xml:space="preserve">why the employer </w:t>
      </w:r>
      <w:r w:rsidR="009C1B3E">
        <w:rPr>
          <w:i/>
        </w:rPr>
        <w:t>would</w:t>
      </w:r>
      <w:r w:rsidR="00665F04">
        <w:rPr>
          <w:i/>
        </w:rPr>
        <w:t xml:space="preserve"> </w:t>
      </w:r>
      <w:r w:rsidR="00C27ECD">
        <w:rPr>
          <w:i/>
        </w:rPr>
        <w:t>grant</w:t>
      </w:r>
      <w:r>
        <w:rPr>
          <w:i/>
        </w:rPr>
        <w:t xml:space="preserve"> Rammutla </w:t>
      </w:r>
      <w:r w:rsidR="009C1B3E">
        <w:rPr>
          <w:i/>
        </w:rPr>
        <w:t xml:space="preserve">access to </w:t>
      </w:r>
      <w:r w:rsidR="00C27ECD">
        <w:rPr>
          <w:i/>
        </w:rPr>
        <w:t xml:space="preserve">its </w:t>
      </w:r>
      <w:r>
        <w:rPr>
          <w:i/>
        </w:rPr>
        <w:t>re</w:t>
      </w:r>
      <w:r w:rsidR="00C27ECD">
        <w:rPr>
          <w:i/>
        </w:rPr>
        <w:t xml:space="preserve">sources in the first place, </w:t>
      </w:r>
      <w:r w:rsidR="00665F04">
        <w:rPr>
          <w:i/>
        </w:rPr>
        <w:t xml:space="preserve">whilst </w:t>
      </w:r>
      <w:r w:rsidR="009C1B3E">
        <w:rPr>
          <w:i/>
        </w:rPr>
        <w:t>Rammutla was off-duty.</w:t>
      </w:r>
    </w:p>
    <w:p w:rsidR="00C91718" w:rsidRPr="007B7BF5" w:rsidRDefault="009C1B3E" w:rsidP="007B7BF5">
      <w:pPr>
        <w:spacing w:after="733" w:line="360" w:lineRule="auto"/>
        <w:ind w:left="1434" w:right="-11" w:hanging="10"/>
        <w:rPr>
          <w:i/>
        </w:rPr>
      </w:pPr>
      <w:r>
        <w:rPr>
          <w:i/>
        </w:rPr>
        <w:t xml:space="preserve"> In carrying </w:t>
      </w:r>
      <w:r w:rsidR="007B7BF5">
        <w:rPr>
          <w:i/>
        </w:rPr>
        <w:t>his State</w:t>
      </w:r>
      <w:r w:rsidR="0090126E">
        <w:rPr>
          <w:i/>
        </w:rPr>
        <w:t xml:space="preserve"> i</w:t>
      </w:r>
      <w:r w:rsidR="007B7BF5">
        <w:rPr>
          <w:i/>
        </w:rPr>
        <w:t>ssued firearm, Rammutla</w:t>
      </w:r>
      <w:r>
        <w:rPr>
          <w:i/>
        </w:rPr>
        <w:t xml:space="preserve"> had been enabled by </w:t>
      </w:r>
      <w:r w:rsidR="00A00139">
        <w:rPr>
          <w:i/>
        </w:rPr>
        <w:t xml:space="preserve">    </w:t>
      </w:r>
      <w:r w:rsidR="00A53B95">
        <w:rPr>
          <w:i/>
        </w:rPr>
        <w:t xml:space="preserve">the Defendant </w:t>
      </w:r>
      <w:r w:rsidR="007B7BF5">
        <w:rPr>
          <w:i/>
        </w:rPr>
        <w:t>to continue to perform</w:t>
      </w:r>
      <w:r w:rsidR="0090126E">
        <w:rPr>
          <w:i/>
        </w:rPr>
        <w:t xml:space="preserve"> the</w:t>
      </w:r>
      <w:r w:rsidR="007B7BF5">
        <w:rPr>
          <w:i/>
        </w:rPr>
        <w:t xml:space="preserve"> function for</w:t>
      </w:r>
      <w:r w:rsidR="0090126E">
        <w:rPr>
          <w:i/>
        </w:rPr>
        <w:t xml:space="preserve"> whi</w:t>
      </w:r>
      <w:r w:rsidR="007B7BF5">
        <w:rPr>
          <w:i/>
        </w:rPr>
        <w:t>ch he</w:t>
      </w:r>
      <w:r w:rsidR="00A53B95">
        <w:rPr>
          <w:i/>
        </w:rPr>
        <w:t xml:space="preserve"> had</w:t>
      </w:r>
      <w:r w:rsidR="00A00139">
        <w:rPr>
          <w:i/>
        </w:rPr>
        <w:t xml:space="preserve"> </w:t>
      </w:r>
      <w:r w:rsidR="007B7BF5">
        <w:rPr>
          <w:i/>
        </w:rPr>
        <w:t>been</w:t>
      </w:r>
      <w:r w:rsidR="00A00139">
        <w:rPr>
          <w:i/>
        </w:rPr>
        <w:t xml:space="preserve"> appointed</w:t>
      </w:r>
      <w:r w:rsidR="0090126E">
        <w:rPr>
          <w:i/>
        </w:rPr>
        <w:t xml:space="preserve">” </w:t>
      </w:r>
      <w:r w:rsidR="00CF5602">
        <w:t>(</w:t>
      </w:r>
      <w:r w:rsidR="00A00139">
        <w:t>paras 5.5 and 5.6 of the Plaintiff’s HOA</w:t>
      </w:r>
      <w:r w:rsidR="00C91718">
        <w:t>).</w:t>
      </w:r>
    </w:p>
    <w:p w:rsidR="00AD233E" w:rsidRDefault="00261A78" w:rsidP="009E3084">
      <w:pPr>
        <w:spacing w:after="733" w:line="360" w:lineRule="auto"/>
        <w:ind w:right="-11"/>
        <w:rPr>
          <w:b/>
        </w:rPr>
      </w:pPr>
      <w:r>
        <w:rPr>
          <w:b/>
        </w:rPr>
        <w:lastRenderedPageBreak/>
        <w:tab/>
      </w:r>
    </w:p>
    <w:p w:rsidR="009E3084" w:rsidRDefault="00AD233E" w:rsidP="009E3084">
      <w:pPr>
        <w:spacing w:after="733" w:line="360" w:lineRule="auto"/>
        <w:ind w:right="-11"/>
        <w:rPr>
          <w:b/>
        </w:rPr>
      </w:pPr>
      <w:r>
        <w:rPr>
          <w:b/>
        </w:rPr>
        <w:tab/>
      </w:r>
      <w:r w:rsidR="00C91718" w:rsidRPr="00C91718">
        <w:rPr>
          <w:b/>
        </w:rPr>
        <w:t>ANALYSIS</w:t>
      </w:r>
    </w:p>
    <w:p w:rsidR="00261A78" w:rsidRDefault="009E4D25" w:rsidP="00261A78">
      <w:pPr>
        <w:spacing w:after="733" w:line="360" w:lineRule="auto"/>
        <w:ind w:right="-11"/>
      </w:pPr>
      <w:r>
        <w:t>[29</w:t>
      </w:r>
      <w:r w:rsidR="00953192">
        <w:t xml:space="preserve">] </w:t>
      </w:r>
      <w:r w:rsidR="00261A78">
        <w:tab/>
      </w:r>
      <w:r w:rsidR="00426F60">
        <w:t xml:space="preserve">The </w:t>
      </w:r>
      <w:r w:rsidR="00C27ECD">
        <w:t>plaintiff’s</w:t>
      </w:r>
      <w:r w:rsidR="00CF5602">
        <w:t xml:space="preserve"> contentions</w:t>
      </w:r>
      <w:r w:rsidR="007B7BF5">
        <w:t xml:space="preserve"> in </w:t>
      </w:r>
      <w:r w:rsidR="00D809C5" w:rsidRPr="00D809C5">
        <w:t>para [28</w:t>
      </w:r>
      <w:r w:rsidR="00C27ECD" w:rsidRPr="00D809C5">
        <w:t>]</w:t>
      </w:r>
      <w:r w:rsidR="00CF5602" w:rsidRPr="00D809C5">
        <w:t xml:space="preserve"> </w:t>
      </w:r>
      <w:r w:rsidR="00C27ECD" w:rsidRPr="00D809C5">
        <w:t>emanate</w:t>
      </w:r>
      <w:r w:rsidR="00C27ECD">
        <w:t xml:space="preserve"> from </w:t>
      </w:r>
      <w:r w:rsidR="0090126E">
        <w:t xml:space="preserve">the </w:t>
      </w:r>
      <w:r w:rsidR="000740F9">
        <w:t xml:space="preserve">plaintiff’s </w:t>
      </w:r>
      <w:r w:rsidR="00953192">
        <w:t xml:space="preserve">own </w:t>
      </w:r>
      <w:r w:rsidR="00C27ECD">
        <w:t>misinterpretation</w:t>
      </w:r>
      <w:r w:rsidR="00CF5602">
        <w:t xml:space="preserve"> of </w:t>
      </w:r>
      <w:r w:rsidR="00074F07">
        <w:t>the</w:t>
      </w:r>
      <w:r w:rsidR="0090126E">
        <w:t xml:space="preserve"> provisions</w:t>
      </w:r>
      <w:r w:rsidR="007B7BF5">
        <w:t xml:space="preserve"> para</w:t>
      </w:r>
      <w:r w:rsidR="006B583A">
        <w:t xml:space="preserve"> 6 of</w:t>
      </w:r>
      <w:r w:rsidR="009E3084">
        <w:t xml:space="preserve"> the</w:t>
      </w:r>
      <w:r w:rsidR="006B583A">
        <w:t xml:space="preserve"> Standing Order 48</w:t>
      </w:r>
      <w:r w:rsidR="00CF5602">
        <w:t xml:space="preserve"> it</w:t>
      </w:r>
      <w:r w:rsidR="0090126E">
        <w:t xml:space="preserve"> purportedly</w:t>
      </w:r>
      <w:r w:rsidR="00CF5602">
        <w:t xml:space="preserve"> seeks to rely </w:t>
      </w:r>
      <w:r w:rsidR="00953192">
        <w:t xml:space="preserve">on. </w:t>
      </w:r>
      <w:r w:rsidR="006B583A">
        <w:t>Th</w:t>
      </w:r>
      <w:r w:rsidR="009E3084">
        <w:t>e plaintiff has underlined self-</w:t>
      </w:r>
      <w:r w:rsidR="006B583A">
        <w:t>selected words in that paragraph as follows;</w:t>
      </w:r>
      <w:r w:rsidR="00261A78">
        <w:t xml:space="preserve"> </w:t>
      </w:r>
    </w:p>
    <w:p w:rsidR="006B583A" w:rsidRPr="00E77B6B" w:rsidRDefault="00261A78" w:rsidP="008C4565">
      <w:pPr>
        <w:spacing w:after="733" w:line="360" w:lineRule="auto"/>
        <w:ind w:right="-11"/>
        <w:jc w:val="left"/>
        <w:rPr>
          <w:i/>
          <w:u w:val="single"/>
        </w:rPr>
      </w:pPr>
      <w:r>
        <w:tab/>
      </w:r>
      <w:r>
        <w:tab/>
      </w:r>
      <w:r>
        <w:tab/>
      </w:r>
      <w:r w:rsidR="006B583A">
        <w:t>“</w:t>
      </w:r>
      <w:r w:rsidR="009D3A84">
        <w:rPr>
          <w:i/>
          <w:u w:val="single" w:color="000000"/>
        </w:rPr>
        <w:t>A member is not entitled to be issued with an</w:t>
      </w:r>
      <w:r w:rsidR="006B583A" w:rsidRPr="006B583A">
        <w:rPr>
          <w:i/>
          <w:u w:val="single" w:color="000000"/>
        </w:rPr>
        <w:t xml:space="preserve"> official</w:t>
      </w:r>
      <w:r w:rsidR="006B583A" w:rsidRPr="006B583A">
        <w:rPr>
          <w:i/>
          <w:u w:color="000000"/>
        </w:rPr>
        <w:t xml:space="preserve">             </w:t>
      </w:r>
      <w:r>
        <w:rPr>
          <w:i/>
          <w:u w:color="000000"/>
        </w:rPr>
        <w:tab/>
      </w:r>
      <w:r>
        <w:rPr>
          <w:i/>
          <w:u w:color="000000"/>
        </w:rPr>
        <w:tab/>
      </w:r>
      <w:r>
        <w:rPr>
          <w:i/>
          <w:u w:color="000000"/>
        </w:rPr>
        <w:tab/>
      </w:r>
      <w:r w:rsidR="006B583A" w:rsidRPr="006B583A">
        <w:rPr>
          <w:i/>
          <w:u w:val="single" w:color="000000"/>
        </w:rPr>
        <w:t>Firearm</w:t>
      </w:r>
      <w:r w:rsidR="006B583A">
        <w:rPr>
          <w:i/>
          <w:u w:val="single"/>
        </w:rPr>
        <w:t xml:space="preserve"> </w:t>
      </w:r>
      <w:r w:rsidR="006B583A">
        <w:rPr>
          <w:i/>
        </w:rPr>
        <w:t xml:space="preserve">on his or her personal </w:t>
      </w:r>
      <w:r w:rsidR="00E77B6B">
        <w:rPr>
          <w:i/>
        </w:rPr>
        <w:t xml:space="preserve">inventory </w:t>
      </w:r>
      <w:r w:rsidR="00E77B6B" w:rsidRPr="009D3A84">
        <w:rPr>
          <w:i/>
          <w:u w:val="single"/>
        </w:rPr>
        <w:t>for use in his or</w:t>
      </w:r>
      <w:r w:rsidR="006B583A" w:rsidRPr="009D3A84">
        <w:rPr>
          <w:i/>
          <w:u w:val="single"/>
        </w:rPr>
        <w:t xml:space="preserve"> her</w:t>
      </w:r>
      <w:r w:rsidR="006B583A">
        <w:rPr>
          <w:i/>
        </w:rPr>
        <w:t xml:space="preserve">  </w:t>
      </w:r>
      <w:r w:rsidR="00E77B6B">
        <w:rPr>
          <w:i/>
        </w:rPr>
        <w:t xml:space="preserve"> </w:t>
      </w:r>
      <w:r>
        <w:rPr>
          <w:i/>
        </w:rPr>
        <w:tab/>
      </w:r>
      <w:r>
        <w:rPr>
          <w:i/>
        </w:rPr>
        <w:tab/>
      </w:r>
      <w:r w:rsidR="00E77B6B" w:rsidRPr="009D3A84">
        <w:rPr>
          <w:i/>
          <w:u w:val="single"/>
        </w:rPr>
        <w:t>private</w:t>
      </w:r>
      <w:r w:rsidR="006B583A" w:rsidRPr="009D3A84">
        <w:rPr>
          <w:i/>
          <w:u w:val="single"/>
        </w:rPr>
        <w:t xml:space="preserve"> </w:t>
      </w:r>
      <w:r w:rsidR="006B583A" w:rsidRPr="009D3A84">
        <w:rPr>
          <w:u w:val="single"/>
        </w:rPr>
        <w:t>capacity</w:t>
      </w:r>
      <w:r w:rsidR="006B583A">
        <w:rPr>
          <w:i/>
          <w:u w:color="000000"/>
        </w:rPr>
        <w:t xml:space="preserve"> </w:t>
      </w:r>
      <w:r w:rsidR="006B583A" w:rsidRPr="00E77B6B">
        <w:rPr>
          <w:i/>
          <w:u w:val="single" w:color="000000"/>
        </w:rPr>
        <w:t>when off</w:t>
      </w:r>
      <w:r w:rsidR="006B583A" w:rsidRPr="00E77B6B">
        <w:rPr>
          <w:i/>
          <w:u w:val="single"/>
        </w:rPr>
        <w:t xml:space="preserve"> </w:t>
      </w:r>
      <w:r w:rsidR="006B583A" w:rsidRPr="00E77B6B">
        <w:rPr>
          <w:i/>
          <w:u w:val="single" w:color="000000"/>
        </w:rPr>
        <w:t>duty</w:t>
      </w:r>
      <w:r w:rsidR="006B583A" w:rsidRPr="00E77B6B">
        <w:rPr>
          <w:i/>
          <w:u w:val="single"/>
        </w:rPr>
        <w:t>.’’</w:t>
      </w:r>
    </w:p>
    <w:p w:rsidR="000740F9" w:rsidRDefault="00CF5602" w:rsidP="00426F60">
      <w:pPr>
        <w:spacing w:after="0"/>
      </w:pPr>
      <w:r>
        <w:t xml:space="preserve"> </w:t>
      </w:r>
    </w:p>
    <w:p w:rsidR="00A4220A" w:rsidRDefault="000740F9" w:rsidP="00785722">
      <w:pPr>
        <w:spacing w:after="0" w:line="360" w:lineRule="auto"/>
        <w:ind w:left="731" w:hanging="731"/>
      </w:pPr>
      <w:r>
        <w:t xml:space="preserve">       </w:t>
      </w:r>
      <w:r w:rsidR="00B970F1">
        <w:t xml:space="preserve">  </w:t>
      </w:r>
      <w:r>
        <w:t xml:space="preserve"> </w:t>
      </w:r>
      <w:r w:rsidR="00785722">
        <w:tab/>
      </w:r>
      <w:r w:rsidR="002935B5">
        <w:t>Read i</w:t>
      </w:r>
      <w:r w:rsidR="00E54EA9">
        <w:t>n context,</w:t>
      </w:r>
      <w:r w:rsidR="0090126E">
        <w:t xml:space="preserve"> t</w:t>
      </w:r>
      <w:r w:rsidR="004558A8">
        <w:t>he provisions of</w:t>
      </w:r>
      <w:r>
        <w:t xml:space="preserve"> </w:t>
      </w:r>
      <w:r w:rsidR="004558A8">
        <w:t>Para</w:t>
      </w:r>
      <w:r w:rsidR="002935B5">
        <w:t xml:space="preserve"> 6 of</w:t>
      </w:r>
      <w:r w:rsidR="0090126E">
        <w:t xml:space="preserve"> t</w:t>
      </w:r>
      <w:r w:rsidR="002935B5">
        <w:t>he Standing Order 48</w:t>
      </w:r>
      <w:r w:rsidR="00E54EA9">
        <w:t xml:space="preserve"> forbid</w:t>
      </w:r>
      <w:r w:rsidR="004558A8">
        <w:t xml:space="preserve"> a</w:t>
      </w:r>
      <w:r w:rsidR="0090126E">
        <w:t xml:space="preserve"> police </w:t>
      </w:r>
      <w:r w:rsidR="007F5792">
        <w:t>officer issued with an official</w:t>
      </w:r>
      <w:r>
        <w:t xml:space="preserve"> </w:t>
      </w:r>
      <w:r w:rsidR="007F5792">
        <w:t>firearm from entertaining the thought that he is</w:t>
      </w:r>
      <w:r w:rsidR="00785722">
        <w:t xml:space="preserve"> </w:t>
      </w:r>
      <w:r w:rsidR="002935B5">
        <w:t xml:space="preserve">entitled to use the </w:t>
      </w:r>
      <w:r w:rsidR="007F5792">
        <w:t>firearm for personal or private matters</w:t>
      </w:r>
      <w:r w:rsidR="0090126E">
        <w:t xml:space="preserve"> whils</w:t>
      </w:r>
      <w:r w:rsidR="009E3084">
        <w:t>t off duty.</w:t>
      </w:r>
      <w:r w:rsidR="007F5792">
        <w:t xml:space="preserve"> The</w:t>
      </w:r>
      <w:r w:rsidR="004F0769">
        <w:t xml:space="preserve"> </w:t>
      </w:r>
      <w:r w:rsidR="00426F60">
        <w:t xml:space="preserve">provisions </w:t>
      </w:r>
      <w:r w:rsidR="002935B5">
        <w:t>do not prohibit an officer issued with an</w:t>
      </w:r>
      <w:r w:rsidR="007F5792">
        <w:t xml:space="preserve"> official firearm from being in</w:t>
      </w:r>
      <w:r w:rsidR="00785722">
        <w:t xml:space="preserve"> </w:t>
      </w:r>
      <w:r w:rsidR="007F5792">
        <w:t>possession</w:t>
      </w:r>
      <w:r>
        <w:t xml:space="preserve"> </w:t>
      </w:r>
      <w:r w:rsidR="007F5792">
        <w:t>thereof when</w:t>
      </w:r>
      <w:r w:rsidR="002935B5">
        <w:t xml:space="preserve"> he is </w:t>
      </w:r>
      <w:r w:rsidR="007F5792">
        <w:t>off</w:t>
      </w:r>
      <w:r w:rsidR="0090126E">
        <w:t xml:space="preserve"> duty. </w:t>
      </w:r>
      <w:r w:rsidR="007F5792">
        <w:t>Once an officer had fulfilled the requirements</w:t>
      </w:r>
      <w:r w:rsidR="009E3084">
        <w:t xml:space="preserve"> in </w:t>
      </w:r>
      <w:r w:rsidR="009E3084" w:rsidRPr="00410AD3">
        <w:t>para [2</w:t>
      </w:r>
      <w:r w:rsidR="00D809C5" w:rsidRPr="00410AD3">
        <w:t>2</w:t>
      </w:r>
      <w:r w:rsidR="009E3084" w:rsidRPr="00410AD3">
        <w:t>], above,</w:t>
      </w:r>
      <w:r w:rsidR="007F5792" w:rsidRPr="00410AD3">
        <w:t xml:space="preserve"> and </w:t>
      </w:r>
      <w:r w:rsidR="009E3084" w:rsidRPr="00410AD3">
        <w:t>has been</w:t>
      </w:r>
      <w:r w:rsidR="004F0769" w:rsidRPr="00410AD3">
        <w:t xml:space="preserve"> </w:t>
      </w:r>
      <w:r w:rsidR="007F5792" w:rsidRPr="00410AD3">
        <w:t>issue</w:t>
      </w:r>
      <w:r w:rsidR="004F0769" w:rsidRPr="00410AD3">
        <w:t>d with the</w:t>
      </w:r>
      <w:r w:rsidR="00AD2F00" w:rsidRPr="00410AD3">
        <w:t xml:space="preserve"> so-called SAP</w:t>
      </w:r>
      <w:r w:rsidR="00785722" w:rsidRPr="00410AD3">
        <w:t xml:space="preserve"> </w:t>
      </w:r>
      <w:r w:rsidR="00AD2F00" w:rsidRPr="00410AD3">
        <w:t>Items 108, which include a</w:t>
      </w:r>
      <w:r w:rsidR="004F0769" w:rsidRPr="00410AD3">
        <w:t xml:space="preserve"> firearm and </w:t>
      </w:r>
      <w:r w:rsidR="00AD2F00" w:rsidRPr="00410AD3">
        <w:t xml:space="preserve">ammunition, </w:t>
      </w:r>
      <w:r w:rsidR="004F0769" w:rsidRPr="00410AD3">
        <w:rPr>
          <w:i/>
        </w:rPr>
        <w:t>inter alia</w:t>
      </w:r>
      <w:r w:rsidR="004F0769" w:rsidRPr="00410AD3">
        <w:t xml:space="preserve">, he remains in possession thereof whether on or off duty. It is only in the circumstances </w:t>
      </w:r>
      <w:r w:rsidR="00AD2F00" w:rsidRPr="00410AD3">
        <w:t xml:space="preserve">      </w:t>
      </w:r>
      <w:r w:rsidR="00B970F1" w:rsidRPr="00410AD3">
        <w:t xml:space="preserve">  </w:t>
      </w:r>
      <w:r w:rsidR="00AD2F00" w:rsidRPr="00410AD3">
        <w:t xml:space="preserve">  </w:t>
      </w:r>
      <w:r w:rsidR="004F0769" w:rsidRPr="00410AD3">
        <w:t>mentioned in para</w:t>
      </w:r>
      <w:r w:rsidR="00AD2F00" w:rsidRPr="00410AD3">
        <w:t>s [2</w:t>
      </w:r>
      <w:r w:rsidR="00D809C5" w:rsidRPr="00410AD3">
        <w:t>3</w:t>
      </w:r>
      <w:r w:rsidR="00AD2F00" w:rsidRPr="00410AD3">
        <w:t>] and</w:t>
      </w:r>
      <w:r w:rsidR="004F0769" w:rsidRPr="00410AD3">
        <w:t xml:space="preserve"> </w:t>
      </w:r>
      <w:r w:rsidR="00AD2F00" w:rsidRPr="00410AD3">
        <w:t>[2</w:t>
      </w:r>
      <w:r w:rsidR="00D809C5" w:rsidRPr="00410AD3">
        <w:t>6</w:t>
      </w:r>
      <w:r w:rsidR="00AD2F00" w:rsidRPr="00410AD3">
        <w:t>], above</w:t>
      </w:r>
      <w:r w:rsidR="00AD2F00">
        <w:t>, that the firearm may be</w:t>
      </w:r>
      <w:r w:rsidR="004F0769">
        <w:t xml:space="preserve"> withdrawn by </w:t>
      </w:r>
      <w:r w:rsidR="00AD2F00">
        <w:t xml:space="preserve">       </w:t>
      </w:r>
      <w:r w:rsidR="00B970F1">
        <w:t xml:space="preserve">  </w:t>
      </w:r>
      <w:r w:rsidR="00AD2F00">
        <w:t xml:space="preserve"> </w:t>
      </w:r>
      <w:r w:rsidR="004F0769">
        <w:t>any of the officials mentioned in para 8 of Standing Order 48.</w:t>
      </w:r>
    </w:p>
    <w:p w:rsidR="009D402A" w:rsidRDefault="009D402A" w:rsidP="009D402A">
      <w:pPr>
        <w:spacing w:after="0"/>
      </w:pPr>
    </w:p>
    <w:p w:rsidR="00DE1C81" w:rsidRDefault="009E4D25" w:rsidP="009D402A">
      <w:pPr>
        <w:spacing w:after="0"/>
        <w:ind w:left="0" w:firstLine="0"/>
      </w:pPr>
      <w:r>
        <w:t>[30</w:t>
      </w:r>
      <w:r w:rsidR="009D402A">
        <w:t>]</w:t>
      </w:r>
      <w:r w:rsidR="00FA0913">
        <w:t xml:space="preserve">  </w:t>
      </w:r>
      <w:r w:rsidR="009D402A">
        <w:t xml:space="preserve"> </w:t>
      </w:r>
      <w:r w:rsidR="00EF0A5A">
        <w:t xml:space="preserve"> </w:t>
      </w:r>
      <w:r w:rsidR="009D402A">
        <w:t>Furthermore</w:t>
      </w:r>
      <w:r w:rsidR="009D402A" w:rsidRPr="00E47185">
        <w:t>, the plaintiff’s misinterpretation referred to</w:t>
      </w:r>
      <w:r w:rsidR="009D402A">
        <w:t xml:space="preserve"> earlier above</w:t>
      </w:r>
      <w:r w:rsidR="009D402A" w:rsidRPr="00E47185">
        <w:t xml:space="preserve"> brought</w:t>
      </w:r>
      <w:r w:rsidR="00EF0A5A">
        <w:t xml:space="preserve"> </w:t>
      </w:r>
      <w:r w:rsidR="00DE1C81">
        <w:t xml:space="preserve">         </w:t>
      </w:r>
      <w:r w:rsidR="00EF0A5A">
        <w:tab/>
      </w:r>
      <w:r w:rsidR="009D402A" w:rsidRPr="00E47185">
        <w:t>with</w:t>
      </w:r>
      <w:r w:rsidR="009D402A">
        <w:t xml:space="preserve"> </w:t>
      </w:r>
      <w:r w:rsidR="009D402A" w:rsidRPr="00E47185">
        <w:t xml:space="preserve">it the plaintiff’s unwarranted reading of the defendant’s intention expressed </w:t>
      </w:r>
    </w:p>
    <w:p w:rsidR="00FA0913" w:rsidRDefault="00DE1C81" w:rsidP="009D402A">
      <w:pPr>
        <w:spacing w:after="0"/>
        <w:ind w:left="0" w:firstLine="0"/>
      </w:pPr>
      <w:r>
        <w:t xml:space="preserve">         </w:t>
      </w:r>
      <w:r w:rsidR="00EF0A5A">
        <w:tab/>
      </w:r>
      <w:r w:rsidR="009D402A" w:rsidRPr="00E47185">
        <w:t>in the</w:t>
      </w:r>
      <w:r w:rsidR="009D402A">
        <w:t xml:space="preserve"> latter </w:t>
      </w:r>
      <w:r w:rsidR="009D402A" w:rsidRPr="00E47185">
        <w:t xml:space="preserve">part of the plaintiff’s contentions quoted in </w:t>
      </w:r>
      <w:r w:rsidR="009D402A" w:rsidRPr="00410AD3">
        <w:t>para [2</w:t>
      </w:r>
      <w:r w:rsidR="00410AD3" w:rsidRPr="00410AD3">
        <w:t>8</w:t>
      </w:r>
      <w:r w:rsidR="009D402A" w:rsidRPr="00410AD3">
        <w:t>], above</w:t>
      </w:r>
      <w:r w:rsidR="009D402A" w:rsidRPr="00E47185">
        <w:t xml:space="preserve">. The </w:t>
      </w:r>
      <w:r>
        <w:t xml:space="preserve">         </w:t>
      </w:r>
      <w:r w:rsidR="008E50E8">
        <w:tab/>
      </w:r>
      <w:r w:rsidR="009D402A" w:rsidRPr="00E47185">
        <w:t>contention</w:t>
      </w:r>
      <w:r w:rsidR="009D402A">
        <w:t xml:space="preserve"> </w:t>
      </w:r>
      <w:r w:rsidR="009D402A" w:rsidRPr="00E47185">
        <w:t>was</w:t>
      </w:r>
      <w:r w:rsidR="009D402A">
        <w:t xml:space="preserve"> </w:t>
      </w:r>
      <w:r w:rsidR="009D402A" w:rsidRPr="00E47185">
        <w:t xml:space="preserve">disingenuously crafted </w:t>
      </w:r>
      <w:r w:rsidR="009D402A">
        <w:t>to lay a foundation that this was a</w:t>
      </w:r>
      <w:r w:rsidR="009D402A" w:rsidRPr="00E47185">
        <w:t xml:space="preserve"> </w:t>
      </w:r>
      <w:r w:rsidR="008E50E8">
        <w:tab/>
      </w:r>
      <w:r w:rsidR="009D402A" w:rsidRPr="00E47185">
        <w:t xml:space="preserve">deviation case. Rammutla’s mere </w:t>
      </w:r>
      <w:r w:rsidR="009D402A">
        <w:t>possession of</w:t>
      </w:r>
      <w:r w:rsidR="009D402A" w:rsidRPr="00E47185">
        <w:t xml:space="preserve"> the firearm whilst off duty did </w:t>
      </w:r>
      <w:r w:rsidR="008E50E8">
        <w:lastRenderedPageBreak/>
        <w:tab/>
      </w:r>
      <w:r w:rsidR="009D402A" w:rsidRPr="00E47185">
        <w:t>not mean that he</w:t>
      </w:r>
      <w:r w:rsidR="009D402A">
        <w:t xml:space="preserve"> </w:t>
      </w:r>
      <w:r w:rsidR="009D402A" w:rsidRPr="00E47185">
        <w:t xml:space="preserve">was intended </w:t>
      </w:r>
      <w:r w:rsidR="009D402A">
        <w:t xml:space="preserve">to </w:t>
      </w:r>
      <w:r w:rsidR="009D402A" w:rsidRPr="00E47185">
        <w:t>carryi</w:t>
      </w:r>
      <w:r w:rsidR="009D402A">
        <w:t>ng out any</w:t>
      </w:r>
      <w:r w:rsidR="009D402A" w:rsidRPr="00E47185">
        <w:t xml:space="preserve"> function of the defendant</w:t>
      </w:r>
      <w:r w:rsidR="009D402A">
        <w:t xml:space="preserve"> </w:t>
      </w:r>
      <w:r w:rsidR="008E50E8">
        <w:tab/>
      </w:r>
      <w:r w:rsidR="009D402A">
        <w:t>whist off duty</w:t>
      </w:r>
      <w:r w:rsidR="009D402A" w:rsidRPr="00E47185">
        <w:t xml:space="preserve"> as</w:t>
      </w:r>
      <w:r w:rsidR="009D402A">
        <w:t xml:space="preserve"> </w:t>
      </w:r>
      <w:r w:rsidR="009D402A" w:rsidRPr="00E47185">
        <w:t>suggested by the plaintiff. His shooting of</w:t>
      </w:r>
      <w:r w:rsidR="009D402A">
        <w:t xml:space="preserve"> the</w:t>
      </w:r>
      <w:r w:rsidR="009D402A" w:rsidRPr="00E47185">
        <w:t xml:space="preserve"> de</w:t>
      </w:r>
      <w:r w:rsidR="009D402A">
        <w:t>ceased</w:t>
      </w:r>
      <w:r w:rsidR="009D402A" w:rsidRPr="00E47185">
        <w:t xml:space="preserve"> four </w:t>
      </w:r>
      <w:r w:rsidR="008E50E8">
        <w:tab/>
      </w:r>
      <w:r w:rsidR="009D402A" w:rsidRPr="00E47185">
        <w:t>times and killing her</w:t>
      </w:r>
      <w:r>
        <w:t xml:space="preserve"> </w:t>
      </w:r>
      <w:r w:rsidR="009D402A" w:rsidRPr="00E47185">
        <w:t>in the presence</w:t>
      </w:r>
      <w:r w:rsidR="009D402A">
        <w:t xml:space="preserve"> </w:t>
      </w:r>
      <w:r w:rsidR="009D402A" w:rsidRPr="00E47185">
        <w:t>of their six</w:t>
      </w:r>
      <w:r w:rsidR="009D402A">
        <w:t xml:space="preserve"> weeks old baby,</w:t>
      </w:r>
      <w:r w:rsidR="009D402A" w:rsidRPr="00E47185">
        <w:t xml:space="preserve"> whom he left </w:t>
      </w:r>
      <w:r w:rsidR="008E50E8">
        <w:tab/>
      </w:r>
      <w:r w:rsidR="009D402A" w:rsidRPr="00E47185">
        <w:t>behind and was later found lying in its</w:t>
      </w:r>
      <w:r w:rsidR="009D402A">
        <w:t xml:space="preserve"> </w:t>
      </w:r>
      <w:r w:rsidR="009D402A" w:rsidRPr="00E47185">
        <w:t>dead mother’s</w:t>
      </w:r>
      <w:r w:rsidR="009D402A">
        <w:t xml:space="preserve"> </w:t>
      </w:r>
      <w:r w:rsidR="009D402A" w:rsidRPr="00E47185">
        <w:t>pool of blood</w:t>
      </w:r>
      <w:r w:rsidR="009D402A">
        <w:t>,</w:t>
      </w:r>
      <w:r w:rsidR="009D402A" w:rsidRPr="00E47185">
        <w:t xml:space="preserve"> was plainly </w:t>
      </w:r>
      <w:r w:rsidR="008E50E8">
        <w:tab/>
      </w:r>
      <w:r w:rsidR="009D402A" w:rsidRPr="00E47185">
        <w:t>criminal and for his own</w:t>
      </w:r>
      <w:r w:rsidR="009D402A">
        <w:t xml:space="preserve"> </w:t>
      </w:r>
      <w:r w:rsidR="009D402A" w:rsidRPr="00E47185">
        <w:t>interest and</w:t>
      </w:r>
      <w:r w:rsidR="009D402A">
        <w:t xml:space="preserve"> </w:t>
      </w:r>
      <w:r w:rsidR="009D402A" w:rsidRPr="00E47185">
        <w:t xml:space="preserve">purpose. </w:t>
      </w:r>
      <w:r w:rsidR="009D402A">
        <w:t xml:space="preserve">To argue otherwise was </w:t>
      </w:r>
      <w:r w:rsidR="008E50E8">
        <w:tab/>
      </w:r>
      <w:r w:rsidR="009D402A">
        <w:t>misplaced</w:t>
      </w:r>
      <w:r w:rsidR="009D402A" w:rsidRPr="00E47185">
        <w:t>. A deviation case</w:t>
      </w:r>
      <w:r w:rsidR="00FA0913">
        <w:t xml:space="preserve"> </w:t>
      </w:r>
      <w:r w:rsidR="009D402A" w:rsidRPr="00E47185">
        <w:t xml:space="preserve">occurs when a police </w:t>
      </w:r>
      <w:r w:rsidR="009D402A">
        <w:t>officer commits a</w:t>
      </w:r>
      <w:r w:rsidR="009D402A" w:rsidRPr="00E47185">
        <w:t xml:space="preserve"> tort while </w:t>
      </w:r>
    </w:p>
    <w:p w:rsidR="00FA0913" w:rsidRDefault="00FA0913" w:rsidP="009D402A">
      <w:pPr>
        <w:spacing w:after="0"/>
        <w:ind w:left="0" w:firstLine="0"/>
      </w:pPr>
      <w:r>
        <w:t xml:space="preserve">         </w:t>
      </w:r>
      <w:r w:rsidR="00162329">
        <w:tab/>
      </w:r>
      <w:r w:rsidR="009D402A" w:rsidRPr="00E47185">
        <w:t>executing his lawful</w:t>
      </w:r>
      <w:r w:rsidR="009D402A">
        <w:t xml:space="preserve"> </w:t>
      </w:r>
      <w:r w:rsidR="009D402A" w:rsidRPr="00E47185">
        <w:t>duties.</w:t>
      </w:r>
      <w:r w:rsidR="009D402A">
        <w:t xml:space="preserve"> The</w:t>
      </w:r>
      <w:r>
        <w:t xml:space="preserve"> </w:t>
      </w:r>
      <w:r w:rsidR="009D402A">
        <w:t xml:space="preserve">plaintiff’s </w:t>
      </w:r>
      <w:r w:rsidR="009D402A" w:rsidRPr="00E47185">
        <w:t>contention</w:t>
      </w:r>
      <w:r w:rsidR="009D402A">
        <w:t xml:space="preserve"> otherwise</w:t>
      </w:r>
      <w:r w:rsidR="009D402A" w:rsidRPr="00E47185">
        <w:t xml:space="preserve"> </w:t>
      </w:r>
      <w:r w:rsidR="009D402A">
        <w:t xml:space="preserve">lacks merit and </w:t>
      </w:r>
    </w:p>
    <w:p w:rsidR="00FA0913" w:rsidRDefault="00FA0913" w:rsidP="00FA0913">
      <w:pPr>
        <w:spacing w:after="0"/>
        <w:ind w:left="0" w:firstLine="0"/>
      </w:pPr>
      <w:r>
        <w:t xml:space="preserve">         </w:t>
      </w:r>
      <w:r w:rsidR="00162329">
        <w:tab/>
      </w:r>
      <w:r>
        <w:t>stands to be rejected.</w:t>
      </w:r>
    </w:p>
    <w:p w:rsidR="00FA0913" w:rsidRDefault="00FA0913" w:rsidP="00FA0913">
      <w:pPr>
        <w:spacing w:after="0"/>
        <w:ind w:left="0" w:firstLine="0"/>
      </w:pPr>
    </w:p>
    <w:p w:rsidR="00FA0913" w:rsidRDefault="00FA0913" w:rsidP="00FA0913">
      <w:pPr>
        <w:spacing w:after="0"/>
        <w:ind w:left="0" w:firstLine="0"/>
      </w:pPr>
      <w:r>
        <w:t>[3</w:t>
      </w:r>
      <w:r w:rsidR="009E4D25">
        <w:t>1</w:t>
      </w:r>
      <w:r>
        <w:t xml:space="preserve">] </w:t>
      </w:r>
      <w:r w:rsidR="007A7C3D">
        <w:t xml:space="preserve"> </w:t>
      </w:r>
      <w:r>
        <w:t xml:space="preserve"> </w:t>
      </w:r>
      <w:r w:rsidR="00812A16">
        <w:tab/>
      </w:r>
      <w:r w:rsidR="009D402A">
        <w:t xml:space="preserve">Police officers may be obliged to take action to prevent or intervene to stop the </w:t>
      </w:r>
      <w:r>
        <w:t xml:space="preserve">   </w:t>
      </w:r>
    </w:p>
    <w:p w:rsidR="009D402A" w:rsidRDefault="00FA0913" w:rsidP="009525E4">
      <w:pPr>
        <w:ind w:left="0" w:firstLine="0"/>
      </w:pPr>
      <w:r>
        <w:t xml:space="preserve">       </w:t>
      </w:r>
      <w:r w:rsidR="007A7C3D">
        <w:t xml:space="preserve"> </w:t>
      </w:r>
      <w:r>
        <w:t xml:space="preserve"> </w:t>
      </w:r>
      <w:r w:rsidR="00812A16">
        <w:tab/>
      </w:r>
      <w:r w:rsidR="009D402A">
        <w:t xml:space="preserve">commission of a crime even when off duty. Where that situation occurs, the </w:t>
      </w:r>
      <w:r w:rsidR="007A7C3D">
        <w:t xml:space="preserve">         </w:t>
      </w:r>
      <w:r w:rsidR="00812A16">
        <w:tab/>
      </w:r>
      <w:r w:rsidR="009D402A">
        <w:t xml:space="preserve">officer would, in my view, be acting in line with his appointment and the Minister </w:t>
      </w:r>
      <w:r w:rsidR="007A7C3D">
        <w:t xml:space="preserve">         </w:t>
      </w:r>
      <w:r w:rsidR="00812A16">
        <w:tab/>
      </w:r>
      <w:r w:rsidR="009D402A">
        <w:t xml:space="preserve">may be held liable for any wrongful conduct the police officer may commit, just </w:t>
      </w:r>
      <w:r w:rsidR="00812A16">
        <w:tab/>
      </w:r>
      <w:r w:rsidR="009D402A">
        <w:t xml:space="preserve">as he would if the wrong was committed by the officer while on duty. A wrong </w:t>
      </w:r>
      <w:r w:rsidR="00812A16">
        <w:tab/>
      </w:r>
      <w:r w:rsidR="009D402A">
        <w:t xml:space="preserve">committed by the officer in this instance will constitute a </w:t>
      </w:r>
      <w:r w:rsidR="007A7C3D">
        <w:t>deviation case</w:t>
      </w:r>
      <w:r>
        <w:t xml:space="preserve"> and, </w:t>
      </w:r>
      <w:r w:rsidR="00812A16">
        <w:tab/>
      </w:r>
      <w:r>
        <w:t>therefore,</w:t>
      </w:r>
      <w:r w:rsidR="007A7C3D">
        <w:t xml:space="preserve"> render the Minister </w:t>
      </w:r>
      <w:r w:rsidR="009D402A">
        <w:t>liable.</w:t>
      </w:r>
      <w:r w:rsidR="007A7C3D">
        <w:t xml:space="preserve"> Each case should be considered </w:t>
      </w:r>
      <w:r w:rsidR="009D402A">
        <w:t>on its</w:t>
      </w:r>
      <w:r w:rsidR="007A7C3D">
        <w:t xml:space="preserve"> own</w:t>
      </w:r>
      <w:r w:rsidR="009D402A">
        <w:t xml:space="preserve"> </w:t>
      </w:r>
      <w:r w:rsidR="00812A16">
        <w:tab/>
      </w:r>
      <w:r w:rsidR="009D402A">
        <w:t>merits in this</w:t>
      </w:r>
      <w:r w:rsidR="007A7C3D">
        <w:t xml:space="preserve"> </w:t>
      </w:r>
      <w:r w:rsidR="009D402A">
        <w:t>regard. As a detective, R</w:t>
      </w:r>
      <w:r w:rsidR="007A7C3D">
        <w:t xml:space="preserve">ammutla’s duties related to the </w:t>
      </w:r>
      <w:r w:rsidR="00812A16">
        <w:tab/>
      </w:r>
      <w:r w:rsidR="009D402A">
        <w:t xml:space="preserve">investigation of crimes that had already been committed. He was in his </w:t>
      </w:r>
      <w:r w:rsidR="00812A16">
        <w:tab/>
      </w:r>
      <w:r w:rsidR="009D402A">
        <w:t>residence as he was off duty</w:t>
      </w:r>
      <w:r>
        <w:t xml:space="preserve"> </w:t>
      </w:r>
      <w:r w:rsidR="009D402A">
        <w:t>and not to investigate a crime.</w:t>
      </w:r>
    </w:p>
    <w:p w:rsidR="009D402A" w:rsidRDefault="009D402A" w:rsidP="005D5414">
      <w:pPr>
        <w:ind w:left="0" w:firstLine="0"/>
      </w:pPr>
      <w:r>
        <w:t>[3</w:t>
      </w:r>
      <w:r w:rsidR="009E4D25">
        <w:t>2</w:t>
      </w:r>
      <w:r>
        <w:t xml:space="preserve">] </w:t>
      </w:r>
      <w:r w:rsidR="00FA0913">
        <w:t xml:space="preserve">  </w:t>
      </w:r>
      <w:r w:rsidR="005D5414">
        <w:tab/>
      </w:r>
      <w:r>
        <w:t xml:space="preserve">The plaintiff’s seeking to hold the defendant vicariously liable merely on the </w:t>
      </w:r>
      <w:r w:rsidR="005D5414">
        <w:tab/>
      </w:r>
      <w:r>
        <w:t xml:space="preserve">basis of Rammutla’s employment and despite the fact that Rammutla was </w:t>
      </w:r>
      <w:r w:rsidR="005D5414">
        <w:tab/>
      </w:r>
      <w:r>
        <w:t xml:space="preserve">not </w:t>
      </w:r>
      <w:r w:rsidR="005D5414">
        <w:tab/>
      </w:r>
      <w:r>
        <w:t xml:space="preserve">executing his official duties, but engaged in unlawful conduct when he shot </w:t>
      </w:r>
      <w:r w:rsidR="005D5414">
        <w:tab/>
      </w:r>
      <w:r>
        <w:t xml:space="preserve">and killed the deceased, is misplaced and against the legal principle in </w:t>
      </w:r>
      <w:r>
        <w:rPr>
          <w:i/>
        </w:rPr>
        <w:t xml:space="preserve">Mkize v </w:t>
      </w:r>
      <w:r w:rsidR="005D5414">
        <w:rPr>
          <w:i/>
        </w:rPr>
        <w:tab/>
      </w:r>
      <w:r w:rsidR="009525E4">
        <w:rPr>
          <w:i/>
        </w:rPr>
        <w:t>Martens, above.</w:t>
      </w:r>
    </w:p>
    <w:p w:rsidR="009D402A" w:rsidRDefault="009D402A" w:rsidP="00FA0913">
      <w:r>
        <w:t>[3</w:t>
      </w:r>
      <w:r w:rsidR="009E4D25">
        <w:t>3</w:t>
      </w:r>
      <w:r>
        <w:t>]</w:t>
      </w:r>
      <w:r w:rsidR="00FA0913">
        <w:t xml:space="preserve">  </w:t>
      </w:r>
      <w:r>
        <w:t xml:space="preserve"> </w:t>
      </w:r>
      <w:r w:rsidR="00414228">
        <w:tab/>
      </w:r>
      <w:r>
        <w:t>The plaintiff’s argument suggesting that an employee’s wrongful conduct is</w:t>
      </w:r>
      <w:r w:rsidR="00414228">
        <w:t xml:space="preserve"> </w:t>
      </w:r>
      <w:r>
        <w:t xml:space="preserve">      </w:t>
      </w:r>
      <w:r w:rsidR="00FA0913">
        <w:t xml:space="preserve">  </w:t>
      </w:r>
      <w:r>
        <w:t xml:space="preserve"> attributable to the employer </w:t>
      </w:r>
      <w:r w:rsidR="00C85DC2">
        <w:t>by virtue of his</w:t>
      </w:r>
      <w:r>
        <w:t xml:space="preserve"> employment even where such </w:t>
      </w:r>
      <w:r w:rsidR="00FA0913">
        <w:t xml:space="preserve">         </w:t>
      </w:r>
      <w:r>
        <w:t>conduct is not conne</w:t>
      </w:r>
      <w:r w:rsidR="00C85DC2">
        <w:t>cted with the</w:t>
      </w:r>
      <w:r>
        <w:t xml:space="preserve"> employment is incorrect and ought to be </w:t>
      </w:r>
      <w:r w:rsidR="00FA0913">
        <w:t xml:space="preserve">         </w:t>
      </w:r>
      <w:r>
        <w:t xml:space="preserve">rejected. There existed no link whatsoever between the criminal action of </w:t>
      </w:r>
      <w:r w:rsidR="00FA0913">
        <w:t xml:space="preserve">         </w:t>
      </w:r>
      <w:r>
        <w:t>Rammutla and his</w:t>
      </w:r>
      <w:r w:rsidR="00FA0913">
        <w:t xml:space="preserve"> </w:t>
      </w:r>
      <w:r>
        <w:t xml:space="preserve">employment. The defendant cannot be held liable in the </w:t>
      </w:r>
      <w:r w:rsidR="00FA0913">
        <w:t xml:space="preserve">         </w:t>
      </w:r>
      <w:r>
        <w:t>circumstances of this case (see</w:t>
      </w:r>
      <w:r>
        <w:rPr>
          <w:i/>
        </w:rPr>
        <w:t xml:space="preserve"> Mkize v Martens</w:t>
      </w:r>
      <w:r>
        <w:t xml:space="preserve">). </w:t>
      </w:r>
    </w:p>
    <w:p w:rsidR="009D402A" w:rsidRDefault="009D402A" w:rsidP="009D402A">
      <w:pPr>
        <w:spacing w:after="0"/>
      </w:pPr>
    </w:p>
    <w:p w:rsidR="009D402A" w:rsidRDefault="00A55F9A" w:rsidP="009D402A">
      <w:pPr>
        <w:spacing w:after="0"/>
        <w:rPr>
          <w:b/>
        </w:rPr>
      </w:pPr>
      <w:r>
        <w:rPr>
          <w:b/>
        </w:rPr>
        <w:tab/>
      </w:r>
      <w:r w:rsidR="009D402A">
        <w:rPr>
          <w:b/>
        </w:rPr>
        <w:t>PLAINTIFF’S ‘EXPERT’ EVIDENCE</w:t>
      </w:r>
    </w:p>
    <w:p w:rsidR="00C85DC2" w:rsidRPr="009525E4" w:rsidRDefault="009525E4" w:rsidP="009525E4">
      <w:r>
        <w:lastRenderedPageBreak/>
        <w:t>[3</w:t>
      </w:r>
      <w:r w:rsidR="009E4D25">
        <w:t>4</w:t>
      </w:r>
      <w:r>
        <w:t>]</w:t>
      </w:r>
      <w:r w:rsidR="006C3F67">
        <w:t xml:space="preserve"> </w:t>
      </w:r>
      <w:r w:rsidR="00A55F9A">
        <w:tab/>
      </w:r>
      <w:r w:rsidR="00C85DC2">
        <w:t xml:space="preserve">The plaintiff called and led the evidence of one witness on the aspect of causation </w:t>
      </w:r>
      <w:r w:rsidR="00A55F9A">
        <w:t>and basis for</w:t>
      </w:r>
      <w:r w:rsidR="00C85DC2">
        <w:t xml:space="preserve"> seeking to hold the defendant vic</w:t>
      </w:r>
      <w:r w:rsidR="00720151">
        <w:t xml:space="preserve">ariously liable, namely, </w:t>
      </w:r>
      <w:r w:rsidR="00720151" w:rsidRPr="006C3F67">
        <w:t>Mr Mpho Boshielo, a</w:t>
      </w:r>
      <w:r w:rsidR="002B3802" w:rsidRPr="006C3F67">
        <w:t xml:space="preserve"> retired</w:t>
      </w:r>
      <w:r w:rsidR="00720151" w:rsidRPr="006C3F67">
        <w:t xml:space="preserve"> </w:t>
      </w:r>
      <w:r w:rsidR="00C85DC2" w:rsidRPr="006C3F67">
        <w:t xml:space="preserve">former </w:t>
      </w:r>
      <w:r w:rsidR="00720151" w:rsidRPr="006C3F67">
        <w:t>Colonel</w:t>
      </w:r>
      <w:r w:rsidR="00C85DC2" w:rsidRPr="006C3F67">
        <w:t xml:space="preserve"> in the employ of the defendant</w:t>
      </w:r>
      <w:r w:rsidR="002B3802" w:rsidRPr="006C3F67">
        <w:t xml:space="preserve"> who currently serves as a Commissioner </w:t>
      </w:r>
      <w:r w:rsidR="006C3F67">
        <w:t>of the CCMA in Tshwane and whom</w:t>
      </w:r>
      <w:r w:rsidR="006C3F67" w:rsidRPr="006C3F67">
        <w:t xml:space="preserve"> </w:t>
      </w:r>
      <w:r w:rsidR="002B3802" w:rsidRPr="006C3F67">
        <w:t>the</w:t>
      </w:r>
      <w:r>
        <w:t xml:space="preserve"> </w:t>
      </w:r>
      <w:r w:rsidR="002B3802" w:rsidRPr="006C3F67">
        <w:t>plaintiff</w:t>
      </w:r>
      <w:r w:rsidR="00C85DC2" w:rsidRPr="006C3F67">
        <w:t xml:space="preserve"> described as its expert witness. </w:t>
      </w:r>
      <w:r w:rsidR="00C85DC2">
        <w:t>The plaint</w:t>
      </w:r>
      <w:r w:rsidR="002B3802">
        <w:t>iff has filed a notice in terms</w:t>
      </w:r>
      <w:r w:rsidR="002B3802">
        <w:rPr>
          <w:b/>
        </w:rPr>
        <w:t xml:space="preserve"> </w:t>
      </w:r>
      <w:r w:rsidR="00C85DC2">
        <w:t>of Rule 36(9) relating to the evidence of this witness.</w:t>
      </w:r>
    </w:p>
    <w:p w:rsidR="00C85DC2" w:rsidRPr="000B558D" w:rsidRDefault="00C85DC2" w:rsidP="00C85DC2">
      <w:pPr>
        <w:rPr>
          <w:b/>
        </w:rPr>
      </w:pPr>
      <w:r>
        <w:t xml:space="preserve"> </w:t>
      </w:r>
      <w:r w:rsidRPr="000B558D">
        <w:rPr>
          <w:b/>
        </w:rPr>
        <w:t xml:space="preserve"> </w:t>
      </w:r>
    </w:p>
    <w:p w:rsidR="005D5539" w:rsidRDefault="00C85DC2" w:rsidP="005D5539">
      <w:pPr>
        <w:ind w:left="0" w:firstLine="0"/>
      </w:pPr>
      <w:r>
        <w:t>[3</w:t>
      </w:r>
      <w:r w:rsidR="009E4D25">
        <w:t>5</w:t>
      </w:r>
      <w:r>
        <w:t>]</w:t>
      </w:r>
      <w:r w:rsidR="006C3F67">
        <w:t xml:space="preserve">  </w:t>
      </w:r>
      <w:r>
        <w:t xml:space="preserve"> </w:t>
      </w:r>
      <w:r w:rsidR="008C16BB">
        <w:tab/>
      </w:r>
      <w:r>
        <w:t>The witne</w:t>
      </w:r>
      <w:r w:rsidR="002B3802">
        <w:t xml:space="preserve">ss testified that </w:t>
      </w:r>
      <w:r w:rsidR="002B3802" w:rsidRPr="006C3F67">
        <w:t>he was the</w:t>
      </w:r>
      <w:r w:rsidRPr="006C3F67">
        <w:t xml:space="preserve"> trainer</w:t>
      </w:r>
      <w:r>
        <w:t xml:space="preserve"> of aspirant police officers during</w:t>
      </w:r>
      <w:r w:rsidR="006C3F67">
        <w:t xml:space="preserve"> </w:t>
      </w:r>
      <w:r w:rsidR="008C16BB">
        <w:tab/>
      </w:r>
      <w:r w:rsidR="006C3F67">
        <w:t>the</w:t>
      </w:r>
      <w:r w:rsidR="00A2244D">
        <w:t xml:space="preserve"> </w:t>
      </w:r>
      <w:r w:rsidR="007C59A5">
        <w:t>period 1991 to</w:t>
      </w:r>
      <w:r w:rsidR="00A2244D" w:rsidRPr="006C3F67">
        <w:t xml:space="preserve"> 2004</w:t>
      </w:r>
      <w:r w:rsidR="005D5539">
        <w:t>.</w:t>
      </w:r>
      <w:r>
        <w:t xml:space="preserve"> H</w:t>
      </w:r>
      <w:r w:rsidR="00A2244D">
        <w:t>e did not know nor did he train</w:t>
      </w:r>
      <w:r>
        <w:t xml:space="preserve"> Rammutla. He was </w:t>
      </w:r>
      <w:r w:rsidR="008C16BB">
        <w:tab/>
      </w:r>
      <w:r>
        <w:t>no</w:t>
      </w:r>
      <w:r w:rsidR="008C16BB">
        <w:t xml:space="preserve"> </w:t>
      </w:r>
      <w:r>
        <w:t>longer directly invol</w:t>
      </w:r>
      <w:r w:rsidR="005D5539">
        <w:t>ved with trainees at the</w:t>
      </w:r>
      <w:r w:rsidR="00A2244D">
        <w:t xml:space="preserve"> time Rammutla was a</w:t>
      </w:r>
      <w:r>
        <w:t xml:space="preserve"> </w:t>
      </w:r>
      <w:r w:rsidR="008C16BB">
        <w:tab/>
      </w:r>
      <w:r>
        <w:t>trainee,</w:t>
      </w:r>
      <w:r w:rsidR="00A2244D">
        <w:t xml:space="preserve"> </w:t>
      </w:r>
      <w:r>
        <w:t>but had been in</w:t>
      </w:r>
      <w:r w:rsidR="00A2244D">
        <w:t xml:space="preserve">volved </w:t>
      </w:r>
      <w:r w:rsidR="00A2244D" w:rsidRPr="005D5539">
        <w:t>in</w:t>
      </w:r>
      <w:r w:rsidR="00A2244D">
        <w:t xml:space="preserve"> the supervision of</w:t>
      </w:r>
      <w:r>
        <w:t xml:space="preserve"> trainers. During his time as </w:t>
      </w:r>
      <w:r w:rsidR="008C16BB">
        <w:tab/>
      </w:r>
      <w:r>
        <w:t xml:space="preserve">a trainer, he had taught the theoretical aspects of the training of officers such </w:t>
      </w:r>
      <w:r w:rsidR="008C16BB">
        <w:tab/>
      </w:r>
      <w:r>
        <w:t>the law relating t</w:t>
      </w:r>
      <w:r w:rsidR="00A2244D">
        <w:t xml:space="preserve">o the handling of firearms. </w:t>
      </w:r>
      <w:r w:rsidR="00A2244D" w:rsidRPr="005D5539">
        <w:t>He</w:t>
      </w:r>
      <w:r w:rsidRPr="005D5539">
        <w:t xml:space="preserve"> had scant to no knowledge of </w:t>
      </w:r>
      <w:r w:rsidR="008C16BB">
        <w:tab/>
      </w:r>
      <w:r w:rsidRPr="005D5539">
        <w:t xml:space="preserve">the </w:t>
      </w:r>
      <w:r w:rsidR="006617D9" w:rsidRPr="005D5539">
        <w:t xml:space="preserve">practical </w:t>
      </w:r>
      <w:r w:rsidRPr="005D5539">
        <w:t>a</w:t>
      </w:r>
      <w:r w:rsidR="00A2244D" w:rsidRPr="005D5539">
        <w:t xml:space="preserve">spects of the training such as the frequency of practice shooting </w:t>
      </w:r>
      <w:r w:rsidR="008C16BB">
        <w:tab/>
      </w:r>
      <w:r w:rsidR="00A2244D" w:rsidRPr="005D5539">
        <w:t>and</w:t>
      </w:r>
      <w:r w:rsidR="006617D9" w:rsidRPr="005D5539">
        <w:t xml:space="preserve"> </w:t>
      </w:r>
      <w:r w:rsidRPr="005D5539">
        <w:t>competency</w:t>
      </w:r>
      <w:r w:rsidR="00A2244D" w:rsidRPr="005D5539">
        <w:t xml:space="preserve"> assessments</w:t>
      </w:r>
      <w:r w:rsidRPr="005D5539">
        <w:t xml:space="preserve"> in shooting and the general handling of</w:t>
      </w:r>
      <w:r w:rsidR="006617D9" w:rsidRPr="005D5539">
        <w:t xml:space="preserve"> issued</w:t>
      </w:r>
      <w:r w:rsidR="00A2244D" w:rsidRPr="005D5539">
        <w:t xml:space="preserve"> </w:t>
      </w:r>
      <w:r w:rsidR="008C16BB">
        <w:tab/>
      </w:r>
      <w:r w:rsidR="00A2244D" w:rsidRPr="005D5539">
        <w:t xml:space="preserve">firearms nor the </w:t>
      </w:r>
      <w:r w:rsidRPr="005D5539">
        <w:t>sustenance of competence and matters of</w:t>
      </w:r>
      <w:r w:rsidR="006617D9" w:rsidRPr="005D5539">
        <w:t xml:space="preserve"> disqualifications and</w:t>
      </w:r>
      <w:r w:rsidR="00A2244D" w:rsidRPr="005D5539">
        <w:t xml:space="preserve"> </w:t>
      </w:r>
      <w:r w:rsidR="008C16BB">
        <w:tab/>
      </w:r>
      <w:r w:rsidR="00A2244D" w:rsidRPr="005D5539">
        <w:t>withdrawal of</w:t>
      </w:r>
      <w:r w:rsidRPr="005D5539">
        <w:t xml:space="preserve"> possession of firearms and the</w:t>
      </w:r>
      <w:r w:rsidR="006617D9" w:rsidRPr="005D5539">
        <w:t xml:space="preserve"> </w:t>
      </w:r>
      <w:r w:rsidRPr="005D5539">
        <w:t>remedial training involved.</w:t>
      </w:r>
      <w:r>
        <w:t xml:space="preserve"> These </w:t>
      </w:r>
      <w:r w:rsidR="008C16BB">
        <w:tab/>
      </w:r>
      <w:r w:rsidR="00A2244D">
        <w:t xml:space="preserve">were crucial aspects of the plaintiff’s </w:t>
      </w:r>
      <w:r w:rsidR="00A2244D" w:rsidRPr="005D5539">
        <w:t>case</w:t>
      </w:r>
      <w:r>
        <w:t>.</w:t>
      </w:r>
      <w:r w:rsidR="005D5539">
        <w:t xml:space="preserve"> </w:t>
      </w:r>
      <w:r>
        <w:t xml:space="preserve">Thus the plaintiff had effectively </w:t>
      </w:r>
      <w:r w:rsidR="008C16BB">
        <w:tab/>
      </w:r>
      <w:r>
        <w:t>presented no evi</w:t>
      </w:r>
      <w:r w:rsidR="006617D9">
        <w:t xml:space="preserve">dence to support </w:t>
      </w:r>
      <w:r w:rsidR="006617D9" w:rsidRPr="005D5539">
        <w:t xml:space="preserve">its </w:t>
      </w:r>
      <w:r w:rsidR="005D5539">
        <w:t>contentions on</w:t>
      </w:r>
      <w:r w:rsidR="006617D9" w:rsidRPr="005D5539">
        <w:t xml:space="preserve"> the law </w:t>
      </w:r>
      <w:r w:rsidR="005D5539">
        <w:t xml:space="preserve">it seeks </w:t>
      </w:r>
      <w:r w:rsidR="006617D9" w:rsidRPr="005D5539">
        <w:t>to</w:t>
      </w:r>
      <w:r w:rsidR="005D5539">
        <w:t xml:space="preserve"> rely on </w:t>
      </w:r>
      <w:r w:rsidR="008C16BB">
        <w:tab/>
      </w:r>
      <w:r w:rsidR="005D5539">
        <w:t>to hold the defendant vicariously liable for the conduct of Rammutla.</w:t>
      </w:r>
    </w:p>
    <w:p w:rsidR="00195C7A" w:rsidRDefault="005D5539" w:rsidP="00195C7A">
      <w:pPr>
        <w:ind w:left="0" w:firstLine="0"/>
      </w:pPr>
      <w:r>
        <w:t>[3</w:t>
      </w:r>
      <w:r w:rsidR="009E4D25">
        <w:t>6</w:t>
      </w:r>
      <w:r>
        <w:t xml:space="preserve">]  </w:t>
      </w:r>
      <w:r w:rsidR="00195C7A">
        <w:t xml:space="preserve"> </w:t>
      </w:r>
      <w:r w:rsidR="00C41162">
        <w:tab/>
      </w:r>
      <w:r w:rsidR="00C85DC2" w:rsidRPr="005277D5">
        <w:t>The witness</w:t>
      </w:r>
      <w:r w:rsidR="00C85DC2">
        <w:t xml:space="preserve"> did confirm</w:t>
      </w:r>
      <w:r w:rsidR="00C85DC2" w:rsidRPr="005277D5">
        <w:t xml:space="preserve">, </w:t>
      </w:r>
      <w:r w:rsidR="00C85DC2">
        <w:t xml:space="preserve">however, </w:t>
      </w:r>
      <w:r w:rsidR="00C85DC2" w:rsidRPr="005277D5">
        <w:t>that police o</w:t>
      </w:r>
      <w:r w:rsidR="00C85DC2">
        <w:t>fficers issued with firearms and</w:t>
      </w:r>
      <w:r w:rsidR="00C41162">
        <w:t xml:space="preserve"> </w:t>
      </w:r>
      <w:r w:rsidR="00195C7A">
        <w:t xml:space="preserve">         </w:t>
      </w:r>
      <w:r w:rsidR="00C41162">
        <w:tab/>
      </w:r>
      <w:r w:rsidR="00C85DC2">
        <w:t xml:space="preserve">ammunition, inter alia, are </w:t>
      </w:r>
      <w:r w:rsidR="00C85DC2" w:rsidRPr="005277D5">
        <w:t xml:space="preserve">entitled by law to remain in possession thereof </w:t>
      </w:r>
      <w:r w:rsidR="00C85DC2">
        <w:t xml:space="preserve">even </w:t>
      </w:r>
      <w:r w:rsidR="00195C7A">
        <w:t xml:space="preserve">         </w:t>
      </w:r>
      <w:r w:rsidR="00C41162">
        <w:tab/>
      </w:r>
      <w:r w:rsidR="00C85DC2" w:rsidRPr="005277D5">
        <w:t xml:space="preserve">when off duty. </w:t>
      </w:r>
      <w:r w:rsidR="00C85DC2">
        <w:t xml:space="preserve">This </w:t>
      </w:r>
      <w:r w:rsidR="00C85DC2" w:rsidRPr="005277D5">
        <w:t>evidence</w:t>
      </w:r>
      <w:r w:rsidR="00C85DC2">
        <w:t xml:space="preserve"> </w:t>
      </w:r>
      <w:r w:rsidR="00C85DC2" w:rsidRPr="005277D5">
        <w:t>contradicted the plaintiff’s con</w:t>
      </w:r>
      <w:r w:rsidR="00C85DC2">
        <w:t xml:space="preserve">tention and basis </w:t>
      </w:r>
      <w:r w:rsidR="00C41162">
        <w:tab/>
      </w:r>
      <w:r w:rsidR="00C85DC2">
        <w:t xml:space="preserve">for reliance </w:t>
      </w:r>
      <w:r w:rsidR="00C85DC2" w:rsidRPr="005277D5">
        <w:t>on the provisions</w:t>
      </w:r>
      <w:r w:rsidR="00C85DC2">
        <w:t xml:space="preserve"> of para 6 of Standing Order 4</w:t>
      </w:r>
      <w:r w:rsidR="003654F2">
        <w:t>.</w:t>
      </w:r>
    </w:p>
    <w:p w:rsidR="00AC10A5" w:rsidRPr="008A58F8" w:rsidRDefault="009E4D25" w:rsidP="00AC10A5">
      <w:pPr>
        <w:ind w:left="0" w:firstLine="0"/>
      </w:pPr>
      <w:r>
        <w:t>[37</w:t>
      </w:r>
      <w:r w:rsidR="007C59A5">
        <w:t xml:space="preserve">] </w:t>
      </w:r>
      <w:r w:rsidR="00C41162">
        <w:tab/>
      </w:r>
      <w:r w:rsidR="00791B7B">
        <w:t>It transpired during the cross examination of the plaintiff’s second witness that</w:t>
      </w:r>
      <w:r w:rsidR="00E166CA">
        <w:t xml:space="preserve">    </w:t>
      </w:r>
      <w:r w:rsidR="00195C7A">
        <w:t xml:space="preserve">  </w:t>
      </w:r>
      <w:r w:rsidR="00C41162">
        <w:tab/>
      </w:r>
      <w:r w:rsidR="00791B7B">
        <w:t xml:space="preserve">the contentions raised by the plaintiff emanated from documents the plaintiff’s </w:t>
      </w:r>
      <w:r w:rsidR="00E166CA">
        <w:t xml:space="preserve">    </w:t>
      </w:r>
      <w:r w:rsidR="00195C7A">
        <w:t xml:space="preserve">  </w:t>
      </w:r>
      <w:r w:rsidR="00C41162">
        <w:tab/>
      </w:r>
      <w:r w:rsidR="00791B7B">
        <w:t xml:space="preserve">attorneys allegedly obtained from IPID, the body </w:t>
      </w:r>
      <w:r w:rsidR="007C59A5">
        <w:t xml:space="preserve">that </w:t>
      </w:r>
      <w:r w:rsidR="00791B7B">
        <w:t xml:space="preserve">is still investigating the </w:t>
      </w:r>
      <w:r w:rsidR="00C41162">
        <w:tab/>
      </w:r>
      <w:r w:rsidR="00791B7B">
        <w:t xml:space="preserve">case against Rammutla. </w:t>
      </w:r>
      <w:r w:rsidR="007C59A5">
        <w:t xml:space="preserve">The witness testified that he was supplied by the </w:t>
      </w:r>
      <w:r w:rsidR="00C41162">
        <w:tab/>
      </w:r>
      <w:r w:rsidR="007C59A5">
        <w:t>plaintiff’s</w:t>
      </w:r>
      <w:r w:rsidR="00C41162">
        <w:t xml:space="preserve"> </w:t>
      </w:r>
      <w:r w:rsidR="007C59A5">
        <w:t>attorney with those documents for him to study in prepara</w:t>
      </w:r>
      <w:r w:rsidR="008A58F8">
        <w:t xml:space="preserve">tion for </w:t>
      </w:r>
      <w:r w:rsidR="00C41162">
        <w:tab/>
      </w:r>
      <w:r w:rsidR="008A58F8">
        <w:t xml:space="preserve">this </w:t>
      </w:r>
      <w:r w:rsidR="00C41162">
        <w:tab/>
      </w:r>
      <w:r w:rsidR="008A58F8">
        <w:t xml:space="preserve">case. </w:t>
      </w:r>
      <w:r w:rsidR="00791B7B">
        <w:t>It came as no surprise to that the defendant’s counsel</w:t>
      </w:r>
      <w:r w:rsidR="00195C7A">
        <w:t xml:space="preserve"> </w:t>
      </w:r>
      <w:r w:rsidR="00791B7B">
        <w:t>objected</w:t>
      </w:r>
      <w:r w:rsidR="00C41162">
        <w:t xml:space="preserve"> </w:t>
      </w:r>
      <w:r w:rsidR="00791B7B">
        <w:t xml:space="preserve">to the </w:t>
      </w:r>
      <w:r w:rsidR="00C41162">
        <w:tab/>
      </w:r>
      <w:r w:rsidR="00791B7B">
        <w:t>admission of the evidence of the p</w:t>
      </w:r>
      <w:r w:rsidR="006617D9">
        <w:t xml:space="preserve">laintiff’s second witness </w:t>
      </w:r>
      <w:r w:rsidR="006617D9" w:rsidRPr="007C59A5">
        <w:t>that</w:t>
      </w:r>
      <w:r w:rsidR="00791B7B" w:rsidRPr="007C59A5">
        <w:t xml:space="preserve"> </w:t>
      </w:r>
      <w:r w:rsidR="007C59A5">
        <w:t xml:space="preserve">was </w:t>
      </w:r>
      <w:r w:rsidR="00C41162">
        <w:tab/>
        <w:t xml:space="preserve">based </w:t>
      </w:r>
      <w:r w:rsidR="007C59A5">
        <w:t xml:space="preserve">on </w:t>
      </w:r>
      <w:r w:rsidR="00C41162">
        <w:tab/>
      </w:r>
      <w:r w:rsidR="007C59A5">
        <w:t xml:space="preserve">documents from </w:t>
      </w:r>
      <w:r w:rsidR="00E166CA">
        <w:t xml:space="preserve">incomplete or </w:t>
      </w:r>
      <w:r w:rsidR="007C59A5">
        <w:t>ongoing investigations.</w:t>
      </w:r>
    </w:p>
    <w:p w:rsidR="0021643E" w:rsidRDefault="0021643E" w:rsidP="00AC10A5">
      <w:pPr>
        <w:ind w:left="0" w:firstLine="0"/>
        <w:rPr>
          <w:b/>
        </w:rPr>
      </w:pPr>
    </w:p>
    <w:p w:rsidR="00AD233E" w:rsidRDefault="0021643E" w:rsidP="00AC10A5">
      <w:pPr>
        <w:ind w:left="0" w:firstLine="0"/>
        <w:rPr>
          <w:b/>
        </w:rPr>
      </w:pPr>
      <w:r>
        <w:rPr>
          <w:b/>
        </w:rPr>
        <w:tab/>
      </w:r>
    </w:p>
    <w:p w:rsidR="00AC10A5" w:rsidRDefault="00AD233E" w:rsidP="00AC10A5">
      <w:pPr>
        <w:ind w:left="0" w:firstLine="0"/>
      </w:pPr>
      <w:r>
        <w:rPr>
          <w:b/>
        </w:rPr>
        <w:tab/>
      </w:r>
      <w:r w:rsidR="00AC10A5">
        <w:rPr>
          <w:b/>
        </w:rPr>
        <w:t>EVIDENCE OF DEFENCE WITNESSES</w:t>
      </w:r>
    </w:p>
    <w:p w:rsidR="00C44DD0" w:rsidRDefault="007C59A5" w:rsidP="00AC10A5">
      <w:pPr>
        <w:ind w:left="0" w:firstLine="0"/>
        <w:rPr>
          <w:b/>
        </w:rPr>
      </w:pPr>
      <w:r>
        <w:t>[3</w:t>
      </w:r>
      <w:r w:rsidR="009E4D25">
        <w:t>8</w:t>
      </w:r>
      <w:r>
        <w:t xml:space="preserve">] </w:t>
      </w:r>
      <w:r w:rsidR="0021643E">
        <w:tab/>
      </w:r>
      <w:r w:rsidR="00584814" w:rsidRPr="007E50BD">
        <w:t>The defendant called four witnesses,</w:t>
      </w:r>
      <w:r w:rsidR="00584814" w:rsidRPr="007E50BD">
        <w:rPr>
          <w:i/>
        </w:rPr>
        <w:t xml:space="preserve"> inter alia</w:t>
      </w:r>
      <w:r w:rsidR="00584814" w:rsidRPr="007E50BD">
        <w:t xml:space="preserve">, </w:t>
      </w:r>
      <w:r w:rsidR="00443A73">
        <w:t>Lft Colonel Msiza who has been</w:t>
      </w:r>
      <w:r w:rsidR="0021643E">
        <w:t xml:space="preserve"> </w:t>
      </w:r>
      <w:r w:rsidR="00AC10A5">
        <w:t xml:space="preserve">         </w:t>
      </w:r>
      <w:r w:rsidR="00AD233E">
        <w:tab/>
      </w:r>
      <w:r w:rsidR="00443A73">
        <w:t>in the SAPS for 34 years and is currently in the Tshwane Police Training</w:t>
      </w:r>
      <w:r w:rsidR="0021643E">
        <w:t xml:space="preserve"> </w:t>
      </w:r>
      <w:r w:rsidR="00AC10A5">
        <w:t xml:space="preserve">         </w:t>
      </w:r>
      <w:r w:rsidR="00AD233E">
        <w:tab/>
      </w:r>
      <w:r w:rsidR="00443A73">
        <w:t>Academy</w:t>
      </w:r>
      <w:r w:rsidR="008A1AE5">
        <w:t xml:space="preserve">. His duties include the monitoring and evaluation of what he called </w:t>
      </w:r>
      <w:r w:rsidR="00AD233E">
        <w:tab/>
      </w:r>
      <w:r w:rsidR="008A1AE5">
        <w:t xml:space="preserve">street survival firearms. He also evaluates the performance of police trainers. </w:t>
      </w:r>
      <w:r w:rsidR="00AD233E">
        <w:tab/>
      </w:r>
      <w:r w:rsidR="008A1AE5">
        <w:t>He became a trainer of officers in 2002 and was involved in both theoretical</w:t>
      </w:r>
      <w:r w:rsidR="00476733">
        <w:t xml:space="preserve"> </w:t>
      </w:r>
      <w:r w:rsidR="00AD233E">
        <w:tab/>
      </w:r>
      <w:r w:rsidR="00476733">
        <w:t xml:space="preserve">and practical </w:t>
      </w:r>
      <w:r w:rsidR="00AC10A5">
        <w:t>training of</w:t>
      </w:r>
      <w:r w:rsidR="008A1AE5">
        <w:t xml:space="preserve"> aspirant police officers. </w:t>
      </w:r>
      <w:r w:rsidR="00476733">
        <w:t xml:space="preserve">He testified mainly on what the </w:t>
      </w:r>
      <w:r w:rsidR="00AD233E">
        <w:tab/>
      </w:r>
      <w:r w:rsidR="00476733">
        <w:t xml:space="preserve">training entails, the provisions of the Firearms Control Act, Firearms Control </w:t>
      </w:r>
      <w:r w:rsidR="00AD233E">
        <w:tab/>
      </w:r>
      <w:r w:rsidR="00476733">
        <w:t xml:space="preserve">Regulations and the Standing Order 48. He confirmed the evidence of Captain </w:t>
      </w:r>
      <w:r w:rsidR="00AD233E">
        <w:tab/>
      </w:r>
      <w:r w:rsidR="00476733">
        <w:t>Neveling that the frequency of firearm shooting practice and competency t</w:t>
      </w:r>
      <w:r w:rsidR="00AD233E">
        <w:tab/>
      </w:r>
      <w:r w:rsidR="00476733">
        <w:t xml:space="preserve">esting of firearm shooting and handling was amended in September 2016 from </w:t>
      </w:r>
      <w:r w:rsidR="00AD233E">
        <w:tab/>
      </w:r>
      <w:r w:rsidR="00476733">
        <w:t xml:space="preserve">once in twelve months to once in five years. He further testified that the change </w:t>
      </w:r>
      <w:r w:rsidR="00AD233E">
        <w:tab/>
      </w:r>
      <w:r w:rsidR="00476733">
        <w:t>was effected through the publication of the National Instruction</w:t>
      </w:r>
      <w:r w:rsidR="003E2EEF">
        <w:t xml:space="preserve">s of 2016. This </w:t>
      </w:r>
      <w:r w:rsidR="00AD233E">
        <w:tab/>
      </w:r>
      <w:r w:rsidR="003E2EEF">
        <w:t>aspect of the evidence was later confir</w:t>
      </w:r>
      <w:r w:rsidR="006617D9">
        <w:t xml:space="preserve">med by another defence witness, </w:t>
      </w:r>
      <w:r w:rsidR="00AD233E">
        <w:tab/>
      </w:r>
      <w:r w:rsidR="006617D9">
        <w:t xml:space="preserve">Brigadier P.W. </w:t>
      </w:r>
      <w:r w:rsidR="002024F0">
        <w:t xml:space="preserve">Nienaber, </w:t>
      </w:r>
      <w:r w:rsidR="003E2EEF">
        <w:t xml:space="preserve">who was directly involved in the drafting of the </w:t>
      </w:r>
      <w:r w:rsidR="00AD233E">
        <w:tab/>
      </w:r>
      <w:r w:rsidR="003E2EEF">
        <w:t>National Instruction</w:t>
      </w:r>
      <w:r w:rsidR="002024F0">
        <w:t>s</w:t>
      </w:r>
      <w:r w:rsidR="00AD233E">
        <w:t xml:space="preserve"> </w:t>
      </w:r>
      <w:r w:rsidR="003E2EEF">
        <w:t xml:space="preserve">of 2016 and saw to its publication on 29 September 2016 </w:t>
      </w:r>
      <w:r w:rsidR="00AD233E">
        <w:tab/>
      </w:r>
      <w:r w:rsidR="003E2EEF">
        <w:t>– the date the instruction</w:t>
      </w:r>
      <w:r w:rsidR="002024F0">
        <w:t xml:space="preserve">s became </w:t>
      </w:r>
      <w:r w:rsidR="002024F0" w:rsidRPr="00AC10A5">
        <w:t>operational</w:t>
      </w:r>
      <w:r w:rsidR="00C44DD0">
        <w:rPr>
          <w:b/>
        </w:rPr>
        <w:t>.</w:t>
      </w:r>
    </w:p>
    <w:p w:rsidR="006F613D" w:rsidRDefault="009E4D25" w:rsidP="00C44DD0">
      <w:pPr>
        <w:ind w:left="0" w:firstLine="0"/>
      </w:pPr>
      <w:r>
        <w:t>[39</w:t>
      </w:r>
      <w:r w:rsidR="00C44DD0" w:rsidRPr="00C44DD0">
        <w:t>]</w:t>
      </w:r>
      <w:r w:rsidR="00E166CA">
        <w:rPr>
          <w:b/>
        </w:rPr>
        <w:t xml:space="preserve"> </w:t>
      </w:r>
      <w:r w:rsidR="00AD233E">
        <w:rPr>
          <w:b/>
        </w:rPr>
        <w:tab/>
      </w:r>
      <w:r w:rsidR="00443A73">
        <w:t xml:space="preserve">The second defence witness was </w:t>
      </w:r>
      <w:r w:rsidR="00584814" w:rsidRPr="007E50BD">
        <w:t xml:space="preserve">Captain </w:t>
      </w:r>
      <w:r w:rsidR="00C44DD0" w:rsidRPr="00C44DD0">
        <w:t>Nevel</w:t>
      </w:r>
      <w:r w:rsidR="002024F0" w:rsidRPr="00C44DD0">
        <w:t>ing</w:t>
      </w:r>
      <w:r w:rsidR="00584814" w:rsidRPr="007E50BD">
        <w:t xml:space="preserve"> who testif</w:t>
      </w:r>
      <w:r w:rsidR="00443A73">
        <w:t>ied</w:t>
      </w:r>
      <w:r w:rsidR="00584814">
        <w:t xml:space="preserve"> that he </w:t>
      </w:r>
      <w:r w:rsidR="00584814" w:rsidRPr="007E50BD">
        <w:t>has</w:t>
      </w:r>
      <w:r w:rsidR="00C44DD0">
        <w:t xml:space="preserve"> </w:t>
      </w:r>
      <w:r w:rsidR="00AD233E">
        <w:tab/>
      </w:r>
      <w:r w:rsidR="00C44DD0">
        <w:t>been</w:t>
      </w:r>
      <w:r w:rsidR="00AD233E">
        <w:t xml:space="preserve"> </w:t>
      </w:r>
      <w:r w:rsidR="00584814" w:rsidRPr="007E50BD">
        <w:t>in the police service</w:t>
      </w:r>
      <w:r w:rsidR="00791B7B">
        <w:t xml:space="preserve"> for 29 years and is</w:t>
      </w:r>
      <w:r w:rsidR="00584814" w:rsidRPr="007E50BD">
        <w:t xml:space="preserve"> responsible for the monitoring and</w:t>
      </w:r>
      <w:r w:rsidR="00AD233E">
        <w:t xml:space="preserve"> </w:t>
      </w:r>
      <w:r w:rsidR="00E166CA">
        <w:t xml:space="preserve">   </w:t>
      </w:r>
      <w:r w:rsidR="00C44DD0">
        <w:t xml:space="preserve">  </w:t>
      </w:r>
      <w:r w:rsidR="00E166CA">
        <w:t xml:space="preserve">  </w:t>
      </w:r>
      <w:r w:rsidR="00C44DD0">
        <w:t xml:space="preserve"> </w:t>
      </w:r>
      <w:r w:rsidR="00AD233E">
        <w:tab/>
      </w:r>
      <w:r w:rsidR="00C44DD0">
        <w:t>recording</w:t>
      </w:r>
      <w:r w:rsidR="00584814" w:rsidRPr="007E50BD">
        <w:t xml:space="preserve"> of the officers’ attendance of shooting practices and, importantly, the </w:t>
      </w:r>
      <w:r w:rsidR="00E166CA">
        <w:t xml:space="preserve">      </w:t>
      </w:r>
      <w:r w:rsidR="00C44DD0">
        <w:t xml:space="preserve">  </w:t>
      </w:r>
      <w:r w:rsidR="00AD233E">
        <w:tab/>
      </w:r>
      <w:r w:rsidR="00584814" w:rsidRPr="007E50BD">
        <w:t>compulsory</w:t>
      </w:r>
      <w:r w:rsidR="00C44DD0">
        <w:t xml:space="preserve"> annual</w:t>
      </w:r>
      <w:r w:rsidR="00584814" w:rsidRPr="007E50BD">
        <w:t xml:space="preserve"> competency assessments</w:t>
      </w:r>
      <w:r w:rsidR="00C44DD0">
        <w:t xml:space="preserve"> of firearm </w:t>
      </w:r>
      <w:r w:rsidR="00584814" w:rsidRPr="007E50BD">
        <w:t>shooting and handling</w:t>
      </w:r>
      <w:r w:rsidR="00C44DD0">
        <w:t xml:space="preserve">. </w:t>
      </w:r>
      <w:r w:rsidR="00E166CA">
        <w:t xml:space="preserve">   </w:t>
      </w:r>
      <w:r w:rsidR="00C44DD0">
        <w:t xml:space="preserve"> </w:t>
      </w:r>
      <w:r w:rsidR="00E166CA">
        <w:t xml:space="preserve"> </w:t>
      </w:r>
      <w:r w:rsidR="00C44DD0">
        <w:t xml:space="preserve"> </w:t>
      </w:r>
      <w:r w:rsidR="00E166CA">
        <w:t xml:space="preserve"> </w:t>
      </w:r>
      <w:r w:rsidR="00C44DD0">
        <w:t xml:space="preserve"> </w:t>
      </w:r>
      <w:r w:rsidR="00AD233E">
        <w:tab/>
      </w:r>
      <w:r w:rsidR="00584814" w:rsidRPr="007E50BD">
        <w:t>He testified on</w:t>
      </w:r>
      <w:r w:rsidR="00E166CA">
        <w:t xml:space="preserve"> the</w:t>
      </w:r>
      <w:r w:rsidR="00584814" w:rsidRPr="007E50BD">
        <w:t xml:space="preserve"> circum</w:t>
      </w:r>
      <w:r w:rsidR="00E166CA">
        <w:t xml:space="preserve">stances </w:t>
      </w:r>
      <w:r w:rsidR="00584814" w:rsidRPr="007E50BD">
        <w:t xml:space="preserve">an officer may be disqualified and dislodged </w:t>
      </w:r>
      <w:r w:rsidR="00AD233E">
        <w:tab/>
      </w:r>
      <w:r w:rsidR="00584814" w:rsidRPr="007E50BD">
        <w:t>of his possession of a firearm such as the commission of a viole</w:t>
      </w:r>
      <w:r w:rsidR="002024F0" w:rsidRPr="00C44DD0">
        <w:t>n</w:t>
      </w:r>
      <w:r w:rsidR="00584814" w:rsidRPr="007E50BD">
        <w:t>t</w:t>
      </w:r>
      <w:r w:rsidR="00C44DD0">
        <w:t xml:space="preserve"> </w:t>
      </w:r>
      <w:r w:rsidR="00E166CA">
        <w:t>offence,</w:t>
      </w:r>
      <w:r w:rsidR="00C44DD0">
        <w:t xml:space="preserve"> </w:t>
      </w:r>
      <w:r w:rsidR="00AD233E">
        <w:tab/>
      </w:r>
      <w:r w:rsidR="00C44DD0">
        <w:t>a failure to attend</w:t>
      </w:r>
      <w:r w:rsidR="00584814" w:rsidRPr="007E50BD">
        <w:t xml:space="preserve"> the competency assessment practice</w:t>
      </w:r>
      <w:r w:rsidR="00584814">
        <w:t xml:space="preserve"> despite a</w:t>
      </w:r>
      <w:r w:rsidR="00C44DD0">
        <w:t xml:space="preserve"> </w:t>
      </w:r>
      <w:r w:rsidR="00584814">
        <w:t xml:space="preserve">directive to </w:t>
      </w:r>
      <w:r w:rsidR="00AD233E">
        <w:tab/>
      </w:r>
      <w:r w:rsidR="00584814">
        <w:t>do so</w:t>
      </w:r>
      <w:r w:rsidR="00443A73">
        <w:t xml:space="preserve"> which comes</w:t>
      </w:r>
      <w:r w:rsidR="00584814" w:rsidRPr="007E50BD">
        <w:t xml:space="preserve"> after an officer had failed to present himself when due for </w:t>
      </w:r>
      <w:r w:rsidR="00AD233E">
        <w:tab/>
      </w:r>
      <w:r w:rsidR="00E166CA">
        <w:t xml:space="preserve">assessment and the circumstances stated </w:t>
      </w:r>
      <w:r w:rsidR="00E166CA" w:rsidRPr="00162329">
        <w:t>in para</w:t>
      </w:r>
      <w:r w:rsidR="004B0C9D" w:rsidRPr="00162329">
        <w:t xml:space="preserve"> [2</w:t>
      </w:r>
      <w:r w:rsidR="00162329" w:rsidRPr="00162329">
        <w:t>6</w:t>
      </w:r>
      <w:r w:rsidR="004B0C9D" w:rsidRPr="00162329">
        <w:t>], above</w:t>
      </w:r>
      <w:r w:rsidR="004B0C9D">
        <w:t>.</w:t>
      </w:r>
    </w:p>
    <w:p w:rsidR="006F613D" w:rsidRDefault="006F613D" w:rsidP="00C44DD0">
      <w:pPr>
        <w:ind w:left="0" w:firstLine="0"/>
      </w:pPr>
      <w:r>
        <w:t>[4</w:t>
      </w:r>
      <w:r w:rsidR="009E4D25">
        <w:t>0</w:t>
      </w:r>
      <w:r>
        <w:t xml:space="preserve">]   </w:t>
      </w:r>
      <w:r w:rsidR="00AD233E">
        <w:tab/>
      </w:r>
      <w:r w:rsidR="00584814">
        <w:t xml:space="preserve">He </w:t>
      </w:r>
      <w:r w:rsidR="002024F0">
        <w:t>testified that Rammutla was</w:t>
      </w:r>
      <w:r w:rsidR="00584814">
        <w:t xml:space="preserve"> stationed within the area the witness was</w:t>
      </w:r>
      <w:r w:rsidR="00F164B4">
        <w:t xml:space="preserve"> </w:t>
      </w:r>
      <w:r w:rsidR="00584814">
        <w:t xml:space="preserve">in </w:t>
      </w:r>
      <w:r>
        <w:t xml:space="preserve">         </w:t>
      </w:r>
      <w:r w:rsidR="00CF5D11">
        <w:tab/>
      </w:r>
      <w:r w:rsidR="008E615E">
        <w:t>c</w:t>
      </w:r>
      <w:r w:rsidR="00584814">
        <w:t>harge of and that he had known him, but had not had direct dealings</w:t>
      </w:r>
      <w:r w:rsidR="008E615E">
        <w:t xml:space="preserve"> with</w:t>
      </w:r>
      <w:r w:rsidR="00584814">
        <w:t xml:space="preserve"> him.</w:t>
      </w:r>
      <w:r w:rsidR="00F164B4">
        <w:t xml:space="preserve"> </w:t>
      </w:r>
      <w:r>
        <w:t xml:space="preserve">         </w:t>
      </w:r>
      <w:r w:rsidR="00CF5D11">
        <w:tab/>
      </w:r>
      <w:r w:rsidR="009027E9">
        <w:t>The witness was</w:t>
      </w:r>
      <w:r w:rsidR="00F164B4">
        <w:t xml:space="preserve"> and continues to be</w:t>
      </w:r>
      <w:r w:rsidR="009027E9">
        <w:t xml:space="preserve"> in charge of the supply chain that issues </w:t>
      </w:r>
      <w:r>
        <w:t xml:space="preserve">         </w:t>
      </w:r>
      <w:r w:rsidR="00CF5D11">
        <w:lastRenderedPageBreak/>
        <w:tab/>
      </w:r>
      <w:r w:rsidR="009027E9">
        <w:t>firearms</w:t>
      </w:r>
      <w:r w:rsidR="00F164B4">
        <w:t xml:space="preserve">, </w:t>
      </w:r>
      <w:r w:rsidR="00F164B4" w:rsidRPr="002024F0">
        <w:rPr>
          <w:i/>
        </w:rPr>
        <w:t>inter alia</w:t>
      </w:r>
      <w:r w:rsidR="00F164B4">
        <w:t xml:space="preserve">, to qualified officers. He was involved when Rammutla was </w:t>
      </w:r>
      <w:r>
        <w:t xml:space="preserve">         </w:t>
      </w:r>
      <w:r w:rsidR="00CF5D11">
        <w:tab/>
      </w:r>
      <w:r w:rsidR="00F164B4">
        <w:t>issued with an official firearm.</w:t>
      </w:r>
      <w:r w:rsidR="008E615E">
        <w:t xml:space="preserve"> </w:t>
      </w:r>
      <w:r w:rsidR="00584814">
        <w:t>B</w:t>
      </w:r>
      <w:r w:rsidR="00F164B4">
        <w:t>y virtue of his position, he has</w:t>
      </w:r>
      <w:r w:rsidR="00584814">
        <w:t xml:space="preserve"> access to the </w:t>
      </w:r>
      <w:r>
        <w:t xml:space="preserve">         </w:t>
      </w:r>
      <w:r w:rsidR="00CF5D11">
        <w:tab/>
      </w:r>
      <w:r w:rsidR="00584814">
        <w:t>records of officers within</w:t>
      </w:r>
      <w:r w:rsidR="008E615E">
        <w:t xml:space="preserve"> his </w:t>
      </w:r>
      <w:r w:rsidR="00F164B4">
        <w:t>area,</w:t>
      </w:r>
      <w:r w:rsidR="008E615E">
        <w:t xml:space="preserve"> </w:t>
      </w:r>
      <w:r w:rsidR="00584814">
        <w:t xml:space="preserve">including those </w:t>
      </w:r>
      <w:r w:rsidR="008E615E">
        <w:t>of Rammutla. H</w:t>
      </w:r>
      <w:r w:rsidR="00567BE1">
        <w:t>e agreed</w:t>
      </w:r>
      <w:r w:rsidR="008E615E">
        <w:t xml:space="preserve"> that</w:t>
      </w:r>
      <w:r w:rsidR="00F164B4">
        <w:t xml:space="preserve"> </w:t>
      </w:r>
    </w:p>
    <w:p w:rsidR="00584814" w:rsidRPr="00E64A34" w:rsidRDefault="006F613D" w:rsidP="00C44DD0">
      <w:pPr>
        <w:ind w:left="0" w:firstLine="0"/>
      </w:pPr>
      <w:r>
        <w:t xml:space="preserve">         </w:t>
      </w:r>
      <w:r w:rsidR="007E6919">
        <w:tab/>
      </w:r>
      <w:r w:rsidR="00584814">
        <w:t>Rammutla had</w:t>
      </w:r>
      <w:r w:rsidR="00F164B4">
        <w:t xml:space="preserve"> not attended the</w:t>
      </w:r>
      <w:r w:rsidR="00567BE1">
        <w:t xml:space="preserve"> </w:t>
      </w:r>
      <w:r w:rsidR="008E615E">
        <w:t>compulsory annual competency assessment</w:t>
      </w:r>
      <w:r w:rsidR="00F164B4">
        <w:t xml:space="preserve"> </w:t>
      </w:r>
      <w:r>
        <w:t xml:space="preserve">         </w:t>
      </w:r>
      <w:r w:rsidR="007E6919">
        <w:tab/>
      </w:r>
      <w:r w:rsidR="00F164B4">
        <w:t>practical firearm shooting and</w:t>
      </w:r>
      <w:r w:rsidR="00567BE1">
        <w:t xml:space="preserve"> </w:t>
      </w:r>
      <w:r w:rsidR="008E615E">
        <w:t xml:space="preserve">handling </w:t>
      </w:r>
      <w:r w:rsidR="003E2EEF">
        <w:t>session be</w:t>
      </w:r>
      <w:r w:rsidR="00A870D9">
        <w:t>tween 15</w:t>
      </w:r>
      <w:r w:rsidR="003E2EEF">
        <w:t xml:space="preserve"> </w:t>
      </w:r>
      <w:r w:rsidR="00567BE1">
        <w:t xml:space="preserve">October 2016 and </w:t>
      </w:r>
      <w:r w:rsidR="007E6919">
        <w:tab/>
      </w:r>
      <w:r w:rsidR="00A870D9">
        <w:t>15</w:t>
      </w:r>
      <w:r w:rsidR="00567BE1">
        <w:t xml:space="preserve"> October 2017. He further stated that such failure </w:t>
      </w:r>
      <w:r w:rsidR="00567BE1" w:rsidRPr="005138F9">
        <w:rPr>
          <w:i/>
        </w:rPr>
        <w:t>per se</w:t>
      </w:r>
      <w:r w:rsidR="00567BE1">
        <w:t xml:space="preserve"> did not render the </w:t>
      </w:r>
      <w:r w:rsidR="007E6919">
        <w:tab/>
      </w:r>
      <w:r w:rsidR="00567BE1">
        <w:t xml:space="preserve">officer concerned incompetent to possess and handle a firearm and that even </w:t>
      </w:r>
      <w:r w:rsidR="007E6919">
        <w:tab/>
      </w:r>
      <w:r w:rsidR="00567BE1">
        <w:t xml:space="preserve">the withdrawal of the </w:t>
      </w:r>
      <w:r w:rsidR="00F164B4">
        <w:t>firearm in</w:t>
      </w:r>
      <w:r w:rsidR="00567BE1">
        <w:t xml:space="preserve"> such instance is discretionary to the Station </w:t>
      </w:r>
      <w:r w:rsidR="007E6919">
        <w:tab/>
      </w:r>
      <w:r w:rsidR="00567BE1">
        <w:t xml:space="preserve">Commander. </w:t>
      </w:r>
      <w:r w:rsidR="008E615E">
        <w:t>H</w:t>
      </w:r>
      <w:r w:rsidR="00567BE1">
        <w:t>e testified that Rammutla had</w:t>
      </w:r>
      <w:r w:rsidR="008E615E">
        <w:t xml:space="preserve"> </w:t>
      </w:r>
      <w:r w:rsidR="00584814">
        <w:t xml:space="preserve">not been declared incompetent to </w:t>
      </w:r>
      <w:r w:rsidR="007E6919">
        <w:tab/>
      </w:r>
      <w:r w:rsidR="00584814">
        <w:t>be in possession of his official firearm nor</w:t>
      </w:r>
      <w:r w:rsidR="00680839">
        <w:t xml:space="preserve"> had he</w:t>
      </w:r>
      <w:r w:rsidR="00584814">
        <w:t xml:space="preserve"> committed any </w:t>
      </w:r>
      <w:r w:rsidR="002024F0">
        <w:t xml:space="preserve">of the </w:t>
      </w:r>
      <w:r w:rsidR="007E6919">
        <w:tab/>
      </w:r>
      <w:r w:rsidR="002024F0">
        <w:t xml:space="preserve">prohibited </w:t>
      </w:r>
      <w:r w:rsidR="00E64A34">
        <w:t xml:space="preserve">acts </w:t>
      </w:r>
      <w:r w:rsidR="00584814">
        <w:t>that warranted</w:t>
      </w:r>
      <w:r w:rsidR="00680839">
        <w:t xml:space="preserve"> the withdrawal of</w:t>
      </w:r>
      <w:r w:rsidR="00584814">
        <w:t xml:space="preserve"> his firearm</w:t>
      </w:r>
      <w:r w:rsidR="00E64A34">
        <w:t xml:space="preserve">. </w:t>
      </w:r>
      <w:r w:rsidR="00680839">
        <w:t>To his</w:t>
      </w:r>
      <w:r w:rsidR="00584814">
        <w:t xml:space="preserve"> knowledge </w:t>
      </w:r>
      <w:r w:rsidR="007E6919">
        <w:tab/>
      </w:r>
      <w:r w:rsidR="00584814">
        <w:t>there was nothing untoward in Rammutla being in possession</w:t>
      </w:r>
      <w:r w:rsidR="00680839">
        <w:t xml:space="preserve"> of the</w:t>
      </w:r>
      <w:r w:rsidR="00584814">
        <w:t xml:space="preserve"> firearm </w:t>
      </w:r>
      <w:r w:rsidR="007E6919">
        <w:tab/>
      </w:r>
      <w:r w:rsidR="00584814">
        <w:t xml:space="preserve">even when he was off duty. </w:t>
      </w:r>
    </w:p>
    <w:p w:rsidR="00DC04F0" w:rsidRDefault="003E2EEF" w:rsidP="00DC04F0">
      <w:r>
        <w:t>[4</w:t>
      </w:r>
      <w:r w:rsidR="009E4D25">
        <w:t>1</w:t>
      </w:r>
      <w:r w:rsidR="00584814">
        <w:t xml:space="preserve">] </w:t>
      </w:r>
      <w:r w:rsidR="006F613D">
        <w:t xml:space="preserve">  </w:t>
      </w:r>
      <w:r w:rsidR="00932787">
        <w:tab/>
      </w:r>
      <w:r w:rsidR="00584814">
        <w:t>Of particular</w:t>
      </w:r>
      <w:r w:rsidR="00F164B4">
        <w:t xml:space="preserve"> interest</w:t>
      </w:r>
      <w:r w:rsidR="00B560D8">
        <w:t xml:space="preserve"> and part of the issues in this</w:t>
      </w:r>
      <w:r w:rsidR="00C8060F">
        <w:t xml:space="preserve"> case was the evidence of this </w:t>
      </w:r>
      <w:r w:rsidR="006F613D">
        <w:t xml:space="preserve">         </w:t>
      </w:r>
      <w:r w:rsidR="00B560D8">
        <w:t xml:space="preserve">witness </w:t>
      </w:r>
      <w:r w:rsidR="0006704F">
        <w:t>relating to the plaintiff’s contentions</w:t>
      </w:r>
      <w:r w:rsidR="006F613D">
        <w:t xml:space="preserve"> with regard</w:t>
      </w:r>
      <w:r w:rsidR="00B560D8">
        <w:t xml:space="preserve"> to Rammutla’s alleged</w:t>
      </w:r>
      <w:r w:rsidR="00C8060F">
        <w:t xml:space="preserve"> </w:t>
      </w:r>
      <w:r w:rsidR="006F613D">
        <w:t xml:space="preserve">         </w:t>
      </w:r>
      <w:r w:rsidR="00B560D8">
        <w:t>incompetence to possess the fir</w:t>
      </w:r>
      <w:r w:rsidR="006F613D">
        <w:t>e</w:t>
      </w:r>
      <w:r w:rsidR="00B560D8">
        <w:t xml:space="preserve">arm for his failure to attend the practical </w:t>
      </w:r>
      <w:r w:rsidR="00F6320D">
        <w:t xml:space="preserve">        </w:t>
      </w:r>
      <w:r w:rsidR="006F613D">
        <w:t xml:space="preserve"> </w:t>
      </w:r>
      <w:r w:rsidR="00A870D9">
        <w:t>shooting practice between 15 October 2016 and 15</w:t>
      </w:r>
      <w:r w:rsidR="00B560D8">
        <w:t xml:space="preserve"> October 2017.</w:t>
      </w:r>
      <w:r w:rsidR="0006704F">
        <w:t xml:space="preserve"> </w:t>
      </w:r>
      <w:r w:rsidR="00B560D8">
        <w:t>T</w:t>
      </w:r>
      <w:r w:rsidR="0006704F">
        <w:t xml:space="preserve">he witness’ </w:t>
      </w:r>
      <w:r w:rsidR="006F613D">
        <w:t xml:space="preserve">         </w:t>
      </w:r>
      <w:r w:rsidR="0006704F">
        <w:t xml:space="preserve">undisputed </w:t>
      </w:r>
      <w:r w:rsidR="00584814">
        <w:t>evidence</w:t>
      </w:r>
      <w:r w:rsidR="00B560D8">
        <w:t xml:space="preserve"> drew</w:t>
      </w:r>
      <w:r w:rsidR="00584814">
        <w:t xml:space="preserve"> the distinction between the</w:t>
      </w:r>
      <w:r w:rsidR="00C8060F">
        <w:t xml:space="preserve"> </w:t>
      </w:r>
      <w:r w:rsidR="006F613D">
        <w:t xml:space="preserve">attendances of the          ordinary </w:t>
      </w:r>
      <w:r w:rsidR="0006704F">
        <w:t>practice</w:t>
      </w:r>
      <w:r w:rsidR="00584814">
        <w:t xml:space="preserve"> shooting</w:t>
      </w:r>
      <w:r w:rsidR="006F613D">
        <w:t xml:space="preserve"> session </w:t>
      </w:r>
      <w:r w:rsidR="0006704F">
        <w:t xml:space="preserve">and </w:t>
      </w:r>
      <w:r w:rsidR="00584814">
        <w:t>the compulsory</w:t>
      </w:r>
      <w:r w:rsidR="0006704F">
        <w:t xml:space="preserve"> annual</w:t>
      </w:r>
      <w:r w:rsidR="00C8060F">
        <w:t xml:space="preserve"> </w:t>
      </w:r>
      <w:r w:rsidR="00584814">
        <w:t>practical</w:t>
      </w:r>
      <w:r w:rsidR="0006704F">
        <w:t xml:space="preserve"> firearm </w:t>
      </w:r>
      <w:r w:rsidR="006F613D">
        <w:t xml:space="preserve">           </w:t>
      </w:r>
      <w:r w:rsidR="0006704F">
        <w:t>shooting and handling</w:t>
      </w:r>
      <w:r w:rsidR="00584814">
        <w:t xml:space="preserve"> competency assessment</w:t>
      </w:r>
      <w:r w:rsidR="006F613D">
        <w:t xml:space="preserve"> session</w:t>
      </w:r>
      <w:r w:rsidR="0006704F">
        <w:t xml:space="preserve">. </w:t>
      </w:r>
      <w:r w:rsidR="00584814">
        <w:t>The</w:t>
      </w:r>
      <w:r w:rsidR="0006704F">
        <w:t xml:space="preserve"> </w:t>
      </w:r>
      <w:r w:rsidR="00584814">
        <w:t>witness</w:t>
      </w:r>
      <w:r w:rsidR="00FC569F">
        <w:t xml:space="preserve"> testified</w:t>
      </w:r>
      <w:r w:rsidR="0006704F">
        <w:t xml:space="preserve"> </w:t>
      </w:r>
      <w:r w:rsidR="006F613D">
        <w:t xml:space="preserve">           </w:t>
      </w:r>
      <w:r w:rsidR="0006704F">
        <w:t xml:space="preserve">that </w:t>
      </w:r>
      <w:r w:rsidR="006F613D">
        <w:t xml:space="preserve">the Plaintiff’s contention that </w:t>
      </w:r>
      <w:r w:rsidR="00584814">
        <w:t>Rammutla was incompetent to</w:t>
      </w:r>
      <w:r w:rsidR="00D12786">
        <w:t xml:space="preserve"> </w:t>
      </w:r>
      <w:r w:rsidR="00FC569F">
        <w:t>be in</w:t>
      </w:r>
      <w:r w:rsidR="00584814">
        <w:t xml:space="preserve"> </w:t>
      </w:r>
      <w:r w:rsidR="006F613D">
        <w:t xml:space="preserve">           </w:t>
      </w:r>
      <w:r w:rsidR="00584814">
        <w:t xml:space="preserve">possession of a firearm at the time of his commission of the murder on the </w:t>
      </w:r>
      <w:r w:rsidR="006F613D">
        <w:t xml:space="preserve">           </w:t>
      </w:r>
      <w:r w:rsidR="00584814">
        <w:t>ground that he had ‘</w:t>
      </w:r>
      <w:r w:rsidR="00584814" w:rsidRPr="004650AC">
        <w:rPr>
          <w:i/>
        </w:rPr>
        <w:t>’not attended the</w:t>
      </w:r>
      <w:r w:rsidR="00584814">
        <w:t xml:space="preserve"> </w:t>
      </w:r>
      <w:r w:rsidR="006F613D">
        <w:rPr>
          <w:i/>
        </w:rPr>
        <w:t xml:space="preserve">compulsory </w:t>
      </w:r>
      <w:r w:rsidR="00584814">
        <w:rPr>
          <w:i/>
        </w:rPr>
        <w:t>annual sh</w:t>
      </w:r>
      <w:r w:rsidR="0006704F">
        <w:rPr>
          <w:i/>
        </w:rPr>
        <w:t>ooting practice</w:t>
      </w:r>
      <w:r w:rsidR="00D12786">
        <w:rPr>
          <w:i/>
        </w:rPr>
        <w:t xml:space="preserve"> </w:t>
      </w:r>
      <w:r w:rsidR="006F613D">
        <w:rPr>
          <w:i/>
        </w:rPr>
        <w:t xml:space="preserve">           </w:t>
      </w:r>
      <w:r w:rsidR="00A870D9">
        <w:rPr>
          <w:i/>
        </w:rPr>
        <w:t>between 15</w:t>
      </w:r>
      <w:r w:rsidR="0006704F">
        <w:rPr>
          <w:i/>
        </w:rPr>
        <w:t xml:space="preserve"> October</w:t>
      </w:r>
      <w:r w:rsidR="00584814">
        <w:rPr>
          <w:i/>
        </w:rPr>
        <w:t xml:space="preserve"> </w:t>
      </w:r>
      <w:r w:rsidR="00A870D9">
        <w:rPr>
          <w:i/>
        </w:rPr>
        <w:t>2016 and 15</w:t>
      </w:r>
      <w:r w:rsidR="0006704F">
        <w:rPr>
          <w:i/>
        </w:rPr>
        <w:t xml:space="preserve"> October</w:t>
      </w:r>
      <w:r w:rsidR="00584814">
        <w:rPr>
          <w:i/>
        </w:rPr>
        <w:t xml:space="preserve"> </w:t>
      </w:r>
      <w:r w:rsidR="00D12786">
        <w:rPr>
          <w:i/>
        </w:rPr>
        <w:t>2017</w:t>
      </w:r>
      <w:r w:rsidR="00584814">
        <w:rPr>
          <w:i/>
        </w:rPr>
        <w:t>’’</w:t>
      </w:r>
      <w:r w:rsidR="00D12786">
        <w:rPr>
          <w:i/>
        </w:rPr>
        <w:t xml:space="preserve"> </w:t>
      </w:r>
      <w:r w:rsidR="00D12786">
        <w:t>w</w:t>
      </w:r>
      <w:r w:rsidR="006F613D">
        <w:t xml:space="preserve">as </w:t>
      </w:r>
      <w:r w:rsidR="00D12786" w:rsidRPr="00D12786">
        <w:t>incorrect</w:t>
      </w:r>
      <w:r w:rsidR="00F6320D">
        <w:t>.</w:t>
      </w:r>
      <w:r w:rsidR="004924D1">
        <w:t xml:space="preserve"> </w:t>
      </w:r>
      <w:r w:rsidR="00F6320D">
        <w:t>This a</w:t>
      </w:r>
      <w:r w:rsidR="00DC04F0">
        <w:t xml:space="preserve">spect is </w:t>
      </w:r>
      <w:r w:rsidR="00DC04F0">
        <w:rPr>
          <w:i/>
        </w:rPr>
        <w:t xml:space="preserve">           </w:t>
      </w:r>
      <w:r w:rsidR="00F6320D">
        <w:t xml:space="preserve">dealt with specifically </w:t>
      </w:r>
      <w:r w:rsidR="00630775">
        <w:t>hereunder.</w:t>
      </w:r>
    </w:p>
    <w:p w:rsidR="00527271" w:rsidRDefault="00DC04F0" w:rsidP="006C0E43">
      <w:r w:rsidRPr="00DC04F0">
        <w:t>[4</w:t>
      </w:r>
      <w:r w:rsidR="009E4D25">
        <w:t>2</w:t>
      </w:r>
      <w:r w:rsidRPr="00DC04F0">
        <w:t>]</w:t>
      </w:r>
      <w:r>
        <w:rPr>
          <w:i/>
        </w:rPr>
        <w:t xml:space="preserve">   </w:t>
      </w:r>
      <w:r w:rsidR="004924D1">
        <w:rPr>
          <w:i/>
        </w:rPr>
        <w:tab/>
      </w:r>
      <w:r w:rsidR="00D12786" w:rsidRPr="000E2338">
        <w:t>Counse</w:t>
      </w:r>
      <w:r w:rsidR="00630775">
        <w:t>l for the plaintiff</w:t>
      </w:r>
      <w:r w:rsidR="00D12786" w:rsidRPr="000E2338">
        <w:t xml:space="preserve"> </w:t>
      </w:r>
      <w:r w:rsidR="00630775">
        <w:t>appeared to make no distinction</w:t>
      </w:r>
      <w:r w:rsidR="00D12786" w:rsidRPr="000E2338">
        <w:t xml:space="preserve"> </w:t>
      </w:r>
      <w:r w:rsidR="004924D1">
        <w:t>between the attendance</w:t>
      </w:r>
      <w:r w:rsidR="00630775">
        <w:t xml:space="preserve"> </w:t>
      </w:r>
      <w:r w:rsidR="00584814" w:rsidRPr="000E2338">
        <w:t>of</w:t>
      </w:r>
      <w:r w:rsidR="00D12786" w:rsidRPr="000E2338">
        <w:t xml:space="preserve"> practice shooting and</w:t>
      </w:r>
      <w:r w:rsidR="00630775">
        <w:t xml:space="preserve"> that of</w:t>
      </w:r>
      <w:r w:rsidR="00D12786" w:rsidRPr="000E2338">
        <w:t xml:space="preserve"> the compulsory annual</w:t>
      </w:r>
      <w:r w:rsidR="000E2338">
        <w:t xml:space="preserve"> </w:t>
      </w:r>
      <w:r w:rsidR="00584814" w:rsidRPr="000E2338">
        <w:t xml:space="preserve">practical </w:t>
      </w:r>
      <w:r w:rsidR="00D12786" w:rsidRPr="000E2338">
        <w:t>firearm</w:t>
      </w:r>
      <w:r w:rsidR="000E2338">
        <w:t xml:space="preserve"> </w:t>
      </w:r>
      <w:r w:rsidR="00630775">
        <w:t>shooting</w:t>
      </w:r>
      <w:r w:rsidR="004924D1">
        <w:t xml:space="preserve"> </w:t>
      </w:r>
      <w:r w:rsidR="000E2338">
        <w:t xml:space="preserve">and </w:t>
      </w:r>
      <w:r w:rsidR="00584814" w:rsidRPr="000E2338">
        <w:t>handling competency</w:t>
      </w:r>
      <w:r w:rsidR="000E2338">
        <w:t xml:space="preserve"> </w:t>
      </w:r>
      <w:r w:rsidR="00584814" w:rsidRPr="000E2338">
        <w:t>assessment.</w:t>
      </w:r>
      <w:r w:rsidR="000E2338">
        <w:t xml:space="preserve"> He </w:t>
      </w:r>
      <w:r w:rsidR="00630775">
        <w:t xml:space="preserve">referred to both as being </w:t>
      </w:r>
      <w:r w:rsidR="00584814" w:rsidRPr="000E2338">
        <w:t>compulsory annual training</w:t>
      </w:r>
      <w:r w:rsidR="00630775">
        <w:t xml:space="preserve"> sessions</w:t>
      </w:r>
      <w:r w:rsidR="00584814" w:rsidRPr="000E2338">
        <w:t xml:space="preserve"> the </w:t>
      </w:r>
      <w:r w:rsidR="00D12786" w:rsidRPr="000E2338">
        <w:t>failure whereof resulted</w:t>
      </w:r>
      <w:r w:rsidR="00584814" w:rsidRPr="000E2338">
        <w:t xml:space="preserve"> in incompetence. He even </w:t>
      </w:r>
      <w:r w:rsidR="00630775">
        <w:t>appeared to refer to the two sessions</w:t>
      </w:r>
      <w:r w:rsidR="00584814" w:rsidRPr="000E2338">
        <w:t xml:space="preserve"> interchangeably. </w:t>
      </w:r>
    </w:p>
    <w:p w:rsidR="00DC04F0" w:rsidRDefault="009E4D25" w:rsidP="00A870D9">
      <w:r>
        <w:t>[43</w:t>
      </w:r>
      <w:r w:rsidR="00527271">
        <w:t xml:space="preserve">] </w:t>
      </w:r>
      <w:r w:rsidR="000D584C">
        <w:t xml:space="preserve"> </w:t>
      </w:r>
      <w:r w:rsidR="00527271">
        <w:t xml:space="preserve">  </w:t>
      </w:r>
      <w:r w:rsidR="00665B8E">
        <w:tab/>
      </w:r>
      <w:r w:rsidR="006C0E43">
        <w:t>According to the witness</w:t>
      </w:r>
      <w:r w:rsidR="00527271">
        <w:t xml:space="preserve"> </w:t>
      </w:r>
      <w:r w:rsidR="006C0E43">
        <w:t>a</w:t>
      </w:r>
      <w:r w:rsidR="00F6320D">
        <w:rPr>
          <w:b/>
        </w:rPr>
        <w:t xml:space="preserve"> </w:t>
      </w:r>
      <w:r w:rsidR="00F6320D" w:rsidRPr="00315260">
        <w:t>shooting</w:t>
      </w:r>
      <w:r w:rsidR="00F6320D" w:rsidRPr="00315260">
        <w:rPr>
          <w:i/>
        </w:rPr>
        <w:t xml:space="preserve"> </w:t>
      </w:r>
      <w:r w:rsidR="00F6320D" w:rsidRPr="00315260">
        <w:t>practice</w:t>
      </w:r>
      <w:r w:rsidR="006C0E43" w:rsidRPr="00315260">
        <w:t xml:space="preserve"> is</w:t>
      </w:r>
      <w:r w:rsidR="00F6320D" w:rsidRPr="00315260">
        <w:t xml:space="preserve"> not compulsory, but</w:t>
      </w:r>
      <w:r w:rsidR="004924D1">
        <w:t xml:space="preserve"> members to</w:t>
      </w:r>
      <w:r w:rsidR="00665B8E">
        <w:t xml:space="preserve"> </w:t>
      </w:r>
      <w:r w:rsidR="000D584C">
        <w:t xml:space="preserve">attend </w:t>
      </w:r>
      <w:r w:rsidR="006C0E43" w:rsidRPr="00315260">
        <w:t>at leas</w:t>
      </w:r>
      <w:r w:rsidR="000D584C">
        <w:t>t on</w:t>
      </w:r>
      <w:r w:rsidR="00527271">
        <w:t>e</w:t>
      </w:r>
      <w:r w:rsidR="000D584C">
        <w:t xml:space="preserve"> session in</w:t>
      </w:r>
      <w:r w:rsidR="00527271">
        <w:t xml:space="preserve"> a</w:t>
      </w:r>
      <w:r w:rsidR="00315260" w:rsidRPr="00315260">
        <w:t xml:space="preserve"> </w:t>
      </w:r>
      <w:r w:rsidR="006C0E43" w:rsidRPr="00315260">
        <w:t>y</w:t>
      </w:r>
      <w:r w:rsidR="000D584C">
        <w:t>ear prior to</w:t>
      </w:r>
      <w:r w:rsidR="00A870D9">
        <w:t xml:space="preserve"> 29</w:t>
      </w:r>
      <w:r w:rsidR="000D584C">
        <w:t xml:space="preserve"> September 2016. M</w:t>
      </w:r>
      <w:r w:rsidR="006C0E43" w:rsidRPr="00315260">
        <w:t>ember</w:t>
      </w:r>
      <w:r w:rsidR="000D584C">
        <w:t>s</w:t>
      </w:r>
      <w:r w:rsidR="006C0E43" w:rsidRPr="00315260">
        <w:t xml:space="preserve"> </w:t>
      </w:r>
      <w:r w:rsidR="006C0E43" w:rsidRPr="00315260">
        <w:lastRenderedPageBreak/>
        <w:t xml:space="preserve">of the </w:t>
      </w:r>
      <w:r w:rsidR="00A870D9">
        <w:t>SAPS could and may still</w:t>
      </w:r>
      <w:r w:rsidR="006C0E43" w:rsidRPr="00315260">
        <w:t xml:space="preserve"> attend</w:t>
      </w:r>
      <w:r w:rsidR="00A870D9">
        <w:t xml:space="preserve"> practice shooting</w:t>
      </w:r>
      <w:r w:rsidR="006C0E43" w:rsidRPr="00315260">
        <w:t xml:space="preserve"> at anytime and as man</w:t>
      </w:r>
      <w:r w:rsidR="00A870D9">
        <w:t xml:space="preserve">y </w:t>
      </w:r>
      <w:r w:rsidR="000D584C">
        <w:t>times they wished, depending on</w:t>
      </w:r>
      <w:r w:rsidR="00A870D9">
        <w:t xml:space="preserve"> </w:t>
      </w:r>
      <w:r w:rsidR="006C0E43" w:rsidRPr="00315260">
        <w:t xml:space="preserve">availability of space. </w:t>
      </w:r>
      <w:r w:rsidR="00527271">
        <w:t>The a</w:t>
      </w:r>
      <w:r w:rsidR="000D584C">
        <w:t>ttendance of</w:t>
      </w:r>
      <w:r w:rsidR="00527271">
        <w:t xml:space="preserve"> </w:t>
      </w:r>
      <w:r w:rsidR="00A870D9">
        <w:t xml:space="preserve">          </w:t>
      </w:r>
      <w:r w:rsidR="006C0E43" w:rsidRPr="00315260">
        <w:t>practice</w:t>
      </w:r>
      <w:r w:rsidR="00A169AD">
        <w:t xml:space="preserve"> shooting is not recorded and a </w:t>
      </w:r>
      <w:r w:rsidR="006C0E43" w:rsidRPr="00315260">
        <w:t>fai</w:t>
      </w:r>
      <w:r w:rsidR="00315260" w:rsidRPr="00315260">
        <w:t>lure to attend does not render the</w:t>
      </w:r>
      <w:r w:rsidR="006C0E43" w:rsidRPr="00315260">
        <w:t xml:space="preserve"> </w:t>
      </w:r>
      <w:r w:rsidR="00A870D9">
        <w:t xml:space="preserve">          </w:t>
      </w:r>
      <w:r w:rsidR="006C0E43" w:rsidRPr="00315260">
        <w:t>member concerned incompetent.</w:t>
      </w:r>
    </w:p>
    <w:p w:rsidR="003E2A1E" w:rsidRPr="00B80E81" w:rsidRDefault="00DC04F0" w:rsidP="00B80E81">
      <w:r>
        <w:t>[4</w:t>
      </w:r>
      <w:r w:rsidR="00045459">
        <w:t>4</w:t>
      </w:r>
      <w:r>
        <w:t xml:space="preserve">]   </w:t>
      </w:r>
      <w:r w:rsidR="00315260" w:rsidRPr="00315260">
        <w:t>T</w:t>
      </w:r>
      <w:r w:rsidR="00F6320D" w:rsidRPr="00315260">
        <w:t>he</w:t>
      </w:r>
      <w:r w:rsidR="00315260" w:rsidRPr="00315260">
        <w:t xml:space="preserve"> attendance of the </w:t>
      </w:r>
      <w:r w:rsidR="00315260" w:rsidRPr="00315260">
        <w:rPr>
          <w:u w:val="single"/>
        </w:rPr>
        <w:t>then</w:t>
      </w:r>
      <w:r w:rsidR="00315260" w:rsidRPr="00315260">
        <w:t xml:space="preserve"> annual </w:t>
      </w:r>
      <w:r w:rsidR="00F6320D" w:rsidRPr="00315260">
        <w:t xml:space="preserve">assessment of </w:t>
      </w:r>
      <w:r w:rsidR="00315260" w:rsidRPr="00315260">
        <w:t>competency</w:t>
      </w:r>
      <w:r>
        <w:t xml:space="preserve"> to shoot and</w:t>
      </w:r>
      <w:r w:rsidR="002A7892">
        <w:t xml:space="preserve"> </w:t>
      </w:r>
      <w:r w:rsidR="00BA45FA">
        <w:t xml:space="preserve">           </w:t>
      </w:r>
      <w:r w:rsidR="00F6320D" w:rsidRPr="00315260">
        <w:t>handle a firearm was</w:t>
      </w:r>
      <w:r w:rsidR="00527271">
        <w:t xml:space="preserve"> and is still</w:t>
      </w:r>
      <w:r w:rsidR="00F6320D" w:rsidRPr="00315260">
        <w:t xml:space="preserve"> compulsory</w:t>
      </w:r>
      <w:r w:rsidR="00527271">
        <w:t>, save that</w:t>
      </w:r>
      <w:r w:rsidR="00F6320D" w:rsidRPr="00315260">
        <w:t xml:space="preserve"> </w:t>
      </w:r>
      <w:r w:rsidR="00527271">
        <w:t xml:space="preserve">the period of </w:t>
      </w:r>
      <w:r w:rsidR="00315260" w:rsidRPr="00315260">
        <w:t xml:space="preserve">compulsory </w:t>
      </w:r>
      <w:r w:rsidR="008E023C">
        <w:t xml:space="preserve">           </w:t>
      </w:r>
      <w:r w:rsidR="00315260" w:rsidRPr="00315260">
        <w:t>attendance has since</w:t>
      </w:r>
      <w:r w:rsidR="00A870D9">
        <w:t xml:space="preserve"> 29</w:t>
      </w:r>
      <w:r w:rsidR="00315260" w:rsidRPr="00315260">
        <w:t xml:space="preserve"> September 2016 been extended to</w:t>
      </w:r>
      <w:r w:rsidR="00A870D9">
        <w:t xml:space="preserve"> once in five years by the National Instruction of September 2016.</w:t>
      </w:r>
      <w:r w:rsidR="00527271">
        <w:t xml:space="preserve"> </w:t>
      </w:r>
      <w:r w:rsidRPr="00DC04F0">
        <w:t>The evidence of</w:t>
      </w:r>
      <w:r>
        <w:t xml:space="preserve"> this witness was confirmed by Brigadier Nienaber who was involved in the</w:t>
      </w:r>
      <w:r w:rsidR="00A870D9">
        <w:t xml:space="preserve"> development and</w:t>
      </w:r>
      <w:r>
        <w:t xml:space="preserve"> drafting</w:t>
      </w:r>
      <w:r w:rsidR="00A870D9">
        <w:t xml:space="preserve"> of the National Instruction of 2016</w:t>
      </w:r>
      <w:r>
        <w:t xml:space="preserve"> and</w:t>
      </w:r>
      <w:r w:rsidR="00456D44">
        <w:t xml:space="preserve"> also saw to its</w:t>
      </w:r>
      <w:r>
        <w:t xml:space="preserve"> publication </w:t>
      </w:r>
      <w:r w:rsidR="00456D44">
        <w:t xml:space="preserve">on 29 September 2016 – the date on which it became operational. </w:t>
      </w:r>
      <w:r w:rsidR="00754DC3">
        <w:t>B</w:t>
      </w:r>
      <w:r w:rsidR="00456D44">
        <w:t>rigadier Nienaber further testified</w:t>
      </w:r>
      <w:r w:rsidR="00754DC3">
        <w:t xml:space="preserve"> that</w:t>
      </w:r>
      <w:r w:rsidR="00456D44">
        <w:t xml:space="preserve"> the National Instruction of 2016 did not repeal</w:t>
      </w:r>
      <w:r w:rsidR="00754DC3">
        <w:t xml:space="preserve"> </w:t>
      </w:r>
      <w:r w:rsidR="00456D44">
        <w:t xml:space="preserve">or replace </w:t>
      </w:r>
      <w:r w:rsidR="00754DC3">
        <w:t>Standing Order 48</w:t>
      </w:r>
      <w:r w:rsidR="00456D44">
        <w:t>, save that where there was conflict between the two,</w:t>
      </w:r>
      <w:r w:rsidR="00754DC3">
        <w:t xml:space="preserve"> t</w:t>
      </w:r>
      <w:r w:rsidR="00456D44">
        <w:t>he National Instruction of 2016 would</w:t>
      </w:r>
      <w:r w:rsidR="00754DC3">
        <w:t xml:space="preserve"> prevailed. </w:t>
      </w:r>
      <w:r w:rsidR="00F1537A">
        <w:t xml:space="preserve">A </w:t>
      </w:r>
      <w:r w:rsidR="008E023C">
        <w:t xml:space="preserve">copy of the National </w:t>
      </w:r>
      <w:r w:rsidR="00456D44">
        <w:t xml:space="preserve">           </w:t>
      </w:r>
      <w:r w:rsidR="008E023C">
        <w:t xml:space="preserve">Instruction of 2016 was handed in as an exhibit as well as the proof of </w:t>
      </w:r>
      <w:r w:rsidR="00456D44">
        <w:t xml:space="preserve">its </w:t>
      </w:r>
      <w:r w:rsidR="008E023C">
        <w:t>publication thereof on 29 September 2016</w:t>
      </w:r>
      <w:r w:rsidR="00456D44">
        <w:t>.</w:t>
      </w:r>
      <w:r w:rsidR="002A2D5C">
        <w:t xml:space="preserve"> </w:t>
      </w:r>
      <w:r w:rsidR="00456D44">
        <w:t>T</w:t>
      </w:r>
      <w:r w:rsidR="00754DC3" w:rsidRPr="00315260">
        <w:t>he</w:t>
      </w:r>
      <w:r w:rsidR="008E023C">
        <w:t xml:space="preserve"> </w:t>
      </w:r>
      <w:r w:rsidR="00754DC3" w:rsidRPr="00315260">
        <w:t>plaintiff’s c</w:t>
      </w:r>
      <w:r w:rsidR="00754DC3">
        <w:t>ontention</w:t>
      </w:r>
      <w:r w:rsidR="008E023C">
        <w:t xml:space="preserve"> based on the provisions of </w:t>
      </w:r>
      <w:r w:rsidR="00B80E81">
        <w:t>Standing Order 48 was consequently misinformed and stands to be rejected</w:t>
      </w:r>
      <w:r w:rsidR="00754DC3" w:rsidRPr="00754DC3">
        <w:t>.</w:t>
      </w:r>
    </w:p>
    <w:p w:rsidR="002F088D" w:rsidRPr="002F088D" w:rsidRDefault="002A7892" w:rsidP="002F088D">
      <w:pPr>
        <w:rPr>
          <w:b/>
        </w:rPr>
      </w:pPr>
      <w:r>
        <w:rPr>
          <w:b/>
        </w:rPr>
        <w:tab/>
      </w:r>
      <w:r w:rsidR="002F088D">
        <w:rPr>
          <w:b/>
        </w:rPr>
        <w:t>ANALYSIS OF THE EVIDENCE OF DEFENCE WITNESSES</w:t>
      </w:r>
    </w:p>
    <w:p w:rsidR="009A2655" w:rsidRDefault="003E2A1E" w:rsidP="009A2655">
      <w:r>
        <w:t>[4</w:t>
      </w:r>
      <w:r w:rsidR="00045459">
        <w:t>5</w:t>
      </w:r>
      <w:r>
        <w:t xml:space="preserve">]   </w:t>
      </w:r>
      <w:r w:rsidR="00F1537A">
        <w:tab/>
      </w:r>
      <w:r w:rsidR="00B709A7" w:rsidRPr="002F088D">
        <w:t>R</w:t>
      </w:r>
      <w:r w:rsidR="004F0769" w:rsidRPr="002F088D">
        <w:t>ammutla</w:t>
      </w:r>
      <w:r w:rsidR="007513FA" w:rsidRPr="002F088D">
        <w:t xml:space="preserve"> commenced training in 2010 which he successfully completed in 2012</w:t>
      </w:r>
      <w:r w:rsidR="002F088D">
        <w:t xml:space="preserve"> </w:t>
      </w:r>
      <w:r w:rsidR="007513FA" w:rsidRPr="002F088D">
        <w:t>when he</w:t>
      </w:r>
      <w:r w:rsidR="004F0769" w:rsidRPr="002F088D">
        <w:t xml:space="preserve"> was</w:t>
      </w:r>
      <w:r w:rsidR="00B709A7" w:rsidRPr="002F088D">
        <w:t xml:space="preserve"> issued with</w:t>
      </w:r>
      <w:r w:rsidR="007513FA" w:rsidRPr="002F088D">
        <w:t xml:space="preserve"> the letter of competency to be issued with</w:t>
      </w:r>
      <w:r w:rsidR="002F088D">
        <w:t xml:space="preserve"> a</w:t>
      </w:r>
      <w:r w:rsidR="002F088D" w:rsidRPr="002F088D">
        <w:t xml:space="preserve"> </w:t>
      </w:r>
      <w:r w:rsidR="00B709A7" w:rsidRPr="002F088D">
        <w:t>f</w:t>
      </w:r>
      <w:r w:rsidR="00F15CF6" w:rsidRPr="002F088D">
        <w:t xml:space="preserve">irearm in </w:t>
      </w:r>
      <w:r w:rsidR="00A1264C" w:rsidRPr="002F088D">
        <w:t xml:space="preserve">March </w:t>
      </w:r>
      <w:r w:rsidR="00F15CF6" w:rsidRPr="002F088D">
        <w:t xml:space="preserve">2012. </w:t>
      </w:r>
      <w:r w:rsidR="00E04076" w:rsidRPr="002F088D">
        <w:t xml:space="preserve">He complied with the requirements stated in </w:t>
      </w:r>
      <w:r w:rsidR="00E04076" w:rsidRPr="000905A5">
        <w:t>para 2</w:t>
      </w:r>
      <w:r w:rsidR="00972A64" w:rsidRPr="000905A5">
        <w:t>2</w:t>
      </w:r>
      <w:r w:rsidR="002F088D">
        <w:t xml:space="preserve"> </w:t>
      </w:r>
      <w:r w:rsidR="00F1537A">
        <w:t xml:space="preserve">and was </w:t>
      </w:r>
      <w:r w:rsidR="00E04076" w:rsidRPr="002F088D">
        <w:t xml:space="preserve">consequently issued with the firearm, </w:t>
      </w:r>
      <w:r w:rsidR="00E04076" w:rsidRPr="002F088D">
        <w:rPr>
          <w:i/>
        </w:rPr>
        <w:t>inter alia</w:t>
      </w:r>
      <w:r w:rsidR="00E04076" w:rsidRPr="002F088D">
        <w:t xml:space="preserve">. </w:t>
      </w:r>
      <w:r w:rsidR="00F15CF6" w:rsidRPr="002F088D">
        <w:t>He had</w:t>
      </w:r>
      <w:r w:rsidR="00E04076" w:rsidRPr="002F088D">
        <w:t xml:space="preserve"> not </w:t>
      </w:r>
      <w:r w:rsidR="00F15CF6" w:rsidRPr="002F088D">
        <w:t>been</w:t>
      </w:r>
      <w:r w:rsidR="00051903" w:rsidRPr="002F088D">
        <w:t xml:space="preserve"> </w:t>
      </w:r>
      <w:r w:rsidR="004F0769" w:rsidRPr="002F088D">
        <w:t>declared</w:t>
      </w:r>
      <w:r w:rsidR="00F1537A">
        <w:t xml:space="preserve"> </w:t>
      </w:r>
      <w:r w:rsidR="00B709A7" w:rsidRPr="002F088D">
        <w:t>incompetent to possess the firearm</w:t>
      </w:r>
      <w:r w:rsidR="00A1264C" w:rsidRPr="002F088D">
        <w:t xml:space="preserve"> or been subject to the</w:t>
      </w:r>
      <w:r w:rsidR="002F088D">
        <w:t xml:space="preserve"> </w:t>
      </w:r>
      <w:r w:rsidR="00A1264C" w:rsidRPr="002F088D">
        <w:t xml:space="preserve">circumstances stated </w:t>
      </w:r>
      <w:r w:rsidR="00A1264C" w:rsidRPr="000905A5">
        <w:t>in paras</w:t>
      </w:r>
      <w:r w:rsidR="003B634B" w:rsidRPr="000905A5">
        <w:t xml:space="preserve"> </w:t>
      </w:r>
      <w:r w:rsidR="00A1264C" w:rsidRPr="000905A5">
        <w:t>[2</w:t>
      </w:r>
      <w:r w:rsidR="000905A5" w:rsidRPr="000905A5">
        <w:t>6</w:t>
      </w:r>
      <w:r w:rsidR="00A1264C" w:rsidRPr="000905A5">
        <w:t>] and [2</w:t>
      </w:r>
      <w:r w:rsidR="000905A5" w:rsidRPr="000905A5">
        <w:t>6</w:t>
      </w:r>
      <w:r w:rsidR="00A1264C" w:rsidRPr="000905A5">
        <w:t>]</w:t>
      </w:r>
      <w:r w:rsidR="00A4220A" w:rsidRPr="000905A5">
        <w:t xml:space="preserve"> or c</w:t>
      </w:r>
      <w:r w:rsidR="00E04076" w:rsidRPr="000905A5">
        <w:t>ommitted</w:t>
      </w:r>
      <w:r w:rsidR="00E04076" w:rsidRPr="002F088D">
        <w:t xml:space="preserve"> any of the acts stated </w:t>
      </w:r>
      <w:r w:rsidR="00A4220A" w:rsidRPr="002F088D">
        <w:t>in para 8 of Standing</w:t>
      </w:r>
      <w:r w:rsidR="00A1264C" w:rsidRPr="002F088D">
        <w:t xml:space="preserve"> </w:t>
      </w:r>
      <w:r w:rsidR="00A4220A" w:rsidRPr="002F088D">
        <w:t xml:space="preserve">Order 48. He was, therefore, </w:t>
      </w:r>
      <w:r w:rsidR="00B709A7" w:rsidRPr="002F088D">
        <w:t>by law entitled to be in possession of the</w:t>
      </w:r>
      <w:r w:rsidR="00F15CF6" w:rsidRPr="002F088D">
        <w:t xml:space="preserve"> official</w:t>
      </w:r>
      <w:r w:rsidR="00A4220A" w:rsidRPr="002F088D">
        <w:t xml:space="preserve"> </w:t>
      </w:r>
      <w:r w:rsidR="00B709A7" w:rsidRPr="002F088D">
        <w:t>firearm</w:t>
      </w:r>
      <w:r w:rsidR="00C15F4B" w:rsidRPr="002F088D">
        <w:t xml:space="preserve"> issued to him</w:t>
      </w:r>
      <w:r w:rsidR="00B709A7" w:rsidRPr="002F088D">
        <w:t>.</w:t>
      </w:r>
    </w:p>
    <w:p w:rsidR="00150444" w:rsidRDefault="009A2655" w:rsidP="00150444">
      <w:r>
        <w:t>[4</w:t>
      </w:r>
      <w:r w:rsidR="00045459">
        <w:t>6</w:t>
      </w:r>
      <w:r>
        <w:t xml:space="preserve">]  </w:t>
      </w:r>
      <w:r w:rsidR="00B709A7">
        <w:t xml:space="preserve"> </w:t>
      </w:r>
      <w:r w:rsidR="00562AFF">
        <w:tab/>
      </w:r>
      <w:r w:rsidR="003B634B" w:rsidRPr="009A2655">
        <w:t>T</w:t>
      </w:r>
      <w:r w:rsidR="00051649" w:rsidRPr="009A2655">
        <w:t>he plaintiff</w:t>
      </w:r>
      <w:r w:rsidR="003B634B" w:rsidRPr="009A2655">
        <w:t xml:space="preserve"> has not</w:t>
      </w:r>
      <w:r w:rsidR="00A4220A" w:rsidRPr="009A2655">
        <w:t xml:space="preserve"> adduce</w:t>
      </w:r>
      <w:r w:rsidR="003B634B" w:rsidRPr="009A2655">
        <w:t>d</w:t>
      </w:r>
      <w:r w:rsidR="00A4220A" w:rsidRPr="009A2655">
        <w:t xml:space="preserve"> any evidence</w:t>
      </w:r>
      <w:r w:rsidR="00E04076" w:rsidRPr="009A2655">
        <w:t xml:space="preserve"> </w:t>
      </w:r>
      <w:r w:rsidR="00051649" w:rsidRPr="009A2655">
        <w:t>to support</w:t>
      </w:r>
      <w:r w:rsidR="006C06D4" w:rsidRPr="009A2655">
        <w:t xml:space="preserve"> any of </w:t>
      </w:r>
      <w:r w:rsidR="00A4220A" w:rsidRPr="009A2655">
        <w:t>its</w:t>
      </w:r>
      <w:r w:rsidR="00F15CF6" w:rsidRPr="009A2655">
        <w:t xml:space="preserve"> contention</w:t>
      </w:r>
      <w:r w:rsidR="004F61B8" w:rsidRPr="009A2655">
        <w:t>s and</w:t>
      </w:r>
      <w:r w:rsidR="00562AFF">
        <w:t xml:space="preserve"> </w:t>
      </w:r>
      <w:r>
        <w:t>u</w:t>
      </w:r>
      <w:r w:rsidRPr="009A2655">
        <w:t>ltimate</w:t>
      </w:r>
      <w:r w:rsidR="004F61B8" w:rsidRPr="009A2655">
        <w:t>ly</w:t>
      </w:r>
      <w:r w:rsidR="00ED6E94" w:rsidRPr="009A2655">
        <w:t xml:space="preserve"> prove</w:t>
      </w:r>
      <w:r w:rsidR="00A1264C" w:rsidRPr="009A2655">
        <w:t xml:space="preserve"> </w:t>
      </w:r>
      <w:r w:rsidR="00051649" w:rsidRPr="009A2655">
        <w:t>its case</w:t>
      </w:r>
      <w:r w:rsidR="004F61B8" w:rsidRPr="009A2655">
        <w:t xml:space="preserve"> </w:t>
      </w:r>
      <w:r w:rsidR="00A1264C" w:rsidRPr="009A2655">
        <w:t>that</w:t>
      </w:r>
      <w:r w:rsidR="004F61B8" w:rsidRPr="009A2655">
        <w:t xml:space="preserve"> </w:t>
      </w:r>
      <w:r w:rsidR="00A1264C" w:rsidRPr="009A2655">
        <w:t>Rammutla</w:t>
      </w:r>
      <w:r w:rsidR="004F61B8" w:rsidRPr="009A2655">
        <w:t xml:space="preserve"> had not</w:t>
      </w:r>
      <w:r w:rsidR="009A1C8C" w:rsidRPr="009A2655">
        <w:t xml:space="preserve"> </w:t>
      </w:r>
      <w:r w:rsidR="004F61B8" w:rsidRPr="009A2655">
        <w:t>been competent</w:t>
      </w:r>
      <w:r>
        <w:t xml:space="preserve"> to</w:t>
      </w:r>
      <w:r w:rsidR="00ED6E94" w:rsidRPr="009A2655">
        <w:t xml:space="preserve"> </w:t>
      </w:r>
      <w:r w:rsidR="00A1264C" w:rsidRPr="009A2655">
        <w:t>posses</w:t>
      </w:r>
      <w:r w:rsidR="0029393D">
        <w:t>s</w:t>
      </w:r>
      <w:r w:rsidR="00ED6E94" w:rsidRPr="009A2655">
        <w:t xml:space="preserve"> the</w:t>
      </w:r>
      <w:r w:rsidR="00562AFF">
        <w:t xml:space="preserve"> </w:t>
      </w:r>
      <w:r w:rsidR="00ED6E94" w:rsidRPr="009A2655">
        <w:t>firearm. H</w:t>
      </w:r>
      <w:r w:rsidR="004F61B8" w:rsidRPr="009A2655">
        <w:t>is</w:t>
      </w:r>
      <w:r w:rsidR="00ED6E94" w:rsidRPr="009A2655">
        <w:t xml:space="preserve"> alleged</w:t>
      </w:r>
      <w:r w:rsidR="004F61B8" w:rsidRPr="009A2655">
        <w:t xml:space="preserve"> failure to attend</w:t>
      </w:r>
      <w:r w:rsidRPr="009A2655">
        <w:t xml:space="preserve"> the firearm shooting</w:t>
      </w:r>
      <w:r>
        <w:t xml:space="preserve"> practice </w:t>
      </w:r>
      <w:r w:rsidR="009A1C8C" w:rsidRPr="009A2655">
        <w:t xml:space="preserve">between </w:t>
      </w:r>
      <w:r w:rsidR="004F61B8" w:rsidRPr="009A2655">
        <w:t>17 October 2016 and 17 October 20</w:t>
      </w:r>
      <w:r w:rsidR="00346061" w:rsidRPr="009A2655">
        <w:t>17</w:t>
      </w:r>
      <w:r w:rsidR="00ED6E94" w:rsidRPr="009A2655">
        <w:t xml:space="preserve"> does not establish that</w:t>
      </w:r>
      <w:r w:rsidR="00BD258B" w:rsidRPr="009A2655">
        <w:t xml:space="preserve"> </w:t>
      </w:r>
      <w:r w:rsidR="00ED6E94" w:rsidRPr="009A2655">
        <w:t xml:space="preserve">he had not done so for a </w:t>
      </w:r>
      <w:r w:rsidR="00BD258B" w:rsidRPr="009A2655">
        <w:t>period of five ye</w:t>
      </w:r>
      <w:r w:rsidR="00051903" w:rsidRPr="009A2655">
        <w:t>ars as required in the National Instruction</w:t>
      </w:r>
      <w:r w:rsidR="00BD258B" w:rsidRPr="009A2655">
        <w:t xml:space="preserve"> of </w:t>
      </w:r>
      <w:r w:rsidR="00BD258B" w:rsidRPr="009A2655">
        <w:lastRenderedPageBreak/>
        <w:t>2016</w:t>
      </w:r>
      <w:r w:rsidR="00346061" w:rsidRPr="009A2655">
        <w:t>.</w:t>
      </w:r>
      <w:r w:rsidR="00BD258B" w:rsidRPr="009A2655">
        <w:t xml:space="preserve"> In any</w:t>
      </w:r>
      <w:r w:rsidR="00562AFF">
        <w:t xml:space="preserve"> </w:t>
      </w:r>
      <w:r w:rsidR="00BD258B" w:rsidRPr="009A2655">
        <w:t xml:space="preserve">event even if he had not done so in five years, the </w:t>
      </w:r>
      <w:r w:rsidR="00051903" w:rsidRPr="009A2655">
        <w:t xml:space="preserve">failure would </w:t>
      </w:r>
      <w:r w:rsidR="00BD258B" w:rsidRPr="009A2655">
        <w:t>not have resulted in his incompetence</w:t>
      </w:r>
      <w:r w:rsidR="004F61B8" w:rsidRPr="009A2655">
        <w:t xml:space="preserve"> </w:t>
      </w:r>
      <w:r w:rsidR="00BD258B" w:rsidRPr="009A2655">
        <w:t>a</w:t>
      </w:r>
      <w:r w:rsidR="00346061" w:rsidRPr="009A2655">
        <w:t>ccording to the undisputed</w:t>
      </w:r>
      <w:r w:rsidR="00A72BD7" w:rsidRPr="009A2655">
        <w:t xml:space="preserve"> </w:t>
      </w:r>
      <w:r w:rsidR="00051903" w:rsidRPr="009A2655">
        <w:t>evidence of</w:t>
      </w:r>
      <w:r w:rsidR="00BD258B" w:rsidRPr="009A2655">
        <w:t xml:space="preserve"> </w:t>
      </w:r>
      <w:r w:rsidR="00346061" w:rsidRPr="009A2655">
        <w:t>Captain N</w:t>
      </w:r>
      <w:r w:rsidR="00BD258B" w:rsidRPr="009A2655">
        <w:t>eve</w:t>
      </w:r>
      <w:r w:rsidR="00346061" w:rsidRPr="009A2655">
        <w:t>ling</w:t>
      </w:r>
      <w:r w:rsidR="00BD258B" w:rsidRPr="009A2655">
        <w:t>.</w:t>
      </w:r>
      <w:r w:rsidR="00562AFF">
        <w:t xml:space="preserve"> </w:t>
      </w:r>
      <w:r w:rsidR="00BD258B" w:rsidRPr="009A2655">
        <w:t>Even a</w:t>
      </w:r>
      <w:r w:rsidR="00346061" w:rsidRPr="009A2655">
        <w:t xml:space="preserve"> failure to </w:t>
      </w:r>
      <w:r w:rsidR="006D7044">
        <w:t xml:space="preserve">attend the compulsory </w:t>
      </w:r>
      <w:r w:rsidR="00346061" w:rsidRPr="009A2655">
        <w:t>firearm</w:t>
      </w:r>
      <w:r w:rsidR="00051903" w:rsidRPr="009A2655">
        <w:t xml:space="preserve"> </w:t>
      </w:r>
      <w:r w:rsidR="00346061" w:rsidRPr="009A2655">
        <w:t>shooting and handling</w:t>
      </w:r>
      <w:r w:rsidR="00BD258B" w:rsidRPr="009A2655">
        <w:t xml:space="preserve"> assessment</w:t>
      </w:r>
      <w:r w:rsidR="006D7044">
        <w:t xml:space="preserve"> practice</w:t>
      </w:r>
      <w:r w:rsidR="00BD258B" w:rsidRPr="009A2655">
        <w:t xml:space="preserve"> would</w:t>
      </w:r>
      <w:r w:rsidR="00346061" w:rsidRPr="009A2655">
        <w:t xml:space="preserve"> not</w:t>
      </w:r>
      <w:r w:rsidR="00BD258B" w:rsidRPr="009A2655">
        <w:t xml:space="preserve"> have </w:t>
      </w:r>
      <w:r w:rsidR="00346061" w:rsidRPr="009A2655">
        <w:t>affect</w:t>
      </w:r>
      <w:r w:rsidR="00BD258B" w:rsidRPr="009A2655">
        <w:t>ed his</w:t>
      </w:r>
      <w:r w:rsidR="00051903" w:rsidRPr="009A2655">
        <w:t xml:space="preserve"> </w:t>
      </w:r>
      <w:r w:rsidR="0029393D">
        <w:t>competency. T</w:t>
      </w:r>
      <w:r w:rsidR="00346061" w:rsidRPr="009A2655">
        <w:t>he withdrawal</w:t>
      </w:r>
      <w:r w:rsidR="00A72BD7" w:rsidRPr="009A2655">
        <w:t xml:space="preserve"> </w:t>
      </w:r>
      <w:r w:rsidR="00BD258B" w:rsidRPr="009A2655">
        <w:t>of his firearm would have been</w:t>
      </w:r>
      <w:r w:rsidR="00346061" w:rsidRPr="009A2655">
        <w:t xml:space="preserve"> discretionary to </w:t>
      </w:r>
      <w:r w:rsidR="00051903" w:rsidRPr="009A2655">
        <w:t>the Station</w:t>
      </w:r>
      <w:r w:rsidR="00BD258B" w:rsidRPr="009A2655">
        <w:t xml:space="preserve"> </w:t>
      </w:r>
      <w:r w:rsidR="00346061" w:rsidRPr="009A2655">
        <w:t>Commander</w:t>
      </w:r>
      <w:r w:rsidR="00270DEA" w:rsidRPr="009A2655">
        <w:t xml:space="preserve">. </w:t>
      </w:r>
      <w:r w:rsidR="00346061" w:rsidRPr="009A2655">
        <w:t>This</w:t>
      </w:r>
      <w:r w:rsidR="00A72BD7" w:rsidRPr="009A2655">
        <w:t xml:space="preserve"> </w:t>
      </w:r>
      <w:r w:rsidR="00270DEA" w:rsidRPr="009A2655">
        <w:t>evidence</w:t>
      </w:r>
      <w:r w:rsidR="00562AFF">
        <w:t xml:space="preserve"> </w:t>
      </w:r>
      <w:r w:rsidR="00270DEA" w:rsidRPr="009A2655">
        <w:t>is</w:t>
      </w:r>
      <w:r w:rsidR="0029393D">
        <w:t xml:space="preserve"> validated by</w:t>
      </w:r>
      <w:r w:rsidR="009A1C8C" w:rsidRPr="009A2655">
        <w:t xml:space="preserve"> the words</w:t>
      </w:r>
      <w:r w:rsidR="0029393D">
        <w:t xml:space="preserve"> used in para 8 of Standing Order 48 -</w:t>
      </w:r>
      <w:r w:rsidR="009A1C8C" w:rsidRPr="009A2655">
        <w:t xml:space="preserve"> ‘’…</w:t>
      </w:r>
      <w:r w:rsidR="00051903" w:rsidRPr="009A2655">
        <w:t xml:space="preserve"> </w:t>
      </w:r>
      <w:r w:rsidR="009A1C8C" w:rsidRPr="009A2655">
        <w:rPr>
          <w:i/>
        </w:rPr>
        <w:t>firearm</w:t>
      </w:r>
      <w:r w:rsidR="009A1C8C" w:rsidRPr="009A2655">
        <w:t xml:space="preserve"> </w:t>
      </w:r>
      <w:r w:rsidR="009A1C8C" w:rsidRPr="009A2655">
        <w:rPr>
          <w:i/>
          <w:u w:val="single"/>
        </w:rPr>
        <w:t>may</w:t>
      </w:r>
      <w:r w:rsidR="00270DEA" w:rsidRPr="009A2655">
        <w:rPr>
          <w:i/>
        </w:rPr>
        <w:t xml:space="preserve"> </w:t>
      </w:r>
      <w:r w:rsidR="009A1C8C" w:rsidRPr="009A2655">
        <w:rPr>
          <w:i/>
        </w:rPr>
        <w:t>be withdrawn by</w:t>
      </w:r>
      <w:r w:rsidR="00A72BD7" w:rsidRPr="009A2655">
        <w:rPr>
          <w:i/>
        </w:rPr>
        <w:t xml:space="preserve"> </w:t>
      </w:r>
      <w:r w:rsidR="0029393D">
        <w:rPr>
          <w:i/>
        </w:rPr>
        <w:t>the Station Commander.</w:t>
      </w:r>
      <w:r w:rsidR="006D7044">
        <w:rPr>
          <w:i/>
        </w:rPr>
        <w:t>.</w:t>
      </w:r>
      <w:r w:rsidR="0029393D">
        <w:rPr>
          <w:i/>
        </w:rPr>
        <w:t xml:space="preserve">.’’ </w:t>
      </w:r>
      <w:r w:rsidR="009A1C8C" w:rsidRPr="009A2655">
        <w:t>(own emphasis).</w:t>
      </w:r>
      <w:r w:rsidR="00A72BD7" w:rsidRPr="009A2655">
        <w:t xml:space="preserve"> </w:t>
      </w:r>
      <w:r w:rsidR="00051903" w:rsidRPr="009A2655">
        <w:t>The Station C</w:t>
      </w:r>
      <w:r w:rsidR="0029393D">
        <w:t>ommander did</w:t>
      </w:r>
      <w:r w:rsidR="00051903" w:rsidRPr="009A2655">
        <w:t xml:space="preserve"> not</w:t>
      </w:r>
      <w:r w:rsidR="00014E9A" w:rsidRPr="009A2655">
        <w:t xml:space="preserve"> </w:t>
      </w:r>
      <w:r w:rsidR="0029393D">
        <w:t>withdraw</w:t>
      </w:r>
      <w:r w:rsidR="00051903" w:rsidRPr="009A2655">
        <w:t xml:space="preserve"> the firearm</w:t>
      </w:r>
      <w:r w:rsidR="00014E9A" w:rsidRPr="009A2655">
        <w:t xml:space="preserve"> from Rammutla.</w:t>
      </w:r>
    </w:p>
    <w:p w:rsidR="009B6766" w:rsidRDefault="00150444" w:rsidP="009B6766">
      <w:r>
        <w:t>[4</w:t>
      </w:r>
      <w:r w:rsidR="00045459">
        <w:t>7</w:t>
      </w:r>
      <w:r>
        <w:t xml:space="preserve">] </w:t>
      </w:r>
      <w:r w:rsidR="006D7044">
        <w:tab/>
      </w:r>
      <w:r w:rsidR="00270DEA">
        <w:t xml:space="preserve">The evidence of </w:t>
      </w:r>
      <w:r>
        <w:t xml:space="preserve">Mr Khobo, </w:t>
      </w:r>
      <w:r w:rsidR="00270DEA">
        <w:t>the former</w:t>
      </w:r>
      <w:r>
        <w:t xml:space="preserve"> overall </w:t>
      </w:r>
      <w:r w:rsidR="00A72BD7">
        <w:t>Comm</w:t>
      </w:r>
      <w:r>
        <w:t>ander of the Detective Unit         Rammutla</w:t>
      </w:r>
      <w:r w:rsidR="00270DEA">
        <w:t xml:space="preserve"> </w:t>
      </w:r>
      <w:r w:rsidR="00A72BD7" w:rsidRPr="009027E9">
        <w:t>was</w:t>
      </w:r>
      <w:r>
        <w:t xml:space="preserve"> a member of, was</w:t>
      </w:r>
      <w:r w:rsidR="00A72BD7" w:rsidRPr="009027E9">
        <w:t xml:space="preserve"> </w:t>
      </w:r>
      <w:r w:rsidR="009B0C88">
        <w:t xml:space="preserve">that </w:t>
      </w:r>
      <w:r w:rsidR="00BF6F5C">
        <w:t>Rammutla joined</w:t>
      </w:r>
      <w:r>
        <w:t xml:space="preserve"> the unit</w:t>
      </w:r>
      <w:r w:rsidR="009B0C88">
        <w:t xml:space="preserve"> in March 2012</w:t>
      </w:r>
      <w:r w:rsidR="009027E9" w:rsidRPr="003E2A1E">
        <w:t>.</w:t>
      </w:r>
      <w:r>
        <w:t xml:space="preserve">         </w:t>
      </w:r>
      <w:r w:rsidR="00270DEA" w:rsidRPr="003E2A1E">
        <w:t xml:space="preserve">He testified that </w:t>
      </w:r>
      <w:r w:rsidR="009B0C88">
        <w:t xml:space="preserve">Rammutla was </w:t>
      </w:r>
      <w:r>
        <w:t>involved in the</w:t>
      </w:r>
      <w:r w:rsidR="00D4433C">
        <w:t xml:space="preserve"> </w:t>
      </w:r>
      <w:r w:rsidR="00E243A7" w:rsidRPr="003E2A1E">
        <w:t>investigation of cases</w:t>
      </w:r>
      <w:r w:rsidR="00014E9A" w:rsidRPr="003E2A1E">
        <w:t xml:space="preserve"> that</w:t>
      </w:r>
      <w:r w:rsidR="001220AB" w:rsidRPr="003E2A1E">
        <w:t xml:space="preserve"> were</w:t>
      </w:r>
      <w:r>
        <w:t xml:space="preserve">         </w:t>
      </w:r>
      <w:r w:rsidR="00E243A7" w:rsidRPr="003E2A1E">
        <w:t>regarded as impor</w:t>
      </w:r>
      <w:r w:rsidR="00D4433C">
        <w:t>tant and had been</w:t>
      </w:r>
      <w:r w:rsidR="009B0C88">
        <w:t xml:space="preserve"> </w:t>
      </w:r>
      <w:r w:rsidR="00E243A7" w:rsidRPr="003E2A1E">
        <w:t>issue</w:t>
      </w:r>
      <w:r w:rsidR="009B0C88">
        <w:t>d with</w:t>
      </w:r>
      <w:r w:rsidR="00D4433C">
        <w:t xml:space="preserve"> </w:t>
      </w:r>
      <w:r w:rsidR="009B0C88">
        <w:t>an official firearm as he</w:t>
      </w:r>
      <w:r w:rsidR="00014E9A" w:rsidRPr="003E2A1E">
        <w:t xml:space="preserve"> was</w:t>
      </w:r>
      <w:r w:rsidR="001220AB" w:rsidRPr="003E2A1E">
        <w:t xml:space="preserve"> </w:t>
      </w:r>
      <w:r>
        <w:t xml:space="preserve">         </w:t>
      </w:r>
      <w:r w:rsidR="009B0C88">
        <w:t>qualified to be issued with</w:t>
      </w:r>
      <w:r w:rsidR="00270DEA" w:rsidRPr="003E2A1E">
        <w:t xml:space="preserve"> </w:t>
      </w:r>
      <w:r w:rsidR="009B0C88">
        <w:t xml:space="preserve">one. </w:t>
      </w:r>
      <w:r w:rsidR="00E243A7" w:rsidRPr="003E2A1E">
        <w:t>The</w:t>
      </w:r>
      <w:r w:rsidR="009B0C88">
        <w:t xml:space="preserve"> </w:t>
      </w:r>
      <w:r w:rsidR="00E243A7" w:rsidRPr="003E2A1E">
        <w:t xml:space="preserve">witness testified that an officer was allowed </w:t>
      </w:r>
      <w:r>
        <w:t xml:space="preserve">         </w:t>
      </w:r>
      <w:r w:rsidR="00E243A7" w:rsidRPr="003E2A1E">
        <w:t>to</w:t>
      </w:r>
      <w:r w:rsidR="00014E9A" w:rsidRPr="003E2A1E">
        <w:t xml:space="preserve"> remain</w:t>
      </w:r>
      <w:r w:rsidR="001220AB" w:rsidRPr="003E2A1E">
        <w:t xml:space="preserve"> in</w:t>
      </w:r>
      <w:r w:rsidR="00270DEA" w:rsidRPr="003E2A1E">
        <w:t xml:space="preserve"> </w:t>
      </w:r>
      <w:r w:rsidR="00E243A7" w:rsidRPr="003E2A1E">
        <w:t>possession of the</w:t>
      </w:r>
      <w:r w:rsidR="009B0C88">
        <w:t xml:space="preserve"> </w:t>
      </w:r>
      <w:r w:rsidR="00E243A7" w:rsidRPr="003E2A1E">
        <w:t>firearm issued to</w:t>
      </w:r>
      <w:r w:rsidR="001220AB" w:rsidRPr="003E2A1E">
        <w:t xml:space="preserve"> him</w:t>
      </w:r>
      <w:r>
        <w:t xml:space="preserve"> </w:t>
      </w:r>
      <w:r w:rsidR="00D4433C">
        <w:t>until they resigned or</w:t>
      </w:r>
      <w:r w:rsidR="00E243A7" w:rsidRPr="003E2A1E">
        <w:t xml:space="preserve"> were </w:t>
      </w:r>
      <w:r>
        <w:t xml:space="preserve">         </w:t>
      </w:r>
      <w:r w:rsidR="00E243A7" w:rsidRPr="003E2A1E">
        <w:t>no</w:t>
      </w:r>
      <w:r w:rsidR="00014E9A" w:rsidRPr="003E2A1E">
        <w:t xml:space="preserve"> </w:t>
      </w:r>
      <w:r w:rsidR="00E243A7" w:rsidRPr="003E2A1E">
        <w:t xml:space="preserve">longer </w:t>
      </w:r>
      <w:r w:rsidR="001220AB" w:rsidRPr="003E2A1E">
        <w:t>competent</w:t>
      </w:r>
      <w:r w:rsidR="00270DEA" w:rsidRPr="003E2A1E">
        <w:t xml:space="preserve"> </w:t>
      </w:r>
      <w:r w:rsidR="00D4433C">
        <w:t>or</w:t>
      </w:r>
      <w:r w:rsidR="00E243A7" w:rsidRPr="003E2A1E">
        <w:t xml:space="preserve"> involved in domestic violence</w:t>
      </w:r>
      <w:r w:rsidR="00D4433C">
        <w:t xml:space="preserve"> or substance abuse. He</w:t>
      </w:r>
      <w:r w:rsidR="00014E9A" w:rsidRPr="003E2A1E">
        <w:t xml:space="preserve"> </w:t>
      </w:r>
      <w:r w:rsidR="009B6766">
        <w:t xml:space="preserve">        </w:t>
      </w:r>
      <w:r>
        <w:t xml:space="preserve"> </w:t>
      </w:r>
      <w:r w:rsidR="00E243A7" w:rsidRPr="003E2A1E">
        <w:t>had no</w:t>
      </w:r>
      <w:r w:rsidR="00014E9A" w:rsidRPr="003E2A1E">
        <w:t>t</w:t>
      </w:r>
      <w:r w:rsidR="001220AB" w:rsidRPr="003E2A1E">
        <w:t xml:space="preserve"> </w:t>
      </w:r>
      <w:r w:rsidR="005B0644" w:rsidRPr="003E2A1E">
        <w:t>known</w:t>
      </w:r>
      <w:r w:rsidR="00D4433C">
        <w:t xml:space="preserve"> Rammutla</w:t>
      </w:r>
      <w:r w:rsidR="009B0C88">
        <w:t xml:space="preserve"> </w:t>
      </w:r>
      <w:r w:rsidR="005B0644" w:rsidRPr="003E2A1E">
        <w:t>to be violent until the d</w:t>
      </w:r>
      <w:r w:rsidR="004F5070">
        <w:t xml:space="preserve">ay he learned that Rammutla </w:t>
      </w:r>
      <w:r w:rsidR="009B6766">
        <w:t xml:space="preserve">        </w:t>
      </w:r>
      <w:r w:rsidR="004F5070">
        <w:t xml:space="preserve"> had</w:t>
      </w:r>
      <w:r w:rsidR="005B0644" w:rsidRPr="003E2A1E">
        <w:t xml:space="preserve"> shot and killed the </w:t>
      </w:r>
      <w:r w:rsidR="00014E9A" w:rsidRPr="003E2A1E">
        <w:t>deceased</w:t>
      </w:r>
      <w:r w:rsidR="004F5070">
        <w:t>.</w:t>
      </w:r>
      <w:r w:rsidR="00014E9A" w:rsidRPr="003E2A1E">
        <w:t xml:space="preserve"> </w:t>
      </w:r>
      <w:r w:rsidR="005B0644" w:rsidRPr="003E2A1E">
        <w:t>The witn</w:t>
      </w:r>
      <w:r w:rsidR="001220AB" w:rsidRPr="003E2A1E">
        <w:t>ess confirmed that Captain Neve</w:t>
      </w:r>
      <w:r w:rsidR="005B0644" w:rsidRPr="003E2A1E">
        <w:t xml:space="preserve">ling </w:t>
      </w:r>
      <w:r w:rsidR="004F5070">
        <w:t xml:space="preserve">         </w:t>
      </w:r>
      <w:r w:rsidR="005B0644" w:rsidRPr="003E2A1E">
        <w:t>was in</w:t>
      </w:r>
      <w:r w:rsidR="009B0C88">
        <w:t xml:space="preserve"> </w:t>
      </w:r>
      <w:r w:rsidR="005B0644" w:rsidRPr="003E2A1E">
        <w:t>charge of matters relating</w:t>
      </w:r>
      <w:r w:rsidR="00D4433C">
        <w:t xml:space="preserve"> </w:t>
      </w:r>
      <w:r w:rsidR="005B0644" w:rsidRPr="003E2A1E">
        <w:t>the</w:t>
      </w:r>
      <w:r w:rsidR="001220AB" w:rsidRPr="003E2A1E">
        <w:t xml:space="preserve"> issuing of</w:t>
      </w:r>
      <w:r w:rsidR="00014E9A" w:rsidRPr="003E2A1E">
        <w:t xml:space="preserve"> </w:t>
      </w:r>
      <w:r w:rsidR="005B0644" w:rsidRPr="003E2A1E">
        <w:t>firearm</w:t>
      </w:r>
      <w:r w:rsidR="00D4433C">
        <w:t>s,</w:t>
      </w:r>
      <w:r w:rsidR="005B0644" w:rsidRPr="003E2A1E">
        <w:t xml:space="preserve"> shooting practice and </w:t>
      </w:r>
      <w:r w:rsidR="004F5070">
        <w:t xml:space="preserve">         </w:t>
      </w:r>
      <w:r w:rsidR="005B0644" w:rsidRPr="003E2A1E">
        <w:t>the</w:t>
      </w:r>
      <w:r w:rsidR="004F5070">
        <w:t xml:space="preserve"> recording of attendance of </w:t>
      </w:r>
      <w:r w:rsidR="005B0644" w:rsidRPr="003E2A1E">
        <w:t>competence</w:t>
      </w:r>
      <w:r w:rsidR="004F5070">
        <w:t xml:space="preserve"> assessment shooting sessions.</w:t>
      </w:r>
    </w:p>
    <w:p w:rsidR="009A1C8C" w:rsidRPr="003E2A1E" w:rsidRDefault="009B6766" w:rsidP="003C7BC8">
      <w:r>
        <w:t>[4</w:t>
      </w:r>
      <w:r w:rsidR="00045459">
        <w:t>8</w:t>
      </w:r>
      <w:r>
        <w:t xml:space="preserve">] </w:t>
      </w:r>
      <w:r w:rsidR="003C7BC8">
        <w:tab/>
      </w:r>
      <w:r w:rsidR="001220AB" w:rsidRPr="003E2A1E">
        <w:t>The evidence of defenc</w:t>
      </w:r>
      <w:r w:rsidR="00014E9A" w:rsidRPr="003E2A1E">
        <w:t xml:space="preserve">e </w:t>
      </w:r>
      <w:r w:rsidR="001220AB" w:rsidRPr="003E2A1E">
        <w:t>witnesses disprove</w:t>
      </w:r>
      <w:r w:rsidR="00E27660">
        <w:t>d</w:t>
      </w:r>
      <w:r w:rsidR="001220AB" w:rsidRPr="003E2A1E">
        <w:t xml:space="preserve"> </w:t>
      </w:r>
      <w:r w:rsidR="00E27660">
        <w:t>the allegations and contentions of</w:t>
      </w:r>
      <w:r>
        <w:t xml:space="preserve"> </w:t>
      </w:r>
      <w:r w:rsidR="001220AB" w:rsidRPr="003E2A1E">
        <w:t>the plaintiff that Rammutla</w:t>
      </w:r>
      <w:r w:rsidR="00155C49">
        <w:t xml:space="preserve"> had been </w:t>
      </w:r>
      <w:r w:rsidR="00051903" w:rsidRPr="003E2A1E">
        <w:t>incompetent</w:t>
      </w:r>
      <w:r w:rsidR="00D4433C">
        <w:t xml:space="preserve"> </w:t>
      </w:r>
      <w:r w:rsidR="003C7BC8">
        <w:t>to be in possession of the</w:t>
      </w:r>
      <w:r w:rsidR="00D4433C">
        <w:t xml:space="preserve">    </w:t>
      </w:r>
      <w:r>
        <w:t xml:space="preserve">   </w:t>
      </w:r>
      <w:r w:rsidR="00051903" w:rsidRPr="003E2A1E">
        <w:t xml:space="preserve">firearm he </w:t>
      </w:r>
      <w:r w:rsidR="00014E9A" w:rsidRPr="003E2A1E">
        <w:t>used</w:t>
      </w:r>
      <w:r w:rsidR="00155C49">
        <w:t xml:space="preserve"> to kill the deceased</w:t>
      </w:r>
      <w:r w:rsidR="00014E9A" w:rsidRPr="003E2A1E">
        <w:t xml:space="preserve"> and</w:t>
      </w:r>
      <w:r w:rsidR="00155C49">
        <w:t xml:space="preserve"> </w:t>
      </w:r>
      <w:r w:rsidR="00014E9A" w:rsidRPr="003E2A1E">
        <w:t xml:space="preserve">that the </w:t>
      </w:r>
      <w:r w:rsidR="00051903" w:rsidRPr="003E2A1E">
        <w:t>defendant</w:t>
      </w:r>
      <w:r w:rsidR="00D4433C">
        <w:t xml:space="preserve"> was</w:t>
      </w:r>
      <w:r w:rsidR="00051903" w:rsidRPr="003E2A1E">
        <w:t xml:space="preserve"> negligent in </w:t>
      </w:r>
      <w:r w:rsidR="00D4433C">
        <w:t xml:space="preserve">     </w:t>
      </w:r>
      <w:r w:rsidR="002A2D5C">
        <w:t xml:space="preserve"> </w:t>
      </w:r>
      <w:r w:rsidR="00D4433C">
        <w:t xml:space="preserve">  </w:t>
      </w:r>
      <w:r w:rsidR="00051903" w:rsidRPr="003E2A1E">
        <w:t>allowing him to be in</w:t>
      </w:r>
      <w:r w:rsidR="00155C49">
        <w:t xml:space="preserve"> </w:t>
      </w:r>
      <w:r w:rsidR="00051903" w:rsidRPr="003E2A1E">
        <w:t>possession of the</w:t>
      </w:r>
      <w:r w:rsidR="00155C49">
        <w:t xml:space="preserve"> </w:t>
      </w:r>
      <w:r w:rsidR="00051903" w:rsidRPr="003E2A1E">
        <w:t>firearm</w:t>
      </w:r>
      <w:r w:rsidR="003C7BC8">
        <w:t xml:space="preserve"> when he shot and killed the </w:t>
      </w:r>
      <w:r>
        <w:t xml:space="preserve">       </w:t>
      </w:r>
      <w:r w:rsidR="00E27660">
        <w:t xml:space="preserve"> deceased</w:t>
      </w:r>
      <w:r w:rsidR="00051903" w:rsidRPr="003E2A1E">
        <w:t xml:space="preserve">.  </w:t>
      </w:r>
    </w:p>
    <w:p w:rsidR="003C7BC8" w:rsidRDefault="003C7BC8" w:rsidP="00CA375D">
      <w:pPr>
        <w:ind w:left="0" w:firstLine="0"/>
        <w:rPr>
          <w:b/>
        </w:rPr>
      </w:pPr>
      <w:r>
        <w:rPr>
          <w:b/>
        </w:rPr>
        <w:tab/>
      </w:r>
    </w:p>
    <w:p w:rsidR="00BF6148" w:rsidRPr="00BF6148" w:rsidRDefault="003C7BC8" w:rsidP="00CA375D">
      <w:pPr>
        <w:ind w:left="0" w:firstLine="0"/>
        <w:rPr>
          <w:b/>
        </w:rPr>
      </w:pPr>
      <w:r>
        <w:rPr>
          <w:b/>
        </w:rPr>
        <w:tab/>
      </w:r>
      <w:r w:rsidR="00021FCD">
        <w:rPr>
          <w:b/>
        </w:rPr>
        <w:t>CONCLUSION</w:t>
      </w:r>
    </w:p>
    <w:p w:rsidR="00AE0D40" w:rsidRDefault="00045459" w:rsidP="001F3332">
      <w:pPr>
        <w:ind w:left="714"/>
      </w:pPr>
      <w:r>
        <w:t>[49</w:t>
      </w:r>
      <w:r w:rsidR="00860FA9">
        <w:t>]</w:t>
      </w:r>
      <w:r w:rsidR="00DA52FA">
        <w:t xml:space="preserve"> </w:t>
      </w:r>
      <w:r w:rsidR="003C7BC8">
        <w:tab/>
      </w:r>
      <w:r w:rsidR="00DA52FA">
        <w:t>The</w:t>
      </w:r>
      <w:r w:rsidR="00021FCD">
        <w:t xml:space="preserve"> </w:t>
      </w:r>
      <w:r w:rsidR="004B0C9D">
        <w:t xml:space="preserve">undisputed </w:t>
      </w:r>
      <w:r w:rsidR="00021FCD">
        <w:t>evidence of the</w:t>
      </w:r>
      <w:r w:rsidR="00AE0D40">
        <w:t xml:space="preserve"> second</w:t>
      </w:r>
      <w:r w:rsidR="004B0C9D">
        <w:t xml:space="preserve"> defence</w:t>
      </w:r>
      <w:r w:rsidR="00AE0D40">
        <w:t xml:space="preserve"> witness</w:t>
      </w:r>
      <w:r w:rsidR="004B0C9D">
        <w:t>, Captain Neveling,</w:t>
      </w:r>
      <w:r w:rsidR="003C7BC8">
        <w:t xml:space="preserve"> </w:t>
      </w:r>
      <w:r w:rsidR="004B0C9D">
        <w:t xml:space="preserve"> </w:t>
      </w:r>
      <w:r w:rsidR="00021FCD">
        <w:t xml:space="preserve"> that Rammutla</w:t>
      </w:r>
      <w:r w:rsidR="003E2A1E">
        <w:t xml:space="preserve"> </w:t>
      </w:r>
      <w:r w:rsidR="00021FCD">
        <w:t xml:space="preserve">was never declared incompetent nor had committed an act that </w:t>
      </w:r>
      <w:r w:rsidR="00E27660">
        <w:t xml:space="preserve">       </w:t>
      </w:r>
      <w:r w:rsidR="00021FCD">
        <w:t>would</w:t>
      </w:r>
      <w:r w:rsidR="004B0C9D">
        <w:t xml:space="preserve"> have warranted that he be dislodged of  possession of his</w:t>
      </w:r>
      <w:r w:rsidR="00021FCD">
        <w:t xml:space="preserve"> official</w:t>
      </w:r>
      <w:r w:rsidR="004B0C9D">
        <w:t xml:space="preserve"> </w:t>
      </w:r>
      <w:r w:rsidR="001F3332">
        <w:t>firearm        dis</w:t>
      </w:r>
      <w:r w:rsidR="00E27660">
        <w:t>prove</w:t>
      </w:r>
      <w:r w:rsidR="001F3332">
        <w:t xml:space="preserve">d the plaintiff’s allegations of Rammutla’s incompetence and of the        </w:t>
      </w:r>
      <w:r w:rsidR="001F3332">
        <w:lastRenderedPageBreak/>
        <w:t xml:space="preserve">defendant’s negligence in not withdrawing the firearm from Rammutla. These        aspects were important in this case and the evidence of Neveling in respect </w:t>
      </w:r>
      <w:r w:rsidR="00AB7DF9">
        <w:t xml:space="preserve">       </w:t>
      </w:r>
      <w:r w:rsidR="001F3332">
        <w:t>thereof was corroborated by that</w:t>
      </w:r>
      <w:r w:rsidR="00021FCD">
        <w:t xml:space="preserve"> of the</w:t>
      </w:r>
      <w:r w:rsidR="004B0C9D">
        <w:t xml:space="preserve"> commander of the </w:t>
      </w:r>
      <w:r w:rsidR="00021FCD">
        <w:t>Detective Unit</w:t>
      </w:r>
      <w:r w:rsidR="00AB7DF9">
        <w:t xml:space="preserve"> of which</w:t>
      </w:r>
      <w:r w:rsidR="00021FCD">
        <w:t xml:space="preserve"> </w:t>
      </w:r>
      <w:r w:rsidR="004B0C9D">
        <w:t>R</w:t>
      </w:r>
      <w:r w:rsidR="00AB7DF9">
        <w:t>ammutla was a member</w:t>
      </w:r>
      <w:r w:rsidR="004B0C9D">
        <w:t xml:space="preserve">, </w:t>
      </w:r>
      <w:r w:rsidR="00021FCD">
        <w:t xml:space="preserve">Mr Khobo, </w:t>
      </w:r>
    </w:p>
    <w:p w:rsidR="00F47950" w:rsidRDefault="00D4433C" w:rsidP="007D5668">
      <w:pPr>
        <w:ind w:left="0" w:firstLine="0"/>
      </w:pPr>
      <w:r>
        <w:t>[5</w:t>
      </w:r>
      <w:r w:rsidR="00B31939">
        <w:t>0</w:t>
      </w:r>
      <w:r w:rsidR="00021FCD">
        <w:t xml:space="preserve">] </w:t>
      </w:r>
      <w:r w:rsidR="003C7BC8">
        <w:tab/>
      </w:r>
      <w:r w:rsidR="00021FCD">
        <w:t>The exact date of the commencement of the N</w:t>
      </w:r>
      <w:r w:rsidR="004B0C9D">
        <w:t xml:space="preserve">ational Instructions of 2016 </w:t>
      </w:r>
      <w:r w:rsidR="003C7BC8">
        <w:tab/>
      </w:r>
      <w:r w:rsidR="004B0C9D">
        <w:t>became</w:t>
      </w:r>
      <w:r w:rsidR="003C7BC8">
        <w:t xml:space="preserve"> </w:t>
      </w:r>
      <w:r w:rsidR="004B0C9D">
        <w:t>an issue that became</w:t>
      </w:r>
      <w:r w:rsidR="00021FCD">
        <w:t xml:space="preserve"> settled in particular in the</w:t>
      </w:r>
      <w:r w:rsidR="00A01193">
        <w:t xml:space="preserve"> undisputed</w:t>
      </w:r>
      <w:r w:rsidR="00021FCD">
        <w:t xml:space="preserve"> evidence </w:t>
      </w:r>
      <w:r w:rsidR="003C7BC8">
        <w:tab/>
      </w:r>
      <w:r w:rsidR="00021FCD">
        <w:t>of B</w:t>
      </w:r>
      <w:r w:rsidR="00A01193">
        <w:t>riga</w:t>
      </w:r>
      <w:r w:rsidR="00021FCD">
        <w:t>dier</w:t>
      </w:r>
      <w:r w:rsidR="003C7BC8">
        <w:t xml:space="preserve"> </w:t>
      </w:r>
      <w:r w:rsidR="00021FCD">
        <w:t>Nienaber</w:t>
      </w:r>
      <w:r w:rsidR="007D5668">
        <w:t xml:space="preserve">, who testified </w:t>
      </w:r>
      <w:r w:rsidR="00986DE2">
        <w:t xml:space="preserve">that the period of twelve months </w:t>
      </w:r>
      <w:r w:rsidR="007D5668">
        <w:t xml:space="preserve">relating to </w:t>
      </w:r>
      <w:r w:rsidR="003C7BC8">
        <w:tab/>
      </w:r>
      <w:r w:rsidR="007D5668">
        <w:t xml:space="preserve">practice shooting </w:t>
      </w:r>
      <w:r w:rsidR="00986DE2">
        <w:t xml:space="preserve">referred to in Standing Order 48 and relied upon by the </w:t>
      </w:r>
      <w:r w:rsidR="003C7BC8">
        <w:tab/>
      </w:r>
      <w:r w:rsidR="00986DE2">
        <w:t>plaintiff had</w:t>
      </w:r>
      <w:r w:rsidR="007D5668">
        <w:t xml:space="preserve"> already</w:t>
      </w:r>
      <w:r w:rsidR="00986DE2">
        <w:t xml:space="preserve"> been extended to five years by the National Instructions </w:t>
      </w:r>
      <w:r w:rsidR="003C7BC8">
        <w:tab/>
      </w:r>
      <w:r w:rsidR="00986DE2">
        <w:t>of 2016. This evidence disposed of</w:t>
      </w:r>
      <w:r w:rsidR="007D5668">
        <w:t xml:space="preserve"> the plaintiff’s </w:t>
      </w:r>
      <w:r w:rsidR="00A01193">
        <w:t xml:space="preserve">contention that Rammutla </w:t>
      </w:r>
      <w:r w:rsidR="003C7BC8">
        <w:tab/>
        <w:t xml:space="preserve">had been </w:t>
      </w:r>
      <w:r w:rsidR="00A01193">
        <w:t>incompetent to be in possession of an official</w:t>
      </w:r>
      <w:r w:rsidR="00986DE2">
        <w:t xml:space="preserve"> </w:t>
      </w:r>
      <w:r w:rsidR="00A01193">
        <w:t>firearm</w:t>
      </w:r>
      <w:r w:rsidR="00986DE2">
        <w:t xml:space="preserve"> for his </w:t>
      </w:r>
      <w:r w:rsidR="003C7BC8">
        <w:tab/>
      </w:r>
      <w:r w:rsidR="00986DE2">
        <w:t>failure to attend the</w:t>
      </w:r>
      <w:r w:rsidR="003C7BC8">
        <w:t xml:space="preserve"> </w:t>
      </w:r>
      <w:r w:rsidR="00986DE2">
        <w:t>shooting practice between 1</w:t>
      </w:r>
      <w:r w:rsidR="007D5668">
        <w:t>5</w:t>
      </w:r>
      <w:r w:rsidR="00986DE2">
        <w:t xml:space="preserve"> October 2016 and</w:t>
      </w:r>
      <w:r w:rsidR="007D5668">
        <w:t xml:space="preserve"> 15</w:t>
      </w:r>
      <w:r w:rsidR="00986DE2">
        <w:t xml:space="preserve"> </w:t>
      </w:r>
      <w:r w:rsidR="003C7BC8">
        <w:tab/>
      </w:r>
      <w:r w:rsidR="00986DE2">
        <w:t>October 2017</w:t>
      </w:r>
      <w:r w:rsidR="007D5668">
        <w:t>;</w:t>
      </w:r>
      <w:r w:rsidR="00021FCD">
        <w:t xml:space="preserve"> </w:t>
      </w:r>
      <w:r w:rsidR="007D5668">
        <w:t>the last being the date Rammutla</w:t>
      </w:r>
      <w:r w:rsidR="00A01193">
        <w:t xml:space="preserve"> shot and murdered</w:t>
      </w:r>
      <w:r w:rsidR="003E2A1E">
        <w:t xml:space="preserve"> </w:t>
      </w:r>
      <w:r w:rsidR="007D5668">
        <w:t xml:space="preserve">the </w:t>
      </w:r>
      <w:r w:rsidR="003C7BC8">
        <w:tab/>
      </w:r>
      <w:r w:rsidR="007D5668">
        <w:t>deceased.</w:t>
      </w:r>
    </w:p>
    <w:p w:rsidR="00151312" w:rsidRDefault="009F3E67" w:rsidP="00151312">
      <w:pPr>
        <w:ind w:left="0" w:firstLine="0"/>
      </w:pPr>
      <w:r>
        <w:t>[5</w:t>
      </w:r>
      <w:r w:rsidR="00B31939">
        <w:t>1</w:t>
      </w:r>
      <w:r w:rsidR="00F47950">
        <w:t>]</w:t>
      </w:r>
      <w:r w:rsidR="00151312">
        <w:t xml:space="preserve"> </w:t>
      </w:r>
      <w:r w:rsidR="00391386">
        <w:tab/>
      </w:r>
      <w:r w:rsidR="00F47950">
        <w:t>The plaintiff has not succeeded in demonstrating</w:t>
      </w:r>
      <w:r w:rsidR="00223EEF">
        <w:t xml:space="preserve"> that Rammutla had been </w:t>
      </w:r>
      <w:r w:rsidR="00391386">
        <w:t xml:space="preserve"> </w:t>
      </w:r>
      <w:r w:rsidR="00223EEF">
        <w:t xml:space="preserve">       </w:t>
      </w:r>
      <w:r w:rsidR="00391386">
        <w:tab/>
      </w:r>
      <w:r w:rsidR="00223EEF">
        <w:t>incompetent to possess a firearm nor that</w:t>
      </w:r>
      <w:r w:rsidR="00F47950">
        <w:t xml:space="preserve"> the</w:t>
      </w:r>
      <w:r w:rsidR="00223EEF">
        <w:t xml:space="preserve"> defendant was negligent in </w:t>
      </w:r>
      <w:r w:rsidR="00391386">
        <w:tab/>
      </w:r>
      <w:r w:rsidR="00223EEF">
        <w:t>allowing him to remain in possession of the firearm.</w:t>
      </w:r>
      <w:r w:rsidR="00F47950">
        <w:t xml:space="preserve"> </w:t>
      </w:r>
      <w:r w:rsidR="00223EEF">
        <w:t xml:space="preserve">Furthermore, the </w:t>
      </w:r>
      <w:r w:rsidR="00391386">
        <w:tab/>
      </w:r>
      <w:r w:rsidR="00223EEF">
        <w:t>plaintiff failed to</w:t>
      </w:r>
      <w:r w:rsidR="00391386">
        <w:t xml:space="preserve"> </w:t>
      </w:r>
      <w:r w:rsidR="00223EEF">
        <w:t xml:space="preserve">establish that the facts in this case meet the requirements </w:t>
      </w:r>
      <w:r w:rsidR="00391386">
        <w:tab/>
      </w:r>
      <w:r w:rsidR="00223EEF">
        <w:t>to hold the defendant</w:t>
      </w:r>
      <w:r w:rsidR="00391386">
        <w:t xml:space="preserve"> </w:t>
      </w:r>
      <w:r w:rsidR="00223EEF">
        <w:t>vicariously liable for the</w:t>
      </w:r>
      <w:r w:rsidR="0019129C">
        <w:t xml:space="preserve"> unlawful</w:t>
      </w:r>
      <w:r w:rsidR="00223EEF">
        <w:t xml:space="preserve"> conduct</w:t>
      </w:r>
      <w:r w:rsidR="0019129C">
        <w:t xml:space="preserve"> of </w:t>
      </w:r>
      <w:r w:rsidR="00391386">
        <w:tab/>
      </w:r>
      <w:r w:rsidR="0019129C">
        <w:t>Rammutla.</w:t>
      </w:r>
      <w:r w:rsidR="00F47950">
        <w:t xml:space="preserve"> In consequence, the plaintiff’</w:t>
      </w:r>
      <w:r w:rsidR="00A31C82">
        <w:t xml:space="preserve">s case stands to be dismissed </w:t>
      </w:r>
      <w:r w:rsidR="00391386">
        <w:tab/>
      </w:r>
      <w:r w:rsidR="00A31C82">
        <w:t>purely on the merits.</w:t>
      </w:r>
    </w:p>
    <w:p w:rsidR="0091682D" w:rsidRDefault="0091682D" w:rsidP="00151312">
      <w:pPr>
        <w:ind w:left="0" w:firstLine="0"/>
        <w:rPr>
          <w:b/>
        </w:rPr>
      </w:pPr>
    </w:p>
    <w:p w:rsidR="00891ADB" w:rsidRPr="00891ADB" w:rsidRDefault="00391386" w:rsidP="00151312">
      <w:pPr>
        <w:ind w:left="0" w:firstLine="0"/>
        <w:rPr>
          <w:b/>
        </w:rPr>
      </w:pPr>
      <w:r>
        <w:rPr>
          <w:b/>
        </w:rPr>
        <w:tab/>
      </w:r>
      <w:r w:rsidR="00891ADB" w:rsidRPr="00891ADB">
        <w:rPr>
          <w:b/>
        </w:rPr>
        <w:t>COSTS</w:t>
      </w:r>
    </w:p>
    <w:p w:rsidR="00891ADB" w:rsidRPr="0026377B" w:rsidRDefault="009F3E67" w:rsidP="00891ADB">
      <w:pPr>
        <w:ind w:left="0" w:firstLine="0"/>
      </w:pPr>
      <w:r>
        <w:t>[5</w:t>
      </w:r>
      <w:r w:rsidR="00B31939">
        <w:t>2</w:t>
      </w:r>
      <w:r w:rsidR="00151312">
        <w:t xml:space="preserve">] </w:t>
      </w:r>
      <w:r w:rsidR="00391386">
        <w:tab/>
      </w:r>
      <w:r w:rsidR="00151312">
        <w:t>The plaintiff engaged in these proceedings in pursuance of the</w:t>
      </w:r>
      <w:r w:rsidR="007F27E7">
        <w:t xml:space="preserve"> rights </w:t>
      </w:r>
      <w:r w:rsidR="00151312">
        <w:t xml:space="preserve">of </w:t>
      </w:r>
      <w:r w:rsidR="007F27E7">
        <w:t>the</w:t>
      </w:r>
      <w:r w:rsidR="00391386">
        <w:t xml:space="preserve"> </w:t>
      </w:r>
      <w:r w:rsidR="00391386">
        <w:tab/>
      </w:r>
      <w:r w:rsidR="007F27E7">
        <w:t xml:space="preserve">minor </w:t>
      </w:r>
      <w:r w:rsidR="00151312">
        <w:t>children of</w:t>
      </w:r>
      <w:r w:rsidR="00391386">
        <w:t xml:space="preserve"> their </w:t>
      </w:r>
      <w:r w:rsidR="00151312">
        <w:t>mother</w:t>
      </w:r>
      <w:r w:rsidR="00391386">
        <w:t xml:space="preserve">, the deceased, </w:t>
      </w:r>
      <w:r w:rsidR="0026377B">
        <w:t xml:space="preserve">who was unlawfully murdered by </w:t>
      </w:r>
      <w:r w:rsidR="00391386">
        <w:tab/>
      </w:r>
      <w:r w:rsidR="0026377B">
        <w:t>Rammutla</w:t>
      </w:r>
      <w:r w:rsidR="00151312">
        <w:t>. In</w:t>
      </w:r>
      <w:r w:rsidR="00391386">
        <w:t xml:space="preserve"> </w:t>
      </w:r>
      <w:r w:rsidR="00151312">
        <w:t>line with</w:t>
      </w:r>
      <w:r w:rsidR="007F27E7">
        <w:t xml:space="preserve"> </w:t>
      </w:r>
      <w:r w:rsidR="00151312">
        <w:t>the</w:t>
      </w:r>
      <w:r w:rsidR="007F27E7">
        <w:rPr>
          <w:i/>
        </w:rPr>
        <w:t xml:space="preserve"> </w:t>
      </w:r>
      <w:r w:rsidR="00151312">
        <w:rPr>
          <w:i/>
        </w:rPr>
        <w:t xml:space="preserve">Baywatch </w:t>
      </w:r>
      <w:r w:rsidR="007F27E7">
        <w:rPr>
          <w:i/>
        </w:rPr>
        <w:t>principle</w:t>
      </w:r>
      <w:r w:rsidR="007F27E7">
        <w:t>,</w:t>
      </w:r>
      <w:r w:rsidR="00151312">
        <w:t xml:space="preserve"> it would be unjust to mulct the </w:t>
      </w:r>
      <w:r w:rsidR="00391386">
        <w:tab/>
      </w:r>
      <w:r w:rsidR="00151312">
        <w:t>plaintiff with costs</w:t>
      </w:r>
      <w:r w:rsidR="00391386">
        <w:t xml:space="preserve"> </w:t>
      </w:r>
      <w:r w:rsidR="0026377B">
        <w:t>o</w:t>
      </w:r>
      <w:r w:rsidR="00151312">
        <w:t>n the</w:t>
      </w:r>
      <w:r w:rsidR="0026377B">
        <w:t xml:space="preserve"> facts and</w:t>
      </w:r>
      <w:r w:rsidR="00151312">
        <w:t xml:space="preserve"> circumstances of</w:t>
      </w:r>
      <w:r w:rsidR="007F27E7">
        <w:t xml:space="preserve"> this</w:t>
      </w:r>
      <w:r w:rsidR="00151312">
        <w:t xml:space="preserve"> </w:t>
      </w:r>
      <w:r w:rsidR="007F27E7">
        <w:t>case</w:t>
      </w:r>
      <w:r w:rsidR="00A31C82">
        <w:t>.</w:t>
      </w:r>
    </w:p>
    <w:p w:rsidR="0091682D" w:rsidRDefault="0091682D" w:rsidP="00891ADB">
      <w:pPr>
        <w:ind w:left="0" w:firstLine="0"/>
        <w:rPr>
          <w:b/>
        </w:rPr>
      </w:pPr>
    </w:p>
    <w:p w:rsidR="00891ADB" w:rsidRPr="002F088D" w:rsidRDefault="00391386" w:rsidP="00891ADB">
      <w:pPr>
        <w:ind w:left="0" w:firstLine="0"/>
        <w:rPr>
          <w:b/>
        </w:rPr>
      </w:pPr>
      <w:r>
        <w:rPr>
          <w:b/>
        </w:rPr>
        <w:tab/>
      </w:r>
      <w:r w:rsidR="002F088D" w:rsidRPr="002F088D">
        <w:rPr>
          <w:b/>
        </w:rPr>
        <w:t>ORDER</w:t>
      </w:r>
    </w:p>
    <w:p w:rsidR="00ED1354" w:rsidRPr="00891ADB" w:rsidRDefault="009F3E67" w:rsidP="00891ADB">
      <w:pPr>
        <w:ind w:left="0" w:firstLine="0"/>
        <w:rPr>
          <w:i/>
        </w:rPr>
      </w:pPr>
      <w:r>
        <w:t>[5</w:t>
      </w:r>
      <w:r w:rsidR="00B31939">
        <w:t>3</w:t>
      </w:r>
      <w:r w:rsidR="00ED1354" w:rsidRPr="00ED1354">
        <w:t>]</w:t>
      </w:r>
      <w:r w:rsidR="00ED1354">
        <w:t xml:space="preserve"> </w:t>
      </w:r>
      <w:r w:rsidR="00391386">
        <w:tab/>
      </w:r>
      <w:r w:rsidR="00ED1354">
        <w:t>Flowing from the findings in this judgment, the following order is made:</w:t>
      </w:r>
    </w:p>
    <w:p w:rsidR="00E65265" w:rsidRDefault="00ED1354" w:rsidP="00ED1354">
      <w:pPr>
        <w:spacing w:after="729"/>
        <w:ind w:left="0" w:firstLine="0"/>
      </w:pPr>
      <w:r>
        <w:lastRenderedPageBreak/>
        <w:t xml:space="preserve">             </w:t>
      </w:r>
      <w:r w:rsidR="00E65265">
        <w:t xml:space="preserve">      </w:t>
      </w:r>
      <w:r>
        <w:t xml:space="preserve"> 1. The plaintiff’s claim is dismissed</w:t>
      </w:r>
      <w:r w:rsidR="002F088D">
        <w:t xml:space="preserve">. </w:t>
      </w:r>
    </w:p>
    <w:p w:rsidR="00EF34A5" w:rsidRDefault="00E65265" w:rsidP="00ED1354">
      <w:pPr>
        <w:spacing w:after="729"/>
        <w:ind w:left="0" w:firstLine="0"/>
      </w:pPr>
      <w:r>
        <w:t xml:space="preserve">                   </w:t>
      </w:r>
      <w:r w:rsidR="002F088D">
        <w:t xml:space="preserve"> </w:t>
      </w:r>
      <w:r w:rsidR="007F27E7">
        <w:t>2. There is no order as to costs.</w:t>
      </w:r>
    </w:p>
    <w:p w:rsidR="00391386" w:rsidRDefault="00391386" w:rsidP="00ED1354">
      <w:pPr>
        <w:spacing w:after="729"/>
        <w:ind w:left="0" w:firstLine="0"/>
      </w:pPr>
    </w:p>
    <w:p w:rsidR="00866A3A" w:rsidRPr="00F218F0" w:rsidRDefault="00866A3A" w:rsidP="00866A3A">
      <w:pPr>
        <w:rPr>
          <w:b/>
          <w:szCs w:val="24"/>
        </w:rPr>
      </w:pPr>
      <w:r>
        <w:rPr>
          <w:b/>
          <w:szCs w:val="24"/>
        </w:rPr>
        <w:t>____________________________________</w:t>
      </w:r>
    </w:p>
    <w:p w:rsidR="00866A3A" w:rsidRPr="00F218F0" w:rsidRDefault="00866A3A" w:rsidP="00866A3A">
      <w:pPr>
        <w:rPr>
          <w:b/>
          <w:szCs w:val="24"/>
        </w:rPr>
      </w:pPr>
      <w:r w:rsidRPr="00F218F0">
        <w:rPr>
          <w:b/>
          <w:szCs w:val="24"/>
        </w:rPr>
        <w:t>MPN MBONGWE</w:t>
      </w:r>
    </w:p>
    <w:p w:rsidR="00866A3A" w:rsidRPr="00F218F0" w:rsidRDefault="00866A3A" w:rsidP="00866A3A">
      <w:pPr>
        <w:rPr>
          <w:b/>
          <w:szCs w:val="24"/>
        </w:rPr>
      </w:pPr>
      <w:r w:rsidRPr="00F218F0">
        <w:rPr>
          <w:b/>
          <w:szCs w:val="24"/>
        </w:rPr>
        <w:t>JUDGE OF THE HIGH COURT</w:t>
      </w:r>
    </w:p>
    <w:p w:rsidR="00866A3A" w:rsidRPr="00F218F0" w:rsidRDefault="00866A3A" w:rsidP="00866A3A">
      <w:pPr>
        <w:rPr>
          <w:b/>
          <w:szCs w:val="24"/>
        </w:rPr>
      </w:pPr>
      <w:r w:rsidRPr="00F218F0">
        <w:rPr>
          <w:b/>
          <w:szCs w:val="24"/>
        </w:rPr>
        <w:t>GAUTENG DIVISION, PRETORIA</w:t>
      </w:r>
    </w:p>
    <w:p w:rsidR="00E65265" w:rsidRDefault="00E65265" w:rsidP="00ED1354">
      <w:pPr>
        <w:spacing w:after="729"/>
        <w:ind w:left="0" w:firstLine="0"/>
      </w:pPr>
    </w:p>
    <w:p w:rsidR="00DC2032" w:rsidRDefault="00DC2032" w:rsidP="007F27E7">
      <w:pPr>
        <w:spacing w:after="729"/>
        <w:ind w:left="0" w:firstLine="0"/>
      </w:pPr>
    </w:p>
    <w:p w:rsidR="006D2123" w:rsidRPr="00391386" w:rsidRDefault="0090126E" w:rsidP="007F27E7">
      <w:pPr>
        <w:spacing w:after="729"/>
        <w:ind w:left="0" w:firstLine="0"/>
      </w:pPr>
      <w:r w:rsidRPr="00391386">
        <w:t xml:space="preserve">APPEARANCES </w:t>
      </w:r>
    </w:p>
    <w:p w:rsidR="001C65DC" w:rsidRDefault="001C65DC">
      <w:pPr>
        <w:tabs>
          <w:tab w:val="center" w:pos="4064"/>
        </w:tabs>
        <w:spacing w:line="259" w:lineRule="auto"/>
        <w:ind w:left="-15" w:firstLine="0"/>
        <w:jc w:val="left"/>
      </w:pPr>
      <w:r>
        <w:t xml:space="preserve"> Counsel f</w:t>
      </w:r>
      <w:r w:rsidR="0090126E">
        <w:t xml:space="preserve">or the Plaintiff: </w:t>
      </w:r>
      <w:r>
        <w:t xml:space="preserve">                Mr Maoba, Attorney</w:t>
      </w:r>
      <w:r w:rsidR="0090126E">
        <w:tab/>
        <w:t xml:space="preserve"> </w:t>
      </w:r>
    </w:p>
    <w:p w:rsidR="006D2123" w:rsidRDefault="001C65DC">
      <w:pPr>
        <w:tabs>
          <w:tab w:val="center" w:pos="4064"/>
        </w:tabs>
        <w:spacing w:line="259" w:lineRule="auto"/>
        <w:ind w:left="-15" w:firstLine="0"/>
        <w:jc w:val="left"/>
      </w:pPr>
      <w:r>
        <w:t xml:space="preserve">                                                         with </w:t>
      </w:r>
      <w:r w:rsidR="0090126E">
        <w:t xml:space="preserve">Adv Nosipho Khumalo </w:t>
      </w:r>
    </w:p>
    <w:p w:rsidR="001C65DC" w:rsidRDefault="001C65DC">
      <w:pPr>
        <w:tabs>
          <w:tab w:val="center" w:pos="4064"/>
        </w:tabs>
        <w:spacing w:line="259" w:lineRule="auto"/>
        <w:ind w:left="-15" w:firstLine="0"/>
        <w:jc w:val="left"/>
      </w:pPr>
    </w:p>
    <w:tbl>
      <w:tblPr>
        <w:tblStyle w:val="TableGrid"/>
        <w:tblW w:w="6925" w:type="dxa"/>
        <w:tblInd w:w="0" w:type="dxa"/>
        <w:tblLook w:val="04A0" w:firstRow="1" w:lastRow="0" w:firstColumn="1" w:lastColumn="0" w:noHBand="0" w:noVBand="1"/>
      </w:tblPr>
      <w:tblGrid>
        <w:gridCol w:w="2877"/>
        <w:gridCol w:w="4048"/>
      </w:tblGrid>
      <w:tr w:rsidR="006D2123">
        <w:trPr>
          <w:trHeight w:val="2629"/>
        </w:trPr>
        <w:tc>
          <w:tcPr>
            <w:tcW w:w="2878" w:type="dxa"/>
            <w:tcBorders>
              <w:top w:val="nil"/>
              <w:left w:val="nil"/>
              <w:bottom w:val="nil"/>
              <w:right w:val="nil"/>
            </w:tcBorders>
          </w:tcPr>
          <w:p w:rsidR="007F27E7" w:rsidRDefault="001C65DC" w:rsidP="001C65DC">
            <w:pPr>
              <w:spacing w:after="1532" w:line="259" w:lineRule="auto"/>
              <w:ind w:left="0" w:firstLine="0"/>
              <w:jc w:val="left"/>
            </w:pPr>
            <w:r>
              <w:t xml:space="preserve"> Attorneys for plaintiff</w:t>
            </w:r>
            <w:r w:rsidR="0090126E">
              <w:t xml:space="preserve">: </w:t>
            </w:r>
            <w:r w:rsidR="007F27E7">
              <w:t xml:space="preserve"> </w:t>
            </w:r>
          </w:p>
        </w:tc>
        <w:tc>
          <w:tcPr>
            <w:tcW w:w="4048" w:type="dxa"/>
            <w:tcBorders>
              <w:top w:val="nil"/>
              <w:left w:val="nil"/>
              <w:bottom w:val="nil"/>
              <w:right w:val="nil"/>
            </w:tcBorders>
          </w:tcPr>
          <w:p w:rsidR="006D2123" w:rsidRDefault="0090126E">
            <w:pPr>
              <w:spacing w:after="160" w:line="259" w:lineRule="auto"/>
              <w:ind w:left="0" w:firstLine="0"/>
              <w:jc w:val="left"/>
            </w:pPr>
            <w:r>
              <w:t xml:space="preserve"> </w:t>
            </w:r>
            <w:r w:rsidR="00D167EC">
              <w:t xml:space="preserve">         </w:t>
            </w:r>
            <w:r w:rsidR="007F27E7">
              <w:t xml:space="preserve">  </w:t>
            </w:r>
            <w:r>
              <w:t xml:space="preserve">Maoba Attorneys Inc </w:t>
            </w:r>
          </w:p>
          <w:p w:rsidR="007F27E7" w:rsidRPr="00DC2032" w:rsidRDefault="00D167EC">
            <w:pPr>
              <w:spacing w:after="160" w:line="259" w:lineRule="auto"/>
              <w:ind w:left="0" w:firstLine="0"/>
              <w:jc w:val="left"/>
              <w:rPr>
                <w:b/>
              </w:rPr>
            </w:pPr>
            <w:r>
              <w:t xml:space="preserve">          </w:t>
            </w:r>
            <w:r w:rsidR="007F27E7">
              <w:t xml:space="preserve"> </w:t>
            </w:r>
            <w:r w:rsidR="007F27E7" w:rsidRPr="00D167EC">
              <w:t xml:space="preserve"> </w:t>
            </w:r>
            <w:r w:rsidRPr="00DC2032">
              <w:rPr>
                <w:b/>
              </w:rPr>
              <w:t>PRETORIA</w:t>
            </w:r>
          </w:p>
          <w:p w:rsidR="006D2123" w:rsidRDefault="00D167EC">
            <w:pPr>
              <w:spacing w:after="160" w:line="259" w:lineRule="auto"/>
              <w:ind w:left="0" w:firstLine="0"/>
              <w:jc w:val="left"/>
            </w:pPr>
            <w:r>
              <w:t xml:space="preserve">           </w:t>
            </w:r>
            <w:r w:rsidR="007F27E7">
              <w:t xml:space="preserve"> </w:t>
            </w:r>
            <w:r w:rsidR="0090126E">
              <w:t xml:space="preserve">Email: </w:t>
            </w:r>
            <w:r w:rsidR="007F27E7">
              <w:rPr>
                <w:color w:val="0563C1"/>
                <w:u w:val="single" w:color="0563C1"/>
              </w:rPr>
              <w:t xml:space="preserve"> I</w:t>
            </w:r>
            <w:r w:rsidR="0090126E">
              <w:rPr>
                <w:color w:val="0563C1"/>
                <w:u w:val="single" w:color="0563C1"/>
              </w:rPr>
              <w:t>nfo@maobalaw.co.za</w:t>
            </w:r>
            <w:r w:rsidR="0090126E">
              <w:rPr>
                <w:color w:val="0563C1"/>
              </w:rPr>
              <w:t xml:space="preserve"> </w:t>
            </w:r>
          </w:p>
          <w:p w:rsidR="006D2123" w:rsidRDefault="00D167EC">
            <w:pPr>
              <w:spacing w:after="0" w:line="259" w:lineRule="auto"/>
              <w:ind w:left="0" w:firstLine="0"/>
              <w:jc w:val="left"/>
            </w:pPr>
            <w:r>
              <w:t xml:space="preserve">           </w:t>
            </w:r>
            <w:r w:rsidR="0090126E">
              <w:t xml:space="preserve"> Tel: 012 386 8957 </w:t>
            </w:r>
          </w:p>
        </w:tc>
      </w:tr>
      <w:tr w:rsidR="006D2123">
        <w:trPr>
          <w:trHeight w:val="915"/>
        </w:trPr>
        <w:tc>
          <w:tcPr>
            <w:tcW w:w="2878" w:type="dxa"/>
            <w:tcBorders>
              <w:top w:val="nil"/>
              <w:left w:val="nil"/>
              <w:bottom w:val="nil"/>
              <w:right w:val="nil"/>
            </w:tcBorders>
            <w:vAlign w:val="bottom"/>
          </w:tcPr>
          <w:p w:rsidR="006D2123" w:rsidRDefault="001008DF">
            <w:pPr>
              <w:spacing w:after="0" w:line="259" w:lineRule="auto"/>
              <w:ind w:left="0" w:firstLine="0"/>
              <w:jc w:val="left"/>
            </w:pPr>
            <w:r>
              <w:lastRenderedPageBreak/>
              <w:t>Counsel</w:t>
            </w:r>
            <w:r w:rsidR="001C65DC">
              <w:t xml:space="preserve"> f</w:t>
            </w:r>
            <w:r w:rsidR="0090126E">
              <w:t>or the</w:t>
            </w:r>
            <w:r>
              <w:t xml:space="preserve"> Defendant           </w:t>
            </w:r>
          </w:p>
        </w:tc>
        <w:tc>
          <w:tcPr>
            <w:tcW w:w="4048" w:type="dxa"/>
            <w:tcBorders>
              <w:top w:val="nil"/>
              <w:left w:val="nil"/>
              <w:bottom w:val="nil"/>
              <w:right w:val="nil"/>
            </w:tcBorders>
            <w:vAlign w:val="bottom"/>
          </w:tcPr>
          <w:p w:rsidR="001008DF" w:rsidRDefault="0090126E">
            <w:pPr>
              <w:spacing w:after="0" w:line="259" w:lineRule="auto"/>
              <w:ind w:left="0" w:firstLine="0"/>
              <w:jc w:val="left"/>
            </w:pPr>
            <w:r>
              <w:t xml:space="preserve"> </w:t>
            </w:r>
            <w:r w:rsidR="001C65DC">
              <w:t xml:space="preserve"> </w:t>
            </w:r>
            <w:r w:rsidR="001008DF">
              <w:t xml:space="preserve">        </w:t>
            </w:r>
            <w:r w:rsidR="001C65DC">
              <w:t xml:space="preserve"> </w:t>
            </w:r>
            <w:r>
              <w:t xml:space="preserve">Adv M S Phaswane </w:t>
            </w:r>
          </w:p>
        </w:tc>
      </w:tr>
      <w:tr w:rsidR="001C65DC">
        <w:trPr>
          <w:trHeight w:val="915"/>
        </w:trPr>
        <w:tc>
          <w:tcPr>
            <w:tcW w:w="2878" w:type="dxa"/>
            <w:tcBorders>
              <w:top w:val="nil"/>
              <w:left w:val="nil"/>
              <w:bottom w:val="nil"/>
              <w:right w:val="nil"/>
            </w:tcBorders>
            <w:vAlign w:val="bottom"/>
          </w:tcPr>
          <w:p w:rsidR="001C65DC" w:rsidRDefault="001C65DC">
            <w:pPr>
              <w:spacing w:after="0" w:line="259" w:lineRule="auto"/>
              <w:ind w:left="0" w:firstLine="0"/>
              <w:jc w:val="left"/>
            </w:pPr>
          </w:p>
        </w:tc>
        <w:tc>
          <w:tcPr>
            <w:tcW w:w="4048" w:type="dxa"/>
            <w:tcBorders>
              <w:top w:val="nil"/>
              <w:left w:val="nil"/>
              <w:bottom w:val="nil"/>
              <w:right w:val="nil"/>
            </w:tcBorders>
            <w:vAlign w:val="bottom"/>
          </w:tcPr>
          <w:p w:rsidR="001C65DC" w:rsidRDefault="001C65DC">
            <w:pPr>
              <w:spacing w:after="0" w:line="259" w:lineRule="auto"/>
              <w:ind w:left="0" w:firstLine="0"/>
              <w:jc w:val="left"/>
            </w:pPr>
          </w:p>
        </w:tc>
      </w:tr>
      <w:tr w:rsidR="006D2123">
        <w:trPr>
          <w:trHeight w:val="457"/>
        </w:trPr>
        <w:tc>
          <w:tcPr>
            <w:tcW w:w="2878" w:type="dxa"/>
            <w:tcBorders>
              <w:top w:val="nil"/>
              <w:left w:val="nil"/>
              <w:bottom w:val="nil"/>
              <w:right w:val="nil"/>
            </w:tcBorders>
            <w:vAlign w:val="center"/>
          </w:tcPr>
          <w:p w:rsidR="006D2123" w:rsidRDefault="001008DF">
            <w:pPr>
              <w:spacing w:after="0" w:line="259" w:lineRule="auto"/>
              <w:ind w:left="0" w:firstLine="0"/>
              <w:jc w:val="left"/>
            </w:pPr>
            <w:r>
              <w:t>Attorney</w:t>
            </w:r>
            <w:r w:rsidR="001C65DC">
              <w:t xml:space="preserve"> for the</w:t>
            </w:r>
            <w:r>
              <w:t xml:space="preserve"> Defendant </w:t>
            </w:r>
            <w:r w:rsidR="0090126E">
              <w:t xml:space="preserve"> </w:t>
            </w:r>
          </w:p>
        </w:tc>
        <w:tc>
          <w:tcPr>
            <w:tcW w:w="4048" w:type="dxa"/>
            <w:tcBorders>
              <w:top w:val="nil"/>
              <w:left w:val="nil"/>
              <w:bottom w:val="nil"/>
              <w:right w:val="nil"/>
            </w:tcBorders>
            <w:vAlign w:val="center"/>
          </w:tcPr>
          <w:p w:rsidR="006D2123" w:rsidRDefault="001008DF">
            <w:pPr>
              <w:spacing w:after="0" w:line="259" w:lineRule="auto"/>
              <w:ind w:left="0" w:firstLine="0"/>
              <w:jc w:val="left"/>
            </w:pPr>
            <w:r>
              <w:t xml:space="preserve">         </w:t>
            </w:r>
            <w:r w:rsidR="008E7243">
              <w:t xml:space="preserve">    </w:t>
            </w:r>
            <w:r w:rsidR="00DC2032">
              <w:t xml:space="preserve"> </w:t>
            </w:r>
            <w:r>
              <w:t xml:space="preserve">Office of the State Attorney, </w:t>
            </w:r>
            <w:r w:rsidR="0090126E">
              <w:t xml:space="preserve"> </w:t>
            </w:r>
          </w:p>
        </w:tc>
      </w:tr>
      <w:tr w:rsidR="006D2123">
        <w:trPr>
          <w:trHeight w:val="341"/>
        </w:trPr>
        <w:tc>
          <w:tcPr>
            <w:tcW w:w="2878" w:type="dxa"/>
            <w:tcBorders>
              <w:top w:val="nil"/>
              <w:left w:val="nil"/>
              <w:bottom w:val="nil"/>
              <w:right w:val="nil"/>
            </w:tcBorders>
            <w:vAlign w:val="bottom"/>
          </w:tcPr>
          <w:p w:rsidR="006D2123" w:rsidRDefault="006D2123">
            <w:pPr>
              <w:spacing w:after="0" w:line="259" w:lineRule="auto"/>
              <w:ind w:left="0" w:firstLine="0"/>
              <w:jc w:val="left"/>
            </w:pPr>
          </w:p>
        </w:tc>
        <w:tc>
          <w:tcPr>
            <w:tcW w:w="4048" w:type="dxa"/>
            <w:tcBorders>
              <w:top w:val="nil"/>
              <w:left w:val="nil"/>
              <w:bottom w:val="nil"/>
              <w:right w:val="nil"/>
            </w:tcBorders>
            <w:vAlign w:val="bottom"/>
          </w:tcPr>
          <w:p w:rsidR="006D2123" w:rsidRPr="00D167EC" w:rsidRDefault="0090126E" w:rsidP="001008DF">
            <w:pPr>
              <w:spacing w:after="0" w:line="259" w:lineRule="auto"/>
              <w:ind w:left="0" w:firstLine="0"/>
              <w:rPr>
                <w:b/>
              </w:rPr>
            </w:pPr>
            <w:r w:rsidRPr="00D167EC">
              <w:rPr>
                <w:b/>
              </w:rPr>
              <w:t xml:space="preserve"> </w:t>
            </w:r>
            <w:r w:rsidR="001008DF" w:rsidRPr="00D167EC">
              <w:rPr>
                <w:b/>
              </w:rPr>
              <w:t xml:space="preserve">        </w:t>
            </w:r>
            <w:r w:rsidR="008E7243">
              <w:rPr>
                <w:b/>
              </w:rPr>
              <w:t xml:space="preserve">     </w:t>
            </w:r>
            <w:r w:rsidR="00D167EC" w:rsidRPr="00D167EC">
              <w:rPr>
                <w:b/>
              </w:rPr>
              <w:t>PRETORIA</w:t>
            </w:r>
          </w:p>
        </w:tc>
      </w:tr>
    </w:tbl>
    <w:p w:rsidR="001C4C8A" w:rsidRDefault="001E7BC7" w:rsidP="001008DF">
      <w:pPr>
        <w:spacing w:after="574" w:line="259" w:lineRule="auto"/>
        <w:ind w:left="0" w:right="282" w:firstLine="0"/>
      </w:pPr>
      <w:r>
        <w:t xml:space="preserve"> </w:t>
      </w:r>
      <w:r w:rsidR="001008DF">
        <w:t xml:space="preserve">                   </w:t>
      </w:r>
      <w:r w:rsidR="00D167EC">
        <w:t xml:space="preserve">                              </w:t>
      </w:r>
      <w:r w:rsidR="001008DF">
        <w:t xml:space="preserve"> </w:t>
      </w:r>
      <w:r w:rsidR="008E7243">
        <w:t xml:space="preserve">       </w:t>
      </w:r>
      <w:r w:rsidR="001008DF">
        <w:t>Email:</w:t>
      </w:r>
      <w:r w:rsidR="001008DF" w:rsidRPr="001008DF">
        <w:rPr>
          <w:color w:val="0563C1"/>
        </w:rPr>
        <w:t xml:space="preserve">Msphaswane@law.co.za </w:t>
      </w:r>
      <w:r w:rsidR="001008DF" w:rsidRPr="001008DF">
        <w:t xml:space="preserve">/  </w:t>
      </w:r>
      <w:r w:rsidR="001C4C8A">
        <w:t xml:space="preserve">  </w:t>
      </w:r>
    </w:p>
    <w:p w:rsidR="001E7BC7" w:rsidRPr="001008DF" w:rsidRDefault="001C4C8A" w:rsidP="001008DF">
      <w:pPr>
        <w:spacing w:after="574" w:line="259" w:lineRule="auto"/>
        <w:ind w:left="0" w:right="282" w:firstLine="0"/>
      </w:pPr>
      <w:r>
        <w:t xml:space="preserve">                                                          </w:t>
      </w:r>
      <w:r w:rsidR="001008DF" w:rsidRPr="001008DF">
        <w:rPr>
          <w:color w:val="0563C1"/>
        </w:rPr>
        <w:t>Tshif650i@gmail.com</w:t>
      </w:r>
    </w:p>
    <w:p w:rsidR="006D2123" w:rsidRDefault="0090126E" w:rsidP="00E440D5">
      <w:pPr>
        <w:spacing w:after="5187" w:line="265" w:lineRule="auto"/>
        <w:ind w:left="0" w:firstLine="0"/>
        <w:jc w:val="left"/>
      </w:pPr>
      <w:r w:rsidRPr="008E7243">
        <w:t>THIS JUDGMENT WAS ELECTRONICALLY TRANSM</w:t>
      </w:r>
      <w:r w:rsidR="004D2496" w:rsidRPr="008E7243">
        <w:t xml:space="preserve">ITTED TO THE PARTIES </w:t>
      </w:r>
      <w:r w:rsidR="00414F4B" w:rsidRPr="008E7243">
        <w:t xml:space="preserve">   ON 05 JUNE 2023. </w:t>
      </w:r>
    </w:p>
    <w:sectPr w:rsidR="006D2123">
      <w:headerReference w:type="even" r:id="rId9"/>
      <w:headerReference w:type="default" r:id="rId10"/>
      <w:footerReference w:type="even" r:id="rId11"/>
      <w:footerReference w:type="default" r:id="rId12"/>
      <w:headerReference w:type="first" r:id="rId13"/>
      <w:footerReference w:type="first" r:id="rId14"/>
      <w:pgSz w:w="11899" w:h="16858"/>
      <w:pgMar w:top="1469" w:right="1443" w:bottom="1478" w:left="1439" w:header="72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070" w:rsidRDefault="002F5070">
      <w:pPr>
        <w:spacing w:after="0" w:line="240" w:lineRule="auto"/>
      </w:pPr>
      <w:r>
        <w:separator/>
      </w:r>
    </w:p>
  </w:endnote>
  <w:endnote w:type="continuationSeparator" w:id="0">
    <w:p w:rsidR="002F5070" w:rsidRDefault="002F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DF" w:rsidRDefault="001008DF">
    <w:pPr>
      <w:spacing w:after="0" w:line="259" w:lineRule="auto"/>
      <w:ind w:left="0" w:firstLine="0"/>
      <w:jc w:val="right"/>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DF" w:rsidRDefault="001008DF">
    <w:pPr>
      <w:spacing w:after="0" w:line="259" w:lineRule="auto"/>
      <w:ind w:left="0" w:firstLine="0"/>
      <w:jc w:val="right"/>
    </w:pPr>
    <w:r>
      <w:rPr>
        <w:rFonts w:ascii="Calibri" w:eastAsia="Calibri" w:hAnsi="Calibri" w:cs="Calibri"/>
        <w:sz w:val="22"/>
      </w:rPr>
      <w:t xml:space="preserve"> </w:t>
    </w:r>
    <w:r>
      <w:fldChar w:fldCharType="begin"/>
    </w:r>
    <w:r>
      <w:instrText xml:space="preserve"> PAGE   \* MERGEFORMAT </w:instrText>
    </w:r>
    <w:r>
      <w:fldChar w:fldCharType="separate"/>
    </w:r>
    <w:r w:rsidR="00920DD9" w:rsidRPr="00920DD9">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DF" w:rsidRDefault="001008DF">
    <w:pPr>
      <w:spacing w:after="0" w:line="259" w:lineRule="auto"/>
      <w:ind w:left="0" w:firstLine="0"/>
      <w:jc w:val="right"/>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070" w:rsidRDefault="002F5070">
      <w:pPr>
        <w:spacing w:after="0" w:line="240" w:lineRule="auto"/>
      </w:pPr>
      <w:r>
        <w:separator/>
      </w:r>
    </w:p>
  </w:footnote>
  <w:footnote w:type="continuationSeparator" w:id="0">
    <w:p w:rsidR="002F5070" w:rsidRDefault="002F5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DF" w:rsidRDefault="001008DF">
    <w:r>
      <w:rPr>
        <w:rFonts w:ascii="Calibri" w:eastAsia="Calibri" w:hAnsi="Calibri" w:cs="Calibri"/>
        <w:noProof/>
        <w:sz w:val="22"/>
        <w:lang w:val="en-US" w:eastAsia="en-US"/>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5992" cy="10697110"/>
              <wp:effectExtent l="0" t="0" r="0" b="0"/>
              <wp:wrapNone/>
              <wp:docPr id="48762" name="Group 48762"/>
              <wp:cNvGraphicFramePr/>
              <a:graphic xmlns:a="http://schemas.openxmlformats.org/drawingml/2006/main">
                <a:graphicData uri="http://schemas.microsoft.com/office/word/2010/wordprocessingGroup">
                  <wpg:wgp>
                    <wpg:cNvGrpSpPr/>
                    <wpg:grpSpPr>
                      <a:xfrm>
                        <a:off x="0" y="0"/>
                        <a:ext cx="7555992" cy="10697110"/>
                        <a:chOff x="0" y="0"/>
                        <a:chExt cx="7555992" cy="10697110"/>
                      </a:xfrm>
                    </wpg:grpSpPr>
                    <wps:wsp>
                      <wps:cNvPr id="49033" name="Shape 49033"/>
                      <wps:cNvSpPr/>
                      <wps:spPr>
                        <a:xfrm>
                          <a:off x="0" y="0"/>
                          <a:ext cx="7555992" cy="10697110"/>
                        </a:xfrm>
                        <a:custGeom>
                          <a:avLst/>
                          <a:gdLst/>
                          <a:ahLst/>
                          <a:cxnLst/>
                          <a:rect l="0" t="0" r="0" b="0"/>
                          <a:pathLst>
                            <a:path w="7555992" h="10697110">
                              <a:moveTo>
                                <a:pt x="0" y="0"/>
                              </a:moveTo>
                              <a:lnTo>
                                <a:pt x="7555992" y="0"/>
                              </a:lnTo>
                              <a:lnTo>
                                <a:pt x="7555992" y="10697110"/>
                              </a:lnTo>
                              <a:lnTo>
                                <a:pt x="0" y="10697110"/>
                              </a:lnTo>
                              <a:lnTo>
                                <a:pt x="0" y="0"/>
                              </a:lnTo>
                            </a:path>
                          </a:pathLst>
                        </a:custGeom>
                        <a:ln w="0" cap="flat">
                          <a:miter lim="127000"/>
                        </a:ln>
                      </wps:spPr>
                      <wps:style>
                        <a:lnRef idx="0">
                          <a:srgbClr val="000000">
                            <a:alpha val="0"/>
                          </a:srgbClr>
                        </a:lnRef>
                        <a:fillRef idx="1">
                          <a:srgbClr val="F9FBFD"/>
                        </a:fillRef>
                        <a:effectRef idx="0">
                          <a:scrgbClr r="0" g="0" b="0"/>
                        </a:effectRef>
                        <a:fontRef idx="none"/>
                      </wps:style>
                      <wps:bodyPr/>
                    </wps:wsp>
                    <wps:wsp>
                      <wps:cNvPr id="49034" name="Shape 49034"/>
                      <wps:cNvSpPr/>
                      <wps:spPr>
                        <a:xfrm>
                          <a:off x="0" y="0"/>
                          <a:ext cx="7555992" cy="10687592"/>
                        </a:xfrm>
                        <a:custGeom>
                          <a:avLst/>
                          <a:gdLst/>
                          <a:ahLst/>
                          <a:cxnLst/>
                          <a:rect l="0" t="0" r="0" b="0"/>
                          <a:pathLst>
                            <a:path w="7555992" h="10687592">
                              <a:moveTo>
                                <a:pt x="0" y="0"/>
                              </a:moveTo>
                              <a:lnTo>
                                <a:pt x="7555992" y="0"/>
                              </a:lnTo>
                              <a:lnTo>
                                <a:pt x="7555992" y="10687592"/>
                              </a:lnTo>
                              <a:lnTo>
                                <a:pt x="0" y="106875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cx1="http://schemas.microsoft.com/office/drawing/2015/9/8/chartex" xmlns:w16se="http://schemas.microsoft.com/office/word/2015/wordml/symex" xmlns:cx="http://schemas.microsoft.com/office/drawing/2014/chartex">
          <w:pict>
            <v:group id="Group 48762" style="width:594.96pt;height:842.292pt;position:absolute;z-index:-2147483648;mso-position-horizontal-relative:page;mso-position-horizontal:absolute;margin-left:0pt;mso-position-vertical-relative:page;margin-top:0pt;" coordsize="75559,106971">
              <v:shape id="Shape 49035" style="position:absolute;width:75559;height:106971;left:0;top:0;" coordsize="7555992,10697110" path="m0,0l7555992,0l7555992,10697110l0,10697110l0,0">
                <v:stroke weight="0pt" endcap="flat" joinstyle="miter" miterlimit="10" on="false" color="#000000" opacity="0"/>
                <v:fill on="true" color="#f9fbfd"/>
              </v:shape>
              <v:shape id="Shape 49036" style="position:absolute;width:75559;height:106875;left:0;top:0;" coordsize="7555992,10687592" path="m0,0l7555992,0l7555992,10687592l0,10687592l0,0">
                <v:stroke weight="0pt" endcap="flat" joinstyle="miter" miterlimit="10" on="false" color="#000000" opacity="0"/>
                <v:fill on="true" color="#fffff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DF" w:rsidRDefault="001008DF">
    <w:r>
      <w:rPr>
        <w:rFonts w:ascii="Calibri" w:eastAsia="Calibri" w:hAnsi="Calibri" w:cs="Calibri"/>
        <w:noProof/>
        <w:sz w:val="22"/>
        <w:lang w:val="en-US" w:eastAsia="en-US"/>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5992" cy="10697110"/>
              <wp:effectExtent l="0" t="0" r="0" b="0"/>
              <wp:wrapNone/>
              <wp:docPr id="48750" name="Group 48750"/>
              <wp:cNvGraphicFramePr/>
              <a:graphic xmlns:a="http://schemas.openxmlformats.org/drawingml/2006/main">
                <a:graphicData uri="http://schemas.microsoft.com/office/word/2010/wordprocessingGroup">
                  <wpg:wgp>
                    <wpg:cNvGrpSpPr/>
                    <wpg:grpSpPr>
                      <a:xfrm>
                        <a:off x="0" y="0"/>
                        <a:ext cx="7555992" cy="10697110"/>
                        <a:chOff x="0" y="0"/>
                        <a:chExt cx="7555992" cy="10697110"/>
                      </a:xfrm>
                    </wpg:grpSpPr>
                    <wps:wsp>
                      <wps:cNvPr id="49029" name="Shape 49029"/>
                      <wps:cNvSpPr/>
                      <wps:spPr>
                        <a:xfrm>
                          <a:off x="0" y="0"/>
                          <a:ext cx="7555992" cy="10697110"/>
                        </a:xfrm>
                        <a:custGeom>
                          <a:avLst/>
                          <a:gdLst/>
                          <a:ahLst/>
                          <a:cxnLst/>
                          <a:rect l="0" t="0" r="0" b="0"/>
                          <a:pathLst>
                            <a:path w="7555992" h="10697110">
                              <a:moveTo>
                                <a:pt x="0" y="0"/>
                              </a:moveTo>
                              <a:lnTo>
                                <a:pt x="7555992" y="0"/>
                              </a:lnTo>
                              <a:lnTo>
                                <a:pt x="7555992" y="10697110"/>
                              </a:lnTo>
                              <a:lnTo>
                                <a:pt x="0" y="10697110"/>
                              </a:lnTo>
                              <a:lnTo>
                                <a:pt x="0" y="0"/>
                              </a:lnTo>
                            </a:path>
                          </a:pathLst>
                        </a:custGeom>
                        <a:ln w="0" cap="flat">
                          <a:miter lim="127000"/>
                        </a:ln>
                      </wps:spPr>
                      <wps:style>
                        <a:lnRef idx="0">
                          <a:srgbClr val="000000">
                            <a:alpha val="0"/>
                          </a:srgbClr>
                        </a:lnRef>
                        <a:fillRef idx="1">
                          <a:srgbClr val="F9FBFD"/>
                        </a:fillRef>
                        <a:effectRef idx="0">
                          <a:scrgbClr r="0" g="0" b="0"/>
                        </a:effectRef>
                        <a:fontRef idx="none"/>
                      </wps:style>
                      <wps:bodyPr/>
                    </wps:wsp>
                    <wps:wsp>
                      <wps:cNvPr id="49030" name="Shape 49030"/>
                      <wps:cNvSpPr/>
                      <wps:spPr>
                        <a:xfrm>
                          <a:off x="0" y="0"/>
                          <a:ext cx="7555992" cy="10687592"/>
                        </a:xfrm>
                        <a:custGeom>
                          <a:avLst/>
                          <a:gdLst/>
                          <a:ahLst/>
                          <a:cxnLst/>
                          <a:rect l="0" t="0" r="0" b="0"/>
                          <a:pathLst>
                            <a:path w="7555992" h="10687592">
                              <a:moveTo>
                                <a:pt x="0" y="0"/>
                              </a:moveTo>
                              <a:lnTo>
                                <a:pt x="7555992" y="0"/>
                              </a:lnTo>
                              <a:lnTo>
                                <a:pt x="7555992" y="10687592"/>
                              </a:lnTo>
                              <a:lnTo>
                                <a:pt x="0" y="106875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cx1="http://schemas.microsoft.com/office/drawing/2015/9/8/chartex" xmlns:w16se="http://schemas.microsoft.com/office/word/2015/wordml/symex" xmlns:cx="http://schemas.microsoft.com/office/drawing/2014/chartex">
          <w:pict>
            <v:group id="Group 48750" style="width:594.96pt;height:842.292pt;position:absolute;z-index:-2147483648;mso-position-horizontal-relative:page;mso-position-horizontal:absolute;margin-left:0pt;mso-position-vertical-relative:page;margin-top:0pt;" coordsize="75559,106971">
              <v:shape id="Shape 49031" style="position:absolute;width:75559;height:106971;left:0;top:0;" coordsize="7555992,10697110" path="m0,0l7555992,0l7555992,10697110l0,10697110l0,0">
                <v:stroke weight="0pt" endcap="flat" joinstyle="miter" miterlimit="10" on="false" color="#000000" opacity="0"/>
                <v:fill on="true" color="#f9fbfd"/>
              </v:shape>
              <v:shape id="Shape 49032" style="position:absolute;width:75559;height:106875;left:0;top:0;" coordsize="7555992,10687592" path="m0,0l7555992,0l7555992,10687592l0,10687592l0,0">
                <v:stroke weight="0pt" endcap="flat" joinstyle="miter" miterlimit="10" on="false" color="#000000" opacity="0"/>
                <v:fill on="true" color="#fffff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DF" w:rsidRDefault="001008DF">
    <w:r>
      <w:rPr>
        <w:rFonts w:ascii="Calibri" w:eastAsia="Calibri" w:hAnsi="Calibri" w:cs="Calibri"/>
        <w:noProof/>
        <w:sz w:val="22"/>
        <w:lang w:val="en-US" w:eastAsia="en-US"/>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5992" cy="10697110"/>
              <wp:effectExtent l="0" t="0" r="0" b="0"/>
              <wp:wrapNone/>
              <wp:docPr id="48738" name="Group 48738"/>
              <wp:cNvGraphicFramePr/>
              <a:graphic xmlns:a="http://schemas.openxmlformats.org/drawingml/2006/main">
                <a:graphicData uri="http://schemas.microsoft.com/office/word/2010/wordprocessingGroup">
                  <wpg:wgp>
                    <wpg:cNvGrpSpPr/>
                    <wpg:grpSpPr>
                      <a:xfrm>
                        <a:off x="0" y="0"/>
                        <a:ext cx="7555992" cy="10697110"/>
                        <a:chOff x="0" y="0"/>
                        <a:chExt cx="7555992" cy="10697110"/>
                      </a:xfrm>
                    </wpg:grpSpPr>
                    <wps:wsp>
                      <wps:cNvPr id="49025" name="Shape 49025"/>
                      <wps:cNvSpPr/>
                      <wps:spPr>
                        <a:xfrm>
                          <a:off x="0" y="0"/>
                          <a:ext cx="7555992" cy="10697110"/>
                        </a:xfrm>
                        <a:custGeom>
                          <a:avLst/>
                          <a:gdLst/>
                          <a:ahLst/>
                          <a:cxnLst/>
                          <a:rect l="0" t="0" r="0" b="0"/>
                          <a:pathLst>
                            <a:path w="7555992" h="10697110">
                              <a:moveTo>
                                <a:pt x="0" y="0"/>
                              </a:moveTo>
                              <a:lnTo>
                                <a:pt x="7555992" y="0"/>
                              </a:lnTo>
                              <a:lnTo>
                                <a:pt x="7555992" y="10697110"/>
                              </a:lnTo>
                              <a:lnTo>
                                <a:pt x="0" y="10697110"/>
                              </a:lnTo>
                              <a:lnTo>
                                <a:pt x="0" y="0"/>
                              </a:lnTo>
                            </a:path>
                          </a:pathLst>
                        </a:custGeom>
                        <a:ln w="0" cap="flat">
                          <a:miter lim="127000"/>
                        </a:ln>
                      </wps:spPr>
                      <wps:style>
                        <a:lnRef idx="0">
                          <a:srgbClr val="000000">
                            <a:alpha val="0"/>
                          </a:srgbClr>
                        </a:lnRef>
                        <a:fillRef idx="1">
                          <a:srgbClr val="F9FBFD"/>
                        </a:fillRef>
                        <a:effectRef idx="0">
                          <a:scrgbClr r="0" g="0" b="0"/>
                        </a:effectRef>
                        <a:fontRef idx="none"/>
                      </wps:style>
                      <wps:bodyPr/>
                    </wps:wsp>
                    <wps:wsp>
                      <wps:cNvPr id="49026" name="Shape 49026"/>
                      <wps:cNvSpPr/>
                      <wps:spPr>
                        <a:xfrm>
                          <a:off x="0" y="0"/>
                          <a:ext cx="7555992" cy="10687592"/>
                        </a:xfrm>
                        <a:custGeom>
                          <a:avLst/>
                          <a:gdLst/>
                          <a:ahLst/>
                          <a:cxnLst/>
                          <a:rect l="0" t="0" r="0" b="0"/>
                          <a:pathLst>
                            <a:path w="7555992" h="10687592">
                              <a:moveTo>
                                <a:pt x="0" y="0"/>
                              </a:moveTo>
                              <a:lnTo>
                                <a:pt x="7555992" y="0"/>
                              </a:lnTo>
                              <a:lnTo>
                                <a:pt x="7555992" y="10687592"/>
                              </a:lnTo>
                              <a:lnTo>
                                <a:pt x="0" y="106875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cx1="http://schemas.microsoft.com/office/drawing/2015/9/8/chartex" xmlns:w16se="http://schemas.microsoft.com/office/word/2015/wordml/symex" xmlns:cx="http://schemas.microsoft.com/office/drawing/2014/chartex">
          <w:pict>
            <v:group id="Group 48738" style="width:594.96pt;height:842.292pt;position:absolute;z-index:-2147483648;mso-position-horizontal-relative:page;mso-position-horizontal:absolute;margin-left:0pt;mso-position-vertical-relative:page;margin-top:0pt;" coordsize="75559,106971">
              <v:shape id="Shape 49027" style="position:absolute;width:75559;height:106971;left:0;top:0;" coordsize="7555992,10697110" path="m0,0l7555992,0l7555992,10697110l0,10697110l0,0">
                <v:stroke weight="0pt" endcap="flat" joinstyle="miter" miterlimit="10" on="false" color="#000000" opacity="0"/>
                <v:fill on="true" color="#f9fbfd"/>
              </v:shape>
              <v:shape id="Shape 49028" style="position:absolute;width:75559;height:106875;left:0;top:0;" coordsize="7555992,10687592" path="m0,0l7555992,0l7555992,10687592l0,10687592l0,0">
                <v:stroke weight="0pt" endcap="flat" joinstyle="miter" miterlimit="10" on="false" color="#000000" opacity="0"/>
                <v:fill on="true" color="#fffff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6066"/>
    <w:multiLevelType w:val="hybridMultilevel"/>
    <w:tmpl w:val="E4AC2122"/>
    <w:lvl w:ilvl="0" w:tplc="75886CD0">
      <w:start w:val="2"/>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nsid w:val="015727F2"/>
    <w:multiLevelType w:val="hybridMultilevel"/>
    <w:tmpl w:val="03DC4FB4"/>
    <w:lvl w:ilvl="0" w:tplc="621C426E">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D62BD4"/>
    <w:multiLevelType w:val="hybridMultilevel"/>
    <w:tmpl w:val="C90C5BE8"/>
    <w:lvl w:ilvl="0" w:tplc="81B21C2A">
      <w:start w:val="3"/>
      <w:numFmt w:val="lowerLetter"/>
      <w:lvlText w:val="(%1)"/>
      <w:lvlJc w:val="left"/>
      <w:pPr>
        <w:ind w:left="2190" w:hanging="360"/>
      </w:pPr>
      <w:rPr>
        <w:rFonts w:hint="default"/>
      </w:rPr>
    </w:lvl>
    <w:lvl w:ilvl="1" w:tplc="1C090019" w:tentative="1">
      <w:start w:val="1"/>
      <w:numFmt w:val="lowerLetter"/>
      <w:lvlText w:val="%2."/>
      <w:lvlJc w:val="left"/>
      <w:pPr>
        <w:ind w:left="2910" w:hanging="360"/>
      </w:pPr>
    </w:lvl>
    <w:lvl w:ilvl="2" w:tplc="1C09001B" w:tentative="1">
      <w:start w:val="1"/>
      <w:numFmt w:val="lowerRoman"/>
      <w:lvlText w:val="%3."/>
      <w:lvlJc w:val="right"/>
      <w:pPr>
        <w:ind w:left="3630" w:hanging="180"/>
      </w:pPr>
    </w:lvl>
    <w:lvl w:ilvl="3" w:tplc="1C09000F" w:tentative="1">
      <w:start w:val="1"/>
      <w:numFmt w:val="decimal"/>
      <w:lvlText w:val="%4."/>
      <w:lvlJc w:val="left"/>
      <w:pPr>
        <w:ind w:left="4350" w:hanging="360"/>
      </w:pPr>
    </w:lvl>
    <w:lvl w:ilvl="4" w:tplc="1C090019" w:tentative="1">
      <w:start w:val="1"/>
      <w:numFmt w:val="lowerLetter"/>
      <w:lvlText w:val="%5."/>
      <w:lvlJc w:val="left"/>
      <w:pPr>
        <w:ind w:left="5070" w:hanging="360"/>
      </w:pPr>
    </w:lvl>
    <w:lvl w:ilvl="5" w:tplc="1C09001B" w:tentative="1">
      <w:start w:val="1"/>
      <w:numFmt w:val="lowerRoman"/>
      <w:lvlText w:val="%6."/>
      <w:lvlJc w:val="right"/>
      <w:pPr>
        <w:ind w:left="5790" w:hanging="180"/>
      </w:pPr>
    </w:lvl>
    <w:lvl w:ilvl="6" w:tplc="1C09000F" w:tentative="1">
      <w:start w:val="1"/>
      <w:numFmt w:val="decimal"/>
      <w:lvlText w:val="%7."/>
      <w:lvlJc w:val="left"/>
      <w:pPr>
        <w:ind w:left="6510" w:hanging="360"/>
      </w:pPr>
    </w:lvl>
    <w:lvl w:ilvl="7" w:tplc="1C090019" w:tentative="1">
      <w:start w:val="1"/>
      <w:numFmt w:val="lowerLetter"/>
      <w:lvlText w:val="%8."/>
      <w:lvlJc w:val="left"/>
      <w:pPr>
        <w:ind w:left="7230" w:hanging="360"/>
      </w:pPr>
    </w:lvl>
    <w:lvl w:ilvl="8" w:tplc="1C09001B" w:tentative="1">
      <w:start w:val="1"/>
      <w:numFmt w:val="lowerRoman"/>
      <w:lvlText w:val="%9."/>
      <w:lvlJc w:val="right"/>
      <w:pPr>
        <w:ind w:left="7950" w:hanging="180"/>
      </w:pPr>
    </w:lvl>
  </w:abstractNum>
  <w:abstractNum w:abstractNumId="3">
    <w:nsid w:val="0D505773"/>
    <w:multiLevelType w:val="multilevel"/>
    <w:tmpl w:val="36BE6478"/>
    <w:lvl w:ilvl="0">
      <w:start w:val="4"/>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4">
    <w:nsid w:val="0D603CA1"/>
    <w:multiLevelType w:val="hybridMultilevel"/>
    <w:tmpl w:val="430A58BE"/>
    <w:lvl w:ilvl="0" w:tplc="C85AA05E">
      <w:start w:val="2"/>
      <w:numFmt w:val="decimal"/>
      <w:lvlText w:val="[%1]"/>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444E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D0A1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981C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8C49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D6AE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C49D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883A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A0DD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1C7F61AD"/>
    <w:multiLevelType w:val="hybridMultilevel"/>
    <w:tmpl w:val="7E88C758"/>
    <w:lvl w:ilvl="0" w:tplc="9D567D68">
      <w:start w:val="1"/>
      <w:numFmt w:val="lowerLetter"/>
      <w:lvlText w:val="(%1)"/>
      <w:lvlJc w:val="left"/>
      <w:pPr>
        <w:ind w:left="1695" w:hanging="360"/>
      </w:pPr>
      <w:rPr>
        <w:rFonts w:hint="default"/>
      </w:rPr>
    </w:lvl>
    <w:lvl w:ilvl="1" w:tplc="1C090019">
      <w:start w:val="1"/>
      <w:numFmt w:val="lowerLetter"/>
      <w:lvlText w:val="%2."/>
      <w:lvlJc w:val="left"/>
      <w:pPr>
        <w:ind w:left="2415" w:hanging="360"/>
      </w:pPr>
    </w:lvl>
    <w:lvl w:ilvl="2" w:tplc="1C09001B" w:tentative="1">
      <w:start w:val="1"/>
      <w:numFmt w:val="lowerRoman"/>
      <w:lvlText w:val="%3."/>
      <w:lvlJc w:val="right"/>
      <w:pPr>
        <w:ind w:left="3135" w:hanging="180"/>
      </w:pPr>
    </w:lvl>
    <w:lvl w:ilvl="3" w:tplc="1C09000F" w:tentative="1">
      <w:start w:val="1"/>
      <w:numFmt w:val="decimal"/>
      <w:lvlText w:val="%4."/>
      <w:lvlJc w:val="left"/>
      <w:pPr>
        <w:ind w:left="3855" w:hanging="360"/>
      </w:pPr>
    </w:lvl>
    <w:lvl w:ilvl="4" w:tplc="1C090019" w:tentative="1">
      <w:start w:val="1"/>
      <w:numFmt w:val="lowerLetter"/>
      <w:lvlText w:val="%5."/>
      <w:lvlJc w:val="left"/>
      <w:pPr>
        <w:ind w:left="4575" w:hanging="360"/>
      </w:pPr>
    </w:lvl>
    <w:lvl w:ilvl="5" w:tplc="1C09001B" w:tentative="1">
      <w:start w:val="1"/>
      <w:numFmt w:val="lowerRoman"/>
      <w:lvlText w:val="%6."/>
      <w:lvlJc w:val="right"/>
      <w:pPr>
        <w:ind w:left="5295" w:hanging="180"/>
      </w:pPr>
    </w:lvl>
    <w:lvl w:ilvl="6" w:tplc="1C09000F" w:tentative="1">
      <w:start w:val="1"/>
      <w:numFmt w:val="decimal"/>
      <w:lvlText w:val="%7."/>
      <w:lvlJc w:val="left"/>
      <w:pPr>
        <w:ind w:left="6015" w:hanging="360"/>
      </w:pPr>
    </w:lvl>
    <w:lvl w:ilvl="7" w:tplc="1C090019" w:tentative="1">
      <w:start w:val="1"/>
      <w:numFmt w:val="lowerLetter"/>
      <w:lvlText w:val="%8."/>
      <w:lvlJc w:val="left"/>
      <w:pPr>
        <w:ind w:left="6735" w:hanging="360"/>
      </w:pPr>
    </w:lvl>
    <w:lvl w:ilvl="8" w:tplc="1C09001B" w:tentative="1">
      <w:start w:val="1"/>
      <w:numFmt w:val="lowerRoman"/>
      <w:lvlText w:val="%9."/>
      <w:lvlJc w:val="right"/>
      <w:pPr>
        <w:ind w:left="7455" w:hanging="180"/>
      </w:pPr>
    </w:lvl>
  </w:abstractNum>
  <w:abstractNum w:abstractNumId="6">
    <w:nsid w:val="1E473803"/>
    <w:multiLevelType w:val="hybridMultilevel"/>
    <w:tmpl w:val="3A261904"/>
    <w:lvl w:ilvl="0" w:tplc="18946230">
      <w:start w:val="80"/>
      <w:numFmt w:val="decimal"/>
      <w:lvlText w:val="%1"/>
      <w:lvlJc w:val="left"/>
      <w:pPr>
        <w:ind w:left="2505" w:hanging="360"/>
      </w:pPr>
      <w:rPr>
        <w:rFonts w:hint="default"/>
      </w:rPr>
    </w:lvl>
    <w:lvl w:ilvl="1" w:tplc="1C090019" w:tentative="1">
      <w:start w:val="1"/>
      <w:numFmt w:val="lowerLetter"/>
      <w:lvlText w:val="%2."/>
      <w:lvlJc w:val="left"/>
      <w:pPr>
        <w:ind w:left="3225" w:hanging="360"/>
      </w:pPr>
    </w:lvl>
    <w:lvl w:ilvl="2" w:tplc="1C09001B" w:tentative="1">
      <w:start w:val="1"/>
      <w:numFmt w:val="lowerRoman"/>
      <w:lvlText w:val="%3."/>
      <w:lvlJc w:val="right"/>
      <w:pPr>
        <w:ind w:left="3945" w:hanging="180"/>
      </w:pPr>
    </w:lvl>
    <w:lvl w:ilvl="3" w:tplc="1C09000F" w:tentative="1">
      <w:start w:val="1"/>
      <w:numFmt w:val="decimal"/>
      <w:lvlText w:val="%4."/>
      <w:lvlJc w:val="left"/>
      <w:pPr>
        <w:ind w:left="4665" w:hanging="360"/>
      </w:pPr>
    </w:lvl>
    <w:lvl w:ilvl="4" w:tplc="1C090019" w:tentative="1">
      <w:start w:val="1"/>
      <w:numFmt w:val="lowerLetter"/>
      <w:lvlText w:val="%5."/>
      <w:lvlJc w:val="left"/>
      <w:pPr>
        <w:ind w:left="5385" w:hanging="360"/>
      </w:pPr>
    </w:lvl>
    <w:lvl w:ilvl="5" w:tplc="1C09001B" w:tentative="1">
      <w:start w:val="1"/>
      <w:numFmt w:val="lowerRoman"/>
      <w:lvlText w:val="%6."/>
      <w:lvlJc w:val="right"/>
      <w:pPr>
        <w:ind w:left="6105" w:hanging="180"/>
      </w:pPr>
    </w:lvl>
    <w:lvl w:ilvl="6" w:tplc="1C09000F" w:tentative="1">
      <w:start w:val="1"/>
      <w:numFmt w:val="decimal"/>
      <w:lvlText w:val="%7."/>
      <w:lvlJc w:val="left"/>
      <w:pPr>
        <w:ind w:left="6825" w:hanging="360"/>
      </w:pPr>
    </w:lvl>
    <w:lvl w:ilvl="7" w:tplc="1C090019" w:tentative="1">
      <w:start w:val="1"/>
      <w:numFmt w:val="lowerLetter"/>
      <w:lvlText w:val="%8."/>
      <w:lvlJc w:val="left"/>
      <w:pPr>
        <w:ind w:left="7545" w:hanging="360"/>
      </w:pPr>
    </w:lvl>
    <w:lvl w:ilvl="8" w:tplc="1C09001B" w:tentative="1">
      <w:start w:val="1"/>
      <w:numFmt w:val="lowerRoman"/>
      <w:lvlText w:val="%9."/>
      <w:lvlJc w:val="right"/>
      <w:pPr>
        <w:ind w:left="8265" w:hanging="180"/>
      </w:pPr>
    </w:lvl>
  </w:abstractNum>
  <w:abstractNum w:abstractNumId="7">
    <w:nsid w:val="1E630380"/>
    <w:multiLevelType w:val="hybridMultilevel"/>
    <w:tmpl w:val="C6983678"/>
    <w:lvl w:ilvl="0" w:tplc="0CE2AAB0">
      <w:start w:val="31"/>
      <w:numFmt w:val="decimal"/>
      <w:lvlText w:val="[%1]"/>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E844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9E1A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F4C8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CAE5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5C949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5C0F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54324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AEDD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28730C2D"/>
    <w:multiLevelType w:val="hybridMultilevel"/>
    <w:tmpl w:val="A978000E"/>
    <w:lvl w:ilvl="0" w:tplc="5D40BE84">
      <w:start w:val="15"/>
      <w:numFmt w:val="decimal"/>
      <w:lvlText w:val="[%1]"/>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63D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F247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4604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CADE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7A2B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DA26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2876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1A8D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2D030840"/>
    <w:multiLevelType w:val="hybridMultilevel"/>
    <w:tmpl w:val="6194E8F4"/>
    <w:lvl w:ilvl="0" w:tplc="7CEA9FE0">
      <w:start w:val="40"/>
      <w:numFmt w:val="decimal"/>
      <w:lvlText w:val="[%1]"/>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5CA0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5E5F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8227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5C86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6653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EA21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429BC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CC8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2D596F8F"/>
    <w:multiLevelType w:val="hybridMultilevel"/>
    <w:tmpl w:val="0E3693BE"/>
    <w:lvl w:ilvl="0" w:tplc="669CF9DA">
      <w:start w:val="34"/>
      <w:numFmt w:val="decimal"/>
      <w:lvlText w:val="[%1]"/>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3ACA06">
      <w:start w:val="1"/>
      <w:numFmt w:val="lowerLetter"/>
      <w:lvlText w:val="%2"/>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A22624">
      <w:start w:val="1"/>
      <w:numFmt w:val="lowerRoman"/>
      <w:lvlText w:val="%3"/>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EA2C32">
      <w:start w:val="1"/>
      <w:numFmt w:val="decimal"/>
      <w:lvlText w:val="%4"/>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C8A91E">
      <w:start w:val="1"/>
      <w:numFmt w:val="lowerLetter"/>
      <w:lvlText w:val="%5"/>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8F80E">
      <w:start w:val="1"/>
      <w:numFmt w:val="lowerRoman"/>
      <w:lvlText w:val="%6"/>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2C40B8">
      <w:start w:val="1"/>
      <w:numFmt w:val="decimal"/>
      <w:lvlText w:val="%7"/>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695B8">
      <w:start w:val="1"/>
      <w:numFmt w:val="lowerLetter"/>
      <w:lvlText w:val="%8"/>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4A530C">
      <w:start w:val="1"/>
      <w:numFmt w:val="lowerRoman"/>
      <w:lvlText w:val="%9"/>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E842C8A"/>
    <w:multiLevelType w:val="hybridMultilevel"/>
    <w:tmpl w:val="EC1EEAB0"/>
    <w:lvl w:ilvl="0" w:tplc="F5C87E82">
      <w:start w:val="24"/>
      <w:numFmt w:val="decimal"/>
      <w:lvlText w:val="[%1]"/>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888E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9EA6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E473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1CAC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C2C1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2645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A0D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E26B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34387E7B"/>
    <w:multiLevelType w:val="multilevel"/>
    <w:tmpl w:val="EC2ACA34"/>
    <w:lvl w:ilvl="0">
      <w:start w:val="4"/>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13">
    <w:nsid w:val="537169C0"/>
    <w:multiLevelType w:val="hybridMultilevel"/>
    <w:tmpl w:val="5E602464"/>
    <w:lvl w:ilvl="0" w:tplc="5A525006">
      <w:start w:val="2"/>
      <w:numFmt w:val="lowerLetter"/>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4">
    <w:nsid w:val="54131B3C"/>
    <w:multiLevelType w:val="multilevel"/>
    <w:tmpl w:val="2A102236"/>
    <w:lvl w:ilvl="0">
      <w:start w:val="6"/>
      <w:numFmt w:val="decimal"/>
      <w:lvlText w:val="[%1]"/>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5AD84EC1"/>
    <w:multiLevelType w:val="hybridMultilevel"/>
    <w:tmpl w:val="33887762"/>
    <w:lvl w:ilvl="0" w:tplc="658879BE">
      <w:start w:val="22"/>
      <w:numFmt w:val="decimal"/>
      <w:lvlText w:val="[%1]"/>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0889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0291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0AFA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663A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285E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40B9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2039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2095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6B6548F6"/>
    <w:multiLevelType w:val="hybridMultilevel"/>
    <w:tmpl w:val="AA700B40"/>
    <w:lvl w:ilvl="0" w:tplc="D88E428C">
      <w:start w:val="7"/>
      <w:numFmt w:val="decimal"/>
      <w:lvlText w:val="[%1]"/>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949C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2470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58D9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C894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8C83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F6F8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8A02B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14F2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792D0E59"/>
    <w:multiLevelType w:val="hybridMultilevel"/>
    <w:tmpl w:val="4C769A54"/>
    <w:lvl w:ilvl="0" w:tplc="26BEBB9E">
      <w:start w:val="1"/>
      <w:numFmt w:val="decimal"/>
      <w:lvlText w:val="%1."/>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3EEAD4">
      <w:start w:val="1"/>
      <w:numFmt w:val="lowerLetter"/>
      <w:lvlText w:val="%2"/>
      <w:lvlJc w:val="left"/>
      <w:pPr>
        <w:ind w:left="1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BA32E8">
      <w:start w:val="1"/>
      <w:numFmt w:val="lowerRoman"/>
      <w:lvlText w:val="%3"/>
      <w:lvlJc w:val="left"/>
      <w:pPr>
        <w:ind w:left="2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3A5964">
      <w:start w:val="1"/>
      <w:numFmt w:val="decimal"/>
      <w:lvlText w:val="%4"/>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F29CC4">
      <w:start w:val="1"/>
      <w:numFmt w:val="lowerLetter"/>
      <w:lvlText w:val="%5"/>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FA9D4E">
      <w:start w:val="1"/>
      <w:numFmt w:val="lowerRoman"/>
      <w:lvlText w:val="%6"/>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7A8EE8">
      <w:start w:val="1"/>
      <w:numFmt w:val="decimal"/>
      <w:lvlText w:val="%7"/>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F2F872">
      <w:start w:val="1"/>
      <w:numFmt w:val="lowerLetter"/>
      <w:lvlText w:val="%8"/>
      <w:lvlJc w:val="left"/>
      <w:pPr>
        <w:ind w:left="6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DC6664">
      <w:start w:val="1"/>
      <w:numFmt w:val="lowerRoman"/>
      <w:lvlText w:val="%9"/>
      <w:lvlJc w:val="left"/>
      <w:pPr>
        <w:ind w:left="6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4"/>
  </w:num>
  <w:num w:numId="3">
    <w:abstractNumId w:val="16"/>
  </w:num>
  <w:num w:numId="4">
    <w:abstractNumId w:val="8"/>
  </w:num>
  <w:num w:numId="5">
    <w:abstractNumId w:val="15"/>
  </w:num>
  <w:num w:numId="6">
    <w:abstractNumId w:val="11"/>
  </w:num>
  <w:num w:numId="7">
    <w:abstractNumId w:val="7"/>
  </w:num>
  <w:num w:numId="8">
    <w:abstractNumId w:val="10"/>
  </w:num>
  <w:num w:numId="9">
    <w:abstractNumId w:val="9"/>
  </w:num>
  <w:num w:numId="10">
    <w:abstractNumId w:val="17"/>
  </w:num>
  <w:num w:numId="11">
    <w:abstractNumId w:val="3"/>
  </w:num>
  <w:num w:numId="12">
    <w:abstractNumId w:val="12"/>
  </w:num>
  <w:num w:numId="13">
    <w:abstractNumId w:val="5"/>
  </w:num>
  <w:num w:numId="14">
    <w:abstractNumId w:val="0"/>
  </w:num>
  <w:num w:numId="15">
    <w:abstractNumId w:val="13"/>
  </w:num>
  <w:num w:numId="16">
    <w:abstractNumId w:val="6"/>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23"/>
    <w:rsid w:val="00002351"/>
    <w:rsid w:val="00004317"/>
    <w:rsid w:val="00005F78"/>
    <w:rsid w:val="00014E9A"/>
    <w:rsid w:val="00021FCD"/>
    <w:rsid w:val="0003270C"/>
    <w:rsid w:val="00041368"/>
    <w:rsid w:val="0004179B"/>
    <w:rsid w:val="00041E2F"/>
    <w:rsid w:val="00045459"/>
    <w:rsid w:val="00051649"/>
    <w:rsid w:val="00051903"/>
    <w:rsid w:val="000541BF"/>
    <w:rsid w:val="0006153C"/>
    <w:rsid w:val="0006704F"/>
    <w:rsid w:val="00071B5E"/>
    <w:rsid w:val="000740F9"/>
    <w:rsid w:val="00074F07"/>
    <w:rsid w:val="000905A5"/>
    <w:rsid w:val="000A5580"/>
    <w:rsid w:val="000B558D"/>
    <w:rsid w:val="000D584C"/>
    <w:rsid w:val="000E1F41"/>
    <w:rsid w:val="000E2338"/>
    <w:rsid w:val="000E40BE"/>
    <w:rsid w:val="001008DF"/>
    <w:rsid w:val="0010718D"/>
    <w:rsid w:val="00114A8F"/>
    <w:rsid w:val="00121169"/>
    <w:rsid w:val="001220AB"/>
    <w:rsid w:val="0012479A"/>
    <w:rsid w:val="00125039"/>
    <w:rsid w:val="00134149"/>
    <w:rsid w:val="00137384"/>
    <w:rsid w:val="0014138D"/>
    <w:rsid w:val="00143088"/>
    <w:rsid w:val="00150444"/>
    <w:rsid w:val="00151312"/>
    <w:rsid w:val="00155C49"/>
    <w:rsid w:val="00162329"/>
    <w:rsid w:val="00163B0C"/>
    <w:rsid w:val="00176262"/>
    <w:rsid w:val="0019129C"/>
    <w:rsid w:val="00194F05"/>
    <w:rsid w:val="00195C7A"/>
    <w:rsid w:val="001B6186"/>
    <w:rsid w:val="001C20DA"/>
    <w:rsid w:val="001C4C8A"/>
    <w:rsid w:val="001C65DC"/>
    <w:rsid w:val="001D1FE0"/>
    <w:rsid w:val="001D4F99"/>
    <w:rsid w:val="001E7BC7"/>
    <w:rsid w:val="001F3332"/>
    <w:rsid w:val="002024F0"/>
    <w:rsid w:val="0021643E"/>
    <w:rsid w:val="00216BEE"/>
    <w:rsid w:val="00220771"/>
    <w:rsid w:val="0022253C"/>
    <w:rsid w:val="002233E4"/>
    <w:rsid w:val="00223EEF"/>
    <w:rsid w:val="002242F8"/>
    <w:rsid w:val="00237C7E"/>
    <w:rsid w:val="00261A78"/>
    <w:rsid w:val="0026377B"/>
    <w:rsid w:val="00270DEA"/>
    <w:rsid w:val="00272CD8"/>
    <w:rsid w:val="002768F5"/>
    <w:rsid w:val="002805A4"/>
    <w:rsid w:val="00280F83"/>
    <w:rsid w:val="00282A11"/>
    <w:rsid w:val="00282BEC"/>
    <w:rsid w:val="00283965"/>
    <w:rsid w:val="00285534"/>
    <w:rsid w:val="002935B5"/>
    <w:rsid w:val="0029393D"/>
    <w:rsid w:val="00296E56"/>
    <w:rsid w:val="002A15D5"/>
    <w:rsid w:val="002A216D"/>
    <w:rsid w:val="002A2AE5"/>
    <w:rsid w:val="002A2D5C"/>
    <w:rsid w:val="002A7892"/>
    <w:rsid w:val="002B3802"/>
    <w:rsid w:val="002B5E73"/>
    <w:rsid w:val="002C5992"/>
    <w:rsid w:val="002C7F2A"/>
    <w:rsid w:val="002F088D"/>
    <w:rsid w:val="002F18DD"/>
    <w:rsid w:val="002F5070"/>
    <w:rsid w:val="002F52EC"/>
    <w:rsid w:val="002F5EB5"/>
    <w:rsid w:val="003074CD"/>
    <w:rsid w:val="00314E6C"/>
    <w:rsid w:val="00315260"/>
    <w:rsid w:val="0031771A"/>
    <w:rsid w:val="0032112B"/>
    <w:rsid w:val="0034382F"/>
    <w:rsid w:val="00346061"/>
    <w:rsid w:val="0035397B"/>
    <w:rsid w:val="00354701"/>
    <w:rsid w:val="00354E7E"/>
    <w:rsid w:val="00363161"/>
    <w:rsid w:val="003654F2"/>
    <w:rsid w:val="00365C1A"/>
    <w:rsid w:val="0038338E"/>
    <w:rsid w:val="00387D48"/>
    <w:rsid w:val="00391386"/>
    <w:rsid w:val="00393091"/>
    <w:rsid w:val="0039316C"/>
    <w:rsid w:val="003934F8"/>
    <w:rsid w:val="00395C3A"/>
    <w:rsid w:val="003B481F"/>
    <w:rsid w:val="003B634B"/>
    <w:rsid w:val="003B6CD4"/>
    <w:rsid w:val="003C31F5"/>
    <w:rsid w:val="003C3BD4"/>
    <w:rsid w:val="003C7BC8"/>
    <w:rsid w:val="003E2A1E"/>
    <w:rsid w:val="003E2E8A"/>
    <w:rsid w:val="003E2EEF"/>
    <w:rsid w:val="00410AD3"/>
    <w:rsid w:val="00414228"/>
    <w:rsid w:val="00414F4B"/>
    <w:rsid w:val="00420903"/>
    <w:rsid w:val="00424DBA"/>
    <w:rsid w:val="00426F60"/>
    <w:rsid w:val="0043302F"/>
    <w:rsid w:val="00443A73"/>
    <w:rsid w:val="004558A8"/>
    <w:rsid w:val="00456D44"/>
    <w:rsid w:val="00462F87"/>
    <w:rsid w:val="004650AC"/>
    <w:rsid w:val="00476733"/>
    <w:rsid w:val="00476CF8"/>
    <w:rsid w:val="004924D1"/>
    <w:rsid w:val="004B0C9D"/>
    <w:rsid w:val="004D169A"/>
    <w:rsid w:val="004D2496"/>
    <w:rsid w:val="004F0769"/>
    <w:rsid w:val="004F16E0"/>
    <w:rsid w:val="004F5070"/>
    <w:rsid w:val="004F61B8"/>
    <w:rsid w:val="00505E14"/>
    <w:rsid w:val="0050653A"/>
    <w:rsid w:val="005069AC"/>
    <w:rsid w:val="00511959"/>
    <w:rsid w:val="005138F9"/>
    <w:rsid w:val="00527271"/>
    <w:rsid w:val="005277D5"/>
    <w:rsid w:val="00533EF6"/>
    <w:rsid w:val="00537B8D"/>
    <w:rsid w:val="00552213"/>
    <w:rsid w:val="00552C35"/>
    <w:rsid w:val="005535B7"/>
    <w:rsid w:val="005550B5"/>
    <w:rsid w:val="00562AFF"/>
    <w:rsid w:val="00567000"/>
    <w:rsid w:val="00567BE1"/>
    <w:rsid w:val="00581E7C"/>
    <w:rsid w:val="00584814"/>
    <w:rsid w:val="005933CB"/>
    <w:rsid w:val="00593F89"/>
    <w:rsid w:val="005A47BC"/>
    <w:rsid w:val="005A5A5D"/>
    <w:rsid w:val="005A751C"/>
    <w:rsid w:val="005B0644"/>
    <w:rsid w:val="005B410C"/>
    <w:rsid w:val="005D1637"/>
    <w:rsid w:val="005D1EBF"/>
    <w:rsid w:val="005D5414"/>
    <w:rsid w:val="005D5539"/>
    <w:rsid w:val="005D77B5"/>
    <w:rsid w:val="005F228F"/>
    <w:rsid w:val="005F544B"/>
    <w:rsid w:val="006007A5"/>
    <w:rsid w:val="006115B5"/>
    <w:rsid w:val="00615ED7"/>
    <w:rsid w:val="00621E9B"/>
    <w:rsid w:val="00630775"/>
    <w:rsid w:val="00642126"/>
    <w:rsid w:val="00642780"/>
    <w:rsid w:val="00646E98"/>
    <w:rsid w:val="00647963"/>
    <w:rsid w:val="00653C18"/>
    <w:rsid w:val="006575B5"/>
    <w:rsid w:val="006617D9"/>
    <w:rsid w:val="006618FC"/>
    <w:rsid w:val="00665A85"/>
    <w:rsid w:val="00665B8E"/>
    <w:rsid w:val="00665F04"/>
    <w:rsid w:val="006727D7"/>
    <w:rsid w:val="00676DB9"/>
    <w:rsid w:val="00680839"/>
    <w:rsid w:val="00680EAB"/>
    <w:rsid w:val="006861DB"/>
    <w:rsid w:val="006A4FB4"/>
    <w:rsid w:val="006A51E3"/>
    <w:rsid w:val="006B583A"/>
    <w:rsid w:val="006C06D4"/>
    <w:rsid w:val="006C0E43"/>
    <w:rsid w:val="006C3F67"/>
    <w:rsid w:val="006D08A7"/>
    <w:rsid w:val="006D2123"/>
    <w:rsid w:val="006D6081"/>
    <w:rsid w:val="006D7044"/>
    <w:rsid w:val="006E22DD"/>
    <w:rsid w:val="006E6FD4"/>
    <w:rsid w:val="006F613D"/>
    <w:rsid w:val="00720151"/>
    <w:rsid w:val="00727979"/>
    <w:rsid w:val="00731826"/>
    <w:rsid w:val="0073564C"/>
    <w:rsid w:val="007361B8"/>
    <w:rsid w:val="007474AC"/>
    <w:rsid w:val="00747AB6"/>
    <w:rsid w:val="007513FA"/>
    <w:rsid w:val="007514F7"/>
    <w:rsid w:val="00754DC3"/>
    <w:rsid w:val="007714EA"/>
    <w:rsid w:val="00777704"/>
    <w:rsid w:val="00784FBF"/>
    <w:rsid w:val="00785722"/>
    <w:rsid w:val="00791B7B"/>
    <w:rsid w:val="00797E65"/>
    <w:rsid w:val="007A7C3D"/>
    <w:rsid w:val="007B055A"/>
    <w:rsid w:val="007B7BF5"/>
    <w:rsid w:val="007C59A5"/>
    <w:rsid w:val="007D5668"/>
    <w:rsid w:val="007E50BD"/>
    <w:rsid w:val="007E6919"/>
    <w:rsid w:val="007F27E7"/>
    <w:rsid w:val="007F5792"/>
    <w:rsid w:val="008035D1"/>
    <w:rsid w:val="00812A16"/>
    <w:rsid w:val="008151A9"/>
    <w:rsid w:val="00824009"/>
    <w:rsid w:val="0083537A"/>
    <w:rsid w:val="00844A34"/>
    <w:rsid w:val="008505C1"/>
    <w:rsid w:val="00860FA9"/>
    <w:rsid w:val="00866A3A"/>
    <w:rsid w:val="0087587D"/>
    <w:rsid w:val="00882F0C"/>
    <w:rsid w:val="00883290"/>
    <w:rsid w:val="00891ADB"/>
    <w:rsid w:val="00894BE1"/>
    <w:rsid w:val="00896453"/>
    <w:rsid w:val="008A1AE5"/>
    <w:rsid w:val="008A58F8"/>
    <w:rsid w:val="008B0947"/>
    <w:rsid w:val="008C16BB"/>
    <w:rsid w:val="008C4565"/>
    <w:rsid w:val="008D7B3F"/>
    <w:rsid w:val="008E023C"/>
    <w:rsid w:val="008E50E8"/>
    <w:rsid w:val="008E615E"/>
    <w:rsid w:val="008E7243"/>
    <w:rsid w:val="0090126E"/>
    <w:rsid w:val="009027E9"/>
    <w:rsid w:val="00905EA3"/>
    <w:rsid w:val="00907984"/>
    <w:rsid w:val="0091682D"/>
    <w:rsid w:val="00917713"/>
    <w:rsid w:val="00920DD9"/>
    <w:rsid w:val="00923EBF"/>
    <w:rsid w:val="009240D1"/>
    <w:rsid w:val="00932787"/>
    <w:rsid w:val="00934092"/>
    <w:rsid w:val="00937782"/>
    <w:rsid w:val="00940521"/>
    <w:rsid w:val="00946084"/>
    <w:rsid w:val="009525E4"/>
    <w:rsid w:val="00953192"/>
    <w:rsid w:val="00963022"/>
    <w:rsid w:val="0096449B"/>
    <w:rsid w:val="00964A82"/>
    <w:rsid w:val="00966787"/>
    <w:rsid w:val="00972A64"/>
    <w:rsid w:val="00972C1C"/>
    <w:rsid w:val="00974C7F"/>
    <w:rsid w:val="00974FB4"/>
    <w:rsid w:val="00986DE2"/>
    <w:rsid w:val="009A1C8C"/>
    <w:rsid w:val="009A2655"/>
    <w:rsid w:val="009A2F5C"/>
    <w:rsid w:val="009B0C88"/>
    <w:rsid w:val="009B6766"/>
    <w:rsid w:val="009C1B3E"/>
    <w:rsid w:val="009D3A84"/>
    <w:rsid w:val="009D402A"/>
    <w:rsid w:val="009E3084"/>
    <w:rsid w:val="009E4D25"/>
    <w:rsid w:val="009E5480"/>
    <w:rsid w:val="009F1981"/>
    <w:rsid w:val="009F3E67"/>
    <w:rsid w:val="00A00139"/>
    <w:rsid w:val="00A01193"/>
    <w:rsid w:val="00A04EDB"/>
    <w:rsid w:val="00A116AB"/>
    <w:rsid w:val="00A1264C"/>
    <w:rsid w:val="00A129F5"/>
    <w:rsid w:val="00A14D7C"/>
    <w:rsid w:val="00A166A5"/>
    <w:rsid w:val="00A169AD"/>
    <w:rsid w:val="00A2244D"/>
    <w:rsid w:val="00A31C82"/>
    <w:rsid w:val="00A32ABA"/>
    <w:rsid w:val="00A3717F"/>
    <w:rsid w:val="00A4220A"/>
    <w:rsid w:val="00A53B95"/>
    <w:rsid w:val="00A55F9A"/>
    <w:rsid w:val="00A57854"/>
    <w:rsid w:val="00A57986"/>
    <w:rsid w:val="00A57C5B"/>
    <w:rsid w:val="00A649E8"/>
    <w:rsid w:val="00A72BD7"/>
    <w:rsid w:val="00A870D9"/>
    <w:rsid w:val="00AA69B6"/>
    <w:rsid w:val="00AA7C8B"/>
    <w:rsid w:val="00AB0558"/>
    <w:rsid w:val="00AB5824"/>
    <w:rsid w:val="00AB7D27"/>
    <w:rsid w:val="00AB7DF9"/>
    <w:rsid w:val="00AC0BE4"/>
    <w:rsid w:val="00AC10A5"/>
    <w:rsid w:val="00AC7D52"/>
    <w:rsid w:val="00AD1D50"/>
    <w:rsid w:val="00AD233E"/>
    <w:rsid w:val="00AD2F00"/>
    <w:rsid w:val="00AD4CD4"/>
    <w:rsid w:val="00AE0D40"/>
    <w:rsid w:val="00AE5E50"/>
    <w:rsid w:val="00AF2BD3"/>
    <w:rsid w:val="00AF6C89"/>
    <w:rsid w:val="00B26770"/>
    <w:rsid w:val="00B31939"/>
    <w:rsid w:val="00B517E2"/>
    <w:rsid w:val="00B560D8"/>
    <w:rsid w:val="00B63981"/>
    <w:rsid w:val="00B66A65"/>
    <w:rsid w:val="00B709A7"/>
    <w:rsid w:val="00B74398"/>
    <w:rsid w:val="00B746DB"/>
    <w:rsid w:val="00B80E81"/>
    <w:rsid w:val="00B82B50"/>
    <w:rsid w:val="00B8507C"/>
    <w:rsid w:val="00B87EED"/>
    <w:rsid w:val="00B917B7"/>
    <w:rsid w:val="00B970F1"/>
    <w:rsid w:val="00BA1D40"/>
    <w:rsid w:val="00BA24D2"/>
    <w:rsid w:val="00BA45FA"/>
    <w:rsid w:val="00BA720E"/>
    <w:rsid w:val="00BB51C2"/>
    <w:rsid w:val="00BB542A"/>
    <w:rsid w:val="00BB7543"/>
    <w:rsid w:val="00BC162F"/>
    <w:rsid w:val="00BC2506"/>
    <w:rsid w:val="00BC48C5"/>
    <w:rsid w:val="00BC62B7"/>
    <w:rsid w:val="00BD258B"/>
    <w:rsid w:val="00BD4BC4"/>
    <w:rsid w:val="00BD7E1C"/>
    <w:rsid w:val="00BE0625"/>
    <w:rsid w:val="00BF50C6"/>
    <w:rsid w:val="00BF6148"/>
    <w:rsid w:val="00BF6F5C"/>
    <w:rsid w:val="00C06FF9"/>
    <w:rsid w:val="00C11E05"/>
    <w:rsid w:val="00C15F4B"/>
    <w:rsid w:val="00C20523"/>
    <w:rsid w:val="00C20FF9"/>
    <w:rsid w:val="00C27ECD"/>
    <w:rsid w:val="00C3791F"/>
    <w:rsid w:val="00C41162"/>
    <w:rsid w:val="00C44DD0"/>
    <w:rsid w:val="00C61C6B"/>
    <w:rsid w:val="00C8060F"/>
    <w:rsid w:val="00C842ED"/>
    <w:rsid w:val="00C846EF"/>
    <w:rsid w:val="00C85DC2"/>
    <w:rsid w:val="00C91718"/>
    <w:rsid w:val="00CA375D"/>
    <w:rsid w:val="00CC635A"/>
    <w:rsid w:val="00CD146C"/>
    <w:rsid w:val="00CF5602"/>
    <w:rsid w:val="00CF5A70"/>
    <w:rsid w:val="00CF5D11"/>
    <w:rsid w:val="00CF65D8"/>
    <w:rsid w:val="00D029AC"/>
    <w:rsid w:val="00D12786"/>
    <w:rsid w:val="00D147D6"/>
    <w:rsid w:val="00D15EFE"/>
    <w:rsid w:val="00D167EC"/>
    <w:rsid w:val="00D22023"/>
    <w:rsid w:val="00D25479"/>
    <w:rsid w:val="00D26B18"/>
    <w:rsid w:val="00D272A2"/>
    <w:rsid w:val="00D30EA4"/>
    <w:rsid w:val="00D36DBF"/>
    <w:rsid w:val="00D4433C"/>
    <w:rsid w:val="00D50A39"/>
    <w:rsid w:val="00D62FE2"/>
    <w:rsid w:val="00D809C5"/>
    <w:rsid w:val="00D8193E"/>
    <w:rsid w:val="00DA3A72"/>
    <w:rsid w:val="00DA52FA"/>
    <w:rsid w:val="00DB0D3B"/>
    <w:rsid w:val="00DB24ED"/>
    <w:rsid w:val="00DC04F0"/>
    <w:rsid w:val="00DC1AB7"/>
    <w:rsid w:val="00DC2032"/>
    <w:rsid w:val="00DC6DBF"/>
    <w:rsid w:val="00DE1C81"/>
    <w:rsid w:val="00E04076"/>
    <w:rsid w:val="00E10182"/>
    <w:rsid w:val="00E166CA"/>
    <w:rsid w:val="00E243A7"/>
    <w:rsid w:val="00E27660"/>
    <w:rsid w:val="00E440D5"/>
    <w:rsid w:val="00E47185"/>
    <w:rsid w:val="00E47CE7"/>
    <w:rsid w:val="00E510F7"/>
    <w:rsid w:val="00E54EA9"/>
    <w:rsid w:val="00E54EF5"/>
    <w:rsid w:val="00E64A34"/>
    <w:rsid w:val="00E65265"/>
    <w:rsid w:val="00E67BFF"/>
    <w:rsid w:val="00E77B6B"/>
    <w:rsid w:val="00E83970"/>
    <w:rsid w:val="00EA5C11"/>
    <w:rsid w:val="00ED0B9E"/>
    <w:rsid w:val="00ED0E3C"/>
    <w:rsid w:val="00ED1354"/>
    <w:rsid w:val="00ED6E94"/>
    <w:rsid w:val="00EE4BE0"/>
    <w:rsid w:val="00EE6D60"/>
    <w:rsid w:val="00EF0A5A"/>
    <w:rsid w:val="00EF34A5"/>
    <w:rsid w:val="00F00B47"/>
    <w:rsid w:val="00F031E5"/>
    <w:rsid w:val="00F1537A"/>
    <w:rsid w:val="00F15CF6"/>
    <w:rsid w:val="00F164B4"/>
    <w:rsid w:val="00F27F89"/>
    <w:rsid w:val="00F45374"/>
    <w:rsid w:val="00F47950"/>
    <w:rsid w:val="00F6320D"/>
    <w:rsid w:val="00F6617A"/>
    <w:rsid w:val="00F740D2"/>
    <w:rsid w:val="00F841BF"/>
    <w:rsid w:val="00FA0913"/>
    <w:rsid w:val="00FA2530"/>
    <w:rsid w:val="00FA79FA"/>
    <w:rsid w:val="00FA7DA8"/>
    <w:rsid w:val="00FB4D47"/>
    <w:rsid w:val="00FB6BFA"/>
    <w:rsid w:val="00FB794E"/>
    <w:rsid w:val="00FC0725"/>
    <w:rsid w:val="00FC1A5D"/>
    <w:rsid w:val="00FC569F"/>
    <w:rsid w:val="00FD5089"/>
    <w:rsid w:val="00FE4413"/>
    <w:rsid w:val="00FE46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E778C-39D4-42ED-8A53-E833F9FB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365" w:lineRule="auto"/>
      <w:ind w:left="729" w:hanging="729"/>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70" w:line="265"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67"/>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D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5474</Words>
  <Characters>31203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Mandla Mbongwe</dc:creator>
  <cp:keywords/>
  <cp:lastModifiedBy>Mokone</cp:lastModifiedBy>
  <cp:revision>2</cp:revision>
  <dcterms:created xsi:type="dcterms:W3CDTF">2023-06-09T07:49:00Z</dcterms:created>
  <dcterms:modified xsi:type="dcterms:W3CDTF">2023-06-09T07:49:00Z</dcterms:modified>
</cp:coreProperties>
</file>