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DA1" w:rsidRPr="00DB2A06" w:rsidRDefault="00B81DA1" w:rsidP="00B81DA1">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rsidR="00B81DA1" w:rsidRDefault="00B81DA1" w:rsidP="00967416">
      <w:pPr>
        <w:jc w:val="center"/>
        <w:rPr>
          <w:rFonts w:ascii="Calibri" w:eastAsia="Calibri" w:hAnsi="Calibri" w:cs="Times New Roman"/>
          <w:b/>
          <w:sz w:val="28"/>
          <w:szCs w:val="28"/>
        </w:rPr>
      </w:pPr>
    </w:p>
    <w:p w:rsidR="00DC6C4D" w:rsidRPr="00DC6C4D" w:rsidRDefault="00DC6C4D" w:rsidP="00967416">
      <w:pPr>
        <w:jc w:val="center"/>
        <w:rPr>
          <w:rFonts w:ascii="Calibri" w:eastAsia="Calibri" w:hAnsi="Calibri" w:cs="Times New Roman"/>
          <w:b/>
          <w:sz w:val="28"/>
          <w:szCs w:val="28"/>
        </w:rPr>
      </w:pPr>
      <w:r w:rsidRPr="00DC6C4D">
        <w:rPr>
          <w:rFonts w:ascii="Calibri" w:eastAsia="Calibri" w:hAnsi="Calibri" w:cs="Times New Roman"/>
          <w:b/>
          <w:sz w:val="28"/>
          <w:szCs w:val="28"/>
        </w:rPr>
        <w:t>REPUBLIC OF SOUTH AFRICA</w:t>
      </w:r>
    </w:p>
    <w:p w:rsidR="00DC6C4D" w:rsidRPr="00DC6C4D" w:rsidRDefault="00DC6C4D" w:rsidP="00967416">
      <w:pPr>
        <w:jc w:val="center"/>
        <w:rPr>
          <w:rFonts w:ascii="Calibri" w:eastAsia="Calibri" w:hAnsi="Calibri" w:cs="Times New Roman"/>
          <w:b/>
          <w:sz w:val="28"/>
          <w:szCs w:val="28"/>
        </w:rPr>
      </w:pPr>
      <w:r w:rsidRPr="00DC6C4D">
        <w:rPr>
          <w:rFonts w:ascii="Calibri" w:eastAsia="Calibri" w:hAnsi="Calibri" w:cs="Times New Roman"/>
          <w:b/>
          <w:noProof/>
          <w:sz w:val="28"/>
          <w:szCs w:val="28"/>
          <w:lang w:val="en-US"/>
        </w:rPr>
        <w:drawing>
          <wp:inline distT="0" distB="0" distL="0" distR="0" wp14:anchorId="7A7DF368" wp14:editId="4CEFE48D">
            <wp:extent cx="1352550" cy="1352550"/>
            <wp:effectExtent l="0" t="0" r="0" b="0"/>
            <wp:docPr id="1" name="Picture 1"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1.png@01D102A3.6AE54470"/>
                    <pic:cNvPicPr>
                      <a:picLocks noChangeAspect="1" noChangeArrowheads="1"/>
                    </pic:cNvPicPr>
                  </pic:nvPicPr>
                  <pic:blipFill>
                    <a:blip r:embed="rId7" r:link="rId8">
                      <a:extLst>
                        <a:ext uri="{28A0092B-C50C-407E-A947-70E740481C1C}">
                          <a14:useLocalDpi xmlns:a14="http://schemas.microsoft.com/office/drawing/2010/main" val="0"/>
                        </a:ext>
                      </a:extLst>
                    </a:blip>
                    <a:stretch>
                      <a:fillRect/>
                    </a:stretch>
                  </pic:blipFill>
                  <pic:spPr bwMode="auto">
                    <a:xfrm>
                      <a:off x="0" y="0"/>
                      <a:ext cx="1352550" cy="1352550"/>
                    </a:xfrm>
                    <a:prstGeom prst="rect">
                      <a:avLst/>
                    </a:prstGeom>
                    <a:noFill/>
                    <a:ln>
                      <a:noFill/>
                    </a:ln>
                  </pic:spPr>
                </pic:pic>
              </a:graphicData>
            </a:graphic>
          </wp:inline>
        </w:drawing>
      </w:r>
    </w:p>
    <w:p w:rsidR="00DC6C4D" w:rsidRPr="00DC6C4D" w:rsidRDefault="00DC6C4D" w:rsidP="00967416">
      <w:pPr>
        <w:jc w:val="center"/>
        <w:rPr>
          <w:rFonts w:ascii="Calibri" w:eastAsia="Calibri" w:hAnsi="Calibri" w:cs="Times New Roman"/>
          <w:b/>
          <w:sz w:val="28"/>
          <w:szCs w:val="28"/>
        </w:rPr>
      </w:pPr>
      <w:r w:rsidRPr="00DC6C4D">
        <w:rPr>
          <w:rFonts w:ascii="Calibri" w:eastAsia="Calibri" w:hAnsi="Calibri" w:cs="Times New Roman"/>
          <w:b/>
          <w:sz w:val="28"/>
          <w:szCs w:val="28"/>
        </w:rPr>
        <w:t>THE HIGH COURT OF SOUTH AFRICA</w:t>
      </w:r>
    </w:p>
    <w:p w:rsidR="00DC6C4D" w:rsidRPr="00DC6C4D" w:rsidRDefault="00DC6C4D" w:rsidP="00967416">
      <w:pPr>
        <w:jc w:val="center"/>
        <w:rPr>
          <w:rFonts w:ascii="Calibri" w:eastAsia="Calibri" w:hAnsi="Calibri" w:cs="Times New Roman"/>
          <w:b/>
          <w:sz w:val="28"/>
          <w:szCs w:val="28"/>
        </w:rPr>
      </w:pPr>
      <w:r w:rsidRPr="00DC6C4D">
        <w:rPr>
          <w:rFonts w:ascii="Calibri" w:eastAsia="Calibri" w:hAnsi="Calibri" w:cs="Times New Roman"/>
          <w:b/>
          <w:sz w:val="28"/>
          <w:szCs w:val="28"/>
        </w:rPr>
        <w:t>GAUTENG DIVISION, PRETORIA</w:t>
      </w:r>
    </w:p>
    <w:p w:rsidR="00DC6C4D" w:rsidRPr="00DC6C4D" w:rsidRDefault="00DC6C4D" w:rsidP="00BA4EE6">
      <w:pPr>
        <w:tabs>
          <w:tab w:val="left" w:pos="7445"/>
        </w:tabs>
        <w:jc w:val="both"/>
        <w:rPr>
          <w:rFonts w:ascii="Calibri" w:eastAsia="Calibri" w:hAnsi="Calibri" w:cs="Times New Roman"/>
          <w:b/>
          <w:sz w:val="28"/>
          <w:szCs w:val="28"/>
        </w:rPr>
      </w:pPr>
      <w:r w:rsidRPr="00DC6C4D">
        <w:rPr>
          <w:rFonts w:ascii="Calibri" w:eastAsia="Calibri" w:hAnsi="Calibri" w:cs="Times New Roman"/>
          <w:b/>
          <w:sz w:val="28"/>
          <w:szCs w:val="28"/>
        </w:rPr>
        <w:tab/>
      </w:r>
    </w:p>
    <w:tbl>
      <w:tblPr>
        <w:tblStyle w:val="TableGrid1"/>
        <w:tblpPr w:leftFromText="180" w:rightFromText="180" w:vertAnchor="text" w:tblpY="1"/>
        <w:tblOverlap w:val="never"/>
        <w:tblW w:w="0" w:type="auto"/>
        <w:tblLook w:val="04A0" w:firstRow="1" w:lastRow="0" w:firstColumn="1" w:lastColumn="0" w:noHBand="0" w:noVBand="1"/>
      </w:tblPr>
      <w:tblGrid>
        <w:gridCol w:w="5813"/>
      </w:tblGrid>
      <w:tr w:rsidR="00DC6C4D" w:rsidRPr="00DC6C4D" w:rsidTr="00967416">
        <w:trPr>
          <w:trHeight w:val="3072"/>
        </w:trPr>
        <w:tc>
          <w:tcPr>
            <w:tcW w:w="5813" w:type="dxa"/>
            <w:tcBorders>
              <w:right w:val="single" w:sz="4" w:space="0" w:color="auto"/>
            </w:tcBorders>
          </w:tcPr>
          <w:p w:rsidR="00DC6C4D" w:rsidRPr="00DC6C4D" w:rsidRDefault="00DC6C4D" w:rsidP="00967416">
            <w:pPr>
              <w:spacing w:before="120" w:after="120" w:line="360" w:lineRule="auto"/>
              <w:ind w:left="718" w:hanging="718"/>
              <w:contextualSpacing/>
              <w:jc w:val="both"/>
              <w:rPr>
                <w:rFonts w:ascii="Arial" w:hAnsi="Arial" w:cs="Arial"/>
                <w:b/>
                <w:bCs/>
                <w:color w:val="000000"/>
                <w:lang w:eastAsia="en-ZA"/>
              </w:rPr>
            </w:pPr>
          </w:p>
          <w:p w:rsidR="00DC6C4D" w:rsidRPr="00DC6C4D" w:rsidRDefault="00DC6C4D" w:rsidP="00967416">
            <w:pPr>
              <w:spacing w:before="120" w:after="120" w:line="360" w:lineRule="auto"/>
              <w:ind w:left="718" w:hanging="718"/>
              <w:contextualSpacing/>
              <w:jc w:val="both"/>
              <w:rPr>
                <w:rFonts w:ascii="Arial" w:hAnsi="Arial" w:cs="Arial"/>
                <w:b/>
                <w:bCs/>
                <w:color w:val="000000"/>
                <w:lang w:eastAsia="en-ZA"/>
              </w:rPr>
            </w:pPr>
            <w:r w:rsidRPr="00DC6C4D">
              <w:rPr>
                <w:rFonts w:ascii="Arial" w:hAnsi="Arial" w:cs="Arial"/>
                <w:b/>
                <w:bCs/>
                <w:color w:val="000000"/>
                <w:lang w:eastAsia="en-ZA"/>
              </w:rPr>
              <w:t>DELETE WHICHEVER IS NOT APPLICABLE:</w:t>
            </w:r>
          </w:p>
          <w:p w:rsidR="00DC6C4D" w:rsidRPr="00DC6C4D" w:rsidRDefault="00DC6C4D" w:rsidP="00967416">
            <w:pPr>
              <w:numPr>
                <w:ilvl w:val="0"/>
                <w:numId w:val="1"/>
              </w:numPr>
              <w:spacing w:before="120" w:after="120" w:line="360" w:lineRule="auto"/>
              <w:contextualSpacing/>
              <w:jc w:val="both"/>
              <w:rPr>
                <w:rFonts w:cs="Arial"/>
                <w:color w:val="000000"/>
                <w:lang w:eastAsia="en-ZA"/>
              </w:rPr>
            </w:pPr>
            <w:r w:rsidRPr="00DC6C4D">
              <w:rPr>
                <w:rFonts w:cs="Arial"/>
                <w:color w:val="000000"/>
                <w:lang w:eastAsia="en-ZA"/>
              </w:rPr>
              <w:t xml:space="preserve">REPORTABLE: </w:t>
            </w:r>
            <w:r w:rsidRPr="00DC6C4D">
              <w:rPr>
                <w:rFonts w:cs="Arial"/>
                <w:color w:val="000000"/>
                <w:lang w:eastAsia="en-ZA"/>
              </w:rPr>
              <w:tab/>
            </w:r>
            <w:r w:rsidRPr="00DC6C4D">
              <w:rPr>
                <w:rFonts w:cs="Arial"/>
                <w:color w:val="000000"/>
                <w:lang w:eastAsia="en-ZA"/>
              </w:rPr>
              <w:tab/>
            </w:r>
            <w:r w:rsidRPr="00DC6C4D">
              <w:rPr>
                <w:rFonts w:cs="Arial"/>
                <w:color w:val="000000"/>
                <w:lang w:eastAsia="en-ZA"/>
              </w:rPr>
              <w:tab/>
            </w:r>
            <w:r w:rsidRPr="00DC6C4D">
              <w:rPr>
                <w:rFonts w:cs="Arial"/>
                <w:color w:val="000000"/>
                <w:lang w:eastAsia="en-ZA"/>
              </w:rPr>
              <w:tab/>
            </w:r>
            <w:r w:rsidRPr="00DC6C4D">
              <w:rPr>
                <w:rFonts w:cs="Arial"/>
                <w:strike/>
                <w:color w:val="000000"/>
                <w:lang w:eastAsia="en-ZA"/>
              </w:rPr>
              <w:t>YES</w:t>
            </w:r>
            <w:r w:rsidRPr="00DC6C4D">
              <w:rPr>
                <w:rFonts w:cs="Arial"/>
                <w:color w:val="000000"/>
                <w:lang w:eastAsia="en-ZA"/>
              </w:rPr>
              <w:t>/NO</w:t>
            </w:r>
          </w:p>
          <w:p w:rsidR="00DC6C4D" w:rsidRPr="00DC6C4D" w:rsidRDefault="00967416" w:rsidP="00967416">
            <w:pPr>
              <w:numPr>
                <w:ilvl w:val="0"/>
                <w:numId w:val="1"/>
              </w:numPr>
              <w:spacing w:before="120" w:after="120" w:line="360" w:lineRule="auto"/>
              <w:contextualSpacing/>
              <w:jc w:val="both"/>
              <w:rPr>
                <w:rFonts w:cs="Arial"/>
                <w:color w:val="000000"/>
                <w:lang w:eastAsia="en-ZA"/>
              </w:rPr>
            </w:pPr>
            <w:r w:rsidRPr="00DC6C4D">
              <w:rPr>
                <w:rFonts w:ascii="Arial MT" w:eastAsia="Arial MT" w:hAnsi="Arial MT" w:cs="Arial MT"/>
                <w:noProof/>
              </w:rPr>
              <w:drawing>
                <wp:anchor distT="0" distB="0" distL="114300" distR="114300" simplePos="0" relativeHeight="251661312" behindDoc="1" locked="0" layoutInCell="1" allowOverlap="1" wp14:anchorId="52EBC33F" wp14:editId="39AE271F">
                  <wp:simplePos x="0" y="0"/>
                  <wp:positionH relativeFrom="margin">
                    <wp:posOffset>1699895</wp:posOffset>
                  </wp:positionH>
                  <wp:positionV relativeFrom="paragraph">
                    <wp:posOffset>115570</wp:posOffset>
                  </wp:positionV>
                  <wp:extent cx="1822450" cy="698500"/>
                  <wp:effectExtent l="0" t="0" r="635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extLst>
                              <a:ext uri="{28A0092B-C50C-407E-A947-70E740481C1C}">
                                <a14:useLocalDpi xmlns:a14="http://schemas.microsoft.com/office/drawing/2010/main" val="0"/>
                              </a:ext>
                            </a:extLst>
                          </a:blip>
                          <a:srcRect l="15505" t="43776" r="35919" b="40242"/>
                          <a:stretch>
                            <a:fillRect/>
                          </a:stretch>
                        </pic:blipFill>
                        <pic:spPr bwMode="auto">
                          <a:xfrm>
                            <a:off x="0" y="0"/>
                            <a:ext cx="1822450" cy="698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6C4D" w:rsidRPr="00DC6C4D">
              <w:rPr>
                <w:rFonts w:cs="Arial"/>
                <w:color w:val="000000"/>
                <w:lang w:eastAsia="en-ZA"/>
              </w:rPr>
              <w:t>OF INTEREST TO OTHER JUDGES</w:t>
            </w:r>
            <w:r w:rsidR="00DC6C4D" w:rsidRPr="00DC6C4D">
              <w:rPr>
                <w:rFonts w:cs="Arial"/>
                <w:color w:val="000000"/>
                <w:lang w:eastAsia="en-ZA"/>
              </w:rPr>
              <w:tab/>
            </w:r>
            <w:r w:rsidR="00DC6C4D" w:rsidRPr="00DC6C4D">
              <w:rPr>
                <w:rFonts w:cs="Arial"/>
                <w:strike/>
                <w:color w:val="000000"/>
                <w:lang w:eastAsia="en-ZA"/>
              </w:rPr>
              <w:t>YES</w:t>
            </w:r>
            <w:r w:rsidR="00DC6C4D" w:rsidRPr="00DC6C4D">
              <w:rPr>
                <w:rFonts w:cs="Arial"/>
                <w:color w:val="000000"/>
                <w:lang w:eastAsia="en-ZA"/>
              </w:rPr>
              <w:t>/NO</w:t>
            </w:r>
          </w:p>
          <w:p w:rsidR="00DC6C4D" w:rsidRPr="00967416" w:rsidRDefault="00DC6C4D" w:rsidP="00967416">
            <w:pPr>
              <w:numPr>
                <w:ilvl w:val="0"/>
                <w:numId w:val="1"/>
              </w:numPr>
              <w:spacing w:before="120" w:after="120" w:line="360" w:lineRule="auto"/>
              <w:contextualSpacing/>
              <w:jc w:val="both"/>
              <w:rPr>
                <w:rFonts w:cs="Arial"/>
                <w:color w:val="000000"/>
                <w:lang w:eastAsia="en-ZA"/>
              </w:rPr>
            </w:pPr>
            <w:r w:rsidRPr="00DC6C4D">
              <w:rPr>
                <w:rFonts w:cs="Arial"/>
                <w:color w:val="000000"/>
                <w:lang w:eastAsia="en-ZA"/>
              </w:rPr>
              <w:t>REVISED:</w:t>
            </w:r>
            <w:r w:rsidRPr="00DC6C4D">
              <w:rPr>
                <w:noProof/>
                <w:lang w:eastAsia="en-ZA"/>
              </w:rPr>
              <w:t xml:space="preserve"> </w:t>
            </w:r>
          </w:p>
          <w:p w:rsidR="00967416" w:rsidRPr="00DC6C4D" w:rsidRDefault="00967416" w:rsidP="00967416">
            <w:pPr>
              <w:tabs>
                <w:tab w:val="left" w:pos="4050"/>
              </w:tabs>
              <w:spacing w:before="120" w:after="120" w:line="360" w:lineRule="auto"/>
              <w:ind w:left="720"/>
              <w:contextualSpacing/>
              <w:jc w:val="both"/>
              <w:rPr>
                <w:rFonts w:cs="Arial"/>
                <w:color w:val="000000"/>
                <w:lang w:eastAsia="en-ZA"/>
              </w:rPr>
            </w:pPr>
            <w:r>
              <w:rPr>
                <w:rFonts w:cs="Arial"/>
                <w:color w:val="000000"/>
                <w:lang w:eastAsia="en-ZA"/>
              </w:rPr>
              <w:tab/>
            </w:r>
          </w:p>
          <w:p w:rsidR="00DC6C4D" w:rsidRPr="00DC6C4D" w:rsidRDefault="00967416" w:rsidP="00967416">
            <w:pPr>
              <w:spacing w:before="120" w:after="120" w:line="360" w:lineRule="auto"/>
              <w:ind w:left="360" w:hanging="718"/>
              <w:contextualSpacing/>
              <w:jc w:val="both"/>
              <w:rPr>
                <w:rFonts w:ascii="Arial" w:hAnsi="Arial" w:cs="Arial"/>
                <w:color w:val="000000"/>
                <w:lang w:eastAsia="en-ZA"/>
              </w:rPr>
            </w:pPr>
            <w:r>
              <w:rPr>
                <w:rFonts w:ascii="Arial" w:hAnsi="Arial" w:cs="Arial"/>
                <w:color w:val="000000"/>
                <w:lang w:eastAsia="en-ZA"/>
              </w:rPr>
              <w:t>14</w:t>
            </w:r>
            <w:r>
              <w:rPr>
                <w:rFonts w:ascii="Arial" w:hAnsi="Arial" w:cs="Arial"/>
                <w:color w:val="000000"/>
                <w:lang w:eastAsia="en-ZA"/>
              </w:rPr>
              <w:tab/>
              <w:t xml:space="preserve">05 JUNE 2023 </w:t>
            </w:r>
            <w:r w:rsidR="00DC6C4D" w:rsidRPr="00DC6C4D">
              <w:rPr>
                <w:rFonts w:ascii="Arial" w:hAnsi="Arial" w:cs="Arial"/>
                <w:color w:val="000000"/>
                <w:lang w:eastAsia="en-ZA"/>
              </w:rPr>
              <w:t xml:space="preserve">   </w:t>
            </w:r>
            <w:r>
              <w:rPr>
                <w:rFonts w:ascii="Arial" w:hAnsi="Arial" w:cs="Arial"/>
                <w:color w:val="000000"/>
                <w:lang w:eastAsia="en-ZA"/>
              </w:rPr>
              <w:t xml:space="preserve">                        ……………………..</w:t>
            </w:r>
          </w:p>
          <w:p w:rsidR="00DC6C4D" w:rsidRPr="00DC6C4D" w:rsidRDefault="00967416" w:rsidP="00967416">
            <w:pPr>
              <w:spacing w:before="120" w:after="120" w:line="360" w:lineRule="auto"/>
              <w:ind w:left="360" w:hanging="718"/>
              <w:contextualSpacing/>
              <w:jc w:val="both"/>
              <w:rPr>
                <w:rFonts w:ascii="Arial" w:hAnsi="Arial" w:cs="Arial"/>
                <w:color w:val="000000"/>
                <w:lang w:eastAsia="en-ZA"/>
              </w:rPr>
            </w:pPr>
            <w:r>
              <w:rPr>
                <w:rFonts w:ascii="Arial" w:hAnsi="Arial" w:cs="Arial"/>
                <w:color w:val="000000"/>
                <w:lang w:eastAsia="en-ZA"/>
              </w:rPr>
              <w:t>D           DATE                                            SIGNATURE</w:t>
            </w:r>
          </w:p>
        </w:tc>
      </w:tr>
    </w:tbl>
    <w:p w:rsidR="00DC6C4D" w:rsidRPr="00DC6C4D" w:rsidRDefault="00967416" w:rsidP="00BA4EE6">
      <w:pPr>
        <w:jc w:val="both"/>
        <w:rPr>
          <w:rFonts w:ascii="Calibri" w:eastAsia="Calibri" w:hAnsi="Calibri" w:cs="Times New Roman"/>
        </w:rPr>
      </w:pPr>
      <w:r>
        <w:rPr>
          <w:rFonts w:ascii="Calibri" w:eastAsia="Calibri" w:hAnsi="Calibri" w:cs="Times New Roman"/>
        </w:rPr>
        <w:br w:type="textWrapping" w:clear="all"/>
      </w:r>
    </w:p>
    <w:p w:rsidR="00DC6C4D" w:rsidRDefault="00DC6C4D" w:rsidP="00967416">
      <w:pPr>
        <w:spacing w:after="3"/>
        <w:ind w:left="10" w:hanging="10"/>
        <w:jc w:val="right"/>
        <w:rPr>
          <w:rFonts w:ascii="Arial" w:eastAsia="Arial" w:hAnsi="Arial" w:cs="Arial"/>
          <w:b/>
          <w:color w:val="000000"/>
          <w:sz w:val="25"/>
          <w:lang w:eastAsia="en-ZA"/>
        </w:rPr>
      </w:pPr>
      <w:r w:rsidRPr="00DC6C4D">
        <w:rPr>
          <w:rFonts w:ascii="Arial" w:eastAsia="Arial" w:hAnsi="Arial" w:cs="Arial"/>
          <w:color w:val="000000"/>
          <w:sz w:val="25"/>
          <w:lang w:eastAsia="en-ZA"/>
        </w:rPr>
        <w:t>CASE NO:</w:t>
      </w:r>
      <w:r w:rsidRPr="00DC6C4D">
        <w:rPr>
          <w:rFonts w:ascii="Arial" w:eastAsia="Arial" w:hAnsi="Arial" w:cs="Arial"/>
          <w:b/>
          <w:color w:val="000000"/>
          <w:sz w:val="25"/>
          <w:lang w:eastAsia="en-ZA"/>
        </w:rPr>
        <w:t xml:space="preserve"> 49906/17 </w:t>
      </w:r>
    </w:p>
    <w:p w:rsidR="00967416" w:rsidRPr="00DC6C4D" w:rsidRDefault="00967416" w:rsidP="00967416">
      <w:pPr>
        <w:spacing w:after="3"/>
        <w:ind w:left="10" w:hanging="10"/>
        <w:jc w:val="right"/>
        <w:rPr>
          <w:rFonts w:ascii="Arial" w:eastAsia="Arial" w:hAnsi="Arial" w:cs="Arial"/>
          <w:color w:val="000000"/>
          <w:sz w:val="25"/>
          <w:lang w:eastAsia="en-ZA"/>
        </w:rPr>
      </w:pPr>
    </w:p>
    <w:tbl>
      <w:tblPr>
        <w:tblStyle w:val="TableGrid0"/>
        <w:tblW w:w="8665" w:type="dxa"/>
        <w:tblInd w:w="0" w:type="dxa"/>
        <w:tblLook w:val="04A0" w:firstRow="1" w:lastRow="0" w:firstColumn="1" w:lastColumn="0" w:noHBand="0" w:noVBand="1"/>
      </w:tblPr>
      <w:tblGrid>
        <w:gridCol w:w="6791"/>
        <w:gridCol w:w="1874"/>
      </w:tblGrid>
      <w:tr w:rsidR="00DC6C4D" w:rsidRPr="00DC6C4D" w:rsidTr="00967416">
        <w:trPr>
          <w:trHeight w:val="787"/>
        </w:trPr>
        <w:tc>
          <w:tcPr>
            <w:tcW w:w="7442" w:type="dxa"/>
            <w:tcBorders>
              <w:top w:val="nil"/>
              <w:left w:val="nil"/>
              <w:bottom w:val="nil"/>
              <w:right w:val="nil"/>
            </w:tcBorders>
          </w:tcPr>
          <w:p w:rsidR="00DC6C4D" w:rsidRPr="00DC6C4D" w:rsidRDefault="00DC6C4D" w:rsidP="00967416">
            <w:pPr>
              <w:spacing w:after="122"/>
              <w:contextualSpacing/>
              <w:jc w:val="both"/>
              <w:rPr>
                <w:rFonts w:ascii="Arial" w:eastAsia="Arial" w:hAnsi="Arial" w:cs="Arial"/>
                <w:color w:val="000000"/>
                <w:sz w:val="25"/>
              </w:rPr>
            </w:pPr>
            <w:r w:rsidRPr="00DC6C4D">
              <w:rPr>
                <w:rFonts w:ascii="Arial" w:eastAsia="Arial" w:hAnsi="Arial" w:cs="Arial"/>
                <w:color w:val="000000"/>
                <w:sz w:val="25"/>
              </w:rPr>
              <w:t xml:space="preserve">In the matter between: </w:t>
            </w:r>
          </w:p>
          <w:p w:rsidR="00DC6C4D" w:rsidRPr="00DC6C4D" w:rsidRDefault="00DC6C4D" w:rsidP="00BA4EE6">
            <w:pPr>
              <w:ind w:left="720"/>
              <w:contextualSpacing/>
              <w:jc w:val="both"/>
              <w:rPr>
                <w:rFonts w:ascii="Arial" w:eastAsia="Arial" w:hAnsi="Arial" w:cs="Arial"/>
                <w:color w:val="000000"/>
                <w:sz w:val="25"/>
              </w:rPr>
            </w:pPr>
            <w:r w:rsidRPr="00DC6C4D">
              <w:rPr>
                <w:rFonts w:ascii="Arial" w:eastAsia="Arial" w:hAnsi="Arial" w:cs="Arial"/>
                <w:color w:val="000000"/>
                <w:sz w:val="25"/>
              </w:rPr>
              <w:t xml:space="preserve"> </w:t>
            </w:r>
          </w:p>
        </w:tc>
        <w:tc>
          <w:tcPr>
            <w:tcW w:w="1224" w:type="dxa"/>
            <w:tcBorders>
              <w:top w:val="nil"/>
              <w:left w:val="nil"/>
              <w:bottom w:val="nil"/>
              <w:right w:val="nil"/>
            </w:tcBorders>
          </w:tcPr>
          <w:p w:rsidR="00DC6C4D" w:rsidRPr="00DC6C4D" w:rsidRDefault="00DC6C4D" w:rsidP="00BA4EE6">
            <w:pPr>
              <w:ind w:left="720"/>
              <w:contextualSpacing/>
              <w:jc w:val="both"/>
              <w:rPr>
                <w:rFonts w:ascii="Arial" w:eastAsia="Arial" w:hAnsi="Arial" w:cs="Arial"/>
                <w:color w:val="000000"/>
                <w:sz w:val="25"/>
              </w:rPr>
            </w:pPr>
          </w:p>
        </w:tc>
      </w:tr>
      <w:tr w:rsidR="00DC6C4D" w:rsidRPr="00DC6C4D" w:rsidTr="00967416">
        <w:trPr>
          <w:trHeight w:val="419"/>
        </w:trPr>
        <w:tc>
          <w:tcPr>
            <w:tcW w:w="7442" w:type="dxa"/>
            <w:tcBorders>
              <w:top w:val="nil"/>
              <w:left w:val="nil"/>
              <w:bottom w:val="nil"/>
              <w:right w:val="nil"/>
            </w:tcBorders>
          </w:tcPr>
          <w:p w:rsidR="00DC6C4D" w:rsidRPr="00DC6C4D" w:rsidRDefault="00DC6C4D" w:rsidP="00967416">
            <w:pPr>
              <w:contextualSpacing/>
              <w:jc w:val="both"/>
              <w:rPr>
                <w:rFonts w:ascii="Arial" w:eastAsia="Arial" w:hAnsi="Arial" w:cs="Arial"/>
                <w:color w:val="000000"/>
                <w:sz w:val="25"/>
              </w:rPr>
            </w:pPr>
            <w:r w:rsidRPr="00DC6C4D">
              <w:rPr>
                <w:rFonts w:ascii="Arial" w:eastAsia="Arial" w:hAnsi="Arial" w:cs="Arial"/>
                <w:b/>
                <w:color w:val="000000"/>
                <w:sz w:val="25"/>
              </w:rPr>
              <w:t xml:space="preserve">METU, LINDA SELINA </w:t>
            </w:r>
          </w:p>
        </w:tc>
        <w:tc>
          <w:tcPr>
            <w:tcW w:w="1224" w:type="dxa"/>
            <w:tcBorders>
              <w:top w:val="nil"/>
              <w:left w:val="nil"/>
              <w:bottom w:val="nil"/>
              <w:right w:val="nil"/>
            </w:tcBorders>
          </w:tcPr>
          <w:p w:rsidR="00DC6C4D" w:rsidRPr="00DC6C4D" w:rsidRDefault="00DC6C4D" w:rsidP="00967416">
            <w:pPr>
              <w:ind w:left="720" w:right="72"/>
              <w:contextualSpacing/>
              <w:jc w:val="right"/>
              <w:rPr>
                <w:rFonts w:ascii="Arial" w:eastAsia="Arial" w:hAnsi="Arial" w:cs="Arial"/>
                <w:color w:val="000000"/>
                <w:sz w:val="25"/>
              </w:rPr>
            </w:pPr>
            <w:r w:rsidRPr="00DC6C4D">
              <w:rPr>
                <w:rFonts w:ascii="Arial" w:eastAsia="Arial" w:hAnsi="Arial" w:cs="Arial"/>
                <w:color w:val="000000"/>
                <w:sz w:val="25"/>
              </w:rPr>
              <w:t xml:space="preserve">Plaintiff </w:t>
            </w:r>
          </w:p>
        </w:tc>
      </w:tr>
      <w:tr w:rsidR="00DC6C4D" w:rsidRPr="00DC6C4D" w:rsidTr="00967416">
        <w:trPr>
          <w:trHeight w:val="407"/>
        </w:trPr>
        <w:tc>
          <w:tcPr>
            <w:tcW w:w="7442" w:type="dxa"/>
            <w:tcBorders>
              <w:top w:val="nil"/>
              <w:left w:val="nil"/>
              <w:bottom w:val="nil"/>
              <w:right w:val="nil"/>
            </w:tcBorders>
          </w:tcPr>
          <w:p w:rsidR="00DC6C4D" w:rsidRPr="00DC6C4D" w:rsidRDefault="00DC6C4D" w:rsidP="00BA4EE6">
            <w:pPr>
              <w:ind w:left="720"/>
              <w:contextualSpacing/>
              <w:jc w:val="both"/>
              <w:rPr>
                <w:rFonts w:ascii="Arial" w:eastAsia="Arial" w:hAnsi="Arial" w:cs="Arial"/>
                <w:color w:val="000000"/>
                <w:sz w:val="25"/>
              </w:rPr>
            </w:pPr>
            <w:r w:rsidRPr="00DC6C4D">
              <w:rPr>
                <w:rFonts w:ascii="Arial" w:eastAsia="Arial" w:hAnsi="Arial" w:cs="Arial"/>
                <w:b/>
                <w:color w:val="000000"/>
                <w:sz w:val="25"/>
              </w:rPr>
              <w:t xml:space="preserve"> </w:t>
            </w:r>
          </w:p>
        </w:tc>
        <w:tc>
          <w:tcPr>
            <w:tcW w:w="1224" w:type="dxa"/>
            <w:tcBorders>
              <w:top w:val="nil"/>
              <w:left w:val="nil"/>
              <w:bottom w:val="nil"/>
              <w:right w:val="nil"/>
            </w:tcBorders>
          </w:tcPr>
          <w:p w:rsidR="00DC6C4D" w:rsidRPr="00DC6C4D" w:rsidRDefault="00DC6C4D" w:rsidP="00BA4EE6">
            <w:pPr>
              <w:ind w:left="720"/>
              <w:contextualSpacing/>
              <w:jc w:val="both"/>
              <w:rPr>
                <w:rFonts w:ascii="Arial" w:eastAsia="Arial" w:hAnsi="Arial" w:cs="Arial"/>
                <w:color w:val="000000"/>
                <w:sz w:val="25"/>
              </w:rPr>
            </w:pPr>
            <w:r w:rsidRPr="00DC6C4D">
              <w:rPr>
                <w:rFonts w:ascii="Arial" w:eastAsia="Arial" w:hAnsi="Arial" w:cs="Arial"/>
                <w:color w:val="000000"/>
                <w:sz w:val="25"/>
              </w:rPr>
              <w:t xml:space="preserve"> </w:t>
            </w:r>
          </w:p>
        </w:tc>
      </w:tr>
      <w:tr w:rsidR="00DC6C4D" w:rsidRPr="00DC6C4D" w:rsidTr="00967416">
        <w:trPr>
          <w:trHeight w:val="408"/>
        </w:trPr>
        <w:tc>
          <w:tcPr>
            <w:tcW w:w="7442" w:type="dxa"/>
            <w:tcBorders>
              <w:top w:val="nil"/>
              <w:left w:val="nil"/>
              <w:bottom w:val="nil"/>
              <w:right w:val="nil"/>
            </w:tcBorders>
          </w:tcPr>
          <w:p w:rsidR="00DC6C4D" w:rsidRPr="00DC6C4D" w:rsidRDefault="00DC6C4D" w:rsidP="00967416">
            <w:pPr>
              <w:contextualSpacing/>
              <w:jc w:val="both"/>
              <w:rPr>
                <w:rFonts w:ascii="Arial" w:eastAsia="Arial" w:hAnsi="Arial" w:cs="Arial"/>
                <w:color w:val="000000"/>
                <w:sz w:val="25"/>
              </w:rPr>
            </w:pPr>
            <w:r w:rsidRPr="00DC6C4D">
              <w:rPr>
                <w:rFonts w:ascii="Arial" w:eastAsia="Arial" w:hAnsi="Arial" w:cs="Arial"/>
                <w:color w:val="000000"/>
                <w:sz w:val="25"/>
              </w:rPr>
              <w:t xml:space="preserve">and </w:t>
            </w:r>
          </w:p>
        </w:tc>
        <w:tc>
          <w:tcPr>
            <w:tcW w:w="1224" w:type="dxa"/>
            <w:tcBorders>
              <w:top w:val="nil"/>
              <w:left w:val="nil"/>
              <w:bottom w:val="nil"/>
              <w:right w:val="nil"/>
            </w:tcBorders>
          </w:tcPr>
          <w:p w:rsidR="00DC6C4D" w:rsidRPr="00DC6C4D" w:rsidRDefault="00DC6C4D" w:rsidP="00BA4EE6">
            <w:pPr>
              <w:ind w:left="720"/>
              <w:contextualSpacing/>
              <w:jc w:val="both"/>
              <w:rPr>
                <w:rFonts w:ascii="Arial" w:eastAsia="Arial" w:hAnsi="Arial" w:cs="Arial"/>
                <w:color w:val="000000"/>
                <w:sz w:val="25"/>
              </w:rPr>
            </w:pPr>
            <w:r w:rsidRPr="00DC6C4D">
              <w:rPr>
                <w:rFonts w:ascii="Arial" w:eastAsia="Arial" w:hAnsi="Arial" w:cs="Arial"/>
                <w:color w:val="000000"/>
                <w:sz w:val="25"/>
              </w:rPr>
              <w:t xml:space="preserve"> </w:t>
            </w:r>
          </w:p>
        </w:tc>
      </w:tr>
      <w:tr w:rsidR="00DC6C4D" w:rsidRPr="00DC6C4D" w:rsidTr="00967416">
        <w:trPr>
          <w:trHeight w:val="408"/>
        </w:trPr>
        <w:tc>
          <w:tcPr>
            <w:tcW w:w="7442" w:type="dxa"/>
            <w:tcBorders>
              <w:top w:val="nil"/>
              <w:left w:val="nil"/>
              <w:bottom w:val="nil"/>
              <w:right w:val="nil"/>
            </w:tcBorders>
          </w:tcPr>
          <w:p w:rsidR="00DC6C4D" w:rsidRPr="00DC6C4D" w:rsidRDefault="00DC6C4D" w:rsidP="00BA4EE6">
            <w:pPr>
              <w:ind w:left="720"/>
              <w:contextualSpacing/>
              <w:jc w:val="both"/>
              <w:rPr>
                <w:rFonts w:ascii="Arial" w:eastAsia="Arial" w:hAnsi="Arial" w:cs="Arial"/>
                <w:color w:val="000000"/>
                <w:sz w:val="25"/>
              </w:rPr>
            </w:pPr>
            <w:r w:rsidRPr="00DC6C4D">
              <w:rPr>
                <w:rFonts w:ascii="Arial" w:eastAsia="Arial" w:hAnsi="Arial" w:cs="Arial"/>
                <w:color w:val="000000"/>
                <w:sz w:val="25"/>
              </w:rPr>
              <w:t xml:space="preserve"> </w:t>
            </w:r>
          </w:p>
        </w:tc>
        <w:tc>
          <w:tcPr>
            <w:tcW w:w="1224" w:type="dxa"/>
            <w:tcBorders>
              <w:top w:val="nil"/>
              <w:left w:val="nil"/>
              <w:bottom w:val="nil"/>
              <w:right w:val="nil"/>
            </w:tcBorders>
          </w:tcPr>
          <w:p w:rsidR="00DC6C4D" w:rsidRPr="00DC6C4D" w:rsidRDefault="00DC6C4D" w:rsidP="00BA4EE6">
            <w:pPr>
              <w:ind w:left="720"/>
              <w:contextualSpacing/>
              <w:jc w:val="both"/>
              <w:rPr>
                <w:rFonts w:ascii="Arial" w:eastAsia="Arial" w:hAnsi="Arial" w:cs="Arial"/>
                <w:color w:val="000000"/>
                <w:sz w:val="25"/>
              </w:rPr>
            </w:pPr>
            <w:r w:rsidRPr="00DC6C4D">
              <w:rPr>
                <w:rFonts w:ascii="Arial" w:eastAsia="Arial" w:hAnsi="Arial" w:cs="Arial"/>
                <w:color w:val="000000"/>
                <w:sz w:val="25"/>
              </w:rPr>
              <w:t xml:space="preserve"> </w:t>
            </w:r>
          </w:p>
        </w:tc>
      </w:tr>
      <w:tr w:rsidR="00DC6C4D" w:rsidRPr="00DC6C4D" w:rsidTr="00967416">
        <w:trPr>
          <w:trHeight w:val="343"/>
        </w:trPr>
        <w:tc>
          <w:tcPr>
            <w:tcW w:w="7442" w:type="dxa"/>
            <w:tcBorders>
              <w:top w:val="nil"/>
              <w:left w:val="nil"/>
              <w:bottom w:val="nil"/>
              <w:right w:val="nil"/>
            </w:tcBorders>
          </w:tcPr>
          <w:p w:rsidR="00DC6C4D" w:rsidRPr="00DC6C4D" w:rsidRDefault="00DC6C4D" w:rsidP="00967416">
            <w:pPr>
              <w:contextualSpacing/>
              <w:jc w:val="both"/>
              <w:rPr>
                <w:rFonts w:ascii="Arial" w:eastAsia="Arial" w:hAnsi="Arial" w:cs="Arial"/>
                <w:color w:val="000000"/>
                <w:sz w:val="25"/>
              </w:rPr>
            </w:pPr>
            <w:r w:rsidRPr="00DC6C4D">
              <w:rPr>
                <w:rFonts w:ascii="Arial" w:eastAsia="Arial" w:hAnsi="Arial" w:cs="Arial"/>
                <w:b/>
                <w:color w:val="000000"/>
                <w:sz w:val="25"/>
              </w:rPr>
              <w:t xml:space="preserve">ROAD ACCIDENT FUND  </w:t>
            </w:r>
          </w:p>
        </w:tc>
        <w:tc>
          <w:tcPr>
            <w:tcW w:w="1224" w:type="dxa"/>
            <w:tcBorders>
              <w:top w:val="nil"/>
              <w:left w:val="nil"/>
              <w:bottom w:val="nil"/>
              <w:right w:val="nil"/>
            </w:tcBorders>
          </w:tcPr>
          <w:p w:rsidR="00DC6C4D" w:rsidRPr="00DC6C4D" w:rsidRDefault="00DC6C4D" w:rsidP="00BA4EE6">
            <w:pPr>
              <w:ind w:left="720"/>
              <w:contextualSpacing/>
              <w:jc w:val="both"/>
              <w:rPr>
                <w:rFonts w:ascii="Arial" w:eastAsia="Arial" w:hAnsi="Arial" w:cs="Arial"/>
                <w:color w:val="000000"/>
                <w:sz w:val="25"/>
              </w:rPr>
            </w:pPr>
            <w:r w:rsidRPr="00DC6C4D">
              <w:rPr>
                <w:rFonts w:ascii="Arial" w:eastAsia="Arial" w:hAnsi="Arial" w:cs="Arial"/>
                <w:color w:val="000000"/>
                <w:sz w:val="25"/>
              </w:rPr>
              <w:t xml:space="preserve">Defendant </w:t>
            </w:r>
          </w:p>
        </w:tc>
      </w:tr>
    </w:tbl>
    <w:p w:rsidR="00BA4EE6" w:rsidRDefault="00BA4EE6" w:rsidP="00BA4EE6">
      <w:pPr>
        <w:spacing w:after="168"/>
        <w:jc w:val="both"/>
        <w:rPr>
          <w:rFonts w:ascii="Arial" w:eastAsia="Arial" w:hAnsi="Arial" w:cs="Arial"/>
          <w:color w:val="000000"/>
          <w:sz w:val="25"/>
          <w:lang w:eastAsia="en-ZA"/>
        </w:rPr>
      </w:pPr>
    </w:p>
    <w:p w:rsidR="00DD6583" w:rsidRDefault="00DD6583" w:rsidP="00967416">
      <w:pPr>
        <w:pBdr>
          <w:top w:val="single" w:sz="12" w:space="1" w:color="auto"/>
          <w:bottom w:val="single" w:sz="12" w:space="1" w:color="auto"/>
        </w:pBdr>
        <w:spacing w:after="168"/>
        <w:jc w:val="center"/>
        <w:rPr>
          <w:rFonts w:ascii="Arial" w:eastAsia="Arial" w:hAnsi="Arial" w:cs="Arial"/>
          <w:color w:val="000000"/>
          <w:sz w:val="25"/>
          <w:lang w:eastAsia="en-ZA"/>
        </w:rPr>
      </w:pPr>
    </w:p>
    <w:p w:rsidR="00967416" w:rsidRDefault="00967416" w:rsidP="00967416">
      <w:pPr>
        <w:pBdr>
          <w:top w:val="single" w:sz="12" w:space="1" w:color="auto"/>
          <w:bottom w:val="single" w:sz="12" w:space="1" w:color="auto"/>
        </w:pBdr>
        <w:spacing w:after="168"/>
        <w:jc w:val="center"/>
        <w:rPr>
          <w:rFonts w:ascii="Arial" w:eastAsia="Arial" w:hAnsi="Arial" w:cs="Arial"/>
          <w:color w:val="000000"/>
          <w:sz w:val="25"/>
          <w:lang w:eastAsia="en-ZA"/>
        </w:rPr>
      </w:pPr>
      <w:r>
        <w:rPr>
          <w:rFonts w:ascii="Arial" w:eastAsia="Arial" w:hAnsi="Arial" w:cs="Arial"/>
          <w:color w:val="000000"/>
          <w:sz w:val="25"/>
          <w:lang w:eastAsia="en-ZA"/>
        </w:rPr>
        <w:t>JUDGEMENT</w:t>
      </w:r>
    </w:p>
    <w:p w:rsidR="00967416" w:rsidRDefault="00967416" w:rsidP="00967416">
      <w:pPr>
        <w:spacing w:line="480" w:lineRule="auto"/>
        <w:contextualSpacing/>
        <w:jc w:val="both"/>
        <w:rPr>
          <w:rFonts w:ascii="Arial" w:eastAsia="Arial" w:hAnsi="Arial" w:cs="Arial"/>
          <w:color w:val="000000"/>
          <w:sz w:val="25"/>
          <w:lang w:eastAsia="en-ZA"/>
        </w:rPr>
      </w:pPr>
    </w:p>
    <w:p w:rsidR="00967416" w:rsidRDefault="00DC6C4D" w:rsidP="00967416">
      <w:pPr>
        <w:spacing w:line="480" w:lineRule="auto"/>
        <w:contextualSpacing/>
        <w:jc w:val="both"/>
        <w:rPr>
          <w:rFonts w:ascii="Arial" w:eastAsia="Times New Roman" w:hAnsi="Arial" w:cs="Arial"/>
          <w:sz w:val="24"/>
          <w:szCs w:val="24"/>
          <w:u w:val="single"/>
          <w:lang w:val="en-US"/>
        </w:rPr>
      </w:pPr>
      <w:r w:rsidRPr="00DC6C4D">
        <w:rPr>
          <w:rFonts w:ascii="Arial" w:eastAsia="Times New Roman" w:hAnsi="Arial" w:cs="Arial"/>
          <w:sz w:val="24"/>
          <w:szCs w:val="24"/>
          <w:u w:val="single"/>
          <w:lang w:val="en-US"/>
        </w:rPr>
        <w:t>BOKAKO AJ;</w:t>
      </w:r>
    </w:p>
    <w:p w:rsidR="00BA4EE6" w:rsidRDefault="00DC6C4D" w:rsidP="00BA4EE6">
      <w:pPr>
        <w:spacing w:line="480" w:lineRule="auto"/>
        <w:contextualSpacing/>
        <w:jc w:val="both"/>
        <w:rPr>
          <w:rFonts w:ascii="Arial" w:eastAsia="Times New Roman" w:hAnsi="Arial" w:cs="Arial"/>
          <w:sz w:val="24"/>
          <w:szCs w:val="24"/>
          <w:u w:val="single"/>
          <w:lang w:val="en-US"/>
        </w:rPr>
      </w:pPr>
      <w:r w:rsidRPr="00DC6C4D">
        <w:rPr>
          <w:rFonts w:ascii="Arial" w:eastAsia="Times New Roman" w:hAnsi="Arial" w:cs="Arial"/>
          <w:sz w:val="24"/>
          <w:szCs w:val="24"/>
          <w:u w:val="single"/>
          <w:lang w:val="en-US"/>
        </w:rPr>
        <w:t xml:space="preserve">INTRODUCTION </w:t>
      </w:r>
    </w:p>
    <w:p w:rsidR="00967416" w:rsidRPr="00BA4EE6" w:rsidRDefault="00967416" w:rsidP="00BA4EE6">
      <w:pPr>
        <w:spacing w:line="480" w:lineRule="auto"/>
        <w:contextualSpacing/>
        <w:jc w:val="both"/>
        <w:rPr>
          <w:rFonts w:ascii="Arial" w:eastAsia="Times New Roman" w:hAnsi="Arial" w:cs="Arial"/>
          <w:sz w:val="24"/>
          <w:szCs w:val="24"/>
          <w:u w:val="single"/>
          <w:lang w:val="en-US"/>
        </w:rPr>
      </w:pPr>
    </w:p>
    <w:p w:rsidR="00DC6C4D" w:rsidRDefault="00DC6C4D" w:rsidP="00BA4EE6">
      <w:pPr>
        <w:numPr>
          <w:ilvl w:val="0"/>
          <w:numId w:val="2"/>
        </w:numPr>
        <w:spacing w:line="480" w:lineRule="auto"/>
        <w:contextualSpacing/>
        <w:jc w:val="both"/>
        <w:rPr>
          <w:rFonts w:ascii="Arial" w:eastAsia="Times New Roman" w:hAnsi="Arial" w:cs="Arial"/>
          <w:sz w:val="24"/>
          <w:szCs w:val="24"/>
          <w:lang w:val="en-US"/>
        </w:rPr>
      </w:pPr>
      <w:r w:rsidRPr="00DC6C4D">
        <w:rPr>
          <w:rFonts w:ascii="Arial" w:eastAsia="Times New Roman" w:hAnsi="Arial" w:cs="Arial"/>
          <w:sz w:val="24"/>
          <w:szCs w:val="24"/>
          <w:lang w:val="en-US"/>
        </w:rPr>
        <w:t xml:space="preserve">On 30 April 2016 at about 14h30 and at Smith Street, Johannesburg, the plaintiff sustained injuries from driving a motor vehicle bearing registration letters and numbers unknown to the plaintiff and the plaintiff being a pedestrian. The collision was caused entirely due to the sole negligence of the insured driver. </w:t>
      </w:r>
    </w:p>
    <w:p w:rsidR="00967416" w:rsidRPr="00DC6C4D" w:rsidRDefault="00967416" w:rsidP="00967416">
      <w:pPr>
        <w:spacing w:line="480" w:lineRule="auto"/>
        <w:ind w:left="720"/>
        <w:contextualSpacing/>
        <w:jc w:val="both"/>
        <w:rPr>
          <w:rFonts w:ascii="Arial" w:eastAsia="Times New Roman" w:hAnsi="Arial" w:cs="Arial"/>
          <w:sz w:val="24"/>
          <w:szCs w:val="24"/>
          <w:lang w:val="en-US"/>
        </w:rPr>
      </w:pPr>
    </w:p>
    <w:p w:rsidR="00DC6C4D" w:rsidRDefault="00DC6C4D" w:rsidP="00BA4EE6">
      <w:pPr>
        <w:numPr>
          <w:ilvl w:val="0"/>
          <w:numId w:val="2"/>
        </w:numPr>
        <w:spacing w:line="480" w:lineRule="auto"/>
        <w:contextualSpacing/>
        <w:jc w:val="both"/>
        <w:rPr>
          <w:rFonts w:ascii="Arial" w:eastAsia="Times New Roman" w:hAnsi="Arial" w:cs="Arial"/>
          <w:sz w:val="24"/>
          <w:szCs w:val="24"/>
        </w:rPr>
      </w:pPr>
      <w:r w:rsidRPr="00DC6C4D">
        <w:rPr>
          <w:rFonts w:ascii="Arial" w:eastAsia="Times New Roman" w:hAnsi="Arial" w:cs="Arial"/>
          <w:sz w:val="24"/>
          <w:szCs w:val="24"/>
          <w:lang w:val="en-US"/>
        </w:rPr>
        <w:t>The Plaintiff is Linda Selina Metu, a major</w:t>
      </w:r>
      <w:r w:rsidR="0076205E">
        <w:rPr>
          <w:rFonts w:ascii="Arial" w:eastAsia="Times New Roman" w:hAnsi="Arial" w:cs="Arial"/>
          <w:sz w:val="24"/>
          <w:szCs w:val="24"/>
          <w:lang w:val="en-US"/>
        </w:rPr>
        <w:t xml:space="preserve"> female infra worker, born on […]</w:t>
      </w:r>
      <w:r>
        <w:rPr>
          <w:rFonts w:ascii="Arial" w:eastAsia="Times New Roman" w:hAnsi="Arial" w:cs="Arial"/>
          <w:sz w:val="24"/>
          <w:szCs w:val="24"/>
          <w:lang w:val="en-US"/>
        </w:rPr>
        <w:t xml:space="preserve"> </w:t>
      </w:r>
      <w:r w:rsidR="0076205E">
        <w:rPr>
          <w:rFonts w:ascii="Arial" w:eastAsia="Times New Roman" w:hAnsi="Arial" w:cs="Arial"/>
          <w:sz w:val="24"/>
          <w:szCs w:val="24"/>
          <w:lang w:val="en-US"/>
        </w:rPr>
        <w:t xml:space="preserve">May […] and presently residing at […] </w:t>
      </w:r>
      <w:r w:rsidRPr="00DC6C4D">
        <w:rPr>
          <w:rFonts w:ascii="Arial" w:eastAsia="Times New Roman" w:hAnsi="Arial" w:cs="Arial"/>
          <w:sz w:val="24"/>
          <w:szCs w:val="24"/>
          <w:lang w:val="en-US"/>
        </w:rPr>
        <w:t xml:space="preserve"> Street, Coligny. </w:t>
      </w:r>
      <w:r w:rsidR="00967416">
        <w:rPr>
          <w:rFonts w:ascii="Arial" w:eastAsia="Times New Roman" w:hAnsi="Arial" w:cs="Arial"/>
          <w:sz w:val="24"/>
          <w:szCs w:val="24"/>
        </w:rPr>
        <w:t>Ms</w:t>
      </w:r>
      <w:r w:rsidRPr="00DC6C4D">
        <w:rPr>
          <w:rFonts w:ascii="Arial" w:eastAsia="Times New Roman" w:hAnsi="Arial" w:cs="Arial"/>
          <w:sz w:val="24"/>
          <w:szCs w:val="24"/>
        </w:rPr>
        <w:t xml:space="preserve"> Metu was injured due to an accident on 30 April 2016. </w:t>
      </w:r>
      <w:r w:rsidR="003633E8">
        <w:rPr>
          <w:rFonts w:ascii="Arial" w:eastAsia="Times New Roman" w:hAnsi="Arial" w:cs="Arial"/>
          <w:sz w:val="24"/>
          <w:szCs w:val="24"/>
        </w:rPr>
        <w:t>The P</w:t>
      </w:r>
      <w:r w:rsidRPr="00DC6C4D">
        <w:rPr>
          <w:rFonts w:ascii="Arial" w:eastAsia="Times New Roman" w:hAnsi="Arial" w:cs="Arial"/>
          <w:sz w:val="24"/>
          <w:szCs w:val="24"/>
        </w:rPr>
        <w:t>laintiff worked for Transnet as an Infra Worker at the accident date. She commenced service in 2015. She was reportedly off work for three months but was paid during this time. As a result, in 2018, she earned R12,095 pm (R145,140 pa).</w:t>
      </w:r>
    </w:p>
    <w:p w:rsidR="00967416" w:rsidRPr="00DC6C4D" w:rsidRDefault="00967416" w:rsidP="00967416">
      <w:pPr>
        <w:spacing w:line="480" w:lineRule="auto"/>
        <w:ind w:left="720"/>
        <w:contextualSpacing/>
        <w:jc w:val="both"/>
        <w:rPr>
          <w:rFonts w:ascii="Arial" w:eastAsia="Times New Roman" w:hAnsi="Arial" w:cs="Arial"/>
          <w:sz w:val="24"/>
          <w:szCs w:val="24"/>
        </w:rPr>
      </w:pPr>
    </w:p>
    <w:p w:rsidR="00DC6C4D" w:rsidRPr="00967416" w:rsidRDefault="003633E8" w:rsidP="00BA4EE6">
      <w:pPr>
        <w:numPr>
          <w:ilvl w:val="0"/>
          <w:numId w:val="2"/>
        </w:numPr>
        <w:spacing w:line="480" w:lineRule="auto"/>
        <w:contextualSpacing/>
        <w:jc w:val="both"/>
        <w:rPr>
          <w:rFonts w:ascii="Arial" w:eastAsia="Times New Roman" w:hAnsi="Arial" w:cs="Arial"/>
          <w:sz w:val="24"/>
          <w:szCs w:val="24"/>
          <w:lang w:val="en-US"/>
        </w:rPr>
      </w:pPr>
      <w:r>
        <w:rPr>
          <w:rFonts w:ascii="Arial" w:eastAsia="Times New Roman" w:hAnsi="Arial" w:cs="Arial"/>
          <w:color w:val="000000"/>
          <w:sz w:val="24"/>
          <w:szCs w:val="24"/>
          <w:lang w:val="en-US"/>
        </w:rPr>
        <w:t>The P</w:t>
      </w:r>
      <w:r w:rsidR="00DC6C4D" w:rsidRPr="00DC6C4D">
        <w:rPr>
          <w:rFonts w:ascii="Arial" w:eastAsia="Times New Roman" w:hAnsi="Arial" w:cs="Arial"/>
          <w:color w:val="000000"/>
          <w:sz w:val="24"/>
          <w:szCs w:val="24"/>
          <w:lang w:val="en-US"/>
        </w:rPr>
        <w:t>laintiff launched a claim against the Road Accident Fund in terms of Section 17 of the Road Accident Fund Act 56 of 1996, amended ("the Act), as a result of the injuries, and as fully set out in the Summons.</w:t>
      </w:r>
    </w:p>
    <w:p w:rsidR="00967416" w:rsidRPr="00DC6C4D" w:rsidRDefault="00967416" w:rsidP="00967416">
      <w:pPr>
        <w:spacing w:line="480" w:lineRule="auto"/>
        <w:contextualSpacing/>
        <w:jc w:val="both"/>
        <w:rPr>
          <w:rFonts w:ascii="Arial" w:eastAsia="Times New Roman" w:hAnsi="Arial" w:cs="Arial"/>
          <w:sz w:val="24"/>
          <w:szCs w:val="24"/>
          <w:lang w:val="en-US"/>
        </w:rPr>
      </w:pPr>
    </w:p>
    <w:p w:rsidR="00967416" w:rsidRPr="00DC6C4D" w:rsidRDefault="00DC6C4D" w:rsidP="00967416">
      <w:pPr>
        <w:numPr>
          <w:ilvl w:val="0"/>
          <w:numId w:val="2"/>
        </w:numPr>
        <w:spacing w:line="480" w:lineRule="auto"/>
        <w:contextualSpacing/>
        <w:jc w:val="both"/>
        <w:rPr>
          <w:rFonts w:ascii="Arial" w:eastAsia="Times New Roman" w:hAnsi="Arial" w:cs="Arial"/>
          <w:sz w:val="24"/>
          <w:szCs w:val="24"/>
          <w:lang w:val="en-US"/>
        </w:rPr>
      </w:pPr>
      <w:r w:rsidRPr="00DC6C4D">
        <w:rPr>
          <w:rFonts w:ascii="Arial" w:eastAsia="Times New Roman" w:hAnsi="Arial" w:cs="Arial"/>
          <w:sz w:val="24"/>
          <w:szCs w:val="24"/>
        </w:rPr>
        <w:t>The matter proceeds only regarding quantum, as the merits were previously settled 90% in favour of</w:t>
      </w:r>
      <w:r w:rsidR="003633E8">
        <w:rPr>
          <w:rFonts w:ascii="Arial" w:eastAsia="Times New Roman" w:hAnsi="Arial" w:cs="Arial"/>
          <w:sz w:val="24"/>
          <w:szCs w:val="24"/>
        </w:rPr>
        <w:t xml:space="preserve"> the P</w:t>
      </w:r>
      <w:r w:rsidRPr="00DC6C4D">
        <w:rPr>
          <w:rFonts w:ascii="Arial" w:eastAsia="Times New Roman" w:hAnsi="Arial" w:cs="Arial"/>
          <w:sz w:val="24"/>
          <w:szCs w:val="24"/>
        </w:rPr>
        <w:t>laintiff. The matter was enrolled for trial and came before me on 24 April 2023. Advocate</w:t>
      </w:r>
      <w:r w:rsidRPr="00DC6C4D">
        <w:rPr>
          <w:rFonts w:ascii="Calibri" w:eastAsia="Calibri" w:hAnsi="Calibri" w:cs="Times New Roman"/>
        </w:rPr>
        <w:t xml:space="preserve"> </w:t>
      </w:r>
      <w:r w:rsidRPr="00DC6C4D">
        <w:rPr>
          <w:rFonts w:ascii="Arial" w:eastAsia="Times New Roman" w:hAnsi="Arial" w:cs="Arial"/>
          <w:sz w:val="24"/>
          <w:szCs w:val="24"/>
        </w:rPr>
        <w:t xml:space="preserve">Van der Berg appeared for the Plaintiff and Advocate Mabena </w:t>
      </w:r>
      <w:r w:rsidR="003633E8">
        <w:rPr>
          <w:rFonts w:ascii="Arial" w:eastAsia="Times New Roman" w:hAnsi="Arial" w:cs="Arial"/>
          <w:sz w:val="24"/>
          <w:szCs w:val="24"/>
        </w:rPr>
        <w:t>for the D</w:t>
      </w:r>
      <w:r w:rsidRPr="00DC6C4D">
        <w:rPr>
          <w:rFonts w:ascii="Arial" w:eastAsia="Times New Roman" w:hAnsi="Arial" w:cs="Arial"/>
          <w:sz w:val="24"/>
          <w:szCs w:val="24"/>
        </w:rPr>
        <w:t xml:space="preserve">efendant. Proof of service of the notice of set </w:t>
      </w:r>
      <w:r w:rsidRPr="00DC6C4D">
        <w:rPr>
          <w:rFonts w:ascii="Arial" w:eastAsia="Times New Roman" w:hAnsi="Arial" w:cs="Arial"/>
          <w:sz w:val="24"/>
          <w:szCs w:val="24"/>
        </w:rPr>
        <w:lastRenderedPageBreak/>
        <w:t>down directly on RAF has been filed. The State Attorney now represents RAF after parting ways with its earlier-appointed attorneys. This judgment was reserved after the Court had listened to brief oral submissions by both</w:t>
      </w:r>
      <w:r w:rsidR="003633E8">
        <w:rPr>
          <w:rFonts w:ascii="Arial" w:eastAsia="Times New Roman" w:hAnsi="Arial" w:cs="Arial"/>
          <w:sz w:val="24"/>
          <w:szCs w:val="24"/>
        </w:rPr>
        <w:t xml:space="preserve"> C</w:t>
      </w:r>
      <w:r w:rsidRPr="00DC6C4D">
        <w:rPr>
          <w:rFonts w:ascii="Arial" w:eastAsia="Times New Roman" w:hAnsi="Arial" w:cs="Arial"/>
          <w:sz w:val="24"/>
          <w:szCs w:val="24"/>
        </w:rPr>
        <w:t>ounsels.</w:t>
      </w:r>
    </w:p>
    <w:p w:rsidR="00DC6C4D" w:rsidRPr="00DC6C4D" w:rsidRDefault="00DC6C4D" w:rsidP="00BA4EE6">
      <w:pPr>
        <w:spacing w:line="480" w:lineRule="auto"/>
        <w:ind w:left="720" w:hanging="720"/>
        <w:jc w:val="both"/>
        <w:rPr>
          <w:rFonts w:ascii="Arial" w:eastAsia="Times New Roman" w:hAnsi="Arial" w:cs="Arial"/>
          <w:sz w:val="24"/>
          <w:szCs w:val="24"/>
          <w:lang w:val="en-US"/>
        </w:rPr>
      </w:pPr>
      <w:r w:rsidRPr="00DC6C4D">
        <w:rPr>
          <w:rFonts w:ascii="Arial" w:eastAsia="Times New Roman" w:hAnsi="Arial" w:cs="Arial"/>
          <w:sz w:val="24"/>
          <w:szCs w:val="24"/>
          <w:lang w:val="en-US"/>
        </w:rPr>
        <w:t>5.</w:t>
      </w:r>
      <w:r w:rsidRPr="00DC6C4D">
        <w:rPr>
          <w:rFonts w:ascii="Arial" w:eastAsia="Times New Roman" w:hAnsi="Arial" w:cs="Arial"/>
          <w:sz w:val="24"/>
          <w:szCs w:val="24"/>
          <w:lang w:val="en-US"/>
        </w:rPr>
        <w:tab/>
      </w:r>
      <w:r w:rsidRPr="00DC6C4D">
        <w:rPr>
          <w:rFonts w:ascii="Arial" w:eastAsia="Times New Roman" w:hAnsi="Arial" w:cs="Arial"/>
          <w:sz w:val="24"/>
          <w:szCs w:val="24"/>
        </w:rPr>
        <w:t xml:space="preserve">On 7 April </w:t>
      </w:r>
      <w:r w:rsidR="003633E8">
        <w:rPr>
          <w:rFonts w:ascii="Arial" w:eastAsia="Times New Roman" w:hAnsi="Arial" w:cs="Arial"/>
          <w:sz w:val="24"/>
          <w:szCs w:val="24"/>
        </w:rPr>
        <w:t>2019, the HPCSA found that the P</w:t>
      </w:r>
      <w:r w:rsidRPr="00DC6C4D">
        <w:rPr>
          <w:rFonts w:ascii="Arial" w:eastAsia="Times New Roman" w:hAnsi="Arial" w:cs="Arial"/>
          <w:sz w:val="24"/>
          <w:szCs w:val="24"/>
        </w:rPr>
        <w:t xml:space="preserve">laintiff does qualify for general damages. </w:t>
      </w:r>
    </w:p>
    <w:p w:rsidR="00DC6C4D" w:rsidRPr="00DC6C4D" w:rsidRDefault="00DC6C4D" w:rsidP="00BA4EE6">
      <w:pPr>
        <w:spacing w:line="480" w:lineRule="auto"/>
        <w:ind w:left="720" w:hanging="720"/>
        <w:jc w:val="both"/>
        <w:rPr>
          <w:rFonts w:ascii="Arial" w:eastAsia="Times New Roman" w:hAnsi="Arial" w:cs="Arial"/>
          <w:sz w:val="24"/>
          <w:szCs w:val="24"/>
          <w:lang w:val="en-US"/>
        </w:rPr>
      </w:pPr>
      <w:r w:rsidRPr="00DC6C4D">
        <w:rPr>
          <w:rFonts w:ascii="Arial" w:eastAsia="Times New Roman" w:hAnsi="Arial" w:cs="Arial"/>
          <w:sz w:val="24"/>
          <w:szCs w:val="24"/>
          <w:lang w:val="en-US"/>
        </w:rPr>
        <w:t>6.</w:t>
      </w:r>
      <w:r w:rsidRPr="00DC6C4D">
        <w:rPr>
          <w:rFonts w:ascii="Arial" w:eastAsia="Times New Roman" w:hAnsi="Arial" w:cs="Arial"/>
          <w:sz w:val="24"/>
          <w:szCs w:val="24"/>
          <w:lang w:val="en-US"/>
        </w:rPr>
        <w:tab/>
        <w:t>The Plaintiff demonstrated in her founding affidavit that the reasons for using the deposition for evidence are that the defendant did not intend to cross-examine experts regarding loss of earnings. Furthermore, the application of contingencies on the actuarial report is within the discretion of the Court, and it is more cost-effective to use an expert affidavit than to give evidence in person.</w:t>
      </w:r>
    </w:p>
    <w:p w:rsidR="00DC6C4D" w:rsidRPr="00DC6C4D" w:rsidRDefault="00DC6C4D" w:rsidP="00BA4EE6">
      <w:pPr>
        <w:spacing w:line="480" w:lineRule="auto"/>
        <w:ind w:left="720" w:hanging="720"/>
        <w:jc w:val="both"/>
        <w:rPr>
          <w:rFonts w:ascii="Arial" w:eastAsia="Times New Roman" w:hAnsi="Arial" w:cs="Arial"/>
          <w:sz w:val="24"/>
          <w:szCs w:val="24"/>
          <w:lang w:val="en-US"/>
        </w:rPr>
      </w:pPr>
      <w:r w:rsidRPr="00DC6C4D">
        <w:rPr>
          <w:rFonts w:ascii="Arial" w:eastAsia="Times New Roman" w:hAnsi="Arial" w:cs="Arial"/>
          <w:sz w:val="24"/>
          <w:szCs w:val="24"/>
          <w:lang w:val="en-US"/>
        </w:rPr>
        <w:t>7.</w:t>
      </w:r>
      <w:r w:rsidRPr="00DC6C4D">
        <w:rPr>
          <w:rFonts w:ascii="Arial" w:eastAsia="Times New Roman" w:hAnsi="Arial" w:cs="Arial"/>
          <w:sz w:val="24"/>
          <w:szCs w:val="24"/>
          <w:lang w:val="en-US"/>
        </w:rPr>
        <w:tab/>
        <w:t>I do not doubt that, g</w:t>
      </w:r>
      <w:r w:rsidR="003633E8">
        <w:rPr>
          <w:rFonts w:ascii="Arial" w:eastAsia="Times New Roman" w:hAnsi="Arial" w:cs="Arial"/>
          <w:sz w:val="24"/>
          <w:szCs w:val="24"/>
          <w:lang w:val="en-US"/>
        </w:rPr>
        <w:t>iven the current status of the D</w:t>
      </w:r>
      <w:r w:rsidRPr="00DC6C4D">
        <w:rPr>
          <w:rFonts w:ascii="Arial" w:eastAsia="Times New Roman" w:hAnsi="Arial" w:cs="Arial"/>
          <w:sz w:val="24"/>
          <w:szCs w:val="24"/>
          <w:lang w:val="en-US"/>
        </w:rPr>
        <w:t>efendant, it would most likely be conv</w:t>
      </w:r>
      <w:r w:rsidR="003633E8">
        <w:rPr>
          <w:rFonts w:ascii="Arial" w:eastAsia="Times New Roman" w:hAnsi="Arial" w:cs="Arial"/>
          <w:sz w:val="24"/>
          <w:szCs w:val="24"/>
          <w:lang w:val="en-US"/>
        </w:rPr>
        <w:t>enient and justifiable for the P</w:t>
      </w:r>
      <w:r w:rsidRPr="00DC6C4D">
        <w:rPr>
          <w:rFonts w:ascii="Arial" w:eastAsia="Times New Roman" w:hAnsi="Arial" w:cs="Arial"/>
          <w:sz w:val="24"/>
          <w:szCs w:val="24"/>
          <w:lang w:val="en-US"/>
        </w:rPr>
        <w:t>laintiff to lead evidence by way of an affidavit. Accordingly, I fi</w:t>
      </w:r>
      <w:r w:rsidR="003633E8">
        <w:rPr>
          <w:rFonts w:ascii="Arial" w:eastAsia="Times New Roman" w:hAnsi="Arial" w:cs="Arial"/>
          <w:sz w:val="24"/>
          <w:szCs w:val="24"/>
          <w:lang w:val="en-US"/>
        </w:rPr>
        <w:t>nd that the P</w:t>
      </w:r>
      <w:r w:rsidRPr="00DC6C4D">
        <w:rPr>
          <w:rFonts w:ascii="Arial" w:eastAsia="Times New Roman" w:hAnsi="Arial" w:cs="Arial"/>
          <w:sz w:val="24"/>
          <w:szCs w:val="24"/>
          <w:lang w:val="en-US"/>
        </w:rPr>
        <w:t xml:space="preserve">laintiff complied with the Rules of the Court in </w:t>
      </w:r>
      <w:r w:rsidR="003633E8">
        <w:rPr>
          <w:rFonts w:ascii="Arial" w:eastAsia="Times New Roman" w:hAnsi="Arial" w:cs="Arial"/>
          <w:sz w:val="24"/>
          <w:szCs w:val="24"/>
          <w:lang w:val="en-US"/>
        </w:rPr>
        <w:t>giving the D</w:t>
      </w:r>
      <w:r w:rsidRPr="00DC6C4D">
        <w:rPr>
          <w:rFonts w:ascii="Arial" w:eastAsia="Times New Roman" w:hAnsi="Arial" w:cs="Arial"/>
          <w:sz w:val="24"/>
          <w:szCs w:val="24"/>
          <w:lang w:val="en-US"/>
        </w:rPr>
        <w:t xml:space="preserve">efendant reasonable notice of such an application. </w:t>
      </w:r>
    </w:p>
    <w:p w:rsidR="00DC6C4D" w:rsidRPr="00DC6C4D" w:rsidRDefault="00DC6C4D" w:rsidP="00BA4EE6">
      <w:pPr>
        <w:spacing w:line="480" w:lineRule="auto"/>
        <w:ind w:left="720" w:hanging="720"/>
        <w:jc w:val="both"/>
        <w:rPr>
          <w:rFonts w:ascii="Arial" w:eastAsia="Times New Roman" w:hAnsi="Arial" w:cs="Arial"/>
          <w:sz w:val="24"/>
          <w:szCs w:val="24"/>
          <w:lang w:val="en-US"/>
        </w:rPr>
      </w:pPr>
      <w:r w:rsidRPr="00DC6C4D">
        <w:rPr>
          <w:rFonts w:ascii="Arial" w:eastAsia="Times New Roman" w:hAnsi="Arial" w:cs="Arial"/>
          <w:sz w:val="24"/>
          <w:szCs w:val="24"/>
          <w:lang w:val="en-US"/>
        </w:rPr>
        <w:t>8.</w:t>
      </w:r>
      <w:r w:rsidRPr="00DC6C4D">
        <w:rPr>
          <w:rFonts w:ascii="Arial" w:eastAsia="Times New Roman" w:hAnsi="Arial" w:cs="Arial"/>
          <w:sz w:val="24"/>
          <w:szCs w:val="24"/>
          <w:lang w:val="en-US"/>
        </w:rPr>
        <w:tab/>
        <w:t>Counsel for the Plaintiff submitted that the issues f</w:t>
      </w:r>
      <w:r w:rsidR="003633E8">
        <w:rPr>
          <w:rFonts w:ascii="Arial" w:eastAsia="Times New Roman" w:hAnsi="Arial" w:cs="Arial"/>
          <w:sz w:val="24"/>
          <w:szCs w:val="24"/>
          <w:lang w:val="en-US"/>
        </w:rPr>
        <w:t>or determination concerned the P</w:t>
      </w:r>
      <w:r w:rsidRPr="00DC6C4D">
        <w:rPr>
          <w:rFonts w:ascii="Arial" w:eastAsia="Times New Roman" w:hAnsi="Arial" w:cs="Arial"/>
          <w:sz w:val="24"/>
          <w:szCs w:val="24"/>
          <w:lang w:val="en-US"/>
        </w:rPr>
        <w:t>laintiff's loss of earnings or earning capacity and general damages.</w:t>
      </w:r>
    </w:p>
    <w:p w:rsidR="00DC6C4D" w:rsidRPr="00DC6C4D" w:rsidRDefault="00DC6C4D" w:rsidP="00DD6583">
      <w:pPr>
        <w:spacing w:line="480" w:lineRule="auto"/>
        <w:ind w:firstLine="720"/>
        <w:jc w:val="both"/>
        <w:rPr>
          <w:rFonts w:ascii="Arial" w:eastAsia="Times New Roman" w:hAnsi="Arial" w:cs="Arial"/>
          <w:sz w:val="24"/>
          <w:szCs w:val="24"/>
          <w:u w:val="single"/>
          <w:lang w:val="en-US"/>
        </w:rPr>
      </w:pPr>
      <w:r w:rsidRPr="00DC6C4D">
        <w:rPr>
          <w:rFonts w:ascii="Arial" w:eastAsia="Times New Roman" w:hAnsi="Arial" w:cs="Arial"/>
          <w:sz w:val="24"/>
          <w:szCs w:val="24"/>
          <w:u w:val="single"/>
          <w:lang w:val="en-US"/>
        </w:rPr>
        <w:t>Loss of earnings or earning capacity</w:t>
      </w:r>
    </w:p>
    <w:p w:rsidR="00DC6C4D" w:rsidRPr="00DC6C4D" w:rsidRDefault="00DC6C4D" w:rsidP="00BA4EE6">
      <w:pPr>
        <w:spacing w:line="480" w:lineRule="auto"/>
        <w:ind w:left="720" w:hanging="720"/>
        <w:jc w:val="both"/>
        <w:rPr>
          <w:rFonts w:ascii="Arial" w:eastAsia="Times New Roman" w:hAnsi="Arial" w:cs="Arial"/>
          <w:sz w:val="24"/>
          <w:szCs w:val="24"/>
        </w:rPr>
      </w:pPr>
      <w:r w:rsidRPr="00DC6C4D">
        <w:rPr>
          <w:rFonts w:ascii="Arial" w:eastAsia="Times New Roman" w:hAnsi="Arial" w:cs="Arial"/>
          <w:sz w:val="24"/>
          <w:szCs w:val="24"/>
          <w:lang w:val="en-US"/>
        </w:rPr>
        <w:t>9.</w:t>
      </w:r>
      <w:r w:rsidRPr="00DC6C4D">
        <w:rPr>
          <w:rFonts w:ascii="Arial" w:eastAsia="Times New Roman" w:hAnsi="Arial" w:cs="Arial"/>
          <w:sz w:val="24"/>
          <w:szCs w:val="24"/>
          <w:lang w:val="en-US"/>
        </w:rPr>
        <w:tab/>
        <w:t>The Plaintiff served the following reports in support of his claim for loss of earnings: -</w:t>
      </w:r>
      <w:r w:rsidRPr="00DC6C4D">
        <w:rPr>
          <w:rFonts w:ascii="Calibri" w:eastAsia="Calibri" w:hAnsi="Calibri" w:cs="Times New Roman"/>
          <w:color w:val="FF0000"/>
        </w:rPr>
        <w:t xml:space="preserve"> </w:t>
      </w:r>
      <w:r w:rsidRPr="00DC6C4D">
        <w:rPr>
          <w:rFonts w:ascii="Arial" w:eastAsia="Times New Roman" w:hAnsi="Arial" w:cs="Arial"/>
          <w:sz w:val="24"/>
          <w:szCs w:val="24"/>
        </w:rPr>
        <w:t>Dr. Naidoo (specialist psychiatrist</w:t>
      </w:r>
      <w:r w:rsidRPr="00DC6C4D">
        <w:rPr>
          <w:rFonts w:ascii="Arial" w:eastAsia="Times New Roman" w:hAnsi="Arial" w:cs="Arial"/>
          <w:sz w:val="24"/>
          <w:szCs w:val="24"/>
          <w:lang w:val="en-US"/>
        </w:rPr>
        <w:t xml:space="preserve">), </w:t>
      </w:r>
      <w:r w:rsidRPr="00DC6C4D">
        <w:rPr>
          <w:rFonts w:ascii="Arial" w:eastAsia="Times New Roman" w:hAnsi="Arial" w:cs="Arial"/>
          <w:sz w:val="24"/>
          <w:szCs w:val="24"/>
        </w:rPr>
        <w:t>Rolene Hovsha (clinical psychologist), Dr. Berkowitz (plastic surgeon),</w:t>
      </w:r>
      <w:r w:rsidRPr="00DC6C4D">
        <w:rPr>
          <w:rFonts w:ascii="Arial" w:eastAsia="Arial" w:hAnsi="Arial" w:cs="Arial"/>
          <w:color w:val="000000"/>
          <w:sz w:val="25"/>
          <w:lang w:eastAsia="en-ZA"/>
        </w:rPr>
        <w:t xml:space="preserve"> </w:t>
      </w:r>
      <w:r w:rsidRPr="00DC6C4D">
        <w:rPr>
          <w:rFonts w:ascii="Arial" w:eastAsia="Times New Roman" w:hAnsi="Arial" w:cs="Arial"/>
          <w:sz w:val="24"/>
          <w:szCs w:val="24"/>
        </w:rPr>
        <w:t>Dr. Reid (orthopedic surgeon),</w:t>
      </w:r>
      <w:r w:rsidRPr="00DC6C4D">
        <w:rPr>
          <w:rFonts w:ascii="Arial" w:eastAsia="Arial" w:hAnsi="Arial" w:cs="Arial"/>
          <w:color w:val="000000"/>
          <w:sz w:val="25"/>
          <w:lang w:eastAsia="en-ZA"/>
        </w:rPr>
        <w:t xml:space="preserve"> </w:t>
      </w:r>
      <w:bookmarkStart w:id="0" w:name="_Hlk136089617"/>
      <w:r w:rsidRPr="00DC6C4D">
        <w:rPr>
          <w:rFonts w:ascii="Arial" w:eastAsia="Times New Roman" w:hAnsi="Arial" w:cs="Arial"/>
          <w:sz w:val="24"/>
          <w:szCs w:val="24"/>
        </w:rPr>
        <w:t xml:space="preserve">Joanne Tarry </w:t>
      </w:r>
      <w:bookmarkEnd w:id="0"/>
      <w:r w:rsidRPr="00DC6C4D">
        <w:rPr>
          <w:rFonts w:ascii="Arial" w:eastAsia="Times New Roman" w:hAnsi="Arial" w:cs="Arial"/>
          <w:sz w:val="24"/>
          <w:szCs w:val="24"/>
        </w:rPr>
        <w:t>(occupational therapist),</w:t>
      </w:r>
      <w:r w:rsidRPr="00DC6C4D">
        <w:rPr>
          <w:rFonts w:ascii="Arial" w:eastAsia="Arial" w:hAnsi="Arial" w:cs="Arial"/>
          <w:color w:val="000000"/>
          <w:sz w:val="25"/>
          <w:lang w:eastAsia="en-ZA"/>
        </w:rPr>
        <w:t xml:space="preserve"> </w:t>
      </w:r>
      <w:r w:rsidRPr="00DC6C4D">
        <w:rPr>
          <w:rFonts w:ascii="Arial" w:eastAsia="Times New Roman" w:hAnsi="Arial" w:cs="Arial"/>
          <w:sz w:val="24"/>
          <w:szCs w:val="24"/>
        </w:rPr>
        <w:t xml:space="preserve">Lewis Rosen (industrial psychologist) and an actuarial calculation was obtained from Ivan Kramer CC. </w:t>
      </w:r>
    </w:p>
    <w:p w:rsidR="00DC6C4D" w:rsidRPr="00DC6C4D" w:rsidRDefault="00DC6C4D" w:rsidP="00BA4EE6">
      <w:pPr>
        <w:spacing w:line="480" w:lineRule="auto"/>
        <w:ind w:left="720" w:hanging="720"/>
        <w:jc w:val="both"/>
        <w:rPr>
          <w:rFonts w:ascii="Arial" w:eastAsia="Times New Roman" w:hAnsi="Arial" w:cs="Arial"/>
          <w:sz w:val="24"/>
          <w:szCs w:val="24"/>
          <w:lang w:val="en-US"/>
        </w:rPr>
      </w:pPr>
      <w:r w:rsidRPr="00DC6C4D">
        <w:rPr>
          <w:rFonts w:ascii="Arial" w:eastAsia="Times New Roman" w:hAnsi="Arial" w:cs="Arial"/>
          <w:sz w:val="24"/>
          <w:szCs w:val="24"/>
        </w:rPr>
        <w:lastRenderedPageBreak/>
        <w:t>10.</w:t>
      </w:r>
      <w:r w:rsidRPr="00DC6C4D">
        <w:rPr>
          <w:rFonts w:ascii="Arial" w:eastAsia="Times New Roman" w:hAnsi="Arial" w:cs="Arial"/>
          <w:sz w:val="24"/>
          <w:szCs w:val="24"/>
        </w:rPr>
        <w:tab/>
      </w:r>
      <w:r>
        <w:rPr>
          <w:rFonts w:ascii="Arial" w:eastAsia="Times New Roman" w:hAnsi="Arial" w:cs="Arial"/>
          <w:sz w:val="24"/>
          <w:szCs w:val="24"/>
          <w:lang w:val="en-US"/>
        </w:rPr>
        <w:t>B</w:t>
      </w:r>
      <w:r w:rsidRPr="00DC6C4D">
        <w:rPr>
          <w:rFonts w:ascii="Arial" w:eastAsia="Times New Roman" w:hAnsi="Arial" w:cs="Arial"/>
          <w:sz w:val="24"/>
          <w:szCs w:val="24"/>
          <w:lang w:val="en-US"/>
        </w:rPr>
        <w:t xml:space="preserve">efore the trial, the experts had deposed to affidavits in which they confirmed their qualifications and the opinions or contents of their medico-legal </w:t>
      </w:r>
      <w:r w:rsidR="003633E8">
        <w:rPr>
          <w:rFonts w:ascii="Arial" w:eastAsia="Times New Roman" w:hAnsi="Arial" w:cs="Arial"/>
          <w:sz w:val="24"/>
          <w:szCs w:val="24"/>
          <w:lang w:val="en-US"/>
        </w:rPr>
        <w:t>reports filed on behalf of the P</w:t>
      </w:r>
      <w:r w:rsidRPr="00DC6C4D">
        <w:rPr>
          <w:rFonts w:ascii="Arial" w:eastAsia="Times New Roman" w:hAnsi="Arial" w:cs="Arial"/>
          <w:sz w:val="24"/>
          <w:szCs w:val="24"/>
          <w:lang w:val="en-US"/>
        </w:rPr>
        <w:t>laintiff. All expert reports were served and filed timeously.</w:t>
      </w:r>
    </w:p>
    <w:p w:rsidR="00DC6C4D" w:rsidRPr="00DC6C4D" w:rsidRDefault="00DC6C4D" w:rsidP="00BA4EE6">
      <w:pPr>
        <w:spacing w:after="415" w:line="480" w:lineRule="auto"/>
        <w:ind w:left="720" w:right="-96" w:hanging="720"/>
        <w:jc w:val="both"/>
        <w:rPr>
          <w:rFonts w:ascii="Arial" w:eastAsia="Calibri" w:hAnsi="Arial" w:cs="Arial"/>
          <w:sz w:val="24"/>
          <w:szCs w:val="24"/>
        </w:rPr>
      </w:pPr>
      <w:r w:rsidRPr="00DC6C4D">
        <w:rPr>
          <w:rFonts w:ascii="Arial" w:eastAsia="Calibri" w:hAnsi="Arial" w:cs="Arial"/>
          <w:sz w:val="24"/>
          <w:szCs w:val="24"/>
        </w:rPr>
        <w:t>11.</w:t>
      </w:r>
      <w:r w:rsidRPr="00DC6C4D">
        <w:rPr>
          <w:rFonts w:ascii="Arial" w:eastAsia="Calibri" w:hAnsi="Arial" w:cs="Arial"/>
          <w:sz w:val="24"/>
          <w:szCs w:val="24"/>
        </w:rPr>
        <w:tab/>
        <w:t xml:space="preserve">It was submitted that the </w:t>
      </w:r>
      <w:r w:rsidR="003633E8">
        <w:rPr>
          <w:rFonts w:ascii="Arial" w:eastAsia="Calibri" w:hAnsi="Arial" w:cs="Arial"/>
          <w:sz w:val="24"/>
          <w:szCs w:val="24"/>
        </w:rPr>
        <w:t>P</w:t>
      </w:r>
      <w:r w:rsidRPr="00DC6C4D">
        <w:rPr>
          <w:rFonts w:ascii="Arial" w:eastAsia="Calibri" w:hAnsi="Arial" w:cs="Arial"/>
          <w:sz w:val="24"/>
          <w:szCs w:val="24"/>
        </w:rPr>
        <w:t xml:space="preserve">laintiff sustained injuries in the collision described above Minor to mild brain concussion; Left forehead laceration; Right pubic rami fractures; Plaintiff had the following complaints in respect of sequelae from the abovementioned injuries: headaches; poor concentration; memory loss; depressed mood and right hip pain. </w:t>
      </w:r>
    </w:p>
    <w:p w:rsidR="00DC6C4D" w:rsidRPr="00DC6C4D" w:rsidRDefault="00DC6C4D" w:rsidP="00BA4EE6">
      <w:pPr>
        <w:spacing w:after="415" w:line="480" w:lineRule="auto"/>
        <w:ind w:left="720" w:right="-96" w:hanging="720"/>
        <w:jc w:val="both"/>
        <w:rPr>
          <w:rFonts w:ascii="Arial" w:eastAsia="Calibri" w:hAnsi="Arial" w:cs="Arial"/>
          <w:sz w:val="24"/>
          <w:szCs w:val="24"/>
        </w:rPr>
      </w:pPr>
      <w:r w:rsidRPr="00DC6C4D">
        <w:rPr>
          <w:rFonts w:ascii="Arial" w:eastAsia="Calibri" w:hAnsi="Arial" w:cs="Arial"/>
          <w:sz w:val="24"/>
          <w:szCs w:val="24"/>
        </w:rPr>
        <w:t>12.</w:t>
      </w:r>
      <w:r w:rsidRPr="00DC6C4D">
        <w:rPr>
          <w:rFonts w:ascii="Arial" w:eastAsia="Calibri" w:hAnsi="Arial" w:cs="Arial"/>
          <w:sz w:val="24"/>
          <w:szCs w:val="24"/>
        </w:rPr>
        <w:tab/>
        <w:t>Dr. Naidoo (specialist psychiatrist)</w:t>
      </w:r>
      <w:r w:rsidR="003633E8">
        <w:rPr>
          <w:rFonts w:ascii="Arial" w:eastAsia="Calibri" w:hAnsi="Arial" w:cs="Arial"/>
          <w:sz w:val="24"/>
          <w:szCs w:val="24"/>
        </w:rPr>
        <w:t xml:space="preserve"> diagnosed the P</w:t>
      </w:r>
      <w:r w:rsidRPr="00DC6C4D">
        <w:rPr>
          <w:rFonts w:ascii="Arial" w:eastAsia="Calibri" w:hAnsi="Arial" w:cs="Arial"/>
          <w:sz w:val="24"/>
          <w:szCs w:val="24"/>
        </w:rPr>
        <w:t xml:space="preserve">laintiff as suffering from a depressive disorder due to injuries sustained in the accident with travel-related anxiety symptoms.  </w:t>
      </w:r>
    </w:p>
    <w:p w:rsidR="00DC6C4D" w:rsidRPr="00DC6C4D" w:rsidRDefault="00DC6C4D" w:rsidP="00BA4EE6">
      <w:pPr>
        <w:spacing w:after="415" w:line="480" w:lineRule="auto"/>
        <w:ind w:left="717" w:right="-96" w:hanging="825"/>
        <w:jc w:val="both"/>
        <w:rPr>
          <w:rFonts w:ascii="Arial" w:eastAsia="Calibri" w:hAnsi="Arial" w:cs="Arial"/>
          <w:sz w:val="24"/>
          <w:szCs w:val="24"/>
        </w:rPr>
      </w:pPr>
      <w:r w:rsidRPr="00DC6C4D">
        <w:rPr>
          <w:rFonts w:ascii="Arial" w:eastAsia="Calibri" w:hAnsi="Arial" w:cs="Arial"/>
          <w:sz w:val="24"/>
          <w:szCs w:val="24"/>
        </w:rPr>
        <w:t>13.</w:t>
      </w:r>
      <w:r w:rsidRPr="00DC6C4D">
        <w:rPr>
          <w:rFonts w:ascii="Arial" w:eastAsia="Calibri" w:hAnsi="Arial" w:cs="Arial"/>
          <w:sz w:val="24"/>
          <w:szCs w:val="24"/>
        </w:rPr>
        <w:tab/>
        <w:t xml:space="preserve">Rolene Hovsha (clinical psychologist), the initial  assessment revealed several cognitive deficits ranging from below average to severely impaired in the following areas of functioning: orientation; attention and concentration; numerical reasoning; speed information processing/motor speed; visuopraxy; executive functioning; memory and  more areas of deficit were found on re-assessment, deficits were once again found </w:t>
      </w:r>
      <w:r w:rsidR="003633E8">
        <w:rPr>
          <w:rFonts w:ascii="Arial" w:eastAsia="Calibri" w:hAnsi="Arial" w:cs="Arial"/>
          <w:sz w:val="24"/>
          <w:szCs w:val="24"/>
        </w:rPr>
        <w:t>in that P</w:t>
      </w:r>
      <w:r w:rsidRPr="00DC6C4D">
        <w:rPr>
          <w:rFonts w:ascii="Arial" w:eastAsia="Calibri" w:hAnsi="Arial" w:cs="Arial"/>
          <w:sz w:val="24"/>
          <w:szCs w:val="24"/>
        </w:rPr>
        <w:t xml:space="preserve">laintiff was fully oriented in all spheres on re-assessment, it was also found that there were certain areas of improvement on re-assessment: on a test of initiation, her performance was initially impaired but now average; her capacity for abstraction and non-verbal concept formation, visual analysis, planning and visual motor co-ordination skills was below average originally, and average on re-assessment;  her verbal ability for forming concepts, logical abstract reasoning, generalising and drawing </w:t>
      </w:r>
      <w:r w:rsidRPr="00DC6C4D">
        <w:rPr>
          <w:rFonts w:ascii="Arial" w:eastAsia="Calibri" w:hAnsi="Arial" w:cs="Arial"/>
          <w:sz w:val="24"/>
          <w:szCs w:val="24"/>
        </w:rPr>
        <w:lastRenderedPageBreak/>
        <w:t>relationship among different elements in the environment was severely impaired initially and impaired on re-assessment. In addition, some areas deteriorated upon re-assessment: her ability to use practical judgment and common-sense reasoning, as well as the ability to appreciate and recall helpful information that is utilized in connection with sound and intuitive judgment, was superior initially but average upon re-assessment; numerical reasoning was found to be below average initially, but impaired upon re-assessment.</w:t>
      </w:r>
    </w:p>
    <w:p w:rsidR="00DC6C4D" w:rsidRPr="00DC6C4D" w:rsidRDefault="00DC6C4D" w:rsidP="00DD6583">
      <w:pPr>
        <w:spacing w:after="415" w:line="480" w:lineRule="auto"/>
        <w:ind w:left="720" w:right="-96" w:hanging="828"/>
        <w:jc w:val="both"/>
        <w:rPr>
          <w:rFonts w:ascii="Arial" w:eastAsia="Calibri" w:hAnsi="Arial" w:cs="Arial"/>
          <w:sz w:val="24"/>
          <w:szCs w:val="24"/>
        </w:rPr>
      </w:pPr>
      <w:r w:rsidRPr="00DC6C4D">
        <w:rPr>
          <w:rFonts w:ascii="Arial" w:eastAsia="Calibri" w:hAnsi="Arial" w:cs="Arial"/>
          <w:sz w:val="24"/>
          <w:szCs w:val="24"/>
        </w:rPr>
        <w:t>14.</w:t>
      </w:r>
      <w:r w:rsidRPr="00DC6C4D">
        <w:rPr>
          <w:rFonts w:ascii="Arial" w:eastAsia="Calibri" w:hAnsi="Arial" w:cs="Arial"/>
          <w:sz w:val="24"/>
          <w:szCs w:val="24"/>
        </w:rPr>
        <w:tab/>
        <w:t xml:space="preserve">The clinical psychologist is further </w:t>
      </w:r>
      <w:r w:rsidR="003633E8">
        <w:rPr>
          <w:rFonts w:ascii="Arial" w:eastAsia="Calibri" w:hAnsi="Arial" w:cs="Arial"/>
          <w:sz w:val="24"/>
          <w:szCs w:val="24"/>
        </w:rPr>
        <w:t>of the view that the P</w:t>
      </w:r>
      <w:r w:rsidRPr="00DC6C4D">
        <w:rPr>
          <w:rFonts w:ascii="Arial" w:eastAsia="Calibri" w:hAnsi="Arial" w:cs="Arial"/>
          <w:sz w:val="24"/>
          <w:szCs w:val="24"/>
        </w:rPr>
        <w:t>laintiff's profile remains one of deficit functioning. She concludes tha</w:t>
      </w:r>
      <w:r w:rsidR="003633E8">
        <w:rPr>
          <w:rFonts w:ascii="Arial" w:eastAsia="Calibri" w:hAnsi="Arial" w:cs="Arial"/>
          <w:sz w:val="24"/>
          <w:szCs w:val="24"/>
        </w:rPr>
        <w:t>t the deficits suffered by the P</w:t>
      </w:r>
      <w:r w:rsidRPr="00DC6C4D">
        <w:rPr>
          <w:rFonts w:ascii="Arial" w:eastAsia="Calibri" w:hAnsi="Arial" w:cs="Arial"/>
          <w:sz w:val="24"/>
          <w:szCs w:val="24"/>
        </w:rPr>
        <w:t>laintiff align with a moderate traumatic brain injury. She also belie</w:t>
      </w:r>
      <w:r w:rsidR="003633E8">
        <w:rPr>
          <w:rFonts w:ascii="Arial" w:eastAsia="Calibri" w:hAnsi="Arial" w:cs="Arial"/>
          <w:sz w:val="24"/>
          <w:szCs w:val="24"/>
        </w:rPr>
        <w:t>ves that the P</w:t>
      </w:r>
      <w:r>
        <w:rPr>
          <w:rFonts w:ascii="Arial" w:eastAsia="Calibri" w:hAnsi="Arial" w:cs="Arial"/>
          <w:sz w:val="24"/>
          <w:szCs w:val="24"/>
        </w:rPr>
        <w:t>laintiff presents</w:t>
      </w:r>
      <w:r w:rsidRPr="00DC6C4D">
        <w:rPr>
          <w:rFonts w:ascii="Arial" w:eastAsia="Calibri" w:hAnsi="Arial" w:cs="Arial"/>
          <w:sz w:val="24"/>
          <w:szCs w:val="24"/>
        </w:rPr>
        <w:t xml:space="preserve"> a symptom cluster well documented in patients following damage to the brain. Finally, she concludes that a significant period of 7 years has elapsed since the accident, resulting from which the deficits found upon re-assessment are likely to be stable and of a permanent nature and unlikely to improve over time. </w:t>
      </w:r>
    </w:p>
    <w:p w:rsidR="00DC6C4D" w:rsidRPr="00DC6C4D" w:rsidRDefault="00DC6C4D" w:rsidP="00DD6583">
      <w:pPr>
        <w:spacing w:after="415" w:line="480" w:lineRule="auto"/>
        <w:ind w:left="720" w:right="-96" w:hanging="720"/>
        <w:jc w:val="both"/>
        <w:rPr>
          <w:rFonts w:ascii="Arial" w:eastAsia="Calibri" w:hAnsi="Arial" w:cs="Arial"/>
          <w:sz w:val="24"/>
          <w:szCs w:val="24"/>
        </w:rPr>
      </w:pPr>
      <w:r>
        <w:rPr>
          <w:rFonts w:ascii="Arial" w:eastAsia="Calibri" w:hAnsi="Arial" w:cs="Arial"/>
          <w:sz w:val="24"/>
          <w:szCs w:val="24"/>
        </w:rPr>
        <w:t xml:space="preserve">15. </w:t>
      </w:r>
      <w:r w:rsidR="00DD6583">
        <w:rPr>
          <w:rFonts w:ascii="Arial" w:eastAsia="Calibri" w:hAnsi="Arial" w:cs="Arial"/>
          <w:sz w:val="24"/>
          <w:szCs w:val="24"/>
        </w:rPr>
        <w:tab/>
      </w:r>
      <w:r w:rsidRPr="00DC6C4D">
        <w:rPr>
          <w:rFonts w:ascii="Arial" w:eastAsia="Calibri" w:hAnsi="Arial" w:cs="Arial"/>
          <w:sz w:val="24"/>
          <w:szCs w:val="24"/>
        </w:rPr>
        <w:t xml:space="preserve">Dr. Reid (orthopedic surgeon) Upon re-assessment, found that </w:t>
      </w:r>
      <w:r w:rsidR="003633E8">
        <w:rPr>
          <w:rFonts w:ascii="Arial" w:eastAsia="Calibri" w:hAnsi="Arial" w:cs="Arial"/>
          <w:sz w:val="24"/>
          <w:szCs w:val="24"/>
        </w:rPr>
        <w:t>the P</w:t>
      </w:r>
      <w:r w:rsidRPr="00DC6C4D">
        <w:rPr>
          <w:rFonts w:ascii="Arial" w:eastAsia="Calibri" w:hAnsi="Arial" w:cs="Arial"/>
          <w:sz w:val="24"/>
          <w:szCs w:val="24"/>
        </w:rPr>
        <w:t xml:space="preserve">laintiff had the following complaints: right groin pain related to activity and cold and inclement weather as well as lower back pain; difficulty finding a comfortable position in which to sleep; mobility is restricted in that she is unable to walk far or fast; difficulty sitting or standing for long periods; unable to lift or carry heavy objects; activities involving repeated flexing and straightening of her lumbar spine further aggravate her symptoms; she still walks with the aid of one crutch when she has to stand for long periods or walk far distances. </w:t>
      </w:r>
    </w:p>
    <w:p w:rsidR="00DC6C4D" w:rsidRPr="00DC6C4D" w:rsidRDefault="00C55AC3" w:rsidP="00DD6583">
      <w:pPr>
        <w:spacing w:after="415" w:line="480" w:lineRule="auto"/>
        <w:ind w:left="720" w:right="-96" w:hanging="828"/>
        <w:jc w:val="both"/>
        <w:rPr>
          <w:rFonts w:ascii="Arial" w:eastAsia="Calibri" w:hAnsi="Arial" w:cs="Arial"/>
          <w:sz w:val="24"/>
          <w:szCs w:val="24"/>
        </w:rPr>
      </w:pPr>
      <w:r>
        <w:rPr>
          <w:rFonts w:ascii="Arial" w:eastAsia="Calibri" w:hAnsi="Arial" w:cs="Arial"/>
          <w:sz w:val="24"/>
          <w:szCs w:val="24"/>
        </w:rPr>
        <w:lastRenderedPageBreak/>
        <w:t xml:space="preserve">16. </w:t>
      </w:r>
      <w:r w:rsidR="00DD6583">
        <w:rPr>
          <w:rFonts w:ascii="Arial" w:eastAsia="Calibri" w:hAnsi="Arial" w:cs="Arial"/>
          <w:sz w:val="24"/>
          <w:szCs w:val="24"/>
        </w:rPr>
        <w:tab/>
      </w:r>
      <w:r w:rsidR="00DC6C4D" w:rsidRPr="00DC6C4D">
        <w:rPr>
          <w:rFonts w:ascii="Arial" w:eastAsia="Calibri" w:hAnsi="Arial" w:cs="Arial"/>
          <w:sz w:val="24"/>
          <w:szCs w:val="24"/>
        </w:rPr>
        <w:t>Dr. Reid confirms that at</w:t>
      </w:r>
      <w:r w:rsidR="003633E8">
        <w:rPr>
          <w:rFonts w:ascii="Arial" w:eastAsia="Calibri" w:hAnsi="Arial" w:cs="Arial"/>
          <w:sz w:val="24"/>
          <w:szCs w:val="24"/>
        </w:rPr>
        <w:t xml:space="preserve"> the time of the accident, the P</w:t>
      </w:r>
      <w:r w:rsidR="00DC6C4D" w:rsidRPr="00DC6C4D">
        <w:rPr>
          <w:rFonts w:ascii="Arial" w:eastAsia="Calibri" w:hAnsi="Arial" w:cs="Arial"/>
          <w:sz w:val="24"/>
          <w:szCs w:val="24"/>
        </w:rPr>
        <w:t>laintiff was employed as an Infra-worker (millwright assistant) at Transnet Freight Rail in Coligny, where she had been employed since 1 May 2015 (</w:t>
      </w:r>
      <w:r w:rsidR="003633E8">
        <w:rPr>
          <w:rFonts w:ascii="Arial" w:eastAsia="Calibri" w:hAnsi="Arial" w:cs="Arial"/>
          <w:sz w:val="24"/>
          <w:szCs w:val="24"/>
        </w:rPr>
        <w:t>360). Before the accident, the P</w:t>
      </w:r>
      <w:r w:rsidR="00DC6C4D" w:rsidRPr="00DC6C4D">
        <w:rPr>
          <w:rFonts w:ascii="Arial" w:eastAsia="Calibri" w:hAnsi="Arial" w:cs="Arial"/>
          <w:sz w:val="24"/>
          <w:szCs w:val="24"/>
        </w:rPr>
        <w:t xml:space="preserve">laintiff's duties included carrying pipes, cleaning the pump house and vegetation site, and opening a grabber. </w:t>
      </w:r>
      <w:r w:rsidR="003633E8">
        <w:rPr>
          <w:rFonts w:ascii="Arial" w:eastAsia="Calibri" w:hAnsi="Arial" w:cs="Arial"/>
          <w:sz w:val="24"/>
          <w:szCs w:val="24"/>
        </w:rPr>
        <w:t>Following the accident, the P</w:t>
      </w:r>
      <w:r w:rsidR="00DC6C4D" w:rsidRPr="00DC6C4D">
        <w:rPr>
          <w:rFonts w:ascii="Arial" w:eastAsia="Calibri" w:hAnsi="Arial" w:cs="Arial"/>
          <w:sz w:val="24"/>
          <w:szCs w:val="24"/>
        </w:rPr>
        <w:t>laintiff was off work for one month. Upon her return to work, she was assigned lighter duties such as fault reporting and cleaning the pump house and surrounding areas. Even though she is no longe</w:t>
      </w:r>
      <w:r w:rsidR="003633E8">
        <w:rPr>
          <w:rFonts w:ascii="Arial" w:eastAsia="Calibri" w:hAnsi="Arial" w:cs="Arial"/>
          <w:sz w:val="24"/>
          <w:szCs w:val="24"/>
        </w:rPr>
        <w:t>r required to carry pipes, the P</w:t>
      </w:r>
      <w:r w:rsidR="00DC6C4D" w:rsidRPr="00DC6C4D">
        <w:rPr>
          <w:rFonts w:ascii="Arial" w:eastAsia="Calibri" w:hAnsi="Arial" w:cs="Arial"/>
          <w:sz w:val="24"/>
          <w:szCs w:val="24"/>
        </w:rPr>
        <w:t xml:space="preserve">laintiff notes that her work duties still exacerbate her symptoms. Dr. Reid confirms </w:t>
      </w:r>
      <w:r w:rsidR="003633E8">
        <w:rPr>
          <w:rFonts w:ascii="Arial" w:eastAsia="Calibri" w:hAnsi="Arial" w:cs="Arial"/>
          <w:sz w:val="24"/>
          <w:szCs w:val="24"/>
        </w:rPr>
        <w:t>that the P</w:t>
      </w:r>
      <w:r w:rsidR="00DC6C4D" w:rsidRPr="00DC6C4D">
        <w:rPr>
          <w:rFonts w:ascii="Arial" w:eastAsia="Calibri" w:hAnsi="Arial" w:cs="Arial"/>
          <w:sz w:val="24"/>
          <w:szCs w:val="24"/>
        </w:rPr>
        <w:t>laintiff intended to qualify as a millwright at the time of the initial assessment in January 2018. However, he is of the view that in light of thr</w:t>
      </w:r>
      <w:r w:rsidR="003633E8">
        <w:rPr>
          <w:rFonts w:ascii="Arial" w:eastAsia="Calibri" w:hAnsi="Arial" w:cs="Arial"/>
          <w:sz w:val="24"/>
          <w:szCs w:val="24"/>
        </w:rPr>
        <w:t>ee years have passed since the P</w:t>
      </w:r>
      <w:r w:rsidR="00DC6C4D" w:rsidRPr="00DC6C4D">
        <w:rPr>
          <w:rFonts w:ascii="Arial" w:eastAsia="Calibri" w:hAnsi="Arial" w:cs="Arial"/>
          <w:sz w:val="24"/>
          <w:szCs w:val="24"/>
        </w:rPr>
        <w:t xml:space="preserve">laintiff is unlikely </w:t>
      </w:r>
      <w:r w:rsidR="003633E8">
        <w:rPr>
          <w:rFonts w:ascii="Arial" w:eastAsia="Calibri" w:hAnsi="Arial" w:cs="Arial"/>
          <w:sz w:val="24"/>
          <w:szCs w:val="24"/>
        </w:rPr>
        <w:t>to qualify as same. Due to the P</w:t>
      </w:r>
      <w:r w:rsidR="00DC6C4D" w:rsidRPr="00DC6C4D">
        <w:rPr>
          <w:rFonts w:ascii="Arial" w:eastAsia="Calibri" w:hAnsi="Arial" w:cs="Arial"/>
          <w:sz w:val="24"/>
          <w:szCs w:val="24"/>
        </w:rPr>
        <w:t xml:space="preserve">laintiff's injuries, she will likely experience increasing difficulty with the strenuous and physically demanding duties required of her in factories, power plants, production facilities, and construction sites. Plaintiff's current employment is not suitable for her, considering her lumbar spine and pelvis pathology related to the accident. She requires sedentary type work that does not place excessive strain on her injured sites and where she can take regular breaks throughout the working day. Taking into consideration her age, the economic situation, and the high unemployment rate in the open </w:t>
      </w:r>
      <w:r w:rsidRPr="00DC6C4D">
        <w:rPr>
          <w:rFonts w:ascii="Arial" w:eastAsia="Calibri" w:hAnsi="Arial" w:cs="Arial"/>
          <w:sz w:val="24"/>
          <w:szCs w:val="24"/>
        </w:rPr>
        <w:t>labour</w:t>
      </w:r>
      <w:r w:rsidR="00DC6C4D" w:rsidRPr="00DC6C4D">
        <w:rPr>
          <w:rFonts w:ascii="Arial" w:eastAsia="Calibri" w:hAnsi="Arial" w:cs="Arial"/>
          <w:sz w:val="24"/>
          <w:szCs w:val="24"/>
        </w:rPr>
        <w:t xml:space="preserve"> market in South Africa at present, it will be</w:t>
      </w:r>
      <w:r w:rsidR="003633E8">
        <w:rPr>
          <w:rFonts w:ascii="Arial" w:eastAsia="Calibri" w:hAnsi="Arial" w:cs="Arial"/>
          <w:sz w:val="24"/>
          <w:szCs w:val="24"/>
        </w:rPr>
        <w:t xml:space="preserve"> exceedingly difficult for the P</w:t>
      </w:r>
      <w:r w:rsidR="00DC6C4D" w:rsidRPr="00DC6C4D">
        <w:rPr>
          <w:rFonts w:ascii="Arial" w:eastAsia="Calibri" w:hAnsi="Arial" w:cs="Arial"/>
          <w:sz w:val="24"/>
          <w:szCs w:val="24"/>
        </w:rPr>
        <w:t>laintiff to find new suitable employment.</w:t>
      </w:r>
    </w:p>
    <w:p w:rsidR="00DC6C4D" w:rsidRDefault="00DC6C4D" w:rsidP="00DD6583">
      <w:pPr>
        <w:spacing w:after="415" w:line="480" w:lineRule="auto"/>
        <w:ind w:left="720" w:right="-96" w:hanging="828"/>
        <w:jc w:val="both"/>
        <w:rPr>
          <w:rFonts w:ascii="Arial" w:eastAsia="Calibri" w:hAnsi="Arial" w:cs="Arial"/>
          <w:sz w:val="24"/>
          <w:szCs w:val="24"/>
        </w:rPr>
      </w:pPr>
      <w:r w:rsidRPr="00DC6C4D">
        <w:rPr>
          <w:rFonts w:ascii="Arial" w:eastAsia="Calibri" w:hAnsi="Arial" w:cs="Arial"/>
          <w:sz w:val="24"/>
          <w:szCs w:val="24"/>
        </w:rPr>
        <w:t>17.</w:t>
      </w:r>
      <w:r w:rsidRPr="00DC6C4D">
        <w:rPr>
          <w:rFonts w:ascii="Arial" w:eastAsia="Calibri" w:hAnsi="Arial" w:cs="Arial"/>
          <w:sz w:val="24"/>
          <w:szCs w:val="24"/>
        </w:rPr>
        <w:tab/>
        <w:t>Joanne Tarry (occupational therapist) concludes that taking into consideration the pain experienced by the plaintiff in conjunction with her orthopedic prognosis, in the interest of joint preservation</w:t>
      </w:r>
      <w:r w:rsidR="003633E8">
        <w:rPr>
          <w:rFonts w:ascii="Arial" w:eastAsia="Calibri" w:hAnsi="Arial" w:cs="Arial"/>
          <w:sz w:val="24"/>
          <w:szCs w:val="24"/>
        </w:rPr>
        <w:t>, it can be concluded that the P</w:t>
      </w:r>
      <w:r w:rsidRPr="00DC6C4D">
        <w:rPr>
          <w:rFonts w:ascii="Arial" w:eastAsia="Calibri" w:hAnsi="Arial" w:cs="Arial"/>
          <w:sz w:val="24"/>
          <w:szCs w:val="24"/>
        </w:rPr>
        <w:t xml:space="preserve">laintiff will be better suited to partake in the work of a sedentary physical demand level with </w:t>
      </w:r>
      <w:r w:rsidRPr="00DC6C4D">
        <w:rPr>
          <w:rFonts w:ascii="Arial" w:eastAsia="Calibri" w:hAnsi="Arial" w:cs="Arial"/>
          <w:sz w:val="24"/>
          <w:szCs w:val="24"/>
        </w:rPr>
        <w:lastRenderedPageBreak/>
        <w:t>aspects of light work. He</w:t>
      </w:r>
      <w:r w:rsidR="003633E8">
        <w:rPr>
          <w:rFonts w:ascii="Arial" w:eastAsia="Calibri" w:hAnsi="Arial" w:cs="Arial"/>
          <w:sz w:val="24"/>
          <w:szCs w:val="24"/>
        </w:rPr>
        <w:t>r assessment revealed that the P</w:t>
      </w:r>
      <w:r w:rsidRPr="00DC6C4D">
        <w:rPr>
          <w:rFonts w:ascii="Arial" w:eastAsia="Calibri" w:hAnsi="Arial" w:cs="Arial"/>
          <w:sz w:val="24"/>
          <w:szCs w:val="24"/>
        </w:rPr>
        <w:t xml:space="preserve">laintiff would have difficulty coping with her current occupation's more strenuous physical demands, namely sitting and standing for prolonged periods of time, handling heavy loads, and climbing stairs. Due to her right hip pain, the plaintiff demonstrated difficulty in walking, repetitive squatting, standing work, forward bend standing, crouching, stair climbing, and manual handling tasks. These tasks are essential mobility requirements within her workplace. Difficulty performing these tasks would decrease productivity and efficiency within her workplace. When considering the plaintiff's residual physical limitations, she would be viewed as an unequal competitor in the open </w:t>
      </w:r>
      <w:r w:rsidR="00C55AC3" w:rsidRPr="00DC6C4D">
        <w:rPr>
          <w:rFonts w:ascii="Arial" w:eastAsia="Calibri" w:hAnsi="Arial" w:cs="Arial"/>
          <w:sz w:val="24"/>
          <w:szCs w:val="24"/>
        </w:rPr>
        <w:t>labour</w:t>
      </w:r>
      <w:r w:rsidRPr="00DC6C4D">
        <w:rPr>
          <w:rFonts w:ascii="Arial" w:eastAsia="Calibri" w:hAnsi="Arial" w:cs="Arial"/>
          <w:sz w:val="24"/>
          <w:szCs w:val="24"/>
        </w:rPr>
        <w:t xml:space="preserve"> market compared to her able-bodied counterparts. Her residual deficits have negatively impacted her vocational capacity, and she will likely experience an ongoing loss of productivity due to her obligations. </w:t>
      </w:r>
    </w:p>
    <w:p w:rsidR="00A94CD1" w:rsidRDefault="00A94CD1" w:rsidP="00DD6583">
      <w:pPr>
        <w:spacing w:after="415" w:line="480" w:lineRule="auto"/>
        <w:ind w:left="720" w:right="-96" w:hanging="720"/>
        <w:jc w:val="both"/>
        <w:rPr>
          <w:rFonts w:ascii="Arial" w:eastAsia="Calibri" w:hAnsi="Arial" w:cs="Arial"/>
          <w:sz w:val="24"/>
          <w:szCs w:val="24"/>
        </w:rPr>
      </w:pPr>
      <w:r>
        <w:rPr>
          <w:rFonts w:ascii="Arial" w:eastAsia="Calibri" w:hAnsi="Arial" w:cs="Arial"/>
          <w:sz w:val="24"/>
          <w:szCs w:val="24"/>
        </w:rPr>
        <w:t xml:space="preserve">18.  </w:t>
      </w:r>
      <w:r w:rsidR="00DD6583">
        <w:rPr>
          <w:rFonts w:ascii="Arial" w:eastAsia="Calibri" w:hAnsi="Arial" w:cs="Arial"/>
          <w:sz w:val="24"/>
          <w:szCs w:val="24"/>
        </w:rPr>
        <w:tab/>
      </w:r>
      <w:r w:rsidRPr="00DC6C4D">
        <w:rPr>
          <w:rFonts w:ascii="Arial" w:eastAsia="Calibri" w:hAnsi="Arial" w:cs="Arial"/>
          <w:sz w:val="24"/>
          <w:szCs w:val="24"/>
        </w:rPr>
        <w:t>Lewis Rosen (industrial psychologist) on 14 January 2019 with addendum reports on 17 Septembe</w:t>
      </w:r>
      <w:r>
        <w:rPr>
          <w:rFonts w:ascii="Arial" w:eastAsia="Calibri" w:hAnsi="Arial" w:cs="Arial"/>
          <w:sz w:val="24"/>
          <w:szCs w:val="24"/>
        </w:rPr>
        <w:t>r 2021 as well as 30 March 2023,</w:t>
      </w:r>
      <w:r w:rsidRPr="00DC6C4D">
        <w:rPr>
          <w:rFonts w:ascii="Arial" w:eastAsia="Calibri" w:hAnsi="Arial" w:cs="Arial"/>
          <w:color w:val="FF0000"/>
          <w:sz w:val="24"/>
          <w:szCs w:val="24"/>
        </w:rPr>
        <w:t xml:space="preserve"> </w:t>
      </w:r>
      <w:r>
        <w:rPr>
          <w:rFonts w:ascii="Arial" w:eastAsia="Calibri" w:hAnsi="Arial" w:cs="Arial"/>
          <w:sz w:val="24"/>
          <w:szCs w:val="24"/>
        </w:rPr>
        <w:t>s</w:t>
      </w:r>
      <w:r w:rsidRPr="00DC6C4D">
        <w:rPr>
          <w:rFonts w:ascii="Arial" w:eastAsia="Calibri" w:hAnsi="Arial" w:cs="Arial"/>
          <w:sz w:val="24"/>
          <w:szCs w:val="24"/>
        </w:rPr>
        <w:t xml:space="preserve">he states that an Infra-worker is an assistant to maintenance personnel involved in maintaining the infrastructure of the various assets at </w:t>
      </w:r>
      <w:r w:rsidR="003633E8">
        <w:rPr>
          <w:rFonts w:ascii="Arial" w:eastAsia="Calibri" w:hAnsi="Arial" w:cs="Arial"/>
          <w:sz w:val="24"/>
          <w:szCs w:val="24"/>
        </w:rPr>
        <w:t>Transnet. The P</w:t>
      </w:r>
      <w:r w:rsidRPr="00DC6C4D">
        <w:rPr>
          <w:rFonts w:ascii="Arial" w:eastAsia="Calibri" w:hAnsi="Arial" w:cs="Arial"/>
          <w:sz w:val="24"/>
          <w:szCs w:val="24"/>
        </w:rPr>
        <w:t xml:space="preserve">laintiff's post involves assisting a millwright at the Coligny fuel depot. Specifically, the millwright is responsible for servicing, maintaining, and repairing onsite machinery, pumps, and pipes. Plaintiff's job is to assist in manual </w:t>
      </w:r>
      <w:r w:rsidR="003633E8" w:rsidRPr="00DC6C4D">
        <w:rPr>
          <w:rFonts w:ascii="Arial" w:eastAsia="Calibri" w:hAnsi="Arial" w:cs="Arial"/>
          <w:sz w:val="24"/>
          <w:szCs w:val="24"/>
        </w:rPr>
        <w:t>labour</w:t>
      </w:r>
      <w:r w:rsidRPr="00DC6C4D">
        <w:rPr>
          <w:rFonts w:ascii="Arial" w:eastAsia="Calibri" w:hAnsi="Arial" w:cs="Arial"/>
          <w:sz w:val="24"/>
          <w:szCs w:val="24"/>
        </w:rPr>
        <w:t>, explicitly laying pipes and clearing the yard of vegetation. At</w:t>
      </w:r>
      <w:r w:rsidR="003633E8">
        <w:rPr>
          <w:rFonts w:ascii="Arial" w:eastAsia="Calibri" w:hAnsi="Arial" w:cs="Arial"/>
          <w:sz w:val="24"/>
          <w:szCs w:val="24"/>
        </w:rPr>
        <w:t xml:space="preserve"> the time of the accident, the P</w:t>
      </w:r>
      <w:r w:rsidRPr="00DC6C4D">
        <w:rPr>
          <w:rFonts w:ascii="Arial" w:eastAsia="Calibri" w:hAnsi="Arial" w:cs="Arial"/>
          <w:sz w:val="24"/>
          <w:szCs w:val="24"/>
        </w:rPr>
        <w:t>laintiff earned a package of R12 095,00 per month in 2018, which, in Rosen's view, is the equivalent of approximately the median of a Paterson A3 grade worker. Further confirms that instead of being promoted from the beginning of 2017 to the position of millwright as se</w:t>
      </w:r>
      <w:r w:rsidR="003633E8">
        <w:rPr>
          <w:rFonts w:ascii="Arial" w:eastAsia="Calibri" w:hAnsi="Arial" w:cs="Arial"/>
          <w:sz w:val="24"/>
          <w:szCs w:val="24"/>
        </w:rPr>
        <w:t>t out in previous reports, the P</w:t>
      </w:r>
      <w:r w:rsidRPr="00DC6C4D">
        <w:rPr>
          <w:rFonts w:ascii="Arial" w:eastAsia="Calibri" w:hAnsi="Arial" w:cs="Arial"/>
          <w:sz w:val="24"/>
          <w:szCs w:val="24"/>
        </w:rPr>
        <w:t xml:space="preserve">laintiff remains in the </w:t>
      </w:r>
      <w:r w:rsidRPr="00DC6C4D">
        <w:rPr>
          <w:rFonts w:ascii="Arial" w:eastAsia="Calibri" w:hAnsi="Arial" w:cs="Arial"/>
          <w:sz w:val="24"/>
          <w:szCs w:val="24"/>
        </w:rPr>
        <w:lastRenderedPageBreak/>
        <w:t>same place at which she was employed at the time of the accident. Rosen believes that the</w:t>
      </w:r>
      <w:r w:rsidR="003633E8">
        <w:rPr>
          <w:rFonts w:ascii="Arial" w:eastAsia="Calibri" w:hAnsi="Arial" w:cs="Arial"/>
          <w:sz w:val="24"/>
          <w:szCs w:val="24"/>
        </w:rPr>
        <w:t xml:space="preserve"> P</w:t>
      </w:r>
      <w:r w:rsidRPr="00DC6C4D">
        <w:rPr>
          <w:rFonts w:ascii="Arial" w:eastAsia="Calibri" w:hAnsi="Arial" w:cs="Arial"/>
          <w:sz w:val="24"/>
          <w:szCs w:val="24"/>
        </w:rPr>
        <w:t xml:space="preserve">laintiff likely has lost approximately 10% of income from the beginning of 2017, likely to continue, and </w:t>
      </w:r>
      <w:r>
        <w:rPr>
          <w:rFonts w:ascii="Arial" w:eastAsia="Calibri" w:hAnsi="Arial" w:cs="Arial"/>
          <w:sz w:val="24"/>
          <w:szCs w:val="24"/>
        </w:rPr>
        <w:t>that P</w:t>
      </w:r>
      <w:r w:rsidRPr="00DC6C4D">
        <w:rPr>
          <w:rFonts w:ascii="Arial" w:eastAsia="Calibri" w:hAnsi="Arial" w:cs="Arial"/>
          <w:sz w:val="24"/>
          <w:szCs w:val="24"/>
        </w:rPr>
        <w:t>laintiff'</w:t>
      </w:r>
      <w:r>
        <w:rPr>
          <w:rFonts w:ascii="Arial" w:eastAsia="Calibri" w:hAnsi="Arial" w:cs="Arial"/>
          <w:sz w:val="24"/>
          <w:szCs w:val="24"/>
        </w:rPr>
        <w:t>s vulnerability has increased.</w:t>
      </w:r>
    </w:p>
    <w:p w:rsidR="00A94CD1" w:rsidRDefault="00A94CD1" w:rsidP="00DD6583">
      <w:pPr>
        <w:spacing w:after="415" w:line="480" w:lineRule="auto"/>
        <w:ind w:left="720" w:right="-96" w:hanging="720"/>
        <w:jc w:val="both"/>
        <w:rPr>
          <w:rFonts w:ascii="Arial" w:eastAsia="Calibri" w:hAnsi="Arial" w:cs="Arial"/>
          <w:sz w:val="24"/>
          <w:szCs w:val="24"/>
        </w:rPr>
      </w:pPr>
      <w:r>
        <w:rPr>
          <w:rFonts w:ascii="Arial" w:eastAsia="Calibri" w:hAnsi="Arial" w:cs="Arial"/>
          <w:sz w:val="24"/>
          <w:szCs w:val="24"/>
        </w:rPr>
        <w:t xml:space="preserve">19. </w:t>
      </w:r>
      <w:r>
        <w:rPr>
          <w:rFonts w:ascii="Arial" w:eastAsia="Calibri" w:hAnsi="Arial" w:cs="Arial"/>
          <w:sz w:val="24"/>
          <w:szCs w:val="24"/>
        </w:rPr>
        <w:tab/>
      </w:r>
      <w:r w:rsidRPr="00DC6C4D">
        <w:rPr>
          <w:rFonts w:ascii="Arial" w:eastAsia="Times New Roman" w:hAnsi="Arial" w:cs="Arial"/>
          <w:sz w:val="24"/>
          <w:szCs w:val="24"/>
          <w:lang w:val="en-US"/>
        </w:rPr>
        <w:t xml:space="preserve">The actuary’s report set-out </w:t>
      </w:r>
      <w:r>
        <w:rPr>
          <w:rFonts w:ascii="Arial" w:eastAsia="Times New Roman" w:hAnsi="Arial" w:cs="Arial"/>
          <w:sz w:val="24"/>
          <w:szCs w:val="24"/>
        </w:rPr>
        <w:t>assumptions that the P</w:t>
      </w:r>
      <w:r w:rsidRPr="00DC6C4D">
        <w:rPr>
          <w:rFonts w:ascii="Arial" w:eastAsia="Times New Roman" w:hAnsi="Arial" w:cs="Arial"/>
          <w:sz w:val="24"/>
          <w:szCs w:val="24"/>
        </w:rPr>
        <w:t xml:space="preserve">laintiff sustained a loss of income. </w:t>
      </w:r>
      <w:r w:rsidRPr="00DC6C4D">
        <w:rPr>
          <w:rFonts w:ascii="Arial" w:eastAsia="Calibri" w:hAnsi="Arial" w:cs="Arial"/>
          <w:sz w:val="24"/>
          <w:szCs w:val="24"/>
        </w:rPr>
        <w:t xml:space="preserve">In 2018 she earned R12,095 pm (R145,140 pa) by adjusting for inflation, </w:t>
      </w:r>
      <w:r>
        <w:rPr>
          <w:rFonts w:ascii="Arial" w:eastAsia="Calibri" w:hAnsi="Arial" w:cs="Arial"/>
          <w:sz w:val="24"/>
          <w:szCs w:val="24"/>
        </w:rPr>
        <w:t>which amounts to an income of R 1</w:t>
      </w:r>
      <w:r w:rsidRPr="00DC6C4D">
        <w:rPr>
          <w:rFonts w:ascii="Arial" w:eastAsia="Calibri" w:hAnsi="Arial" w:cs="Arial"/>
          <w:sz w:val="24"/>
          <w:szCs w:val="24"/>
        </w:rPr>
        <w:t>34,888 pa as of January 2017.</w:t>
      </w:r>
      <w:r>
        <w:rPr>
          <w:rFonts w:ascii="Arial" w:eastAsia="Calibri" w:hAnsi="Arial" w:cs="Arial"/>
          <w:sz w:val="24"/>
          <w:szCs w:val="24"/>
        </w:rPr>
        <w:t xml:space="preserve"> The P</w:t>
      </w:r>
      <w:r w:rsidRPr="00DC6C4D">
        <w:rPr>
          <w:rFonts w:ascii="Arial" w:eastAsia="Calibri" w:hAnsi="Arial" w:cs="Arial"/>
          <w:sz w:val="24"/>
          <w:szCs w:val="24"/>
        </w:rPr>
        <w:t>laintiff now makes</w:t>
      </w:r>
      <w:r>
        <w:rPr>
          <w:rFonts w:ascii="Arial" w:eastAsia="Calibri" w:hAnsi="Arial" w:cs="Arial"/>
          <w:color w:val="FF0000"/>
          <w:sz w:val="24"/>
          <w:szCs w:val="24"/>
        </w:rPr>
        <w:t xml:space="preserve"> </w:t>
      </w:r>
      <w:r>
        <w:rPr>
          <w:rFonts w:ascii="Arial" w:eastAsia="Calibri" w:hAnsi="Arial" w:cs="Arial"/>
          <w:sz w:val="24"/>
          <w:szCs w:val="24"/>
        </w:rPr>
        <w:t>R 1</w:t>
      </w:r>
      <w:r w:rsidRPr="00DC6C4D">
        <w:rPr>
          <w:rFonts w:ascii="Arial" w:eastAsia="Calibri" w:hAnsi="Arial" w:cs="Arial"/>
          <w:sz w:val="24"/>
          <w:szCs w:val="24"/>
        </w:rPr>
        <w:t>69,855 pa. The loss of income has been calculated from January 2017</w:t>
      </w:r>
      <w:r>
        <w:rPr>
          <w:rFonts w:ascii="Arial" w:eastAsia="Calibri" w:hAnsi="Arial" w:cs="Arial"/>
          <w:sz w:val="24"/>
          <w:szCs w:val="24"/>
        </w:rPr>
        <w:t>,</w:t>
      </w:r>
      <w:r w:rsidRPr="00DC6C4D">
        <w:rPr>
          <w:rFonts w:ascii="Arial" w:eastAsia="Calibri" w:hAnsi="Arial" w:cs="Arial"/>
          <w:sz w:val="24"/>
          <w:szCs w:val="24"/>
        </w:rPr>
        <w:t xml:space="preserve"> but for the accident: She would have been promoted at the beginning of 2017. She would then have earned at the </w:t>
      </w:r>
      <w:r w:rsidRPr="00C55AC3">
        <w:rPr>
          <w:rFonts w:ascii="Arial" w:eastAsia="Calibri" w:hAnsi="Arial" w:cs="Arial"/>
          <w:sz w:val="24"/>
          <w:szCs w:val="24"/>
        </w:rPr>
        <w:t>B</w:t>
      </w:r>
      <w:r w:rsidR="003633E8">
        <w:rPr>
          <w:rFonts w:ascii="Arial" w:eastAsia="Calibri" w:hAnsi="Arial" w:cs="Arial"/>
          <w:sz w:val="24"/>
          <w:szCs w:val="24"/>
        </w:rPr>
        <w:t>1</w:t>
      </w:r>
      <w:r w:rsidRPr="00DC6C4D">
        <w:rPr>
          <w:rFonts w:ascii="Arial" w:eastAsia="Calibri" w:hAnsi="Arial" w:cs="Arial"/>
          <w:sz w:val="24"/>
          <w:szCs w:val="24"/>
        </w:rPr>
        <w:t xml:space="preserve"> level. She would have continued to receive inflationary increases in the future.</w:t>
      </w:r>
    </w:p>
    <w:p w:rsidR="00DC6C4D" w:rsidRDefault="00A94CD1" w:rsidP="00DD6583">
      <w:pPr>
        <w:spacing w:after="415" w:line="480" w:lineRule="auto"/>
        <w:ind w:left="720" w:right="-96" w:hanging="720"/>
        <w:jc w:val="both"/>
        <w:rPr>
          <w:rFonts w:ascii="Arial" w:eastAsia="Calibri" w:hAnsi="Arial" w:cs="Arial"/>
          <w:sz w:val="24"/>
          <w:szCs w:val="24"/>
        </w:rPr>
      </w:pPr>
      <w:r>
        <w:rPr>
          <w:rFonts w:ascii="Arial" w:eastAsia="Calibri" w:hAnsi="Arial" w:cs="Arial"/>
          <w:sz w:val="24"/>
          <w:szCs w:val="24"/>
        </w:rPr>
        <w:t xml:space="preserve">20.  </w:t>
      </w:r>
      <w:r w:rsidR="00DD6583">
        <w:rPr>
          <w:rFonts w:ascii="Arial" w:eastAsia="Calibri" w:hAnsi="Arial" w:cs="Arial"/>
          <w:sz w:val="24"/>
          <w:szCs w:val="24"/>
        </w:rPr>
        <w:tab/>
      </w:r>
      <w:r w:rsidRPr="00DC6C4D">
        <w:rPr>
          <w:rFonts w:ascii="Arial" w:eastAsia="Calibri" w:hAnsi="Arial" w:cs="Arial"/>
          <w:sz w:val="24"/>
          <w:szCs w:val="24"/>
        </w:rPr>
        <w:t xml:space="preserve">Regarding the accident: it is assumed that her income increased uniformly from R145,140 pa in July 2018 to reach R 169,855 pa by the valuation date. She will continue to receive inflationary increases. The </w:t>
      </w:r>
      <w:r>
        <w:rPr>
          <w:rFonts w:ascii="Arial" w:eastAsia="Calibri" w:hAnsi="Arial" w:cs="Arial"/>
          <w:sz w:val="24"/>
          <w:szCs w:val="24"/>
        </w:rPr>
        <w:tab/>
        <w:t>P</w:t>
      </w:r>
      <w:r w:rsidRPr="00DC6C4D">
        <w:rPr>
          <w:rFonts w:ascii="Arial" w:eastAsia="Calibri" w:hAnsi="Arial" w:cs="Arial"/>
          <w:sz w:val="24"/>
          <w:szCs w:val="24"/>
        </w:rPr>
        <w:t>laintiff has suffered from a decrease in productivity. She is now a more vulnerable employee and is an unequal competitor in the open labour market. Her career progress and opportunities will now be restricted. The above factors and all other risks affecting her income should be considered in the general contingency deduction. She would "but for the accident" have retired at age 65</w:t>
      </w:r>
      <w:r>
        <w:rPr>
          <w:rFonts w:ascii="Arial" w:eastAsia="Calibri" w:hAnsi="Arial" w:cs="Arial"/>
          <w:sz w:val="24"/>
          <w:szCs w:val="24"/>
        </w:rPr>
        <w:t xml:space="preserve"> years</w:t>
      </w:r>
      <w:r w:rsidRPr="00DC6C4D">
        <w:rPr>
          <w:rFonts w:ascii="Arial" w:eastAsia="Calibri" w:hAnsi="Arial" w:cs="Arial"/>
          <w:sz w:val="24"/>
          <w:szCs w:val="24"/>
        </w:rPr>
        <w:t>. It is assumed that her retirement age "having regard to the accident" will</w:t>
      </w:r>
      <w:r>
        <w:rPr>
          <w:rFonts w:ascii="Arial" w:eastAsia="Calibri" w:hAnsi="Arial" w:cs="Arial"/>
          <w:sz w:val="24"/>
          <w:szCs w:val="24"/>
        </w:rPr>
        <w:t xml:space="preserve"> be as in "but for the accident</w:t>
      </w:r>
      <w:r w:rsidRPr="00DC6C4D">
        <w:rPr>
          <w:rFonts w:ascii="Arial" w:eastAsia="Calibri" w:hAnsi="Arial" w:cs="Arial"/>
          <w:sz w:val="24"/>
          <w:szCs w:val="24"/>
        </w:rPr>
        <w:t>"</w:t>
      </w:r>
      <w:r>
        <w:rPr>
          <w:rFonts w:ascii="Arial" w:eastAsia="Calibri" w:hAnsi="Arial" w:cs="Arial"/>
          <w:sz w:val="24"/>
          <w:szCs w:val="24"/>
        </w:rPr>
        <w:t>.</w:t>
      </w:r>
    </w:p>
    <w:p w:rsidR="00A94CD1" w:rsidRDefault="00A94CD1" w:rsidP="00DD6583">
      <w:pPr>
        <w:spacing w:after="415" w:line="480" w:lineRule="auto"/>
        <w:ind w:left="720" w:right="-96" w:hanging="720"/>
        <w:jc w:val="both"/>
        <w:rPr>
          <w:rFonts w:ascii="Arial" w:eastAsia="Calibri" w:hAnsi="Arial" w:cs="Arial"/>
          <w:sz w:val="24"/>
          <w:szCs w:val="24"/>
        </w:rPr>
      </w:pPr>
      <w:r>
        <w:rPr>
          <w:rFonts w:ascii="Arial" w:eastAsia="Calibri" w:hAnsi="Arial" w:cs="Arial"/>
          <w:sz w:val="24"/>
          <w:szCs w:val="24"/>
        </w:rPr>
        <w:t xml:space="preserve">21.  </w:t>
      </w:r>
      <w:r w:rsidR="00DD6583">
        <w:rPr>
          <w:rFonts w:ascii="Arial" w:eastAsia="Calibri" w:hAnsi="Arial" w:cs="Arial"/>
          <w:sz w:val="24"/>
          <w:szCs w:val="24"/>
        </w:rPr>
        <w:tab/>
      </w:r>
      <w:r w:rsidRPr="00DC6C4D">
        <w:rPr>
          <w:rFonts w:ascii="Arial" w:eastAsia="Calibri" w:hAnsi="Arial" w:cs="Arial"/>
          <w:sz w:val="24"/>
          <w:szCs w:val="24"/>
        </w:rPr>
        <w:t>The principle is to place</w:t>
      </w:r>
      <w:r>
        <w:rPr>
          <w:rFonts w:ascii="Arial" w:eastAsia="Calibri" w:hAnsi="Arial" w:cs="Arial"/>
          <w:sz w:val="24"/>
          <w:szCs w:val="24"/>
        </w:rPr>
        <w:t xml:space="preserve"> the P</w:t>
      </w:r>
      <w:r w:rsidRPr="00DC6C4D">
        <w:rPr>
          <w:rFonts w:ascii="Arial" w:eastAsia="Calibri" w:hAnsi="Arial" w:cs="Arial"/>
          <w:sz w:val="24"/>
          <w:szCs w:val="24"/>
        </w:rPr>
        <w:t xml:space="preserve">laintiff in the same financial position as she would have been but for the accident. This is done by calculating the value of her </w:t>
      </w:r>
      <w:r w:rsidRPr="00DC6C4D">
        <w:rPr>
          <w:rFonts w:ascii="Arial" w:eastAsia="Calibri" w:hAnsi="Arial" w:cs="Arial"/>
          <w:sz w:val="24"/>
          <w:szCs w:val="24"/>
        </w:rPr>
        <w:lastRenderedPageBreak/>
        <w:t>income for the accident and the value of her income regarding the accident. The difference is the loss of income suffered. She is further alluding that a deduction for general contingencies needs to be made to allow for savings in traveling to and from work and the possibility of a loss of income due to illness or unemployment.</w:t>
      </w:r>
    </w:p>
    <w:p w:rsidR="00DC6C4D" w:rsidRDefault="007575D3" w:rsidP="00DD6583">
      <w:pPr>
        <w:spacing w:after="415" w:line="480" w:lineRule="auto"/>
        <w:ind w:left="720" w:right="-96" w:hanging="720"/>
        <w:jc w:val="both"/>
        <w:rPr>
          <w:rFonts w:ascii="Arial" w:eastAsia="Calibri" w:hAnsi="Arial" w:cs="Arial"/>
          <w:sz w:val="24"/>
          <w:szCs w:val="24"/>
        </w:rPr>
      </w:pPr>
      <w:r>
        <w:rPr>
          <w:rFonts w:ascii="Arial" w:eastAsia="Calibri" w:hAnsi="Arial" w:cs="Arial"/>
          <w:sz w:val="24"/>
          <w:szCs w:val="24"/>
        </w:rPr>
        <w:t xml:space="preserve">22. </w:t>
      </w:r>
      <w:r>
        <w:rPr>
          <w:rFonts w:ascii="Arial" w:eastAsia="Calibri" w:hAnsi="Arial" w:cs="Arial"/>
          <w:sz w:val="24"/>
          <w:szCs w:val="24"/>
        </w:rPr>
        <w:tab/>
      </w:r>
      <w:r w:rsidRPr="00DC6C4D">
        <w:rPr>
          <w:rFonts w:ascii="Arial" w:eastAsia="Calibri" w:hAnsi="Arial" w:cs="Arial"/>
          <w:sz w:val="24"/>
          <w:szCs w:val="24"/>
        </w:rPr>
        <w:t>The primary method of assessing loss of earning capacity is calcul</w:t>
      </w:r>
      <w:r w:rsidR="003633E8">
        <w:rPr>
          <w:rFonts w:ascii="Arial" w:eastAsia="Calibri" w:hAnsi="Arial" w:cs="Arial"/>
          <w:sz w:val="24"/>
          <w:szCs w:val="24"/>
        </w:rPr>
        <w:t>ating the present value of the P</w:t>
      </w:r>
      <w:r w:rsidRPr="00DC6C4D">
        <w:rPr>
          <w:rFonts w:ascii="Arial" w:eastAsia="Calibri" w:hAnsi="Arial" w:cs="Arial"/>
          <w:sz w:val="24"/>
          <w:szCs w:val="24"/>
        </w:rPr>
        <w:t>laintiff's future income had she not been injured in the relevant accident, calcul</w:t>
      </w:r>
      <w:r>
        <w:rPr>
          <w:rFonts w:ascii="Arial" w:eastAsia="Calibri" w:hAnsi="Arial" w:cs="Arial"/>
          <w:sz w:val="24"/>
          <w:szCs w:val="24"/>
        </w:rPr>
        <w:t>ating the current value of the P</w:t>
      </w:r>
      <w:r w:rsidRPr="00DC6C4D">
        <w:rPr>
          <w:rFonts w:ascii="Arial" w:eastAsia="Calibri" w:hAnsi="Arial" w:cs="Arial"/>
          <w:sz w:val="24"/>
          <w:szCs w:val="24"/>
        </w:rPr>
        <w:t>laintiff's estimated future payment having regard to the injuries sustained in the collision, subtracting the second figure from the first and adjusting the final figure in light of all the relevant factors and contingencies after applying a</w:t>
      </w:r>
      <w:r>
        <w:rPr>
          <w:rFonts w:ascii="Arial" w:eastAsia="Calibri" w:hAnsi="Arial" w:cs="Arial"/>
          <w:sz w:val="24"/>
          <w:szCs w:val="24"/>
        </w:rPr>
        <w:t xml:space="preserve"> 20% contingency differential, P</w:t>
      </w:r>
      <w:r w:rsidRPr="00DC6C4D">
        <w:rPr>
          <w:rFonts w:ascii="Arial" w:eastAsia="Calibri" w:hAnsi="Arial" w:cs="Arial"/>
          <w:sz w:val="24"/>
          <w:szCs w:val="24"/>
        </w:rPr>
        <w:t>laintiff's total loss of earnings amounts to R482 950,00.</w:t>
      </w:r>
      <w:r>
        <w:rPr>
          <w:rFonts w:ascii="Arial" w:eastAsia="Calibri" w:hAnsi="Arial" w:cs="Arial"/>
          <w:sz w:val="24"/>
          <w:szCs w:val="24"/>
        </w:rPr>
        <w:t>23.</w:t>
      </w:r>
    </w:p>
    <w:p w:rsidR="007575D3" w:rsidRDefault="007575D3" w:rsidP="00DD6583">
      <w:pPr>
        <w:spacing w:after="415" w:line="480" w:lineRule="auto"/>
        <w:ind w:left="720" w:right="-96" w:hanging="720"/>
        <w:jc w:val="both"/>
        <w:rPr>
          <w:rFonts w:ascii="Arial" w:eastAsia="Calibri" w:hAnsi="Arial" w:cs="Arial"/>
          <w:sz w:val="24"/>
          <w:szCs w:val="24"/>
        </w:rPr>
      </w:pPr>
      <w:r>
        <w:rPr>
          <w:rFonts w:ascii="Arial" w:eastAsia="Calibri" w:hAnsi="Arial" w:cs="Arial"/>
          <w:sz w:val="24"/>
          <w:szCs w:val="24"/>
        </w:rPr>
        <w:t xml:space="preserve">23. </w:t>
      </w:r>
      <w:r>
        <w:rPr>
          <w:rFonts w:ascii="Arial" w:eastAsia="Calibri" w:hAnsi="Arial" w:cs="Arial"/>
          <w:sz w:val="24"/>
          <w:szCs w:val="24"/>
        </w:rPr>
        <w:tab/>
      </w:r>
      <w:r w:rsidRPr="00DC6C4D">
        <w:rPr>
          <w:rFonts w:ascii="Arial" w:eastAsia="Calibri" w:hAnsi="Arial" w:cs="Arial"/>
          <w:sz w:val="24"/>
          <w:szCs w:val="24"/>
        </w:rPr>
        <w:t xml:space="preserve">On 7 April </w:t>
      </w:r>
      <w:r>
        <w:rPr>
          <w:rFonts w:ascii="Arial" w:eastAsia="Calibri" w:hAnsi="Arial" w:cs="Arial"/>
          <w:sz w:val="24"/>
          <w:szCs w:val="24"/>
        </w:rPr>
        <w:t>2019, the HPCSA found that the P</w:t>
      </w:r>
      <w:r w:rsidRPr="00DC6C4D">
        <w:rPr>
          <w:rFonts w:ascii="Arial" w:eastAsia="Calibri" w:hAnsi="Arial" w:cs="Arial"/>
          <w:sz w:val="24"/>
          <w:szCs w:val="24"/>
        </w:rPr>
        <w:t xml:space="preserve">laintiff does qualify for general damages. </w:t>
      </w:r>
      <w:r>
        <w:rPr>
          <w:rFonts w:ascii="Arial" w:eastAsia="Calibri" w:hAnsi="Arial" w:cs="Arial"/>
          <w:sz w:val="24"/>
          <w:szCs w:val="24"/>
        </w:rPr>
        <w:t>The P</w:t>
      </w:r>
      <w:r w:rsidRPr="00DC6C4D">
        <w:rPr>
          <w:rFonts w:ascii="Arial" w:eastAsia="Calibri" w:hAnsi="Arial" w:cs="Arial"/>
          <w:sz w:val="24"/>
          <w:szCs w:val="24"/>
        </w:rPr>
        <w:t>laintiff was further assessed by Dr. Berkowitz (plastic surgeon); h</w:t>
      </w:r>
      <w:r>
        <w:rPr>
          <w:rFonts w:ascii="Arial" w:eastAsia="Calibri" w:hAnsi="Arial" w:cs="Arial"/>
          <w:sz w:val="24"/>
          <w:szCs w:val="24"/>
        </w:rPr>
        <w:t>e found that the P</w:t>
      </w:r>
      <w:r w:rsidRPr="00DC6C4D">
        <w:rPr>
          <w:rFonts w:ascii="Arial" w:eastAsia="Calibri" w:hAnsi="Arial" w:cs="Arial"/>
          <w:sz w:val="24"/>
          <w:szCs w:val="24"/>
        </w:rPr>
        <w:t>laintiff sustained a laceration of the left side of the forehead, reaching maximum medic</w:t>
      </w:r>
      <w:r w:rsidR="00BA4EE6">
        <w:rPr>
          <w:rFonts w:ascii="Arial" w:eastAsia="Calibri" w:hAnsi="Arial" w:cs="Arial"/>
          <w:sz w:val="24"/>
          <w:szCs w:val="24"/>
        </w:rPr>
        <w:t>al improvement but leaving the P</w:t>
      </w:r>
      <w:r w:rsidRPr="00DC6C4D">
        <w:rPr>
          <w:rFonts w:ascii="Arial" w:eastAsia="Calibri" w:hAnsi="Arial" w:cs="Arial"/>
          <w:sz w:val="24"/>
          <w:szCs w:val="24"/>
        </w:rPr>
        <w:t>laintiff with a severe permanent facial disfigurement that will not benefit from surgical revision.</w:t>
      </w:r>
    </w:p>
    <w:p w:rsidR="007575D3" w:rsidRDefault="007575D3" w:rsidP="00DD6583">
      <w:pPr>
        <w:spacing w:line="480" w:lineRule="auto"/>
        <w:ind w:firstLine="720"/>
        <w:contextualSpacing/>
        <w:jc w:val="both"/>
        <w:rPr>
          <w:rFonts w:ascii="Arial" w:eastAsia="Times New Roman" w:hAnsi="Arial" w:cs="Arial"/>
          <w:sz w:val="24"/>
          <w:szCs w:val="24"/>
          <w:u w:val="single"/>
        </w:rPr>
      </w:pPr>
      <w:r w:rsidRPr="00DC6C4D">
        <w:rPr>
          <w:rFonts w:ascii="Arial" w:eastAsia="Times New Roman" w:hAnsi="Arial" w:cs="Arial"/>
          <w:sz w:val="24"/>
          <w:szCs w:val="24"/>
          <w:u w:val="single"/>
        </w:rPr>
        <w:t>Submissions on behalf of the Plaintiff</w:t>
      </w:r>
    </w:p>
    <w:p w:rsidR="007575D3" w:rsidRPr="007575D3" w:rsidRDefault="007575D3" w:rsidP="00BA4EE6">
      <w:pPr>
        <w:spacing w:line="480" w:lineRule="auto"/>
        <w:contextualSpacing/>
        <w:jc w:val="both"/>
        <w:rPr>
          <w:rFonts w:ascii="Arial" w:eastAsia="Times New Roman" w:hAnsi="Arial" w:cs="Arial"/>
          <w:sz w:val="24"/>
          <w:szCs w:val="24"/>
          <w:u w:val="single"/>
        </w:rPr>
      </w:pPr>
    </w:p>
    <w:p w:rsidR="007575D3" w:rsidRDefault="007575D3" w:rsidP="00DD6583">
      <w:pPr>
        <w:spacing w:after="415" w:line="480" w:lineRule="auto"/>
        <w:ind w:left="720" w:right="-96" w:hanging="720"/>
        <w:jc w:val="both"/>
        <w:rPr>
          <w:rFonts w:ascii="Arial" w:eastAsia="Times New Roman" w:hAnsi="Arial" w:cs="Arial"/>
          <w:sz w:val="24"/>
          <w:szCs w:val="24"/>
        </w:rPr>
      </w:pPr>
      <w:r>
        <w:rPr>
          <w:rFonts w:ascii="Arial" w:eastAsia="Calibri" w:hAnsi="Arial" w:cs="Arial"/>
          <w:sz w:val="24"/>
          <w:szCs w:val="24"/>
        </w:rPr>
        <w:t xml:space="preserve">24. </w:t>
      </w:r>
      <w:r>
        <w:rPr>
          <w:rFonts w:ascii="Arial" w:eastAsia="Calibri" w:hAnsi="Arial" w:cs="Arial"/>
          <w:sz w:val="24"/>
          <w:szCs w:val="24"/>
        </w:rPr>
        <w:tab/>
      </w:r>
      <w:r w:rsidRPr="00DC6C4D">
        <w:rPr>
          <w:rFonts w:ascii="Arial" w:eastAsia="Times New Roman" w:hAnsi="Arial" w:cs="Arial"/>
          <w:sz w:val="24"/>
          <w:szCs w:val="24"/>
        </w:rPr>
        <w:t xml:space="preserve">Counsel for Plaintiff made submissions concerning the evidence of the expert witnesses appearing above. Therefore, under this part, only some of the proposals by Counsel will be referred to avoid unnecessary repetition. Counsel argued on behalf of the </w:t>
      </w:r>
      <w:r w:rsidR="003633E8">
        <w:rPr>
          <w:rFonts w:ascii="Arial" w:eastAsia="Times New Roman" w:hAnsi="Arial" w:cs="Arial"/>
          <w:sz w:val="24"/>
          <w:szCs w:val="24"/>
        </w:rPr>
        <w:t>P</w:t>
      </w:r>
      <w:r w:rsidRPr="00DC6C4D">
        <w:rPr>
          <w:rFonts w:ascii="Arial" w:eastAsia="Times New Roman" w:hAnsi="Arial" w:cs="Arial"/>
          <w:sz w:val="24"/>
          <w:szCs w:val="24"/>
        </w:rPr>
        <w:t xml:space="preserve">laintiff that a fair and reasonable award would be </w:t>
      </w:r>
      <w:r w:rsidRPr="00DC6C4D">
        <w:rPr>
          <w:rFonts w:ascii="Arial" w:eastAsia="Times New Roman" w:hAnsi="Arial" w:cs="Arial"/>
          <w:sz w:val="24"/>
          <w:szCs w:val="24"/>
        </w:rPr>
        <w:lastRenderedPageBreak/>
        <w:t>arrived at when the average of the above assumptions is calculated, an amount of R482 950,00.</w:t>
      </w:r>
    </w:p>
    <w:p w:rsidR="007575D3" w:rsidRDefault="007575D3" w:rsidP="00DD6583">
      <w:pPr>
        <w:spacing w:after="415" w:line="480" w:lineRule="auto"/>
        <w:ind w:left="720" w:right="-96" w:hanging="720"/>
        <w:jc w:val="both"/>
        <w:rPr>
          <w:rFonts w:ascii="Arial" w:eastAsia="Times New Roman" w:hAnsi="Arial" w:cs="Arial"/>
          <w:i/>
          <w:iCs/>
          <w:sz w:val="24"/>
          <w:szCs w:val="24"/>
        </w:rPr>
      </w:pPr>
      <w:r>
        <w:rPr>
          <w:rFonts w:ascii="Arial" w:eastAsia="Times New Roman" w:hAnsi="Arial" w:cs="Arial"/>
          <w:sz w:val="24"/>
          <w:szCs w:val="24"/>
        </w:rPr>
        <w:t>25.</w:t>
      </w:r>
      <w:r>
        <w:rPr>
          <w:rFonts w:ascii="Arial" w:eastAsia="Times New Roman" w:hAnsi="Arial" w:cs="Arial"/>
          <w:sz w:val="24"/>
          <w:szCs w:val="24"/>
        </w:rPr>
        <w:tab/>
      </w:r>
      <w:r w:rsidRPr="00DC6C4D">
        <w:rPr>
          <w:rFonts w:ascii="Arial" w:eastAsia="Times New Roman" w:hAnsi="Arial" w:cs="Arial"/>
          <w:sz w:val="24"/>
          <w:szCs w:val="24"/>
        </w:rPr>
        <w:t xml:space="preserve">Regarding the application of contingency deductions, Counsel's submissions included the following about Nicholas JA at 116-117 of </w:t>
      </w:r>
      <w:r w:rsidRPr="00DC6C4D">
        <w:rPr>
          <w:rFonts w:ascii="Arial" w:eastAsia="Times New Roman" w:hAnsi="Arial" w:cs="Arial"/>
          <w:i/>
          <w:sz w:val="24"/>
          <w:szCs w:val="24"/>
        </w:rPr>
        <w:t>Southern Insurance Association v Bailey NO</w:t>
      </w:r>
      <w:r w:rsidRPr="00DC6C4D">
        <w:rPr>
          <w:rFonts w:ascii="Arial" w:eastAsia="Times New Roman" w:hAnsi="Arial" w:cs="Arial"/>
          <w:sz w:val="24"/>
          <w:szCs w:val="24"/>
        </w:rPr>
        <w:t xml:space="preserve"> 1984 (1) SA 98 (A): Where the method of actuarial calculation is adopted, it does not mean that the trial Judge is “tied down by inexorable actuarial calculations. He has a large discretion to award what he considers right” (per Holmes JA in </w:t>
      </w:r>
      <w:r w:rsidRPr="00DC6C4D">
        <w:rPr>
          <w:rFonts w:ascii="Arial" w:eastAsia="Times New Roman" w:hAnsi="Arial" w:cs="Arial"/>
          <w:i/>
          <w:sz w:val="24"/>
          <w:szCs w:val="24"/>
        </w:rPr>
        <w:t xml:space="preserve">Legal Assurance Company Limited v Botes 1963 </w:t>
      </w:r>
      <w:r w:rsidRPr="00DC6C4D">
        <w:rPr>
          <w:rFonts w:ascii="Arial" w:eastAsia="Times New Roman" w:hAnsi="Arial" w:cs="Arial"/>
          <w:sz w:val="24"/>
          <w:szCs w:val="24"/>
        </w:rPr>
        <w:t>(1) SA 608 (A) at 614F. Further, according to the learned author, Koch stated that "(g</w:t>
      </w:r>
      <w:r w:rsidRPr="00DC6C4D">
        <w:rPr>
          <w:rFonts w:ascii="Arial" w:eastAsia="Times New Roman" w:hAnsi="Arial" w:cs="Arial"/>
          <w:i/>
          <w:iCs/>
          <w:sz w:val="24"/>
          <w:szCs w:val="24"/>
        </w:rPr>
        <w:t>eneral contingencies cover a wide range of considerations which may vary from case to case and may include: taxation, early death, saved travel costs, loss of employment, promotion prospects, divorce, etc. There are no fixed rules as regards general contingencies).</w:t>
      </w:r>
    </w:p>
    <w:p w:rsidR="007575D3" w:rsidRDefault="007575D3" w:rsidP="00DD6583">
      <w:pPr>
        <w:spacing w:line="480" w:lineRule="auto"/>
        <w:ind w:firstLine="720"/>
        <w:contextualSpacing/>
        <w:jc w:val="both"/>
        <w:rPr>
          <w:rFonts w:ascii="Arial" w:eastAsia="Times New Roman" w:hAnsi="Arial" w:cs="Arial"/>
          <w:sz w:val="24"/>
          <w:szCs w:val="24"/>
          <w:u w:val="single"/>
        </w:rPr>
      </w:pPr>
      <w:r w:rsidRPr="00DC6C4D">
        <w:rPr>
          <w:rFonts w:ascii="Arial" w:eastAsia="Times New Roman" w:hAnsi="Arial" w:cs="Arial"/>
          <w:sz w:val="24"/>
          <w:szCs w:val="24"/>
          <w:u w:val="single"/>
        </w:rPr>
        <w:t xml:space="preserve">General Damages </w:t>
      </w:r>
    </w:p>
    <w:p w:rsidR="00BA4EE6" w:rsidRPr="007575D3" w:rsidRDefault="00BA4EE6" w:rsidP="00BA4EE6">
      <w:pPr>
        <w:spacing w:line="480" w:lineRule="auto"/>
        <w:contextualSpacing/>
        <w:jc w:val="both"/>
        <w:rPr>
          <w:rFonts w:ascii="Arial" w:eastAsia="Times New Roman" w:hAnsi="Arial" w:cs="Arial"/>
          <w:sz w:val="24"/>
          <w:szCs w:val="24"/>
          <w:u w:val="single"/>
        </w:rPr>
      </w:pPr>
    </w:p>
    <w:p w:rsidR="00A94CD1" w:rsidRDefault="007575D3" w:rsidP="00DD6583">
      <w:pPr>
        <w:spacing w:after="415" w:line="480" w:lineRule="auto"/>
        <w:ind w:left="720" w:right="-96" w:hanging="720"/>
        <w:jc w:val="both"/>
        <w:rPr>
          <w:rFonts w:ascii="Arial" w:eastAsia="Calibri" w:hAnsi="Arial" w:cs="Arial"/>
          <w:sz w:val="24"/>
          <w:szCs w:val="24"/>
        </w:rPr>
      </w:pPr>
      <w:r>
        <w:rPr>
          <w:rFonts w:ascii="Arial" w:eastAsia="Times New Roman" w:hAnsi="Arial" w:cs="Arial"/>
          <w:iCs/>
          <w:sz w:val="24"/>
          <w:szCs w:val="24"/>
        </w:rPr>
        <w:t>26.</w:t>
      </w:r>
      <w:r>
        <w:rPr>
          <w:rFonts w:ascii="Arial" w:eastAsia="Times New Roman" w:hAnsi="Arial" w:cs="Arial"/>
          <w:iCs/>
          <w:sz w:val="24"/>
          <w:szCs w:val="24"/>
        </w:rPr>
        <w:tab/>
      </w:r>
      <w:r w:rsidRPr="00DC6C4D">
        <w:rPr>
          <w:rFonts w:ascii="Arial" w:eastAsia="Calibri" w:hAnsi="Arial" w:cs="Arial"/>
          <w:sz w:val="24"/>
          <w:szCs w:val="24"/>
        </w:rPr>
        <w:t xml:space="preserve">On the aspect of General Damages, on 7 April 2019, the HPCSA found that the </w:t>
      </w:r>
      <w:r w:rsidR="00DD6583">
        <w:rPr>
          <w:rFonts w:ascii="Arial" w:eastAsia="Calibri" w:hAnsi="Arial" w:cs="Arial"/>
          <w:sz w:val="24"/>
          <w:szCs w:val="24"/>
        </w:rPr>
        <w:t>P</w:t>
      </w:r>
      <w:r w:rsidRPr="00DC6C4D">
        <w:rPr>
          <w:rFonts w:ascii="Arial" w:eastAsia="Calibri" w:hAnsi="Arial" w:cs="Arial"/>
          <w:sz w:val="24"/>
          <w:szCs w:val="24"/>
        </w:rPr>
        <w:t>laintiff does qualify for genera</w:t>
      </w:r>
      <w:r w:rsidR="003633E8">
        <w:rPr>
          <w:rFonts w:ascii="Arial" w:eastAsia="Calibri" w:hAnsi="Arial" w:cs="Arial"/>
          <w:sz w:val="24"/>
          <w:szCs w:val="24"/>
        </w:rPr>
        <w:t>l damages. The P</w:t>
      </w:r>
      <w:r w:rsidRPr="00DC6C4D">
        <w:rPr>
          <w:rFonts w:ascii="Arial" w:eastAsia="Calibri" w:hAnsi="Arial" w:cs="Arial"/>
          <w:sz w:val="24"/>
          <w:szCs w:val="24"/>
        </w:rPr>
        <w:t>laintiff was assessed by Dr. Berkowitz, the (plastic surgeon); he found that the</w:t>
      </w:r>
      <w:r w:rsidR="003633E8">
        <w:rPr>
          <w:rFonts w:ascii="Arial" w:eastAsia="Calibri" w:hAnsi="Arial" w:cs="Arial"/>
          <w:sz w:val="24"/>
          <w:szCs w:val="24"/>
        </w:rPr>
        <w:t xml:space="preserve"> P</w:t>
      </w:r>
      <w:r w:rsidRPr="00DC6C4D">
        <w:rPr>
          <w:rFonts w:ascii="Arial" w:eastAsia="Calibri" w:hAnsi="Arial" w:cs="Arial"/>
          <w:sz w:val="24"/>
          <w:szCs w:val="24"/>
        </w:rPr>
        <w:t>laintiff sustained a laceration of the left side of the forehead, which has reached maximum medica</w:t>
      </w:r>
      <w:r w:rsidR="003633E8">
        <w:rPr>
          <w:rFonts w:ascii="Arial" w:eastAsia="Calibri" w:hAnsi="Arial" w:cs="Arial"/>
          <w:sz w:val="24"/>
          <w:szCs w:val="24"/>
        </w:rPr>
        <w:t>l improvement but has left the P</w:t>
      </w:r>
      <w:r w:rsidRPr="00DC6C4D">
        <w:rPr>
          <w:rFonts w:ascii="Arial" w:eastAsia="Calibri" w:hAnsi="Arial" w:cs="Arial"/>
          <w:sz w:val="24"/>
          <w:szCs w:val="24"/>
        </w:rPr>
        <w:t>laintiff with a severe permanent facial disfigurement which will not benefit from surgical revision.</w:t>
      </w:r>
    </w:p>
    <w:p w:rsidR="00DC6C4D" w:rsidRDefault="007575D3" w:rsidP="00DD6583">
      <w:pPr>
        <w:spacing w:after="415" w:line="480" w:lineRule="auto"/>
        <w:ind w:left="720" w:right="-96" w:hanging="720"/>
        <w:jc w:val="both"/>
        <w:rPr>
          <w:rFonts w:ascii="Arial" w:eastAsia="Calibri" w:hAnsi="Arial" w:cs="Arial"/>
          <w:sz w:val="24"/>
          <w:szCs w:val="24"/>
        </w:rPr>
      </w:pPr>
      <w:r>
        <w:rPr>
          <w:rFonts w:ascii="Arial" w:eastAsia="Calibri" w:hAnsi="Arial" w:cs="Arial"/>
          <w:sz w:val="24"/>
          <w:szCs w:val="24"/>
        </w:rPr>
        <w:t>27.</w:t>
      </w:r>
      <w:r>
        <w:rPr>
          <w:rFonts w:ascii="Arial" w:eastAsia="Calibri" w:hAnsi="Arial" w:cs="Arial"/>
          <w:sz w:val="24"/>
          <w:szCs w:val="24"/>
        </w:rPr>
        <w:tab/>
      </w:r>
      <w:r w:rsidRPr="00DC6C4D">
        <w:rPr>
          <w:rFonts w:ascii="Arial" w:eastAsia="Calibri" w:hAnsi="Arial" w:cs="Arial"/>
          <w:sz w:val="24"/>
          <w:szCs w:val="24"/>
          <w:lang w:eastAsia="en-ZA"/>
        </w:rPr>
        <w:t xml:space="preserve">The Defendant admitted the Serious Injury Assessments and confirmed that the matter was to proceed on the issue of general damages. On 1 August 2008, the </w:t>
      </w:r>
      <w:r w:rsidRPr="00DC6C4D">
        <w:rPr>
          <w:rFonts w:ascii="Arial" w:eastAsia="Calibri" w:hAnsi="Arial" w:cs="Arial"/>
          <w:sz w:val="24"/>
          <w:szCs w:val="24"/>
          <w:lang w:eastAsia="en-ZA"/>
        </w:rPr>
        <w:lastRenderedPageBreak/>
        <w:t>Road Accident Fund Amendment Act, 19 of 2005 ("</w:t>
      </w:r>
      <w:r w:rsidRPr="00DC6C4D">
        <w:rPr>
          <w:rFonts w:ascii="Arial" w:eastAsia="Calibri" w:hAnsi="Arial" w:cs="Arial"/>
          <w:i/>
          <w:iCs/>
          <w:sz w:val="24"/>
          <w:szCs w:val="24"/>
          <w:lang w:eastAsia="en-ZA"/>
        </w:rPr>
        <w:t>the Act”</w:t>
      </w:r>
      <w:r w:rsidRPr="00DC6C4D">
        <w:rPr>
          <w:rFonts w:ascii="Arial" w:eastAsia="Calibri" w:hAnsi="Arial" w:cs="Arial"/>
          <w:sz w:val="24"/>
          <w:szCs w:val="24"/>
          <w:lang w:eastAsia="en-ZA"/>
        </w:rPr>
        <w:t>) took effect, thereby amending Section 17(1) of the Road Accident Fund Act, 56 of 1996. It did so by introducing limitations on the Respondent's liability for general damages. In this regard, the obligation of the Respondent to compensate a third party for a non-pecuniary loss now became limited to "</w:t>
      </w:r>
      <w:r w:rsidRPr="00DC6C4D">
        <w:rPr>
          <w:rFonts w:ascii="Arial" w:eastAsia="Calibri" w:hAnsi="Arial" w:cs="Arial"/>
          <w:i/>
          <w:iCs/>
          <w:sz w:val="24"/>
          <w:szCs w:val="24"/>
          <w:lang w:eastAsia="en-ZA"/>
        </w:rPr>
        <w:t>compensation for a serious injury as contemplated in subsection 1(A) of the Act and would only be paid to employ a lump sum”</w:t>
      </w:r>
      <w:r w:rsidRPr="00DC6C4D">
        <w:rPr>
          <w:rFonts w:ascii="Arial" w:eastAsia="Calibri" w:hAnsi="Arial" w:cs="Arial"/>
          <w:sz w:val="24"/>
          <w:szCs w:val="24"/>
          <w:lang w:eastAsia="en-ZA"/>
        </w:rPr>
        <w:t xml:space="preserve">. </w:t>
      </w:r>
      <w:r w:rsidRPr="00DC6C4D">
        <w:rPr>
          <w:rFonts w:ascii="Arial" w:eastAsia="Calibri" w:hAnsi="Arial" w:cs="Arial"/>
          <w:sz w:val="24"/>
          <w:szCs w:val="24"/>
          <w:vertAlign w:val="superscript"/>
          <w:lang w:eastAsia="en-ZA"/>
        </w:rPr>
        <w:footnoteReference w:id="1"/>
      </w:r>
    </w:p>
    <w:p w:rsidR="00DC6C4D" w:rsidRDefault="007575D3" w:rsidP="00DD6583">
      <w:pPr>
        <w:spacing w:after="415" w:line="480" w:lineRule="auto"/>
        <w:ind w:left="720" w:right="-96" w:hanging="720"/>
        <w:jc w:val="both"/>
        <w:rPr>
          <w:rFonts w:ascii="Arial" w:eastAsia="Calibri" w:hAnsi="Arial" w:cs="Arial"/>
          <w:sz w:val="24"/>
          <w:szCs w:val="24"/>
          <w:lang w:eastAsia="en-ZA"/>
        </w:rPr>
      </w:pPr>
      <w:r>
        <w:rPr>
          <w:rFonts w:ascii="Arial" w:eastAsia="Calibri" w:hAnsi="Arial" w:cs="Arial"/>
          <w:sz w:val="24"/>
          <w:szCs w:val="24"/>
        </w:rPr>
        <w:t>28.</w:t>
      </w:r>
      <w:r>
        <w:rPr>
          <w:rFonts w:ascii="Arial" w:eastAsia="Calibri" w:hAnsi="Arial" w:cs="Arial"/>
          <w:sz w:val="24"/>
          <w:szCs w:val="24"/>
        </w:rPr>
        <w:tab/>
      </w:r>
      <w:r w:rsidRPr="00DC6C4D">
        <w:rPr>
          <w:rFonts w:ascii="Arial" w:eastAsia="Calibri" w:hAnsi="Arial" w:cs="Arial"/>
          <w:sz w:val="24"/>
          <w:szCs w:val="24"/>
          <w:lang w:eastAsia="en-ZA"/>
        </w:rPr>
        <w:t xml:space="preserve">Section 17(1)(A) of the Act provides that the assessment of the seriousness of an injury shall be premised on a prescribed method. Section 26(1A) provides that the Minister may make regulations regarding assessing severe damage.   This the Minister did when the Road Accident Fund Regulations of 2008 were promulgated by the publication of the Government Gazette of 21 July 2009. Regulation 3 deals with the method of assessing a severe injury. Regulation 3(1)(a) provides that a medical practitioner must evaluate a Third Party wishing to claim general damages.  </w:t>
      </w:r>
    </w:p>
    <w:p w:rsidR="007575D3" w:rsidRDefault="007575D3" w:rsidP="00DD6583">
      <w:pPr>
        <w:spacing w:after="415" w:line="480" w:lineRule="auto"/>
        <w:ind w:left="720" w:right="-96" w:hanging="720"/>
        <w:jc w:val="both"/>
        <w:rPr>
          <w:rFonts w:ascii="Arial" w:eastAsia="Calibri" w:hAnsi="Arial" w:cs="Arial"/>
          <w:sz w:val="24"/>
          <w:szCs w:val="24"/>
          <w:lang w:eastAsia="en-ZA"/>
        </w:rPr>
      </w:pPr>
      <w:r>
        <w:rPr>
          <w:rFonts w:ascii="Arial" w:eastAsia="Calibri" w:hAnsi="Arial" w:cs="Arial"/>
          <w:sz w:val="24"/>
          <w:szCs w:val="24"/>
          <w:lang w:eastAsia="en-ZA"/>
        </w:rPr>
        <w:t xml:space="preserve">29. </w:t>
      </w:r>
      <w:r>
        <w:rPr>
          <w:rFonts w:ascii="Arial" w:eastAsia="Calibri" w:hAnsi="Arial" w:cs="Arial"/>
          <w:sz w:val="24"/>
          <w:szCs w:val="24"/>
          <w:lang w:eastAsia="en-ZA"/>
        </w:rPr>
        <w:tab/>
      </w:r>
      <w:r w:rsidRPr="00DC6C4D">
        <w:rPr>
          <w:rFonts w:ascii="Arial" w:eastAsia="Calibri" w:hAnsi="Arial" w:cs="Arial"/>
          <w:sz w:val="24"/>
          <w:szCs w:val="24"/>
          <w:lang w:eastAsia="en-ZA"/>
        </w:rPr>
        <w:t>Regulation 3(3)(a) provides that such a third party shall obtain a Serious Injury Assessment Report (defined by Regulation 1 as it duly completed RAF4 form) from his medical practitioner. Regarding Regulation 3(3)(c), the Respondent is only liable to compensate the third party for general damages if the Fund is satisfied that the injury has been correctly assessed as prescribed by the Regulations in general.</w:t>
      </w:r>
    </w:p>
    <w:p w:rsidR="007575D3" w:rsidRDefault="007575D3" w:rsidP="00DD6583">
      <w:pPr>
        <w:spacing w:after="415" w:line="480" w:lineRule="auto"/>
        <w:ind w:left="720" w:right="-96" w:hanging="720"/>
        <w:jc w:val="both"/>
        <w:rPr>
          <w:rFonts w:ascii="Arial" w:eastAsia="Calibri" w:hAnsi="Arial" w:cs="Arial"/>
          <w:sz w:val="24"/>
          <w:szCs w:val="24"/>
          <w:lang w:eastAsia="en-ZA"/>
        </w:rPr>
      </w:pPr>
      <w:r>
        <w:rPr>
          <w:rFonts w:ascii="Arial" w:eastAsia="Calibri" w:hAnsi="Arial" w:cs="Arial"/>
          <w:sz w:val="24"/>
          <w:szCs w:val="24"/>
          <w:lang w:eastAsia="en-ZA"/>
        </w:rPr>
        <w:lastRenderedPageBreak/>
        <w:t>30.</w:t>
      </w:r>
      <w:r>
        <w:rPr>
          <w:rFonts w:ascii="Arial" w:eastAsia="Calibri" w:hAnsi="Arial" w:cs="Arial"/>
          <w:sz w:val="24"/>
          <w:szCs w:val="24"/>
          <w:lang w:eastAsia="en-ZA"/>
        </w:rPr>
        <w:tab/>
      </w:r>
      <w:r w:rsidRPr="00DC6C4D">
        <w:rPr>
          <w:rFonts w:ascii="Arial" w:eastAsia="Calibri" w:hAnsi="Arial" w:cs="Arial"/>
          <w:sz w:val="24"/>
          <w:szCs w:val="24"/>
          <w:lang w:eastAsia="en-ZA"/>
        </w:rPr>
        <w:t>When the Fund is not satisfied that the third party’s injuries were correctly assessed, the Respondent can reject the third party’s RAF4 form and give reasons for its rejection.</w:t>
      </w:r>
    </w:p>
    <w:p w:rsidR="007575D3" w:rsidRDefault="007575D3" w:rsidP="00DD6583">
      <w:pPr>
        <w:spacing w:after="415" w:line="480" w:lineRule="auto"/>
        <w:ind w:left="720" w:right="-96" w:hanging="720"/>
        <w:jc w:val="both"/>
        <w:rPr>
          <w:rFonts w:ascii="Arial" w:eastAsia="Times New Roman" w:hAnsi="Arial" w:cs="Arial"/>
          <w:sz w:val="24"/>
          <w:szCs w:val="24"/>
          <w:lang w:val="en-US" w:eastAsia="en-ZA"/>
        </w:rPr>
      </w:pPr>
      <w:r>
        <w:rPr>
          <w:rFonts w:ascii="Arial" w:eastAsia="Calibri" w:hAnsi="Arial" w:cs="Arial"/>
          <w:sz w:val="24"/>
          <w:szCs w:val="24"/>
          <w:lang w:eastAsia="en-ZA"/>
        </w:rPr>
        <w:t>31.</w:t>
      </w:r>
      <w:r>
        <w:rPr>
          <w:rFonts w:ascii="Arial" w:eastAsia="Calibri" w:hAnsi="Arial" w:cs="Arial"/>
          <w:sz w:val="24"/>
          <w:szCs w:val="24"/>
          <w:lang w:eastAsia="en-ZA"/>
        </w:rPr>
        <w:tab/>
      </w:r>
      <w:r w:rsidR="00BA4EE6">
        <w:rPr>
          <w:rFonts w:ascii="Arial" w:eastAsia="Calibri" w:hAnsi="Arial" w:cs="Arial"/>
          <w:sz w:val="24"/>
          <w:szCs w:val="24"/>
          <w:lang w:eastAsia="en-ZA"/>
        </w:rPr>
        <w:t>Counsel for the P</w:t>
      </w:r>
      <w:r w:rsidRPr="00DC6C4D">
        <w:rPr>
          <w:rFonts w:ascii="Arial" w:eastAsia="Calibri" w:hAnsi="Arial" w:cs="Arial"/>
          <w:sz w:val="24"/>
          <w:szCs w:val="24"/>
          <w:lang w:eastAsia="en-ZA"/>
        </w:rPr>
        <w:t xml:space="preserve">laintiff referred to several relevant case laws with similar effects. Plaintiff submitted that R650 000,00 – R750 000,00 would be fair and reasonable. </w:t>
      </w:r>
      <w:r w:rsidRPr="00DC6C4D">
        <w:rPr>
          <w:rFonts w:ascii="Arial" w:eastAsia="Times New Roman" w:hAnsi="Arial" w:cs="Arial"/>
          <w:sz w:val="24"/>
          <w:szCs w:val="24"/>
          <w:lang w:val="en-US" w:eastAsia="en-ZA"/>
        </w:rPr>
        <w:t xml:space="preserve">RAF 4 form </w:t>
      </w:r>
      <w:r w:rsidR="00BA4EE6">
        <w:rPr>
          <w:rFonts w:ascii="Arial" w:eastAsia="Times New Roman" w:hAnsi="Arial" w:cs="Arial"/>
          <w:sz w:val="24"/>
          <w:szCs w:val="24"/>
          <w:lang w:val="en-US" w:eastAsia="en-ZA"/>
        </w:rPr>
        <w:t>qualified the P</w:t>
      </w:r>
      <w:r w:rsidRPr="00DC6C4D">
        <w:rPr>
          <w:rFonts w:ascii="Arial" w:eastAsia="Times New Roman" w:hAnsi="Arial" w:cs="Arial"/>
          <w:sz w:val="24"/>
          <w:szCs w:val="24"/>
          <w:lang w:val="en-US" w:eastAsia="en-ZA"/>
        </w:rPr>
        <w:t>laintiff's injury as a severe injury on the narrative test in terms of section 17(1) of the Road Accident Fund Act 56 of 1996 (as amended). The obligation of the Road Accident Fund to compensate a Third Party for non-pecuniary loss shall be limited to compensation for a severe injury as contemplated in section 17(1) (A). It shall be paid by way of a lump sum. Section 17(1) (A) of the Road Accident Fund Act governs compensation for non-pecuniary loss or general damages.</w:t>
      </w:r>
    </w:p>
    <w:p w:rsidR="007575D3" w:rsidRDefault="007575D3" w:rsidP="00DD6583">
      <w:pPr>
        <w:spacing w:after="415" w:line="480" w:lineRule="auto"/>
        <w:ind w:left="720" w:right="-96" w:hanging="720"/>
        <w:jc w:val="both"/>
        <w:rPr>
          <w:rFonts w:ascii="Arial" w:eastAsia="Times New Roman" w:hAnsi="Arial" w:cs="Arial"/>
          <w:sz w:val="24"/>
          <w:szCs w:val="24"/>
          <w:lang w:eastAsia="en-ZA"/>
        </w:rPr>
      </w:pPr>
      <w:r>
        <w:rPr>
          <w:rFonts w:ascii="Arial" w:eastAsia="Times New Roman" w:hAnsi="Arial" w:cs="Arial"/>
          <w:sz w:val="24"/>
          <w:szCs w:val="24"/>
          <w:lang w:val="en-US" w:eastAsia="en-ZA"/>
        </w:rPr>
        <w:t>32.</w:t>
      </w:r>
      <w:r>
        <w:rPr>
          <w:rFonts w:ascii="Arial" w:eastAsia="Times New Roman" w:hAnsi="Arial" w:cs="Arial"/>
          <w:sz w:val="24"/>
          <w:szCs w:val="24"/>
          <w:lang w:val="en-US" w:eastAsia="en-ZA"/>
        </w:rPr>
        <w:tab/>
      </w:r>
      <w:r w:rsidRPr="00DC6C4D">
        <w:rPr>
          <w:rFonts w:ascii="Arial" w:eastAsia="Times New Roman" w:hAnsi="Arial" w:cs="Arial"/>
          <w:sz w:val="24"/>
          <w:szCs w:val="24"/>
          <w:lang w:eastAsia="en-ZA"/>
        </w:rPr>
        <w:t>The</w:t>
      </w:r>
      <w:r w:rsidR="00BA4EE6">
        <w:rPr>
          <w:rFonts w:ascii="Arial" w:eastAsia="Times New Roman" w:hAnsi="Arial" w:cs="Arial"/>
          <w:sz w:val="24"/>
          <w:szCs w:val="24"/>
          <w:lang w:eastAsia="en-ZA"/>
        </w:rPr>
        <w:t xml:space="preserve"> P</w:t>
      </w:r>
      <w:r w:rsidRPr="00DC6C4D">
        <w:rPr>
          <w:rFonts w:ascii="Arial" w:eastAsia="Times New Roman" w:hAnsi="Arial" w:cs="Arial"/>
          <w:sz w:val="24"/>
          <w:szCs w:val="24"/>
          <w:lang w:eastAsia="en-ZA"/>
        </w:rPr>
        <w:t xml:space="preserve">laintiff sustained the following injuries: Pelvic fractures, Forehead laceration, and Psychological and </w:t>
      </w:r>
      <w:r w:rsidR="00BA4EE6">
        <w:rPr>
          <w:rFonts w:ascii="Arial" w:eastAsia="Times New Roman" w:hAnsi="Arial" w:cs="Arial"/>
          <w:sz w:val="24"/>
          <w:szCs w:val="24"/>
          <w:lang w:eastAsia="en-ZA"/>
        </w:rPr>
        <w:t>psychiatric as a result of the P</w:t>
      </w:r>
      <w:r w:rsidRPr="00DC6C4D">
        <w:rPr>
          <w:rFonts w:ascii="Arial" w:eastAsia="Times New Roman" w:hAnsi="Arial" w:cs="Arial"/>
          <w:sz w:val="24"/>
          <w:szCs w:val="24"/>
          <w:lang w:eastAsia="en-ZA"/>
        </w:rPr>
        <w:t xml:space="preserve">laintiff's injuries. As a consequence of the injuries sustained by the Plaintiff: The Plaintiff had to undergo medical treatment and will in future have to proceed to undergo medical treatment, requiring an accommodation, medical goods, and services, as well as assistance and assistive devices; The Plaintiff was and/or is and/or will continue to be subjected to pain, suffering, discomfort disfigurement, inconvenience, emotional impact due to the injuries, disability and loss of amenities of life; the plaintiff was unable to attend to her income earning activities, resulting in a loss of income; she has suffered a partial alternatively destruction of her income earning capacity. As a result of the bodily injuries, the plaintiff has suffered damages. Counsel for the Plaintiff referred this Court to </w:t>
      </w:r>
      <w:r w:rsidRPr="00DC6C4D">
        <w:rPr>
          <w:rFonts w:ascii="Arial" w:eastAsia="Times New Roman" w:hAnsi="Arial" w:cs="Arial"/>
          <w:sz w:val="24"/>
          <w:szCs w:val="24"/>
          <w:lang w:eastAsia="en-ZA"/>
        </w:rPr>
        <w:lastRenderedPageBreak/>
        <w:t xml:space="preserve">several judgments. The </w:t>
      </w:r>
      <w:r>
        <w:rPr>
          <w:rFonts w:ascii="Arial" w:eastAsia="Times New Roman" w:hAnsi="Arial" w:cs="Arial"/>
          <w:sz w:val="24"/>
          <w:szCs w:val="24"/>
          <w:lang w:eastAsia="en-ZA"/>
        </w:rPr>
        <w:t>P</w:t>
      </w:r>
      <w:r w:rsidRPr="00DC6C4D">
        <w:rPr>
          <w:rFonts w:ascii="Arial" w:eastAsia="Times New Roman" w:hAnsi="Arial" w:cs="Arial"/>
          <w:sz w:val="24"/>
          <w:szCs w:val="24"/>
          <w:lang w:eastAsia="en-ZA"/>
        </w:rPr>
        <w:t>laintiff's injuries are distinguishable from some of the case law. I concur with the Counsel’s submission that it is widely accepted that one can hardly find two similar cases.</w:t>
      </w:r>
    </w:p>
    <w:p w:rsidR="00DC6C4D" w:rsidRDefault="007575D3" w:rsidP="00DD6583">
      <w:pPr>
        <w:spacing w:after="415" w:line="480" w:lineRule="auto"/>
        <w:ind w:left="720" w:right="-96" w:hanging="720"/>
        <w:jc w:val="both"/>
        <w:rPr>
          <w:rFonts w:ascii="Arial" w:eastAsia="Times New Roman" w:hAnsi="Arial" w:cs="Arial"/>
          <w:sz w:val="24"/>
          <w:szCs w:val="24"/>
          <w:lang w:eastAsia="en-ZA"/>
        </w:rPr>
      </w:pPr>
      <w:r>
        <w:rPr>
          <w:rFonts w:ascii="Arial" w:eastAsia="Times New Roman" w:hAnsi="Arial" w:cs="Arial"/>
          <w:sz w:val="24"/>
          <w:szCs w:val="24"/>
          <w:lang w:eastAsia="en-ZA"/>
        </w:rPr>
        <w:t>33.</w:t>
      </w:r>
      <w:r>
        <w:rPr>
          <w:rFonts w:ascii="Arial" w:eastAsia="Times New Roman" w:hAnsi="Arial" w:cs="Arial"/>
          <w:sz w:val="24"/>
          <w:szCs w:val="24"/>
          <w:lang w:eastAsia="en-ZA"/>
        </w:rPr>
        <w:tab/>
      </w:r>
      <w:r w:rsidRPr="00DC6C4D">
        <w:rPr>
          <w:rFonts w:ascii="Arial" w:eastAsia="Times New Roman" w:hAnsi="Arial" w:cs="Arial"/>
          <w:sz w:val="24"/>
          <w:szCs w:val="24"/>
          <w:lang w:eastAsia="en-ZA"/>
        </w:rPr>
        <w:t>Regarding the nature and extent of the injuries sustained by the plaintiff in this matter and the sequela, the compensation for general damages in the circumstances of R 600 000 for general damages is fair and reasonable.</w:t>
      </w:r>
    </w:p>
    <w:p w:rsidR="007575D3" w:rsidRPr="007575D3" w:rsidRDefault="007575D3" w:rsidP="00BA4EE6">
      <w:pPr>
        <w:spacing w:after="415" w:line="480" w:lineRule="auto"/>
        <w:ind w:left="57" w:right="-96" w:hanging="525"/>
        <w:jc w:val="both"/>
        <w:rPr>
          <w:rFonts w:ascii="Arial" w:eastAsia="Calibri" w:hAnsi="Arial" w:cs="Arial"/>
          <w:sz w:val="24"/>
          <w:szCs w:val="24"/>
          <w:u w:val="single"/>
          <w:lang w:eastAsia="en-ZA"/>
        </w:rPr>
      </w:pPr>
      <w:r>
        <w:rPr>
          <w:rFonts w:ascii="Arial" w:eastAsia="Times New Roman" w:hAnsi="Arial" w:cs="Arial"/>
          <w:sz w:val="24"/>
          <w:szCs w:val="24"/>
          <w:lang w:eastAsia="en-ZA"/>
        </w:rPr>
        <w:tab/>
      </w:r>
      <w:r w:rsidR="00DD6583">
        <w:rPr>
          <w:rFonts w:ascii="Arial" w:eastAsia="Times New Roman" w:hAnsi="Arial" w:cs="Arial"/>
          <w:sz w:val="24"/>
          <w:szCs w:val="24"/>
          <w:lang w:eastAsia="en-ZA"/>
        </w:rPr>
        <w:tab/>
      </w:r>
      <w:r w:rsidRPr="007575D3">
        <w:rPr>
          <w:rFonts w:ascii="Arial" w:eastAsia="Times New Roman" w:hAnsi="Arial" w:cs="Arial"/>
          <w:sz w:val="24"/>
          <w:szCs w:val="24"/>
          <w:u w:val="single"/>
          <w:lang w:eastAsia="en-ZA"/>
        </w:rPr>
        <w:t>Conclusion</w:t>
      </w:r>
    </w:p>
    <w:p w:rsidR="007575D3" w:rsidRDefault="007575D3" w:rsidP="00DD6583">
      <w:pPr>
        <w:spacing w:after="415" w:line="480" w:lineRule="auto"/>
        <w:ind w:left="717" w:right="-96" w:hanging="660"/>
        <w:jc w:val="both"/>
        <w:rPr>
          <w:rFonts w:ascii="Arial" w:eastAsia="Times New Roman" w:hAnsi="Arial" w:cs="Arial"/>
          <w:sz w:val="24"/>
          <w:szCs w:val="24"/>
          <w:lang w:eastAsia="en-ZA"/>
        </w:rPr>
      </w:pPr>
      <w:r>
        <w:rPr>
          <w:rFonts w:ascii="Arial" w:eastAsia="Calibri" w:hAnsi="Arial" w:cs="Arial"/>
          <w:sz w:val="24"/>
          <w:szCs w:val="24"/>
          <w:lang w:eastAsia="en-ZA"/>
        </w:rPr>
        <w:t>34.</w:t>
      </w:r>
      <w:r>
        <w:rPr>
          <w:rFonts w:ascii="Arial" w:eastAsia="Calibri" w:hAnsi="Arial" w:cs="Arial"/>
          <w:sz w:val="24"/>
          <w:szCs w:val="24"/>
          <w:lang w:eastAsia="en-ZA"/>
        </w:rPr>
        <w:tab/>
      </w:r>
      <w:r w:rsidRPr="00DC6C4D">
        <w:rPr>
          <w:rFonts w:ascii="Arial" w:eastAsia="Times New Roman" w:hAnsi="Arial" w:cs="Arial"/>
          <w:sz w:val="24"/>
          <w:szCs w:val="24"/>
          <w:lang w:val="en-US" w:eastAsia="en-ZA"/>
        </w:rPr>
        <w:t xml:space="preserve">I note the views expressed by the expert witnesses, prominently by </w:t>
      </w:r>
      <w:r w:rsidRPr="00DC6C4D">
        <w:rPr>
          <w:rFonts w:ascii="Arial" w:eastAsia="Times New Roman" w:hAnsi="Arial" w:cs="Arial"/>
          <w:sz w:val="24"/>
          <w:szCs w:val="24"/>
          <w:lang w:eastAsia="en-ZA"/>
        </w:rPr>
        <w:t xml:space="preserve">Dr. Reid (orthopedic surgeon). He opined that </w:t>
      </w:r>
      <w:r w:rsidRPr="00DC6C4D">
        <w:rPr>
          <w:rFonts w:ascii="Arial" w:eastAsia="Calibri" w:hAnsi="Arial" w:cs="Arial"/>
          <w:sz w:val="24"/>
          <w:szCs w:val="24"/>
        </w:rPr>
        <w:t>d</w:t>
      </w:r>
      <w:r w:rsidRPr="00DC6C4D">
        <w:rPr>
          <w:rFonts w:ascii="Arial" w:eastAsia="Times New Roman" w:hAnsi="Arial" w:cs="Arial"/>
          <w:sz w:val="24"/>
          <w:szCs w:val="24"/>
          <w:lang w:eastAsia="en-ZA"/>
        </w:rPr>
        <w:t>ue to the plaintiff's injuries, she would likely experience increasing difficulty with the strenuous and physically demanding duties required of her in factories, power plants, production facilities, and construction sites. Plaintiff's current employment is not suitable for her, considering her lumbar spine and pelvis pathology related to the accident. She requires sedentary type work that does not place excessive strain on her injured sites and where she can take regular breaks throughout the working day.</w:t>
      </w:r>
    </w:p>
    <w:p w:rsidR="007575D3" w:rsidRDefault="007575D3" w:rsidP="00DD6583">
      <w:pPr>
        <w:spacing w:after="415" w:line="480" w:lineRule="auto"/>
        <w:ind w:left="717" w:right="-96" w:hanging="660"/>
        <w:jc w:val="both"/>
        <w:rPr>
          <w:rFonts w:ascii="Arial" w:eastAsia="Times New Roman" w:hAnsi="Arial" w:cs="Arial"/>
          <w:sz w:val="24"/>
          <w:szCs w:val="24"/>
          <w:lang w:eastAsia="en-ZA"/>
        </w:rPr>
      </w:pPr>
      <w:r>
        <w:rPr>
          <w:rFonts w:ascii="Arial" w:eastAsia="Calibri" w:hAnsi="Arial" w:cs="Arial"/>
          <w:sz w:val="24"/>
          <w:szCs w:val="24"/>
          <w:lang w:eastAsia="en-ZA"/>
        </w:rPr>
        <w:t>35.</w:t>
      </w:r>
      <w:r>
        <w:rPr>
          <w:rFonts w:ascii="Arial" w:eastAsia="Calibri" w:hAnsi="Arial" w:cs="Arial"/>
          <w:sz w:val="24"/>
          <w:szCs w:val="24"/>
          <w:lang w:eastAsia="en-ZA"/>
        </w:rPr>
        <w:tab/>
      </w:r>
      <w:r w:rsidRPr="00DC6C4D">
        <w:rPr>
          <w:rFonts w:ascii="Arial" w:eastAsia="Times New Roman" w:hAnsi="Arial" w:cs="Arial"/>
          <w:sz w:val="24"/>
          <w:szCs w:val="24"/>
          <w:lang w:eastAsia="en-ZA"/>
        </w:rPr>
        <w:t xml:space="preserve">Taking into consideration her age, the economic situation, and the high unemployment rate in the open </w:t>
      </w:r>
      <w:r w:rsidR="00BA4EE6" w:rsidRPr="00DC6C4D">
        <w:rPr>
          <w:rFonts w:ascii="Arial" w:eastAsia="Times New Roman" w:hAnsi="Arial" w:cs="Arial"/>
          <w:sz w:val="24"/>
          <w:szCs w:val="24"/>
          <w:lang w:eastAsia="en-ZA"/>
        </w:rPr>
        <w:t>labour</w:t>
      </w:r>
      <w:r w:rsidRPr="00DC6C4D">
        <w:rPr>
          <w:rFonts w:ascii="Arial" w:eastAsia="Times New Roman" w:hAnsi="Arial" w:cs="Arial"/>
          <w:sz w:val="24"/>
          <w:szCs w:val="24"/>
          <w:lang w:eastAsia="en-ZA"/>
        </w:rPr>
        <w:t xml:space="preserve"> market in South Africa at present, it will be exceedingly difficult for the plaintiff to find new suitable employment</w:t>
      </w:r>
      <w:r w:rsidRPr="00DC6C4D">
        <w:rPr>
          <w:rFonts w:ascii="Arial" w:eastAsia="Times New Roman" w:hAnsi="Arial" w:cs="Arial"/>
          <w:color w:val="FF0000"/>
          <w:sz w:val="24"/>
          <w:szCs w:val="24"/>
          <w:lang w:eastAsia="en-ZA"/>
        </w:rPr>
        <w:t>.</w:t>
      </w:r>
      <w:r w:rsidRPr="00DC6C4D">
        <w:rPr>
          <w:rFonts w:ascii="Arial" w:eastAsia="Times New Roman" w:hAnsi="Arial" w:cs="Arial"/>
          <w:sz w:val="24"/>
          <w:szCs w:val="24"/>
          <w:lang w:eastAsia="en-ZA"/>
        </w:rPr>
        <w:t xml:space="preserve"> The experts further indicate and corroborate that the plaintiff is considered more vulnerable due to her involvement in the accident. Her depression and anxiety symptoms may make her less motivated and driven overall. This, in turn, may </w:t>
      </w:r>
      <w:r w:rsidRPr="00DC6C4D">
        <w:rPr>
          <w:rFonts w:ascii="Arial" w:eastAsia="Times New Roman" w:hAnsi="Arial" w:cs="Arial"/>
          <w:sz w:val="24"/>
          <w:szCs w:val="24"/>
          <w:lang w:eastAsia="en-ZA"/>
        </w:rPr>
        <w:lastRenderedPageBreak/>
        <w:t>hamper her employment opportunities and render her vulnerable in any employment situation.</w:t>
      </w:r>
    </w:p>
    <w:p w:rsidR="007575D3" w:rsidRDefault="007575D3" w:rsidP="00DD6583">
      <w:pPr>
        <w:spacing w:after="415" w:line="480" w:lineRule="auto"/>
        <w:ind w:left="717" w:right="-96" w:hanging="660"/>
        <w:jc w:val="both"/>
        <w:rPr>
          <w:rFonts w:ascii="Arial" w:eastAsia="Times New Roman" w:hAnsi="Arial" w:cs="Arial"/>
          <w:sz w:val="24"/>
          <w:szCs w:val="24"/>
          <w:lang w:eastAsia="en-ZA"/>
        </w:rPr>
      </w:pPr>
      <w:r>
        <w:rPr>
          <w:rFonts w:ascii="Arial" w:eastAsia="Times New Roman" w:hAnsi="Arial" w:cs="Arial"/>
          <w:sz w:val="24"/>
          <w:szCs w:val="24"/>
          <w:lang w:eastAsia="en-ZA"/>
        </w:rPr>
        <w:t xml:space="preserve">36. </w:t>
      </w:r>
      <w:r>
        <w:rPr>
          <w:rFonts w:ascii="Arial" w:eastAsia="Times New Roman" w:hAnsi="Arial" w:cs="Arial"/>
          <w:sz w:val="24"/>
          <w:szCs w:val="24"/>
          <w:lang w:eastAsia="en-ZA"/>
        </w:rPr>
        <w:tab/>
      </w:r>
      <w:r w:rsidRPr="00DC6C4D">
        <w:rPr>
          <w:rFonts w:ascii="Arial" w:eastAsia="Times New Roman" w:hAnsi="Arial" w:cs="Arial"/>
          <w:sz w:val="24"/>
          <w:szCs w:val="24"/>
          <w:lang w:eastAsia="en-ZA"/>
        </w:rPr>
        <w:t xml:space="preserve">In </w:t>
      </w:r>
      <w:r w:rsidRPr="00DC6C4D">
        <w:rPr>
          <w:rFonts w:ascii="Arial" w:eastAsia="Times New Roman" w:hAnsi="Arial" w:cs="Arial"/>
          <w:i/>
          <w:sz w:val="24"/>
          <w:szCs w:val="24"/>
          <w:lang w:eastAsia="en-ZA"/>
        </w:rPr>
        <w:t>De Jongh v Du Pisani NO</w:t>
      </w:r>
      <w:r w:rsidRPr="00DC6C4D">
        <w:rPr>
          <w:rFonts w:ascii="Arial" w:eastAsia="Times New Roman" w:hAnsi="Arial" w:cs="Arial"/>
          <w:sz w:val="24"/>
          <w:szCs w:val="24"/>
          <w:lang w:eastAsia="en-ZA"/>
        </w:rPr>
        <w:t xml:space="preserve"> [2004) 2 All SA 565 (SCA), it was stated that a court should exercise discretion on the appropriateness of quantum to be awarded and to do so with due regards to the previously decided cases of similar facts and law and fairness to the parties.</w:t>
      </w:r>
    </w:p>
    <w:p w:rsidR="007575D3" w:rsidRDefault="007575D3" w:rsidP="00DD6583">
      <w:pPr>
        <w:spacing w:after="415" w:line="480" w:lineRule="auto"/>
        <w:ind w:left="717" w:right="-96" w:hanging="660"/>
        <w:jc w:val="both"/>
        <w:rPr>
          <w:rFonts w:ascii="Arial" w:eastAsia="Times New Roman" w:hAnsi="Arial" w:cs="Arial"/>
          <w:sz w:val="24"/>
          <w:szCs w:val="24"/>
          <w:lang w:eastAsia="en-ZA"/>
        </w:rPr>
      </w:pPr>
      <w:r>
        <w:rPr>
          <w:rFonts w:ascii="Arial" w:eastAsia="Times New Roman" w:hAnsi="Arial" w:cs="Arial"/>
          <w:sz w:val="24"/>
          <w:szCs w:val="24"/>
          <w:lang w:eastAsia="en-ZA"/>
        </w:rPr>
        <w:t>37.</w:t>
      </w:r>
      <w:r>
        <w:rPr>
          <w:rFonts w:ascii="Arial" w:eastAsia="Times New Roman" w:hAnsi="Arial" w:cs="Arial"/>
          <w:sz w:val="24"/>
          <w:szCs w:val="24"/>
          <w:lang w:eastAsia="en-ZA"/>
        </w:rPr>
        <w:tab/>
      </w:r>
      <w:r w:rsidRPr="00DC6C4D">
        <w:rPr>
          <w:rFonts w:ascii="Arial" w:eastAsia="Times New Roman" w:hAnsi="Arial" w:cs="Arial"/>
          <w:sz w:val="24"/>
          <w:szCs w:val="24"/>
          <w:lang w:eastAsia="en-ZA"/>
        </w:rPr>
        <w:t xml:space="preserve">In this matter, before taking into account other decided issues and the cases Counsel referred to me for the </w:t>
      </w:r>
      <w:r w:rsidR="00DE482E">
        <w:rPr>
          <w:rFonts w:ascii="Arial" w:eastAsia="Times New Roman" w:hAnsi="Arial" w:cs="Arial"/>
          <w:sz w:val="24"/>
          <w:szCs w:val="24"/>
          <w:lang w:eastAsia="en-ZA"/>
        </w:rPr>
        <w:t>P</w:t>
      </w:r>
      <w:r w:rsidRPr="00DC6C4D">
        <w:rPr>
          <w:rFonts w:ascii="Arial" w:eastAsia="Times New Roman" w:hAnsi="Arial" w:cs="Arial"/>
          <w:sz w:val="24"/>
          <w:szCs w:val="24"/>
          <w:lang w:eastAsia="en-ZA"/>
        </w:rPr>
        <w:t>laintiff, I believe that the amount for loss of earnings and incapacity that is fair is R482 950,00.</w:t>
      </w:r>
    </w:p>
    <w:p w:rsidR="00DC6C4D" w:rsidRDefault="007575D3" w:rsidP="00DD6583">
      <w:pPr>
        <w:spacing w:after="415" w:line="480" w:lineRule="auto"/>
        <w:ind w:left="717" w:right="-96" w:hanging="717"/>
        <w:jc w:val="both"/>
        <w:rPr>
          <w:rFonts w:ascii="Arial" w:eastAsia="Times New Roman" w:hAnsi="Arial" w:cs="Arial"/>
          <w:sz w:val="24"/>
          <w:szCs w:val="24"/>
          <w:lang w:eastAsia="en-ZA"/>
        </w:rPr>
      </w:pPr>
      <w:r>
        <w:rPr>
          <w:rFonts w:ascii="Arial" w:eastAsia="Times New Roman" w:hAnsi="Arial" w:cs="Arial"/>
          <w:sz w:val="24"/>
          <w:szCs w:val="24"/>
          <w:lang w:eastAsia="en-ZA"/>
        </w:rPr>
        <w:t>38.</w:t>
      </w:r>
      <w:r>
        <w:rPr>
          <w:rFonts w:ascii="Arial" w:eastAsia="Times New Roman" w:hAnsi="Arial" w:cs="Arial"/>
          <w:sz w:val="24"/>
          <w:szCs w:val="24"/>
          <w:lang w:eastAsia="en-ZA"/>
        </w:rPr>
        <w:tab/>
      </w:r>
      <w:r w:rsidR="00DE482E">
        <w:rPr>
          <w:rFonts w:ascii="Arial" w:eastAsia="Times New Roman" w:hAnsi="Arial" w:cs="Arial"/>
          <w:sz w:val="24"/>
          <w:szCs w:val="24"/>
          <w:lang w:eastAsia="en-ZA"/>
        </w:rPr>
        <w:t>Therefore, I will award the P</w:t>
      </w:r>
      <w:r w:rsidR="00DC6C4D" w:rsidRPr="00DC6C4D">
        <w:rPr>
          <w:rFonts w:ascii="Arial" w:eastAsia="Times New Roman" w:hAnsi="Arial" w:cs="Arial"/>
          <w:sz w:val="24"/>
          <w:szCs w:val="24"/>
          <w:lang w:eastAsia="en-ZA"/>
        </w:rPr>
        <w:t>laintiff the total amount</w:t>
      </w:r>
      <w:r w:rsidR="00DC6C4D" w:rsidRPr="00DC6C4D">
        <w:rPr>
          <w:rFonts w:ascii="Arial" w:eastAsia="Times New Roman" w:hAnsi="Arial" w:cs="Arial"/>
          <w:sz w:val="24"/>
          <w:szCs w:val="24"/>
        </w:rPr>
        <w:t xml:space="preserve"> </w:t>
      </w:r>
      <w:r w:rsidR="00DC6C4D" w:rsidRPr="00DC6C4D">
        <w:rPr>
          <w:rFonts w:ascii="Arial" w:eastAsia="Times New Roman" w:hAnsi="Arial" w:cs="Arial"/>
          <w:sz w:val="24"/>
          <w:szCs w:val="24"/>
          <w:lang w:eastAsia="en-ZA"/>
        </w:rPr>
        <w:t>of R482 950,00 regarding loss of earnings or earning capacity.</w:t>
      </w:r>
    </w:p>
    <w:p w:rsidR="00DE482E" w:rsidRDefault="00DE482E" w:rsidP="00DD6583">
      <w:pPr>
        <w:spacing w:line="360" w:lineRule="auto"/>
        <w:ind w:firstLine="717"/>
        <w:contextualSpacing/>
        <w:jc w:val="both"/>
        <w:rPr>
          <w:rFonts w:ascii="Arial" w:eastAsia="Times New Roman" w:hAnsi="Arial" w:cs="Arial"/>
          <w:bCs/>
          <w:iCs/>
          <w:sz w:val="24"/>
          <w:szCs w:val="24"/>
          <w:u w:val="single"/>
        </w:rPr>
      </w:pPr>
      <w:r w:rsidRPr="00DC6C4D">
        <w:rPr>
          <w:rFonts w:ascii="Arial" w:eastAsia="Times New Roman" w:hAnsi="Arial" w:cs="Arial"/>
          <w:bCs/>
          <w:iCs/>
          <w:sz w:val="24"/>
          <w:szCs w:val="24"/>
          <w:u w:val="single"/>
        </w:rPr>
        <w:t>Order</w:t>
      </w:r>
    </w:p>
    <w:p w:rsidR="00815E10" w:rsidRPr="00DC6C4D" w:rsidRDefault="00815E10" w:rsidP="00DD6583">
      <w:pPr>
        <w:spacing w:line="360" w:lineRule="auto"/>
        <w:ind w:firstLine="717"/>
        <w:contextualSpacing/>
        <w:jc w:val="both"/>
        <w:rPr>
          <w:rFonts w:ascii="Arial" w:eastAsia="Times New Roman" w:hAnsi="Arial" w:cs="Arial"/>
          <w:sz w:val="24"/>
          <w:szCs w:val="24"/>
          <w:u w:val="single"/>
        </w:rPr>
      </w:pPr>
    </w:p>
    <w:p w:rsidR="00DE482E" w:rsidRDefault="00DE482E" w:rsidP="00BA4EE6">
      <w:pPr>
        <w:spacing w:line="360" w:lineRule="auto"/>
        <w:ind w:left="720"/>
        <w:contextualSpacing/>
        <w:jc w:val="both"/>
        <w:rPr>
          <w:rFonts w:ascii="Arial" w:eastAsia="Times New Roman" w:hAnsi="Arial" w:cs="Arial"/>
          <w:sz w:val="24"/>
          <w:szCs w:val="24"/>
        </w:rPr>
      </w:pPr>
      <w:r w:rsidRPr="00DC6C4D">
        <w:rPr>
          <w:rFonts w:ascii="Arial" w:eastAsia="Times New Roman" w:hAnsi="Arial" w:cs="Arial"/>
          <w:sz w:val="24"/>
          <w:szCs w:val="24"/>
        </w:rPr>
        <w:t>On the premises, I make the</w:t>
      </w:r>
      <w:r w:rsidR="00815E10">
        <w:rPr>
          <w:rFonts w:ascii="Arial" w:eastAsia="Times New Roman" w:hAnsi="Arial" w:cs="Arial"/>
          <w:sz w:val="24"/>
          <w:szCs w:val="24"/>
        </w:rPr>
        <w:t xml:space="preserve"> following</w:t>
      </w:r>
      <w:r w:rsidRPr="00DC6C4D">
        <w:rPr>
          <w:rFonts w:ascii="Arial" w:eastAsia="Times New Roman" w:hAnsi="Arial" w:cs="Arial"/>
          <w:sz w:val="24"/>
          <w:szCs w:val="24"/>
        </w:rPr>
        <w:t xml:space="preserve"> order:</w:t>
      </w:r>
    </w:p>
    <w:p w:rsidR="00DE482E" w:rsidRPr="00DE482E" w:rsidRDefault="00DE482E" w:rsidP="00BA4EE6">
      <w:pPr>
        <w:spacing w:line="360" w:lineRule="auto"/>
        <w:ind w:left="720"/>
        <w:contextualSpacing/>
        <w:jc w:val="both"/>
        <w:rPr>
          <w:rFonts w:ascii="Arial" w:eastAsia="Times New Roman" w:hAnsi="Arial" w:cs="Arial"/>
          <w:sz w:val="24"/>
          <w:szCs w:val="24"/>
        </w:rPr>
      </w:pPr>
    </w:p>
    <w:p w:rsidR="00DE482E" w:rsidRDefault="00DE482E" w:rsidP="00DD6583">
      <w:pPr>
        <w:spacing w:after="415" w:line="480" w:lineRule="auto"/>
        <w:ind w:left="717" w:right="-96" w:hanging="660"/>
        <w:jc w:val="both"/>
        <w:rPr>
          <w:rFonts w:ascii="Arial" w:eastAsia="Times New Roman" w:hAnsi="Arial" w:cs="Arial"/>
          <w:sz w:val="24"/>
          <w:szCs w:val="24"/>
          <w:lang w:eastAsia="en-ZA"/>
        </w:rPr>
      </w:pPr>
      <w:r>
        <w:rPr>
          <w:rFonts w:ascii="Arial" w:eastAsia="Calibri" w:hAnsi="Arial" w:cs="Arial"/>
          <w:sz w:val="24"/>
          <w:szCs w:val="24"/>
          <w:lang w:eastAsia="en-ZA"/>
        </w:rPr>
        <w:t>39.</w:t>
      </w:r>
      <w:r>
        <w:rPr>
          <w:rFonts w:ascii="Arial" w:eastAsia="Calibri" w:hAnsi="Arial" w:cs="Arial"/>
          <w:sz w:val="24"/>
          <w:szCs w:val="24"/>
          <w:lang w:eastAsia="en-ZA"/>
        </w:rPr>
        <w:tab/>
        <w:t xml:space="preserve">The </w:t>
      </w:r>
      <w:r w:rsidR="00815E10">
        <w:rPr>
          <w:rFonts w:ascii="Arial" w:eastAsia="Times New Roman" w:hAnsi="Arial" w:cs="Arial"/>
          <w:sz w:val="24"/>
          <w:szCs w:val="24"/>
          <w:lang w:eastAsia="en-ZA"/>
        </w:rPr>
        <w:t>D</w:t>
      </w:r>
      <w:r w:rsidRPr="00DC6C4D">
        <w:rPr>
          <w:rFonts w:ascii="Arial" w:eastAsia="Times New Roman" w:hAnsi="Arial" w:cs="Arial"/>
          <w:sz w:val="24"/>
          <w:szCs w:val="24"/>
          <w:lang w:eastAsia="en-ZA"/>
        </w:rPr>
        <w:t xml:space="preserve">efendant is ordered to pay the </w:t>
      </w:r>
      <w:r>
        <w:rPr>
          <w:rFonts w:ascii="Arial" w:eastAsia="Times New Roman" w:hAnsi="Arial" w:cs="Arial"/>
          <w:sz w:val="24"/>
          <w:szCs w:val="24"/>
          <w:lang w:eastAsia="en-ZA"/>
        </w:rPr>
        <w:t>P</w:t>
      </w:r>
      <w:r w:rsidRPr="00DC6C4D">
        <w:rPr>
          <w:rFonts w:ascii="Arial" w:eastAsia="Times New Roman" w:hAnsi="Arial" w:cs="Arial"/>
          <w:sz w:val="24"/>
          <w:szCs w:val="24"/>
          <w:lang w:eastAsia="en-ZA"/>
        </w:rPr>
        <w:t>laintiff a sum of R600 000.00 (six hundred thousand rands) as compensation for general damages, And;</w:t>
      </w:r>
    </w:p>
    <w:p w:rsidR="00DE482E" w:rsidRDefault="00DE482E" w:rsidP="00DD6583">
      <w:pPr>
        <w:spacing w:after="415" w:line="480" w:lineRule="auto"/>
        <w:ind w:left="717" w:right="-96" w:hanging="660"/>
        <w:jc w:val="both"/>
        <w:rPr>
          <w:rFonts w:ascii="Arial" w:eastAsia="Times New Roman" w:hAnsi="Arial" w:cs="Arial"/>
          <w:sz w:val="24"/>
          <w:szCs w:val="24"/>
          <w:lang w:eastAsia="en-ZA"/>
        </w:rPr>
      </w:pPr>
      <w:r>
        <w:rPr>
          <w:rFonts w:ascii="Arial" w:eastAsia="Times New Roman" w:hAnsi="Arial" w:cs="Arial"/>
          <w:sz w:val="24"/>
          <w:szCs w:val="24"/>
          <w:lang w:eastAsia="en-ZA"/>
        </w:rPr>
        <w:t>40.</w:t>
      </w:r>
      <w:r>
        <w:rPr>
          <w:rFonts w:ascii="Arial" w:eastAsia="Times New Roman" w:hAnsi="Arial" w:cs="Arial"/>
          <w:sz w:val="24"/>
          <w:szCs w:val="24"/>
          <w:lang w:eastAsia="en-ZA"/>
        </w:rPr>
        <w:tab/>
        <w:t xml:space="preserve">The </w:t>
      </w:r>
      <w:r w:rsidR="00815E10">
        <w:rPr>
          <w:rFonts w:ascii="Arial" w:eastAsia="Times New Roman" w:hAnsi="Arial" w:cs="Arial"/>
          <w:sz w:val="24"/>
          <w:szCs w:val="24"/>
          <w:lang w:eastAsia="en-ZA"/>
        </w:rPr>
        <w:t>D</w:t>
      </w:r>
      <w:r w:rsidRPr="00DC6C4D">
        <w:rPr>
          <w:rFonts w:ascii="Arial" w:eastAsia="Times New Roman" w:hAnsi="Arial" w:cs="Arial"/>
          <w:sz w:val="24"/>
          <w:szCs w:val="24"/>
          <w:lang w:eastAsia="en-ZA"/>
        </w:rPr>
        <w:t>efendant is ordered</w:t>
      </w:r>
      <w:r>
        <w:rPr>
          <w:rFonts w:ascii="Arial" w:eastAsia="Times New Roman" w:hAnsi="Arial" w:cs="Arial"/>
          <w:sz w:val="24"/>
          <w:szCs w:val="24"/>
          <w:lang w:eastAsia="en-ZA"/>
        </w:rPr>
        <w:t xml:space="preserve"> to pay the P</w:t>
      </w:r>
      <w:r w:rsidRPr="00DC6C4D">
        <w:rPr>
          <w:rFonts w:ascii="Arial" w:eastAsia="Times New Roman" w:hAnsi="Arial" w:cs="Arial"/>
          <w:sz w:val="24"/>
          <w:szCs w:val="24"/>
          <w:lang w:eastAsia="en-ZA"/>
        </w:rPr>
        <w:t>laintiff a sum of R482 950,00 (four hundred and eighty-two thousand nine hundred and fifty rands).</w:t>
      </w:r>
    </w:p>
    <w:p w:rsidR="00DC6C4D" w:rsidRPr="00DC6C4D" w:rsidRDefault="00DE482E" w:rsidP="00DD6583">
      <w:pPr>
        <w:spacing w:after="415" w:line="480" w:lineRule="auto"/>
        <w:ind w:left="717" w:right="-96" w:hanging="660"/>
        <w:jc w:val="both"/>
        <w:rPr>
          <w:rFonts w:ascii="Arial" w:eastAsia="Calibri" w:hAnsi="Arial" w:cs="Arial"/>
          <w:sz w:val="24"/>
          <w:szCs w:val="24"/>
          <w:lang w:eastAsia="en-ZA"/>
        </w:rPr>
      </w:pPr>
      <w:r>
        <w:rPr>
          <w:rFonts w:ascii="Arial" w:eastAsia="Times New Roman" w:hAnsi="Arial" w:cs="Arial"/>
          <w:sz w:val="24"/>
          <w:szCs w:val="24"/>
          <w:lang w:eastAsia="en-ZA"/>
        </w:rPr>
        <w:t>41.</w:t>
      </w:r>
      <w:r>
        <w:rPr>
          <w:rFonts w:ascii="Arial" w:eastAsia="Times New Roman" w:hAnsi="Arial" w:cs="Arial"/>
          <w:sz w:val="24"/>
          <w:szCs w:val="24"/>
          <w:lang w:eastAsia="en-ZA"/>
        </w:rPr>
        <w:tab/>
      </w:r>
      <w:r w:rsidR="00DC6C4D" w:rsidRPr="00DC6C4D">
        <w:rPr>
          <w:rFonts w:ascii="Arial" w:eastAsia="Times New Roman" w:hAnsi="Arial" w:cs="Arial"/>
          <w:sz w:val="24"/>
          <w:szCs w:val="24"/>
          <w:lang w:val="en-GB" w:eastAsia="en-ZA"/>
        </w:rPr>
        <w:t xml:space="preserve">Payment will be made directly to the trust account of the </w:t>
      </w:r>
      <w:r>
        <w:rPr>
          <w:rFonts w:ascii="Arial" w:eastAsia="Times New Roman" w:hAnsi="Arial" w:cs="Arial"/>
          <w:sz w:val="24"/>
          <w:szCs w:val="24"/>
          <w:lang w:val="en-GB" w:eastAsia="en-ZA"/>
        </w:rPr>
        <w:t>P</w:t>
      </w:r>
      <w:r w:rsidR="00DC6C4D" w:rsidRPr="00DC6C4D">
        <w:rPr>
          <w:rFonts w:ascii="Arial" w:eastAsia="Times New Roman" w:hAnsi="Arial" w:cs="Arial"/>
          <w:sz w:val="24"/>
          <w:szCs w:val="24"/>
          <w:lang w:val="en-GB" w:eastAsia="en-ZA"/>
        </w:rPr>
        <w:t>laintiff's attorneys within 180 (hundred and eighty) days from the granting of this order, the details of such trust account being:</w:t>
      </w:r>
    </w:p>
    <w:p w:rsidR="00DC6C4D" w:rsidRPr="00DC6C4D" w:rsidRDefault="00DC6C4D" w:rsidP="00BA4EE6">
      <w:pPr>
        <w:widowControl w:val="0"/>
        <w:autoSpaceDE w:val="0"/>
        <w:autoSpaceDN w:val="0"/>
        <w:spacing w:after="0" w:line="240" w:lineRule="auto"/>
        <w:jc w:val="both"/>
        <w:rPr>
          <w:rFonts w:ascii="Arial" w:eastAsia="Times New Roman" w:hAnsi="Arial" w:cs="Arial"/>
          <w:sz w:val="24"/>
          <w:szCs w:val="24"/>
          <w:lang w:val="en-US" w:eastAsia="en-ZA"/>
        </w:rPr>
      </w:pPr>
    </w:p>
    <w:tbl>
      <w:tblPr>
        <w:tblW w:w="0" w:type="auto"/>
        <w:tblInd w:w="1450" w:type="dxa"/>
        <w:tblCellMar>
          <w:left w:w="0" w:type="dxa"/>
          <w:right w:w="0" w:type="dxa"/>
        </w:tblCellMar>
        <w:tblLook w:val="04A0" w:firstRow="1" w:lastRow="0" w:firstColumn="1" w:lastColumn="0" w:noHBand="0" w:noVBand="1"/>
      </w:tblPr>
      <w:tblGrid>
        <w:gridCol w:w="2520"/>
        <w:gridCol w:w="4410"/>
      </w:tblGrid>
      <w:tr w:rsidR="00DC6C4D" w:rsidRPr="00DC6C4D" w:rsidTr="00EA05BE">
        <w:trPr>
          <w:cantSplit/>
        </w:trPr>
        <w:tc>
          <w:tcPr>
            <w:tcW w:w="2520" w:type="dxa"/>
            <w:tcBorders>
              <w:top w:val="single" w:sz="8" w:space="0" w:color="000000"/>
              <w:left w:val="single" w:sz="8" w:space="0" w:color="000000"/>
              <w:bottom w:val="nil"/>
              <w:right w:val="nil"/>
            </w:tcBorders>
            <w:tcMar>
              <w:top w:w="0" w:type="dxa"/>
              <w:left w:w="100" w:type="dxa"/>
              <w:bottom w:w="0" w:type="dxa"/>
              <w:right w:w="100" w:type="dxa"/>
            </w:tcMar>
            <w:hideMark/>
          </w:tcPr>
          <w:p w:rsidR="00DC6C4D" w:rsidRPr="00DC6C4D" w:rsidRDefault="00DC6C4D" w:rsidP="00BA4EE6">
            <w:pPr>
              <w:widowControl w:val="0"/>
              <w:autoSpaceDE w:val="0"/>
              <w:autoSpaceDN w:val="0"/>
              <w:spacing w:before="100" w:after="52" w:line="240" w:lineRule="auto"/>
              <w:jc w:val="both"/>
              <w:rPr>
                <w:rFonts w:ascii="Arial" w:eastAsia="Times New Roman" w:hAnsi="Arial" w:cs="Arial"/>
                <w:sz w:val="24"/>
                <w:szCs w:val="24"/>
                <w:lang w:val="en-US" w:eastAsia="en-ZA"/>
              </w:rPr>
            </w:pPr>
            <w:r w:rsidRPr="00DC6C4D">
              <w:rPr>
                <w:rFonts w:ascii="Arial" w:eastAsia="Times New Roman" w:hAnsi="Arial" w:cs="Arial"/>
                <w:sz w:val="24"/>
                <w:szCs w:val="24"/>
                <w:lang w:val="en-US" w:eastAsia="en-ZA"/>
              </w:rPr>
              <w:t>Holder</w:t>
            </w:r>
          </w:p>
        </w:tc>
        <w:tc>
          <w:tcPr>
            <w:tcW w:w="4410" w:type="dxa"/>
            <w:tcBorders>
              <w:top w:val="single" w:sz="8" w:space="0" w:color="000000"/>
              <w:left w:val="single" w:sz="8" w:space="0" w:color="000000"/>
              <w:bottom w:val="nil"/>
              <w:right w:val="single" w:sz="8" w:space="0" w:color="000000"/>
            </w:tcBorders>
            <w:tcMar>
              <w:top w:w="0" w:type="dxa"/>
              <w:left w:w="100" w:type="dxa"/>
              <w:bottom w:w="0" w:type="dxa"/>
              <w:right w:w="100" w:type="dxa"/>
            </w:tcMar>
            <w:hideMark/>
          </w:tcPr>
          <w:p w:rsidR="00DC6C4D" w:rsidRPr="00DC6C4D" w:rsidRDefault="00DC6C4D" w:rsidP="00BA4EE6">
            <w:pPr>
              <w:widowControl w:val="0"/>
              <w:autoSpaceDE w:val="0"/>
              <w:autoSpaceDN w:val="0"/>
              <w:spacing w:before="100" w:after="52" w:line="240" w:lineRule="auto"/>
              <w:jc w:val="both"/>
              <w:rPr>
                <w:rFonts w:ascii="Arial" w:eastAsia="Times New Roman" w:hAnsi="Arial" w:cs="Arial"/>
                <w:sz w:val="24"/>
                <w:szCs w:val="24"/>
                <w:lang w:val="en-US" w:eastAsia="en-ZA"/>
              </w:rPr>
            </w:pPr>
            <w:r w:rsidRPr="00DC6C4D">
              <w:rPr>
                <w:rFonts w:ascii="Arial" w:eastAsia="Times New Roman" w:hAnsi="Arial" w:cs="Arial"/>
                <w:sz w:val="24"/>
                <w:szCs w:val="24"/>
                <w:lang w:val="en-US" w:eastAsia="en-ZA"/>
              </w:rPr>
              <w:t>De Broglio Inc. Attorneys</w:t>
            </w:r>
          </w:p>
        </w:tc>
      </w:tr>
      <w:tr w:rsidR="00DC6C4D" w:rsidRPr="00DC6C4D" w:rsidTr="00EA05BE">
        <w:trPr>
          <w:cantSplit/>
        </w:trPr>
        <w:tc>
          <w:tcPr>
            <w:tcW w:w="2520" w:type="dxa"/>
            <w:tcBorders>
              <w:top w:val="single" w:sz="8" w:space="0" w:color="000000"/>
              <w:left w:val="single" w:sz="8" w:space="0" w:color="000000"/>
              <w:bottom w:val="nil"/>
              <w:right w:val="nil"/>
            </w:tcBorders>
            <w:tcMar>
              <w:top w:w="0" w:type="dxa"/>
              <w:left w:w="100" w:type="dxa"/>
              <w:bottom w:w="0" w:type="dxa"/>
              <w:right w:w="100" w:type="dxa"/>
            </w:tcMar>
            <w:hideMark/>
          </w:tcPr>
          <w:p w:rsidR="00DC6C4D" w:rsidRPr="00DC6C4D" w:rsidRDefault="00DC6C4D" w:rsidP="00BA4EE6">
            <w:pPr>
              <w:widowControl w:val="0"/>
              <w:autoSpaceDE w:val="0"/>
              <w:autoSpaceDN w:val="0"/>
              <w:spacing w:before="100" w:after="52" w:line="240" w:lineRule="auto"/>
              <w:jc w:val="both"/>
              <w:rPr>
                <w:rFonts w:ascii="Arial" w:eastAsia="Times New Roman" w:hAnsi="Arial" w:cs="Arial"/>
                <w:sz w:val="24"/>
                <w:szCs w:val="24"/>
                <w:lang w:val="en-US" w:eastAsia="en-ZA"/>
              </w:rPr>
            </w:pPr>
            <w:r w:rsidRPr="00DC6C4D">
              <w:rPr>
                <w:rFonts w:ascii="Arial" w:eastAsia="Times New Roman" w:hAnsi="Arial" w:cs="Arial"/>
                <w:sz w:val="24"/>
                <w:szCs w:val="24"/>
                <w:lang w:val="en-US" w:eastAsia="en-ZA"/>
              </w:rPr>
              <w:t>Account Number</w:t>
            </w:r>
          </w:p>
        </w:tc>
        <w:tc>
          <w:tcPr>
            <w:tcW w:w="4410" w:type="dxa"/>
            <w:tcBorders>
              <w:top w:val="single" w:sz="8" w:space="0" w:color="000000"/>
              <w:left w:val="single" w:sz="8" w:space="0" w:color="000000"/>
              <w:bottom w:val="nil"/>
              <w:right w:val="single" w:sz="8" w:space="0" w:color="000000"/>
            </w:tcBorders>
            <w:tcMar>
              <w:top w:w="0" w:type="dxa"/>
              <w:left w:w="100" w:type="dxa"/>
              <w:bottom w:w="0" w:type="dxa"/>
              <w:right w:w="100" w:type="dxa"/>
            </w:tcMar>
            <w:hideMark/>
          </w:tcPr>
          <w:p w:rsidR="00DC6C4D" w:rsidRPr="00DC6C4D" w:rsidRDefault="002F6B2A" w:rsidP="00BA4EE6">
            <w:pPr>
              <w:widowControl w:val="0"/>
              <w:autoSpaceDE w:val="0"/>
              <w:autoSpaceDN w:val="0"/>
              <w:spacing w:before="100" w:after="52" w:line="240" w:lineRule="auto"/>
              <w:jc w:val="both"/>
              <w:rPr>
                <w:rFonts w:ascii="Arial" w:eastAsia="Times New Roman" w:hAnsi="Arial" w:cs="Arial"/>
                <w:b/>
                <w:bCs/>
                <w:sz w:val="24"/>
                <w:szCs w:val="24"/>
                <w:lang w:val="en-US" w:eastAsia="en-ZA"/>
              </w:rPr>
            </w:pPr>
            <w:r>
              <w:rPr>
                <w:rFonts w:ascii="Arial" w:eastAsia="Times New Roman" w:hAnsi="Arial" w:cs="Arial"/>
                <w:sz w:val="24"/>
                <w:szCs w:val="24"/>
                <w:lang w:val="en-US" w:eastAsia="en-ZA"/>
              </w:rPr>
              <w:t>[…]</w:t>
            </w:r>
            <w:bookmarkStart w:id="1" w:name="_GoBack"/>
            <w:bookmarkEnd w:id="1"/>
          </w:p>
        </w:tc>
      </w:tr>
      <w:tr w:rsidR="00DC6C4D" w:rsidRPr="00DC6C4D" w:rsidTr="00EA05BE">
        <w:trPr>
          <w:cantSplit/>
        </w:trPr>
        <w:tc>
          <w:tcPr>
            <w:tcW w:w="2520" w:type="dxa"/>
            <w:tcBorders>
              <w:top w:val="single" w:sz="8" w:space="0" w:color="000000"/>
              <w:left w:val="single" w:sz="8" w:space="0" w:color="000000"/>
              <w:bottom w:val="nil"/>
              <w:right w:val="nil"/>
            </w:tcBorders>
            <w:tcMar>
              <w:top w:w="0" w:type="dxa"/>
              <w:left w:w="100" w:type="dxa"/>
              <w:bottom w:w="0" w:type="dxa"/>
              <w:right w:w="100" w:type="dxa"/>
            </w:tcMar>
            <w:hideMark/>
          </w:tcPr>
          <w:p w:rsidR="00DC6C4D" w:rsidRPr="00DC6C4D" w:rsidRDefault="00DC6C4D" w:rsidP="00BA4EE6">
            <w:pPr>
              <w:widowControl w:val="0"/>
              <w:autoSpaceDE w:val="0"/>
              <w:autoSpaceDN w:val="0"/>
              <w:spacing w:before="100" w:after="52" w:line="240" w:lineRule="auto"/>
              <w:jc w:val="both"/>
              <w:rPr>
                <w:rFonts w:ascii="Arial" w:eastAsia="Times New Roman" w:hAnsi="Arial" w:cs="Arial"/>
                <w:sz w:val="24"/>
                <w:szCs w:val="24"/>
                <w:lang w:val="en-US" w:eastAsia="en-ZA"/>
              </w:rPr>
            </w:pPr>
            <w:r w:rsidRPr="00DC6C4D">
              <w:rPr>
                <w:rFonts w:ascii="Arial" w:eastAsia="Times New Roman" w:hAnsi="Arial" w:cs="Arial"/>
                <w:sz w:val="24"/>
                <w:szCs w:val="24"/>
                <w:lang w:val="en-US" w:eastAsia="en-ZA"/>
              </w:rPr>
              <w:t xml:space="preserve">Bank &amp; Branch       </w:t>
            </w:r>
          </w:p>
        </w:tc>
        <w:tc>
          <w:tcPr>
            <w:tcW w:w="4410" w:type="dxa"/>
            <w:tcBorders>
              <w:top w:val="single" w:sz="8" w:space="0" w:color="000000"/>
              <w:left w:val="single" w:sz="8" w:space="0" w:color="000000"/>
              <w:bottom w:val="nil"/>
              <w:right w:val="single" w:sz="8" w:space="0" w:color="000000"/>
            </w:tcBorders>
            <w:tcMar>
              <w:top w:w="0" w:type="dxa"/>
              <w:left w:w="100" w:type="dxa"/>
              <w:bottom w:w="0" w:type="dxa"/>
              <w:right w:w="100" w:type="dxa"/>
            </w:tcMar>
            <w:hideMark/>
          </w:tcPr>
          <w:p w:rsidR="00DC6C4D" w:rsidRPr="00DC6C4D" w:rsidRDefault="00DC6C4D" w:rsidP="00BA4EE6">
            <w:pPr>
              <w:widowControl w:val="0"/>
              <w:autoSpaceDE w:val="0"/>
              <w:autoSpaceDN w:val="0"/>
              <w:spacing w:before="100" w:after="52" w:line="240" w:lineRule="auto"/>
              <w:jc w:val="both"/>
              <w:rPr>
                <w:rFonts w:ascii="Arial" w:eastAsia="Times New Roman" w:hAnsi="Arial" w:cs="Arial"/>
                <w:sz w:val="24"/>
                <w:szCs w:val="24"/>
                <w:lang w:val="en-US" w:eastAsia="en-ZA"/>
              </w:rPr>
            </w:pPr>
            <w:r w:rsidRPr="00DC6C4D">
              <w:rPr>
                <w:rFonts w:ascii="Arial" w:eastAsia="Times New Roman" w:hAnsi="Arial" w:cs="Arial"/>
                <w:sz w:val="24"/>
                <w:szCs w:val="24"/>
                <w:lang w:val="en-US" w:eastAsia="en-ZA"/>
              </w:rPr>
              <w:t>Nedbank – Northern Gauteng</w:t>
            </w:r>
          </w:p>
        </w:tc>
      </w:tr>
      <w:tr w:rsidR="00DC6C4D" w:rsidRPr="00DC6C4D" w:rsidTr="00EA05BE">
        <w:trPr>
          <w:cantSplit/>
        </w:trPr>
        <w:tc>
          <w:tcPr>
            <w:tcW w:w="2520" w:type="dxa"/>
            <w:tcBorders>
              <w:top w:val="single" w:sz="8" w:space="0" w:color="000000"/>
              <w:left w:val="single" w:sz="8" w:space="0" w:color="000000"/>
              <w:bottom w:val="single" w:sz="8" w:space="0" w:color="000000"/>
              <w:right w:val="nil"/>
            </w:tcBorders>
            <w:tcMar>
              <w:top w:w="0" w:type="dxa"/>
              <w:left w:w="100" w:type="dxa"/>
              <w:bottom w:w="0" w:type="dxa"/>
              <w:right w:w="100" w:type="dxa"/>
            </w:tcMar>
            <w:hideMark/>
          </w:tcPr>
          <w:p w:rsidR="00DC6C4D" w:rsidRPr="00DC6C4D" w:rsidRDefault="00DC6C4D" w:rsidP="00BA4EE6">
            <w:pPr>
              <w:widowControl w:val="0"/>
              <w:autoSpaceDE w:val="0"/>
              <w:autoSpaceDN w:val="0"/>
              <w:spacing w:before="100" w:after="52" w:line="240" w:lineRule="auto"/>
              <w:jc w:val="both"/>
              <w:rPr>
                <w:rFonts w:ascii="Arial" w:eastAsia="Times New Roman" w:hAnsi="Arial" w:cs="Arial"/>
                <w:sz w:val="24"/>
                <w:szCs w:val="24"/>
                <w:lang w:val="en-US" w:eastAsia="en-ZA"/>
              </w:rPr>
            </w:pPr>
            <w:r w:rsidRPr="00DC6C4D">
              <w:rPr>
                <w:rFonts w:ascii="Arial" w:eastAsia="Times New Roman" w:hAnsi="Arial" w:cs="Arial"/>
                <w:sz w:val="24"/>
                <w:szCs w:val="24"/>
                <w:lang w:val="en-US" w:eastAsia="en-ZA"/>
              </w:rPr>
              <w:t>Code</w:t>
            </w:r>
          </w:p>
        </w:tc>
        <w:tc>
          <w:tcPr>
            <w:tcW w:w="441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DC6C4D" w:rsidRPr="00DC6C4D" w:rsidRDefault="00DC6C4D" w:rsidP="00BA4EE6">
            <w:pPr>
              <w:widowControl w:val="0"/>
              <w:autoSpaceDE w:val="0"/>
              <w:autoSpaceDN w:val="0"/>
              <w:spacing w:before="100" w:after="52" w:line="240" w:lineRule="auto"/>
              <w:jc w:val="both"/>
              <w:rPr>
                <w:rFonts w:ascii="Arial" w:eastAsia="Times New Roman" w:hAnsi="Arial" w:cs="Arial"/>
                <w:sz w:val="24"/>
                <w:szCs w:val="24"/>
                <w:lang w:val="en-US" w:eastAsia="en-ZA"/>
              </w:rPr>
            </w:pPr>
            <w:r w:rsidRPr="00DC6C4D">
              <w:rPr>
                <w:rFonts w:ascii="Arial" w:eastAsia="Times New Roman" w:hAnsi="Arial" w:cs="Arial"/>
                <w:sz w:val="24"/>
                <w:szCs w:val="24"/>
                <w:lang w:val="en-US" w:eastAsia="en-ZA"/>
              </w:rPr>
              <w:t>198 765</w:t>
            </w:r>
          </w:p>
        </w:tc>
      </w:tr>
      <w:tr w:rsidR="00DC6C4D" w:rsidRPr="00DC6C4D" w:rsidTr="00EA05BE">
        <w:trPr>
          <w:cantSplit/>
        </w:trPr>
        <w:tc>
          <w:tcPr>
            <w:tcW w:w="2520" w:type="dxa"/>
            <w:tcBorders>
              <w:top w:val="single" w:sz="8" w:space="0" w:color="000000"/>
              <w:left w:val="single" w:sz="8" w:space="0" w:color="000000"/>
              <w:bottom w:val="single" w:sz="8" w:space="0" w:color="000000"/>
              <w:right w:val="nil"/>
            </w:tcBorders>
            <w:tcMar>
              <w:top w:w="0" w:type="dxa"/>
              <w:left w:w="100" w:type="dxa"/>
              <w:bottom w:w="0" w:type="dxa"/>
              <w:right w:w="100" w:type="dxa"/>
            </w:tcMar>
            <w:hideMark/>
          </w:tcPr>
          <w:p w:rsidR="00DC6C4D" w:rsidRPr="00DC6C4D" w:rsidRDefault="00DC6C4D" w:rsidP="00BA4EE6">
            <w:pPr>
              <w:widowControl w:val="0"/>
              <w:autoSpaceDE w:val="0"/>
              <w:autoSpaceDN w:val="0"/>
              <w:spacing w:before="100" w:after="52" w:line="240" w:lineRule="auto"/>
              <w:jc w:val="both"/>
              <w:rPr>
                <w:rFonts w:ascii="Arial" w:eastAsia="Times New Roman" w:hAnsi="Arial" w:cs="Arial"/>
                <w:sz w:val="24"/>
                <w:szCs w:val="24"/>
                <w:lang w:val="en-US" w:eastAsia="en-ZA"/>
              </w:rPr>
            </w:pPr>
            <w:r w:rsidRPr="00DC6C4D">
              <w:rPr>
                <w:rFonts w:ascii="Arial" w:eastAsia="Times New Roman" w:hAnsi="Arial" w:cs="Arial"/>
                <w:sz w:val="24"/>
                <w:szCs w:val="24"/>
                <w:lang w:val="en-US" w:eastAsia="en-ZA"/>
              </w:rPr>
              <w:t>Ref</w:t>
            </w:r>
          </w:p>
        </w:tc>
        <w:tc>
          <w:tcPr>
            <w:tcW w:w="441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DC6C4D" w:rsidRPr="00DC6C4D" w:rsidRDefault="00DC6C4D" w:rsidP="00BA4EE6">
            <w:pPr>
              <w:widowControl w:val="0"/>
              <w:autoSpaceDE w:val="0"/>
              <w:autoSpaceDN w:val="0"/>
              <w:spacing w:before="100" w:after="52" w:line="240" w:lineRule="auto"/>
              <w:jc w:val="both"/>
              <w:rPr>
                <w:rFonts w:ascii="Arial" w:eastAsia="Times New Roman" w:hAnsi="Arial" w:cs="Arial"/>
                <w:b/>
                <w:sz w:val="24"/>
                <w:szCs w:val="24"/>
                <w:lang w:val="en-US" w:eastAsia="en-ZA"/>
              </w:rPr>
            </w:pPr>
            <w:r w:rsidRPr="00DC6C4D">
              <w:rPr>
                <w:rFonts w:ascii="Arial" w:eastAsia="Times New Roman" w:hAnsi="Arial" w:cs="Arial"/>
                <w:b/>
                <w:sz w:val="24"/>
                <w:szCs w:val="24"/>
                <w:lang w:val="en-US" w:eastAsia="en-ZA"/>
              </w:rPr>
              <w:t>M3523</w:t>
            </w:r>
          </w:p>
        </w:tc>
      </w:tr>
    </w:tbl>
    <w:p w:rsidR="00DC6C4D" w:rsidRDefault="00DC6C4D" w:rsidP="00BA4EE6">
      <w:pPr>
        <w:widowControl w:val="0"/>
        <w:autoSpaceDE w:val="0"/>
        <w:autoSpaceDN w:val="0"/>
        <w:spacing w:after="0" w:line="480" w:lineRule="auto"/>
        <w:jc w:val="both"/>
        <w:rPr>
          <w:rFonts w:ascii="Arial" w:eastAsia="Times New Roman" w:hAnsi="Arial" w:cs="Arial"/>
          <w:sz w:val="24"/>
          <w:szCs w:val="24"/>
          <w:lang w:val="en-GB" w:eastAsia="en-ZA"/>
        </w:rPr>
      </w:pPr>
    </w:p>
    <w:p w:rsidR="00DE482E" w:rsidRDefault="00DE482E" w:rsidP="00BA4EE6">
      <w:pPr>
        <w:widowControl w:val="0"/>
        <w:autoSpaceDE w:val="0"/>
        <w:autoSpaceDN w:val="0"/>
        <w:spacing w:after="0" w:line="480" w:lineRule="auto"/>
        <w:ind w:left="720" w:hanging="720"/>
        <w:jc w:val="both"/>
        <w:rPr>
          <w:rFonts w:ascii="Arial" w:eastAsia="Times New Roman" w:hAnsi="Arial" w:cs="Arial"/>
          <w:sz w:val="24"/>
          <w:szCs w:val="24"/>
          <w:lang w:val="en-GB" w:eastAsia="en-ZA"/>
        </w:rPr>
      </w:pPr>
      <w:r>
        <w:rPr>
          <w:rFonts w:ascii="Arial" w:eastAsia="Times New Roman" w:hAnsi="Arial" w:cs="Arial"/>
          <w:sz w:val="24"/>
          <w:szCs w:val="24"/>
          <w:lang w:val="en-GB" w:eastAsia="en-ZA"/>
        </w:rPr>
        <w:t>42.</w:t>
      </w:r>
      <w:r>
        <w:rPr>
          <w:rFonts w:ascii="Arial" w:eastAsia="Times New Roman" w:hAnsi="Arial" w:cs="Arial"/>
          <w:sz w:val="24"/>
          <w:szCs w:val="24"/>
          <w:lang w:val="en-GB" w:eastAsia="en-ZA"/>
        </w:rPr>
        <w:tab/>
        <w:t xml:space="preserve">The </w:t>
      </w:r>
      <w:r>
        <w:rPr>
          <w:rFonts w:ascii="Arial" w:eastAsia="Calibri" w:hAnsi="Arial" w:cs="Arial"/>
          <w:sz w:val="24"/>
          <w:szCs w:val="24"/>
          <w:lang w:eastAsia="en-ZA"/>
        </w:rPr>
        <w:t>D</w:t>
      </w:r>
      <w:r w:rsidRPr="00DC6C4D">
        <w:rPr>
          <w:rFonts w:ascii="Arial" w:eastAsia="Calibri" w:hAnsi="Arial" w:cs="Arial"/>
          <w:sz w:val="24"/>
          <w:szCs w:val="24"/>
          <w:lang w:eastAsia="en-ZA"/>
        </w:rPr>
        <w:t>efendant is ordered in terms of section 17(4)(a) of the Road Accident Fund A</w:t>
      </w:r>
      <w:r>
        <w:rPr>
          <w:rFonts w:ascii="Arial" w:eastAsia="Calibri" w:hAnsi="Arial" w:cs="Arial"/>
          <w:sz w:val="24"/>
          <w:szCs w:val="24"/>
          <w:lang w:eastAsia="en-ZA"/>
        </w:rPr>
        <w:t>ct 56 of 1996 to reimburse the P</w:t>
      </w:r>
      <w:r w:rsidRPr="00DC6C4D">
        <w:rPr>
          <w:rFonts w:ascii="Arial" w:eastAsia="Calibri" w:hAnsi="Arial" w:cs="Arial"/>
          <w:sz w:val="24"/>
          <w:szCs w:val="24"/>
          <w:lang w:eastAsia="en-ZA"/>
        </w:rPr>
        <w:t xml:space="preserve">laintiff for </w:t>
      </w:r>
      <w:r w:rsidRPr="00DC6C4D">
        <w:rPr>
          <w:rFonts w:ascii="Arial" w:eastAsia="Calibri" w:hAnsi="Arial" w:cs="Arial"/>
          <w:b/>
          <w:bCs/>
          <w:sz w:val="24"/>
          <w:szCs w:val="24"/>
          <w:u w:val="single"/>
          <w:lang w:eastAsia="en-ZA"/>
        </w:rPr>
        <w:t>90</w:t>
      </w:r>
      <w:r w:rsidRPr="00DC6C4D">
        <w:rPr>
          <w:rFonts w:ascii="Arial" w:eastAsia="Calibri" w:hAnsi="Arial" w:cs="Arial"/>
          <w:b/>
          <w:bCs/>
          <w:sz w:val="24"/>
          <w:szCs w:val="24"/>
          <w:lang w:eastAsia="en-ZA"/>
        </w:rPr>
        <w:t>%</w:t>
      </w:r>
      <w:r w:rsidRPr="00DC6C4D">
        <w:rPr>
          <w:rFonts w:ascii="Arial" w:eastAsia="Calibri" w:hAnsi="Arial" w:cs="Arial"/>
          <w:sz w:val="24"/>
          <w:szCs w:val="24"/>
          <w:lang w:eastAsia="en-ZA"/>
        </w:rPr>
        <w:t xml:space="preserve"> of the costs of a</w:t>
      </w:r>
      <w:r>
        <w:rPr>
          <w:rFonts w:ascii="Arial" w:eastAsia="Calibri" w:hAnsi="Arial" w:cs="Arial"/>
          <w:sz w:val="24"/>
          <w:szCs w:val="24"/>
          <w:lang w:eastAsia="en-ZA"/>
        </w:rPr>
        <w:t>ny future accommodation of the P</w:t>
      </w:r>
      <w:r w:rsidRPr="00DC6C4D">
        <w:rPr>
          <w:rFonts w:ascii="Arial" w:eastAsia="Calibri" w:hAnsi="Arial" w:cs="Arial"/>
          <w:sz w:val="24"/>
          <w:szCs w:val="24"/>
          <w:lang w:eastAsia="en-ZA"/>
        </w:rPr>
        <w:t>laintiff in a hospital or nursing home, or treatment or the rendering of service to him or supplying goods to him arisin</w:t>
      </w:r>
      <w:r>
        <w:rPr>
          <w:rFonts w:ascii="Arial" w:eastAsia="Calibri" w:hAnsi="Arial" w:cs="Arial"/>
          <w:sz w:val="24"/>
          <w:szCs w:val="24"/>
          <w:lang w:eastAsia="en-ZA"/>
        </w:rPr>
        <w:t>g out of injuries sustained by P</w:t>
      </w:r>
      <w:r w:rsidRPr="00DC6C4D">
        <w:rPr>
          <w:rFonts w:ascii="Arial" w:eastAsia="Calibri" w:hAnsi="Arial" w:cs="Arial"/>
          <w:sz w:val="24"/>
          <w:szCs w:val="24"/>
          <w:lang w:eastAsia="en-ZA"/>
        </w:rPr>
        <w:t>laintiff in a motor vehicle accident on which the cause of action is based, after such costs have been incurred and upon proof thereof.</w:t>
      </w:r>
      <w:r>
        <w:rPr>
          <w:rFonts w:ascii="Arial" w:eastAsia="Times New Roman" w:hAnsi="Arial" w:cs="Arial"/>
          <w:sz w:val="24"/>
          <w:szCs w:val="24"/>
          <w:lang w:val="en-GB" w:eastAsia="en-ZA"/>
        </w:rPr>
        <w:tab/>
      </w:r>
    </w:p>
    <w:p w:rsidR="00DE482E" w:rsidRDefault="00DE482E" w:rsidP="00BA4EE6">
      <w:pPr>
        <w:widowControl w:val="0"/>
        <w:autoSpaceDE w:val="0"/>
        <w:autoSpaceDN w:val="0"/>
        <w:spacing w:after="0" w:line="480" w:lineRule="auto"/>
        <w:ind w:left="720" w:hanging="720"/>
        <w:jc w:val="both"/>
        <w:rPr>
          <w:rFonts w:ascii="Arial" w:eastAsia="Times New Roman" w:hAnsi="Arial" w:cs="Arial"/>
          <w:sz w:val="24"/>
          <w:szCs w:val="24"/>
          <w:lang w:val="en-GB" w:eastAsia="en-ZA"/>
        </w:rPr>
      </w:pPr>
    </w:p>
    <w:p w:rsidR="00DC6C4D" w:rsidRPr="00DC6C4D" w:rsidRDefault="00DE482E" w:rsidP="00BA4EE6">
      <w:pPr>
        <w:widowControl w:val="0"/>
        <w:autoSpaceDE w:val="0"/>
        <w:autoSpaceDN w:val="0"/>
        <w:spacing w:after="0" w:line="480" w:lineRule="auto"/>
        <w:ind w:left="720" w:hanging="720"/>
        <w:jc w:val="both"/>
        <w:rPr>
          <w:rFonts w:ascii="Arial" w:eastAsia="Times New Roman" w:hAnsi="Arial" w:cs="Arial"/>
          <w:sz w:val="24"/>
          <w:szCs w:val="24"/>
          <w:lang w:val="en-GB" w:eastAsia="en-ZA"/>
        </w:rPr>
      </w:pPr>
      <w:r>
        <w:rPr>
          <w:rFonts w:ascii="Arial" w:eastAsia="Times New Roman" w:hAnsi="Arial" w:cs="Arial"/>
          <w:sz w:val="24"/>
          <w:szCs w:val="24"/>
          <w:lang w:val="en-GB" w:eastAsia="en-ZA"/>
        </w:rPr>
        <w:t>43.</w:t>
      </w:r>
      <w:r>
        <w:rPr>
          <w:rFonts w:ascii="Arial" w:eastAsia="Times New Roman" w:hAnsi="Arial" w:cs="Arial"/>
          <w:sz w:val="24"/>
          <w:szCs w:val="24"/>
          <w:lang w:val="en-GB" w:eastAsia="en-ZA"/>
        </w:rPr>
        <w:tab/>
        <w:t xml:space="preserve">The </w:t>
      </w:r>
      <w:r>
        <w:rPr>
          <w:rFonts w:ascii="Arial" w:eastAsia="Times New Roman" w:hAnsi="Arial" w:cs="Arial"/>
          <w:sz w:val="24"/>
          <w:szCs w:val="24"/>
          <w:lang w:val="en-US"/>
        </w:rPr>
        <w:t>Defendant is to pay the P</w:t>
      </w:r>
      <w:r w:rsidRPr="00DC6C4D">
        <w:rPr>
          <w:rFonts w:ascii="Arial" w:eastAsia="Times New Roman" w:hAnsi="Arial" w:cs="Arial"/>
          <w:sz w:val="24"/>
          <w:szCs w:val="24"/>
          <w:lang w:val="en-US"/>
        </w:rPr>
        <w:t>laintiff's agreed or taxed High Court costs as between party and party; all costs are subject to the discretion of the taxing master.</w:t>
      </w:r>
    </w:p>
    <w:p w:rsidR="00DC6C4D" w:rsidRPr="00DC6C4D" w:rsidRDefault="00DC6C4D" w:rsidP="00BA4EE6">
      <w:pPr>
        <w:widowControl w:val="0"/>
        <w:numPr>
          <w:ilvl w:val="1"/>
          <w:numId w:val="3"/>
        </w:numPr>
        <w:autoSpaceDN w:val="0"/>
        <w:spacing w:after="0" w:line="480" w:lineRule="auto"/>
        <w:contextualSpacing/>
        <w:jc w:val="both"/>
        <w:rPr>
          <w:rFonts w:ascii="Arial" w:eastAsia="Times New Roman" w:hAnsi="Arial" w:cs="Arial"/>
          <w:sz w:val="24"/>
          <w:szCs w:val="24"/>
          <w:lang w:val="en-US"/>
        </w:rPr>
      </w:pPr>
      <w:r w:rsidRPr="00DC6C4D">
        <w:rPr>
          <w:rFonts w:ascii="Arial" w:eastAsia="Times New Roman" w:hAnsi="Arial" w:cs="Arial"/>
          <w:sz w:val="24"/>
          <w:szCs w:val="24"/>
          <w:lang w:val="en-US"/>
        </w:rPr>
        <w:t xml:space="preserve">The </w:t>
      </w:r>
      <w:r w:rsidR="00DE482E">
        <w:rPr>
          <w:rFonts w:ascii="Arial" w:eastAsia="Times New Roman" w:hAnsi="Arial" w:cs="Arial"/>
          <w:sz w:val="24"/>
          <w:szCs w:val="24"/>
          <w:lang w:val="en-US"/>
        </w:rPr>
        <w:t>P</w:t>
      </w:r>
      <w:r w:rsidRPr="00DC6C4D">
        <w:rPr>
          <w:rFonts w:ascii="Arial" w:eastAsia="Times New Roman" w:hAnsi="Arial" w:cs="Arial"/>
          <w:sz w:val="24"/>
          <w:szCs w:val="24"/>
          <w:lang w:val="en-US"/>
        </w:rPr>
        <w:t>laintiff shall, if the costs are not agreed serve the Notice of Taxation on the defendant's Attorney of record; and</w:t>
      </w:r>
    </w:p>
    <w:p w:rsidR="00DC6C4D" w:rsidRDefault="00DC6C4D" w:rsidP="00BA4EE6">
      <w:pPr>
        <w:widowControl w:val="0"/>
        <w:numPr>
          <w:ilvl w:val="1"/>
          <w:numId w:val="3"/>
        </w:numPr>
        <w:autoSpaceDN w:val="0"/>
        <w:spacing w:after="0" w:line="480" w:lineRule="auto"/>
        <w:contextualSpacing/>
        <w:jc w:val="both"/>
        <w:rPr>
          <w:rFonts w:ascii="Arial" w:eastAsia="Times New Roman" w:hAnsi="Arial" w:cs="Arial"/>
          <w:sz w:val="24"/>
          <w:szCs w:val="24"/>
          <w:lang w:val="en-US"/>
        </w:rPr>
      </w:pPr>
      <w:r w:rsidRPr="00DC6C4D">
        <w:rPr>
          <w:rFonts w:ascii="Arial" w:eastAsia="Times New Roman" w:hAnsi="Arial" w:cs="Arial"/>
          <w:sz w:val="24"/>
          <w:szCs w:val="24"/>
          <w:lang w:val="en-US"/>
        </w:rPr>
        <w:t xml:space="preserve">Plaintiff shall allow Defendant 180 (One Hundred and Eighty) days to make payment of the taxed costs after service of the taxed bill of costs. </w:t>
      </w:r>
    </w:p>
    <w:p w:rsidR="00DD6583" w:rsidRPr="00DC6C4D" w:rsidRDefault="00DD6583" w:rsidP="00DD6583">
      <w:pPr>
        <w:widowControl w:val="0"/>
        <w:autoSpaceDN w:val="0"/>
        <w:spacing w:after="0" w:line="480" w:lineRule="auto"/>
        <w:contextualSpacing/>
        <w:jc w:val="both"/>
        <w:rPr>
          <w:rFonts w:ascii="Arial" w:eastAsia="Times New Roman" w:hAnsi="Arial" w:cs="Arial"/>
          <w:sz w:val="24"/>
          <w:szCs w:val="24"/>
          <w:lang w:val="en-US"/>
        </w:rPr>
      </w:pPr>
      <w:r>
        <w:rPr>
          <w:rFonts w:ascii="Arial" w:eastAsia="Times New Roman" w:hAnsi="Arial" w:cs="Arial"/>
          <w:sz w:val="24"/>
          <w:szCs w:val="24"/>
          <w:lang w:val="en-US"/>
        </w:rPr>
        <w:t>44. The Pla</w:t>
      </w:r>
      <w:r w:rsidRPr="00DE482E">
        <w:rPr>
          <w:rFonts w:ascii="Arial" w:eastAsia="Times New Roman" w:hAnsi="Arial" w:cs="Arial"/>
          <w:sz w:val="24"/>
          <w:szCs w:val="24"/>
          <w:lang w:val="en-US"/>
        </w:rPr>
        <w:t xml:space="preserve">intiff </w:t>
      </w:r>
      <w:r w:rsidRPr="00DE482E">
        <w:rPr>
          <w:rFonts w:ascii="Arial" w:eastAsia="Times New Roman" w:hAnsi="Arial" w:cs="Arial"/>
          <w:b/>
          <w:bCs/>
          <w:sz w:val="24"/>
          <w:szCs w:val="24"/>
          <w:u w:val="single"/>
          <w:lang w:val="en-US"/>
        </w:rPr>
        <w:t>did not sign</w:t>
      </w:r>
      <w:r w:rsidRPr="00DE482E">
        <w:rPr>
          <w:rFonts w:ascii="Arial" w:eastAsia="Times New Roman" w:hAnsi="Arial" w:cs="Arial"/>
          <w:bCs/>
          <w:sz w:val="24"/>
          <w:szCs w:val="24"/>
          <w:lang w:val="en-US"/>
        </w:rPr>
        <w:t xml:space="preserve"> a Contingency Fees Act Agreement</w:t>
      </w:r>
      <w:r>
        <w:rPr>
          <w:rFonts w:ascii="Arial" w:eastAsia="Times New Roman" w:hAnsi="Arial" w:cs="Arial"/>
          <w:sz w:val="24"/>
          <w:szCs w:val="24"/>
          <w:lang w:val="en-US"/>
        </w:rPr>
        <w:t>.</w:t>
      </w:r>
    </w:p>
    <w:p w:rsidR="00DC6C4D" w:rsidRPr="00DC6C4D" w:rsidRDefault="00DC6C4D" w:rsidP="00DD6583">
      <w:pPr>
        <w:widowControl w:val="0"/>
        <w:autoSpaceDN w:val="0"/>
        <w:spacing w:line="480" w:lineRule="auto"/>
        <w:contextualSpacing/>
        <w:jc w:val="both"/>
        <w:rPr>
          <w:rFonts w:ascii="Arial" w:eastAsia="Times New Roman" w:hAnsi="Arial" w:cs="Arial"/>
          <w:sz w:val="24"/>
          <w:szCs w:val="24"/>
          <w:lang w:val="en-US"/>
        </w:rPr>
      </w:pPr>
      <w:r w:rsidRPr="00DC6C4D">
        <w:rPr>
          <w:rFonts w:ascii="Arial MT" w:eastAsia="Arial MT" w:hAnsi="Arial MT" w:cs="Arial MT"/>
          <w:noProof/>
          <w:sz w:val="20"/>
          <w:lang w:val="en-US"/>
        </w:rPr>
        <w:drawing>
          <wp:anchor distT="0" distB="0" distL="114300" distR="114300" simplePos="0" relativeHeight="251659264" behindDoc="1" locked="0" layoutInCell="1" allowOverlap="1" wp14:anchorId="57D0E353" wp14:editId="03ADC0B2">
            <wp:simplePos x="0" y="0"/>
            <wp:positionH relativeFrom="margin">
              <wp:posOffset>3206750</wp:posOffset>
            </wp:positionH>
            <wp:positionV relativeFrom="paragraph">
              <wp:posOffset>63500</wp:posOffset>
            </wp:positionV>
            <wp:extent cx="2924175" cy="12573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extLst>
                        <a:ext uri="{28A0092B-C50C-407E-A947-70E740481C1C}">
                          <a14:useLocalDpi xmlns:a14="http://schemas.microsoft.com/office/drawing/2010/main" val="0"/>
                        </a:ext>
                      </a:extLst>
                    </a:blip>
                    <a:srcRect l="15505" t="43776" r="35919" b="40242"/>
                    <a:stretch>
                      <a:fillRect/>
                    </a:stretch>
                  </pic:blipFill>
                  <pic:spPr bwMode="auto">
                    <a:xfrm>
                      <a:off x="0" y="0"/>
                      <a:ext cx="2924175" cy="1257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C6C4D" w:rsidRPr="00DC6C4D" w:rsidRDefault="00DC6C4D" w:rsidP="00BA4EE6">
      <w:pPr>
        <w:widowControl w:val="0"/>
        <w:autoSpaceDE w:val="0"/>
        <w:autoSpaceDN w:val="0"/>
        <w:adjustRightInd w:val="0"/>
        <w:spacing w:after="0" w:line="480" w:lineRule="auto"/>
        <w:ind w:left="360"/>
        <w:contextualSpacing/>
        <w:jc w:val="both"/>
        <w:rPr>
          <w:rFonts w:ascii="Arial" w:eastAsia="Times New Roman" w:hAnsi="Arial" w:cs="Arial"/>
          <w:sz w:val="24"/>
          <w:szCs w:val="24"/>
          <w:lang w:eastAsia="en-ZA"/>
        </w:rPr>
      </w:pPr>
      <w:r w:rsidRPr="00DC6C4D">
        <w:rPr>
          <w:rFonts w:ascii="Arial" w:eastAsia="Times New Roman" w:hAnsi="Arial" w:cs="Arial"/>
          <w:sz w:val="24"/>
          <w:szCs w:val="24"/>
          <w:lang w:eastAsia="en-ZA"/>
        </w:rPr>
        <w:tab/>
      </w:r>
      <w:r w:rsidRPr="00DC6C4D">
        <w:rPr>
          <w:rFonts w:ascii="Arial" w:eastAsia="Times New Roman" w:hAnsi="Arial" w:cs="Arial"/>
          <w:sz w:val="24"/>
          <w:szCs w:val="24"/>
          <w:lang w:eastAsia="en-ZA"/>
        </w:rPr>
        <w:tab/>
      </w:r>
      <w:r w:rsidRPr="00DC6C4D">
        <w:rPr>
          <w:rFonts w:ascii="Arial" w:eastAsia="Times New Roman" w:hAnsi="Arial" w:cs="Arial"/>
          <w:sz w:val="24"/>
          <w:szCs w:val="24"/>
          <w:lang w:eastAsia="en-ZA"/>
        </w:rPr>
        <w:tab/>
      </w:r>
      <w:r w:rsidRPr="00DC6C4D">
        <w:rPr>
          <w:rFonts w:ascii="Arial" w:eastAsia="Times New Roman" w:hAnsi="Arial" w:cs="Arial"/>
          <w:sz w:val="24"/>
          <w:szCs w:val="24"/>
          <w:lang w:eastAsia="en-ZA"/>
        </w:rPr>
        <w:tab/>
      </w:r>
      <w:r w:rsidRPr="00DC6C4D">
        <w:rPr>
          <w:rFonts w:ascii="Arial" w:eastAsia="Times New Roman" w:hAnsi="Arial" w:cs="Arial"/>
          <w:sz w:val="24"/>
          <w:szCs w:val="24"/>
          <w:lang w:eastAsia="en-ZA"/>
        </w:rPr>
        <w:tab/>
      </w:r>
      <w:r w:rsidRPr="00DC6C4D">
        <w:rPr>
          <w:rFonts w:ascii="Arial" w:eastAsia="Times New Roman" w:hAnsi="Arial" w:cs="Arial"/>
          <w:sz w:val="24"/>
          <w:szCs w:val="24"/>
          <w:lang w:eastAsia="en-ZA"/>
        </w:rPr>
        <w:tab/>
      </w:r>
      <w:r w:rsidRPr="00DC6C4D">
        <w:rPr>
          <w:rFonts w:ascii="Arial" w:eastAsia="Times New Roman" w:hAnsi="Arial" w:cs="Arial"/>
          <w:sz w:val="24"/>
          <w:szCs w:val="24"/>
          <w:lang w:eastAsia="en-ZA"/>
        </w:rPr>
        <w:tab/>
      </w:r>
      <w:r w:rsidRPr="00DC6C4D">
        <w:rPr>
          <w:rFonts w:ascii="Arial" w:eastAsia="Times New Roman" w:hAnsi="Arial" w:cs="Arial"/>
          <w:sz w:val="24"/>
          <w:szCs w:val="24"/>
          <w:lang w:eastAsia="en-ZA"/>
        </w:rPr>
        <w:tab/>
      </w:r>
      <w:r w:rsidRPr="00DC6C4D">
        <w:rPr>
          <w:rFonts w:ascii="Arial" w:eastAsia="Times New Roman" w:hAnsi="Arial" w:cs="Arial"/>
          <w:sz w:val="24"/>
          <w:szCs w:val="24"/>
          <w:lang w:eastAsia="en-ZA"/>
        </w:rPr>
        <w:tab/>
      </w:r>
      <w:r w:rsidRPr="00DC6C4D">
        <w:rPr>
          <w:rFonts w:ascii="Arial" w:eastAsia="Times New Roman" w:hAnsi="Arial" w:cs="Arial"/>
          <w:sz w:val="24"/>
          <w:szCs w:val="24"/>
          <w:lang w:eastAsia="en-ZA"/>
        </w:rPr>
        <w:tab/>
      </w:r>
    </w:p>
    <w:p w:rsidR="00DC6C4D" w:rsidRPr="00DC6C4D" w:rsidRDefault="00DC6C4D" w:rsidP="00967416">
      <w:pPr>
        <w:spacing w:line="360" w:lineRule="auto"/>
        <w:contextualSpacing/>
        <w:jc w:val="right"/>
        <w:rPr>
          <w:rFonts w:ascii="Arial" w:eastAsia="Times New Roman" w:hAnsi="Arial" w:cs="Arial"/>
          <w:sz w:val="24"/>
          <w:szCs w:val="24"/>
          <w:lang w:val="en-US"/>
        </w:rPr>
      </w:pPr>
      <w:r w:rsidRPr="00DC6C4D">
        <w:rPr>
          <w:rFonts w:ascii="Arial" w:eastAsia="Times New Roman" w:hAnsi="Arial" w:cs="Arial"/>
          <w:sz w:val="24"/>
          <w:szCs w:val="24"/>
          <w:lang w:val="en-US"/>
        </w:rPr>
        <w:t>__________________________</w:t>
      </w:r>
    </w:p>
    <w:p w:rsidR="00DC6C4D" w:rsidRPr="00DC6C4D" w:rsidRDefault="00DC6C4D" w:rsidP="00967416">
      <w:pPr>
        <w:spacing w:line="360" w:lineRule="auto"/>
        <w:contextualSpacing/>
        <w:jc w:val="right"/>
        <w:rPr>
          <w:rFonts w:ascii="Arial" w:eastAsia="Times New Roman" w:hAnsi="Arial" w:cs="Arial"/>
          <w:sz w:val="24"/>
          <w:szCs w:val="24"/>
          <w:lang w:val="en-US"/>
        </w:rPr>
      </w:pPr>
      <w:r w:rsidRPr="00DC6C4D">
        <w:rPr>
          <w:rFonts w:ascii="Arial" w:eastAsia="Times New Roman" w:hAnsi="Arial" w:cs="Arial"/>
          <w:sz w:val="24"/>
          <w:szCs w:val="24"/>
          <w:lang w:val="en-US"/>
        </w:rPr>
        <w:tab/>
        <w:t>T.BOKAKO</w:t>
      </w:r>
    </w:p>
    <w:p w:rsidR="00DC6C4D" w:rsidRDefault="00DC6C4D" w:rsidP="00967416">
      <w:pPr>
        <w:spacing w:line="360" w:lineRule="auto"/>
        <w:contextualSpacing/>
        <w:jc w:val="right"/>
        <w:rPr>
          <w:rFonts w:ascii="Arial" w:eastAsia="Times New Roman" w:hAnsi="Arial" w:cs="Arial"/>
          <w:sz w:val="24"/>
          <w:szCs w:val="24"/>
          <w:lang w:val="en-US"/>
        </w:rPr>
      </w:pPr>
      <w:r w:rsidRPr="00DC6C4D">
        <w:rPr>
          <w:rFonts w:ascii="Arial" w:eastAsia="Times New Roman" w:hAnsi="Arial" w:cs="Arial"/>
          <w:sz w:val="24"/>
          <w:szCs w:val="24"/>
          <w:lang w:val="en-US"/>
        </w:rPr>
        <w:t>ACTING JUDGE OF THE HIGH COURT</w:t>
      </w:r>
    </w:p>
    <w:p w:rsidR="00DC6C4D" w:rsidRDefault="00DC6C4D" w:rsidP="00BA4EE6">
      <w:pPr>
        <w:spacing w:line="360" w:lineRule="auto"/>
        <w:contextualSpacing/>
        <w:jc w:val="both"/>
        <w:rPr>
          <w:rFonts w:ascii="Arial" w:eastAsia="Times New Roman" w:hAnsi="Arial" w:cs="Arial"/>
          <w:sz w:val="24"/>
          <w:szCs w:val="24"/>
          <w:lang w:val="en-US"/>
        </w:rPr>
      </w:pPr>
    </w:p>
    <w:p w:rsidR="00815E10" w:rsidRDefault="00815E10" w:rsidP="00BA4EE6">
      <w:pPr>
        <w:spacing w:line="360" w:lineRule="auto"/>
        <w:contextualSpacing/>
        <w:jc w:val="both"/>
        <w:rPr>
          <w:rFonts w:ascii="Arial" w:eastAsia="Times New Roman" w:hAnsi="Arial" w:cs="Arial"/>
          <w:sz w:val="24"/>
          <w:szCs w:val="24"/>
          <w:lang w:val="en-US"/>
        </w:rPr>
      </w:pPr>
    </w:p>
    <w:p w:rsidR="00815E10" w:rsidRPr="00DC6C4D" w:rsidRDefault="00815E10" w:rsidP="00BA4EE6">
      <w:pPr>
        <w:spacing w:line="360" w:lineRule="auto"/>
        <w:contextualSpacing/>
        <w:jc w:val="both"/>
        <w:rPr>
          <w:rFonts w:ascii="Arial" w:eastAsia="Times New Roman" w:hAnsi="Arial" w:cs="Arial"/>
          <w:b/>
          <w:bCs/>
          <w:sz w:val="24"/>
          <w:szCs w:val="24"/>
        </w:rPr>
      </w:pPr>
    </w:p>
    <w:p w:rsidR="00DC6C4D" w:rsidRPr="00DC6C4D" w:rsidRDefault="00DC6C4D" w:rsidP="00BA4EE6">
      <w:pPr>
        <w:spacing w:line="360" w:lineRule="auto"/>
        <w:contextualSpacing/>
        <w:jc w:val="both"/>
        <w:rPr>
          <w:rFonts w:ascii="Arial" w:eastAsia="Times New Roman" w:hAnsi="Arial" w:cs="Arial"/>
          <w:b/>
          <w:bCs/>
          <w:sz w:val="24"/>
          <w:szCs w:val="24"/>
        </w:rPr>
      </w:pPr>
    </w:p>
    <w:p w:rsidR="00DC6C4D" w:rsidRPr="00DC6C4D" w:rsidRDefault="00E70A53" w:rsidP="00BA4EE6">
      <w:pPr>
        <w:spacing w:line="360" w:lineRule="auto"/>
        <w:contextualSpacing/>
        <w:jc w:val="both"/>
        <w:rPr>
          <w:rFonts w:ascii="Arial" w:eastAsia="Times New Roman" w:hAnsi="Arial" w:cs="Arial"/>
          <w:b/>
          <w:bCs/>
          <w:sz w:val="24"/>
          <w:szCs w:val="24"/>
        </w:rPr>
      </w:pPr>
      <w:r>
        <w:rPr>
          <w:rFonts w:ascii="Arial" w:eastAsia="Times New Roman" w:hAnsi="Arial" w:cs="Arial"/>
          <w:b/>
          <w:bCs/>
          <w:sz w:val="24"/>
          <w:szCs w:val="24"/>
        </w:rPr>
        <w:t>APPEARANCE</w:t>
      </w:r>
      <w:r w:rsidR="00DC6C4D" w:rsidRPr="00DC6C4D">
        <w:rPr>
          <w:rFonts w:ascii="Arial" w:eastAsia="Times New Roman" w:hAnsi="Arial" w:cs="Arial"/>
          <w:b/>
          <w:bCs/>
          <w:sz w:val="24"/>
          <w:szCs w:val="24"/>
        </w:rPr>
        <w:t>:</w:t>
      </w:r>
    </w:p>
    <w:p w:rsidR="00DC6C4D" w:rsidRPr="00DC6C4D" w:rsidRDefault="00DC6C4D" w:rsidP="00BA4EE6">
      <w:pPr>
        <w:spacing w:line="360" w:lineRule="auto"/>
        <w:contextualSpacing/>
        <w:jc w:val="both"/>
        <w:rPr>
          <w:rFonts w:ascii="Arial" w:eastAsia="Times New Roman" w:hAnsi="Arial" w:cs="Arial"/>
          <w:b/>
          <w:bCs/>
          <w:sz w:val="24"/>
          <w:szCs w:val="24"/>
        </w:rPr>
      </w:pPr>
      <w:r w:rsidRPr="00DC6C4D">
        <w:rPr>
          <w:rFonts w:ascii="Arial" w:eastAsia="Times New Roman" w:hAnsi="Arial" w:cs="Arial"/>
          <w:b/>
          <w:bCs/>
          <w:sz w:val="24"/>
          <w:szCs w:val="24"/>
        </w:rPr>
        <w:t xml:space="preserve">COUNSEL FOR PLAINTIFF: </w:t>
      </w:r>
      <w:r w:rsidRPr="00DC6C4D">
        <w:rPr>
          <w:rFonts w:ascii="Arial" w:eastAsia="Times New Roman" w:hAnsi="Arial" w:cs="Arial"/>
          <w:b/>
          <w:bCs/>
          <w:sz w:val="24"/>
          <w:szCs w:val="24"/>
        </w:rPr>
        <w:tab/>
        <w:t>ADV P J VAN DER BERG</w:t>
      </w:r>
    </w:p>
    <w:p w:rsidR="00DC6C4D" w:rsidRPr="00DC6C4D" w:rsidRDefault="00DC6C4D" w:rsidP="00BA4EE6">
      <w:pPr>
        <w:spacing w:line="360" w:lineRule="auto"/>
        <w:contextualSpacing/>
        <w:jc w:val="both"/>
        <w:rPr>
          <w:rFonts w:ascii="Arial" w:eastAsia="Times New Roman" w:hAnsi="Arial" w:cs="Arial"/>
          <w:b/>
          <w:bCs/>
          <w:sz w:val="24"/>
          <w:szCs w:val="24"/>
        </w:rPr>
      </w:pPr>
      <w:r w:rsidRPr="00DC6C4D">
        <w:rPr>
          <w:rFonts w:ascii="Arial" w:eastAsia="Times New Roman" w:hAnsi="Arial" w:cs="Arial"/>
          <w:b/>
          <w:bCs/>
          <w:sz w:val="24"/>
          <w:szCs w:val="24"/>
        </w:rPr>
        <w:t>COUNSEL FOR THE DEFENDANT: ADV</w:t>
      </w:r>
      <w:r w:rsidR="00E70A53">
        <w:rPr>
          <w:rFonts w:ascii="Arial" w:eastAsia="Times New Roman" w:hAnsi="Arial" w:cs="Arial"/>
          <w:b/>
          <w:bCs/>
          <w:sz w:val="24"/>
          <w:szCs w:val="24"/>
        </w:rPr>
        <w:t xml:space="preserve"> </w:t>
      </w:r>
      <w:r w:rsidRPr="00DC6C4D">
        <w:rPr>
          <w:rFonts w:ascii="Arial" w:eastAsia="Times New Roman" w:hAnsi="Arial" w:cs="Arial"/>
          <w:b/>
          <w:bCs/>
          <w:sz w:val="24"/>
          <w:szCs w:val="24"/>
        </w:rPr>
        <w:t xml:space="preserve">S. MABENA </w:t>
      </w:r>
    </w:p>
    <w:p w:rsidR="00DC6C4D" w:rsidRPr="00DC6C4D" w:rsidRDefault="00DC6C4D" w:rsidP="00BA4EE6">
      <w:pPr>
        <w:spacing w:line="360" w:lineRule="auto"/>
        <w:contextualSpacing/>
        <w:jc w:val="both"/>
        <w:rPr>
          <w:rFonts w:ascii="Arial" w:eastAsia="Times New Roman" w:hAnsi="Arial" w:cs="Arial"/>
          <w:sz w:val="24"/>
          <w:szCs w:val="24"/>
        </w:rPr>
      </w:pPr>
      <w:r w:rsidRPr="00DC6C4D">
        <w:rPr>
          <w:rFonts w:ascii="Arial" w:eastAsia="Times New Roman" w:hAnsi="Arial" w:cs="Arial"/>
          <w:sz w:val="24"/>
          <w:szCs w:val="24"/>
        </w:rPr>
        <w:t>DATE OF HEARING 24 APRIL 2023.</w:t>
      </w:r>
    </w:p>
    <w:p w:rsidR="00DC6C4D" w:rsidRPr="00DC6C4D" w:rsidRDefault="00DC6C4D" w:rsidP="00BA4EE6">
      <w:pPr>
        <w:spacing w:line="360" w:lineRule="auto"/>
        <w:contextualSpacing/>
        <w:jc w:val="both"/>
        <w:rPr>
          <w:rFonts w:ascii="Arial" w:eastAsia="Times New Roman" w:hAnsi="Arial" w:cs="Arial"/>
          <w:sz w:val="24"/>
          <w:szCs w:val="24"/>
        </w:rPr>
      </w:pPr>
      <w:r w:rsidRPr="00DC6C4D">
        <w:rPr>
          <w:rFonts w:ascii="Arial" w:eastAsia="Times New Roman" w:hAnsi="Arial" w:cs="Arial"/>
          <w:sz w:val="24"/>
          <w:szCs w:val="24"/>
        </w:rPr>
        <w:t>JUDGEMENT DELIVERED: 5 JUNE 2023</w:t>
      </w:r>
    </w:p>
    <w:p w:rsidR="00DC6C4D" w:rsidRPr="00DC6C4D" w:rsidRDefault="00DC6C4D" w:rsidP="00BA4EE6">
      <w:pPr>
        <w:widowControl w:val="0"/>
        <w:autoSpaceDE w:val="0"/>
        <w:autoSpaceDN w:val="0"/>
        <w:adjustRightInd w:val="0"/>
        <w:spacing w:after="0" w:line="480" w:lineRule="auto"/>
        <w:jc w:val="both"/>
        <w:rPr>
          <w:rFonts w:ascii="Verdana" w:eastAsia="Times New Roman" w:hAnsi="Verdana" w:cs="Times New Roman"/>
          <w:sz w:val="24"/>
          <w:szCs w:val="24"/>
          <w:lang w:val="en-US" w:eastAsia="en-ZA"/>
        </w:rPr>
      </w:pPr>
      <w:r w:rsidRPr="00DC6C4D">
        <w:rPr>
          <w:rFonts w:ascii="Verdana" w:eastAsia="Times New Roman" w:hAnsi="Verdana" w:cs="Times New Roman"/>
          <w:sz w:val="24"/>
          <w:szCs w:val="24"/>
          <w:lang w:val="en-US" w:eastAsia="en-ZA"/>
        </w:rPr>
        <w:t xml:space="preserve"> </w:t>
      </w:r>
    </w:p>
    <w:p w:rsidR="00DC6C4D" w:rsidRPr="00DC6C4D" w:rsidRDefault="00DC6C4D" w:rsidP="00BA4EE6">
      <w:pPr>
        <w:spacing w:after="0" w:line="480" w:lineRule="auto"/>
        <w:jc w:val="both"/>
        <w:rPr>
          <w:rFonts w:ascii="Verdana" w:eastAsia="Calibri" w:hAnsi="Verdana" w:cs="Calibri"/>
          <w:lang w:eastAsia="en-ZA"/>
        </w:rPr>
      </w:pPr>
    </w:p>
    <w:p w:rsidR="00106B7F" w:rsidRDefault="00586A90" w:rsidP="00BA4EE6">
      <w:pPr>
        <w:jc w:val="both"/>
      </w:pPr>
    </w:p>
    <w:sectPr w:rsidR="00106B7F">
      <w:footerReference w:type="even" r:id="rId10"/>
      <w:footerReference w:type="defaul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A90" w:rsidRDefault="00586A90" w:rsidP="00DC6C4D">
      <w:pPr>
        <w:spacing w:after="0" w:line="240" w:lineRule="auto"/>
      </w:pPr>
      <w:r>
        <w:separator/>
      </w:r>
    </w:p>
  </w:endnote>
  <w:endnote w:type="continuationSeparator" w:id="0">
    <w:p w:rsidR="00586A90" w:rsidRDefault="00586A90" w:rsidP="00DC6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DF5" w:rsidRDefault="00FC743B">
    <w:pPr>
      <w:spacing w:after="0"/>
      <w:ind w:right="34"/>
      <w:jc w:val="right"/>
    </w:pPr>
    <w:r>
      <w:fldChar w:fldCharType="begin"/>
    </w:r>
    <w:r>
      <w:instrText xml:space="preserve"> PAGE   \* MERGEFORMAT </w:instrText>
    </w:r>
    <w:r>
      <w:fldChar w:fldCharType="separate"/>
    </w:r>
    <w:r>
      <w:rPr>
        <w:rFonts w:ascii="Times New Roman" w:eastAsia="Times New Roman" w:hAnsi="Times New Roman" w:cs="Times New Roman"/>
        <w:sz w:val="20"/>
      </w:rPr>
      <w:t>2</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DF5" w:rsidRDefault="00FC743B">
    <w:pPr>
      <w:spacing w:after="0"/>
      <w:ind w:right="34"/>
      <w:jc w:val="right"/>
    </w:pPr>
    <w:r>
      <w:fldChar w:fldCharType="begin"/>
    </w:r>
    <w:r>
      <w:instrText xml:space="preserve"> PAGE   \* MERGEFORMAT </w:instrText>
    </w:r>
    <w:r>
      <w:fldChar w:fldCharType="separate"/>
    </w:r>
    <w:r w:rsidR="002F6B2A" w:rsidRPr="002F6B2A">
      <w:rPr>
        <w:rFonts w:ascii="Times New Roman" w:eastAsia="Times New Roman" w:hAnsi="Times New Roman" w:cs="Times New Roman"/>
        <w:noProof/>
        <w:sz w:val="20"/>
      </w:rPr>
      <w:t>15</w:t>
    </w:r>
    <w:r>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DF5" w:rsidRDefault="00586A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A90" w:rsidRDefault="00586A90" w:rsidP="00DC6C4D">
      <w:pPr>
        <w:spacing w:after="0" w:line="240" w:lineRule="auto"/>
      </w:pPr>
      <w:r>
        <w:separator/>
      </w:r>
    </w:p>
  </w:footnote>
  <w:footnote w:type="continuationSeparator" w:id="0">
    <w:p w:rsidR="00586A90" w:rsidRDefault="00586A90" w:rsidP="00DC6C4D">
      <w:pPr>
        <w:spacing w:after="0" w:line="240" w:lineRule="auto"/>
      </w:pPr>
      <w:r>
        <w:continuationSeparator/>
      </w:r>
    </w:p>
  </w:footnote>
  <w:footnote w:id="1">
    <w:p w:rsidR="007575D3" w:rsidRDefault="007575D3" w:rsidP="007575D3">
      <w:pPr>
        <w:pStyle w:val="FootnoteText"/>
      </w:pPr>
      <w:r>
        <w:rPr>
          <w:rStyle w:val="FootnoteReference"/>
        </w:rPr>
        <w:footnoteRef/>
      </w:r>
      <w:r>
        <w:t xml:space="preserve">  </w:t>
      </w:r>
      <w:r>
        <w:tab/>
        <w:t xml:space="preserve">Section 17(1)(b) of the Road Accident Fund Act, 56 of 1996, as amended by Section 17(1)(A).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B4D82"/>
    <w:multiLevelType w:val="hybridMultilevel"/>
    <w:tmpl w:val="13D2A00E"/>
    <w:lvl w:ilvl="0" w:tplc="66CAA8FE">
      <w:start w:val="1"/>
      <w:numFmt w:val="decimal"/>
      <w:lvlText w:val="%1."/>
      <w:lvlJc w:val="left"/>
      <w:pPr>
        <w:ind w:left="720" w:hanging="360"/>
      </w:pPr>
      <w:rPr>
        <w:rFonts w:hint="default"/>
      </w:rPr>
    </w:lvl>
    <w:lvl w:ilvl="1" w:tplc="B19888FA">
      <w:start w:val="1"/>
      <w:numFmt w:val="lowerLetter"/>
      <w:lvlText w:val="%2."/>
      <w:lvlJc w:val="left"/>
      <w:pPr>
        <w:ind w:left="1440" w:hanging="360"/>
      </w:pPr>
    </w:lvl>
    <w:lvl w:ilvl="2" w:tplc="401A7156" w:tentative="1">
      <w:start w:val="1"/>
      <w:numFmt w:val="lowerRoman"/>
      <w:lvlText w:val="%3."/>
      <w:lvlJc w:val="right"/>
      <w:pPr>
        <w:ind w:left="2160" w:hanging="180"/>
      </w:pPr>
    </w:lvl>
    <w:lvl w:ilvl="3" w:tplc="6372A730" w:tentative="1">
      <w:start w:val="1"/>
      <w:numFmt w:val="decimal"/>
      <w:lvlText w:val="%4."/>
      <w:lvlJc w:val="left"/>
      <w:pPr>
        <w:ind w:left="2880" w:hanging="360"/>
      </w:pPr>
    </w:lvl>
    <w:lvl w:ilvl="4" w:tplc="793EAF4C" w:tentative="1">
      <w:start w:val="1"/>
      <w:numFmt w:val="lowerLetter"/>
      <w:lvlText w:val="%5."/>
      <w:lvlJc w:val="left"/>
      <w:pPr>
        <w:ind w:left="3600" w:hanging="360"/>
      </w:pPr>
    </w:lvl>
    <w:lvl w:ilvl="5" w:tplc="837A4E14" w:tentative="1">
      <w:start w:val="1"/>
      <w:numFmt w:val="lowerRoman"/>
      <w:lvlText w:val="%6."/>
      <w:lvlJc w:val="right"/>
      <w:pPr>
        <w:ind w:left="4320" w:hanging="180"/>
      </w:pPr>
    </w:lvl>
    <w:lvl w:ilvl="6" w:tplc="D30AB95C" w:tentative="1">
      <w:start w:val="1"/>
      <w:numFmt w:val="decimal"/>
      <w:lvlText w:val="%7."/>
      <w:lvlJc w:val="left"/>
      <w:pPr>
        <w:ind w:left="5040" w:hanging="360"/>
      </w:pPr>
    </w:lvl>
    <w:lvl w:ilvl="7" w:tplc="A77269C0" w:tentative="1">
      <w:start w:val="1"/>
      <w:numFmt w:val="lowerLetter"/>
      <w:lvlText w:val="%8."/>
      <w:lvlJc w:val="left"/>
      <w:pPr>
        <w:ind w:left="5760" w:hanging="360"/>
      </w:pPr>
    </w:lvl>
    <w:lvl w:ilvl="8" w:tplc="51243F76" w:tentative="1">
      <w:start w:val="1"/>
      <w:numFmt w:val="lowerRoman"/>
      <w:lvlText w:val="%9."/>
      <w:lvlJc w:val="right"/>
      <w:pPr>
        <w:ind w:left="6480" w:hanging="180"/>
      </w:pPr>
    </w:lvl>
  </w:abstractNum>
  <w:abstractNum w:abstractNumId="1">
    <w:nsid w:val="227A53CA"/>
    <w:multiLevelType w:val="hybridMultilevel"/>
    <w:tmpl w:val="1A80E258"/>
    <w:lvl w:ilvl="0" w:tplc="1C09000F">
      <w:start w:val="4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7CD1951"/>
    <w:multiLevelType w:val="hybridMultilevel"/>
    <w:tmpl w:val="AD1ECFE8"/>
    <w:lvl w:ilvl="0" w:tplc="328ECEA2">
      <w:start w:val="1"/>
      <w:numFmt w:val="decimal"/>
      <w:lvlText w:val="(%1)"/>
      <w:lvlJc w:val="left"/>
      <w:pPr>
        <w:ind w:left="720" w:hanging="360"/>
      </w:pPr>
      <w:rPr>
        <w:rFonts w:hint="default"/>
      </w:rPr>
    </w:lvl>
    <w:lvl w:ilvl="1" w:tplc="D16C99C4" w:tentative="1">
      <w:start w:val="1"/>
      <w:numFmt w:val="lowerLetter"/>
      <w:lvlText w:val="%2."/>
      <w:lvlJc w:val="left"/>
      <w:pPr>
        <w:ind w:left="1440" w:hanging="360"/>
      </w:pPr>
    </w:lvl>
    <w:lvl w:ilvl="2" w:tplc="9AFA02E2" w:tentative="1">
      <w:start w:val="1"/>
      <w:numFmt w:val="lowerRoman"/>
      <w:lvlText w:val="%3."/>
      <w:lvlJc w:val="right"/>
      <w:pPr>
        <w:ind w:left="2160" w:hanging="180"/>
      </w:pPr>
    </w:lvl>
    <w:lvl w:ilvl="3" w:tplc="02BC21DA" w:tentative="1">
      <w:start w:val="1"/>
      <w:numFmt w:val="decimal"/>
      <w:lvlText w:val="%4."/>
      <w:lvlJc w:val="left"/>
      <w:pPr>
        <w:ind w:left="2880" w:hanging="360"/>
      </w:pPr>
    </w:lvl>
    <w:lvl w:ilvl="4" w:tplc="F334DD04" w:tentative="1">
      <w:start w:val="1"/>
      <w:numFmt w:val="lowerLetter"/>
      <w:lvlText w:val="%5."/>
      <w:lvlJc w:val="left"/>
      <w:pPr>
        <w:ind w:left="3600" w:hanging="360"/>
      </w:pPr>
    </w:lvl>
    <w:lvl w:ilvl="5" w:tplc="A61023F4" w:tentative="1">
      <w:start w:val="1"/>
      <w:numFmt w:val="lowerRoman"/>
      <w:lvlText w:val="%6."/>
      <w:lvlJc w:val="right"/>
      <w:pPr>
        <w:ind w:left="4320" w:hanging="180"/>
      </w:pPr>
    </w:lvl>
    <w:lvl w:ilvl="6" w:tplc="98EC1EDC" w:tentative="1">
      <w:start w:val="1"/>
      <w:numFmt w:val="decimal"/>
      <w:lvlText w:val="%7."/>
      <w:lvlJc w:val="left"/>
      <w:pPr>
        <w:ind w:left="5040" w:hanging="360"/>
      </w:pPr>
    </w:lvl>
    <w:lvl w:ilvl="7" w:tplc="1E307282" w:tentative="1">
      <w:start w:val="1"/>
      <w:numFmt w:val="lowerLetter"/>
      <w:lvlText w:val="%8."/>
      <w:lvlJc w:val="left"/>
      <w:pPr>
        <w:ind w:left="5760" w:hanging="360"/>
      </w:pPr>
    </w:lvl>
    <w:lvl w:ilvl="8" w:tplc="727EE12A" w:tentative="1">
      <w:start w:val="1"/>
      <w:numFmt w:val="lowerRoman"/>
      <w:lvlText w:val="%9."/>
      <w:lvlJc w:val="right"/>
      <w:pPr>
        <w:ind w:left="6480" w:hanging="180"/>
      </w:pPr>
    </w:lvl>
  </w:abstractNum>
  <w:abstractNum w:abstractNumId="3">
    <w:nsid w:val="58190929"/>
    <w:multiLevelType w:val="hybridMultilevel"/>
    <w:tmpl w:val="7BD416DC"/>
    <w:lvl w:ilvl="0" w:tplc="F9BE8114">
      <w:start w:val="38"/>
      <w:numFmt w:val="decimal"/>
      <w:lvlText w:val="%1."/>
      <w:lvlJc w:val="left"/>
      <w:pPr>
        <w:ind w:left="720" w:hanging="360"/>
      </w:pPr>
      <w:rPr>
        <w:rFonts w:hint="default"/>
      </w:rPr>
    </w:lvl>
    <w:lvl w:ilvl="1" w:tplc="3AEA880E">
      <w:start w:val="1"/>
      <w:numFmt w:val="lowerLetter"/>
      <w:lvlText w:val="%2."/>
      <w:lvlJc w:val="left"/>
      <w:pPr>
        <w:ind w:left="1440" w:hanging="360"/>
      </w:pPr>
    </w:lvl>
    <w:lvl w:ilvl="2" w:tplc="0EBA3FD4" w:tentative="1">
      <w:start w:val="1"/>
      <w:numFmt w:val="lowerRoman"/>
      <w:lvlText w:val="%3."/>
      <w:lvlJc w:val="right"/>
      <w:pPr>
        <w:ind w:left="2160" w:hanging="180"/>
      </w:pPr>
    </w:lvl>
    <w:lvl w:ilvl="3" w:tplc="0E982C98" w:tentative="1">
      <w:start w:val="1"/>
      <w:numFmt w:val="decimal"/>
      <w:lvlText w:val="%4."/>
      <w:lvlJc w:val="left"/>
      <w:pPr>
        <w:ind w:left="2880" w:hanging="360"/>
      </w:pPr>
    </w:lvl>
    <w:lvl w:ilvl="4" w:tplc="0BFE567A" w:tentative="1">
      <w:start w:val="1"/>
      <w:numFmt w:val="lowerLetter"/>
      <w:lvlText w:val="%5."/>
      <w:lvlJc w:val="left"/>
      <w:pPr>
        <w:ind w:left="3600" w:hanging="360"/>
      </w:pPr>
    </w:lvl>
    <w:lvl w:ilvl="5" w:tplc="FD92654A" w:tentative="1">
      <w:start w:val="1"/>
      <w:numFmt w:val="lowerRoman"/>
      <w:lvlText w:val="%6."/>
      <w:lvlJc w:val="right"/>
      <w:pPr>
        <w:ind w:left="4320" w:hanging="180"/>
      </w:pPr>
    </w:lvl>
    <w:lvl w:ilvl="6" w:tplc="387A202A" w:tentative="1">
      <w:start w:val="1"/>
      <w:numFmt w:val="decimal"/>
      <w:lvlText w:val="%7."/>
      <w:lvlJc w:val="left"/>
      <w:pPr>
        <w:ind w:left="5040" w:hanging="360"/>
      </w:pPr>
    </w:lvl>
    <w:lvl w:ilvl="7" w:tplc="421EEEC0" w:tentative="1">
      <w:start w:val="1"/>
      <w:numFmt w:val="lowerLetter"/>
      <w:lvlText w:val="%8."/>
      <w:lvlJc w:val="left"/>
      <w:pPr>
        <w:ind w:left="5760" w:hanging="360"/>
      </w:pPr>
    </w:lvl>
    <w:lvl w:ilvl="8" w:tplc="FE42E310"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4D"/>
    <w:rsid w:val="002F6B2A"/>
    <w:rsid w:val="003633E8"/>
    <w:rsid w:val="00446C9B"/>
    <w:rsid w:val="00586A90"/>
    <w:rsid w:val="007575D3"/>
    <w:rsid w:val="0076205E"/>
    <w:rsid w:val="00815E10"/>
    <w:rsid w:val="00967416"/>
    <w:rsid w:val="00A94CD1"/>
    <w:rsid w:val="00B17456"/>
    <w:rsid w:val="00B81DA1"/>
    <w:rsid w:val="00BA4EE6"/>
    <w:rsid w:val="00C55AC3"/>
    <w:rsid w:val="00CE6B56"/>
    <w:rsid w:val="00DC6C4D"/>
    <w:rsid w:val="00DD6583"/>
    <w:rsid w:val="00DE482E"/>
    <w:rsid w:val="00E70A53"/>
    <w:rsid w:val="00F07620"/>
    <w:rsid w:val="00FC743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23A0E-615A-4A8E-9584-79FBD73E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DC6C4D"/>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0">
    <w:name w:val="TableGrid"/>
    <w:rsid w:val="00DC6C4D"/>
    <w:pPr>
      <w:spacing w:after="0" w:line="240" w:lineRule="auto"/>
    </w:pPr>
    <w:rPr>
      <w:rFonts w:eastAsia="Times New Roman"/>
      <w:lang w:eastAsia="en-ZA"/>
    </w:rPr>
    <w:tblPr>
      <w:tblCellMar>
        <w:top w:w="0" w:type="dxa"/>
        <w:left w:w="0" w:type="dxa"/>
        <w:bottom w:w="0" w:type="dxa"/>
        <w:right w:w="0" w:type="dxa"/>
      </w:tblCellMar>
    </w:tblPr>
  </w:style>
  <w:style w:type="paragraph" w:styleId="FootnoteText">
    <w:name w:val="footnote text"/>
    <w:basedOn w:val="Normal"/>
    <w:link w:val="FootnoteTextChar"/>
    <w:uiPriority w:val="99"/>
    <w:unhideWhenUsed/>
    <w:rsid w:val="00DC6C4D"/>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DC6C4D"/>
    <w:rPr>
      <w:rFonts w:ascii="Times New Roman" w:eastAsia="Times New Roman" w:hAnsi="Times New Roman" w:cs="Times New Roman"/>
      <w:sz w:val="20"/>
      <w:szCs w:val="20"/>
      <w:lang w:val="en-US"/>
    </w:rPr>
  </w:style>
  <w:style w:type="character" w:styleId="FootnoteReference">
    <w:name w:val="footnote reference"/>
    <w:uiPriority w:val="99"/>
    <w:unhideWhenUsed/>
    <w:rsid w:val="00DC6C4D"/>
    <w:rPr>
      <w:vertAlign w:val="superscript"/>
    </w:rPr>
  </w:style>
  <w:style w:type="character" w:styleId="CommentReference">
    <w:name w:val="annotation reference"/>
    <w:basedOn w:val="DefaultParagraphFont"/>
    <w:uiPriority w:val="99"/>
    <w:semiHidden/>
    <w:unhideWhenUsed/>
    <w:rsid w:val="00DC6C4D"/>
    <w:rPr>
      <w:sz w:val="16"/>
      <w:szCs w:val="16"/>
    </w:rPr>
  </w:style>
  <w:style w:type="paragraph" w:customStyle="1" w:styleId="CommentText1">
    <w:name w:val="Comment Text1"/>
    <w:basedOn w:val="Normal"/>
    <w:next w:val="CommentText"/>
    <w:link w:val="CommentTextChar"/>
    <w:uiPriority w:val="99"/>
    <w:semiHidden/>
    <w:unhideWhenUsed/>
    <w:rsid w:val="00DC6C4D"/>
    <w:pPr>
      <w:spacing w:line="240" w:lineRule="auto"/>
    </w:pPr>
    <w:rPr>
      <w:sz w:val="20"/>
      <w:szCs w:val="20"/>
    </w:rPr>
  </w:style>
  <w:style w:type="character" w:customStyle="1" w:styleId="CommentTextChar">
    <w:name w:val="Comment Text Char"/>
    <w:basedOn w:val="DefaultParagraphFont"/>
    <w:link w:val="CommentText1"/>
    <w:uiPriority w:val="99"/>
    <w:semiHidden/>
    <w:rsid w:val="00DC6C4D"/>
    <w:rPr>
      <w:sz w:val="20"/>
      <w:szCs w:val="20"/>
    </w:rPr>
  </w:style>
  <w:style w:type="table" w:styleId="TableGrid">
    <w:name w:val="Table Grid"/>
    <w:basedOn w:val="TableNormal"/>
    <w:uiPriority w:val="39"/>
    <w:rsid w:val="00DC6C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semiHidden/>
    <w:unhideWhenUsed/>
    <w:rsid w:val="00DC6C4D"/>
    <w:pPr>
      <w:spacing w:line="240" w:lineRule="auto"/>
    </w:pPr>
    <w:rPr>
      <w:sz w:val="20"/>
      <w:szCs w:val="20"/>
    </w:rPr>
  </w:style>
  <w:style w:type="character" w:customStyle="1" w:styleId="CommentTextChar1">
    <w:name w:val="Comment Text Char1"/>
    <w:basedOn w:val="DefaultParagraphFont"/>
    <w:link w:val="CommentText"/>
    <w:uiPriority w:val="99"/>
    <w:semiHidden/>
    <w:rsid w:val="00DC6C4D"/>
    <w:rPr>
      <w:sz w:val="20"/>
      <w:szCs w:val="20"/>
    </w:rPr>
  </w:style>
  <w:style w:type="paragraph" w:styleId="BalloonText">
    <w:name w:val="Balloon Text"/>
    <w:basedOn w:val="Normal"/>
    <w:link w:val="BalloonTextChar"/>
    <w:uiPriority w:val="99"/>
    <w:semiHidden/>
    <w:unhideWhenUsed/>
    <w:rsid w:val="00DC6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C4D"/>
    <w:rPr>
      <w:rFonts w:ascii="Segoe UI" w:hAnsi="Segoe UI" w:cs="Segoe UI"/>
      <w:sz w:val="18"/>
      <w:szCs w:val="18"/>
    </w:rPr>
  </w:style>
  <w:style w:type="paragraph" w:styleId="ListParagraph">
    <w:name w:val="List Paragraph"/>
    <w:basedOn w:val="Normal"/>
    <w:uiPriority w:val="34"/>
    <w:qFormat/>
    <w:rsid w:val="00DE4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02A3.6AE5447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3442</Words>
  <Characters>19624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Molusi</dc:creator>
  <cp:keywords/>
  <dc:description/>
  <cp:lastModifiedBy>Mokone</cp:lastModifiedBy>
  <cp:revision>3</cp:revision>
  <cp:lastPrinted>2023-06-05T12:53:00Z</cp:lastPrinted>
  <dcterms:created xsi:type="dcterms:W3CDTF">2023-06-09T10:43:00Z</dcterms:created>
  <dcterms:modified xsi:type="dcterms:W3CDTF">2023-06-09T10:47:00Z</dcterms:modified>
</cp:coreProperties>
</file>