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29CE232F"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64287A32" w14:textId="77777777" w:rsidR="00430FBA" w:rsidRPr="008E6813" w:rsidRDefault="00430FBA"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tblGrid>
      <w:tr w:rsidR="00C519B2" w:rsidRPr="004164F3" w14:paraId="7564B942" w14:textId="77777777" w:rsidTr="00430FBA">
        <w:trPr>
          <w:trHeight w:val="2003"/>
        </w:trPr>
        <w:tc>
          <w:tcPr>
            <w:tcW w:w="4140"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EE5F15">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EE5F15">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EE5F15">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EE5F15">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2C63AE5" w14:textId="6F63E858" w:rsidR="00430FBA" w:rsidRDefault="00C519B2" w:rsidP="00430FB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430FBA">
              <w:rPr>
                <w:rFonts w:ascii="Arial Unicode MS" w:eastAsia="Arial Unicode MS" w:hAnsi="Arial Unicode MS" w:cs="Arial Unicode MS"/>
                <w:sz w:val="16"/>
                <w:szCs w:val="16"/>
              </w:rPr>
              <w:t xml:space="preserve"> </w:t>
            </w:r>
            <w:r w:rsidR="00A70D05" w:rsidRPr="00A70D05">
              <w:rPr>
                <w:rFonts w:ascii="Arial Unicode MS" w:eastAsia="Arial Unicode MS" w:hAnsi="Arial Unicode MS" w:cs="Arial Unicode MS"/>
                <w:b/>
                <w:bCs/>
                <w:sz w:val="16"/>
                <w:szCs w:val="16"/>
              </w:rPr>
              <w:t>2</w:t>
            </w:r>
            <w:r w:rsidR="00EE5F15" w:rsidRPr="00A70D05">
              <w:rPr>
                <w:rFonts w:ascii="Arial Unicode MS" w:eastAsia="Arial Unicode MS" w:hAnsi="Arial Unicode MS" w:cs="Arial Unicode MS"/>
                <w:b/>
                <w:bCs/>
                <w:sz w:val="16"/>
                <w:szCs w:val="16"/>
              </w:rPr>
              <w:t xml:space="preserve"> </w:t>
            </w:r>
            <w:r w:rsidR="00E92C01" w:rsidRPr="00A70D05">
              <w:rPr>
                <w:rFonts w:ascii="Arial Unicode MS" w:eastAsia="Arial Unicode MS" w:hAnsi="Arial Unicode MS" w:cs="Arial Unicode MS"/>
                <w:b/>
                <w:bCs/>
                <w:sz w:val="16"/>
                <w:szCs w:val="16"/>
              </w:rPr>
              <w:t>June</w:t>
            </w:r>
            <w:r w:rsidR="00430FBA" w:rsidRPr="00A70D05">
              <w:rPr>
                <w:rFonts w:ascii="Arial Unicode MS" w:eastAsia="Arial Unicode MS" w:hAnsi="Arial Unicode MS" w:cs="Arial Unicode MS"/>
                <w:b/>
                <w:bCs/>
                <w:sz w:val="16"/>
                <w:szCs w:val="16"/>
              </w:rPr>
              <w:t xml:space="preserve"> 2023</w:t>
            </w:r>
            <w:r w:rsidR="00430FBA">
              <w:rPr>
                <w:rFonts w:ascii="Arial Unicode MS" w:eastAsia="Arial Unicode MS" w:hAnsi="Arial Unicode MS" w:cs="Arial Unicode MS"/>
                <w:sz w:val="16"/>
                <w:szCs w:val="16"/>
              </w:rPr>
              <w:t xml:space="preserve"> </w:t>
            </w:r>
          </w:p>
          <w:p w14:paraId="773CDFDB" w14:textId="59D6DC17" w:rsidR="00C519B2" w:rsidRPr="004164F3" w:rsidRDefault="00C519B2" w:rsidP="00430FB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4A1AC5B6"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996BD7">
        <w:rPr>
          <w:rFonts w:cs="Arial"/>
          <w:b/>
          <w:bCs/>
          <w:sz w:val="24"/>
          <w:szCs w:val="24"/>
        </w:rPr>
        <w:t>B21</w:t>
      </w:r>
      <w:r w:rsidR="00BF309F">
        <w:rPr>
          <w:rFonts w:cs="Arial"/>
          <w:b/>
          <w:bCs/>
          <w:sz w:val="24"/>
          <w:szCs w:val="24"/>
        </w:rPr>
        <w:t>50/2023</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B50E11" w:rsidRPr="0031449E" w14:paraId="22698168" w14:textId="77777777" w:rsidTr="001D7244">
        <w:trPr>
          <w:gridAfter w:val="1"/>
          <w:wAfter w:w="66" w:type="dxa"/>
        </w:trPr>
        <w:tc>
          <w:tcPr>
            <w:tcW w:w="548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1D7244">
        <w:trPr>
          <w:gridAfter w:val="1"/>
          <w:wAfter w:w="66" w:type="dxa"/>
          <w:trHeight w:val="1045"/>
        </w:trPr>
        <w:tc>
          <w:tcPr>
            <w:tcW w:w="5485"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0F06DD53" w:rsidR="00BF309F" w:rsidRPr="006E3F51" w:rsidRDefault="00BF309F" w:rsidP="00F635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rPr>
            </w:pPr>
            <w:r>
              <w:rPr>
                <w:rFonts w:cs="Arial"/>
                <w:b/>
                <w:bCs/>
                <w:sz w:val="24"/>
                <w:szCs w:val="24"/>
              </w:rPr>
              <w:t>MEMBER OF THE EXECUTIVE COMMITTEE: HEALTH</w:t>
            </w:r>
            <w:r w:rsidR="00F63597">
              <w:rPr>
                <w:rFonts w:cs="Arial"/>
                <w:b/>
                <w:bCs/>
                <w:sz w:val="24"/>
                <w:szCs w:val="24"/>
              </w:rPr>
              <w:t xml:space="preserve"> - </w:t>
            </w:r>
            <w:r>
              <w:rPr>
                <w:rFonts w:cs="Arial"/>
                <w:b/>
                <w:bCs/>
                <w:sz w:val="24"/>
                <w:szCs w:val="24"/>
              </w:rPr>
              <w:t>LIMPOPO PROVINCIAL GOVER</w:t>
            </w:r>
            <w:r w:rsidR="00F63597">
              <w:rPr>
                <w:rFonts w:cs="Arial"/>
                <w:b/>
                <w:bCs/>
                <w:sz w:val="24"/>
                <w:szCs w:val="24"/>
              </w:rPr>
              <w:t>N</w:t>
            </w:r>
            <w:r>
              <w:rPr>
                <w:rFonts w:cs="Arial"/>
                <w:b/>
                <w:bCs/>
                <w:sz w:val="24"/>
                <w:szCs w:val="24"/>
              </w:rPr>
              <w:t>MENT</w:t>
            </w:r>
          </w:p>
        </w:tc>
        <w:tc>
          <w:tcPr>
            <w:tcW w:w="4078"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19AC4448"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w:t>
            </w:r>
            <w:r w:rsidR="00A518CC">
              <w:rPr>
                <w:rFonts w:cs="Arial"/>
                <w:b/>
                <w:sz w:val="24"/>
                <w:szCs w:val="24"/>
              </w:rPr>
              <w:t>LICANT</w:t>
            </w:r>
          </w:p>
        </w:tc>
      </w:tr>
      <w:tr w:rsidR="00B50E11" w:rsidRPr="0031449E" w14:paraId="2DE3831D" w14:textId="77777777" w:rsidTr="001D7244">
        <w:trPr>
          <w:gridAfter w:val="1"/>
          <w:wAfter w:w="66" w:type="dxa"/>
        </w:trPr>
        <w:tc>
          <w:tcPr>
            <w:tcW w:w="5485"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078"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1D7244">
        <w:trPr>
          <w:gridAfter w:val="1"/>
          <w:wAfter w:w="66" w:type="dxa"/>
        </w:trPr>
        <w:tc>
          <w:tcPr>
            <w:tcW w:w="5485"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27F08FD3" w14:textId="5BAC514F" w:rsidR="00BF309F" w:rsidRDefault="00BF309F" w:rsidP="00F635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rPr>
                <w:rFonts w:cs="Arial"/>
                <w:b/>
                <w:bCs/>
                <w:sz w:val="24"/>
                <w:szCs w:val="24"/>
                <w:lang w:val="de-DE"/>
              </w:rPr>
            </w:pPr>
            <w:r>
              <w:rPr>
                <w:rFonts w:cs="Arial"/>
                <w:b/>
                <w:bCs/>
                <w:sz w:val="24"/>
                <w:szCs w:val="24"/>
                <w:lang w:val="de-DE"/>
              </w:rPr>
              <w:t>HEALTH PROFESSIONS COUNCIL</w:t>
            </w:r>
            <w:r w:rsidR="00F63597">
              <w:rPr>
                <w:rFonts w:cs="Arial"/>
                <w:b/>
                <w:bCs/>
                <w:sz w:val="24"/>
                <w:szCs w:val="24"/>
                <w:lang w:val="de-DE"/>
              </w:rPr>
              <w:t xml:space="preserve"> OF</w:t>
            </w:r>
          </w:p>
          <w:p w14:paraId="480DF639" w14:textId="2CDDD832" w:rsidR="001F07DD" w:rsidRDefault="00BF309F" w:rsidP="00F635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rPr>
                <w:rFonts w:cs="Arial"/>
                <w:b/>
                <w:bCs/>
                <w:sz w:val="24"/>
                <w:szCs w:val="24"/>
                <w:lang w:val="de-DE"/>
              </w:rPr>
            </w:pPr>
            <w:r>
              <w:rPr>
                <w:rFonts w:cs="Arial"/>
                <w:b/>
                <w:bCs/>
                <w:sz w:val="24"/>
                <w:szCs w:val="24"/>
                <w:lang w:val="de-DE"/>
              </w:rPr>
              <w:t>SOUTH AFRICA</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78"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1D7244">
        <w:trPr>
          <w:gridAfter w:val="1"/>
          <w:wAfter w:w="66" w:type="dxa"/>
        </w:trPr>
        <w:tc>
          <w:tcPr>
            <w:tcW w:w="5485"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6D1D78A4" w:rsidR="0027008F" w:rsidRDefault="00BF309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DR T PINKOANE N.O</w:t>
            </w:r>
          </w:p>
        </w:tc>
        <w:tc>
          <w:tcPr>
            <w:tcW w:w="4078"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1D7244" w:rsidRPr="00217B1F" w14:paraId="0BE69F19" w14:textId="77777777" w:rsidTr="001D7244">
        <w:trPr>
          <w:trHeight w:val="1045"/>
        </w:trPr>
        <w:tc>
          <w:tcPr>
            <w:tcW w:w="9629" w:type="dxa"/>
            <w:gridSpan w:val="3"/>
          </w:tcPr>
          <w:p w14:paraId="0CA1B4FB" w14:textId="2C62A18D" w:rsidR="001D7244" w:rsidRDefault="001D7244" w:rsidP="008E6813">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3B475A27" w14:textId="77777777" w:rsidR="00BE1D55" w:rsidRPr="00217B1F" w:rsidRDefault="00BE1D55"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7424"/>
            </w:tblGrid>
            <w:tr w:rsidR="001D7244" w14:paraId="0E758531" w14:textId="77777777" w:rsidTr="00A518CC">
              <w:tc>
                <w:tcPr>
                  <w:tcW w:w="1879" w:type="dxa"/>
                </w:tcPr>
                <w:p w14:paraId="32A8A6B9"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cs="Arial"/>
                      <w:b/>
                      <w:bCs/>
                      <w:sz w:val="24"/>
                      <w:szCs w:val="24"/>
                    </w:rPr>
                  </w:pPr>
                  <w:r w:rsidRPr="00217B1F">
                    <w:rPr>
                      <w:rFonts w:eastAsia="Times New Roman" w:cs="Arial"/>
                      <w:b/>
                      <w:bCs/>
                      <w:sz w:val="24"/>
                      <w:szCs w:val="24"/>
                      <w:lang w:val="en-ZA"/>
                    </w:rPr>
                    <w:t>Coram:</w:t>
                  </w:r>
                  <w:r w:rsidRPr="00217B1F">
                    <w:rPr>
                      <w:rFonts w:eastAsia="Times New Roman" w:cs="Arial"/>
                      <w:sz w:val="24"/>
                      <w:szCs w:val="24"/>
                      <w:lang w:val="en-ZA"/>
                    </w:rPr>
                    <w:t>          </w:t>
                  </w:r>
                </w:p>
              </w:tc>
              <w:tc>
                <w:tcPr>
                  <w:tcW w:w="7424" w:type="dxa"/>
                </w:tcPr>
                <w:p w14:paraId="0B10E120" w14:textId="239E9D4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w:t>
                  </w:r>
                  <w:r w:rsidR="006E3F51">
                    <w:rPr>
                      <w:rFonts w:ascii="Arial" w:eastAsia="Times New Roman" w:hAnsi="Arial" w:cs="Arial"/>
                      <w:color w:val="000000"/>
                      <w:sz w:val="24"/>
                      <w:szCs w:val="24"/>
                      <w:lang w:val="en-ZA"/>
                    </w:rPr>
                    <w:t xml:space="preserve">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A518CC">
              <w:tc>
                <w:tcPr>
                  <w:tcW w:w="1879" w:type="dxa"/>
                </w:tcPr>
                <w:p w14:paraId="4D835109"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lastRenderedPageBreak/>
                    <w:t>Heard on</w:t>
                  </w:r>
                  <w:r w:rsidRPr="00217B1F">
                    <w:rPr>
                      <w:rFonts w:eastAsia="Times New Roman" w:cs="Arial"/>
                      <w:sz w:val="24"/>
                      <w:szCs w:val="24"/>
                      <w:lang w:val="en-ZA"/>
                    </w:rPr>
                    <w:t>:      </w:t>
                  </w:r>
                </w:p>
              </w:tc>
              <w:tc>
                <w:tcPr>
                  <w:tcW w:w="7424" w:type="dxa"/>
                </w:tcPr>
                <w:p w14:paraId="41C8B4DD" w14:textId="75CC5E27" w:rsidR="001D7244" w:rsidRPr="00217B1F" w:rsidRDefault="004116B0"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30</w:t>
                  </w:r>
                  <w:r w:rsidR="006E3F51">
                    <w:rPr>
                      <w:rFonts w:ascii="Arial" w:eastAsia="Times New Roman" w:hAnsi="Arial" w:cs="Arial"/>
                      <w:color w:val="000000"/>
                      <w:sz w:val="24"/>
                      <w:szCs w:val="24"/>
                      <w:lang w:val="en-ZA"/>
                    </w:rPr>
                    <w:t xml:space="preserve"> </w:t>
                  </w:r>
                  <w:r w:rsidR="00A518CC">
                    <w:rPr>
                      <w:rFonts w:ascii="Arial" w:eastAsia="Times New Roman" w:hAnsi="Arial" w:cs="Arial"/>
                      <w:color w:val="000000"/>
                      <w:sz w:val="24"/>
                      <w:szCs w:val="24"/>
                      <w:lang w:val="en-ZA"/>
                    </w:rPr>
                    <w:t>May</w:t>
                  </w:r>
                  <w:r w:rsidR="006E3F51">
                    <w:rPr>
                      <w:rFonts w:ascii="Arial" w:eastAsia="Times New Roman" w:hAnsi="Arial" w:cs="Arial"/>
                      <w:color w:val="000000"/>
                      <w:sz w:val="24"/>
                      <w:szCs w:val="24"/>
                      <w:lang w:val="en-ZA"/>
                    </w:rPr>
                    <w:t xml:space="preserve"> 2023</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A518CC">
              <w:tc>
                <w:tcPr>
                  <w:tcW w:w="1879" w:type="dxa"/>
                </w:tcPr>
                <w:p w14:paraId="34D50450"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Delivered:</w:t>
                  </w:r>
                  <w:r>
                    <w:rPr>
                      <w:rFonts w:eastAsia="Times New Roman" w:cs="Arial"/>
                      <w:b/>
                      <w:bCs/>
                      <w:sz w:val="24"/>
                      <w:szCs w:val="24"/>
                      <w:lang w:val="en-ZA"/>
                    </w:rPr>
                    <w:t xml:space="preserve">   </w:t>
                  </w:r>
                </w:p>
              </w:tc>
              <w:tc>
                <w:tcPr>
                  <w:tcW w:w="7424" w:type="dxa"/>
                </w:tcPr>
                <w:p w14:paraId="6B1352D7" w14:textId="615E0610" w:rsidR="001D7244" w:rsidRPr="00217B1F" w:rsidRDefault="00A70D05" w:rsidP="008E681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w:t>
                  </w:r>
                  <w:r w:rsidR="006E3F51">
                    <w:rPr>
                      <w:rFonts w:ascii="Arial" w:eastAsia="Times New Roman" w:hAnsi="Arial" w:cs="Arial"/>
                      <w:color w:val="000000"/>
                      <w:sz w:val="24"/>
                      <w:szCs w:val="24"/>
                      <w:lang w:val="en-ZA"/>
                    </w:rPr>
                    <w:t xml:space="preserve"> </w:t>
                  </w:r>
                  <w:r w:rsidR="004116B0">
                    <w:rPr>
                      <w:rFonts w:ascii="Arial" w:eastAsia="Times New Roman" w:hAnsi="Arial" w:cs="Arial"/>
                      <w:color w:val="000000"/>
                      <w:sz w:val="24"/>
                      <w:szCs w:val="24"/>
                      <w:lang w:val="en-ZA"/>
                    </w:rPr>
                    <w:t>June</w:t>
                  </w:r>
                  <w:r w:rsidR="001D7244" w:rsidRPr="00217B1F">
                    <w:rPr>
                      <w:rFonts w:ascii="Arial" w:eastAsia="Times New Roman" w:hAnsi="Arial" w:cs="Arial"/>
                      <w:color w:val="000000"/>
                      <w:sz w:val="24"/>
                      <w:szCs w:val="24"/>
                      <w:lang w:val="en-ZA"/>
                    </w:rPr>
                    <w:t xml:space="preserve"> 202</w:t>
                  </w:r>
                  <w:r w:rsidR="006E3F51">
                    <w:rPr>
                      <w:rFonts w:ascii="Arial" w:eastAsia="Times New Roman" w:hAnsi="Arial" w:cs="Arial"/>
                      <w:color w:val="000000"/>
                      <w:sz w:val="24"/>
                      <w:szCs w:val="24"/>
                      <w:lang w:val="en-ZA"/>
                    </w:rPr>
                    <w:t>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sidR="00762969">
                    <w:rPr>
                      <w:rFonts w:ascii="Arial" w:eastAsia="Times New Roman" w:hAnsi="Arial" w:cs="Arial"/>
                      <w:color w:val="000000"/>
                      <w:sz w:val="24"/>
                      <w:szCs w:val="24"/>
                      <w:lang w:val="en-ZA"/>
                    </w:rPr>
                    <w:t>10</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2</w:t>
                  </w:r>
                  <w:r w:rsidR="001D7244">
                    <w:rPr>
                      <w:rFonts w:ascii="Arial" w:eastAsia="Times New Roman" w:hAnsi="Arial" w:cs="Arial"/>
                      <w:color w:val="000000"/>
                      <w:sz w:val="24"/>
                      <w:szCs w:val="24"/>
                      <w:lang w:val="en-ZA"/>
                    </w:rPr>
                    <w:t xml:space="preserve"> </w:t>
                  </w:r>
                  <w:r w:rsidR="004116B0">
                    <w:rPr>
                      <w:rFonts w:ascii="Arial" w:eastAsia="Times New Roman" w:hAnsi="Arial" w:cs="Arial"/>
                      <w:color w:val="000000"/>
                      <w:sz w:val="24"/>
                      <w:szCs w:val="24"/>
                      <w:lang w:val="en-ZA"/>
                    </w:rPr>
                    <w:t>June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6E3F51">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w:t>
                  </w:r>
                </w:p>
                <w:p w14:paraId="5F5E03E1"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393A505" w14:textId="77777777" w:rsidTr="00A518CC">
              <w:tc>
                <w:tcPr>
                  <w:tcW w:w="1879" w:type="dxa"/>
                </w:tcPr>
                <w:p w14:paraId="6E105F9A"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Summary:      </w:t>
                  </w:r>
                </w:p>
              </w:tc>
              <w:tc>
                <w:tcPr>
                  <w:tcW w:w="7424" w:type="dxa"/>
                </w:tcPr>
                <w:p w14:paraId="05309368" w14:textId="35B22B52" w:rsidR="001D7244" w:rsidRPr="002518C4" w:rsidRDefault="00167545"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Application for an interim interdict </w:t>
                  </w:r>
                  <w:r w:rsidR="00AF5339">
                    <w:rPr>
                      <w:rFonts w:cs="Arial"/>
                      <w:sz w:val="24"/>
                      <w:szCs w:val="24"/>
                    </w:rPr>
                    <w:t xml:space="preserve">pending review </w:t>
                  </w:r>
                  <w:r>
                    <w:rPr>
                      <w:rFonts w:cs="Arial"/>
                      <w:sz w:val="24"/>
                      <w:szCs w:val="24"/>
                    </w:rPr>
                    <w:t xml:space="preserve">against the holding of an </w:t>
                  </w:r>
                  <w:r w:rsidR="00AF5339">
                    <w:rPr>
                      <w:rFonts w:cs="Arial"/>
                      <w:sz w:val="24"/>
                      <w:szCs w:val="24"/>
                    </w:rPr>
                    <w:t>inquiry into allegations of professional misconduct – attempt to draw distinction between applicants status as MEC for Health and medical practitioner to obviate jurisdiction of professional body  contrived and self-serving – all defences available to applicant may be raised at the inquiry – application dismissed with costs</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3"/>
          </w:tcPr>
          <w:p w14:paraId="73B42692" w14:textId="5FFE033E" w:rsidR="00457AA7" w:rsidRPr="00457AA7" w:rsidRDefault="001D7244" w:rsidP="00457AA7">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lastRenderedPageBreak/>
              <w:t>ORDER</w:t>
            </w:r>
          </w:p>
          <w:p w14:paraId="6042AE5A" w14:textId="69CFD90C" w:rsidR="001D7244" w:rsidRPr="00AC5472" w:rsidRDefault="001D7244" w:rsidP="00FA2702">
            <w:pPr>
              <w:pStyle w:val="LegalMAINHEADING"/>
              <w:spacing w:before="0" w:after="120" w:line="360" w:lineRule="auto"/>
              <w:rPr>
                <w:rFonts w:cs="Arial"/>
                <w:b w:val="0"/>
                <w:bCs/>
                <w:caps w:val="0"/>
                <w:sz w:val="24"/>
                <w:szCs w:val="24"/>
                <w:lang w:eastAsia="en-US"/>
              </w:rPr>
            </w:pPr>
            <w:r w:rsidRPr="00AC5472">
              <w:rPr>
                <w:rFonts w:cs="Arial"/>
                <w:b w:val="0"/>
                <w:bCs/>
                <w:caps w:val="0"/>
                <w:sz w:val="24"/>
                <w:szCs w:val="24"/>
                <w:lang w:eastAsia="en-US"/>
              </w:rPr>
              <w:t>It is Ordered:</w:t>
            </w:r>
          </w:p>
          <w:p w14:paraId="7927A841" w14:textId="77777777" w:rsidR="001D7244" w:rsidRPr="005D79B5" w:rsidRDefault="001D7244" w:rsidP="00FA2702">
            <w:pPr>
              <w:rPr>
                <w:sz w:val="24"/>
                <w:szCs w:val="24"/>
                <w:lang w:val="en-GB"/>
              </w:rPr>
            </w:pPr>
          </w:p>
          <w:p w14:paraId="411600E4" w14:textId="12889250" w:rsidR="00222365" w:rsidRDefault="00B2685B" w:rsidP="00222365">
            <w:pPr>
              <w:pStyle w:val="Body"/>
              <w:spacing w:line="360" w:lineRule="auto"/>
              <w:ind w:left="882" w:hanging="851"/>
              <w:jc w:val="both"/>
              <w:rPr>
                <w:bCs/>
                <w:sz w:val="24"/>
                <w:szCs w:val="24"/>
              </w:rPr>
            </w:pPr>
            <w:bookmarkStart w:id="0" w:name="_Hlk102030155"/>
            <w:r>
              <w:rPr>
                <w:bCs/>
                <w:sz w:val="24"/>
                <w:szCs w:val="24"/>
              </w:rPr>
              <w:t>[</w:t>
            </w:r>
            <w:r w:rsidR="00222365">
              <w:rPr>
                <w:bCs/>
                <w:sz w:val="24"/>
                <w:szCs w:val="24"/>
              </w:rPr>
              <w:t>1</w:t>
            </w:r>
            <w:r>
              <w:rPr>
                <w:bCs/>
                <w:sz w:val="24"/>
                <w:szCs w:val="24"/>
              </w:rPr>
              <w:t>]</w:t>
            </w:r>
            <w:r w:rsidR="00222365">
              <w:rPr>
                <w:bCs/>
                <w:sz w:val="24"/>
                <w:szCs w:val="24"/>
              </w:rPr>
              <w:tab/>
            </w:r>
            <w:r w:rsidR="00E92C01">
              <w:rPr>
                <w:bCs/>
                <w:sz w:val="24"/>
                <w:szCs w:val="24"/>
              </w:rPr>
              <w:t>T</w:t>
            </w:r>
            <w:r w:rsidR="004116B0">
              <w:rPr>
                <w:bCs/>
                <w:sz w:val="24"/>
                <w:szCs w:val="24"/>
              </w:rPr>
              <w:t>he application is dismissed with costs.</w:t>
            </w:r>
          </w:p>
          <w:p w14:paraId="042CF742" w14:textId="77777777" w:rsidR="00222365" w:rsidRDefault="00222365" w:rsidP="00222365">
            <w:pPr>
              <w:pStyle w:val="Body"/>
              <w:spacing w:line="360" w:lineRule="auto"/>
              <w:ind w:left="882" w:hanging="851"/>
              <w:jc w:val="both"/>
              <w:rPr>
                <w:bCs/>
                <w:sz w:val="24"/>
                <w:szCs w:val="24"/>
              </w:rPr>
            </w:pPr>
          </w:p>
          <w:bookmarkEnd w:id="0"/>
          <w:p w14:paraId="1EF4ED4E" w14:textId="49B040C3" w:rsidR="001D7244" w:rsidRPr="0012612A" w:rsidRDefault="001D7244" w:rsidP="004116B0">
            <w:pPr>
              <w:pStyle w:val="Body"/>
              <w:spacing w:line="360" w:lineRule="auto"/>
              <w:jc w:val="both"/>
              <w:rPr>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5982215D" w14:textId="77777777" w:rsidR="0012612A" w:rsidRDefault="0012612A" w:rsidP="0012612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p>
          <w:p w14:paraId="47459BC2" w14:textId="08B9C333" w:rsidR="00B50E11" w:rsidRPr="008E6813" w:rsidRDefault="00B50E11" w:rsidP="0012612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12612A">
              <w:rPr>
                <w:rFonts w:eastAsia="Tahoma" w:cs="Arial"/>
                <w:b/>
                <w:bCs/>
                <w:sz w:val="24"/>
                <w:szCs w:val="24"/>
                <w:lang w:val="de-DE"/>
              </w:rPr>
              <w:t>JUDGMENT</w:t>
            </w:r>
          </w:p>
        </w:tc>
      </w:tr>
    </w:tbl>
    <w:p w14:paraId="397DE03A" w14:textId="77777777" w:rsidR="00C519B2" w:rsidRDefault="00C519B2" w:rsidP="00B50E11">
      <w:pPr>
        <w:pStyle w:val="Body"/>
        <w:jc w:val="both"/>
        <w:rPr>
          <w:b/>
          <w:sz w:val="22"/>
          <w:szCs w:val="22"/>
        </w:rPr>
      </w:pPr>
    </w:p>
    <w:p w14:paraId="6083D8E1" w14:textId="77777777" w:rsidR="00E151BD" w:rsidRDefault="00E151BD" w:rsidP="008E6813">
      <w:pPr>
        <w:pStyle w:val="Body"/>
        <w:spacing w:line="360" w:lineRule="auto"/>
        <w:jc w:val="both"/>
        <w:rPr>
          <w:b/>
          <w:sz w:val="22"/>
          <w:szCs w:val="22"/>
          <w:u w:val="single"/>
        </w:rPr>
      </w:pPr>
    </w:p>
    <w:p w14:paraId="31AD95DF" w14:textId="05B7999B"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r w:rsidR="006E3F51">
        <w:rPr>
          <w:b/>
          <w:sz w:val="22"/>
          <w:szCs w:val="22"/>
          <w:u w:val="single"/>
        </w:rPr>
        <w:t xml:space="preserve"> </w:t>
      </w:r>
    </w:p>
    <w:p w14:paraId="508C58F5" w14:textId="333D9D26" w:rsidR="008E6813" w:rsidRPr="00326704" w:rsidRDefault="008E6813" w:rsidP="008E6813">
      <w:pPr>
        <w:pStyle w:val="Body"/>
        <w:spacing w:line="360" w:lineRule="auto"/>
        <w:ind w:firstLine="851"/>
        <w:jc w:val="both"/>
        <w:rPr>
          <w:bCs/>
          <w:sz w:val="24"/>
          <w:szCs w:val="24"/>
        </w:rPr>
      </w:pPr>
    </w:p>
    <w:p w14:paraId="44580BFF" w14:textId="2ADABA20" w:rsidR="00194994" w:rsidRPr="00F63597" w:rsidRDefault="005C677F" w:rsidP="005C677F">
      <w:pPr>
        <w:pStyle w:val="Body"/>
        <w:spacing w:line="360" w:lineRule="auto"/>
        <w:ind w:left="851" w:hanging="851"/>
        <w:jc w:val="both"/>
        <w:rPr>
          <w:b/>
          <w:sz w:val="24"/>
          <w:szCs w:val="24"/>
          <w:u w:val="single"/>
        </w:rPr>
      </w:pPr>
      <w:r w:rsidRPr="00F63597">
        <w:rPr>
          <w:sz w:val="24"/>
          <w:szCs w:val="24"/>
        </w:rPr>
        <w:lastRenderedPageBreak/>
        <w:t>[1]</w:t>
      </w:r>
      <w:r w:rsidRPr="00F63597">
        <w:rPr>
          <w:sz w:val="24"/>
          <w:szCs w:val="24"/>
        </w:rPr>
        <w:tab/>
      </w:r>
      <w:r w:rsidR="0002640A" w:rsidRPr="0002640A">
        <w:rPr>
          <w:bCs/>
          <w:sz w:val="24"/>
          <w:szCs w:val="24"/>
        </w:rPr>
        <w:t>On 22 August 2022, the applicant</w:t>
      </w:r>
      <w:r w:rsidR="00FD7640">
        <w:rPr>
          <w:bCs/>
          <w:sz w:val="24"/>
          <w:szCs w:val="24"/>
        </w:rPr>
        <w:t>, the MEC for Health in the Limpopo Province</w:t>
      </w:r>
      <w:r w:rsidR="00B3631B">
        <w:rPr>
          <w:bCs/>
          <w:sz w:val="24"/>
          <w:szCs w:val="24"/>
        </w:rPr>
        <w:t>, Dr. Phophi Ramathuba,</w:t>
      </w:r>
      <w:r w:rsidR="00FD7640">
        <w:rPr>
          <w:bCs/>
          <w:sz w:val="24"/>
          <w:szCs w:val="24"/>
        </w:rPr>
        <w:t xml:space="preserve"> also a medical practitioner,</w:t>
      </w:r>
      <w:r w:rsidR="0002640A" w:rsidRPr="0002640A">
        <w:rPr>
          <w:bCs/>
          <w:sz w:val="24"/>
          <w:szCs w:val="24"/>
        </w:rPr>
        <w:t xml:space="preserve"> conducted a visit to the Bela Bela Hospital</w:t>
      </w:r>
      <w:r w:rsidR="00B3631B">
        <w:rPr>
          <w:bCs/>
          <w:sz w:val="24"/>
          <w:szCs w:val="24"/>
        </w:rPr>
        <w:t>.</w:t>
      </w:r>
      <w:r w:rsidR="0002640A" w:rsidRPr="0002640A">
        <w:rPr>
          <w:bCs/>
          <w:sz w:val="24"/>
          <w:szCs w:val="24"/>
        </w:rPr>
        <w:t xml:space="preserve"> During the visit, a conversation took place between the applicant and a patient in the hospital. </w:t>
      </w:r>
      <w:r w:rsidR="0002640A">
        <w:rPr>
          <w:bCs/>
          <w:sz w:val="24"/>
          <w:szCs w:val="24"/>
        </w:rPr>
        <w:t>What was said during the conversation has sparked controversy</w:t>
      </w:r>
      <w:r w:rsidR="00FD7640">
        <w:rPr>
          <w:bCs/>
          <w:sz w:val="24"/>
          <w:szCs w:val="24"/>
        </w:rPr>
        <w:t>.</w:t>
      </w:r>
    </w:p>
    <w:p w14:paraId="1E5048C2" w14:textId="0903F453" w:rsidR="00F63597" w:rsidRDefault="00F63597" w:rsidP="00F63597">
      <w:pPr>
        <w:pStyle w:val="Body"/>
        <w:spacing w:line="360" w:lineRule="auto"/>
        <w:ind w:left="851"/>
        <w:jc w:val="both"/>
        <w:rPr>
          <w:bCs/>
          <w:sz w:val="24"/>
          <w:szCs w:val="24"/>
        </w:rPr>
      </w:pPr>
    </w:p>
    <w:p w14:paraId="77C0D051" w14:textId="77777777" w:rsidR="00F63597" w:rsidRPr="0002640A" w:rsidRDefault="00F63597" w:rsidP="00F63597">
      <w:pPr>
        <w:pStyle w:val="Body"/>
        <w:spacing w:line="360" w:lineRule="auto"/>
        <w:ind w:left="851"/>
        <w:jc w:val="both"/>
        <w:rPr>
          <w:b/>
          <w:sz w:val="24"/>
          <w:szCs w:val="24"/>
          <w:u w:val="single"/>
        </w:rPr>
      </w:pPr>
    </w:p>
    <w:p w14:paraId="3B3A5FEE" w14:textId="66A0333E" w:rsidR="0094494E" w:rsidRDefault="005C677F" w:rsidP="005C677F">
      <w:pPr>
        <w:pStyle w:val="Body"/>
        <w:spacing w:line="360" w:lineRule="auto"/>
        <w:ind w:left="851" w:hanging="851"/>
        <w:jc w:val="both"/>
        <w:rPr>
          <w:bCs/>
          <w:sz w:val="24"/>
          <w:szCs w:val="24"/>
        </w:rPr>
      </w:pPr>
      <w:r>
        <w:rPr>
          <w:sz w:val="24"/>
          <w:szCs w:val="24"/>
        </w:rPr>
        <w:t>[2</w:t>
      </w:r>
      <w:bookmarkStart w:id="1" w:name="_GoBack"/>
      <w:bookmarkEnd w:id="1"/>
      <w:r>
        <w:rPr>
          <w:sz w:val="24"/>
          <w:szCs w:val="24"/>
        </w:rPr>
        <w:t>]</w:t>
      </w:r>
      <w:r>
        <w:rPr>
          <w:sz w:val="24"/>
          <w:szCs w:val="24"/>
        </w:rPr>
        <w:tab/>
      </w:r>
      <w:r w:rsidR="00FD7640">
        <w:rPr>
          <w:bCs/>
          <w:sz w:val="24"/>
          <w:szCs w:val="24"/>
        </w:rPr>
        <w:t xml:space="preserve">For purposes of the present application </w:t>
      </w:r>
      <w:r w:rsidR="005E3C3F">
        <w:rPr>
          <w:bCs/>
          <w:sz w:val="24"/>
          <w:szCs w:val="24"/>
        </w:rPr>
        <w:t>neither repetition nor consideration of the contents of the discussion are necessary. It suffices to state that complaints of unprofessional conduct were laid against the applicant in her capacity as a medical practitioner with the first respondent, the statutory body responsible for the regulation of medical practitioners. The complaints are refuted by the applicant, both in her capacity as the MEC for Health and as a medical practitioner.</w:t>
      </w:r>
    </w:p>
    <w:p w14:paraId="26230ADC" w14:textId="77777777" w:rsidR="0094494E" w:rsidRDefault="0094494E" w:rsidP="0094494E">
      <w:pPr>
        <w:pStyle w:val="Body"/>
        <w:spacing w:line="360" w:lineRule="auto"/>
        <w:ind w:left="851"/>
        <w:jc w:val="both"/>
        <w:rPr>
          <w:bCs/>
          <w:sz w:val="24"/>
          <w:szCs w:val="24"/>
        </w:rPr>
      </w:pPr>
    </w:p>
    <w:p w14:paraId="2A4BD6CB" w14:textId="08DB783B" w:rsidR="0094494E" w:rsidRPr="0094494E" w:rsidRDefault="005C677F" w:rsidP="005C677F">
      <w:pPr>
        <w:pStyle w:val="Body"/>
        <w:spacing w:line="360" w:lineRule="auto"/>
        <w:ind w:left="851" w:hanging="851"/>
        <w:jc w:val="both"/>
        <w:rPr>
          <w:bCs/>
          <w:sz w:val="22"/>
          <w:szCs w:val="22"/>
        </w:rPr>
      </w:pPr>
      <w:r w:rsidRPr="0094494E">
        <w:rPr>
          <w:sz w:val="24"/>
          <w:szCs w:val="24"/>
        </w:rPr>
        <w:t>[3]</w:t>
      </w:r>
      <w:r w:rsidRPr="0094494E">
        <w:rPr>
          <w:sz w:val="24"/>
          <w:szCs w:val="24"/>
        </w:rPr>
        <w:tab/>
      </w:r>
      <w:r w:rsidR="005E3C3F" w:rsidRPr="0094494E">
        <w:rPr>
          <w:rFonts w:cs="Arial"/>
          <w:bCs/>
          <w:sz w:val="24"/>
          <w:szCs w:val="24"/>
        </w:rPr>
        <w:t xml:space="preserve">When this application was brought, it was brought in two parts – Part A and Part B. The </w:t>
      </w:r>
      <w:r w:rsidR="00307905" w:rsidRPr="0094494E">
        <w:rPr>
          <w:rFonts w:cs="Arial"/>
          <w:bCs/>
          <w:sz w:val="24"/>
          <w:szCs w:val="24"/>
        </w:rPr>
        <w:t xml:space="preserve">substantive relief sought in Part A is an order  that </w:t>
      </w:r>
      <w:r w:rsidR="00307905" w:rsidRPr="0094494E">
        <w:rPr>
          <w:rFonts w:cs="Arial"/>
          <w:bCs/>
          <w:i/>
          <w:iCs/>
          <w:sz w:val="22"/>
          <w:szCs w:val="22"/>
        </w:rPr>
        <w:t>“</w:t>
      </w:r>
      <w:r w:rsidR="00307905" w:rsidRPr="0094494E">
        <w:rPr>
          <w:rFonts w:cs="Arial"/>
          <w:i/>
          <w:iCs/>
          <w:sz w:val="22"/>
          <w:szCs w:val="22"/>
        </w:rPr>
        <w:t>The professional misconduct inquiry instituted by the first respondent against the applicant, set down for 25</w:t>
      </w:r>
      <w:r w:rsidR="0094494E">
        <w:rPr>
          <w:rFonts w:cs="Arial"/>
          <w:i/>
          <w:iCs/>
          <w:sz w:val="22"/>
          <w:szCs w:val="22"/>
        </w:rPr>
        <w:t xml:space="preserve"> to</w:t>
      </w:r>
      <w:r w:rsidR="00307905" w:rsidRPr="0094494E">
        <w:rPr>
          <w:rFonts w:cs="Arial"/>
          <w:i/>
          <w:iCs/>
          <w:sz w:val="22"/>
          <w:szCs w:val="22"/>
        </w:rPr>
        <w:t xml:space="preserve"> 27 July 2023 and/or any other further dates </w:t>
      </w:r>
      <w:r w:rsidR="00307905" w:rsidRPr="0094494E">
        <w:rPr>
          <w:i/>
          <w:iCs/>
          <w:noProof/>
          <w:sz w:val="22"/>
          <w:szCs w:val="22"/>
        </w:rPr>
        <w:drawing>
          <wp:inline distT="0" distB="0" distL="0" distR="0" wp14:anchorId="6C7E9797" wp14:editId="4F8A5A6A">
            <wp:extent cx="4572" cy="4570"/>
            <wp:effectExtent l="0" t="0" r="0" b="0"/>
            <wp:docPr id="1836" name="Picture 1836"/>
            <wp:cNvGraphicFramePr/>
            <a:graphic xmlns:a="http://schemas.openxmlformats.org/drawingml/2006/main">
              <a:graphicData uri="http://schemas.openxmlformats.org/drawingml/2006/picture">
                <pic:pic xmlns:pic="http://schemas.openxmlformats.org/drawingml/2006/picture">
                  <pic:nvPicPr>
                    <pic:cNvPr id="1836" name="Picture 1836"/>
                    <pic:cNvPicPr/>
                  </pic:nvPicPr>
                  <pic:blipFill>
                    <a:blip r:embed="rId9"/>
                    <a:stretch>
                      <a:fillRect/>
                    </a:stretch>
                  </pic:blipFill>
                  <pic:spPr>
                    <a:xfrm>
                      <a:off x="0" y="0"/>
                      <a:ext cx="4572" cy="4570"/>
                    </a:xfrm>
                    <a:prstGeom prst="rect">
                      <a:avLst/>
                    </a:prstGeom>
                  </pic:spPr>
                </pic:pic>
              </a:graphicData>
            </a:graphic>
          </wp:inline>
        </w:drawing>
      </w:r>
      <w:r w:rsidR="00307905" w:rsidRPr="0094494E">
        <w:rPr>
          <w:rFonts w:cs="Arial"/>
          <w:i/>
          <w:iCs/>
          <w:sz w:val="22"/>
          <w:szCs w:val="22"/>
        </w:rPr>
        <w:t>falling within a period prior to the determination Of the application be interdicted, pending the finalizing of Part B of this application.”</w:t>
      </w:r>
      <w:r w:rsidR="0094494E" w:rsidRPr="0094494E">
        <w:rPr>
          <w:rFonts w:cs="Arial"/>
          <w:sz w:val="22"/>
          <w:szCs w:val="22"/>
        </w:rPr>
        <w:t xml:space="preserve"> </w:t>
      </w:r>
      <w:r w:rsidR="0094494E" w:rsidRPr="0094494E">
        <w:rPr>
          <w:rFonts w:cs="Arial"/>
          <w:sz w:val="24"/>
          <w:szCs w:val="24"/>
        </w:rPr>
        <w:t>and in Part B that</w:t>
      </w:r>
      <w:r w:rsidR="0094494E">
        <w:rPr>
          <w:rFonts w:cs="Arial"/>
          <w:sz w:val="24"/>
          <w:szCs w:val="24"/>
        </w:rPr>
        <w:t xml:space="preserve"> for an order</w:t>
      </w:r>
      <w:r w:rsidR="0094494E" w:rsidRPr="0094494E">
        <w:rPr>
          <w:rFonts w:cs="Arial"/>
          <w:sz w:val="24"/>
          <w:szCs w:val="24"/>
        </w:rPr>
        <w:t xml:space="preserve"> </w:t>
      </w:r>
      <w:r w:rsidR="0094494E" w:rsidRPr="0094494E">
        <w:rPr>
          <w:rFonts w:cs="Arial"/>
          <w:i/>
          <w:iCs/>
          <w:sz w:val="22"/>
          <w:szCs w:val="22"/>
        </w:rPr>
        <w:t>“declaring the decision of the first respondent ("HPCSA") issued against the applicant on 09 February 2023 as unconstitutional, unlawful and invalid.”</w:t>
      </w:r>
      <w:r w:rsidR="0094494E" w:rsidRPr="0094494E">
        <w:rPr>
          <w:rFonts w:cs="Arial"/>
          <w:sz w:val="24"/>
          <w:szCs w:val="24"/>
        </w:rPr>
        <w:t xml:space="preserve"> And </w:t>
      </w:r>
      <w:r w:rsidR="0094494E" w:rsidRPr="0094494E">
        <w:rPr>
          <w:rFonts w:cs="Arial"/>
          <w:i/>
          <w:iCs/>
          <w:sz w:val="22"/>
          <w:szCs w:val="22"/>
        </w:rPr>
        <w:t>“declaring that the HPCSA lacks jurisdiction over the conduct of the applicant as a member of the executive arm of government ("the executive") and whilst performing her duties and responsibilities as such</w:t>
      </w:r>
      <w:r w:rsidR="0094494E" w:rsidRPr="0094494E">
        <w:rPr>
          <w:i/>
          <w:iCs/>
          <w:sz w:val="22"/>
          <w:szCs w:val="22"/>
        </w:rPr>
        <w:t>.”</w:t>
      </w:r>
    </w:p>
    <w:p w14:paraId="00428147" w14:textId="77777777" w:rsidR="0094494E" w:rsidRDefault="0094494E" w:rsidP="0094494E">
      <w:pPr>
        <w:pStyle w:val="ListParagraph"/>
        <w:rPr>
          <w:bCs/>
          <w:sz w:val="22"/>
          <w:szCs w:val="22"/>
        </w:rPr>
      </w:pPr>
    </w:p>
    <w:p w14:paraId="5BAC68EF" w14:textId="77777777" w:rsidR="0094494E" w:rsidRPr="0094494E" w:rsidRDefault="0094494E" w:rsidP="0094494E">
      <w:pPr>
        <w:pStyle w:val="Body"/>
        <w:spacing w:line="360" w:lineRule="auto"/>
        <w:ind w:left="851"/>
        <w:jc w:val="both"/>
        <w:rPr>
          <w:bCs/>
          <w:sz w:val="22"/>
          <w:szCs w:val="22"/>
        </w:rPr>
      </w:pPr>
    </w:p>
    <w:p w14:paraId="51A4D2DB" w14:textId="2E0ECD01" w:rsidR="00B86B80" w:rsidRPr="0094494E" w:rsidRDefault="005C677F" w:rsidP="005C677F">
      <w:pPr>
        <w:pStyle w:val="Body"/>
        <w:spacing w:line="360" w:lineRule="auto"/>
        <w:ind w:left="851" w:hanging="851"/>
        <w:jc w:val="both"/>
        <w:rPr>
          <w:bCs/>
          <w:sz w:val="22"/>
          <w:szCs w:val="22"/>
        </w:rPr>
      </w:pPr>
      <w:r w:rsidRPr="0094494E">
        <w:rPr>
          <w:sz w:val="24"/>
          <w:szCs w:val="24"/>
        </w:rPr>
        <w:t>[4]</w:t>
      </w:r>
      <w:r w:rsidRPr="0094494E">
        <w:rPr>
          <w:sz w:val="24"/>
          <w:szCs w:val="24"/>
        </w:rPr>
        <w:tab/>
      </w:r>
      <w:r w:rsidR="0094494E" w:rsidRPr="0094494E">
        <w:rPr>
          <w:bCs/>
          <w:sz w:val="24"/>
          <w:szCs w:val="24"/>
        </w:rPr>
        <w:t>The present application</w:t>
      </w:r>
      <w:r w:rsidR="00FD7640" w:rsidRPr="0094494E">
        <w:rPr>
          <w:bCs/>
          <w:sz w:val="24"/>
          <w:szCs w:val="24"/>
        </w:rPr>
        <w:t xml:space="preserve"> </w:t>
      </w:r>
      <w:r w:rsidR="00533BDE" w:rsidRPr="0094494E">
        <w:rPr>
          <w:bCs/>
          <w:sz w:val="24"/>
          <w:szCs w:val="24"/>
        </w:rPr>
        <w:t>is for the orders sought in Part A.</w:t>
      </w:r>
      <w:r w:rsidR="0094494E">
        <w:rPr>
          <w:bCs/>
          <w:sz w:val="24"/>
          <w:szCs w:val="24"/>
        </w:rPr>
        <w:t xml:space="preserve"> </w:t>
      </w:r>
      <w:r w:rsidR="00B3631B">
        <w:rPr>
          <w:bCs/>
          <w:sz w:val="24"/>
          <w:szCs w:val="24"/>
        </w:rPr>
        <w:t>T</w:t>
      </w:r>
      <w:r w:rsidR="0094494E">
        <w:rPr>
          <w:bCs/>
          <w:sz w:val="24"/>
          <w:szCs w:val="24"/>
        </w:rPr>
        <w:t>he applicant seeks to interdict the holding of the inquiry on 25 to 27 July 2023 pending a review which if successful would absolve her of accountability to the HPCSA for anything done by her in her capacity as the MEC.</w:t>
      </w:r>
    </w:p>
    <w:p w14:paraId="58032516" w14:textId="77777777" w:rsidR="00D95619" w:rsidRDefault="00D95619" w:rsidP="00D95619">
      <w:pPr>
        <w:pStyle w:val="Body"/>
        <w:spacing w:line="360" w:lineRule="auto"/>
        <w:jc w:val="both"/>
        <w:rPr>
          <w:bCs/>
          <w:sz w:val="24"/>
          <w:szCs w:val="24"/>
        </w:rPr>
      </w:pPr>
    </w:p>
    <w:p w14:paraId="6F2CA275" w14:textId="77777777" w:rsidR="00B3631B" w:rsidRDefault="00B3631B" w:rsidP="00D95619">
      <w:pPr>
        <w:pStyle w:val="Body"/>
        <w:spacing w:line="360" w:lineRule="auto"/>
        <w:jc w:val="both"/>
        <w:rPr>
          <w:bCs/>
          <w:sz w:val="24"/>
          <w:szCs w:val="24"/>
        </w:rPr>
      </w:pPr>
    </w:p>
    <w:p w14:paraId="21BEF4BF" w14:textId="656D52CF" w:rsidR="00A8152F" w:rsidRPr="00A8152F" w:rsidRDefault="005C677F" w:rsidP="005C677F">
      <w:pPr>
        <w:pStyle w:val="Body"/>
        <w:spacing w:line="360" w:lineRule="auto"/>
        <w:ind w:left="851" w:hanging="851"/>
        <w:jc w:val="both"/>
        <w:rPr>
          <w:bCs/>
          <w:i/>
          <w:iCs/>
          <w:sz w:val="22"/>
          <w:szCs w:val="22"/>
        </w:rPr>
      </w:pPr>
      <w:r w:rsidRPr="00A8152F">
        <w:rPr>
          <w:sz w:val="24"/>
          <w:szCs w:val="24"/>
        </w:rPr>
        <w:lastRenderedPageBreak/>
        <w:t>[5]</w:t>
      </w:r>
      <w:r w:rsidRPr="00A8152F">
        <w:rPr>
          <w:sz w:val="24"/>
          <w:szCs w:val="24"/>
        </w:rPr>
        <w:tab/>
      </w:r>
      <w:r w:rsidR="009947E3">
        <w:rPr>
          <w:bCs/>
          <w:sz w:val="24"/>
          <w:szCs w:val="24"/>
        </w:rPr>
        <w:t xml:space="preserve">The HPCSA was established in terms of </w:t>
      </w:r>
      <w:r w:rsidR="00DB72D5">
        <w:rPr>
          <w:bCs/>
          <w:sz w:val="24"/>
          <w:szCs w:val="24"/>
        </w:rPr>
        <w:t xml:space="preserve">section 2(1) of </w:t>
      </w:r>
      <w:r w:rsidR="009947E3">
        <w:rPr>
          <w:bCs/>
          <w:sz w:val="24"/>
          <w:szCs w:val="24"/>
        </w:rPr>
        <w:t xml:space="preserve">the </w:t>
      </w:r>
      <w:r w:rsidR="00EF4FE8">
        <w:rPr>
          <w:bCs/>
          <w:sz w:val="24"/>
          <w:szCs w:val="24"/>
        </w:rPr>
        <w:t>Health Professions Act.</w:t>
      </w:r>
      <w:r w:rsidR="00EF4FE8">
        <w:rPr>
          <w:rStyle w:val="FootnoteReference"/>
          <w:bCs/>
          <w:sz w:val="24"/>
          <w:szCs w:val="24"/>
        </w:rPr>
        <w:footnoteReference w:id="1"/>
      </w:r>
      <w:r w:rsidR="00B55D33">
        <w:rPr>
          <w:bCs/>
          <w:sz w:val="24"/>
          <w:szCs w:val="24"/>
        </w:rPr>
        <w:t xml:space="preserve"> Amongst its objects and functions</w:t>
      </w:r>
      <w:r w:rsidR="006F52FA">
        <w:rPr>
          <w:bCs/>
          <w:sz w:val="24"/>
          <w:szCs w:val="24"/>
        </w:rPr>
        <w:t xml:space="preserve"> is to</w:t>
      </w:r>
      <w:r w:rsidR="00A8152F">
        <w:rPr>
          <w:bCs/>
          <w:sz w:val="24"/>
          <w:szCs w:val="24"/>
        </w:rPr>
        <w:t>:</w:t>
      </w:r>
    </w:p>
    <w:p w14:paraId="35C011FD" w14:textId="32CBF29C" w:rsidR="00A8152F" w:rsidRDefault="00A8152F" w:rsidP="00A8152F">
      <w:pPr>
        <w:pStyle w:val="ListParagraph"/>
        <w:rPr>
          <w:bCs/>
        </w:rPr>
      </w:pPr>
    </w:p>
    <w:p w14:paraId="5527179F" w14:textId="57C21D81" w:rsidR="00F63597" w:rsidRDefault="00F63597" w:rsidP="00A8152F">
      <w:pPr>
        <w:pStyle w:val="ListParagraph"/>
        <w:rPr>
          <w:bCs/>
        </w:rPr>
      </w:pPr>
    </w:p>
    <w:p w14:paraId="4CF2C989" w14:textId="77777777" w:rsidR="00F63597" w:rsidRDefault="00F63597" w:rsidP="00A8152F">
      <w:pPr>
        <w:pStyle w:val="ListParagraph"/>
        <w:rPr>
          <w:bCs/>
        </w:rPr>
      </w:pPr>
    </w:p>
    <w:p w14:paraId="77DD479F" w14:textId="6C79CB5E" w:rsidR="00FD7640" w:rsidRDefault="006F52FA" w:rsidP="00F63597">
      <w:pPr>
        <w:pStyle w:val="Body"/>
        <w:spacing w:line="360" w:lineRule="auto"/>
        <w:ind w:left="1418"/>
        <w:jc w:val="both"/>
        <w:rPr>
          <w:bCs/>
          <w:sz w:val="24"/>
          <w:szCs w:val="24"/>
        </w:rPr>
      </w:pPr>
      <w:r>
        <w:rPr>
          <w:bCs/>
          <w:sz w:val="24"/>
          <w:szCs w:val="24"/>
        </w:rPr>
        <w:t xml:space="preserve"> </w:t>
      </w:r>
      <w:r w:rsidRPr="00507ABB">
        <w:rPr>
          <w:bCs/>
          <w:i/>
          <w:iCs/>
          <w:sz w:val="22"/>
          <w:szCs w:val="22"/>
        </w:rPr>
        <w:t>“</w:t>
      </w:r>
      <w:r w:rsidR="00C47BCE" w:rsidRPr="00507ABB">
        <w:rPr>
          <w:bCs/>
          <w:i/>
          <w:iCs/>
          <w:sz w:val="22"/>
          <w:szCs w:val="22"/>
        </w:rPr>
        <w:t>to serve and protect the public in matters</w:t>
      </w:r>
      <w:r w:rsidR="009D48FA" w:rsidRPr="00507ABB">
        <w:rPr>
          <w:bCs/>
          <w:i/>
          <w:iCs/>
          <w:sz w:val="22"/>
          <w:szCs w:val="22"/>
        </w:rPr>
        <w:t xml:space="preserve"> involving the rendering of health services by persons </w:t>
      </w:r>
      <w:r w:rsidR="00507ABB" w:rsidRPr="00507ABB">
        <w:rPr>
          <w:bCs/>
          <w:i/>
          <w:iCs/>
          <w:sz w:val="22"/>
          <w:szCs w:val="22"/>
        </w:rPr>
        <w:t>practicing</w:t>
      </w:r>
      <w:r w:rsidR="009D48FA" w:rsidRPr="00507ABB">
        <w:rPr>
          <w:bCs/>
          <w:i/>
          <w:iCs/>
          <w:sz w:val="22"/>
          <w:szCs w:val="22"/>
        </w:rPr>
        <w:t xml:space="preserve"> a health profession</w:t>
      </w:r>
      <w:r w:rsidR="00507ABB" w:rsidRPr="00507ABB">
        <w:rPr>
          <w:bCs/>
          <w:i/>
          <w:iCs/>
          <w:sz w:val="22"/>
          <w:szCs w:val="22"/>
        </w:rPr>
        <w:t>”</w:t>
      </w:r>
      <w:r w:rsidR="00507ABB">
        <w:rPr>
          <w:rStyle w:val="FootnoteReference"/>
          <w:bCs/>
          <w:i/>
          <w:iCs/>
          <w:sz w:val="22"/>
          <w:szCs w:val="22"/>
        </w:rPr>
        <w:footnoteReference w:id="2"/>
      </w:r>
      <w:r w:rsidR="00F66A54">
        <w:rPr>
          <w:bCs/>
          <w:sz w:val="24"/>
          <w:szCs w:val="24"/>
        </w:rPr>
        <w:t xml:space="preserve"> </w:t>
      </w:r>
    </w:p>
    <w:p w14:paraId="7BA4EF21" w14:textId="77777777" w:rsidR="00FE2FAC" w:rsidRDefault="00FE2FAC" w:rsidP="00A8152F">
      <w:pPr>
        <w:pStyle w:val="Body"/>
        <w:spacing w:line="360" w:lineRule="auto"/>
        <w:ind w:left="851"/>
        <w:jc w:val="both"/>
        <w:rPr>
          <w:bCs/>
          <w:sz w:val="24"/>
          <w:szCs w:val="24"/>
        </w:rPr>
      </w:pPr>
    </w:p>
    <w:p w14:paraId="17B7E0DA" w14:textId="45D0AB07" w:rsidR="00DB3595" w:rsidRDefault="00FE2FAC" w:rsidP="00A8152F">
      <w:pPr>
        <w:pStyle w:val="Body"/>
        <w:spacing w:line="360" w:lineRule="auto"/>
        <w:ind w:left="851"/>
        <w:jc w:val="both"/>
        <w:rPr>
          <w:bCs/>
          <w:sz w:val="24"/>
          <w:szCs w:val="24"/>
        </w:rPr>
      </w:pPr>
      <w:r>
        <w:rPr>
          <w:bCs/>
          <w:sz w:val="24"/>
          <w:szCs w:val="24"/>
        </w:rPr>
        <w:t>a</w:t>
      </w:r>
      <w:r w:rsidR="00DB3595">
        <w:rPr>
          <w:bCs/>
          <w:sz w:val="24"/>
          <w:szCs w:val="24"/>
        </w:rPr>
        <w:t>nd</w:t>
      </w:r>
    </w:p>
    <w:p w14:paraId="44F12448" w14:textId="77777777" w:rsidR="00FE2FAC" w:rsidRDefault="00FE2FAC" w:rsidP="00A8152F">
      <w:pPr>
        <w:pStyle w:val="Body"/>
        <w:spacing w:line="360" w:lineRule="auto"/>
        <w:ind w:left="851"/>
        <w:jc w:val="both"/>
        <w:rPr>
          <w:bCs/>
          <w:sz w:val="24"/>
          <w:szCs w:val="24"/>
        </w:rPr>
      </w:pPr>
    </w:p>
    <w:p w14:paraId="2CF432E8" w14:textId="7F504196" w:rsidR="00DB3595" w:rsidRDefault="00DB3595" w:rsidP="00F63597">
      <w:pPr>
        <w:pStyle w:val="Body"/>
        <w:spacing w:line="360" w:lineRule="auto"/>
        <w:ind w:left="1418"/>
        <w:jc w:val="both"/>
        <w:rPr>
          <w:bCs/>
          <w:sz w:val="24"/>
          <w:szCs w:val="24"/>
        </w:rPr>
      </w:pPr>
      <w:r>
        <w:rPr>
          <w:bCs/>
          <w:sz w:val="24"/>
          <w:szCs w:val="24"/>
        </w:rPr>
        <w:t>“</w:t>
      </w:r>
      <w:r w:rsidR="009C7961" w:rsidRPr="009C7961">
        <w:rPr>
          <w:bCs/>
          <w:i/>
          <w:iCs/>
          <w:sz w:val="22"/>
          <w:szCs w:val="22"/>
        </w:rPr>
        <w:t>to exercise its powers and discharge its responsibilities in the best interests of the public and in accordance with national health policy determined by the minister;</w:t>
      </w:r>
      <w:r w:rsidRPr="009C7961">
        <w:rPr>
          <w:bCs/>
          <w:i/>
          <w:iCs/>
          <w:sz w:val="22"/>
          <w:szCs w:val="22"/>
        </w:rPr>
        <w:t>”</w:t>
      </w:r>
      <w:r w:rsidRPr="009C7961">
        <w:rPr>
          <w:rStyle w:val="FootnoteReference"/>
          <w:bCs/>
          <w:i/>
          <w:iCs/>
          <w:sz w:val="22"/>
          <w:szCs w:val="22"/>
        </w:rPr>
        <w:footnoteReference w:id="3"/>
      </w:r>
    </w:p>
    <w:p w14:paraId="7E0ACC65" w14:textId="77777777" w:rsidR="00FE2FAC" w:rsidRDefault="00FE2FAC" w:rsidP="00A8152F">
      <w:pPr>
        <w:pStyle w:val="Body"/>
        <w:spacing w:line="360" w:lineRule="auto"/>
        <w:ind w:left="851"/>
        <w:jc w:val="both"/>
        <w:rPr>
          <w:bCs/>
          <w:sz w:val="24"/>
          <w:szCs w:val="24"/>
        </w:rPr>
      </w:pPr>
    </w:p>
    <w:p w14:paraId="70AB377D" w14:textId="6EDF0D36" w:rsidR="00F13FDB" w:rsidRDefault="00FE2FAC" w:rsidP="00A8152F">
      <w:pPr>
        <w:pStyle w:val="Body"/>
        <w:spacing w:line="360" w:lineRule="auto"/>
        <w:ind w:left="851"/>
        <w:jc w:val="both"/>
        <w:rPr>
          <w:bCs/>
          <w:sz w:val="24"/>
          <w:szCs w:val="24"/>
        </w:rPr>
      </w:pPr>
      <w:r>
        <w:rPr>
          <w:bCs/>
          <w:sz w:val="24"/>
          <w:szCs w:val="24"/>
        </w:rPr>
        <w:t>a</w:t>
      </w:r>
      <w:r w:rsidR="00EF66F7">
        <w:rPr>
          <w:bCs/>
          <w:sz w:val="24"/>
          <w:szCs w:val="24"/>
        </w:rPr>
        <w:t>nd</w:t>
      </w:r>
    </w:p>
    <w:p w14:paraId="04BCA0CF" w14:textId="77777777" w:rsidR="00FE2FAC" w:rsidRDefault="00FE2FAC" w:rsidP="00A8152F">
      <w:pPr>
        <w:pStyle w:val="Body"/>
        <w:spacing w:line="360" w:lineRule="auto"/>
        <w:ind w:left="851"/>
        <w:jc w:val="both"/>
        <w:rPr>
          <w:bCs/>
          <w:sz w:val="24"/>
          <w:szCs w:val="24"/>
        </w:rPr>
      </w:pPr>
    </w:p>
    <w:p w14:paraId="53F2E6E1" w14:textId="72781B4F" w:rsidR="00EF66F7" w:rsidRDefault="00EF66F7" w:rsidP="00F63597">
      <w:pPr>
        <w:pStyle w:val="Body"/>
        <w:spacing w:line="360" w:lineRule="auto"/>
        <w:ind w:left="1418"/>
        <w:jc w:val="both"/>
        <w:rPr>
          <w:bCs/>
          <w:sz w:val="24"/>
          <w:szCs w:val="24"/>
        </w:rPr>
      </w:pPr>
      <w:r>
        <w:rPr>
          <w:bCs/>
          <w:sz w:val="24"/>
          <w:szCs w:val="24"/>
        </w:rPr>
        <w:t>“</w:t>
      </w:r>
      <w:r w:rsidR="009C7961" w:rsidRPr="009C7961">
        <w:rPr>
          <w:bCs/>
          <w:i/>
          <w:iCs/>
          <w:sz w:val="22"/>
          <w:szCs w:val="22"/>
        </w:rPr>
        <w:t>to be transparent and accountable to the public in achieving its objectives and when performing its functions and when exercising its powers</w:t>
      </w:r>
      <w:r w:rsidR="009C7961">
        <w:rPr>
          <w:bCs/>
          <w:sz w:val="24"/>
          <w:szCs w:val="24"/>
        </w:rPr>
        <w:t>;</w:t>
      </w:r>
      <w:r>
        <w:rPr>
          <w:bCs/>
          <w:sz w:val="24"/>
          <w:szCs w:val="24"/>
        </w:rPr>
        <w:t>”</w:t>
      </w:r>
      <w:r>
        <w:rPr>
          <w:rStyle w:val="FootnoteReference"/>
          <w:bCs/>
          <w:sz w:val="24"/>
          <w:szCs w:val="24"/>
        </w:rPr>
        <w:footnoteReference w:id="4"/>
      </w:r>
    </w:p>
    <w:p w14:paraId="3811E6DE" w14:textId="77777777" w:rsidR="00FE2FAC" w:rsidRDefault="00FE2FAC" w:rsidP="00A8152F">
      <w:pPr>
        <w:pStyle w:val="Body"/>
        <w:spacing w:line="360" w:lineRule="auto"/>
        <w:ind w:left="851"/>
        <w:jc w:val="both"/>
        <w:rPr>
          <w:bCs/>
          <w:sz w:val="24"/>
          <w:szCs w:val="24"/>
        </w:rPr>
      </w:pPr>
    </w:p>
    <w:p w14:paraId="16ADDF30" w14:textId="293BB414" w:rsidR="00EF66F7" w:rsidRDefault="00FE2FAC" w:rsidP="00A8152F">
      <w:pPr>
        <w:pStyle w:val="Body"/>
        <w:spacing w:line="360" w:lineRule="auto"/>
        <w:ind w:left="851"/>
        <w:jc w:val="both"/>
        <w:rPr>
          <w:bCs/>
          <w:sz w:val="24"/>
          <w:szCs w:val="24"/>
        </w:rPr>
      </w:pPr>
      <w:r>
        <w:rPr>
          <w:bCs/>
          <w:sz w:val="24"/>
          <w:szCs w:val="24"/>
        </w:rPr>
        <w:t>a</w:t>
      </w:r>
      <w:r w:rsidR="00EF66F7">
        <w:rPr>
          <w:bCs/>
          <w:sz w:val="24"/>
          <w:szCs w:val="24"/>
        </w:rPr>
        <w:t>nd</w:t>
      </w:r>
    </w:p>
    <w:p w14:paraId="78A67D84" w14:textId="77777777" w:rsidR="00FE2FAC" w:rsidRDefault="00FE2FAC" w:rsidP="00A8152F">
      <w:pPr>
        <w:pStyle w:val="Body"/>
        <w:spacing w:line="360" w:lineRule="auto"/>
        <w:ind w:left="851"/>
        <w:jc w:val="both"/>
        <w:rPr>
          <w:bCs/>
          <w:sz w:val="24"/>
          <w:szCs w:val="24"/>
        </w:rPr>
      </w:pPr>
    </w:p>
    <w:p w14:paraId="6BCB0472" w14:textId="5D89559E" w:rsidR="00EF66F7" w:rsidRDefault="00EF66F7" w:rsidP="00F63597">
      <w:pPr>
        <w:pStyle w:val="Body"/>
        <w:spacing w:line="360" w:lineRule="auto"/>
        <w:ind w:left="1418"/>
        <w:jc w:val="both"/>
        <w:rPr>
          <w:bCs/>
          <w:sz w:val="24"/>
          <w:szCs w:val="24"/>
        </w:rPr>
      </w:pPr>
      <w:r>
        <w:rPr>
          <w:bCs/>
          <w:sz w:val="24"/>
          <w:szCs w:val="24"/>
        </w:rPr>
        <w:t>“</w:t>
      </w:r>
      <w:r w:rsidR="009C7961" w:rsidRPr="009C7961">
        <w:rPr>
          <w:bCs/>
          <w:i/>
          <w:iCs/>
          <w:sz w:val="22"/>
          <w:szCs w:val="22"/>
        </w:rPr>
        <w:t>to uphold and maintain ethical standards within the health professions</w:t>
      </w:r>
      <w:r w:rsidR="009C7961">
        <w:rPr>
          <w:bCs/>
          <w:sz w:val="24"/>
          <w:szCs w:val="24"/>
        </w:rPr>
        <w:t>;</w:t>
      </w:r>
      <w:r>
        <w:rPr>
          <w:bCs/>
          <w:sz w:val="24"/>
          <w:szCs w:val="24"/>
        </w:rPr>
        <w:t>”</w:t>
      </w:r>
      <w:r>
        <w:rPr>
          <w:rStyle w:val="FootnoteReference"/>
          <w:bCs/>
          <w:sz w:val="24"/>
          <w:szCs w:val="24"/>
        </w:rPr>
        <w:footnoteReference w:id="5"/>
      </w:r>
    </w:p>
    <w:p w14:paraId="5BB53191" w14:textId="77777777" w:rsidR="00FE2FAC" w:rsidRDefault="00FE2FAC" w:rsidP="00A8152F">
      <w:pPr>
        <w:pStyle w:val="Body"/>
        <w:spacing w:line="360" w:lineRule="auto"/>
        <w:ind w:left="851"/>
        <w:jc w:val="both"/>
        <w:rPr>
          <w:bCs/>
          <w:sz w:val="24"/>
          <w:szCs w:val="24"/>
        </w:rPr>
      </w:pPr>
    </w:p>
    <w:p w14:paraId="6F837E74" w14:textId="62471F51" w:rsidR="0059653F" w:rsidRDefault="00FE2FAC" w:rsidP="00A8152F">
      <w:pPr>
        <w:pStyle w:val="Body"/>
        <w:spacing w:line="360" w:lineRule="auto"/>
        <w:ind w:left="851"/>
        <w:jc w:val="both"/>
        <w:rPr>
          <w:bCs/>
          <w:sz w:val="24"/>
          <w:szCs w:val="24"/>
        </w:rPr>
      </w:pPr>
      <w:r>
        <w:rPr>
          <w:bCs/>
          <w:sz w:val="24"/>
          <w:szCs w:val="24"/>
        </w:rPr>
        <w:t>a</w:t>
      </w:r>
      <w:r w:rsidR="0059653F">
        <w:rPr>
          <w:bCs/>
          <w:sz w:val="24"/>
          <w:szCs w:val="24"/>
        </w:rPr>
        <w:t>nd</w:t>
      </w:r>
    </w:p>
    <w:p w14:paraId="70F015E7" w14:textId="77777777" w:rsidR="00FE2FAC" w:rsidRDefault="00FE2FAC" w:rsidP="00A8152F">
      <w:pPr>
        <w:pStyle w:val="Body"/>
        <w:spacing w:line="360" w:lineRule="auto"/>
        <w:ind w:left="851"/>
        <w:jc w:val="both"/>
        <w:rPr>
          <w:bCs/>
          <w:sz w:val="24"/>
          <w:szCs w:val="24"/>
        </w:rPr>
      </w:pPr>
    </w:p>
    <w:p w14:paraId="45B36331" w14:textId="36AC7C21" w:rsidR="0059653F" w:rsidRDefault="0059653F" w:rsidP="00F63597">
      <w:pPr>
        <w:pStyle w:val="Body"/>
        <w:spacing w:line="360" w:lineRule="auto"/>
        <w:ind w:left="1418"/>
        <w:jc w:val="both"/>
        <w:rPr>
          <w:bCs/>
          <w:sz w:val="24"/>
          <w:szCs w:val="24"/>
        </w:rPr>
      </w:pPr>
      <w:r>
        <w:rPr>
          <w:bCs/>
          <w:sz w:val="24"/>
          <w:szCs w:val="24"/>
        </w:rPr>
        <w:t>“</w:t>
      </w:r>
      <w:r w:rsidR="009C7961" w:rsidRPr="009C7961">
        <w:rPr>
          <w:bCs/>
          <w:i/>
          <w:iCs/>
          <w:sz w:val="22"/>
          <w:szCs w:val="22"/>
        </w:rPr>
        <w:t>to ensure the investigation of complaints concerning persons registered in terms of this Act and to ensure appropriate disciplinary action is taken against such persons in accordance with this Act in order to protect the interests of the public</w:t>
      </w:r>
      <w:r w:rsidR="009C7961">
        <w:rPr>
          <w:bCs/>
          <w:sz w:val="24"/>
          <w:szCs w:val="24"/>
        </w:rPr>
        <w:t>;</w:t>
      </w:r>
      <w:r>
        <w:rPr>
          <w:bCs/>
          <w:sz w:val="24"/>
          <w:szCs w:val="24"/>
        </w:rPr>
        <w:t>”</w:t>
      </w:r>
      <w:r w:rsidR="007433BA">
        <w:rPr>
          <w:rStyle w:val="FootnoteReference"/>
          <w:bCs/>
          <w:sz w:val="24"/>
          <w:szCs w:val="24"/>
        </w:rPr>
        <w:footnoteReference w:id="6"/>
      </w:r>
    </w:p>
    <w:p w14:paraId="03DABC53" w14:textId="77777777" w:rsidR="00FE2FAC" w:rsidRDefault="00FE2FAC" w:rsidP="00A8152F">
      <w:pPr>
        <w:pStyle w:val="Body"/>
        <w:spacing w:line="360" w:lineRule="auto"/>
        <w:ind w:left="851"/>
        <w:jc w:val="both"/>
        <w:rPr>
          <w:bCs/>
          <w:sz w:val="24"/>
          <w:szCs w:val="24"/>
        </w:rPr>
      </w:pPr>
    </w:p>
    <w:p w14:paraId="175553C1" w14:textId="764FE1AA" w:rsidR="0059653F" w:rsidRDefault="00FE2FAC" w:rsidP="00A8152F">
      <w:pPr>
        <w:pStyle w:val="Body"/>
        <w:spacing w:line="360" w:lineRule="auto"/>
        <w:ind w:left="851"/>
        <w:jc w:val="both"/>
        <w:rPr>
          <w:bCs/>
          <w:sz w:val="24"/>
          <w:szCs w:val="24"/>
        </w:rPr>
      </w:pPr>
      <w:r>
        <w:rPr>
          <w:bCs/>
          <w:sz w:val="24"/>
          <w:szCs w:val="24"/>
        </w:rPr>
        <w:t>a</w:t>
      </w:r>
      <w:r w:rsidR="0059653F">
        <w:rPr>
          <w:bCs/>
          <w:sz w:val="24"/>
          <w:szCs w:val="24"/>
        </w:rPr>
        <w:t>nd</w:t>
      </w:r>
    </w:p>
    <w:p w14:paraId="74B03512" w14:textId="77777777" w:rsidR="00FE2FAC" w:rsidRDefault="00FE2FAC" w:rsidP="00A8152F">
      <w:pPr>
        <w:pStyle w:val="Body"/>
        <w:spacing w:line="360" w:lineRule="auto"/>
        <w:ind w:left="851"/>
        <w:jc w:val="both"/>
        <w:rPr>
          <w:bCs/>
          <w:sz w:val="24"/>
          <w:szCs w:val="24"/>
        </w:rPr>
      </w:pPr>
    </w:p>
    <w:p w14:paraId="2D1E6438" w14:textId="3E6CA466" w:rsidR="0059653F" w:rsidRDefault="0059653F" w:rsidP="00F63597">
      <w:pPr>
        <w:pStyle w:val="Body"/>
        <w:spacing w:line="360" w:lineRule="auto"/>
        <w:ind w:left="1418"/>
        <w:jc w:val="both"/>
        <w:rPr>
          <w:bCs/>
          <w:sz w:val="24"/>
          <w:szCs w:val="24"/>
        </w:rPr>
      </w:pPr>
      <w:r>
        <w:rPr>
          <w:bCs/>
          <w:sz w:val="24"/>
          <w:szCs w:val="24"/>
        </w:rPr>
        <w:t>“</w:t>
      </w:r>
      <w:r w:rsidR="009C7961" w:rsidRPr="00FE2FAC">
        <w:rPr>
          <w:bCs/>
          <w:i/>
          <w:iCs/>
          <w:sz w:val="22"/>
          <w:szCs w:val="22"/>
        </w:rPr>
        <w:t>to ensure that persons registered in terms of this Act behave</w:t>
      </w:r>
      <w:r w:rsidR="00FE2FAC" w:rsidRPr="00FE2FAC">
        <w:rPr>
          <w:bCs/>
          <w:i/>
          <w:iCs/>
          <w:sz w:val="22"/>
          <w:szCs w:val="22"/>
        </w:rPr>
        <w:t xml:space="preserve"> towards users of health services in a manner that respects their constitutional rights to human dignity, bodily and psychological integrity and equality, and that disciplinary action is taken against persons who fail to act accordingly</w:t>
      </w:r>
      <w:r w:rsidR="00FE2FAC">
        <w:rPr>
          <w:bCs/>
          <w:sz w:val="24"/>
          <w:szCs w:val="24"/>
        </w:rPr>
        <w:t>;</w:t>
      </w:r>
      <w:r>
        <w:rPr>
          <w:bCs/>
          <w:sz w:val="24"/>
          <w:szCs w:val="24"/>
        </w:rPr>
        <w:t>”</w:t>
      </w:r>
      <w:r w:rsidR="006A4B5C">
        <w:rPr>
          <w:rStyle w:val="FootnoteReference"/>
          <w:bCs/>
          <w:sz w:val="24"/>
          <w:szCs w:val="24"/>
        </w:rPr>
        <w:footnoteReference w:id="7"/>
      </w:r>
    </w:p>
    <w:p w14:paraId="5BD66848" w14:textId="77777777" w:rsidR="00FE2FAC" w:rsidRDefault="00FE2FAC" w:rsidP="00A8152F">
      <w:pPr>
        <w:pStyle w:val="Body"/>
        <w:spacing w:line="360" w:lineRule="auto"/>
        <w:ind w:left="851"/>
        <w:jc w:val="both"/>
        <w:rPr>
          <w:bCs/>
          <w:sz w:val="24"/>
          <w:szCs w:val="24"/>
        </w:rPr>
      </w:pPr>
    </w:p>
    <w:p w14:paraId="3E15A379" w14:textId="750F423F" w:rsidR="0094494E" w:rsidRDefault="005C677F" w:rsidP="005C677F">
      <w:pPr>
        <w:pStyle w:val="Body"/>
        <w:spacing w:line="360" w:lineRule="auto"/>
        <w:ind w:left="851" w:hanging="851"/>
        <w:jc w:val="both"/>
        <w:rPr>
          <w:bCs/>
          <w:sz w:val="24"/>
          <w:szCs w:val="24"/>
        </w:rPr>
      </w:pPr>
      <w:r>
        <w:rPr>
          <w:sz w:val="24"/>
          <w:szCs w:val="24"/>
        </w:rPr>
        <w:t>[6]</w:t>
      </w:r>
      <w:r>
        <w:rPr>
          <w:sz w:val="24"/>
          <w:szCs w:val="24"/>
        </w:rPr>
        <w:tab/>
      </w:r>
      <w:r w:rsidR="00B55D12">
        <w:rPr>
          <w:bCs/>
          <w:sz w:val="24"/>
          <w:szCs w:val="24"/>
        </w:rPr>
        <w:t>It is not in issue that the applicant has</w:t>
      </w:r>
      <w:r w:rsidR="002D6099">
        <w:rPr>
          <w:bCs/>
          <w:sz w:val="24"/>
          <w:szCs w:val="24"/>
        </w:rPr>
        <w:t xml:space="preserve"> at all material times been registered</w:t>
      </w:r>
      <w:r w:rsidR="00C81789">
        <w:rPr>
          <w:bCs/>
          <w:sz w:val="24"/>
          <w:szCs w:val="24"/>
        </w:rPr>
        <w:t xml:space="preserve"> as a health professional</w:t>
      </w:r>
      <w:r w:rsidR="001622AA">
        <w:rPr>
          <w:rStyle w:val="FootnoteReference"/>
          <w:bCs/>
          <w:sz w:val="24"/>
          <w:szCs w:val="24"/>
        </w:rPr>
        <w:footnoteReference w:id="8"/>
      </w:r>
      <w:r w:rsidR="001F2CB2">
        <w:rPr>
          <w:bCs/>
          <w:sz w:val="24"/>
          <w:szCs w:val="24"/>
        </w:rPr>
        <w:t xml:space="preserve"> and remains so.</w:t>
      </w:r>
      <w:r w:rsidR="00762969">
        <w:rPr>
          <w:bCs/>
          <w:sz w:val="24"/>
          <w:szCs w:val="24"/>
        </w:rPr>
        <w:t xml:space="preserve"> The HPCSA is the </w:t>
      </w:r>
      <w:r w:rsidR="00762969" w:rsidRPr="002A4C42">
        <w:rPr>
          <w:bCs/>
          <w:i/>
          <w:iCs/>
          <w:sz w:val="24"/>
          <w:szCs w:val="24"/>
        </w:rPr>
        <w:t>custos morum</w:t>
      </w:r>
      <w:r w:rsidR="00762969">
        <w:rPr>
          <w:bCs/>
          <w:sz w:val="24"/>
          <w:szCs w:val="24"/>
        </w:rPr>
        <w:t xml:space="preserve"> of the medical profession and also “</w:t>
      </w:r>
      <w:r w:rsidR="00762969" w:rsidRPr="002A4C42">
        <w:rPr>
          <w:bCs/>
          <w:i/>
          <w:iCs/>
          <w:sz w:val="22"/>
          <w:szCs w:val="22"/>
        </w:rPr>
        <w:t>the guardian of the public interest insofar as members of the public are affected by the conduct of members of the profession</w:t>
      </w:r>
      <w:r w:rsidR="002A4C42" w:rsidRPr="002A4C42">
        <w:rPr>
          <w:bCs/>
          <w:i/>
          <w:iCs/>
          <w:sz w:val="22"/>
          <w:szCs w:val="22"/>
        </w:rPr>
        <w:t>.</w:t>
      </w:r>
      <w:r w:rsidR="002A4C42">
        <w:rPr>
          <w:bCs/>
          <w:sz w:val="24"/>
          <w:szCs w:val="24"/>
        </w:rPr>
        <w:t>”</w:t>
      </w:r>
      <w:r w:rsidR="002A4C42">
        <w:rPr>
          <w:rStyle w:val="FootnoteReference"/>
          <w:bCs/>
          <w:sz w:val="24"/>
          <w:szCs w:val="24"/>
        </w:rPr>
        <w:footnoteReference w:id="9"/>
      </w:r>
      <w:r w:rsidR="001B69C2">
        <w:rPr>
          <w:bCs/>
          <w:sz w:val="24"/>
          <w:szCs w:val="24"/>
        </w:rPr>
        <w:t xml:space="preserve"> </w:t>
      </w:r>
      <w:r w:rsidR="00D0281D">
        <w:rPr>
          <w:bCs/>
          <w:sz w:val="24"/>
          <w:szCs w:val="24"/>
        </w:rPr>
        <w:t xml:space="preserve"> </w:t>
      </w:r>
      <w:r w:rsidR="00FE2FAC" w:rsidRPr="0094494E">
        <w:rPr>
          <w:bCs/>
          <w:sz w:val="24"/>
          <w:szCs w:val="24"/>
        </w:rPr>
        <w:t xml:space="preserve">A number of </w:t>
      </w:r>
      <w:r w:rsidR="00D0281D" w:rsidRPr="0094494E">
        <w:rPr>
          <w:bCs/>
          <w:sz w:val="24"/>
          <w:szCs w:val="24"/>
        </w:rPr>
        <w:t xml:space="preserve"> complaints were lodged with the HPCSA</w:t>
      </w:r>
      <w:r w:rsidR="00CB50BC">
        <w:rPr>
          <w:rStyle w:val="FootnoteReference"/>
          <w:bCs/>
          <w:sz w:val="24"/>
          <w:szCs w:val="24"/>
        </w:rPr>
        <w:footnoteReference w:id="10"/>
      </w:r>
      <w:r w:rsidR="00D0281D" w:rsidRPr="0094494E">
        <w:rPr>
          <w:bCs/>
          <w:sz w:val="24"/>
          <w:szCs w:val="24"/>
        </w:rPr>
        <w:t xml:space="preserve"> against the applicant</w:t>
      </w:r>
      <w:r w:rsidR="00FE2FAC" w:rsidRPr="0094494E">
        <w:rPr>
          <w:bCs/>
          <w:sz w:val="24"/>
          <w:szCs w:val="24"/>
        </w:rPr>
        <w:t xml:space="preserve"> relating to the conversation on 22 August 2022</w:t>
      </w:r>
      <w:r w:rsidR="00EA758D" w:rsidRPr="0094494E">
        <w:rPr>
          <w:bCs/>
          <w:sz w:val="24"/>
          <w:szCs w:val="24"/>
        </w:rPr>
        <w:t xml:space="preserve">. </w:t>
      </w:r>
    </w:p>
    <w:p w14:paraId="3493E03B" w14:textId="280E0D01" w:rsidR="0094494E" w:rsidRDefault="00BD33EC" w:rsidP="0094494E">
      <w:pPr>
        <w:pStyle w:val="Body"/>
        <w:spacing w:line="360" w:lineRule="auto"/>
        <w:ind w:left="851"/>
        <w:jc w:val="both"/>
        <w:rPr>
          <w:bCs/>
          <w:sz w:val="24"/>
          <w:szCs w:val="24"/>
        </w:rPr>
      </w:pPr>
      <w:r w:rsidRPr="0094494E">
        <w:rPr>
          <w:bCs/>
          <w:sz w:val="24"/>
          <w:szCs w:val="24"/>
        </w:rPr>
        <w:t xml:space="preserve"> </w:t>
      </w:r>
    </w:p>
    <w:p w14:paraId="03528432" w14:textId="7F8038C8" w:rsidR="008056C0" w:rsidRPr="0094494E" w:rsidRDefault="005C677F" w:rsidP="005C677F">
      <w:pPr>
        <w:pStyle w:val="Body"/>
        <w:spacing w:line="360" w:lineRule="auto"/>
        <w:ind w:left="851" w:hanging="851"/>
        <w:jc w:val="both"/>
        <w:rPr>
          <w:bCs/>
          <w:sz w:val="24"/>
          <w:szCs w:val="24"/>
        </w:rPr>
      </w:pPr>
      <w:r w:rsidRPr="0094494E">
        <w:rPr>
          <w:sz w:val="24"/>
          <w:szCs w:val="24"/>
        </w:rPr>
        <w:t>[7]</w:t>
      </w:r>
      <w:r w:rsidRPr="0094494E">
        <w:rPr>
          <w:sz w:val="24"/>
          <w:szCs w:val="24"/>
        </w:rPr>
        <w:tab/>
      </w:r>
      <w:r w:rsidR="00BD33EC" w:rsidRPr="0094494E">
        <w:rPr>
          <w:bCs/>
          <w:sz w:val="24"/>
          <w:szCs w:val="24"/>
        </w:rPr>
        <w:t xml:space="preserve">The complaints procedure </w:t>
      </w:r>
      <w:r w:rsidR="0094494E">
        <w:rPr>
          <w:bCs/>
          <w:sz w:val="24"/>
          <w:szCs w:val="24"/>
        </w:rPr>
        <w:t xml:space="preserve">at the HPCSA </w:t>
      </w:r>
      <w:r w:rsidR="00BD33EC" w:rsidRPr="0094494E">
        <w:rPr>
          <w:bCs/>
          <w:sz w:val="24"/>
          <w:szCs w:val="24"/>
        </w:rPr>
        <w:t>is a two stage one – first there is</w:t>
      </w:r>
      <w:r w:rsidR="00EE7CF6" w:rsidRPr="0094494E">
        <w:rPr>
          <w:bCs/>
          <w:sz w:val="24"/>
          <w:szCs w:val="24"/>
        </w:rPr>
        <w:t xml:space="preserve"> a preliminary inquiry</w:t>
      </w:r>
      <w:r w:rsidR="00C776F8" w:rsidRPr="0094494E">
        <w:rPr>
          <w:bCs/>
          <w:sz w:val="24"/>
          <w:szCs w:val="24"/>
        </w:rPr>
        <w:t xml:space="preserve">. </w:t>
      </w:r>
      <w:r w:rsidR="00CB4BC1" w:rsidRPr="0094494E">
        <w:rPr>
          <w:bCs/>
          <w:sz w:val="24"/>
          <w:szCs w:val="24"/>
        </w:rPr>
        <w:t xml:space="preserve">Once a complaint is received it is submitted to the practitioner for </w:t>
      </w:r>
      <w:r w:rsidR="00EB729C" w:rsidRPr="0094494E">
        <w:rPr>
          <w:bCs/>
          <w:sz w:val="24"/>
          <w:szCs w:val="24"/>
        </w:rPr>
        <w:t>response. Once the response is received, both it and the</w:t>
      </w:r>
      <w:r w:rsidR="0094292C" w:rsidRPr="0094494E">
        <w:rPr>
          <w:bCs/>
          <w:sz w:val="24"/>
          <w:szCs w:val="24"/>
        </w:rPr>
        <w:t xml:space="preserve"> complaint are </w:t>
      </w:r>
      <w:r w:rsidR="009D4F9E" w:rsidRPr="0094494E">
        <w:rPr>
          <w:bCs/>
          <w:sz w:val="24"/>
          <w:szCs w:val="24"/>
        </w:rPr>
        <w:t xml:space="preserve">submitted to a preliminary </w:t>
      </w:r>
      <w:r w:rsidR="008056C0" w:rsidRPr="0094494E">
        <w:rPr>
          <w:bCs/>
          <w:sz w:val="24"/>
          <w:szCs w:val="24"/>
        </w:rPr>
        <w:t>committee of inquiry for consideration.</w:t>
      </w:r>
      <w:r w:rsidR="000B030E" w:rsidRPr="0094494E">
        <w:rPr>
          <w:bCs/>
          <w:sz w:val="24"/>
          <w:szCs w:val="24"/>
        </w:rPr>
        <w:t xml:space="preserve"> The complaint may be resolved at the preliminary inquiry stage</w:t>
      </w:r>
      <w:r w:rsidR="0088738A" w:rsidRPr="0094494E">
        <w:rPr>
          <w:bCs/>
          <w:sz w:val="24"/>
          <w:szCs w:val="24"/>
        </w:rPr>
        <w:t>.</w:t>
      </w:r>
      <w:r w:rsidR="004B23AD">
        <w:rPr>
          <w:rStyle w:val="FootnoteReference"/>
          <w:bCs/>
          <w:sz w:val="24"/>
          <w:szCs w:val="24"/>
        </w:rPr>
        <w:footnoteReference w:id="11"/>
      </w:r>
      <w:r w:rsidR="0088738A" w:rsidRPr="0094494E">
        <w:rPr>
          <w:bCs/>
          <w:sz w:val="24"/>
          <w:szCs w:val="24"/>
        </w:rPr>
        <w:t xml:space="preserve"> If the complaint is not resolved at the preliminary inquiry </w:t>
      </w:r>
      <w:r w:rsidR="00E07F8D" w:rsidRPr="0094494E">
        <w:rPr>
          <w:bCs/>
          <w:sz w:val="24"/>
          <w:szCs w:val="24"/>
        </w:rPr>
        <w:t>stage,</w:t>
      </w:r>
      <w:r w:rsidR="0088738A" w:rsidRPr="0094494E">
        <w:rPr>
          <w:bCs/>
          <w:sz w:val="24"/>
          <w:szCs w:val="24"/>
        </w:rPr>
        <w:t xml:space="preserve"> then it is referred for a formal inquiry</w:t>
      </w:r>
      <w:r w:rsidR="003B4231" w:rsidRPr="0094494E">
        <w:rPr>
          <w:bCs/>
          <w:sz w:val="24"/>
          <w:szCs w:val="24"/>
        </w:rPr>
        <w:t>.</w:t>
      </w:r>
      <w:r w:rsidR="009E57D0">
        <w:rPr>
          <w:rStyle w:val="FootnoteReference"/>
          <w:bCs/>
          <w:sz w:val="24"/>
          <w:szCs w:val="24"/>
        </w:rPr>
        <w:footnoteReference w:id="12"/>
      </w:r>
    </w:p>
    <w:p w14:paraId="3C96BA8E" w14:textId="278DBB2D" w:rsidR="00C776F8" w:rsidRDefault="00FA77AF" w:rsidP="006416E5">
      <w:pPr>
        <w:pStyle w:val="Body"/>
        <w:spacing w:line="360" w:lineRule="auto"/>
        <w:ind w:left="851"/>
        <w:jc w:val="both"/>
        <w:rPr>
          <w:bCs/>
          <w:sz w:val="24"/>
          <w:szCs w:val="24"/>
        </w:rPr>
      </w:pPr>
      <w:r>
        <w:rPr>
          <w:bCs/>
          <w:sz w:val="24"/>
          <w:szCs w:val="24"/>
        </w:rPr>
        <w:t xml:space="preserve"> </w:t>
      </w:r>
    </w:p>
    <w:p w14:paraId="758C08E8" w14:textId="53FBD752" w:rsidR="00B55D12" w:rsidRDefault="005C677F" w:rsidP="005C677F">
      <w:pPr>
        <w:pStyle w:val="Body"/>
        <w:spacing w:line="360" w:lineRule="auto"/>
        <w:ind w:left="851" w:hanging="851"/>
        <w:jc w:val="both"/>
        <w:rPr>
          <w:bCs/>
          <w:sz w:val="24"/>
          <w:szCs w:val="24"/>
        </w:rPr>
      </w:pPr>
      <w:r>
        <w:rPr>
          <w:sz w:val="24"/>
          <w:szCs w:val="24"/>
        </w:rPr>
        <w:t>[8]</w:t>
      </w:r>
      <w:r>
        <w:rPr>
          <w:sz w:val="24"/>
          <w:szCs w:val="24"/>
        </w:rPr>
        <w:tab/>
      </w:r>
      <w:r w:rsidR="00E07F8D">
        <w:rPr>
          <w:bCs/>
          <w:sz w:val="24"/>
          <w:szCs w:val="24"/>
        </w:rPr>
        <w:t>In the present instance, t</w:t>
      </w:r>
      <w:r w:rsidR="00761F91">
        <w:rPr>
          <w:bCs/>
          <w:sz w:val="24"/>
          <w:szCs w:val="24"/>
        </w:rPr>
        <w:t>he complaints were sent to the applicant</w:t>
      </w:r>
      <w:r w:rsidR="00174613">
        <w:rPr>
          <w:bCs/>
          <w:sz w:val="24"/>
          <w:szCs w:val="24"/>
        </w:rPr>
        <w:t xml:space="preserve"> on</w:t>
      </w:r>
      <w:r w:rsidR="00D56FB4">
        <w:rPr>
          <w:bCs/>
          <w:sz w:val="24"/>
          <w:szCs w:val="24"/>
        </w:rPr>
        <w:t xml:space="preserve"> 4 November 2022</w:t>
      </w:r>
      <w:r w:rsidR="00761F91">
        <w:rPr>
          <w:bCs/>
          <w:sz w:val="24"/>
          <w:szCs w:val="24"/>
        </w:rPr>
        <w:t xml:space="preserve"> for her consideration and response</w:t>
      </w:r>
      <w:r w:rsidR="00D56FB4">
        <w:rPr>
          <w:bCs/>
          <w:sz w:val="24"/>
          <w:szCs w:val="24"/>
        </w:rPr>
        <w:t>. A response was sent</w:t>
      </w:r>
      <w:r w:rsidR="002134AB">
        <w:rPr>
          <w:bCs/>
          <w:sz w:val="24"/>
          <w:szCs w:val="24"/>
        </w:rPr>
        <w:t xml:space="preserve"> on 2 December 2022</w:t>
      </w:r>
      <w:r w:rsidR="006416E5">
        <w:rPr>
          <w:bCs/>
          <w:sz w:val="24"/>
          <w:szCs w:val="24"/>
        </w:rPr>
        <w:t xml:space="preserve"> and a preliminary committee of inquiry considered them </w:t>
      </w:r>
      <w:r w:rsidR="00690B6A">
        <w:rPr>
          <w:bCs/>
          <w:sz w:val="24"/>
          <w:szCs w:val="24"/>
        </w:rPr>
        <w:t xml:space="preserve">at </w:t>
      </w:r>
      <w:r w:rsidR="00E7356C">
        <w:rPr>
          <w:bCs/>
          <w:sz w:val="24"/>
          <w:szCs w:val="24"/>
        </w:rPr>
        <w:t>a</w:t>
      </w:r>
      <w:r w:rsidR="00690B6A">
        <w:rPr>
          <w:bCs/>
          <w:sz w:val="24"/>
          <w:szCs w:val="24"/>
        </w:rPr>
        <w:t xml:space="preserve"> meeting</w:t>
      </w:r>
      <w:r w:rsidR="00E7356C">
        <w:rPr>
          <w:bCs/>
          <w:sz w:val="24"/>
          <w:szCs w:val="24"/>
        </w:rPr>
        <w:t xml:space="preserve"> held</w:t>
      </w:r>
      <w:r w:rsidR="00690B6A">
        <w:rPr>
          <w:bCs/>
          <w:sz w:val="24"/>
          <w:szCs w:val="24"/>
        </w:rPr>
        <w:t xml:space="preserve"> on 23 to 24 January 2023</w:t>
      </w:r>
      <w:r w:rsidR="00FE6B53">
        <w:rPr>
          <w:bCs/>
          <w:sz w:val="24"/>
          <w:szCs w:val="24"/>
        </w:rPr>
        <w:t xml:space="preserve">.  It was decided at this meeting that although the </w:t>
      </w:r>
      <w:r w:rsidR="00FE6B53">
        <w:rPr>
          <w:bCs/>
          <w:sz w:val="24"/>
          <w:szCs w:val="24"/>
        </w:rPr>
        <w:lastRenderedPageBreak/>
        <w:t xml:space="preserve">applicant had made herself guilty of unprofessional conduct, </w:t>
      </w:r>
      <w:r w:rsidR="00C726A7">
        <w:rPr>
          <w:bCs/>
          <w:sz w:val="24"/>
          <w:szCs w:val="24"/>
        </w:rPr>
        <w:t xml:space="preserve">it was only a </w:t>
      </w:r>
      <w:r w:rsidR="00C726A7" w:rsidRPr="00C726A7">
        <w:rPr>
          <w:bCs/>
          <w:i/>
          <w:iCs/>
          <w:sz w:val="22"/>
          <w:szCs w:val="22"/>
        </w:rPr>
        <w:t>“minor transgression.</w:t>
      </w:r>
      <w:r w:rsidR="00C726A7">
        <w:rPr>
          <w:bCs/>
          <w:sz w:val="24"/>
          <w:szCs w:val="24"/>
        </w:rPr>
        <w:t>”</w:t>
      </w:r>
      <w:r w:rsidR="002F2DB2">
        <w:rPr>
          <w:bCs/>
          <w:sz w:val="24"/>
          <w:szCs w:val="24"/>
        </w:rPr>
        <w:t xml:space="preserve"> </w:t>
      </w:r>
    </w:p>
    <w:p w14:paraId="6634C018" w14:textId="77777777" w:rsidR="00910A0B" w:rsidRDefault="00910A0B" w:rsidP="00910A0B">
      <w:pPr>
        <w:pStyle w:val="Body"/>
        <w:spacing w:line="360" w:lineRule="auto"/>
        <w:jc w:val="both"/>
        <w:rPr>
          <w:bCs/>
          <w:sz w:val="24"/>
          <w:szCs w:val="24"/>
        </w:rPr>
      </w:pPr>
    </w:p>
    <w:p w14:paraId="6C23B420" w14:textId="39BAF2A8" w:rsidR="001F2CB2" w:rsidRDefault="005C677F" w:rsidP="005C677F">
      <w:pPr>
        <w:pStyle w:val="Body"/>
        <w:spacing w:line="360" w:lineRule="auto"/>
        <w:ind w:left="851" w:hanging="851"/>
        <w:jc w:val="both"/>
        <w:rPr>
          <w:bCs/>
          <w:sz w:val="24"/>
          <w:szCs w:val="24"/>
        </w:rPr>
      </w:pPr>
      <w:r>
        <w:rPr>
          <w:sz w:val="24"/>
          <w:szCs w:val="24"/>
        </w:rPr>
        <w:t>[9]</w:t>
      </w:r>
      <w:r>
        <w:rPr>
          <w:sz w:val="24"/>
          <w:szCs w:val="24"/>
        </w:rPr>
        <w:tab/>
      </w:r>
      <w:r w:rsidR="009E54D7">
        <w:rPr>
          <w:bCs/>
          <w:sz w:val="24"/>
          <w:szCs w:val="24"/>
        </w:rPr>
        <w:t>In consequence, the HPCSA</w:t>
      </w:r>
      <w:r w:rsidR="00910A0B">
        <w:rPr>
          <w:bCs/>
          <w:sz w:val="24"/>
          <w:szCs w:val="24"/>
        </w:rPr>
        <w:t xml:space="preserve"> </w:t>
      </w:r>
      <w:r w:rsidR="00A01BB0">
        <w:rPr>
          <w:bCs/>
          <w:sz w:val="24"/>
          <w:szCs w:val="24"/>
        </w:rPr>
        <w:t xml:space="preserve">in a letter </w:t>
      </w:r>
      <w:r w:rsidR="00910A0B">
        <w:rPr>
          <w:bCs/>
          <w:sz w:val="24"/>
          <w:szCs w:val="24"/>
        </w:rPr>
        <w:t xml:space="preserve">on 9 February 2023 informed the applicant </w:t>
      </w:r>
      <w:r w:rsidR="007240D9">
        <w:rPr>
          <w:bCs/>
          <w:sz w:val="24"/>
          <w:szCs w:val="24"/>
        </w:rPr>
        <w:t>of its finding that:</w:t>
      </w:r>
    </w:p>
    <w:p w14:paraId="3586B370" w14:textId="77777777" w:rsidR="007240D9" w:rsidRDefault="007240D9" w:rsidP="007240D9">
      <w:pPr>
        <w:pStyle w:val="ListParagraph"/>
        <w:rPr>
          <w:bCs/>
        </w:rPr>
      </w:pPr>
    </w:p>
    <w:p w14:paraId="7FEAA5D1" w14:textId="192A6749" w:rsidR="00C7759C" w:rsidRDefault="005D1878" w:rsidP="00F63597">
      <w:pPr>
        <w:spacing w:after="104" w:line="265" w:lineRule="auto"/>
        <w:ind w:left="1418" w:right="871" w:hanging="10"/>
        <w:jc w:val="both"/>
        <w:rPr>
          <w:rFonts w:ascii="Arial" w:hAnsi="Arial" w:cs="Arial"/>
          <w:i/>
          <w:iCs/>
          <w:sz w:val="22"/>
          <w:szCs w:val="22"/>
        </w:rPr>
      </w:pPr>
      <w:r w:rsidRPr="00567A6E">
        <w:rPr>
          <w:rFonts w:ascii="Arial" w:hAnsi="Arial" w:cs="Arial"/>
          <w:bCs/>
          <w:i/>
          <w:iCs/>
          <w:sz w:val="22"/>
          <w:szCs w:val="22"/>
        </w:rPr>
        <w:t>“</w:t>
      </w:r>
      <w:r w:rsidR="00C7759C" w:rsidRPr="00567A6E">
        <w:rPr>
          <w:rFonts w:ascii="Arial" w:hAnsi="Arial" w:cs="Arial"/>
          <w:i/>
          <w:iCs/>
          <w:sz w:val="22"/>
          <w:szCs w:val="22"/>
        </w:rPr>
        <w:t>In January 2023 the Committee RESOLVED that: -</w:t>
      </w:r>
      <w:r w:rsidR="00C7759C" w:rsidRPr="00567A6E">
        <w:rPr>
          <w:rFonts w:ascii="Arial" w:hAnsi="Arial" w:cs="Arial"/>
          <w:i/>
          <w:iCs/>
          <w:noProof/>
          <w:sz w:val="22"/>
          <w:szCs w:val="22"/>
        </w:rPr>
        <w:drawing>
          <wp:inline distT="0" distB="0" distL="0" distR="0" wp14:anchorId="54460677" wp14:editId="1D72F5A6">
            <wp:extent cx="4572" cy="4572"/>
            <wp:effectExtent l="0" t="0" r="0" b="0"/>
            <wp:docPr id="2531" name="Picture 2531"/>
            <wp:cNvGraphicFramePr/>
            <a:graphic xmlns:a="http://schemas.openxmlformats.org/drawingml/2006/main">
              <a:graphicData uri="http://schemas.openxmlformats.org/drawingml/2006/picture">
                <pic:pic xmlns:pic="http://schemas.openxmlformats.org/drawingml/2006/picture">
                  <pic:nvPicPr>
                    <pic:cNvPr id="2531" name="Picture 2531"/>
                    <pic:cNvPicPr/>
                  </pic:nvPicPr>
                  <pic:blipFill>
                    <a:blip r:embed="rId10"/>
                    <a:stretch>
                      <a:fillRect/>
                    </a:stretch>
                  </pic:blipFill>
                  <pic:spPr>
                    <a:xfrm>
                      <a:off x="0" y="0"/>
                      <a:ext cx="4572" cy="4572"/>
                    </a:xfrm>
                    <a:prstGeom prst="rect">
                      <a:avLst/>
                    </a:prstGeom>
                  </pic:spPr>
                </pic:pic>
              </a:graphicData>
            </a:graphic>
          </wp:inline>
        </w:drawing>
      </w:r>
    </w:p>
    <w:p w14:paraId="0AC91F2F" w14:textId="60BE025F" w:rsidR="00F63597" w:rsidRDefault="00F63597" w:rsidP="00F63597">
      <w:pPr>
        <w:spacing w:after="104" w:line="265" w:lineRule="auto"/>
        <w:ind w:left="1418" w:right="871" w:hanging="10"/>
        <w:jc w:val="both"/>
        <w:rPr>
          <w:rFonts w:ascii="Arial" w:hAnsi="Arial" w:cs="Arial"/>
          <w:i/>
          <w:iCs/>
          <w:sz w:val="22"/>
          <w:szCs w:val="22"/>
        </w:rPr>
      </w:pPr>
    </w:p>
    <w:p w14:paraId="746DEE78" w14:textId="38626A61" w:rsidR="00F63597" w:rsidRDefault="00F63597" w:rsidP="00F63597">
      <w:pPr>
        <w:spacing w:after="104" w:line="265" w:lineRule="auto"/>
        <w:ind w:left="1418" w:right="871" w:hanging="10"/>
        <w:jc w:val="both"/>
        <w:rPr>
          <w:rFonts w:ascii="Arial" w:hAnsi="Arial" w:cs="Arial"/>
          <w:i/>
          <w:iCs/>
          <w:sz w:val="22"/>
          <w:szCs w:val="22"/>
        </w:rPr>
      </w:pPr>
    </w:p>
    <w:p w14:paraId="3297DD96" w14:textId="77777777" w:rsidR="00F63597" w:rsidRPr="00567A6E" w:rsidRDefault="00F63597" w:rsidP="00F63597">
      <w:pPr>
        <w:spacing w:after="104" w:line="265" w:lineRule="auto"/>
        <w:ind w:left="1418" w:right="871" w:hanging="10"/>
        <w:jc w:val="both"/>
        <w:rPr>
          <w:rFonts w:ascii="Arial" w:hAnsi="Arial" w:cs="Arial"/>
          <w:i/>
          <w:iCs/>
          <w:sz w:val="22"/>
          <w:szCs w:val="22"/>
        </w:rPr>
      </w:pPr>
    </w:p>
    <w:p w14:paraId="67E83231" w14:textId="5CB8D472" w:rsidR="00C7759C" w:rsidRPr="00567A6E" w:rsidRDefault="005C677F" w:rsidP="005C677F">
      <w:pPr>
        <w:spacing w:line="265" w:lineRule="auto"/>
        <w:ind w:left="2268" w:right="4" w:hanging="850"/>
        <w:jc w:val="both"/>
        <w:rPr>
          <w:rFonts w:ascii="Arial" w:hAnsi="Arial" w:cs="Arial"/>
          <w:i/>
          <w:iCs/>
          <w:sz w:val="22"/>
          <w:szCs w:val="22"/>
        </w:rPr>
      </w:pPr>
      <w:r w:rsidRPr="00567A6E">
        <w:rPr>
          <w:rFonts w:ascii="Calibri" w:eastAsia="Calibri" w:hAnsi="Calibri" w:cs="Calibri"/>
          <w:iCs/>
          <w:color w:val="000000"/>
          <w:sz w:val="20"/>
          <w:szCs w:val="20"/>
          <w:u w:color="000000"/>
        </w:rPr>
        <w:t>(i)</w:t>
      </w:r>
      <w:r w:rsidRPr="00567A6E">
        <w:rPr>
          <w:rFonts w:ascii="Calibri" w:eastAsia="Calibri" w:hAnsi="Calibri" w:cs="Calibri"/>
          <w:iCs/>
          <w:color w:val="000000"/>
          <w:sz w:val="20"/>
          <w:szCs w:val="20"/>
          <w:u w:color="000000"/>
        </w:rPr>
        <w:tab/>
      </w:r>
      <w:r w:rsidR="00C7759C" w:rsidRPr="00567A6E">
        <w:rPr>
          <w:rFonts w:ascii="Arial" w:hAnsi="Arial" w:cs="Arial"/>
          <w:i/>
          <w:iCs/>
          <w:sz w:val="22"/>
          <w:szCs w:val="22"/>
        </w:rPr>
        <w:t>'There is evidence of unprofessional conduct on Dr Ramathuba in terms Of Regulation 4(9) of regulations relating to conduct of inquiries into alleged unprofessional con</w:t>
      </w:r>
      <w:r w:rsidR="00E07F8D">
        <w:rPr>
          <w:rFonts w:ascii="Arial" w:hAnsi="Arial" w:cs="Arial"/>
          <w:i/>
          <w:iCs/>
          <w:sz w:val="22"/>
          <w:szCs w:val="22"/>
        </w:rPr>
        <w:t>duct</w:t>
      </w:r>
      <w:r w:rsidR="00C7759C" w:rsidRPr="00567A6E">
        <w:rPr>
          <w:rFonts w:ascii="Arial" w:hAnsi="Arial" w:cs="Arial"/>
          <w:i/>
          <w:iCs/>
          <w:sz w:val="22"/>
          <w:szCs w:val="22"/>
        </w:rPr>
        <w:t xml:space="preserve"> under the Health Professions Act; and</w:t>
      </w:r>
    </w:p>
    <w:p w14:paraId="51DA77F6" w14:textId="77777777" w:rsidR="00C7759C" w:rsidRPr="00567A6E" w:rsidRDefault="00C7759C" w:rsidP="00F63597">
      <w:pPr>
        <w:ind w:left="2268" w:right="4" w:hanging="850"/>
        <w:jc w:val="both"/>
        <w:rPr>
          <w:rFonts w:ascii="Arial" w:hAnsi="Arial" w:cs="Arial"/>
          <w:i/>
          <w:iCs/>
          <w:sz w:val="22"/>
          <w:szCs w:val="22"/>
        </w:rPr>
      </w:pPr>
      <w:r w:rsidRPr="00567A6E">
        <w:rPr>
          <w:rFonts w:ascii="Arial" w:hAnsi="Arial" w:cs="Arial"/>
          <w:i/>
          <w:iCs/>
          <w:noProof/>
          <w:sz w:val="22"/>
          <w:szCs w:val="22"/>
        </w:rPr>
        <w:drawing>
          <wp:inline distT="0" distB="0" distL="0" distR="0" wp14:anchorId="5E46A2CA" wp14:editId="56E01625">
            <wp:extent cx="4572" cy="32004"/>
            <wp:effectExtent l="0" t="0" r="0" b="0"/>
            <wp:docPr id="5312" name="Picture 5312"/>
            <wp:cNvGraphicFramePr/>
            <a:graphic xmlns:a="http://schemas.openxmlformats.org/drawingml/2006/main">
              <a:graphicData uri="http://schemas.openxmlformats.org/drawingml/2006/picture">
                <pic:pic xmlns:pic="http://schemas.openxmlformats.org/drawingml/2006/picture">
                  <pic:nvPicPr>
                    <pic:cNvPr id="5312" name="Picture 5312"/>
                    <pic:cNvPicPr/>
                  </pic:nvPicPr>
                  <pic:blipFill>
                    <a:blip r:embed="rId11"/>
                    <a:stretch>
                      <a:fillRect/>
                    </a:stretch>
                  </pic:blipFill>
                  <pic:spPr>
                    <a:xfrm>
                      <a:off x="0" y="0"/>
                      <a:ext cx="4572" cy="32004"/>
                    </a:xfrm>
                    <a:prstGeom prst="rect">
                      <a:avLst/>
                    </a:prstGeom>
                  </pic:spPr>
                </pic:pic>
              </a:graphicData>
            </a:graphic>
          </wp:inline>
        </w:drawing>
      </w:r>
    </w:p>
    <w:p w14:paraId="1DE39274" w14:textId="6D61D1C1" w:rsidR="00C7759C" w:rsidRPr="00567A6E" w:rsidRDefault="005C677F" w:rsidP="005C677F">
      <w:pPr>
        <w:spacing w:after="4" w:line="255" w:lineRule="auto"/>
        <w:ind w:left="2268" w:right="4" w:hanging="850"/>
        <w:jc w:val="both"/>
        <w:rPr>
          <w:rFonts w:ascii="Arial" w:hAnsi="Arial" w:cs="Arial"/>
          <w:i/>
          <w:iCs/>
          <w:sz w:val="22"/>
          <w:szCs w:val="22"/>
        </w:rPr>
      </w:pPr>
      <w:r w:rsidRPr="00567A6E">
        <w:rPr>
          <w:rFonts w:ascii="Calibri" w:eastAsia="Calibri" w:hAnsi="Calibri" w:cs="Calibri"/>
          <w:iCs/>
          <w:color w:val="000000"/>
          <w:sz w:val="20"/>
          <w:szCs w:val="20"/>
          <w:u w:color="000000"/>
        </w:rPr>
        <w:t>(ii)</w:t>
      </w:r>
      <w:r w:rsidRPr="00567A6E">
        <w:rPr>
          <w:rFonts w:ascii="Calibri" w:eastAsia="Calibri" w:hAnsi="Calibri" w:cs="Calibri"/>
          <w:iCs/>
          <w:color w:val="000000"/>
          <w:sz w:val="20"/>
          <w:szCs w:val="20"/>
          <w:u w:color="000000"/>
        </w:rPr>
        <w:tab/>
      </w:r>
      <w:r w:rsidR="00C7759C" w:rsidRPr="00567A6E">
        <w:rPr>
          <w:rFonts w:ascii="Arial" w:hAnsi="Arial" w:cs="Arial"/>
          <w:i/>
          <w:iCs/>
          <w:sz w:val="22"/>
          <w:szCs w:val="22"/>
        </w:rPr>
        <w:t>Impose as a penalty a caution and reprimand to the practitioner in terms of Section 42(1)A of</w:t>
      </w:r>
      <w:r w:rsidR="00567A6E" w:rsidRPr="00567A6E">
        <w:rPr>
          <w:rFonts w:ascii="Arial" w:hAnsi="Arial" w:cs="Arial"/>
          <w:i/>
          <w:iCs/>
          <w:sz w:val="22"/>
          <w:szCs w:val="22"/>
        </w:rPr>
        <w:t xml:space="preserve"> </w:t>
      </w:r>
      <w:r w:rsidR="00C7759C" w:rsidRPr="00567A6E">
        <w:rPr>
          <w:rFonts w:ascii="Arial" w:hAnsi="Arial" w:cs="Arial"/>
          <w:i/>
          <w:iCs/>
          <w:sz w:val="22"/>
          <w:szCs w:val="22"/>
        </w:rPr>
        <w:t>the Health Professions Act 1974 for unprofessional behaviour and unbecoming of a medical profession to be shouting al a patient's bedside as the patient was vulnerable at the time.</w:t>
      </w:r>
      <w:r w:rsidR="00567A6E" w:rsidRPr="00567A6E">
        <w:rPr>
          <w:rFonts w:ascii="Arial" w:hAnsi="Arial" w:cs="Arial"/>
          <w:i/>
          <w:iCs/>
          <w:sz w:val="22"/>
          <w:szCs w:val="22"/>
        </w:rPr>
        <w:t>”</w:t>
      </w:r>
    </w:p>
    <w:p w14:paraId="5E762D42" w14:textId="3E761D12" w:rsidR="007240D9" w:rsidRDefault="007240D9" w:rsidP="005D1878">
      <w:pPr>
        <w:pStyle w:val="ListParagraph"/>
        <w:ind w:left="851"/>
        <w:rPr>
          <w:bCs/>
        </w:rPr>
      </w:pPr>
    </w:p>
    <w:p w14:paraId="18E57358" w14:textId="77777777" w:rsidR="007240D9" w:rsidRDefault="007240D9" w:rsidP="007240D9">
      <w:pPr>
        <w:pStyle w:val="Body"/>
        <w:spacing w:line="360" w:lineRule="auto"/>
        <w:ind w:left="851"/>
        <w:jc w:val="both"/>
        <w:rPr>
          <w:bCs/>
          <w:sz w:val="24"/>
          <w:szCs w:val="24"/>
        </w:rPr>
      </w:pPr>
    </w:p>
    <w:p w14:paraId="66CA2B46" w14:textId="47178BFA" w:rsidR="00567A6E" w:rsidRDefault="005C677F" w:rsidP="005C677F">
      <w:pPr>
        <w:pStyle w:val="Body"/>
        <w:spacing w:line="360" w:lineRule="auto"/>
        <w:ind w:left="851" w:hanging="851"/>
        <w:jc w:val="both"/>
        <w:rPr>
          <w:bCs/>
          <w:sz w:val="24"/>
          <w:szCs w:val="24"/>
        </w:rPr>
      </w:pPr>
      <w:r>
        <w:rPr>
          <w:sz w:val="24"/>
          <w:szCs w:val="24"/>
        </w:rPr>
        <w:t>[10]</w:t>
      </w:r>
      <w:r>
        <w:rPr>
          <w:sz w:val="24"/>
          <w:szCs w:val="24"/>
        </w:rPr>
        <w:tab/>
      </w:r>
      <w:r w:rsidR="00567A6E">
        <w:rPr>
          <w:bCs/>
          <w:sz w:val="24"/>
          <w:szCs w:val="24"/>
        </w:rPr>
        <w:t>Th</w:t>
      </w:r>
      <w:r w:rsidR="00A01BB0">
        <w:rPr>
          <w:bCs/>
          <w:sz w:val="24"/>
          <w:szCs w:val="24"/>
        </w:rPr>
        <w:t>is was followed by a further letter on 13 February 2023</w:t>
      </w:r>
      <w:r w:rsidR="00DB6FF6">
        <w:rPr>
          <w:bCs/>
          <w:sz w:val="24"/>
          <w:szCs w:val="24"/>
        </w:rPr>
        <w:t xml:space="preserve"> in which it was stated:</w:t>
      </w:r>
    </w:p>
    <w:p w14:paraId="6DA1D082" w14:textId="77777777" w:rsidR="00F63597" w:rsidRDefault="00F63597" w:rsidP="00F63597">
      <w:pPr>
        <w:pStyle w:val="Body"/>
        <w:spacing w:line="360" w:lineRule="auto"/>
        <w:ind w:left="851"/>
        <w:jc w:val="both"/>
        <w:rPr>
          <w:bCs/>
          <w:sz w:val="24"/>
          <w:szCs w:val="24"/>
        </w:rPr>
      </w:pPr>
    </w:p>
    <w:p w14:paraId="2133807E" w14:textId="1CB605D6" w:rsidR="003E4362" w:rsidRPr="00471DE9" w:rsidRDefault="00DB6FF6" w:rsidP="00F63597">
      <w:pPr>
        <w:spacing w:after="403" w:line="269" w:lineRule="auto"/>
        <w:ind w:left="1418" w:right="4" w:hanging="10"/>
        <w:jc w:val="both"/>
        <w:rPr>
          <w:rFonts w:ascii="Arial" w:hAnsi="Arial" w:cs="Arial"/>
          <w:i/>
          <w:iCs/>
          <w:sz w:val="22"/>
          <w:szCs w:val="22"/>
        </w:rPr>
      </w:pPr>
      <w:r w:rsidRPr="00471DE9">
        <w:rPr>
          <w:rFonts w:ascii="Arial" w:hAnsi="Arial" w:cs="Arial"/>
          <w:bCs/>
          <w:i/>
          <w:iCs/>
          <w:sz w:val="22"/>
          <w:szCs w:val="22"/>
        </w:rPr>
        <w:t>“</w:t>
      </w:r>
      <w:r w:rsidR="003E4362" w:rsidRPr="00471DE9">
        <w:rPr>
          <w:rFonts w:ascii="Arial" w:hAnsi="Arial" w:cs="Arial"/>
          <w:i/>
          <w:iCs/>
          <w:sz w:val="22"/>
          <w:szCs w:val="22"/>
        </w:rPr>
        <w:t>The acceptance of the penalty and the payment of the fine will not constitute a conviction and will not be reflected against your name as a previous conviction. The matter will thus be regarded as a finalised.</w:t>
      </w:r>
    </w:p>
    <w:p w14:paraId="4FD52B34" w14:textId="5E4CB651" w:rsidR="003E4362" w:rsidRPr="00471DE9" w:rsidRDefault="003E4362" w:rsidP="00F63597">
      <w:pPr>
        <w:spacing w:after="20" w:line="326" w:lineRule="auto"/>
        <w:ind w:left="1418" w:right="4" w:hanging="10"/>
        <w:jc w:val="both"/>
        <w:rPr>
          <w:rFonts w:ascii="Arial" w:hAnsi="Arial" w:cs="Arial"/>
          <w:i/>
          <w:iCs/>
          <w:sz w:val="22"/>
          <w:szCs w:val="22"/>
        </w:rPr>
      </w:pPr>
      <w:r w:rsidRPr="00471DE9">
        <w:rPr>
          <w:rFonts w:ascii="Arial" w:hAnsi="Arial" w:cs="Arial"/>
          <w:i/>
          <w:iCs/>
          <w:sz w:val="22"/>
          <w:szCs w:val="22"/>
        </w:rPr>
        <w:t>If the penalty is rejected or no response is received within 14 days of receipt of this Notice, the penalty so rejected or not responded to may no longer be applied to the matter and the Registrar will arrange for an inquiry into your conduct to be held in terms of the Regulations</w:t>
      </w:r>
      <w:r w:rsidR="00471DE9" w:rsidRPr="00471DE9">
        <w:rPr>
          <w:rFonts w:ascii="Arial" w:hAnsi="Arial" w:cs="Arial"/>
          <w:i/>
          <w:iCs/>
          <w:sz w:val="22"/>
          <w:szCs w:val="22"/>
        </w:rPr>
        <w:t>….”</w:t>
      </w:r>
    </w:p>
    <w:p w14:paraId="4479B140" w14:textId="3FE74408" w:rsidR="00DB6FF6" w:rsidRDefault="00DB6FF6" w:rsidP="00DB6FF6">
      <w:pPr>
        <w:pStyle w:val="Body"/>
        <w:spacing w:line="360" w:lineRule="auto"/>
        <w:ind w:left="851"/>
        <w:jc w:val="both"/>
        <w:rPr>
          <w:bCs/>
          <w:sz w:val="24"/>
          <w:szCs w:val="24"/>
        </w:rPr>
      </w:pPr>
    </w:p>
    <w:p w14:paraId="0849440A" w14:textId="7A0FB173" w:rsidR="00E07F8D" w:rsidRDefault="005C677F" w:rsidP="005C677F">
      <w:pPr>
        <w:pStyle w:val="Body"/>
        <w:spacing w:line="360" w:lineRule="auto"/>
        <w:ind w:left="851" w:hanging="851"/>
        <w:jc w:val="both"/>
        <w:rPr>
          <w:bCs/>
          <w:sz w:val="24"/>
          <w:szCs w:val="24"/>
        </w:rPr>
      </w:pPr>
      <w:r>
        <w:rPr>
          <w:sz w:val="24"/>
          <w:szCs w:val="24"/>
        </w:rPr>
        <w:t>[11]</w:t>
      </w:r>
      <w:r>
        <w:rPr>
          <w:sz w:val="24"/>
          <w:szCs w:val="24"/>
        </w:rPr>
        <w:tab/>
      </w:r>
      <w:r w:rsidR="00E07F8D">
        <w:rPr>
          <w:bCs/>
          <w:sz w:val="24"/>
          <w:szCs w:val="24"/>
        </w:rPr>
        <w:t xml:space="preserve">Properly construed, the letters of 9 and 13 February 2023 both communicated the decision of the preliminary committee of inquiry and so the </w:t>
      </w:r>
      <w:r w:rsidR="00F63597">
        <w:rPr>
          <w:bCs/>
          <w:sz w:val="24"/>
          <w:szCs w:val="24"/>
        </w:rPr>
        <w:t>14-day</w:t>
      </w:r>
      <w:r w:rsidR="00E07F8D">
        <w:rPr>
          <w:bCs/>
          <w:sz w:val="24"/>
          <w:szCs w:val="24"/>
        </w:rPr>
        <w:t xml:space="preserve"> period began to run on</w:t>
      </w:r>
      <w:r w:rsidR="00E0344D">
        <w:rPr>
          <w:bCs/>
          <w:sz w:val="24"/>
          <w:szCs w:val="24"/>
        </w:rPr>
        <w:t xml:space="preserve"> 14 February 2023 and expired on 28 February 2023.</w:t>
      </w:r>
    </w:p>
    <w:p w14:paraId="17B38E0C" w14:textId="77777777" w:rsidR="00E0344D" w:rsidRDefault="00E0344D" w:rsidP="00E0344D">
      <w:pPr>
        <w:pStyle w:val="Body"/>
        <w:spacing w:line="360" w:lineRule="auto"/>
        <w:ind w:left="851"/>
        <w:jc w:val="both"/>
        <w:rPr>
          <w:bCs/>
          <w:sz w:val="24"/>
          <w:szCs w:val="24"/>
        </w:rPr>
      </w:pPr>
    </w:p>
    <w:p w14:paraId="2F0EF4CF" w14:textId="7AED3B7A" w:rsidR="001F495B" w:rsidRDefault="005C677F" w:rsidP="005C677F">
      <w:pPr>
        <w:pStyle w:val="Body"/>
        <w:spacing w:line="360" w:lineRule="auto"/>
        <w:ind w:left="851" w:hanging="851"/>
        <w:jc w:val="both"/>
        <w:rPr>
          <w:bCs/>
          <w:sz w:val="24"/>
          <w:szCs w:val="24"/>
        </w:rPr>
      </w:pPr>
      <w:r>
        <w:rPr>
          <w:sz w:val="24"/>
          <w:szCs w:val="24"/>
        </w:rPr>
        <w:t>[12]</w:t>
      </w:r>
      <w:r>
        <w:rPr>
          <w:sz w:val="24"/>
          <w:szCs w:val="24"/>
        </w:rPr>
        <w:tab/>
      </w:r>
      <w:r w:rsidR="00E07F8D">
        <w:rPr>
          <w:bCs/>
          <w:sz w:val="24"/>
          <w:szCs w:val="24"/>
        </w:rPr>
        <w:t>T</w:t>
      </w:r>
      <w:r w:rsidR="00B1695C">
        <w:rPr>
          <w:bCs/>
          <w:sz w:val="24"/>
          <w:szCs w:val="24"/>
        </w:rPr>
        <w:t xml:space="preserve">he applicant wrote  to the HPCSA on </w:t>
      </w:r>
      <w:r w:rsidR="00E07F8D">
        <w:rPr>
          <w:bCs/>
          <w:sz w:val="24"/>
          <w:szCs w:val="24"/>
        </w:rPr>
        <w:t xml:space="preserve">18 February 2023, challenging the </w:t>
      </w:r>
      <w:r w:rsidR="002A4C42">
        <w:rPr>
          <w:bCs/>
          <w:sz w:val="24"/>
          <w:szCs w:val="24"/>
        </w:rPr>
        <w:t>finding</w:t>
      </w:r>
      <w:r w:rsidR="00E07F8D">
        <w:rPr>
          <w:bCs/>
          <w:sz w:val="24"/>
          <w:szCs w:val="24"/>
        </w:rPr>
        <w:t xml:space="preserve"> on the basis that the HPCSA had no jurisdiction, and </w:t>
      </w:r>
      <w:r w:rsidR="002A4C42">
        <w:rPr>
          <w:bCs/>
          <w:sz w:val="24"/>
          <w:szCs w:val="24"/>
        </w:rPr>
        <w:t xml:space="preserve">that </w:t>
      </w:r>
      <w:r w:rsidR="00E07F8D">
        <w:rPr>
          <w:bCs/>
          <w:sz w:val="24"/>
          <w:szCs w:val="24"/>
        </w:rPr>
        <w:t xml:space="preserve">the </w:t>
      </w:r>
      <w:r w:rsidR="00B3631B">
        <w:rPr>
          <w:bCs/>
          <w:sz w:val="24"/>
          <w:szCs w:val="24"/>
        </w:rPr>
        <w:t>finding</w:t>
      </w:r>
      <w:r w:rsidR="00E07F8D">
        <w:rPr>
          <w:bCs/>
          <w:sz w:val="24"/>
          <w:szCs w:val="24"/>
        </w:rPr>
        <w:t xml:space="preserve"> ought never </w:t>
      </w:r>
      <w:r w:rsidR="00E07F8D">
        <w:rPr>
          <w:bCs/>
          <w:sz w:val="24"/>
          <w:szCs w:val="24"/>
        </w:rPr>
        <w:lastRenderedPageBreak/>
        <w:t>to have been made. A</w:t>
      </w:r>
      <w:r w:rsidR="00B1695C">
        <w:rPr>
          <w:bCs/>
          <w:sz w:val="24"/>
          <w:szCs w:val="24"/>
        </w:rPr>
        <w:t>t no stage</w:t>
      </w:r>
      <w:r w:rsidR="00E07F8D">
        <w:rPr>
          <w:bCs/>
          <w:sz w:val="24"/>
          <w:szCs w:val="24"/>
        </w:rPr>
        <w:t xml:space="preserve"> was the </w:t>
      </w:r>
      <w:r w:rsidR="00B3631B">
        <w:rPr>
          <w:bCs/>
          <w:sz w:val="24"/>
          <w:szCs w:val="24"/>
        </w:rPr>
        <w:t>finding</w:t>
      </w:r>
      <w:r w:rsidR="00B1695C">
        <w:rPr>
          <w:bCs/>
          <w:sz w:val="24"/>
          <w:szCs w:val="24"/>
        </w:rPr>
        <w:t xml:space="preserve"> either accepted or rejected</w:t>
      </w:r>
      <w:r w:rsidR="00E07F8D">
        <w:rPr>
          <w:bCs/>
          <w:sz w:val="24"/>
          <w:szCs w:val="24"/>
        </w:rPr>
        <w:t>.</w:t>
      </w:r>
      <w:r w:rsidR="002A4C42">
        <w:rPr>
          <w:rStyle w:val="FootnoteReference"/>
          <w:bCs/>
          <w:sz w:val="24"/>
          <w:szCs w:val="24"/>
        </w:rPr>
        <w:footnoteReference w:id="13"/>
      </w:r>
      <w:r w:rsidR="00E35631">
        <w:rPr>
          <w:bCs/>
          <w:sz w:val="24"/>
          <w:szCs w:val="24"/>
        </w:rPr>
        <w:t xml:space="preserve"> </w:t>
      </w:r>
      <w:r w:rsidR="00E07F8D">
        <w:rPr>
          <w:bCs/>
          <w:sz w:val="24"/>
          <w:szCs w:val="24"/>
        </w:rPr>
        <w:t xml:space="preserve">On 9 March 2023, the HPCSA responded to the letter and disavowed the contention that it did not have jurisdiction or that the </w:t>
      </w:r>
      <w:r w:rsidR="00B3631B">
        <w:rPr>
          <w:bCs/>
          <w:sz w:val="24"/>
          <w:szCs w:val="24"/>
        </w:rPr>
        <w:t>finding</w:t>
      </w:r>
      <w:r w:rsidR="00E07F8D">
        <w:rPr>
          <w:bCs/>
          <w:sz w:val="24"/>
          <w:szCs w:val="24"/>
        </w:rPr>
        <w:t xml:space="preserve"> had not been properly made.</w:t>
      </w:r>
      <w:r w:rsidR="00E0344D">
        <w:rPr>
          <w:bCs/>
          <w:sz w:val="24"/>
          <w:szCs w:val="24"/>
        </w:rPr>
        <w:t xml:space="preserve"> The applicant was informed that the matter would be referred to an inquiry.</w:t>
      </w:r>
    </w:p>
    <w:p w14:paraId="51DF85AD" w14:textId="77777777" w:rsidR="00E07F8D" w:rsidRDefault="00E07F8D" w:rsidP="00E07F8D">
      <w:pPr>
        <w:pStyle w:val="Body"/>
        <w:spacing w:line="360" w:lineRule="auto"/>
        <w:ind w:left="851"/>
        <w:jc w:val="both"/>
        <w:rPr>
          <w:bCs/>
          <w:sz w:val="24"/>
          <w:szCs w:val="24"/>
        </w:rPr>
      </w:pPr>
    </w:p>
    <w:p w14:paraId="3BA9A785" w14:textId="4BC26017" w:rsidR="00E0344D" w:rsidRDefault="005C677F" w:rsidP="005C677F">
      <w:pPr>
        <w:pStyle w:val="Body"/>
        <w:spacing w:line="360" w:lineRule="auto"/>
        <w:ind w:left="851" w:hanging="851"/>
        <w:jc w:val="both"/>
        <w:rPr>
          <w:bCs/>
          <w:sz w:val="24"/>
          <w:szCs w:val="24"/>
        </w:rPr>
      </w:pPr>
      <w:r>
        <w:rPr>
          <w:sz w:val="24"/>
          <w:szCs w:val="24"/>
        </w:rPr>
        <w:t>[13]</w:t>
      </w:r>
      <w:r>
        <w:rPr>
          <w:sz w:val="24"/>
          <w:szCs w:val="24"/>
        </w:rPr>
        <w:tab/>
      </w:r>
      <w:r w:rsidR="00E35631">
        <w:rPr>
          <w:bCs/>
          <w:sz w:val="24"/>
          <w:szCs w:val="24"/>
        </w:rPr>
        <w:t xml:space="preserve">On 29 March 2023, the HPCSA then proceeded to </w:t>
      </w:r>
      <w:r w:rsidR="00E0344D">
        <w:rPr>
          <w:bCs/>
          <w:sz w:val="24"/>
          <w:szCs w:val="24"/>
        </w:rPr>
        <w:t>notify</w:t>
      </w:r>
      <w:r w:rsidR="00E35631">
        <w:rPr>
          <w:bCs/>
          <w:sz w:val="24"/>
          <w:szCs w:val="24"/>
        </w:rPr>
        <w:t xml:space="preserve"> the applicant </w:t>
      </w:r>
      <w:r w:rsidR="00E0344D">
        <w:rPr>
          <w:bCs/>
          <w:sz w:val="24"/>
          <w:szCs w:val="24"/>
        </w:rPr>
        <w:t xml:space="preserve">of the holding of </w:t>
      </w:r>
      <w:r w:rsidR="00E35631">
        <w:rPr>
          <w:bCs/>
          <w:sz w:val="24"/>
          <w:szCs w:val="24"/>
        </w:rPr>
        <w:t xml:space="preserve"> a formal inquiry</w:t>
      </w:r>
      <w:r w:rsidR="00995236">
        <w:rPr>
          <w:bCs/>
          <w:sz w:val="24"/>
          <w:szCs w:val="24"/>
        </w:rPr>
        <w:t xml:space="preserve"> to be held from 25 to 27 July 2023. </w:t>
      </w:r>
    </w:p>
    <w:p w14:paraId="768C7B9F" w14:textId="77777777" w:rsidR="00E0344D" w:rsidRDefault="00E0344D" w:rsidP="00E0344D">
      <w:pPr>
        <w:pStyle w:val="ListParagraph"/>
        <w:rPr>
          <w:bCs/>
        </w:rPr>
      </w:pPr>
    </w:p>
    <w:p w14:paraId="74E2A499" w14:textId="0F264F71" w:rsidR="00FE564C" w:rsidRDefault="005C677F" w:rsidP="005C677F">
      <w:pPr>
        <w:pStyle w:val="Body"/>
        <w:spacing w:line="360" w:lineRule="auto"/>
        <w:ind w:left="851" w:hanging="851"/>
        <w:jc w:val="both"/>
        <w:rPr>
          <w:bCs/>
          <w:sz w:val="24"/>
          <w:szCs w:val="24"/>
        </w:rPr>
      </w:pPr>
      <w:r>
        <w:rPr>
          <w:sz w:val="24"/>
          <w:szCs w:val="24"/>
        </w:rPr>
        <w:t>[14]</w:t>
      </w:r>
      <w:r>
        <w:rPr>
          <w:sz w:val="24"/>
          <w:szCs w:val="24"/>
        </w:rPr>
        <w:tab/>
      </w:r>
      <w:r w:rsidR="00546C5B" w:rsidRPr="00E0344D">
        <w:rPr>
          <w:bCs/>
          <w:sz w:val="24"/>
          <w:szCs w:val="24"/>
        </w:rPr>
        <w:t xml:space="preserve">The applicant does not want </w:t>
      </w:r>
      <w:r w:rsidR="00E0344D" w:rsidRPr="00E0344D">
        <w:rPr>
          <w:bCs/>
          <w:sz w:val="24"/>
          <w:szCs w:val="24"/>
        </w:rPr>
        <w:t xml:space="preserve">the inquiry to proceed or </w:t>
      </w:r>
      <w:r w:rsidR="00546C5B" w:rsidRPr="00E0344D">
        <w:rPr>
          <w:bCs/>
          <w:sz w:val="24"/>
          <w:szCs w:val="24"/>
        </w:rPr>
        <w:t xml:space="preserve">to attend </w:t>
      </w:r>
      <w:r w:rsidR="00E0344D" w:rsidRPr="00E0344D">
        <w:rPr>
          <w:bCs/>
          <w:sz w:val="24"/>
          <w:szCs w:val="24"/>
        </w:rPr>
        <w:t>it</w:t>
      </w:r>
      <w:r w:rsidR="00B3631B">
        <w:rPr>
          <w:bCs/>
          <w:sz w:val="24"/>
          <w:szCs w:val="24"/>
        </w:rPr>
        <w:t xml:space="preserve"> and hence the present application for an interim interdict pending the review of the </w:t>
      </w:r>
      <w:r w:rsidR="007716E1">
        <w:rPr>
          <w:bCs/>
          <w:sz w:val="24"/>
          <w:szCs w:val="24"/>
        </w:rPr>
        <w:t>finding.</w:t>
      </w:r>
    </w:p>
    <w:p w14:paraId="6614779F" w14:textId="77777777" w:rsidR="00F63597" w:rsidRPr="00E0344D" w:rsidRDefault="00F63597" w:rsidP="00F63597">
      <w:pPr>
        <w:pStyle w:val="Body"/>
        <w:spacing w:line="360" w:lineRule="auto"/>
        <w:jc w:val="both"/>
        <w:rPr>
          <w:bCs/>
          <w:sz w:val="24"/>
          <w:szCs w:val="24"/>
        </w:rPr>
      </w:pPr>
    </w:p>
    <w:p w14:paraId="520895B1" w14:textId="6450E9CD" w:rsidR="001868FD" w:rsidRPr="00FE564C" w:rsidRDefault="005C677F" w:rsidP="005C677F">
      <w:pPr>
        <w:pStyle w:val="Body"/>
        <w:spacing w:line="360" w:lineRule="auto"/>
        <w:ind w:left="851" w:hanging="851"/>
        <w:jc w:val="both"/>
        <w:rPr>
          <w:bCs/>
          <w:sz w:val="24"/>
          <w:szCs w:val="24"/>
        </w:rPr>
      </w:pPr>
      <w:r w:rsidRPr="00FE564C">
        <w:rPr>
          <w:sz w:val="24"/>
          <w:szCs w:val="24"/>
        </w:rPr>
        <w:t>[15]</w:t>
      </w:r>
      <w:r w:rsidRPr="00FE564C">
        <w:rPr>
          <w:sz w:val="24"/>
          <w:szCs w:val="24"/>
        </w:rPr>
        <w:tab/>
      </w:r>
      <w:r w:rsidR="00F63597" w:rsidRPr="00FE564C">
        <w:rPr>
          <w:bCs/>
          <w:sz w:val="24"/>
          <w:szCs w:val="24"/>
        </w:rPr>
        <w:t>The requirements</w:t>
      </w:r>
      <w:r w:rsidR="001868FD" w:rsidRPr="00FE564C">
        <w:rPr>
          <w:bCs/>
          <w:sz w:val="24"/>
          <w:szCs w:val="24"/>
        </w:rPr>
        <w:t xml:space="preserve"> for the granting of an interim interdict were expressed in in LF Boshoff Investments (Pty) Ltd v Cape Town Municipality </w:t>
      </w:r>
      <w:r w:rsidR="001868FD" w:rsidRPr="00265BB9">
        <w:rPr>
          <w:rStyle w:val="FootnoteReference"/>
          <w:bCs/>
          <w:sz w:val="24"/>
          <w:szCs w:val="24"/>
        </w:rPr>
        <w:footnoteReference w:id="14"/>
      </w:r>
      <w:r w:rsidR="001868FD" w:rsidRPr="00FE564C">
        <w:rPr>
          <w:bCs/>
          <w:sz w:val="24"/>
          <w:szCs w:val="24"/>
        </w:rPr>
        <w:t xml:space="preserve"> as follows:</w:t>
      </w:r>
    </w:p>
    <w:p w14:paraId="2E63955F" w14:textId="77777777" w:rsidR="001868FD" w:rsidRPr="00265BB9" w:rsidRDefault="001868FD" w:rsidP="001868FD">
      <w:pPr>
        <w:pStyle w:val="Body"/>
        <w:ind w:left="720"/>
        <w:jc w:val="both"/>
        <w:rPr>
          <w:bCs/>
          <w:sz w:val="24"/>
          <w:szCs w:val="24"/>
        </w:rPr>
      </w:pPr>
    </w:p>
    <w:p w14:paraId="3D6630D5" w14:textId="77777777" w:rsidR="001868FD" w:rsidRPr="00F63597" w:rsidRDefault="001868FD" w:rsidP="00F63597">
      <w:pPr>
        <w:pStyle w:val="Body"/>
        <w:spacing w:line="360" w:lineRule="auto"/>
        <w:ind w:left="1418"/>
        <w:jc w:val="both"/>
        <w:rPr>
          <w:bCs/>
          <w:i/>
          <w:iCs/>
          <w:sz w:val="22"/>
          <w:szCs w:val="22"/>
        </w:rPr>
      </w:pPr>
      <w:r w:rsidRPr="00F63597">
        <w:rPr>
          <w:bCs/>
          <w:i/>
          <w:iCs/>
          <w:sz w:val="22"/>
          <w:szCs w:val="22"/>
        </w:rPr>
        <w:t>“Briefly these requisites are that the applicant for such temporary relief must show –</w:t>
      </w:r>
    </w:p>
    <w:p w14:paraId="146C349F" w14:textId="77777777" w:rsidR="001868FD" w:rsidRPr="00F63597" w:rsidRDefault="001868FD" w:rsidP="00F63597">
      <w:pPr>
        <w:pStyle w:val="Body"/>
        <w:spacing w:line="360" w:lineRule="auto"/>
        <w:ind w:left="1418"/>
        <w:jc w:val="both"/>
        <w:rPr>
          <w:bCs/>
          <w:i/>
          <w:iCs/>
          <w:sz w:val="22"/>
          <w:szCs w:val="22"/>
        </w:rPr>
      </w:pPr>
    </w:p>
    <w:p w14:paraId="162B780E" w14:textId="5CBD46C5" w:rsidR="001868FD" w:rsidRPr="00F63597" w:rsidRDefault="005C677F" w:rsidP="005C677F">
      <w:pPr>
        <w:pStyle w:val="Body"/>
        <w:spacing w:line="360" w:lineRule="auto"/>
        <w:ind w:left="2268" w:hanging="850"/>
        <w:jc w:val="both"/>
        <w:rPr>
          <w:bCs/>
          <w:i/>
          <w:iCs/>
          <w:sz w:val="22"/>
          <w:szCs w:val="22"/>
        </w:rPr>
      </w:pPr>
      <w:r w:rsidRPr="00F63597">
        <w:rPr>
          <w:bCs/>
          <w:i/>
          <w:iCs/>
          <w:sz w:val="22"/>
          <w:szCs w:val="22"/>
        </w:rPr>
        <w:t>(a)</w:t>
      </w:r>
      <w:r w:rsidRPr="00F63597">
        <w:rPr>
          <w:bCs/>
          <w:i/>
          <w:iCs/>
          <w:sz w:val="22"/>
          <w:szCs w:val="22"/>
        </w:rPr>
        <w:tab/>
      </w:r>
      <w:r w:rsidR="001868FD" w:rsidRPr="00F63597">
        <w:rPr>
          <w:bCs/>
          <w:i/>
          <w:iCs/>
          <w:sz w:val="22"/>
          <w:szCs w:val="22"/>
        </w:rPr>
        <w:t>That the right which is the subject matter of the main action and which he seeks to protect by means of interim relief is clear or, if not clear, is prima facie established, though open to some doubt;</w:t>
      </w:r>
    </w:p>
    <w:p w14:paraId="1CA95EB8" w14:textId="77777777" w:rsidR="001868FD" w:rsidRPr="00F63597" w:rsidRDefault="001868FD" w:rsidP="00F63597">
      <w:pPr>
        <w:pStyle w:val="Body"/>
        <w:spacing w:line="360" w:lineRule="auto"/>
        <w:ind w:left="2268" w:hanging="850"/>
        <w:jc w:val="both"/>
        <w:rPr>
          <w:bCs/>
          <w:i/>
          <w:iCs/>
          <w:sz w:val="22"/>
          <w:szCs w:val="22"/>
        </w:rPr>
      </w:pPr>
    </w:p>
    <w:p w14:paraId="28A38413" w14:textId="1B02FD54" w:rsidR="001868FD" w:rsidRPr="00F63597" w:rsidRDefault="005C677F" w:rsidP="005C677F">
      <w:pPr>
        <w:pStyle w:val="Body"/>
        <w:spacing w:line="360" w:lineRule="auto"/>
        <w:ind w:left="2268" w:hanging="850"/>
        <w:jc w:val="both"/>
        <w:rPr>
          <w:bCs/>
          <w:i/>
          <w:iCs/>
          <w:sz w:val="22"/>
          <w:szCs w:val="22"/>
        </w:rPr>
      </w:pPr>
      <w:r w:rsidRPr="00F63597">
        <w:rPr>
          <w:bCs/>
          <w:i/>
          <w:iCs/>
          <w:sz w:val="22"/>
          <w:szCs w:val="22"/>
        </w:rPr>
        <w:t>(b)</w:t>
      </w:r>
      <w:r w:rsidRPr="00F63597">
        <w:rPr>
          <w:bCs/>
          <w:i/>
          <w:iCs/>
          <w:sz w:val="22"/>
          <w:szCs w:val="22"/>
        </w:rPr>
        <w:tab/>
      </w:r>
      <w:r w:rsidR="001868FD" w:rsidRPr="00F63597">
        <w:rPr>
          <w:bCs/>
          <w:i/>
          <w:iCs/>
          <w:sz w:val="22"/>
          <w:szCs w:val="22"/>
        </w:rPr>
        <w:t>that, if the right is only prime facie established, there is a well-grounded apprehension of irreparable harm to the applicant if the interim relief is not granted and he ultimately succeeds in establishing his right;</w:t>
      </w:r>
    </w:p>
    <w:p w14:paraId="240E8E77" w14:textId="77777777" w:rsidR="001868FD" w:rsidRPr="00F63597" w:rsidRDefault="001868FD" w:rsidP="00F63597">
      <w:pPr>
        <w:pStyle w:val="Body"/>
        <w:spacing w:line="360" w:lineRule="auto"/>
        <w:ind w:left="2268" w:hanging="850"/>
        <w:jc w:val="both"/>
        <w:rPr>
          <w:bCs/>
          <w:i/>
          <w:iCs/>
          <w:sz w:val="22"/>
          <w:szCs w:val="22"/>
        </w:rPr>
      </w:pPr>
    </w:p>
    <w:p w14:paraId="5D7C4298" w14:textId="134A0DE0" w:rsidR="001868FD" w:rsidRPr="00F63597" w:rsidRDefault="005C677F" w:rsidP="005C677F">
      <w:pPr>
        <w:pStyle w:val="Body"/>
        <w:spacing w:line="360" w:lineRule="auto"/>
        <w:ind w:left="2268" w:hanging="850"/>
        <w:jc w:val="both"/>
        <w:rPr>
          <w:bCs/>
          <w:i/>
          <w:iCs/>
          <w:sz w:val="22"/>
          <w:szCs w:val="22"/>
        </w:rPr>
      </w:pPr>
      <w:r w:rsidRPr="00F63597">
        <w:rPr>
          <w:bCs/>
          <w:i/>
          <w:iCs/>
          <w:sz w:val="22"/>
          <w:szCs w:val="22"/>
        </w:rPr>
        <w:t>(c)</w:t>
      </w:r>
      <w:r w:rsidRPr="00F63597">
        <w:rPr>
          <w:bCs/>
          <w:i/>
          <w:iCs/>
          <w:sz w:val="22"/>
          <w:szCs w:val="22"/>
        </w:rPr>
        <w:tab/>
      </w:r>
      <w:r w:rsidR="001868FD" w:rsidRPr="00F63597">
        <w:rPr>
          <w:bCs/>
          <w:i/>
          <w:iCs/>
          <w:sz w:val="22"/>
          <w:szCs w:val="22"/>
        </w:rPr>
        <w:t>that the balance of convenience favours the granting of interim relief; and</w:t>
      </w:r>
    </w:p>
    <w:p w14:paraId="0313B97C" w14:textId="77777777" w:rsidR="001868FD" w:rsidRPr="00F63597" w:rsidRDefault="001868FD" w:rsidP="00F63597">
      <w:pPr>
        <w:pStyle w:val="Body"/>
        <w:spacing w:line="360" w:lineRule="auto"/>
        <w:ind w:left="2268" w:hanging="850"/>
        <w:jc w:val="both"/>
        <w:rPr>
          <w:bCs/>
          <w:i/>
          <w:iCs/>
          <w:sz w:val="22"/>
          <w:szCs w:val="22"/>
        </w:rPr>
      </w:pPr>
    </w:p>
    <w:p w14:paraId="26BF6B9E" w14:textId="3E3BB2E0" w:rsidR="001868FD" w:rsidRPr="00F63597" w:rsidRDefault="005C677F" w:rsidP="005C677F">
      <w:pPr>
        <w:pStyle w:val="Body"/>
        <w:spacing w:line="360" w:lineRule="auto"/>
        <w:ind w:left="2268" w:hanging="850"/>
        <w:jc w:val="both"/>
        <w:rPr>
          <w:bCs/>
          <w:i/>
          <w:iCs/>
          <w:sz w:val="22"/>
          <w:szCs w:val="22"/>
        </w:rPr>
      </w:pPr>
      <w:r w:rsidRPr="00F63597">
        <w:rPr>
          <w:bCs/>
          <w:i/>
          <w:iCs/>
          <w:sz w:val="22"/>
          <w:szCs w:val="22"/>
        </w:rPr>
        <w:t>(d)</w:t>
      </w:r>
      <w:r w:rsidRPr="00F63597">
        <w:rPr>
          <w:bCs/>
          <w:i/>
          <w:iCs/>
          <w:sz w:val="22"/>
          <w:szCs w:val="22"/>
        </w:rPr>
        <w:tab/>
      </w:r>
      <w:r w:rsidR="001868FD" w:rsidRPr="00F63597">
        <w:rPr>
          <w:bCs/>
          <w:i/>
          <w:iCs/>
          <w:sz w:val="22"/>
          <w:szCs w:val="22"/>
        </w:rPr>
        <w:t>that the applicant has no other satisfactory remedy.”</w:t>
      </w:r>
    </w:p>
    <w:p w14:paraId="5FD7D21E" w14:textId="77777777" w:rsidR="00E0344D" w:rsidRPr="00265BB9" w:rsidRDefault="00E0344D" w:rsidP="00E0344D">
      <w:pPr>
        <w:pStyle w:val="Body"/>
        <w:jc w:val="both"/>
        <w:rPr>
          <w:bCs/>
          <w:i/>
          <w:iCs/>
          <w:sz w:val="24"/>
          <w:szCs w:val="24"/>
        </w:rPr>
      </w:pPr>
    </w:p>
    <w:p w14:paraId="4B7B1F97" w14:textId="4BE8D4E2" w:rsidR="00BA595B" w:rsidRDefault="005C677F" w:rsidP="005C677F">
      <w:pPr>
        <w:pStyle w:val="Body"/>
        <w:spacing w:line="360" w:lineRule="auto"/>
        <w:ind w:left="851" w:hanging="851"/>
        <w:jc w:val="both"/>
        <w:rPr>
          <w:bCs/>
          <w:sz w:val="24"/>
          <w:szCs w:val="24"/>
        </w:rPr>
      </w:pPr>
      <w:r>
        <w:rPr>
          <w:sz w:val="24"/>
          <w:szCs w:val="24"/>
        </w:rPr>
        <w:t>[16]</w:t>
      </w:r>
      <w:r>
        <w:rPr>
          <w:sz w:val="24"/>
          <w:szCs w:val="24"/>
        </w:rPr>
        <w:tab/>
      </w:r>
      <w:r w:rsidR="00E0344D">
        <w:rPr>
          <w:bCs/>
          <w:sz w:val="24"/>
          <w:szCs w:val="24"/>
        </w:rPr>
        <w:t>I intend dealing with each of the requirements in turn.</w:t>
      </w:r>
    </w:p>
    <w:p w14:paraId="2C1E0838" w14:textId="77777777" w:rsidR="00E0344D" w:rsidRDefault="00E0344D" w:rsidP="00E0344D">
      <w:pPr>
        <w:pStyle w:val="Body"/>
        <w:spacing w:line="360" w:lineRule="auto"/>
        <w:ind w:left="851"/>
        <w:jc w:val="both"/>
        <w:rPr>
          <w:bCs/>
          <w:sz w:val="24"/>
          <w:szCs w:val="24"/>
        </w:rPr>
      </w:pPr>
    </w:p>
    <w:p w14:paraId="50485D9C" w14:textId="39F37553" w:rsidR="00E0344D" w:rsidRDefault="005C677F" w:rsidP="005C677F">
      <w:pPr>
        <w:pStyle w:val="Body"/>
        <w:spacing w:line="360" w:lineRule="auto"/>
        <w:ind w:left="851" w:hanging="851"/>
        <w:jc w:val="both"/>
        <w:rPr>
          <w:bCs/>
          <w:sz w:val="24"/>
          <w:szCs w:val="24"/>
        </w:rPr>
      </w:pPr>
      <w:r>
        <w:rPr>
          <w:sz w:val="24"/>
          <w:szCs w:val="24"/>
        </w:rPr>
        <w:lastRenderedPageBreak/>
        <w:t>[17]</w:t>
      </w:r>
      <w:r>
        <w:rPr>
          <w:sz w:val="24"/>
          <w:szCs w:val="24"/>
        </w:rPr>
        <w:tab/>
      </w:r>
      <w:r w:rsidR="00E0344D">
        <w:rPr>
          <w:bCs/>
          <w:sz w:val="24"/>
          <w:szCs w:val="24"/>
        </w:rPr>
        <w:t>Firstly, what is the  right which the applicant seeks to assert? The applicant’s case is that by virtue of the fact that she holds office as MEC, she is not subject to the jurisdiction of the HPCSA. It is her assertion that she conducted the conversation with the patient on 22 August 2022 in her capacity as MEC and not as a medical practitioner and for that reason it is not subject to the HPCSA’s scrutiny.</w:t>
      </w:r>
    </w:p>
    <w:p w14:paraId="23FB77D0" w14:textId="77777777" w:rsidR="00E0344D" w:rsidRDefault="00E0344D" w:rsidP="00E0344D">
      <w:pPr>
        <w:pStyle w:val="ListParagraph"/>
        <w:rPr>
          <w:bCs/>
        </w:rPr>
      </w:pPr>
    </w:p>
    <w:p w14:paraId="62EC72C2" w14:textId="1D64AAA6" w:rsidR="00E0344D" w:rsidRDefault="005C677F" w:rsidP="005C677F">
      <w:pPr>
        <w:pStyle w:val="Body"/>
        <w:spacing w:line="360" w:lineRule="auto"/>
        <w:ind w:left="851" w:hanging="851"/>
        <w:jc w:val="both"/>
        <w:rPr>
          <w:bCs/>
          <w:sz w:val="24"/>
          <w:szCs w:val="24"/>
        </w:rPr>
      </w:pPr>
      <w:r>
        <w:rPr>
          <w:sz w:val="24"/>
          <w:szCs w:val="24"/>
        </w:rPr>
        <w:t>[18]</w:t>
      </w:r>
      <w:r>
        <w:rPr>
          <w:sz w:val="24"/>
          <w:szCs w:val="24"/>
        </w:rPr>
        <w:tab/>
      </w:r>
      <w:r w:rsidR="00E0344D">
        <w:rPr>
          <w:bCs/>
          <w:sz w:val="24"/>
          <w:szCs w:val="24"/>
        </w:rPr>
        <w:t>The applicant also asserts that</w:t>
      </w:r>
      <w:r w:rsidR="00080FB9">
        <w:rPr>
          <w:bCs/>
          <w:sz w:val="24"/>
          <w:szCs w:val="24"/>
        </w:rPr>
        <w:t xml:space="preserve"> the </w:t>
      </w:r>
      <w:r w:rsidR="007716E1">
        <w:rPr>
          <w:bCs/>
          <w:sz w:val="24"/>
          <w:szCs w:val="24"/>
        </w:rPr>
        <w:t>finding</w:t>
      </w:r>
      <w:r w:rsidR="00080FB9">
        <w:rPr>
          <w:bCs/>
          <w:sz w:val="24"/>
          <w:szCs w:val="24"/>
        </w:rPr>
        <w:t xml:space="preserve"> of the preliminary committee of inquiry infringed her Constitutional</w:t>
      </w:r>
      <w:r w:rsidR="00080FB9">
        <w:rPr>
          <w:rStyle w:val="FootnoteReference"/>
          <w:bCs/>
          <w:sz w:val="24"/>
          <w:szCs w:val="24"/>
        </w:rPr>
        <w:footnoteReference w:id="15"/>
      </w:r>
      <w:r w:rsidR="00080FB9">
        <w:rPr>
          <w:bCs/>
          <w:sz w:val="24"/>
          <w:szCs w:val="24"/>
        </w:rPr>
        <w:t xml:space="preserve"> rights. The rights affected are said to be her right to equality</w:t>
      </w:r>
      <w:r w:rsidR="00080FB9">
        <w:rPr>
          <w:rStyle w:val="FootnoteReference"/>
          <w:bCs/>
          <w:sz w:val="24"/>
          <w:szCs w:val="24"/>
        </w:rPr>
        <w:footnoteReference w:id="16"/>
      </w:r>
      <w:r w:rsidR="00080FB9">
        <w:rPr>
          <w:bCs/>
          <w:sz w:val="24"/>
          <w:szCs w:val="24"/>
        </w:rPr>
        <w:t>, freedom of expression</w:t>
      </w:r>
      <w:r w:rsidR="00080FB9">
        <w:rPr>
          <w:rStyle w:val="FootnoteReference"/>
          <w:bCs/>
          <w:sz w:val="24"/>
          <w:szCs w:val="24"/>
        </w:rPr>
        <w:footnoteReference w:id="17"/>
      </w:r>
      <w:r w:rsidR="00080FB9">
        <w:rPr>
          <w:bCs/>
          <w:sz w:val="24"/>
          <w:szCs w:val="24"/>
        </w:rPr>
        <w:t>, political right to participate in political activities of the political party of her choice</w:t>
      </w:r>
      <w:r w:rsidR="00080FB9">
        <w:rPr>
          <w:rStyle w:val="FootnoteReference"/>
          <w:bCs/>
          <w:sz w:val="24"/>
          <w:szCs w:val="24"/>
        </w:rPr>
        <w:footnoteReference w:id="18"/>
      </w:r>
      <w:r w:rsidR="00080FB9">
        <w:rPr>
          <w:bCs/>
          <w:sz w:val="24"/>
          <w:szCs w:val="24"/>
        </w:rPr>
        <w:t>, the right to fair administrative action</w:t>
      </w:r>
      <w:r w:rsidR="00080FB9">
        <w:rPr>
          <w:rStyle w:val="FootnoteReference"/>
          <w:bCs/>
          <w:sz w:val="24"/>
          <w:szCs w:val="24"/>
        </w:rPr>
        <w:footnoteReference w:id="19"/>
      </w:r>
      <w:r w:rsidR="00080FB9">
        <w:rPr>
          <w:bCs/>
          <w:sz w:val="24"/>
          <w:szCs w:val="24"/>
        </w:rPr>
        <w:t xml:space="preserve"> and the right of access to court.</w:t>
      </w:r>
      <w:r w:rsidR="00080FB9">
        <w:rPr>
          <w:rStyle w:val="FootnoteReference"/>
          <w:bCs/>
          <w:sz w:val="24"/>
          <w:szCs w:val="24"/>
        </w:rPr>
        <w:footnoteReference w:id="20"/>
      </w:r>
    </w:p>
    <w:p w14:paraId="0ABB825D" w14:textId="77777777" w:rsidR="008B5056" w:rsidRDefault="008B5056" w:rsidP="008B5056">
      <w:pPr>
        <w:pStyle w:val="ListParagraph"/>
        <w:rPr>
          <w:bCs/>
        </w:rPr>
      </w:pPr>
    </w:p>
    <w:p w14:paraId="1F4A9179" w14:textId="292F79E9" w:rsidR="008B5056" w:rsidRDefault="005C677F" w:rsidP="005C677F">
      <w:pPr>
        <w:pStyle w:val="Body"/>
        <w:spacing w:line="360" w:lineRule="auto"/>
        <w:ind w:left="851" w:hanging="851"/>
        <w:jc w:val="both"/>
        <w:rPr>
          <w:bCs/>
          <w:sz w:val="24"/>
          <w:szCs w:val="24"/>
        </w:rPr>
      </w:pPr>
      <w:r>
        <w:rPr>
          <w:sz w:val="24"/>
          <w:szCs w:val="24"/>
        </w:rPr>
        <w:t>[19]</w:t>
      </w:r>
      <w:r>
        <w:rPr>
          <w:sz w:val="24"/>
          <w:szCs w:val="24"/>
        </w:rPr>
        <w:tab/>
      </w:r>
      <w:r w:rsidR="0088300A">
        <w:rPr>
          <w:bCs/>
          <w:sz w:val="24"/>
          <w:szCs w:val="24"/>
        </w:rPr>
        <w:t>Despite asserting the infringement of the rights, no basis was laid for this. The crisp question is this – Is the applicant in her capacity as MEC a separate persona from the applicant as a medical practitioner? The office of the MEC is a political one whereas the applicant’s status as a medical practitioner is a professional one</w:t>
      </w:r>
      <w:r w:rsidR="003D0967">
        <w:rPr>
          <w:rStyle w:val="FootnoteReference"/>
          <w:bCs/>
          <w:sz w:val="24"/>
          <w:szCs w:val="24"/>
        </w:rPr>
        <w:footnoteReference w:id="21"/>
      </w:r>
      <w:r w:rsidR="0088300A">
        <w:rPr>
          <w:bCs/>
          <w:sz w:val="24"/>
          <w:szCs w:val="24"/>
        </w:rPr>
        <w:t>.</w:t>
      </w:r>
    </w:p>
    <w:p w14:paraId="32C0DC4A" w14:textId="77777777" w:rsidR="00F949D3" w:rsidRDefault="00F949D3" w:rsidP="00F949D3">
      <w:pPr>
        <w:pStyle w:val="ListParagraph"/>
        <w:rPr>
          <w:bCs/>
        </w:rPr>
      </w:pPr>
    </w:p>
    <w:p w14:paraId="385BBF26" w14:textId="378FF825" w:rsidR="00F949D3" w:rsidRDefault="005C677F" w:rsidP="005C677F">
      <w:pPr>
        <w:pStyle w:val="Body"/>
        <w:spacing w:line="360" w:lineRule="auto"/>
        <w:ind w:left="851" w:hanging="851"/>
        <w:jc w:val="both"/>
        <w:rPr>
          <w:bCs/>
          <w:sz w:val="24"/>
          <w:szCs w:val="24"/>
        </w:rPr>
      </w:pPr>
      <w:r>
        <w:rPr>
          <w:sz w:val="24"/>
          <w:szCs w:val="24"/>
        </w:rPr>
        <w:t>[20]</w:t>
      </w:r>
      <w:r>
        <w:rPr>
          <w:sz w:val="24"/>
          <w:szCs w:val="24"/>
        </w:rPr>
        <w:tab/>
      </w:r>
      <w:r w:rsidR="00F949D3">
        <w:rPr>
          <w:bCs/>
          <w:sz w:val="24"/>
          <w:szCs w:val="24"/>
        </w:rPr>
        <w:t>It is not in issue that the applicant was registered as a medical practitioner and subject to the HPCSA before she was appointed to the office of MEC. The holding of the political office and remaining registered as a medical practitioner are not mutually exclusive. The one hallmark of both the political office and the professional standing as a medical practitioner is that in both fields of endeavour the individual concerned accepts that they are</w:t>
      </w:r>
      <w:r w:rsidR="007716E1">
        <w:rPr>
          <w:bCs/>
          <w:sz w:val="24"/>
          <w:szCs w:val="24"/>
        </w:rPr>
        <w:t>,</w:t>
      </w:r>
      <w:r w:rsidR="00F949D3">
        <w:rPr>
          <w:bCs/>
          <w:sz w:val="24"/>
          <w:szCs w:val="24"/>
        </w:rPr>
        <w:t xml:space="preserve"> and subject themselves</w:t>
      </w:r>
      <w:r w:rsidR="007716E1">
        <w:rPr>
          <w:bCs/>
          <w:sz w:val="24"/>
          <w:szCs w:val="24"/>
        </w:rPr>
        <w:t>,</w:t>
      </w:r>
      <w:r w:rsidR="00F949D3">
        <w:rPr>
          <w:bCs/>
          <w:sz w:val="24"/>
          <w:szCs w:val="24"/>
        </w:rPr>
        <w:t xml:space="preserve"> to being accountable for their actions.</w:t>
      </w:r>
    </w:p>
    <w:p w14:paraId="1A3E2B35" w14:textId="77777777" w:rsidR="00F949D3" w:rsidRDefault="00F949D3" w:rsidP="00F949D3">
      <w:pPr>
        <w:pStyle w:val="ListParagraph"/>
        <w:rPr>
          <w:bCs/>
        </w:rPr>
      </w:pPr>
    </w:p>
    <w:p w14:paraId="5E197562" w14:textId="31AF9265" w:rsidR="00E14394" w:rsidRDefault="005C677F" w:rsidP="005C677F">
      <w:pPr>
        <w:pStyle w:val="Body"/>
        <w:spacing w:line="360" w:lineRule="auto"/>
        <w:ind w:left="851" w:hanging="851"/>
        <w:jc w:val="both"/>
        <w:rPr>
          <w:bCs/>
          <w:sz w:val="24"/>
          <w:szCs w:val="24"/>
        </w:rPr>
      </w:pPr>
      <w:r>
        <w:rPr>
          <w:sz w:val="24"/>
          <w:szCs w:val="24"/>
        </w:rPr>
        <w:lastRenderedPageBreak/>
        <w:t>[21]</w:t>
      </w:r>
      <w:r>
        <w:rPr>
          <w:sz w:val="24"/>
          <w:szCs w:val="24"/>
        </w:rPr>
        <w:tab/>
      </w:r>
      <w:r w:rsidR="00F949D3">
        <w:rPr>
          <w:bCs/>
          <w:sz w:val="24"/>
          <w:szCs w:val="24"/>
        </w:rPr>
        <w:t>Insofar as the office of MEC is concerned, when assuming the office, the applicant took an oath in which she undertook to “</w:t>
      </w:r>
      <w:r w:rsidR="00B61431" w:rsidRPr="007716E1">
        <w:rPr>
          <w:bCs/>
          <w:i/>
          <w:iCs/>
          <w:sz w:val="22"/>
          <w:szCs w:val="22"/>
        </w:rPr>
        <w:t>obey respect and uphold all other law of the Republic</w:t>
      </w:r>
      <w:r w:rsidR="00B61431">
        <w:rPr>
          <w:bCs/>
          <w:sz w:val="24"/>
          <w:szCs w:val="24"/>
        </w:rPr>
        <w:t>” and to conduct herself in the office of MEC with “</w:t>
      </w:r>
      <w:r w:rsidR="00B61431" w:rsidRPr="007716E1">
        <w:rPr>
          <w:bCs/>
          <w:i/>
          <w:iCs/>
          <w:sz w:val="22"/>
          <w:szCs w:val="22"/>
        </w:rPr>
        <w:t>honour and dignity</w:t>
      </w:r>
      <w:r w:rsidR="00B61431">
        <w:rPr>
          <w:bCs/>
          <w:sz w:val="24"/>
          <w:szCs w:val="24"/>
        </w:rPr>
        <w:t>”.</w:t>
      </w:r>
      <w:r w:rsidR="00B61431">
        <w:rPr>
          <w:rStyle w:val="FootnoteReference"/>
          <w:bCs/>
          <w:sz w:val="24"/>
          <w:szCs w:val="24"/>
        </w:rPr>
        <w:footnoteReference w:id="22"/>
      </w:r>
      <w:r w:rsidR="00B61431">
        <w:rPr>
          <w:bCs/>
          <w:sz w:val="24"/>
          <w:szCs w:val="24"/>
        </w:rPr>
        <w:t xml:space="preserve"> </w:t>
      </w:r>
    </w:p>
    <w:p w14:paraId="11B92485" w14:textId="77777777" w:rsidR="00E14394" w:rsidRDefault="00E14394" w:rsidP="00E14394">
      <w:pPr>
        <w:pStyle w:val="ListParagraph"/>
        <w:rPr>
          <w:bCs/>
        </w:rPr>
      </w:pPr>
    </w:p>
    <w:p w14:paraId="57E6868A" w14:textId="7B42186A" w:rsidR="007716E1" w:rsidRPr="007716E1" w:rsidRDefault="005C677F" w:rsidP="005C677F">
      <w:pPr>
        <w:pStyle w:val="Body"/>
        <w:spacing w:line="360" w:lineRule="auto"/>
        <w:ind w:left="851" w:hanging="851"/>
        <w:jc w:val="both"/>
        <w:rPr>
          <w:b/>
          <w:sz w:val="24"/>
          <w:szCs w:val="24"/>
        </w:rPr>
      </w:pPr>
      <w:r w:rsidRPr="007716E1">
        <w:rPr>
          <w:sz w:val="24"/>
          <w:szCs w:val="24"/>
        </w:rPr>
        <w:t>[22]</w:t>
      </w:r>
      <w:r w:rsidRPr="007716E1">
        <w:rPr>
          <w:sz w:val="24"/>
          <w:szCs w:val="24"/>
        </w:rPr>
        <w:tab/>
      </w:r>
      <w:r w:rsidR="00E14394">
        <w:rPr>
          <w:bCs/>
          <w:sz w:val="24"/>
          <w:szCs w:val="24"/>
        </w:rPr>
        <w:t xml:space="preserve">The oath of office </w:t>
      </w:r>
      <w:r w:rsidR="007716E1">
        <w:rPr>
          <w:bCs/>
          <w:sz w:val="24"/>
          <w:szCs w:val="24"/>
        </w:rPr>
        <w:t xml:space="preserve"> as MEC </w:t>
      </w:r>
      <w:r w:rsidR="00E14394">
        <w:rPr>
          <w:bCs/>
          <w:sz w:val="24"/>
          <w:szCs w:val="24"/>
        </w:rPr>
        <w:t xml:space="preserve">stands alongside the Act and with the provisions of section 3(o). It seems to me to be a wholly contrived and self-serving assertion that </w:t>
      </w:r>
      <w:r w:rsidR="007716E1">
        <w:rPr>
          <w:bCs/>
          <w:sz w:val="24"/>
          <w:szCs w:val="24"/>
        </w:rPr>
        <w:t>conduct</w:t>
      </w:r>
      <w:r w:rsidR="00E14394">
        <w:rPr>
          <w:bCs/>
          <w:sz w:val="24"/>
          <w:szCs w:val="24"/>
        </w:rPr>
        <w:t xml:space="preserve"> is to be determined depending upon “which hat </w:t>
      </w:r>
      <w:r w:rsidR="007716E1">
        <w:rPr>
          <w:bCs/>
          <w:sz w:val="24"/>
          <w:szCs w:val="24"/>
        </w:rPr>
        <w:t xml:space="preserve">a person is </w:t>
      </w:r>
      <w:r w:rsidR="00E14394">
        <w:rPr>
          <w:bCs/>
          <w:sz w:val="24"/>
          <w:szCs w:val="24"/>
        </w:rPr>
        <w:t xml:space="preserve"> wearing</w:t>
      </w:r>
      <w:r w:rsidR="007716E1">
        <w:rPr>
          <w:bCs/>
          <w:sz w:val="24"/>
          <w:szCs w:val="24"/>
        </w:rPr>
        <w:t xml:space="preserve"> at the time</w:t>
      </w:r>
      <w:r w:rsidR="00E14394">
        <w:rPr>
          <w:bCs/>
          <w:sz w:val="24"/>
          <w:szCs w:val="24"/>
        </w:rPr>
        <w:t xml:space="preserve">”. </w:t>
      </w:r>
      <w:r w:rsidR="007716E1">
        <w:rPr>
          <w:bCs/>
          <w:sz w:val="24"/>
          <w:szCs w:val="24"/>
        </w:rPr>
        <w:t>This</w:t>
      </w:r>
      <w:r w:rsidR="00E14394">
        <w:rPr>
          <w:bCs/>
          <w:sz w:val="24"/>
          <w:szCs w:val="24"/>
        </w:rPr>
        <w:t xml:space="preserve"> is</w:t>
      </w:r>
      <w:r w:rsidR="007716E1">
        <w:rPr>
          <w:bCs/>
          <w:sz w:val="24"/>
          <w:szCs w:val="24"/>
        </w:rPr>
        <w:t xml:space="preserve"> simply</w:t>
      </w:r>
      <w:r w:rsidR="00E14394">
        <w:rPr>
          <w:bCs/>
          <w:sz w:val="24"/>
          <w:szCs w:val="24"/>
        </w:rPr>
        <w:t xml:space="preserve"> not consistent with our Constitutional values or the law. There is to my mind no distinction to be drawn between the different offices a person holds and their conduct.</w:t>
      </w:r>
    </w:p>
    <w:p w14:paraId="41C43992" w14:textId="77777777" w:rsidR="007716E1" w:rsidRDefault="007716E1" w:rsidP="007716E1">
      <w:pPr>
        <w:pStyle w:val="ListParagraph"/>
        <w:rPr>
          <w:bCs/>
        </w:rPr>
      </w:pPr>
    </w:p>
    <w:p w14:paraId="7985BA04" w14:textId="3FBAC5C6" w:rsidR="00F949D3" w:rsidRPr="004116B0" w:rsidRDefault="005C677F" w:rsidP="005C677F">
      <w:pPr>
        <w:pStyle w:val="Body"/>
        <w:spacing w:line="360" w:lineRule="auto"/>
        <w:ind w:left="851" w:hanging="851"/>
        <w:jc w:val="both"/>
        <w:rPr>
          <w:b/>
          <w:sz w:val="24"/>
          <w:szCs w:val="24"/>
        </w:rPr>
      </w:pPr>
      <w:r w:rsidRPr="004116B0">
        <w:rPr>
          <w:sz w:val="24"/>
          <w:szCs w:val="24"/>
        </w:rPr>
        <w:t>[23]</w:t>
      </w:r>
      <w:r w:rsidRPr="004116B0">
        <w:rPr>
          <w:sz w:val="24"/>
          <w:szCs w:val="24"/>
        </w:rPr>
        <w:tab/>
      </w:r>
      <w:r w:rsidR="007716E1">
        <w:rPr>
          <w:bCs/>
          <w:sz w:val="24"/>
          <w:szCs w:val="24"/>
        </w:rPr>
        <w:t>The applicant simply has no right</w:t>
      </w:r>
      <w:r w:rsidR="007D411B">
        <w:rPr>
          <w:bCs/>
          <w:sz w:val="24"/>
          <w:szCs w:val="24"/>
        </w:rPr>
        <w:t>, let alone a prima facie right</w:t>
      </w:r>
      <w:r w:rsidR="007D411B">
        <w:rPr>
          <w:rStyle w:val="FootnoteReference"/>
          <w:bCs/>
          <w:sz w:val="24"/>
          <w:szCs w:val="24"/>
        </w:rPr>
        <w:footnoteReference w:id="23"/>
      </w:r>
      <w:r w:rsidR="007716E1">
        <w:rPr>
          <w:bCs/>
          <w:sz w:val="24"/>
          <w:szCs w:val="24"/>
        </w:rPr>
        <w:t xml:space="preserve"> to avoid the jurisdiction of the HPCSA in circumstances where she has maintained her registration in terms of the Act. The position would have been different if she had de-registered as she is entitled to do.</w:t>
      </w:r>
      <w:r w:rsidR="007D411B">
        <w:rPr>
          <w:bCs/>
          <w:sz w:val="24"/>
          <w:szCs w:val="24"/>
        </w:rPr>
        <w:t xml:space="preserve"> </w:t>
      </w:r>
    </w:p>
    <w:p w14:paraId="0076EF13" w14:textId="77777777" w:rsidR="0088300A" w:rsidRDefault="0088300A" w:rsidP="0088300A">
      <w:pPr>
        <w:pStyle w:val="ListParagraph"/>
        <w:rPr>
          <w:bCs/>
        </w:rPr>
      </w:pPr>
    </w:p>
    <w:p w14:paraId="4AC41CCE" w14:textId="77777777" w:rsidR="00080FB9" w:rsidRDefault="00080FB9" w:rsidP="00080FB9">
      <w:pPr>
        <w:pStyle w:val="ListParagraph"/>
        <w:rPr>
          <w:bCs/>
        </w:rPr>
      </w:pPr>
    </w:p>
    <w:p w14:paraId="24F3BA0B" w14:textId="17A56906" w:rsidR="00080FB9" w:rsidRDefault="005C677F" w:rsidP="005C677F">
      <w:pPr>
        <w:pStyle w:val="Body"/>
        <w:spacing w:line="360" w:lineRule="auto"/>
        <w:ind w:left="851" w:hanging="851"/>
        <w:jc w:val="both"/>
        <w:rPr>
          <w:bCs/>
          <w:sz w:val="24"/>
          <w:szCs w:val="24"/>
        </w:rPr>
      </w:pPr>
      <w:r>
        <w:rPr>
          <w:sz w:val="24"/>
          <w:szCs w:val="24"/>
        </w:rPr>
        <w:t>[24]</w:t>
      </w:r>
      <w:r>
        <w:rPr>
          <w:sz w:val="24"/>
          <w:szCs w:val="24"/>
        </w:rPr>
        <w:tab/>
      </w:r>
      <w:r w:rsidR="00080FB9" w:rsidRPr="0010283D">
        <w:rPr>
          <w:bCs/>
          <w:sz w:val="24"/>
          <w:szCs w:val="24"/>
        </w:rPr>
        <w:t>Secondly, is there a well-grounded  apprehension of irreparable harm?</w:t>
      </w:r>
      <w:r w:rsidR="00E14394" w:rsidRPr="0010283D">
        <w:rPr>
          <w:bCs/>
          <w:sz w:val="24"/>
          <w:szCs w:val="24"/>
        </w:rPr>
        <w:t xml:space="preserve"> The </w:t>
      </w:r>
      <w:r w:rsidR="0010283D" w:rsidRPr="0010283D">
        <w:rPr>
          <w:bCs/>
          <w:sz w:val="24"/>
          <w:szCs w:val="24"/>
        </w:rPr>
        <w:t>applicant’s</w:t>
      </w:r>
      <w:r w:rsidR="00E14394" w:rsidRPr="0010283D">
        <w:rPr>
          <w:bCs/>
          <w:sz w:val="24"/>
          <w:szCs w:val="24"/>
        </w:rPr>
        <w:t xml:space="preserve"> failure to accept </w:t>
      </w:r>
      <w:r w:rsidR="0010283D" w:rsidRPr="0010283D">
        <w:rPr>
          <w:bCs/>
          <w:sz w:val="24"/>
          <w:szCs w:val="24"/>
        </w:rPr>
        <w:t>the finding of the preliminary committee of inquiry means that the entire matter will serve before a new different committee and be considered afresh.</w:t>
      </w:r>
      <w:r w:rsidR="0010283D">
        <w:rPr>
          <w:bCs/>
          <w:sz w:val="24"/>
          <w:szCs w:val="24"/>
        </w:rPr>
        <w:t xml:space="preserve"> The applicant will have the opportunity to raise whatever challenges she wishes to at the </w:t>
      </w:r>
      <w:r w:rsidR="004116B0">
        <w:rPr>
          <w:bCs/>
          <w:sz w:val="24"/>
          <w:szCs w:val="24"/>
        </w:rPr>
        <w:t>inquiry,</w:t>
      </w:r>
      <w:r w:rsidR="0010283D">
        <w:rPr>
          <w:bCs/>
          <w:sz w:val="24"/>
          <w:szCs w:val="24"/>
        </w:rPr>
        <w:t xml:space="preserve"> and each will be considered on its merits. </w:t>
      </w:r>
      <w:r w:rsidR="007716E1">
        <w:rPr>
          <w:bCs/>
          <w:sz w:val="24"/>
          <w:szCs w:val="24"/>
        </w:rPr>
        <w:t xml:space="preserve">The finding of the preliminary committee of inquiry is neither binding upon nor does it in any way affect the rights of the applicant. It was in its terms an olive branch which the applicant was free to either accept or not. </w:t>
      </w:r>
      <w:r w:rsidR="0010283D">
        <w:rPr>
          <w:bCs/>
          <w:sz w:val="24"/>
          <w:szCs w:val="24"/>
        </w:rPr>
        <w:t>In the present matter there is simply no apprehension of irreparable harm</w:t>
      </w:r>
      <w:r w:rsidR="007716E1">
        <w:rPr>
          <w:bCs/>
          <w:sz w:val="24"/>
          <w:szCs w:val="24"/>
        </w:rPr>
        <w:t>, well-grounded or otherwise</w:t>
      </w:r>
      <w:r w:rsidR="0010283D">
        <w:rPr>
          <w:bCs/>
          <w:sz w:val="24"/>
          <w:szCs w:val="24"/>
        </w:rPr>
        <w:t>.</w:t>
      </w:r>
      <w:r w:rsidR="00E30C1E">
        <w:rPr>
          <w:rStyle w:val="FootnoteReference"/>
          <w:bCs/>
          <w:sz w:val="24"/>
          <w:szCs w:val="24"/>
        </w:rPr>
        <w:footnoteReference w:id="24"/>
      </w:r>
    </w:p>
    <w:p w14:paraId="50F8A492" w14:textId="77777777" w:rsidR="0010283D" w:rsidRPr="0010283D" w:rsidRDefault="0010283D" w:rsidP="0010283D">
      <w:pPr>
        <w:pStyle w:val="Body"/>
        <w:spacing w:line="360" w:lineRule="auto"/>
        <w:ind w:left="851"/>
        <w:jc w:val="both"/>
        <w:rPr>
          <w:bCs/>
          <w:sz w:val="24"/>
          <w:szCs w:val="24"/>
        </w:rPr>
      </w:pPr>
    </w:p>
    <w:p w14:paraId="23A8FCB7" w14:textId="3875BB76" w:rsidR="00080FB9" w:rsidRDefault="005C677F" w:rsidP="005C677F">
      <w:pPr>
        <w:pStyle w:val="Body"/>
        <w:spacing w:line="360" w:lineRule="auto"/>
        <w:ind w:left="851" w:hanging="851"/>
        <w:jc w:val="both"/>
        <w:rPr>
          <w:bCs/>
          <w:sz w:val="24"/>
          <w:szCs w:val="24"/>
        </w:rPr>
      </w:pPr>
      <w:r>
        <w:rPr>
          <w:sz w:val="24"/>
          <w:szCs w:val="24"/>
        </w:rPr>
        <w:lastRenderedPageBreak/>
        <w:t>[25]</w:t>
      </w:r>
      <w:r>
        <w:rPr>
          <w:sz w:val="24"/>
          <w:szCs w:val="24"/>
        </w:rPr>
        <w:tab/>
      </w:r>
      <w:r w:rsidR="00080FB9">
        <w:rPr>
          <w:bCs/>
          <w:sz w:val="24"/>
          <w:szCs w:val="24"/>
        </w:rPr>
        <w:t xml:space="preserve">Thirdly, does the </w:t>
      </w:r>
      <w:r w:rsidR="0088300A">
        <w:rPr>
          <w:bCs/>
          <w:sz w:val="24"/>
          <w:szCs w:val="24"/>
        </w:rPr>
        <w:t>does the balance of convenience favour the granting of an interdict?</w:t>
      </w:r>
      <w:r w:rsidR="0010283D">
        <w:rPr>
          <w:bCs/>
          <w:sz w:val="24"/>
          <w:szCs w:val="24"/>
        </w:rPr>
        <w:t xml:space="preserve"> In my view, in the present matter it does not. The HPCSA is enjoined</w:t>
      </w:r>
      <w:r w:rsidR="00167545">
        <w:rPr>
          <w:rStyle w:val="FootnoteReference"/>
          <w:bCs/>
          <w:sz w:val="24"/>
          <w:szCs w:val="24"/>
        </w:rPr>
        <w:footnoteReference w:id="25"/>
      </w:r>
      <w:r w:rsidR="0010283D">
        <w:rPr>
          <w:bCs/>
          <w:sz w:val="24"/>
          <w:szCs w:val="24"/>
        </w:rPr>
        <w:t xml:space="preserve"> by the </w:t>
      </w:r>
      <w:r w:rsidR="00762969">
        <w:rPr>
          <w:bCs/>
          <w:sz w:val="24"/>
          <w:szCs w:val="24"/>
        </w:rPr>
        <w:t xml:space="preserve">Health Professions </w:t>
      </w:r>
      <w:r w:rsidR="0010283D">
        <w:rPr>
          <w:bCs/>
          <w:sz w:val="24"/>
          <w:szCs w:val="24"/>
        </w:rPr>
        <w:t>Act to investigate complaints</w:t>
      </w:r>
      <w:r w:rsidR="008E2604">
        <w:rPr>
          <w:bCs/>
          <w:sz w:val="24"/>
          <w:szCs w:val="24"/>
        </w:rPr>
        <w:t>.</w:t>
      </w:r>
      <w:r w:rsidR="0010283D">
        <w:rPr>
          <w:bCs/>
          <w:sz w:val="24"/>
          <w:szCs w:val="24"/>
        </w:rPr>
        <w:t xml:space="preserve"> Delaying the matter unnecessarily </w:t>
      </w:r>
      <w:r w:rsidR="008E2604">
        <w:rPr>
          <w:bCs/>
          <w:sz w:val="24"/>
          <w:szCs w:val="24"/>
        </w:rPr>
        <w:t xml:space="preserve">pending </w:t>
      </w:r>
      <w:r w:rsidR="00191EF3">
        <w:rPr>
          <w:bCs/>
          <w:sz w:val="24"/>
          <w:szCs w:val="24"/>
        </w:rPr>
        <w:t>a review</w:t>
      </w:r>
      <w:r w:rsidR="004763CF">
        <w:rPr>
          <w:bCs/>
          <w:sz w:val="24"/>
          <w:szCs w:val="24"/>
        </w:rPr>
        <w:t xml:space="preserve">, </w:t>
      </w:r>
      <w:r w:rsidR="004116B0">
        <w:rPr>
          <w:bCs/>
          <w:sz w:val="24"/>
          <w:szCs w:val="24"/>
        </w:rPr>
        <w:t>does not serve the interests of any of the parties.</w:t>
      </w:r>
      <w:r w:rsidR="00781968">
        <w:rPr>
          <w:rStyle w:val="FootnoteReference"/>
          <w:bCs/>
          <w:sz w:val="24"/>
          <w:szCs w:val="24"/>
        </w:rPr>
        <w:footnoteReference w:id="26"/>
      </w:r>
    </w:p>
    <w:p w14:paraId="780A78B5" w14:textId="77777777" w:rsidR="0088300A" w:rsidRDefault="0088300A" w:rsidP="0088300A">
      <w:pPr>
        <w:pStyle w:val="ListParagraph"/>
        <w:rPr>
          <w:bCs/>
        </w:rPr>
      </w:pPr>
    </w:p>
    <w:p w14:paraId="5437938A" w14:textId="746D6814" w:rsidR="002A4C42" w:rsidRDefault="005C677F" w:rsidP="005C677F">
      <w:pPr>
        <w:pStyle w:val="Body"/>
        <w:spacing w:line="360" w:lineRule="auto"/>
        <w:ind w:left="851" w:hanging="851"/>
        <w:jc w:val="both"/>
        <w:rPr>
          <w:bCs/>
          <w:sz w:val="24"/>
          <w:szCs w:val="24"/>
        </w:rPr>
      </w:pPr>
      <w:r>
        <w:rPr>
          <w:sz w:val="24"/>
          <w:szCs w:val="24"/>
        </w:rPr>
        <w:t>[26]</w:t>
      </w:r>
      <w:r>
        <w:rPr>
          <w:sz w:val="24"/>
          <w:szCs w:val="24"/>
        </w:rPr>
        <w:tab/>
      </w:r>
      <w:r w:rsidR="0088300A">
        <w:rPr>
          <w:bCs/>
          <w:sz w:val="24"/>
          <w:szCs w:val="24"/>
        </w:rPr>
        <w:t>Lastly, is there no other satisfactory remedy?</w:t>
      </w:r>
      <w:r w:rsidR="004116B0">
        <w:rPr>
          <w:bCs/>
          <w:sz w:val="24"/>
          <w:szCs w:val="24"/>
        </w:rPr>
        <w:t xml:space="preserve"> The holding of the inquiry is in and of itself where the remedy lies. The applicant  can</w:t>
      </w:r>
      <w:r w:rsidR="002A4C42">
        <w:rPr>
          <w:bCs/>
          <w:sz w:val="24"/>
          <w:szCs w:val="24"/>
        </w:rPr>
        <w:t xml:space="preserve"> then at the inquiry raise any defence available to her,</w:t>
      </w:r>
      <w:r w:rsidR="004116B0">
        <w:rPr>
          <w:bCs/>
          <w:sz w:val="24"/>
          <w:szCs w:val="24"/>
        </w:rPr>
        <w:t xml:space="preserve"> place in issue and rebut any allegations made against her.</w:t>
      </w:r>
    </w:p>
    <w:p w14:paraId="73240333" w14:textId="77777777" w:rsidR="002A4C42" w:rsidRDefault="002A4C42" w:rsidP="002A4C42">
      <w:pPr>
        <w:pStyle w:val="ListParagraph"/>
        <w:rPr>
          <w:bCs/>
        </w:rPr>
      </w:pPr>
    </w:p>
    <w:p w14:paraId="12968C15" w14:textId="77777777" w:rsidR="00167545" w:rsidRDefault="00167545" w:rsidP="002A4C42">
      <w:pPr>
        <w:pStyle w:val="ListParagraph"/>
        <w:rPr>
          <w:bCs/>
        </w:rPr>
      </w:pPr>
    </w:p>
    <w:p w14:paraId="35A78E4A" w14:textId="64F3B4D6" w:rsidR="0088300A" w:rsidRDefault="005C677F" w:rsidP="005C677F">
      <w:pPr>
        <w:pStyle w:val="Body"/>
        <w:spacing w:line="360" w:lineRule="auto"/>
        <w:ind w:left="851" w:hanging="851"/>
        <w:jc w:val="both"/>
        <w:rPr>
          <w:bCs/>
          <w:sz w:val="24"/>
          <w:szCs w:val="24"/>
        </w:rPr>
      </w:pPr>
      <w:r>
        <w:rPr>
          <w:sz w:val="24"/>
          <w:szCs w:val="24"/>
        </w:rPr>
        <w:t>[27]</w:t>
      </w:r>
      <w:r>
        <w:rPr>
          <w:sz w:val="24"/>
          <w:szCs w:val="24"/>
        </w:rPr>
        <w:tab/>
      </w:r>
      <w:r w:rsidR="00D243A6">
        <w:rPr>
          <w:bCs/>
          <w:sz w:val="24"/>
          <w:szCs w:val="24"/>
        </w:rPr>
        <w:t>It does not b</w:t>
      </w:r>
      <w:r w:rsidR="00CB5178">
        <w:rPr>
          <w:bCs/>
          <w:sz w:val="24"/>
          <w:szCs w:val="24"/>
        </w:rPr>
        <w:t>e</w:t>
      </w:r>
      <w:r w:rsidR="00D243A6">
        <w:rPr>
          <w:bCs/>
          <w:sz w:val="24"/>
          <w:szCs w:val="24"/>
        </w:rPr>
        <w:t xml:space="preserve">hoove the applicant to </w:t>
      </w:r>
      <w:r w:rsidR="00CB5178">
        <w:rPr>
          <w:bCs/>
          <w:sz w:val="24"/>
          <w:szCs w:val="24"/>
        </w:rPr>
        <w:t xml:space="preserve">refuse </w:t>
      </w:r>
      <w:r w:rsidR="004625E2">
        <w:rPr>
          <w:bCs/>
          <w:sz w:val="24"/>
          <w:szCs w:val="24"/>
        </w:rPr>
        <w:t xml:space="preserve">to accept </w:t>
      </w:r>
      <w:r w:rsidR="00CB5178">
        <w:rPr>
          <w:bCs/>
          <w:sz w:val="24"/>
          <w:szCs w:val="24"/>
        </w:rPr>
        <w:t>the finding of the preliminary inquiry committee that she had committed a minor transgression for which there was no sanction beyo</w:t>
      </w:r>
      <w:r w:rsidR="004625E2">
        <w:rPr>
          <w:bCs/>
          <w:sz w:val="24"/>
          <w:szCs w:val="24"/>
        </w:rPr>
        <w:t>nd a reprimand that would not stain her professional record</w:t>
      </w:r>
      <w:r w:rsidR="006D54DB">
        <w:rPr>
          <w:bCs/>
          <w:sz w:val="24"/>
          <w:szCs w:val="24"/>
        </w:rPr>
        <w:t xml:space="preserve"> and to then assert that the </w:t>
      </w:r>
      <w:r w:rsidR="006D54DB" w:rsidRPr="003D0967">
        <w:rPr>
          <w:bCs/>
          <w:i/>
          <w:iCs/>
          <w:sz w:val="24"/>
          <w:szCs w:val="24"/>
        </w:rPr>
        <w:t>de novo</w:t>
      </w:r>
      <w:r w:rsidR="006D54DB">
        <w:rPr>
          <w:bCs/>
          <w:sz w:val="24"/>
          <w:szCs w:val="24"/>
        </w:rPr>
        <w:t xml:space="preserve"> inquiry at which she would have the opportunity</w:t>
      </w:r>
      <w:r w:rsidR="00CD0B40">
        <w:rPr>
          <w:bCs/>
          <w:sz w:val="24"/>
          <w:szCs w:val="24"/>
        </w:rPr>
        <w:t xml:space="preserve"> to vindicate herself does not provide</w:t>
      </w:r>
      <w:r w:rsidR="007E685C">
        <w:rPr>
          <w:bCs/>
          <w:sz w:val="24"/>
          <w:szCs w:val="24"/>
        </w:rPr>
        <w:t xml:space="preserve"> her with a satisfactory remedy.</w:t>
      </w:r>
    </w:p>
    <w:p w14:paraId="6DC2B0F0" w14:textId="77777777" w:rsidR="004116B0" w:rsidRDefault="004116B0" w:rsidP="004116B0">
      <w:pPr>
        <w:pStyle w:val="ListParagraph"/>
        <w:rPr>
          <w:bCs/>
        </w:rPr>
      </w:pPr>
    </w:p>
    <w:p w14:paraId="7BE35B1D" w14:textId="77777777" w:rsidR="00167545" w:rsidRDefault="00167545" w:rsidP="004116B0">
      <w:pPr>
        <w:pStyle w:val="ListParagraph"/>
        <w:rPr>
          <w:bCs/>
        </w:rPr>
      </w:pPr>
    </w:p>
    <w:p w14:paraId="0103117E" w14:textId="0F8B100E" w:rsidR="004116B0" w:rsidRDefault="005C677F" w:rsidP="005C677F">
      <w:pPr>
        <w:pStyle w:val="Body"/>
        <w:spacing w:line="360" w:lineRule="auto"/>
        <w:ind w:left="851" w:hanging="851"/>
        <w:jc w:val="both"/>
        <w:rPr>
          <w:bCs/>
          <w:sz w:val="24"/>
          <w:szCs w:val="24"/>
        </w:rPr>
      </w:pPr>
      <w:r>
        <w:rPr>
          <w:sz w:val="24"/>
          <w:szCs w:val="24"/>
        </w:rPr>
        <w:t>[28]</w:t>
      </w:r>
      <w:r>
        <w:rPr>
          <w:sz w:val="24"/>
          <w:szCs w:val="24"/>
        </w:rPr>
        <w:tab/>
      </w:r>
      <w:r w:rsidR="004116B0">
        <w:rPr>
          <w:bCs/>
          <w:sz w:val="24"/>
          <w:szCs w:val="24"/>
        </w:rPr>
        <w:t>Accordingly, I find that the applicant has failed to make out a case for the granting of the relief sought in Part A of the application. The costs will follow the result.</w:t>
      </w:r>
    </w:p>
    <w:p w14:paraId="27332E40" w14:textId="77777777" w:rsidR="0088300A" w:rsidRDefault="0088300A" w:rsidP="00F63597">
      <w:pPr>
        <w:pStyle w:val="Body"/>
        <w:spacing w:line="360" w:lineRule="auto"/>
        <w:jc w:val="both"/>
        <w:rPr>
          <w:bCs/>
          <w:sz w:val="24"/>
          <w:szCs w:val="24"/>
        </w:rPr>
      </w:pPr>
    </w:p>
    <w:p w14:paraId="0957027A" w14:textId="77777777" w:rsidR="00167545" w:rsidRDefault="00167545" w:rsidP="00F63597">
      <w:pPr>
        <w:pStyle w:val="Body"/>
        <w:spacing w:line="360" w:lineRule="auto"/>
        <w:jc w:val="both"/>
        <w:rPr>
          <w:bCs/>
          <w:sz w:val="24"/>
          <w:szCs w:val="24"/>
        </w:rPr>
      </w:pPr>
    </w:p>
    <w:p w14:paraId="15229072" w14:textId="6FD312F4" w:rsidR="00222365" w:rsidRDefault="005C677F" w:rsidP="005C677F">
      <w:pPr>
        <w:pStyle w:val="Body"/>
        <w:spacing w:line="360" w:lineRule="auto"/>
        <w:ind w:left="851" w:hanging="851"/>
        <w:jc w:val="both"/>
        <w:rPr>
          <w:bCs/>
          <w:sz w:val="24"/>
          <w:szCs w:val="24"/>
        </w:rPr>
      </w:pPr>
      <w:r>
        <w:rPr>
          <w:sz w:val="24"/>
          <w:szCs w:val="24"/>
        </w:rPr>
        <w:t>[29]</w:t>
      </w:r>
      <w:r>
        <w:rPr>
          <w:sz w:val="24"/>
          <w:szCs w:val="24"/>
        </w:rPr>
        <w:tab/>
      </w:r>
      <w:r w:rsidR="00567A6E">
        <w:rPr>
          <w:bCs/>
          <w:sz w:val="24"/>
          <w:szCs w:val="24"/>
        </w:rPr>
        <w:t>I</w:t>
      </w:r>
      <w:r w:rsidR="00222365">
        <w:rPr>
          <w:bCs/>
          <w:sz w:val="24"/>
          <w:szCs w:val="24"/>
        </w:rPr>
        <w:t xml:space="preserve">n the circumstances, I </w:t>
      </w:r>
      <w:r w:rsidR="00A518CC">
        <w:rPr>
          <w:bCs/>
          <w:sz w:val="24"/>
          <w:szCs w:val="24"/>
        </w:rPr>
        <w:t>make</w:t>
      </w:r>
      <w:r w:rsidR="00222365">
        <w:rPr>
          <w:bCs/>
          <w:sz w:val="24"/>
          <w:szCs w:val="24"/>
        </w:rPr>
        <w:t xml:space="preserve"> the following order:</w:t>
      </w:r>
    </w:p>
    <w:p w14:paraId="6DC9A916" w14:textId="77777777" w:rsidR="00222365" w:rsidRDefault="00222365" w:rsidP="00222365">
      <w:pPr>
        <w:pStyle w:val="ListParagraph"/>
        <w:rPr>
          <w:bCs/>
        </w:rPr>
      </w:pPr>
    </w:p>
    <w:p w14:paraId="7988684E" w14:textId="77777777" w:rsidR="00167545" w:rsidRDefault="00167545" w:rsidP="00F63597">
      <w:pPr>
        <w:pStyle w:val="Body"/>
        <w:spacing w:line="360" w:lineRule="auto"/>
        <w:ind w:left="851"/>
        <w:jc w:val="both"/>
        <w:rPr>
          <w:bCs/>
          <w:sz w:val="24"/>
          <w:szCs w:val="24"/>
        </w:rPr>
      </w:pPr>
    </w:p>
    <w:p w14:paraId="36CF5086" w14:textId="0BACA6D1" w:rsidR="00222365" w:rsidRPr="00043931" w:rsidRDefault="004116B0" w:rsidP="00F63597">
      <w:pPr>
        <w:pStyle w:val="Body"/>
        <w:spacing w:line="360" w:lineRule="auto"/>
        <w:ind w:left="851"/>
        <w:jc w:val="both"/>
        <w:rPr>
          <w:bCs/>
          <w:sz w:val="24"/>
          <w:szCs w:val="24"/>
        </w:rPr>
      </w:pPr>
      <w:r>
        <w:rPr>
          <w:bCs/>
          <w:sz w:val="24"/>
          <w:szCs w:val="24"/>
        </w:rPr>
        <w:t>[2</w:t>
      </w:r>
      <w:r w:rsidR="00167545">
        <w:rPr>
          <w:bCs/>
          <w:sz w:val="24"/>
          <w:szCs w:val="24"/>
        </w:rPr>
        <w:t>9</w:t>
      </w:r>
      <w:r>
        <w:rPr>
          <w:bCs/>
          <w:sz w:val="24"/>
          <w:szCs w:val="24"/>
        </w:rPr>
        <w:t>.1]</w:t>
      </w:r>
      <w:r>
        <w:rPr>
          <w:bCs/>
          <w:sz w:val="24"/>
          <w:szCs w:val="24"/>
        </w:rPr>
        <w:tab/>
      </w:r>
      <w:r w:rsidR="008E2604">
        <w:rPr>
          <w:bCs/>
          <w:sz w:val="24"/>
          <w:szCs w:val="24"/>
        </w:rPr>
        <w:t>T</w:t>
      </w:r>
      <w:r>
        <w:rPr>
          <w:bCs/>
          <w:sz w:val="24"/>
          <w:szCs w:val="24"/>
        </w:rPr>
        <w:t>he application</w:t>
      </w:r>
      <w:r w:rsidR="008E2604">
        <w:rPr>
          <w:bCs/>
          <w:sz w:val="24"/>
          <w:szCs w:val="24"/>
        </w:rPr>
        <w:t xml:space="preserve"> (Part A)</w:t>
      </w:r>
      <w:r>
        <w:rPr>
          <w:bCs/>
          <w:sz w:val="24"/>
          <w:szCs w:val="24"/>
        </w:rPr>
        <w:t xml:space="preserve"> is dismissed with costs.</w:t>
      </w:r>
    </w:p>
    <w:p w14:paraId="12D6AE87" w14:textId="77777777" w:rsidR="00416EA1" w:rsidRDefault="00416EA1" w:rsidP="008E6813">
      <w:pPr>
        <w:pStyle w:val="Body"/>
        <w:spacing w:line="360" w:lineRule="auto"/>
        <w:ind w:left="720"/>
        <w:jc w:val="right"/>
        <w:rPr>
          <w:rFonts w:cs="Arial"/>
          <w:b/>
          <w:bCs/>
          <w:sz w:val="24"/>
          <w:szCs w:val="24"/>
        </w:rPr>
      </w:pPr>
    </w:p>
    <w:p w14:paraId="65416376" w14:textId="77777777" w:rsidR="008E6813" w:rsidRDefault="008E6813" w:rsidP="00413603">
      <w:pPr>
        <w:pStyle w:val="Body"/>
        <w:ind w:left="720"/>
        <w:jc w:val="right"/>
        <w:rPr>
          <w:rFonts w:cs="Arial"/>
          <w:b/>
          <w:bCs/>
          <w:sz w:val="24"/>
          <w:szCs w:val="24"/>
        </w:rPr>
      </w:pPr>
    </w:p>
    <w:p w14:paraId="75814BE3" w14:textId="0580CCEF"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lastRenderedPageBreak/>
        <w:t>A MILLAR</w:t>
      </w:r>
    </w:p>
    <w:p w14:paraId="206E179D" w14:textId="76294E94" w:rsidR="00101D88" w:rsidRPr="00242E76" w:rsidRDefault="00101D88" w:rsidP="008E6813">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365DFCFC" w14:textId="67E4570E" w:rsidR="00416EA1" w:rsidRPr="00A518CC" w:rsidRDefault="00416EA1" w:rsidP="00A518CC">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3F3A2F3F" w14:textId="77777777" w:rsidR="00167545" w:rsidRDefault="00167545" w:rsidP="008E6813">
      <w:pPr>
        <w:spacing w:line="360" w:lineRule="auto"/>
        <w:ind w:left="567" w:hanging="567"/>
        <w:jc w:val="both"/>
        <w:rPr>
          <w:rFonts w:ascii="Arial" w:hAnsi="Arial" w:cs="Arial"/>
          <w:sz w:val="22"/>
          <w:szCs w:val="22"/>
        </w:rPr>
      </w:pPr>
    </w:p>
    <w:p w14:paraId="5ACDA854" w14:textId="4E0C0C21"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BF309F">
        <w:rPr>
          <w:rFonts w:ascii="Arial" w:hAnsi="Arial" w:cs="Arial"/>
          <w:sz w:val="22"/>
          <w:szCs w:val="22"/>
        </w:rPr>
        <w:t>30</w:t>
      </w:r>
      <w:r w:rsidR="00A518CC">
        <w:rPr>
          <w:rFonts w:ascii="Arial" w:hAnsi="Arial" w:cs="Arial"/>
          <w:sz w:val="22"/>
          <w:szCs w:val="22"/>
        </w:rPr>
        <w:t xml:space="preserve"> MAY </w:t>
      </w:r>
      <w:r w:rsidR="000B7BFD">
        <w:rPr>
          <w:rFonts w:ascii="Arial" w:hAnsi="Arial" w:cs="Arial"/>
          <w:sz w:val="22"/>
          <w:szCs w:val="22"/>
        </w:rPr>
        <w:t xml:space="preserve"> 2023</w:t>
      </w:r>
    </w:p>
    <w:p w14:paraId="7E6457D4" w14:textId="363354E3"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A70D05">
        <w:rPr>
          <w:rFonts w:ascii="Arial" w:hAnsi="Arial" w:cs="Arial"/>
          <w:sz w:val="22"/>
          <w:szCs w:val="22"/>
        </w:rPr>
        <w:t>2</w:t>
      </w:r>
      <w:r w:rsidR="006E3F51">
        <w:rPr>
          <w:rFonts w:ascii="Arial" w:hAnsi="Arial" w:cs="Arial"/>
          <w:sz w:val="22"/>
          <w:szCs w:val="22"/>
        </w:rPr>
        <w:t xml:space="preserve"> </w:t>
      </w:r>
      <w:r w:rsidR="00355AD1">
        <w:rPr>
          <w:rFonts w:ascii="Arial" w:hAnsi="Arial" w:cs="Arial"/>
          <w:sz w:val="22"/>
          <w:szCs w:val="22"/>
        </w:rPr>
        <w:t>JUNE</w:t>
      </w:r>
      <w:r w:rsidR="006E3F51">
        <w:rPr>
          <w:rFonts w:ascii="Arial" w:hAnsi="Arial" w:cs="Arial"/>
          <w:sz w:val="22"/>
          <w:szCs w:val="22"/>
        </w:rPr>
        <w:t xml:space="preserve"> 2023</w:t>
      </w:r>
    </w:p>
    <w:p w14:paraId="70B75637" w14:textId="77777777" w:rsidR="006710DC" w:rsidRDefault="006710DC" w:rsidP="008E6813">
      <w:pPr>
        <w:spacing w:line="360" w:lineRule="auto"/>
        <w:ind w:left="567" w:hanging="567"/>
        <w:jc w:val="both"/>
        <w:rPr>
          <w:rFonts w:ascii="Arial" w:hAnsi="Arial" w:cs="Arial"/>
          <w:sz w:val="22"/>
          <w:szCs w:val="22"/>
        </w:rPr>
      </w:pPr>
    </w:p>
    <w:p w14:paraId="5FC2C4FD" w14:textId="77777777" w:rsidR="00167545" w:rsidRDefault="00167545" w:rsidP="008E6813">
      <w:pPr>
        <w:spacing w:line="360" w:lineRule="auto"/>
        <w:ind w:left="567" w:hanging="567"/>
        <w:jc w:val="both"/>
        <w:rPr>
          <w:rFonts w:ascii="Arial" w:hAnsi="Arial" w:cs="Arial"/>
          <w:sz w:val="22"/>
          <w:szCs w:val="22"/>
        </w:rPr>
      </w:pPr>
    </w:p>
    <w:p w14:paraId="02474508" w14:textId="7EC17C19" w:rsidR="006630FB"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w:t>
      </w:r>
      <w:r w:rsidR="00BF309F">
        <w:rPr>
          <w:rFonts w:ascii="Arial" w:hAnsi="Arial" w:cs="Arial"/>
          <w:sz w:val="22"/>
          <w:szCs w:val="22"/>
        </w:rPr>
        <w:t>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A923C6">
        <w:rPr>
          <w:rFonts w:ascii="Arial" w:hAnsi="Arial" w:cs="Arial"/>
          <w:sz w:val="22"/>
          <w:szCs w:val="22"/>
        </w:rPr>
        <w:t>ADV. M RAMAILA SC</w:t>
      </w:r>
    </w:p>
    <w:p w14:paraId="4208FF61" w14:textId="54AFB769" w:rsidR="00A923C6" w:rsidRPr="00242E76" w:rsidRDefault="00A923C6"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D MADIBA</w:t>
      </w:r>
    </w:p>
    <w:p w14:paraId="6434C520" w14:textId="0E604C1A"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BF309F">
        <w:rPr>
          <w:rFonts w:ascii="Arial" w:hAnsi="Arial" w:cs="Arial"/>
          <w:sz w:val="22"/>
          <w:szCs w:val="22"/>
        </w:rPr>
        <w:t xml:space="preserve">THE STATE </w:t>
      </w:r>
      <w:r w:rsidR="000B7BFD">
        <w:rPr>
          <w:rFonts w:ascii="Arial" w:hAnsi="Arial" w:cs="Arial"/>
          <w:sz w:val="22"/>
          <w:szCs w:val="22"/>
        </w:rPr>
        <w:t>ATTORNEY</w:t>
      </w:r>
      <w:r w:rsidR="00BF309F">
        <w:rPr>
          <w:rFonts w:ascii="Arial" w:hAnsi="Arial" w:cs="Arial"/>
          <w:sz w:val="22"/>
          <w:szCs w:val="22"/>
        </w:rPr>
        <w:t>, P</w:t>
      </w:r>
      <w:r w:rsidR="00A923C6">
        <w:rPr>
          <w:rFonts w:ascii="Arial" w:hAnsi="Arial" w:cs="Arial"/>
          <w:sz w:val="22"/>
          <w:szCs w:val="22"/>
        </w:rPr>
        <w:t>RETORIA</w:t>
      </w:r>
    </w:p>
    <w:p w14:paraId="7383FC0C" w14:textId="34B614E4"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A923C6">
        <w:rPr>
          <w:rFonts w:ascii="Arial" w:hAnsi="Arial" w:cs="Arial"/>
          <w:sz w:val="22"/>
          <w:szCs w:val="22"/>
        </w:rPr>
        <w:t>689/23/RA</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15D5CD05"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0218AC">
        <w:rPr>
          <w:rFonts w:ascii="Arial" w:hAnsi="Arial" w:cs="Arial"/>
          <w:sz w:val="22"/>
          <w:szCs w:val="22"/>
        </w:rPr>
        <w:t>RESPONDENT</w:t>
      </w:r>
      <w:r w:rsidR="00A923C6">
        <w:rPr>
          <w:rFonts w:ascii="Arial" w:hAnsi="Arial" w:cs="Arial"/>
          <w:sz w:val="22"/>
          <w:szCs w:val="22"/>
        </w:rPr>
        <w:t>S</w:t>
      </w:r>
      <w:r w:rsidR="006630FB" w:rsidRPr="00242E76">
        <w:rPr>
          <w:rFonts w:ascii="Arial" w:hAnsi="Arial" w:cs="Arial"/>
          <w:sz w:val="22"/>
          <w:szCs w:val="22"/>
        </w:rPr>
        <w:t>:</w:t>
      </w:r>
      <w:r w:rsidR="000E07B1">
        <w:rPr>
          <w:rFonts w:ascii="Arial" w:hAnsi="Arial" w:cs="Arial"/>
          <w:sz w:val="22"/>
          <w:szCs w:val="22"/>
        </w:rPr>
        <w:tab/>
      </w:r>
      <w:r w:rsidR="00981F9C">
        <w:rPr>
          <w:rFonts w:ascii="Arial" w:hAnsi="Arial" w:cs="Arial"/>
          <w:sz w:val="22"/>
          <w:szCs w:val="22"/>
        </w:rPr>
        <w:tab/>
        <w:t xml:space="preserve">ADV. </w:t>
      </w:r>
      <w:r w:rsidR="00355AD1">
        <w:rPr>
          <w:rFonts w:ascii="Arial" w:hAnsi="Arial" w:cs="Arial"/>
          <w:sz w:val="22"/>
          <w:szCs w:val="22"/>
        </w:rPr>
        <w:t>LUBBE</w:t>
      </w:r>
    </w:p>
    <w:p w14:paraId="6EEF6A02" w14:textId="5D9F2EF9"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A923C6">
        <w:rPr>
          <w:rFonts w:ascii="Arial" w:hAnsi="Arial" w:cs="Arial"/>
          <w:sz w:val="22"/>
          <w:szCs w:val="22"/>
        </w:rPr>
        <w:t>NKOPODI MPHAHLELE INCORPORATED</w:t>
      </w:r>
    </w:p>
    <w:p w14:paraId="0030EF17" w14:textId="1CEB08FD"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A923C6">
        <w:rPr>
          <w:rFonts w:ascii="Arial" w:hAnsi="Arial" w:cs="Arial"/>
          <w:sz w:val="22"/>
          <w:szCs w:val="22"/>
        </w:rPr>
        <w:t>MPHAHELE/MUTHAMBI/00031</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8E6813">
      <w:headerReference w:type="even" r:id="rId12"/>
      <w:headerReference w:type="default" r:id="rId13"/>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E675" w14:textId="77777777" w:rsidR="008E4EF7" w:rsidRDefault="008E4EF7" w:rsidP="008C18AE">
      <w:r>
        <w:separator/>
      </w:r>
    </w:p>
  </w:endnote>
  <w:endnote w:type="continuationSeparator" w:id="0">
    <w:p w14:paraId="421C36D0" w14:textId="77777777" w:rsidR="008E4EF7" w:rsidRDefault="008E4EF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E512A" w14:textId="77777777" w:rsidR="008E4EF7" w:rsidRDefault="008E4EF7" w:rsidP="008C18AE">
      <w:r>
        <w:separator/>
      </w:r>
    </w:p>
  </w:footnote>
  <w:footnote w:type="continuationSeparator" w:id="0">
    <w:p w14:paraId="57333F8A" w14:textId="77777777" w:rsidR="008E4EF7" w:rsidRDefault="008E4EF7" w:rsidP="008C18AE">
      <w:r>
        <w:continuationSeparator/>
      </w:r>
    </w:p>
  </w:footnote>
  <w:footnote w:id="1">
    <w:p w14:paraId="2E2E76CF" w14:textId="6971C3AA" w:rsidR="00EF4FE8" w:rsidRPr="00E80D1A" w:rsidRDefault="00EF4FE8">
      <w:pPr>
        <w:pStyle w:val="FootnoteText"/>
        <w:rPr>
          <w:rFonts w:ascii="Arial" w:hAnsi="Arial" w:cs="Arial"/>
          <w:sz w:val="20"/>
          <w:szCs w:val="20"/>
        </w:rPr>
      </w:pPr>
      <w:r w:rsidRPr="00E80D1A">
        <w:rPr>
          <w:rStyle w:val="FootnoteReference"/>
          <w:rFonts w:ascii="Arial" w:hAnsi="Arial" w:cs="Arial"/>
          <w:sz w:val="20"/>
          <w:szCs w:val="20"/>
        </w:rPr>
        <w:footnoteRef/>
      </w:r>
      <w:r w:rsidRPr="00E80D1A">
        <w:rPr>
          <w:rFonts w:ascii="Arial" w:hAnsi="Arial" w:cs="Arial"/>
          <w:sz w:val="20"/>
          <w:szCs w:val="20"/>
        </w:rPr>
        <w:t xml:space="preserve"> 56 of 1974.</w:t>
      </w:r>
    </w:p>
  </w:footnote>
  <w:footnote w:id="2">
    <w:p w14:paraId="2E17AE3B" w14:textId="10890A08" w:rsidR="00507ABB" w:rsidRPr="00E80D1A" w:rsidRDefault="00507ABB" w:rsidP="00F63597">
      <w:pPr>
        <w:pStyle w:val="FootnoteText"/>
        <w:ind w:left="142" w:hanging="142"/>
        <w:rPr>
          <w:rFonts w:ascii="Arial" w:hAnsi="Arial" w:cs="Arial"/>
          <w:sz w:val="20"/>
          <w:szCs w:val="20"/>
        </w:rPr>
      </w:pPr>
      <w:r w:rsidRPr="00E80D1A">
        <w:rPr>
          <w:rStyle w:val="FootnoteReference"/>
          <w:rFonts w:ascii="Arial" w:hAnsi="Arial" w:cs="Arial"/>
          <w:sz w:val="20"/>
          <w:szCs w:val="20"/>
        </w:rPr>
        <w:footnoteRef/>
      </w:r>
      <w:r w:rsidRPr="00E80D1A">
        <w:rPr>
          <w:rFonts w:ascii="Arial" w:hAnsi="Arial" w:cs="Arial"/>
          <w:sz w:val="20"/>
          <w:szCs w:val="20"/>
        </w:rPr>
        <w:t xml:space="preserve"> </w:t>
      </w:r>
      <w:r w:rsidR="001D607D" w:rsidRPr="00E80D1A">
        <w:rPr>
          <w:rFonts w:ascii="Arial" w:hAnsi="Arial" w:cs="Arial"/>
          <w:i/>
          <w:iCs/>
          <w:sz w:val="20"/>
          <w:szCs w:val="20"/>
        </w:rPr>
        <w:t>Ibid</w:t>
      </w:r>
      <w:r w:rsidR="001D607D" w:rsidRPr="00E80D1A">
        <w:rPr>
          <w:rFonts w:ascii="Arial" w:hAnsi="Arial" w:cs="Arial"/>
          <w:sz w:val="20"/>
          <w:szCs w:val="20"/>
        </w:rPr>
        <w:t xml:space="preserve"> section 3(j).</w:t>
      </w:r>
    </w:p>
  </w:footnote>
  <w:footnote w:id="3">
    <w:p w14:paraId="357C97D2" w14:textId="47D580FE" w:rsidR="00DB3595" w:rsidRPr="00E80D1A" w:rsidRDefault="00DB3595" w:rsidP="00F63597">
      <w:pPr>
        <w:pStyle w:val="FootnoteText"/>
        <w:ind w:left="142" w:hanging="142"/>
        <w:rPr>
          <w:rFonts w:ascii="Arial" w:hAnsi="Arial" w:cs="Arial"/>
          <w:sz w:val="20"/>
          <w:szCs w:val="20"/>
        </w:rPr>
      </w:pPr>
      <w:r w:rsidRPr="00E80D1A">
        <w:rPr>
          <w:rStyle w:val="FootnoteReference"/>
          <w:rFonts w:ascii="Arial" w:hAnsi="Arial" w:cs="Arial"/>
          <w:sz w:val="20"/>
          <w:szCs w:val="20"/>
        </w:rPr>
        <w:footnoteRef/>
      </w:r>
      <w:r w:rsidRPr="00E80D1A">
        <w:rPr>
          <w:rFonts w:ascii="Arial" w:hAnsi="Arial" w:cs="Arial"/>
          <w:sz w:val="20"/>
          <w:szCs w:val="20"/>
        </w:rPr>
        <w:t xml:space="preserve"> </w:t>
      </w:r>
      <w:r w:rsidR="0011347D" w:rsidRPr="00E80D1A">
        <w:rPr>
          <w:rFonts w:ascii="Arial" w:hAnsi="Arial" w:cs="Arial"/>
          <w:i/>
          <w:iCs/>
          <w:sz w:val="20"/>
          <w:szCs w:val="20"/>
        </w:rPr>
        <w:t>Ibid</w:t>
      </w:r>
      <w:r w:rsidR="0011347D" w:rsidRPr="00E80D1A">
        <w:rPr>
          <w:rFonts w:ascii="Arial" w:hAnsi="Arial" w:cs="Arial"/>
          <w:sz w:val="20"/>
          <w:szCs w:val="20"/>
        </w:rPr>
        <w:t xml:space="preserve"> section 3(</w:t>
      </w:r>
      <w:r w:rsidR="00F13FDB" w:rsidRPr="00E80D1A">
        <w:rPr>
          <w:rFonts w:ascii="Arial" w:hAnsi="Arial" w:cs="Arial"/>
          <w:sz w:val="20"/>
          <w:szCs w:val="20"/>
        </w:rPr>
        <w:t>k)</w:t>
      </w:r>
      <w:r w:rsidR="007433BA" w:rsidRPr="00E80D1A">
        <w:rPr>
          <w:rFonts w:ascii="Arial" w:hAnsi="Arial" w:cs="Arial"/>
          <w:sz w:val="20"/>
          <w:szCs w:val="20"/>
        </w:rPr>
        <w:t>.</w:t>
      </w:r>
    </w:p>
  </w:footnote>
  <w:footnote w:id="4">
    <w:p w14:paraId="76649717" w14:textId="64C27E91" w:rsidR="00EF66F7" w:rsidRPr="00E80D1A" w:rsidRDefault="00EF66F7" w:rsidP="00F63597">
      <w:pPr>
        <w:pStyle w:val="FootnoteText"/>
        <w:ind w:left="142" w:hanging="142"/>
        <w:rPr>
          <w:rFonts w:ascii="Arial" w:hAnsi="Arial" w:cs="Arial"/>
          <w:sz w:val="20"/>
          <w:szCs w:val="20"/>
        </w:rPr>
      </w:pPr>
      <w:r w:rsidRPr="00E80D1A">
        <w:rPr>
          <w:rStyle w:val="FootnoteReference"/>
          <w:rFonts w:ascii="Arial" w:hAnsi="Arial" w:cs="Arial"/>
          <w:sz w:val="20"/>
          <w:szCs w:val="20"/>
        </w:rPr>
        <w:footnoteRef/>
      </w:r>
      <w:r w:rsidRPr="00E80D1A">
        <w:rPr>
          <w:rFonts w:ascii="Arial" w:hAnsi="Arial" w:cs="Arial"/>
          <w:sz w:val="20"/>
          <w:szCs w:val="20"/>
        </w:rPr>
        <w:t xml:space="preserve"> </w:t>
      </w:r>
      <w:r w:rsidRPr="00E80D1A">
        <w:rPr>
          <w:rFonts w:ascii="Arial" w:hAnsi="Arial" w:cs="Arial"/>
          <w:i/>
          <w:iCs/>
          <w:sz w:val="20"/>
          <w:szCs w:val="20"/>
        </w:rPr>
        <w:t>Ibid</w:t>
      </w:r>
      <w:r w:rsidRPr="00E80D1A">
        <w:rPr>
          <w:rFonts w:ascii="Arial" w:hAnsi="Arial" w:cs="Arial"/>
          <w:sz w:val="20"/>
          <w:szCs w:val="20"/>
        </w:rPr>
        <w:t xml:space="preserve"> section 3(l)</w:t>
      </w:r>
      <w:r w:rsidR="007433BA" w:rsidRPr="00E80D1A">
        <w:rPr>
          <w:rFonts w:ascii="Arial" w:hAnsi="Arial" w:cs="Arial"/>
          <w:sz w:val="20"/>
          <w:szCs w:val="20"/>
        </w:rPr>
        <w:t>.</w:t>
      </w:r>
    </w:p>
  </w:footnote>
  <w:footnote w:id="5">
    <w:p w14:paraId="7972CA35" w14:textId="147E68E7" w:rsidR="00EF66F7" w:rsidRPr="00E80D1A" w:rsidRDefault="00EF66F7" w:rsidP="00F63597">
      <w:pPr>
        <w:pStyle w:val="FootnoteText"/>
        <w:ind w:left="142" w:hanging="142"/>
        <w:rPr>
          <w:rFonts w:ascii="Arial" w:hAnsi="Arial" w:cs="Arial"/>
          <w:sz w:val="20"/>
          <w:szCs w:val="20"/>
        </w:rPr>
      </w:pPr>
      <w:r w:rsidRPr="00E80D1A">
        <w:rPr>
          <w:rStyle w:val="FootnoteReference"/>
          <w:rFonts w:ascii="Arial" w:hAnsi="Arial" w:cs="Arial"/>
          <w:sz w:val="20"/>
          <w:szCs w:val="20"/>
        </w:rPr>
        <w:footnoteRef/>
      </w:r>
      <w:r w:rsidRPr="00E80D1A">
        <w:rPr>
          <w:rFonts w:ascii="Arial" w:hAnsi="Arial" w:cs="Arial"/>
          <w:sz w:val="20"/>
          <w:szCs w:val="20"/>
        </w:rPr>
        <w:t xml:space="preserve"> </w:t>
      </w:r>
      <w:r w:rsidRPr="00E80D1A">
        <w:rPr>
          <w:rFonts w:ascii="Arial" w:hAnsi="Arial" w:cs="Arial"/>
          <w:i/>
          <w:iCs/>
          <w:sz w:val="20"/>
          <w:szCs w:val="20"/>
        </w:rPr>
        <w:t>Ibid</w:t>
      </w:r>
      <w:r w:rsidRPr="00E80D1A">
        <w:rPr>
          <w:rFonts w:ascii="Arial" w:hAnsi="Arial" w:cs="Arial"/>
          <w:sz w:val="20"/>
          <w:szCs w:val="20"/>
        </w:rPr>
        <w:t xml:space="preserve"> section 3(</w:t>
      </w:r>
      <w:r w:rsidR="0059653F" w:rsidRPr="00E80D1A">
        <w:rPr>
          <w:rFonts w:ascii="Arial" w:hAnsi="Arial" w:cs="Arial"/>
          <w:sz w:val="20"/>
          <w:szCs w:val="20"/>
        </w:rPr>
        <w:t>m)</w:t>
      </w:r>
      <w:r w:rsidR="007433BA" w:rsidRPr="00E80D1A">
        <w:rPr>
          <w:rFonts w:ascii="Arial" w:hAnsi="Arial" w:cs="Arial"/>
          <w:sz w:val="20"/>
          <w:szCs w:val="20"/>
        </w:rPr>
        <w:t>.</w:t>
      </w:r>
    </w:p>
  </w:footnote>
  <w:footnote w:id="6">
    <w:p w14:paraId="3841FE5A" w14:textId="1B3127ED" w:rsidR="007433BA" w:rsidRDefault="007433BA" w:rsidP="00F63597">
      <w:pPr>
        <w:pStyle w:val="FootnoteText"/>
        <w:ind w:left="142" w:hanging="142"/>
      </w:pPr>
      <w:r w:rsidRPr="00E80D1A">
        <w:rPr>
          <w:rStyle w:val="FootnoteReference"/>
          <w:rFonts w:ascii="Arial" w:hAnsi="Arial" w:cs="Arial"/>
          <w:sz w:val="20"/>
          <w:szCs w:val="20"/>
        </w:rPr>
        <w:footnoteRef/>
      </w:r>
      <w:r w:rsidRPr="00E80D1A">
        <w:rPr>
          <w:rFonts w:ascii="Arial" w:hAnsi="Arial" w:cs="Arial"/>
          <w:sz w:val="20"/>
          <w:szCs w:val="20"/>
        </w:rPr>
        <w:t xml:space="preserve"> </w:t>
      </w:r>
      <w:r w:rsidRPr="00E80D1A">
        <w:rPr>
          <w:rFonts w:ascii="Arial" w:hAnsi="Arial" w:cs="Arial"/>
          <w:i/>
          <w:iCs/>
          <w:sz w:val="20"/>
          <w:szCs w:val="20"/>
        </w:rPr>
        <w:t>Ibid</w:t>
      </w:r>
      <w:r w:rsidRPr="00E80D1A">
        <w:rPr>
          <w:rFonts w:ascii="Arial" w:hAnsi="Arial" w:cs="Arial"/>
          <w:sz w:val="20"/>
          <w:szCs w:val="20"/>
        </w:rPr>
        <w:t xml:space="preserve"> section 3(n).</w:t>
      </w:r>
    </w:p>
  </w:footnote>
  <w:footnote w:id="7">
    <w:p w14:paraId="1347664B" w14:textId="2C3A03F4" w:rsidR="006A4B5C" w:rsidRPr="00537CF7" w:rsidRDefault="006A4B5C" w:rsidP="00F63597">
      <w:pPr>
        <w:pStyle w:val="FootnoteText"/>
        <w:ind w:left="142" w:hanging="142"/>
        <w:jc w:val="both"/>
        <w:rPr>
          <w:rFonts w:ascii="Arial" w:hAnsi="Arial" w:cs="Arial"/>
          <w:sz w:val="20"/>
          <w:szCs w:val="20"/>
        </w:rPr>
      </w:pPr>
      <w:r w:rsidRPr="00537CF7">
        <w:rPr>
          <w:rStyle w:val="FootnoteReference"/>
          <w:rFonts w:ascii="Arial" w:hAnsi="Arial" w:cs="Arial"/>
          <w:sz w:val="20"/>
          <w:szCs w:val="20"/>
        </w:rPr>
        <w:footnoteRef/>
      </w:r>
      <w:r w:rsidRPr="00537CF7">
        <w:rPr>
          <w:rFonts w:ascii="Arial" w:hAnsi="Arial" w:cs="Arial"/>
          <w:sz w:val="20"/>
          <w:szCs w:val="20"/>
        </w:rPr>
        <w:t xml:space="preserve"> </w:t>
      </w:r>
      <w:r w:rsidRPr="00537CF7">
        <w:rPr>
          <w:rFonts w:ascii="Arial" w:hAnsi="Arial" w:cs="Arial"/>
          <w:i/>
          <w:iCs/>
          <w:sz w:val="20"/>
          <w:szCs w:val="20"/>
        </w:rPr>
        <w:t xml:space="preserve">Ibid </w:t>
      </w:r>
      <w:r w:rsidRPr="00537CF7">
        <w:rPr>
          <w:rFonts w:ascii="Arial" w:hAnsi="Arial" w:cs="Arial"/>
          <w:sz w:val="20"/>
          <w:szCs w:val="20"/>
        </w:rPr>
        <w:t>section 3(o).</w:t>
      </w:r>
    </w:p>
  </w:footnote>
  <w:footnote w:id="8">
    <w:p w14:paraId="5795BE27" w14:textId="63412DEA" w:rsidR="001622AA" w:rsidRPr="00537CF7" w:rsidRDefault="001622AA" w:rsidP="00F63597">
      <w:pPr>
        <w:pStyle w:val="FootnoteText"/>
        <w:ind w:left="142" w:hanging="142"/>
        <w:jc w:val="both"/>
        <w:rPr>
          <w:rFonts w:ascii="Arial" w:hAnsi="Arial" w:cs="Arial"/>
          <w:sz w:val="20"/>
          <w:szCs w:val="20"/>
        </w:rPr>
      </w:pPr>
      <w:r w:rsidRPr="00537CF7">
        <w:rPr>
          <w:rStyle w:val="FootnoteReference"/>
          <w:rFonts w:ascii="Arial" w:hAnsi="Arial" w:cs="Arial"/>
          <w:sz w:val="20"/>
          <w:szCs w:val="20"/>
        </w:rPr>
        <w:footnoteRef/>
      </w:r>
      <w:r w:rsidRPr="00537CF7">
        <w:rPr>
          <w:rFonts w:ascii="Arial" w:hAnsi="Arial" w:cs="Arial"/>
          <w:sz w:val="20"/>
          <w:szCs w:val="20"/>
        </w:rPr>
        <w:t xml:space="preserve"> A prer</w:t>
      </w:r>
      <w:r w:rsidR="000F181A" w:rsidRPr="00537CF7">
        <w:rPr>
          <w:rFonts w:ascii="Arial" w:hAnsi="Arial" w:cs="Arial"/>
          <w:sz w:val="20"/>
          <w:szCs w:val="20"/>
        </w:rPr>
        <w:t>e</w:t>
      </w:r>
      <w:r w:rsidRPr="00537CF7">
        <w:rPr>
          <w:rFonts w:ascii="Arial" w:hAnsi="Arial" w:cs="Arial"/>
          <w:sz w:val="20"/>
          <w:szCs w:val="20"/>
        </w:rPr>
        <w:t xml:space="preserve">quisite </w:t>
      </w:r>
      <w:r w:rsidR="000F181A" w:rsidRPr="00537CF7">
        <w:rPr>
          <w:rFonts w:ascii="Arial" w:hAnsi="Arial" w:cs="Arial"/>
          <w:sz w:val="20"/>
          <w:szCs w:val="20"/>
        </w:rPr>
        <w:t>to practice as a health professional within the Republic is registration  in terms of section 17(3) of the Act</w:t>
      </w:r>
      <w:r w:rsidR="00752080" w:rsidRPr="00537CF7">
        <w:rPr>
          <w:rFonts w:ascii="Arial" w:hAnsi="Arial" w:cs="Arial"/>
          <w:sz w:val="20"/>
          <w:szCs w:val="20"/>
        </w:rPr>
        <w:t>. Persons may also voluntarily cancel their registration</w:t>
      </w:r>
      <w:r w:rsidR="006054EC" w:rsidRPr="00537CF7">
        <w:rPr>
          <w:rFonts w:ascii="Arial" w:hAnsi="Arial" w:cs="Arial"/>
          <w:sz w:val="20"/>
          <w:szCs w:val="20"/>
        </w:rPr>
        <w:t xml:space="preserve"> in terms of section 19(1)(c) of the Act provided that the</w:t>
      </w:r>
      <w:r w:rsidR="002224A1" w:rsidRPr="00537CF7">
        <w:rPr>
          <w:rFonts w:ascii="Arial" w:hAnsi="Arial" w:cs="Arial"/>
          <w:sz w:val="20"/>
          <w:szCs w:val="20"/>
        </w:rPr>
        <w:t xml:space="preserve">re </w:t>
      </w:r>
      <w:r w:rsidR="00DD437B" w:rsidRPr="00537CF7">
        <w:rPr>
          <w:rFonts w:ascii="Arial" w:hAnsi="Arial" w:cs="Arial"/>
          <w:sz w:val="20"/>
          <w:szCs w:val="20"/>
        </w:rPr>
        <w:t>is</w:t>
      </w:r>
      <w:r w:rsidR="002224A1" w:rsidRPr="00537CF7">
        <w:rPr>
          <w:rFonts w:ascii="Arial" w:hAnsi="Arial" w:cs="Arial"/>
          <w:sz w:val="20"/>
          <w:szCs w:val="20"/>
        </w:rPr>
        <w:t xml:space="preserve"> no pending</w:t>
      </w:r>
      <w:r w:rsidR="00722872" w:rsidRPr="00537CF7">
        <w:rPr>
          <w:rFonts w:ascii="Arial" w:hAnsi="Arial" w:cs="Arial"/>
          <w:sz w:val="20"/>
          <w:szCs w:val="20"/>
        </w:rPr>
        <w:t xml:space="preserve"> </w:t>
      </w:r>
      <w:r w:rsidR="003012DF" w:rsidRPr="00537CF7">
        <w:rPr>
          <w:rFonts w:ascii="Arial" w:hAnsi="Arial" w:cs="Arial"/>
          <w:sz w:val="20"/>
          <w:szCs w:val="20"/>
        </w:rPr>
        <w:t xml:space="preserve">professional misconduct or anticipated criminal </w:t>
      </w:r>
      <w:r w:rsidR="00722872" w:rsidRPr="00537CF7">
        <w:rPr>
          <w:rFonts w:ascii="Arial" w:hAnsi="Arial" w:cs="Arial"/>
          <w:sz w:val="20"/>
          <w:szCs w:val="20"/>
        </w:rPr>
        <w:t>proceedings</w:t>
      </w:r>
      <w:r w:rsidR="003012DF" w:rsidRPr="00537CF7">
        <w:rPr>
          <w:rFonts w:ascii="Arial" w:hAnsi="Arial" w:cs="Arial"/>
          <w:sz w:val="20"/>
          <w:szCs w:val="20"/>
        </w:rPr>
        <w:t xml:space="preserve"> against them. This is to be confirmed on oath.</w:t>
      </w:r>
      <w:r w:rsidR="00F90C64" w:rsidRPr="00537CF7">
        <w:rPr>
          <w:rFonts w:ascii="Arial" w:hAnsi="Arial" w:cs="Arial"/>
          <w:sz w:val="20"/>
          <w:szCs w:val="20"/>
        </w:rPr>
        <w:t xml:space="preserve"> The consequence of removal </w:t>
      </w:r>
      <w:r w:rsidR="00350996" w:rsidRPr="00537CF7">
        <w:rPr>
          <w:rFonts w:ascii="Arial" w:hAnsi="Arial" w:cs="Arial"/>
          <w:sz w:val="20"/>
          <w:szCs w:val="20"/>
        </w:rPr>
        <w:t>from the register is that the person may not</w:t>
      </w:r>
      <w:r w:rsidR="00026784" w:rsidRPr="00537CF7">
        <w:rPr>
          <w:rFonts w:ascii="Arial" w:hAnsi="Arial" w:cs="Arial"/>
          <w:sz w:val="20"/>
          <w:szCs w:val="20"/>
        </w:rPr>
        <w:t>, in terms of section</w:t>
      </w:r>
      <w:r w:rsidR="00EC3964" w:rsidRPr="00537CF7">
        <w:rPr>
          <w:rFonts w:ascii="Arial" w:hAnsi="Arial" w:cs="Arial"/>
          <w:sz w:val="20"/>
          <w:szCs w:val="20"/>
        </w:rPr>
        <w:t xml:space="preserve"> 18(3),</w:t>
      </w:r>
      <w:r w:rsidR="00350996" w:rsidRPr="00537CF7">
        <w:rPr>
          <w:rFonts w:ascii="Arial" w:hAnsi="Arial" w:cs="Arial"/>
          <w:sz w:val="20"/>
          <w:szCs w:val="20"/>
        </w:rPr>
        <w:t xml:space="preserve"> practice as a health professional</w:t>
      </w:r>
      <w:r w:rsidR="00026784" w:rsidRPr="00537CF7">
        <w:rPr>
          <w:rFonts w:ascii="Arial" w:hAnsi="Arial" w:cs="Arial"/>
          <w:sz w:val="20"/>
          <w:szCs w:val="20"/>
        </w:rPr>
        <w:t>.</w:t>
      </w:r>
    </w:p>
  </w:footnote>
  <w:footnote w:id="9">
    <w:p w14:paraId="26DD1C08" w14:textId="10461E26" w:rsidR="002A4C42" w:rsidRDefault="002A4C42">
      <w:pPr>
        <w:pStyle w:val="FootnoteText"/>
      </w:pPr>
      <w:r>
        <w:rPr>
          <w:rStyle w:val="FootnoteReference"/>
        </w:rPr>
        <w:footnoteRef/>
      </w:r>
      <w:r>
        <w:t xml:space="preserve"> </w:t>
      </w:r>
      <w:r w:rsidRPr="002A4C42">
        <w:rPr>
          <w:rFonts w:ascii="Arial" w:hAnsi="Arial" w:cs="Arial"/>
          <w:i/>
          <w:iCs/>
          <w:sz w:val="20"/>
          <w:szCs w:val="20"/>
        </w:rPr>
        <w:t>Veriava and Others v President, SA Medical and Dental Council and Others</w:t>
      </w:r>
      <w:r w:rsidRPr="002A4C42">
        <w:rPr>
          <w:rFonts w:ascii="Arial" w:hAnsi="Arial" w:cs="Arial"/>
          <w:sz w:val="20"/>
          <w:szCs w:val="20"/>
        </w:rPr>
        <w:t xml:space="preserve"> 1985 (2) SA 293 (T).</w:t>
      </w:r>
    </w:p>
  </w:footnote>
  <w:footnote w:id="10">
    <w:p w14:paraId="11B720D9" w14:textId="252AAA04" w:rsidR="00CB50BC" w:rsidRPr="00537CF7" w:rsidRDefault="00CB50BC" w:rsidP="00F63597">
      <w:pPr>
        <w:pStyle w:val="FootnoteText"/>
        <w:ind w:left="142" w:hanging="142"/>
        <w:jc w:val="both"/>
        <w:rPr>
          <w:rFonts w:ascii="Arial" w:hAnsi="Arial" w:cs="Arial"/>
          <w:sz w:val="20"/>
          <w:szCs w:val="20"/>
        </w:rPr>
      </w:pPr>
      <w:r w:rsidRPr="00537CF7">
        <w:rPr>
          <w:rStyle w:val="FootnoteReference"/>
          <w:rFonts w:ascii="Arial" w:hAnsi="Arial" w:cs="Arial"/>
          <w:sz w:val="20"/>
          <w:szCs w:val="20"/>
        </w:rPr>
        <w:footnoteRef/>
      </w:r>
      <w:r w:rsidRPr="00537CF7">
        <w:rPr>
          <w:rFonts w:ascii="Arial" w:hAnsi="Arial" w:cs="Arial"/>
          <w:sz w:val="20"/>
          <w:szCs w:val="20"/>
        </w:rPr>
        <w:t xml:space="preserve"> The conduct of</w:t>
      </w:r>
      <w:r w:rsidR="004033B1" w:rsidRPr="00537CF7">
        <w:rPr>
          <w:rFonts w:ascii="Arial" w:hAnsi="Arial" w:cs="Arial"/>
          <w:sz w:val="20"/>
          <w:szCs w:val="20"/>
        </w:rPr>
        <w:t xml:space="preserve"> inquiries into alleged unprofessional conduct in terms of the Act is </w:t>
      </w:r>
      <w:r w:rsidR="00E667F1" w:rsidRPr="00537CF7">
        <w:rPr>
          <w:rFonts w:ascii="Arial" w:hAnsi="Arial" w:cs="Arial"/>
          <w:sz w:val="20"/>
          <w:szCs w:val="20"/>
        </w:rPr>
        <w:t>governed by regulations published in GN R102</w:t>
      </w:r>
      <w:r w:rsidR="000A4255" w:rsidRPr="00537CF7">
        <w:rPr>
          <w:rFonts w:ascii="Arial" w:hAnsi="Arial" w:cs="Arial"/>
          <w:sz w:val="20"/>
          <w:szCs w:val="20"/>
        </w:rPr>
        <w:t xml:space="preserve"> of 2009 (GG 31859 of 6 Feb. 2009).</w:t>
      </w:r>
    </w:p>
  </w:footnote>
  <w:footnote w:id="11">
    <w:p w14:paraId="066B5513" w14:textId="2B9FB74C" w:rsidR="004B23AD" w:rsidRPr="00537CF7" w:rsidRDefault="004B23AD" w:rsidP="00F63597">
      <w:pPr>
        <w:pStyle w:val="FootnoteText"/>
        <w:ind w:left="142" w:hanging="142"/>
        <w:jc w:val="both"/>
        <w:rPr>
          <w:rFonts w:ascii="Arial" w:hAnsi="Arial" w:cs="Arial"/>
          <w:sz w:val="20"/>
          <w:szCs w:val="20"/>
        </w:rPr>
      </w:pPr>
      <w:r w:rsidRPr="00537CF7">
        <w:rPr>
          <w:rStyle w:val="FootnoteReference"/>
          <w:rFonts w:ascii="Arial" w:hAnsi="Arial" w:cs="Arial"/>
          <w:sz w:val="20"/>
          <w:szCs w:val="20"/>
        </w:rPr>
        <w:footnoteRef/>
      </w:r>
      <w:r w:rsidRPr="00537CF7">
        <w:rPr>
          <w:rFonts w:ascii="Arial" w:hAnsi="Arial" w:cs="Arial"/>
          <w:sz w:val="20"/>
          <w:szCs w:val="20"/>
        </w:rPr>
        <w:t xml:space="preserve"> </w:t>
      </w:r>
      <w:r w:rsidR="00537CF7" w:rsidRPr="00537CF7">
        <w:rPr>
          <w:rFonts w:ascii="Arial" w:hAnsi="Arial" w:cs="Arial"/>
          <w:sz w:val="20"/>
          <w:szCs w:val="20"/>
        </w:rPr>
        <w:t>In terms of r</w:t>
      </w:r>
      <w:r w:rsidRPr="00537CF7">
        <w:rPr>
          <w:rFonts w:ascii="Arial" w:hAnsi="Arial" w:cs="Arial"/>
          <w:sz w:val="20"/>
          <w:szCs w:val="20"/>
        </w:rPr>
        <w:t>egulation 4</w:t>
      </w:r>
      <w:r w:rsidR="006624A9" w:rsidRPr="00537CF7">
        <w:rPr>
          <w:rFonts w:ascii="Arial" w:hAnsi="Arial" w:cs="Arial"/>
          <w:sz w:val="20"/>
          <w:szCs w:val="20"/>
        </w:rPr>
        <w:t>(9)</w:t>
      </w:r>
      <w:r w:rsidR="00B3631B">
        <w:rPr>
          <w:rFonts w:ascii="Arial" w:hAnsi="Arial" w:cs="Arial"/>
          <w:sz w:val="20"/>
          <w:szCs w:val="20"/>
        </w:rPr>
        <w:t>.</w:t>
      </w:r>
    </w:p>
  </w:footnote>
  <w:footnote w:id="12">
    <w:p w14:paraId="1F7778AD" w14:textId="44F38F1A" w:rsidR="009E57D0" w:rsidRDefault="009E57D0" w:rsidP="00F63597">
      <w:pPr>
        <w:pStyle w:val="FootnoteText"/>
        <w:ind w:left="142" w:hanging="142"/>
        <w:jc w:val="both"/>
      </w:pPr>
      <w:r w:rsidRPr="00537CF7">
        <w:rPr>
          <w:rStyle w:val="FootnoteReference"/>
          <w:rFonts w:ascii="Arial" w:hAnsi="Arial" w:cs="Arial"/>
          <w:sz w:val="20"/>
          <w:szCs w:val="20"/>
        </w:rPr>
        <w:footnoteRef/>
      </w:r>
      <w:r w:rsidRPr="00537CF7">
        <w:rPr>
          <w:rFonts w:ascii="Arial" w:hAnsi="Arial" w:cs="Arial"/>
          <w:sz w:val="20"/>
          <w:szCs w:val="20"/>
        </w:rPr>
        <w:t xml:space="preserve"> </w:t>
      </w:r>
      <w:r w:rsidR="00537CF7" w:rsidRPr="00537CF7">
        <w:rPr>
          <w:rFonts w:ascii="Arial" w:hAnsi="Arial" w:cs="Arial"/>
          <w:sz w:val="20"/>
          <w:szCs w:val="20"/>
        </w:rPr>
        <w:t>In terms of r</w:t>
      </w:r>
      <w:r w:rsidRPr="00537CF7">
        <w:rPr>
          <w:rFonts w:ascii="Arial" w:hAnsi="Arial" w:cs="Arial"/>
          <w:sz w:val="20"/>
          <w:szCs w:val="20"/>
        </w:rPr>
        <w:t>egulation 4(8)</w:t>
      </w:r>
      <w:r w:rsidR="00B3631B">
        <w:rPr>
          <w:rFonts w:ascii="Arial" w:hAnsi="Arial" w:cs="Arial"/>
          <w:sz w:val="20"/>
          <w:szCs w:val="20"/>
        </w:rPr>
        <w:t>.</w:t>
      </w:r>
    </w:p>
  </w:footnote>
  <w:footnote w:id="13">
    <w:p w14:paraId="137735CC" w14:textId="0F46A04A" w:rsidR="002A4C42" w:rsidRPr="002A4C42" w:rsidRDefault="002A4C42">
      <w:pPr>
        <w:pStyle w:val="FootnoteText"/>
        <w:rPr>
          <w:rFonts w:ascii="Arial" w:hAnsi="Arial" w:cs="Arial"/>
          <w:sz w:val="20"/>
          <w:szCs w:val="20"/>
        </w:rPr>
      </w:pPr>
      <w:r w:rsidRPr="002A4C42">
        <w:rPr>
          <w:rStyle w:val="FootnoteReference"/>
          <w:rFonts w:ascii="Arial" w:hAnsi="Arial" w:cs="Arial"/>
          <w:sz w:val="20"/>
          <w:szCs w:val="20"/>
        </w:rPr>
        <w:footnoteRef/>
      </w:r>
      <w:r w:rsidRPr="002A4C42">
        <w:rPr>
          <w:rFonts w:ascii="Arial" w:hAnsi="Arial" w:cs="Arial"/>
          <w:sz w:val="20"/>
          <w:szCs w:val="20"/>
        </w:rPr>
        <w:t xml:space="preserve"> </w:t>
      </w:r>
      <w:r w:rsidRPr="002A4C42">
        <w:rPr>
          <w:rFonts w:ascii="Arial" w:hAnsi="Arial" w:cs="Arial"/>
          <w:i/>
          <w:iCs/>
          <w:sz w:val="20"/>
          <w:szCs w:val="20"/>
        </w:rPr>
        <w:t>De Beer v Health Professions Council of South Africa</w:t>
      </w:r>
      <w:r w:rsidRPr="002A4C42">
        <w:rPr>
          <w:rFonts w:ascii="Arial" w:hAnsi="Arial" w:cs="Arial"/>
          <w:sz w:val="20"/>
          <w:szCs w:val="20"/>
        </w:rPr>
        <w:t xml:space="preserve"> 2005 (1) SA 332 (T).</w:t>
      </w:r>
    </w:p>
  </w:footnote>
  <w:footnote w:id="14">
    <w:p w14:paraId="18904E44" w14:textId="4087EA40" w:rsidR="001868FD" w:rsidRPr="006B53D6" w:rsidRDefault="001868FD" w:rsidP="001868FD">
      <w:pPr>
        <w:pStyle w:val="FootnoteText"/>
        <w:jc w:val="both"/>
        <w:rPr>
          <w:rFonts w:ascii="Arial" w:hAnsi="Arial" w:cs="Arial"/>
          <w:sz w:val="18"/>
          <w:szCs w:val="18"/>
        </w:rPr>
      </w:pPr>
      <w:r w:rsidRPr="006B53D6">
        <w:rPr>
          <w:rStyle w:val="FootnoteReference"/>
          <w:rFonts w:ascii="Arial" w:hAnsi="Arial" w:cs="Arial"/>
          <w:sz w:val="18"/>
          <w:szCs w:val="18"/>
        </w:rPr>
        <w:footnoteRef/>
      </w:r>
      <w:r w:rsidRPr="006B53D6">
        <w:rPr>
          <w:rFonts w:ascii="Arial" w:hAnsi="Arial" w:cs="Arial"/>
          <w:sz w:val="18"/>
          <w:szCs w:val="18"/>
        </w:rPr>
        <w:t xml:space="preserve"> 1969 (2) SA 256 </w:t>
      </w:r>
      <w:r w:rsidR="00080FB9">
        <w:rPr>
          <w:rFonts w:ascii="Arial" w:hAnsi="Arial" w:cs="Arial"/>
          <w:sz w:val="18"/>
          <w:szCs w:val="18"/>
        </w:rPr>
        <w:t>(C)</w:t>
      </w:r>
      <w:r w:rsidRPr="006B53D6">
        <w:rPr>
          <w:rFonts w:ascii="Arial" w:hAnsi="Arial" w:cs="Arial"/>
          <w:sz w:val="18"/>
          <w:szCs w:val="18"/>
        </w:rPr>
        <w:t xml:space="preserve"> at 267A-F; see also Setlogelo v Setlogelo 1914 AD 221 at 227.</w:t>
      </w:r>
    </w:p>
  </w:footnote>
  <w:footnote w:id="15">
    <w:p w14:paraId="4AFB7463" w14:textId="3B48E63C" w:rsidR="00080FB9" w:rsidRPr="00080FB9" w:rsidRDefault="00080FB9">
      <w:pPr>
        <w:pStyle w:val="FootnoteText"/>
        <w:rPr>
          <w:rFonts w:ascii="Arial" w:hAnsi="Arial" w:cs="Arial"/>
          <w:sz w:val="20"/>
          <w:szCs w:val="20"/>
        </w:rPr>
      </w:pPr>
      <w:r w:rsidRPr="00080FB9">
        <w:rPr>
          <w:rStyle w:val="FootnoteReference"/>
          <w:rFonts w:ascii="Arial" w:hAnsi="Arial" w:cs="Arial"/>
          <w:sz w:val="20"/>
          <w:szCs w:val="20"/>
        </w:rPr>
        <w:footnoteRef/>
      </w:r>
      <w:r w:rsidRPr="00080FB9">
        <w:rPr>
          <w:rFonts w:ascii="Arial" w:hAnsi="Arial" w:cs="Arial"/>
          <w:sz w:val="20"/>
          <w:szCs w:val="20"/>
        </w:rPr>
        <w:t xml:space="preserve"> The Constitution of the Republic of South Africa 1996.</w:t>
      </w:r>
    </w:p>
  </w:footnote>
  <w:footnote w:id="16">
    <w:p w14:paraId="39EA5E7D" w14:textId="33957673" w:rsidR="00080FB9" w:rsidRPr="00080FB9" w:rsidRDefault="00080FB9">
      <w:pPr>
        <w:pStyle w:val="FootnoteText"/>
        <w:rPr>
          <w:rFonts w:ascii="Arial" w:hAnsi="Arial" w:cs="Arial"/>
          <w:sz w:val="20"/>
          <w:szCs w:val="20"/>
        </w:rPr>
      </w:pPr>
      <w:r w:rsidRPr="00080FB9">
        <w:rPr>
          <w:rStyle w:val="FootnoteReference"/>
          <w:rFonts w:ascii="Arial" w:hAnsi="Arial" w:cs="Arial"/>
          <w:sz w:val="20"/>
          <w:szCs w:val="20"/>
        </w:rPr>
        <w:footnoteRef/>
      </w:r>
      <w:r w:rsidRPr="00080FB9">
        <w:rPr>
          <w:rFonts w:ascii="Arial" w:hAnsi="Arial" w:cs="Arial"/>
          <w:sz w:val="20"/>
          <w:szCs w:val="20"/>
        </w:rPr>
        <w:t xml:space="preserve"> Ibid section 9.</w:t>
      </w:r>
    </w:p>
  </w:footnote>
  <w:footnote w:id="17">
    <w:p w14:paraId="3B9449C1" w14:textId="3FDDCF34" w:rsidR="00080FB9" w:rsidRPr="00080FB9" w:rsidRDefault="00080FB9">
      <w:pPr>
        <w:pStyle w:val="FootnoteText"/>
        <w:rPr>
          <w:rFonts w:ascii="Arial" w:hAnsi="Arial" w:cs="Arial"/>
          <w:sz w:val="20"/>
          <w:szCs w:val="20"/>
        </w:rPr>
      </w:pPr>
      <w:r w:rsidRPr="00080FB9">
        <w:rPr>
          <w:rStyle w:val="FootnoteReference"/>
          <w:rFonts w:ascii="Arial" w:hAnsi="Arial" w:cs="Arial"/>
          <w:sz w:val="20"/>
          <w:szCs w:val="20"/>
        </w:rPr>
        <w:footnoteRef/>
      </w:r>
      <w:r w:rsidRPr="00080FB9">
        <w:rPr>
          <w:rFonts w:ascii="Arial" w:hAnsi="Arial" w:cs="Arial"/>
          <w:sz w:val="20"/>
          <w:szCs w:val="20"/>
        </w:rPr>
        <w:t xml:space="preserve"> Ibid section 16.</w:t>
      </w:r>
    </w:p>
  </w:footnote>
  <w:footnote w:id="18">
    <w:p w14:paraId="1268AC21" w14:textId="4FEF8A45" w:rsidR="00080FB9" w:rsidRPr="00080FB9" w:rsidRDefault="00080FB9">
      <w:pPr>
        <w:pStyle w:val="FootnoteText"/>
        <w:rPr>
          <w:rFonts w:ascii="Arial" w:hAnsi="Arial" w:cs="Arial"/>
          <w:sz w:val="20"/>
          <w:szCs w:val="20"/>
        </w:rPr>
      </w:pPr>
      <w:r w:rsidRPr="00080FB9">
        <w:rPr>
          <w:rStyle w:val="FootnoteReference"/>
          <w:rFonts w:ascii="Arial" w:hAnsi="Arial" w:cs="Arial"/>
          <w:sz w:val="20"/>
          <w:szCs w:val="20"/>
        </w:rPr>
        <w:footnoteRef/>
      </w:r>
      <w:r w:rsidRPr="00080FB9">
        <w:rPr>
          <w:rFonts w:ascii="Arial" w:hAnsi="Arial" w:cs="Arial"/>
          <w:sz w:val="20"/>
          <w:szCs w:val="20"/>
        </w:rPr>
        <w:t xml:space="preserve"> Ibid section 19.</w:t>
      </w:r>
    </w:p>
  </w:footnote>
  <w:footnote w:id="19">
    <w:p w14:paraId="64B420DA" w14:textId="594AA276" w:rsidR="00080FB9" w:rsidRPr="00080FB9" w:rsidRDefault="00080FB9">
      <w:pPr>
        <w:pStyle w:val="FootnoteText"/>
        <w:rPr>
          <w:rFonts w:ascii="Arial" w:hAnsi="Arial" w:cs="Arial"/>
          <w:sz w:val="20"/>
          <w:szCs w:val="20"/>
        </w:rPr>
      </w:pPr>
      <w:r w:rsidRPr="00080FB9">
        <w:rPr>
          <w:rStyle w:val="FootnoteReference"/>
          <w:rFonts w:ascii="Arial" w:hAnsi="Arial" w:cs="Arial"/>
          <w:sz w:val="20"/>
          <w:szCs w:val="20"/>
        </w:rPr>
        <w:footnoteRef/>
      </w:r>
      <w:r w:rsidRPr="00080FB9">
        <w:rPr>
          <w:rFonts w:ascii="Arial" w:hAnsi="Arial" w:cs="Arial"/>
          <w:sz w:val="20"/>
          <w:szCs w:val="20"/>
        </w:rPr>
        <w:t xml:space="preserve"> Ibid section 33.</w:t>
      </w:r>
    </w:p>
  </w:footnote>
  <w:footnote w:id="20">
    <w:p w14:paraId="76586240" w14:textId="6ED8DA91" w:rsidR="00080FB9" w:rsidRPr="00B61431" w:rsidRDefault="00080FB9">
      <w:pPr>
        <w:pStyle w:val="FootnoteText"/>
        <w:rPr>
          <w:rFonts w:ascii="Arial" w:hAnsi="Arial" w:cs="Arial"/>
          <w:sz w:val="20"/>
          <w:szCs w:val="20"/>
        </w:rPr>
      </w:pPr>
      <w:r w:rsidRPr="00080FB9">
        <w:rPr>
          <w:rStyle w:val="FootnoteReference"/>
          <w:rFonts w:ascii="Arial" w:hAnsi="Arial" w:cs="Arial"/>
          <w:sz w:val="20"/>
          <w:szCs w:val="20"/>
        </w:rPr>
        <w:footnoteRef/>
      </w:r>
      <w:r w:rsidRPr="00080FB9">
        <w:rPr>
          <w:rFonts w:ascii="Arial" w:hAnsi="Arial" w:cs="Arial"/>
          <w:sz w:val="20"/>
          <w:szCs w:val="20"/>
        </w:rPr>
        <w:t xml:space="preserve"> Ibid section 34.</w:t>
      </w:r>
    </w:p>
  </w:footnote>
  <w:footnote w:id="21">
    <w:p w14:paraId="76733DF2" w14:textId="482F14F1" w:rsidR="003D0967" w:rsidRPr="00884A4B" w:rsidRDefault="003D0967" w:rsidP="00884A4B">
      <w:pPr>
        <w:pStyle w:val="FootnoteText"/>
        <w:ind w:left="284" w:hanging="284"/>
        <w:rPr>
          <w:rFonts w:ascii="Arial" w:hAnsi="Arial" w:cs="Arial"/>
          <w:sz w:val="20"/>
          <w:szCs w:val="20"/>
        </w:rPr>
      </w:pPr>
      <w:r w:rsidRPr="00884A4B">
        <w:rPr>
          <w:rStyle w:val="FootnoteReference"/>
          <w:rFonts w:ascii="Arial" w:hAnsi="Arial" w:cs="Arial"/>
          <w:sz w:val="20"/>
          <w:szCs w:val="20"/>
        </w:rPr>
        <w:footnoteRef/>
      </w:r>
      <w:r w:rsidRPr="00884A4B">
        <w:rPr>
          <w:rFonts w:ascii="Arial" w:hAnsi="Arial" w:cs="Arial"/>
          <w:sz w:val="20"/>
          <w:szCs w:val="20"/>
        </w:rPr>
        <w:t xml:space="preserve"> </w:t>
      </w:r>
      <w:r w:rsidR="00884A4B" w:rsidRPr="00884A4B">
        <w:rPr>
          <w:rFonts w:ascii="Arial" w:hAnsi="Arial" w:cs="Arial"/>
          <w:i/>
          <w:iCs/>
          <w:sz w:val="20"/>
          <w:szCs w:val="20"/>
        </w:rPr>
        <w:t>Health Professions Council of South Africa and Others v Grieve</w:t>
      </w:r>
      <w:r w:rsidR="00884A4B" w:rsidRPr="00884A4B">
        <w:rPr>
          <w:rFonts w:ascii="Arial" w:hAnsi="Arial" w:cs="Arial"/>
          <w:sz w:val="20"/>
          <w:szCs w:val="20"/>
        </w:rPr>
        <w:t xml:space="preserve"> (1356/2019) [2021] ZASCA 6 (15</w:t>
      </w:r>
      <w:r w:rsidR="00150161">
        <w:rPr>
          <w:rFonts w:ascii="Arial" w:hAnsi="Arial" w:cs="Arial"/>
          <w:sz w:val="20"/>
          <w:szCs w:val="20"/>
        </w:rPr>
        <w:t xml:space="preserve"> </w:t>
      </w:r>
      <w:r w:rsidR="00884A4B" w:rsidRPr="00884A4B">
        <w:rPr>
          <w:rFonts w:ascii="Arial" w:hAnsi="Arial" w:cs="Arial"/>
          <w:sz w:val="20"/>
          <w:szCs w:val="20"/>
        </w:rPr>
        <w:t>January 2021)</w:t>
      </w:r>
      <w:r w:rsidR="00150161">
        <w:rPr>
          <w:rFonts w:ascii="Arial" w:hAnsi="Arial" w:cs="Arial"/>
          <w:sz w:val="20"/>
          <w:szCs w:val="20"/>
        </w:rPr>
        <w:t xml:space="preserve"> at para 17.</w:t>
      </w:r>
    </w:p>
  </w:footnote>
  <w:footnote w:id="22">
    <w:p w14:paraId="4A497242" w14:textId="2E9FDDF4" w:rsidR="00B61431" w:rsidRDefault="00B61431">
      <w:pPr>
        <w:pStyle w:val="FootnoteText"/>
      </w:pPr>
      <w:r w:rsidRPr="00B61431">
        <w:rPr>
          <w:rStyle w:val="FootnoteReference"/>
          <w:rFonts w:ascii="Arial" w:hAnsi="Arial" w:cs="Arial"/>
          <w:sz w:val="20"/>
          <w:szCs w:val="20"/>
        </w:rPr>
        <w:footnoteRef/>
      </w:r>
      <w:r w:rsidRPr="00B61431">
        <w:rPr>
          <w:rFonts w:ascii="Arial" w:hAnsi="Arial" w:cs="Arial"/>
          <w:sz w:val="20"/>
          <w:szCs w:val="20"/>
        </w:rPr>
        <w:t xml:space="preserve"> The oath taken by the applicant as MEC is set out in Schedule 2 Part 5 of the Constitution.</w:t>
      </w:r>
    </w:p>
  </w:footnote>
  <w:footnote w:id="23">
    <w:p w14:paraId="16671829" w14:textId="4D0E787A" w:rsidR="007D411B" w:rsidRPr="00762969" w:rsidRDefault="007D411B">
      <w:pPr>
        <w:pStyle w:val="FootnoteText"/>
        <w:rPr>
          <w:rFonts w:ascii="Arial" w:hAnsi="Arial" w:cs="Arial"/>
          <w:sz w:val="20"/>
          <w:szCs w:val="20"/>
        </w:rPr>
      </w:pPr>
      <w:r w:rsidRPr="00762969">
        <w:rPr>
          <w:rStyle w:val="FootnoteReference"/>
          <w:rFonts w:ascii="Arial" w:hAnsi="Arial" w:cs="Arial"/>
          <w:i/>
          <w:iCs/>
          <w:sz w:val="20"/>
          <w:szCs w:val="20"/>
        </w:rPr>
        <w:footnoteRef/>
      </w:r>
      <w:r w:rsidRPr="00762969">
        <w:rPr>
          <w:rFonts w:ascii="Arial" w:hAnsi="Arial" w:cs="Arial"/>
          <w:i/>
          <w:iCs/>
          <w:sz w:val="20"/>
          <w:szCs w:val="20"/>
        </w:rPr>
        <w:t xml:space="preserve"> South African Informal Traders Forum and Others v City</w:t>
      </w:r>
      <w:r w:rsidR="00762969" w:rsidRPr="00762969">
        <w:rPr>
          <w:rFonts w:ascii="Arial" w:hAnsi="Arial" w:cs="Arial"/>
          <w:i/>
          <w:iCs/>
          <w:sz w:val="20"/>
          <w:szCs w:val="20"/>
        </w:rPr>
        <w:t xml:space="preserve"> of Johannesburg and Others</w:t>
      </w:r>
      <w:r w:rsidR="00762969" w:rsidRPr="00762969">
        <w:rPr>
          <w:rFonts w:ascii="Arial" w:hAnsi="Arial" w:cs="Arial"/>
          <w:sz w:val="20"/>
          <w:szCs w:val="20"/>
        </w:rPr>
        <w:t xml:space="preserve"> 2014 (4) SA 371 (CC) at para [25]. The finding of the preliminary committee of inquiry was neither final nor binding upon the applicant and for that reason the review lacks prospects of success.</w:t>
      </w:r>
    </w:p>
  </w:footnote>
  <w:footnote w:id="24">
    <w:p w14:paraId="237079C5" w14:textId="5FC948B6" w:rsidR="00E30C1E" w:rsidRPr="001A0C4A" w:rsidRDefault="00E30C1E" w:rsidP="003D0967">
      <w:pPr>
        <w:pStyle w:val="FootnoteText"/>
        <w:ind w:left="284" w:hanging="284"/>
        <w:rPr>
          <w:rFonts w:ascii="Arial" w:hAnsi="Arial" w:cs="Arial"/>
          <w:sz w:val="20"/>
          <w:szCs w:val="20"/>
        </w:rPr>
      </w:pPr>
      <w:r w:rsidRPr="001A0C4A">
        <w:rPr>
          <w:rStyle w:val="FootnoteReference"/>
          <w:rFonts w:ascii="Arial" w:hAnsi="Arial" w:cs="Arial"/>
          <w:sz w:val="20"/>
          <w:szCs w:val="20"/>
        </w:rPr>
        <w:footnoteRef/>
      </w:r>
      <w:r w:rsidRPr="001A0C4A">
        <w:rPr>
          <w:rFonts w:ascii="Arial" w:hAnsi="Arial" w:cs="Arial"/>
          <w:sz w:val="20"/>
          <w:szCs w:val="20"/>
        </w:rPr>
        <w:t xml:space="preserve"> </w:t>
      </w:r>
      <w:r w:rsidR="00C34062" w:rsidRPr="001A0C4A">
        <w:rPr>
          <w:rFonts w:ascii="Arial" w:hAnsi="Arial" w:cs="Arial"/>
          <w:i/>
          <w:iCs/>
          <w:sz w:val="20"/>
          <w:szCs w:val="20"/>
        </w:rPr>
        <w:t>Free State Gold Areas Ltd v Merriespruit</w:t>
      </w:r>
      <w:r w:rsidR="003107A7" w:rsidRPr="001A0C4A">
        <w:rPr>
          <w:rFonts w:ascii="Arial" w:hAnsi="Arial" w:cs="Arial"/>
          <w:i/>
          <w:iCs/>
          <w:sz w:val="20"/>
          <w:szCs w:val="20"/>
        </w:rPr>
        <w:t xml:space="preserve"> (Orange Free State) GM Co Ltd</w:t>
      </w:r>
      <w:r w:rsidR="003107A7" w:rsidRPr="001A0C4A">
        <w:rPr>
          <w:rFonts w:ascii="Arial" w:hAnsi="Arial" w:cs="Arial"/>
          <w:sz w:val="20"/>
          <w:szCs w:val="20"/>
        </w:rPr>
        <w:t xml:space="preserve"> </w:t>
      </w:r>
      <w:r w:rsidR="004931B1" w:rsidRPr="001A0C4A">
        <w:rPr>
          <w:rFonts w:ascii="Arial" w:hAnsi="Arial" w:cs="Arial"/>
          <w:sz w:val="20"/>
          <w:szCs w:val="20"/>
        </w:rPr>
        <w:t>1961 (2) SA 505 (W) at 518</w:t>
      </w:r>
    </w:p>
  </w:footnote>
  <w:footnote w:id="25">
    <w:p w14:paraId="5BAE35D2" w14:textId="24A0942D" w:rsidR="00167545" w:rsidRDefault="00167545">
      <w:pPr>
        <w:pStyle w:val="FootnoteText"/>
      </w:pPr>
      <w:r>
        <w:rPr>
          <w:rStyle w:val="FootnoteReference"/>
        </w:rPr>
        <w:footnoteRef/>
      </w:r>
      <w:r>
        <w:t xml:space="preserve"> </w:t>
      </w:r>
      <w:r w:rsidRPr="00167545">
        <w:rPr>
          <w:rFonts w:ascii="Arial" w:hAnsi="Arial" w:cs="Arial"/>
          <w:i/>
          <w:iCs/>
          <w:sz w:val="20"/>
          <w:szCs w:val="20"/>
        </w:rPr>
        <w:t>Mapholisa v Phetoe NO and Others</w:t>
      </w:r>
      <w:r w:rsidRPr="00167545">
        <w:rPr>
          <w:rFonts w:ascii="Arial" w:hAnsi="Arial" w:cs="Arial"/>
          <w:sz w:val="20"/>
          <w:szCs w:val="20"/>
        </w:rPr>
        <w:t xml:space="preserve"> 2023 (3) SA 149 (SCA)</w:t>
      </w:r>
      <w:r>
        <w:rPr>
          <w:rFonts w:ascii="Arial" w:hAnsi="Arial" w:cs="Arial"/>
          <w:sz w:val="20"/>
          <w:szCs w:val="20"/>
        </w:rPr>
        <w:t xml:space="preserve"> at paras [24] – [25].</w:t>
      </w:r>
    </w:p>
  </w:footnote>
  <w:footnote w:id="26">
    <w:p w14:paraId="0786BDD5" w14:textId="14FDE0F2" w:rsidR="00781968" w:rsidRPr="009F7542" w:rsidRDefault="00781968">
      <w:pPr>
        <w:pStyle w:val="FootnoteText"/>
        <w:rPr>
          <w:rFonts w:ascii="Arial" w:hAnsi="Arial" w:cs="Arial"/>
          <w:sz w:val="20"/>
          <w:szCs w:val="20"/>
        </w:rPr>
      </w:pPr>
      <w:r w:rsidRPr="009F7542">
        <w:rPr>
          <w:rStyle w:val="FootnoteReference"/>
          <w:rFonts w:ascii="Arial" w:hAnsi="Arial" w:cs="Arial"/>
          <w:sz w:val="20"/>
          <w:szCs w:val="20"/>
        </w:rPr>
        <w:footnoteRef/>
      </w:r>
      <w:r w:rsidRPr="009F7542">
        <w:rPr>
          <w:rFonts w:ascii="Arial" w:hAnsi="Arial" w:cs="Arial"/>
          <w:sz w:val="20"/>
          <w:szCs w:val="20"/>
        </w:rPr>
        <w:t xml:space="preserve"> </w:t>
      </w:r>
      <w:r w:rsidR="00820C8F" w:rsidRPr="009F7542">
        <w:rPr>
          <w:rFonts w:ascii="Arial" w:hAnsi="Arial" w:cs="Arial"/>
          <w:i/>
          <w:iCs/>
          <w:sz w:val="20"/>
          <w:szCs w:val="20"/>
        </w:rPr>
        <w:t>Eriksen Motors (Welkom) Ltd v Protea Motors</w:t>
      </w:r>
      <w:r w:rsidR="009D6BD1" w:rsidRPr="009F7542">
        <w:rPr>
          <w:rFonts w:ascii="Arial" w:hAnsi="Arial" w:cs="Arial"/>
          <w:i/>
          <w:iCs/>
          <w:sz w:val="20"/>
          <w:szCs w:val="20"/>
        </w:rPr>
        <w:t>, Warrenton &amp; Another</w:t>
      </w:r>
      <w:r w:rsidR="009D6BD1" w:rsidRPr="009F7542">
        <w:rPr>
          <w:rFonts w:ascii="Arial" w:hAnsi="Arial" w:cs="Arial"/>
          <w:sz w:val="20"/>
          <w:szCs w:val="20"/>
        </w:rPr>
        <w:t xml:space="preserve"> 1973 (3) SA 685 (A) at 691</w:t>
      </w:r>
      <w:r w:rsidR="009F7542" w:rsidRPr="009F7542">
        <w:rPr>
          <w:rFonts w:ascii="Arial" w:hAnsi="Arial" w:cs="Arial"/>
          <w:sz w:val="20"/>
          <w:szCs w:val="20"/>
        </w:rPr>
        <w:t>D-E</w:t>
      </w:r>
      <w:r w:rsidR="00762969">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2F563D1A"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77F">
      <w:rPr>
        <w:rStyle w:val="PageNumber"/>
        <w:noProof/>
      </w:rPr>
      <w:t>3</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0FAA1B19"/>
    <w:multiLevelType w:val="hybridMultilevel"/>
    <w:tmpl w:val="69BA9A30"/>
    <w:lvl w:ilvl="0" w:tplc="D074B1DE">
      <w:start w:val="1"/>
      <w:numFmt w:val="decimal"/>
      <w:lvlText w:val="%1."/>
      <w:lvlJc w:val="left"/>
      <w:pPr>
        <w:ind w:left="6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F60E630">
      <w:start w:val="1"/>
      <w:numFmt w:val="lowerLetter"/>
      <w:lvlText w:val="%2"/>
      <w:lvlJc w:val="left"/>
      <w:pPr>
        <w:ind w:left="1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E9CF62C">
      <w:start w:val="1"/>
      <w:numFmt w:val="lowerRoman"/>
      <w:lvlText w:val="%3"/>
      <w:lvlJc w:val="left"/>
      <w:pPr>
        <w:ind w:left="1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EAC701C">
      <w:start w:val="1"/>
      <w:numFmt w:val="decimal"/>
      <w:lvlText w:val="%4"/>
      <w:lvlJc w:val="left"/>
      <w:pPr>
        <w:ind w:left="2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F3273CC">
      <w:start w:val="1"/>
      <w:numFmt w:val="lowerLetter"/>
      <w:lvlText w:val="%5"/>
      <w:lvlJc w:val="left"/>
      <w:pPr>
        <w:ind w:left="3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BDC5F14">
      <w:start w:val="1"/>
      <w:numFmt w:val="lowerRoman"/>
      <w:lvlText w:val="%6"/>
      <w:lvlJc w:val="left"/>
      <w:pPr>
        <w:ind w:left="4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6A894AA">
      <w:start w:val="1"/>
      <w:numFmt w:val="decimal"/>
      <w:lvlText w:val="%7"/>
      <w:lvlJc w:val="left"/>
      <w:pPr>
        <w:ind w:left="4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D726C00">
      <w:start w:val="1"/>
      <w:numFmt w:val="lowerLetter"/>
      <w:lvlText w:val="%8"/>
      <w:lvlJc w:val="left"/>
      <w:pPr>
        <w:ind w:left="5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138E578">
      <w:start w:val="1"/>
      <w:numFmt w:val="lowerRoman"/>
      <w:lvlText w:val="%9"/>
      <w:lvlJc w:val="left"/>
      <w:pPr>
        <w:ind w:left="62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nsid w:val="12DE7A5E"/>
    <w:multiLevelType w:val="multilevel"/>
    <w:tmpl w:val="76A4F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5AF004E"/>
    <w:multiLevelType w:val="hybridMultilevel"/>
    <w:tmpl w:val="63AC2978"/>
    <w:lvl w:ilvl="0" w:tplc="84D695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8724A69"/>
    <w:multiLevelType w:val="hybridMultilevel"/>
    <w:tmpl w:val="D52A28D0"/>
    <w:lvl w:ilvl="0" w:tplc="1B144F32">
      <w:start w:val="1"/>
      <w:numFmt w:val="lowerRoman"/>
      <w:lvlText w:val="(%1)"/>
      <w:lvlJc w:val="left"/>
      <w:pPr>
        <w:ind w:left="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4D242">
      <w:start w:val="1"/>
      <w:numFmt w:val="lowerLetter"/>
      <w:lvlText w:val="%2"/>
      <w:lvlJc w:val="left"/>
      <w:pPr>
        <w:ind w:left="1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0369E">
      <w:start w:val="1"/>
      <w:numFmt w:val="lowerRoman"/>
      <w:lvlText w:val="%3"/>
      <w:lvlJc w:val="left"/>
      <w:pPr>
        <w:ind w:left="1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A5072">
      <w:start w:val="1"/>
      <w:numFmt w:val="decimal"/>
      <w:lvlText w:val="%4"/>
      <w:lvlJc w:val="left"/>
      <w:pPr>
        <w:ind w:left="2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84068">
      <w:start w:val="1"/>
      <w:numFmt w:val="lowerLetter"/>
      <w:lvlText w:val="%5"/>
      <w:lvlJc w:val="left"/>
      <w:pPr>
        <w:ind w:left="3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AD4D4">
      <w:start w:val="1"/>
      <w:numFmt w:val="lowerRoman"/>
      <w:lvlText w:val="%6"/>
      <w:lvlJc w:val="left"/>
      <w:pPr>
        <w:ind w:left="4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2BED8">
      <w:start w:val="1"/>
      <w:numFmt w:val="decimal"/>
      <w:lvlText w:val="%7"/>
      <w:lvlJc w:val="left"/>
      <w:pPr>
        <w:ind w:left="4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B6B528">
      <w:start w:val="1"/>
      <w:numFmt w:val="lowerLetter"/>
      <w:lvlText w:val="%8"/>
      <w:lvlJc w:val="left"/>
      <w:pPr>
        <w:ind w:left="5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434D2">
      <w:start w:val="1"/>
      <w:numFmt w:val="lowerRoman"/>
      <w:lvlText w:val="%9"/>
      <w:lvlJc w:val="left"/>
      <w:pPr>
        <w:ind w:left="6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BF27F3"/>
    <w:multiLevelType w:val="multilevel"/>
    <w:tmpl w:val="BA665E2E"/>
    <w:lvl w:ilvl="0">
      <w:start w:val="1"/>
      <w:numFmt w:val="decimal"/>
      <w:lvlText w:val="[%1]"/>
      <w:lvlJc w:val="left"/>
      <w:pPr>
        <w:ind w:left="720" w:hanging="360"/>
      </w:pPr>
      <w:rPr>
        <w:rFonts w:hint="default"/>
        <w:b w:val="0"/>
        <w:bCs w:val="0"/>
        <w:i w:val="0"/>
        <w:iCs w:val="0"/>
        <w:sz w:val="24"/>
        <w:szCs w:val="24"/>
      </w:rPr>
    </w:lvl>
    <w:lvl w:ilvl="1">
      <w:start w:val="3"/>
      <w:numFmt w:val="decimal"/>
      <w:isLgl/>
      <w:lvlText w:val="%1.%2"/>
      <w:lvlJc w:val="left"/>
      <w:pPr>
        <w:ind w:left="2158" w:hanging="740"/>
      </w:pPr>
      <w:rPr>
        <w:rFonts w:hint="default"/>
      </w:rPr>
    </w:lvl>
    <w:lvl w:ilvl="2">
      <w:start w:val="1"/>
      <w:numFmt w:val="decimal"/>
      <w:isLgl/>
      <w:lvlText w:val="%1.%2.%3"/>
      <w:lvlJc w:val="left"/>
      <w:pPr>
        <w:ind w:left="3216" w:hanging="74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4">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nsid w:val="354B3F07"/>
    <w:multiLevelType w:val="multilevel"/>
    <w:tmpl w:val="5950D064"/>
    <w:lvl w:ilvl="0">
      <w:start w:val="2"/>
      <w:numFmt w:val="decimal"/>
      <w:lvlText w:val="%1."/>
      <w:lvlJc w:val="left"/>
      <w:pPr>
        <w:ind w:left="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3D7B5EE5"/>
    <w:multiLevelType w:val="hybridMultilevel"/>
    <w:tmpl w:val="D6FAB514"/>
    <w:lvl w:ilvl="0" w:tplc="9C5E2EC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1"/>
  </w:num>
  <w:num w:numId="5">
    <w:abstractNumId w:val="8"/>
  </w:num>
  <w:num w:numId="6">
    <w:abstractNumId w:val="18"/>
  </w:num>
  <w:num w:numId="7">
    <w:abstractNumId w:val="20"/>
  </w:num>
  <w:num w:numId="8">
    <w:abstractNumId w:val="19"/>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3"/>
  </w:num>
  <w:num w:numId="16">
    <w:abstractNumId w:val="16"/>
  </w:num>
  <w:num w:numId="17">
    <w:abstractNumId w:val="11"/>
  </w:num>
  <w:num w:numId="18">
    <w:abstractNumId w:val="5"/>
  </w:num>
  <w:num w:numId="19">
    <w:abstractNumId w:val="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06514"/>
    <w:rsid w:val="000104B4"/>
    <w:rsid w:val="000218AC"/>
    <w:rsid w:val="0002295E"/>
    <w:rsid w:val="00022E29"/>
    <w:rsid w:val="0002640A"/>
    <w:rsid w:val="00026784"/>
    <w:rsid w:val="00030EDB"/>
    <w:rsid w:val="000375F9"/>
    <w:rsid w:val="00043931"/>
    <w:rsid w:val="00050078"/>
    <w:rsid w:val="00052547"/>
    <w:rsid w:val="000578D1"/>
    <w:rsid w:val="00062CEF"/>
    <w:rsid w:val="0006302B"/>
    <w:rsid w:val="00070EA4"/>
    <w:rsid w:val="000730BB"/>
    <w:rsid w:val="00080FB9"/>
    <w:rsid w:val="0008376B"/>
    <w:rsid w:val="0008544C"/>
    <w:rsid w:val="00085E25"/>
    <w:rsid w:val="0008693D"/>
    <w:rsid w:val="000964D1"/>
    <w:rsid w:val="000971DB"/>
    <w:rsid w:val="000A26D7"/>
    <w:rsid w:val="000A4255"/>
    <w:rsid w:val="000A5272"/>
    <w:rsid w:val="000B030E"/>
    <w:rsid w:val="000B7BFD"/>
    <w:rsid w:val="000C091F"/>
    <w:rsid w:val="000C1577"/>
    <w:rsid w:val="000C1D16"/>
    <w:rsid w:val="000C4554"/>
    <w:rsid w:val="000D0136"/>
    <w:rsid w:val="000E07B1"/>
    <w:rsid w:val="000E5109"/>
    <w:rsid w:val="000E5543"/>
    <w:rsid w:val="000E5FB9"/>
    <w:rsid w:val="000E6633"/>
    <w:rsid w:val="000F181A"/>
    <w:rsid w:val="000F2374"/>
    <w:rsid w:val="00101CEC"/>
    <w:rsid w:val="00101D88"/>
    <w:rsid w:val="001021EE"/>
    <w:rsid w:val="0010283D"/>
    <w:rsid w:val="00103EC1"/>
    <w:rsid w:val="0011347D"/>
    <w:rsid w:val="00114724"/>
    <w:rsid w:val="00115BF5"/>
    <w:rsid w:val="00121456"/>
    <w:rsid w:val="00123D60"/>
    <w:rsid w:val="0012612A"/>
    <w:rsid w:val="0013492F"/>
    <w:rsid w:val="00137296"/>
    <w:rsid w:val="001413FD"/>
    <w:rsid w:val="00144EA8"/>
    <w:rsid w:val="00150161"/>
    <w:rsid w:val="00151F35"/>
    <w:rsid w:val="00155668"/>
    <w:rsid w:val="0016046F"/>
    <w:rsid w:val="00161F55"/>
    <w:rsid w:val="001622AA"/>
    <w:rsid w:val="00163683"/>
    <w:rsid w:val="00167545"/>
    <w:rsid w:val="00171FC3"/>
    <w:rsid w:val="001721F5"/>
    <w:rsid w:val="00174613"/>
    <w:rsid w:val="0017465D"/>
    <w:rsid w:val="001868FD"/>
    <w:rsid w:val="00191EF3"/>
    <w:rsid w:val="00194994"/>
    <w:rsid w:val="00194AFD"/>
    <w:rsid w:val="00194BAE"/>
    <w:rsid w:val="001A0C4A"/>
    <w:rsid w:val="001A21CD"/>
    <w:rsid w:val="001A7F86"/>
    <w:rsid w:val="001B288A"/>
    <w:rsid w:val="001B487B"/>
    <w:rsid w:val="001B49B0"/>
    <w:rsid w:val="001B69C2"/>
    <w:rsid w:val="001D1974"/>
    <w:rsid w:val="001D607D"/>
    <w:rsid w:val="001D6C62"/>
    <w:rsid w:val="001D6F4F"/>
    <w:rsid w:val="001D7244"/>
    <w:rsid w:val="001E6710"/>
    <w:rsid w:val="001F07DD"/>
    <w:rsid w:val="001F2CB2"/>
    <w:rsid w:val="001F450A"/>
    <w:rsid w:val="001F495B"/>
    <w:rsid w:val="001F4AE5"/>
    <w:rsid w:val="002003EF"/>
    <w:rsid w:val="00201A93"/>
    <w:rsid w:val="002040D5"/>
    <w:rsid w:val="00205098"/>
    <w:rsid w:val="0020751F"/>
    <w:rsid w:val="0021216F"/>
    <w:rsid w:val="002129F5"/>
    <w:rsid w:val="002134AB"/>
    <w:rsid w:val="00222365"/>
    <w:rsid w:val="002224A1"/>
    <w:rsid w:val="00232BFD"/>
    <w:rsid w:val="00232EA0"/>
    <w:rsid w:val="002332DE"/>
    <w:rsid w:val="00235638"/>
    <w:rsid w:val="00242C84"/>
    <w:rsid w:val="00242E76"/>
    <w:rsid w:val="00244901"/>
    <w:rsid w:val="00254146"/>
    <w:rsid w:val="00255485"/>
    <w:rsid w:val="00256969"/>
    <w:rsid w:val="00263D89"/>
    <w:rsid w:val="00264079"/>
    <w:rsid w:val="00265336"/>
    <w:rsid w:val="00267036"/>
    <w:rsid w:val="0027008F"/>
    <w:rsid w:val="00280528"/>
    <w:rsid w:val="00281CA0"/>
    <w:rsid w:val="00283B34"/>
    <w:rsid w:val="00287E6E"/>
    <w:rsid w:val="002914E5"/>
    <w:rsid w:val="0029767F"/>
    <w:rsid w:val="00297B91"/>
    <w:rsid w:val="002A4C42"/>
    <w:rsid w:val="002A51AF"/>
    <w:rsid w:val="002A53F8"/>
    <w:rsid w:val="002A6A3F"/>
    <w:rsid w:val="002B0A35"/>
    <w:rsid w:val="002B4437"/>
    <w:rsid w:val="002B69B1"/>
    <w:rsid w:val="002C413A"/>
    <w:rsid w:val="002C4D4E"/>
    <w:rsid w:val="002C7527"/>
    <w:rsid w:val="002D6099"/>
    <w:rsid w:val="002D6A2A"/>
    <w:rsid w:val="002D6BF0"/>
    <w:rsid w:val="002E1F21"/>
    <w:rsid w:val="002F2DB2"/>
    <w:rsid w:val="003012DF"/>
    <w:rsid w:val="003066F1"/>
    <w:rsid w:val="00307191"/>
    <w:rsid w:val="00307905"/>
    <w:rsid w:val="003107A7"/>
    <w:rsid w:val="00310DCA"/>
    <w:rsid w:val="00313396"/>
    <w:rsid w:val="003155D7"/>
    <w:rsid w:val="00316515"/>
    <w:rsid w:val="00322298"/>
    <w:rsid w:val="00323F5E"/>
    <w:rsid w:val="00326704"/>
    <w:rsid w:val="00333325"/>
    <w:rsid w:val="003348C6"/>
    <w:rsid w:val="00334F20"/>
    <w:rsid w:val="003352BB"/>
    <w:rsid w:val="00335D42"/>
    <w:rsid w:val="00342015"/>
    <w:rsid w:val="00350996"/>
    <w:rsid w:val="00355AD1"/>
    <w:rsid w:val="00355C1C"/>
    <w:rsid w:val="00360697"/>
    <w:rsid w:val="00363165"/>
    <w:rsid w:val="00363E98"/>
    <w:rsid w:val="00371B2B"/>
    <w:rsid w:val="00371BE5"/>
    <w:rsid w:val="00375DC6"/>
    <w:rsid w:val="00376BFA"/>
    <w:rsid w:val="003850FB"/>
    <w:rsid w:val="00385391"/>
    <w:rsid w:val="00385FBC"/>
    <w:rsid w:val="00385FFF"/>
    <w:rsid w:val="00386576"/>
    <w:rsid w:val="003A14B0"/>
    <w:rsid w:val="003A20FB"/>
    <w:rsid w:val="003A3574"/>
    <w:rsid w:val="003A5BC8"/>
    <w:rsid w:val="003B3696"/>
    <w:rsid w:val="003B4231"/>
    <w:rsid w:val="003B6C23"/>
    <w:rsid w:val="003C37E1"/>
    <w:rsid w:val="003C415E"/>
    <w:rsid w:val="003C432D"/>
    <w:rsid w:val="003D0967"/>
    <w:rsid w:val="003E4362"/>
    <w:rsid w:val="003E6BDA"/>
    <w:rsid w:val="003F37AE"/>
    <w:rsid w:val="003F46D7"/>
    <w:rsid w:val="004033B1"/>
    <w:rsid w:val="00406F88"/>
    <w:rsid w:val="00407066"/>
    <w:rsid w:val="004075F2"/>
    <w:rsid w:val="004116B0"/>
    <w:rsid w:val="00412297"/>
    <w:rsid w:val="00412E0C"/>
    <w:rsid w:val="00413603"/>
    <w:rsid w:val="00413E2B"/>
    <w:rsid w:val="00416EA1"/>
    <w:rsid w:val="00417BE7"/>
    <w:rsid w:val="0042184A"/>
    <w:rsid w:val="004247F2"/>
    <w:rsid w:val="00425F53"/>
    <w:rsid w:val="00430FBA"/>
    <w:rsid w:val="00431713"/>
    <w:rsid w:val="00432B66"/>
    <w:rsid w:val="00440D4B"/>
    <w:rsid w:val="0044117D"/>
    <w:rsid w:val="0044361B"/>
    <w:rsid w:val="00443A58"/>
    <w:rsid w:val="00443ADE"/>
    <w:rsid w:val="00444C8B"/>
    <w:rsid w:val="0045149D"/>
    <w:rsid w:val="00452A4C"/>
    <w:rsid w:val="00454072"/>
    <w:rsid w:val="00457AA7"/>
    <w:rsid w:val="00460F1A"/>
    <w:rsid w:val="00461E12"/>
    <w:rsid w:val="004625E2"/>
    <w:rsid w:val="00471DE9"/>
    <w:rsid w:val="00475569"/>
    <w:rsid w:val="00475A3E"/>
    <w:rsid w:val="00475A8E"/>
    <w:rsid w:val="004763CF"/>
    <w:rsid w:val="0048191C"/>
    <w:rsid w:val="00482966"/>
    <w:rsid w:val="004854D5"/>
    <w:rsid w:val="0049074E"/>
    <w:rsid w:val="0049313B"/>
    <w:rsid w:val="004931B1"/>
    <w:rsid w:val="004A1424"/>
    <w:rsid w:val="004B23AD"/>
    <w:rsid w:val="004C6A1E"/>
    <w:rsid w:val="004D12FE"/>
    <w:rsid w:val="004D3845"/>
    <w:rsid w:val="004E00DD"/>
    <w:rsid w:val="004E4789"/>
    <w:rsid w:val="004E581A"/>
    <w:rsid w:val="004F0167"/>
    <w:rsid w:val="00500DA0"/>
    <w:rsid w:val="005069D9"/>
    <w:rsid w:val="00507ABB"/>
    <w:rsid w:val="00514611"/>
    <w:rsid w:val="0051651C"/>
    <w:rsid w:val="00530B56"/>
    <w:rsid w:val="00533BDE"/>
    <w:rsid w:val="00537CF7"/>
    <w:rsid w:val="00540198"/>
    <w:rsid w:val="00546C5B"/>
    <w:rsid w:val="00547AC7"/>
    <w:rsid w:val="00551B4C"/>
    <w:rsid w:val="0055431B"/>
    <w:rsid w:val="0055454A"/>
    <w:rsid w:val="005560EF"/>
    <w:rsid w:val="00567A6E"/>
    <w:rsid w:val="0057074A"/>
    <w:rsid w:val="005720E9"/>
    <w:rsid w:val="00587548"/>
    <w:rsid w:val="00587BF3"/>
    <w:rsid w:val="00595099"/>
    <w:rsid w:val="0059653F"/>
    <w:rsid w:val="005A2F73"/>
    <w:rsid w:val="005B0DB3"/>
    <w:rsid w:val="005B118D"/>
    <w:rsid w:val="005B6266"/>
    <w:rsid w:val="005B75C1"/>
    <w:rsid w:val="005C677F"/>
    <w:rsid w:val="005D1878"/>
    <w:rsid w:val="005D3007"/>
    <w:rsid w:val="005D4790"/>
    <w:rsid w:val="005E2259"/>
    <w:rsid w:val="005E230C"/>
    <w:rsid w:val="005E3C3F"/>
    <w:rsid w:val="005E448E"/>
    <w:rsid w:val="005F49B3"/>
    <w:rsid w:val="005F653D"/>
    <w:rsid w:val="006036F8"/>
    <w:rsid w:val="00605316"/>
    <w:rsid w:val="006054EC"/>
    <w:rsid w:val="006077A9"/>
    <w:rsid w:val="00613E4D"/>
    <w:rsid w:val="00615A0C"/>
    <w:rsid w:val="00616E5A"/>
    <w:rsid w:val="006216B4"/>
    <w:rsid w:val="0062738D"/>
    <w:rsid w:val="006328A5"/>
    <w:rsid w:val="006416E5"/>
    <w:rsid w:val="006430C0"/>
    <w:rsid w:val="00644BB3"/>
    <w:rsid w:val="00646138"/>
    <w:rsid w:val="00650745"/>
    <w:rsid w:val="00651507"/>
    <w:rsid w:val="00651B9B"/>
    <w:rsid w:val="00653433"/>
    <w:rsid w:val="00655236"/>
    <w:rsid w:val="006624A9"/>
    <w:rsid w:val="006630FB"/>
    <w:rsid w:val="00667902"/>
    <w:rsid w:val="006710DC"/>
    <w:rsid w:val="00675035"/>
    <w:rsid w:val="00676987"/>
    <w:rsid w:val="00677BC9"/>
    <w:rsid w:val="00683071"/>
    <w:rsid w:val="00686AFF"/>
    <w:rsid w:val="00690B6A"/>
    <w:rsid w:val="00695533"/>
    <w:rsid w:val="006A19D1"/>
    <w:rsid w:val="006A1AA8"/>
    <w:rsid w:val="006A37E3"/>
    <w:rsid w:val="006A4B5C"/>
    <w:rsid w:val="006A6DDB"/>
    <w:rsid w:val="006A770C"/>
    <w:rsid w:val="006B0014"/>
    <w:rsid w:val="006B3D1D"/>
    <w:rsid w:val="006B67ED"/>
    <w:rsid w:val="006B6D9C"/>
    <w:rsid w:val="006C705A"/>
    <w:rsid w:val="006D3DF4"/>
    <w:rsid w:val="006D54DB"/>
    <w:rsid w:val="006E3F51"/>
    <w:rsid w:val="006E4415"/>
    <w:rsid w:val="006E462C"/>
    <w:rsid w:val="006F2787"/>
    <w:rsid w:val="006F40B5"/>
    <w:rsid w:val="006F52FA"/>
    <w:rsid w:val="00707C51"/>
    <w:rsid w:val="00713A5D"/>
    <w:rsid w:val="00720FEF"/>
    <w:rsid w:val="0072221F"/>
    <w:rsid w:val="00722872"/>
    <w:rsid w:val="007240D9"/>
    <w:rsid w:val="007240E6"/>
    <w:rsid w:val="0073212D"/>
    <w:rsid w:val="00733746"/>
    <w:rsid w:val="00735EB8"/>
    <w:rsid w:val="00736CDA"/>
    <w:rsid w:val="00737291"/>
    <w:rsid w:val="00742BAE"/>
    <w:rsid w:val="007433BA"/>
    <w:rsid w:val="00750CC1"/>
    <w:rsid w:val="00752080"/>
    <w:rsid w:val="00753AD4"/>
    <w:rsid w:val="00755484"/>
    <w:rsid w:val="00761F91"/>
    <w:rsid w:val="00762969"/>
    <w:rsid w:val="00763002"/>
    <w:rsid w:val="007679D5"/>
    <w:rsid w:val="007716E1"/>
    <w:rsid w:val="00771E0F"/>
    <w:rsid w:val="007728D2"/>
    <w:rsid w:val="00781968"/>
    <w:rsid w:val="00785866"/>
    <w:rsid w:val="007875AE"/>
    <w:rsid w:val="0078777C"/>
    <w:rsid w:val="007970E1"/>
    <w:rsid w:val="007A288E"/>
    <w:rsid w:val="007A53BB"/>
    <w:rsid w:val="007A65B6"/>
    <w:rsid w:val="007B2C1E"/>
    <w:rsid w:val="007B46F6"/>
    <w:rsid w:val="007B63CD"/>
    <w:rsid w:val="007C373C"/>
    <w:rsid w:val="007C7D36"/>
    <w:rsid w:val="007D17B5"/>
    <w:rsid w:val="007D24A3"/>
    <w:rsid w:val="007D411B"/>
    <w:rsid w:val="007E14BF"/>
    <w:rsid w:val="007E685C"/>
    <w:rsid w:val="007E7B98"/>
    <w:rsid w:val="007F0BBF"/>
    <w:rsid w:val="007F719F"/>
    <w:rsid w:val="007F7FED"/>
    <w:rsid w:val="008049EF"/>
    <w:rsid w:val="008056C0"/>
    <w:rsid w:val="0080634A"/>
    <w:rsid w:val="00806DFA"/>
    <w:rsid w:val="00811DBD"/>
    <w:rsid w:val="00820C8F"/>
    <w:rsid w:val="00821962"/>
    <w:rsid w:val="00822511"/>
    <w:rsid w:val="0083215B"/>
    <w:rsid w:val="0083542A"/>
    <w:rsid w:val="0083710F"/>
    <w:rsid w:val="00837200"/>
    <w:rsid w:val="00840547"/>
    <w:rsid w:val="0084332A"/>
    <w:rsid w:val="008465D6"/>
    <w:rsid w:val="00847AA8"/>
    <w:rsid w:val="00853DA4"/>
    <w:rsid w:val="00860899"/>
    <w:rsid w:val="00866025"/>
    <w:rsid w:val="0088233C"/>
    <w:rsid w:val="0088300A"/>
    <w:rsid w:val="00884A4B"/>
    <w:rsid w:val="0088738A"/>
    <w:rsid w:val="008A3877"/>
    <w:rsid w:val="008B1A58"/>
    <w:rsid w:val="008B1B71"/>
    <w:rsid w:val="008B2182"/>
    <w:rsid w:val="008B5056"/>
    <w:rsid w:val="008C18AE"/>
    <w:rsid w:val="008C3603"/>
    <w:rsid w:val="008C45A5"/>
    <w:rsid w:val="008D34A8"/>
    <w:rsid w:val="008D39BE"/>
    <w:rsid w:val="008D4FD5"/>
    <w:rsid w:val="008E2604"/>
    <w:rsid w:val="008E4705"/>
    <w:rsid w:val="008E4EF7"/>
    <w:rsid w:val="008E5B30"/>
    <w:rsid w:val="008E5BBF"/>
    <w:rsid w:val="008E6813"/>
    <w:rsid w:val="008F2EA2"/>
    <w:rsid w:val="009007B6"/>
    <w:rsid w:val="00901159"/>
    <w:rsid w:val="009026AA"/>
    <w:rsid w:val="00910A0B"/>
    <w:rsid w:val="00911000"/>
    <w:rsid w:val="00911F9D"/>
    <w:rsid w:val="009155B3"/>
    <w:rsid w:val="00916812"/>
    <w:rsid w:val="00916FDE"/>
    <w:rsid w:val="009227A6"/>
    <w:rsid w:val="00923678"/>
    <w:rsid w:val="00926EAA"/>
    <w:rsid w:val="0093492C"/>
    <w:rsid w:val="0093762E"/>
    <w:rsid w:val="00940B57"/>
    <w:rsid w:val="00941562"/>
    <w:rsid w:val="0094292C"/>
    <w:rsid w:val="00943E8E"/>
    <w:rsid w:val="0094494E"/>
    <w:rsid w:val="00944BDE"/>
    <w:rsid w:val="0094618C"/>
    <w:rsid w:val="0095576C"/>
    <w:rsid w:val="00956703"/>
    <w:rsid w:val="009645FB"/>
    <w:rsid w:val="009732B6"/>
    <w:rsid w:val="00973D4E"/>
    <w:rsid w:val="00974554"/>
    <w:rsid w:val="00976D15"/>
    <w:rsid w:val="00977E1A"/>
    <w:rsid w:val="00981F9C"/>
    <w:rsid w:val="009838D5"/>
    <w:rsid w:val="00987290"/>
    <w:rsid w:val="009947E3"/>
    <w:rsid w:val="009950C9"/>
    <w:rsid w:val="00995236"/>
    <w:rsid w:val="00996BD7"/>
    <w:rsid w:val="009A269B"/>
    <w:rsid w:val="009A33C1"/>
    <w:rsid w:val="009A79F1"/>
    <w:rsid w:val="009B099B"/>
    <w:rsid w:val="009B2B51"/>
    <w:rsid w:val="009B2BC9"/>
    <w:rsid w:val="009B36AA"/>
    <w:rsid w:val="009B4C31"/>
    <w:rsid w:val="009C4BCE"/>
    <w:rsid w:val="009C7961"/>
    <w:rsid w:val="009C7E0D"/>
    <w:rsid w:val="009D28CA"/>
    <w:rsid w:val="009D48FA"/>
    <w:rsid w:val="009D4F9E"/>
    <w:rsid w:val="009D57DB"/>
    <w:rsid w:val="009D6107"/>
    <w:rsid w:val="009D6BD1"/>
    <w:rsid w:val="009E1EF1"/>
    <w:rsid w:val="009E54D7"/>
    <w:rsid w:val="009E57D0"/>
    <w:rsid w:val="009F22F0"/>
    <w:rsid w:val="009F43A4"/>
    <w:rsid w:val="009F5E83"/>
    <w:rsid w:val="009F7542"/>
    <w:rsid w:val="00A01777"/>
    <w:rsid w:val="00A01BB0"/>
    <w:rsid w:val="00A05D88"/>
    <w:rsid w:val="00A06E43"/>
    <w:rsid w:val="00A07432"/>
    <w:rsid w:val="00A12932"/>
    <w:rsid w:val="00A13793"/>
    <w:rsid w:val="00A156AE"/>
    <w:rsid w:val="00A156C9"/>
    <w:rsid w:val="00A15E04"/>
    <w:rsid w:val="00A165EA"/>
    <w:rsid w:val="00A17225"/>
    <w:rsid w:val="00A22388"/>
    <w:rsid w:val="00A24B93"/>
    <w:rsid w:val="00A337E6"/>
    <w:rsid w:val="00A350CF"/>
    <w:rsid w:val="00A3600A"/>
    <w:rsid w:val="00A43F9C"/>
    <w:rsid w:val="00A4634B"/>
    <w:rsid w:val="00A518CC"/>
    <w:rsid w:val="00A52FDF"/>
    <w:rsid w:val="00A54C36"/>
    <w:rsid w:val="00A56BC1"/>
    <w:rsid w:val="00A600CF"/>
    <w:rsid w:val="00A62353"/>
    <w:rsid w:val="00A63F51"/>
    <w:rsid w:val="00A70D05"/>
    <w:rsid w:val="00A710EE"/>
    <w:rsid w:val="00A722F2"/>
    <w:rsid w:val="00A75EF4"/>
    <w:rsid w:val="00A77551"/>
    <w:rsid w:val="00A8152F"/>
    <w:rsid w:val="00A9010C"/>
    <w:rsid w:val="00A901C5"/>
    <w:rsid w:val="00A923C6"/>
    <w:rsid w:val="00AA663B"/>
    <w:rsid w:val="00AB1510"/>
    <w:rsid w:val="00AB2DE7"/>
    <w:rsid w:val="00AB4CA7"/>
    <w:rsid w:val="00AB636E"/>
    <w:rsid w:val="00AB6798"/>
    <w:rsid w:val="00AC5472"/>
    <w:rsid w:val="00AD49F8"/>
    <w:rsid w:val="00AE1E5D"/>
    <w:rsid w:val="00AE4E9C"/>
    <w:rsid w:val="00AE605E"/>
    <w:rsid w:val="00AF1688"/>
    <w:rsid w:val="00AF3194"/>
    <w:rsid w:val="00AF5339"/>
    <w:rsid w:val="00B11DEB"/>
    <w:rsid w:val="00B120C9"/>
    <w:rsid w:val="00B1695C"/>
    <w:rsid w:val="00B20170"/>
    <w:rsid w:val="00B21489"/>
    <w:rsid w:val="00B22495"/>
    <w:rsid w:val="00B244B7"/>
    <w:rsid w:val="00B2685B"/>
    <w:rsid w:val="00B3097A"/>
    <w:rsid w:val="00B3106B"/>
    <w:rsid w:val="00B3631B"/>
    <w:rsid w:val="00B404D0"/>
    <w:rsid w:val="00B44F10"/>
    <w:rsid w:val="00B50E11"/>
    <w:rsid w:val="00B55D12"/>
    <w:rsid w:val="00B55D33"/>
    <w:rsid w:val="00B61431"/>
    <w:rsid w:val="00B64D36"/>
    <w:rsid w:val="00B70181"/>
    <w:rsid w:val="00B7327D"/>
    <w:rsid w:val="00B73443"/>
    <w:rsid w:val="00B8347D"/>
    <w:rsid w:val="00B86068"/>
    <w:rsid w:val="00B862D2"/>
    <w:rsid w:val="00B86B80"/>
    <w:rsid w:val="00B908DF"/>
    <w:rsid w:val="00B92A41"/>
    <w:rsid w:val="00B9551D"/>
    <w:rsid w:val="00B95693"/>
    <w:rsid w:val="00B95E84"/>
    <w:rsid w:val="00BA1F62"/>
    <w:rsid w:val="00BA595B"/>
    <w:rsid w:val="00BB3F9A"/>
    <w:rsid w:val="00BD2454"/>
    <w:rsid w:val="00BD33EC"/>
    <w:rsid w:val="00BD496A"/>
    <w:rsid w:val="00BE1D55"/>
    <w:rsid w:val="00BF09B4"/>
    <w:rsid w:val="00BF309F"/>
    <w:rsid w:val="00C04C43"/>
    <w:rsid w:val="00C11D38"/>
    <w:rsid w:val="00C13D14"/>
    <w:rsid w:val="00C15F66"/>
    <w:rsid w:val="00C21AED"/>
    <w:rsid w:val="00C33AAD"/>
    <w:rsid w:val="00C34062"/>
    <w:rsid w:val="00C4185B"/>
    <w:rsid w:val="00C45291"/>
    <w:rsid w:val="00C47BCE"/>
    <w:rsid w:val="00C519B2"/>
    <w:rsid w:val="00C52737"/>
    <w:rsid w:val="00C53B19"/>
    <w:rsid w:val="00C5727B"/>
    <w:rsid w:val="00C63FFA"/>
    <w:rsid w:val="00C64B6A"/>
    <w:rsid w:val="00C67A0E"/>
    <w:rsid w:val="00C726A7"/>
    <w:rsid w:val="00C72A6C"/>
    <w:rsid w:val="00C7361A"/>
    <w:rsid w:val="00C7460D"/>
    <w:rsid w:val="00C7759C"/>
    <w:rsid w:val="00C776F8"/>
    <w:rsid w:val="00C81789"/>
    <w:rsid w:val="00C8430A"/>
    <w:rsid w:val="00C9262D"/>
    <w:rsid w:val="00CA6C2A"/>
    <w:rsid w:val="00CB2381"/>
    <w:rsid w:val="00CB2439"/>
    <w:rsid w:val="00CB4BC1"/>
    <w:rsid w:val="00CB50BC"/>
    <w:rsid w:val="00CB5178"/>
    <w:rsid w:val="00CB6F8A"/>
    <w:rsid w:val="00CC1866"/>
    <w:rsid w:val="00CC3AB3"/>
    <w:rsid w:val="00CD0B40"/>
    <w:rsid w:val="00CD1BDD"/>
    <w:rsid w:val="00CD4F04"/>
    <w:rsid w:val="00CE09E5"/>
    <w:rsid w:val="00CE0CC7"/>
    <w:rsid w:val="00CE30E0"/>
    <w:rsid w:val="00CE3BED"/>
    <w:rsid w:val="00CF05BE"/>
    <w:rsid w:val="00CF4754"/>
    <w:rsid w:val="00CF7D86"/>
    <w:rsid w:val="00CF7D99"/>
    <w:rsid w:val="00D00B2E"/>
    <w:rsid w:val="00D026E5"/>
    <w:rsid w:val="00D0281D"/>
    <w:rsid w:val="00D0642F"/>
    <w:rsid w:val="00D06D6A"/>
    <w:rsid w:val="00D16320"/>
    <w:rsid w:val="00D2145B"/>
    <w:rsid w:val="00D23AB6"/>
    <w:rsid w:val="00D243A6"/>
    <w:rsid w:val="00D2698D"/>
    <w:rsid w:val="00D31928"/>
    <w:rsid w:val="00D336AB"/>
    <w:rsid w:val="00D344C1"/>
    <w:rsid w:val="00D42B06"/>
    <w:rsid w:val="00D523A1"/>
    <w:rsid w:val="00D526DF"/>
    <w:rsid w:val="00D56FB4"/>
    <w:rsid w:val="00D61362"/>
    <w:rsid w:val="00D71630"/>
    <w:rsid w:val="00D77C76"/>
    <w:rsid w:val="00D91BA3"/>
    <w:rsid w:val="00D95619"/>
    <w:rsid w:val="00DA44A9"/>
    <w:rsid w:val="00DA7A8D"/>
    <w:rsid w:val="00DB19FF"/>
    <w:rsid w:val="00DB3595"/>
    <w:rsid w:val="00DB598C"/>
    <w:rsid w:val="00DB6FF6"/>
    <w:rsid w:val="00DB72D5"/>
    <w:rsid w:val="00DC0738"/>
    <w:rsid w:val="00DD0D2F"/>
    <w:rsid w:val="00DD437B"/>
    <w:rsid w:val="00DD4D3D"/>
    <w:rsid w:val="00DE0282"/>
    <w:rsid w:val="00DE1587"/>
    <w:rsid w:val="00DE16DE"/>
    <w:rsid w:val="00DE39D7"/>
    <w:rsid w:val="00DF0D64"/>
    <w:rsid w:val="00DF1032"/>
    <w:rsid w:val="00DF4D83"/>
    <w:rsid w:val="00E01835"/>
    <w:rsid w:val="00E02EAF"/>
    <w:rsid w:val="00E03204"/>
    <w:rsid w:val="00E0344D"/>
    <w:rsid w:val="00E03B46"/>
    <w:rsid w:val="00E067A2"/>
    <w:rsid w:val="00E077DF"/>
    <w:rsid w:val="00E07A72"/>
    <w:rsid w:val="00E07F8D"/>
    <w:rsid w:val="00E14394"/>
    <w:rsid w:val="00E151BD"/>
    <w:rsid w:val="00E15BCC"/>
    <w:rsid w:val="00E26D28"/>
    <w:rsid w:val="00E3052B"/>
    <w:rsid w:val="00E30C1E"/>
    <w:rsid w:val="00E31629"/>
    <w:rsid w:val="00E35631"/>
    <w:rsid w:val="00E43F8E"/>
    <w:rsid w:val="00E45186"/>
    <w:rsid w:val="00E50554"/>
    <w:rsid w:val="00E507F0"/>
    <w:rsid w:val="00E51144"/>
    <w:rsid w:val="00E55848"/>
    <w:rsid w:val="00E63F2E"/>
    <w:rsid w:val="00E65FD4"/>
    <w:rsid w:val="00E667F1"/>
    <w:rsid w:val="00E7210A"/>
    <w:rsid w:val="00E72A79"/>
    <w:rsid w:val="00E7356C"/>
    <w:rsid w:val="00E802B6"/>
    <w:rsid w:val="00E80D1A"/>
    <w:rsid w:val="00E82E00"/>
    <w:rsid w:val="00E8500B"/>
    <w:rsid w:val="00E8695C"/>
    <w:rsid w:val="00E86AD4"/>
    <w:rsid w:val="00E904E4"/>
    <w:rsid w:val="00E92C01"/>
    <w:rsid w:val="00E932B5"/>
    <w:rsid w:val="00E94C86"/>
    <w:rsid w:val="00E95904"/>
    <w:rsid w:val="00E972D3"/>
    <w:rsid w:val="00E97EBD"/>
    <w:rsid w:val="00EA758D"/>
    <w:rsid w:val="00EB239A"/>
    <w:rsid w:val="00EB6D92"/>
    <w:rsid w:val="00EB729C"/>
    <w:rsid w:val="00EC3964"/>
    <w:rsid w:val="00EC7C52"/>
    <w:rsid w:val="00ED011F"/>
    <w:rsid w:val="00ED23AA"/>
    <w:rsid w:val="00ED58E4"/>
    <w:rsid w:val="00ED68B8"/>
    <w:rsid w:val="00EE0738"/>
    <w:rsid w:val="00EE0DBB"/>
    <w:rsid w:val="00EE5F15"/>
    <w:rsid w:val="00EE7699"/>
    <w:rsid w:val="00EE7C9E"/>
    <w:rsid w:val="00EE7CF6"/>
    <w:rsid w:val="00EF0C48"/>
    <w:rsid w:val="00EF46E6"/>
    <w:rsid w:val="00EF4FE8"/>
    <w:rsid w:val="00EF5F44"/>
    <w:rsid w:val="00EF626F"/>
    <w:rsid w:val="00EF66F7"/>
    <w:rsid w:val="00F00B18"/>
    <w:rsid w:val="00F12440"/>
    <w:rsid w:val="00F13FDB"/>
    <w:rsid w:val="00F142DB"/>
    <w:rsid w:val="00F16056"/>
    <w:rsid w:val="00F21520"/>
    <w:rsid w:val="00F25D67"/>
    <w:rsid w:val="00F26354"/>
    <w:rsid w:val="00F339D2"/>
    <w:rsid w:val="00F3578B"/>
    <w:rsid w:val="00F35E14"/>
    <w:rsid w:val="00F43A15"/>
    <w:rsid w:val="00F43C52"/>
    <w:rsid w:val="00F44185"/>
    <w:rsid w:val="00F471C4"/>
    <w:rsid w:val="00F53553"/>
    <w:rsid w:val="00F5420B"/>
    <w:rsid w:val="00F55C9B"/>
    <w:rsid w:val="00F56324"/>
    <w:rsid w:val="00F57032"/>
    <w:rsid w:val="00F63187"/>
    <w:rsid w:val="00F63597"/>
    <w:rsid w:val="00F66A54"/>
    <w:rsid w:val="00F71C68"/>
    <w:rsid w:val="00F753FC"/>
    <w:rsid w:val="00F85632"/>
    <w:rsid w:val="00F87163"/>
    <w:rsid w:val="00F90936"/>
    <w:rsid w:val="00F90C64"/>
    <w:rsid w:val="00F93BA4"/>
    <w:rsid w:val="00F949D3"/>
    <w:rsid w:val="00F95B0D"/>
    <w:rsid w:val="00F96145"/>
    <w:rsid w:val="00F97E13"/>
    <w:rsid w:val="00FA77AF"/>
    <w:rsid w:val="00FC01F2"/>
    <w:rsid w:val="00FC0385"/>
    <w:rsid w:val="00FC4899"/>
    <w:rsid w:val="00FC76E7"/>
    <w:rsid w:val="00FD07EE"/>
    <w:rsid w:val="00FD36CE"/>
    <w:rsid w:val="00FD48A0"/>
    <w:rsid w:val="00FD7640"/>
    <w:rsid w:val="00FE07D3"/>
    <w:rsid w:val="00FE2FAC"/>
    <w:rsid w:val="00FE4CE8"/>
    <w:rsid w:val="00FE53D2"/>
    <w:rsid w:val="00FE564C"/>
    <w:rsid w:val="00FE6B53"/>
    <w:rsid w:val="00FF07BC"/>
    <w:rsid w:val="00FF1218"/>
    <w:rsid w:val="00FF2CD2"/>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DCD79C-3B30-44BB-8A8E-1351096C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2018-02-04T10:32:00Z</cp:lastPrinted>
  <dcterms:created xsi:type="dcterms:W3CDTF">2023-06-09T10:49:00Z</dcterms:created>
  <dcterms:modified xsi:type="dcterms:W3CDTF">2023-06-09T11:04:00Z</dcterms:modified>
</cp:coreProperties>
</file>