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1F" w:rsidRDefault="00427C1F" w:rsidP="00427C1F">
      <w:pPr>
        <w:tabs>
          <w:tab w:val="left" w:pos="3828"/>
        </w:tabs>
        <w:ind w:left="0"/>
        <w:rPr>
          <w:rFonts w:ascii="Times New Roman" w:hAnsi="Times New Roman"/>
          <w:b/>
          <w:color w:val="000000"/>
          <w:sz w:val="28"/>
          <w:szCs w:val="28"/>
        </w:rPr>
      </w:pPr>
      <w:bookmarkStart w:id="0" w:name="_GoBack"/>
      <w:bookmarkEnd w:id="0"/>
    </w:p>
    <w:p w:rsidR="00427C1F" w:rsidRDefault="00427C1F" w:rsidP="00427C1F">
      <w:pPr>
        <w:tabs>
          <w:tab w:val="left" w:pos="3828"/>
        </w:tabs>
        <w:ind w:left="0"/>
        <w:rPr>
          <w:rFonts w:ascii="Times New Roman" w:hAnsi="Times New Roman"/>
          <w:b/>
          <w:color w:val="000000"/>
          <w:sz w:val="28"/>
          <w:szCs w:val="28"/>
        </w:rPr>
      </w:pPr>
    </w:p>
    <w:p w:rsidR="00427C1F" w:rsidRPr="00427C1F" w:rsidRDefault="00427C1F" w:rsidP="00427C1F">
      <w:pPr>
        <w:spacing w:after="200" w:line="276" w:lineRule="auto"/>
        <w:ind w:left="0" w:right="0"/>
        <w:jc w:val="left"/>
        <w:rPr>
          <w:rFonts w:ascii="Calibri" w:eastAsia="Calibri" w:hAnsi="Calibri" w:cs="Times New Roman"/>
          <w:sz w:val="28"/>
          <w:szCs w:val="28"/>
          <w:lang w:val="en-ZA"/>
        </w:rPr>
      </w:pPr>
    </w:p>
    <w:p w:rsidR="00427C1F" w:rsidRPr="00427C1F" w:rsidRDefault="00427C1F" w:rsidP="00427C1F">
      <w:pPr>
        <w:tabs>
          <w:tab w:val="left" w:pos="2415"/>
        </w:tabs>
        <w:spacing w:after="200" w:line="276" w:lineRule="auto"/>
        <w:ind w:left="0" w:right="0"/>
        <w:jc w:val="left"/>
        <w:rPr>
          <w:rFonts w:ascii="Calibri" w:eastAsia="Calibri" w:hAnsi="Calibri" w:cs="Times New Roman"/>
          <w:color w:val="000000"/>
          <w:sz w:val="28"/>
          <w:szCs w:val="28"/>
          <w:lang w:val="en-ZA"/>
        </w:rPr>
      </w:pPr>
      <w:r w:rsidRPr="00427C1F">
        <w:rPr>
          <w:rFonts w:ascii="Calibri" w:eastAsia="Calibri" w:hAnsi="Calibri" w:cs="Times New Roman"/>
          <w:noProof/>
          <w:sz w:val="22"/>
          <w:szCs w:val="22"/>
          <w:lang w:val="en-US"/>
        </w:rPr>
        <w:drawing>
          <wp:anchor distT="0" distB="0" distL="114300" distR="114300" simplePos="0" relativeHeight="251659264" behindDoc="0" locked="0" layoutInCell="1" allowOverlap="1" wp14:anchorId="49B41EBF" wp14:editId="1E0C4FB8">
            <wp:simplePos x="0" y="0"/>
            <wp:positionH relativeFrom="column">
              <wp:posOffset>2295525</wp:posOffset>
            </wp:positionH>
            <wp:positionV relativeFrom="paragraph">
              <wp:posOffset>-309245</wp:posOffset>
            </wp:positionV>
            <wp:extent cx="1247775" cy="12477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C1F">
        <w:rPr>
          <w:rFonts w:ascii="Calibri" w:eastAsia="Calibri" w:hAnsi="Calibri" w:cs="Times New Roman"/>
          <w:color w:val="000000"/>
          <w:sz w:val="28"/>
          <w:szCs w:val="28"/>
          <w:lang w:val="en-ZA"/>
        </w:rPr>
        <w:tab/>
      </w:r>
    </w:p>
    <w:p w:rsidR="00427C1F" w:rsidRPr="00427C1F" w:rsidRDefault="00427C1F" w:rsidP="00427C1F">
      <w:pPr>
        <w:spacing w:after="200" w:line="276" w:lineRule="auto"/>
        <w:ind w:left="0" w:right="0"/>
        <w:jc w:val="left"/>
        <w:rPr>
          <w:rFonts w:ascii="Calibri" w:eastAsia="Calibri" w:hAnsi="Calibri" w:cs="Times New Roman"/>
          <w:color w:val="000000"/>
          <w:sz w:val="28"/>
          <w:szCs w:val="28"/>
          <w:lang w:val="en-ZA"/>
        </w:rPr>
      </w:pPr>
    </w:p>
    <w:p w:rsidR="00427C1F" w:rsidRPr="00427C1F" w:rsidRDefault="00427C1F" w:rsidP="00427C1F">
      <w:pPr>
        <w:spacing w:after="200" w:line="276" w:lineRule="auto"/>
        <w:ind w:left="0" w:right="0"/>
        <w:rPr>
          <w:rFonts w:ascii="Calibri" w:eastAsia="Calibri" w:hAnsi="Calibri" w:cs="Times New Roman"/>
          <w:b/>
          <w:color w:val="000000"/>
          <w:sz w:val="22"/>
          <w:szCs w:val="22"/>
          <w:lang w:val="en-ZA"/>
        </w:rPr>
      </w:pPr>
    </w:p>
    <w:p w:rsidR="00427C1F" w:rsidRPr="00427C1F" w:rsidRDefault="00427C1F" w:rsidP="00427C1F">
      <w:pPr>
        <w:spacing w:after="200" w:line="276" w:lineRule="auto"/>
        <w:ind w:left="0" w:right="0"/>
        <w:jc w:val="center"/>
        <w:rPr>
          <w:rFonts w:ascii="Arial" w:eastAsia="Calibri" w:hAnsi="Arial" w:cs="Arial"/>
          <w:b/>
          <w:color w:val="000000"/>
          <w:sz w:val="22"/>
          <w:szCs w:val="22"/>
          <w:lang w:val="en-ZA"/>
        </w:rPr>
      </w:pPr>
      <w:r w:rsidRPr="00427C1F">
        <w:rPr>
          <w:rFonts w:ascii="Arial" w:eastAsia="Calibri" w:hAnsi="Arial" w:cs="Arial"/>
          <w:b/>
          <w:color w:val="000000"/>
          <w:sz w:val="22"/>
          <w:szCs w:val="22"/>
          <w:lang w:val="en-ZA"/>
        </w:rPr>
        <w:t>HIGH COURT OF SOUTH AFRICA</w:t>
      </w:r>
    </w:p>
    <w:p w:rsidR="00427C1F" w:rsidRPr="00427C1F" w:rsidRDefault="00427C1F" w:rsidP="00427C1F">
      <w:pPr>
        <w:tabs>
          <w:tab w:val="center" w:pos="4513"/>
          <w:tab w:val="left" w:pos="7826"/>
        </w:tabs>
        <w:spacing w:after="120" w:line="276" w:lineRule="auto"/>
        <w:ind w:left="0" w:right="0"/>
        <w:jc w:val="center"/>
        <w:rPr>
          <w:rFonts w:ascii="Arial" w:eastAsia="Calibri" w:hAnsi="Arial" w:cs="Arial"/>
          <w:b/>
          <w:color w:val="000000"/>
          <w:sz w:val="22"/>
          <w:szCs w:val="22"/>
          <w:lang w:val="en-ZA"/>
        </w:rPr>
      </w:pPr>
      <w:r w:rsidRPr="00427C1F">
        <w:rPr>
          <w:rFonts w:ascii="Arial" w:eastAsia="Calibri" w:hAnsi="Arial" w:cs="Arial"/>
          <w:b/>
          <w:color w:val="000000"/>
          <w:sz w:val="22"/>
          <w:szCs w:val="22"/>
          <w:lang w:val="en-ZA"/>
        </w:rPr>
        <w:t>(GAUTENG DIVISION, PRETORIA)</w:t>
      </w:r>
    </w:p>
    <w:p w:rsidR="00427C1F" w:rsidRPr="00427C1F" w:rsidRDefault="00427C1F" w:rsidP="00427C1F">
      <w:pPr>
        <w:spacing w:after="240" w:line="276" w:lineRule="auto"/>
        <w:ind w:left="0" w:right="-46"/>
        <w:jc w:val="left"/>
        <w:rPr>
          <w:rFonts w:ascii="Arial" w:eastAsia="Calibri" w:hAnsi="Arial" w:cs="Arial"/>
          <w:b/>
          <w:color w:val="000000"/>
          <w:sz w:val="22"/>
          <w:szCs w:val="22"/>
          <w:lang w:val="en-ZA"/>
        </w:rPr>
      </w:pPr>
      <w:r w:rsidRPr="00427C1F">
        <w:rPr>
          <w:rFonts w:ascii="Arial" w:eastAsia="Calibri" w:hAnsi="Arial" w:cs="Arial"/>
          <w:b/>
          <w:color w:val="000000"/>
          <w:sz w:val="22"/>
          <w:szCs w:val="22"/>
          <w:lang w:val="en-ZA"/>
        </w:rPr>
        <w:t xml:space="preserve">                                                                               </w:t>
      </w:r>
      <w:r w:rsidRPr="00427C1F">
        <w:rPr>
          <w:rFonts w:ascii="Arial" w:eastAsia="Calibri" w:hAnsi="Arial" w:cs="Arial"/>
          <w:b/>
          <w:color w:val="000000"/>
          <w:sz w:val="22"/>
          <w:szCs w:val="22"/>
          <w:lang w:val="en-ZA"/>
        </w:rPr>
        <w:tab/>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27C1F" w:rsidRPr="00427C1F" w:rsidTr="0039508D">
        <w:tc>
          <w:tcPr>
            <w:tcW w:w="4428" w:type="dxa"/>
          </w:tcPr>
          <w:p w:rsidR="00427C1F" w:rsidRPr="00427C1F" w:rsidRDefault="00427C1F" w:rsidP="00427C1F">
            <w:pPr>
              <w:spacing w:after="200" w:line="276" w:lineRule="auto"/>
              <w:ind w:left="0" w:right="0"/>
              <w:jc w:val="left"/>
              <w:rPr>
                <w:rFonts w:ascii="Arial" w:eastAsia="Calibri" w:hAnsi="Arial" w:cs="Arial"/>
                <w:b/>
                <w:spacing w:val="3"/>
                <w:w w:val="104"/>
                <w:kern w:val="24"/>
                <w:sz w:val="18"/>
                <w:szCs w:val="18"/>
              </w:rPr>
            </w:pPr>
            <w:bookmarkStart w:id="1" w:name="OLE_LINK1"/>
            <w:bookmarkStart w:id="2" w:name="OLE_LINK2"/>
            <w:bookmarkStart w:id="3" w:name="OLE_LINK3"/>
            <w:bookmarkStart w:id="4" w:name="OLE_LINK4"/>
          </w:p>
          <w:p w:rsidR="00427C1F" w:rsidRPr="00427C1F" w:rsidRDefault="00427C1F" w:rsidP="00427C1F">
            <w:pPr>
              <w:spacing w:after="200" w:line="240" w:lineRule="auto"/>
              <w:ind w:left="0" w:right="0"/>
              <w:jc w:val="left"/>
              <w:rPr>
                <w:rFonts w:ascii="Arial" w:eastAsia="Calibri" w:hAnsi="Arial" w:cs="Arial"/>
                <w:b/>
                <w:spacing w:val="3"/>
                <w:w w:val="104"/>
                <w:kern w:val="24"/>
                <w:sz w:val="18"/>
                <w:szCs w:val="18"/>
              </w:rPr>
            </w:pPr>
            <w:r w:rsidRPr="00427C1F">
              <w:rPr>
                <w:rFonts w:ascii="Arial" w:eastAsia="Calibri" w:hAnsi="Arial" w:cs="Arial"/>
                <w:b/>
                <w:spacing w:val="3"/>
                <w:w w:val="104"/>
                <w:kern w:val="24"/>
                <w:sz w:val="18"/>
                <w:szCs w:val="18"/>
              </w:rPr>
              <w:t>(1) REPORTABLE:  NO.</w:t>
            </w:r>
          </w:p>
          <w:p w:rsidR="00427C1F" w:rsidRPr="00427C1F" w:rsidRDefault="00427C1F" w:rsidP="00427C1F">
            <w:pPr>
              <w:spacing w:after="200" w:line="240" w:lineRule="auto"/>
              <w:ind w:left="0" w:right="0"/>
              <w:jc w:val="left"/>
              <w:rPr>
                <w:rFonts w:ascii="Arial" w:eastAsia="Calibri" w:hAnsi="Arial" w:cs="Arial"/>
                <w:b/>
                <w:spacing w:val="3"/>
                <w:w w:val="104"/>
                <w:kern w:val="24"/>
                <w:sz w:val="18"/>
                <w:szCs w:val="18"/>
              </w:rPr>
            </w:pPr>
            <w:r w:rsidRPr="00427C1F">
              <w:rPr>
                <w:rFonts w:ascii="Arial" w:eastAsia="Calibri" w:hAnsi="Arial" w:cs="Arial"/>
                <w:b/>
                <w:spacing w:val="3"/>
                <w:w w:val="104"/>
                <w:kern w:val="24"/>
                <w:sz w:val="18"/>
                <w:szCs w:val="18"/>
              </w:rPr>
              <w:t xml:space="preserve">(2) OF INTEREST TO OTHER JUDGES:  NO </w:t>
            </w:r>
          </w:p>
          <w:p w:rsidR="00427C1F" w:rsidRPr="00427C1F" w:rsidRDefault="00427C1F" w:rsidP="00427C1F">
            <w:pPr>
              <w:spacing w:after="200" w:line="240" w:lineRule="auto"/>
              <w:ind w:left="0" w:right="0"/>
              <w:jc w:val="left"/>
              <w:rPr>
                <w:rFonts w:ascii="Arial" w:eastAsia="Calibri" w:hAnsi="Arial" w:cs="Arial"/>
                <w:b/>
                <w:spacing w:val="3"/>
                <w:w w:val="104"/>
                <w:kern w:val="24"/>
                <w:sz w:val="18"/>
                <w:szCs w:val="18"/>
              </w:rPr>
            </w:pPr>
            <w:r w:rsidRPr="00427C1F">
              <w:rPr>
                <w:rFonts w:ascii="Arial" w:eastAsia="Calibri" w:hAnsi="Arial" w:cs="Arial"/>
                <w:b/>
                <w:spacing w:val="3"/>
                <w:w w:val="104"/>
                <w:kern w:val="24"/>
                <w:sz w:val="18"/>
                <w:szCs w:val="18"/>
              </w:rPr>
              <w:t>(3) REVISED.</w:t>
            </w:r>
          </w:p>
          <w:p w:rsidR="00427C1F" w:rsidRPr="00427C1F" w:rsidRDefault="00427C1F" w:rsidP="00427C1F">
            <w:pPr>
              <w:spacing w:after="200" w:line="240" w:lineRule="auto"/>
              <w:ind w:left="0" w:right="0"/>
              <w:jc w:val="left"/>
              <w:rPr>
                <w:rFonts w:ascii="Arial" w:eastAsia="Calibri" w:hAnsi="Arial" w:cs="Arial"/>
                <w:b/>
                <w:spacing w:val="3"/>
                <w:w w:val="104"/>
                <w:kern w:val="24"/>
                <w:sz w:val="18"/>
                <w:szCs w:val="18"/>
                <w:u w:val="single"/>
              </w:rPr>
            </w:pPr>
          </w:p>
          <w:p w:rsidR="00427C1F" w:rsidRPr="00855F2F" w:rsidRDefault="00855F2F" w:rsidP="00427C1F">
            <w:pPr>
              <w:spacing w:after="200" w:line="240" w:lineRule="auto"/>
              <w:ind w:left="0" w:right="0"/>
              <w:jc w:val="left"/>
              <w:rPr>
                <w:rFonts w:ascii="Arial" w:eastAsia="Calibri" w:hAnsi="Arial" w:cs="Arial"/>
                <w:b/>
                <w:spacing w:val="3"/>
                <w:w w:val="104"/>
                <w:kern w:val="24"/>
                <w:sz w:val="18"/>
                <w:szCs w:val="18"/>
              </w:rPr>
            </w:pPr>
            <w:r>
              <w:rPr>
                <w:rFonts w:ascii="Arial" w:eastAsia="Calibri" w:hAnsi="Arial" w:cs="Arial"/>
                <w:b/>
                <w:spacing w:val="3"/>
                <w:w w:val="104"/>
                <w:kern w:val="24"/>
                <w:sz w:val="18"/>
                <w:szCs w:val="18"/>
              </w:rPr>
              <w:t>2023-06-07</w:t>
            </w:r>
          </w:p>
          <w:p w:rsidR="00427C1F" w:rsidRPr="00427C1F" w:rsidRDefault="00427C1F" w:rsidP="00427C1F">
            <w:pPr>
              <w:spacing w:after="200" w:line="240" w:lineRule="auto"/>
              <w:ind w:left="0" w:right="0"/>
              <w:jc w:val="left"/>
              <w:rPr>
                <w:rFonts w:ascii="Arial" w:eastAsia="Calibri" w:hAnsi="Arial" w:cs="Arial"/>
                <w:b/>
                <w:spacing w:val="3"/>
                <w:w w:val="104"/>
                <w:kern w:val="24"/>
                <w:sz w:val="18"/>
                <w:szCs w:val="18"/>
              </w:rPr>
            </w:pPr>
            <w:r w:rsidRPr="00427C1F">
              <w:rPr>
                <w:rFonts w:ascii="Arial" w:eastAsia="Calibri" w:hAnsi="Arial" w:cs="Arial"/>
                <w:b/>
                <w:spacing w:val="3"/>
                <w:w w:val="104"/>
                <w:kern w:val="24"/>
                <w:sz w:val="18"/>
                <w:szCs w:val="18"/>
                <w:u w:val="single"/>
              </w:rPr>
              <w:t>DATE</w:t>
            </w:r>
            <w:r w:rsidRPr="00427C1F">
              <w:rPr>
                <w:rFonts w:ascii="Arial" w:eastAsia="Calibri" w:hAnsi="Arial" w:cs="Arial"/>
                <w:b/>
                <w:spacing w:val="3"/>
                <w:w w:val="104"/>
                <w:kern w:val="24"/>
                <w:sz w:val="18"/>
                <w:szCs w:val="18"/>
              </w:rPr>
              <w:t xml:space="preserve">:                                        </w:t>
            </w:r>
            <w:r w:rsidRPr="00427C1F">
              <w:rPr>
                <w:rFonts w:ascii="Arial" w:eastAsia="Calibri" w:hAnsi="Arial" w:cs="Arial"/>
                <w:b/>
                <w:spacing w:val="3"/>
                <w:w w:val="104"/>
                <w:kern w:val="24"/>
                <w:sz w:val="18"/>
                <w:szCs w:val="18"/>
                <w:u w:val="single"/>
              </w:rPr>
              <w:t xml:space="preserve">SIGNATURE  </w:t>
            </w:r>
          </w:p>
        </w:tc>
      </w:tr>
      <w:bookmarkEnd w:id="1"/>
      <w:bookmarkEnd w:id="2"/>
      <w:bookmarkEnd w:id="3"/>
      <w:bookmarkEnd w:id="4"/>
    </w:tbl>
    <w:p w:rsidR="00427C1F" w:rsidRPr="00427C1F" w:rsidRDefault="00427C1F" w:rsidP="00427C1F">
      <w:pPr>
        <w:spacing w:after="240" w:line="276" w:lineRule="auto"/>
        <w:ind w:left="0" w:right="-46"/>
        <w:rPr>
          <w:rFonts w:ascii="Arial" w:eastAsia="Calibri" w:hAnsi="Arial" w:cs="Arial"/>
          <w:b/>
          <w:color w:val="000000"/>
          <w:sz w:val="28"/>
          <w:szCs w:val="28"/>
          <w:lang w:val="en-ZA"/>
        </w:rPr>
      </w:pPr>
    </w:p>
    <w:p w:rsidR="00427C1F" w:rsidRPr="00427C1F" w:rsidRDefault="00427C1F" w:rsidP="00427C1F">
      <w:pPr>
        <w:spacing w:after="240" w:line="276" w:lineRule="auto"/>
        <w:ind w:left="0" w:right="-46"/>
        <w:jc w:val="right"/>
        <w:rPr>
          <w:rFonts w:ascii="Arial" w:eastAsia="Calibri" w:hAnsi="Arial" w:cs="Arial"/>
          <w:b/>
          <w:color w:val="000000"/>
          <w:sz w:val="28"/>
          <w:szCs w:val="28"/>
          <w:lang w:val="en-ZA"/>
        </w:rPr>
      </w:pPr>
    </w:p>
    <w:p w:rsidR="00427C1F" w:rsidRPr="00427C1F" w:rsidRDefault="00427C1F" w:rsidP="00427C1F">
      <w:pPr>
        <w:spacing w:after="240" w:line="276" w:lineRule="auto"/>
        <w:ind w:left="0" w:right="-46"/>
        <w:jc w:val="left"/>
        <w:rPr>
          <w:rFonts w:ascii="Arial" w:eastAsia="Calibri" w:hAnsi="Arial" w:cs="Arial"/>
          <w:b/>
          <w:color w:val="000000"/>
          <w:sz w:val="28"/>
          <w:szCs w:val="28"/>
          <w:lang w:val="en-ZA"/>
        </w:rPr>
      </w:pPr>
    </w:p>
    <w:p w:rsidR="00427C1F" w:rsidRPr="00427C1F" w:rsidRDefault="00427C1F" w:rsidP="00427C1F">
      <w:pPr>
        <w:spacing w:after="240" w:line="276" w:lineRule="auto"/>
        <w:ind w:left="0" w:right="-46"/>
        <w:jc w:val="left"/>
        <w:rPr>
          <w:rFonts w:ascii="Arial" w:eastAsia="Calibri" w:hAnsi="Arial" w:cs="Arial"/>
          <w:color w:val="000000"/>
          <w:sz w:val="28"/>
          <w:szCs w:val="28"/>
          <w:lang w:val="en-ZA"/>
        </w:rPr>
      </w:pPr>
    </w:p>
    <w:p w:rsidR="00427C1F" w:rsidRPr="00427C1F" w:rsidRDefault="00427C1F" w:rsidP="00427C1F">
      <w:pPr>
        <w:spacing w:after="120" w:line="276" w:lineRule="auto"/>
        <w:ind w:left="0" w:right="-45"/>
        <w:jc w:val="left"/>
        <w:rPr>
          <w:rFonts w:ascii="Arial" w:eastAsia="Calibri" w:hAnsi="Arial" w:cs="Arial"/>
          <w:color w:val="000000"/>
          <w:sz w:val="28"/>
          <w:szCs w:val="28"/>
          <w:lang w:val="en-ZA"/>
        </w:rPr>
      </w:pPr>
    </w:p>
    <w:p w:rsidR="00427C1F" w:rsidRPr="00427C1F" w:rsidRDefault="00427C1F" w:rsidP="00427C1F">
      <w:pPr>
        <w:spacing w:after="200" w:line="360" w:lineRule="auto"/>
        <w:ind w:left="0" w:right="0"/>
        <w:rPr>
          <w:rFonts w:ascii="Arial" w:eastAsia="Calibri" w:hAnsi="Arial" w:cs="Arial"/>
          <w:lang w:val="en-ZA"/>
        </w:rPr>
      </w:pPr>
    </w:p>
    <w:p w:rsidR="00427C1F" w:rsidRPr="00427C1F" w:rsidRDefault="00427C1F" w:rsidP="00427C1F">
      <w:pPr>
        <w:spacing w:after="200" w:line="360" w:lineRule="auto"/>
        <w:ind w:left="0" w:right="0"/>
        <w:jc w:val="right"/>
        <w:rPr>
          <w:rFonts w:ascii="Arial" w:eastAsia="Calibri" w:hAnsi="Arial" w:cs="Arial"/>
          <w:lang w:val="en-ZA"/>
        </w:rPr>
      </w:pPr>
      <w:r>
        <w:rPr>
          <w:rFonts w:ascii="Arial" w:eastAsia="Calibri" w:hAnsi="Arial" w:cs="Arial"/>
          <w:lang w:val="en-ZA"/>
        </w:rPr>
        <w:t xml:space="preserve">      Case No. 8555/2022</w:t>
      </w:r>
    </w:p>
    <w:p w:rsidR="00427C1F" w:rsidRPr="00704EAF" w:rsidRDefault="00427C1F" w:rsidP="00427C1F">
      <w:pPr>
        <w:spacing w:line="240" w:lineRule="auto"/>
      </w:pPr>
      <w:r w:rsidRPr="00704EAF">
        <w:tab/>
      </w:r>
      <w:r w:rsidRPr="00704EAF">
        <w:tab/>
      </w:r>
      <w:r w:rsidRPr="00704EAF">
        <w:tab/>
      </w:r>
      <w:r w:rsidRPr="00704EAF">
        <w:tab/>
      </w:r>
      <w:r w:rsidRPr="00704EAF">
        <w:tab/>
      </w:r>
    </w:p>
    <w:p w:rsidR="00427C1F" w:rsidRPr="00427C1F" w:rsidRDefault="00427C1F" w:rsidP="00427C1F">
      <w:pPr>
        <w:ind w:left="0"/>
        <w:rPr>
          <w:rFonts w:ascii="Arial" w:hAnsi="Arial" w:cs="Arial"/>
        </w:rPr>
      </w:pPr>
      <w:r w:rsidRPr="00427C1F">
        <w:rPr>
          <w:rFonts w:ascii="Arial" w:hAnsi="Arial" w:cs="Arial"/>
        </w:rPr>
        <w:t>In the matter between:</w:t>
      </w:r>
    </w:p>
    <w:p w:rsidR="00427C1F" w:rsidRPr="00427C1F" w:rsidRDefault="00427C1F" w:rsidP="00427C1F">
      <w:pPr>
        <w:ind w:left="0"/>
        <w:rPr>
          <w:rFonts w:ascii="Arial" w:hAnsi="Arial" w:cs="Arial"/>
        </w:rPr>
      </w:pPr>
      <w:r w:rsidRPr="00427C1F">
        <w:rPr>
          <w:rFonts w:ascii="Arial" w:hAnsi="Arial" w:cs="Arial"/>
          <w:b/>
        </w:rPr>
        <w:t>INGRAIN SA PROPRIETARY LTD</w:t>
      </w:r>
      <w:r w:rsidRPr="00427C1F">
        <w:rPr>
          <w:rFonts w:ascii="Arial" w:hAnsi="Arial" w:cs="Arial"/>
          <w:b/>
        </w:rPr>
        <w:tab/>
      </w:r>
      <w:r w:rsidRPr="00427C1F">
        <w:rPr>
          <w:rFonts w:ascii="Arial" w:hAnsi="Arial" w:cs="Arial"/>
          <w:b/>
        </w:rPr>
        <w:tab/>
      </w:r>
      <w:r w:rsidRPr="00427C1F">
        <w:rPr>
          <w:rFonts w:ascii="Arial" w:hAnsi="Arial" w:cs="Arial"/>
          <w:b/>
        </w:rPr>
        <w:tab/>
      </w:r>
      <w:r w:rsidRPr="00427C1F">
        <w:rPr>
          <w:rFonts w:ascii="Arial" w:hAnsi="Arial" w:cs="Arial"/>
          <w:b/>
        </w:rPr>
        <w:tab/>
        <w:t xml:space="preserve">                       </w:t>
      </w:r>
      <w:r>
        <w:rPr>
          <w:rFonts w:ascii="Arial" w:hAnsi="Arial" w:cs="Arial"/>
          <w:b/>
        </w:rPr>
        <w:t xml:space="preserve">          </w:t>
      </w:r>
      <w:r>
        <w:rPr>
          <w:rFonts w:ascii="Arial" w:hAnsi="Arial" w:cs="Arial"/>
        </w:rPr>
        <w:t>Applicant</w:t>
      </w:r>
    </w:p>
    <w:p w:rsidR="00427C1F" w:rsidRPr="00427C1F" w:rsidRDefault="00427C1F" w:rsidP="00427C1F">
      <w:pPr>
        <w:ind w:left="0"/>
        <w:rPr>
          <w:rFonts w:ascii="Arial" w:hAnsi="Arial" w:cs="Arial"/>
        </w:rPr>
      </w:pPr>
      <w:r w:rsidRPr="00427C1F">
        <w:rPr>
          <w:rFonts w:ascii="Arial" w:hAnsi="Arial" w:cs="Arial"/>
        </w:rPr>
        <w:t>and</w:t>
      </w:r>
    </w:p>
    <w:p w:rsidR="00427C1F" w:rsidRPr="00427C1F" w:rsidRDefault="00427C1F" w:rsidP="00427C1F">
      <w:pPr>
        <w:ind w:left="0"/>
        <w:rPr>
          <w:rFonts w:ascii="Arial" w:hAnsi="Arial" w:cs="Arial"/>
        </w:rPr>
      </w:pPr>
      <w:r>
        <w:rPr>
          <w:rFonts w:ascii="Arial" w:hAnsi="Arial" w:cs="Arial"/>
          <w:b/>
        </w:rPr>
        <w:t>ABIM</w:t>
      </w:r>
      <w:r w:rsidRPr="00427C1F">
        <w:rPr>
          <w:rFonts w:ascii="Arial" w:hAnsi="Arial" w:cs="Arial"/>
          <w:b/>
        </w:rPr>
        <w:t>BOLA OLOWA N</w:t>
      </w:r>
      <w:r>
        <w:rPr>
          <w:rFonts w:ascii="Arial" w:hAnsi="Arial" w:cs="Arial"/>
          <w:b/>
        </w:rPr>
        <w:t>.</w:t>
      </w:r>
      <w:r w:rsidRPr="00427C1F">
        <w:rPr>
          <w:rFonts w:ascii="Arial" w:hAnsi="Arial" w:cs="Arial"/>
          <w:b/>
        </w:rPr>
        <w:t>O</w:t>
      </w:r>
      <w:r>
        <w:rPr>
          <w:rFonts w:ascii="Arial" w:hAnsi="Arial" w:cs="Arial"/>
          <w:b/>
        </w:rPr>
        <w:t>.</w:t>
      </w:r>
      <w:r w:rsidRPr="00427C1F">
        <w:rPr>
          <w:rFonts w:ascii="Arial" w:hAnsi="Arial" w:cs="Arial"/>
          <w:b/>
        </w:rPr>
        <w:tab/>
      </w:r>
      <w:r w:rsidRPr="00427C1F">
        <w:rPr>
          <w:rFonts w:ascii="Arial" w:hAnsi="Arial" w:cs="Arial"/>
          <w:b/>
        </w:rPr>
        <w:tab/>
      </w:r>
      <w:r w:rsidRPr="00427C1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27C1F">
        <w:rPr>
          <w:rFonts w:ascii="Arial" w:hAnsi="Arial" w:cs="Arial"/>
        </w:rPr>
        <w:t xml:space="preserve">First Respondent </w:t>
      </w:r>
    </w:p>
    <w:p w:rsidR="00427C1F" w:rsidRPr="00427C1F" w:rsidRDefault="00427C1F" w:rsidP="00427C1F">
      <w:pPr>
        <w:ind w:left="0"/>
        <w:rPr>
          <w:rFonts w:ascii="Arial" w:hAnsi="Arial" w:cs="Arial"/>
          <w:b/>
        </w:rPr>
      </w:pPr>
      <w:r w:rsidRPr="00427C1F">
        <w:rPr>
          <w:rFonts w:ascii="Arial" w:hAnsi="Arial" w:cs="Arial"/>
          <w:b/>
        </w:rPr>
        <w:t xml:space="preserve">GAUTENG DEPARTMENT OF </w:t>
      </w:r>
      <w:r>
        <w:rPr>
          <w:rFonts w:ascii="Arial" w:hAnsi="Arial" w:cs="Arial"/>
          <w:b/>
        </w:rPr>
        <w:t xml:space="preserve">ENVIRONMENT, AGRICULTURE </w:t>
      </w:r>
    </w:p>
    <w:p w:rsidR="00427C1F" w:rsidRPr="00427C1F" w:rsidRDefault="00427C1F" w:rsidP="00427C1F">
      <w:pPr>
        <w:ind w:left="0"/>
        <w:rPr>
          <w:rFonts w:ascii="Arial" w:hAnsi="Arial" w:cs="Arial"/>
        </w:rPr>
      </w:pPr>
      <w:r>
        <w:rPr>
          <w:rFonts w:ascii="Arial" w:hAnsi="Arial" w:cs="Arial"/>
          <w:b/>
        </w:rPr>
        <w:t xml:space="preserve">AND </w:t>
      </w:r>
      <w:r w:rsidRPr="00427C1F">
        <w:rPr>
          <w:rFonts w:ascii="Arial" w:hAnsi="Arial" w:cs="Arial"/>
          <w:b/>
        </w:rPr>
        <w:t>RURAL DEVELOPMENT</w:t>
      </w:r>
      <w:r w:rsidRPr="00427C1F">
        <w:rPr>
          <w:rFonts w:ascii="Arial" w:hAnsi="Arial" w:cs="Arial"/>
        </w:rPr>
        <w:tab/>
      </w:r>
      <w:r w:rsidRPr="00427C1F">
        <w:rPr>
          <w:rFonts w:ascii="Arial" w:hAnsi="Arial" w:cs="Arial"/>
        </w:rPr>
        <w:tab/>
      </w:r>
      <w:r w:rsidRPr="00427C1F">
        <w:rPr>
          <w:rFonts w:ascii="Arial" w:hAnsi="Arial" w:cs="Arial"/>
        </w:rPr>
        <w:tab/>
      </w:r>
      <w:r w:rsidRPr="00427C1F">
        <w:rPr>
          <w:rFonts w:ascii="Arial" w:hAnsi="Arial" w:cs="Arial"/>
        </w:rPr>
        <w:tab/>
      </w:r>
      <w:r w:rsidRPr="00427C1F">
        <w:rPr>
          <w:rFonts w:ascii="Arial" w:hAnsi="Arial" w:cs="Arial"/>
        </w:rPr>
        <w:tab/>
        <w:t xml:space="preserve">     </w:t>
      </w:r>
      <w:r>
        <w:rPr>
          <w:rFonts w:ascii="Arial" w:hAnsi="Arial" w:cs="Arial"/>
        </w:rPr>
        <w:t xml:space="preserve">          </w:t>
      </w:r>
      <w:r w:rsidRPr="00427C1F">
        <w:rPr>
          <w:rFonts w:ascii="Arial" w:hAnsi="Arial" w:cs="Arial"/>
        </w:rPr>
        <w:t>Second Respondent</w:t>
      </w:r>
    </w:p>
    <w:p w:rsidR="00F17F35" w:rsidRDefault="00427C1F" w:rsidP="00427C1F">
      <w:pPr>
        <w:ind w:left="0"/>
        <w:rPr>
          <w:rFonts w:ascii="Arial" w:hAnsi="Arial" w:cs="Arial"/>
          <w:b/>
        </w:rPr>
      </w:pPr>
      <w:r w:rsidRPr="00427C1F">
        <w:rPr>
          <w:rFonts w:ascii="Arial" w:hAnsi="Arial" w:cs="Arial"/>
          <w:b/>
        </w:rPr>
        <w:lastRenderedPageBreak/>
        <w:t xml:space="preserve">MEMBER OF THE EXECUTIVE COUNCIL FOR ECONOMIC </w:t>
      </w:r>
    </w:p>
    <w:p w:rsidR="00F17F35" w:rsidRDefault="00427C1F" w:rsidP="00427C1F">
      <w:pPr>
        <w:ind w:left="0"/>
        <w:rPr>
          <w:rFonts w:ascii="Arial" w:hAnsi="Arial" w:cs="Arial"/>
          <w:b/>
        </w:rPr>
      </w:pPr>
      <w:r w:rsidRPr="00427C1F">
        <w:rPr>
          <w:rFonts w:ascii="Arial" w:hAnsi="Arial" w:cs="Arial"/>
          <w:b/>
        </w:rPr>
        <w:t>DEVELOPMENT,</w:t>
      </w:r>
      <w:r w:rsidR="00F17F35">
        <w:rPr>
          <w:rFonts w:ascii="Arial" w:hAnsi="Arial" w:cs="Arial"/>
          <w:b/>
        </w:rPr>
        <w:t xml:space="preserve"> ENVIRONMENT, AGRICULTURE AND </w:t>
      </w:r>
    </w:p>
    <w:p w:rsidR="00427C1F" w:rsidRPr="00F17F35" w:rsidRDefault="00427C1F" w:rsidP="00427C1F">
      <w:pPr>
        <w:ind w:left="0"/>
        <w:rPr>
          <w:rFonts w:ascii="Arial" w:hAnsi="Arial" w:cs="Arial"/>
          <w:b/>
        </w:rPr>
      </w:pPr>
      <w:r w:rsidRPr="00427C1F">
        <w:rPr>
          <w:rFonts w:ascii="Arial" w:hAnsi="Arial" w:cs="Arial"/>
          <w:b/>
        </w:rPr>
        <w:t>RURAL DEVELOPMENT, GAUTENG</w:t>
      </w:r>
      <w:r w:rsidRPr="00427C1F">
        <w:rPr>
          <w:rFonts w:ascii="Arial" w:hAnsi="Arial" w:cs="Arial"/>
        </w:rPr>
        <w:tab/>
        <w:t xml:space="preserve">              </w:t>
      </w:r>
      <w:r w:rsidR="00F17F35">
        <w:rPr>
          <w:rFonts w:ascii="Arial" w:hAnsi="Arial" w:cs="Arial"/>
        </w:rPr>
        <w:t xml:space="preserve">                                      </w:t>
      </w:r>
      <w:r w:rsidRPr="00427C1F">
        <w:rPr>
          <w:rFonts w:ascii="Arial" w:hAnsi="Arial" w:cs="Arial"/>
        </w:rPr>
        <w:t xml:space="preserve">Third Respondent </w:t>
      </w:r>
    </w:p>
    <w:p w:rsidR="00427C1F" w:rsidRPr="00427C1F" w:rsidRDefault="00427C1F" w:rsidP="00427C1F">
      <w:pPr>
        <w:ind w:left="0"/>
        <w:rPr>
          <w:rFonts w:ascii="Arial" w:hAnsi="Arial" w:cs="Arial"/>
          <w:b/>
        </w:rPr>
      </w:pPr>
      <w:r w:rsidRPr="00427C1F">
        <w:rPr>
          <w:rFonts w:ascii="Arial" w:hAnsi="Arial" w:cs="Arial"/>
          <w:b/>
        </w:rPr>
        <w:t>MINISTER OF FORESTRY, FISHERIES AND THE ENVIRONMENT</w:t>
      </w:r>
      <w:r w:rsidR="00F17F35">
        <w:rPr>
          <w:rFonts w:ascii="Arial" w:hAnsi="Arial" w:cs="Arial"/>
        </w:rPr>
        <w:t xml:space="preserve">     </w:t>
      </w:r>
      <w:r w:rsidRPr="00427C1F">
        <w:rPr>
          <w:rFonts w:ascii="Arial" w:hAnsi="Arial" w:cs="Arial"/>
        </w:rPr>
        <w:t>Fourth Respondent</w:t>
      </w:r>
    </w:p>
    <w:p w:rsidR="00F17F35" w:rsidRDefault="00F17F35" w:rsidP="00427C1F">
      <w:pPr>
        <w:pBdr>
          <w:bottom w:val="single" w:sz="12" w:space="1" w:color="auto"/>
        </w:pBdr>
        <w:ind w:left="0"/>
        <w:rPr>
          <w:rFonts w:ascii="Arial" w:hAnsi="Arial" w:cs="Arial"/>
        </w:rPr>
      </w:pPr>
    </w:p>
    <w:p w:rsidR="00F17F35" w:rsidRDefault="00F17F35" w:rsidP="00F17F35">
      <w:pPr>
        <w:spacing w:line="240" w:lineRule="auto"/>
        <w:ind w:left="0"/>
        <w:rPr>
          <w:rFonts w:ascii="Arial" w:hAnsi="Arial" w:cs="Arial"/>
        </w:rPr>
      </w:pPr>
    </w:p>
    <w:p w:rsidR="00F17F35" w:rsidRDefault="00F17F35" w:rsidP="00F17F35">
      <w:pPr>
        <w:pBdr>
          <w:bottom w:val="single" w:sz="12" w:space="1" w:color="auto"/>
        </w:pBdr>
        <w:spacing w:line="240" w:lineRule="auto"/>
        <w:ind w:left="0"/>
        <w:jc w:val="center"/>
        <w:rPr>
          <w:rFonts w:ascii="Arial" w:hAnsi="Arial" w:cs="Arial"/>
          <w:b/>
        </w:rPr>
      </w:pPr>
      <w:r>
        <w:rPr>
          <w:rFonts w:ascii="Arial" w:hAnsi="Arial" w:cs="Arial"/>
          <w:b/>
        </w:rPr>
        <w:t>JUDGMENT</w:t>
      </w:r>
    </w:p>
    <w:p w:rsidR="00F17F35" w:rsidRDefault="00F17F35" w:rsidP="00F17F35">
      <w:pPr>
        <w:pBdr>
          <w:bottom w:val="single" w:sz="12" w:space="1" w:color="auto"/>
        </w:pBdr>
        <w:spacing w:line="240" w:lineRule="auto"/>
        <w:ind w:left="0"/>
        <w:jc w:val="center"/>
        <w:rPr>
          <w:rFonts w:ascii="Arial" w:hAnsi="Arial" w:cs="Arial"/>
          <w:b/>
        </w:rPr>
      </w:pPr>
    </w:p>
    <w:p w:rsidR="00F17F35" w:rsidRPr="00F17F35" w:rsidRDefault="00F17F35" w:rsidP="00F17F35">
      <w:pPr>
        <w:ind w:left="0"/>
        <w:rPr>
          <w:rFonts w:ascii="Arial" w:hAnsi="Arial" w:cs="Arial"/>
          <w:b/>
        </w:rPr>
      </w:pPr>
    </w:p>
    <w:p w:rsidR="00427C1F" w:rsidRPr="00F17F35" w:rsidRDefault="00427C1F" w:rsidP="00427C1F">
      <w:pPr>
        <w:ind w:left="0"/>
        <w:rPr>
          <w:rFonts w:ascii="Arial" w:hAnsi="Arial" w:cs="Arial"/>
          <w:b/>
          <w:u w:val="single"/>
        </w:rPr>
      </w:pPr>
      <w:r w:rsidRPr="00F17F35">
        <w:rPr>
          <w:rFonts w:ascii="Arial" w:hAnsi="Arial" w:cs="Arial"/>
          <w:b/>
          <w:u w:val="single"/>
        </w:rPr>
        <w:t>PA VAN NIEKERK, AJ</w:t>
      </w:r>
    </w:p>
    <w:p w:rsidR="00F17F35" w:rsidRDefault="00F17F35" w:rsidP="00427C1F">
      <w:pPr>
        <w:ind w:hanging="567"/>
        <w:rPr>
          <w:rFonts w:ascii="Arial" w:hAnsi="Arial" w:cs="Arial"/>
        </w:rPr>
      </w:pPr>
    </w:p>
    <w:p w:rsidR="00427C1F" w:rsidRDefault="00427C1F" w:rsidP="00F17F35">
      <w:pPr>
        <w:ind w:hanging="567"/>
        <w:rPr>
          <w:rFonts w:ascii="Arial" w:hAnsi="Arial" w:cs="Arial"/>
        </w:rPr>
      </w:pPr>
      <w:r>
        <w:rPr>
          <w:rFonts w:ascii="Arial" w:hAnsi="Arial" w:cs="Arial"/>
        </w:rPr>
        <w:t>[1]</w:t>
      </w:r>
      <w:r>
        <w:rPr>
          <w:rFonts w:ascii="Arial" w:hAnsi="Arial" w:cs="Arial"/>
        </w:rPr>
        <w:tab/>
        <w:t>Applicant is a company with limited liability which conducts business as a major food producer and is involved in agri-processing.  Applicant launched an application to review a Compliance Notice issued by the First Respondent and after initially opposing the matter by filing a Notice of intention to Oppose dated 10 March 2022, the matter was settled between the parties and a draft consent order was prepared which this Court is requested to sanction by making such draft order an order of Court.</w:t>
      </w:r>
    </w:p>
    <w:p w:rsidR="00F17F35" w:rsidRDefault="00F17F35" w:rsidP="00F17F35">
      <w:pPr>
        <w:ind w:hanging="567"/>
        <w:rPr>
          <w:rFonts w:ascii="Arial" w:hAnsi="Arial" w:cs="Arial"/>
        </w:rPr>
      </w:pPr>
    </w:p>
    <w:p w:rsidR="00427C1F" w:rsidRDefault="00427C1F" w:rsidP="00A05898">
      <w:pPr>
        <w:ind w:hanging="567"/>
        <w:rPr>
          <w:rFonts w:ascii="Arial" w:hAnsi="Arial" w:cs="Arial"/>
        </w:rPr>
      </w:pPr>
      <w:r>
        <w:rPr>
          <w:rFonts w:ascii="Arial" w:hAnsi="Arial" w:cs="Arial"/>
        </w:rPr>
        <w:t>[2]</w:t>
      </w:r>
      <w:r>
        <w:rPr>
          <w:rFonts w:ascii="Arial" w:hAnsi="Arial" w:cs="Arial"/>
        </w:rPr>
        <w:tab/>
        <w:t xml:space="preserve">In terms of the draft order, the parties consented to an order the effect of which would be that certain decisions of First Respondent, Second Respondent and Fourth Respondent be reviewed, declared unlawful and set aside as a result of which the order would result in a judgment </w:t>
      </w:r>
      <w:r w:rsidRPr="00F62889">
        <w:rPr>
          <w:rFonts w:ascii="Arial" w:hAnsi="Arial" w:cs="Arial"/>
          <w:i/>
        </w:rPr>
        <w:t>in rem</w:t>
      </w:r>
      <w:r>
        <w:rPr>
          <w:rStyle w:val="FootnoteReference"/>
          <w:rFonts w:ascii="Arial" w:hAnsi="Arial" w:cs="Arial"/>
          <w:i/>
        </w:rPr>
        <w:footnoteReference w:id="1"/>
      </w:r>
      <w:r w:rsidR="00F17F35">
        <w:rPr>
          <w:rFonts w:ascii="Arial" w:hAnsi="Arial" w:cs="Arial"/>
          <w:i/>
        </w:rPr>
        <w:t xml:space="preserve"> </w:t>
      </w:r>
      <w:r>
        <w:rPr>
          <w:rFonts w:ascii="Arial" w:hAnsi="Arial" w:cs="Arial"/>
        </w:rPr>
        <w:t xml:space="preserve">and a Court that sanctions an agreement which would result in a judgment </w:t>
      </w:r>
      <w:r w:rsidRPr="00F62889">
        <w:rPr>
          <w:rFonts w:ascii="Arial" w:hAnsi="Arial" w:cs="Arial"/>
          <w:i/>
        </w:rPr>
        <w:t>in rem</w:t>
      </w:r>
      <w:r>
        <w:rPr>
          <w:rFonts w:ascii="Arial" w:hAnsi="Arial" w:cs="Arial"/>
        </w:rPr>
        <w:t xml:space="preserve"> is required to provide reasons for doing so.</w:t>
      </w:r>
      <w:r>
        <w:rPr>
          <w:rStyle w:val="FootnoteReference"/>
          <w:rFonts w:ascii="Arial" w:hAnsi="Arial" w:cs="Arial"/>
        </w:rPr>
        <w:footnoteReference w:id="2"/>
      </w:r>
      <w:r w:rsidR="00A05898">
        <w:rPr>
          <w:rFonts w:ascii="Arial" w:hAnsi="Arial" w:cs="Arial"/>
        </w:rPr>
        <w:t xml:space="preserve">  </w:t>
      </w:r>
      <w:r>
        <w:rPr>
          <w:rFonts w:ascii="Arial" w:hAnsi="Arial" w:cs="Arial"/>
        </w:rPr>
        <w:t xml:space="preserve">I am </w:t>
      </w:r>
      <w:r>
        <w:rPr>
          <w:rFonts w:ascii="Arial" w:hAnsi="Arial" w:cs="Arial"/>
        </w:rPr>
        <w:lastRenderedPageBreak/>
        <w:t xml:space="preserve">satisfied that the draft order presented by agreement between the parties should be sanctioned by this Court and my reasons follow </w:t>
      </w:r>
      <w:r w:rsidRPr="00556AFE">
        <w:rPr>
          <w:rFonts w:ascii="Arial" w:hAnsi="Arial" w:cs="Arial"/>
          <w:i/>
        </w:rPr>
        <w:t>i</w:t>
      </w:r>
      <w:r w:rsidRPr="00E95ADB">
        <w:rPr>
          <w:rFonts w:ascii="Arial" w:hAnsi="Arial" w:cs="Arial"/>
          <w:i/>
        </w:rPr>
        <w:t>nfra</w:t>
      </w:r>
      <w:r>
        <w:rPr>
          <w:rFonts w:ascii="Arial" w:hAnsi="Arial" w:cs="Arial"/>
        </w:rPr>
        <w:t>.</w:t>
      </w:r>
    </w:p>
    <w:p w:rsidR="00556AFE" w:rsidRDefault="00556AFE" w:rsidP="00427C1F">
      <w:pPr>
        <w:ind w:hanging="567"/>
        <w:rPr>
          <w:rFonts w:ascii="Arial" w:hAnsi="Arial" w:cs="Arial"/>
        </w:rPr>
      </w:pPr>
    </w:p>
    <w:p w:rsidR="00427C1F" w:rsidRDefault="00427C1F" w:rsidP="00427C1F">
      <w:pPr>
        <w:ind w:hanging="567"/>
        <w:rPr>
          <w:rFonts w:ascii="Arial" w:hAnsi="Arial" w:cs="Arial"/>
        </w:rPr>
      </w:pPr>
      <w:r>
        <w:rPr>
          <w:rFonts w:ascii="Arial" w:hAnsi="Arial" w:cs="Arial"/>
        </w:rPr>
        <w:t>THE PARTIES:</w:t>
      </w:r>
    </w:p>
    <w:p w:rsidR="009A2AD9" w:rsidRDefault="00A05898" w:rsidP="00A05898">
      <w:pPr>
        <w:ind w:hanging="567"/>
        <w:rPr>
          <w:rFonts w:ascii="Arial" w:hAnsi="Arial" w:cs="Arial"/>
        </w:rPr>
      </w:pPr>
      <w:r>
        <w:rPr>
          <w:rFonts w:ascii="Arial" w:hAnsi="Arial" w:cs="Arial"/>
        </w:rPr>
        <w:t>[3</w:t>
      </w:r>
      <w:r w:rsidR="00427C1F">
        <w:rPr>
          <w:rFonts w:ascii="Arial" w:hAnsi="Arial" w:cs="Arial"/>
        </w:rPr>
        <w:t>]</w:t>
      </w:r>
      <w:r w:rsidR="00427C1F">
        <w:rPr>
          <w:rFonts w:ascii="Arial" w:hAnsi="Arial" w:cs="Arial"/>
        </w:rPr>
        <w:tab/>
        <w:t>First Respondent is a Grade 1 Environmental Manager Inspector employed by Second Respondent and First Respondent issued the impugned notice in such official capacity.</w:t>
      </w:r>
    </w:p>
    <w:p w:rsidR="00427C1F" w:rsidRDefault="00427C1F" w:rsidP="00427C1F">
      <w:pPr>
        <w:ind w:hanging="567"/>
        <w:rPr>
          <w:rFonts w:ascii="Arial" w:hAnsi="Arial" w:cs="Arial"/>
        </w:rPr>
      </w:pPr>
      <w:r>
        <w:rPr>
          <w:rFonts w:ascii="Arial" w:hAnsi="Arial" w:cs="Arial"/>
        </w:rPr>
        <w:t xml:space="preserve"> </w:t>
      </w:r>
    </w:p>
    <w:p w:rsidR="00427C1F" w:rsidRDefault="00A05898" w:rsidP="00427C1F">
      <w:pPr>
        <w:ind w:hanging="567"/>
        <w:rPr>
          <w:rFonts w:ascii="Arial" w:hAnsi="Arial" w:cs="Arial"/>
        </w:rPr>
      </w:pPr>
      <w:r>
        <w:rPr>
          <w:rFonts w:ascii="Arial" w:hAnsi="Arial" w:cs="Arial"/>
        </w:rPr>
        <w:t>[4</w:t>
      </w:r>
      <w:r w:rsidR="00427C1F">
        <w:rPr>
          <w:rFonts w:ascii="Arial" w:hAnsi="Arial" w:cs="Arial"/>
        </w:rPr>
        <w:t>]</w:t>
      </w:r>
      <w:r w:rsidR="00427C1F">
        <w:rPr>
          <w:rFonts w:ascii="Arial" w:hAnsi="Arial" w:cs="Arial"/>
        </w:rPr>
        <w:tab/>
        <w:t xml:space="preserve">Second Respondent is the Gauteng Department of Environment, Agriculture &amp; Rural Development who is </w:t>
      </w:r>
      <w:r w:rsidR="00427C1F" w:rsidRPr="008A0F3E">
        <w:rPr>
          <w:rFonts w:ascii="Arial" w:hAnsi="Arial" w:cs="Arial"/>
          <w:i/>
        </w:rPr>
        <w:t>inter alia</w:t>
      </w:r>
      <w:r w:rsidR="00427C1F">
        <w:rPr>
          <w:rFonts w:ascii="Arial" w:hAnsi="Arial" w:cs="Arial"/>
        </w:rPr>
        <w:t xml:space="preserve"> responsible for ensuring compliance with the Air Quality Act referred to </w:t>
      </w:r>
      <w:r w:rsidR="00427C1F" w:rsidRPr="008A0F3E">
        <w:rPr>
          <w:rFonts w:ascii="Arial" w:hAnsi="Arial" w:cs="Arial"/>
          <w:i/>
        </w:rPr>
        <w:t>infra</w:t>
      </w:r>
      <w:r w:rsidR="00427C1F">
        <w:rPr>
          <w:rFonts w:ascii="Arial" w:hAnsi="Arial" w:cs="Arial"/>
        </w:rPr>
        <w:t xml:space="preserve">. </w:t>
      </w:r>
    </w:p>
    <w:p w:rsidR="00A05898" w:rsidRDefault="00A05898" w:rsidP="00427C1F">
      <w:pPr>
        <w:ind w:hanging="567"/>
        <w:rPr>
          <w:rFonts w:ascii="Arial" w:hAnsi="Arial" w:cs="Arial"/>
        </w:rPr>
      </w:pPr>
    </w:p>
    <w:p w:rsidR="009A2AD9" w:rsidRDefault="00A05898" w:rsidP="00427C1F">
      <w:pPr>
        <w:ind w:hanging="567"/>
        <w:rPr>
          <w:rFonts w:ascii="Arial" w:hAnsi="Arial" w:cs="Arial"/>
        </w:rPr>
      </w:pPr>
      <w:r>
        <w:rPr>
          <w:rFonts w:ascii="Arial" w:hAnsi="Arial" w:cs="Arial"/>
        </w:rPr>
        <w:t>[5</w:t>
      </w:r>
      <w:r w:rsidR="00427C1F">
        <w:rPr>
          <w:rFonts w:ascii="Arial" w:hAnsi="Arial" w:cs="Arial"/>
        </w:rPr>
        <w:t>]</w:t>
      </w:r>
      <w:r w:rsidR="00427C1F">
        <w:rPr>
          <w:rFonts w:ascii="Arial" w:hAnsi="Arial" w:cs="Arial"/>
        </w:rPr>
        <w:tab/>
        <w:t>Third Respondent is the Member of the Executive Council for Economic Development, Environment, Agriculture and Rural Development, Gauteng who was joined in the application after dismissing an objection to the impugned notice.</w:t>
      </w:r>
    </w:p>
    <w:p w:rsidR="00427C1F" w:rsidRDefault="00427C1F" w:rsidP="00427C1F">
      <w:pPr>
        <w:ind w:hanging="567"/>
        <w:rPr>
          <w:rFonts w:ascii="Arial" w:hAnsi="Arial" w:cs="Arial"/>
        </w:rPr>
      </w:pPr>
      <w:r>
        <w:rPr>
          <w:rFonts w:ascii="Arial" w:hAnsi="Arial" w:cs="Arial"/>
        </w:rPr>
        <w:t xml:space="preserve"> </w:t>
      </w:r>
    </w:p>
    <w:p w:rsidR="00427C1F" w:rsidRDefault="00A05898" w:rsidP="00427C1F">
      <w:pPr>
        <w:ind w:hanging="567"/>
        <w:rPr>
          <w:rFonts w:ascii="Arial" w:hAnsi="Arial" w:cs="Arial"/>
        </w:rPr>
      </w:pPr>
      <w:r>
        <w:rPr>
          <w:rFonts w:ascii="Arial" w:hAnsi="Arial" w:cs="Arial"/>
        </w:rPr>
        <w:t>[6</w:t>
      </w:r>
      <w:r w:rsidR="00427C1F">
        <w:rPr>
          <w:rFonts w:ascii="Arial" w:hAnsi="Arial" w:cs="Arial"/>
        </w:rPr>
        <w:t>]</w:t>
      </w:r>
      <w:r w:rsidR="00427C1F">
        <w:rPr>
          <w:rFonts w:ascii="Arial" w:hAnsi="Arial" w:cs="Arial"/>
        </w:rPr>
        <w:tab/>
        <w:t>Fourth Respondent is The Minister of Forestry, Fisheries &amp; the Environment who is responsible for implementation of the legislative scheme created to ensure Enforcement and Compliance with Environmental Laws and Regulations.</w:t>
      </w:r>
    </w:p>
    <w:p w:rsidR="00427C1F" w:rsidRDefault="00427C1F" w:rsidP="00427C1F">
      <w:pPr>
        <w:ind w:hanging="567"/>
        <w:rPr>
          <w:rFonts w:ascii="Arial" w:hAnsi="Arial" w:cs="Arial"/>
        </w:rPr>
      </w:pPr>
    </w:p>
    <w:p w:rsidR="00427C1F" w:rsidRDefault="00A05898" w:rsidP="00427C1F">
      <w:pPr>
        <w:ind w:hanging="567"/>
        <w:rPr>
          <w:rFonts w:ascii="Arial" w:hAnsi="Arial" w:cs="Arial"/>
        </w:rPr>
      </w:pPr>
      <w:r>
        <w:rPr>
          <w:rFonts w:ascii="Arial" w:hAnsi="Arial" w:cs="Arial"/>
        </w:rPr>
        <w:t xml:space="preserve">THE IMPUGNED </w:t>
      </w:r>
      <w:r w:rsidR="00427C1F">
        <w:rPr>
          <w:rFonts w:ascii="Arial" w:hAnsi="Arial" w:cs="Arial"/>
        </w:rPr>
        <w:t>DECISIONS:</w:t>
      </w:r>
    </w:p>
    <w:p w:rsidR="00427C1F" w:rsidRDefault="00A05898" w:rsidP="00427C1F">
      <w:pPr>
        <w:ind w:hanging="567"/>
        <w:rPr>
          <w:rFonts w:ascii="Arial" w:hAnsi="Arial" w:cs="Arial"/>
        </w:rPr>
      </w:pPr>
      <w:r>
        <w:rPr>
          <w:rFonts w:ascii="Arial" w:hAnsi="Arial" w:cs="Arial"/>
        </w:rPr>
        <w:t>[7</w:t>
      </w:r>
      <w:r w:rsidR="00427C1F">
        <w:rPr>
          <w:rFonts w:ascii="Arial" w:hAnsi="Arial" w:cs="Arial"/>
        </w:rPr>
        <w:t>]</w:t>
      </w:r>
      <w:r w:rsidR="00427C1F">
        <w:rPr>
          <w:rFonts w:ascii="Arial" w:hAnsi="Arial" w:cs="Arial"/>
        </w:rPr>
        <w:tab/>
        <w:t>On 1 March 2021 First Respondent caused the delivery of a notice to Applicant, the heading of which reads:</w:t>
      </w:r>
    </w:p>
    <w:p w:rsidR="00427C1F" w:rsidRPr="00DC457B" w:rsidRDefault="00427C1F" w:rsidP="00DC457B">
      <w:pPr>
        <w:ind w:left="1440"/>
        <w:rPr>
          <w:rFonts w:ascii="Arial" w:hAnsi="Arial" w:cs="Arial"/>
          <w:b/>
          <w:i/>
        </w:rPr>
      </w:pPr>
      <w:r>
        <w:rPr>
          <w:rFonts w:ascii="Arial" w:hAnsi="Arial" w:cs="Arial"/>
        </w:rPr>
        <w:lastRenderedPageBreak/>
        <w:t>“</w:t>
      </w:r>
      <w:r w:rsidRPr="002A53D5">
        <w:rPr>
          <w:rFonts w:ascii="Arial" w:hAnsi="Arial" w:cs="Arial"/>
          <w:b/>
          <w:i/>
        </w:rPr>
        <w:t>NOTICE OF INTENTION TO ISSUE A COMPLIANCE NOTICE IN TERMS OF SECTION 31L OF THE NATIONAL ENVIRONMENTAL MANAGEMENT ACT, 1998 (ACT 107 OF 1998)</w:t>
      </w:r>
      <w:r w:rsidR="009A2AD9">
        <w:rPr>
          <w:rFonts w:ascii="Arial" w:hAnsi="Arial" w:cs="Arial"/>
          <w:b/>
          <w:i/>
        </w:rPr>
        <w:t xml:space="preserve"> </w:t>
      </w:r>
      <w:r w:rsidR="00DC457B">
        <w:rPr>
          <w:rFonts w:ascii="Arial" w:hAnsi="Arial" w:cs="Arial"/>
          <w:b/>
          <w:i/>
        </w:rPr>
        <w:t>(‘NEMA’</w:t>
      </w:r>
      <w:r w:rsidRPr="002A53D5">
        <w:rPr>
          <w:rFonts w:ascii="Arial" w:hAnsi="Arial" w:cs="Arial"/>
          <w:b/>
          <w:i/>
        </w:rPr>
        <w:t>) IN RESPECT OF AN UNLAWFUL CONDUCT OF A LISTED ACTIVITY IN TERMS OF S21 OF THE NATIONAL ENVIRONMENTAL AIR QUALITY ACT, (NO. 39 OF 2004), NEMA</w:t>
      </w:r>
      <w:r w:rsidR="00DC457B">
        <w:rPr>
          <w:rFonts w:ascii="Arial" w:hAnsi="Arial" w:cs="Arial"/>
          <w:b/>
          <w:i/>
        </w:rPr>
        <w:t>QA AT No. 1110 MEYERTON, 1960 (‘THE SITE’</w:t>
      </w:r>
      <w:r w:rsidRPr="002A53D5">
        <w:rPr>
          <w:rFonts w:ascii="Arial" w:hAnsi="Arial" w:cs="Arial"/>
          <w:b/>
          <w:i/>
        </w:rPr>
        <w:t>)</w:t>
      </w:r>
      <w:r w:rsidR="00DC457B" w:rsidRPr="00DC457B">
        <w:rPr>
          <w:rFonts w:ascii="Arial" w:hAnsi="Arial" w:cs="Arial"/>
          <w:b/>
          <w:i/>
        </w:rPr>
        <w:t>.”</w:t>
      </w:r>
    </w:p>
    <w:p w:rsidR="009A2AD9" w:rsidRDefault="009A2AD9" w:rsidP="00427C1F">
      <w:pPr>
        <w:ind w:left="1440"/>
        <w:rPr>
          <w:rFonts w:ascii="Arial" w:hAnsi="Arial" w:cs="Arial"/>
          <w:b/>
        </w:rPr>
      </w:pPr>
    </w:p>
    <w:p w:rsidR="00427C1F" w:rsidRDefault="00A05898" w:rsidP="00427C1F">
      <w:pPr>
        <w:ind w:left="720" w:hanging="720"/>
        <w:rPr>
          <w:rFonts w:ascii="Arial" w:hAnsi="Arial" w:cs="Arial"/>
        </w:rPr>
      </w:pPr>
      <w:r>
        <w:rPr>
          <w:rFonts w:ascii="Arial" w:hAnsi="Arial" w:cs="Arial"/>
        </w:rPr>
        <w:t>[8]</w:t>
      </w:r>
      <w:r>
        <w:rPr>
          <w:rFonts w:ascii="Arial" w:hAnsi="Arial" w:cs="Arial"/>
        </w:rPr>
        <w:tab/>
        <w:t xml:space="preserve">In the notice </w:t>
      </w:r>
      <w:r w:rsidR="00427C1F" w:rsidRPr="002A53D5">
        <w:rPr>
          <w:rFonts w:ascii="Arial" w:hAnsi="Arial" w:cs="Arial"/>
          <w:i/>
        </w:rPr>
        <w:t>supra</w:t>
      </w:r>
      <w:r w:rsidR="00427C1F">
        <w:rPr>
          <w:rFonts w:ascii="Arial" w:hAnsi="Arial" w:cs="Arial"/>
        </w:rPr>
        <w:t xml:space="preserve"> Applicant was informed that First Respondent </w:t>
      </w:r>
      <w:r w:rsidR="00DC457B">
        <w:rPr>
          <w:rFonts w:ascii="Arial" w:hAnsi="Arial" w:cs="Arial"/>
        </w:rPr>
        <w:t>has reasonable grounds to believe</w:t>
      </w:r>
      <w:r w:rsidR="00427C1F">
        <w:rPr>
          <w:rFonts w:ascii="Arial" w:hAnsi="Arial" w:cs="Arial"/>
        </w:rPr>
        <w:t xml:space="preserve"> that Applicant is contravening the provisions of Government Notice (GN) 893 of 21 November 2013, based on the following reasons as quoted from the Notice:</w:t>
      </w:r>
    </w:p>
    <w:p w:rsidR="00427C1F" w:rsidRPr="009A2021" w:rsidRDefault="00427C1F" w:rsidP="00427C1F">
      <w:pPr>
        <w:ind w:left="2160" w:hanging="720"/>
        <w:rPr>
          <w:rFonts w:ascii="Arial" w:hAnsi="Arial" w:cs="Arial"/>
          <w:i/>
        </w:rPr>
      </w:pPr>
      <w:r w:rsidRPr="00DC457B">
        <w:rPr>
          <w:rFonts w:ascii="Arial" w:hAnsi="Arial" w:cs="Arial"/>
          <w:i/>
        </w:rPr>
        <w:t>“2.</w:t>
      </w:r>
      <w:r w:rsidRPr="009A2021">
        <w:rPr>
          <w:rFonts w:ascii="Arial" w:hAnsi="Arial" w:cs="Arial"/>
          <w:i/>
        </w:rPr>
        <w:tab/>
        <w:t>I have reasonable grounds for believing that you</w:t>
      </w:r>
      <w:r>
        <w:rPr>
          <w:rFonts w:ascii="Arial" w:hAnsi="Arial" w:cs="Arial"/>
          <w:i/>
        </w:rPr>
        <w:t xml:space="preserve"> have contravened the provision</w:t>
      </w:r>
      <w:r w:rsidRPr="009A2021">
        <w:rPr>
          <w:rFonts w:ascii="Arial" w:hAnsi="Arial" w:cs="Arial"/>
          <w:i/>
        </w:rPr>
        <w:t xml:space="preserve"> of Government Notice (GN) 893 of 22 November 2013 promulgated in terms of NEMAQA.</w:t>
      </w:r>
    </w:p>
    <w:p w:rsidR="00427C1F" w:rsidRPr="009A2021" w:rsidRDefault="00427C1F" w:rsidP="00427C1F">
      <w:pPr>
        <w:ind w:left="2160" w:hanging="720"/>
        <w:rPr>
          <w:rFonts w:ascii="Arial" w:hAnsi="Arial" w:cs="Arial"/>
          <w:i/>
        </w:rPr>
      </w:pPr>
      <w:r w:rsidRPr="009A2021">
        <w:rPr>
          <w:rFonts w:ascii="Arial" w:hAnsi="Arial" w:cs="Arial"/>
          <w:i/>
        </w:rPr>
        <w:t>3.</w:t>
      </w:r>
      <w:r w:rsidRPr="009A2021">
        <w:rPr>
          <w:rFonts w:ascii="Arial" w:hAnsi="Arial" w:cs="Arial"/>
          <w:i/>
        </w:rPr>
        <w:tab/>
        <w:t>I have reached this opinion because of the following:</w:t>
      </w:r>
    </w:p>
    <w:p w:rsidR="00427C1F" w:rsidRPr="009A2021" w:rsidRDefault="00427C1F" w:rsidP="00427C1F">
      <w:pPr>
        <w:ind w:left="2880" w:hanging="720"/>
        <w:rPr>
          <w:rFonts w:ascii="Arial" w:hAnsi="Arial" w:cs="Arial"/>
          <w:i/>
        </w:rPr>
      </w:pPr>
      <w:r w:rsidRPr="009A2021">
        <w:rPr>
          <w:rFonts w:ascii="Arial" w:hAnsi="Arial" w:cs="Arial"/>
          <w:i/>
        </w:rPr>
        <w:t>3.1</w:t>
      </w:r>
      <w:r w:rsidRPr="009A2021">
        <w:rPr>
          <w:rFonts w:ascii="Arial" w:hAnsi="Arial" w:cs="Arial"/>
          <w:i/>
        </w:rPr>
        <w:tab/>
        <w:t>The site inspection conducted by the EMIs from th</w:t>
      </w:r>
      <w:r w:rsidR="00DC457B">
        <w:rPr>
          <w:rFonts w:ascii="Arial" w:hAnsi="Arial" w:cs="Arial"/>
          <w:i/>
        </w:rPr>
        <w:t>is Department on 6 October 2020.</w:t>
      </w:r>
    </w:p>
    <w:p w:rsidR="00427C1F" w:rsidRPr="009A2021" w:rsidRDefault="00427C1F" w:rsidP="00427C1F">
      <w:pPr>
        <w:ind w:left="2880" w:hanging="720"/>
        <w:rPr>
          <w:rFonts w:ascii="Arial" w:hAnsi="Arial" w:cs="Arial"/>
          <w:i/>
        </w:rPr>
      </w:pPr>
      <w:r w:rsidRPr="009A2021">
        <w:rPr>
          <w:rFonts w:ascii="Arial" w:hAnsi="Arial" w:cs="Arial"/>
          <w:i/>
        </w:rPr>
        <w:t>3.2</w:t>
      </w:r>
      <w:r w:rsidRPr="009A2021">
        <w:rPr>
          <w:rFonts w:ascii="Arial" w:hAnsi="Arial" w:cs="Arial"/>
          <w:i/>
        </w:rPr>
        <w:tab/>
        <w:t>The email correspondence with the facility representative dated, 23 November 2020 confirming the cap</w:t>
      </w:r>
      <w:r>
        <w:rPr>
          <w:rFonts w:ascii="Arial" w:hAnsi="Arial" w:cs="Arial"/>
          <w:i/>
        </w:rPr>
        <w:t>acity and concentration of the Hydrochloric A</w:t>
      </w:r>
      <w:r w:rsidRPr="009A2021">
        <w:rPr>
          <w:rFonts w:ascii="Arial" w:hAnsi="Arial" w:cs="Arial"/>
          <w:i/>
        </w:rPr>
        <w:t xml:space="preserve">cid kept on site.  </w:t>
      </w:r>
    </w:p>
    <w:p w:rsidR="00427C1F" w:rsidRDefault="00427C1F" w:rsidP="00427C1F">
      <w:pPr>
        <w:ind w:left="2160" w:hanging="717"/>
        <w:rPr>
          <w:rFonts w:ascii="Arial" w:hAnsi="Arial" w:cs="Arial"/>
          <w:i/>
        </w:rPr>
      </w:pPr>
      <w:r w:rsidRPr="009A2021">
        <w:rPr>
          <w:rFonts w:ascii="Arial" w:hAnsi="Arial" w:cs="Arial"/>
          <w:i/>
        </w:rPr>
        <w:t>4.</w:t>
      </w:r>
      <w:r w:rsidRPr="009A2021">
        <w:rPr>
          <w:rFonts w:ascii="Arial" w:hAnsi="Arial" w:cs="Arial"/>
          <w:i/>
        </w:rPr>
        <w:tab/>
        <w:t xml:space="preserve">Based on the findings of the site inspection dated </w:t>
      </w:r>
      <w:r w:rsidR="00DC457B">
        <w:rPr>
          <w:rFonts w:ascii="Arial" w:hAnsi="Arial" w:cs="Arial"/>
          <w:i/>
        </w:rPr>
        <w:t>0</w:t>
      </w:r>
      <w:r w:rsidRPr="009A2021">
        <w:rPr>
          <w:rFonts w:ascii="Arial" w:hAnsi="Arial" w:cs="Arial"/>
          <w:i/>
        </w:rPr>
        <w:t xml:space="preserve">6 October 2020, the Department </w:t>
      </w:r>
      <w:r>
        <w:rPr>
          <w:rFonts w:ascii="Arial" w:hAnsi="Arial" w:cs="Arial"/>
          <w:i/>
        </w:rPr>
        <w:t xml:space="preserve">is </w:t>
      </w:r>
      <w:r w:rsidRPr="009A2021">
        <w:rPr>
          <w:rFonts w:ascii="Arial" w:hAnsi="Arial" w:cs="Arial"/>
          <w:i/>
        </w:rPr>
        <w:t xml:space="preserve">of the view that this activity is been undertaken illegally </w:t>
      </w:r>
      <w:r w:rsidRPr="009A2021">
        <w:rPr>
          <w:rFonts w:ascii="Arial" w:hAnsi="Arial" w:cs="Arial"/>
          <w:i/>
        </w:rPr>
        <w:lastRenderedPageBreak/>
        <w:t>without a Provisional Atmospheric Emissio</w:t>
      </w:r>
      <w:r>
        <w:rPr>
          <w:rFonts w:ascii="Arial" w:hAnsi="Arial" w:cs="Arial"/>
          <w:i/>
        </w:rPr>
        <w:t>n Licens</w:t>
      </w:r>
      <w:r w:rsidRPr="009A2021">
        <w:rPr>
          <w:rFonts w:ascii="Arial" w:hAnsi="Arial" w:cs="Arial"/>
          <w:i/>
        </w:rPr>
        <w:t>e of an Atmospheric Emission</w:t>
      </w:r>
      <w:r>
        <w:rPr>
          <w:rFonts w:ascii="Arial" w:hAnsi="Arial" w:cs="Arial"/>
          <w:i/>
        </w:rPr>
        <w:t>s</w:t>
      </w:r>
      <w:r w:rsidRPr="009A2021">
        <w:rPr>
          <w:rFonts w:ascii="Arial" w:hAnsi="Arial" w:cs="Arial"/>
          <w:i/>
        </w:rPr>
        <w:t xml:space="preserve"> </w:t>
      </w:r>
      <w:r>
        <w:rPr>
          <w:rFonts w:ascii="Arial" w:hAnsi="Arial" w:cs="Arial"/>
          <w:i/>
        </w:rPr>
        <w:t>Licens</w:t>
      </w:r>
      <w:r w:rsidRPr="009A2021">
        <w:rPr>
          <w:rFonts w:ascii="Arial" w:hAnsi="Arial" w:cs="Arial"/>
          <w:i/>
        </w:rPr>
        <w:t>e.</w:t>
      </w:r>
      <w:r w:rsidR="00DC457B" w:rsidRPr="00DC457B">
        <w:rPr>
          <w:rFonts w:ascii="Arial" w:hAnsi="Arial" w:cs="Arial"/>
          <w:i/>
        </w:rPr>
        <w:t>”</w:t>
      </w:r>
    </w:p>
    <w:p w:rsidR="00DC457B" w:rsidRDefault="00DC457B" w:rsidP="00427C1F">
      <w:pPr>
        <w:ind w:left="2160" w:hanging="717"/>
        <w:rPr>
          <w:rFonts w:ascii="Arial" w:hAnsi="Arial" w:cs="Arial"/>
        </w:rPr>
      </w:pPr>
    </w:p>
    <w:p w:rsidR="00427C1F" w:rsidRDefault="00A05898" w:rsidP="00427C1F">
      <w:pPr>
        <w:ind w:left="720" w:hanging="720"/>
        <w:rPr>
          <w:rFonts w:ascii="Arial" w:hAnsi="Arial" w:cs="Arial"/>
        </w:rPr>
      </w:pPr>
      <w:r>
        <w:rPr>
          <w:rFonts w:ascii="Arial" w:hAnsi="Arial" w:cs="Arial"/>
        </w:rPr>
        <w:t>[9</w:t>
      </w:r>
      <w:r w:rsidR="00427C1F">
        <w:rPr>
          <w:rFonts w:ascii="Arial" w:hAnsi="Arial" w:cs="Arial"/>
        </w:rPr>
        <w:t>]</w:t>
      </w:r>
      <w:r w:rsidR="00427C1F">
        <w:rPr>
          <w:rFonts w:ascii="Arial" w:hAnsi="Arial" w:cs="Arial"/>
        </w:rPr>
        <w:tab/>
        <w:t xml:space="preserve">In paragraph 5 of the notice </w:t>
      </w:r>
      <w:r w:rsidR="00427C1F" w:rsidRPr="009A2021">
        <w:rPr>
          <w:rFonts w:ascii="Arial" w:hAnsi="Arial" w:cs="Arial"/>
          <w:i/>
        </w:rPr>
        <w:t>supra</w:t>
      </w:r>
      <w:r w:rsidR="00427C1F">
        <w:rPr>
          <w:rFonts w:ascii="Arial" w:hAnsi="Arial" w:cs="Arial"/>
        </w:rPr>
        <w:t>, the listed activity in terms of S21 of the National Environment</w:t>
      </w:r>
      <w:r w:rsidR="00DC457B">
        <w:rPr>
          <w:rFonts w:ascii="Arial" w:hAnsi="Arial" w:cs="Arial"/>
        </w:rPr>
        <w:t>al Management Air Quality Act, N</w:t>
      </w:r>
      <w:r w:rsidR="00427C1F">
        <w:rPr>
          <w:rFonts w:ascii="Arial" w:hAnsi="Arial" w:cs="Arial"/>
        </w:rPr>
        <w:t>o. 39 of 2004 (NEMAQA) is described as follows:</w:t>
      </w:r>
    </w:p>
    <w:p w:rsidR="00427C1F" w:rsidRPr="0000699F" w:rsidRDefault="00427C1F" w:rsidP="00427C1F">
      <w:pPr>
        <w:spacing w:line="360" w:lineRule="auto"/>
        <w:ind w:left="720" w:hanging="720"/>
        <w:rPr>
          <w:rFonts w:ascii="Arial" w:hAnsi="Arial" w:cs="Arial"/>
          <w:b/>
          <w:i/>
        </w:rPr>
      </w:pPr>
      <w:r>
        <w:rPr>
          <w:rFonts w:ascii="Arial" w:hAnsi="Arial" w:cs="Arial"/>
        </w:rPr>
        <w:tab/>
      </w:r>
      <w:r>
        <w:rPr>
          <w:rFonts w:ascii="Arial" w:hAnsi="Arial" w:cs="Arial"/>
        </w:rPr>
        <w:tab/>
      </w:r>
      <w:r w:rsidRPr="00DC457B">
        <w:rPr>
          <w:rFonts w:ascii="Arial" w:hAnsi="Arial" w:cs="Arial"/>
          <w:i/>
        </w:rPr>
        <w:t>“</w:t>
      </w:r>
      <w:r w:rsidRPr="0000699F">
        <w:rPr>
          <w:rFonts w:ascii="Arial" w:hAnsi="Arial" w:cs="Arial"/>
          <w:b/>
          <w:i/>
        </w:rPr>
        <w:t>Category 7: I</w:t>
      </w:r>
      <w:r>
        <w:rPr>
          <w:rFonts w:ascii="Arial" w:hAnsi="Arial" w:cs="Arial"/>
          <w:b/>
          <w:i/>
        </w:rPr>
        <w:t>no</w:t>
      </w:r>
      <w:r w:rsidRPr="0000699F">
        <w:rPr>
          <w:rFonts w:ascii="Arial" w:hAnsi="Arial" w:cs="Arial"/>
          <w:b/>
          <w:i/>
        </w:rPr>
        <w:t>rganic Chemical Industry,</w:t>
      </w:r>
    </w:p>
    <w:p w:rsidR="00427C1F" w:rsidRPr="0000699F" w:rsidRDefault="00427C1F" w:rsidP="00427C1F">
      <w:pPr>
        <w:pStyle w:val="ListParagraph"/>
        <w:numPr>
          <w:ilvl w:val="0"/>
          <w:numId w:val="1"/>
        </w:numPr>
        <w:spacing w:line="360" w:lineRule="auto"/>
        <w:rPr>
          <w:rFonts w:ascii="Arial" w:hAnsi="Arial" w:cs="Arial"/>
          <w:i/>
        </w:rPr>
      </w:pPr>
      <w:r w:rsidRPr="0000699F">
        <w:rPr>
          <w:rFonts w:ascii="Arial" w:hAnsi="Arial" w:cs="Arial"/>
          <w:i/>
        </w:rPr>
        <w:t>Sub-category 7.2:</w:t>
      </w:r>
      <w:r w:rsidR="00DC457B">
        <w:rPr>
          <w:rFonts w:ascii="Arial" w:hAnsi="Arial" w:cs="Arial"/>
          <w:i/>
        </w:rPr>
        <w:t xml:space="preserve"> Production of Acids</w:t>
      </w:r>
      <w:r w:rsidRPr="0000699F">
        <w:rPr>
          <w:rFonts w:ascii="Arial" w:hAnsi="Arial" w:cs="Arial"/>
          <w:i/>
        </w:rPr>
        <w:t>.</w:t>
      </w:r>
    </w:p>
    <w:p w:rsidR="00427C1F" w:rsidRPr="0000699F" w:rsidRDefault="00427C1F" w:rsidP="00427C1F">
      <w:pPr>
        <w:pStyle w:val="ListParagraph"/>
        <w:numPr>
          <w:ilvl w:val="0"/>
          <w:numId w:val="1"/>
        </w:numPr>
        <w:spacing w:line="360" w:lineRule="auto"/>
        <w:rPr>
          <w:rFonts w:ascii="Arial" w:hAnsi="Arial" w:cs="Arial"/>
          <w:i/>
        </w:rPr>
      </w:pPr>
      <w:r w:rsidRPr="0000699F">
        <w:rPr>
          <w:rFonts w:ascii="Arial" w:hAnsi="Arial" w:cs="Arial"/>
          <w:i/>
        </w:rPr>
        <w:t>Description: the production, bulk handling and/or use in manufacturing of hydrofluoric, hydrochloric, nitric and sulphuric acid (including oleum) in concentration exceeding 10%.  P</w:t>
      </w:r>
      <w:r>
        <w:rPr>
          <w:rFonts w:ascii="Arial" w:hAnsi="Arial" w:cs="Arial"/>
          <w:i/>
        </w:rPr>
        <w:t>rocess in which oxides of</w:t>
      </w:r>
      <w:r w:rsidRPr="0000699F">
        <w:rPr>
          <w:rFonts w:ascii="Arial" w:hAnsi="Arial" w:cs="Arial"/>
          <w:i/>
        </w:rPr>
        <w:t xml:space="preserve"> Sulphur </w:t>
      </w:r>
      <w:r>
        <w:rPr>
          <w:rFonts w:ascii="Arial" w:hAnsi="Arial" w:cs="Arial"/>
          <w:i/>
        </w:rPr>
        <w:t>are em</w:t>
      </w:r>
      <w:r w:rsidRPr="0000699F">
        <w:rPr>
          <w:rFonts w:ascii="Arial" w:hAnsi="Arial" w:cs="Arial"/>
          <w:i/>
        </w:rPr>
        <w:t xml:space="preserve">itted </w:t>
      </w:r>
      <w:r>
        <w:rPr>
          <w:rFonts w:ascii="Arial" w:hAnsi="Arial" w:cs="Arial"/>
          <w:i/>
        </w:rPr>
        <w:t>through the production of acid S</w:t>
      </w:r>
      <w:r w:rsidRPr="0000699F">
        <w:rPr>
          <w:rFonts w:ascii="Arial" w:hAnsi="Arial" w:cs="Arial"/>
          <w:i/>
        </w:rPr>
        <w:t>ulphites of alkalis or alkaline earths or thr</w:t>
      </w:r>
      <w:r>
        <w:rPr>
          <w:rFonts w:ascii="Arial" w:hAnsi="Arial" w:cs="Arial"/>
          <w:i/>
        </w:rPr>
        <w:t>ough the production of liquids Sulphur or Sulphurous acid.</w:t>
      </w:r>
    </w:p>
    <w:p w:rsidR="00427C1F" w:rsidRDefault="00427C1F" w:rsidP="00427C1F">
      <w:pPr>
        <w:pStyle w:val="ListParagraph"/>
        <w:numPr>
          <w:ilvl w:val="0"/>
          <w:numId w:val="1"/>
        </w:numPr>
        <w:spacing w:line="360" w:lineRule="auto"/>
        <w:rPr>
          <w:rFonts w:ascii="Arial" w:hAnsi="Arial" w:cs="Arial"/>
          <w:i/>
        </w:rPr>
      </w:pPr>
      <w:r w:rsidRPr="0000699F">
        <w:rPr>
          <w:rFonts w:ascii="Arial" w:hAnsi="Arial" w:cs="Arial"/>
          <w:i/>
        </w:rPr>
        <w:t>A</w:t>
      </w:r>
      <w:r>
        <w:rPr>
          <w:rFonts w:ascii="Arial" w:hAnsi="Arial" w:cs="Arial"/>
          <w:i/>
        </w:rPr>
        <w:t>pplication</w:t>
      </w:r>
      <w:r w:rsidRPr="0000699F">
        <w:rPr>
          <w:rFonts w:ascii="Arial" w:hAnsi="Arial" w:cs="Arial"/>
          <w:i/>
        </w:rPr>
        <w:t>: all installations producing, handling and/or using more than 100 tons per annum of any of the listed compounds (excluding metallurgical processes related activities regulated under category).”</w:t>
      </w:r>
    </w:p>
    <w:p w:rsidR="00DC457B" w:rsidRPr="0000699F" w:rsidRDefault="00DC457B" w:rsidP="00DC457B">
      <w:pPr>
        <w:pStyle w:val="ListParagraph"/>
        <w:spacing w:line="360" w:lineRule="auto"/>
        <w:ind w:left="1800"/>
        <w:rPr>
          <w:rFonts w:ascii="Arial" w:hAnsi="Arial" w:cs="Arial"/>
          <w:i/>
        </w:rPr>
      </w:pPr>
    </w:p>
    <w:p w:rsidR="00427C1F" w:rsidRDefault="00A05898" w:rsidP="00427C1F">
      <w:pPr>
        <w:ind w:left="0"/>
        <w:rPr>
          <w:rFonts w:ascii="Arial" w:hAnsi="Arial" w:cs="Arial"/>
        </w:rPr>
      </w:pPr>
      <w:r>
        <w:rPr>
          <w:rFonts w:ascii="Arial" w:hAnsi="Arial" w:cs="Arial"/>
        </w:rPr>
        <w:t>[10</w:t>
      </w:r>
      <w:r w:rsidR="00427C1F">
        <w:rPr>
          <w:rFonts w:ascii="Arial" w:hAnsi="Arial" w:cs="Arial"/>
        </w:rPr>
        <w:t>]</w:t>
      </w:r>
      <w:r w:rsidR="00427C1F">
        <w:rPr>
          <w:rFonts w:ascii="Arial" w:hAnsi="Arial" w:cs="Arial"/>
        </w:rPr>
        <w:tab/>
        <w:t xml:space="preserve">Under the heading of </w:t>
      </w:r>
      <w:r w:rsidR="00427C1F" w:rsidRPr="00DC457B">
        <w:rPr>
          <w:rFonts w:ascii="Arial" w:hAnsi="Arial" w:cs="Arial"/>
          <w:i/>
        </w:rPr>
        <w:t>“</w:t>
      </w:r>
      <w:r w:rsidR="00427C1F" w:rsidRPr="0000699F">
        <w:rPr>
          <w:rFonts w:ascii="Arial" w:hAnsi="Arial" w:cs="Arial"/>
          <w:i/>
        </w:rPr>
        <w:t>finding of non-compliance</w:t>
      </w:r>
      <w:r w:rsidR="00427C1F">
        <w:rPr>
          <w:rFonts w:ascii="Arial" w:hAnsi="Arial" w:cs="Arial"/>
        </w:rPr>
        <w:t>” in such notice it is stated:</w:t>
      </w:r>
    </w:p>
    <w:p w:rsidR="00427C1F" w:rsidRDefault="00427C1F" w:rsidP="00427C1F">
      <w:pPr>
        <w:spacing w:line="360" w:lineRule="auto"/>
        <w:ind w:left="1440"/>
        <w:rPr>
          <w:rFonts w:ascii="Arial" w:hAnsi="Arial" w:cs="Arial"/>
        </w:rPr>
      </w:pPr>
      <w:r w:rsidRPr="00DC457B">
        <w:rPr>
          <w:rFonts w:ascii="Arial" w:hAnsi="Arial" w:cs="Arial"/>
          <w:i/>
        </w:rPr>
        <w:t>“</w:t>
      </w:r>
      <w:r w:rsidRPr="0000699F">
        <w:rPr>
          <w:rFonts w:ascii="Arial" w:hAnsi="Arial" w:cs="Arial"/>
          <w:i/>
        </w:rPr>
        <w:t>Tongaat Hul</w:t>
      </w:r>
      <w:r>
        <w:rPr>
          <w:rFonts w:ascii="Arial" w:hAnsi="Arial" w:cs="Arial"/>
          <w:i/>
        </w:rPr>
        <w:t>let</w:t>
      </w:r>
      <w:r w:rsidRPr="0000699F">
        <w:rPr>
          <w:rFonts w:ascii="Arial" w:hAnsi="Arial" w:cs="Arial"/>
          <w:i/>
        </w:rPr>
        <w:t xml:space="preserve"> is handling 300 tons of </w:t>
      </w:r>
      <w:r>
        <w:rPr>
          <w:rFonts w:ascii="Arial" w:hAnsi="Arial" w:cs="Arial"/>
          <w:i/>
        </w:rPr>
        <w:t>H</w:t>
      </w:r>
      <w:r w:rsidRPr="0000699F">
        <w:rPr>
          <w:rFonts w:ascii="Arial" w:hAnsi="Arial" w:cs="Arial"/>
          <w:i/>
        </w:rPr>
        <w:t>ydrochloric acid in a con</w:t>
      </w:r>
      <w:r>
        <w:rPr>
          <w:rFonts w:ascii="Arial" w:hAnsi="Arial" w:cs="Arial"/>
          <w:i/>
        </w:rPr>
        <w:t>centration ranging between 30 – 33%</w:t>
      </w:r>
      <w:r>
        <w:rPr>
          <w:rFonts w:ascii="Arial" w:hAnsi="Arial" w:cs="Arial"/>
        </w:rPr>
        <w:t>.”</w:t>
      </w:r>
    </w:p>
    <w:p w:rsidR="00DC457B" w:rsidRDefault="00DC457B" w:rsidP="00427C1F">
      <w:pPr>
        <w:spacing w:line="360" w:lineRule="auto"/>
        <w:ind w:left="1440"/>
        <w:rPr>
          <w:rFonts w:ascii="Arial" w:hAnsi="Arial" w:cs="Arial"/>
        </w:rPr>
      </w:pPr>
    </w:p>
    <w:p w:rsidR="00427C1F" w:rsidRDefault="00A05898" w:rsidP="00427C1F">
      <w:pPr>
        <w:ind w:left="720" w:hanging="720"/>
        <w:rPr>
          <w:rFonts w:ascii="Arial" w:hAnsi="Arial" w:cs="Arial"/>
        </w:rPr>
      </w:pPr>
      <w:r>
        <w:rPr>
          <w:rFonts w:ascii="Arial" w:hAnsi="Arial" w:cs="Arial"/>
        </w:rPr>
        <w:t>[11</w:t>
      </w:r>
      <w:r w:rsidR="00427C1F">
        <w:rPr>
          <w:rFonts w:ascii="Arial" w:hAnsi="Arial" w:cs="Arial"/>
        </w:rPr>
        <w:t>]</w:t>
      </w:r>
      <w:r w:rsidR="00427C1F">
        <w:rPr>
          <w:rFonts w:ascii="Arial" w:hAnsi="Arial" w:cs="Arial"/>
        </w:rPr>
        <w:tab/>
        <w:t xml:space="preserve">The Applicant was afforded an opportunity to make representations to First Respondent within 21 calendar days after receipt of the notice should the Applicant be of the view that there are compelling and substantial reasons for the First Respondent not to exercise the First Respondent’s powers in terms of Section 31L to issue a Compliance Notice which would require the Applicant to </w:t>
      </w:r>
      <w:r w:rsidR="00427C1F" w:rsidRPr="004C1708">
        <w:rPr>
          <w:rFonts w:ascii="Arial" w:hAnsi="Arial" w:cs="Arial"/>
          <w:i/>
        </w:rPr>
        <w:t xml:space="preserve">inter alia </w:t>
      </w:r>
      <w:r w:rsidR="00427C1F">
        <w:rPr>
          <w:rFonts w:ascii="Arial" w:hAnsi="Arial" w:cs="Arial"/>
        </w:rPr>
        <w:t xml:space="preserve">cease with all activities on site that are listed in terms of Section 21 of NEMAQA until such time </w:t>
      </w:r>
      <w:r w:rsidR="00427C1F">
        <w:rPr>
          <w:rFonts w:ascii="Arial" w:hAnsi="Arial" w:cs="Arial"/>
        </w:rPr>
        <w:lastRenderedPageBreak/>
        <w:t>that the applicable Atmospheric Emission Licence (AEL) has been obtained from the competent authority.</w:t>
      </w:r>
    </w:p>
    <w:p w:rsidR="00D6081E" w:rsidRDefault="00D6081E"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t>[12</w:t>
      </w:r>
      <w:r w:rsidR="00427C1F">
        <w:rPr>
          <w:rFonts w:ascii="Arial" w:hAnsi="Arial" w:cs="Arial"/>
        </w:rPr>
        <w:t>]</w:t>
      </w:r>
      <w:r w:rsidR="00427C1F">
        <w:rPr>
          <w:rFonts w:ascii="Arial" w:hAnsi="Arial" w:cs="Arial"/>
        </w:rPr>
        <w:tab/>
        <w:t xml:space="preserve">The notice </w:t>
      </w:r>
      <w:r w:rsidR="00427C1F" w:rsidRPr="004C1708">
        <w:rPr>
          <w:rFonts w:ascii="Arial" w:hAnsi="Arial" w:cs="Arial"/>
          <w:i/>
        </w:rPr>
        <w:t xml:space="preserve">supra </w:t>
      </w:r>
      <w:r w:rsidR="00427C1F">
        <w:rPr>
          <w:rFonts w:ascii="Arial" w:hAnsi="Arial" w:cs="Arial"/>
        </w:rPr>
        <w:t>further draws the Applican</w:t>
      </w:r>
      <w:r w:rsidR="00D6081E">
        <w:rPr>
          <w:rFonts w:ascii="Arial" w:hAnsi="Arial" w:cs="Arial"/>
        </w:rPr>
        <w:t>t’s attention to the following:</w:t>
      </w:r>
    </w:p>
    <w:p w:rsidR="00D6081E" w:rsidRDefault="00427C1F" w:rsidP="00427C1F">
      <w:pPr>
        <w:spacing w:line="360" w:lineRule="auto"/>
        <w:ind w:left="2160" w:hanging="720"/>
        <w:rPr>
          <w:rFonts w:ascii="Arial" w:hAnsi="Arial" w:cs="Arial"/>
          <w:i/>
        </w:rPr>
      </w:pPr>
      <w:r w:rsidRPr="00D6081E">
        <w:rPr>
          <w:rFonts w:ascii="Arial" w:hAnsi="Arial" w:cs="Arial"/>
          <w:i/>
        </w:rPr>
        <w:t>“</w:t>
      </w:r>
      <w:r w:rsidRPr="00B26F91">
        <w:rPr>
          <w:rFonts w:ascii="Arial" w:hAnsi="Arial" w:cs="Arial"/>
          <w:i/>
        </w:rPr>
        <w:t>8.</w:t>
      </w:r>
      <w:r w:rsidRPr="00B26F91">
        <w:rPr>
          <w:rFonts w:ascii="Arial" w:hAnsi="Arial" w:cs="Arial"/>
          <w:i/>
        </w:rPr>
        <w:tab/>
        <w:t>Please note that although it is illegal to conduct a listed activity without a provisional/f</w:t>
      </w:r>
      <w:r>
        <w:rPr>
          <w:rFonts w:ascii="Arial" w:hAnsi="Arial" w:cs="Arial"/>
          <w:i/>
        </w:rPr>
        <w:t>inal Atmospheric Emission Licens</w:t>
      </w:r>
      <w:r w:rsidRPr="00B26F91">
        <w:rPr>
          <w:rFonts w:ascii="Arial" w:hAnsi="Arial" w:cs="Arial"/>
          <w:i/>
        </w:rPr>
        <w:t xml:space="preserve">e (AEL), in </w:t>
      </w:r>
      <w:r w:rsidR="00D6081E">
        <w:rPr>
          <w:rFonts w:ascii="Arial" w:hAnsi="Arial" w:cs="Arial"/>
          <w:i/>
        </w:rPr>
        <w:t>terms of Section 22A of the NEM:</w:t>
      </w:r>
      <w:r w:rsidRPr="00B26F91">
        <w:rPr>
          <w:rFonts w:ascii="Arial" w:hAnsi="Arial" w:cs="Arial"/>
          <w:i/>
        </w:rPr>
        <w:t xml:space="preserve"> AQA</w:t>
      </w:r>
      <w:r>
        <w:rPr>
          <w:rFonts w:ascii="Arial" w:hAnsi="Arial" w:cs="Arial"/>
          <w:i/>
        </w:rPr>
        <w:t>,</w:t>
      </w:r>
      <w:r w:rsidRPr="00B26F91">
        <w:rPr>
          <w:rFonts w:ascii="Arial" w:hAnsi="Arial" w:cs="Arial"/>
          <w:i/>
        </w:rPr>
        <w:t xml:space="preserve"> you may submit an application to the relevant competent authority for rectification of the unlawful conduct of this listed activity</w:t>
      </w:r>
      <w:r>
        <w:rPr>
          <w:rFonts w:ascii="Arial" w:hAnsi="Arial" w:cs="Arial"/>
        </w:rPr>
        <w:t>.</w:t>
      </w:r>
      <w:r w:rsidRPr="00D6081E">
        <w:rPr>
          <w:rFonts w:ascii="Arial" w:hAnsi="Arial" w:cs="Arial"/>
          <w:i/>
        </w:rPr>
        <w:t>”</w:t>
      </w:r>
    </w:p>
    <w:p w:rsidR="00D6081E" w:rsidRDefault="00D6081E" w:rsidP="00427C1F">
      <w:pPr>
        <w:spacing w:line="360" w:lineRule="auto"/>
        <w:ind w:left="2160" w:hanging="720"/>
        <w:rPr>
          <w:rFonts w:ascii="Arial" w:hAnsi="Arial" w:cs="Arial"/>
        </w:rPr>
      </w:pPr>
    </w:p>
    <w:p w:rsidR="00427C1F" w:rsidRPr="0000699F" w:rsidRDefault="00427C1F" w:rsidP="00427C1F">
      <w:pPr>
        <w:spacing w:line="360" w:lineRule="auto"/>
        <w:ind w:left="2160" w:hanging="720"/>
        <w:rPr>
          <w:rFonts w:ascii="Arial" w:hAnsi="Arial" w:cs="Arial"/>
        </w:rPr>
      </w:pPr>
      <w:r>
        <w:rPr>
          <w:rFonts w:ascii="Arial" w:hAnsi="Arial" w:cs="Arial"/>
        </w:rPr>
        <w:t xml:space="preserve"> </w:t>
      </w:r>
    </w:p>
    <w:p w:rsidR="00427C1F" w:rsidRDefault="00A05898" w:rsidP="00427C1F">
      <w:pPr>
        <w:ind w:left="720" w:hanging="720"/>
        <w:rPr>
          <w:rFonts w:ascii="Arial" w:hAnsi="Arial" w:cs="Arial"/>
        </w:rPr>
      </w:pPr>
      <w:r>
        <w:rPr>
          <w:rFonts w:ascii="Arial" w:hAnsi="Arial" w:cs="Arial"/>
        </w:rPr>
        <w:t>[13</w:t>
      </w:r>
      <w:r w:rsidR="00427C1F">
        <w:rPr>
          <w:rFonts w:ascii="Arial" w:hAnsi="Arial" w:cs="Arial"/>
        </w:rPr>
        <w:t>]</w:t>
      </w:r>
      <w:r w:rsidR="00427C1F">
        <w:rPr>
          <w:rFonts w:ascii="Arial" w:hAnsi="Arial" w:cs="Arial"/>
        </w:rPr>
        <w:tab/>
        <w:t xml:space="preserve">In response to the notice </w:t>
      </w:r>
      <w:r w:rsidR="00427C1F" w:rsidRPr="00B26F91">
        <w:rPr>
          <w:rFonts w:ascii="Arial" w:hAnsi="Arial" w:cs="Arial"/>
          <w:i/>
        </w:rPr>
        <w:t>supra</w:t>
      </w:r>
      <w:r>
        <w:rPr>
          <w:rFonts w:ascii="Arial" w:hAnsi="Arial" w:cs="Arial"/>
        </w:rPr>
        <w:t xml:space="preserve">, of 11 March 2021 </w:t>
      </w:r>
      <w:r w:rsidR="00427C1F">
        <w:rPr>
          <w:rFonts w:ascii="Arial" w:hAnsi="Arial" w:cs="Arial"/>
        </w:rPr>
        <w:t xml:space="preserve">Applicant submitted written representations to Second Respondent requesting that a Compliance Notice not be issued and for </w:t>
      </w:r>
      <w:r>
        <w:rPr>
          <w:rFonts w:ascii="Arial" w:hAnsi="Arial" w:cs="Arial"/>
        </w:rPr>
        <w:t>that request relied on the assertion</w:t>
      </w:r>
      <w:r w:rsidR="00427C1F">
        <w:rPr>
          <w:rFonts w:ascii="Arial" w:hAnsi="Arial" w:cs="Arial"/>
        </w:rPr>
        <w:t xml:space="preserve"> that the Applican</w:t>
      </w:r>
      <w:r w:rsidR="00E079CE">
        <w:rPr>
          <w:rFonts w:ascii="Arial" w:hAnsi="Arial" w:cs="Arial"/>
        </w:rPr>
        <w:t>t’s use of hydrochloric acid does</w:t>
      </w:r>
      <w:r w:rsidR="00427C1F">
        <w:rPr>
          <w:rFonts w:ascii="Arial" w:hAnsi="Arial" w:cs="Arial"/>
        </w:rPr>
        <w:t xml:space="preserve"> not constitute a listed activity falling within the ambit of section 21 of AQA and as a </w:t>
      </w:r>
      <w:r w:rsidR="00E079CE">
        <w:rPr>
          <w:rFonts w:ascii="Arial" w:hAnsi="Arial" w:cs="Arial"/>
        </w:rPr>
        <w:t>result of which the Applicant i</w:t>
      </w:r>
      <w:r w:rsidR="00427C1F">
        <w:rPr>
          <w:rFonts w:ascii="Arial" w:hAnsi="Arial" w:cs="Arial"/>
        </w:rPr>
        <w:t>s entitled to continue with its activities utilising hydrochloric acid without an AEL.  In the written representations, Applicant explained to Second Respondent the following:</w:t>
      </w:r>
    </w:p>
    <w:p w:rsidR="003042A8" w:rsidRDefault="003042A8" w:rsidP="00427C1F">
      <w:pPr>
        <w:ind w:left="720" w:hanging="720"/>
        <w:rPr>
          <w:rFonts w:ascii="Arial" w:hAnsi="Arial" w:cs="Arial"/>
        </w:rPr>
      </w:pPr>
    </w:p>
    <w:p w:rsidR="00427C1F" w:rsidRDefault="00A05898" w:rsidP="00427C1F">
      <w:pPr>
        <w:ind w:left="1440" w:hanging="720"/>
        <w:rPr>
          <w:rFonts w:ascii="Arial" w:hAnsi="Arial" w:cs="Arial"/>
        </w:rPr>
      </w:pPr>
      <w:r>
        <w:rPr>
          <w:rFonts w:ascii="Arial" w:hAnsi="Arial" w:cs="Arial"/>
        </w:rPr>
        <w:t>[13</w:t>
      </w:r>
      <w:r w:rsidR="00427C1F">
        <w:rPr>
          <w:rFonts w:ascii="Arial" w:hAnsi="Arial" w:cs="Arial"/>
        </w:rPr>
        <w:t>.1]</w:t>
      </w:r>
      <w:r w:rsidR="00427C1F">
        <w:rPr>
          <w:rFonts w:ascii="Arial" w:hAnsi="Arial" w:cs="Arial"/>
        </w:rPr>
        <w:tab/>
        <w:t>Applicant does not engage in the primary or secondary production of hydrochloric acid.  Applicant explained to Second Respondent that:</w:t>
      </w:r>
    </w:p>
    <w:p w:rsidR="00427C1F" w:rsidRDefault="00427C1F" w:rsidP="00427C1F">
      <w:pPr>
        <w:spacing w:line="360" w:lineRule="auto"/>
        <w:ind w:left="2160"/>
        <w:rPr>
          <w:rFonts w:ascii="Arial" w:hAnsi="Arial" w:cs="Arial"/>
        </w:rPr>
      </w:pPr>
      <w:r w:rsidRPr="00B26F91">
        <w:rPr>
          <w:rFonts w:ascii="Arial" w:hAnsi="Arial" w:cs="Arial"/>
          <w:i/>
        </w:rPr>
        <w:t>“Primary production means the intentionally manufacturing of hydrochloric acid, while secondary production is the recovery of hydrochloric acid (regeneration) by industries that use hydrochloric acid in a process and recover waste hydrogen chloride or hydrochloric acid to re-us</w:t>
      </w:r>
      <w:r>
        <w:rPr>
          <w:rFonts w:ascii="Arial" w:hAnsi="Arial" w:cs="Arial"/>
        </w:rPr>
        <w:t>e</w:t>
      </w:r>
      <w:r w:rsidRPr="00B36B27">
        <w:rPr>
          <w:rFonts w:ascii="Arial" w:hAnsi="Arial" w:cs="Arial"/>
          <w:i/>
        </w:rPr>
        <w:t>”.</w:t>
      </w:r>
    </w:p>
    <w:p w:rsidR="00B36B27" w:rsidRDefault="00B36B27" w:rsidP="00427C1F">
      <w:pPr>
        <w:spacing w:line="360" w:lineRule="auto"/>
        <w:ind w:left="2160"/>
        <w:rPr>
          <w:rFonts w:ascii="Arial" w:hAnsi="Arial" w:cs="Arial"/>
        </w:rPr>
      </w:pPr>
    </w:p>
    <w:p w:rsidR="00427C1F" w:rsidRDefault="00A05898" w:rsidP="00427C1F">
      <w:pPr>
        <w:ind w:left="1440" w:hanging="717"/>
        <w:rPr>
          <w:rFonts w:ascii="Arial" w:hAnsi="Arial" w:cs="Arial"/>
        </w:rPr>
      </w:pPr>
      <w:r>
        <w:rPr>
          <w:rFonts w:ascii="Arial" w:hAnsi="Arial" w:cs="Arial"/>
        </w:rPr>
        <w:t>[13</w:t>
      </w:r>
      <w:r w:rsidR="00427C1F">
        <w:rPr>
          <w:rFonts w:ascii="Arial" w:hAnsi="Arial" w:cs="Arial"/>
        </w:rPr>
        <w:t>.2]</w:t>
      </w:r>
      <w:r w:rsidR="00427C1F">
        <w:rPr>
          <w:rFonts w:ascii="Arial" w:hAnsi="Arial" w:cs="Arial"/>
        </w:rPr>
        <w:tab/>
        <w:t>At the Applicant’s Mill, hydrochloric acid is used as a reagent in agri-processing and is added in liquid form as a reagent to modify maize starch molecules in the production of modified starches and to convert maize starch to acid glucose;</w:t>
      </w:r>
    </w:p>
    <w:p w:rsidR="00427C1F" w:rsidRDefault="00A05898" w:rsidP="00427C1F">
      <w:pPr>
        <w:ind w:left="1440" w:hanging="717"/>
        <w:rPr>
          <w:rFonts w:ascii="Arial" w:hAnsi="Arial" w:cs="Arial"/>
        </w:rPr>
      </w:pPr>
      <w:r>
        <w:rPr>
          <w:rFonts w:ascii="Arial" w:hAnsi="Arial" w:cs="Arial"/>
        </w:rPr>
        <w:t>[13.</w:t>
      </w:r>
      <w:r w:rsidR="00427C1F">
        <w:rPr>
          <w:rFonts w:ascii="Arial" w:hAnsi="Arial" w:cs="Arial"/>
        </w:rPr>
        <w:t>3]</w:t>
      </w:r>
      <w:r w:rsidR="00427C1F">
        <w:rPr>
          <w:rFonts w:ascii="Arial" w:hAnsi="Arial" w:cs="Arial"/>
        </w:rPr>
        <w:tab/>
        <w:t>Ingrain is neither engaged in the inorganic chemicals industry nor does it produce hydrochloric acid.</w:t>
      </w:r>
    </w:p>
    <w:p w:rsidR="00C709FE" w:rsidRDefault="00C709FE" w:rsidP="00427C1F">
      <w:pPr>
        <w:ind w:left="1440" w:hanging="717"/>
        <w:rPr>
          <w:rFonts w:ascii="Arial" w:hAnsi="Arial" w:cs="Arial"/>
        </w:rPr>
      </w:pPr>
    </w:p>
    <w:p w:rsidR="00427C1F" w:rsidRDefault="00A05898" w:rsidP="00427C1F">
      <w:pPr>
        <w:ind w:left="720" w:hanging="720"/>
        <w:rPr>
          <w:rFonts w:ascii="Arial" w:hAnsi="Arial" w:cs="Arial"/>
        </w:rPr>
      </w:pPr>
      <w:r>
        <w:rPr>
          <w:rFonts w:ascii="Arial" w:hAnsi="Arial" w:cs="Arial"/>
        </w:rPr>
        <w:t>[14</w:t>
      </w:r>
      <w:r w:rsidR="00427C1F">
        <w:rPr>
          <w:rFonts w:ascii="Arial" w:hAnsi="Arial" w:cs="Arial"/>
        </w:rPr>
        <w:t>]</w:t>
      </w:r>
      <w:r w:rsidR="00427C1F">
        <w:rPr>
          <w:rFonts w:ascii="Arial" w:hAnsi="Arial" w:cs="Arial"/>
        </w:rPr>
        <w:tab/>
        <w:t xml:space="preserve">In summary, Applicant informed the Second Respondent that the use of hydrochloric acid in the Applicant’s processes does not fall under the definition of a </w:t>
      </w:r>
      <w:r w:rsidR="00427C1F" w:rsidRPr="00B36B27">
        <w:rPr>
          <w:rFonts w:ascii="Arial" w:hAnsi="Arial" w:cs="Arial"/>
          <w:i/>
        </w:rPr>
        <w:t>“listed activity”</w:t>
      </w:r>
      <w:r>
        <w:rPr>
          <w:rFonts w:ascii="Arial" w:hAnsi="Arial" w:cs="Arial"/>
        </w:rPr>
        <w:t xml:space="preserve"> in terms of Section 21 of AQA, as Applicant neither manufacture or recover such acid in the processes where Applicant use such chemicals.</w:t>
      </w:r>
      <w:r w:rsidR="00427C1F">
        <w:rPr>
          <w:rFonts w:ascii="Arial" w:hAnsi="Arial" w:cs="Arial"/>
        </w:rPr>
        <w:t xml:space="preserve"> </w:t>
      </w:r>
    </w:p>
    <w:p w:rsidR="00A05898" w:rsidRDefault="00A05898"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t>[15</w:t>
      </w:r>
      <w:r w:rsidR="00427C1F">
        <w:rPr>
          <w:rFonts w:ascii="Arial" w:hAnsi="Arial" w:cs="Arial"/>
        </w:rPr>
        <w:t>]</w:t>
      </w:r>
      <w:r w:rsidR="00427C1F">
        <w:rPr>
          <w:rFonts w:ascii="Arial" w:hAnsi="Arial" w:cs="Arial"/>
        </w:rPr>
        <w:tab/>
        <w:t>Notwithstanding the aforesaid, on 5 May 2021 First Respondent caused a Compliance Notice to be served on deponent to the Founding Affidavit who is the Mill Manager of Applicant, the heading of which compliance notice reads as follows:</w:t>
      </w:r>
    </w:p>
    <w:p w:rsidR="00427C1F" w:rsidRDefault="00427C1F" w:rsidP="005104FC">
      <w:pPr>
        <w:spacing w:line="360" w:lineRule="auto"/>
        <w:ind w:left="1440"/>
        <w:rPr>
          <w:rFonts w:ascii="Arial" w:hAnsi="Arial" w:cs="Arial"/>
        </w:rPr>
      </w:pPr>
      <w:r w:rsidRPr="005104FC">
        <w:rPr>
          <w:rFonts w:ascii="Arial" w:hAnsi="Arial" w:cs="Arial"/>
          <w:i/>
        </w:rPr>
        <w:t>“</w:t>
      </w:r>
      <w:r w:rsidRPr="00C4375A">
        <w:rPr>
          <w:rFonts w:ascii="Arial" w:hAnsi="Arial" w:cs="Arial"/>
          <w:b/>
          <w:i/>
        </w:rPr>
        <w:t xml:space="preserve">COMPLIANCE NOTICE IN TERMS </w:t>
      </w:r>
      <w:r w:rsidR="00B36B27">
        <w:rPr>
          <w:rFonts w:ascii="Arial" w:hAnsi="Arial" w:cs="Arial"/>
          <w:b/>
          <w:i/>
        </w:rPr>
        <w:t xml:space="preserve">OF SECTION 31L OF THE NATIONAL </w:t>
      </w:r>
      <w:r>
        <w:rPr>
          <w:rFonts w:ascii="Arial" w:hAnsi="Arial" w:cs="Arial"/>
          <w:b/>
          <w:i/>
        </w:rPr>
        <w:t xml:space="preserve">ENVIRONMENTAL </w:t>
      </w:r>
      <w:r w:rsidR="005104FC">
        <w:rPr>
          <w:rFonts w:ascii="Arial" w:hAnsi="Arial" w:cs="Arial"/>
          <w:b/>
          <w:i/>
        </w:rPr>
        <w:t>MANAGEMENT ACT, 1998 (ACT 107 OF 1998) (‘NEMA’</w:t>
      </w:r>
      <w:r w:rsidRPr="00C4375A">
        <w:rPr>
          <w:rFonts w:ascii="Arial" w:hAnsi="Arial" w:cs="Arial"/>
          <w:b/>
          <w:i/>
        </w:rPr>
        <w:t>) IN RESPECT OF AN ACTIVITY LISTED IN TERMS OF S21 OF THE NAT</w:t>
      </w:r>
      <w:r w:rsidR="005104FC">
        <w:rPr>
          <w:rFonts w:ascii="Arial" w:hAnsi="Arial" w:cs="Arial"/>
          <w:b/>
          <w:i/>
        </w:rPr>
        <w:t xml:space="preserve">IONAL ENVIRONMENTAL MANAGEMENT </w:t>
      </w:r>
      <w:r w:rsidRPr="00C4375A">
        <w:rPr>
          <w:rFonts w:ascii="Arial" w:hAnsi="Arial" w:cs="Arial"/>
          <w:b/>
          <w:i/>
        </w:rPr>
        <w:t>AIR QUALITY ACT, (NO. 39 OF 2004), NEMA</w:t>
      </w:r>
      <w:r w:rsidR="005104FC">
        <w:rPr>
          <w:rFonts w:ascii="Arial" w:hAnsi="Arial" w:cs="Arial"/>
          <w:b/>
          <w:i/>
        </w:rPr>
        <w:t>QA AT No. 1110 MEYERTON, 1960 (‘THE SITE’</w:t>
      </w:r>
      <w:r w:rsidRPr="005104FC">
        <w:rPr>
          <w:rFonts w:ascii="Arial" w:hAnsi="Arial" w:cs="Arial"/>
          <w:b/>
          <w:i/>
        </w:rPr>
        <w:t>)</w:t>
      </w:r>
      <w:r w:rsidR="005104FC" w:rsidRPr="005104FC">
        <w:rPr>
          <w:rFonts w:ascii="Arial" w:hAnsi="Arial" w:cs="Arial"/>
          <w:b/>
          <w:i/>
        </w:rPr>
        <w:t>.</w:t>
      </w:r>
      <w:r w:rsidRPr="005104FC">
        <w:rPr>
          <w:rFonts w:ascii="Arial" w:hAnsi="Arial" w:cs="Arial"/>
          <w:i/>
        </w:rPr>
        <w:t>”</w:t>
      </w:r>
    </w:p>
    <w:p w:rsidR="005104FC" w:rsidRPr="005104FC" w:rsidRDefault="005104FC" w:rsidP="005104FC">
      <w:pPr>
        <w:spacing w:line="360" w:lineRule="auto"/>
        <w:ind w:left="1440"/>
        <w:rPr>
          <w:rFonts w:ascii="Arial" w:hAnsi="Arial" w:cs="Arial"/>
          <w:b/>
          <w:i/>
        </w:rPr>
      </w:pPr>
    </w:p>
    <w:p w:rsidR="00427C1F" w:rsidRDefault="00427C1F" w:rsidP="00427C1F">
      <w:pPr>
        <w:spacing w:line="240" w:lineRule="auto"/>
        <w:ind w:left="0"/>
        <w:rPr>
          <w:rFonts w:ascii="Arial" w:hAnsi="Arial" w:cs="Arial"/>
        </w:rPr>
      </w:pPr>
    </w:p>
    <w:p w:rsidR="00427C1F" w:rsidRDefault="00A05898" w:rsidP="00427C1F">
      <w:pPr>
        <w:ind w:left="720" w:hanging="720"/>
        <w:rPr>
          <w:rFonts w:ascii="Arial" w:hAnsi="Arial" w:cs="Arial"/>
        </w:rPr>
      </w:pPr>
      <w:r>
        <w:rPr>
          <w:rFonts w:ascii="Arial" w:hAnsi="Arial" w:cs="Arial"/>
        </w:rPr>
        <w:t>[16</w:t>
      </w:r>
      <w:r w:rsidR="00427C1F">
        <w:rPr>
          <w:rFonts w:ascii="Arial" w:hAnsi="Arial" w:cs="Arial"/>
        </w:rPr>
        <w:t>]</w:t>
      </w:r>
      <w:r w:rsidR="00427C1F">
        <w:rPr>
          <w:rFonts w:ascii="Arial" w:hAnsi="Arial" w:cs="Arial"/>
        </w:rPr>
        <w:tab/>
        <w:t>In the aforesaid Compliance Notice, First Respondent deals with the representations received by Applic</w:t>
      </w:r>
      <w:r>
        <w:rPr>
          <w:rFonts w:ascii="Arial" w:hAnsi="Arial" w:cs="Arial"/>
        </w:rPr>
        <w:t>ant referred to in paragraph [13]</w:t>
      </w:r>
      <w:r w:rsidR="00427C1F">
        <w:rPr>
          <w:rFonts w:ascii="Arial" w:hAnsi="Arial" w:cs="Arial"/>
        </w:rPr>
        <w:t xml:space="preserve"> </w:t>
      </w:r>
      <w:r w:rsidR="00427C1F" w:rsidRPr="00C4375A">
        <w:rPr>
          <w:rFonts w:ascii="Arial" w:hAnsi="Arial" w:cs="Arial"/>
          <w:i/>
        </w:rPr>
        <w:t>supra</w:t>
      </w:r>
      <w:r w:rsidR="00427C1F">
        <w:rPr>
          <w:rFonts w:ascii="Arial" w:hAnsi="Arial" w:cs="Arial"/>
        </w:rPr>
        <w:t xml:space="preserve">, by quoting </w:t>
      </w:r>
      <w:r>
        <w:rPr>
          <w:rFonts w:ascii="Arial" w:hAnsi="Arial" w:cs="Arial"/>
        </w:rPr>
        <w:t xml:space="preserve">from </w:t>
      </w:r>
      <w:r w:rsidR="00427C1F">
        <w:rPr>
          <w:rFonts w:ascii="Arial" w:hAnsi="Arial" w:cs="Arial"/>
        </w:rPr>
        <w:t>the listed activity under category 7, sub-category 7.2 the following:</w:t>
      </w:r>
    </w:p>
    <w:p w:rsidR="00427C1F" w:rsidRDefault="00427C1F" w:rsidP="00427C1F">
      <w:pPr>
        <w:spacing w:line="360" w:lineRule="auto"/>
        <w:ind w:left="1440"/>
        <w:rPr>
          <w:rFonts w:ascii="Arial" w:hAnsi="Arial" w:cs="Arial"/>
          <w:i/>
        </w:rPr>
      </w:pPr>
      <w:r w:rsidRPr="0003626F">
        <w:rPr>
          <w:rFonts w:ascii="Arial" w:hAnsi="Arial" w:cs="Arial"/>
          <w:i/>
        </w:rPr>
        <w:lastRenderedPageBreak/>
        <w:t>“</w:t>
      </w:r>
      <w:r w:rsidRPr="006265AA">
        <w:rPr>
          <w:rFonts w:ascii="Arial" w:hAnsi="Arial" w:cs="Arial"/>
          <w:i/>
        </w:rPr>
        <w:t>The description o</w:t>
      </w:r>
      <w:r w:rsidR="0003626F">
        <w:rPr>
          <w:rFonts w:ascii="Arial" w:hAnsi="Arial" w:cs="Arial"/>
          <w:i/>
        </w:rPr>
        <w:t xml:space="preserve">f the activity; the production </w:t>
      </w:r>
      <w:r w:rsidR="0003626F" w:rsidRPr="0003626F">
        <w:rPr>
          <w:rFonts w:ascii="Arial" w:hAnsi="Arial" w:cs="Arial"/>
          <w:b/>
          <w:i/>
        </w:rPr>
        <w:t>‘b</w:t>
      </w:r>
      <w:r w:rsidRPr="009C0D19">
        <w:rPr>
          <w:rFonts w:ascii="Arial" w:hAnsi="Arial" w:cs="Arial"/>
          <w:b/>
          <w:i/>
        </w:rPr>
        <w:t>ulk handling</w:t>
      </w:r>
      <w:r w:rsidR="0003626F">
        <w:rPr>
          <w:rFonts w:ascii="Arial" w:hAnsi="Arial" w:cs="Arial"/>
          <w:b/>
          <w:i/>
        </w:rPr>
        <w:t>’</w:t>
      </w:r>
      <w:r w:rsidR="0003626F">
        <w:rPr>
          <w:rFonts w:ascii="Arial" w:hAnsi="Arial" w:cs="Arial"/>
          <w:i/>
        </w:rPr>
        <w:t xml:space="preserve"> and </w:t>
      </w:r>
      <w:r w:rsidRPr="006265AA">
        <w:rPr>
          <w:rFonts w:ascii="Arial" w:hAnsi="Arial" w:cs="Arial"/>
          <w:i/>
        </w:rPr>
        <w:t xml:space="preserve">or use in manufacturing of hydrofluoric, </w:t>
      </w:r>
      <w:r w:rsidR="0003626F">
        <w:rPr>
          <w:rFonts w:ascii="Arial" w:hAnsi="Arial" w:cs="Arial"/>
          <w:i/>
        </w:rPr>
        <w:t>‘</w:t>
      </w:r>
      <w:r w:rsidRPr="006265AA">
        <w:rPr>
          <w:rFonts w:ascii="Arial" w:hAnsi="Arial" w:cs="Arial"/>
          <w:i/>
        </w:rPr>
        <w:t>hydrochloric</w:t>
      </w:r>
      <w:r w:rsidR="0003626F">
        <w:rPr>
          <w:rFonts w:ascii="Arial" w:hAnsi="Arial" w:cs="Arial"/>
          <w:i/>
        </w:rPr>
        <w:t>’</w:t>
      </w:r>
      <w:r w:rsidRPr="006265AA">
        <w:rPr>
          <w:rFonts w:ascii="Arial" w:hAnsi="Arial" w:cs="Arial"/>
          <w:i/>
        </w:rPr>
        <w:t xml:space="preserve">, nitric and sulphuric (including </w:t>
      </w:r>
      <w:r>
        <w:rPr>
          <w:rFonts w:ascii="Arial" w:hAnsi="Arial" w:cs="Arial"/>
          <w:i/>
        </w:rPr>
        <w:t>oleum</w:t>
      </w:r>
      <w:r w:rsidRPr="006265AA">
        <w:rPr>
          <w:rFonts w:ascii="Arial" w:hAnsi="Arial" w:cs="Arial"/>
          <w:i/>
        </w:rPr>
        <w:t xml:space="preserve">) </w:t>
      </w:r>
      <w:r w:rsidRPr="009C0D19">
        <w:rPr>
          <w:rFonts w:ascii="Arial" w:hAnsi="Arial" w:cs="Arial"/>
          <w:b/>
          <w:i/>
        </w:rPr>
        <w:t>in concentration exceeding 10%</w:t>
      </w:r>
      <w:r w:rsidRPr="006265AA">
        <w:rPr>
          <w:rFonts w:ascii="Arial" w:hAnsi="Arial" w:cs="Arial"/>
          <w:i/>
        </w:rPr>
        <w:t>.  Ingrain SA handles hydrochloric acid that has con</w:t>
      </w:r>
      <w:r>
        <w:rPr>
          <w:rFonts w:ascii="Arial" w:hAnsi="Arial" w:cs="Arial"/>
          <w:i/>
        </w:rPr>
        <w:t>centration ranging between 30 - 33</w:t>
      </w:r>
      <w:r w:rsidRPr="006265AA">
        <w:rPr>
          <w:rFonts w:ascii="Arial" w:hAnsi="Arial" w:cs="Arial"/>
          <w:i/>
        </w:rPr>
        <w:t xml:space="preserve">%. </w:t>
      </w:r>
    </w:p>
    <w:p w:rsidR="00427C1F" w:rsidRDefault="0003626F" w:rsidP="00427C1F">
      <w:pPr>
        <w:spacing w:line="360" w:lineRule="auto"/>
        <w:ind w:left="1440"/>
        <w:rPr>
          <w:rFonts w:ascii="Arial" w:hAnsi="Arial" w:cs="Arial"/>
          <w:i/>
        </w:rPr>
      </w:pPr>
      <w:r>
        <w:rPr>
          <w:rFonts w:ascii="Arial" w:hAnsi="Arial" w:cs="Arial"/>
          <w:i/>
        </w:rPr>
        <w:t>The above applies to ‘</w:t>
      </w:r>
      <w:r w:rsidR="00427C1F" w:rsidRPr="006265AA">
        <w:rPr>
          <w:rFonts w:ascii="Arial" w:hAnsi="Arial" w:cs="Arial"/>
          <w:i/>
        </w:rPr>
        <w:t>all instal</w:t>
      </w:r>
      <w:r>
        <w:rPr>
          <w:rFonts w:ascii="Arial" w:hAnsi="Arial" w:cs="Arial"/>
          <w:i/>
        </w:rPr>
        <w:t xml:space="preserve">lations producing, handling and </w:t>
      </w:r>
      <w:r w:rsidR="00427C1F" w:rsidRPr="006265AA">
        <w:rPr>
          <w:rFonts w:ascii="Arial" w:hAnsi="Arial" w:cs="Arial"/>
          <w:i/>
        </w:rPr>
        <w:t xml:space="preserve">or </w:t>
      </w:r>
      <w:r w:rsidR="00427C1F" w:rsidRPr="009C0D19">
        <w:rPr>
          <w:rFonts w:ascii="Arial" w:hAnsi="Arial" w:cs="Arial"/>
          <w:b/>
          <w:i/>
        </w:rPr>
        <w:t>using more than 100 tons per annum</w:t>
      </w:r>
      <w:r w:rsidR="00427C1F" w:rsidRPr="006265AA">
        <w:rPr>
          <w:rFonts w:ascii="Arial" w:hAnsi="Arial" w:cs="Arial"/>
          <w:i/>
        </w:rPr>
        <w:t xml:space="preserve"> of any of the listed compounds (excluding metallurgical processes related activities regulated under category 4)</w:t>
      </w:r>
      <w:r>
        <w:rPr>
          <w:rFonts w:ascii="Arial" w:hAnsi="Arial" w:cs="Arial"/>
          <w:i/>
        </w:rPr>
        <w:t>’</w:t>
      </w:r>
      <w:r w:rsidR="00427C1F">
        <w:rPr>
          <w:rFonts w:ascii="Arial" w:hAnsi="Arial" w:cs="Arial"/>
        </w:rPr>
        <w:t xml:space="preserve">. </w:t>
      </w:r>
      <w:r w:rsidR="00427C1F" w:rsidRPr="006265AA">
        <w:rPr>
          <w:rFonts w:ascii="Arial" w:hAnsi="Arial" w:cs="Arial"/>
          <w:i/>
        </w:rPr>
        <w:t xml:space="preserve">Ingrain SA </w:t>
      </w:r>
      <w:r w:rsidR="00427C1F" w:rsidRPr="009C0D19">
        <w:rPr>
          <w:rFonts w:ascii="Arial" w:hAnsi="Arial" w:cs="Arial"/>
          <w:b/>
          <w:i/>
        </w:rPr>
        <w:t>handle 300 ton</w:t>
      </w:r>
      <w:r>
        <w:rPr>
          <w:rFonts w:ascii="Arial" w:hAnsi="Arial" w:cs="Arial"/>
          <w:b/>
          <w:i/>
        </w:rPr>
        <w:t>ne</w:t>
      </w:r>
      <w:r w:rsidR="00427C1F" w:rsidRPr="009C0D19">
        <w:rPr>
          <w:rFonts w:ascii="Arial" w:hAnsi="Arial" w:cs="Arial"/>
          <w:b/>
          <w:i/>
        </w:rPr>
        <w:t>s</w:t>
      </w:r>
      <w:r w:rsidR="00427C1F">
        <w:rPr>
          <w:rFonts w:ascii="Arial" w:hAnsi="Arial" w:cs="Arial"/>
          <w:i/>
        </w:rPr>
        <w:t xml:space="preserve"> of H</w:t>
      </w:r>
      <w:r w:rsidR="00427C1F" w:rsidRPr="006265AA">
        <w:rPr>
          <w:rFonts w:ascii="Arial" w:hAnsi="Arial" w:cs="Arial"/>
          <w:i/>
        </w:rPr>
        <w:t>ydrochloric acid per annum</w:t>
      </w:r>
      <w:r w:rsidR="00427C1F">
        <w:rPr>
          <w:rFonts w:ascii="Arial" w:hAnsi="Arial" w:cs="Arial"/>
          <w:i/>
        </w:rPr>
        <w:t>.</w:t>
      </w:r>
      <w:r w:rsidR="00427C1F" w:rsidRPr="006265AA">
        <w:rPr>
          <w:rFonts w:ascii="Arial" w:hAnsi="Arial" w:cs="Arial"/>
          <w:i/>
        </w:rPr>
        <w:t xml:space="preserve"> Henceforth, it fit in </w:t>
      </w:r>
      <w:r>
        <w:rPr>
          <w:rFonts w:ascii="Arial" w:hAnsi="Arial" w:cs="Arial"/>
          <w:i/>
        </w:rPr>
        <w:t>the ambit of this sub-category.”</w:t>
      </w:r>
    </w:p>
    <w:p w:rsidR="0003626F" w:rsidRDefault="0003626F" w:rsidP="00427C1F">
      <w:pPr>
        <w:spacing w:line="360" w:lineRule="auto"/>
        <w:ind w:left="1440"/>
        <w:rPr>
          <w:rFonts w:ascii="Arial" w:hAnsi="Arial" w:cs="Arial"/>
          <w:i/>
        </w:rPr>
      </w:pPr>
    </w:p>
    <w:p w:rsidR="00427C1F" w:rsidRPr="006265AA" w:rsidRDefault="00427C1F" w:rsidP="00427C1F">
      <w:pPr>
        <w:spacing w:line="240" w:lineRule="auto"/>
        <w:rPr>
          <w:rFonts w:ascii="Arial" w:hAnsi="Arial" w:cs="Arial"/>
          <w:i/>
        </w:rPr>
      </w:pPr>
      <w:r w:rsidRPr="006265AA">
        <w:rPr>
          <w:rFonts w:ascii="Arial" w:hAnsi="Arial" w:cs="Arial"/>
          <w:i/>
        </w:rPr>
        <w:t xml:space="preserve">  </w:t>
      </w:r>
    </w:p>
    <w:p w:rsidR="000C6E21" w:rsidRDefault="00A05898" w:rsidP="00427C1F">
      <w:pPr>
        <w:ind w:left="720" w:hanging="720"/>
        <w:rPr>
          <w:rFonts w:ascii="Arial" w:hAnsi="Arial" w:cs="Arial"/>
        </w:rPr>
      </w:pPr>
      <w:r>
        <w:rPr>
          <w:rFonts w:ascii="Arial" w:hAnsi="Arial" w:cs="Arial"/>
        </w:rPr>
        <w:t>[17]</w:t>
      </w:r>
      <w:r w:rsidR="00427C1F">
        <w:rPr>
          <w:rFonts w:ascii="Arial" w:hAnsi="Arial" w:cs="Arial"/>
        </w:rPr>
        <w:tab/>
        <w:t>In terms of the aforesaid Compliance Notice Applicant was required to cease all activities on site that are listed in terms of Section 21 of NEMAQA within 24 hours until such time that the applicable AEL has been obtained from the competent authority.  Applicant was further advised that a failure to comply with the aforesaid notice may attract a fine not exceeding R10 million or imprisonment for a period not exceeding 10 years or both such fine and such imprisonment.</w:t>
      </w:r>
    </w:p>
    <w:p w:rsidR="00427C1F" w:rsidRDefault="00427C1F" w:rsidP="00427C1F">
      <w:pPr>
        <w:ind w:left="720" w:hanging="720"/>
        <w:rPr>
          <w:rFonts w:ascii="Arial" w:hAnsi="Arial" w:cs="Arial"/>
        </w:rPr>
      </w:pPr>
      <w:r>
        <w:rPr>
          <w:rFonts w:ascii="Arial" w:hAnsi="Arial" w:cs="Arial"/>
        </w:rPr>
        <w:t xml:space="preserve">  </w:t>
      </w:r>
    </w:p>
    <w:p w:rsidR="00427C1F" w:rsidRDefault="00A05898" w:rsidP="00427C1F">
      <w:pPr>
        <w:ind w:left="720" w:hanging="720"/>
        <w:rPr>
          <w:rFonts w:ascii="Arial" w:hAnsi="Arial" w:cs="Arial"/>
        </w:rPr>
      </w:pPr>
      <w:r>
        <w:rPr>
          <w:rFonts w:ascii="Arial" w:hAnsi="Arial" w:cs="Arial"/>
        </w:rPr>
        <w:t>[18</w:t>
      </w:r>
      <w:r w:rsidR="00427C1F">
        <w:rPr>
          <w:rFonts w:ascii="Arial" w:hAnsi="Arial" w:cs="Arial"/>
        </w:rPr>
        <w:t>]</w:t>
      </w:r>
      <w:r w:rsidR="00427C1F">
        <w:rPr>
          <w:rFonts w:ascii="Arial" w:hAnsi="Arial" w:cs="Arial"/>
        </w:rPr>
        <w:tab/>
        <w:t xml:space="preserve">On 18 may 2021 Applicant addressed </w:t>
      </w:r>
      <w:r>
        <w:rPr>
          <w:rFonts w:ascii="Arial" w:hAnsi="Arial" w:cs="Arial"/>
        </w:rPr>
        <w:t xml:space="preserve">a written notice </w:t>
      </w:r>
      <w:r w:rsidR="00427C1F">
        <w:rPr>
          <w:rFonts w:ascii="Arial" w:hAnsi="Arial" w:cs="Arial"/>
        </w:rPr>
        <w:t>an intention to file an objection to the Compliance Notice and requested that the Compliance N</w:t>
      </w:r>
      <w:r>
        <w:rPr>
          <w:rFonts w:ascii="Arial" w:hAnsi="Arial" w:cs="Arial"/>
        </w:rPr>
        <w:t xml:space="preserve">otice be </w:t>
      </w:r>
      <w:r w:rsidR="00427C1F">
        <w:rPr>
          <w:rFonts w:ascii="Arial" w:hAnsi="Arial" w:cs="Arial"/>
        </w:rPr>
        <w:t>suspended pending resolution of the objection.  It was again</w:t>
      </w:r>
      <w:r>
        <w:rPr>
          <w:rFonts w:ascii="Arial" w:hAnsi="Arial" w:cs="Arial"/>
        </w:rPr>
        <w:t xml:space="preserve"> recorded that the Applicant’s m</w:t>
      </w:r>
      <w:r w:rsidR="00427C1F">
        <w:rPr>
          <w:rFonts w:ascii="Arial" w:hAnsi="Arial" w:cs="Arial"/>
        </w:rPr>
        <w:t>ill manufactures food products, is not part of the inorganic chemicals industry, does not manufacture any acid at all, and that the hydrochloric aci</w:t>
      </w:r>
      <w:r>
        <w:rPr>
          <w:rFonts w:ascii="Arial" w:hAnsi="Arial" w:cs="Arial"/>
        </w:rPr>
        <w:t>d utilised by Applicant at its m</w:t>
      </w:r>
      <w:r w:rsidR="00427C1F">
        <w:rPr>
          <w:rFonts w:ascii="Arial" w:hAnsi="Arial" w:cs="Arial"/>
        </w:rPr>
        <w:t xml:space="preserve">ill is used as an ingredient in the manufacture of food products.  Further facts were recorded intending to confirm minimal environmental impact on the use of hydrochloric acid by the Applicant.  </w:t>
      </w:r>
    </w:p>
    <w:p w:rsidR="000C6E21" w:rsidRDefault="000C6E21"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t>[19]</w:t>
      </w:r>
      <w:r>
        <w:rPr>
          <w:rFonts w:ascii="Arial" w:hAnsi="Arial" w:cs="Arial"/>
        </w:rPr>
        <w:tab/>
        <w:t>T</w:t>
      </w:r>
      <w:r w:rsidR="00427C1F">
        <w:rPr>
          <w:rFonts w:ascii="Arial" w:hAnsi="Arial" w:cs="Arial"/>
        </w:rPr>
        <w:t xml:space="preserve">hereafter on 21 May 2021 </w:t>
      </w:r>
      <w:r>
        <w:rPr>
          <w:rFonts w:ascii="Arial" w:hAnsi="Arial" w:cs="Arial"/>
        </w:rPr>
        <w:t xml:space="preserve">Applicant </w:t>
      </w:r>
      <w:r w:rsidR="00427C1F">
        <w:rPr>
          <w:rFonts w:ascii="Arial" w:hAnsi="Arial" w:cs="Arial"/>
        </w:rPr>
        <w:t>filed a formal objection to the Compliance Notice in terms of Section 31M of NEMA (“</w:t>
      </w:r>
      <w:r w:rsidR="00427C1F" w:rsidRPr="00386931">
        <w:rPr>
          <w:rFonts w:ascii="Arial" w:hAnsi="Arial" w:cs="Arial"/>
          <w:i/>
        </w:rPr>
        <w:t>the objection</w:t>
      </w:r>
      <w:r w:rsidR="00427C1F">
        <w:rPr>
          <w:rFonts w:ascii="Arial" w:hAnsi="Arial" w:cs="Arial"/>
        </w:rPr>
        <w:t xml:space="preserve">”).  The objection was accompanied by </w:t>
      </w:r>
      <w:r>
        <w:rPr>
          <w:rFonts w:ascii="Arial" w:hAnsi="Arial" w:cs="Arial"/>
        </w:rPr>
        <w:t xml:space="preserve">a </w:t>
      </w:r>
      <w:r w:rsidR="00427C1F">
        <w:rPr>
          <w:rFonts w:ascii="Arial" w:hAnsi="Arial" w:cs="Arial"/>
        </w:rPr>
        <w:t xml:space="preserve">legal opinion which outlined why the activities conducted at the Applicant’s Mill did not constitute listed activities requiring the Applicant to obtain an EIL, and this legal opinion </w:t>
      </w:r>
      <w:r w:rsidR="00427C1F" w:rsidRPr="00386931">
        <w:rPr>
          <w:rFonts w:ascii="Arial" w:hAnsi="Arial" w:cs="Arial"/>
          <w:i/>
        </w:rPr>
        <w:t>inter alia</w:t>
      </w:r>
      <w:r w:rsidR="00427C1F">
        <w:rPr>
          <w:rFonts w:ascii="Arial" w:hAnsi="Arial" w:cs="Arial"/>
        </w:rPr>
        <w:t xml:space="preserve"> dealt with the ambiguity of the first sentence in sub-category 7.2 of Government Notice 893 which reads:</w:t>
      </w:r>
    </w:p>
    <w:p w:rsidR="00427C1F" w:rsidRDefault="00427C1F" w:rsidP="00427C1F">
      <w:pPr>
        <w:spacing w:line="360" w:lineRule="auto"/>
        <w:ind w:left="1440"/>
        <w:rPr>
          <w:rFonts w:ascii="Arial" w:hAnsi="Arial" w:cs="Arial"/>
        </w:rPr>
      </w:pPr>
      <w:r>
        <w:rPr>
          <w:rFonts w:ascii="Arial" w:hAnsi="Arial" w:cs="Arial"/>
        </w:rPr>
        <w:t>“</w:t>
      </w:r>
      <w:r w:rsidRPr="000A494E">
        <w:rPr>
          <w:rFonts w:ascii="Arial" w:hAnsi="Arial" w:cs="Arial"/>
          <w:i/>
        </w:rPr>
        <w:t>Th</w:t>
      </w:r>
      <w:r w:rsidR="000C6E21">
        <w:rPr>
          <w:rFonts w:ascii="Arial" w:hAnsi="Arial" w:cs="Arial"/>
          <w:i/>
        </w:rPr>
        <w:t xml:space="preserve">e production, bulk handling and </w:t>
      </w:r>
      <w:r w:rsidRPr="000A494E">
        <w:rPr>
          <w:rFonts w:ascii="Arial" w:hAnsi="Arial" w:cs="Arial"/>
          <w:i/>
        </w:rPr>
        <w:t xml:space="preserve">or use in manufacturing of hydrofluoric, </w:t>
      </w:r>
      <w:r w:rsidR="000C6E21">
        <w:rPr>
          <w:rFonts w:ascii="Arial" w:hAnsi="Arial" w:cs="Arial"/>
          <w:i/>
        </w:rPr>
        <w:t>‘</w:t>
      </w:r>
      <w:r w:rsidRPr="000A494E">
        <w:rPr>
          <w:rFonts w:ascii="Arial" w:hAnsi="Arial" w:cs="Arial"/>
          <w:i/>
        </w:rPr>
        <w:t>hydrochloric</w:t>
      </w:r>
      <w:r w:rsidR="000C6E21">
        <w:rPr>
          <w:rFonts w:ascii="Arial" w:hAnsi="Arial" w:cs="Arial"/>
          <w:i/>
        </w:rPr>
        <w:t>’</w:t>
      </w:r>
      <w:r w:rsidRPr="000A494E">
        <w:rPr>
          <w:rFonts w:ascii="Arial" w:hAnsi="Arial" w:cs="Arial"/>
          <w:i/>
        </w:rPr>
        <w:t>, nitric and sulphuric acid (including oleum) in concentration exceeding 10%.</w:t>
      </w:r>
      <w:r>
        <w:rPr>
          <w:rFonts w:ascii="Arial" w:hAnsi="Arial" w:cs="Arial"/>
        </w:rPr>
        <w:t>"</w:t>
      </w:r>
    </w:p>
    <w:p w:rsidR="00427C1F" w:rsidRDefault="00427C1F" w:rsidP="00427C1F">
      <w:pPr>
        <w:spacing w:line="240" w:lineRule="auto"/>
        <w:ind w:left="1440"/>
        <w:rPr>
          <w:rFonts w:ascii="Arial" w:hAnsi="Arial" w:cs="Arial"/>
        </w:rPr>
      </w:pPr>
    </w:p>
    <w:p w:rsidR="00A05898" w:rsidRDefault="00A05898" w:rsidP="00A05898">
      <w:pPr>
        <w:rPr>
          <w:rFonts w:ascii="Arial" w:hAnsi="Arial" w:cs="Arial"/>
        </w:rPr>
      </w:pPr>
    </w:p>
    <w:p w:rsidR="00427C1F" w:rsidRPr="00A05898" w:rsidRDefault="00A05898" w:rsidP="00A05898">
      <w:pPr>
        <w:ind w:left="720" w:hanging="720"/>
        <w:rPr>
          <w:rFonts w:ascii="Arial" w:hAnsi="Arial" w:cs="Arial"/>
        </w:rPr>
      </w:pPr>
      <w:r>
        <w:rPr>
          <w:rFonts w:ascii="Arial" w:hAnsi="Arial" w:cs="Arial"/>
        </w:rPr>
        <w:t>[20]</w:t>
      </w:r>
      <w:r>
        <w:rPr>
          <w:rFonts w:ascii="Arial" w:hAnsi="Arial" w:cs="Arial"/>
        </w:rPr>
        <w:tab/>
      </w:r>
      <w:r w:rsidR="00427C1F">
        <w:rPr>
          <w:rFonts w:ascii="Arial" w:hAnsi="Arial" w:cs="Arial"/>
        </w:rPr>
        <w:t xml:space="preserve">The legal </w:t>
      </w:r>
      <w:r w:rsidR="00C56EE4">
        <w:rPr>
          <w:rFonts w:ascii="Arial" w:hAnsi="Arial" w:cs="Arial"/>
        </w:rPr>
        <w:t xml:space="preserve">opinion </w:t>
      </w:r>
      <w:r>
        <w:rPr>
          <w:rFonts w:ascii="Arial" w:hAnsi="Arial" w:cs="Arial"/>
          <w:i/>
        </w:rPr>
        <w:t xml:space="preserve">inter alia </w:t>
      </w:r>
      <w:r w:rsidR="00427C1F">
        <w:rPr>
          <w:rFonts w:ascii="Arial" w:hAnsi="Arial" w:cs="Arial"/>
        </w:rPr>
        <w:t xml:space="preserve">stated that, if the rules of statutory interpretation are applied and the context in which it appears is taken into account, particularly the heading of category 7 of the listed notice </w:t>
      </w:r>
      <w:r w:rsidR="00427C1F" w:rsidRPr="000C6E21">
        <w:rPr>
          <w:rFonts w:ascii="Arial" w:hAnsi="Arial" w:cs="Arial"/>
          <w:i/>
        </w:rPr>
        <w:t>“</w:t>
      </w:r>
      <w:r w:rsidR="00427C1F" w:rsidRPr="000A494E">
        <w:rPr>
          <w:rFonts w:ascii="Arial" w:hAnsi="Arial" w:cs="Arial"/>
          <w:i/>
        </w:rPr>
        <w:t>Inorganic Chemicals Industry</w:t>
      </w:r>
      <w:r w:rsidR="00427C1F">
        <w:rPr>
          <w:rFonts w:ascii="Arial" w:hAnsi="Arial" w:cs="Arial"/>
        </w:rPr>
        <w:t xml:space="preserve">” and the sub-heading of sub-category 7.2 </w:t>
      </w:r>
      <w:r w:rsidR="00427C1F" w:rsidRPr="000C6E21">
        <w:rPr>
          <w:rFonts w:ascii="Arial" w:hAnsi="Arial" w:cs="Arial"/>
          <w:i/>
        </w:rPr>
        <w:t>“</w:t>
      </w:r>
      <w:r w:rsidR="00427C1F" w:rsidRPr="000A494E">
        <w:rPr>
          <w:rFonts w:ascii="Arial" w:hAnsi="Arial" w:cs="Arial"/>
          <w:i/>
        </w:rPr>
        <w:t xml:space="preserve">Production of </w:t>
      </w:r>
      <w:r w:rsidR="00427C1F">
        <w:rPr>
          <w:rFonts w:ascii="Arial" w:hAnsi="Arial" w:cs="Arial"/>
          <w:i/>
        </w:rPr>
        <w:t>acids</w:t>
      </w:r>
      <w:r w:rsidR="00427C1F">
        <w:rPr>
          <w:rFonts w:ascii="Arial" w:hAnsi="Arial" w:cs="Arial"/>
        </w:rPr>
        <w:t xml:space="preserve">”, it is clear that the listed activity is intended to regulate the production or manufacturing of the acids referred to in </w:t>
      </w:r>
      <w:r>
        <w:rPr>
          <w:rFonts w:ascii="Arial" w:hAnsi="Arial" w:cs="Arial"/>
        </w:rPr>
        <w:t>the listing notice</w:t>
      </w:r>
      <w:r w:rsidR="00427C1F">
        <w:rPr>
          <w:rFonts w:ascii="Arial" w:hAnsi="Arial" w:cs="Arial"/>
        </w:rPr>
        <w:t>. Thus, according to the legal opinion, the use of hydrochloric acid in the manufacture of food products does not trigger the listed activity in sub-category 7.2 and there was therefore no basis for the Compliance Not</w:t>
      </w:r>
      <w:r>
        <w:rPr>
          <w:rFonts w:ascii="Arial" w:hAnsi="Arial" w:cs="Arial"/>
        </w:rPr>
        <w:t>ice issued by Firs</w:t>
      </w:r>
      <w:r w:rsidR="00E079CE">
        <w:rPr>
          <w:rFonts w:ascii="Arial" w:hAnsi="Arial" w:cs="Arial"/>
        </w:rPr>
        <w:t>t Respondent as the manufacturing</w:t>
      </w:r>
      <w:r>
        <w:rPr>
          <w:rFonts w:ascii="Arial" w:hAnsi="Arial" w:cs="Arial"/>
        </w:rPr>
        <w:t xml:space="preserve"> of food products do</w:t>
      </w:r>
      <w:r w:rsidR="00E079CE">
        <w:rPr>
          <w:rFonts w:ascii="Arial" w:hAnsi="Arial" w:cs="Arial"/>
        </w:rPr>
        <w:t>es</w:t>
      </w:r>
      <w:r>
        <w:rPr>
          <w:rFonts w:ascii="Arial" w:hAnsi="Arial" w:cs="Arial"/>
        </w:rPr>
        <w:t xml:space="preserve"> not amount to </w:t>
      </w:r>
      <w:r>
        <w:rPr>
          <w:rFonts w:ascii="Arial" w:hAnsi="Arial" w:cs="Arial"/>
          <w:i/>
        </w:rPr>
        <w:t xml:space="preserve">“production” </w:t>
      </w:r>
      <w:r>
        <w:rPr>
          <w:rFonts w:ascii="Arial" w:hAnsi="Arial" w:cs="Arial"/>
        </w:rPr>
        <w:t>of the chemicals as envisaged in Category 7 and sub-category 7.2 of the listed notice of activities.</w:t>
      </w:r>
    </w:p>
    <w:p w:rsidR="000C6E21" w:rsidRDefault="000C6E21" w:rsidP="00427C1F">
      <w:pPr>
        <w:ind w:left="720"/>
        <w:rPr>
          <w:rFonts w:ascii="Arial" w:hAnsi="Arial" w:cs="Arial"/>
        </w:rPr>
      </w:pPr>
    </w:p>
    <w:p w:rsidR="00427C1F" w:rsidRDefault="00A05898" w:rsidP="00427C1F">
      <w:pPr>
        <w:ind w:left="720" w:hanging="720"/>
        <w:rPr>
          <w:rFonts w:ascii="Arial" w:hAnsi="Arial" w:cs="Arial"/>
        </w:rPr>
      </w:pPr>
      <w:r>
        <w:rPr>
          <w:rFonts w:ascii="Arial" w:hAnsi="Arial" w:cs="Arial"/>
        </w:rPr>
        <w:t>[21</w:t>
      </w:r>
      <w:r w:rsidR="00427C1F">
        <w:rPr>
          <w:rFonts w:ascii="Arial" w:hAnsi="Arial" w:cs="Arial"/>
        </w:rPr>
        <w:t>]</w:t>
      </w:r>
      <w:r w:rsidR="00427C1F">
        <w:rPr>
          <w:rFonts w:ascii="Arial" w:hAnsi="Arial" w:cs="Arial"/>
        </w:rPr>
        <w:tab/>
        <w:t xml:space="preserve">On 9 November 2021 Third Respondent dismissed the objection on the grounds that the hydrochloric acid which is handled at the Applicant’s Mill </w:t>
      </w:r>
      <w:r w:rsidR="00427C1F" w:rsidRPr="007E612A">
        <w:rPr>
          <w:rFonts w:ascii="Arial" w:hAnsi="Arial" w:cs="Arial"/>
          <w:i/>
        </w:rPr>
        <w:t>“</w:t>
      </w:r>
      <w:r w:rsidR="00427C1F" w:rsidRPr="000A494E">
        <w:rPr>
          <w:rFonts w:ascii="Arial" w:hAnsi="Arial" w:cs="Arial"/>
          <w:i/>
        </w:rPr>
        <w:t xml:space="preserve">is in exceedance of the </w:t>
      </w:r>
      <w:r w:rsidR="00427C1F" w:rsidRPr="000A494E">
        <w:rPr>
          <w:rFonts w:ascii="Arial" w:hAnsi="Arial" w:cs="Arial"/>
          <w:i/>
        </w:rPr>
        <w:lastRenderedPageBreak/>
        <w:t>10% threshold</w:t>
      </w:r>
      <w:r w:rsidR="00427C1F">
        <w:rPr>
          <w:rFonts w:ascii="Arial" w:hAnsi="Arial" w:cs="Arial"/>
        </w:rPr>
        <w:t xml:space="preserve">” set in activity 7.2 </w:t>
      </w:r>
      <w:r>
        <w:rPr>
          <w:rFonts w:ascii="Arial" w:hAnsi="Arial" w:cs="Arial"/>
        </w:rPr>
        <w:t xml:space="preserve">of the listed notice </w:t>
      </w:r>
      <w:r w:rsidR="00427C1F">
        <w:rPr>
          <w:rFonts w:ascii="Arial" w:hAnsi="Arial" w:cs="Arial"/>
        </w:rPr>
        <w:t>as a result of which Third Respondent concluded that Applicant is not exempt from the requirement to obtain an AEL.  In conclusion the aforesaid letter read</w:t>
      </w:r>
      <w:r w:rsidR="00E079CE">
        <w:rPr>
          <w:rFonts w:ascii="Arial" w:hAnsi="Arial" w:cs="Arial"/>
        </w:rPr>
        <w:t>s</w:t>
      </w:r>
      <w:r w:rsidR="00427C1F">
        <w:rPr>
          <w:rFonts w:ascii="Arial" w:hAnsi="Arial" w:cs="Arial"/>
        </w:rPr>
        <w:t>:</w:t>
      </w:r>
    </w:p>
    <w:p w:rsidR="00427C1F" w:rsidRDefault="00427C1F" w:rsidP="00427C1F">
      <w:pPr>
        <w:spacing w:line="360" w:lineRule="auto"/>
        <w:ind w:left="1440"/>
        <w:rPr>
          <w:rFonts w:ascii="Arial" w:hAnsi="Arial" w:cs="Arial"/>
        </w:rPr>
      </w:pPr>
      <w:r w:rsidRPr="000A494E">
        <w:rPr>
          <w:rFonts w:ascii="Arial" w:hAnsi="Arial" w:cs="Arial"/>
          <w:i/>
        </w:rPr>
        <w:t>“…</w:t>
      </w:r>
      <w:r w:rsidR="00EB5450">
        <w:rPr>
          <w:rFonts w:ascii="Arial" w:hAnsi="Arial" w:cs="Arial"/>
          <w:i/>
        </w:rPr>
        <w:t xml:space="preserve"> </w:t>
      </w:r>
      <w:r w:rsidRPr="000A494E">
        <w:rPr>
          <w:rFonts w:ascii="Arial" w:hAnsi="Arial" w:cs="Arial"/>
          <w:i/>
        </w:rPr>
        <w:t xml:space="preserve"> accordingly decided to dismiss</w:t>
      </w:r>
      <w:r w:rsidR="00A32451">
        <w:rPr>
          <w:rFonts w:ascii="Arial" w:hAnsi="Arial" w:cs="Arial"/>
          <w:i/>
        </w:rPr>
        <w:t xml:space="preserve"> your objection and uphold the D</w:t>
      </w:r>
      <w:r w:rsidRPr="000A494E">
        <w:rPr>
          <w:rFonts w:ascii="Arial" w:hAnsi="Arial" w:cs="Arial"/>
          <w:i/>
        </w:rPr>
        <w:t xml:space="preserve">epartment’s </w:t>
      </w:r>
      <w:r w:rsidR="00A32451">
        <w:rPr>
          <w:rFonts w:ascii="Arial" w:hAnsi="Arial" w:cs="Arial"/>
          <w:i/>
        </w:rPr>
        <w:t>decision to issue the Objector with a Compliance N</w:t>
      </w:r>
      <w:r w:rsidRPr="000A494E">
        <w:rPr>
          <w:rFonts w:ascii="Arial" w:hAnsi="Arial" w:cs="Arial"/>
          <w:i/>
        </w:rPr>
        <w:t>otice.  In view of th</w:t>
      </w:r>
      <w:r w:rsidR="00C57686">
        <w:rPr>
          <w:rFonts w:ascii="Arial" w:hAnsi="Arial" w:cs="Arial"/>
          <w:i/>
        </w:rPr>
        <w:t>is, please be advised that the Compliance N</w:t>
      </w:r>
      <w:r w:rsidRPr="000A494E">
        <w:rPr>
          <w:rFonts w:ascii="Arial" w:hAnsi="Arial" w:cs="Arial"/>
          <w:i/>
        </w:rPr>
        <w:t>otice issued remains va</w:t>
      </w:r>
      <w:r w:rsidR="00C57686">
        <w:rPr>
          <w:rFonts w:ascii="Arial" w:hAnsi="Arial" w:cs="Arial"/>
          <w:i/>
        </w:rPr>
        <w:t>lid and the directive that the O</w:t>
      </w:r>
      <w:r w:rsidRPr="000A494E">
        <w:rPr>
          <w:rFonts w:ascii="Arial" w:hAnsi="Arial" w:cs="Arial"/>
          <w:i/>
        </w:rPr>
        <w:t>bjector ceases its opera</w:t>
      </w:r>
      <w:r w:rsidR="00C57686">
        <w:rPr>
          <w:rFonts w:ascii="Arial" w:hAnsi="Arial" w:cs="Arial"/>
          <w:i/>
        </w:rPr>
        <w:t>tions until such time that an Atmospheric Emission Licens</w:t>
      </w:r>
      <w:r w:rsidRPr="000A494E">
        <w:rPr>
          <w:rFonts w:ascii="Arial" w:hAnsi="Arial" w:cs="Arial"/>
          <w:i/>
        </w:rPr>
        <w:t xml:space="preserve">e </w:t>
      </w:r>
      <w:r w:rsidR="00C57686">
        <w:rPr>
          <w:rFonts w:ascii="Arial" w:hAnsi="Arial" w:cs="Arial"/>
          <w:i/>
        </w:rPr>
        <w:t xml:space="preserve">(sic) </w:t>
      </w:r>
      <w:r w:rsidRPr="000A494E">
        <w:rPr>
          <w:rFonts w:ascii="Arial" w:hAnsi="Arial" w:cs="Arial"/>
          <w:i/>
        </w:rPr>
        <w:t>is obtained from the competent authority should be adhere to.</w:t>
      </w:r>
      <w:r w:rsidRPr="00C57686">
        <w:rPr>
          <w:rFonts w:ascii="Arial" w:hAnsi="Arial" w:cs="Arial"/>
          <w:i/>
        </w:rPr>
        <w:t>”</w:t>
      </w:r>
      <w:r>
        <w:rPr>
          <w:rFonts w:ascii="Arial" w:hAnsi="Arial" w:cs="Arial"/>
        </w:rPr>
        <w:t xml:space="preserve"> </w:t>
      </w:r>
    </w:p>
    <w:p w:rsidR="00EB5450" w:rsidRDefault="00EB5450" w:rsidP="00427C1F">
      <w:pPr>
        <w:spacing w:line="360" w:lineRule="auto"/>
        <w:ind w:left="1440"/>
        <w:rPr>
          <w:rFonts w:ascii="Arial" w:hAnsi="Arial" w:cs="Arial"/>
        </w:rPr>
      </w:pPr>
    </w:p>
    <w:p w:rsidR="00427C1F" w:rsidRDefault="00427C1F" w:rsidP="00427C1F">
      <w:pPr>
        <w:spacing w:line="240" w:lineRule="auto"/>
        <w:ind w:left="2160" w:hanging="717"/>
        <w:rPr>
          <w:rFonts w:ascii="Arial" w:hAnsi="Arial" w:cs="Arial"/>
        </w:rPr>
      </w:pPr>
    </w:p>
    <w:p w:rsidR="00427C1F" w:rsidRDefault="00427C1F" w:rsidP="00427C1F">
      <w:pPr>
        <w:ind w:left="0"/>
        <w:rPr>
          <w:rFonts w:ascii="Arial" w:hAnsi="Arial" w:cs="Arial"/>
        </w:rPr>
      </w:pPr>
      <w:r>
        <w:rPr>
          <w:rFonts w:ascii="Arial" w:hAnsi="Arial" w:cs="Arial"/>
        </w:rPr>
        <w:t xml:space="preserve">THE CONSTITUTIONAL AND LEGISLATIVE FRAMEWORK: </w:t>
      </w:r>
    </w:p>
    <w:p w:rsidR="00427C1F" w:rsidRDefault="00A05898" w:rsidP="00427C1F">
      <w:pPr>
        <w:ind w:left="720" w:hanging="720"/>
        <w:rPr>
          <w:rFonts w:ascii="Arial" w:hAnsi="Arial" w:cs="Arial"/>
        </w:rPr>
      </w:pPr>
      <w:r>
        <w:rPr>
          <w:rFonts w:ascii="Arial" w:hAnsi="Arial" w:cs="Arial"/>
        </w:rPr>
        <w:t>[22</w:t>
      </w:r>
      <w:r w:rsidR="00427C1F">
        <w:rPr>
          <w:rFonts w:ascii="Arial" w:hAnsi="Arial" w:cs="Arial"/>
        </w:rPr>
        <w:t>]</w:t>
      </w:r>
      <w:r w:rsidR="00427C1F">
        <w:rPr>
          <w:rFonts w:ascii="Arial" w:hAnsi="Arial" w:cs="Arial"/>
        </w:rPr>
        <w:tab/>
        <w:t xml:space="preserve">The issue of the impugned notice was effected within a </w:t>
      </w:r>
      <w:r>
        <w:rPr>
          <w:rFonts w:ascii="Arial" w:hAnsi="Arial" w:cs="Arial"/>
        </w:rPr>
        <w:t xml:space="preserve">comprehensive </w:t>
      </w:r>
      <w:r w:rsidR="00427C1F">
        <w:rPr>
          <w:rFonts w:ascii="Arial" w:hAnsi="Arial" w:cs="Arial"/>
        </w:rPr>
        <w:t>legislative framework which regulates the empowering provisions in terms whereof First Respondent was empowered to issue a Compliance Notice.  The relevant legislative framework is summarised hereunder.</w:t>
      </w:r>
    </w:p>
    <w:p w:rsidR="00A05898" w:rsidRDefault="00A05898"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t>[23</w:t>
      </w:r>
      <w:r w:rsidR="00427C1F">
        <w:rPr>
          <w:rFonts w:ascii="Arial" w:hAnsi="Arial" w:cs="Arial"/>
        </w:rPr>
        <w:t>]</w:t>
      </w:r>
      <w:r w:rsidR="00427C1F">
        <w:rPr>
          <w:rFonts w:ascii="Arial" w:hAnsi="Arial" w:cs="Arial"/>
        </w:rPr>
        <w:tab/>
        <w:t>The National Environmental Management Act 107 of 1998 (NEMA) gives effect to Section 24 of the Constitution</w:t>
      </w:r>
      <w:r w:rsidR="00427C1F">
        <w:rPr>
          <w:rStyle w:val="FootnoteReference"/>
          <w:rFonts w:ascii="Arial" w:hAnsi="Arial" w:cs="Arial"/>
        </w:rPr>
        <w:footnoteReference w:id="3"/>
      </w:r>
      <w:r w:rsidR="00427C1F">
        <w:rPr>
          <w:rFonts w:ascii="Arial" w:hAnsi="Arial" w:cs="Arial"/>
        </w:rPr>
        <w:t xml:space="preserve"> which confers </w:t>
      </w:r>
      <w:r w:rsidR="00427C1F" w:rsidRPr="000A494E">
        <w:rPr>
          <w:rFonts w:ascii="Arial" w:hAnsi="Arial" w:cs="Arial"/>
          <w:i/>
        </w:rPr>
        <w:t>inter alia</w:t>
      </w:r>
      <w:r w:rsidR="00427C1F">
        <w:rPr>
          <w:rFonts w:ascii="Arial" w:hAnsi="Arial" w:cs="Arial"/>
        </w:rPr>
        <w:t xml:space="preserve"> a right to an environment which is not harmful to health and measures to prevent pollution.  NEMA contains provisions to enforce compliance with certain laws aimed to achieve the provisions of Section 24 of the Constitution.</w:t>
      </w:r>
      <w:r w:rsidR="00427C1F">
        <w:rPr>
          <w:rStyle w:val="FootnoteReference"/>
          <w:rFonts w:ascii="Arial" w:hAnsi="Arial" w:cs="Arial"/>
        </w:rPr>
        <w:footnoteReference w:id="4"/>
      </w:r>
    </w:p>
    <w:p w:rsidR="00B75D2A" w:rsidRDefault="00B75D2A"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lastRenderedPageBreak/>
        <w:t>[24</w:t>
      </w:r>
      <w:r w:rsidR="00427C1F">
        <w:rPr>
          <w:rFonts w:ascii="Arial" w:hAnsi="Arial" w:cs="Arial"/>
        </w:rPr>
        <w:t>]</w:t>
      </w:r>
      <w:r w:rsidR="00427C1F">
        <w:rPr>
          <w:rFonts w:ascii="Arial" w:hAnsi="Arial" w:cs="Arial"/>
        </w:rPr>
        <w:tab/>
        <w:t>The National Environmental Management: Air Quality Act 39 of 2004 (“</w:t>
      </w:r>
      <w:r w:rsidR="00427C1F" w:rsidRPr="000A494E">
        <w:rPr>
          <w:rFonts w:ascii="Arial" w:hAnsi="Arial" w:cs="Arial"/>
          <w:i/>
        </w:rPr>
        <w:t>AQA</w:t>
      </w:r>
      <w:r w:rsidR="00427C1F">
        <w:rPr>
          <w:rFonts w:ascii="Arial" w:hAnsi="Arial" w:cs="Arial"/>
        </w:rPr>
        <w:t xml:space="preserve">”) provides measures to prevent and control air pollution.  The object of AQA is achieved </w:t>
      </w:r>
      <w:r w:rsidR="00427C1F" w:rsidRPr="00DF08F8">
        <w:rPr>
          <w:rFonts w:ascii="Arial" w:hAnsi="Arial" w:cs="Arial"/>
          <w:i/>
        </w:rPr>
        <w:t>inter alia</w:t>
      </w:r>
      <w:r w:rsidR="00427C1F">
        <w:rPr>
          <w:rFonts w:ascii="Arial" w:hAnsi="Arial" w:cs="Arial"/>
        </w:rPr>
        <w:t xml:space="preserve"> by listing certain activities that result in atmospheric omissions and </w:t>
      </w:r>
      <w:r w:rsidR="009351C8">
        <w:rPr>
          <w:rFonts w:ascii="Arial" w:hAnsi="Arial" w:cs="Arial"/>
        </w:rPr>
        <w:t>which the Minister or MEC believe</w:t>
      </w:r>
      <w:r w:rsidR="00427C1F">
        <w:rPr>
          <w:rFonts w:ascii="Arial" w:hAnsi="Arial" w:cs="Arial"/>
        </w:rPr>
        <w:t xml:space="preserve"> have or may have a significant detrimental effect on the environment, including health, social conditions, economic conditions, ecological conditions or cultural heritage.  Certain activities may be listed by publication in the Government Gazette resulting in such activities being regulated by the issue of an Atmospheric Emission Licence (AEL).</w:t>
      </w:r>
      <w:r w:rsidR="00427C1F">
        <w:rPr>
          <w:rStyle w:val="FootnoteReference"/>
          <w:rFonts w:ascii="Arial" w:hAnsi="Arial" w:cs="Arial"/>
        </w:rPr>
        <w:footnoteReference w:id="5"/>
      </w:r>
    </w:p>
    <w:p w:rsidR="009351C8" w:rsidRDefault="009351C8" w:rsidP="00427C1F">
      <w:pPr>
        <w:ind w:left="720" w:hanging="720"/>
        <w:rPr>
          <w:rFonts w:ascii="Arial" w:hAnsi="Arial" w:cs="Arial"/>
        </w:rPr>
      </w:pPr>
    </w:p>
    <w:p w:rsidR="00427C1F" w:rsidRDefault="00A05898" w:rsidP="00427C1F">
      <w:pPr>
        <w:ind w:left="720" w:hanging="720"/>
        <w:rPr>
          <w:rFonts w:ascii="Arial" w:hAnsi="Arial" w:cs="Arial"/>
        </w:rPr>
      </w:pPr>
      <w:r>
        <w:rPr>
          <w:rFonts w:ascii="Arial" w:hAnsi="Arial" w:cs="Arial"/>
        </w:rPr>
        <w:t>[25</w:t>
      </w:r>
      <w:r w:rsidR="00427C1F">
        <w:rPr>
          <w:rFonts w:ascii="Arial" w:hAnsi="Arial" w:cs="Arial"/>
        </w:rPr>
        <w:t>]</w:t>
      </w:r>
      <w:r w:rsidR="00427C1F">
        <w:rPr>
          <w:rFonts w:ascii="Arial" w:hAnsi="Arial" w:cs="Arial"/>
        </w:rPr>
        <w:tab/>
        <w:t>In Government Notice 893 of 22 November 2013 the Minister of Water and Environmental Affairs (the predecessor of the Fourth Respondent) amended the list of activities previously listed in terms of the provisions of Section 21(1)(b) of AQA and included under category 7 of such notice a sub-category 7.2 which reads:</w:t>
      </w:r>
    </w:p>
    <w:p w:rsidR="00A05898" w:rsidRDefault="00427C1F" w:rsidP="00427C1F">
      <w:pPr>
        <w:ind w:left="720" w:hanging="720"/>
        <w:rPr>
          <w:rFonts w:ascii="Arial" w:hAnsi="Arial" w:cs="Arial"/>
          <w:i/>
        </w:rPr>
      </w:pPr>
      <w:r>
        <w:rPr>
          <w:rFonts w:ascii="Arial" w:hAnsi="Arial" w:cs="Arial"/>
        </w:rPr>
        <w:tab/>
      </w:r>
      <w:r>
        <w:rPr>
          <w:rFonts w:ascii="Arial" w:hAnsi="Arial" w:cs="Arial"/>
        </w:rPr>
        <w:tab/>
      </w:r>
      <w:r w:rsidRPr="00FE506C">
        <w:rPr>
          <w:rFonts w:ascii="Arial" w:hAnsi="Arial" w:cs="Arial"/>
          <w:i/>
        </w:rPr>
        <w:t xml:space="preserve">“Production of acids”. </w:t>
      </w:r>
    </w:p>
    <w:p w:rsidR="00427C1F" w:rsidRPr="00FE506C" w:rsidRDefault="00427C1F" w:rsidP="00427C1F">
      <w:pPr>
        <w:ind w:left="720" w:hanging="720"/>
        <w:rPr>
          <w:rFonts w:ascii="Arial" w:hAnsi="Arial" w:cs="Arial"/>
          <w:i/>
        </w:rPr>
      </w:pPr>
      <w:r w:rsidRPr="00FE506C">
        <w:rPr>
          <w:rFonts w:ascii="Arial" w:hAnsi="Arial" w:cs="Arial"/>
          <w:i/>
        </w:rPr>
        <w:tab/>
      </w:r>
    </w:p>
    <w:p w:rsidR="00FE506C" w:rsidRDefault="00A05898" w:rsidP="00427C1F">
      <w:pPr>
        <w:ind w:left="720" w:hanging="720"/>
        <w:rPr>
          <w:rFonts w:ascii="Arial" w:hAnsi="Arial" w:cs="Arial"/>
        </w:rPr>
      </w:pPr>
      <w:r>
        <w:rPr>
          <w:rFonts w:ascii="Arial" w:hAnsi="Arial" w:cs="Arial"/>
        </w:rPr>
        <w:t>[26</w:t>
      </w:r>
      <w:r w:rsidR="00427C1F">
        <w:rPr>
          <w:rFonts w:ascii="Arial" w:hAnsi="Arial" w:cs="Arial"/>
        </w:rPr>
        <w:t>]</w:t>
      </w:r>
      <w:r w:rsidR="00427C1F">
        <w:rPr>
          <w:rFonts w:ascii="Arial" w:hAnsi="Arial" w:cs="Arial"/>
        </w:rPr>
        <w:tab/>
        <w:t>In summary, the issue of the impugned notice was effected in terms of the provisions of Section 21 of AQA and is aimed at the regulation and prevention of air pollution. Non-compliance in the form of conducting a listed activity without the necessary AEL therefore attracts sanctions under the provision of AQA.</w:t>
      </w:r>
    </w:p>
    <w:p w:rsidR="00427C1F" w:rsidRDefault="00427C1F" w:rsidP="00427C1F">
      <w:pPr>
        <w:ind w:left="720" w:hanging="720"/>
        <w:rPr>
          <w:rFonts w:ascii="Arial" w:hAnsi="Arial" w:cs="Arial"/>
        </w:rPr>
      </w:pPr>
      <w:r>
        <w:rPr>
          <w:rFonts w:ascii="Arial" w:hAnsi="Arial" w:cs="Arial"/>
        </w:rPr>
        <w:t xml:space="preserve">  </w:t>
      </w:r>
    </w:p>
    <w:p w:rsidR="00427C1F" w:rsidRDefault="00427C1F" w:rsidP="00427C1F">
      <w:pPr>
        <w:ind w:left="720" w:hanging="720"/>
        <w:rPr>
          <w:rFonts w:ascii="Arial" w:hAnsi="Arial" w:cs="Arial"/>
        </w:rPr>
      </w:pPr>
      <w:r>
        <w:rPr>
          <w:rFonts w:ascii="Arial" w:hAnsi="Arial" w:cs="Arial"/>
        </w:rPr>
        <w:t>ARE THE DECISIONS REVIEWABLE?</w:t>
      </w:r>
    </w:p>
    <w:p w:rsidR="00427C1F" w:rsidRDefault="00E074BB" w:rsidP="00427C1F">
      <w:pPr>
        <w:ind w:left="720" w:hanging="720"/>
        <w:rPr>
          <w:rFonts w:ascii="Arial" w:hAnsi="Arial" w:cs="Arial"/>
        </w:rPr>
      </w:pPr>
      <w:r>
        <w:rPr>
          <w:rFonts w:ascii="Arial" w:hAnsi="Arial" w:cs="Arial"/>
        </w:rPr>
        <w:t>[27</w:t>
      </w:r>
      <w:r w:rsidR="00427C1F">
        <w:rPr>
          <w:rFonts w:ascii="Arial" w:hAnsi="Arial" w:cs="Arial"/>
        </w:rPr>
        <w:t>]</w:t>
      </w:r>
      <w:r w:rsidR="00427C1F">
        <w:rPr>
          <w:rFonts w:ascii="Arial" w:hAnsi="Arial" w:cs="Arial"/>
        </w:rPr>
        <w:tab/>
        <w:t>Applicant seeks to review the following:</w:t>
      </w:r>
    </w:p>
    <w:p w:rsidR="00427C1F" w:rsidRDefault="00E074BB" w:rsidP="00427C1F">
      <w:pPr>
        <w:ind w:left="720" w:hanging="720"/>
        <w:rPr>
          <w:rFonts w:ascii="Arial" w:hAnsi="Arial" w:cs="Arial"/>
        </w:rPr>
      </w:pPr>
      <w:r>
        <w:rPr>
          <w:rFonts w:ascii="Arial" w:hAnsi="Arial" w:cs="Arial"/>
        </w:rPr>
        <w:lastRenderedPageBreak/>
        <w:tab/>
        <w:t>[27</w:t>
      </w:r>
      <w:r w:rsidR="00427C1F">
        <w:rPr>
          <w:rFonts w:ascii="Arial" w:hAnsi="Arial" w:cs="Arial"/>
        </w:rPr>
        <w:t>.1]</w:t>
      </w:r>
      <w:r w:rsidR="00427C1F">
        <w:rPr>
          <w:rFonts w:ascii="Arial" w:hAnsi="Arial" w:cs="Arial"/>
        </w:rPr>
        <w:tab/>
        <w:t>The decision to issue the Compliance Notice;</w:t>
      </w:r>
    </w:p>
    <w:p w:rsidR="00427C1F" w:rsidRDefault="00E074BB" w:rsidP="00427C1F">
      <w:pPr>
        <w:ind w:left="720" w:hanging="720"/>
        <w:rPr>
          <w:rFonts w:ascii="Arial" w:hAnsi="Arial" w:cs="Arial"/>
        </w:rPr>
      </w:pPr>
      <w:r>
        <w:rPr>
          <w:rFonts w:ascii="Arial" w:hAnsi="Arial" w:cs="Arial"/>
        </w:rPr>
        <w:tab/>
        <w:t>[27</w:t>
      </w:r>
      <w:r w:rsidR="00427C1F">
        <w:rPr>
          <w:rFonts w:ascii="Arial" w:hAnsi="Arial" w:cs="Arial"/>
        </w:rPr>
        <w:t>.2]</w:t>
      </w:r>
      <w:r w:rsidR="00427C1F">
        <w:rPr>
          <w:rFonts w:ascii="Arial" w:hAnsi="Arial" w:cs="Arial"/>
        </w:rPr>
        <w:tab/>
        <w:t>The decision to dismiss the Applicant’s objection to the Compliance Notice;</w:t>
      </w:r>
    </w:p>
    <w:p w:rsidR="00427C1F" w:rsidRPr="003755BE" w:rsidRDefault="00427C1F" w:rsidP="00427C1F">
      <w:pPr>
        <w:ind w:left="1440" w:hanging="1440"/>
        <w:rPr>
          <w:rFonts w:ascii="Arial" w:hAnsi="Arial" w:cs="Arial"/>
        </w:rPr>
      </w:pPr>
      <w:r>
        <w:rPr>
          <w:rFonts w:ascii="Arial" w:hAnsi="Arial" w:cs="Arial"/>
        </w:rPr>
        <w:t xml:space="preserve">           </w:t>
      </w:r>
      <w:r w:rsidR="00E074BB">
        <w:rPr>
          <w:rFonts w:ascii="Arial" w:hAnsi="Arial" w:cs="Arial"/>
        </w:rPr>
        <w:t>[27</w:t>
      </w:r>
      <w:r>
        <w:rPr>
          <w:rFonts w:ascii="Arial" w:hAnsi="Arial" w:cs="Arial"/>
        </w:rPr>
        <w:t>.3]</w:t>
      </w:r>
      <w:r>
        <w:rPr>
          <w:rFonts w:ascii="Arial" w:hAnsi="Arial" w:cs="Arial"/>
        </w:rPr>
        <w:tab/>
        <w:t xml:space="preserve">The decision to </w:t>
      </w:r>
      <w:r w:rsidR="00FE506C">
        <w:rPr>
          <w:rFonts w:ascii="Arial" w:hAnsi="Arial" w:cs="Arial"/>
        </w:rPr>
        <w:t xml:space="preserve">introduce the comma and words </w:t>
      </w:r>
      <w:r w:rsidR="00FE506C" w:rsidRPr="00FE506C">
        <w:rPr>
          <w:rFonts w:ascii="Arial" w:hAnsi="Arial" w:cs="Arial"/>
          <w:i/>
        </w:rPr>
        <w:t>“</w:t>
      </w:r>
      <w:r w:rsidRPr="007851B0">
        <w:rPr>
          <w:rFonts w:ascii="Arial" w:hAnsi="Arial" w:cs="Arial"/>
          <w:i/>
        </w:rPr>
        <w:t>bulk handling and/or use in manufacturing”</w:t>
      </w:r>
      <w:r w:rsidR="00E074BB">
        <w:rPr>
          <w:rFonts w:ascii="Arial" w:hAnsi="Arial" w:cs="Arial"/>
        </w:rPr>
        <w:t xml:space="preserve"> into the listing notice in section 7, sub-category 7.2 of GN893 of 22 November 2013.</w:t>
      </w:r>
      <w:r w:rsidR="003755BE">
        <w:rPr>
          <w:rFonts w:ascii="Arial" w:hAnsi="Arial" w:cs="Arial"/>
        </w:rPr>
        <w:t xml:space="preserve">  Considering the effect of the order referred to </w:t>
      </w:r>
      <w:r w:rsidR="003755BE">
        <w:rPr>
          <w:rFonts w:ascii="Arial" w:hAnsi="Arial" w:cs="Arial"/>
          <w:i/>
        </w:rPr>
        <w:t>infra</w:t>
      </w:r>
      <w:r w:rsidR="003755BE">
        <w:rPr>
          <w:rFonts w:ascii="Arial" w:hAnsi="Arial" w:cs="Arial"/>
        </w:rPr>
        <w:t>, it is not necessary to deal with this ground of review.</w:t>
      </w:r>
    </w:p>
    <w:p w:rsidR="00FE506C" w:rsidRDefault="00FE506C" w:rsidP="00427C1F">
      <w:pPr>
        <w:ind w:left="1440" w:hanging="1440"/>
        <w:rPr>
          <w:rFonts w:ascii="Arial" w:hAnsi="Arial" w:cs="Arial"/>
        </w:rPr>
      </w:pPr>
    </w:p>
    <w:p w:rsidR="00427C1F" w:rsidRDefault="00E074BB" w:rsidP="00427C1F">
      <w:pPr>
        <w:ind w:left="709" w:hanging="709"/>
        <w:rPr>
          <w:rFonts w:ascii="Arial" w:hAnsi="Arial" w:cs="Arial"/>
        </w:rPr>
      </w:pPr>
      <w:r>
        <w:rPr>
          <w:rFonts w:ascii="Arial" w:hAnsi="Arial" w:cs="Arial"/>
        </w:rPr>
        <w:t>[28</w:t>
      </w:r>
      <w:r w:rsidR="00427C1F">
        <w:rPr>
          <w:rFonts w:ascii="Arial" w:hAnsi="Arial" w:cs="Arial"/>
        </w:rPr>
        <w:t>]</w:t>
      </w:r>
      <w:r w:rsidR="00427C1F">
        <w:rPr>
          <w:rFonts w:ascii="Arial" w:hAnsi="Arial" w:cs="Arial"/>
        </w:rPr>
        <w:tab/>
        <w:t>The issue of the Compliance Notice as well as the dismissal of Applicant’s objection to the Compliance Notice has a direct and external legal effect on the Applicant and falls squarely within the definition of administrative action in terms of Section 1 of Promotion of Administrative Justice Act 3 of 2000.  When the Minister decided to amend the listing noti</w:t>
      </w:r>
      <w:r w:rsidR="001B5C9F">
        <w:rPr>
          <w:rFonts w:ascii="Arial" w:hAnsi="Arial" w:cs="Arial"/>
        </w:rPr>
        <w:t>ce by way of Government Notice N</w:t>
      </w:r>
      <w:r w:rsidR="00427C1F">
        <w:rPr>
          <w:rFonts w:ascii="Arial" w:hAnsi="Arial" w:cs="Arial"/>
        </w:rPr>
        <w:t>o. 893 of 22 November 2013 the Minister purported to do so by way of a decision in terms of Section 21(1)(</w:t>
      </w:r>
      <w:r>
        <w:rPr>
          <w:rFonts w:ascii="Arial" w:hAnsi="Arial" w:cs="Arial"/>
        </w:rPr>
        <w:t>b) of AQA and such amendment had</w:t>
      </w:r>
      <w:r w:rsidR="00427C1F">
        <w:rPr>
          <w:rFonts w:ascii="Arial" w:hAnsi="Arial" w:cs="Arial"/>
        </w:rPr>
        <w:t xml:space="preserve"> a di</w:t>
      </w:r>
      <w:r>
        <w:rPr>
          <w:rFonts w:ascii="Arial" w:hAnsi="Arial" w:cs="Arial"/>
        </w:rPr>
        <w:t xml:space="preserve">rect and external legal effect on Applicant </w:t>
      </w:r>
      <w:r w:rsidR="00427C1F">
        <w:rPr>
          <w:rFonts w:ascii="Arial" w:hAnsi="Arial" w:cs="Arial"/>
        </w:rPr>
        <w:t>as a result of which the decision to amend also squarely falls within the definition of administrative action in terms of the provisions of Section 1 of PAJA.</w:t>
      </w:r>
    </w:p>
    <w:p w:rsidR="00E074BB" w:rsidRDefault="00E074BB" w:rsidP="00427C1F">
      <w:pPr>
        <w:ind w:left="709" w:hanging="709"/>
        <w:rPr>
          <w:rFonts w:ascii="Arial" w:hAnsi="Arial" w:cs="Arial"/>
        </w:rPr>
      </w:pPr>
    </w:p>
    <w:p w:rsidR="00427C1F" w:rsidRDefault="00E074BB" w:rsidP="00427C1F">
      <w:pPr>
        <w:ind w:left="709" w:hanging="709"/>
        <w:rPr>
          <w:rFonts w:ascii="Arial" w:hAnsi="Arial" w:cs="Arial"/>
        </w:rPr>
      </w:pPr>
      <w:r>
        <w:rPr>
          <w:rFonts w:ascii="Arial" w:hAnsi="Arial" w:cs="Arial"/>
        </w:rPr>
        <w:t>[29</w:t>
      </w:r>
      <w:r w:rsidR="00E079CE">
        <w:rPr>
          <w:rFonts w:ascii="Arial" w:hAnsi="Arial" w:cs="Arial"/>
        </w:rPr>
        <w:t>]</w:t>
      </w:r>
      <w:r w:rsidR="00E079CE">
        <w:rPr>
          <w:rFonts w:ascii="Arial" w:hAnsi="Arial" w:cs="Arial"/>
        </w:rPr>
        <w:tab/>
        <w:t>Administrative action is</w:t>
      </w:r>
      <w:r w:rsidR="00427C1F">
        <w:rPr>
          <w:rFonts w:ascii="Arial" w:hAnsi="Arial" w:cs="Arial"/>
        </w:rPr>
        <w:t xml:space="preserve"> subject to judicial review under various grounds as set out in Section 6 of PAJA, and Applicant relied on the following grounds for review of PAJA to review and set aside the aforesaid decisions namely:</w:t>
      </w:r>
    </w:p>
    <w:p w:rsidR="00427C1F" w:rsidRDefault="00E074BB" w:rsidP="00427C1F">
      <w:pPr>
        <w:ind w:left="1440" w:hanging="732"/>
        <w:rPr>
          <w:rFonts w:ascii="Arial" w:hAnsi="Arial" w:cs="Arial"/>
        </w:rPr>
      </w:pPr>
      <w:r>
        <w:rPr>
          <w:rFonts w:ascii="Arial" w:hAnsi="Arial" w:cs="Arial"/>
        </w:rPr>
        <w:t>[29</w:t>
      </w:r>
      <w:r w:rsidR="00427C1F">
        <w:rPr>
          <w:rFonts w:ascii="Arial" w:hAnsi="Arial" w:cs="Arial"/>
        </w:rPr>
        <w:t>.1]</w:t>
      </w:r>
      <w:r w:rsidR="00427C1F">
        <w:rPr>
          <w:rFonts w:ascii="Arial" w:hAnsi="Arial" w:cs="Arial"/>
        </w:rPr>
        <w:tab/>
        <w:t>Section 6(2)(a)(i) in that the Minister was not authorised by the empowering provision, Section 21(1)(a) to include the activity introduced by the impugned words in the listing notice;</w:t>
      </w:r>
    </w:p>
    <w:p w:rsidR="00427C1F" w:rsidRDefault="00E074BB" w:rsidP="00427C1F">
      <w:pPr>
        <w:ind w:left="1440" w:hanging="732"/>
        <w:rPr>
          <w:rFonts w:ascii="Arial" w:hAnsi="Arial" w:cs="Arial"/>
        </w:rPr>
      </w:pPr>
      <w:r>
        <w:rPr>
          <w:rFonts w:ascii="Arial" w:hAnsi="Arial" w:cs="Arial"/>
        </w:rPr>
        <w:lastRenderedPageBreak/>
        <w:t>[29</w:t>
      </w:r>
      <w:r w:rsidR="00427C1F">
        <w:rPr>
          <w:rFonts w:ascii="Arial" w:hAnsi="Arial" w:cs="Arial"/>
        </w:rPr>
        <w:t>.2]</w:t>
      </w:r>
      <w:r w:rsidR="00427C1F">
        <w:rPr>
          <w:rFonts w:ascii="Arial" w:hAnsi="Arial" w:cs="Arial"/>
        </w:rPr>
        <w:tab/>
        <w:t>Section 6(2)(b) in that the mandatory conditions prescribed by Section 21(1)(a) of the Air Quality Act, were not complied with;</w:t>
      </w:r>
    </w:p>
    <w:p w:rsidR="00427C1F" w:rsidRDefault="00E074BB" w:rsidP="00427C1F">
      <w:pPr>
        <w:ind w:left="1440" w:hanging="732"/>
        <w:rPr>
          <w:rFonts w:ascii="Arial" w:hAnsi="Arial" w:cs="Arial"/>
        </w:rPr>
      </w:pPr>
      <w:r>
        <w:rPr>
          <w:rFonts w:ascii="Arial" w:hAnsi="Arial" w:cs="Arial"/>
        </w:rPr>
        <w:t>[29</w:t>
      </w:r>
      <w:r w:rsidR="00427C1F">
        <w:rPr>
          <w:rFonts w:ascii="Arial" w:hAnsi="Arial" w:cs="Arial"/>
        </w:rPr>
        <w:t>.3]</w:t>
      </w:r>
      <w:r w:rsidR="00427C1F">
        <w:rPr>
          <w:rFonts w:ascii="Arial" w:hAnsi="Arial" w:cs="Arial"/>
        </w:rPr>
        <w:tab/>
        <w:t>Section 6(2)(d) in that the decisions were materially influenced by an error of law (i.e. an incorrect interpretation of Section 21(1)(a) of the Air Quality Act);</w:t>
      </w:r>
    </w:p>
    <w:p w:rsidR="00427C1F" w:rsidRDefault="00E074BB" w:rsidP="00427C1F">
      <w:pPr>
        <w:ind w:left="1440" w:hanging="732"/>
        <w:rPr>
          <w:rFonts w:ascii="Arial" w:hAnsi="Arial" w:cs="Arial"/>
        </w:rPr>
      </w:pPr>
      <w:r>
        <w:rPr>
          <w:rFonts w:ascii="Arial" w:hAnsi="Arial" w:cs="Arial"/>
        </w:rPr>
        <w:t>[29</w:t>
      </w:r>
      <w:r w:rsidR="00427C1F">
        <w:rPr>
          <w:rFonts w:ascii="Arial" w:hAnsi="Arial" w:cs="Arial"/>
        </w:rPr>
        <w:t>.4]</w:t>
      </w:r>
      <w:r w:rsidR="00427C1F">
        <w:rPr>
          <w:rFonts w:ascii="Arial" w:hAnsi="Arial" w:cs="Arial"/>
        </w:rPr>
        <w:tab/>
        <w:t>Section 6(2)(e) in that the decisions were taken because irrelevant considerations were taken into account and relevant considerations ignored;</w:t>
      </w:r>
    </w:p>
    <w:p w:rsidR="00427C1F" w:rsidRDefault="00E074BB" w:rsidP="00427C1F">
      <w:pPr>
        <w:ind w:left="1440" w:hanging="732"/>
        <w:rPr>
          <w:rFonts w:ascii="Arial" w:hAnsi="Arial" w:cs="Arial"/>
        </w:rPr>
      </w:pPr>
      <w:r>
        <w:rPr>
          <w:rFonts w:ascii="Arial" w:hAnsi="Arial" w:cs="Arial"/>
        </w:rPr>
        <w:t>[29</w:t>
      </w:r>
      <w:r w:rsidR="00427C1F">
        <w:rPr>
          <w:rFonts w:ascii="Arial" w:hAnsi="Arial" w:cs="Arial"/>
        </w:rPr>
        <w:t>.5]</w:t>
      </w:r>
      <w:r w:rsidR="00427C1F">
        <w:rPr>
          <w:rFonts w:ascii="Arial" w:hAnsi="Arial" w:cs="Arial"/>
        </w:rPr>
        <w:tab/>
        <w:t>Section 6(2)(f)(i) in that the decis</w:t>
      </w:r>
      <w:r w:rsidR="00E079CE">
        <w:rPr>
          <w:rFonts w:ascii="Arial" w:hAnsi="Arial" w:cs="Arial"/>
        </w:rPr>
        <w:t xml:space="preserve">ions were not authorised by the </w:t>
      </w:r>
      <w:r w:rsidR="00427C1F">
        <w:rPr>
          <w:rFonts w:ascii="Arial" w:hAnsi="Arial" w:cs="Arial"/>
        </w:rPr>
        <w:t>empowering provisions (i.e. Sections 21(1)(a) of the Air Quality Act;</w:t>
      </w:r>
    </w:p>
    <w:p w:rsidR="00E079CE" w:rsidRDefault="00E079CE" w:rsidP="00E079CE">
      <w:pPr>
        <w:ind w:left="0"/>
        <w:rPr>
          <w:rFonts w:ascii="Arial" w:hAnsi="Arial" w:cs="Arial"/>
        </w:rPr>
      </w:pPr>
    </w:p>
    <w:p w:rsidR="00E079CE" w:rsidRDefault="00E079CE" w:rsidP="00E079CE">
      <w:pPr>
        <w:ind w:left="708" w:hanging="708"/>
        <w:rPr>
          <w:rFonts w:ascii="Arial" w:hAnsi="Arial" w:cs="Arial"/>
        </w:rPr>
      </w:pPr>
      <w:r>
        <w:rPr>
          <w:rFonts w:ascii="Arial" w:hAnsi="Arial" w:cs="Arial"/>
        </w:rPr>
        <w:t>[30]</w:t>
      </w:r>
      <w:r>
        <w:rPr>
          <w:rFonts w:ascii="Arial" w:hAnsi="Arial" w:cs="Arial"/>
        </w:rPr>
        <w:tab/>
        <w:t>In support of the relief claimed by Applicant, a certain Mr. Dladla who is the Mill Manager of Applicant’s Meyerton Mill, deposed to an affidavit wherein the process followed by Applicant in using hydrochloric acid is explained.  Mr. Dladla is the holder of a National Diploma:  Microbiology and also holds a Bachelor of Technology degree in Biotechnology.  Mr. Dladla is qualified to describe the chemical processes in which Applicant is engaged, his evidence was supported by the affidavits of a chemical engineer and an air emissions and air pollution expert.</w:t>
      </w:r>
    </w:p>
    <w:p w:rsidR="00E079CE" w:rsidRDefault="00E079CE" w:rsidP="00E079CE">
      <w:pPr>
        <w:ind w:left="0"/>
        <w:rPr>
          <w:rFonts w:ascii="Arial" w:hAnsi="Arial" w:cs="Arial"/>
        </w:rPr>
      </w:pPr>
    </w:p>
    <w:p w:rsidR="00E079CE" w:rsidRDefault="00E079CE" w:rsidP="00E079CE">
      <w:pPr>
        <w:ind w:left="0"/>
        <w:rPr>
          <w:rFonts w:ascii="Arial" w:hAnsi="Arial" w:cs="Arial"/>
        </w:rPr>
      </w:pPr>
      <w:r>
        <w:rPr>
          <w:rFonts w:ascii="Arial" w:hAnsi="Arial" w:cs="Arial"/>
        </w:rPr>
        <w:t>[31]</w:t>
      </w:r>
      <w:r>
        <w:rPr>
          <w:rFonts w:ascii="Arial" w:hAnsi="Arial" w:cs="Arial"/>
        </w:rPr>
        <w:tab/>
        <w:t>Mr. Dladla explained the relevant operations of Applicant as follows:</w:t>
      </w:r>
    </w:p>
    <w:p w:rsidR="00B4677A" w:rsidRPr="00B4677A" w:rsidRDefault="00B4677A" w:rsidP="00B4677A">
      <w:pPr>
        <w:ind w:left="2160" w:hanging="720"/>
        <w:rPr>
          <w:rFonts w:ascii="Arial" w:hAnsi="Arial" w:cs="Arial"/>
          <w:i/>
        </w:rPr>
      </w:pPr>
      <w:r w:rsidRPr="00B4677A">
        <w:rPr>
          <w:rFonts w:ascii="Arial" w:hAnsi="Arial" w:cs="Arial"/>
          <w:i/>
        </w:rPr>
        <w:t>“6</w:t>
      </w:r>
      <w:r w:rsidRPr="00B4677A">
        <w:rPr>
          <w:rFonts w:ascii="Arial" w:hAnsi="Arial" w:cs="Arial"/>
          <w:i/>
        </w:rPr>
        <w:tab/>
        <w:t>At its Meyerton Mill, it uses hydrochloric acid as a reagent to modify maize starch molecules in the production of modified starches and to convert maize starch into acid glucose.  Ingrain and its predecessor have been involved in this form of agri-processing for over 50 years.</w:t>
      </w:r>
    </w:p>
    <w:p w:rsidR="00B4677A" w:rsidRPr="00B4677A" w:rsidRDefault="00B4677A" w:rsidP="00B4677A">
      <w:pPr>
        <w:ind w:left="2160" w:hanging="720"/>
        <w:rPr>
          <w:rFonts w:ascii="Arial" w:hAnsi="Arial" w:cs="Arial"/>
          <w:i/>
        </w:rPr>
      </w:pPr>
      <w:r w:rsidRPr="00B4677A">
        <w:rPr>
          <w:rFonts w:ascii="Arial" w:hAnsi="Arial" w:cs="Arial"/>
          <w:i/>
        </w:rPr>
        <w:lastRenderedPageBreak/>
        <w:t>7</w:t>
      </w:r>
      <w:r w:rsidRPr="00B4677A">
        <w:rPr>
          <w:rFonts w:ascii="Arial" w:hAnsi="Arial" w:cs="Arial"/>
          <w:i/>
        </w:rPr>
        <w:tab/>
        <w:t>Both the modified starches and the acid glucose are organic compounds.  Ingrain is not involved in the inorganic chemicals industry.  It is not involved in the production of hydrochloric, hydrofluoric, nitric or sulphuric acid or any other inorganic acid.  Despite its name, acid glucose is not an acid.</w:t>
      </w:r>
    </w:p>
    <w:p w:rsidR="00B4677A" w:rsidRPr="00B4677A" w:rsidRDefault="00B4677A" w:rsidP="00B4677A">
      <w:pPr>
        <w:ind w:left="2160" w:hanging="720"/>
        <w:rPr>
          <w:rFonts w:ascii="Arial" w:hAnsi="Arial" w:cs="Arial"/>
          <w:i/>
        </w:rPr>
      </w:pPr>
      <w:r w:rsidRPr="00B4677A">
        <w:rPr>
          <w:rFonts w:ascii="Arial" w:hAnsi="Arial" w:cs="Arial"/>
          <w:i/>
        </w:rPr>
        <w:t>8</w:t>
      </w:r>
      <w:r w:rsidRPr="00B4677A">
        <w:rPr>
          <w:rFonts w:ascii="Arial" w:hAnsi="Arial" w:cs="Arial"/>
          <w:i/>
        </w:rPr>
        <w:tab/>
        <w:t>The manner in which Ingrain utilises hydrochloric acid does not result in atmospheric emissions under normal operating conditions.  There is no specific point in its food production process where atmospheric emissions are ordinarily released.”</w:t>
      </w:r>
    </w:p>
    <w:p w:rsidR="007B0E63" w:rsidRDefault="007B0E63" w:rsidP="00427C1F">
      <w:pPr>
        <w:ind w:left="1440" w:hanging="732"/>
        <w:rPr>
          <w:rFonts w:ascii="Arial" w:hAnsi="Arial" w:cs="Arial"/>
        </w:rPr>
      </w:pPr>
    </w:p>
    <w:p w:rsidR="00427C1F" w:rsidRDefault="00427C1F" w:rsidP="00427C1F">
      <w:pPr>
        <w:ind w:left="720" w:hanging="720"/>
        <w:rPr>
          <w:rFonts w:ascii="Arial" w:hAnsi="Arial" w:cs="Arial"/>
        </w:rPr>
      </w:pPr>
      <w:r>
        <w:rPr>
          <w:rFonts w:ascii="Arial" w:hAnsi="Arial" w:cs="Arial"/>
        </w:rPr>
        <w:t>[3</w:t>
      </w:r>
      <w:r w:rsidR="00B4677A">
        <w:rPr>
          <w:rFonts w:ascii="Arial" w:hAnsi="Arial" w:cs="Arial"/>
        </w:rPr>
        <w:t>2</w:t>
      </w:r>
      <w:r>
        <w:rPr>
          <w:rFonts w:ascii="Arial" w:hAnsi="Arial" w:cs="Arial"/>
        </w:rPr>
        <w:t>]</w:t>
      </w:r>
      <w:r>
        <w:rPr>
          <w:rFonts w:ascii="Arial" w:hAnsi="Arial" w:cs="Arial"/>
        </w:rPr>
        <w:tab/>
        <w:t xml:space="preserve">The emission thresholds linked to the activity under sub-category 7.2 (production of acids) under category 7 (in organic chemical industry) clearly relates to activities which are classed as the </w:t>
      </w:r>
      <w:r w:rsidRPr="007B0E63">
        <w:rPr>
          <w:rFonts w:ascii="Arial" w:hAnsi="Arial" w:cs="Arial"/>
          <w:i/>
        </w:rPr>
        <w:t>“</w:t>
      </w:r>
      <w:r>
        <w:rPr>
          <w:rFonts w:ascii="Arial" w:hAnsi="Arial" w:cs="Arial"/>
          <w:i/>
        </w:rPr>
        <w:t>production of acids</w:t>
      </w:r>
      <w:r w:rsidR="00E074BB">
        <w:rPr>
          <w:rFonts w:ascii="Arial" w:hAnsi="Arial" w:cs="Arial"/>
        </w:rPr>
        <w:t>”.  T</w:t>
      </w:r>
      <w:r>
        <w:rPr>
          <w:rFonts w:ascii="Arial" w:hAnsi="Arial" w:cs="Arial"/>
        </w:rPr>
        <w:t>he Applicant does not produce or manufacture hydrofluoric, hydrochlo</w:t>
      </w:r>
      <w:r w:rsidR="00E074BB">
        <w:rPr>
          <w:rFonts w:ascii="Arial" w:hAnsi="Arial" w:cs="Arial"/>
        </w:rPr>
        <w:t>ric, nitric or sulphuric acid.  Th</w:t>
      </w:r>
      <w:r>
        <w:rPr>
          <w:rFonts w:ascii="Arial" w:hAnsi="Arial" w:cs="Arial"/>
        </w:rPr>
        <w:t>e activity in which the Applicant is involve</w:t>
      </w:r>
      <w:r w:rsidR="006E2ADF">
        <w:rPr>
          <w:rFonts w:ascii="Arial" w:hAnsi="Arial" w:cs="Arial"/>
        </w:rPr>
        <w:t xml:space="preserve">d namely the production of food exempt the Applicant from the listed activities.  The fact that such acids are used in the production of food does not fall under the category of activity that can be classed as </w:t>
      </w:r>
      <w:r w:rsidR="006E2ADF" w:rsidRPr="006E2ADF">
        <w:rPr>
          <w:rFonts w:ascii="Arial" w:hAnsi="Arial" w:cs="Arial"/>
          <w:i/>
        </w:rPr>
        <w:t>“production of acids”.</w:t>
      </w:r>
      <w:r>
        <w:rPr>
          <w:rFonts w:ascii="Arial" w:hAnsi="Arial" w:cs="Arial"/>
        </w:rPr>
        <w:t xml:space="preserve"> It follows therefore that the issue of the impugned notice and decision to dismiss the Applicant’s objection are reviewable and falls to be set aside in terms of Section 6(2)(d) and 6(2)(e) and 6(2)(f)(i) of PAJA.</w:t>
      </w:r>
    </w:p>
    <w:p w:rsidR="007B0E63" w:rsidRDefault="007B0E63" w:rsidP="001E49E1">
      <w:pPr>
        <w:ind w:left="0"/>
        <w:rPr>
          <w:rFonts w:ascii="Arial" w:hAnsi="Arial" w:cs="Arial"/>
        </w:rPr>
      </w:pPr>
    </w:p>
    <w:p w:rsidR="00427C1F" w:rsidRDefault="00427C1F" w:rsidP="00427C1F">
      <w:pPr>
        <w:ind w:left="720" w:hanging="720"/>
        <w:rPr>
          <w:rFonts w:ascii="Arial" w:hAnsi="Arial" w:cs="Arial"/>
        </w:rPr>
      </w:pPr>
      <w:r>
        <w:rPr>
          <w:rFonts w:ascii="Arial" w:hAnsi="Arial" w:cs="Arial"/>
        </w:rPr>
        <w:t>CONCLUSION:</w:t>
      </w:r>
    </w:p>
    <w:p w:rsidR="007B0E63" w:rsidRDefault="001E49E1" w:rsidP="00427C1F">
      <w:pPr>
        <w:ind w:left="720" w:hanging="720"/>
        <w:rPr>
          <w:rFonts w:ascii="Arial" w:hAnsi="Arial" w:cs="Arial"/>
        </w:rPr>
      </w:pPr>
      <w:r>
        <w:rPr>
          <w:rFonts w:ascii="Arial" w:hAnsi="Arial" w:cs="Arial"/>
        </w:rPr>
        <w:lastRenderedPageBreak/>
        <w:t>[33</w:t>
      </w:r>
      <w:r w:rsidR="00183817">
        <w:rPr>
          <w:rFonts w:ascii="Arial" w:hAnsi="Arial" w:cs="Arial"/>
        </w:rPr>
        <w:t>]</w:t>
      </w:r>
      <w:r w:rsidR="00183817">
        <w:rPr>
          <w:rFonts w:ascii="Arial" w:hAnsi="Arial" w:cs="Arial"/>
        </w:rPr>
        <w:tab/>
        <w:t xml:space="preserve">Considering the aforesaid, the agreement entered into between the parties embodied in the draft order in terms whereof the impugned decisions are reviewed and set aside is sanctioned by this court and the draft order marked “X”, initialled and dated by me is made an order of Court. </w:t>
      </w:r>
    </w:p>
    <w:p w:rsidR="00183817" w:rsidRDefault="00183817" w:rsidP="00427C1F">
      <w:pPr>
        <w:ind w:left="720" w:hanging="720"/>
        <w:jc w:val="right"/>
        <w:rPr>
          <w:rFonts w:ascii="Arial" w:hAnsi="Arial" w:cs="Arial"/>
        </w:rPr>
      </w:pPr>
    </w:p>
    <w:p w:rsidR="00183817" w:rsidRDefault="00183817" w:rsidP="00427C1F">
      <w:pPr>
        <w:ind w:left="720" w:hanging="720"/>
        <w:jc w:val="right"/>
        <w:rPr>
          <w:rFonts w:ascii="Arial" w:hAnsi="Arial" w:cs="Arial"/>
        </w:rPr>
      </w:pPr>
    </w:p>
    <w:p w:rsidR="007B0E63" w:rsidRPr="0025091D" w:rsidRDefault="007B0E63" w:rsidP="00427C1F">
      <w:pPr>
        <w:ind w:left="720" w:hanging="720"/>
        <w:jc w:val="right"/>
        <w:rPr>
          <w:rFonts w:ascii="Arial" w:hAnsi="Arial" w:cs="Arial"/>
          <w:b/>
        </w:rPr>
      </w:pPr>
      <w:r w:rsidRPr="0025091D">
        <w:rPr>
          <w:rFonts w:ascii="Arial" w:hAnsi="Arial" w:cs="Arial"/>
          <w:b/>
        </w:rPr>
        <w:t>_____________________</w:t>
      </w:r>
    </w:p>
    <w:p w:rsidR="00427C1F" w:rsidRPr="0025091D" w:rsidRDefault="00427C1F" w:rsidP="00427C1F">
      <w:pPr>
        <w:ind w:left="720" w:hanging="720"/>
        <w:jc w:val="right"/>
        <w:rPr>
          <w:rFonts w:ascii="Arial" w:hAnsi="Arial" w:cs="Arial"/>
          <w:b/>
        </w:rPr>
      </w:pPr>
      <w:r w:rsidRPr="0025091D">
        <w:rPr>
          <w:rFonts w:ascii="Arial" w:hAnsi="Arial" w:cs="Arial"/>
          <w:b/>
        </w:rPr>
        <w:t>P A VAN NIEKERK</w:t>
      </w:r>
    </w:p>
    <w:p w:rsidR="00427C1F" w:rsidRDefault="00427C1F" w:rsidP="00427C1F">
      <w:pPr>
        <w:ind w:left="1440" w:firstLine="720"/>
        <w:jc w:val="right"/>
        <w:rPr>
          <w:rFonts w:ascii="Arial" w:hAnsi="Arial" w:cs="Arial"/>
          <w:b/>
        </w:rPr>
      </w:pPr>
      <w:r w:rsidRPr="0025091D">
        <w:rPr>
          <w:rFonts w:ascii="Arial" w:hAnsi="Arial" w:cs="Arial"/>
          <w:b/>
        </w:rPr>
        <w:t>ACTING JUDGE OF THE GAUTENG DIVISION, PRETORIA</w:t>
      </w:r>
    </w:p>
    <w:p w:rsidR="00183817" w:rsidRDefault="00183817" w:rsidP="00427C1F">
      <w:pPr>
        <w:ind w:left="1440" w:firstLine="720"/>
        <w:jc w:val="right"/>
        <w:rPr>
          <w:rFonts w:ascii="Arial" w:hAnsi="Arial" w:cs="Arial"/>
          <w:b/>
        </w:rPr>
      </w:pPr>
    </w:p>
    <w:p w:rsidR="00183817" w:rsidRDefault="00183817">
      <w:pPr>
        <w:spacing w:after="160" w:line="259" w:lineRule="auto"/>
        <w:ind w:left="0" w:right="0"/>
        <w:jc w:val="left"/>
        <w:rPr>
          <w:rFonts w:ascii="Arial" w:hAnsi="Arial" w:cs="Arial"/>
          <w:b/>
        </w:rPr>
      </w:pPr>
      <w:r>
        <w:rPr>
          <w:rFonts w:ascii="Arial" w:hAnsi="Arial" w:cs="Arial"/>
          <w:b/>
        </w:rPr>
        <w:br w:type="page"/>
      </w:r>
    </w:p>
    <w:p w:rsidR="00892739" w:rsidRPr="00892739" w:rsidRDefault="00892739" w:rsidP="00892739">
      <w:pPr>
        <w:spacing w:after="200" w:line="276" w:lineRule="auto"/>
        <w:ind w:left="0" w:right="0"/>
        <w:rPr>
          <w:rFonts w:ascii="Arial" w:eastAsia="Calibri" w:hAnsi="Arial" w:cs="Arial"/>
          <w:lang w:val="en-ZA"/>
        </w:rPr>
      </w:pPr>
      <w:r w:rsidRPr="00892739">
        <w:rPr>
          <w:rFonts w:ascii="Arial" w:eastAsia="Calibri" w:hAnsi="Arial" w:cs="Arial"/>
          <w:lang w:val="en-ZA"/>
        </w:rPr>
        <w:lastRenderedPageBreak/>
        <w:t xml:space="preserve">CASE NUMBER:  </w:t>
      </w:r>
      <w:r>
        <w:rPr>
          <w:rFonts w:ascii="Arial" w:eastAsia="Calibri" w:hAnsi="Arial" w:cs="Arial"/>
          <w:lang w:val="en-ZA"/>
        </w:rPr>
        <w:t>8555/2022</w:t>
      </w:r>
    </w:p>
    <w:p w:rsidR="00892739" w:rsidRPr="00892739" w:rsidRDefault="00892739" w:rsidP="00892739">
      <w:pPr>
        <w:spacing w:after="200" w:line="276" w:lineRule="auto"/>
        <w:ind w:left="0" w:right="0"/>
        <w:rPr>
          <w:rFonts w:ascii="Arial" w:eastAsia="Calibri" w:hAnsi="Arial" w:cs="Arial"/>
          <w:lang w:val="en-ZA"/>
        </w:rPr>
      </w:pPr>
    </w:p>
    <w:p w:rsidR="00892739" w:rsidRPr="00892739" w:rsidRDefault="00892739" w:rsidP="00892739">
      <w:pPr>
        <w:spacing w:after="200" w:line="276" w:lineRule="auto"/>
        <w:ind w:left="0" w:right="0"/>
        <w:rPr>
          <w:rFonts w:ascii="Arial" w:eastAsia="Calibri" w:hAnsi="Arial" w:cs="Arial"/>
          <w:lang w:val="en-ZA"/>
        </w:rPr>
      </w:pPr>
      <w:r w:rsidRPr="00892739">
        <w:rPr>
          <w:rFonts w:ascii="Arial" w:eastAsia="Calibri" w:hAnsi="Arial" w:cs="Arial"/>
          <w:lang w:val="en-ZA"/>
        </w:rPr>
        <w:t xml:space="preserve">HEARD ON:   </w:t>
      </w:r>
      <w:r w:rsidR="00290640">
        <w:rPr>
          <w:rFonts w:ascii="Arial" w:eastAsia="Calibri" w:hAnsi="Arial" w:cs="Arial"/>
          <w:lang w:val="en-ZA"/>
        </w:rPr>
        <w:t>ON PAPERS</w:t>
      </w:r>
    </w:p>
    <w:p w:rsidR="00892739" w:rsidRPr="00892739" w:rsidRDefault="00892739" w:rsidP="00892739">
      <w:pPr>
        <w:spacing w:after="200" w:line="276" w:lineRule="auto"/>
        <w:ind w:left="0" w:right="0"/>
        <w:rPr>
          <w:rFonts w:ascii="Arial" w:eastAsia="Calibri" w:hAnsi="Arial" w:cs="Arial"/>
          <w:lang w:val="en-ZA"/>
        </w:rPr>
      </w:pPr>
    </w:p>
    <w:p w:rsidR="00892739" w:rsidRDefault="00892739" w:rsidP="00892739">
      <w:pPr>
        <w:spacing w:after="200" w:line="276" w:lineRule="auto"/>
        <w:ind w:left="0" w:right="0"/>
        <w:rPr>
          <w:rFonts w:ascii="Arial" w:eastAsia="Calibri" w:hAnsi="Arial" w:cs="Arial"/>
          <w:lang w:val="en-ZA"/>
        </w:rPr>
      </w:pPr>
      <w:r w:rsidRPr="00892739">
        <w:rPr>
          <w:rFonts w:ascii="Arial" w:eastAsia="Calibri" w:hAnsi="Arial" w:cs="Arial"/>
          <w:lang w:val="en-ZA"/>
        </w:rPr>
        <w:t>FOR THE AP</w:t>
      </w:r>
      <w:r>
        <w:rPr>
          <w:rFonts w:ascii="Arial" w:eastAsia="Calibri" w:hAnsi="Arial" w:cs="Arial"/>
          <w:lang w:val="en-ZA"/>
        </w:rPr>
        <w:t>PLICANT:  ADV. A. DODSON SC</w:t>
      </w:r>
    </w:p>
    <w:p w:rsidR="00B5545D" w:rsidRPr="00892739" w:rsidRDefault="00B5545D" w:rsidP="00892739">
      <w:pPr>
        <w:spacing w:after="200" w:line="276" w:lineRule="auto"/>
        <w:ind w:left="0" w:right="0"/>
        <w:rPr>
          <w:rFonts w:ascii="Arial" w:eastAsia="Calibri" w:hAnsi="Arial" w:cs="Arial"/>
          <w:lang w:val="en-ZA"/>
        </w:rPr>
      </w:pPr>
      <w:r>
        <w:rPr>
          <w:rFonts w:ascii="Arial" w:eastAsia="Calibri" w:hAnsi="Arial" w:cs="Arial"/>
          <w:lang w:val="en-ZA"/>
        </w:rPr>
        <w:t xml:space="preserve">                                        ADV. L. ZIKALALA</w:t>
      </w:r>
    </w:p>
    <w:p w:rsidR="00892739" w:rsidRPr="00892739" w:rsidRDefault="00892739" w:rsidP="00892739">
      <w:pPr>
        <w:spacing w:after="200" w:line="276" w:lineRule="auto"/>
        <w:ind w:left="0" w:right="0"/>
        <w:rPr>
          <w:rFonts w:ascii="Arial" w:eastAsia="Calibri" w:hAnsi="Arial" w:cs="Arial"/>
          <w:lang w:val="en-ZA"/>
        </w:rPr>
      </w:pPr>
      <w:r w:rsidRPr="00892739">
        <w:rPr>
          <w:rFonts w:ascii="Arial" w:eastAsia="Calibri" w:hAnsi="Arial" w:cs="Arial"/>
          <w:lang w:val="en-ZA"/>
        </w:rPr>
        <w:t xml:space="preserve">INSTRUCTED BY:  </w:t>
      </w:r>
      <w:r w:rsidR="00B5545D">
        <w:rPr>
          <w:rFonts w:ascii="Arial" w:eastAsia="Calibri" w:hAnsi="Arial" w:cs="Arial"/>
          <w:lang w:val="en-ZA"/>
        </w:rPr>
        <w:t>Cullinan &amp; Associates</w:t>
      </w:r>
    </w:p>
    <w:p w:rsidR="00892739" w:rsidRPr="00892739" w:rsidRDefault="00892739" w:rsidP="00892739">
      <w:pPr>
        <w:spacing w:after="200" w:line="276" w:lineRule="auto"/>
        <w:ind w:left="0" w:right="0"/>
        <w:rPr>
          <w:rFonts w:ascii="Arial" w:eastAsia="Calibri" w:hAnsi="Arial" w:cs="Arial"/>
          <w:lang w:val="en-ZA"/>
        </w:rPr>
      </w:pPr>
    </w:p>
    <w:p w:rsidR="00892739" w:rsidRPr="00892739" w:rsidRDefault="00892739" w:rsidP="00892739">
      <w:pPr>
        <w:spacing w:after="200" w:line="276" w:lineRule="auto"/>
        <w:ind w:left="0" w:right="0"/>
        <w:rPr>
          <w:rFonts w:ascii="Arial" w:hAnsi="Arial" w:cs="Arial"/>
          <w:lang w:val="en-ZA"/>
        </w:rPr>
      </w:pPr>
      <w:r w:rsidRPr="00892739">
        <w:rPr>
          <w:rFonts w:ascii="Arial" w:eastAsia="Calibri" w:hAnsi="Arial" w:cs="Arial"/>
          <w:lang w:val="en-ZA"/>
        </w:rPr>
        <w:t xml:space="preserve">DATE OF JUDGMENT:   </w:t>
      </w:r>
      <w:r w:rsidR="00855F2F">
        <w:rPr>
          <w:rFonts w:ascii="Arial" w:eastAsia="Calibri" w:hAnsi="Arial" w:cs="Arial"/>
          <w:lang w:val="en-ZA"/>
        </w:rPr>
        <w:t>7 June 2023</w:t>
      </w:r>
    </w:p>
    <w:p w:rsidR="00183817" w:rsidRPr="0025091D" w:rsidRDefault="00183817" w:rsidP="005B2DC4">
      <w:pPr>
        <w:rPr>
          <w:rFonts w:ascii="Arial" w:hAnsi="Arial" w:cs="Arial"/>
          <w:b/>
        </w:rPr>
      </w:pPr>
    </w:p>
    <w:p w:rsidR="00427C1F" w:rsidRPr="002A53D5" w:rsidRDefault="00427C1F" w:rsidP="00427C1F">
      <w:pPr>
        <w:ind w:left="1440" w:hanging="720"/>
      </w:pPr>
    </w:p>
    <w:p w:rsidR="004928EA" w:rsidRDefault="00F261F8"/>
    <w:sectPr w:rsidR="004928EA" w:rsidSect="007851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F8" w:rsidRDefault="00F261F8" w:rsidP="00427C1F">
      <w:pPr>
        <w:spacing w:line="240" w:lineRule="auto"/>
      </w:pPr>
      <w:r>
        <w:separator/>
      </w:r>
    </w:p>
  </w:endnote>
  <w:endnote w:type="continuationSeparator" w:id="0">
    <w:p w:rsidR="00F261F8" w:rsidRDefault="00F261F8" w:rsidP="00427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F8" w:rsidRDefault="00F261F8" w:rsidP="00427C1F">
      <w:pPr>
        <w:spacing w:line="240" w:lineRule="auto"/>
      </w:pPr>
      <w:r>
        <w:separator/>
      </w:r>
    </w:p>
  </w:footnote>
  <w:footnote w:type="continuationSeparator" w:id="0">
    <w:p w:rsidR="00F261F8" w:rsidRDefault="00F261F8" w:rsidP="00427C1F">
      <w:pPr>
        <w:spacing w:line="240" w:lineRule="auto"/>
      </w:pPr>
      <w:r>
        <w:continuationSeparator/>
      </w:r>
    </w:p>
  </w:footnote>
  <w:footnote w:id="1">
    <w:p w:rsidR="00427C1F" w:rsidRPr="00E95ADB" w:rsidRDefault="00427C1F" w:rsidP="00427C1F">
      <w:pPr>
        <w:pStyle w:val="FootnoteText"/>
        <w:rPr>
          <w:i/>
        </w:rPr>
      </w:pPr>
      <w:r>
        <w:rPr>
          <w:rStyle w:val="FootnoteReference"/>
        </w:rPr>
        <w:footnoteRef/>
      </w:r>
      <w:r>
        <w:t xml:space="preserve"> </w:t>
      </w:r>
      <w:r w:rsidRPr="00E95ADB">
        <w:rPr>
          <w:i/>
        </w:rPr>
        <w:t>Airport</w:t>
      </w:r>
      <w:r w:rsidR="002F2648">
        <w:rPr>
          <w:i/>
        </w:rPr>
        <w:t xml:space="preserve">s Company </w:t>
      </w:r>
      <w:r w:rsidRPr="00E95ADB">
        <w:rPr>
          <w:i/>
        </w:rPr>
        <w:t xml:space="preserve">South Africa </w:t>
      </w:r>
      <w:r w:rsidR="002F2648">
        <w:rPr>
          <w:i/>
        </w:rPr>
        <w:t xml:space="preserve">v Big Five Duty Free (Pty) Ltd and </w:t>
      </w:r>
      <w:r w:rsidRPr="00E95ADB">
        <w:rPr>
          <w:i/>
        </w:rPr>
        <w:t xml:space="preserve">Others </w:t>
      </w:r>
      <w:r w:rsidRPr="002F2648">
        <w:t>2019 (5) SA</w:t>
      </w:r>
      <w:r w:rsidR="002F2648">
        <w:t xml:space="preserve"> </w:t>
      </w:r>
      <w:r w:rsidRPr="002F2648">
        <w:t>1 (CC) par. [2]</w:t>
      </w:r>
    </w:p>
  </w:footnote>
  <w:footnote w:id="2">
    <w:p w:rsidR="00427C1F" w:rsidRPr="00F17F35" w:rsidRDefault="00427C1F" w:rsidP="00427C1F">
      <w:pPr>
        <w:pStyle w:val="FootnoteText"/>
      </w:pPr>
      <w:r w:rsidRPr="00E95ADB">
        <w:rPr>
          <w:rStyle w:val="FootnoteReference"/>
          <w:i/>
        </w:rPr>
        <w:footnoteRef/>
      </w:r>
      <w:r w:rsidR="002F2648">
        <w:rPr>
          <w:i/>
        </w:rPr>
        <w:t xml:space="preserve"> Airport Company </w:t>
      </w:r>
      <w:r w:rsidRPr="00E95ADB">
        <w:rPr>
          <w:i/>
        </w:rPr>
        <w:t xml:space="preserve">South Africa (supra) </w:t>
      </w:r>
      <w:r w:rsidRPr="00F17F35">
        <w:t>par [1]</w:t>
      </w:r>
    </w:p>
  </w:footnote>
  <w:footnote w:id="3">
    <w:p w:rsidR="00427C1F" w:rsidRPr="000A494E" w:rsidRDefault="00427C1F" w:rsidP="00427C1F">
      <w:pPr>
        <w:pStyle w:val="FootnoteText"/>
        <w:rPr>
          <w:i/>
        </w:rPr>
      </w:pPr>
      <w:r>
        <w:rPr>
          <w:rStyle w:val="FootnoteReference"/>
        </w:rPr>
        <w:footnoteRef/>
      </w:r>
      <w:r>
        <w:t xml:space="preserve"> </w:t>
      </w:r>
      <w:r w:rsidRPr="001B14B7">
        <w:t>Constitution of the Republic of South Africa</w:t>
      </w:r>
      <w:r w:rsidR="001B14B7" w:rsidRPr="001B14B7">
        <w:t xml:space="preserve"> Act No 108 of 1996</w:t>
      </w:r>
    </w:p>
  </w:footnote>
  <w:footnote w:id="4">
    <w:p w:rsidR="00427C1F" w:rsidRPr="00B75D2A" w:rsidRDefault="00427C1F" w:rsidP="00427C1F">
      <w:pPr>
        <w:pStyle w:val="FootnoteText"/>
      </w:pPr>
      <w:r>
        <w:rPr>
          <w:rStyle w:val="FootnoteReference"/>
        </w:rPr>
        <w:footnoteRef/>
      </w:r>
      <w:r>
        <w:t xml:space="preserve">  </w:t>
      </w:r>
      <w:r w:rsidRPr="00B75D2A">
        <w:t>NEMA Section 31L</w:t>
      </w:r>
    </w:p>
  </w:footnote>
  <w:footnote w:id="5">
    <w:p w:rsidR="00427C1F" w:rsidRPr="00B75D2A" w:rsidRDefault="00427C1F" w:rsidP="00427C1F">
      <w:pPr>
        <w:pStyle w:val="FootnoteText"/>
      </w:pPr>
      <w:r>
        <w:rPr>
          <w:rStyle w:val="FootnoteReference"/>
        </w:rPr>
        <w:footnoteRef/>
      </w:r>
      <w:r>
        <w:t xml:space="preserve">  </w:t>
      </w:r>
      <w:r w:rsidRPr="00B75D2A">
        <w:t>AQA Section</w:t>
      </w:r>
      <w:r w:rsidR="00A05898">
        <w:t>s</w:t>
      </w:r>
      <w:r w:rsidRPr="00B75D2A">
        <w:t xml:space="preserve"> </w:t>
      </w:r>
      <w:r w:rsidR="00A05898">
        <w:t xml:space="preserve">21 and </w:t>
      </w:r>
      <w:r w:rsidRPr="00B75D2A">
        <w:t>22 and Chapter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880944"/>
      <w:docPartObj>
        <w:docPartGallery w:val="Page Numbers (Top of Page)"/>
        <w:docPartUnique/>
      </w:docPartObj>
    </w:sdtPr>
    <w:sdtEndPr>
      <w:rPr>
        <w:noProof/>
      </w:rPr>
    </w:sdtEndPr>
    <w:sdtContent>
      <w:p w:rsidR="007851B0" w:rsidRDefault="005D7F73">
        <w:pPr>
          <w:pStyle w:val="Header"/>
          <w:jc w:val="right"/>
        </w:pPr>
        <w:r>
          <w:fldChar w:fldCharType="begin"/>
        </w:r>
        <w:r>
          <w:instrText xml:space="preserve"> PAGE   \* MERGEFORMAT </w:instrText>
        </w:r>
        <w:r>
          <w:fldChar w:fldCharType="separate"/>
        </w:r>
        <w:r w:rsidR="00B26852">
          <w:rPr>
            <w:noProof/>
          </w:rPr>
          <w:t>3</w:t>
        </w:r>
        <w:r>
          <w:rPr>
            <w:noProof/>
          </w:rPr>
          <w:fldChar w:fldCharType="end"/>
        </w:r>
      </w:p>
    </w:sdtContent>
  </w:sdt>
  <w:p w:rsidR="007851B0" w:rsidRDefault="00F26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D78E7"/>
    <w:multiLevelType w:val="hybridMultilevel"/>
    <w:tmpl w:val="FC2CBA62"/>
    <w:lvl w:ilvl="0" w:tplc="42C28530">
      <w:start w:val="4"/>
      <w:numFmt w:val="bullet"/>
      <w:lvlText w:val="•"/>
      <w:lvlJc w:val="left"/>
      <w:pPr>
        <w:ind w:left="1800" w:hanging="360"/>
      </w:pPr>
      <w:rPr>
        <w:rFonts w:ascii="Arial" w:eastAsiaTheme="minorHAnsi" w:hAnsi="Arial"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1F"/>
    <w:rsid w:val="0003626F"/>
    <w:rsid w:val="00043E2E"/>
    <w:rsid w:val="00075B30"/>
    <w:rsid w:val="000C6E21"/>
    <w:rsid w:val="00183817"/>
    <w:rsid w:val="001B14B7"/>
    <w:rsid w:val="001B5C9F"/>
    <w:rsid w:val="001E49E1"/>
    <w:rsid w:val="00250758"/>
    <w:rsid w:val="0025091D"/>
    <w:rsid w:val="00290640"/>
    <w:rsid w:val="002D4ED3"/>
    <w:rsid w:val="002F2648"/>
    <w:rsid w:val="003042A8"/>
    <w:rsid w:val="0032741F"/>
    <w:rsid w:val="00327836"/>
    <w:rsid w:val="003755BE"/>
    <w:rsid w:val="00427C1F"/>
    <w:rsid w:val="00462B89"/>
    <w:rsid w:val="005104FC"/>
    <w:rsid w:val="00555FBE"/>
    <w:rsid w:val="00556AFE"/>
    <w:rsid w:val="005B2DC4"/>
    <w:rsid w:val="005D7F73"/>
    <w:rsid w:val="006C058E"/>
    <w:rsid w:val="006E2ADF"/>
    <w:rsid w:val="007B0E63"/>
    <w:rsid w:val="007E612A"/>
    <w:rsid w:val="007F74AD"/>
    <w:rsid w:val="00855F2F"/>
    <w:rsid w:val="008912D4"/>
    <w:rsid w:val="00892739"/>
    <w:rsid w:val="009351C8"/>
    <w:rsid w:val="0096659F"/>
    <w:rsid w:val="009A2AD9"/>
    <w:rsid w:val="009D037C"/>
    <w:rsid w:val="00A05898"/>
    <w:rsid w:val="00A07463"/>
    <w:rsid w:val="00A32451"/>
    <w:rsid w:val="00A50F67"/>
    <w:rsid w:val="00B26852"/>
    <w:rsid w:val="00B36B27"/>
    <w:rsid w:val="00B40B58"/>
    <w:rsid w:val="00B4677A"/>
    <w:rsid w:val="00B5545D"/>
    <w:rsid w:val="00B75D2A"/>
    <w:rsid w:val="00C445BA"/>
    <w:rsid w:val="00C56EE4"/>
    <w:rsid w:val="00C57686"/>
    <w:rsid w:val="00C709FE"/>
    <w:rsid w:val="00D42023"/>
    <w:rsid w:val="00D6081E"/>
    <w:rsid w:val="00DB7F64"/>
    <w:rsid w:val="00DC457B"/>
    <w:rsid w:val="00DF0EBB"/>
    <w:rsid w:val="00E074BB"/>
    <w:rsid w:val="00E079CE"/>
    <w:rsid w:val="00E726A2"/>
    <w:rsid w:val="00EA31E6"/>
    <w:rsid w:val="00EB5450"/>
    <w:rsid w:val="00EC5C54"/>
    <w:rsid w:val="00F17F35"/>
    <w:rsid w:val="00F261F8"/>
    <w:rsid w:val="00FA28C8"/>
    <w:rsid w:val="00FB58BC"/>
    <w:rsid w:val="00FE5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3AF8-1927-49E5-8F95-A612481B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1F"/>
    <w:pPr>
      <w:spacing w:after="0" w:line="480" w:lineRule="auto"/>
      <w:ind w:left="567" w:right="-357"/>
      <w:jc w:val="both"/>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C1F"/>
    <w:pPr>
      <w:tabs>
        <w:tab w:val="center" w:pos="4513"/>
        <w:tab w:val="right" w:pos="9026"/>
      </w:tabs>
      <w:spacing w:line="240" w:lineRule="auto"/>
    </w:pPr>
  </w:style>
  <w:style w:type="character" w:customStyle="1" w:styleId="HeaderChar">
    <w:name w:val="Header Char"/>
    <w:basedOn w:val="DefaultParagraphFont"/>
    <w:link w:val="Header"/>
    <w:uiPriority w:val="99"/>
    <w:rsid w:val="00427C1F"/>
    <w:rPr>
      <w:sz w:val="24"/>
      <w:szCs w:val="24"/>
      <w:lang w:val="en-GB"/>
    </w:rPr>
  </w:style>
  <w:style w:type="paragraph" w:styleId="ListParagraph">
    <w:name w:val="List Paragraph"/>
    <w:basedOn w:val="Normal"/>
    <w:uiPriority w:val="34"/>
    <w:qFormat/>
    <w:rsid w:val="00427C1F"/>
    <w:pPr>
      <w:spacing w:line="240" w:lineRule="auto"/>
      <w:ind w:left="720"/>
      <w:contextualSpacing/>
    </w:pPr>
    <w:rPr>
      <w:rFonts w:ascii="CG Times" w:eastAsia="Times New Roman" w:hAnsi="CG Times" w:cs="Times New Roman"/>
      <w:szCs w:val="20"/>
      <w:lang w:val="en-AU"/>
    </w:rPr>
  </w:style>
  <w:style w:type="paragraph" w:styleId="FootnoteText">
    <w:name w:val="footnote text"/>
    <w:basedOn w:val="Normal"/>
    <w:link w:val="FootnoteTextChar"/>
    <w:uiPriority w:val="99"/>
    <w:semiHidden/>
    <w:unhideWhenUsed/>
    <w:rsid w:val="00427C1F"/>
    <w:pPr>
      <w:spacing w:line="240" w:lineRule="auto"/>
    </w:pPr>
    <w:rPr>
      <w:sz w:val="20"/>
      <w:szCs w:val="20"/>
    </w:rPr>
  </w:style>
  <w:style w:type="character" w:customStyle="1" w:styleId="FootnoteTextChar">
    <w:name w:val="Footnote Text Char"/>
    <w:basedOn w:val="DefaultParagraphFont"/>
    <w:link w:val="FootnoteText"/>
    <w:uiPriority w:val="99"/>
    <w:semiHidden/>
    <w:rsid w:val="00427C1F"/>
    <w:rPr>
      <w:sz w:val="20"/>
      <w:szCs w:val="20"/>
      <w:lang w:val="en-GB"/>
    </w:rPr>
  </w:style>
  <w:style w:type="character" w:styleId="FootnoteReference">
    <w:name w:val="footnote reference"/>
    <w:basedOn w:val="DefaultParagraphFont"/>
    <w:uiPriority w:val="99"/>
    <w:semiHidden/>
    <w:unhideWhenUsed/>
    <w:rsid w:val="00427C1F"/>
    <w:rPr>
      <w:vertAlign w:val="superscript"/>
    </w:rPr>
  </w:style>
  <w:style w:type="paragraph" w:styleId="BalloonText">
    <w:name w:val="Balloon Text"/>
    <w:basedOn w:val="Normal"/>
    <w:link w:val="BalloonTextChar"/>
    <w:uiPriority w:val="99"/>
    <w:semiHidden/>
    <w:unhideWhenUsed/>
    <w:rsid w:val="00EC5C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6561-EE4D-481C-9DB5-8153EED1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2023-06-07T09:43:00Z</cp:lastPrinted>
  <dcterms:created xsi:type="dcterms:W3CDTF">2023-06-09T11:27:00Z</dcterms:created>
  <dcterms:modified xsi:type="dcterms:W3CDTF">2023-06-09T11:27:00Z</dcterms:modified>
</cp:coreProperties>
</file>