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FE31" w14:textId="77777777" w:rsidR="00A96A33" w:rsidRPr="00E92DE2" w:rsidRDefault="00A96A33" w:rsidP="00A96A33">
      <w:pPr>
        <w:spacing w:line="360" w:lineRule="auto"/>
        <w:rPr>
          <w:rFonts w:ascii="Arial" w:hAnsi="Arial" w:cs="Arial"/>
          <w:b/>
        </w:rPr>
      </w:pPr>
      <w:bookmarkStart w:id="0" w:name="_GoBack"/>
      <w:bookmarkEnd w:id="0"/>
    </w:p>
    <w:p w14:paraId="7B0F8D4A" w14:textId="77777777" w:rsidR="00A96A33" w:rsidRPr="00E92DE2" w:rsidRDefault="00A96A33" w:rsidP="00A96A33">
      <w:pPr>
        <w:spacing w:line="360" w:lineRule="auto"/>
        <w:jc w:val="center"/>
        <w:rPr>
          <w:rFonts w:ascii="Arial" w:hAnsi="Arial" w:cs="Arial"/>
          <w:b/>
        </w:rPr>
      </w:pPr>
      <w:r w:rsidRPr="00E92DE2">
        <w:rPr>
          <w:rFonts w:ascii="Arial" w:hAnsi="Arial" w:cs="Arial"/>
          <w:b/>
        </w:rPr>
        <w:t xml:space="preserve"> </w:t>
      </w:r>
    </w:p>
    <w:p w14:paraId="1181E23A" w14:textId="3ED08D3B" w:rsidR="00C575B2" w:rsidRDefault="00C575B2" w:rsidP="00A96A33">
      <w:pPr>
        <w:spacing w:line="360" w:lineRule="auto"/>
        <w:jc w:val="center"/>
        <w:rPr>
          <w:rFonts w:ascii="Arial" w:hAnsi="Arial" w:cs="Arial"/>
          <w:b/>
        </w:rPr>
      </w:pPr>
      <w:r w:rsidRPr="006875A9">
        <w:rPr>
          <w:rFonts w:cs="Arial"/>
          <w:noProof/>
          <w:color w:val="1F497D"/>
          <w:lang w:val="en-US"/>
        </w:rPr>
        <w:drawing>
          <wp:inline distT="0" distB="0" distL="0" distR="0" wp14:anchorId="61C6F92E" wp14:editId="2952575E">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A96A33" w:rsidRPr="009E60F5">
        <w:rPr>
          <w:rFonts w:ascii="Arial" w:hAnsi="Arial" w:cs="Arial"/>
          <w:b/>
        </w:rPr>
        <w:t xml:space="preserve">    </w:t>
      </w:r>
    </w:p>
    <w:p w14:paraId="1EAC5AE1" w14:textId="6F57AC82" w:rsidR="00A96A33" w:rsidRPr="009E60F5" w:rsidRDefault="00A96A33" w:rsidP="00A96A33">
      <w:pPr>
        <w:spacing w:line="360" w:lineRule="auto"/>
        <w:jc w:val="center"/>
        <w:rPr>
          <w:rFonts w:ascii="Arial" w:hAnsi="Arial" w:cs="Arial"/>
          <w:b/>
        </w:rPr>
      </w:pPr>
      <w:r w:rsidRPr="009E60F5">
        <w:rPr>
          <w:rFonts w:ascii="Arial" w:hAnsi="Arial" w:cs="Arial"/>
          <w:b/>
        </w:rPr>
        <w:t>IN THE HIGH COURT OF SOUTH AFRICA</w:t>
      </w:r>
    </w:p>
    <w:p w14:paraId="55271B1D" w14:textId="77777777" w:rsidR="00A96A33" w:rsidRPr="009E60F5" w:rsidRDefault="00A96A33" w:rsidP="00A96A33">
      <w:pPr>
        <w:spacing w:line="360" w:lineRule="auto"/>
        <w:jc w:val="center"/>
        <w:rPr>
          <w:rFonts w:ascii="Arial" w:hAnsi="Arial" w:cs="Arial"/>
          <w:b/>
        </w:rPr>
      </w:pPr>
      <w:r w:rsidRPr="009E60F5">
        <w:rPr>
          <w:rFonts w:ascii="Arial" w:hAnsi="Arial" w:cs="Arial"/>
          <w:b/>
        </w:rPr>
        <w:t>GAUTENG DIVISION PRETORIA</w:t>
      </w:r>
    </w:p>
    <w:p w14:paraId="58481C46" w14:textId="77777777" w:rsidR="00A96A33" w:rsidRPr="009E60F5" w:rsidRDefault="00A96A33" w:rsidP="00A96A33">
      <w:pPr>
        <w:spacing w:line="360" w:lineRule="auto"/>
        <w:jc w:val="center"/>
        <w:rPr>
          <w:rFonts w:ascii="Arial" w:hAnsi="Arial" w:cs="Arial"/>
          <w:b/>
        </w:rPr>
      </w:pPr>
    </w:p>
    <w:p w14:paraId="6171831E" w14:textId="77777777" w:rsidR="00A96A33" w:rsidRPr="009E60F5" w:rsidRDefault="00A96A33" w:rsidP="00A96A33">
      <w:pPr>
        <w:spacing w:line="360" w:lineRule="auto"/>
        <w:jc w:val="right"/>
        <w:rPr>
          <w:rFonts w:ascii="Arial" w:hAnsi="Arial" w:cs="Arial"/>
          <w:b/>
          <w:i/>
        </w:rPr>
      </w:pPr>
      <w:r w:rsidRPr="009E60F5">
        <w:rPr>
          <w:rFonts w:ascii="Arial" w:hAnsi="Arial" w:cs="Arial"/>
          <w:b/>
          <w:noProof/>
          <w:lang w:val="en-US"/>
        </w:rPr>
        <mc:AlternateContent>
          <mc:Choice Requires="wps">
            <w:drawing>
              <wp:anchor distT="0" distB="0" distL="114300" distR="114300" simplePos="0" relativeHeight="251659264" behindDoc="0" locked="0" layoutInCell="1" allowOverlap="1" wp14:anchorId="4A6F374A" wp14:editId="27A8DF83">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2D4BDE3A" w14:textId="47D4A8C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REPORTABLE:  </w:t>
                            </w:r>
                            <w:r w:rsidR="002A1A3E">
                              <w:rPr>
                                <w:rFonts w:ascii="Century Gothic" w:hAnsi="Century Gothic"/>
                                <w:sz w:val="20"/>
                                <w:szCs w:val="20"/>
                              </w:rPr>
                              <w:t>NO</w:t>
                            </w:r>
                          </w:p>
                          <w:p w14:paraId="5299333B" w14:textId="382CDDE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51C4609" w:rsidR="00A96A33" w:rsidRDefault="00A96A33" w:rsidP="00A96A33">
                            <w:pPr>
                              <w:numPr>
                                <w:ilvl w:val="0"/>
                                <w:numId w:val="7"/>
                              </w:numPr>
                              <w:rPr>
                                <w:rFonts w:ascii="Century Gothic" w:hAnsi="Century Gothic"/>
                                <w:sz w:val="20"/>
                                <w:szCs w:val="20"/>
                              </w:rPr>
                            </w:pPr>
                            <w:r>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6C501548" w:rsidR="00A96A33" w:rsidRDefault="00D13750" w:rsidP="00A96A33">
                            <w:pPr>
                              <w:rPr>
                                <w:rFonts w:ascii="Century Gothic" w:hAnsi="Century Gothic"/>
                                <w:b/>
                                <w:sz w:val="18"/>
                                <w:szCs w:val="18"/>
                              </w:rPr>
                            </w:pPr>
                            <w:r>
                              <w:rPr>
                                <w:rFonts w:ascii="Century Gothic" w:hAnsi="Century Gothic"/>
                                <w:b/>
                                <w:sz w:val="18"/>
                                <w:szCs w:val="18"/>
                              </w:rPr>
                              <w:t xml:space="preserve">     </w:t>
                            </w:r>
                            <w:r w:rsidR="007D0E9C">
                              <w:rPr>
                                <w:rFonts w:ascii="Century Gothic" w:hAnsi="Century Gothic"/>
                                <w:b/>
                                <w:sz w:val="18"/>
                                <w:szCs w:val="18"/>
                              </w:rPr>
                              <w:t xml:space="preserve">7 </w:t>
                            </w:r>
                            <w:r w:rsidR="006D537A">
                              <w:rPr>
                                <w:rFonts w:ascii="Century Gothic" w:hAnsi="Century Gothic"/>
                                <w:b/>
                                <w:sz w:val="18"/>
                                <w:szCs w:val="18"/>
                              </w:rPr>
                              <w:t>JU</w:t>
                            </w:r>
                            <w:r w:rsidR="00EC7CF7">
                              <w:rPr>
                                <w:rFonts w:ascii="Century Gothic" w:hAnsi="Century Gothic"/>
                                <w:b/>
                                <w:sz w:val="18"/>
                                <w:szCs w:val="18"/>
                              </w:rPr>
                              <w:t>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A6F374A"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">
                <v:textbox>
                  <w:txbxContent>
                    <w:p w14:paraId="2D4BDE3A" w14:textId="47D4A8C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REPORTABLE:  </w:t>
                      </w:r>
                      <w:r w:rsidR="002A1A3E">
                        <w:rPr>
                          <w:rFonts w:ascii="Century Gothic" w:hAnsi="Century Gothic"/>
                          <w:sz w:val="20"/>
                          <w:szCs w:val="20"/>
                        </w:rPr>
                        <w:t>NO</w:t>
                      </w:r>
                    </w:p>
                    <w:p w14:paraId="5299333B" w14:textId="382CDDE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51C4609" w:rsidR="00A96A33" w:rsidRDefault="00A96A33" w:rsidP="00A96A33">
                      <w:pPr>
                        <w:numPr>
                          <w:ilvl w:val="0"/>
                          <w:numId w:val="7"/>
                        </w:numPr>
                        <w:rPr>
                          <w:rFonts w:ascii="Century Gothic" w:hAnsi="Century Gothic"/>
                          <w:sz w:val="20"/>
                          <w:szCs w:val="20"/>
                        </w:rPr>
                      </w:pPr>
                      <w:r>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6C501548" w:rsidR="00A96A33" w:rsidRDefault="00D13750" w:rsidP="00A96A33">
                      <w:pPr>
                        <w:rPr>
                          <w:rFonts w:ascii="Century Gothic" w:hAnsi="Century Gothic"/>
                          <w:b/>
                          <w:sz w:val="18"/>
                          <w:szCs w:val="18"/>
                        </w:rPr>
                      </w:pPr>
                      <w:r>
                        <w:rPr>
                          <w:rFonts w:ascii="Century Gothic" w:hAnsi="Century Gothic"/>
                          <w:b/>
                          <w:sz w:val="18"/>
                          <w:szCs w:val="18"/>
                        </w:rPr>
                        <w:t xml:space="preserve">     </w:t>
                      </w:r>
                      <w:r w:rsidR="007D0E9C">
                        <w:rPr>
                          <w:rFonts w:ascii="Century Gothic" w:hAnsi="Century Gothic"/>
                          <w:b/>
                          <w:sz w:val="18"/>
                          <w:szCs w:val="18"/>
                        </w:rPr>
                        <w:t xml:space="preserve">7 </w:t>
                      </w:r>
                      <w:r w:rsidR="006D537A">
                        <w:rPr>
                          <w:rFonts w:ascii="Century Gothic" w:hAnsi="Century Gothic"/>
                          <w:b/>
                          <w:sz w:val="18"/>
                          <w:szCs w:val="18"/>
                        </w:rPr>
                        <w:t>JU</w:t>
                      </w:r>
                      <w:r w:rsidR="00EC7CF7">
                        <w:rPr>
                          <w:rFonts w:ascii="Century Gothic" w:hAnsi="Century Gothic"/>
                          <w:b/>
                          <w:sz w:val="18"/>
                          <w:szCs w:val="18"/>
                        </w:rPr>
                        <w:t>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5ABFFFFF" w14:textId="77777777" w:rsidR="00A96A33" w:rsidRPr="009E60F5" w:rsidRDefault="00A96A33" w:rsidP="00A96A33">
      <w:pPr>
        <w:pStyle w:val="Heading1"/>
        <w:tabs>
          <w:tab w:val="clear" w:pos="540"/>
        </w:tabs>
        <w:ind w:right="-29"/>
        <w:jc w:val="right"/>
        <w:rPr>
          <w:rFonts w:ascii="Arial" w:hAnsi="Arial" w:cs="Arial"/>
        </w:rPr>
      </w:pPr>
    </w:p>
    <w:p w14:paraId="12CCBB45" w14:textId="77777777" w:rsidR="00A96A33" w:rsidRPr="009E60F5" w:rsidRDefault="00A96A33" w:rsidP="00A96A33">
      <w:pPr>
        <w:pStyle w:val="Heading1"/>
        <w:tabs>
          <w:tab w:val="clear" w:pos="540"/>
        </w:tabs>
        <w:ind w:right="-29"/>
        <w:jc w:val="right"/>
        <w:rPr>
          <w:rFonts w:ascii="Arial" w:hAnsi="Arial" w:cs="Arial"/>
        </w:rPr>
      </w:pPr>
    </w:p>
    <w:p w14:paraId="5339138B" w14:textId="77777777" w:rsidR="00A96A33" w:rsidRPr="009E60F5" w:rsidRDefault="00A96A33" w:rsidP="00A96A33">
      <w:pPr>
        <w:jc w:val="center"/>
        <w:rPr>
          <w:rFonts w:ascii="Arial" w:hAnsi="Arial" w:cs="Arial"/>
          <w:b/>
        </w:rPr>
      </w:pPr>
    </w:p>
    <w:p w14:paraId="4FAF8E4B" w14:textId="77777777" w:rsidR="00A96A33" w:rsidRPr="009E60F5" w:rsidRDefault="00A96A33" w:rsidP="00A96A33">
      <w:pPr>
        <w:jc w:val="center"/>
        <w:rPr>
          <w:rFonts w:ascii="Arial" w:hAnsi="Arial" w:cs="Arial"/>
          <w:b/>
        </w:rPr>
      </w:pPr>
    </w:p>
    <w:p w14:paraId="1CF2A213" w14:textId="77777777" w:rsidR="00A96A33" w:rsidRPr="009E60F5" w:rsidRDefault="00A96A33" w:rsidP="00A96A33">
      <w:pPr>
        <w:jc w:val="both"/>
        <w:rPr>
          <w:rFonts w:ascii="Arial" w:hAnsi="Arial" w:cs="Arial"/>
        </w:rPr>
      </w:pPr>
    </w:p>
    <w:p w14:paraId="234069AD" w14:textId="77777777" w:rsidR="00A96A33" w:rsidRPr="009E60F5" w:rsidRDefault="00A96A33" w:rsidP="00A96A33">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A96A33" w:rsidRPr="009E60F5" w14:paraId="557BCC7E" w14:textId="77777777" w:rsidTr="001E46C7">
        <w:tc>
          <w:tcPr>
            <w:tcW w:w="5812" w:type="dxa"/>
            <w:gridSpan w:val="2"/>
            <w:shd w:val="clear" w:color="auto" w:fill="auto"/>
          </w:tcPr>
          <w:p w14:paraId="7922E337"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4A73BF39" w14:textId="5018BD41" w:rsidR="00A96A33" w:rsidRPr="009E60F5" w:rsidRDefault="00A96A33" w:rsidP="001E46C7">
            <w:pPr>
              <w:widowControl w:val="0"/>
              <w:spacing w:line="360" w:lineRule="auto"/>
              <w:jc w:val="right"/>
              <w:rPr>
                <w:rFonts w:ascii="Arial" w:hAnsi="Arial" w:cs="Arial"/>
                <w:b/>
              </w:rPr>
            </w:pPr>
            <w:r w:rsidRPr="009E60F5">
              <w:rPr>
                <w:rFonts w:ascii="Arial" w:hAnsi="Arial" w:cs="Arial"/>
                <w:b/>
              </w:rPr>
              <w:t xml:space="preserve">Case Number: </w:t>
            </w:r>
            <w:r w:rsidR="00AA5162">
              <w:rPr>
                <w:rFonts w:ascii="Arial" w:hAnsi="Arial" w:cs="Arial"/>
                <w:b/>
                <w:bCs/>
              </w:rPr>
              <w:t>54837/2020</w:t>
            </w:r>
          </w:p>
        </w:tc>
      </w:tr>
      <w:tr w:rsidR="00A96A33" w:rsidRPr="009E60F5" w14:paraId="178E2EB8" w14:textId="77777777" w:rsidTr="001E46C7">
        <w:tc>
          <w:tcPr>
            <w:tcW w:w="5812" w:type="dxa"/>
            <w:gridSpan w:val="2"/>
            <w:shd w:val="clear" w:color="auto" w:fill="auto"/>
          </w:tcPr>
          <w:p w14:paraId="0960CF00"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61F1E294" w14:textId="77777777" w:rsidR="00A96A33" w:rsidRPr="009E60F5" w:rsidRDefault="00A96A33" w:rsidP="001E46C7">
            <w:pPr>
              <w:widowControl w:val="0"/>
              <w:spacing w:line="360" w:lineRule="auto"/>
              <w:jc w:val="right"/>
              <w:rPr>
                <w:rFonts w:ascii="Arial" w:hAnsi="Arial" w:cs="Arial"/>
                <w:b/>
              </w:rPr>
            </w:pPr>
          </w:p>
        </w:tc>
      </w:tr>
      <w:tr w:rsidR="00A96A33" w:rsidRPr="009E60F5" w14:paraId="0E20CF1D"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44A31259" w14:textId="092835E9" w:rsidR="00A90B49" w:rsidRPr="009E60F5" w:rsidRDefault="001674D2" w:rsidP="001674D2">
            <w:pPr>
              <w:widowControl w:val="0"/>
              <w:spacing w:line="360" w:lineRule="auto"/>
              <w:rPr>
                <w:rFonts w:ascii="Arial" w:hAnsi="Arial" w:cs="Arial"/>
                <w:b/>
                <w:bCs/>
              </w:rPr>
            </w:pPr>
            <w:r w:rsidRPr="001674D2">
              <w:rPr>
                <w:rFonts w:ascii="Arial" w:hAnsi="Arial" w:cs="Arial"/>
                <w:b/>
                <w:bCs/>
              </w:rPr>
              <w:t>DEUTSCHER GENOSSENSCHAFTSUND</w:t>
            </w:r>
            <w:r>
              <w:rPr>
                <w:rFonts w:ascii="Arial" w:hAnsi="Arial" w:cs="Arial"/>
                <w:b/>
                <w:bCs/>
              </w:rPr>
              <w:t xml:space="preserve"> </w:t>
            </w:r>
            <w:r w:rsidRPr="001674D2">
              <w:rPr>
                <w:rFonts w:ascii="Arial" w:hAnsi="Arial" w:cs="Arial"/>
                <w:b/>
                <w:bCs/>
              </w:rPr>
              <w:t>RAIFFEISENVERBAND e.V.1/GERMAN COOPERATIVE</w:t>
            </w:r>
            <w:r>
              <w:rPr>
                <w:rFonts w:ascii="Arial" w:hAnsi="Arial" w:cs="Arial"/>
                <w:b/>
                <w:bCs/>
              </w:rPr>
              <w:t xml:space="preserve"> </w:t>
            </w:r>
            <w:r w:rsidRPr="001674D2">
              <w:rPr>
                <w:rFonts w:ascii="Arial" w:hAnsi="Arial" w:cs="Arial"/>
                <w:b/>
                <w:bCs/>
              </w:rPr>
              <w:t>AND RAIFFEISEN CONFEDERATION</w:t>
            </w:r>
            <w:r>
              <w:rPr>
                <w:rFonts w:ascii="Arial" w:hAnsi="Arial" w:cs="Arial"/>
                <w:b/>
                <w:bCs/>
              </w:rPr>
              <w:t xml:space="preserve"> [DGRV]</w:t>
            </w:r>
          </w:p>
        </w:tc>
        <w:tc>
          <w:tcPr>
            <w:tcW w:w="3261" w:type="dxa"/>
            <w:tcBorders>
              <w:top w:val="nil"/>
              <w:left w:val="nil"/>
              <w:bottom w:val="nil"/>
              <w:right w:val="nil"/>
            </w:tcBorders>
          </w:tcPr>
          <w:p w14:paraId="3F03C171" w14:textId="7A0A22D0" w:rsidR="00A96A33" w:rsidRPr="009E60F5" w:rsidRDefault="001674D2" w:rsidP="000012D8">
            <w:pPr>
              <w:widowControl w:val="0"/>
              <w:spacing w:line="360" w:lineRule="auto"/>
              <w:jc w:val="right"/>
              <w:rPr>
                <w:rFonts w:ascii="Arial" w:hAnsi="Arial" w:cs="Arial"/>
              </w:rPr>
            </w:pPr>
            <w:r>
              <w:rPr>
                <w:rFonts w:ascii="Arial" w:hAnsi="Arial" w:cs="Arial"/>
              </w:rPr>
              <w:t>Applicant</w:t>
            </w:r>
          </w:p>
        </w:tc>
      </w:tr>
      <w:tr w:rsidR="00A96A33" w:rsidRPr="009E60F5" w14:paraId="10B89B6A"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BB654D1" w14:textId="77777777" w:rsidR="00A96A33" w:rsidRPr="009E60F5" w:rsidRDefault="00A96A33" w:rsidP="001E46C7">
            <w:pPr>
              <w:widowControl w:val="0"/>
              <w:spacing w:line="360" w:lineRule="auto"/>
              <w:rPr>
                <w:rFonts w:ascii="Arial" w:hAnsi="Arial" w:cs="Arial"/>
                <w:b/>
              </w:rPr>
            </w:pPr>
          </w:p>
        </w:tc>
        <w:tc>
          <w:tcPr>
            <w:tcW w:w="3261" w:type="dxa"/>
            <w:tcBorders>
              <w:top w:val="nil"/>
              <w:left w:val="nil"/>
              <w:bottom w:val="nil"/>
              <w:right w:val="nil"/>
            </w:tcBorders>
          </w:tcPr>
          <w:p w14:paraId="3CE0A221" w14:textId="77777777" w:rsidR="00A96A33" w:rsidRPr="009E60F5" w:rsidRDefault="00A96A33" w:rsidP="001E46C7">
            <w:pPr>
              <w:widowControl w:val="0"/>
              <w:spacing w:line="360" w:lineRule="auto"/>
              <w:jc w:val="right"/>
              <w:rPr>
                <w:rFonts w:ascii="Arial" w:hAnsi="Arial" w:cs="Arial"/>
              </w:rPr>
            </w:pPr>
          </w:p>
        </w:tc>
      </w:tr>
      <w:tr w:rsidR="00A96A33" w:rsidRPr="009E60F5" w14:paraId="3EA28C8E"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52EF9AB" w14:textId="0084DBF2" w:rsidR="00A96A33" w:rsidRPr="009E60F5" w:rsidRDefault="006D537A" w:rsidP="001E46C7">
            <w:pPr>
              <w:widowControl w:val="0"/>
              <w:spacing w:line="360" w:lineRule="auto"/>
              <w:rPr>
                <w:rFonts w:ascii="Arial" w:hAnsi="Arial" w:cs="Arial"/>
              </w:rPr>
            </w:pPr>
            <w:r>
              <w:rPr>
                <w:rFonts w:ascii="Arial" w:hAnsi="Arial" w:cs="Arial"/>
              </w:rPr>
              <w:t>a</w:t>
            </w:r>
            <w:r w:rsidR="002A1A3E">
              <w:rPr>
                <w:rFonts w:ascii="Arial" w:hAnsi="Arial" w:cs="Arial"/>
              </w:rPr>
              <w:t>nd</w:t>
            </w:r>
          </w:p>
        </w:tc>
        <w:tc>
          <w:tcPr>
            <w:tcW w:w="3261" w:type="dxa"/>
            <w:tcBorders>
              <w:top w:val="nil"/>
              <w:left w:val="nil"/>
              <w:bottom w:val="nil"/>
              <w:right w:val="nil"/>
            </w:tcBorders>
          </w:tcPr>
          <w:p w14:paraId="462CC586" w14:textId="77777777" w:rsidR="00A96A33" w:rsidRPr="009E60F5" w:rsidRDefault="00A96A33" w:rsidP="001E46C7">
            <w:pPr>
              <w:widowControl w:val="0"/>
              <w:spacing w:line="360" w:lineRule="auto"/>
              <w:jc w:val="right"/>
              <w:rPr>
                <w:rFonts w:ascii="Arial" w:hAnsi="Arial" w:cs="Arial"/>
              </w:rPr>
            </w:pPr>
          </w:p>
        </w:tc>
      </w:tr>
      <w:tr w:rsidR="00A96A33" w:rsidRPr="009E60F5" w14:paraId="1777248F"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CF70C7B" w14:textId="104BE88E" w:rsidR="00A96A33" w:rsidRPr="009E60F5" w:rsidRDefault="00A96A33" w:rsidP="001E46C7">
            <w:pPr>
              <w:widowControl w:val="0"/>
              <w:spacing w:line="360" w:lineRule="auto"/>
              <w:rPr>
                <w:rFonts w:ascii="Arial" w:hAnsi="Arial" w:cs="Arial"/>
              </w:rPr>
            </w:pPr>
          </w:p>
        </w:tc>
        <w:tc>
          <w:tcPr>
            <w:tcW w:w="3261" w:type="dxa"/>
            <w:tcBorders>
              <w:top w:val="nil"/>
              <w:left w:val="nil"/>
              <w:bottom w:val="nil"/>
              <w:right w:val="nil"/>
            </w:tcBorders>
          </w:tcPr>
          <w:p w14:paraId="2CA6D647" w14:textId="77777777" w:rsidR="00A96A33" w:rsidRPr="009E60F5" w:rsidRDefault="00A96A33" w:rsidP="001E46C7">
            <w:pPr>
              <w:widowControl w:val="0"/>
              <w:spacing w:line="360" w:lineRule="auto"/>
              <w:jc w:val="right"/>
              <w:rPr>
                <w:rFonts w:ascii="Arial" w:hAnsi="Arial" w:cs="Arial"/>
              </w:rPr>
            </w:pPr>
          </w:p>
        </w:tc>
      </w:tr>
      <w:tr w:rsidR="00A96A33" w:rsidRPr="009E60F5" w14:paraId="38CD7750"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6C80D941" w14:textId="67991440" w:rsidR="007F63D9" w:rsidRDefault="001674D2" w:rsidP="001E46C7">
            <w:pPr>
              <w:widowControl w:val="0"/>
              <w:spacing w:line="360" w:lineRule="auto"/>
              <w:rPr>
                <w:rFonts w:ascii="Arial" w:hAnsi="Arial" w:cs="Arial"/>
                <w:b/>
                <w:bCs/>
              </w:rPr>
            </w:pPr>
            <w:r w:rsidRPr="001674D2">
              <w:rPr>
                <w:rFonts w:ascii="Arial" w:hAnsi="Arial" w:cs="Arial"/>
                <w:b/>
                <w:bCs/>
              </w:rPr>
              <w:t>TEBOHO MOTSEKHOANE SEJAKE</w:t>
            </w:r>
          </w:p>
          <w:p w14:paraId="204BC2DD" w14:textId="3C11030A" w:rsidR="001674D2" w:rsidRPr="006D537A" w:rsidRDefault="001674D2" w:rsidP="001E46C7">
            <w:pPr>
              <w:widowControl w:val="0"/>
              <w:spacing w:line="360" w:lineRule="auto"/>
              <w:rPr>
                <w:rFonts w:ascii="Arial" w:hAnsi="Arial" w:cs="Arial"/>
                <w:b/>
                <w:bCs/>
              </w:rPr>
            </w:pPr>
            <w:r>
              <w:rPr>
                <w:rFonts w:ascii="Arial" w:hAnsi="Arial" w:cs="Arial"/>
                <w:b/>
                <w:bCs/>
              </w:rPr>
              <w:t>and another</w:t>
            </w:r>
          </w:p>
          <w:p w14:paraId="50C22F5B" w14:textId="1EB964D8" w:rsidR="00A96A33" w:rsidRPr="009E60F5" w:rsidRDefault="00A96A33" w:rsidP="00960D9C">
            <w:pPr>
              <w:widowControl w:val="0"/>
              <w:spacing w:line="360" w:lineRule="auto"/>
              <w:rPr>
                <w:rFonts w:ascii="Arial" w:hAnsi="Arial" w:cs="Arial"/>
                <w:b/>
                <w:bCs/>
              </w:rPr>
            </w:pPr>
          </w:p>
        </w:tc>
        <w:tc>
          <w:tcPr>
            <w:tcW w:w="3261" w:type="dxa"/>
            <w:tcBorders>
              <w:top w:val="nil"/>
              <w:left w:val="nil"/>
              <w:bottom w:val="nil"/>
              <w:right w:val="nil"/>
            </w:tcBorders>
          </w:tcPr>
          <w:p w14:paraId="0609C42D" w14:textId="50A54141" w:rsidR="00A96A33" w:rsidRDefault="009B43B4" w:rsidP="001E46C7">
            <w:pPr>
              <w:widowControl w:val="0"/>
              <w:spacing w:line="360" w:lineRule="auto"/>
              <w:jc w:val="right"/>
              <w:rPr>
                <w:rFonts w:ascii="Arial" w:hAnsi="Arial" w:cs="Arial"/>
              </w:rPr>
            </w:pPr>
            <w:r>
              <w:rPr>
                <w:rFonts w:ascii="Arial" w:hAnsi="Arial" w:cs="Arial"/>
              </w:rPr>
              <w:t xml:space="preserve"> </w:t>
            </w:r>
            <w:r w:rsidR="001674D2">
              <w:rPr>
                <w:rFonts w:ascii="Arial" w:hAnsi="Arial" w:cs="Arial"/>
              </w:rPr>
              <w:t>First Respondent</w:t>
            </w:r>
          </w:p>
          <w:p w14:paraId="193B91AB" w14:textId="77777777" w:rsidR="005C4521" w:rsidRDefault="005C4521" w:rsidP="001E46C7">
            <w:pPr>
              <w:widowControl w:val="0"/>
              <w:spacing w:line="360" w:lineRule="auto"/>
              <w:jc w:val="right"/>
              <w:rPr>
                <w:rFonts w:ascii="Arial" w:hAnsi="Arial" w:cs="Arial"/>
              </w:rPr>
            </w:pPr>
          </w:p>
          <w:p w14:paraId="449F92BF" w14:textId="0DF81702" w:rsidR="000012D8" w:rsidRPr="009E60F5" w:rsidRDefault="000012D8" w:rsidP="001E46C7">
            <w:pPr>
              <w:widowControl w:val="0"/>
              <w:spacing w:line="360" w:lineRule="auto"/>
              <w:jc w:val="right"/>
              <w:rPr>
                <w:rFonts w:ascii="Arial" w:hAnsi="Arial" w:cs="Arial"/>
              </w:rPr>
            </w:pPr>
          </w:p>
        </w:tc>
      </w:tr>
    </w:tbl>
    <w:p w14:paraId="359CA2CC" w14:textId="77777777" w:rsidR="00A96A33" w:rsidRPr="009E60F5" w:rsidRDefault="00A96A33" w:rsidP="00A96A33">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A96A33" w:rsidRPr="009E60F5" w14:paraId="25C2A05A" w14:textId="77777777" w:rsidTr="001E46C7">
        <w:tc>
          <w:tcPr>
            <w:tcW w:w="8931" w:type="dxa"/>
            <w:shd w:val="clear" w:color="auto" w:fill="auto"/>
          </w:tcPr>
          <w:p w14:paraId="551E4B7E" w14:textId="77777777" w:rsidR="00A96A33" w:rsidRPr="009E60F5" w:rsidRDefault="00A96A33" w:rsidP="001E46C7">
            <w:pPr>
              <w:rPr>
                <w:rFonts w:ascii="Arial" w:hAnsi="Arial" w:cs="Arial"/>
              </w:rPr>
            </w:pPr>
          </w:p>
          <w:p w14:paraId="06430362" w14:textId="53029412" w:rsidR="00A96A33" w:rsidRPr="009E60F5" w:rsidRDefault="006D537A" w:rsidP="001E46C7">
            <w:pPr>
              <w:jc w:val="center"/>
              <w:rPr>
                <w:rFonts w:ascii="Arial" w:hAnsi="Arial" w:cs="Arial"/>
                <w:b/>
              </w:rPr>
            </w:pPr>
            <w:r>
              <w:rPr>
                <w:rFonts w:ascii="Arial" w:hAnsi="Arial" w:cs="Arial"/>
                <w:b/>
              </w:rPr>
              <w:t>JUDGMENT</w:t>
            </w:r>
          </w:p>
          <w:p w14:paraId="53E57B93" w14:textId="77777777" w:rsidR="00A96A33" w:rsidRPr="009E60F5" w:rsidRDefault="00A96A33" w:rsidP="001E46C7">
            <w:pPr>
              <w:jc w:val="center"/>
              <w:rPr>
                <w:rFonts w:ascii="Arial" w:hAnsi="Arial" w:cs="Arial"/>
              </w:rPr>
            </w:pPr>
          </w:p>
        </w:tc>
      </w:tr>
    </w:tbl>
    <w:p w14:paraId="368E7064" w14:textId="77777777" w:rsidR="00A96A33" w:rsidRPr="009E60F5" w:rsidRDefault="00A96A33" w:rsidP="00A96A33">
      <w:pPr>
        <w:widowControl w:val="0"/>
        <w:autoSpaceDE w:val="0"/>
        <w:autoSpaceDN w:val="0"/>
        <w:adjustRightInd w:val="0"/>
        <w:spacing w:line="480" w:lineRule="auto"/>
        <w:ind w:right="-455"/>
        <w:jc w:val="center"/>
        <w:rPr>
          <w:rFonts w:ascii="Arial" w:hAnsi="Arial" w:cs="Arial"/>
          <w:b/>
          <w:u w:val="single"/>
        </w:rPr>
      </w:pPr>
      <w:bookmarkStart w:id="1" w:name="QuickMark"/>
      <w:bookmarkEnd w:id="1"/>
    </w:p>
    <w:p w14:paraId="117A820D" w14:textId="3FC1396F" w:rsidR="00A96A33" w:rsidRPr="009E60F5" w:rsidRDefault="00A96A33" w:rsidP="00A96A33">
      <w:pPr>
        <w:widowControl w:val="0"/>
        <w:autoSpaceDE w:val="0"/>
        <w:autoSpaceDN w:val="0"/>
        <w:adjustRightInd w:val="0"/>
        <w:spacing w:line="480" w:lineRule="auto"/>
        <w:ind w:right="-455"/>
        <w:rPr>
          <w:rFonts w:ascii="Arial" w:hAnsi="Arial" w:cs="Arial"/>
          <w:bCs/>
        </w:rPr>
      </w:pPr>
      <w:r>
        <w:rPr>
          <w:rFonts w:ascii="Arial" w:hAnsi="Arial" w:cs="Arial"/>
          <w:b/>
          <w:u w:val="single"/>
        </w:rPr>
        <w:lastRenderedPageBreak/>
        <w:t>SC VIVIAN</w:t>
      </w:r>
      <w:r w:rsidRPr="009E60F5">
        <w:rPr>
          <w:rFonts w:ascii="Arial" w:hAnsi="Arial" w:cs="Arial"/>
          <w:b/>
          <w:u w:val="single"/>
        </w:rPr>
        <w:t xml:space="preserve"> AJ</w:t>
      </w:r>
    </w:p>
    <w:p w14:paraId="23DBD868" w14:textId="77777777" w:rsidR="00A96A33" w:rsidRPr="009E60F5" w:rsidRDefault="00A96A33" w:rsidP="00A96A33">
      <w:pPr>
        <w:widowControl w:val="0"/>
        <w:autoSpaceDE w:val="0"/>
        <w:autoSpaceDN w:val="0"/>
        <w:adjustRightInd w:val="0"/>
        <w:spacing w:line="480" w:lineRule="auto"/>
        <w:ind w:right="-455"/>
        <w:rPr>
          <w:rFonts w:ascii="Arial" w:hAnsi="Arial" w:cs="Arial"/>
          <w:bCs/>
        </w:rPr>
      </w:pPr>
    </w:p>
    <w:p w14:paraId="3D525537" w14:textId="5476C1A6" w:rsidR="00BE6E44" w:rsidRDefault="00803C07" w:rsidP="006D537A">
      <w:pPr>
        <w:pStyle w:val="ListParagraph"/>
        <w:numPr>
          <w:ilvl w:val="0"/>
          <w:numId w:val="1"/>
        </w:numPr>
        <w:spacing w:line="480" w:lineRule="auto"/>
        <w:jc w:val="both"/>
        <w:rPr>
          <w:rFonts w:ascii="Arial" w:hAnsi="Arial" w:cs="Arial"/>
        </w:rPr>
      </w:pPr>
      <w:bookmarkStart w:id="2" w:name="_Toc299712776"/>
      <w:bookmarkStart w:id="3" w:name="_Toc419271086"/>
      <w:bookmarkEnd w:id="2"/>
      <w:bookmarkEnd w:id="3"/>
      <w:r>
        <w:rPr>
          <w:rFonts w:ascii="Arial" w:hAnsi="Arial" w:cs="Arial"/>
        </w:rPr>
        <w:t xml:space="preserve">This is an application for sequestration. The Applicant is a </w:t>
      </w:r>
      <w:r w:rsidR="00535A6C">
        <w:rPr>
          <w:rFonts w:ascii="Arial" w:hAnsi="Arial" w:cs="Arial"/>
        </w:rPr>
        <w:t>n</w:t>
      </w:r>
      <w:r>
        <w:rPr>
          <w:rFonts w:ascii="Arial" w:hAnsi="Arial" w:cs="Arial"/>
        </w:rPr>
        <w:t>on-</w:t>
      </w:r>
      <w:r w:rsidR="00535A6C">
        <w:rPr>
          <w:rFonts w:ascii="Arial" w:hAnsi="Arial" w:cs="Arial"/>
        </w:rPr>
        <w:t>g</w:t>
      </w:r>
      <w:r>
        <w:rPr>
          <w:rFonts w:ascii="Arial" w:hAnsi="Arial" w:cs="Arial"/>
        </w:rPr>
        <w:t xml:space="preserve">overnmental </w:t>
      </w:r>
      <w:r w:rsidR="00535A6C">
        <w:rPr>
          <w:rFonts w:ascii="Arial" w:hAnsi="Arial" w:cs="Arial"/>
        </w:rPr>
        <w:t>o</w:t>
      </w:r>
      <w:r>
        <w:rPr>
          <w:rFonts w:ascii="Arial" w:hAnsi="Arial" w:cs="Arial"/>
        </w:rPr>
        <w:t xml:space="preserve">rganisation formed in terms of the laws of Germany. It conducts developmental programmes in South Africa. It is fully funded and financed from German public funds.  </w:t>
      </w:r>
    </w:p>
    <w:p w14:paraId="31FEEA0C" w14:textId="77777777" w:rsidR="007F63D9" w:rsidRDefault="007F63D9" w:rsidP="007F63D9">
      <w:pPr>
        <w:pStyle w:val="ListParagraph"/>
        <w:ind w:left="567"/>
        <w:jc w:val="both"/>
        <w:rPr>
          <w:rFonts w:ascii="Arial" w:hAnsi="Arial" w:cs="Arial"/>
        </w:rPr>
      </w:pPr>
    </w:p>
    <w:p w14:paraId="1E0340B9" w14:textId="13E23017" w:rsidR="00DD741B" w:rsidRDefault="00803C07" w:rsidP="004129C8">
      <w:pPr>
        <w:pStyle w:val="ListParagraph"/>
        <w:numPr>
          <w:ilvl w:val="0"/>
          <w:numId w:val="1"/>
        </w:numPr>
        <w:spacing w:line="480" w:lineRule="auto"/>
        <w:jc w:val="both"/>
        <w:rPr>
          <w:rFonts w:ascii="Arial" w:hAnsi="Arial" w:cs="Arial"/>
        </w:rPr>
      </w:pPr>
      <w:r>
        <w:rPr>
          <w:rFonts w:ascii="Arial" w:hAnsi="Arial" w:cs="Arial"/>
        </w:rPr>
        <w:t xml:space="preserve">The First Respondent is a former employee of the Applicant. The Applicant says that she </w:t>
      </w:r>
      <w:r w:rsidR="00535A6C">
        <w:rPr>
          <w:rFonts w:ascii="Arial" w:hAnsi="Arial" w:cs="Arial"/>
        </w:rPr>
        <w:t>misappropriated</w:t>
      </w:r>
      <w:r>
        <w:rPr>
          <w:rFonts w:ascii="Arial" w:hAnsi="Arial" w:cs="Arial"/>
        </w:rPr>
        <w:t xml:space="preserve"> money from it. The Applicant laid a charge against the First Respondent. It also issued summons against her for an amount of almost R1 million. The First Respondent entered an appearance to defend the action, but did not file a plea. Default judgment was granted against her. A warrant of execution was issued against the First Respondent. The sheriff attempted to execute the warrant but rendered a </w:t>
      </w:r>
      <w:r>
        <w:rPr>
          <w:rFonts w:ascii="Arial" w:hAnsi="Arial" w:cs="Arial"/>
          <w:i/>
          <w:iCs/>
        </w:rPr>
        <w:t xml:space="preserve">nulla bona </w:t>
      </w:r>
      <w:r>
        <w:rPr>
          <w:rFonts w:ascii="Arial" w:hAnsi="Arial" w:cs="Arial"/>
        </w:rPr>
        <w:t>return of service, meaning that the sheriff was unable to locate assets to satisfy the warrant.</w:t>
      </w:r>
    </w:p>
    <w:p w14:paraId="59785D75" w14:textId="77777777" w:rsidR="00803C07" w:rsidRPr="00803C07" w:rsidRDefault="00803C07" w:rsidP="00803C07">
      <w:pPr>
        <w:pStyle w:val="ListParagraph"/>
        <w:rPr>
          <w:rFonts w:ascii="Arial" w:hAnsi="Arial" w:cs="Arial"/>
        </w:rPr>
      </w:pPr>
    </w:p>
    <w:p w14:paraId="18463BFF" w14:textId="41D6CC5C" w:rsidR="00803C07" w:rsidRDefault="00803C07" w:rsidP="004129C8">
      <w:pPr>
        <w:pStyle w:val="ListParagraph"/>
        <w:numPr>
          <w:ilvl w:val="0"/>
          <w:numId w:val="1"/>
        </w:numPr>
        <w:spacing w:line="480" w:lineRule="auto"/>
        <w:jc w:val="both"/>
        <w:rPr>
          <w:rFonts w:ascii="Arial" w:hAnsi="Arial" w:cs="Arial"/>
        </w:rPr>
      </w:pPr>
      <w:r>
        <w:rPr>
          <w:rFonts w:ascii="Arial" w:hAnsi="Arial" w:cs="Arial"/>
        </w:rPr>
        <w:t>The Applicant says that it has subsequently found that the First Respondent in fact stole even more money than it initially realised.</w:t>
      </w:r>
      <w:r w:rsidR="00DA7E6C">
        <w:rPr>
          <w:rFonts w:ascii="Arial" w:hAnsi="Arial" w:cs="Arial"/>
        </w:rPr>
        <w:t xml:space="preserve"> Accordingly, the debt owed to it is greater than the judgment debt.</w:t>
      </w:r>
    </w:p>
    <w:p w14:paraId="611F3A46" w14:textId="77777777" w:rsidR="00DA7E6C" w:rsidRPr="00DA7E6C" w:rsidRDefault="00DA7E6C" w:rsidP="00DA7E6C">
      <w:pPr>
        <w:pStyle w:val="ListParagraph"/>
        <w:rPr>
          <w:rFonts w:ascii="Arial" w:hAnsi="Arial" w:cs="Arial"/>
        </w:rPr>
      </w:pPr>
    </w:p>
    <w:p w14:paraId="76908EDE" w14:textId="0B3D8A59" w:rsidR="00DA7E6C" w:rsidRDefault="00DA7E6C" w:rsidP="004129C8">
      <w:pPr>
        <w:pStyle w:val="ListParagraph"/>
        <w:numPr>
          <w:ilvl w:val="0"/>
          <w:numId w:val="1"/>
        </w:numPr>
        <w:spacing w:line="480" w:lineRule="auto"/>
        <w:jc w:val="both"/>
        <w:rPr>
          <w:rFonts w:ascii="Arial" w:hAnsi="Arial" w:cs="Arial"/>
        </w:rPr>
      </w:pPr>
      <w:r>
        <w:rPr>
          <w:rFonts w:ascii="Arial" w:hAnsi="Arial" w:cs="Arial"/>
        </w:rPr>
        <w:t xml:space="preserve">The failure to pay the judgment debt is an act of insolvency. However, the Applicant says that after receiving the </w:t>
      </w:r>
      <w:r>
        <w:rPr>
          <w:rFonts w:ascii="Arial" w:hAnsi="Arial" w:cs="Arial"/>
          <w:i/>
          <w:iCs/>
        </w:rPr>
        <w:t xml:space="preserve">nulla bona </w:t>
      </w:r>
      <w:r>
        <w:rPr>
          <w:rFonts w:ascii="Arial" w:hAnsi="Arial" w:cs="Arial"/>
        </w:rPr>
        <w:t xml:space="preserve">return, it became aware that the First Respondent is married to the Second Respondent in community of property. It says this on the basis that a search conducted at the Deeds Office did not reveal that an </w:t>
      </w:r>
      <w:r w:rsidR="00535A6C">
        <w:rPr>
          <w:rFonts w:ascii="Arial" w:hAnsi="Arial" w:cs="Arial"/>
        </w:rPr>
        <w:t>a</w:t>
      </w:r>
      <w:r w:rsidR="00C07F1B">
        <w:rPr>
          <w:rFonts w:ascii="Arial" w:hAnsi="Arial" w:cs="Arial"/>
        </w:rPr>
        <w:t>ntenuptial</w:t>
      </w:r>
      <w:r>
        <w:rPr>
          <w:rFonts w:ascii="Arial" w:hAnsi="Arial" w:cs="Arial"/>
        </w:rPr>
        <w:t xml:space="preserve"> </w:t>
      </w:r>
      <w:r w:rsidR="00535A6C">
        <w:rPr>
          <w:rFonts w:ascii="Arial" w:hAnsi="Arial" w:cs="Arial"/>
        </w:rPr>
        <w:t>c</w:t>
      </w:r>
      <w:r>
        <w:rPr>
          <w:rFonts w:ascii="Arial" w:hAnsi="Arial" w:cs="Arial"/>
        </w:rPr>
        <w:t xml:space="preserve">ontract had been registered. It points out that it did find that immovable property is registered in the name of the Second Respondent and that the search showed that this immovable property was </w:t>
      </w:r>
      <w:r>
        <w:rPr>
          <w:rFonts w:ascii="Arial" w:hAnsi="Arial" w:cs="Arial"/>
        </w:rPr>
        <w:lastRenderedPageBreak/>
        <w:t>registered on the basis that the Second Respondent is married out of community of property.</w:t>
      </w:r>
    </w:p>
    <w:p w14:paraId="22C5C353" w14:textId="77777777" w:rsidR="00DA7E6C" w:rsidRPr="00DA7E6C" w:rsidRDefault="00DA7E6C" w:rsidP="00DA7E6C">
      <w:pPr>
        <w:pStyle w:val="ListParagraph"/>
        <w:rPr>
          <w:rFonts w:ascii="Arial" w:hAnsi="Arial" w:cs="Arial"/>
        </w:rPr>
      </w:pPr>
    </w:p>
    <w:p w14:paraId="62C238CD" w14:textId="1460303E" w:rsidR="00DA7E6C" w:rsidRDefault="00DA7E6C" w:rsidP="004129C8">
      <w:pPr>
        <w:pStyle w:val="ListParagraph"/>
        <w:numPr>
          <w:ilvl w:val="0"/>
          <w:numId w:val="1"/>
        </w:numPr>
        <w:spacing w:line="480" w:lineRule="auto"/>
        <w:jc w:val="both"/>
        <w:rPr>
          <w:rFonts w:ascii="Arial" w:hAnsi="Arial" w:cs="Arial"/>
        </w:rPr>
      </w:pPr>
      <w:r>
        <w:rPr>
          <w:rFonts w:ascii="Arial" w:hAnsi="Arial" w:cs="Arial"/>
        </w:rPr>
        <w:t>Only the Second Respondent opposes the application. The basis of his opposition is that he is married to the First Respondent out of community of property.</w:t>
      </w:r>
      <w:r w:rsidR="00DE0362">
        <w:rPr>
          <w:rFonts w:ascii="Arial" w:hAnsi="Arial" w:cs="Arial"/>
        </w:rPr>
        <w:t xml:space="preserve"> Attached to his answering affidavit are </w:t>
      </w:r>
      <w:r w:rsidR="00C07F1B">
        <w:rPr>
          <w:rFonts w:ascii="Arial" w:hAnsi="Arial" w:cs="Arial"/>
        </w:rPr>
        <w:t>copies</w:t>
      </w:r>
      <w:r w:rsidR="00DE0362">
        <w:rPr>
          <w:rFonts w:ascii="Arial" w:hAnsi="Arial" w:cs="Arial"/>
        </w:rPr>
        <w:t xml:space="preserve"> of the Respondents’ marriage certificate and their </w:t>
      </w:r>
      <w:r w:rsidR="00535A6C">
        <w:rPr>
          <w:rFonts w:ascii="Arial" w:hAnsi="Arial" w:cs="Arial"/>
        </w:rPr>
        <w:t>a</w:t>
      </w:r>
      <w:r w:rsidR="00C07F1B">
        <w:rPr>
          <w:rFonts w:ascii="Arial" w:hAnsi="Arial" w:cs="Arial"/>
        </w:rPr>
        <w:t>ntenuptial</w:t>
      </w:r>
      <w:r w:rsidR="00DE0362">
        <w:rPr>
          <w:rFonts w:ascii="Arial" w:hAnsi="Arial" w:cs="Arial"/>
        </w:rPr>
        <w:t xml:space="preserve"> </w:t>
      </w:r>
      <w:r w:rsidR="00535A6C">
        <w:rPr>
          <w:rFonts w:ascii="Arial" w:hAnsi="Arial" w:cs="Arial"/>
        </w:rPr>
        <w:t>c</w:t>
      </w:r>
      <w:r w:rsidR="00DE0362">
        <w:rPr>
          <w:rFonts w:ascii="Arial" w:hAnsi="Arial" w:cs="Arial"/>
        </w:rPr>
        <w:t xml:space="preserve">ontract. These reveal that the Respondents signed the </w:t>
      </w:r>
      <w:r w:rsidR="00535A6C">
        <w:rPr>
          <w:rFonts w:ascii="Arial" w:hAnsi="Arial" w:cs="Arial"/>
        </w:rPr>
        <w:t>a</w:t>
      </w:r>
      <w:r w:rsidR="00C07F1B">
        <w:rPr>
          <w:rFonts w:ascii="Arial" w:hAnsi="Arial" w:cs="Arial"/>
        </w:rPr>
        <w:t>ntenuptial</w:t>
      </w:r>
      <w:r w:rsidR="00DE0362">
        <w:rPr>
          <w:rFonts w:ascii="Arial" w:hAnsi="Arial" w:cs="Arial"/>
        </w:rPr>
        <w:t xml:space="preserve"> </w:t>
      </w:r>
      <w:r w:rsidR="00535A6C">
        <w:rPr>
          <w:rFonts w:ascii="Arial" w:hAnsi="Arial" w:cs="Arial"/>
        </w:rPr>
        <w:t>c</w:t>
      </w:r>
      <w:r w:rsidR="00DE0362">
        <w:rPr>
          <w:rFonts w:ascii="Arial" w:hAnsi="Arial" w:cs="Arial"/>
        </w:rPr>
        <w:t xml:space="preserve">ontract on 23 September 2004 before a notary public. This provided for their marriage to be out of community of property. They were married on </w:t>
      </w:r>
      <w:r w:rsidR="00AD6AE9">
        <w:rPr>
          <w:rFonts w:ascii="Arial" w:hAnsi="Arial" w:cs="Arial"/>
        </w:rPr>
        <w:t xml:space="preserve">1 November 2004. The </w:t>
      </w:r>
      <w:r w:rsidR="00C07F1B">
        <w:rPr>
          <w:rFonts w:ascii="Arial" w:hAnsi="Arial" w:cs="Arial"/>
        </w:rPr>
        <w:t>Antenuptial</w:t>
      </w:r>
      <w:r w:rsidR="00AD6AE9">
        <w:rPr>
          <w:rFonts w:ascii="Arial" w:hAnsi="Arial" w:cs="Arial"/>
        </w:rPr>
        <w:t xml:space="preserve"> Contract was registered at the Johannesburg Deeds Office on 18 January 2005.</w:t>
      </w:r>
    </w:p>
    <w:p w14:paraId="12983DF6" w14:textId="77777777" w:rsidR="00C07F1B" w:rsidRPr="00C07F1B" w:rsidRDefault="00C07F1B" w:rsidP="00C07F1B">
      <w:pPr>
        <w:pStyle w:val="ListParagraph"/>
        <w:rPr>
          <w:rFonts w:ascii="Arial" w:hAnsi="Arial" w:cs="Arial"/>
        </w:rPr>
      </w:pPr>
    </w:p>
    <w:p w14:paraId="12D313BA" w14:textId="06175501" w:rsidR="00C07F1B" w:rsidRDefault="00C07F1B" w:rsidP="004129C8">
      <w:pPr>
        <w:pStyle w:val="ListParagraph"/>
        <w:numPr>
          <w:ilvl w:val="0"/>
          <w:numId w:val="1"/>
        </w:numPr>
        <w:spacing w:line="480" w:lineRule="auto"/>
        <w:jc w:val="both"/>
        <w:rPr>
          <w:rFonts w:ascii="Arial" w:hAnsi="Arial" w:cs="Arial"/>
        </w:rPr>
      </w:pPr>
      <w:r>
        <w:rPr>
          <w:rFonts w:ascii="Arial" w:hAnsi="Arial" w:cs="Arial"/>
        </w:rPr>
        <w:t>Section 86 of the Deeds Registries Act (Act 47 of 1937; “DRA”) provides that antenuptial contracts must be registered in the manner and within the time provided for in Section 87, failing which it: “</w:t>
      </w:r>
      <w:r w:rsidRPr="00C07F1B">
        <w:rPr>
          <w:rFonts w:ascii="Arial" w:hAnsi="Arial" w:cs="Arial"/>
          <w:i/>
          <w:iCs/>
        </w:rPr>
        <w:t>shall be of no force or effect as against any person who is not a party thereto.</w:t>
      </w:r>
      <w:r>
        <w:rPr>
          <w:rFonts w:ascii="Arial" w:hAnsi="Arial" w:cs="Arial"/>
        </w:rPr>
        <w:t>”</w:t>
      </w:r>
    </w:p>
    <w:p w14:paraId="46A87CF8" w14:textId="77777777" w:rsidR="00C07F1B" w:rsidRPr="00C07F1B" w:rsidRDefault="00C07F1B" w:rsidP="00C07F1B">
      <w:pPr>
        <w:pStyle w:val="ListParagraph"/>
        <w:rPr>
          <w:rFonts w:ascii="Arial" w:hAnsi="Arial" w:cs="Arial"/>
        </w:rPr>
      </w:pPr>
    </w:p>
    <w:p w14:paraId="43363B93" w14:textId="28AE7DCD" w:rsidR="00C07F1B" w:rsidRDefault="00C07F1B" w:rsidP="004129C8">
      <w:pPr>
        <w:pStyle w:val="ListParagraph"/>
        <w:numPr>
          <w:ilvl w:val="0"/>
          <w:numId w:val="1"/>
        </w:numPr>
        <w:spacing w:line="480" w:lineRule="auto"/>
        <w:jc w:val="both"/>
        <w:rPr>
          <w:rFonts w:ascii="Arial" w:hAnsi="Arial" w:cs="Arial"/>
        </w:rPr>
      </w:pPr>
      <w:r>
        <w:rPr>
          <w:rFonts w:ascii="Arial" w:hAnsi="Arial" w:cs="Arial"/>
        </w:rPr>
        <w:t>Section 87(1) of the DRA provides:</w:t>
      </w:r>
    </w:p>
    <w:p w14:paraId="4C507483" w14:textId="77777777" w:rsidR="00C07F1B" w:rsidRPr="00C07F1B" w:rsidRDefault="00C07F1B" w:rsidP="00C07F1B">
      <w:pPr>
        <w:pStyle w:val="ListParagraph"/>
        <w:rPr>
          <w:rFonts w:ascii="Arial" w:hAnsi="Arial" w:cs="Arial"/>
        </w:rPr>
      </w:pPr>
    </w:p>
    <w:p w14:paraId="4DD054C2" w14:textId="6A08F0AA" w:rsidR="00C07F1B" w:rsidRDefault="00C07F1B" w:rsidP="00C07F1B">
      <w:pPr>
        <w:pStyle w:val="ListParagraph"/>
        <w:spacing w:line="480" w:lineRule="auto"/>
        <w:ind w:left="567"/>
        <w:jc w:val="both"/>
        <w:rPr>
          <w:rFonts w:ascii="Arial" w:hAnsi="Arial" w:cs="Arial"/>
        </w:rPr>
      </w:pPr>
      <w:r>
        <w:rPr>
          <w:rFonts w:ascii="Arial" w:hAnsi="Arial" w:cs="Arial"/>
        </w:rPr>
        <w:t>“</w:t>
      </w:r>
      <w:r w:rsidRPr="00C07F1B">
        <w:rPr>
          <w:rFonts w:ascii="Arial" w:hAnsi="Arial" w:cs="Arial"/>
          <w:i/>
          <w:iCs/>
        </w:rPr>
        <w:t>An antenuptial contract executed in the Republic shall be attested by a notary and shall be registered in a deeds registry within three months after the date of its execution or within such extended period as the court may on application allow.</w:t>
      </w:r>
      <w:r>
        <w:rPr>
          <w:rFonts w:ascii="Arial" w:hAnsi="Arial" w:cs="Arial"/>
        </w:rPr>
        <w:t>”</w:t>
      </w:r>
    </w:p>
    <w:p w14:paraId="3F9026BD" w14:textId="77777777" w:rsidR="00DA7E6C" w:rsidRPr="00DA7E6C" w:rsidRDefault="00DA7E6C" w:rsidP="00DA7E6C">
      <w:pPr>
        <w:pStyle w:val="ListParagraph"/>
        <w:rPr>
          <w:rFonts w:ascii="Arial" w:hAnsi="Arial" w:cs="Arial"/>
        </w:rPr>
      </w:pPr>
    </w:p>
    <w:p w14:paraId="1246D7F5" w14:textId="792168E1" w:rsidR="00C07F1B" w:rsidRDefault="00C07F1B" w:rsidP="004129C8">
      <w:pPr>
        <w:pStyle w:val="ListParagraph"/>
        <w:numPr>
          <w:ilvl w:val="0"/>
          <w:numId w:val="1"/>
        </w:numPr>
        <w:spacing w:line="480" w:lineRule="auto"/>
        <w:jc w:val="both"/>
        <w:rPr>
          <w:rFonts w:ascii="Arial" w:hAnsi="Arial" w:cs="Arial"/>
        </w:rPr>
      </w:pPr>
      <w:r>
        <w:rPr>
          <w:rFonts w:ascii="Arial" w:hAnsi="Arial" w:cs="Arial"/>
        </w:rPr>
        <w:t>The three-month period expired on 23 December 2004. The antenuptial contract was accordingly registered outside of the time period allowed by Section 87(1).</w:t>
      </w:r>
    </w:p>
    <w:p w14:paraId="07625A01" w14:textId="77777777" w:rsidR="00C07F1B" w:rsidRDefault="00C07F1B" w:rsidP="00C07F1B">
      <w:pPr>
        <w:pStyle w:val="ListParagraph"/>
        <w:ind w:left="567"/>
        <w:jc w:val="both"/>
        <w:rPr>
          <w:rFonts w:ascii="Arial" w:hAnsi="Arial" w:cs="Arial"/>
        </w:rPr>
      </w:pPr>
    </w:p>
    <w:p w14:paraId="47B4EDF4" w14:textId="3B3FA4A5" w:rsidR="00C07F1B" w:rsidRDefault="00C07F1B" w:rsidP="004129C8">
      <w:pPr>
        <w:pStyle w:val="ListParagraph"/>
        <w:numPr>
          <w:ilvl w:val="0"/>
          <w:numId w:val="1"/>
        </w:numPr>
        <w:spacing w:line="480" w:lineRule="auto"/>
        <w:jc w:val="both"/>
        <w:rPr>
          <w:rFonts w:ascii="Arial" w:hAnsi="Arial" w:cs="Arial"/>
        </w:rPr>
      </w:pPr>
      <w:r>
        <w:rPr>
          <w:rFonts w:ascii="Arial" w:hAnsi="Arial" w:cs="Arial"/>
        </w:rPr>
        <w:lastRenderedPageBreak/>
        <w:t xml:space="preserve">Section 88 of the DRA allows the Court to: “… </w:t>
      </w:r>
      <w:r w:rsidRPr="00C07F1B">
        <w:rPr>
          <w:rFonts w:ascii="Arial" w:hAnsi="Arial" w:cs="Arial"/>
          <w:i/>
          <w:iCs/>
        </w:rPr>
        <w:t>authorize postnuptial execution of a notarial contract having the effect of an antenuptial contract, if the terms thereof were agreed upon between the intended spouses before the marriage, and may order the registration, within a specified period, of any contract so executed.</w:t>
      </w:r>
      <w:r>
        <w:rPr>
          <w:rFonts w:ascii="Arial" w:hAnsi="Arial" w:cs="Arial"/>
        </w:rPr>
        <w:t>”</w:t>
      </w:r>
    </w:p>
    <w:p w14:paraId="754F094D" w14:textId="77777777" w:rsidR="00C07F1B" w:rsidRPr="00C07F1B" w:rsidRDefault="00C07F1B" w:rsidP="00C07F1B">
      <w:pPr>
        <w:pStyle w:val="ListParagraph"/>
        <w:rPr>
          <w:rFonts w:ascii="Arial" w:hAnsi="Arial" w:cs="Arial"/>
        </w:rPr>
      </w:pPr>
    </w:p>
    <w:p w14:paraId="2E512C49" w14:textId="2531738F" w:rsidR="00163C3E" w:rsidRDefault="00163C3E" w:rsidP="004129C8">
      <w:pPr>
        <w:pStyle w:val="ListParagraph"/>
        <w:numPr>
          <w:ilvl w:val="0"/>
          <w:numId w:val="1"/>
        </w:numPr>
        <w:spacing w:line="480" w:lineRule="auto"/>
        <w:jc w:val="both"/>
        <w:rPr>
          <w:rFonts w:ascii="Arial" w:hAnsi="Arial" w:cs="Arial"/>
        </w:rPr>
      </w:pPr>
      <w:r>
        <w:rPr>
          <w:rFonts w:ascii="Arial" w:hAnsi="Arial" w:cs="Arial"/>
        </w:rPr>
        <w:t>Siwendu J explained:</w:t>
      </w:r>
    </w:p>
    <w:p w14:paraId="34DDAD60" w14:textId="77777777" w:rsidR="00163C3E" w:rsidRPr="00163C3E" w:rsidRDefault="00163C3E" w:rsidP="00163C3E">
      <w:pPr>
        <w:pStyle w:val="ListParagraph"/>
        <w:rPr>
          <w:rFonts w:ascii="Arial" w:hAnsi="Arial" w:cs="Arial"/>
        </w:rPr>
      </w:pPr>
    </w:p>
    <w:p w14:paraId="0FB52F21" w14:textId="19CC03AE" w:rsidR="00163C3E" w:rsidRDefault="00163C3E" w:rsidP="00163C3E">
      <w:pPr>
        <w:pStyle w:val="ListParagraph"/>
        <w:spacing w:line="480" w:lineRule="auto"/>
        <w:ind w:left="567"/>
        <w:jc w:val="both"/>
        <w:rPr>
          <w:rFonts w:ascii="Arial" w:hAnsi="Arial" w:cs="Arial"/>
        </w:rPr>
      </w:pPr>
      <w:r>
        <w:rPr>
          <w:rFonts w:ascii="Arial" w:hAnsi="Arial" w:cs="Arial"/>
        </w:rPr>
        <w:t>“</w:t>
      </w:r>
      <w:r w:rsidRPr="00163C3E">
        <w:rPr>
          <w:rFonts w:ascii="Arial" w:hAnsi="Arial" w:cs="Arial"/>
          <w:i/>
          <w:iCs/>
        </w:rPr>
        <w:t>Section 88 caters for a scenario where the parties to a marriage agreed to an antenuptial contract before the marriage, but did not execute and register same timeously. It allows the parties to approach the court for the postnuptial registration of the antenuptial contract. Although executed and registered after the marriage, it will have a retrospective effect if sanctioned by the court.</w:t>
      </w:r>
      <w:r>
        <w:rPr>
          <w:rFonts w:ascii="Arial" w:hAnsi="Arial" w:cs="Arial"/>
        </w:rPr>
        <w:t>”</w:t>
      </w:r>
      <w:r>
        <w:rPr>
          <w:rStyle w:val="FootnoteReference"/>
          <w:rFonts w:ascii="Arial" w:hAnsi="Arial" w:cs="Arial"/>
        </w:rPr>
        <w:footnoteReference w:id="1"/>
      </w:r>
    </w:p>
    <w:p w14:paraId="7B1CA802" w14:textId="77777777" w:rsidR="00163C3E" w:rsidRPr="00163C3E" w:rsidRDefault="00163C3E" w:rsidP="00163C3E">
      <w:pPr>
        <w:pStyle w:val="ListParagraph"/>
        <w:rPr>
          <w:rFonts w:ascii="Arial" w:hAnsi="Arial" w:cs="Arial"/>
        </w:rPr>
      </w:pPr>
    </w:p>
    <w:p w14:paraId="289EE379" w14:textId="2F42BCC9" w:rsidR="001467F2" w:rsidRDefault="001467F2" w:rsidP="004129C8">
      <w:pPr>
        <w:pStyle w:val="ListParagraph"/>
        <w:numPr>
          <w:ilvl w:val="0"/>
          <w:numId w:val="1"/>
        </w:numPr>
        <w:spacing w:line="480" w:lineRule="auto"/>
        <w:jc w:val="both"/>
        <w:rPr>
          <w:rFonts w:ascii="Arial" w:hAnsi="Arial" w:cs="Arial"/>
        </w:rPr>
      </w:pPr>
      <w:r>
        <w:rPr>
          <w:rFonts w:ascii="Arial" w:hAnsi="Arial" w:cs="Arial"/>
        </w:rPr>
        <w:t xml:space="preserve">The effect of these provisions of the DRA is that an antenuptial contract that has not been registered is of no force or effect against </w:t>
      </w:r>
      <w:r w:rsidR="00A83C0E">
        <w:rPr>
          <w:rFonts w:ascii="Arial" w:hAnsi="Arial" w:cs="Arial"/>
        </w:rPr>
        <w:t>any</w:t>
      </w:r>
      <w:r>
        <w:rPr>
          <w:rFonts w:ascii="Arial" w:hAnsi="Arial" w:cs="Arial"/>
        </w:rPr>
        <w:t xml:space="preserve"> </w:t>
      </w:r>
      <w:r w:rsidR="00A83C0E">
        <w:rPr>
          <w:rFonts w:ascii="Arial" w:hAnsi="Arial" w:cs="Arial"/>
        </w:rPr>
        <w:t xml:space="preserve">person </w:t>
      </w:r>
      <w:r>
        <w:rPr>
          <w:rFonts w:ascii="Arial" w:hAnsi="Arial" w:cs="Arial"/>
        </w:rPr>
        <w:t xml:space="preserve">who </w:t>
      </w:r>
      <w:r w:rsidR="00A83C0E">
        <w:rPr>
          <w:rFonts w:ascii="Arial" w:hAnsi="Arial" w:cs="Arial"/>
        </w:rPr>
        <w:t>is</w:t>
      </w:r>
      <w:r>
        <w:rPr>
          <w:rFonts w:ascii="Arial" w:hAnsi="Arial" w:cs="Arial"/>
        </w:rPr>
        <w:t xml:space="preserve"> not a party thereto, but is enforceable </w:t>
      </w:r>
      <w:r>
        <w:rPr>
          <w:rFonts w:ascii="Arial" w:hAnsi="Arial" w:cs="Arial"/>
          <w:i/>
          <w:iCs/>
        </w:rPr>
        <w:t>inter partes</w:t>
      </w:r>
      <w:r>
        <w:rPr>
          <w:rFonts w:ascii="Arial" w:hAnsi="Arial" w:cs="Arial"/>
        </w:rPr>
        <w:t>.</w:t>
      </w:r>
      <w:r>
        <w:rPr>
          <w:rStyle w:val="FootnoteReference"/>
          <w:rFonts w:ascii="Arial" w:hAnsi="Arial" w:cs="Arial"/>
        </w:rPr>
        <w:footnoteReference w:id="2"/>
      </w:r>
    </w:p>
    <w:p w14:paraId="55095189" w14:textId="77777777" w:rsidR="001467F2" w:rsidRPr="001467F2" w:rsidRDefault="001467F2" w:rsidP="001467F2">
      <w:pPr>
        <w:pStyle w:val="ListParagraph"/>
        <w:rPr>
          <w:rFonts w:ascii="Arial" w:hAnsi="Arial" w:cs="Arial"/>
        </w:rPr>
      </w:pPr>
    </w:p>
    <w:p w14:paraId="6A7DC081" w14:textId="40702096" w:rsidR="00C07F1B" w:rsidRDefault="00C07F1B" w:rsidP="004129C8">
      <w:pPr>
        <w:pStyle w:val="ListParagraph"/>
        <w:numPr>
          <w:ilvl w:val="0"/>
          <w:numId w:val="1"/>
        </w:numPr>
        <w:spacing w:line="480" w:lineRule="auto"/>
        <w:jc w:val="both"/>
        <w:rPr>
          <w:rFonts w:ascii="Arial" w:hAnsi="Arial" w:cs="Arial"/>
        </w:rPr>
      </w:pPr>
      <w:r>
        <w:rPr>
          <w:rFonts w:ascii="Arial" w:hAnsi="Arial" w:cs="Arial"/>
        </w:rPr>
        <w:t xml:space="preserve">The Second Respondent says that the Respondents were unaware of the fact that their antenuptial contract was registered late. He </w:t>
      </w:r>
      <w:r w:rsidR="001467F2">
        <w:rPr>
          <w:rFonts w:ascii="Arial" w:hAnsi="Arial" w:cs="Arial"/>
        </w:rPr>
        <w:t>learned</w:t>
      </w:r>
      <w:r>
        <w:rPr>
          <w:rFonts w:ascii="Arial" w:hAnsi="Arial" w:cs="Arial"/>
        </w:rPr>
        <w:t xml:space="preserve"> of this fact when his answering affidavit in this application was being prepared. The Respondents accordingly launched an </w:t>
      </w:r>
      <w:r>
        <w:rPr>
          <w:rFonts w:ascii="Arial" w:hAnsi="Arial" w:cs="Arial"/>
          <w:i/>
          <w:iCs/>
        </w:rPr>
        <w:t xml:space="preserve">ex parte </w:t>
      </w:r>
      <w:r>
        <w:rPr>
          <w:rFonts w:ascii="Arial" w:hAnsi="Arial" w:cs="Arial"/>
        </w:rPr>
        <w:t xml:space="preserve">application </w:t>
      </w:r>
      <w:r w:rsidR="001467F2">
        <w:rPr>
          <w:rFonts w:ascii="Arial" w:hAnsi="Arial" w:cs="Arial"/>
        </w:rPr>
        <w:t>on 25 February 2021 (“the related application”), in which they seek a declaratory order that their antenuptial contract is binding and of force against third parties, alternatively an order allowing for the late registration of the antenuptial contract.</w:t>
      </w:r>
    </w:p>
    <w:p w14:paraId="47C4E14E" w14:textId="77777777" w:rsidR="001467F2" w:rsidRPr="001467F2" w:rsidRDefault="001467F2" w:rsidP="001467F2">
      <w:pPr>
        <w:pStyle w:val="ListParagraph"/>
        <w:rPr>
          <w:rFonts w:ascii="Arial" w:hAnsi="Arial" w:cs="Arial"/>
        </w:rPr>
      </w:pPr>
    </w:p>
    <w:p w14:paraId="7F284AA7" w14:textId="27F36B82" w:rsidR="001467F2" w:rsidRDefault="001467F2" w:rsidP="004129C8">
      <w:pPr>
        <w:pStyle w:val="ListParagraph"/>
        <w:numPr>
          <w:ilvl w:val="0"/>
          <w:numId w:val="1"/>
        </w:numPr>
        <w:spacing w:line="480" w:lineRule="auto"/>
        <w:jc w:val="both"/>
        <w:rPr>
          <w:rFonts w:ascii="Arial" w:hAnsi="Arial" w:cs="Arial"/>
        </w:rPr>
      </w:pPr>
      <w:r>
        <w:rPr>
          <w:rFonts w:ascii="Arial" w:hAnsi="Arial" w:cs="Arial"/>
        </w:rPr>
        <w:lastRenderedPageBreak/>
        <w:t>The Respondents served a copy of the related application on the Applicant. The Applicant has subsequently intervened and opposes that application. I was informed from the bar that although the affidavits have been exchanged in the related application, neither party has filed heads of argument and accordingly a date for hearing has not yet been allocated.</w:t>
      </w:r>
    </w:p>
    <w:p w14:paraId="2FE971DE" w14:textId="77777777" w:rsidR="00A83C0E" w:rsidRPr="00A83C0E" w:rsidRDefault="00A83C0E" w:rsidP="00A83C0E">
      <w:pPr>
        <w:pStyle w:val="ListParagraph"/>
        <w:rPr>
          <w:rFonts w:ascii="Arial" w:hAnsi="Arial" w:cs="Arial"/>
        </w:rPr>
      </w:pPr>
    </w:p>
    <w:p w14:paraId="41577708" w14:textId="7EF7FD28" w:rsidR="00354504" w:rsidRDefault="00354504" w:rsidP="00A83C0E">
      <w:pPr>
        <w:pStyle w:val="ListParagraph"/>
        <w:numPr>
          <w:ilvl w:val="0"/>
          <w:numId w:val="1"/>
        </w:numPr>
        <w:spacing w:line="480" w:lineRule="auto"/>
        <w:jc w:val="both"/>
        <w:rPr>
          <w:rFonts w:ascii="Arial" w:hAnsi="Arial" w:cs="Arial"/>
        </w:rPr>
      </w:pPr>
      <w:r>
        <w:rPr>
          <w:rFonts w:ascii="Arial" w:hAnsi="Arial" w:cs="Arial"/>
        </w:rPr>
        <w:t xml:space="preserve">The Applicant’s counsel recorded in his initial heads of argument that the Applicant had approached the Deputy Judge President for an order that the two applications be heard together. </w:t>
      </w:r>
      <w:r w:rsidR="00535A6C">
        <w:rPr>
          <w:rFonts w:ascii="Arial" w:hAnsi="Arial" w:cs="Arial"/>
        </w:rPr>
        <w:t>He says that t</w:t>
      </w:r>
      <w:r>
        <w:rPr>
          <w:rFonts w:ascii="Arial" w:hAnsi="Arial" w:cs="Arial"/>
        </w:rPr>
        <w:t xml:space="preserve">he Second Respondent’s legal </w:t>
      </w:r>
      <w:r w:rsidR="00535A6C">
        <w:rPr>
          <w:rFonts w:ascii="Arial" w:hAnsi="Arial" w:cs="Arial"/>
        </w:rPr>
        <w:t xml:space="preserve">representative </w:t>
      </w:r>
      <w:r>
        <w:rPr>
          <w:rFonts w:ascii="Arial" w:hAnsi="Arial" w:cs="Arial"/>
        </w:rPr>
        <w:t>objected on the basis that this application was still undefended and opposing affidavits had yet to be filed. On the strength of this, the Deputy Judge President ruled that each matter should be dealt with on its own and according to the state and progression of the papers filed therein.</w:t>
      </w:r>
    </w:p>
    <w:p w14:paraId="1E41F9FF" w14:textId="77777777" w:rsidR="00354504" w:rsidRPr="00354504" w:rsidRDefault="00354504" w:rsidP="00354504">
      <w:pPr>
        <w:pStyle w:val="ListParagraph"/>
        <w:rPr>
          <w:rFonts w:ascii="Arial" w:hAnsi="Arial" w:cs="Arial"/>
        </w:rPr>
      </w:pPr>
    </w:p>
    <w:p w14:paraId="7FD15F4D" w14:textId="2D678D92" w:rsidR="00354504" w:rsidRDefault="00354504" w:rsidP="00A83C0E">
      <w:pPr>
        <w:pStyle w:val="ListParagraph"/>
        <w:numPr>
          <w:ilvl w:val="0"/>
          <w:numId w:val="1"/>
        </w:numPr>
        <w:spacing w:line="480" w:lineRule="auto"/>
        <w:jc w:val="both"/>
        <w:rPr>
          <w:rFonts w:ascii="Arial" w:hAnsi="Arial" w:cs="Arial"/>
        </w:rPr>
      </w:pPr>
      <w:r>
        <w:rPr>
          <w:rFonts w:ascii="Arial" w:hAnsi="Arial" w:cs="Arial"/>
        </w:rPr>
        <w:t xml:space="preserve">The Second Respondent’s counsel informed me that she was not on brief at the time. She took an instruction from her attorney, who apparently did not agree with the recollection of the Applicant’s </w:t>
      </w:r>
      <w:r w:rsidR="00535A6C">
        <w:rPr>
          <w:rFonts w:ascii="Arial" w:hAnsi="Arial" w:cs="Arial"/>
        </w:rPr>
        <w:t>counsel</w:t>
      </w:r>
      <w:r>
        <w:rPr>
          <w:rFonts w:ascii="Arial" w:hAnsi="Arial" w:cs="Arial"/>
        </w:rPr>
        <w:t>.</w:t>
      </w:r>
    </w:p>
    <w:p w14:paraId="517D4F21" w14:textId="77777777" w:rsidR="00354504" w:rsidRPr="00354504" w:rsidRDefault="00354504" w:rsidP="00354504">
      <w:pPr>
        <w:pStyle w:val="ListParagraph"/>
        <w:rPr>
          <w:rFonts w:ascii="Arial" w:hAnsi="Arial" w:cs="Arial"/>
        </w:rPr>
      </w:pPr>
    </w:p>
    <w:p w14:paraId="2BF42D5F" w14:textId="5EB37771" w:rsidR="00354504" w:rsidRDefault="00354504" w:rsidP="00A83C0E">
      <w:pPr>
        <w:pStyle w:val="ListParagraph"/>
        <w:numPr>
          <w:ilvl w:val="0"/>
          <w:numId w:val="1"/>
        </w:numPr>
        <w:spacing w:line="480" w:lineRule="auto"/>
        <w:jc w:val="both"/>
        <w:rPr>
          <w:rFonts w:ascii="Arial" w:hAnsi="Arial" w:cs="Arial"/>
        </w:rPr>
      </w:pPr>
      <w:r>
        <w:rPr>
          <w:rFonts w:ascii="Arial" w:hAnsi="Arial" w:cs="Arial"/>
        </w:rPr>
        <w:t>In any event, the Applicant’s counsel’s recollection does not show that the Deputy Judge President made a ruling that, on a consideration of the evidence in this application, it could be heard before the related application. And, even if he did, that would be an interlocutory ruling which is subject to variation on the basis of the facts before me.</w:t>
      </w:r>
    </w:p>
    <w:p w14:paraId="59907394" w14:textId="77777777" w:rsidR="00354504" w:rsidRPr="00354504" w:rsidRDefault="00354504" w:rsidP="00354504">
      <w:pPr>
        <w:pStyle w:val="ListParagraph"/>
        <w:rPr>
          <w:rFonts w:ascii="Arial" w:hAnsi="Arial" w:cs="Arial"/>
        </w:rPr>
      </w:pPr>
    </w:p>
    <w:p w14:paraId="30846131" w14:textId="780CBDD8" w:rsidR="00A83C0E" w:rsidRDefault="00A83C0E" w:rsidP="00A83C0E">
      <w:pPr>
        <w:pStyle w:val="ListParagraph"/>
        <w:numPr>
          <w:ilvl w:val="0"/>
          <w:numId w:val="1"/>
        </w:numPr>
        <w:spacing w:line="480" w:lineRule="auto"/>
        <w:jc w:val="both"/>
        <w:rPr>
          <w:rFonts w:ascii="Arial" w:hAnsi="Arial" w:cs="Arial"/>
        </w:rPr>
      </w:pPr>
      <w:r>
        <w:rPr>
          <w:rFonts w:ascii="Arial" w:hAnsi="Arial" w:cs="Arial"/>
        </w:rPr>
        <w:t xml:space="preserve">I have not been referred to a case in which the parties signed an antenuptial contract prior to their marriage and the antenuptial contract was registered, but </w:t>
      </w:r>
      <w:r>
        <w:rPr>
          <w:rFonts w:ascii="Arial" w:hAnsi="Arial" w:cs="Arial"/>
        </w:rPr>
        <w:lastRenderedPageBreak/>
        <w:t>outside of the three-month period.</w:t>
      </w:r>
      <w:r w:rsidR="00163C3E">
        <w:rPr>
          <w:rStyle w:val="FootnoteReference"/>
          <w:rFonts w:ascii="Arial" w:hAnsi="Arial" w:cs="Arial"/>
        </w:rPr>
        <w:footnoteReference w:id="3"/>
      </w:r>
      <w:r>
        <w:rPr>
          <w:rFonts w:ascii="Arial" w:hAnsi="Arial" w:cs="Arial"/>
        </w:rPr>
        <w:t xml:space="preserve"> I have also not found such a case. It may be, as the Second Respondent’s counsel submits, that the </w:t>
      </w:r>
      <w:r>
        <w:rPr>
          <w:rFonts w:ascii="Arial" w:hAnsi="Arial" w:cs="Arial"/>
          <w:b/>
          <w:bCs/>
        </w:rPr>
        <w:t>Oudekraal</w:t>
      </w:r>
      <w:r>
        <w:rPr>
          <w:rFonts w:ascii="Arial" w:hAnsi="Arial" w:cs="Arial"/>
        </w:rPr>
        <w:t xml:space="preserve"> principle applies and that the fact of registration of the antenuptial contract means that it is valid until registration is set aside.</w:t>
      </w:r>
      <w:r>
        <w:rPr>
          <w:rStyle w:val="FootnoteReference"/>
          <w:rFonts w:ascii="Arial" w:hAnsi="Arial" w:cs="Arial"/>
        </w:rPr>
        <w:footnoteReference w:id="4"/>
      </w:r>
      <w:r>
        <w:rPr>
          <w:rFonts w:ascii="Arial" w:hAnsi="Arial" w:cs="Arial"/>
        </w:rPr>
        <w:t xml:space="preserve"> Or it may be, as the Applicant’s counsel submits, that the express wording of Section 86 has the effect that the </w:t>
      </w:r>
      <w:r>
        <w:rPr>
          <w:rFonts w:ascii="Arial" w:hAnsi="Arial" w:cs="Arial"/>
          <w:b/>
          <w:bCs/>
        </w:rPr>
        <w:t>Oudekraal</w:t>
      </w:r>
      <w:r>
        <w:rPr>
          <w:rFonts w:ascii="Arial" w:hAnsi="Arial" w:cs="Arial"/>
        </w:rPr>
        <w:t xml:space="preserve"> principle is excluded and that the antenuptial contract is not enforceable against third parties.</w:t>
      </w:r>
      <w:r w:rsidR="00535A6C">
        <w:rPr>
          <w:rFonts w:ascii="Arial" w:hAnsi="Arial" w:cs="Arial"/>
        </w:rPr>
        <w:t xml:space="preserve"> In that event, the Court has the power to extend the date for registration of the antenuptial contract, which would have retrospective effect. Or it may refuse to do so.</w:t>
      </w:r>
    </w:p>
    <w:p w14:paraId="61916E7D" w14:textId="77777777" w:rsidR="00A83C0E" w:rsidRPr="00A83C0E" w:rsidRDefault="00A83C0E" w:rsidP="00A83C0E">
      <w:pPr>
        <w:pStyle w:val="ListParagraph"/>
        <w:rPr>
          <w:rFonts w:ascii="Arial" w:hAnsi="Arial" w:cs="Arial"/>
        </w:rPr>
      </w:pPr>
    </w:p>
    <w:p w14:paraId="69B06A43" w14:textId="54CB4DCC" w:rsidR="00A83C0E" w:rsidRDefault="00A83C0E" w:rsidP="004129C8">
      <w:pPr>
        <w:pStyle w:val="ListParagraph"/>
        <w:numPr>
          <w:ilvl w:val="0"/>
          <w:numId w:val="1"/>
        </w:numPr>
        <w:spacing w:line="480" w:lineRule="auto"/>
        <w:jc w:val="both"/>
        <w:rPr>
          <w:rFonts w:ascii="Arial" w:hAnsi="Arial" w:cs="Arial"/>
        </w:rPr>
      </w:pPr>
      <w:r>
        <w:rPr>
          <w:rFonts w:ascii="Arial" w:hAnsi="Arial" w:cs="Arial"/>
        </w:rPr>
        <w:t xml:space="preserve">However, the related application is not before me. As matters stand, I know that the Respondents are married, but it is </w:t>
      </w:r>
      <w:r w:rsidR="00163C3E">
        <w:rPr>
          <w:rFonts w:ascii="Arial" w:hAnsi="Arial" w:cs="Arial"/>
        </w:rPr>
        <w:t>in</w:t>
      </w:r>
      <w:r>
        <w:rPr>
          <w:rFonts w:ascii="Arial" w:hAnsi="Arial" w:cs="Arial"/>
        </w:rPr>
        <w:t xml:space="preserve"> dispute whether their marriage is in or out of community of property. </w:t>
      </w:r>
    </w:p>
    <w:p w14:paraId="60F4D3AE" w14:textId="77777777" w:rsidR="00C07F1B" w:rsidRDefault="00C07F1B" w:rsidP="00C07F1B">
      <w:pPr>
        <w:pStyle w:val="ListParagraph"/>
        <w:ind w:left="567"/>
        <w:jc w:val="both"/>
        <w:rPr>
          <w:rFonts w:ascii="Arial" w:hAnsi="Arial" w:cs="Arial"/>
        </w:rPr>
      </w:pPr>
    </w:p>
    <w:p w14:paraId="29F88EEF" w14:textId="4C3871A5" w:rsidR="00DA7E6C" w:rsidRDefault="00DA7E6C" w:rsidP="004129C8">
      <w:pPr>
        <w:pStyle w:val="ListParagraph"/>
        <w:numPr>
          <w:ilvl w:val="0"/>
          <w:numId w:val="1"/>
        </w:numPr>
        <w:spacing w:line="480" w:lineRule="auto"/>
        <w:jc w:val="both"/>
        <w:rPr>
          <w:rFonts w:ascii="Arial" w:hAnsi="Arial" w:cs="Arial"/>
        </w:rPr>
      </w:pPr>
      <w:r>
        <w:rPr>
          <w:rFonts w:ascii="Arial" w:hAnsi="Arial" w:cs="Arial"/>
        </w:rPr>
        <w:t xml:space="preserve">The dispute as to whether the Respondents are married in or out of community of property is </w:t>
      </w:r>
      <w:r w:rsidR="00535A6C">
        <w:rPr>
          <w:rFonts w:ascii="Arial" w:hAnsi="Arial" w:cs="Arial"/>
        </w:rPr>
        <w:t>material</w:t>
      </w:r>
      <w:r>
        <w:rPr>
          <w:rFonts w:ascii="Arial" w:hAnsi="Arial" w:cs="Arial"/>
        </w:rPr>
        <w:t xml:space="preserve"> to this application. This is because Section 17(4)(b) of the Matrimonial Property Act (Act 88 of 1984</w:t>
      </w:r>
      <w:r w:rsidR="00643B80">
        <w:rPr>
          <w:rFonts w:ascii="Arial" w:hAnsi="Arial" w:cs="Arial"/>
        </w:rPr>
        <w:t>; “the MPA”</w:t>
      </w:r>
      <w:r>
        <w:rPr>
          <w:rFonts w:ascii="Arial" w:hAnsi="Arial" w:cs="Arial"/>
        </w:rPr>
        <w:t>) provides:</w:t>
      </w:r>
    </w:p>
    <w:p w14:paraId="1A59635A" w14:textId="77777777" w:rsidR="00803C07" w:rsidRPr="00803C07" w:rsidRDefault="00803C07" w:rsidP="00803C07">
      <w:pPr>
        <w:pStyle w:val="ListParagraph"/>
        <w:rPr>
          <w:rFonts w:ascii="Arial" w:hAnsi="Arial" w:cs="Arial"/>
        </w:rPr>
      </w:pPr>
    </w:p>
    <w:p w14:paraId="0B2CBB3B" w14:textId="564F5DCF" w:rsidR="00DA7E6C" w:rsidRDefault="00DA7E6C" w:rsidP="00354504">
      <w:pPr>
        <w:pStyle w:val="ListParagraph"/>
        <w:spacing w:line="480" w:lineRule="auto"/>
        <w:ind w:left="1134"/>
        <w:jc w:val="both"/>
        <w:rPr>
          <w:rFonts w:ascii="Arial" w:hAnsi="Arial" w:cs="Arial"/>
        </w:rPr>
      </w:pPr>
      <w:r>
        <w:rPr>
          <w:rFonts w:ascii="Arial" w:hAnsi="Arial" w:cs="Arial"/>
        </w:rPr>
        <w:t>“</w:t>
      </w:r>
      <w:r w:rsidRPr="00DA7E6C">
        <w:rPr>
          <w:rFonts w:ascii="Arial" w:hAnsi="Arial" w:cs="Arial"/>
          <w:i/>
          <w:iCs/>
        </w:rPr>
        <w:t xml:space="preserve">An application for the sequestration of a joint estate shall be made against both spouses: Provided that no application for the sequestration of the estate of a debtor shall be dismissed on the ground that such debtor's estate is a joint estate if the applicant satisfies the court that despite reasonable steps taken by him he was unable to establish whether the </w:t>
      </w:r>
      <w:r w:rsidRPr="00DA7E6C">
        <w:rPr>
          <w:rFonts w:ascii="Arial" w:hAnsi="Arial" w:cs="Arial"/>
          <w:i/>
          <w:iCs/>
        </w:rPr>
        <w:lastRenderedPageBreak/>
        <w:t>debtor is married in community of property or the name and address of the spouse of the debtor.</w:t>
      </w:r>
      <w:r>
        <w:rPr>
          <w:rFonts w:ascii="Arial" w:hAnsi="Arial" w:cs="Arial"/>
        </w:rPr>
        <w:t>”</w:t>
      </w:r>
    </w:p>
    <w:p w14:paraId="4E176A53" w14:textId="77777777" w:rsidR="00DA7E6C" w:rsidRPr="00DA7E6C" w:rsidRDefault="00DA7E6C" w:rsidP="00DA7E6C">
      <w:pPr>
        <w:pStyle w:val="ListParagraph"/>
        <w:rPr>
          <w:rFonts w:ascii="Arial" w:hAnsi="Arial" w:cs="Arial"/>
        </w:rPr>
      </w:pPr>
    </w:p>
    <w:p w14:paraId="5A1CB505" w14:textId="340D7BA9" w:rsidR="00803C07" w:rsidRDefault="00DA7E6C" w:rsidP="004129C8">
      <w:pPr>
        <w:pStyle w:val="ListParagraph"/>
        <w:numPr>
          <w:ilvl w:val="0"/>
          <w:numId w:val="1"/>
        </w:numPr>
        <w:spacing w:line="480" w:lineRule="auto"/>
        <w:jc w:val="both"/>
        <w:rPr>
          <w:rFonts w:ascii="Arial" w:hAnsi="Arial" w:cs="Arial"/>
        </w:rPr>
      </w:pPr>
      <w:r>
        <w:rPr>
          <w:rFonts w:ascii="Arial" w:hAnsi="Arial" w:cs="Arial"/>
        </w:rPr>
        <w:t xml:space="preserve">The Applicant’s case is that the </w:t>
      </w:r>
      <w:r w:rsidR="00DE0362">
        <w:rPr>
          <w:rFonts w:ascii="Arial" w:hAnsi="Arial" w:cs="Arial"/>
        </w:rPr>
        <w:t>Respondents are married in community of property. Accordingly, it cited both Respondents in the application. Although the relief sought in the notice of motion is not clear, Mr Minnaar, who appeared for the Applicant, indicated that he would move for an order in terms of one of two draft orders uploaded by the Applicant. Primarily, the Applicant seeks an order sequestrating the joint estate of the Respondents. This approach is correct on the Applicant’s version, namely that the Respondents are married in community of property.</w:t>
      </w:r>
    </w:p>
    <w:p w14:paraId="194D298C" w14:textId="77777777" w:rsidR="00DE0362" w:rsidRDefault="00DE0362" w:rsidP="00DE0362">
      <w:pPr>
        <w:pStyle w:val="ListParagraph"/>
        <w:ind w:left="567"/>
        <w:jc w:val="both"/>
        <w:rPr>
          <w:rFonts w:ascii="Arial" w:hAnsi="Arial" w:cs="Arial"/>
        </w:rPr>
      </w:pPr>
    </w:p>
    <w:p w14:paraId="384C0F63" w14:textId="7D91748B" w:rsidR="00DE0362" w:rsidRDefault="00DE0362" w:rsidP="004129C8">
      <w:pPr>
        <w:pStyle w:val="ListParagraph"/>
        <w:numPr>
          <w:ilvl w:val="0"/>
          <w:numId w:val="1"/>
        </w:numPr>
        <w:spacing w:line="480" w:lineRule="auto"/>
        <w:jc w:val="both"/>
        <w:rPr>
          <w:rFonts w:ascii="Arial" w:hAnsi="Arial" w:cs="Arial"/>
        </w:rPr>
      </w:pPr>
      <w:r>
        <w:rPr>
          <w:rFonts w:ascii="Arial" w:hAnsi="Arial" w:cs="Arial"/>
        </w:rPr>
        <w:t xml:space="preserve">On the other hand, if the Respondents are married out of community of property, then the Second Respondent is wrongly cited in these proceedings. </w:t>
      </w:r>
      <w:r w:rsidR="005E6C25">
        <w:rPr>
          <w:rFonts w:ascii="Arial" w:hAnsi="Arial" w:cs="Arial"/>
        </w:rPr>
        <w:t>The</w:t>
      </w:r>
      <w:r>
        <w:rPr>
          <w:rFonts w:ascii="Arial" w:hAnsi="Arial" w:cs="Arial"/>
        </w:rPr>
        <w:t xml:space="preserve"> appropriate order would be for the estate of the First Respondent to be sequestrated.</w:t>
      </w:r>
    </w:p>
    <w:p w14:paraId="103C7646" w14:textId="77777777" w:rsidR="00DE0362" w:rsidRPr="00DE0362" w:rsidRDefault="00DE0362" w:rsidP="00DE0362">
      <w:pPr>
        <w:pStyle w:val="ListParagraph"/>
        <w:rPr>
          <w:rFonts w:ascii="Arial" w:hAnsi="Arial" w:cs="Arial"/>
        </w:rPr>
      </w:pPr>
    </w:p>
    <w:p w14:paraId="008B4ABF" w14:textId="08CD59BC" w:rsidR="005E6C25" w:rsidRDefault="00643B80" w:rsidP="004129C8">
      <w:pPr>
        <w:pStyle w:val="ListParagraph"/>
        <w:numPr>
          <w:ilvl w:val="0"/>
          <w:numId w:val="1"/>
        </w:numPr>
        <w:spacing w:line="480" w:lineRule="auto"/>
        <w:jc w:val="both"/>
        <w:rPr>
          <w:rFonts w:ascii="Arial" w:hAnsi="Arial" w:cs="Arial"/>
        </w:rPr>
      </w:pPr>
      <w:r>
        <w:rPr>
          <w:rFonts w:ascii="Arial" w:hAnsi="Arial" w:cs="Arial"/>
        </w:rPr>
        <w:t xml:space="preserve">The proviso to Section 17(4)(b) of the MPA was introduced into Section 17(4)(b) by Section 11 of the Insolvency Amendment Act (Act 122 of 1993). The intention of the legislature is to ensure that “… </w:t>
      </w:r>
      <w:r w:rsidRPr="00643B80">
        <w:rPr>
          <w:rFonts w:ascii="Arial" w:hAnsi="Arial" w:cs="Arial"/>
          <w:i/>
          <w:iCs/>
        </w:rPr>
        <w:t>both spouses in a marriage in community of property received notice of an application for sequestration, unless this was practically impossible.</w:t>
      </w:r>
      <w:r>
        <w:rPr>
          <w:rFonts w:ascii="Arial" w:hAnsi="Arial" w:cs="Arial"/>
        </w:rPr>
        <w:t>”</w:t>
      </w:r>
      <w:r>
        <w:rPr>
          <w:rStyle w:val="FootnoteReference"/>
          <w:rFonts w:ascii="Arial" w:hAnsi="Arial" w:cs="Arial"/>
        </w:rPr>
        <w:footnoteReference w:id="5"/>
      </w:r>
    </w:p>
    <w:p w14:paraId="7ABF2C18" w14:textId="77777777" w:rsidR="005E6C25" w:rsidRPr="005E6C25" w:rsidRDefault="005E6C25" w:rsidP="005E6C25">
      <w:pPr>
        <w:pStyle w:val="ListParagraph"/>
        <w:rPr>
          <w:rFonts w:ascii="Arial" w:hAnsi="Arial" w:cs="Arial"/>
        </w:rPr>
      </w:pPr>
    </w:p>
    <w:p w14:paraId="55D01C11" w14:textId="2D5487F2" w:rsidR="00DE0362" w:rsidRDefault="00643B80" w:rsidP="004129C8">
      <w:pPr>
        <w:pStyle w:val="ListParagraph"/>
        <w:numPr>
          <w:ilvl w:val="0"/>
          <w:numId w:val="1"/>
        </w:numPr>
        <w:spacing w:line="480" w:lineRule="auto"/>
        <w:jc w:val="both"/>
        <w:rPr>
          <w:rFonts w:ascii="Arial" w:hAnsi="Arial" w:cs="Arial"/>
        </w:rPr>
      </w:pPr>
      <w:r>
        <w:rPr>
          <w:rFonts w:ascii="Arial" w:hAnsi="Arial" w:cs="Arial"/>
        </w:rPr>
        <w:t xml:space="preserve">Even prior to the amendment, </w:t>
      </w:r>
      <w:r w:rsidR="00535A6C">
        <w:rPr>
          <w:rFonts w:ascii="Arial" w:hAnsi="Arial" w:cs="Arial"/>
        </w:rPr>
        <w:t>the</w:t>
      </w:r>
      <w:r>
        <w:rPr>
          <w:rFonts w:ascii="Arial" w:hAnsi="Arial" w:cs="Arial"/>
        </w:rPr>
        <w:t xml:space="preserve"> full bench </w:t>
      </w:r>
      <w:r w:rsidR="00535A6C">
        <w:rPr>
          <w:rFonts w:ascii="Arial" w:hAnsi="Arial" w:cs="Arial"/>
        </w:rPr>
        <w:t xml:space="preserve">in </w:t>
      </w:r>
      <w:r w:rsidR="00535A6C" w:rsidRPr="00535A6C">
        <w:rPr>
          <w:rFonts w:ascii="Arial" w:hAnsi="Arial" w:cs="Arial"/>
          <w:b/>
          <w:bCs/>
        </w:rPr>
        <w:t>Detkor</w:t>
      </w:r>
      <w:r>
        <w:rPr>
          <w:rFonts w:ascii="Arial" w:hAnsi="Arial" w:cs="Arial"/>
        </w:rPr>
        <w:t xml:space="preserve"> held that where there is doubt as to the marital status of the Respondent, the Court may not grant an </w:t>
      </w:r>
      <w:r>
        <w:rPr>
          <w:rFonts w:ascii="Arial" w:hAnsi="Arial" w:cs="Arial"/>
        </w:rPr>
        <w:lastRenderedPageBreak/>
        <w:t>order for sequestration.</w:t>
      </w:r>
      <w:r>
        <w:rPr>
          <w:rStyle w:val="FootnoteReference"/>
          <w:rFonts w:ascii="Arial" w:hAnsi="Arial" w:cs="Arial"/>
        </w:rPr>
        <w:footnoteReference w:id="6"/>
      </w:r>
      <w:r w:rsidR="00535A6C">
        <w:rPr>
          <w:rFonts w:ascii="Arial" w:hAnsi="Arial" w:cs="Arial"/>
        </w:rPr>
        <w:t xml:space="preserve"> This must be so: sequestration affects a person’s status. Even a provisional sequestration order has profound effects.</w:t>
      </w:r>
    </w:p>
    <w:p w14:paraId="2BD19457" w14:textId="77777777" w:rsidR="00DE0362" w:rsidRPr="00DE0362" w:rsidRDefault="00DE0362" w:rsidP="00DE0362">
      <w:pPr>
        <w:pStyle w:val="ListParagraph"/>
        <w:rPr>
          <w:rFonts w:ascii="Arial" w:hAnsi="Arial" w:cs="Arial"/>
        </w:rPr>
      </w:pPr>
    </w:p>
    <w:p w14:paraId="5B165459" w14:textId="6A0F008A" w:rsidR="00DE0362" w:rsidRDefault="00643B80" w:rsidP="004129C8">
      <w:pPr>
        <w:pStyle w:val="ListParagraph"/>
        <w:numPr>
          <w:ilvl w:val="0"/>
          <w:numId w:val="1"/>
        </w:numPr>
        <w:spacing w:line="480" w:lineRule="auto"/>
        <w:jc w:val="both"/>
        <w:rPr>
          <w:rFonts w:ascii="Arial" w:hAnsi="Arial" w:cs="Arial"/>
        </w:rPr>
      </w:pPr>
      <w:r>
        <w:rPr>
          <w:rFonts w:ascii="Arial" w:hAnsi="Arial" w:cs="Arial"/>
        </w:rPr>
        <w:t>Accordingly, I agree with the Second Respondent’s counsel that this matter cannot proceed before the related application is finalised.</w:t>
      </w:r>
      <w:r w:rsidR="00354504">
        <w:rPr>
          <w:rFonts w:ascii="Arial" w:hAnsi="Arial" w:cs="Arial"/>
        </w:rPr>
        <w:t xml:space="preserve"> I will accordingly remove the matter from the roll.</w:t>
      </w:r>
    </w:p>
    <w:p w14:paraId="42EEE98D" w14:textId="77777777" w:rsidR="00643B80" w:rsidRPr="00643B80" w:rsidRDefault="00643B80" w:rsidP="00643B80">
      <w:pPr>
        <w:pStyle w:val="ListParagraph"/>
        <w:rPr>
          <w:rFonts w:ascii="Arial" w:hAnsi="Arial" w:cs="Arial"/>
        </w:rPr>
      </w:pPr>
    </w:p>
    <w:p w14:paraId="526D374A" w14:textId="591E637F" w:rsidR="00643B80" w:rsidRDefault="00354504" w:rsidP="004129C8">
      <w:pPr>
        <w:pStyle w:val="ListParagraph"/>
        <w:numPr>
          <w:ilvl w:val="0"/>
          <w:numId w:val="1"/>
        </w:numPr>
        <w:spacing w:line="480" w:lineRule="auto"/>
        <w:jc w:val="both"/>
        <w:rPr>
          <w:rFonts w:ascii="Arial" w:hAnsi="Arial" w:cs="Arial"/>
        </w:rPr>
      </w:pPr>
      <w:r>
        <w:rPr>
          <w:rFonts w:ascii="Arial" w:hAnsi="Arial" w:cs="Arial"/>
        </w:rPr>
        <w:t>The matter is not out of the hands of the Applicant. As it is a party to the related application, it can ensure that it is enrolled for hearing as soon as reasonably possible</w:t>
      </w:r>
      <w:r w:rsidR="00535A6C">
        <w:rPr>
          <w:rFonts w:ascii="Arial" w:hAnsi="Arial" w:cs="Arial"/>
        </w:rPr>
        <w:t>, either before or together with this application.</w:t>
      </w:r>
    </w:p>
    <w:p w14:paraId="79957C9E" w14:textId="77777777" w:rsidR="00535A6C" w:rsidRDefault="00535A6C" w:rsidP="00535A6C">
      <w:pPr>
        <w:pStyle w:val="ListParagraph"/>
        <w:ind w:left="567"/>
        <w:jc w:val="both"/>
        <w:rPr>
          <w:rFonts w:ascii="Arial" w:hAnsi="Arial" w:cs="Arial"/>
        </w:rPr>
      </w:pPr>
    </w:p>
    <w:p w14:paraId="06EEC35F" w14:textId="1EF008FC" w:rsidR="00DE0362" w:rsidRDefault="00C575B2" w:rsidP="004129C8">
      <w:pPr>
        <w:pStyle w:val="ListParagraph"/>
        <w:numPr>
          <w:ilvl w:val="0"/>
          <w:numId w:val="1"/>
        </w:numPr>
        <w:spacing w:line="480" w:lineRule="auto"/>
        <w:jc w:val="both"/>
        <w:rPr>
          <w:rFonts w:ascii="Arial" w:hAnsi="Arial" w:cs="Arial"/>
        </w:rPr>
      </w:pPr>
      <w:r>
        <w:rPr>
          <w:rFonts w:ascii="Arial" w:hAnsi="Arial" w:cs="Arial"/>
        </w:rPr>
        <w:t>In respect of costs, the Second Respondent is seeking an indulgence. He has also given no explanation for his failure to timeously progress the related application. Accordingly, I intend to order the Second Respondent to pay the wasted costs occasioned by the removal of the matter from the roll.</w:t>
      </w:r>
    </w:p>
    <w:p w14:paraId="2717A9C2" w14:textId="77777777" w:rsidR="00DE0362" w:rsidRDefault="00DE0362" w:rsidP="00C575B2">
      <w:pPr>
        <w:pStyle w:val="ListParagraph"/>
        <w:ind w:left="567"/>
        <w:jc w:val="both"/>
        <w:rPr>
          <w:rFonts w:ascii="Arial" w:hAnsi="Arial" w:cs="Arial"/>
        </w:rPr>
      </w:pPr>
    </w:p>
    <w:p w14:paraId="03668D04" w14:textId="40C86D9B" w:rsidR="00DE0362" w:rsidRDefault="00C575B2" w:rsidP="004129C8">
      <w:pPr>
        <w:pStyle w:val="ListParagraph"/>
        <w:numPr>
          <w:ilvl w:val="0"/>
          <w:numId w:val="1"/>
        </w:numPr>
        <w:spacing w:line="480" w:lineRule="auto"/>
        <w:jc w:val="both"/>
        <w:rPr>
          <w:rFonts w:ascii="Arial" w:hAnsi="Arial" w:cs="Arial"/>
        </w:rPr>
      </w:pPr>
      <w:r>
        <w:rPr>
          <w:rFonts w:ascii="Arial" w:hAnsi="Arial" w:cs="Arial"/>
        </w:rPr>
        <w:t>For the avoidance out doubt, I record that nothing in this judgment should be read as deciding</w:t>
      </w:r>
      <w:r w:rsidR="00DE0362">
        <w:rPr>
          <w:rFonts w:ascii="Arial" w:hAnsi="Arial" w:cs="Arial"/>
        </w:rPr>
        <w:t xml:space="preserve"> whether a proper case for sequestration is made out</w:t>
      </w:r>
      <w:r>
        <w:rPr>
          <w:rFonts w:ascii="Arial" w:hAnsi="Arial" w:cs="Arial"/>
        </w:rPr>
        <w:t>, whether against the First Respondent or against the Respondents jointly</w:t>
      </w:r>
      <w:r w:rsidR="00DE0362">
        <w:rPr>
          <w:rFonts w:ascii="Arial" w:hAnsi="Arial" w:cs="Arial"/>
        </w:rPr>
        <w:t xml:space="preserve">. That is a matter for the Court to consider at a future hearing. </w:t>
      </w:r>
    </w:p>
    <w:p w14:paraId="11AD8BDF" w14:textId="77777777" w:rsidR="00A46C6E" w:rsidRPr="00A46C6E" w:rsidRDefault="00A46C6E" w:rsidP="00A46C6E">
      <w:pPr>
        <w:pStyle w:val="ListParagraph"/>
        <w:rPr>
          <w:rFonts w:ascii="Arial" w:hAnsi="Arial" w:cs="Arial"/>
        </w:rPr>
      </w:pPr>
    </w:p>
    <w:p w14:paraId="271090AB" w14:textId="41682822" w:rsidR="00C14E50" w:rsidRDefault="00C14E50" w:rsidP="004129C8">
      <w:pPr>
        <w:pStyle w:val="ListParagraph"/>
        <w:numPr>
          <w:ilvl w:val="0"/>
          <w:numId w:val="1"/>
        </w:numPr>
        <w:spacing w:line="480" w:lineRule="auto"/>
        <w:jc w:val="both"/>
        <w:rPr>
          <w:rFonts w:ascii="Arial" w:hAnsi="Arial" w:cs="Arial"/>
        </w:rPr>
      </w:pPr>
      <w:r>
        <w:rPr>
          <w:rFonts w:ascii="Arial" w:hAnsi="Arial" w:cs="Arial"/>
        </w:rPr>
        <w:t>I accordingly grant the following order:</w:t>
      </w:r>
    </w:p>
    <w:p w14:paraId="10EA17C1" w14:textId="77777777" w:rsidR="00C14E50" w:rsidRPr="00C14E50" w:rsidRDefault="00C14E50" w:rsidP="00C14E50">
      <w:pPr>
        <w:rPr>
          <w:rFonts w:ascii="Arial" w:hAnsi="Arial" w:cs="Arial"/>
        </w:rPr>
      </w:pPr>
    </w:p>
    <w:p w14:paraId="31DD4699" w14:textId="2E4018C6" w:rsidR="00C14E50" w:rsidRDefault="00C14E50" w:rsidP="00C14E50">
      <w:pPr>
        <w:pStyle w:val="ListParagraph"/>
        <w:numPr>
          <w:ilvl w:val="1"/>
          <w:numId w:val="1"/>
        </w:numPr>
        <w:spacing w:line="480" w:lineRule="auto"/>
        <w:jc w:val="both"/>
        <w:rPr>
          <w:rFonts w:ascii="Arial" w:hAnsi="Arial" w:cs="Arial"/>
        </w:rPr>
      </w:pPr>
      <w:r>
        <w:rPr>
          <w:rFonts w:ascii="Arial" w:hAnsi="Arial" w:cs="Arial"/>
        </w:rPr>
        <w:t xml:space="preserve">The application is </w:t>
      </w:r>
      <w:r w:rsidR="00C575B2">
        <w:rPr>
          <w:rFonts w:ascii="Arial" w:hAnsi="Arial" w:cs="Arial"/>
        </w:rPr>
        <w:t>removed from the roll</w:t>
      </w:r>
      <w:r>
        <w:rPr>
          <w:rFonts w:ascii="Arial" w:hAnsi="Arial" w:cs="Arial"/>
        </w:rPr>
        <w:t>.</w:t>
      </w:r>
    </w:p>
    <w:p w14:paraId="78EE6028" w14:textId="77777777" w:rsidR="00535A6C" w:rsidRDefault="00535A6C" w:rsidP="00535A6C">
      <w:pPr>
        <w:pStyle w:val="ListParagraph"/>
        <w:ind w:left="1418"/>
        <w:jc w:val="both"/>
        <w:rPr>
          <w:rFonts w:ascii="Arial" w:hAnsi="Arial" w:cs="Arial"/>
        </w:rPr>
      </w:pPr>
    </w:p>
    <w:p w14:paraId="1FFC062F" w14:textId="7DDBEBB4" w:rsidR="00C14E50" w:rsidRPr="009C2CEA" w:rsidRDefault="00486B69" w:rsidP="00535A6C">
      <w:pPr>
        <w:pStyle w:val="ListParagraph"/>
        <w:keepNext/>
        <w:numPr>
          <w:ilvl w:val="1"/>
          <w:numId w:val="1"/>
        </w:numPr>
        <w:spacing w:line="480" w:lineRule="auto"/>
        <w:jc w:val="both"/>
        <w:rPr>
          <w:rFonts w:ascii="Arial" w:hAnsi="Arial" w:cs="Arial"/>
        </w:rPr>
      </w:pPr>
      <w:r>
        <w:rPr>
          <w:rFonts w:ascii="Arial" w:hAnsi="Arial" w:cs="Arial"/>
        </w:rPr>
        <w:lastRenderedPageBreak/>
        <w:t xml:space="preserve">The </w:t>
      </w:r>
      <w:r w:rsidR="00C575B2">
        <w:rPr>
          <w:rFonts w:ascii="Arial" w:hAnsi="Arial" w:cs="Arial"/>
        </w:rPr>
        <w:t>Second Respondent is ordered to pay the wasted costs occasioned by the removal from the roll</w:t>
      </w:r>
      <w:r>
        <w:rPr>
          <w:rFonts w:ascii="Arial" w:hAnsi="Arial" w:cs="Arial"/>
        </w:rPr>
        <w:t>.</w:t>
      </w:r>
    </w:p>
    <w:p w14:paraId="02DF189E" w14:textId="77777777" w:rsidR="00512FBA" w:rsidRPr="00512FBA" w:rsidRDefault="00512FBA" w:rsidP="00535A6C">
      <w:pPr>
        <w:pStyle w:val="ListParagraph"/>
        <w:keepNext/>
        <w:keepLines/>
        <w:ind w:left="1418"/>
        <w:jc w:val="both"/>
        <w:rPr>
          <w:rFonts w:ascii="Arial" w:hAnsi="Arial" w:cs="Arial"/>
        </w:rPr>
      </w:pPr>
    </w:p>
    <w:p w14:paraId="6D00F672" w14:textId="77777777" w:rsidR="00EC3264" w:rsidRDefault="00EC3264" w:rsidP="00535A6C">
      <w:pPr>
        <w:pStyle w:val="ListParagraph"/>
        <w:keepNext/>
        <w:keepLines/>
        <w:ind w:left="1418"/>
        <w:jc w:val="both"/>
        <w:rPr>
          <w:rFonts w:ascii="Arial" w:hAnsi="Arial" w:cs="Arial"/>
        </w:rPr>
      </w:pPr>
    </w:p>
    <w:p w14:paraId="388C95EC" w14:textId="77777777" w:rsidR="00C14E50" w:rsidRDefault="00C14E50" w:rsidP="00535A6C">
      <w:pPr>
        <w:pStyle w:val="ListParagraph"/>
        <w:keepNext/>
        <w:keepLines/>
        <w:ind w:left="1418"/>
        <w:jc w:val="both"/>
        <w:rPr>
          <w:rFonts w:ascii="Arial" w:hAnsi="Arial" w:cs="Arial"/>
        </w:rPr>
      </w:pPr>
    </w:p>
    <w:p w14:paraId="7C8C6F97" w14:textId="77777777" w:rsidR="00C14E50" w:rsidRPr="00EC3264" w:rsidRDefault="00C14E50" w:rsidP="00535A6C">
      <w:pPr>
        <w:pStyle w:val="ListParagraph"/>
        <w:keepNext/>
        <w:keepLines/>
        <w:ind w:left="1418"/>
        <w:jc w:val="both"/>
        <w:rPr>
          <w:rFonts w:ascii="Arial" w:hAnsi="Arial" w:cs="Arial"/>
        </w:rPr>
      </w:pPr>
    </w:p>
    <w:p w14:paraId="7A3DE349" w14:textId="457B1746" w:rsidR="00A96A33" w:rsidRDefault="00A96A33" w:rsidP="00535A6C">
      <w:pPr>
        <w:keepNext/>
        <w:keepLines/>
        <w:jc w:val="both"/>
        <w:rPr>
          <w:rFonts w:ascii="Arial" w:hAnsi="Arial" w:cs="Arial"/>
        </w:rPr>
      </w:pPr>
      <w:r>
        <w:rPr>
          <w:rFonts w:ascii="Arial" w:hAnsi="Arial" w:cs="Arial"/>
        </w:rPr>
        <w:t>__________________________</w:t>
      </w:r>
    </w:p>
    <w:p w14:paraId="1E38B412" w14:textId="7C427D26" w:rsidR="00A96A33" w:rsidRDefault="00A96A33" w:rsidP="00535A6C">
      <w:pPr>
        <w:keepNext/>
        <w:keepLines/>
        <w:jc w:val="both"/>
        <w:rPr>
          <w:rFonts w:ascii="Arial" w:hAnsi="Arial" w:cs="Arial"/>
        </w:rPr>
      </w:pPr>
      <w:r>
        <w:rPr>
          <w:rFonts w:ascii="Arial" w:hAnsi="Arial" w:cs="Arial"/>
        </w:rPr>
        <w:t>Vivian, AJ</w:t>
      </w:r>
    </w:p>
    <w:p w14:paraId="1DC82773" w14:textId="77D0F061" w:rsidR="001E7284" w:rsidRDefault="001E7284" w:rsidP="00B57F3E">
      <w:pPr>
        <w:keepNext/>
        <w:keepLines/>
        <w:jc w:val="both"/>
        <w:rPr>
          <w:rFonts w:ascii="Arial" w:hAnsi="Arial" w:cs="Arial"/>
        </w:rPr>
      </w:pPr>
      <w:r>
        <w:rPr>
          <w:rFonts w:ascii="Arial" w:hAnsi="Arial" w:cs="Arial"/>
        </w:rPr>
        <w:t>Acting Judge of the Gauteng Division of the High Court of South Africa</w:t>
      </w:r>
    </w:p>
    <w:p w14:paraId="1EE258C9" w14:textId="6C74CB3E" w:rsidR="00A96A33" w:rsidRDefault="00A96A33" w:rsidP="00EC1508">
      <w:pPr>
        <w:keepNext/>
        <w:keepLines/>
        <w:spacing w:line="480" w:lineRule="auto"/>
        <w:jc w:val="both"/>
        <w:rPr>
          <w:rFonts w:ascii="Arial" w:hAnsi="Arial" w:cs="Arial"/>
        </w:rPr>
      </w:pPr>
    </w:p>
    <w:p w14:paraId="58A21FD6" w14:textId="77777777" w:rsidR="00CB5FDC" w:rsidRDefault="00CB5FDC" w:rsidP="00EC1508">
      <w:pPr>
        <w:keepNext/>
        <w:spacing w:line="480" w:lineRule="auto"/>
        <w:jc w:val="both"/>
        <w:rPr>
          <w:rFonts w:ascii="Arial" w:hAnsi="Arial" w:cs="Arial"/>
        </w:rPr>
      </w:pPr>
    </w:p>
    <w:p w14:paraId="24FF5F53" w14:textId="31A9C2C7" w:rsidR="00851B6E" w:rsidRDefault="00851B6E" w:rsidP="00EC1508">
      <w:pPr>
        <w:keepNext/>
        <w:spacing w:line="480" w:lineRule="auto"/>
        <w:jc w:val="both"/>
        <w:rPr>
          <w:rFonts w:ascii="Arial" w:hAnsi="Arial" w:cs="Arial"/>
        </w:rPr>
      </w:pPr>
      <w:r>
        <w:rPr>
          <w:rFonts w:ascii="Arial" w:hAnsi="Arial" w:cs="Arial"/>
        </w:rPr>
        <w:t>APPEARANCES:</w:t>
      </w:r>
    </w:p>
    <w:p w14:paraId="3240815A" w14:textId="6FAF3554" w:rsidR="00851B6E" w:rsidRDefault="00851B6E" w:rsidP="00EC1508">
      <w:pPr>
        <w:keepNext/>
        <w:spacing w:line="480" w:lineRule="auto"/>
        <w:jc w:val="both"/>
        <w:rPr>
          <w:rFonts w:ascii="Arial" w:hAnsi="Arial" w:cs="Arial"/>
        </w:rPr>
      </w:pPr>
    </w:p>
    <w:p w14:paraId="7F7A0DFD" w14:textId="5CF77718" w:rsidR="00CB5FDC" w:rsidRDefault="00CB5FDC" w:rsidP="00CB5FDC">
      <w:pPr>
        <w:keepNext/>
        <w:spacing w:line="480" w:lineRule="auto"/>
        <w:ind w:left="4395" w:hanging="4395"/>
        <w:jc w:val="both"/>
        <w:rPr>
          <w:rFonts w:ascii="Arial" w:hAnsi="Arial" w:cs="Arial"/>
        </w:rPr>
      </w:pPr>
      <w:r>
        <w:rPr>
          <w:rFonts w:ascii="Arial" w:hAnsi="Arial" w:cs="Arial"/>
        </w:rPr>
        <w:t>FOR THE PLAINTIFF:</w:t>
      </w:r>
      <w:r>
        <w:rPr>
          <w:rFonts w:ascii="Arial" w:hAnsi="Arial" w:cs="Arial"/>
        </w:rPr>
        <w:tab/>
      </w:r>
      <w:r w:rsidR="00C575B2">
        <w:rPr>
          <w:rFonts w:ascii="Arial" w:hAnsi="Arial" w:cs="Arial"/>
        </w:rPr>
        <w:t>JR Minnaar</w:t>
      </w:r>
    </w:p>
    <w:p w14:paraId="0877A8D0" w14:textId="6DA0C37D" w:rsidR="00CB5FDC" w:rsidRDefault="00CB5FDC" w:rsidP="00CB5FDC">
      <w:pPr>
        <w:spacing w:line="480" w:lineRule="auto"/>
        <w:ind w:left="4395" w:hanging="4395"/>
        <w:jc w:val="both"/>
        <w:rPr>
          <w:rFonts w:ascii="Arial" w:hAnsi="Arial" w:cs="Arial"/>
        </w:rPr>
      </w:pPr>
      <w:r>
        <w:rPr>
          <w:rFonts w:ascii="Arial" w:hAnsi="Arial" w:cs="Arial"/>
        </w:rPr>
        <w:t xml:space="preserve">FOR THE DEFENDANT: </w:t>
      </w:r>
      <w:r>
        <w:rPr>
          <w:rFonts w:ascii="Arial" w:hAnsi="Arial" w:cs="Arial"/>
        </w:rPr>
        <w:tab/>
      </w:r>
      <w:r w:rsidR="00C575B2">
        <w:rPr>
          <w:rFonts w:ascii="Arial" w:hAnsi="Arial" w:cs="Arial"/>
        </w:rPr>
        <w:t>KA Slabbert</w:t>
      </w:r>
    </w:p>
    <w:p w14:paraId="68D762A6" w14:textId="77777777" w:rsidR="00C575B2" w:rsidRDefault="00C575B2" w:rsidP="00CB5FDC">
      <w:pPr>
        <w:spacing w:line="480" w:lineRule="auto"/>
        <w:ind w:left="4395" w:hanging="4395"/>
        <w:jc w:val="both"/>
        <w:rPr>
          <w:rFonts w:ascii="Arial" w:hAnsi="Arial" w:cs="Arial"/>
        </w:rPr>
      </w:pPr>
    </w:p>
    <w:p w14:paraId="06D85E96" w14:textId="47D46018" w:rsidR="00C575B2" w:rsidRDefault="00C575B2" w:rsidP="00CB5FDC">
      <w:pPr>
        <w:spacing w:line="480" w:lineRule="auto"/>
        <w:ind w:left="4395" w:hanging="4395"/>
        <w:jc w:val="both"/>
        <w:rPr>
          <w:rFonts w:ascii="Arial" w:hAnsi="Arial" w:cs="Arial"/>
        </w:rPr>
      </w:pPr>
      <w:r>
        <w:rPr>
          <w:rFonts w:ascii="Arial" w:hAnsi="Arial" w:cs="Arial"/>
        </w:rPr>
        <w:t>Date of hearing:</w:t>
      </w:r>
      <w:r>
        <w:rPr>
          <w:rFonts w:ascii="Arial" w:hAnsi="Arial" w:cs="Arial"/>
        </w:rPr>
        <w:tab/>
        <w:t>30 May 2023</w:t>
      </w:r>
    </w:p>
    <w:p w14:paraId="337B948B" w14:textId="76DCC68E" w:rsidR="00C575B2" w:rsidRDefault="00C575B2" w:rsidP="00CB5FDC">
      <w:pPr>
        <w:spacing w:line="480" w:lineRule="auto"/>
        <w:ind w:left="4395" w:hanging="4395"/>
        <w:jc w:val="both"/>
        <w:rPr>
          <w:rFonts w:ascii="Arial" w:hAnsi="Arial" w:cs="Arial"/>
        </w:rPr>
      </w:pPr>
      <w:r>
        <w:rPr>
          <w:rFonts w:ascii="Arial" w:hAnsi="Arial" w:cs="Arial"/>
        </w:rPr>
        <w:t>Date delivered:</w:t>
      </w:r>
      <w:r>
        <w:rPr>
          <w:rFonts w:ascii="Arial" w:hAnsi="Arial" w:cs="Arial"/>
        </w:rPr>
        <w:tab/>
        <w:t>7 June 2023</w:t>
      </w:r>
    </w:p>
    <w:p w14:paraId="0987D43E" w14:textId="77777777" w:rsidR="009C2CEA" w:rsidRDefault="009C2CEA" w:rsidP="00CB5FDC">
      <w:pPr>
        <w:spacing w:line="480" w:lineRule="auto"/>
        <w:ind w:left="4395" w:hanging="4395"/>
        <w:jc w:val="both"/>
        <w:rPr>
          <w:rFonts w:ascii="Arial" w:hAnsi="Arial" w:cs="Arial"/>
        </w:rPr>
      </w:pPr>
    </w:p>
    <w:p w14:paraId="23271FD9" w14:textId="77777777" w:rsidR="009C2CEA" w:rsidRPr="00A96A33" w:rsidRDefault="009C2CEA" w:rsidP="00CB5FDC">
      <w:pPr>
        <w:spacing w:line="480" w:lineRule="auto"/>
        <w:ind w:left="4395" w:hanging="4395"/>
        <w:jc w:val="both"/>
        <w:rPr>
          <w:rFonts w:ascii="Arial" w:hAnsi="Arial" w:cs="Arial"/>
        </w:rPr>
      </w:pPr>
    </w:p>
    <w:p w14:paraId="1046D570" w14:textId="471EB106" w:rsidR="00851B6E" w:rsidRPr="00A96A33" w:rsidRDefault="00851B6E" w:rsidP="00CB5FDC">
      <w:pPr>
        <w:keepNext/>
        <w:spacing w:line="480" w:lineRule="auto"/>
        <w:ind w:left="4395" w:hanging="4395"/>
        <w:jc w:val="both"/>
        <w:rPr>
          <w:rFonts w:ascii="Arial" w:hAnsi="Arial" w:cs="Arial"/>
        </w:rPr>
      </w:pPr>
    </w:p>
    <w:sectPr w:rsidR="00851B6E" w:rsidRPr="00A96A33" w:rsidSect="004B6CE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0E90" w14:textId="77777777" w:rsidR="007E23FD" w:rsidRDefault="007E23FD" w:rsidP="00294AF2">
      <w:r>
        <w:separator/>
      </w:r>
    </w:p>
  </w:endnote>
  <w:endnote w:type="continuationSeparator" w:id="0">
    <w:p w14:paraId="4BD528B4" w14:textId="77777777" w:rsidR="007E23FD" w:rsidRDefault="007E23FD" w:rsidP="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3CDD1" w14:textId="77777777" w:rsidR="007E23FD" w:rsidRDefault="007E23FD" w:rsidP="00294AF2">
      <w:r>
        <w:separator/>
      </w:r>
    </w:p>
  </w:footnote>
  <w:footnote w:type="continuationSeparator" w:id="0">
    <w:p w14:paraId="1B87C7FB" w14:textId="77777777" w:rsidR="007E23FD" w:rsidRDefault="007E23FD" w:rsidP="00294AF2">
      <w:r>
        <w:continuationSeparator/>
      </w:r>
    </w:p>
  </w:footnote>
  <w:footnote w:id="1">
    <w:p w14:paraId="42B5F417" w14:textId="2C8C95E3" w:rsidR="00163C3E" w:rsidRPr="00163C3E" w:rsidRDefault="00163C3E">
      <w:pPr>
        <w:pStyle w:val="FootnoteText"/>
        <w:rPr>
          <w:lang w:val="en-US"/>
        </w:rPr>
      </w:pPr>
      <w:r>
        <w:rPr>
          <w:rStyle w:val="FootnoteReference"/>
        </w:rPr>
        <w:footnoteRef/>
      </w:r>
      <w:r>
        <w:t xml:space="preserve"> </w:t>
      </w:r>
      <w:r w:rsidRPr="00163C3E">
        <w:t>LNM v MMM (2020/11024) [2021] ZAGPJHC 563 (11 June 2021)</w:t>
      </w:r>
      <w:r>
        <w:t xml:space="preserve"> at para 48</w:t>
      </w:r>
    </w:p>
  </w:footnote>
  <w:footnote w:id="2">
    <w:p w14:paraId="55BC2C46" w14:textId="7AC97C92" w:rsidR="001467F2" w:rsidRPr="001467F2" w:rsidRDefault="001467F2">
      <w:pPr>
        <w:pStyle w:val="FootnoteText"/>
        <w:rPr>
          <w:lang w:val="en-US"/>
        </w:rPr>
      </w:pPr>
      <w:r>
        <w:rPr>
          <w:rStyle w:val="FootnoteReference"/>
        </w:rPr>
        <w:footnoteRef/>
      </w:r>
      <w:r>
        <w:t xml:space="preserve"> </w:t>
      </w:r>
      <w:r>
        <w:rPr>
          <w:i/>
          <w:iCs/>
          <w:lang w:val="en-US"/>
        </w:rPr>
        <w:t xml:space="preserve">Ex parte </w:t>
      </w:r>
      <w:r>
        <w:rPr>
          <w:lang w:val="en-US"/>
        </w:rPr>
        <w:t>Spinnazze and another NNO 1985 (3) SA 650 (A) at 666 C</w:t>
      </w:r>
    </w:p>
  </w:footnote>
  <w:footnote w:id="3">
    <w:p w14:paraId="09F873F6" w14:textId="5BA3DB61" w:rsidR="00163C3E" w:rsidRPr="00163C3E" w:rsidRDefault="00163C3E" w:rsidP="00163C3E">
      <w:pPr>
        <w:pStyle w:val="FootnoteText"/>
        <w:jc w:val="both"/>
        <w:rPr>
          <w:lang w:val="en-US"/>
        </w:rPr>
      </w:pPr>
      <w:r>
        <w:rPr>
          <w:rStyle w:val="FootnoteReference"/>
        </w:rPr>
        <w:footnoteRef/>
      </w:r>
      <w:r>
        <w:t xml:space="preserve"> </w:t>
      </w:r>
      <w:r>
        <w:rPr>
          <w:lang w:val="en-US"/>
        </w:rPr>
        <w:t xml:space="preserve">It is suggested in the Applicant’s supplementary heads of argument that </w:t>
      </w:r>
      <w:r w:rsidRPr="00163C3E">
        <w:rPr>
          <w:lang w:val="en-US"/>
        </w:rPr>
        <w:t>LNM v MMM</w:t>
      </w:r>
      <w:r>
        <w:rPr>
          <w:lang w:val="en-US"/>
        </w:rPr>
        <w:t xml:space="preserve">, </w:t>
      </w:r>
      <w:r>
        <w:rPr>
          <w:i/>
          <w:iCs/>
          <w:lang w:val="en-US"/>
        </w:rPr>
        <w:t>supra</w:t>
      </w:r>
      <w:r>
        <w:rPr>
          <w:lang w:val="en-US"/>
        </w:rPr>
        <w:t>, is in point. I do not agree. That case concerns a contract that was concluded post-nuptially and then registered at the Deeds Office. Siwendu J declared the contract to be void because it was concluded post-nuptially.</w:t>
      </w:r>
    </w:p>
  </w:footnote>
  <w:footnote w:id="4">
    <w:p w14:paraId="23489B83" w14:textId="77777777" w:rsidR="00A83C0E" w:rsidRPr="00A83C0E" w:rsidRDefault="00A83C0E" w:rsidP="00A83C0E">
      <w:pPr>
        <w:pStyle w:val="FootnoteText"/>
        <w:rPr>
          <w:lang w:val="en-US"/>
        </w:rPr>
      </w:pPr>
      <w:r>
        <w:rPr>
          <w:rStyle w:val="FootnoteReference"/>
        </w:rPr>
        <w:footnoteRef/>
      </w:r>
      <w:r>
        <w:t xml:space="preserve"> </w:t>
      </w:r>
      <w:r>
        <w:rPr>
          <w:lang w:val="en-US"/>
        </w:rPr>
        <w:t xml:space="preserve">See </w:t>
      </w:r>
      <w:r w:rsidRPr="00A83C0E">
        <w:rPr>
          <w:lang w:val="en-US"/>
        </w:rPr>
        <w:t>Oudekraal Estates (Pty) Ltd v City of Cape Town and Others 2004 (6) SA 222 (SCA)</w:t>
      </w:r>
    </w:p>
  </w:footnote>
  <w:footnote w:id="5">
    <w:p w14:paraId="48F82A35" w14:textId="3F785D04" w:rsidR="00643B80" w:rsidRPr="00643B80" w:rsidRDefault="00643B80">
      <w:pPr>
        <w:pStyle w:val="FootnoteText"/>
        <w:rPr>
          <w:lang w:val="en-US"/>
        </w:rPr>
      </w:pPr>
      <w:r>
        <w:rPr>
          <w:rStyle w:val="FootnoteReference"/>
        </w:rPr>
        <w:footnoteRef/>
      </w:r>
      <w:r>
        <w:t xml:space="preserve"> </w:t>
      </w:r>
      <w:r>
        <w:rPr>
          <w:lang w:val="en-US"/>
        </w:rPr>
        <w:t>Absa Bank Ltd t/a Trust Bank v Goosen 1998 (2) SA 550 (W) at 552 B</w:t>
      </w:r>
    </w:p>
  </w:footnote>
  <w:footnote w:id="6">
    <w:p w14:paraId="27C0660C" w14:textId="295DEAF8" w:rsidR="00643B80" w:rsidRPr="00643B80" w:rsidRDefault="00643B80">
      <w:pPr>
        <w:pStyle w:val="FootnoteText"/>
        <w:rPr>
          <w:lang w:val="en-US"/>
        </w:rPr>
      </w:pPr>
      <w:r>
        <w:rPr>
          <w:rStyle w:val="FootnoteReference"/>
        </w:rPr>
        <w:footnoteRef/>
      </w:r>
      <w:r>
        <w:t xml:space="preserve"> </w:t>
      </w:r>
      <w:r>
        <w:rPr>
          <w:lang w:val="en-US"/>
        </w:rPr>
        <w:t>Detkor (Pty) Ltd v Pienaar 1991 (3) SA 406 (W) at 411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2577224"/>
      <w:docPartObj>
        <w:docPartGallery w:val="Page Numbers (Top of Page)"/>
        <w:docPartUnique/>
      </w:docPartObj>
    </w:sdtPr>
    <w:sdtEndPr>
      <w:rPr>
        <w:rStyle w:val="PageNumber"/>
      </w:rPr>
    </w:sdtEndPr>
    <w:sdtContent>
      <w:p w14:paraId="4545A2FF" w14:textId="3C3AF184"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DCA6" w14:textId="77777777" w:rsidR="00DC32A6" w:rsidRDefault="00DC32A6" w:rsidP="00294A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951333"/>
      <w:docPartObj>
        <w:docPartGallery w:val="Page Numbers (Top of Page)"/>
        <w:docPartUnique/>
      </w:docPartObj>
    </w:sdtPr>
    <w:sdtEndPr>
      <w:rPr>
        <w:rStyle w:val="PageNumber"/>
      </w:rPr>
    </w:sdtEndPr>
    <w:sdtContent>
      <w:p w14:paraId="75339F53" w14:textId="0B22638E"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3B5F">
          <w:rPr>
            <w:rStyle w:val="PageNumber"/>
            <w:noProof/>
          </w:rPr>
          <w:t>3</w:t>
        </w:r>
        <w:r>
          <w:rPr>
            <w:rStyle w:val="PageNumber"/>
          </w:rPr>
          <w:fldChar w:fldCharType="end"/>
        </w:r>
      </w:p>
    </w:sdtContent>
  </w:sdt>
  <w:p w14:paraId="1634732F" w14:textId="77777777" w:rsidR="00DC32A6" w:rsidRDefault="00DC32A6" w:rsidP="00294A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B996723"/>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C490A"/>
    <w:multiLevelType w:val="hybridMultilevel"/>
    <w:tmpl w:val="A2B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BD"/>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ACF2A8F"/>
    <w:multiLevelType w:val="hybridMultilevel"/>
    <w:tmpl w:val="6CD47178"/>
    <w:lvl w:ilvl="0" w:tplc="7520E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EE07CC2"/>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F11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8"/>
    <w:rsid w:val="00000AAC"/>
    <w:rsid w:val="000012D8"/>
    <w:rsid w:val="00007612"/>
    <w:rsid w:val="00023C23"/>
    <w:rsid w:val="000256E5"/>
    <w:rsid w:val="00047064"/>
    <w:rsid w:val="00051321"/>
    <w:rsid w:val="000557A0"/>
    <w:rsid w:val="00057ECF"/>
    <w:rsid w:val="000620AA"/>
    <w:rsid w:val="00064983"/>
    <w:rsid w:val="00067D0F"/>
    <w:rsid w:val="00081221"/>
    <w:rsid w:val="0008529E"/>
    <w:rsid w:val="00087EC2"/>
    <w:rsid w:val="000A0683"/>
    <w:rsid w:val="000A0686"/>
    <w:rsid w:val="000B54BA"/>
    <w:rsid w:val="000C6D26"/>
    <w:rsid w:val="000D0707"/>
    <w:rsid w:val="000D790C"/>
    <w:rsid w:val="000F3904"/>
    <w:rsid w:val="000F4C9B"/>
    <w:rsid w:val="000F5930"/>
    <w:rsid w:val="000F626C"/>
    <w:rsid w:val="00106555"/>
    <w:rsid w:val="0012773C"/>
    <w:rsid w:val="00134740"/>
    <w:rsid w:val="00135755"/>
    <w:rsid w:val="00135CAD"/>
    <w:rsid w:val="001467F2"/>
    <w:rsid w:val="001573B5"/>
    <w:rsid w:val="001610EB"/>
    <w:rsid w:val="00163C3E"/>
    <w:rsid w:val="001674D2"/>
    <w:rsid w:val="0017628F"/>
    <w:rsid w:val="00182D07"/>
    <w:rsid w:val="00182F46"/>
    <w:rsid w:val="001837AB"/>
    <w:rsid w:val="00191018"/>
    <w:rsid w:val="00192D45"/>
    <w:rsid w:val="001931D8"/>
    <w:rsid w:val="001A132C"/>
    <w:rsid w:val="001A3765"/>
    <w:rsid w:val="001A3E35"/>
    <w:rsid w:val="001A71CB"/>
    <w:rsid w:val="001B2D73"/>
    <w:rsid w:val="001B69FD"/>
    <w:rsid w:val="001B7B61"/>
    <w:rsid w:val="001D070A"/>
    <w:rsid w:val="001D322A"/>
    <w:rsid w:val="001E2E6F"/>
    <w:rsid w:val="001E33A9"/>
    <w:rsid w:val="001E7284"/>
    <w:rsid w:val="001F36DE"/>
    <w:rsid w:val="001F4A6F"/>
    <w:rsid w:val="002058CE"/>
    <w:rsid w:val="00211AE7"/>
    <w:rsid w:val="002212CB"/>
    <w:rsid w:val="0022631C"/>
    <w:rsid w:val="00230681"/>
    <w:rsid w:val="00236D59"/>
    <w:rsid w:val="00251162"/>
    <w:rsid w:val="00253E43"/>
    <w:rsid w:val="0026785C"/>
    <w:rsid w:val="00271086"/>
    <w:rsid w:val="002845FB"/>
    <w:rsid w:val="00294AF2"/>
    <w:rsid w:val="00295BA0"/>
    <w:rsid w:val="002A1A3E"/>
    <w:rsid w:val="002A2533"/>
    <w:rsid w:val="002B3021"/>
    <w:rsid w:val="002B3053"/>
    <w:rsid w:val="002D4ABF"/>
    <w:rsid w:val="002D62DC"/>
    <w:rsid w:val="002D7DC7"/>
    <w:rsid w:val="002E0639"/>
    <w:rsid w:val="002F4886"/>
    <w:rsid w:val="00307A3D"/>
    <w:rsid w:val="00313449"/>
    <w:rsid w:val="003175D1"/>
    <w:rsid w:val="00320F9D"/>
    <w:rsid w:val="00322741"/>
    <w:rsid w:val="003242BC"/>
    <w:rsid w:val="00325154"/>
    <w:rsid w:val="00327E94"/>
    <w:rsid w:val="00342194"/>
    <w:rsid w:val="003445EE"/>
    <w:rsid w:val="00354504"/>
    <w:rsid w:val="00354A52"/>
    <w:rsid w:val="003609B6"/>
    <w:rsid w:val="00367355"/>
    <w:rsid w:val="0037212A"/>
    <w:rsid w:val="00384A07"/>
    <w:rsid w:val="00387371"/>
    <w:rsid w:val="003A03B2"/>
    <w:rsid w:val="003A1833"/>
    <w:rsid w:val="003A7006"/>
    <w:rsid w:val="003B6198"/>
    <w:rsid w:val="003C3889"/>
    <w:rsid w:val="003D0715"/>
    <w:rsid w:val="003D542C"/>
    <w:rsid w:val="003D54D5"/>
    <w:rsid w:val="003D5799"/>
    <w:rsid w:val="003E2C44"/>
    <w:rsid w:val="003F0481"/>
    <w:rsid w:val="003F2742"/>
    <w:rsid w:val="003F2805"/>
    <w:rsid w:val="003F2AC0"/>
    <w:rsid w:val="003F2B1F"/>
    <w:rsid w:val="003F2B54"/>
    <w:rsid w:val="003F35E9"/>
    <w:rsid w:val="003F5D8C"/>
    <w:rsid w:val="00403EA9"/>
    <w:rsid w:val="00404C25"/>
    <w:rsid w:val="0040786C"/>
    <w:rsid w:val="00407E51"/>
    <w:rsid w:val="004129C8"/>
    <w:rsid w:val="0041688A"/>
    <w:rsid w:val="0042256D"/>
    <w:rsid w:val="0042603E"/>
    <w:rsid w:val="0042667D"/>
    <w:rsid w:val="00426BA0"/>
    <w:rsid w:val="0044299D"/>
    <w:rsid w:val="00450898"/>
    <w:rsid w:val="00453FB9"/>
    <w:rsid w:val="00456EE7"/>
    <w:rsid w:val="00461CD3"/>
    <w:rsid w:val="00461E62"/>
    <w:rsid w:val="00466510"/>
    <w:rsid w:val="004758DD"/>
    <w:rsid w:val="00476B3B"/>
    <w:rsid w:val="00486B69"/>
    <w:rsid w:val="004908A7"/>
    <w:rsid w:val="004923A8"/>
    <w:rsid w:val="004B0875"/>
    <w:rsid w:val="004B6CE9"/>
    <w:rsid w:val="004B79D1"/>
    <w:rsid w:val="004C14A1"/>
    <w:rsid w:val="004D1B19"/>
    <w:rsid w:val="004D6882"/>
    <w:rsid w:val="004F3FA7"/>
    <w:rsid w:val="004F4A19"/>
    <w:rsid w:val="0050203C"/>
    <w:rsid w:val="005112CD"/>
    <w:rsid w:val="00512FBA"/>
    <w:rsid w:val="00517C2C"/>
    <w:rsid w:val="005354A7"/>
    <w:rsid w:val="00535898"/>
    <w:rsid w:val="005359A5"/>
    <w:rsid w:val="00535A6C"/>
    <w:rsid w:val="00536508"/>
    <w:rsid w:val="00536F2F"/>
    <w:rsid w:val="00544466"/>
    <w:rsid w:val="00553830"/>
    <w:rsid w:val="00557CC1"/>
    <w:rsid w:val="00560C3D"/>
    <w:rsid w:val="00561BE8"/>
    <w:rsid w:val="00567F08"/>
    <w:rsid w:val="005709FB"/>
    <w:rsid w:val="00572D12"/>
    <w:rsid w:val="00581DC1"/>
    <w:rsid w:val="00584D68"/>
    <w:rsid w:val="00593E35"/>
    <w:rsid w:val="005968E0"/>
    <w:rsid w:val="005A0A14"/>
    <w:rsid w:val="005A2C0D"/>
    <w:rsid w:val="005A4274"/>
    <w:rsid w:val="005A7888"/>
    <w:rsid w:val="005A7E74"/>
    <w:rsid w:val="005B0D31"/>
    <w:rsid w:val="005B767B"/>
    <w:rsid w:val="005B799A"/>
    <w:rsid w:val="005C1F27"/>
    <w:rsid w:val="005C2E72"/>
    <w:rsid w:val="005C4521"/>
    <w:rsid w:val="005C719E"/>
    <w:rsid w:val="005D1EAE"/>
    <w:rsid w:val="005D6256"/>
    <w:rsid w:val="005D6B8B"/>
    <w:rsid w:val="005E0926"/>
    <w:rsid w:val="005E6C25"/>
    <w:rsid w:val="006017CF"/>
    <w:rsid w:val="00602008"/>
    <w:rsid w:val="00602F71"/>
    <w:rsid w:val="00604EF7"/>
    <w:rsid w:val="00613B5F"/>
    <w:rsid w:val="006157FB"/>
    <w:rsid w:val="0062038F"/>
    <w:rsid w:val="00624D42"/>
    <w:rsid w:val="00625968"/>
    <w:rsid w:val="0063262E"/>
    <w:rsid w:val="00633E40"/>
    <w:rsid w:val="00636091"/>
    <w:rsid w:val="00637E33"/>
    <w:rsid w:val="00640BB1"/>
    <w:rsid w:val="00643B80"/>
    <w:rsid w:val="006507BE"/>
    <w:rsid w:val="00650C83"/>
    <w:rsid w:val="0065128D"/>
    <w:rsid w:val="00651E18"/>
    <w:rsid w:val="0065508F"/>
    <w:rsid w:val="00656DE7"/>
    <w:rsid w:val="00665C7C"/>
    <w:rsid w:val="00666A25"/>
    <w:rsid w:val="00667F53"/>
    <w:rsid w:val="006703DA"/>
    <w:rsid w:val="0068281F"/>
    <w:rsid w:val="00694776"/>
    <w:rsid w:val="006A3B2E"/>
    <w:rsid w:val="006A5F82"/>
    <w:rsid w:val="006B3383"/>
    <w:rsid w:val="006B7DC1"/>
    <w:rsid w:val="006C4499"/>
    <w:rsid w:val="006C5368"/>
    <w:rsid w:val="006D0C85"/>
    <w:rsid w:val="006D537A"/>
    <w:rsid w:val="006D5508"/>
    <w:rsid w:val="006D7BE2"/>
    <w:rsid w:val="006E2E87"/>
    <w:rsid w:val="006E723A"/>
    <w:rsid w:val="006E7533"/>
    <w:rsid w:val="006F3D4B"/>
    <w:rsid w:val="00700AD5"/>
    <w:rsid w:val="00700F57"/>
    <w:rsid w:val="00711B6C"/>
    <w:rsid w:val="0071414D"/>
    <w:rsid w:val="00714204"/>
    <w:rsid w:val="00717DC4"/>
    <w:rsid w:val="00722E81"/>
    <w:rsid w:val="00722EE6"/>
    <w:rsid w:val="00723956"/>
    <w:rsid w:val="0072639D"/>
    <w:rsid w:val="007339EA"/>
    <w:rsid w:val="0073518F"/>
    <w:rsid w:val="0073624D"/>
    <w:rsid w:val="00740CFE"/>
    <w:rsid w:val="00746367"/>
    <w:rsid w:val="00754457"/>
    <w:rsid w:val="00756BF9"/>
    <w:rsid w:val="00766C69"/>
    <w:rsid w:val="00767961"/>
    <w:rsid w:val="00774742"/>
    <w:rsid w:val="00777C54"/>
    <w:rsid w:val="00780EFD"/>
    <w:rsid w:val="007A03B6"/>
    <w:rsid w:val="007C403D"/>
    <w:rsid w:val="007C5313"/>
    <w:rsid w:val="007D0E9C"/>
    <w:rsid w:val="007D3B90"/>
    <w:rsid w:val="007D6CE7"/>
    <w:rsid w:val="007E23FD"/>
    <w:rsid w:val="007E3D72"/>
    <w:rsid w:val="007E5F50"/>
    <w:rsid w:val="007F40A3"/>
    <w:rsid w:val="007F4840"/>
    <w:rsid w:val="007F63D9"/>
    <w:rsid w:val="00800D9C"/>
    <w:rsid w:val="00803C07"/>
    <w:rsid w:val="00804448"/>
    <w:rsid w:val="00811401"/>
    <w:rsid w:val="00816CED"/>
    <w:rsid w:val="00824DB4"/>
    <w:rsid w:val="00834096"/>
    <w:rsid w:val="00840803"/>
    <w:rsid w:val="008464C5"/>
    <w:rsid w:val="00846EDC"/>
    <w:rsid w:val="00851B6E"/>
    <w:rsid w:val="00851F91"/>
    <w:rsid w:val="00853EC1"/>
    <w:rsid w:val="00857E6E"/>
    <w:rsid w:val="008608AD"/>
    <w:rsid w:val="00862AB7"/>
    <w:rsid w:val="008740FD"/>
    <w:rsid w:val="00881FEA"/>
    <w:rsid w:val="008A5970"/>
    <w:rsid w:val="008A6C31"/>
    <w:rsid w:val="008B343C"/>
    <w:rsid w:val="008B4568"/>
    <w:rsid w:val="008B5472"/>
    <w:rsid w:val="008B6E73"/>
    <w:rsid w:val="008C7CC5"/>
    <w:rsid w:val="008D1964"/>
    <w:rsid w:val="008D4423"/>
    <w:rsid w:val="008D4DEA"/>
    <w:rsid w:val="008D7725"/>
    <w:rsid w:val="008E4AE4"/>
    <w:rsid w:val="008F4073"/>
    <w:rsid w:val="00907179"/>
    <w:rsid w:val="009105EF"/>
    <w:rsid w:val="00916F89"/>
    <w:rsid w:val="0092057B"/>
    <w:rsid w:val="00924EA1"/>
    <w:rsid w:val="009267E9"/>
    <w:rsid w:val="009404C2"/>
    <w:rsid w:val="00940A2B"/>
    <w:rsid w:val="00960D9C"/>
    <w:rsid w:val="0096139A"/>
    <w:rsid w:val="0096213F"/>
    <w:rsid w:val="009803A9"/>
    <w:rsid w:val="00984AAA"/>
    <w:rsid w:val="00985801"/>
    <w:rsid w:val="00994387"/>
    <w:rsid w:val="00995CF9"/>
    <w:rsid w:val="009A2DA9"/>
    <w:rsid w:val="009A2E32"/>
    <w:rsid w:val="009B43B4"/>
    <w:rsid w:val="009B6951"/>
    <w:rsid w:val="009C2CEA"/>
    <w:rsid w:val="009C2DE5"/>
    <w:rsid w:val="009C5AFA"/>
    <w:rsid w:val="009C6D3C"/>
    <w:rsid w:val="009C70D3"/>
    <w:rsid w:val="009D1016"/>
    <w:rsid w:val="009D19E2"/>
    <w:rsid w:val="009E1384"/>
    <w:rsid w:val="009E175A"/>
    <w:rsid w:val="009F1E08"/>
    <w:rsid w:val="00A0068E"/>
    <w:rsid w:val="00A00821"/>
    <w:rsid w:val="00A06AB2"/>
    <w:rsid w:val="00A17A2E"/>
    <w:rsid w:val="00A254E8"/>
    <w:rsid w:val="00A342A3"/>
    <w:rsid w:val="00A41C0E"/>
    <w:rsid w:val="00A43B71"/>
    <w:rsid w:val="00A4510E"/>
    <w:rsid w:val="00A454AC"/>
    <w:rsid w:val="00A46C6E"/>
    <w:rsid w:val="00A528A8"/>
    <w:rsid w:val="00A56F9B"/>
    <w:rsid w:val="00A66567"/>
    <w:rsid w:val="00A83C0E"/>
    <w:rsid w:val="00A83E7B"/>
    <w:rsid w:val="00A86BD3"/>
    <w:rsid w:val="00A90B49"/>
    <w:rsid w:val="00A95CD0"/>
    <w:rsid w:val="00A96A33"/>
    <w:rsid w:val="00A976B3"/>
    <w:rsid w:val="00AA395D"/>
    <w:rsid w:val="00AA5162"/>
    <w:rsid w:val="00AB1F43"/>
    <w:rsid w:val="00AB2427"/>
    <w:rsid w:val="00AB2988"/>
    <w:rsid w:val="00AB4F00"/>
    <w:rsid w:val="00AB62A4"/>
    <w:rsid w:val="00AB6B87"/>
    <w:rsid w:val="00AD340D"/>
    <w:rsid w:val="00AD4FA0"/>
    <w:rsid w:val="00AD6AE9"/>
    <w:rsid w:val="00AE09EC"/>
    <w:rsid w:val="00AF0F11"/>
    <w:rsid w:val="00AF6954"/>
    <w:rsid w:val="00B0011F"/>
    <w:rsid w:val="00B01EB4"/>
    <w:rsid w:val="00B02535"/>
    <w:rsid w:val="00B02C96"/>
    <w:rsid w:val="00B2474A"/>
    <w:rsid w:val="00B26EC5"/>
    <w:rsid w:val="00B31EF8"/>
    <w:rsid w:val="00B34F15"/>
    <w:rsid w:val="00B458B8"/>
    <w:rsid w:val="00B57F3E"/>
    <w:rsid w:val="00B64156"/>
    <w:rsid w:val="00B653A7"/>
    <w:rsid w:val="00B653E6"/>
    <w:rsid w:val="00B66DE0"/>
    <w:rsid w:val="00B707AE"/>
    <w:rsid w:val="00B70EE8"/>
    <w:rsid w:val="00B77C1A"/>
    <w:rsid w:val="00B818EE"/>
    <w:rsid w:val="00B81E60"/>
    <w:rsid w:val="00B84C26"/>
    <w:rsid w:val="00B85FA1"/>
    <w:rsid w:val="00B93E2D"/>
    <w:rsid w:val="00BB53C3"/>
    <w:rsid w:val="00BC1C77"/>
    <w:rsid w:val="00BD1830"/>
    <w:rsid w:val="00BD35EA"/>
    <w:rsid w:val="00BD4DC9"/>
    <w:rsid w:val="00BE6539"/>
    <w:rsid w:val="00BE6E44"/>
    <w:rsid w:val="00BF63D7"/>
    <w:rsid w:val="00BF75C6"/>
    <w:rsid w:val="00BF795A"/>
    <w:rsid w:val="00C0366B"/>
    <w:rsid w:val="00C06F9F"/>
    <w:rsid w:val="00C0714F"/>
    <w:rsid w:val="00C07F1B"/>
    <w:rsid w:val="00C10816"/>
    <w:rsid w:val="00C1114B"/>
    <w:rsid w:val="00C14E50"/>
    <w:rsid w:val="00C275B6"/>
    <w:rsid w:val="00C33A7B"/>
    <w:rsid w:val="00C42352"/>
    <w:rsid w:val="00C43592"/>
    <w:rsid w:val="00C47103"/>
    <w:rsid w:val="00C5284A"/>
    <w:rsid w:val="00C575B2"/>
    <w:rsid w:val="00C5763E"/>
    <w:rsid w:val="00C64085"/>
    <w:rsid w:val="00C64D51"/>
    <w:rsid w:val="00C707DE"/>
    <w:rsid w:val="00C7292E"/>
    <w:rsid w:val="00C74480"/>
    <w:rsid w:val="00C81126"/>
    <w:rsid w:val="00C84816"/>
    <w:rsid w:val="00C93908"/>
    <w:rsid w:val="00C93FA2"/>
    <w:rsid w:val="00CA3DB7"/>
    <w:rsid w:val="00CA57CE"/>
    <w:rsid w:val="00CA5B13"/>
    <w:rsid w:val="00CA5B4A"/>
    <w:rsid w:val="00CA7A7B"/>
    <w:rsid w:val="00CB5FDC"/>
    <w:rsid w:val="00CC08B9"/>
    <w:rsid w:val="00CC1A9A"/>
    <w:rsid w:val="00CC746D"/>
    <w:rsid w:val="00CE3926"/>
    <w:rsid w:val="00CF175B"/>
    <w:rsid w:val="00CF6D21"/>
    <w:rsid w:val="00CF7685"/>
    <w:rsid w:val="00D13750"/>
    <w:rsid w:val="00D144D7"/>
    <w:rsid w:val="00D17E50"/>
    <w:rsid w:val="00D20664"/>
    <w:rsid w:val="00D22836"/>
    <w:rsid w:val="00D24BBD"/>
    <w:rsid w:val="00D30DC9"/>
    <w:rsid w:val="00D323CF"/>
    <w:rsid w:val="00D334F8"/>
    <w:rsid w:val="00D33DB9"/>
    <w:rsid w:val="00D356DF"/>
    <w:rsid w:val="00D43DE7"/>
    <w:rsid w:val="00D4627A"/>
    <w:rsid w:val="00D46EE4"/>
    <w:rsid w:val="00D510A3"/>
    <w:rsid w:val="00D53522"/>
    <w:rsid w:val="00D5485D"/>
    <w:rsid w:val="00D55D65"/>
    <w:rsid w:val="00D5603F"/>
    <w:rsid w:val="00D658AD"/>
    <w:rsid w:val="00D807B5"/>
    <w:rsid w:val="00D816AD"/>
    <w:rsid w:val="00D81D59"/>
    <w:rsid w:val="00D84AE0"/>
    <w:rsid w:val="00D8703D"/>
    <w:rsid w:val="00D915C3"/>
    <w:rsid w:val="00DA09CC"/>
    <w:rsid w:val="00DA654B"/>
    <w:rsid w:val="00DA7E6C"/>
    <w:rsid w:val="00DB1D95"/>
    <w:rsid w:val="00DC32A6"/>
    <w:rsid w:val="00DD2D89"/>
    <w:rsid w:val="00DD741B"/>
    <w:rsid w:val="00DE0362"/>
    <w:rsid w:val="00DE085B"/>
    <w:rsid w:val="00DE4F7C"/>
    <w:rsid w:val="00DF124C"/>
    <w:rsid w:val="00DF2111"/>
    <w:rsid w:val="00DF772F"/>
    <w:rsid w:val="00E133F2"/>
    <w:rsid w:val="00E13843"/>
    <w:rsid w:val="00E17A4E"/>
    <w:rsid w:val="00E2248C"/>
    <w:rsid w:val="00E2427B"/>
    <w:rsid w:val="00E3106F"/>
    <w:rsid w:val="00E35AF5"/>
    <w:rsid w:val="00E406CC"/>
    <w:rsid w:val="00E53BB8"/>
    <w:rsid w:val="00E65A4A"/>
    <w:rsid w:val="00E67728"/>
    <w:rsid w:val="00E814A8"/>
    <w:rsid w:val="00E81642"/>
    <w:rsid w:val="00E81BC0"/>
    <w:rsid w:val="00E81C43"/>
    <w:rsid w:val="00E86713"/>
    <w:rsid w:val="00E871C2"/>
    <w:rsid w:val="00EA1B62"/>
    <w:rsid w:val="00EA28E0"/>
    <w:rsid w:val="00EB508E"/>
    <w:rsid w:val="00EC01BF"/>
    <w:rsid w:val="00EC0A01"/>
    <w:rsid w:val="00EC1508"/>
    <w:rsid w:val="00EC3264"/>
    <w:rsid w:val="00EC7CF7"/>
    <w:rsid w:val="00ED1B0F"/>
    <w:rsid w:val="00ED2425"/>
    <w:rsid w:val="00EE2749"/>
    <w:rsid w:val="00EE70FC"/>
    <w:rsid w:val="00F03CFC"/>
    <w:rsid w:val="00F11F2C"/>
    <w:rsid w:val="00F13F26"/>
    <w:rsid w:val="00F22011"/>
    <w:rsid w:val="00F2550A"/>
    <w:rsid w:val="00F30BDB"/>
    <w:rsid w:val="00F41781"/>
    <w:rsid w:val="00F45699"/>
    <w:rsid w:val="00F5258F"/>
    <w:rsid w:val="00F54136"/>
    <w:rsid w:val="00F541DF"/>
    <w:rsid w:val="00F56CC2"/>
    <w:rsid w:val="00F65EF5"/>
    <w:rsid w:val="00F6676F"/>
    <w:rsid w:val="00F719D6"/>
    <w:rsid w:val="00F94301"/>
    <w:rsid w:val="00F96D97"/>
    <w:rsid w:val="00F97611"/>
    <w:rsid w:val="00F97A90"/>
    <w:rsid w:val="00FA26A6"/>
    <w:rsid w:val="00FA2DF3"/>
    <w:rsid w:val="00FA5E84"/>
    <w:rsid w:val="00FA656D"/>
    <w:rsid w:val="00FB24FD"/>
    <w:rsid w:val="00FB2C79"/>
    <w:rsid w:val="00FC69B8"/>
    <w:rsid w:val="00FD1966"/>
    <w:rsid w:val="00FD6BD2"/>
    <w:rsid w:val="00FE2540"/>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EF3E"/>
  <w15:chartTrackingRefBased/>
  <w15:docId w15:val="{BF32638A-D331-3A40-8DE9-DFD62E6B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A33"/>
    <w:pPr>
      <w:keepNext/>
      <w:tabs>
        <w:tab w:val="left" w:pos="540"/>
      </w:tabs>
      <w:spacing w:line="480" w:lineRule="auto"/>
      <w:jc w:val="both"/>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uiPriority w:val="9"/>
    <w:semiHidden/>
    <w:unhideWhenUsed/>
    <w:qFormat/>
    <w:rsid w:val="00655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C8"/>
    <w:pPr>
      <w:ind w:left="720"/>
      <w:contextualSpacing/>
    </w:pPr>
  </w:style>
  <w:style w:type="paragraph" w:styleId="Header">
    <w:name w:val="header"/>
    <w:basedOn w:val="Normal"/>
    <w:link w:val="HeaderChar"/>
    <w:uiPriority w:val="99"/>
    <w:unhideWhenUsed/>
    <w:rsid w:val="00294AF2"/>
    <w:pPr>
      <w:tabs>
        <w:tab w:val="center" w:pos="4680"/>
        <w:tab w:val="right" w:pos="9360"/>
      </w:tabs>
    </w:pPr>
  </w:style>
  <w:style w:type="character" w:customStyle="1" w:styleId="HeaderChar">
    <w:name w:val="Header Char"/>
    <w:basedOn w:val="DefaultParagraphFont"/>
    <w:link w:val="Header"/>
    <w:uiPriority w:val="99"/>
    <w:rsid w:val="00294AF2"/>
  </w:style>
  <w:style w:type="character" w:styleId="PageNumber">
    <w:name w:val="page number"/>
    <w:basedOn w:val="DefaultParagraphFont"/>
    <w:uiPriority w:val="99"/>
    <w:semiHidden/>
    <w:unhideWhenUsed/>
    <w:rsid w:val="00294AF2"/>
  </w:style>
  <w:style w:type="paragraph" w:styleId="FootnoteText">
    <w:name w:val="footnote text"/>
    <w:basedOn w:val="Normal"/>
    <w:link w:val="FootnoteTextChar"/>
    <w:uiPriority w:val="99"/>
    <w:semiHidden/>
    <w:unhideWhenUsed/>
    <w:rsid w:val="005968E0"/>
    <w:rPr>
      <w:sz w:val="20"/>
      <w:szCs w:val="20"/>
    </w:rPr>
  </w:style>
  <w:style w:type="character" w:customStyle="1" w:styleId="FootnoteTextChar">
    <w:name w:val="Footnote Text Char"/>
    <w:basedOn w:val="DefaultParagraphFont"/>
    <w:link w:val="FootnoteText"/>
    <w:uiPriority w:val="99"/>
    <w:semiHidden/>
    <w:rsid w:val="005968E0"/>
    <w:rPr>
      <w:sz w:val="20"/>
      <w:szCs w:val="20"/>
    </w:rPr>
  </w:style>
  <w:style w:type="character" w:styleId="FootnoteReference">
    <w:name w:val="footnote reference"/>
    <w:basedOn w:val="DefaultParagraphFont"/>
    <w:uiPriority w:val="99"/>
    <w:semiHidden/>
    <w:unhideWhenUsed/>
    <w:rsid w:val="005968E0"/>
    <w:rPr>
      <w:vertAlign w:val="superscript"/>
    </w:rPr>
  </w:style>
  <w:style w:type="character" w:customStyle="1" w:styleId="Heading1Char">
    <w:name w:val="Heading 1 Char"/>
    <w:basedOn w:val="DefaultParagraphFont"/>
    <w:link w:val="Heading1"/>
    <w:rsid w:val="00A96A33"/>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uiPriority w:val="9"/>
    <w:semiHidden/>
    <w:rsid w:val="006550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46">
      <w:bodyDiv w:val="1"/>
      <w:marLeft w:val="0"/>
      <w:marRight w:val="0"/>
      <w:marTop w:val="0"/>
      <w:marBottom w:val="0"/>
      <w:divBdr>
        <w:top w:val="none" w:sz="0" w:space="0" w:color="auto"/>
        <w:left w:val="none" w:sz="0" w:space="0" w:color="auto"/>
        <w:bottom w:val="none" w:sz="0" w:space="0" w:color="auto"/>
        <w:right w:val="none" w:sz="0" w:space="0" w:color="auto"/>
      </w:divBdr>
    </w:div>
    <w:div w:id="445663215">
      <w:bodyDiv w:val="1"/>
      <w:marLeft w:val="0"/>
      <w:marRight w:val="0"/>
      <w:marTop w:val="0"/>
      <w:marBottom w:val="0"/>
      <w:divBdr>
        <w:top w:val="none" w:sz="0" w:space="0" w:color="auto"/>
        <w:left w:val="none" w:sz="0" w:space="0" w:color="auto"/>
        <w:bottom w:val="none" w:sz="0" w:space="0" w:color="auto"/>
        <w:right w:val="none" w:sz="0" w:space="0" w:color="auto"/>
      </w:divBdr>
    </w:div>
    <w:div w:id="517933299">
      <w:bodyDiv w:val="1"/>
      <w:marLeft w:val="0"/>
      <w:marRight w:val="0"/>
      <w:marTop w:val="0"/>
      <w:marBottom w:val="0"/>
      <w:divBdr>
        <w:top w:val="none" w:sz="0" w:space="0" w:color="auto"/>
        <w:left w:val="none" w:sz="0" w:space="0" w:color="auto"/>
        <w:bottom w:val="none" w:sz="0" w:space="0" w:color="auto"/>
        <w:right w:val="none" w:sz="0" w:space="0" w:color="auto"/>
      </w:divBdr>
    </w:div>
    <w:div w:id="546065623">
      <w:bodyDiv w:val="1"/>
      <w:marLeft w:val="0"/>
      <w:marRight w:val="0"/>
      <w:marTop w:val="0"/>
      <w:marBottom w:val="0"/>
      <w:divBdr>
        <w:top w:val="none" w:sz="0" w:space="0" w:color="auto"/>
        <w:left w:val="none" w:sz="0" w:space="0" w:color="auto"/>
        <w:bottom w:val="none" w:sz="0" w:space="0" w:color="auto"/>
        <w:right w:val="none" w:sz="0" w:space="0" w:color="auto"/>
      </w:divBdr>
    </w:div>
    <w:div w:id="635110939">
      <w:bodyDiv w:val="1"/>
      <w:marLeft w:val="0"/>
      <w:marRight w:val="0"/>
      <w:marTop w:val="0"/>
      <w:marBottom w:val="0"/>
      <w:divBdr>
        <w:top w:val="none" w:sz="0" w:space="0" w:color="auto"/>
        <w:left w:val="none" w:sz="0" w:space="0" w:color="auto"/>
        <w:bottom w:val="none" w:sz="0" w:space="0" w:color="auto"/>
        <w:right w:val="none" w:sz="0" w:space="0" w:color="auto"/>
      </w:divBdr>
    </w:div>
    <w:div w:id="753936166">
      <w:bodyDiv w:val="1"/>
      <w:marLeft w:val="0"/>
      <w:marRight w:val="0"/>
      <w:marTop w:val="0"/>
      <w:marBottom w:val="0"/>
      <w:divBdr>
        <w:top w:val="none" w:sz="0" w:space="0" w:color="auto"/>
        <w:left w:val="none" w:sz="0" w:space="0" w:color="auto"/>
        <w:bottom w:val="none" w:sz="0" w:space="0" w:color="auto"/>
        <w:right w:val="none" w:sz="0" w:space="0" w:color="auto"/>
      </w:divBdr>
      <w:divsChild>
        <w:div w:id="1785268869">
          <w:marLeft w:val="0"/>
          <w:marRight w:val="0"/>
          <w:marTop w:val="0"/>
          <w:marBottom w:val="0"/>
          <w:divBdr>
            <w:top w:val="none" w:sz="0" w:space="0" w:color="auto"/>
            <w:left w:val="none" w:sz="0" w:space="0" w:color="auto"/>
            <w:bottom w:val="none" w:sz="0" w:space="0" w:color="auto"/>
            <w:right w:val="none" w:sz="0" w:space="0" w:color="auto"/>
          </w:divBdr>
          <w:divsChild>
            <w:div w:id="1104495710">
              <w:marLeft w:val="0"/>
              <w:marRight w:val="0"/>
              <w:marTop w:val="0"/>
              <w:marBottom w:val="0"/>
              <w:divBdr>
                <w:top w:val="none" w:sz="0" w:space="0" w:color="auto"/>
                <w:left w:val="none" w:sz="0" w:space="0" w:color="auto"/>
                <w:bottom w:val="none" w:sz="0" w:space="0" w:color="auto"/>
                <w:right w:val="none" w:sz="0" w:space="0" w:color="auto"/>
              </w:divBdr>
              <w:divsChild>
                <w:div w:id="746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254">
      <w:bodyDiv w:val="1"/>
      <w:marLeft w:val="0"/>
      <w:marRight w:val="0"/>
      <w:marTop w:val="0"/>
      <w:marBottom w:val="0"/>
      <w:divBdr>
        <w:top w:val="none" w:sz="0" w:space="0" w:color="auto"/>
        <w:left w:val="none" w:sz="0" w:space="0" w:color="auto"/>
        <w:bottom w:val="none" w:sz="0" w:space="0" w:color="auto"/>
        <w:right w:val="none" w:sz="0" w:space="0" w:color="auto"/>
      </w:divBdr>
    </w:div>
    <w:div w:id="870342353">
      <w:bodyDiv w:val="1"/>
      <w:marLeft w:val="0"/>
      <w:marRight w:val="0"/>
      <w:marTop w:val="0"/>
      <w:marBottom w:val="0"/>
      <w:divBdr>
        <w:top w:val="none" w:sz="0" w:space="0" w:color="auto"/>
        <w:left w:val="none" w:sz="0" w:space="0" w:color="auto"/>
        <w:bottom w:val="none" w:sz="0" w:space="0" w:color="auto"/>
        <w:right w:val="none" w:sz="0" w:space="0" w:color="auto"/>
      </w:divBdr>
    </w:div>
    <w:div w:id="1084228787">
      <w:bodyDiv w:val="1"/>
      <w:marLeft w:val="0"/>
      <w:marRight w:val="0"/>
      <w:marTop w:val="0"/>
      <w:marBottom w:val="0"/>
      <w:divBdr>
        <w:top w:val="none" w:sz="0" w:space="0" w:color="auto"/>
        <w:left w:val="none" w:sz="0" w:space="0" w:color="auto"/>
        <w:bottom w:val="none" w:sz="0" w:space="0" w:color="auto"/>
        <w:right w:val="none" w:sz="0" w:space="0" w:color="auto"/>
      </w:divBdr>
    </w:div>
    <w:div w:id="1168669943">
      <w:bodyDiv w:val="1"/>
      <w:marLeft w:val="0"/>
      <w:marRight w:val="0"/>
      <w:marTop w:val="0"/>
      <w:marBottom w:val="0"/>
      <w:divBdr>
        <w:top w:val="none" w:sz="0" w:space="0" w:color="auto"/>
        <w:left w:val="none" w:sz="0" w:space="0" w:color="auto"/>
        <w:bottom w:val="none" w:sz="0" w:space="0" w:color="auto"/>
        <w:right w:val="none" w:sz="0" w:space="0" w:color="auto"/>
      </w:divBdr>
    </w:div>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545867561">
      <w:bodyDiv w:val="1"/>
      <w:marLeft w:val="0"/>
      <w:marRight w:val="0"/>
      <w:marTop w:val="0"/>
      <w:marBottom w:val="0"/>
      <w:divBdr>
        <w:top w:val="none" w:sz="0" w:space="0" w:color="auto"/>
        <w:left w:val="none" w:sz="0" w:space="0" w:color="auto"/>
        <w:bottom w:val="none" w:sz="0" w:space="0" w:color="auto"/>
        <w:right w:val="none" w:sz="0" w:space="0" w:color="auto"/>
      </w:divBdr>
    </w:div>
    <w:div w:id="1609776956">
      <w:bodyDiv w:val="1"/>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sChild>
            <w:div w:id="830484554">
              <w:marLeft w:val="0"/>
              <w:marRight w:val="0"/>
              <w:marTop w:val="0"/>
              <w:marBottom w:val="0"/>
              <w:divBdr>
                <w:top w:val="none" w:sz="0" w:space="0" w:color="auto"/>
                <w:left w:val="none" w:sz="0" w:space="0" w:color="auto"/>
                <w:bottom w:val="none" w:sz="0" w:space="0" w:color="auto"/>
                <w:right w:val="none" w:sz="0" w:space="0" w:color="auto"/>
              </w:divBdr>
              <w:divsChild>
                <w:div w:id="463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635">
      <w:bodyDiv w:val="1"/>
      <w:marLeft w:val="0"/>
      <w:marRight w:val="0"/>
      <w:marTop w:val="0"/>
      <w:marBottom w:val="0"/>
      <w:divBdr>
        <w:top w:val="none" w:sz="0" w:space="0" w:color="auto"/>
        <w:left w:val="none" w:sz="0" w:space="0" w:color="auto"/>
        <w:bottom w:val="none" w:sz="0" w:space="0" w:color="auto"/>
        <w:right w:val="none" w:sz="0" w:space="0" w:color="auto"/>
      </w:divBdr>
    </w:div>
    <w:div w:id="1671299196">
      <w:bodyDiv w:val="1"/>
      <w:marLeft w:val="0"/>
      <w:marRight w:val="0"/>
      <w:marTop w:val="0"/>
      <w:marBottom w:val="0"/>
      <w:divBdr>
        <w:top w:val="none" w:sz="0" w:space="0" w:color="auto"/>
        <w:left w:val="none" w:sz="0" w:space="0" w:color="auto"/>
        <w:bottom w:val="none" w:sz="0" w:space="0" w:color="auto"/>
        <w:right w:val="none" w:sz="0" w:space="0" w:color="auto"/>
      </w:divBdr>
    </w:div>
    <w:div w:id="1963615379">
      <w:bodyDiv w:val="1"/>
      <w:marLeft w:val="0"/>
      <w:marRight w:val="0"/>
      <w:marTop w:val="0"/>
      <w:marBottom w:val="0"/>
      <w:divBdr>
        <w:top w:val="none" w:sz="0" w:space="0" w:color="auto"/>
        <w:left w:val="none" w:sz="0" w:space="0" w:color="auto"/>
        <w:bottom w:val="none" w:sz="0" w:space="0" w:color="auto"/>
        <w:right w:val="none" w:sz="0" w:space="0" w:color="auto"/>
      </w:divBdr>
    </w:div>
    <w:div w:id="2122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A1A4-4D11-44BA-895A-F4C83FA0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Vivian</dc:creator>
  <cp:keywords/>
  <dc:description/>
  <cp:lastModifiedBy>Mokone</cp:lastModifiedBy>
  <cp:revision>2</cp:revision>
  <cp:lastPrinted>2023-06-07T09:17:00Z</cp:lastPrinted>
  <dcterms:created xsi:type="dcterms:W3CDTF">2023-06-09T11:50:00Z</dcterms:created>
  <dcterms:modified xsi:type="dcterms:W3CDTF">2023-06-09T11:50:00Z</dcterms:modified>
</cp:coreProperties>
</file>