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FE31" w14:textId="77777777" w:rsidR="00A96A33" w:rsidRPr="00E92DE2" w:rsidRDefault="00A96A33" w:rsidP="00A96A33">
      <w:pPr>
        <w:spacing w:line="360" w:lineRule="auto"/>
        <w:rPr>
          <w:rFonts w:ascii="Arial" w:hAnsi="Arial" w:cs="Arial"/>
          <w:b/>
        </w:rPr>
      </w:pPr>
    </w:p>
    <w:p w14:paraId="7B0F8D4A" w14:textId="69EE9FAC" w:rsidR="00A96A33" w:rsidRPr="00E92DE2" w:rsidRDefault="00D674D5" w:rsidP="00D674D5">
      <w:pPr>
        <w:spacing w:line="360" w:lineRule="auto"/>
        <w:jc w:val="center"/>
        <w:rPr>
          <w:rFonts w:ascii="Arial" w:hAnsi="Arial" w:cs="Arial"/>
          <w:b/>
        </w:rPr>
      </w:pPr>
      <w:r w:rsidRPr="006875A9">
        <w:rPr>
          <w:rFonts w:cs="Arial"/>
          <w:noProof/>
          <w:color w:val="1F497D"/>
          <w:lang w:val="en-US"/>
        </w:rPr>
        <w:drawing>
          <wp:inline distT="0" distB="0" distL="0" distR="0" wp14:anchorId="32431C3D" wp14:editId="539F14A5">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00A96A33" w:rsidRPr="00E92DE2">
        <w:rPr>
          <w:rFonts w:ascii="Arial" w:hAnsi="Arial" w:cs="Arial"/>
          <w:b/>
        </w:rPr>
        <w:t xml:space="preserve"> </w:t>
      </w:r>
    </w:p>
    <w:p w14:paraId="1EAC5AE1" w14:textId="77777777" w:rsidR="00A96A33" w:rsidRPr="009E60F5" w:rsidRDefault="00A96A33" w:rsidP="00A96A33">
      <w:pPr>
        <w:spacing w:line="360" w:lineRule="auto"/>
        <w:jc w:val="center"/>
        <w:rPr>
          <w:rFonts w:ascii="Arial" w:hAnsi="Arial" w:cs="Arial"/>
          <w:b/>
        </w:rPr>
      </w:pPr>
      <w:r w:rsidRPr="009E60F5">
        <w:rPr>
          <w:rFonts w:ascii="Arial" w:hAnsi="Arial" w:cs="Arial"/>
          <w:b/>
        </w:rPr>
        <w:t xml:space="preserve">    IN THE HIGH COURT OF SOUTH AFRICA</w:t>
      </w:r>
    </w:p>
    <w:p w14:paraId="55271B1D" w14:textId="77777777" w:rsidR="00A96A33" w:rsidRPr="009E60F5" w:rsidRDefault="00A96A33" w:rsidP="00A96A33">
      <w:pPr>
        <w:spacing w:line="360" w:lineRule="auto"/>
        <w:jc w:val="center"/>
        <w:rPr>
          <w:rFonts w:ascii="Arial" w:hAnsi="Arial" w:cs="Arial"/>
          <w:b/>
        </w:rPr>
      </w:pPr>
      <w:r w:rsidRPr="009E60F5">
        <w:rPr>
          <w:rFonts w:ascii="Arial" w:hAnsi="Arial" w:cs="Arial"/>
          <w:b/>
        </w:rPr>
        <w:t>GAUTENG DIVISION PRETORIA</w:t>
      </w:r>
    </w:p>
    <w:p w14:paraId="58481C46" w14:textId="77777777" w:rsidR="00A96A33" w:rsidRPr="009E60F5" w:rsidRDefault="00A96A33" w:rsidP="00A96A33">
      <w:pPr>
        <w:spacing w:line="360" w:lineRule="auto"/>
        <w:jc w:val="center"/>
        <w:rPr>
          <w:rFonts w:ascii="Arial" w:hAnsi="Arial" w:cs="Arial"/>
          <w:b/>
        </w:rPr>
      </w:pPr>
    </w:p>
    <w:p w14:paraId="6171831E" w14:textId="77777777" w:rsidR="00A96A33" w:rsidRPr="009E60F5" w:rsidRDefault="00A96A33" w:rsidP="00A96A33">
      <w:pPr>
        <w:spacing w:line="360" w:lineRule="auto"/>
        <w:jc w:val="right"/>
        <w:rPr>
          <w:rFonts w:ascii="Arial" w:hAnsi="Arial" w:cs="Arial"/>
          <w:b/>
          <w:i/>
        </w:rPr>
      </w:pPr>
      <w:r w:rsidRPr="009E60F5">
        <w:rPr>
          <w:rFonts w:ascii="Arial" w:hAnsi="Arial" w:cs="Arial"/>
          <w:b/>
          <w:noProof/>
          <w:lang w:val="en-US"/>
        </w:rPr>
        <mc:AlternateContent>
          <mc:Choice Requires="wps">
            <w:drawing>
              <wp:anchor distT="0" distB="0" distL="114300" distR="114300" simplePos="0" relativeHeight="251659264" behindDoc="0" locked="0" layoutInCell="1" allowOverlap="1" wp14:anchorId="4A6F374A" wp14:editId="27A8DF83">
                <wp:simplePos x="0" y="0"/>
                <wp:positionH relativeFrom="column">
                  <wp:posOffset>-2540</wp:posOffset>
                </wp:positionH>
                <wp:positionV relativeFrom="paragraph">
                  <wp:posOffset>7620</wp:posOffset>
                </wp:positionV>
                <wp:extent cx="3286760" cy="1344930"/>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1344930"/>
                        </a:xfrm>
                        <a:prstGeom prst="rect">
                          <a:avLst/>
                        </a:prstGeom>
                        <a:solidFill>
                          <a:srgbClr val="FFFFFF"/>
                        </a:solidFill>
                        <a:ln w="9525">
                          <a:solidFill>
                            <a:srgbClr val="000000"/>
                          </a:solidFill>
                          <a:miter lim="800000"/>
                          <a:headEnd/>
                          <a:tailEnd/>
                        </a:ln>
                      </wps:spPr>
                      <wps:txbx>
                        <w:txbxContent>
                          <w:p w14:paraId="2D4BDE3A" w14:textId="4F81BA48"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5B39B280"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1B79771"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342F87E1" w:rsidR="00A96A33" w:rsidRDefault="00D13750" w:rsidP="00A96A33">
                            <w:pPr>
                              <w:rPr>
                                <w:rFonts w:ascii="Century Gothic" w:hAnsi="Century Gothic"/>
                                <w:b/>
                                <w:sz w:val="18"/>
                                <w:szCs w:val="18"/>
                              </w:rPr>
                            </w:pPr>
                            <w:r>
                              <w:rPr>
                                <w:rFonts w:ascii="Century Gothic" w:hAnsi="Century Gothic"/>
                                <w:b/>
                                <w:sz w:val="18"/>
                                <w:szCs w:val="18"/>
                              </w:rPr>
                              <w:t xml:space="preserve">     </w:t>
                            </w:r>
                            <w:r w:rsidR="001A2DFB">
                              <w:rPr>
                                <w:rFonts w:ascii="Century Gothic" w:hAnsi="Century Gothic"/>
                                <w:b/>
                                <w:sz w:val="18"/>
                                <w:szCs w:val="18"/>
                              </w:rPr>
                              <w:t>5</w:t>
                            </w:r>
                            <w:r w:rsidR="006D537A">
                              <w:rPr>
                                <w:rFonts w:ascii="Century Gothic" w:hAnsi="Century Gothic"/>
                                <w:b/>
                                <w:sz w:val="18"/>
                                <w:szCs w:val="18"/>
                              </w:rPr>
                              <w:t xml:space="preserve"> 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6F374A" id="_x0000_t202" coordsize="21600,21600" o:spt="202" path="m,l,21600r21600,l21600,xe">
                <v:stroke joinstyle="miter"/>
                <v:path gradientshapeok="t" o:connecttype="rect"/>
              </v:shapetype>
              <v:shape id="Text Box 2" o:spid="_x0000_s1026" type="#_x0000_t202" style="position:absolute;left:0;text-align:left;margin-left:-.2pt;margin-top:.6pt;width:258.8pt;height:10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PKw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">
                <v:textbox>
                  <w:txbxContent>
                    <w:p w14:paraId="2D4BDE3A" w14:textId="4F81BA48"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A96A33">
                        <w:rPr>
                          <w:rFonts w:ascii="Century Gothic" w:hAnsi="Century Gothic"/>
                          <w:sz w:val="20"/>
                          <w:szCs w:val="20"/>
                        </w:rPr>
                        <w:t xml:space="preserve">REPORTABLE:  </w:t>
                      </w:r>
                      <w:r w:rsidR="002A1A3E">
                        <w:rPr>
                          <w:rFonts w:ascii="Century Gothic" w:hAnsi="Century Gothic"/>
                          <w:sz w:val="20"/>
                          <w:szCs w:val="20"/>
                        </w:rPr>
                        <w:t>NO</w:t>
                      </w:r>
                    </w:p>
                    <w:p w14:paraId="5299333B" w14:textId="5B39B280"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A96A33">
                        <w:rPr>
                          <w:rFonts w:ascii="Century Gothic" w:hAnsi="Century Gothic"/>
                          <w:sz w:val="20"/>
                          <w:szCs w:val="20"/>
                        </w:rPr>
                        <w:t xml:space="preserve">OF INTEREST TO OTHER JUDGES: </w:t>
                      </w:r>
                      <w:r w:rsidR="002A1A3E">
                        <w:rPr>
                          <w:rFonts w:ascii="Century Gothic" w:hAnsi="Century Gothic"/>
                          <w:sz w:val="20"/>
                          <w:szCs w:val="20"/>
                        </w:rPr>
                        <w:t>NO</w:t>
                      </w:r>
                    </w:p>
                    <w:p w14:paraId="5A4F484E" w14:textId="61B79771" w:rsidR="00A96A33" w:rsidRDefault="002161F5" w:rsidP="002161F5">
                      <w:pPr>
                        <w:tabs>
                          <w:tab w:val="left" w:pos="900"/>
                        </w:tabs>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A96A33">
                        <w:rPr>
                          <w:rFonts w:ascii="Century Gothic" w:hAnsi="Century Gothic"/>
                          <w:sz w:val="20"/>
                          <w:szCs w:val="20"/>
                        </w:rPr>
                        <w:t>REVISED</w:t>
                      </w:r>
                    </w:p>
                    <w:p w14:paraId="2E95CB6D" w14:textId="77777777" w:rsidR="00A96A33" w:rsidRDefault="00A96A33" w:rsidP="00A96A33">
                      <w:pPr>
                        <w:rPr>
                          <w:rFonts w:ascii="Century Gothic" w:hAnsi="Century Gothic"/>
                          <w:b/>
                          <w:sz w:val="18"/>
                          <w:szCs w:val="18"/>
                        </w:rPr>
                      </w:pPr>
                    </w:p>
                    <w:p w14:paraId="43A9EE70" w14:textId="77777777" w:rsidR="00A96A33" w:rsidRDefault="00A96A33" w:rsidP="00A96A33">
                      <w:pPr>
                        <w:rPr>
                          <w:rFonts w:ascii="Century Gothic" w:hAnsi="Century Gothic"/>
                          <w:b/>
                          <w:sz w:val="18"/>
                          <w:szCs w:val="18"/>
                        </w:rPr>
                      </w:pPr>
                    </w:p>
                    <w:p w14:paraId="692D105B" w14:textId="342F87E1" w:rsidR="00A96A33" w:rsidRDefault="00D13750" w:rsidP="00A96A33">
                      <w:pPr>
                        <w:rPr>
                          <w:rFonts w:ascii="Century Gothic" w:hAnsi="Century Gothic"/>
                          <w:b/>
                          <w:sz w:val="18"/>
                          <w:szCs w:val="18"/>
                        </w:rPr>
                      </w:pPr>
                      <w:r>
                        <w:rPr>
                          <w:rFonts w:ascii="Century Gothic" w:hAnsi="Century Gothic"/>
                          <w:b/>
                          <w:sz w:val="18"/>
                          <w:szCs w:val="18"/>
                        </w:rPr>
                        <w:t xml:space="preserve">     </w:t>
                      </w:r>
                      <w:r w:rsidR="001A2DFB">
                        <w:rPr>
                          <w:rFonts w:ascii="Century Gothic" w:hAnsi="Century Gothic"/>
                          <w:b/>
                          <w:sz w:val="18"/>
                          <w:szCs w:val="18"/>
                        </w:rPr>
                        <w:t>5</w:t>
                      </w:r>
                      <w:r w:rsidR="006D537A">
                        <w:rPr>
                          <w:rFonts w:ascii="Century Gothic" w:hAnsi="Century Gothic"/>
                          <w:b/>
                          <w:sz w:val="18"/>
                          <w:szCs w:val="18"/>
                        </w:rPr>
                        <w:t xml:space="preserve"> JU</w:t>
                      </w:r>
                      <w:r w:rsidR="00EC7CF7">
                        <w:rPr>
                          <w:rFonts w:ascii="Century Gothic" w:hAnsi="Century Gothic"/>
                          <w:b/>
                          <w:sz w:val="18"/>
                          <w:szCs w:val="18"/>
                        </w:rPr>
                        <w:t>NE</w:t>
                      </w:r>
                      <w:r>
                        <w:rPr>
                          <w:rFonts w:ascii="Century Gothic" w:hAnsi="Century Gothic"/>
                          <w:b/>
                          <w:sz w:val="18"/>
                          <w:szCs w:val="18"/>
                        </w:rPr>
                        <w:t xml:space="preserve"> </w:t>
                      </w:r>
                      <w:r w:rsidR="00960D9C">
                        <w:rPr>
                          <w:rFonts w:ascii="Century Gothic" w:hAnsi="Century Gothic"/>
                          <w:b/>
                          <w:sz w:val="18"/>
                          <w:szCs w:val="18"/>
                        </w:rPr>
                        <w:t>2023</w:t>
                      </w:r>
                    </w:p>
                    <w:p w14:paraId="00D972D1" w14:textId="77777777" w:rsidR="00A96A33" w:rsidRDefault="00A96A33" w:rsidP="00A96A33">
                      <w:pPr>
                        <w:rPr>
                          <w:rFonts w:ascii="Century Gothic" w:hAnsi="Century Gothic"/>
                          <w:b/>
                          <w:sz w:val="18"/>
                          <w:szCs w:val="18"/>
                        </w:rPr>
                      </w:pPr>
                      <w:r>
                        <w:rPr>
                          <w:rFonts w:ascii="Century Gothic" w:hAnsi="Century Gothic"/>
                          <w:b/>
                          <w:sz w:val="18"/>
                          <w:szCs w:val="18"/>
                        </w:rPr>
                        <w:t xml:space="preserve"> ………...............................         …………………………….</w:t>
                      </w:r>
                    </w:p>
                    <w:p w14:paraId="311663CA" w14:textId="77777777" w:rsidR="00A96A33" w:rsidRDefault="00A96A33" w:rsidP="00A96A33">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v:shape>
            </w:pict>
          </mc:Fallback>
        </mc:AlternateContent>
      </w:r>
    </w:p>
    <w:p w14:paraId="5ABFFFFF" w14:textId="77777777" w:rsidR="00A96A33" w:rsidRPr="009E60F5" w:rsidRDefault="00A96A33" w:rsidP="00A96A33">
      <w:pPr>
        <w:pStyle w:val="Heading1"/>
        <w:tabs>
          <w:tab w:val="clear" w:pos="540"/>
        </w:tabs>
        <w:ind w:right="-29"/>
        <w:jc w:val="right"/>
        <w:rPr>
          <w:rFonts w:ascii="Arial" w:hAnsi="Arial" w:cs="Arial"/>
        </w:rPr>
      </w:pPr>
    </w:p>
    <w:p w14:paraId="12CCBB45" w14:textId="77777777" w:rsidR="00A96A33" w:rsidRPr="009E60F5" w:rsidRDefault="00A96A33" w:rsidP="00A96A33">
      <w:pPr>
        <w:pStyle w:val="Heading1"/>
        <w:tabs>
          <w:tab w:val="clear" w:pos="540"/>
        </w:tabs>
        <w:ind w:right="-29"/>
        <w:jc w:val="right"/>
        <w:rPr>
          <w:rFonts w:ascii="Arial" w:hAnsi="Arial" w:cs="Arial"/>
        </w:rPr>
      </w:pPr>
    </w:p>
    <w:p w14:paraId="5339138B" w14:textId="77777777" w:rsidR="00A96A33" w:rsidRPr="009E60F5" w:rsidRDefault="00A96A33" w:rsidP="00A96A33">
      <w:pPr>
        <w:jc w:val="center"/>
        <w:rPr>
          <w:rFonts w:ascii="Arial" w:hAnsi="Arial" w:cs="Arial"/>
          <w:b/>
        </w:rPr>
      </w:pPr>
    </w:p>
    <w:p w14:paraId="4FAF8E4B" w14:textId="77777777" w:rsidR="00A96A33" w:rsidRPr="009E60F5" w:rsidRDefault="00A96A33" w:rsidP="00A96A33">
      <w:pPr>
        <w:jc w:val="center"/>
        <w:rPr>
          <w:rFonts w:ascii="Arial" w:hAnsi="Arial" w:cs="Arial"/>
          <w:b/>
        </w:rPr>
      </w:pPr>
    </w:p>
    <w:p w14:paraId="1CF2A213" w14:textId="77777777" w:rsidR="00A96A33" w:rsidRPr="009E60F5" w:rsidRDefault="00A96A33" w:rsidP="00A96A33">
      <w:pPr>
        <w:jc w:val="both"/>
        <w:rPr>
          <w:rFonts w:ascii="Arial" w:hAnsi="Arial" w:cs="Arial"/>
        </w:rPr>
      </w:pPr>
    </w:p>
    <w:p w14:paraId="234069AD" w14:textId="77777777" w:rsidR="00A96A33" w:rsidRPr="009E60F5" w:rsidRDefault="00A96A33" w:rsidP="00A96A33">
      <w:pPr>
        <w:jc w:val="both"/>
        <w:rPr>
          <w:rFonts w:ascii="Arial" w:hAnsi="Arial" w:cs="Arial"/>
        </w:rPr>
      </w:pPr>
    </w:p>
    <w:tbl>
      <w:tblPr>
        <w:tblW w:w="9073" w:type="dxa"/>
        <w:tblInd w:w="-142" w:type="dxa"/>
        <w:tblLook w:val="01E0" w:firstRow="1" w:lastRow="1" w:firstColumn="1" w:lastColumn="1" w:noHBand="0" w:noVBand="0"/>
      </w:tblPr>
      <w:tblGrid>
        <w:gridCol w:w="34"/>
        <w:gridCol w:w="5778"/>
        <w:gridCol w:w="3261"/>
      </w:tblGrid>
      <w:tr w:rsidR="00A96A33" w:rsidRPr="009E60F5" w14:paraId="557BCC7E" w14:textId="77777777" w:rsidTr="001E46C7">
        <w:tc>
          <w:tcPr>
            <w:tcW w:w="5812" w:type="dxa"/>
            <w:gridSpan w:val="2"/>
            <w:shd w:val="clear" w:color="auto" w:fill="auto"/>
          </w:tcPr>
          <w:p w14:paraId="7922E337"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4A73BF39" w14:textId="445168C0" w:rsidR="00A96A33" w:rsidRPr="009E60F5" w:rsidRDefault="00A96A33" w:rsidP="001E46C7">
            <w:pPr>
              <w:widowControl w:val="0"/>
              <w:spacing w:line="360" w:lineRule="auto"/>
              <w:jc w:val="right"/>
              <w:rPr>
                <w:rFonts w:ascii="Arial" w:hAnsi="Arial" w:cs="Arial"/>
                <w:b/>
              </w:rPr>
            </w:pPr>
            <w:r w:rsidRPr="009E60F5">
              <w:rPr>
                <w:rFonts w:ascii="Arial" w:hAnsi="Arial" w:cs="Arial"/>
                <w:b/>
              </w:rPr>
              <w:t xml:space="preserve">Case Number: </w:t>
            </w:r>
            <w:r w:rsidR="00EC7CF7">
              <w:rPr>
                <w:rFonts w:ascii="Arial" w:hAnsi="Arial" w:cs="Arial"/>
                <w:b/>
                <w:bCs/>
              </w:rPr>
              <w:t>23631</w:t>
            </w:r>
            <w:r w:rsidR="00A90B49">
              <w:rPr>
                <w:rFonts w:ascii="Arial" w:hAnsi="Arial" w:cs="Arial"/>
                <w:b/>
                <w:bCs/>
              </w:rPr>
              <w:t>/202</w:t>
            </w:r>
            <w:r w:rsidR="007F63D9">
              <w:rPr>
                <w:rFonts w:ascii="Arial" w:hAnsi="Arial" w:cs="Arial"/>
                <w:b/>
                <w:bCs/>
              </w:rPr>
              <w:t>2</w:t>
            </w:r>
          </w:p>
        </w:tc>
      </w:tr>
      <w:tr w:rsidR="00A96A33" w:rsidRPr="009E60F5" w14:paraId="178E2EB8" w14:textId="77777777" w:rsidTr="001E46C7">
        <w:tc>
          <w:tcPr>
            <w:tcW w:w="5812" w:type="dxa"/>
            <w:gridSpan w:val="2"/>
            <w:shd w:val="clear" w:color="auto" w:fill="auto"/>
          </w:tcPr>
          <w:p w14:paraId="0960CF00" w14:textId="77777777" w:rsidR="00A96A33" w:rsidRPr="009E60F5" w:rsidRDefault="00A96A33" w:rsidP="001E46C7">
            <w:pPr>
              <w:widowControl w:val="0"/>
              <w:spacing w:line="360" w:lineRule="auto"/>
              <w:rPr>
                <w:rFonts w:ascii="Arial" w:hAnsi="Arial" w:cs="Arial"/>
              </w:rPr>
            </w:pPr>
          </w:p>
        </w:tc>
        <w:tc>
          <w:tcPr>
            <w:tcW w:w="3261" w:type="dxa"/>
            <w:shd w:val="clear" w:color="auto" w:fill="auto"/>
          </w:tcPr>
          <w:p w14:paraId="61F1E294" w14:textId="77777777" w:rsidR="00A96A33" w:rsidRPr="009E60F5" w:rsidRDefault="00A96A33" w:rsidP="001E46C7">
            <w:pPr>
              <w:widowControl w:val="0"/>
              <w:spacing w:line="360" w:lineRule="auto"/>
              <w:jc w:val="right"/>
              <w:rPr>
                <w:rFonts w:ascii="Arial" w:hAnsi="Arial" w:cs="Arial"/>
                <w:b/>
              </w:rPr>
            </w:pPr>
          </w:p>
        </w:tc>
      </w:tr>
      <w:tr w:rsidR="00A96A33" w:rsidRPr="009E60F5" w14:paraId="0E20CF1D"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44A31259" w14:textId="037B7910" w:rsidR="00A90B49" w:rsidRPr="009E60F5" w:rsidRDefault="00EC7CF7" w:rsidP="001E46C7">
            <w:pPr>
              <w:widowControl w:val="0"/>
              <w:spacing w:line="360" w:lineRule="auto"/>
              <w:rPr>
                <w:rFonts w:ascii="Arial" w:hAnsi="Arial" w:cs="Arial"/>
                <w:b/>
                <w:bCs/>
              </w:rPr>
            </w:pPr>
            <w:r>
              <w:rPr>
                <w:rFonts w:ascii="Arial" w:hAnsi="Arial" w:cs="Arial"/>
                <w:b/>
                <w:bCs/>
              </w:rPr>
              <w:t>JAN HENDRIK BRITS</w:t>
            </w:r>
          </w:p>
        </w:tc>
        <w:tc>
          <w:tcPr>
            <w:tcW w:w="3261" w:type="dxa"/>
            <w:tcBorders>
              <w:top w:val="nil"/>
              <w:left w:val="nil"/>
              <w:bottom w:val="nil"/>
              <w:right w:val="nil"/>
            </w:tcBorders>
          </w:tcPr>
          <w:p w14:paraId="3F03C171" w14:textId="7C2BD0AB" w:rsidR="00A96A33" w:rsidRPr="009E60F5" w:rsidRDefault="00847500" w:rsidP="00847500">
            <w:pPr>
              <w:widowControl w:val="0"/>
              <w:spacing w:line="360" w:lineRule="auto"/>
              <w:jc w:val="center"/>
              <w:rPr>
                <w:rFonts w:ascii="Arial" w:hAnsi="Arial" w:cs="Arial"/>
              </w:rPr>
            </w:pPr>
            <w:r>
              <w:rPr>
                <w:rFonts w:ascii="Arial" w:hAnsi="Arial" w:cs="Arial"/>
              </w:rPr>
              <w:t xml:space="preserve">                        </w:t>
            </w:r>
            <w:r w:rsidR="00922147">
              <w:rPr>
                <w:rFonts w:ascii="Arial" w:hAnsi="Arial" w:cs="Arial"/>
              </w:rPr>
              <w:t>Applicant</w:t>
            </w:r>
          </w:p>
        </w:tc>
      </w:tr>
      <w:tr w:rsidR="00A96A33" w:rsidRPr="009E60F5" w14:paraId="10B89B6A"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BB654D1" w14:textId="77777777" w:rsidR="00A96A33" w:rsidRPr="009E60F5" w:rsidRDefault="00A96A33" w:rsidP="001E46C7">
            <w:pPr>
              <w:widowControl w:val="0"/>
              <w:spacing w:line="360" w:lineRule="auto"/>
              <w:rPr>
                <w:rFonts w:ascii="Arial" w:hAnsi="Arial" w:cs="Arial"/>
                <w:b/>
              </w:rPr>
            </w:pPr>
          </w:p>
        </w:tc>
        <w:tc>
          <w:tcPr>
            <w:tcW w:w="3261" w:type="dxa"/>
            <w:tcBorders>
              <w:top w:val="nil"/>
              <w:left w:val="nil"/>
              <w:bottom w:val="nil"/>
              <w:right w:val="nil"/>
            </w:tcBorders>
          </w:tcPr>
          <w:p w14:paraId="3CE0A221" w14:textId="77777777" w:rsidR="00A96A33" w:rsidRPr="009E60F5" w:rsidRDefault="00A96A33" w:rsidP="001E46C7">
            <w:pPr>
              <w:widowControl w:val="0"/>
              <w:spacing w:line="360" w:lineRule="auto"/>
              <w:jc w:val="right"/>
              <w:rPr>
                <w:rFonts w:ascii="Arial" w:hAnsi="Arial" w:cs="Arial"/>
              </w:rPr>
            </w:pPr>
          </w:p>
        </w:tc>
      </w:tr>
      <w:tr w:rsidR="00A96A33" w:rsidRPr="009E60F5" w14:paraId="3EA28C8E"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152EF9AB" w14:textId="0084DBF2" w:rsidR="00A96A33" w:rsidRPr="009E60F5" w:rsidRDefault="006D537A" w:rsidP="001E46C7">
            <w:pPr>
              <w:widowControl w:val="0"/>
              <w:spacing w:line="360" w:lineRule="auto"/>
              <w:rPr>
                <w:rFonts w:ascii="Arial" w:hAnsi="Arial" w:cs="Arial"/>
              </w:rPr>
            </w:pPr>
            <w:r>
              <w:rPr>
                <w:rFonts w:ascii="Arial" w:hAnsi="Arial" w:cs="Arial"/>
              </w:rPr>
              <w:t>a</w:t>
            </w:r>
            <w:r w:rsidR="002A1A3E">
              <w:rPr>
                <w:rFonts w:ascii="Arial" w:hAnsi="Arial" w:cs="Arial"/>
              </w:rPr>
              <w:t>nd</w:t>
            </w:r>
          </w:p>
        </w:tc>
        <w:tc>
          <w:tcPr>
            <w:tcW w:w="3261" w:type="dxa"/>
            <w:tcBorders>
              <w:top w:val="nil"/>
              <w:left w:val="nil"/>
              <w:bottom w:val="nil"/>
              <w:right w:val="nil"/>
            </w:tcBorders>
          </w:tcPr>
          <w:p w14:paraId="462CC586" w14:textId="77777777" w:rsidR="00A96A33" w:rsidRPr="009E60F5" w:rsidRDefault="00A96A33" w:rsidP="001E46C7">
            <w:pPr>
              <w:widowControl w:val="0"/>
              <w:spacing w:line="360" w:lineRule="auto"/>
              <w:jc w:val="right"/>
              <w:rPr>
                <w:rFonts w:ascii="Arial" w:hAnsi="Arial" w:cs="Arial"/>
              </w:rPr>
            </w:pPr>
          </w:p>
        </w:tc>
      </w:tr>
      <w:tr w:rsidR="00A96A33" w:rsidRPr="009E60F5" w14:paraId="1777248F"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7CF70C7B" w14:textId="104BE88E" w:rsidR="00A96A33" w:rsidRPr="009E60F5" w:rsidRDefault="00A96A33" w:rsidP="001E46C7">
            <w:pPr>
              <w:widowControl w:val="0"/>
              <w:spacing w:line="360" w:lineRule="auto"/>
              <w:rPr>
                <w:rFonts w:ascii="Arial" w:hAnsi="Arial" w:cs="Arial"/>
              </w:rPr>
            </w:pPr>
          </w:p>
        </w:tc>
        <w:tc>
          <w:tcPr>
            <w:tcW w:w="3261" w:type="dxa"/>
            <w:tcBorders>
              <w:top w:val="nil"/>
              <w:left w:val="nil"/>
              <w:bottom w:val="nil"/>
              <w:right w:val="nil"/>
            </w:tcBorders>
          </w:tcPr>
          <w:p w14:paraId="2CA6D647" w14:textId="77777777" w:rsidR="00A96A33" w:rsidRPr="009E60F5" w:rsidRDefault="00A96A33" w:rsidP="001E46C7">
            <w:pPr>
              <w:widowControl w:val="0"/>
              <w:spacing w:line="360" w:lineRule="auto"/>
              <w:jc w:val="right"/>
              <w:rPr>
                <w:rFonts w:ascii="Arial" w:hAnsi="Arial" w:cs="Arial"/>
              </w:rPr>
            </w:pPr>
          </w:p>
        </w:tc>
      </w:tr>
      <w:tr w:rsidR="00A96A33" w:rsidRPr="009E60F5" w14:paraId="38CD7750" w14:textId="77777777" w:rsidTr="001E46C7">
        <w:tblPrEx>
          <w:tblLook w:val="0000" w:firstRow="0" w:lastRow="0" w:firstColumn="0" w:lastColumn="0" w:noHBand="0" w:noVBand="0"/>
        </w:tblPrEx>
        <w:trPr>
          <w:gridBefore w:val="1"/>
          <w:wBefore w:w="34" w:type="dxa"/>
        </w:trPr>
        <w:tc>
          <w:tcPr>
            <w:tcW w:w="5778" w:type="dxa"/>
            <w:tcBorders>
              <w:top w:val="nil"/>
              <w:left w:val="nil"/>
              <w:bottom w:val="nil"/>
              <w:right w:val="nil"/>
            </w:tcBorders>
          </w:tcPr>
          <w:p w14:paraId="6C80D941" w14:textId="1128FDD4" w:rsidR="007F63D9" w:rsidRPr="006D537A" w:rsidRDefault="00EC7CF7" w:rsidP="001E46C7">
            <w:pPr>
              <w:widowControl w:val="0"/>
              <w:spacing w:line="360" w:lineRule="auto"/>
              <w:rPr>
                <w:rFonts w:ascii="Arial" w:hAnsi="Arial" w:cs="Arial"/>
                <w:b/>
                <w:bCs/>
              </w:rPr>
            </w:pPr>
            <w:r>
              <w:rPr>
                <w:rFonts w:ascii="Arial" w:hAnsi="Arial" w:cs="Arial"/>
                <w:b/>
                <w:bCs/>
              </w:rPr>
              <w:t>SWEET EQUITY INVESTMENTS 2 (PTY) LTD</w:t>
            </w:r>
          </w:p>
          <w:p w14:paraId="50C22F5B" w14:textId="1EB964D8" w:rsidR="00A96A33" w:rsidRPr="009E60F5" w:rsidRDefault="00A96A33" w:rsidP="00960D9C">
            <w:pPr>
              <w:widowControl w:val="0"/>
              <w:spacing w:line="360" w:lineRule="auto"/>
              <w:rPr>
                <w:rFonts w:ascii="Arial" w:hAnsi="Arial" w:cs="Arial"/>
                <w:b/>
                <w:bCs/>
              </w:rPr>
            </w:pPr>
          </w:p>
        </w:tc>
        <w:tc>
          <w:tcPr>
            <w:tcW w:w="3261" w:type="dxa"/>
            <w:tcBorders>
              <w:top w:val="nil"/>
              <w:left w:val="nil"/>
              <w:bottom w:val="nil"/>
              <w:right w:val="nil"/>
            </w:tcBorders>
          </w:tcPr>
          <w:p w14:paraId="0609C42D" w14:textId="50AD4076" w:rsidR="00A96A33" w:rsidRDefault="009B43B4" w:rsidP="001E46C7">
            <w:pPr>
              <w:widowControl w:val="0"/>
              <w:spacing w:line="360" w:lineRule="auto"/>
              <w:jc w:val="right"/>
              <w:rPr>
                <w:rFonts w:ascii="Arial" w:hAnsi="Arial" w:cs="Arial"/>
              </w:rPr>
            </w:pPr>
            <w:r>
              <w:rPr>
                <w:rFonts w:ascii="Arial" w:hAnsi="Arial" w:cs="Arial"/>
              </w:rPr>
              <w:t xml:space="preserve"> </w:t>
            </w:r>
            <w:r w:rsidR="00922147">
              <w:rPr>
                <w:rFonts w:ascii="Arial" w:hAnsi="Arial" w:cs="Arial"/>
              </w:rPr>
              <w:t>Respondent</w:t>
            </w:r>
          </w:p>
          <w:p w14:paraId="193B91AB" w14:textId="77777777" w:rsidR="005C4521" w:rsidRDefault="005C4521" w:rsidP="001E46C7">
            <w:pPr>
              <w:widowControl w:val="0"/>
              <w:spacing w:line="360" w:lineRule="auto"/>
              <w:jc w:val="right"/>
              <w:rPr>
                <w:rFonts w:ascii="Arial" w:hAnsi="Arial" w:cs="Arial"/>
              </w:rPr>
            </w:pPr>
          </w:p>
          <w:p w14:paraId="449F92BF" w14:textId="0DF81702" w:rsidR="000012D8" w:rsidRPr="009E60F5" w:rsidRDefault="000012D8" w:rsidP="001E46C7">
            <w:pPr>
              <w:widowControl w:val="0"/>
              <w:spacing w:line="360" w:lineRule="auto"/>
              <w:jc w:val="right"/>
              <w:rPr>
                <w:rFonts w:ascii="Arial" w:hAnsi="Arial" w:cs="Arial"/>
              </w:rPr>
            </w:pPr>
          </w:p>
        </w:tc>
      </w:tr>
    </w:tbl>
    <w:p w14:paraId="359CA2CC" w14:textId="77777777" w:rsidR="00A96A33" w:rsidRPr="009E60F5" w:rsidRDefault="00A96A33" w:rsidP="00A96A33">
      <w:pPr>
        <w:rPr>
          <w:rFonts w:ascii="Arial" w:hAnsi="Arial" w:cs="Arial"/>
        </w:rPr>
      </w:pPr>
    </w:p>
    <w:tbl>
      <w:tblPr>
        <w:tblW w:w="8931" w:type="dxa"/>
        <w:tblBorders>
          <w:top w:val="single" w:sz="4" w:space="0" w:color="auto"/>
          <w:bottom w:val="single" w:sz="4" w:space="0" w:color="auto"/>
        </w:tblBorders>
        <w:tblLook w:val="01E0" w:firstRow="1" w:lastRow="1" w:firstColumn="1" w:lastColumn="1" w:noHBand="0" w:noVBand="0"/>
      </w:tblPr>
      <w:tblGrid>
        <w:gridCol w:w="8931"/>
      </w:tblGrid>
      <w:tr w:rsidR="00A96A33" w:rsidRPr="009E60F5" w14:paraId="25C2A05A" w14:textId="77777777" w:rsidTr="001E46C7">
        <w:tc>
          <w:tcPr>
            <w:tcW w:w="8931" w:type="dxa"/>
            <w:shd w:val="clear" w:color="auto" w:fill="auto"/>
          </w:tcPr>
          <w:p w14:paraId="551E4B7E" w14:textId="77777777" w:rsidR="00A96A33" w:rsidRPr="009E60F5" w:rsidRDefault="00A96A33" w:rsidP="001E46C7">
            <w:pPr>
              <w:rPr>
                <w:rFonts w:ascii="Arial" w:hAnsi="Arial" w:cs="Arial"/>
              </w:rPr>
            </w:pPr>
          </w:p>
          <w:p w14:paraId="06430362" w14:textId="53029412" w:rsidR="00A96A33" w:rsidRPr="009E60F5" w:rsidRDefault="006D537A" w:rsidP="001E46C7">
            <w:pPr>
              <w:jc w:val="center"/>
              <w:rPr>
                <w:rFonts w:ascii="Arial" w:hAnsi="Arial" w:cs="Arial"/>
                <w:b/>
              </w:rPr>
            </w:pPr>
            <w:r>
              <w:rPr>
                <w:rFonts w:ascii="Arial" w:hAnsi="Arial" w:cs="Arial"/>
                <w:b/>
              </w:rPr>
              <w:t>JUDGMENT</w:t>
            </w:r>
          </w:p>
          <w:p w14:paraId="53E57B93" w14:textId="77777777" w:rsidR="00A96A33" w:rsidRPr="009E60F5" w:rsidRDefault="00A96A33" w:rsidP="001E46C7">
            <w:pPr>
              <w:jc w:val="center"/>
              <w:rPr>
                <w:rFonts w:ascii="Arial" w:hAnsi="Arial" w:cs="Arial"/>
              </w:rPr>
            </w:pPr>
          </w:p>
        </w:tc>
      </w:tr>
    </w:tbl>
    <w:p w14:paraId="368E7064" w14:textId="77777777" w:rsidR="00A96A33" w:rsidRPr="009E60F5" w:rsidRDefault="00A96A33" w:rsidP="00A96A33">
      <w:pPr>
        <w:widowControl w:val="0"/>
        <w:autoSpaceDE w:val="0"/>
        <w:autoSpaceDN w:val="0"/>
        <w:adjustRightInd w:val="0"/>
        <w:spacing w:line="480" w:lineRule="auto"/>
        <w:ind w:right="-455"/>
        <w:jc w:val="center"/>
        <w:rPr>
          <w:rFonts w:ascii="Arial" w:hAnsi="Arial" w:cs="Arial"/>
          <w:b/>
          <w:u w:val="single"/>
        </w:rPr>
      </w:pPr>
      <w:bookmarkStart w:id="0" w:name="QuickMark"/>
      <w:bookmarkEnd w:id="0"/>
    </w:p>
    <w:p w14:paraId="117A820D" w14:textId="3FC1396F" w:rsidR="00A96A33" w:rsidRPr="009E60F5" w:rsidRDefault="00A96A33" w:rsidP="00A96A33">
      <w:pPr>
        <w:widowControl w:val="0"/>
        <w:autoSpaceDE w:val="0"/>
        <w:autoSpaceDN w:val="0"/>
        <w:adjustRightInd w:val="0"/>
        <w:spacing w:line="480" w:lineRule="auto"/>
        <w:ind w:right="-455"/>
        <w:rPr>
          <w:rFonts w:ascii="Arial" w:hAnsi="Arial" w:cs="Arial"/>
          <w:bCs/>
        </w:rPr>
      </w:pPr>
      <w:r>
        <w:rPr>
          <w:rFonts w:ascii="Arial" w:hAnsi="Arial" w:cs="Arial"/>
          <w:b/>
          <w:u w:val="single"/>
        </w:rPr>
        <w:t>SC VIVIAN</w:t>
      </w:r>
      <w:r w:rsidRPr="009E60F5">
        <w:rPr>
          <w:rFonts w:ascii="Arial" w:hAnsi="Arial" w:cs="Arial"/>
          <w:b/>
          <w:u w:val="single"/>
        </w:rPr>
        <w:t xml:space="preserve"> AJ</w:t>
      </w:r>
    </w:p>
    <w:p w14:paraId="23DBD868" w14:textId="77777777" w:rsidR="00A96A33" w:rsidRPr="009E60F5" w:rsidRDefault="00A96A33" w:rsidP="00A96A33">
      <w:pPr>
        <w:widowControl w:val="0"/>
        <w:autoSpaceDE w:val="0"/>
        <w:autoSpaceDN w:val="0"/>
        <w:adjustRightInd w:val="0"/>
        <w:spacing w:line="480" w:lineRule="auto"/>
        <w:ind w:right="-455"/>
        <w:rPr>
          <w:rFonts w:ascii="Arial" w:hAnsi="Arial" w:cs="Arial"/>
          <w:bCs/>
        </w:rPr>
      </w:pPr>
    </w:p>
    <w:p w14:paraId="3D525537" w14:textId="5B3D822B" w:rsidR="00BE6E44" w:rsidRPr="002161F5" w:rsidRDefault="002161F5" w:rsidP="002161F5">
      <w:pPr>
        <w:spacing w:line="480" w:lineRule="auto"/>
        <w:ind w:left="567" w:hanging="567"/>
        <w:jc w:val="both"/>
        <w:rPr>
          <w:rFonts w:ascii="Arial" w:hAnsi="Arial" w:cs="Arial"/>
        </w:rPr>
      </w:pPr>
      <w:bookmarkStart w:id="1" w:name="_Toc299712776"/>
      <w:bookmarkStart w:id="2" w:name="_Toc419271086"/>
      <w:bookmarkEnd w:id="1"/>
      <w:bookmarkEnd w:id="2"/>
      <w:r>
        <w:rPr>
          <w:rFonts w:ascii="Arial" w:hAnsi="Arial" w:cs="Arial"/>
        </w:rPr>
        <w:lastRenderedPageBreak/>
        <w:t>1.</w:t>
      </w:r>
      <w:r>
        <w:rPr>
          <w:rFonts w:ascii="Arial" w:hAnsi="Arial" w:cs="Arial"/>
        </w:rPr>
        <w:tab/>
      </w:r>
      <w:r w:rsidR="00922147" w:rsidRPr="002161F5">
        <w:rPr>
          <w:rFonts w:ascii="Arial" w:hAnsi="Arial" w:cs="Arial"/>
        </w:rPr>
        <w:t>I</w:t>
      </w:r>
      <w:r w:rsidR="00EC7CF7" w:rsidRPr="002161F5">
        <w:rPr>
          <w:rFonts w:ascii="Arial" w:hAnsi="Arial" w:cs="Arial"/>
        </w:rPr>
        <w:t>n motion proceedings</w:t>
      </w:r>
      <w:r w:rsidR="00922147" w:rsidRPr="002161F5">
        <w:rPr>
          <w:rFonts w:ascii="Arial" w:hAnsi="Arial" w:cs="Arial"/>
        </w:rPr>
        <w:t>,</w:t>
      </w:r>
      <w:r w:rsidR="00EC7CF7" w:rsidRPr="002161F5">
        <w:rPr>
          <w:rFonts w:ascii="Arial" w:hAnsi="Arial" w:cs="Arial"/>
        </w:rPr>
        <w:t xml:space="preserve"> the Applicant</w:t>
      </w:r>
      <w:r w:rsidR="001A2DFB" w:rsidRPr="002161F5">
        <w:rPr>
          <w:rFonts w:ascii="Arial" w:hAnsi="Arial" w:cs="Arial"/>
        </w:rPr>
        <w:t>’s</w:t>
      </w:r>
      <w:r w:rsidR="00EC7CF7" w:rsidRPr="002161F5">
        <w:rPr>
          <w:rFonts w:ascii="Arial" w:hAnsi="Arial" w:cs="Arial"/>
        </w:rPr>
        <w:t xml:space="preserve"> case </w:t>
      </w:r>
      <w:r w:rsidR="003F69CF" w:rsidRPr="002161F5">
        <w:rPr>
          <w:rFonts w:ascii="Arial" w:hAnsi="Arial" w:cs="Arial"/>
        </w:rPr>
        <w:t xml:space="preserve">must be made out </w:t>
      </w:r>
      <w:r w:rsidR="00EC7CF7" w:rsidRPr="002161F5">
        <w:rPr>
          <w:rFonts w:ascii="Arial" w:hAnsi="Arial" w:cs="Arial"/>
        </w:rPr>
        <w:t xml:space="preserve">in </w:t>
      </w:r>
      <w:r w:rsidR="001A2DFB" w:rsidRPr="002161F5">
        <w:rPr>
          <w:rFonts w:ascii="Arial" w:hAnsi="Arial" w:cs="Arial"/>
        </w:rPr>
        <w:t>the</w:t>
      </w:r>
      <w:r w:rsidR="00EC7CF7" w:rsidRPr="002161F5">
        <w:rPr>
          <w:rFonts w:ascii="Arial" w:hAnsi="Arial" w:cs="Arial"/>
        </w:rPr>
        <w:t xml:space="preserve"> founding affidavit.</w:t>
      </w:r>
      <w:r w:rsidR="00DD741B" w:rsidRPr="002161F5">
        <w:rPr>
          <w:rFonts w:ascii="Arial" w:hAnsi="Arial" w:cs="Arial"/>
        </w:rPr>
        <w:t xml:space="preserve"> </w:t>
      </w:r>
      <w:r w:rsidR="00922147" w:rsidRPr="002161F5">
        <w:rPr>
          <w:rFonts w:ascii="Arial" w:hAnsi="Arial" w:cs="Arial"/>
        </w:rPr>
        <w:t>T</w:t>
      </w:r>
      <w:r w:rsidR="00DD741B" w:rsidRPr="002161F5">
        <w:rPr>
          <w:rFonts w:ascii="Arial" w:hAnsi="Arial" w:cs="Arial"/>
        </w:rPr>
        <w:t xml:space="preserve">he </w:t>
      </w:r>
      <w:r w:rsidR="00C56203" w:rsidRPr="002161F5">
        <w:rPr>
          <w:rFonts w:ascii="Arial" w:hAnsi="Arial" w:cs="Arial"/>
        </w:rPr>
        <w:t>founding affidavit in this application does not make out a case for the relief sought by the Applicant</w:t>
      </w:r>
      <w:r w:rsidR="00DD741B" w:rsidRPr="002161F5">
        <w:rPr>
          <w:rFonts w:ascii="Arial" w:hAnsi="Arial" w:cs="Arial"/>
        </w:rPr>
        <w:t>.</w:t>
      </w:r>
    </w:p>
    <w:p w14:paraId="31FEEA0C" w14:textId="77777777" w:rsidR="007F63D9" w:rsidRDefault="007F63D9" w:rsidP="007F63D9">
      <w:pPr>
        <w:pStyle w:val="ListParagraph"/>
        <w:ind w:left="567"/>
        <w:jc w:val="both"/>
        <w:rPr>
          <w:rFonts w:ascii="Arial" w:hAnsi="Arial" w:cs="Arial"/>
        </w:rPr>
      </w:pPr>
    </w:p>
    <w:p w14:paraId="6373B712" w14:textId="600A38C5" w:rsidR="00922147" w:rsidRPr="002161F5" w:rsidRDefault="002161F5" w:rsidP="002161F5">
      <w:pPr>
        <w:spacing w:line="480" w:lineRule="auto"/>
        <w:ind w:left="567" w:hanging="567"/>
        <w:jc w:val="both"/>
        <w:rPr>
          <w:rFonts w:ascii="Arial" w:hAnsi="Arial" w:cs="Arial"/>
        </w:rPr>
      </w:pPr>
      <w:r>
        <w:rPr>
          <w:rFonts w:ascii="Arial" w:hAnsi="Arial" w:cs="Arial"/>
        </w:rPr>
        <w:t>2.</w:t>
      </w:r>
      <w:r>
        <w:rPr>
          <w:rFonts w:ascii="Arial" w:hAnsi="Arial" w:cs="Arial"/>
        </w:rPr>
        <w:tab/>
      </w:r>
      <w:r w:rsidR="00DD741B" w:rsidRPr="002161F5">
        <w:rPr>
          <w:rFonts w:ascii="Arial" w:hAnsi="Arial" w:cs="Arial"/>
        </w:rPr>
        <w:t xml:space="preserve">The Applicant seeks an order placing the Respondent in winding up. </w:t>
      </w:r>
      <w:r w:rsidR="00922147" w:rsidRPr="002161F5">
        <w:rPr>
          <w:rFonts w:ascii="Arial" w:hAnsi="Arial" w:cs="Arial"/>
        </w:rPr>
        <w:t xml:space="preserve">There are different pathways for the winding up of solvent and insolvent companies. Solvent </w:t>
      </w:r>
      <w:r w:rsidR="003F69CF" w:rsidRPr="002161F5">
        <w:rPr>
          <w:rFonts w:ascii="Arial" w:hAnsi="Arial" w:cs="Arial"/>
        </w:rPr>
        <w:t>c</w:t>
      </w:r>
      <w:r w:rsidR="00922147" w:rsidRPr="002161F5">
        <w:rPr>
          <w:rFonts w:ascii="Arial" w:hAnsi="Arial" w:cs="Arial"/>
        </w:rPr>
        <w:t>ompanies are wound up on terms of Part G of the 2008 Companies Act</w:t>
      </w:r>
      <w:r w:rsidR="003F69CF" w:rsidRPr="002161F5">
        <w:rPr>
          <w:rFonts w:ascii="Arial" w:hAnsi="Arial" w:cs="Arial"/>
        </w:rPr>
        <w:t>.</w:t>
      </w:r>
      <w:r w:rsidR="00922147">
        <w:rPr>
          <w:rStyle w:val="FootnoteReference"/>
          <w:rFonts w:ascii="Arial" w:hAnsi="Arial" w:cs="Arial"/>
        </w:rPr>
        <w:footnoteReference w:id="1"/>
      </w:r>
      <w:r w:rsidR="00922147" w:rsidRPr="002161F5">
        <w:rPr>
          <w:rFonts w:ascii="Arial" w:hAnsi="Arial" w:cs="Arial"/>
        </w:rPr>
        <w:t xml:space="preserve"> Insolvent </w:t>
      </w:r>
      <w:r w:rsidR="003F69CF" w:rsidRPr="002161F5">
        <w:rPr>
          <w:rFonts w:ascii="Arial" w:hAnsi="Arial" w:cs="Arial"/>
        </w:rPr>
        <w:t>c</w:t>
      </w:r>
      <w:r w:rsidR="00922147" w:rsidRPr="002161F5">
        <w:rPr>
          <w:rFonts w:ascii="Arial" w:hAnsi="Arial" w:cs="Arial"/>
        </w:rPr>
        <w:t>ompanies are wound up in terms of Chapter 14 of the 1973 Companies Act.</w:t>
      </w:r>
      <w:r w:rsidR="00922147" w:rsidRPr="002161F5">
        <w:rPr>
          <w:rStyle w:val="FootnoteReference"/>
          <w:rFonts w:ascii="Arial" w:hAnsi="Arial" w:cs="Arial"/>
        </w:rPr>
        <w:t xml:space="preserve"> </w:t>
      </w:r>
      <w:r w:rsidR="00922147">
        <w:rPr>
          <w:rStyle w:val="FootnoteReference"/>
          <w:rFonts w:ascii="Arial" w:hAnsi="Arial" w:cs="Arial"/>
        </w:rPr>
        <w:footnoteReference w:id="2"/>
      </w:r>
      <w:r w:rsidR="00922147" w:rsidRPr="002161F5">
        <w:rPr>
          <w:rFonts w:ascii="Arial" w:hAnsi="Arial" w:cs="Arial"/>
        </w:rPr>
        <w:t xml:space="preserve"> The Applicant relies on Chapter 14 of the 1973 </w:t>
      </w:r>
      <w:r w:rsidR="003F69CF" w:rsidRPr="002161F5">
        <w:rPr>
          <w:rFonts w:ascii="Arial" w:hAnsi="Arial" w:cs="Arial"/>
        </w:rPr>
        <w:t xml:space="preserve">Companies </w:t>
      </w:r>
      <w:r w:rsidR="00922147" w:rsidRPr="002161F5">
        <w:rPr>
          <w:rFonts w:ascii="Arial" w:hAnsi="Arial" w:cs="Arial"/>
        </w:rPr>
        <w:t>Act.</w:t>
      </w:r>
    </w:p>
    <w:p w14:paraId="69432220" w14:textId="77777777" w:rsidR="00922147" w:rsidRPr="00922147" w:rsidRDefault="00922147" w:rsidP="00922147">
      <w:pPr>
        <w:pStyle w:val="ListParagraph"/>
        <w:rPr>
          <w:rFonts w:ascii="Arial" w:hAnsi="Arial" w:cs="Arial"/>
        </w:rPr>
      </w:pPr>
    </w:p>
    <w:p w14:paraId="1E0340B9" w14:textId="63BCA3D9" w:rsidR="00DD741B" w:rsidRPr="002161F5" w:rsidRDefault="002161F5" w:rsidP="002161F5">
      <w:pPr>
        <w:spacing w:line="480" w:lineRule="auto"/>
        <w:ind w:left="567" w:hanging="567"/>
        <w:jc w:val="both"/>
        <w:rPr>
          <w:rFonts w:ascii="Arial" w:hAnsi="Arial" w:cs="Arial"/>
        </w:rPr>
      </w:pPr>
      <w:r>
        <w:rPr>
          <w:rFonts w:ascii="Arial" w:hAnsi="Arial" w:cs="Arial"/>
        </w:rPr>
        <w:t>3</w:t>
      </w:r>
      <w:bookmarkStart w:id="3" w:name="_GoBack"/>
      <w:bookmarkEnd w:id="3"/>
      <w:r>
        <w:rPr>
          <w:rFonts w:ascii="Arial" w:hAnsi="Arial" w:cs="Arial"/>
        </w:rPr>
        <w:t>.</w:t>
      </w:r>
      <w:r>
        <w:rPr>
          <w:rFonts w:ascii="Arial" w:hAnsi="Arial" w:cs="Arial"/>
        </w:rPr>
        <w:tab/>
      </w:r>
      <w:r w:rsidR="00DD741B" w:rsidRPr="002161F5">
        <w:rPr>
          <w:rFonts w:ascii="Arial" w:hAnsi="Arial" w:cs="Arial"/>
        </w:rPr>
        <w:t xml:space="preserve">There are two main elements that are required for the Court to place an insolvent company in voluntary winding up. First, the Applicant must show that </w:t>
      </w:r>
      <w:r w:rsidR="00922147" w:rsidRPr="002161F5">
        <w:rPr>
          <w:rFonts w:ascii="Arial" w:hAnsi="Arial" w:cs="Arial"/>
        </w:rPr>
        <w:t>he</w:t>
      </w:r>
      <w:r w:rsidR="00DD741B" w:rsidRPr="002161F5">
        <w:rPr>
          <w:rFonts w:ascii="Arial" w:hAnsi="Arial" w:cs="Arial"/>
        </w:rPr>
        <w:t xml:space="preserve"> has </w:t>
      </w:r>
      <w:r w:rsidR="00DD741B" w:rsidRPr="002161F5">
        <w:rPr>
          <w:rFonts w:ascii="Arial" w:hAnsi="Arial" w:cs="Arial"/>
          <w:i/>
          <w:iCs/>
        </w:rPr>
        <w:t xml:space="preserve">locus standi </w:t>
      </w:r>
      <w:r w:rsidR="00DD741B" w:rsidRPr="002161F5">
        <w:rPr>
          <w:rFonts w:ascii="Arial" w:hAnsi="Arial" w:cs="Arial"/>
        </w:rPr>
        <w:t xml:space="preserve">in terms of Section </w:t>
      </w:r>
      <w:r w:rsidR="00A46C6E" w:rsidRPr="002161F5">
        <w:rPr>
          <w:rFonts w:ascii="Arial" w:hAnsi="Arial" w:cs="Arial"/>
        </w:rPr>
        <w:t>346(1) of the 1973 Companies Act. In this case, the Applicant relies on the assertion that he is a creditor of the Respondent. Second, the Applicant must establish one of the circumstances for winding up in terms of Section 34</w:t>
      </w:r>
      <w:r w:rsidR="00922147" w:rsidRPr="002161F5">
        <w:rPr>
          <w:rFonts w:ascii="Arial" w:hAnsi="Arial" w:cs="Arial"/>
        </w:rPr>
        <w:t>4 of the 1973 Companies Act</w:t>
      </w:r>
      <w:r w:rsidR="00A46C6E" w:rsidRPr="002161F5">
        <w:rPr>
          <w:rFonts w:ascii="Arial" w:hAnsi="Arial" w:cs="Arial"/>
        </w:rPr>
        <w:t>. The Applicant expressly confines his application to two of the circumstances listed in that section:</w:t>
      </w:r>
    </w:p>
    <w:p w14:paraId="11AD8BDF" w14:textId="77777777" w:rsidR="00A46C6E" w:rsidRPr="00A46C6E" w:rsidRDefault="00A46C6E" w:rsidP="00A46C6E">
      <w:pPr>
        <w:pStyle w:val="ListParagraph"/>
        <w:rPr>
          <w:rFonts w:ascii="Arial" w:hAnsi="Arial" w:cs="Arial"/>
        </w:rPr>
      </w:pPr>
    </w:p>
    <w:p w14:paraId="236C6D65" w14:textId="135D20D2" w:rsidR="00A46C6E" w:rsidRPr="002161F5" w:rsidRDefault="002161F5" w:rsidP="002161F5">
      <w:pPr>
        <w:spacing w:line="480" w:lineRule="auto"/>
        <w:ind w:left="1418" w:hanging="851"/>
        <w:jc w:val="both"/>
        <w:rPr>
          <w:rFonts w:ascii="Arial" w:hAnsi="Arial" w:cs="Arial"/>
        </w:rPr>
      </w:pPr>
      <w:r>
        <w:rPr>
          <w:rFonts w:ascii="Arial" w:hAnsi="Arial" w:cs="Arial"/>
        </w:rPr>
        <w:t>3.1.</w:t>
      </w:r>
      <w:r>
        <w:rPr>
          <w:rFonts w:ascii="Arial" w:hAnsi="Arial" w:cs="Arial"/>
        </w:rPr>
        <w:tab/>
      </w:r>
      <w:r w:rsidR="00A46C6E" w:rsidRPr="002161F5">
        <w:rPr>
          <w:rFonts w:ascii="Arial" w:hAnsi="Arial" w:cs="Arial"/>
        </w:rPr>
        <w:t>The Respondent is unable to pay its debts – Section 344(f));</w:t>
      </w:r>
    </w:p>
    <w:p w14:paraId="41628B07" w14:textId="77777777" w:rsidR="00A46C6E" w:rsidRDefault="00A46C6E" w:rsidP="00A46C6E">
      <w:pPr>
        <w:pStyle w:val="ListParagraph"/>
        <w:ind w:left="1418"/>
        <w:jc w:val="both"/>
        <w:rPr>
          <w:rFonts w:ascii="Arial" w:hAnsi="Arial" w:cs="Arial"/>
        </w:rPr>
      </w:pPr>
    </w:p>
    <w:p w14:paraId="467AF743" w14:textId="777DDF0A" w:rsidR="00A46C6E" w:rsidRPr="002161F5" w:rsidRDefault="002161F5" w:rsidP="002161F5">
      <w:pPr>
        <w:spacing w:line="480" w:lineRule="auto"/>
        <w:ind w:left="1418" w:hanging="851"/>
        <w:jc w:val="both"/>
        <w:rPr>
          <w:rFonts w:ascii="Arial" w:hAnsi="Arial" w:cs="Arial"/>
        </w:rPr>
      </w:pPr>
      <w:r>
        <w:rPr>
          <w:rFonts w:ascii="Arial" w:hAnsi="Arial" w:cs="Arial"/>
        </w:rPr>
        <w:t>3.2.</w:t>
      </w:r>
      <w:r>
        <w:rPr>
          <w:rFonts w:ascii="Arial" w:hAnsi="Arial" w:cs="Arial"/>
        </w:rPr>
        <w:tab/>
      </w:r>
      <w:r w:rsidR="00A46C6E" w:rsidRPr="002161F5">
        <w:rPr>
          <w:rFonts w:ascii="Arial" w:hAnsi="Arial" w:cs="Arial"/>
        </w:rPr>
        <w:t>It is just and equitable that the company should be wound up – Section 344(h).</w:t>
      </w:r>
    </w:p>
    <w:p w14:paraId="7DD6C435" w14:textId="77777777" w:rsidR="00DD741B" w:rsidRPr="00DD741B" w:rsidRDefault="00DD741B" w:rsidP="00DD741B">
      <w:pPr>
        <w:pStyle w:val="ListParagraph"/>
        <w:rPr>
          <w:rFonts w:ascii="Arial" w:hAnsi="Arial" w:cs="Arial"/>
        </w:rPr>
      </w:pPr>
    </w:p>
    <w:p w14:paraId="4C73AC02" w14:textId="57F86077" w:rsidR="006D7BE2" w:rsidRPr="002161F5" w:rsidRDefault="002161F5" w:rsidP="002161F5">
      <w:pPr>
        <w:spacing w:line="480" w:lineRule="auto"/>
        <w:ind w:left="567" w:hanging="567"/>
        <w:jc w:val="both"/>
        <w:rPr>
          <w:rFonts w:ascii="Arial" w:hAnsi="Arial" w:cs="Arial"/>
        </w:rPr>
      </w:pPr>
      <w:r>
        <w:rPr>
          <w:rFonts w:ascii="Arial" w:hAnsi="Arial" w:cs="Arial"/>
        </w:rPr>
        <w:t>4.</w:t>
      </w:r>
      <w:r>
        <w:rPr>
          <w:rFonts w:ascii="Arial" w:hAnsi="Arial" w:cs="Arial"/>
        </w:rPr>
        <w:tab/>
      </w:r>
      <w:r w:rsidR="00A46C6E" w:rsidRPr="002161F5">
        <w:rPr>
          <w:rFonts w:ascii="Arial" w:hAnsi="Arial" w:cs="Arial"/>
        </w:rPr>
        <w:t xml:space="preserve">The Applicant does not </w:t>
      </w:r>
      <w:r w:rsidR="00922147" w:rsidRPr="002161F5">
        <w:rPr>
          <w:rFonts w:ascii="Arial" w:hAnsi="Arial" w:cs="Arial"/>
        </w:rPr>
        <w:t>refer to</w:t>
      </w:r>
      <w:r w:rsidR="00A46C6E" w:rsidRPr="002161F5">
        <w:rPr>
          <w:rFonts w:ascii="Arial" w:hAnsi="Arial" w:cs="Arial"/>
        </w:rPr>
        <w:t xml:space="preserve"> Part G of the 2008 Companies Act. That Part provides for the winding up of solvent companies. </w:t>
      </w:r>
      <w:r w:rsidR="00922147" w:rsidRPr="002161F5">
        <w:rPr>
          <w:rFonts w:ascii="Arial" w:hAnsi="Arial" w:cs="Arial"/>
        </w:rPr>
        <w:t>Chapter 14 of the</w:t>
      </w:r>
      <w:r w:rsidR="00A46C6E" w:rsidRPr="002161F5">
        <w:rPr>
          <w:rFonts w:ascii="Arial" w:hAnsi="Arial" w:cs="Arial"/>
        </w:rPr>
        <w:t xml:space="preserve"> 1973 </w:t>
      </w:r>
      <w:r w:rsidR="00A46C6E" w:rsidRPr="002161F5">
        <w:rPr>
          <w:rFonts w:ascii="Arial" w:hAnsi="Arial" w:cs="Arial"/>
        </w:rPr>
        <w:lastRenderedPageBreak/>
        <w:t>Companies Act only appl</w:t>
      </w:r>
      <w:r w:rsidR="00922147" w:rsidRPr="002161F5">
        <w:rPr>
          <w:rFonts w:ascii="Arial" w:hAnsi="Arial" w:cs="Arial"/>
        </w:rPr>
        <w:t>ies</w:t>
      </w:r>
      <w:r w:rsidR="00A46C6E" w:rsidRPr="002161F5">
        <w:rPr>
          <w:rFonts w:ascii="Arial" w:hAnsi="Arial" w:cs="Arial"/>
        </w:rPr>
        <w:t xml:space="preserve"> to insolvent companies. </w:t>
      </w:r>
      <w:r w:rsidR="006953CA" w:rsidRPr="002161F5">
        <w:rPr>
          <w:rFonts w:ascii="Arial" w:hAnsi="Arial" w:cs="Arial"/>
        </w:rPr>
        <w:t>The term “</w:t>
      </w:r>
      <w:r w:rsidR="00A46C6E" w:rsidRPr="002161F5">
        <w:rPr>
          <w:rFonts w:ascii="Arial" w:hAnsi="Arial" w:cs="Arial"/>
        </w:rPr>
        <w:t>insolvent company</w:t>
      </w:r>
      <w:r w:rsidR="006953CA" w:rsidRPr="002161F5">
        <w:rPr>
          <w:rFonts w:ascii="Arial" w:hAnsi="Arial" w:cs="Arial"/>
        </w:rPr>
        <w:t>” has been held to mean</w:t>
      </w:r>
      <w:r w:rsidR="00A46C6E" w:rsidRPr="002161F5">
        <w:rPr>
          <w:rFonts w:ascii="Arial" w:hAnsi="Arial" w:cs="Arial"/>
        </w:rPr>
        <w:t xml:space="preserve"> a company that is unable to pay its debts, </w:t>
      </w:r>
      <w:r w:rsidR="00F6676F" w:rsidRPr="002161F5">
        <w:rPr>
          <w:rFonts w:ascii="Arial" w:hAnsi="Arial" w:cs="Arial"/>
        </w:rPr>
        <w:t>i.e. commercially insolvent</w:t>
      </w:r>
      <w:r w:rsidR="00A46C6E" w:rsidRPr="002161F5">
        <w:rPr>
          <w:rFonts w:ascii="Arial" w:hAnsi="Arial" w:cs="Arial"/>
        </w:rPr>
        <w:t>.</w:t>
      </w:r>
      <w:r w:rsidR="00F6676F" w:rsidRPr="002161F5">
        <w:rPr>
          <w:rFonts w:ascii="Arial" w:hAnsi="Arial" w:cs="Arial"/>
        </w:rPr>
        <w:t xml:space="preserve"> A commercially solvent company can only be wound up under Part G of the 2008 Companies Act. A commercially insolvent company can only be wound up under Chapter 14 of the 1973 Companies Act.</w:t>
      </w:r>
      <w:r w:rsidR="00F6676F">
        <w:rPr>
          <w:rStyle w:val="FootnoteReference"/>
          <w:rFonts w:ascii="Arial" w:hAnsi="Arial" w:cs="Arial"/>
        </w:rPr>
        <w:footnoteReference w:id="3"/>
      </w:r>
      <w:r w:rsidR="00A46C6E" w:rsidRPr="002161F5">
        <w:rPr>
          <w:rFonts w:ascii="Arial" w:hAnsi="Arial" w:cs="Arial"/>
        </w:rPr>
        <w:t xml:space="preserve"> </w:t>
      </w:r>
    </w:p>
    <w:p w14:paraId="0C9AB78D" w14:textId="77777777" w:rsidR="006D7BE2" w:rsidRPr="006D7BE2" w:rsidRDefault="006D7BE2" w:rsidP="006D7BE2">
      <w:pPr>
        <w:pStyle w:val="ListParagraph"/>
        <w:rPr>
          <w:rFonts w:ascii="Arial" w:hAnsi="Arial" w:cs="Arial"/>
        </w:rPr>
      </w:pPr>
    </w:p>
    <w:p w14:paraId="279C620E" w14:textId="4DC82EDF" w:rsidR="00F6676F" w:rsidRPr="002161F5" w:rsidRDefault="002161F5" w:rsidP="002161F5">
      <w:pPr>
        <w:spacing w:line="480" w:lineRule="auto"/>
        <w:ind w:left="567" w:hanging="567"/>
        <w:jc w:val="both"/>
        <w:rPr>
          <w:rFonts w:ascii="Arial" w:hAnsi="Arial" w:cs="Arial"/>
        </w:rPr>
      </w:pPr>
      <w:r w:rsidRPr="006953CA">
        <w:rPr>
          <w:rFonts w:ascii="Arial" w:hAnsi="Arial" w:cs="Arial"/>
        </w:rPr>
        <w:t>5.</w:t>
      </w:r>
      <w:r w:rsidRPr="006953CA">
        <w:rPr>
          <w:rFonts w:ascii="Arial" w:hAnsi="Arial" w:cs="Arial"/>
        </w:rPr>
        <w:tab/>
      </w:r>
      <w:r w:rsidR="00F6676F" w:rsidRPr="002161F5">
        <w:rPr>
          <w:rFonts w:ascii="Arial" w:hAnsi="Arial" w:cs="Arial"/>
        </w:rPr>
        <w:t>Accordingly, the Applicant must, in its founding affidavit, make out a case that the Respondent is commercially insolvent (unable to pay its debts) in order for Chapter 14 of the 1973 Companies Act to apply. This is so even where it relies on Section 344(h).</w:t>
      </w:r>
      <w:r w:rsidR="006953CA" w:rsidRPr="002161F5">
        <w:rPr>
          <w:rFonts w:ascii="Arial" w:hAnsi="Arial" w:cs="Arial"/>
        </w:rPr>
        <w:t xml:space="preserve"> However, in </w:t>
      </w:r>
      <w:r w:rsidR="006953CA" w:rsidRPr="002161F5">
        <w:rPr>
          <w:rFonts w:ascii="Arial" w:hAnsi="Arial" w:cs="Arial"/>
          <w:b/>
          <w:bCs/>
        </w:rPr>
        <w:t>Barbaglia</w:t>
      </w:r>
      <w:r w:rsidR="006953CA" w:rsidRPr="002161F5">
        <w:rPr>
          <w:rFonts w:ascii="Arial" w:hAnsi="Arial" w:cs="Arial"/>
        </w:rPr>
        <w:t xml:space="preserve">, de Villiers AJ held that because of the overlap between the provisions of Section 81(1)(d)(iii) of the 2008 Companies Act and Section 344(h) of the 1973 Companies Act: “… </w:t>
      </w:r>
      <w:r w:rsidR="006953CA" w:rsidRPr="002161F5">
        <w:rPr>
          <w:rFonts w:ascii="Arial" w:hAnsi="Arial" w:cs="Arial"/>
          <w:i/>
          <w:iCs/>
        </w:rPr>
        <w:t>it matters not that the wrong legislation was relied upon, provided that the basic contentions were made (the case was pleaded for a winding-up on a just and equitable basis), and the facts have been established. It woud [sic] be placing form over substance to hold otherwise</w:t>
      </w:r>
      <w:r w:rsidR="006953CA" w:rsidRPr="002161F5">
        <w:rPr>
          <w:rFonts w:ascii="Arial" w:hAnsi="Arial" w:cs="Arial"/>
        </w:rPr>
        <w:t>.”</w:t>
      </w:r>
      <w:r w:rsidR="006953CA">
        <w:rPr>
          <w:rStyle w:val="FootnoteReference"/>
          <w:rFonts w:ascii="Arial" w:hAnsi="Arial" w:cs="Arial"/>
        </w:rPr>
        <w:footnoteReference w:id="4"/>
      </w:r>
    </w:p>
    <w:p w14:paraId="75082BD6" w14:textId="77777777" w:rsidR="006703DA" w:rsidRPr="006703DA" w:rsidRDefault="006703DA" w:rsidP="006703DA">
      <w:pPr>
        <w:pStyle w:val="ListParagraph"/>
        <w:rPr>
          <w:rFonts w:ascii="Arial" w:hAnsi="Arial" w:cs="Arial"/>
        </w:rPr>
      </w:pPr>
    </w:p>
    <w:p w14:paraId="6F5D7F7C" w14:textId="66FA39EF" w:rsidR="006703DA" w:rsidRPr="002161F5" w:rsidRDefault="002161F5" w:rsidP="002161F5">
      <w:pPr>
        <w:spacing w:line="480" w:lineRule="auto"/>
        <w:ind w:left="567" w:hanging="567"/>
        <w:jc w:val="both"/>
        <w:rPr>
          <w:rFonts w:ascii="Arial" w:hAnsi="Arial" w:cs="Arial"/>
        </w:rPr>
      </w:pPr>
      <w:r>
        <w:rPr>
          <w:rFonts w:ascii="Arial" w:hAnsi="Arial" w:cs="Arial"/>
        </w:rPr>
        <w:t>6.</w:t>
      </w:r>
      <w:r>
        <w:rPr>
          <w:rFonts w:ascii="Arial" w:hAnsi="Arial" w:cs="Arial"/>
        </w:rPr>
        <w:tab/>
      </w:r>
      <w:r w:rsidR="006703DA" w:rsidRPr="002161F5">
        <w:rPr>
          <w:rFonts w:ascii="Arial" w:hAnsi="Arial" w:cs="Arial"/>
        </w:rPr>
        <w:t xml:space="preserve">In </w:t>
      </w:r>
      <w:r w:rsidR="006953CA" w:rsidRPr="002161F5">
        <w:rPr>
          <w:rFonts w:ascii="Arial" w:hAnsi="Arial" w:cs="Arial"/>
        </w:rPr>
        <w:t xml:space="preserve">a very brief </w:t>
      </w:r>
      <w:r w:rsidR="006703DA" w:rsidRPr="002161F5">
        <w:rPr>
          <w:rFonts w:ascii="Arial" w:hAnsi="Arial" w:cs="Arial"/>
        </w:rPr>
        <w:t>founding affidavit, the Applicant referred to a related application that he had instituted against one Anthony Frederick Britz, who he describes as “the director” of the Respondent (“the related application”). It will be noted that the Applicant is Brits and the director is Britz. The Applicant did not annex the affidavits in th</w:t>
      </w:r>
      <w:r w:rsidR="006953CA" w:rsidRPr="002161F5">
        <w:rPr>
          <w:rFonts w:ascii="Arial" w:hAnsi="Arial" w:cs="Arial"/>
        </w:rPr>
        <w:t>e related</w:t>
      </w:r>
      <w:r w:rsidR="006703DA" w:rsidRPr="002161F5">
        <w:rPr>
          <w:rFonts w:ascii="Arial" w:hAnsi="Arial" w:cs="Arial"/>
        </w:rPr>
        <w:t xml:space="preserve"> application to his founding affidavit, save for limited extracts from the answering affidavit deposed to by Britz. </w:t>
      </w:r>
    </w:p>
    <w:p w14:paraId="47480BD0" w14:textId="77777777" w:rsidR="00A30D2A" w:rsidRPr="00A30D2A" w:rsidRDefault="00A30D2A" w:rsidP="00A30D2A">
      <w:pPr>
        <w:pStyle w:val="ListParagraph"/>
        <w:rPr>
          <w:rFonts w:ascii="Arial" w:hAnsi="Arial" w:cs="Arial"/>
        </w:rPr>
      </w:pPr>
    </w:p>
    <w:p w14:paraId="1C822166" w14:textId="1D0C69AC" w:rsidR="00A30D2A" w:rsidRPr="002161F5" w:rsidRDefault="002161F5" w:rsidP="002161F5">
      <w:pPr>
        <w:spacing w:line="480" w:lineRule="auto"/>
        <w:ind w:left="567" w:hanging="567"/>
        <w:jc w:val="both"/>
        <w:rPr>
          <w:rFonts w:ascii="Arial" w:hAnsi="Arial" w:cs="Arial"/>
        </w:rPr>
      </w:pPr>
      <w:r>
        <w:rPr>
          <w:rFonts w:ascii="Arial" w:hAnsi="Arial" w:cs="Arial"/>
        </w:rPr>
        <w:lastRenderedPageBreak/>
        <w:t>7.</w:t>
      </w:r>
      <w:r>
        <w:rPr>
          <w:rFonts w:ascii="Arial" w:hAnsi="Arial" w:cs="Arial"/>
        </w:rPr>
        <w:tab/>
      </w:r>
      <w:r w:rsidR="00A30D2A" w:rsidRPr="002161F5">
        <w:rPr>
          <w:rFonts w:ascii="Arial" w:hAnsi="Arial" w:cs="Arial"/>
        </w:rPr>
        <w:t xml:space="preserve">The Respondent annexed the affidavits in the related matter to its answering affidavit. In his replying affidavit, the Applicant said that he admitted the founding affidavit and its content. But he did not refer to specific paragraphs and did not incorporate the content in his replying affidavit. </w:t>
      </w:r>
    </w:p>
    <w:p w14:paraId="2F0781DA" w14:textId="77777777" w:rsidR="00A30D2A" w:rsidRPr="00A30D2A" w:rsidRDefault="00A30D2A" w:rsidP="00A30D2A">
      <w:pPr>
        <w:pStyle w:val="ListParagraph"/>
        <w:rPr>
          <w:rFonts w:ascii="Arial" w:hAnsi="Arial" w:cs="Arial"/>
        </w:rPr>
      </w:pPr>
    </w:p>
    <w:p w14:paraId="668FA05A" w14:textId="150BB7C4" w:rsidR="00A30D2A" w:rsidRPr="002161F5" w:rsidRDefault="002161F5" w:rsidP="002161F5">
      <w:pPr>
        <w:spacing w:line="480" w:lineRule="auto"/>
        <w:ind w:left="567" w:hanging="567"/>
        <w:jc w:val="both"/>
        <w:rPr>
          <w:rFonts w:ascii="Arial" w:hAnsi="Arial" w:cs="Arial"/>
        </w:rPr>
      </w:pPr>
      <w:r>
        <w:rPr>
          <w:rFonts w:ascii="Arial" w:hAnsi="Arial" w:cs="Arial"/>
        </w:rPr>
        <w:t>8.</w:t>
      </w:r>
      <w:r>
        <w:rPr>
          <w:rFonts w:ascii="Arial" w:hAnsi="Arial" w:cs="Arial"/>
        </w:rPr>
        <w:tab/>
      </w:r>
      <w:r w:rsidR="00A30D2A" w:rsidRPr="002161F5">
        <w:rPr>
          <w:rFonts w:ascii="Arial" w:hAnsi="Arial" w:cs="Arial"/>
        </w:rPr>
        <w:t xml:space="preserve">The Applicant’s heads of argument commences with an explanation of the “background”. The facts set out in this section are drawn entirely from the founding affidavit in the related application. Every reference in that section is to that affidavit. </w:t>
      </w:r>
    </w:p>
    <w:p w14:paraId="00F2211B" w14:textId="77777777" w:rsidR="00A30D2A" w:rsidRPr="00A30D2A" w:rsidRDefault="00A30D2A" w:rsidP="00A30D2A">
      <w:pPr>
        <w:pStyle w:val="ListParagraph"/>
        <w:rPr>
          <w:rFonts w:ascii="Arial" w:hAnsi="Arial" w:cs="Arial"/>
        </w:rPr>
      </w:pPr>
    </w:p>
    <w:p w14:paraId="7A93535D" w14:textId="3F4F1C7D" w:rsidR="00A30D2A" w:rsidRPr="002161F5" w:rsidRDefault="002161F5" w:rsidP="002161F5">
      <w:pPr>
        <w:spacing w:line="480" w:lineRule="auto"/>
        <w:ind w:left="567" w:hanging="567"/>
        <w:jc w:val="both"/>
        <w:rPr>
          <w:rFonts w:ascii="Arial" w:hAnsi="Arial" w:cs="Arial"/>
        </w:rPr>
      </w:pPr>
      <w:r>
        <w:rPr>
          <w:rFonts w:ascii="Arial" w:hAnsi="Arial" w:cs="Arial"/>
        </w:rPr>
        <w:t>9.</w:t>
      </w:r>
      <w:r>
        <w:rPr>
          <w:rFonts w:ascii="Arial" w:hAnsi="Arial" w:cs="Arial"/>
        </w:rPr>
        <w:tab/>
      </w:r>
      <w:r w:rsidR="00A30D2A" w:rsidRPr="002161F5">
        <w:rPr>
          <w:rFonts w:ascii="Arial" w:hAnsi="Arial" w:cs="Arial"/>
        </w:rPr>
        <w:t>Cloete JA warned:</w:t>
      </w:r>
    </w:p>
    <w:p w14:paraId="04881864" w14:textId="77777777" w:rsidR="00A30D2A" w:rsidRPr="00A30D2A" w:rsidRDefault="00A30D2A" w:rsidP="00A30D2A">
      <w:pPr>
        <w:pStyle w:val="ListParagraph"/>
        <w:rPr>
          <w:rFonts w:ascii="Arial" w:hAnsi="Arial" w:cs="Arial"/>
        </w:rPr>
      </w:pPr>
    </w:p>
    <w:p w14:paraId="38F75BC3" w14:textId="252A566C" w:rsidR="00A30D2A" w:rsidRDefault="00A30D2A" w:rsidP="00A30D2A">
      <w:pPr>
        <w:pStyle w:val="ListParagraph"/>
        <w:spacing w:line="480" w:lineRule="auto"/>
        <w:ind w:left="1134"/>
        <w:jc w:val="both"/>
        <w:rPr>
          <w:rFonts w:ascii="Arial" w:hAnsi="Arial" w:cs="Arial"/>
        </w:rPr>
      </w:pPr>
      <w:r>
        <w:rPr>
          <w:rFonts w:ascii="Arial" w:hAnsi="Arial" w:cs="Arial"/>
        </w:rPr>
        <w:t>“</w:t>
      </w:r>
      <w:r w:rsidRPr="00A30D2A">
        <w:rPr>
          <w:rFonts w:ascii="Arial" w:hAnsi="Arial" w:cs="Arial"/>
          <w:i/>
          <w:iCs/>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The position is worse where the arguments are advanced for the first time on appeal. In motion proceedings, the affidavits constitute both the pleadings and  the evidence … and the issues and averments in support of the parties' cases should appear clearly therefrom. A party cannot be expected to trawl through lengthy annexures to the opponent's affidavit and to speculate on the possible relevance of facts therein contained. Trial by ambush cannot be permitted.</w:t>
      </w:r>
      <w:r>
        <w:rPr>
          <w:rFonts w:ascii="Arial" w:hAnsi="Arial" w:cs="Arial"/>
        </w:rPr>
        <w:t>”</w:t>
      </w:r>
      <w:r>
        <w:rPr>
          <w:rStyle w:val="FootnoteReference"/>
          <w:rFonts w:ascii="Arial" w:hAnsi="Arial" w:cs="Arial"/>
        </w:rPr>
        <w:footnoteReference w:id="5"/>
      </w:r>
    </w:p>
    <w:p w14:paraId="2F8B2108" w14:textId="77777777" w:rsidR="006703DA" w:rsidRPr="006703DA" w:rsidRDefault="006703DA" w:rsidP="006703DA">
      <w:pPr>
        <w:pStyle w:val="ListParagraph"/>
        <w:rPr>
          <w:rFonts w:ascii="Arial" w:hAnsi="Arial" w:cs="Arial"/>
        </w:rPr>
      </w:pPr>
    </w:p>
    <w:p w14:paraId="4F335058" w14:textId="3F78EFB2" w:rsidR="00A30D2A" w:rsidRPr="002161F5" w:rsidRDefault="002161F5" w:rsidP="002161F5">
      <w:pPr>
        <w:spacing w:line="480" w:lineRule="auto"/>
        <w:ind w:left="567" w:hanging="567"/>
        <w:jc w:val="both"/>
        <w:rPr>
          <w:rFonts w:ascii="Arial" w:hAnsi="Arial" w:cs="Arial"/>
        </w:rPr>
      </w:pPr>
      <w:r>
        <w:rPr>
          <w:rFonts w:ascii="Arial" w:hAnsi="Arial" w:cs="Arial"/>
        </w:rPr>
        <w:lastRenderedPageBreak/>
        <w:t>10.</w:t>
      </w:r>
      <w:r>
        <w:rPr>
          <w:rFonts w:ascii="Arial" w:hAnsi="Arial" w:cs="Arial"/>
        </w:rPr>
        <w:tab/>
      </w:r>
      <w:r w:rsidR="00A30D2A" w:rsidRPr="002161F5">
        <w:rPr>
          <w:rFonts w:ascii="Arial" w:hAnsi="Arial" w:cs="Arial"/>
        </w:rPr>
        <w:t>I accordingly base my judgment on what is contained in the affidavits in this application, and in particular the founding affidavit.</w:t>
      </w:r>
    </w:p>
    <w:p w14:paraId="15140C0F" w14:textId="77777777" w:rsidR="00A30D2A" w:rsidRDefault="00A30D2A" w:rsidP="00A30D2A">
      <w:pPr>
        <w:pStyle w:val="ListParagraph"/>
        <w:ind w:left="567"/>
        <w:jc w:val="both"/>
        <w:rPr>
          <w:rFonts w:ascii="Arial" w:hAnsi="Arial" w:cs="Arial"/>
        </w:rPr>
      </w:pPr>
    </w:p>
    <w:p w14:paraId="20E1D3E8" w14:textId="64CB53DB" w:rsidR="006703DA" w:rsidRPr="002161F5" w:rsidRDefault="002161F5" w:rsidP="002161F5">
      <w:pPr>
        <w:spacing w:line="480" w:lineRule="auto"/>
        <w:ind w:left="567" w:hanging="567"/>
        <w:jc w:val="both"/>
        <w:rPr>
          <w:rFonts w:ascii="Arial" w:hAnsi="Arial" w:cs="Arial"/>
        </w:rPr>
      </w:pPr>
      <w:r>
        <w:rPr>
          <w:rFonts w:ascii="Arial" w:hAnsi="Arial" w:cs="Arial"/>
        </w:rPr>
        <w:t>11.</w:t>
      </w:r>
      <w:r>
        <w:rPr>
          <w:rFonts w:ascii="Arial" w:hAnsi="Arial" w:cs="Arial"/>
        </w:rPr>
        <w:tab/>
      </w:r>
      <w:r w:rsidR="006703DA" w:rsidRPr="002161F5">
        <w:rPr>
          <w:rFonts w:ascii="Arial" w:hAnsi="Arial" w:cs="Arial"/>
        </w:rPr>
        <w:t xml:space="preserve">The Applicant begins his explanation of his case </w:t>
      </w:r>
      <w:r w:rsidR="00A30D2A" w:rsidRPr="002161F5">
        <w:rPr>
          <w:rFonts w:ascii="Arial" w:hAnsi="Arial" w:cs="Arial"/>
        </w:rPr>
        <w:t xml:space="preserve">in the founding affidavit </w:t>
      </w:r>
      <w:r w:rsidR="006703DA" w:rsidRPr="002161F5">
        <w:rPr>
          <w:rFonts w:ascii="Arial" w:hAnsi="Arial" w:cs="Arial"/>
        </w:rPr>
        <w:t>as follows:</w:t>
      </w:r>
    </w:p>
    <w:p w14:paraId="66B0453D" w14:textId="77777777" w:rsidR="006703DA" w:rsidRPr="006703DA" w:rsidRDefault="006703DA" w:rsidP="006703DA">
      <w:pPr>
        <w:pStyle w:val="ListParagraph"/>
        <w:rPr>
          <w:rFonts w:ascii="Arial" w:hAnsi="Arial" w:cs="Arial"/>
        </w:rPr>
      </w:pPr>
    </w:p>
    <w:p w14:paraId="14A05A2E" w14:textId="40766384" w:rsidR="006703DA" w:rsidRPr="006703DA" w:rsidRDefault="006703DA" w:rsidP="00A30D2A">
      <w:pPr>
        <w:pStyle w:val="ListParagraph"/>
        <w:spacing w:line="480" w:lineRule="auto"/>
        <w:ind w:left="1134"/>
        <w:jc w:val="both"/>
        <w:rPr>
          <w:rFonts w:ascii="Arial" w:hAnsi="Arial" w:cs="Arial"/>
          <w:i/>
          <w:iCs/>
        </w:rPr>
      </w:pPr>
      <w:r>
        <w:rPr>
          <w:rFonts w:ascii="Arial" w:hAnsi="Arial" w:cs="Arial"/>
        </w:rPr>
        <w:t>“</w:t>
      </w:r>
      <w:r w:rsidRPr="006703DA">
        <w:rPr>
          <w:rFonts w:ascii="Arial" w:hAnsi="Arial" w:cs="Arial"/>
          <w:i/>
          <w:iCs/>
        </w:rPr>
        <w:t>In short Mr. Britz on the 14th of December 2020 informed me that he decided that he did not want any further association with me and that I would not gain any further access to the fa</w:t>
      </w:r>
      <w:r>
        <w:rPr>
          <w:rFonts w:ascii="Arial" w:hAnsi="Arial" w:cs="Arial"/>
          <w:i/>
          <w:iCs/>
        </w:rPr>
        <w:t>rm</w:t>
      </w:r>
      <w:r w:rsidRPr="006703DA">
        <w:rPr>
          <w:rFonts w:ascii="Arial" w:hAnsi="Arial" w:cs="Arial"/>
          <w:i/>
          <w:iCs/>
        </w:rPr>
        <w:t>s for which I jointly paid for the development. Britz instructed the farm manager to change the locks to the fa</w:t>
      </w:r>
      <w:r>
        <w:rPr>
          <w:rFonts w:ascii="Arial" w:hAnsi="Arial" w:cs="Arial"/>
          <w:i/>
          <w:iCs/>
        </w:rPr>
        <w:t>rm</w:t>
      </w:r>
      <w:r w:rsidRPr="006703DA">
        <w:rPr>
          <w:rFonts w:ascii="Arial" w:hAnsi="Arial" w:cs="Arial"/>
          <w:i/>
          <w:iCs/>
        </w:rPr>
        <w:t xml:space="preserve"> gate. </w:t>
      </w:r>
      <w:r>
        <w:rPr>
          <w:rFonts w:ascii="Arial" w:hAnsi="Arial" w:cs="Arial"/>
          <w:i/>
          <w:iCs/>
        </w:rPr>
        <w:t>W</w:t>
      </w:r>
      <w:r w:rsidRPr="006703DA">
        <w:rPr>
          <w:rFonts w:ascii="Arial" w:hAnsi="Arial" w:cs="Arial"/>
          <w:i/>
          <w:iCs/>
        </w:rPr>
        <w:t>e have issued</w:t>
      </w:r>
      <w:r>
        <w:rPr>
          <w:rFonts w:ascii="Arial" w:hAnsi="Arial" w:cs="Arial"/>
          <w:i/>
          <w:iCs/>
        </w:rPr>
        <w:t xml:space="preserve"> </w:t>
      </w:r>
      <w:r w:rsidRPr="006703DA">
        <w:rPr>
          <w:rFonts w:ascii="Arial" w:hAnsi="Arial" w:cs="Arial"/>
          <w:i/>
          <w:iCs/>
        </w:rPr>
        <w:t xml:space="preserve">several demands for payment letters which have been ignored. During recent interaction between the parties, we again issued a complete financial reconciliation setting out all payments made to and on behalf of Sweet Equity in order to resolve the issue. </w:t>
      </w:r>
      <w:r w:rsidR="006953CA">
        <w:rPr>
          <w:rFonts w:ascii="Arial" w:hAnsi="Arial" w:cs="Arial"/>
          <w:i/>
          <w:iCs/>
        </w:rPr>
        <w:t>W</w:t>
      </w:r>
      <w:r w:rsidRPr="006703DA">
        <w:rPr>
          <w:rFonts w:ascii="Arial" w:hAnsi="Arial" w:cs="Arial"/>
          <w:i/>
          <w:iCs/>
        </w:rPr>
        <w:t>e also tendered an offer of a settlement amount acceptable to the applicant which was declined.</w:t>
      </w:r>
      <w:r w:rsidRPr="006703DA">
        <w:rPr>
          <w:rFonts w:ascii="Arial" w:hAnsi="Arial" w:cs="Arial"/>
        </w:rPr>
        <w:t>”</w:t>
      </w:r>
    </w:p>
    <w:p w14:paraId="128B3C0F" w14:textId="77777777" w:rsidR="006703DA" w:rsidRPr="006703DA" w:rsidRDefault="006703DA" w:rsidP="006703DA">
      <w:pPr>
        <w:pStyle w:val="ListParagraph"/>
        <w:rPr>
          <w:rFonts w:ascii="Arial" w:hAnsi="Arial" w:cs="Arial"/>
        </w:rPr>
      </w:pPr>
    </w:p>
    <w:p w14:paraId="277F2236" w14:textId="71821615" w:rsidR="0096213F" w:rsidRPr="002161F5" w:rsidRDefault="002161F5" w:rsidP="002161F5">
      <w:pPr>
        <w:spacing w:line="480" w:lineRule="auto"/>
        <w:ind w:left="567" w:hanging="567"/>
        <w:jc w:val="both"/>
        <w:rPr>
          <w:rFonts w:ascii="Arial" w:hAnsi="Arial" w:cs="Arial"/>
        </w:rPr>
      </w:pPr>
      <w:r>
        <w:rPr>
          <w:rFonts w:ascii="Arial" w:hAnsi="Arial" w:cs="Arial"/>
        </w:rPr>
        <w:t>12.</w:t>
      </w:r>
      <w:r>
        <w:rPr>
          <w:rFonts w:ascii="Arial" w:hAnsi="Arial" w:cs="Arial"/>
        </w:rPr>
        <w:tab/>
      </w:r>
      <w:r w:rsidR="006703DA" w:rsidRPr="002161F5">
        <w:rPr>
          <w:rFonts w:ascii="Arial" w:hAnsi="Arial" w:cs="Arial"/>
        </w:rPr>
        <w:t xml:space="preserve">The Applicant does not explain what the relationship was between himself and Britz. </w:t>
      </w:r>
      <w:r w:rsidR="0096213F" w:rsidRPr="002161F5">
        <w:rPr>
          <w:rFonts w:ascii="Arial" w:hAnsi="Arial" w:cs="Arial"/>
        </w:rPr>
        <w:t>The furthest that he goes is to say that the pending application is “</w:t>
      </w:r>
      <w:r w:rsidR="0096213F" w:rsidRPr="002161F5">
        <w:rPr>
          <w:rFonts w:ascii="Arial" w:hAnsi="Arial" w:cs="Arial"/>
          <w:i/>
          <w:iCs/>
        </w:rPr>
        <w:t>predicated on a supposition</w:t>
      </w:r>
      <w:r w:rsidR="006953CA" w:rsidRPr="002161F5">
        <w:rPr>
          <w:rFonts w:ascii="Arial" w:hAnsi="Arial" w:cs="Arial"/>
        </w:rPr>
        <w:t>”</w:t>
      </w:r>
      <w:r w:rsidR="0096213F" w:rsidRPr="002161F5">
        <w:rPr>
          <w:rFonts w:ascii="Arial" w:hAnsi="Arial" w:cs="Arial"/>
          <w:i/>
          <w:iCs/>
        </w:rPr>
        <w:t xml:space="preserve"> </w:t>
      </w:r>
      <w:r w:rsidR="006953CA" w:rsidRPr="002161F5">
        <w:rPr>
          <w:rFonts w:ascii="Arial" w:hAnsi="Arial" w:cs="Arial"/>
        </w:rPr>
        <w:t xml:space="preserve">that </w:t>
      </w:r>
      <w:r w:rsidR="0096213F" w:rsidRPr="002161F5">
        <w:rPr>
          <w:rFonts w:ascii="Arial" w:hAnsi="Arial" w:cs="Arial"/>
        </w:rPr>
        <w:t>Britz and the Applicant are partners in a farming venture. He points out that Britz denies this partnership. But what the Applicant’s current version is cannot be deduced from the Founding Affidavit. Does he still rely on the supposition that he and Britz were in partnership? Or does he now accept that they were not in partnership?</w:t>
      </w:r>
    </w:p>
    <w:p w14:paraId="70FFBA90" w14:textId="77777777" w:rsidR="0096213F" w:rsidRDefault="0096213F" w:rsidP="0096213F">
      <w:pPr>
        <w:pStyle w:val="ListParagraph"/>
        <w:ind w:left="567"/>
        <w:jc w:val="both"/>
        <w:rPr>
          <w:rFonts w:ascii="Arial" w:hAnsi="Arial" w:cs="Arial"/>
        </w:rPr>
      </w:pPr>
    </w:p>
    <w:p w14:paraId="253DFE63" w14:textId="6074D7AF" w:rsidR="0012773C" w:rsidRPr="002161F5" w:rsidRDefault="002161F5" w:rsidP="002161F5">
      <w:pPr>
        <w:spacing w:line="480" w:lineRule="auto"/>
        <w:ind w:left="567" w:hanging="567"/>
        <w:jc w:val="both"/>
        <w:rPr>
          <w:rFonts w:ascii="Arial" w:hAnsi="Arial" w:cs="Arial"/>
        </w:rPr>
      </w:pPr>
      <w:r>
        <w:rPr>
          <w:rFonts w:ascii="Arial" w:hAnsi="Arial" w:cs="Arial"/>
        </w:rPr>
        <w:t>13.</w:t>
      </w:r>
      <w:r>
        <w:rPr>
          <w:rFonts w:ascii="Arial" w:hAnsi="Arial" w:cs="Arial"/>
        </w:rPr>
        <w:tab/>
      </w:r>
      <w:r w:rsidR="0012773C" w:rsidRPr="002161F5">
        <w:rPr>
          <w:rFonts w:ascii="Arial" w:hAnsi="Arial" w:cs="Arial"/>
        </w:rPr>
        <w:t>The Applicant does not explain what the “</w:t>
      </w:r>
      <w:r w:rsidR="0012773C" w:rsidRPr="002161F5">
        <w:rPr>
          <w:rFonts w:ascii="Arial" w:hAnsi="Arial" w:cs="Arial"/>
          <w:i/>
          <w:iCs/>
        </w:rPr>
        <w:t>demands for payment letters</w:t>
      </w:r>
      <w:r w:rsidR="0012773C" w:rsidRPr="002161F5">
        <w:rPr>
          <w:rFonts w:ascii="Arial" w:hAnsi="Arial" w:cs="Arial"/>
        </w:rPr>
        <w:t xml:space="preserve">” are or to whom they were addressed. No demands for payment are annexed to the </w:t>
      </w:r>
      <w:r w:rsidR="0012773C" w:rsidRPr="002161F5">
        <w:rPr>
          <w:rFonts w:ascii="Arial" w:hAnsi="Arial" w:cs="Arial"/>
        </w:rPr>
        <w:lastRenderedPageBreak/>
        <w:t>founding affidavit. There is no explanation for the payments made to and on behalf of the Respondent.</w:t>
      </w:r>
    </w:p>
    <w:p w14:paraId="5654D343" w14:textId="77777777" w:rsidR="0012773C" w:rsidRDefault="0012773C" w:rsidP="0012773C">
      <w:pPr>
        <w:pStyle w:val="ListParagraph"/>
        <w:ind w:left="567"/>
        <w:jc w:val="both"/>
        <w:rPr>
          <w:rFonts w:ascii="Arial" w:hAnsi="Arial" w:cs="Arial"/>
        </w:rPr>
      </w:pPr>
    </w:p>
    <w:p w14:paraId="0F398D21" w14:textId="4EE9E40E" w:rsidR="0012773C" w:rsidRPr="002161F5" w:rsidRDefault="002161F5" w:rsidP="002161F5">
      <w:pPr>
        <w:spacing w:line="480" w:lineRule="auto"/>
        <w:ind w:left="567" w:hanging="567"/>
        <w:jc w:val="both"/>
        <w:rPr>
          <w:rFonts w:ascii="Arial" w:hAnsi="Arial" w:cs="Arial"/>
        </w:rPr>
      </w:pPr>
      <w:r>
        <w:rPr>
          <w:rFonts w:ascii="Arial" w:hAnsi="Arial" w:cs="Arial"/>
        </w:rPr>
        <w:t>14.</w:t>
      </w:r>
      <w:r>
        <w:rPr>
          <w:rFonts w:ascii="Arial" w:hAnsi="Arial" w:cs="Arial"/>
        </w:rPr>
        <w:tab/>
      </w:r>
      <w:r w:rsidR="0012773C" w:rsidRPr="002161F5">
        <w:rPr>
          <w:rFonts w:ascii="Arial" w:hAnsi="Arial" w:cs="Arial"/>
        </w:rPr>
        <w:t>The Applicant continues by referring to the version in the answering affidavit in the related matter. He does not say that he agrees with this version or set out his own version. Indeed, he says that the testimony of Britz is untrue.</w:t>
      </w:r>
    </w:p>
    <w:p w14:paraId="72FD2A4F" w14:textId="77777777" w:rsidR="0012773C" w:rsidRDefault="0012773C" w:rsidP="0012773C">
      <w:pPr>
        <w:pStyle w:val="ListParagraph"/>
        <w:ind w:left="567"/>
        <w:jc w:val="both"/>
        <w:rPr>
          <w:rFonts w:ascii="Arial" w:hAnsi="Arial" w:cs="Arial"/>
        </w:rPr>
      </w:pPr>
    </w:p>
    <w:p w14:paraId="6565C674" w14:textId="6EEF7D8F" w:rsidR="0096213F" w:rsidRPr="002161F5" w:rsidRDefault="002161F5" w:rsidP="002161F5">
      <w:pPr>
        <w:spacing w:line="480" w:lineRule="auto"/>
        <w:ind w:left="567" w:hanging="567"/>
        <w:jc w:val="both"/>
        <w:rPr>
          <w:rFonts w:ascii="Arial" w:hAnsi="Arial" w:cs="Arial"/>
        </w:rPr>
      </w:pPr>
      <w:r>
        <w:rPr>
          <w:rFonts w:ascii="Arial" w:hAnsi="Arial" w:cs="Arial"/>
        </w:rPr>
        <w:t>15.</w:t>
      </w:r>
      <w:r>
        <w:rPr>
          <w:rFonts w:ascii="Arial" w:hAnsi="Arial" w:cs="Arial"/>
        </w:rPr>
        <w:tab/>
      </w:r>
      <w:r w:rsidR="0096213F" w:rsidRPr="002161F5">
        <w:rPr>
          <w:rFonts w:ascii="Arial" w:hAnsi="Arial" w:cs="Arial"/>
        </w:rPr>
        <w:t>The Applicant annexes extract</w:t>
      </w:r>
      <w:r w:rsidR="00D30DC9" w:rsidRPr="002161F5">
        <w:rPr>
          <w:rFonts w:ascii="Arial" w:hAnsi="Arial" w:cs="Arial"/>
        </w:rPr>
        <w:t>s</w:t>
      </w:r>
      <w:r w:rsidR="0096213F" w:rsidRPr="002161F5">
        <w:rPr>
          <w:rFonts w:ascii="Arial" w:hAnsi="Arial" w:cs="Arial"/>
        </w:rPr>
        <w:t xml:space="preserve"> from the Respondent’s bank statements that show that he made payments to the Respondent. He also annexes a schedule of payments made on behalf of the Respondent. These payments are not disputed in the answering affidavit.</w:t>
      </w:r>
    </w:p>
    <w:p w14:paraId="4CA5C694" w14:textId="77777777" w:rsidR="0096213F" w:rsidRPr="0096213F" w:rsidRDefault="0096213F" w:rsidP="0096213F">
      <w:pPr>
        <w:pStyle w:val="ListParagraph"/>
        <w:rPr>
          <w:rFonts w:ascii="Arial" w:hAnsi="Arial" w:cs="Arial"/>
        </w:rPr>
      </w:pPr>
    </w:p>
    <w:p w14:paraId="0D27D868" w14:textId="67365672" w:rsidR="0096213F" w:rsidRPr="002161F5" w:rsidRDefault="002161F5" w:rsidP="002161F5">
      <w:pPr>
        <w:spacing w:line="480" w:lineRule="auto"/>
        <w:ind w:left="567" w:hanging="567"/>
        <w:jc w:val="both"/>
        <w:rPr>
          <w:rFonts w:ascii="Arial" w:hAnsi="Arial" w:cs="Arial"/>
        </w:rPr>
      </w:pPr>
      <w:r>
        <w:rPr>
          <w:rFonts w:ascii="Arial" w:hAnsi="Arial" w:cs="Arial"/>
        </w:rPr>
        <w:t>16.</w:t>
      </w:r>
      <w:r>
        <w:rPr>
          <w:rFonts w:ascii="Arial" w:hAnsi="Arial" w:cs="Arial"/>
        </w:rPr>
        <w:tab/>
      </w:r>
      <w:r w:rsidR="00D30DC9" w:rsidRPr="002161F5">
        <w:rPr>
          <w:rFonts w:ascii="Arial" w:hAnsi="Arial" w:cs="Arial"/>
        </w:rPr>
        <w:t xml:space="preserve">The Applicant </w:t>
      </w:r>
      <w:r w:rsidR="000D33CB" w:rsidRPr="002161F5">
        <w:rPr>
          <w:rFonts w:ascii="Arial" w:hAnsi="Arial" w:cs="Arial"/>
        </w:rPr>
        <w:t>avers</w:t>
      </w:r>
      <w:r w:rsidR="00D30DC9" w:rsidRPr="002161F5">
        <w:rPr>
          <w:rFonts w:ascii="Arial" w:hAnsi="Arial" w:cs="Arial"/>
        </w:rPr>
        <w:t xml:space="preserve"> that the fact of these payments makes him a creditor of the Respondent. But it is one thing to prove that </w:t>
      </w:r>
      <w:r w:rsidR="00C56203" w:rsidRPr="002161F5">
        <w:rPr>
          <w:rFonts w:ascii="Arial" w:hAnsi="Arial" w:cs="Arial"/>
        </w:rPr>
        <w:t>payments</w:t>
      </w:r>
      <w:r w:rsidR="00D30DC9" w:rsidRPr="002161F5">
        <w:rPr>
          <w:rFonts w:ascii="Arial" w:hAnsi="Arial" w:cs="Arial"/>
        </w:rPr>
        <w:t xml:space="preserve"> were made to a company. It is another to prove that the company is obliged to repay that money. It all depends on the reason for the payment</w:t>
      </w:r>
      <w:r w:rsidR="00C56203" w:rsidRPr="002161F5">
        <w:rPr>
          <w:rFonts w:ascii="Arial" w:hAnsi="Arial" w:cs="Arial"/>
        </w:rPr>
        <w:t>s</w:t>
      </w:r>
      <w:r w:rsidR="00D30DC9" w:rsidRPr="002161F5">
        <w:rPr>
          <w:rFonts w:ascii="Arial" w:hAnsi="Arial" w:cs="Arial"/>
        </w:rPr>
        <w:t>. The furthest that the Applicant goes is to say that the payments were made at a time when he believed that he was contributing to the capital of a partnership with Britz. He says that he did not owe the Respondent any debt, was not donating the money to the Respondent or Britz and he “…</w:t>
      </w:r>
      <w:r w:rsidR="00D30DC9" w:rsidRPr="002161F5">
        <w:rPr>
          <w:rFonts w:ascii="Arial" w:hAnsi="Arial" w:cs="Arial"/>
          <w:i/>
          <w:iCs/>
        </w:rPr>
        <w:t xml:space="preserve"> received nothing in return, or if Britz is to be believed: rights to shares.</w:t>
      </w:r>
      <w:r w:rsidR="00D30DC9" w:rsidRPr="002161F5">
        <w:rPr>
          <w:rFonts w:ascii="Arial" w:hAnsi="Arial" w:cs="Arial"/>
        </w:rPr>
        <w:t>”</w:t>
      </w:r>
      <w:r w:rsidR="000D33CB" w:rsidRPr="002161F5">
        <w:rPr>
          <w:rFonts w:ascii="Arial" w:hAnsi="Arial" w:cs="Arial"/>
        </w:rPr>
        <w:t xml:space="preserve"> </w:t>
      </w:r>
    </w:p>
    <w:p w14:paraId="37429E88" w14:textId="77777777" w:rsidR="00D30DC9" w:rsidRPr="00D30DC9" w:rsidRDefault="00D30DC9" w:rsidP="00D30DC9">
      <w:pPr>
        <w:pStyle w:val="ListParagraph"/>
        <w:rPr>
          <w:rFonts w:ascii="Arial" w:hAnsi="Arial" w:cs="Arial"/>
        </w:rPr>
      </w:pPr>
    </w:p>
    <w:p w14:paraId="14C7277D" w14:textId="24F45C87" w:rsidR="00D30DC9" w:rsidRPr="002161F5" w:rsidRDefault="002161F5" w:rsidP="002161F5">
      <w:pPr>
        <w:spacing w:line="480" w:lineRule="auto"/>
        <w:ind w:left="567" w:hanging="567"/>
        <w:jc w:val="both"/>
        <w:rPr>
          <w:rFonts w:ascii="Arial" w:hAnsi="Arial" w:cs="Arial"/>
        </w:rPr>
      </w:pPr>
      <w:r>
        <w:rPr>
          <w:rFonts w:ascii="Arial" w:hAnsi="Arial" w:cs="Arial"/>
        </w:rPr>
        <w:t>17.</w:t>
      </w:r>
      <w:r>
        <w:rPr>
          <w:rFonts w:ascii="Arial" w:hAnsi="Arial" w:cs="Arial"/>
        </w:rPr>
        <w:tab/>
      </w:r>
      <w:r w:rsidR="00D30DC9" w:rsidRPr="002161F5">
        <w:rPr>
          <w:rFonts w:ascii="Arial" w:hAnsi="Arial" w:cs="Arial"/>
        </w:rPr>
        <w:t xml:space="preserve">It was argued that the payments were accordingly </w:t>
      </w:r>
      <w:r w:rsidR="00D30DC9" w:rsidRPr="002161F5">
        <w:rPr>
          <w:rFonts w:ascii="Arial" w:hAnsi="Arial" w:cs="Arial"/>
          <w:i/>
          <w:iCs/>
        </w:rPr>
        <w:t>sine causa</w:t>
      </w:r>
      <w:r w:rsidR="00D30DC9" w:rsidRPr="002161F5">
        <w:rPr>
          <w:rFonts w:ascii="Arial" w:hAnsi="Arial" w:cs="Arial"/>
        </w:rPr>
        <w:t xml:space="preserve"> and that the Respondent has been unjustly enriched. No such case is made out in the founding affidavit.</w:t>
      </w:r>
      <w:r w:rsidR="00C56203" w:rsidRPr="002161F5">
        <w:rPr>
          <w:rFonts w:ascii="Arial" w:hAnsi="Arial" w:cs="Arial"/>
        </w:rPr>
        <w:t xml:space="preserve"> Payments made </w:t>
      </w:r>
      <w:r w:rsidR="00C56203" w:rsidRPr="002161F5">
        <w:rPr>
          <w:rFonts w:ascii="Arial" w:hAnsi="Arial" w:cs="Arial"/>
          <w:i/>
          <w:iCs/>
        </w:rPr>
        <w:t xml:space="preserve">sine causa </w:t>
      </w:r>
      <w:r w:rsidR="00C56203" w:rsidRPr="002161F5">
        <w:rPr>
          <w:rFonts w:ascii="Arial" w:hAnsi="Arial" w:cs="Arial"/>
        </w:rPr>
        <w:t xml:space="preserve">are recoverable using the </w:t>
      </w:r>
      <w:r w:rsidR="00C56203" w:rsidRPr="002161F5">
        <w:rPr>
          <w:rFonts w:ascii="Arial" w:hAnsi="Arial" w:cs="Arial"/>
          <w:i/>
          <w:iCs/>
        </w:rPr>
        <w:t>condictio sine causa.</w:t>
      </w:r>
      <w:r w:rsidR="00C56203" w:rsidRPr="002161F5">
        <w:rPr>
          <w:rFonts w:ascii="Arial" w:hAnsi="Arial" w:cs="Arial"/>
        </w:rPr>
        <w:t xml:space="preserve"> But if payment was made due to an excusable error in the mistaken belief that the payment was owing, then such payment is recoverable </w:t>
      </w:r>
      <w:r w:rsidR="00C56203" w:rsidRPr="002161F5">
        <w:rPr>
          <w:rFonts w:ascii="Arial" w:hAnsi="Arial" w:cs="Arial"/>
        </w:rPr>
        <w:lastRenderedPageBreak/>
        <w:t xml:space="preserve">using the </w:t>
      </w:r>
      <w:r w:rsidR="00C56203" w:rsidRPr="002161F5">
        <w:rPr>
          <w:rFonts w:ascii="Arial" w:hAnsi="Arial" w:cs="Arial"/>
          <w:i/>
          <w:iCs/>
        </w:rPr>
        <w:t>condictio indebiti.</w:t>
      </w:r>
      <w:r w:rsidR="00C56203" w:rsidRPr="002161F5">
        <w:rPr>
          <w:rFonts w:ascii="Arial" w:hAnsi="Arial" w:cs="Arial"/>
        </w:rPr>
        <w:t xml:space="preserve"> </w:t>
      </w:r>
      <w:r w:rsidR="006A3AAC" w:rsidRPr="002161F5">
        <w:rPr>
          <w:rFonts w:ascii="Arial" w:hAnsi="Arial" w:cs="Arial"/>
        </w:rPr>
        <w:t xml:space="preserve">The distinction between the two </w:t>
      </w:r>
      <w:r w:rsidR="006A3AAC" w:rsidRPr="002161F5">
        <w:rPr>
          <w:rFonts w:ascii="Arial" w:hAnsi="Arial" w:cs="Arial"/>
          <w:i/>
          <w:iCs/>
        </w:rPr>
        <w:t>condictiones</w:t>
      </w:r>
      <w:r w:rsidR="006A3AAC" w:rsidRPr="002161F5">
        <w:rPr>
          <w:rFonts w:ascii="Arial" w:hAnsi="Arial" w:cs="Arial"/>
        </w:rPr>
        <w:t xml:space="preserve"> is discussed in </w:t>
      </w:r>
      <w:r w:rsidR="006A3AAC" w:rsidRPr="002161F5">
        <w:rPr>
          <w:rFonts w:ascii="Arial" w:hAnsi="Arial" w:cs="Arial"/>
          <w:b/>
          <w:bCs/>
        </w:rPr>
        <w:t>Govender v Standard Bank</w:t>
      </w:r>
      <w:r w:rsidR="006A3AAC" w:rsidRPr="002161F5">
        <w:rPr>
          <w:rFonts w:ascii="Arial" w:hAnsi="Arial" w:cs="Arial"/>
        </w:rPr>
        <w:t>.</w:t>
      </w:r>
      <w:r w:rsidR="006A3AAC">
        <w:rPr>
          <w:rStyle w:val="FootnoteReference"/>
          <w:rFonts w:ascii="Arial" w:hAnsi="Arial" w:cs="Arial"/>
        </w:rPr>
        <w:footnoteReference w:id="6"/>
      </w:r>
      <w:r w:rsidR="006032A5" w:rsidRPr="002161F5">
        <w:rPr>
          <w:rFonts w:ascii="Arial" w:hAnsi="Arial" w:cs="Arial"/>
        </w:rPr>
        <w:t xml:space="preserve"> If the Applicant’s version is that he believed that he was contributing capital to the partnership with Britz, then, if he has a cause of action against the Respondent, it is in terms of the </w:t>
      </w:r>
      <w:r w:rsidR="006032A5" w:rsidRPr="002161F5">
        <w:rPr>
          <w:rFonts w:ascii="Arial" w:hAnsi="Arial" w:cs="Arial"/>
          <w:i/>
          <w:iCs/>
        </w:rPr>
        <w:t>condictio indebiti.</w:t>
      </w:r>
      <w:r w:rsidR="006032A5" w:rsidRPr="002161F5">
        <w:rPr>
          <w:rFonts w:ascii="Arial" w:hAnsi="Arial" w:cs="Arial"/>
        </w:rPr>
        <w:t xml:space="preserve"> Either </w:t>
      </w:r>
      <w:r w:rsidR="006032A5" w:rsidRPr="002161F5">
        <w:rPr>
          <w:rFonts w:ascii="Arial" w:hAnsi="Arial" w:cs="Arial"/>
          <w:i/>
          <w:iCs/>
        </w:rPr>
        <w:t>condictio</w:t>
      </w:r>
      <w:r w:rsidR="006032A5" w:rsidRPr="002161F5">
        <w:rPr>
          <w:rFonts w:ascii="Arial" w:hAnsi="Arial" w:cs="Arial"/>
        </w:rPr>
        <w:t xml:space="preserve"> requires the Applicant to plead and prove that the Respondent was enriched and he was impoverished. The </w:t>
      </w:r>
      <w:r w:rsidR="006032A5" w:rsidRPr="002161F5">
        <w:rPr>
          <w:rFonts w:ascii="Arial" w:hAnsi="Arial" w:cs="Arial"/>
          <w:i/>
          <w:iCs/>
        </w:rPr>
        <w:t>condictio indebiti</w:t>
      </w:r>
      <w:r w:rsidR="006032A5" w:rsidRPr="002161F5">
        <w:rPr>
          <w:rFonts w:ascii="Arial" w:hAnsi="Arial" w:cs="Arial"/>
        </w:rPr>
        <w:t xml:space="preserve"> requires the Applicant to plead and prove that his error was reasonable.</w:t>
      </w:r>
      <w:r w:rsidR="006032A5">
        <w:rPr>
          <w:rStyle w:val="FootnoteReference"/>
          <w:rFonts w:ascii="Arial" w:hAnsi="Arial" w:cs="Arial"/>
        </w:rPr>
        <w:footnoteReference w:id="7"/>
      </w:r>
      <w:r w:rsidR="006032A5" w:rsidRPr="002161F5">
        <w:rPr>
          <w:rFonts w:ascii="Arial" w:hAnsi="Arial" w:cs="Arial"/>
        </w:rPr>
        <w:t xml:space="preserve"> None of these allegations appear in the Applicant’s founding affidavit. Accordingly, the Applicant does not make out a case that he is a creditor of the Respondent.</w:t>
      </w:r>
    </w:p>
    <w:p w14:paraId="5A15E800" w14:textId="77777777" w:rsidR="00D30DC9" w:rsidRPr="00D30DC9" w:rsidRDefault="00D30DC9" w:rsidP="00D30DC9">
      <w:pPr>
        <w:pStyle w:val="ListParagraph"/>
        <w:rPr>
          <w:rFonts w:ascii="Arial" w:hAnsi="Arial" w:cs="Arial"/>
        </w:rPr>
      </w:pPr>
    </w:p>
    <w:p w14:paraId="28121E02" w14:textId="540D2456" w:rsidR="00D30DC9" w:rsidRPr="002161F5" w:rsidRDefault="002161F5" w:rsidP="002161F5">
      <w:pPr>
        <w:spacing w:line="480" w:lineRule="auto"/>
        <w:ind w:left="567" w:hanging="567"/>
        <w:jc w:val="both"/>
        <w:rPr>
          <w:rFonts w:ascii="Arial" w:hAnsi="Arial" w:cs="Arial"/>
        </w:rPr>
      </w:pPr>
      <w:r>
        <w:rPr>
          <w:rFonts w:ascii="Arial" w:hAnsi="Arial" w:cs="Arial"/>
        </w:rPr>
        <w:t>18.</w:t>
      </w:r>
      <w:r>
        <w:rPr>
          <w:rFonts w:ascii="Arial" w:hAnsi="Arial" w:cs="Arial"/>
        </w:rPr>
        <w:tab/>
      </w:r>
      <w:r w:rsidR="00D30DC9" w:rsidRPr="002161F5">
        <w:rPr>
          <w:rFonts w:ascii="Arial" w:hAnsi="Arial" w:cs="Arial"/>
        </w:rPr>
        <w:t>But even if the Applicant is a creditor of the Respondent, the Applicant does not make out a case that the Respondent is unable to pay its debts. The furthe</w:t>
      </w:r>
      <w:r w:rsidR="00120759" w:rsidRPr="002161F5">
        <w:rPr>
          <w:rFonts w:ascii="Arial" w:hAnsi="Arial" w:cs="Arial"/>
        </w:rPr>
        <w:t>st</w:t>
      </w:r>
      <w:r w:rsidR="00D30DC9" w:rsidRPr="002161F5">
        <w:rPr>
          <w:rFonts w:ascii="Arial" w:hAnsi="Arial" w:cs="Arial"/>
        </w:rPr>
        <w:t xml:space="preserve"> that he goes is to assert that he believes that the Respondent does not have sufficient cash to refund the payments that he made to it or to pay its debts as contemplated in section 345(1)(c) of the 1973 Companies Act.</w:t>
      </w:r>
      <w:r w:rsidR="00120759" w:rsidRPr="002161F5">
        <w:rPr>
          <w:rFonts w:ascii="Arial" w:hAnsi="Arial" w:cs="Arial"/>
        </w:rPr>
        <w:t xml:space="preserve"> He asserts no facts upon which this belief is based.</w:t>
      </w:r>
    </w:p>
    <w:p w14:paraId="6D7C9452" w14:textId="77777777" w:rsidR="00D30DC9" w:rsidRPr="00D30DC9" w:rsidRDefault="00D30DC9" w:rsidP="00D30DC9">
      <w:pPr>
        <w:pStyle w:val="ListParagraph"/>
        <w:rPr>
          <w:rFonts w:ascii="Arial" w:hAnsi="Arial" w:cs="Arial"/>
        </w:rPr>
      </w:pPr>
    </w:p>
    <w:p w14:paraId="4ABC64F6" w14:textId="1526B5B9" w:rsidR="00120759" w:rsidRPr="002161F5" w:rsidRDefault="002161F5" w:rsidP="002161F5">
      <w:pPr>
        <w:spacing w:line="480" w:lineRule="auto"/>
        <w:ind w:left="567" w:hanging="567"/>
        <w:jc w:val="both"/>
        <w:rPr>
          <w:rFonts w:ascii="Arial" w:hAnsi="Arial" w:cs="Arial"/>
        </w:rPr>
      </w:pPr>
      <w:r>
        <w:rPr>
          <w:rFonts w:ascii="Arial" w:hAnsi="Arial" w:cs="Arial"/>
        </w:rPr>
        <w:t>19.</w:t>
      </w:r>
      <w:r>
        <w:rPr>
          <w:rFonts w:ascii="Arial" w:hAnsi="Arial" w:cs="Arial"/>
        </w:rPr>
        <w:tab/>
      </w:r>
      <w:r w:rsidR="00D30DC9" w:rsidRPr="002161F5">
        <w:rPr>
          <w:rFonts w:ascii="Arial" w:hAnsi="Arial" w:cs="Arial"/>
        </w:rPr>
        <w:t>The Applicant did not make demand for payment in terms of Section 345(1)(a)</w:t>
      </w:r>
      <w:r w:rsidR="0012773C" w:rsidRPr="002161F5">
        <w:rPr>
          <w:rFonts w:ascii="Arial" w:hAnsi="Arial" w:cs="Arial"/>
        </w:rPr>
        <w:t xml:space="preserve"> </w:t>
      </w:r>
      <w:r w:rsidR="00120759" w:rsidRPr="002161F5">
        <w:rPr>
          <w:rFonts w:ascii="Arial" w:hAnsi="Arial" w:cs="Arial"/>
        </w:rPr>
        <w:t xml:space="preserve">of the 1973 Companies Act </w:t>
      </w:r>
      <w:r w:rsidR="0012773C" w:rsidRPr="002161F5">
        <w:rPr>
          <w:rFonts w:ascii="Arial" w:hAnsi="Arial" w:cs="Arial"/>
        </w:rPr>
        <w:t xml:space="preserve">and accordingly cannot avail himself of the deeming provision in that subsection. </w:t>
      </w:r>
    </w:p>
    <w:p w14:paraId="387A0C68" w14:textId="77777777" w:rsidR="00120759" w:rsidRPr="00120759" w:rsidRDefault="00120759" w:rsidP="00120759">
      <w:pPr>
        <w:pStyle w:val="ListParagraph"/>
        <w:rPr>
          <w:rFonts w:ascii="Arial" w:hAnsi="Arial" w:cs="Arial"/>
        </w:rPr>
      </w:pPr>
    </w:p>
    <w:p w14:paraId="2D1A09F7" w14:textId="07667B62" w:rsidR="00120759" w:rsidRPr="002161F5" w:rsidRDefault="002161F5" w:rsidP="002161F5">
      <w:pPr>
        <w:spacing w:line="480" w:lineRule="auto"/>
        <w:ind w:left="567" w:hanging="567"/>
        <w:jc w:val="both"/>
        <w:rPr>
          <w:rFonts w:ascii="Arial" w:hAnsi="Arial" w:cs="Arial"/>
        </w:rPr>
      </w:pPr>
      <w:r>
        <w:rPr>
          <w:rFonts w:ascii="Arial" w:hAnsi="Arial" w:cs="Arial"/>
        </w:rPr>
        <w:t>20.</w:t>
      </w:r>
      <w:r>
        <w:rPr>
          <w:rFonts w:ascii="Arial" w:hAnsi="Arial" w:cs="Arial"/>
        </w:rPr>
        <w:tab/>
      </w:r>
      <w:r w:rsidR="00120759" w:rsidRPr="002161F5">
        <w:rPr>
          <w:rFonts w:ascii="Arial" w:hAnsi="Arial" w:cs="Arial"/>
        </w:rPr>
        <w:t>In terms of Section 345(1)(c), a company is deemed to be unable to pay its debts it is proved to the satisfaction of the Court that the company is unable to pay its debts.</w:t>
      </w:r>
    </w:p>
    <w:p w14:paraId="5AFD06B2" w14:textId="77777777" w:rsidR="00120759" w:rsidRPr="0012773C" w:rsidRDefault="00120759" w:rsidP="00120759">
      <w:pPr>
        <w:pStyle w:val="ListParagraph"/>
        <w:rPr>
          <w:rFonts w:ascii="Arial" w:hAnsi="Arial" w:cs="Arial"/>
        </w:rPr>
      </w:pPr>
    </w:p>
    <w:p w14:paraId="37F6BCD2" w14:textId="24E43052" w:rsidR="00120759" w:rsidRPr="002161F5" w:rsidRDefault="002161F5" w:rsidP="002161F5">
      <w:pPr>
        <w:spacing w:line="480" w:lineRule="auto"/>
        <w:ind w:left="567" w:hanging="567"/>
        <w:jc w:val="both"/>
        <w:rPr>
          <w:rFonts w:ascii="Arial" w:hAnsi="Arial" w:cs="Arial"/>
        </w:rPr>
      </w:pPr>
      <w:r w:rsidRPr="0096213F">
        <w:rPr>
          <w:rFonts w:ascii="Arial" w:hAnsi="Arial" w:cs="Arial"/>
        </w:rPr>
        <w:lastRenderedPageBreak/>
        <w:t>21.</w:t>
      </w:r>
      <w:r w:rsidRPr="0096213F">
        <w:rPr>
          <w:rFonts w:ascii="Arial" w:hAnsi="Arial" w:cs="Arial"/>
        </w:rPr>
        <w:tab/>
      </w:r>
      <w:r w:rsidR="00120759" w:rsidRPr="002161F5">
        <w:rPr>
          <w:rFonts w:ascii="Arial" w:hAnsi="Arial" w:cs="Arial"/>
        </w:rPr>
        <w:t>This requires there to be at least some evidence in the founding affidavit that the respondent company is unable to pay its debts. A creditor who launches a winding-up application without any evidence that the respondent company is unable to pay its debts is abusing the process of court.</w:t>
      </w:r>
    </w:p>
    <w:p w14:paraId="0FB69C2F" w14:textId="77777777" w:rsidR="00120759" w:rsidRPr="0012773C" w:rsidRDefault="00120759" w:rsidP="00120759">
      <w:pPr>
        <w:jc w:val="both"/>
        <w:rPr>
          <w:rFonts w:ascii="Arial" w:hAnsi="Arial" w:cs="Arial"/>
        </w:rPr>
      </w:pPr>
    </w:p>
    <w:p w14:paraId="04B6A24A" w14:textId="0F487317" w:rsidR="00D30DC9" w:rsidRPr="002161F5" w:rsidRDefault="002161F5" w:rsidP="002161F5">
      <w:pPr>
        <w:spacing w:line="480" w:lineRule="auto"/>
        <w:ind w:left="567" w:hanging="567"/>
        <w:jc w:val="both"/>
        <w:rPr>
          <w:rFonts w:ascii="Arial" w:hAnsi="Arial" w:cs="Arial"/>
        </w:rPr>
      </w:pPr>
      <w:r w:rsidRPr="00120759">
        <w:rPr>
          <w:rFonts w:ascii="Arial" w:hAnsi="Arial" w:cs="Arial"/>
        </w:rPr>
        <w:t>22.</w:t>
      </w:r>
      <w:r w:rsidRPr="00120759">
        <w:rPr>
          <w:rFonts w:ascii="Arial" w:hAnsi="Arial" w:cs="Arial"/>
        </w:rPr>
        <w:tab/>
      </w:r>
      <w:r w:rsidR="00120759" w:rsidRPr="002161F5">
        <w:rPr>
          <w:rFonts w:ascii="Arial" w:hAnsi="Arial" w:cs="Arial"/>
        </w:rPr>
        <w:t>The failure to pay an admitted or undisputed debt is cogent evidence of an inability to pay debts.</w:t>
      </w:r>
      <w:r w:rsidR="00120759">
        <w:rPr>
          <w:rStyle w:val="FootnoteReference"/>
          <w:rFonts w:ascii="Arial" w:hAnsi="Arial" w:cs="Arial"/>
        </w:rPr>
        <w:footnoteReference w:id="8"/>
      </w:r>
      <w:r w:rsidR="00120759" w:rsidRPr="002161F5">
        <w:rPr>
          <w:rFonts w:ascii="Arial" w:hAnsi="Arial" w:cs="Arial"/>
        </w:rPr>
        <w:t xml:space="preserve"> But where there has been no demand for payment, and there is no evidence of an admission of liability, this inference cannot properly be drawn. The</w:t>
      </w:r>
      <w:r w:rsidR="0012773C" w:rsidRPr="002161F5">
        <w:rPr>
          <w:rFonts w:ascii="Arial" w:hAnsi="Arial" w:cs="Arial"/>
        </w:rPr>
        <w:t xml:space="preserve"> Applicant did not even point to any demand for payment of the alleged debts, save for the extremely vague assertions that I referred to above.</w:t>
      </w:r>
      <w:r w:rsidR="00120759" w:rsidRPr="002161F5">
        <w:rPr>
          <w:rFonts w:ascii="Arial" w:hAnsi="Arial" w:cs="Arial"/>
        </w:rPr>
        <w:t xml:space="preserve"> The Applicant’s counsel conceded in argument that there is no evidence of a demand for payment made to the Respondent prior to the winding up application being launched.</w:t>
      </w:r>
    </w:p>
    <w:p w14:paraId="62562C74" w14:textId="77777777" w:rsidR="0012773C" w:rsidRPr="0012773C" w:rsidRDefault="0012773C" w:rsidP="0012773C">
      <w:pPr>
        <w:pStyle w:val="ListParagraph"/>
        <w:rPr>
          <w:rFonts w:ascii="Arial" w:hAnsi="Arial" w:cs="Arial"/>
        </w:rPr>
      </w:pPr>
    </w:p>
    <w:p w14:paraId="4340299E" w14:textId="5BE3CA72" w:rsidR="00081221" w:rsidRPr="002161F5" w:rsidRDefault="002161F5" w:rsidP="002161F5">
      <w:pPr>
        <w:spacing w:line="480" w:lineRule="auto"/>
        <w:ind w:left="567" w:hanging="567"/>
        <w:jc w:val="both"/>
        <w:rPr>
          <w:rFonts w:ascii="Arial" w:hAnsi="Arial" w:cs="Arial"/>
        </w:rPr>
      </w:pPr>
      <w:r>
        <w:rPr>
          <w:rFonts w:ascii="Arial" w:hAnsi="Arial" w:cs="Arial"/>
        </w:rPr>
        <w:t>23.</w:t>
      </w:r>
      <w:r>
        <w:rPr>
          <w:rFonts w:ascii="Arial" w:hAnsi="Arial" w:cs="Arial"/>
        </w:rPr>
        <w:tab/>
      </w:r>
      <w:r w:rsidR="00081221" w:rsidRPr="002161F5">
        <w:rPr>
          <w:rFonts w:ascii="Arial" w:hAnsi="Arial" w:cs="Arial"/>
        </w:rPr>
        <w:t>In such a case, something more is required. There is no closed list of evidence that can be produced from which the Court can reasonably infer that the respondent company is unable to pay its debts.</w:t>
      </w:r>
      <w:r w:rsidR="00120759" w:rsidRPr="002161F5">
        <w:rPr>
          <w:rFonts w:ascii="Arial" w:hAnsi="Arial" w:cs="Arial"/>
        </w:rPr>
        <w:t xml:space="preserve"> But evidence is required before the Court can be satisfied that the Respondent is unable to pay its debts. </w:t>
      </w:r>
    </w:p>
    <w:p w14:paraId="0D3F2288" w14:textId="77777777" w:rsidR="00081221" w:rsidRPr="00081221" w:rsidRDefault="00081221" w:rsidP="00081221">
      <w:pPr>
        <w:pStyle w:val="ListParagraph"/>
        <w:rPr>
          <w:rFonts w:ascii="Arial" w:hAnsi="Arial" w:cs="Arial"/>
        </w:rPr>
      </w:pPr>
    </w:p>
    <w:p w14:paraId="4DF6B9B5" w14:textId="2EC701CB" w:rsidR="00081221" w:rsidRPr="002161F5" w:rsidRDefault="002161F5" w:rsidP="002161F5">
      <w:pPr>
        <w:spacing w:line="480" w:lineRule="auto"/>
        <w:ind w:left="567" w:hanging="567"/>
        <w:jc w:val="both"/>
        <w:rPr>
          <w:rFonts w:ascii="Arial" w:hAnsi="Arial" w:cs="Arial"/>
        </w:rPr>
      </w:pPr>
      <w:r>
        <w:rPr>
          <w:rFonts w:ascii="Arial" w:hAnsi="Arial" w:cs="Arial"/>
        </w:rPr>
        <w:t>24.</w:t>
      </w:r>
      <w:r>
        <w:rPr>
          <w:rFonts w:ascii="Arial" w:hAnsi="Arial" w:cs="Arial"/>
        </w:rPr>
        <w:tab/>
      </w:r>
      <w:r w:rsidR="00081221" w:rsidRPr="002161F5">
        <w:rPr>
          <w:rFonts w:ascii="Arial" w:hAnsi="Arial" w:cs="Arial"/>
        </w:rPr>
        <w:t xml:space="preserve">In this case, the Applicant has produced absolutely no evidence that the Respondent is unable to pay its debts. </w:t>
      </w:r>
    </w:p>
    <w:p w14:paraId="56320750" w14:textId="77777777" w:rsidR="0096213F" w:rsidRPr="0096213F" w:rsidRDefault="0096213F" w:rsidP="0096213F">
      <w:pPr>
        <w:pStyle w:val="ListParagraph"/>
        <w:rPr>
          <w:rFonts w:ascii="Arial" w:hAnsi="Arial" w:cs="Arial"/>
        </w:rPr>
      </w:pPr>
    </w:p>
    <w:p w14:paraId="4F3B4321" w14:textId="5E045CBC" w:rsidR="006703DA" w:rsidRPr="002161F5" w:rsidRDefault="002161F5" w:rsidP="002161F5">
      <w:pPr>
        <w:spacing w:line="480" w:lineRule="auto"/>
        <w:ind w:left="567" w:hanging="567"/>
        <w:jc w:val="both"/>
        <w:rPr>
          <w:rFonts w:ascii="Arial" w:hAnsi="Arial" w:cs="Arial"/>
        </w:rPr>
      </w:pPr>
      <w:r>
        <w:rPr>
          <w:rFonts w:ascii="Arial" w:hAnsi="Arial" w:cs="Arial"/>
        </w:rPr>
        <w:t>25.</w:t>
      </w:r>
      <w:r>
        <w:rPr>
          <w:rFonts w:ascii="Arial" w:hAnsi="Arial" w:cs="Arial"/>
        </w:rPr>
        <w:tab/>
      </w:r>
      <w:r w:rsidR="00535898" w:rsidRPr="002161F5">
        <w:rPr>
          <w:rFonts w:ascii="Arial" w:hAnsi="Arial" w:cs="Arial"/>
        </w:rPr>
        <w:t xml:space="preserve">The Respondent asserts that it is “… </w:t>
      </w:r>
      <w:r w:rsidR="00535898" w:rsidRPr="002161F5">
        <w:rPr>
          <w:rFonts w:ascii="Arial" w:hAnsi="Arial" w:cs="Arial"/>
          <w:i/>
          <w:iCs/>
        </w:rPr>
        <w:t>not only solvent, but very solvent.</w:t>
      </w:r>
      <w:r w:rsidR="00535898" w:rsidRPr="002161F5">
        <w:rPr>
          <w:rFonts w:ascii="Arial" w:hAnsi="Arial" w:cs="Arial"/>
        </w:rPr>
        <w:t xml:space="preserve">” That, of course, is not the test. A solvent company may be unable to pay its debts. It attaches an extract from its financial statements for the year ended 28 February 2021. </w:t>
      </w:r>
      <w:r w:rsidR="007C5313" w:rsidRPr="002161F5">
        <w:rPr>
          <w:rFonts w:ascii="Arial" w:hAnsi="Arial" w:cs="Arial"/>
        </w:rPr>
        <w:t xml:space="preserve">The extract is the Respondent’s statement of financial position (which used </w:t>
      </w:r>
      <w:r w:rsidR="007C5313" w:rsidRPr="002161F5">
        <w:rPr>
          <w:rFonts w:ascii="Arial" w:hAnsi="Arial" w:cs="Arial"/>
        </w:rPr>
        <w:lastRenderedPageBreak/>
        <w:t xml:space="preserve">to be referred to as a balance sheet). This shows that the Respondent’s assets exceed its liabilities. But its primary liability is a “loan from shareholder”. </w:t>
      </w:r>
      <w:r w:rsidR="00120759" w:rsidRPr="002161F5">
        <w:rPr>
          <w:rFonts w:ascii="Arial" w:hAnsi="Arial" w:cs="Arial"/>
        </w:rPr>
        <w:t xml:space="preserve">The </w:t>
      </w:r>
      <w:r w:rsidR="007C5313" w:rsidRPr="002161F5">
        <w:rPr>
          <w:rFonts w:ascii="Arial" w:hAnsi="Arial" w:cs="Arial"/>
        </w:rPr>
        <w:t xml:space="preserve">Respondent says that this debt has been subordinated. The statement of financial position shows that current assets significantly exceed current liabilities. </w:t>
      </w:r>
    </w:p>
    <w:p w14:paraId="5FF3EFBD" w14:textId="77777777" w:rsidR="007C5313" w:rsidRPr="007C5313" w:rsidRDefault="007C5313" w:rsidP="007C5313">
      <w:pPr>
        <w:pStyle w:val="ListParagraph"/>
        <w:rPr>
          <w:rFonts w:ascii="Arial" w:hAnsi="Arial" w:cs="Arial"/>
        </w:rPr>
      </w:pPr>
    </w:p>
    <w:p w14:paraId="34D163F1" w14:textId="053737AE" w:rsidR="007C5313" w:rsidRPr="002161F5" w:rsidRDefault="002161F5" w:rsidP="002161F5">
      <w:pPr>
        <w:spacing w:line="480" w:lineRule="auto"/>
        <w:ind w:left="567" w:hanging="567"/>
        <w:jc w:val="both"/>
        <w:rPr>
          <w:rFonts w:ascii="Arial" w:hAnsi="Arial" w:cs="Arial"/>
        </w:rPr>
      </w:pPr>
      <w:r>
        <w:rPr>
          <w:rFonts w:ascii="Arial" w:hAnsi="Arial" w:cs="Arial"/>
        </w:rPr>
        <w:t>26.</w:t>
      </w:r>
      <w:r>
        <w:rPr>
          <w:rFonts w:ascii="Arial" w:hAnsi="Arial" w:cs="Arial"/>
        </w:rPr>
        <w:tab/>
      </w:r>
      <w:r w:rsidR="007C5313" w:rsidRPr="002161F5">
        <w:rPr>
          <w:rFonts w:ascii="Arial" w:hAnsi="Arial" w:cs="Arial"/>
        </w:rPr>
        <w:t>It is not possible to ascertain how the Respondent accounted for the payments from this Applicant from this single page. However, the inference that the Respondent is unable to pay its debts cannot be drawn from the statement of financial position.</w:t>
      </w:r>
    </w:p>
    <w:p w14:paraId="7282D66E" w14:textId="77777777" w:rsidR="007C5313" w:rsidRPr="007C5313" w:rsidRDefault="007C5313" w:rsidP="007C5313">
      <w:pPr>
        <w:pStyle w:val="ListParagraph"/>
        <w:rPr>
          <w:rFonts w:ascii="Arial" w:hAnsi="Arial" w:cs="Arial"/>
        </w:rPr>
      </w:pPr>
    </w:p>
    <w:p w14:paraId="777C3179" w14:textId="430894FC" w:rsidR="007C5313" w:rsidRPr="002161F5" w:rsidRDefault="002161F5" w:rsidP="002161F5">
      <w:pPr>
        <w:spacing w:line="480" w:lineRule="auto"/>
        <w:ind w:left="567" w:hanging="567"/>
        <w:jc w:val="both"/>
        <w:rPr>
          <w:rFonts w:ascii="Arial" w:hAnsi="Arial" w:cs="Arial"/>
        </w:rPr>
      </w:pPr>
      <w:r>
        <w:rPr>
          <w:rFonts w:ascii="Arial" w:hAnsi="Arial" w:cs="Arial"/>
        </w:rPr>
        <w:t>27.</w:t>
      </w:r>
      <w:r>
        <w:rPr>
          <w:rFonts w:ascii="Arial" w:hAnsi="Arial" w:cs="Arial"/>
        </w:rPr>
        <w:tab/>
      </w:r>
      <w:r w:rsidR="007C5313" w:rsidRPr="002161F5">
        <w:rPr>
          <w:rFonts w:ascii="Arial" w:hAnsi="Arial" w:cs="Arial"/>
        </w:rPr>
        <w:t xml:space="preserve">There is accordingly no evidence in the founding affidavit that the Respondent is unable to pay its debts. To the extent that it is permissible for this to be cured by the answering affidavit, the evidence in the answering affidavit does not cure this deficiency. Accordingly, the circumstance in Section 344(f) has not been established. </w:t>
      </w:r>
    </w:p>
    <w:p w14:paraId="356A850F" w14:textId="77777777" w:rsidR="00F6676F" w:rsidRPr="00F6676F" w:rsidRDefault="00F6676F" w:rsidP="00F6676F">
      <w:pPr>
        <w:pStyle w:val="ListParagraph"/>
        <w:rPr>
          <w:rFonts w:ascii="Arial" w:hAnsi="Arial" w:cs="Arial"/>
        </w:rPr>
      </w:pPr>
    </w:p>
    <w:p w14:paraId="507603B7" w14:textId="61DA689D" w:rsidR="007C5313" w:rsidRPr="002161F5" w:rsidRDefault="002161F5" w:rsidP="002161F5">
      <w:pPr>
        <w:spacing w:line="480" w:lineRule="auto"/>
        <w:ind w:left="567" w:hanging="567"/>
        <w:jc w:val="both"/>
        <w:rPr>
          <w:rFonts w:ascii="Arial" w:hAnsi="Arial" w:cs="Arial"/>
        </w:rPr>
      </w:pPr>
      <w:r>
        <w:rPr>
          <w:rFonts w:ascii="Arial" w:hAnsi="Arial" w:cs="Arial"/>
        </w:rPr>
        <w:t>28.</w:t>
      </w:r>
      <w:r>
        <w:rPr>
          <w:rFonts w:ascii="Arial" w:hAnsi="Arial" w:cs="Arial"/>
        </w:rPr>
        <w:tab/>
      </w:r>
      <w:r w:rsidR="007C5313" w:rsidRPr="002161F5">
        <w:rPr>
          <w:rFonts w:ascii="Arial" w:hAnsi="Arial" w:cs="Arial"/>
        </w:rPr>
        <w:t xml:space="preserve">For the reasons set out above, this is also fatal to the Applicant’s reliance on Section 344(h). As the Applicant has not established that the Respondent is unable to pay its debts, it has not established that Chapter 14 of the 1973 Companies Act is applicable. </w:t>
      </w:r>
    </w:p>
    <w:p w14:paraId="5A796E8D" w14:textId="77777777" w:rsidR="007C5313" w:rsidRPr="007C5313" w:rsidRDefault="007C5313" w:rsidP="007C5313">
      <w:pPr>
        <w:pStyle w:val="ListParagraph"/>
        <w:rPr>
          <w:rFonts w:ascii="Arial" w:hAnsi="Arial" w:cs="Arial"/>
        </w:rPr>
      </w:pPr>
    </w:p>
    <w:p w14:paraId="64C04B80" w14:textId="7B16035A" w:rsidR="00617A49" w:rsidRPr="002161F5" w:rsidRDefault="002161F5" w:rsidP="002161F5">
      <w:pPr>
        <w:spacing w:line="480" w:lineRule="auto"/>
        <w:ind w:left="567" w:hanging="567"/>
        <w:jc w:val="both"/>
        <w:rPr>
          <w:rFonts w:ascii="Arial" w:hAnsi="Arial" w:cs="Arial"/>
        </w:rPr>
      </w:pPr>
      <w:r>
        <w:rPr>
          <w:rFonts w:ascii="Arial" w:hAnsi="Arial" w:cs="Arial"/>
        </w:rPr>
        <w:t>29.</w:t>
      </w:r>
      <w:r>
        <w:rPr>
          <w:rFonts w:ascii="Arial" w:hAnsi="Arial" w:cs="Arial"/>
        </w:rPr>
        <w:tab/>
      </w:r>
      <w:r w:rsidR="00617A49" w:rsidRPr="002161F5">
        <w:rPr>
          <w:rFonts w:ascii="Arial" w:hAnsi="Arial" w:cs="Arial"/>
        </w:rPr>
        <w:t xml:space="preserve">As I noted above, in terms of the decision in </w:t>
      </w:r>
      <w:r w:rsidR="00617A49" w:rsidRPr="002161F5">
        <w:rPr>
          <w:rFonts w:ascii="Arial" w:hAnsi="Arial" w:cs="Arial"/>
          <w:b/>
          <w:bCs/>
        </w:rPr>
        <w:t>Barabaglia</w:t>
      </w:r>
      <w:r w:rsidR="00617A49" w:rsidRPr="002161F5">
        <w:rPr>
          <w:rFonts w:ascii="Arial" w:hAnsi="Arial" w:cs="Arial"/>
        </w:rPr>
        <w:t>, having found that the company is commercially solvent, the Court could still place the Respondent in winding up in terms of Section 81(1)(d)(iii) of the 2008 Companies Act on the basis that it is just and equitable to do so.</w:t>
      </w:r>
      <w:r w:rsidR="00617A49" w:rsidRPr="002161F5">
        <w:rPr>
          <w:rFonts w:ascii="Arial" w:hAnsi="Arial" w:cs="Arial"/>
          <w:b/>
          <w:bCs/>
        </w:rPr>
        <w:t xml:space="preserve"> </w:t>
      </w:r>
      <w:r w:rsidR="00617A49" w:rsidRPr="002161F5">
        <w:rPr>
          <w:rFonts w:ascii="Arial" w:hAnsi="Arial" w:cs="Arial"/>
        </w:rPr>
        <w:t>However, this is “</w:t>
      </w:r>
      <w:r w:rsidR="00617A49" w:rsidRPr="002161F5">
        <w:rPr>
          <w:rFonts w:ascii="Arial" w:hAnsi="Arial" w:cs="Arial"/>
          <w:i/>
          <w:iCs/>
        </w:rPr>
        <w:t>provided that the basic contentions were made (the case was pleaded for a winding-up on a just and equitable basis), and the facts have been established.</w:t>
      </w:r>
      <w:r w:rsidR="00617A49" w:rsidRPr="002161F5">
        <w:rPr>
          <w:rFonts w:ascii="Arial" w:hAnsi="Arial" w:cs="Arial"/>
        </w:rPr>
        <w:t xml:space="preserve">” </w:t>
      </w:r>
    </w:p>
    <w:p w14:paraId="401D47A4" w14:textId="77777777" w:rsidR="00617A49" w:rsidRPr="00617A49" w:rsidRDefault="00617A49" w:rsidP="00617A49">
      <w:pPr>
        <w:pStyle w:val="ListParagraph"/>
        <w:rPr>
          <w:rFonts w:ascii="Arial" w:hAnsi="Arial" w:cs="Arial"/>
        </w:rPr>
      </w:pPr>
    </w:p>
    <w:p w14:paraId="3D6FE6F8" w14:textId="43D51B29" w:rsidR="007E7F94" w:rsidRPr="002161F5" w:rsidRDefault="002161F5" w:rsidP="002161F5">
      <w:pPr>
        <w:spacing w:line="480" w:lineRule="auto"/>
        <w:ind w:left="567" w:hanging="567"/>
        <w:jc w:val="both"/>
        <w:rPr>
          <w:rFonts w:ascii="Arial" w:hAnsi="Arial" w:cs="Arial"/>
        </w:rPr>
      </w:pPr>
      <w:r>
        <w:rPr>
          <w:rFonts w:ascii="Arial" w:hAnsi="Arial" w:cs="Arial"/>
        </w:rPr>
        <w:t>30.</w:t>
      </w:r>
      <w:r>
        <w:rPr>
          <w:rFonts w:ascii="Arial" w:hAnsi="Arial" w:cs="Arial"/>
        </w:rPr>
        <w:tab/>
      </w:r>
      <w:r w:rsidR="007E7F94" w:rsidRPr="002161F5">
        <w:rPr>
          <w:rFonts w:ascii="Arial" w:hAnsi="Arial" w:cs="Arial"/>
        </w:rPr>
        <w:t xml:space="preserve">Malan JA explained in </w:t>
      </w:r>
      <w:r w:rsidR="007E7F94" w:rsidRPr="002161F5">
        <w:rPr>
          <w:rFonts w:ascii="Arial" w:hAnsi="Arial" w:cs="Arial"/>
          <w:b/>
          <w:bCs/>
        </w:rPr>
        <w:t>Thundercats</w:t>
      </w:r>
      <w:r w:rsidR="007E7F94" w:rsidRPr="002161F5">
        <w:rPr>
          <w:rFonts w:ascii="Arial" w:hAnsi="Arial" w:cs="Arial"/>
        </w:rPr>
        <w:t xml:space="preserve"> that:</w:t>
      </w:r>
    </w:p>
    <w:p w14:paraId="064D0C1C" w14:textId="77777777" w:rsidR="007E7F94" w:rsidRPr="007E7F94" w:rsidRDefault="007E7F94" w:rsidP="007E7F94">
      <w:pPr>
        <w:pStyle w:val="ListParagraph"/>
        <w:rPr>
          <w:rFonts w:ascii="Arial" w:hAnsi="Arial" w:cs="Arial"/>
        </w:rPr>
      </w:pPr>
    </w:p>
    <w:p w14:paraId="0AD47CAD" w14:textId="124E55E1" w:rsidR="007E7F94" w:rsidRDefault="007E7F94" w:rsidP="007E7F94">
      <w:pPr>
        <w:pStyle w:val="ListParagraph"/>
        <w:spacing w:line="480" w:lineRule="auto"/>
        <w:ind w:left="1418" w:hanging="851"/>
        <w:jc w:val="both"/>
        <w:rPr>
          <w:rFonts w:ascii="Arial" w:hAnsi="Arial" w:cs="Arial"/>
          <w:i/>
          <w:iCs/>
        </w:rPr>
      </w:pPr>
      <w:r>
        <w:rPr>
          <w:rFonts w:ascii="Arial" w:hAnsi="Arial" w:cs="Arial"/>
        </w:rPr>
        <w:t>“</w:t>
      </w:r>
      <w:r w:rsidRPr="007E7F94">
        <w:rPr>
          <w:rFonts w:ascii="Arial" w:hAnsi="Arial" w:cs="Arial"/>
          <w:i/>
          <w:iCs/>
        </w:rPr>
        <w:t>[15]</w:t>
      </w:r>
      <w:r>
        <w:rPr>
          <w:rFonts w:ascii="Arial" w:hAnsi="Arial" w:cs="Arial"/>
        </w:rPr>
        <w:t xml:space="preserve"> </w:t>
      </w:r>
      <w:r>
        <w:rPr>
          <w:rFonts w:ascii="Arial" w:hAnsi="Arial" w:cs="Arial"/>
        </w:rPr>
        <w:tab/>
      </w:r>
      <w:r w:rsidRPr="007E7F94">
        <w:rPr>
          <w:rFonts w:ascii="Arial" w:hAnsi="Arial" w:cs="Arial"/>
          <w:i/>
          <w:iCs/>
        </w:rPr>
        <w:t>A winding-up on this basis 'postulates not facts but only a broad conclusion of law, justice and equity, as a ground for winding-up'. The subsection is not confined to cases which were analogous to the grounds mentioned in other parts of the section. Nor can any general rule be laid down as to the nature of the circumstances that had to be considered to ascertain whether a case came within the phrase. There is no fixed category of circumstances which may provide a basis for a winding-up on the just and equitable ground</w:t>
      </w:r>
      <w:r>
        <w:rPr>
          <w:rFonts w:ascii="Arial" w:hAnsi="Arial" w:cs="Arial"/>
          <w:i/>
          <w:iCs/>
        </w:rPr>
        <w:t xml:space="preserve"> …</w:t>
      </w:r>
    </w:p>
    <w:p w14:paraId="44157597" w14:textId="7BFC152C" w:rsidR="007E7F94" w:rsidRDefault="007E7F94" w:rsidP="007E7F94">
      <w:pPr>
        <w:pStyle w:val="ListParagraph"/>
        <w:spacing w:line="480" w:lineRule="auto"/>
        <w:ind w:left="1418" w:hanging="851"/>
        <w:jc w:val="both"/>
        <w:rPr>
          <w:rFonts w:ascii="Arial" w:hAnsi="Arial" w:cs="Arial"/>
        </w:rPr>
      </w:pPr>
      <w:r w:rsidRPr="007E7F94">
        <w:rPr>
          <w:rFonts w:ascii="Arial" w:hAnsi="Arial" w:cs="Arial"/>
          <w:i/>
          <w:iCs/>
        </w:rPr>
        <w:t xml:space="preserve">[16] </w:t>
      </w:r>
      <w:r w:rsidRPr="007E7F94">
        <w:rPr>
          <w:rFonts w:ascii="Arial" w:hAnsi="Arial" w:cs="Arial"/>
          <w:i/>
          <w:iCs/>
        </w:rPr>
        <w:tab/>
        <w:t>Some of the categories that have been identified are the disappearance  of a company's substratum; illegality of the objects of the company and fraud connected in relation to it; a deadlock; oppression; and grounds similar to the dissolution of a partnership</w:t>
      </w:r>
      <w:r w:rsidRPr="007E7F94">
        <w:rPr>
          <w:rFonts w:ascii="Arial" w:hAnsi="Arial" w:cs="Arial"/>
        </w:rPr>
        <w:t>.</w:t>
      </w:r>
      <w:r>
        <w:rPr>
          <w:rFonts w:ascii="Arial" w:hAnsi="Arial" w:cs="Arial"/>
        </w:rPr>
        <w:t>”</w:t>
      </w:r>
      <w:r>
        <w:rPr>
          <w:rStyle w:val="FootnoteReference"/>
          <w:rFonts w:ascii="Arial" w:hAnsi="Arial" w:cs="Arial"/>
        </w:rPr>
        <w:footnoteReference w:id="9"/>
      </w:r>
      <w:r>
        <w:rPr>
          <w:rFonts w:ascii="Arial" w:hAnsi="Arial" w:cs="Arial"/>
        </w:rPr>
        <w:t xml:space="preserve"> [footnotes omitted]</w:t>
      </w:r>
    </w:p>
    <w:p w14:paraId="08FC960F" w14:textId="77777777" w:rsidR="007E7F94" w:rsidRPr="007E7F94" w:rsidRDefault="007E7F94" w:rsidP="007E7F94">
      <w:pPr>
        <w:pStyle w:val="ListParagraph"/>
        <w:rPr>
          <w:rFonts w:ascii="Arial" w:hAnsi="Arial" w:cs="Arial"/>
        </w:rPr>
      </w:pPr>
    </w:p>
    <w:p w14:paraId="536AEEB5" w14:textId="5205D5CC" w:rsidR="00617A49" w:rsidRPr="002161F5" w:rsidRDefault="002161F5" w:rsidP="002161F5">
      <w:pPr>
        <w:spacing w:line="480" w:lineRule="auto"/>
        <w:ind w:left="567" w:hanging="567"/>
        <w:jc w:val="both"/>
        <w:rPr>
          <w:rFonts w:ascii="Arial" w:hAnsi="Arial" w:cs="Arial"/>
        </w:rPr>
      </w:pPr>
      <w:r>
        <w:rPr>
          <w:rFonts w:ascii="Arial" w:hAnsi="Arial" w:cs="Arial"/>
        </w:rPr>
        <w:t>31.</w:t>
      </w:r>
      <w:r>
        <w:rPr>
          <w:rFonts w:ascii="Arial" w:hAnsi="Arial" w:cs="Arial"/>
        </w:rPr>
        <w:tab/>
      </w:r>
      <w:r w:rsidR="00617A49" w:rsidRPr="002161F5">
        <w:rPr>
          <w:rFonts w:ascii="Arial" w:hAnsi="Arial" w:cs="Arial"/>
        </w:rPr>
        <w:t>O</w:t>
      </w:r>
      <w:r w:rsidR="007C5313" w:rsidRPr="002161F5">
        <w:rPr>
          <w:rFonts w:ascii="Arial" w:hAnsi="Arial" w:cs="Arial"/>
        </w:rPr>
        <w:t xml:space="preserve">ther than a passing reference to Section 344(h), the Applicant does not even assert </w:t>
      </w:r>
      <w:r w:rsidR="00617A49" w:rsidRPr="002161F5">
        <w:rPr>
          <w:rFonts w:ascii="Arial" w:hAnsi="Arial" w:cs="Arial"/>
        </w:rPr>
        <w:t xml:space="preserve">in the founding affidavit </w:t>
      </w:r>
      <w:r w:rsidR="007C5313" w:rsidRPr="002161F5">
        <w:rPr>
          <w:rFonts w:ascii="Arial" w:hAnsi="Arial" w:cs="Arial"/>
        </w:rPr>
        <w:t xml:space="preserve">that it is just and equitable to wind up the Respondent. </w:t>
      </w:r>
      <w:r w:rsidR="00617A49" w:rsidRPr="002161F5">
        <w:rPr>
          <w:rFonts w:ascii="Arial" w:hAnsi="Arial" w:cs="Arial"/>
        </w:rPr>
        <w:t>In reply, the Applicant says that it is just and equitable to wind up the Respondent because Britz locked him out of the farm. This is not explained in any of the affidavits in this matter and appears to be drawn from the affidavits in the related application. That is of course not sufficient.</w:t>
      </w:r>
    </w:p>
    <w:p w14:paraId="4854791C" w14:textId="77777777" w:rsidR="00617A49" w:rsidRPr="00617A49" w:rsidRDefault="00617A49" w:rsidP="00617A49">
      <w:pPr>
        <w:pStyle w:val="ListParagraph"/>
        <w:rPr>
          <w:rFonts w:ascii="Arial" w:hAnsi="Arial" w:cs="Arial"/>
        </w:rPr>
      </w:pPr>
    </w:p>
    <w:p w14:paraId="2FC701F6" w14:textId="42902153" w:rsidR="007C5313" w:rsidRPr="002161F5" w:rsidRDefault="002161F5" w:rsidP="002161F5">
      <w:pPr>
        <w:spacing w:line="480" w:lineRule="auto"/>
        <w:ind w:left="567" w:hanging="567"/>
        <w:jc w:val="both"/>
        <w:rPr>
          <w:rFonts w:ascii="Arial" w:hAnsi="Arial" w:cs="Arial"/>
        </w:rPr>
      </w:pPr>
      <w:r w:rsidRPr="00617A49">
        <w:rPr>
          <w:rFonts w:ascii="Arial" w:hAnsi="Arial" w:cs="Arial"/>
        </w:rPr>
        <w:t>32.</w:t>
      </w:r>
      <w:r w:rsidRPr="00617A49">
        <w:rPr>
          <w:rFonts w:ascii="Arial" w:hAnsi="Arial" w:cs="Arial"/>
        </w:rPr>
        <w:tab/>
      </w:r>
      <w:r w:rsidR="00617A49" w:rsidRPr="002161F5">
        <w:rPr>
          <w:rFonts w:ascii="Arial" w:hAnsi="Arial" w:cs="Arial"/>
        </w:rPr>
        <w:t>What is apparent is</w:t>
      </w:r>
      <w:r w:rsidR="007C5313" w:rsidRPr="002161F5">
        <w:rPr>
          <w:rFonts w:ascii="Arial" w:hAnsi="Arial" w:cs="Arial"/>
        </w:rPr>
        <w:t xml:space="preserve"> that there is a dispute between the Applicant and Britz. Britz is a director of the Respondent, but he is not a shareholder of the Respondent. </w:t>
      </w:r>
      <w:r w:rsidR="007C5313" w:rsidRPr="002161F5">
        <w:rPr>
          <w:rFonts w:ascii="Arial" w:hAnsi="Arial" w:cs="Arial"/>
        </w:rPr>
        <w:lastRenderedPageBreak/>
        <w:t xml:space="preserve">The sole shareholder is another company. It may well be that Britz has an interest in that company, but that is too far removed from the Respondent. </w:t>
      </w:r>
    </w:p>
    <w:p w14:paraId="00A309CC" w14:textId="77777777" w:rsidR="007C5313" w:rsidRPr="007C5313" w:rsidRDefault="007C5313" w:rsidP="007C5313">
      <w:pPr>
        <w:pStyle w:val="ListParagraph"/>
        <w:rPr>
          <w:rFonts w:ascii="Arial" w:hAnsi="Arial" w:cs="Arial"/>
        </w:rPr>
      </w:pPr>
    </w:p>
    <w:p w14:paraId="3D2CA25D" w14:textId="0D8F1248" w:rsidR="006D7BE2" w:rsidRPr="002161F5" w:rsidRDefault="002161F5" w:rsidP="002161F5">
      <w:pPr>
        <w:spacing w:line="480" w:lineRule="auto"/>
        <w:ind w:left="567" w:hanging="567"/>
        <w:jc w:val="both"/>
        <w:rPr>
          <w:rFonts w:ascii="Arial" w:hAnsi="Arial" w:cs="Arial"/>
        </w:rPr>
      </w:pPr>
      <w:r>
        <w:rPr>
          <w:rFonts w:ascii="Arial" w:hAnsi="Arial" w:cs="Arial"/>
        </w:rPr>
        <w:t>33.</w:t>
      </w:r>
      <w:r>
        <w:rPr>
          <w:rFonts w:ascii="Arial" w:hAnsi="Arial" w:cs="Arial"/>
        </w:rPr>
        <w:tab/>
      </w:r>
      <w:r w:rsidR="007E7F94" w:rsidRPr="002161F5">
        <w:rPr>
          <w:rFonts w:ascii="Arial" w:hAnsi="Arial" w:cs="Arial"/>
        </w:rPr>
        <w:t xml:space="preserve">The Applicant does not assert any facts that place this matter in any of the categories referred to in </w:t>
      </w:r>
      <w:r w:rsidR="007E7F94" w:rsidRPr="002161F5">
        <w:rPr>
          <w:rFonts w:ascii="Arial" w:hAnsi="Arial" w:cs="Arial"/>
          <w:b/>
          <w:bCs/>
        </w:rPr>
        <w:t>Thunder Cats</w:t>
      </w:r>
      <w:r w:rsidR="007E7F94" w:rsidRPr="002161F5">
        <w:rPr>
          <w:rFonts w:ascii="Arial" w:hAnsi="Arial" w:cs="Arial"/>
        </w:rPr>
        <w:t>. I am not persuaded that the facts justify the extension of these categories.</w:t>
      </w:r>
      <w:r w:rsidR="007C5313" w:rsidRPr="002161F5">
        <w:rPr>
          <w:rFonts w:ascii="Arial" w:hAnsi="Arial" w:cs="Arial"/>
        </w:rPr>
        <w:t xml:space="preserve">  </w:t>
      </w:r>
    </w:p>
    <w:p w14:paraId="745D9A1B" w14:textId="77777777" w:rsidR="006D7BE2" w:rsidRPr="006D7BE2" w:rsidRDefault="006D7BE2" w:rsidP="006D7BE2">
      <w:pPr>
        <w:pStyle w:val="ListParagraph"/>
        <w:rPr>
          <w:rFonts w:ascii="Arial" w:hAnsi="Arial" w:cs="Arial"/>
        </w:rPr>
      </w:pPr>
    </w:p>
    <w:p w14:paraId="53F7BA0C" w14:textId="3F31AB88" w:rsidR="00C14E50" w:rsidRPr="002161F5" w:rsidRDefault="002161F5" w:rsidP="002161F5">
      <w:pPr>
        <w:spacing w:line="480" w:lineRule="auto"/>
        <w:ind w:left="567" w:hanging="567"/>
        <w:jc w:val="both"/>
        <w:rPr>
          <w:rFonts w:ascii="Arial" w:hAnsi="Arial" w:cs="Arial"/>
        </w:rPr>
      </w:pPr>
      <w:r>
        <w:rPr>
          <w:rFonts w:ascii="Arial" w:hAnsi="Arial" w:cs="Arial"/>
        </w:rPr>
        <w:t>34.</w:t>
      </w:r>
      <w:r>
        <w:rPr>
          <w:rFonts w:ascii="Arial" w:hAnsi="Arial" w:cs="Arial"/>
        </w:rPr>
        <w:tab/>
      </w:r>
      <w:r w:rsidR="009C2CEA" w:rsidRPr="002161F5">
        <w:rPr>
          <w:rFonts w:ascii="Arial" w:hAnsi="Arial" w:cs="Arial"/>
        </w:rPr>
        <w:t>The Applicant has accordingly failed to make out a case for the Respondent to be placed in winding up.</w:t>
      </w:r>
    </w:p>
    <w:p w14:paraId="3F9FB59B" w14:textId="77777777" w:rsidR="009C2CEA" w:rsidRPr="009C2CEA" w:rsidRDefault="009C2CEA" w:rsidP="009C2CEA">
      <w:pPr>
        <w:pStyle w:val="ListParagraph"/>
        <w:rPr>
          <w:rFonts w:ascii="Arial" w:hAnsi="Arial" w:cs="Arial"/>
        </w:rPr>
      </w:pPr>
    </w:p>
    <w:p w14:paraId="56A629D5" w14:textId="37B5CAE1" w:rsidR="009C2CEA" w:rsidRPr="002161F5" w:rsidRDefault="002161F5" w:rsidP="002161F5">
      <w:pPr>
        <w:spacing w:line="480" w:lineRule="auto"/>
        <w:ind w:left="567" w:hanging="567"/>
        <w:jc w:val="both"/>
        <w:rPr>
          <w:rFonts w:ascii="Arial" w:hAnsi="Arial" w:cs="Arial"/>
        </w:rPr>
      </w:pPr>
      <w:r>
        <w:rPr>
          <w:rFonts w:ascii="Arial" w:hAnsi="Arial" w:cs="Arial"/>
        </w:rPr>
        <w:t>35.</w:t>
      </w:r>
      <w:r>
        <w:rPr>
          <w:rFonts w:ascii="Arial" w:hAnsi="Arial" w:cs="Arial"/>
        </w:rPr>
        <w:tab/>
      </w:r>
      <w:r w:rsidR="009C2CEA" w:rsidRPr="002161F5">
        <w:rPr>
          <w:rFonts w:ascii="Arial" w:hAnsi="Arial" w:cs="Arial"/>
        </w:rPr>
        <w:t>The Respondent seeks a punitive costs order. In my view, this is justified. The application is an abuse of the process of court</w:t>
      </w:r>
      <w:r w:rsidR="00635344" w:rsidRPr="002161F5">
        <w:rPr>
          <w:rFonts w:ascii="Arial" w:hAnsi="Arial" w:cs="Arial"/>
        </w:rPr>
        <w:t>, particularly as the founding affidavit contains no factual allegations to support a conclusion that the Respondent is unable to pay its debts</w:t>
      </w:r>
      <w:r w:rsidR="00522E35" w:rsidRPr="002161F5">
        <w:rPr>
          <w:rFonts w:ascii="Arial" w:hAnsi="Arial" w:cs="Arial"/>
        </w:rPr>
        <w:t xml:space="preserve"> or that it is just and equitable to place the Respondent in winding up. </w:t>
      </w:r>
    </w:p>
    <w:p w14:paraId="418AC637" w14:textId="77777777" w:rsidR="00C14E50" w:rsidRPr="00C14E50" w:rsidRDefault="00C14E50" w:rsidP="00C14E50">
      <w:pPr>
        <w:pStyle w:val="ListParagraph"/>
        <w:rPr>
          <w:rFonts w:ascii="Arial" w:hAnsi="Arial" w:cs="Arial"/>
        </w:rPr>
      </w:pPr>
    </w:p>
    <w:p w14:paraId="271090AB" w14:textId="2D33C1A9" w:rsidR="00C14E50" w:rsidRPr="002161F5" w:rsidRDefault="002161F5" w:rsidP="002161F5">
      <w:pPr>
        <w:spacing w:line="480" w:lineRule="auto"/>
        <w:ind w:left="567" w:hanging="567"/>
        <w:jc w:val="both"/>
        <w:rPr>
          <w:rFonts w:ascii="Arial" w:hAnsi="Arial" w:cs="Arial"/>
        </w:rPr>
      </w:pPr>
      <w:r>
        <w:rPr>
          <w:rFonts w:ascii="Arial" w:hAnsi="Arial" w:cs="Arial"/>
        </w:rPr>
        <w:t>36.</w:t>
      </w:r>
      <w:r>
        <w:rPr>
          <w:rFonts w:ascii="Arial" w:hAnsi="Arial" w:cs="Arial"/>
        </w:rPr>
        <w:tab/>
      </w:r>
      <w:r w:rsidR="00C14E50" w:rsidRPr="002161F5">
        <w:rPr>
          <w:rFonts w:ascii="Arial" w:hAnsi="Arial" w:cs="Arial"/>
        </w:rPr>
        <w:t>I accordingly grant the following order:</w:t>
      </w:r>
    </w:p>
    <w:p w14:paraId="10EA17C1" w14:textId="77777777" w:rsidR="00C14E50" w:rsidRPr="00C14E50" w:rsidRDefault="00C14E50" w:rsidP="00C14E50">
      <w:pPr>
        <w:rPr>
          <w:rFonts w:ascii="Arial" w:hAnsi="Arial" w:cs="Arial"/>
        </w:rPr>
      </w:pPr>
    </w:p>
    <w:p w14:paraId="31DD4699" w14:textId="0AF17EC7" w:rsidR="00C14E50" w:rsidRPr="002161F5" w:rsidRDefault="002161F5" w:rsidP="002161F5">
      <w:pPr>
        <w:spacing w:line="480" w:lineRule="auto"/>
        <w:ind w:left="1418" w:hanging="851"/>
        <w:jc w:val="both"/>
        <w:rPr>
          <w:rFonts w:ascii="Arial" w:hAnsi="Arial" w:cs="Arial"/>
        </w:rPr>
      </w:pPr>
      <w:r>
        <w:rPr>
          <w:rFonts w:ascii="Arial" w:hAnsi="Arial" w:cs="Arial"/>
        </w:rPr>
        <w:t>36.1.</w:t>
      </w:r>
      <w:r>
        <w:rPr>
          <w:rFonts w:ascii="Arial" w:hAnsi="Arial" w:cs="Arial"/>
        </w:rPr>
        <w:tab/>
      </w:r>
      <w:r w:rsidR="00C14E50" w:rsidRPr="002161F5">
        <w:rPr>
          <w:rFonts w:ascii="Arial" w:hAnsi="Arial" w:cs="Arial"/>
        </w:rPr>
        <w:t>The application is dismissed.</w:t>
      </w:r>
    </w:p>
    <w:p w14:paraId="09C68995" w14:textId="77777777" w:rsidR="00635344" w:rsidRDefault="00635344" w:rsidP="00635344">
      <w:pPr>
        <w:pStyle w:val="ListParagraph"/>
        <w:ind w:left="1418"/>
        <w:jc w:val="both"/>
        <w:rPr>
          <w:rFonts w:ascii="Arial" w:hAnsi="Arial" w:cs="Arial"/>
        </w:rPr>
      </w:pPr>
    </w:p>
    <w:p w14:paraId="1FFC062F" w14:textId="3058955E" w:rsidR="00C14E50" w:rsidRPr="002161F5" w:rsidRDefault="002161F5" w:rsidP="002161F5">
      <w:pPr>
        <w:keepNext/>
        <w:spacing w:line="480" w:lineRule="auto"/>
        <w:ind w:left="1418" w:hanging="851"/>
        <w:jc w:val="both"/>
        <w:rPr>
          <w:rFonts w:ascii="Arial" w:hAnsi="Arial" w:cs="Arial"/>
        </w:rPr>
      </w:pPr>
      <w:r w:rsidRPr="009C2CEA">
        <w:rPr>
          <w:rFonts w:ascii="Arial" w:hAnsi="Arial" w:cs="Arial"/>
        </w:rPr>
        <w:lastRenderedPageBreak/>
        <w:t>36.2.</w:t>
      </w:r>
      <w:r w:rsidRPr="009C2CEA">
        <w:rPr>
          <w:rFonts w:ascii="Arial" w:hAnsi="Arial" w:cs="Arial"/>
        </w:rPr>
        <w:tab/>
      </w:r>
      <w:r w:rsidR="00486B69" w:rsidRPr="002161F5">
        <w:rPr>
          <w:rFonts w:ascii="Arial" w:hAnsi="Arial" w:cs="Arial"/>
        </w:rPr>
        <w:t xml:space="preserve">The </w:t>
      </w:r>
      <w:r w:rsidR="009C2CEA" w:rsidRPr="002161F5">
        <w:rPr>
          <w:rFonts w:ascii="Arial" w:hAnsi="Arial" w:cs="Arial"/>
        </w:rPr>
        <w:t>Applicant is ordered to pay the costs of the application on the attorney and client scale</w:t>
      </w:r>
      <w:r w:rsidR="00486B69" w:rsidRPr="002161F5">
        <w:rPr>
          <w:rFonts w:ascii="Arial" w:hAnsi="Arial" w:cs="Arial"/>
        </w:rPr>
        <w:t>.</w:t>
      </w:r>
    </w:p>
    <w:p w14:paraId="02DF189E" w14:textId="77777777" w:rsidR="00512FBA" w:rsidRPr="00512FBA" w:rsidRDefault="00512FBA" w:rsidP="00635344">
      <w:pPr>
        <w:pStyle w:val="ListParagraph"/>
        <w:keepNext/>
        <w:keepLines/>
        <w:ind w:left="1418"/>
        <w:jc w:val="both"/>
        <w:rPr>
          <w:rFonts w:ascii="Arial" w:hAnsi="Arial" w:cs="Arial"/>
        </w:rPr>
      </w:pPr>
    </w:p>
    <w:p w14:paraId="6D00F672" w14:textId="77777777" w:rsidR="00EC3264" w:rsidRDefault="00EC3264" w:rsidP="00635344">
      <w:pPr>
        <w:pStyle w:val="ListParagraph"/>
        <w:keepNext/>
        <w:keepLines/>
        <w:ind w:left="1418"/>
        <w:jc w:val="both"/>
        <w:rPr>
          <w:rFonts w:ascii="Arial" w:hAnsi="Arial" w:cs="Arial"/>
        </w:rPr>
      </w:pPr>
    </w:p>
    <w:p w14:paraId="388C95EC" w14:textId="77777777" w:rsidR="00C14E50" w:rsidRDefault="00C14E50" w:rsidP="00635344">
      <w:pPr>
        <w:pStyle w:val="ListParagraph"/>
        <w:keepNext/>
        <w:keepLines/>
        <w:ind w:left="1418"/>
        <w:jc w:val="both"/>
        <w:rPr>
          <w:rFonts w:ascii="Arial" w:hAnsi="Arial" w:cs="Arial"/>
        </w:rPr>
      </w:pPr>
    </w:p>
    <w:p w14:paraId="7C8C6F97" w14:textId="77777777" w:rsidR="00C14E50" w:rsidRPr="00EC3264" w:rsidRDefault="00C14E50" w:rsidP="00635344">
      <w:pPr>
        <w:pStyle w:val="ListParagraph"/>
        <w:keepNext/>
        <w:keepLines/>
        <w:ind w:left="1418"/>
        <w:jc w:val="both"/>
        <w:rPr>
          <w:rFonts w:ascii="Arial" w:hAnsi="Arial" w:cs="Arial"/>
        </w:rPr>
      </w:pPr>
    </w:p>
    <w:p w14:paraId="7A3DE349" w14:textId="11534817" w:rsidR="00A96A33" w:rsidRPr="00D674D5" w:rsidRDefault="00A96A33" w:rsidP="00D674D5">
      <w:pPr>
        <w:keepNext/>
        <w:keepLines/>
        <w:ind w:left="5040"/>
        <w:jc w:val="both"/>
        <w:rPr>
          <w:rFonts w:ascii="Arial" w:hAnsi="Arial" w:cs="Arial"/>
          <w:u w:val="single"/>
        </w:rPr>
      </w:pPr>
      <w:r>
        <w:rPr>
          <w:rFonts w:ascii="Arial" w:hAnsi="Arial" w:cs="Arial"/>
        </w:rPr>
        <w:t>__________________________</w:t>
      </w:r>
      <w:r w:rsidR="00D674D5">
        <w:rPr>
          <w:rFonts w:ascii="Arial" w:hAnsi="Arial" w:cs="Arial"/>
          <w:u w:val="single"/>
        </w:rPr>
        <w:tab/>
      </w:r>
    </w:p>
    <w:p w14:paraId="1E38B412" w14:textId="7C427D26" w:rsidR="00A96A33" w:rsidRDefault="00A96A33" w:rsidP="00A97713">
      <w:pPr>
        <w:keepNext/>
        <w:keepLines/>
        <w:ind w:left="4320" w:firstLine="720"/>
        <w:jc w:val="both"/>
        <w:rPr>
          <w:rFonts w:ascii="Arial" w:hAnsi="Arial" w:cs="Arial"/>
        </w:rPr>
      </w:pPr>
      <w:r>
        <w:rPr>
          <w:rFonts w:ascii="Arial" w:hAnsi="Arial" w:cs="Arial"/>
        </w:rPr>
        <w:t>Vivian, AJ</w:t>
      </w:r>
    </w:p>
    <w:p w14:paraId="1DC82773" w14:textId="77D0F061" w:rsidR="001E7284" w:rsidRDefault="001E7284" w:rsidP="00D674D5">
      <w:pPr>
        <w:keepNext/>
        <w:keepLines/>
        <w:ind w:left="5040"/>
        <w:jc w:val="both"/>
        <w:rPr>
          <w:rFonts w:ascii="Arial" w:hAnsi="Arial" w:cs="Arial"/>
        </w:rPr>
      </w:pPr>
      <w:r>
        <w:rPr>
          <w:rFonts w:ascii="Arial" w:hAnsi="Arial" w:cs="Arial"/>
        </w:rPr>
        <w:t>Acting Judge of the Gauteng Division of the High Court of South Africa</w:t>
      </w:r>
    </w:p>
    <w:p w14:paraId="58A21FD6" w14:textId="77777777" w:rsidR="00CB5FDC" w:rsidRDefault="00CB5FDC" w:rsidP="00EC1508">
      <w:pPr>
        <w:keepNext/>
        <w:spacing w:line="480" w:lineRule="auto"/>
        <w:jc w:val="both"/>
        <w:rPr>
          <w:rFonts w:ascii="Arial" w:hAnsi="Arial" w:cs="Arial"/>
        </w:rPr>
      </w:pPr>
    </w:p>
    <w:p w14:paraId="24FF5F53" w14:textId="31A9C2C7" w:rsidR="00851B6E" w:rsidRDefault="00851B6E" w:rsidP="00EC1508">
      <w:pPr>
        <w:keepNext/>
        <w:spacing w:line="480" w:lineRule="auto"/>
        <w:jc w:val="both"/>
        <w:rPr>
          <w:rFonts w:ascii="Arial" w:hAnsi="Arial" w:cs="Arial"/>
        </w:rPr>
      </w:pPr>
      <w:r>
        <w:rPr>
          <w:rFonts w:ascii="Arial" w:hAnsi="Arial" w:cs="Arial"/>
        </w:rPr>
        <w:t>APPEARANCES:</w:t>
      </w:r>
    </w:p>
    <w:p w14:paraId="3240815A" w14:textId="6FAF3554" w:rsidR="00851B6E" w:rsidRDefault="00851B6E" w:rsidP="00EC1508">
      <w:pPr>
        <w:keepNext/>
        <w:spacing w:line="480" w:lineRule="auto"/>
        <w:jc w:val="both"/>
        <w:rPr>
          <w:rFonts w:ascii="Arial" w:hAnsi="Arial" w:cs="Arial"/>
        </w:rPr>
      </w:pPr>
    </w:p>
    <w:p w14:paraId="7F7A0DFD" w14:textId="7C84F65F" w:rsidR="00CB5FDC" w:rsidRDefault="00D674D5" w:rsidP="00CB5FDC">
      <w:pPr>
        <w:keepNext/>
        <w:spacing w:line="480" w:lineRule="auto"/>
        <w:ind w:left="4395" w:hanging="4395"/>
        <w:jc w:val="both"/>
        <w:rPr>
          <w:rFonts w:ascii="Arial" w:hAnsi="Arial" w:cs="Arial"/>
        </w:rPr>
      </w:pPr>
      <w:r>
        <w:rPr>
          <w:rFonts w:ascii="Arial" w:hAnsi="Arial" w:cs="Arial"/>
        </w:rPr>
        <w:t>For the Applicant:</w:t>
      </w:r>
      <w:r>
        <w:rPr>
          <w:rFonts w:ascii="Arial" w:hAnsi="Arial" w:cs="Arial"/>
        </w:rPr>
        <w:tab/>
        <w:t>Adv C. Zietsman</w:t>
      </w:r>
    </w:p>
    <w:p w14:paraId="0877A8D0" w14:textId="145BB4EC" w:rsidR="00CB5FDC" w:rsidRPr="00162384" w:rsidRDefault="00D674D5" w:rsidP="00162384">
      <w:pPr>
        <w:spacing w:line="480" w:lineRule="auto"/>
        <w:ind w:left="4395" w:hanging="4395"/>
        <w:jc w:val="both"/>
        <w:rPr>
          <w:rFonts w:ascii="Arial" w:hAnsi="Arial" w:cs="Arial"/>
        </w:rPr>
      </w:pPr>
      <w:r>
        <w:rPr>
          <w:rFonts w:ascii="Arial" w:hAnsi="Arial" w:cs="Arial"/>
        </w:rPr>
        <w:t>For the Responden</w:t>
      </w:r>
      <w:r w:rsidR="002C71A9">
        <w:rPr>
          <w:rFonts w:ascii="Arial" w:hAnsi="Arial" w:cs="Arial"/>
        </w:rPr>
        <w:t>t</w:t>
      </w:r>
      <w:r>
        <w:rPr>
          <w:rFonts w:ascii="Arial" w:hAnsi="Arial" w:cs="Arial"/>
        </w:rPr>
        <w:t xml:space="preserve">: </w:t>
      </w:r>
      <w:r>
        <w:rPr>
          <w:rFonts w:ascii="Arial" w:hAnsi="Arial" w:cs="Arial"/>
        </w:rPr>
        <w:tab/>
      </w:r>
      <w:r w:rsidR="00162384" w:rsidRPr="00162384">
        <w:rPr>
          <w:rFonts w:ascii="Arial" w:hAnsi="Arial" w:cs="Arial"/>
        </w:rPr>
        <w:t>Adv J Eastes</w:t>
      </w:r>
    </w:p>
    <w:p w14:paraId="09388CBA" w14:textId="4C92C5A7" w:rsidR="002C71A9" w:rsidRDefault="002C71A9" w:rsidP="00CB5FDC">
      <w:pPr>
        <w:spacing w:line="480" w:lineRule="auto"/>
        <w:ind w:left="4395" w:hanging="4395"/>
        <w:jc w:val="both"/>
        <w:rPr>
          <w:rFonts w:ascii="Arial" w:hAnsi="Arial" w:cs="Arial"/>
        </w:rPr>
      </w:pPr>
      <w:r>
        <w:rPr>
          <w:rFonts w:ascii="Arial" w:hAnsi="Arial" w:cs="Arial"/>
        </w:rPr>
        <w:t>Date of hearing:</w:t>
      </w:r>
      <w:r>
        <w:rPr>
          <w:rFonts w:ascii="Arial" w:hAnsi="Arial" w:cs="Arial"/>
        </w:rPr>
        <w:tab/>
        <w:t>31 May 2023</w:t>
      </w:r>
    </w:p>
    <w:p w14:paraId="1046D570" w14:textId="27A97295" w:rsidR="00851B6E" w:rsidRPr="00A96A33" w:rsidRDefault="002C71A9" w:rsidP="002C71A9">
      <w:pPr>
        <w:spacing w:line="480" w:lineRule="auto"/>
        <w:ind w:left="4395" w:hanging="4395"/>
        <w:jc w:val="both"/>
        <w:rPr>
          <w:rFonts w:ascii="Arial" w:hAnsi="Arial" w:cs="Arial"/>
        </w:rPr>
      </w:pPr>
      <w:r>
        <w:rPr>
          <w:rFonts w:ascii="Arial" w:hAnsi="Arial" w:cs="Arial"/>
        </w:rPr>
        <w:t>Date Delivered:</w:t>
      </w:r>
      <w:r>
        <w:rPr>
          <w:rFonts w:ascii="Arial" w:hAnsi="Arial" w:cs="Arial"/>
        </w:rPr>
        <w:tab/>
        <w:t>5 June 2023</w:t>
      </w:r>
    </w:p>
    <w:sectPr w:rsidR="00851B6E" w:rsidRPr="00A96A33" w:rsidSect="004B6CE9">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CFBC5" w14:textId="77777777" w:rsidR="00E41EBB" w:rsidRDefault="00E41EBB" w:rsidP="00294AF2">
      <w:r>
        <w:separator/>
      </w:r>
    </w:p>
  </w:endnote>
  <w:endnote w:type="continuationSeparator" w:id="0">
    <w:p w14:paraId="00D94C42" w14:textId="77777777" w:rsidR="00E41EBB" w:rsidRDefault="00E41EBB" w:rsidP="0029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2E1E0" w14:textId="77777777" w:rsidR="00E41EBB" w:rsidRDefault="00E41EBB" w:rsidP="00294AF2">
      <w:r>
        <w:separator/>
      </w:r>
    </w:p>
  </w:footnote>
  <w:footnote w:type="continuationSeparator" w:id="0">
    <w:p w14:paraId="2468AB41" w14:textId="77777777" w:rsidR="00E41EBB" w:rsidRDefault="00E41EBB" w:rsidP="00294AF2">
      <w:r>
        <w:continuationSeparator/>
      </w:r>
    </w:p>
  </w:footnote>
  <w:footnote w:id="1">
    <w:p w14:paraId="649E1128" w14:textId="52941EC6" w:rsidR="00922147" w:rsidRPr="00922147" w:rsidRDefault="00922147">
      <w:pPr>
        <w:pStyle w:val="FootnoteText"/>
        <w:rPr>
          <w:lang w:val="en-US"/>
        </w:rPr>
      </w:pPr>
      <w:r>
        <w:rPr>
          <w:rStyle w:val="FootnoteReference"/>
        </w:rPr>
        <w:footnoteRef/>
      </w:r>
      <w:r>
        <w:t xml:space="preserve"> </w:t>
      </w:r>
      <w:r>
        <w:rPr>
          <w:lang w:val="en-US"/>
        </w:rPr>
        <w:t>Act 71 of 2008</w:t>
      </w:r>
    </w:p>
  </w:footnote>
  <w:footnote w:id="2">
    <w:p w14:paraId="47ABB2C6" w14:textId="7626052B" w:rsidR="00922147" w:rsidRPr="00DD741B" w:rsidRDefault="00922147" w:rsidP="00922147">
      <w:pPr>
        <w:pStyle w:val="FootnoteText"/>
        <w:jc w:val="both"/>
        <w:rPr>
          <w:lang w:val="en-US"/>
        </w:rPr>
      </w:pPr>
      <w:r>
        <w:rPr>
          <w:rStyle w:val="FootnoteReference"/>
        </w:rPr>
        <w:footnoteRef/>
      </w:r>
      <w:r>
        <w:t xml:space="preserve"> Act 61 of 1973. </w:t>
      </w:r>
      <w:r w:rsidRPr="00DD741B">
        <w:t xml:space="preserve">Chapter 14 of the 1973 Companies Act is still in force by virtue of paragraph 9 of Schedule 5 to the </w:t>
      </w:r>
      <w:r>
        <w:t xml:space="preserve">2008 </w:t>
      </w:r>
      <w:r w:rsidRPr="00DD741B">
        <w:t xml:space="preserve">Companies Act. </w:t>
      </w:r>
    </w:p>
  </w:footnote>
  <w:footnote w:id="3">
    <w:p w14:paraId="0700C6C4" w14:textId="0C17CBD7" w:rsidR="00F6676F" w:rsidRPr="00F6676F" w:rsidRDefault="00F6676F">
      <w:pPr>
        <w:pStyle w:val="FootnoteText"/>
        <w:rPr>
          <w:lang w:val="en-US"/>
        </w:rPr>
      </w:pPr>
      <w:r>
        <w:rPr>
          <w:rStyle w:val="FootnoteReference"/>
        </w:rPr>
        <w:footnoteRef/>
      </w:r>
      <w:r>
        <w:t xml:space="preserve"> </w:t>
      </w:r>
      <w:r w:rsidRPr="00F6676F">
        <w:t>Boschpoort Ondernemings (Pty) Ltd v Absa Bank Ltd 2014 (2) SA 518 (SCA)</w:t>
      </w:r>
      <w:r>
        <w:t xml:space="preserve"> at para 22</w:t>
      </w:r>
    </w:p>
  </w:footnote>
  <w:footnote w:id="4">
    <w:p w14:paraId="6A075F20" w14:textId="20CBFF2F" w:rsidR="006953CA" w:rsidRPr="006953CA" w:rsidRDefault="006953CA">
      <w:pPr>
        <w:pStyle w:val="FootnoteText"/>
        <w:rPr>
          <w:lang w:val="en-US"/>
        </w:rPr>
      </w:pPr>
      <w:r>
        <w:rPr>
          <w:rStyle w:val="FootnoteReference"/>
        </w:rPr>
        <w:footnoteRef/>
      </w:r>
      <w:r>
        <w:t xml:space="preserve"> </w:t>
      </w:r>
      <w:r w:rsidRPr="006953CA">
        <w:t>Barbaglia N.O and Others v Noble Land (Pty) Ltd and Others (A5041/2020) [2021] ZAGPJHC 85 (24 June 2021)</w:t>
      </w:r>
      <w:r>
        <w:t xml:space="preserve"> at para 27</w:t>
      </w:r>
    </w:p>
  </w:footnote>
  <w:footnote w:id="5">
    <w:p w14:paraId="644234F0" w14:textId="410065BC" w:rsidR="00A30D2A" w:rsidRPr="00A30D2A" w:rsidRDefault="00A30D2A">
      <w:pPr>
        <w:pStyle w:val="FootnoteText"/>
        <w:rPr>
          <w:lang w:val="en-US"/>
        </w:rPr>
      </w:pPr>
      <w:r>
        <w:rPr>
          <w:rStyle w:val="FootnoteReference"/>
        </w:rPr>
        <w:footnoteRef/>
      </w:r>
      <w:r>
        <w:t xml:space="preserve"> </w:t>
      </w:r>
      <w:r w:rsidRPr="00A30D2A">
        <w:t>Minister of Land Affairs and Agriculture and Others v D &amp; F Wevell Trust and Others 2008 (2) SA 184 (SCA)</w:t>
      </w:r>
      <w:r>
        <w:t xml:space="preserve"> at para 43</w:t>
      </w:r>
    </w:p>
  </w:footnote>
  <w:footnote w:id="6">
    <w:p w14:paraId="5F6ED697" w14:textId="0FB59135" w:rsidR="006A3AAC" w:rsidRPr="006A3AAC" w:rsidRDefault="006A3AAC" w:rsidP="006032A5">
      <w:pPr>
        <w:pStyle w:val="FootnoteText"/>
        <w:jc w:val="both"/>
        <w:rPr>
          <w:lang w:val="en-US"/>
        </w:rPr>
      </w:pPr>
      <w:r>
        <w:rPr>
          <w:rStyle w:val="FootnoteReference"/>
        </w:rPr>
        <w:footnoteRef/>
      </w:r>
      <w:r>
        <w:t xml:space="preserve"> </w:t>
      </w:r>
      <w:r w:rsidRPr="006A3AAC">
        <w:t>Govender v Standard Bank of South Africa Ltd 1984 (4) SA 392 (C)</w:t>
      </w:r>
      <w:r w:rsidR="006032A5">
        <w:t xml:space="preserve">; approved in </w:t>
      </w:r>
      <w:r w:rsidR="006032A5" w:rsidRPr="006032A5">
        <w:t>B &amp; H Engineering v First National Bank of SA Ltd 1995 (2) SA 279 (A)</w:t>
      </w:r>
      <w:r w:rsidR="006032A5">
        <w:t xml:space="preserve"> at 284 G to I</w:t>
      </w:r>
    </w:p>
  </w:footnote>
  <w:footnote w:id="7">
    <w:p w14:paraId="410B8F0D" w14:textId="30CAEA11" w:rsidR="006032A5" w:rsidRPr="006032A5" w:rsidRDefault="006032A5">
      <w:pPr>
        <w:pStyle w:val="FootnoteText"/>
        <w:rPr>
          <w:lang w:val="en-US"/>
        </w:rPr>
      </w:pPr>
      <w:r>
        <w:rPr>
          <w:rStyle w:val="FootnoteReference"/>
        </w:rPr>
        <w:footnoteRef/>
      </w:r>
      <w:r>
        <w:t xml:space="preserve"> </w:t>
      </w:r>
      <w:r>
        <w:rPr>
          <w:lang w:val="en-US"/>
        </w:rPr>
        <w:t>Rahim v Minister of Justice 1964 (4) SA 630 (A) at 634 A to B</w:t>
      </w:r>
    </w:p>
  </w:footnote>
  <w:footnote w:id="8">
    <w:p w14:paraId="6B6D50A0" w14:textId="77777777" w:rsidR="00120759" w:rsidRPr="00081221" w:rsidRDefault="00120759" w:rsidP="00120759">
      <w:pPr>
        <w:pStyle w:val="FootnoteText"/>
        <w:rPr>
          <w:lang w:val="en-US"/>
        </w:rPr>
      </w:pPr>
      <w:r>
        <w:rPr>
          <w:rStyle w:val="FootnoteReference"/>
        </w:rPr>
        <w:footnoteRef/>
      </w:r>
      <w:r>
        <w:t xml:space="preserve"> </w:t>
      </w:r>
      <w:r w:rsidRPr="00081221">
        <w:t>Rosenbach &amp; Co (Pty) Ltd v Singh's Bazaars (Pty) Ltd 1962 (4) SA 593 (D) at 597 G to H</w:t>
      </w:r>
    </w:p>
  </w:footnote>
  <w:footnote w:id="9">
    <w:p w14:paraId="48B5AA48" w14:textId="41CFB36D" w:rsidR="007E7F94" w:rsidRPr="007E7F94" w:rsidRDefault="007E7F94">
      <w:pPr>
        <w:pStyle w:val="FootnoteText"/>
        <w:rPr>
          <w:lang w:val="en-US"/>
        </w:rPr>
      </w:pPr>
      <w:r>
        <w:rPr>
          <w:rStyle w:val="FootnoteReference"/>
        </w:rPr>
        <w:footnoteRef/>
      </w:r>
      <w:r>
        <w:t xml:space="preserve"> </w:t>
      </w:r>
      <w:r w:rsidRPr="007E7F94">
        <w:t>Thunder Cats Investments 92 (Pty) Ltd and Another v Nkonjane Economic Prospecting &amp; Investment (Pty) Ltd and Others 2014 (5) SA 1 (SCA)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2577224"/>
      <w:docPartObj>
        <w:docPartGallery w:val="Page Numbers (Top of Page)"/>
        <w:docPartUnique/>
      </w:docPartObj>
    </w:sdtPr>
    <w:sdtEndPr>
      <w:rPr>
        <w:rStyle w:val="PageNumber"/>
      </w:rPr>
    </w:sdtEndPr>
    <w:sdtContent>
      <w:p w14:paraId="4545A2FF" w14:textId="3C3AF184"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48DCA6" w14:textId="77777777" w:rsidR="00DC32A6" w:rsidRDefault="00DC32A6" w:rsidP="00294A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6951333"/>
      <w:docPartObj>
        <w:docPartGallery w:val="Page Numbers (Top of Page)"/>
        <w:docPartUnique/>
      </w:docPartObj>
    </w:sdtPr>
    <w:sdtEndPr>
      <w:rPr>
        <w:rStyle w:val="PageNumber"/>
      </w:rPr>
    </w:sdtEndPr>
    <w:sdtContent>
      <w:p w14:paraId="75339F53" w14:textId="7AA0CB2E" w:rsidR="00DC32A6" w:rsidRDefault="00DC32A6" w:rsidP="00DC32A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161F5">
          <w:rPr>
            <w:rStyle w:val="PageNumber"/>
            <w:noProof/>
          </w:rPr>
          <w:t>2</w:t>
        </w:r>
        <w:r>
          <w:rPr>
            <w:rStyle w:val="PageNumber"/>
          </w:rPr>
          <w:fldChar w:fldCharType="end"/>
        </w:r>
      </w:p>
    </w:sdtContent>
  </w:sdt>
  <w:p w14:paraId="1634732F" w14:textId="77777777" w:rsidR="00DC32A6" w:rsidRDefault="00DC32A6" w:rsidP="00294AF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1B996723"/>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EBC490A"/>
    <w:multiLevelType w:val="hybridMultilevel"/>
    <w:tmpl w:val="A2B4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00474BD"/>
    <w:multiLevelType w:val="multilevel"/>
    <w:tmpl w:val="324E306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ACF2A8F"/>
    <w:multiLevelType w:val="hybridMultilevel"/>
    <w:tmpl w:val="6CD47178"/>
    <w:lvl w:ilvl="0" w:tplc="7520EE0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5EE07CC2"/>
    <w:multiLevelType w:val="multilevel"/>
    <w:tmpl w:val="46E4EC8A"/>
    <w:lvl w:ilvl="0">
      <w:start w:val="1"/>
      <w:numFmt w:val="decimal"/>
      <w:lvlText w:val="%1."/>
      <w:lvlJc w:val="left"/>
      <w:pPr>
        <w:ind w:left="567" w:hanging="567"/>
      </w:pPr>
      <w:rPr>
        <w:rFonts w:hint="default"/>
      </w:rPr>
    </w:lvl>
    <w:lvl w:ilvl="1">
      <w:start w:val="1"/>
      <w:numFmt w:val="decimal"/>
      <w:lvlText w:val="%1.%2."/>
      <w:lvlJc w:val="left"/>
      <w:pPr>
        <w:ind w:left="1418"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BF11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9C8"/>
    <w:rsid w:val="00000AAC"/>
    <w:rsid w:val="000012D8"/>
    <w:rsid w:val="00007612"/>
    <w:rsid w:val="00023C23"/>
    <w:rsid w:val="000256E5"/>
    <w:rsid w:val="00047064"/>
    <w:rsid w:val="00051321"/>
    <w:rsid w:val="000557A0"/>
    <w:rsid w:val="00057ECF"/>
    <w:rsid w:val="000620AA"/>
    <w:rsid w:val="00064983"/>
    <w:rsid w:val="00067D0F"/>
    <w:rsid w:val="00081221"/>
    <w:rsid w:val="00083F08"/>
    <w:rsid w:val="0008529E"/>
    <w:rsid w:val="00087EC2"/>
    <w:rsid w:val="000A0683"/>
    <w:rsid w:val="000A0686"/>
    <w:rsid w:val="000B54BA"/>
    <w:rsid w:val="000C6D26"/>
    <w:rsid w:val="000D0707"/>
    <w:rsid w:val="000D33CB"/>
    <w:rsid w:val="000D790C"/>
    <w:rsid w:val="000F3904"/>
    <w:rsid w:val="000F4C9B"/>
    <w:rsid w:val="000F626C"/>
    <w:rsid w:val="00106555"/>
    <w:rsid w:val="00120759"/>
    <w:rsid w:val="0012773C"/>
    <w:rsid w:val="00132337"/>
    <w:rsid w:val="00134740"/>
    <w:rsid w:val="00135755"/>
    <w:rsid w:val="00135CAD"/>
    <w:rsid w:val="001573B5"/>
    <w:rsid w:val="00162384"/>
    <w:rsid w:val="0017628F"/>
    <w:rsid w:val="00182D07"/>
    <w:rsid w:val="00182F46"/>
    <w:rsid w:val="001837AB"/>
    <w:rsid w:val="00191018"/>
    <w:rsid w:val="00192D45"/>
    <w:rsid w:val="001931D8"/>
    <w:rsid w:val="001A132C"/>
    <w:rsid w:val="001A2DFB"/>
    <w:rsid w:val="001A3765"/>
    <w:rsid w:val="001A3E35"/>
    <w:rsid w:val="001A71CB"/>
    <w:rsid w:val="001B2D73"/>
    <w:rsid w:val="001B69FD"/>
    <w:rsid w:val="001B7B61"/>
    <w:rsid w:val="001D070A"/>
    <w:rsid w:val="001D322A"/>
    <w:rsid w:val="001E2E6F"/>
    <w:rsid w:val="001E33A9"/>
    <w:rsid w:val="001E7284"/>
    <w:rsid w:val="001F36DE"/>
    <w:rsid w:val="001F4A6F"/>
    <w:rsid w:val="002058CE"/>
    <w:rsid w:val="00211AE7"/>
    <w:rsid w:val="002161F5"/>
    <w:rsid w:val="002212CB"/>
    <w:rsid w:val="0022631C"/>
    <w:rsid w:val="00230681"/>
    <w:rsid w:val="00236D59"/>
    <w:rsid w:val="00251162"/>
    <w:rsid w:val="00253E43"/>
    <w:rsid w:val="0026785C"/>
    <w:rsid w:val="00271086"/>
    <w:rsid w:val="002845FB"/>
    <w:rsid w:val="00294AF2"/>
    <w:rsid w:val="00295BA0"/>
    <w:rsid w:val="002A1A3E"/>
    <w:rsid w:val="002A2533"/>
    <w:rsid w:val="002B3021"/>
    <w:rsid w:val="002B3053"/>
    <w:rsid w:val="002C71A9"/>
    <w:rsid w:val="002D4ABF"/>
    <w:rsid w:val="002D62DC"/>
    <w:rsid w:val="002D7DC7"/>
    <w:rsid w:val="002E0639"/>
    <w:rsid w:val="002F4886"/>
    <w:rsid w:val="00307A3D"/>
    <w:rsid w:val="00313449"/>
    <w:rsid w:val="003175D1"/>
    <w:rsid w:val="00320F9D"/>
    <w:rsid w:val="00322741"/>
    <w:rsid w:val="003242BC"/>
    <w:rsid w:val="00325154"/>
    <w:rsid w:val="00327E94"/>
    <w:rsid w:val="00342194"/>
    <w:rsid w:val="003445EE"/>
    <w:rsid w:val="00354A52"/>
    <w:rsid w:val="003609B6"/>
    <w:rsid w:val="00367355"/>
    <w:rsid w:val="0037212A"/>
    <w:rsid w:val="00384A07"/>
    <w:rsid w:val="00387371"/>
    <w:rsid w:val="003A03B2"/>
    <w:rsid w:val="003A1833"/>
    <w:rsid w:val="003A7006"/>
    <w:rsid w:val="003B6198"/>
    <w:rsid w:val="003C3889"/>
    <w:rsid w:val="003D0715"/>
    <w:rsid w:val="003D542C"/>
    <w:rsid w:val="003D54D5"/>
    <w:rsid w:val="003D5799"/>
    <w:rsid w:val="003E2C44"/>
    <w:rsid w:val="003F0481"/>
    <w:rsid w:val="003F2742"/>
    <w:rsid w:val="003F2805"/>
    <w:rsid w:val="003F2AC0"/>
    <w:rsid w:val="003F2B1F"/>
    <w:rsid w:val="003F2B54"/>
    <w:rsid w:val="003F35E9"/>
    <w:rsid w:val="003F5D8C"/>
    <w:rsid w:val="003F69CF"/>
    <w:rsid w:val="00403EA9"/>
    <w:rsid w:val="00404C25"/>
    <w:rsid w:val="0040786C"/>
    <w:rsid w:val="00407E51"/>
    <w:rsid w:val="004129C8"/>
    <w:rsid w:val="0041688A"/>
    <w:rsid w:val="0042256D"/>
    <w:rsid w:val="0042603E"/>
    <w:rsid w:val="0042667D"/>
    <w:rsid w:val="00426BA0"/>
    <w:rsid w:val="0044299D"/>
    <w:rsid w:val="00450898"/>
    <w:rsid w:val="00453FB9"/>
    <w:rsid w:val="00456EE7"/>
    <w:rsid w:val="00461CD3"/>
    <w:rsid w:val="00461E62"/>
    <w:rsid w:val="00466510"/>
    <w:rsid w:val="004758DD"/>
    <w:rsid w:val="00476B3B"/>
    <w:rsid w:val="00486B69"/>
    <w:rsid w:val="004908A7"/>
    <w:rsid w:val="004923A8"/>
    <w:rsid w:val="004B0875"/>
    <w:rsid w:val="004B6CE9"/>
    <w:rsid w:val="004B79D1"/>
    <w:rsid w:val="004C14A1"/>
    <w:rsid w:val="004D1B19"/>
    <w:rsid w:val="004D2D33"/>
    <w:rsid w:val="004D6882"/>
    <w:rsid w:val="004F3FA7"/>
    <w:rsid w:val="004F4A19"/>
    <w:rsid w:val="0050203C"/>
    <w:rsid w:val="005112CD"/>
    <w:rsid w:val="00512FBA"/>
    <w:rsid w:val="00517C2C"/>
    <w:rsid w:val="00522E35"/>
    <w:rsid w:val="005354A7"/>
    <w:rsid w:val="00535898"/>
    <w:rsid w:val="005359A5"/>
    <w:rsid w:val="00536508"/>
    <w:rsid w:val="00536F2F"/>
    <w:rsid w:val="00544466"/>
    <w:rsid w:val="00553830"/>
    <w:rsid w:val="00557CC1"/>
    <w:rsid w:val="00560C3D"/>
    <w:rsid w:val="00561BE8"/>
    <w:rsid w:val="00567F08"/>
    <w:rsid w:val="005709FB"/>
    <w:rsid w:val="00572D12"/>
    <w:rsid w:val="00581DC1"/>
    <w:rsid w:val="00584D68"/>
    <w:rsid w:val="00593E35"/>
    <w:rsid w:val="005968E0"/>
    <w:rsid w:val="005A0A14"/>
    <w:rsid w:val="005A2C0D"/>
    <w:rsid w:val="005A4274"/>
    <w:rsid w:val="005A7888"/>
    <w:rsid w:val="005A7E74"/>
    <w:rsid w:val="005B0D31"/>
    <w:rsid w:val="005B767B"/>
    <w:rsid w:val="005B799A"/>
    <w:rsid w:val="005C1F27"/>
    <w:rsid w:val="005C2E72"/>
    <w:rsid w:val="005C4521"/>
    <w:rsid w:val="005C719E"/>
    <w:rsid w:val="005D1EAE"/>
    <w:rsid w:val="005D6256"/>
    <w:rsid w:val="005D6B8B"/>
    <w:rsid w:val="005E0926"/>
    <w:rsid w:val="006017CF"/>
    <w:rsid w:val="00602008"/>
    <w:rsid w:val="00602F71"/>
    <w:rsid w:val="006032A5"/>
    <w:rsid w:val="00604EF7"/>
    <w:rsid w:val="006157FB"/>
    <w:rsid w:val="00617A49"/>
    <w:rsid w:val="0062038F"/>
    <w:rsid w:val="00623F45"/>
    <w:rsid w:val="00624D42"/>
    <w:rsid w:val="00625968"/>
    <w:rsid w:val="0063262E"/>
    <w:rsid w:val="00633E40"/>
    <w:rsid w:val="00635344"/>
    <w:rsid w:val="00636091"/>
    <w:rsid w:val="00637E33"/>
    <w:rsid w:val="00640BB1"/>
    <w:rsid w:val="006507BE"/>
    <w:rsid w:val="00650C83"/>
    <w:rsid w:val="0065128D"/>
    <w:rsid w:val="00651E18"/>
    <w:rsid w:val="0065508F"/>
    <w:rsid w:val="00656DE7"/>
    <w:rsid w:val="00665C7C"/>
    <w:rsid w:val="00666A25"/>
    <w:rsid w:val="00667F53"/>
    <w:rsid w:val="006703DA"/>
    <w:rsid w:val="0068281F"/>
    <w:rsid w:val="00694776"/>
    <w:rsid w:val="006953CA"/>
    <w:rsid w:val="006A3AAC"/>
    <w:rsid w:val="006A3B2E"/>
    <w:rsid w:val="006A5F82"/>
    <w:rsid w:val="006B3383"/>
    <w:rsid w:val="006B7DC1"/>
    <w:rsid w:val="006C4499"/>
    <w:rsid w:val="006C5368"/>
    <w:rsid w:val="006D0C85"/>
    <w:rsid w:val="006D537A"/>
    <w:rsid w:val="006D5508"/>
    <w:rsid w:val="006D7BE2"/>
    <w:rsid w:val="006E2E87"/>
    <w:rsid w:val="006E723A"/>
    <w:rsid w:val="006E7533"/>
    <w:rsid w:val="006F3D4B"/>
    <w:rsid w:val="00700AD5"/>
    <w:rsid w:val="00700F57"/>
    <w:rsid w:val="00711B6C"/>
    <w:rsid w:val="0071414D"/>
    <w:rsid w:val="00714204"/>
    <w:rsid w:val="00717DC4"/>
    <w:rsid w:val="00722E81"/>
    <w:rsid w:val="00722EE6"/>
    <w:rsid w:val="00723956"/>
    <w:rsid w:val="0072639D"/>
    <w:rsid w:val="007339EA"/>
    <w:rsid w:val="0073518F"/>
    <w:rsid w:val="0073624D"/>
    <w:rsid w:val="00740CFE"/>
    <w:rsid w:val="00746367"/>
    <w:rsid w:val="00754457"/>
    <w:rsid w:val="00756BF9"/>
    <w:rsid w:val="00767961"/>
    <w:rsid w:val="00774742"/>
    <w:rsid w:val="00777C54"/>
    <w:rsid w:val="00780EFD"/>
    <w:rsid w:val="007A03B6"/>
    <w:rsid w:val="007C5313"/>
    <w:rsid w:val="007D3B90"/>
    <w:rsid w:val="007D6CE7"/>
    <w:rsid w:val="007E3D72"/>
    <w:rsid w:val="007E5F50"/>
    <w:rsid w:val="007E7F94"/>
    <w:rsid w:val="007F40A3"/>
    <w:rsid w:val="007F4840"/>
    <w:rsid w:val="007F63D9"/>
    <w:rsid w:val="00800D9C"/>
    <w:rsid w:val="00804448"/>
    <w:rsid w:val="00811401"/>
    <w:rsid w:val="00816CED"/>
    <w:rsid w:val="00824DB4"/>
    <w:rsid w:val="00834096"/>
    <w:rsid w:val="00840803"/>
    <w:rsid w:val="008464C5"/>
    <w:rsid w:val="00846EDC"/>
    <w:rsid w:val="00847500"/>
    <w:rsid w:val="00851B6E"/>
    <w:rsid w:val="00851F91"/>
    <w:rsid w:val="00853EC1"/>
    <w:rsid w:val="00857E6E"/>
    <w:rsid w:val="008608AD"/>
    <w:rsid w:val="00862AB7"/>
    <w:rsid w:val="00881FEA"/>
    <w:rsid w:val="008A5970"/>
    <w:rsid w:val="008A6C31"/>
    <w:rsid w:val="008B343C"/>
    <w:rsid w:val="008B4568"/>
    <w:rsid w:val="008B6E73"/>
    <w:rsid w:val="008C7CC5"/>
    <w:rsid w:val="008D1964"/>
    <w:rsid w:val="008D4423"/>
    <w:rsid w:val="008D4DEA"/>
    <w:rsid w:val="008D7725"/>
    <w:rsid w:val="008E4AE4"/>
    <w:rsid w:val="008F4073"/>
    <w:rsid w:val="00907179"/>
    <w:rsid w:val="009105EF"/>
    <w:rsid w:val="00916F89"/>
    <w:rsid w:val="0092057B"/>
    <w:rsid w:val="00922147"/>
    <w:rsid w:val="00924EA1"/>
    <w:rsid w:val="009267E9"/>
    <w:rsid w:val="009404C2"/>
    <w:rsid w:val="00940A2B"/>
    <w:rsid w:val="00960D9C"/>
    <w:rsid w:val="0096139A"/>
    <w:rsid w:val="00961C99"/>
    <w:rsid w:val="0096213F"/>
    <w:rsid w:val="00965B63"/>
    <w:rsid w:val="00984AAA"/>
    <w:rsid w:val="00985801"/>
    <w:rsid w:val="00994387"/>
    <w:rsid w:val="00995CF9"/>
    <w:rsid w:val="009A2DA9"/>
    <w:rsid w:val="009A2E32"/>
    <w:rsid w:val="009B43B4"/>
    <w:rsid w:val="009B6951"/>
    <w:rsid w:val="009C2CEA"/>
    <w:rsid w:val="009C2DE5"/>
    <w:rsid w:val="009C5AFA"/>
    <w:rsid w:val="009C6D3C"/>
    <w:rsid w:val="009C70D3"/>
    <w:rsid w:val="009D1016"/>
    <w:rsid w:val="009D19E2"/>
    <w:rsid w:val="009E1384"/>
    <w:rsid w:val="009E175A"/>
    <w:rsid w:val="009F1E08"/>
    <w:rsid w:val="00A0068E"/>
    <w:rsid w:val="00A00821"/>
    <w:rsid w:val="00A06AB2"/>
    <w:rsid w:val="00A17A2E"/>
    <w:rsid w:val="00A254E8"/>
    <w:rsid w:val="00A30D2A"/>
    <w:rsid w:val="00A342A3"/>
    <w:rsid w:val="00A41C0E"/>
    <w:rsid w:val="00A43B71"/>
    <w:rsid w:val="00A4510E"/>
    <w:rsid w:val="00A454AC"/>
    <w:rsid w:val="00A46C6E"/>
    <w:rsid w:val="00A528A8"/>
    <w:rsid w:val="00A56F9B"/>
    <w:rsid w:val="00A66567"/>
    <w:rsid w:val="00A83E7B"/>
    <w:rsid w:val="00A86BD3"/>
    <w:rsid w:val="00A90B49"/>
    <w:rsid w:val="00A95CD0"/>
    <w:rsid w:val="00A96A33"/>
    <w:rsid w:val="00A976B3"/>
    <w:rsid w:val="00A97713"/>
    <w:rsid w:val="00AA395D"/>
    <w:rsid w:val="00AB1F43"/>
    <w:rsid w:val="00AB2427"/>
    <w:rsid w:val="00AB2988"/>
    <w:rsid w:val="00AB39D6"/>
    <w:rsid w:val="00AB4F00"/>
    <w:rsid w:val="00AB62A4"/>
    <w:rsid w:val="00AB6B87"/>
    <w:rsid w:val="00AD340D"/>
    <w:rsid w:val="00AD4FA0"/>
    <w:rsid w:val="00AE09EC"/>
    <w:rsid w:val="00AF0F11"/>
    <w:rsid w:val="00AF6954"/>
    <w:rsid w:val="00B0011F"/>
    <w:rsid w:val="00B01EB4"/>
    <w:rsid w:val="00B02535"/>
    <w:rsid w:val="00B02C96"/>
    <w:rsid w:val="00B2474A"/>
    <w:rsid w:val="00B26EC5"/>
    <w:rsid w:val="00B31EF8"/>
    <w:rsid w:val="00B34F15"/>
    <w:rsid w:val="00B458B8"/>
    <w:rsid w:val="00B57F3E"/>
    <w:rsid w:val="00B653A7"/>
    <w:rsid w:val="00B653E6"/>
    <w:rsid w:val="00B66DE0"/>
    <w:rsid w:val="00B707AE"/>
    <w:rsid w:val="00B70EE8"/>
    <w:rsid w:val="00B77C1A"/>
    <w:rsid w:val="00B818EE"/>
    <w:rsid w:val="00B81E60"/>
    <w:rsid w:val="00B84C26"/>
    <w:rsid w:val="00B85FA1"/>
    <w:rsid w:val="00B93E2D"/>
    <w:rsid w:val="00BB53C3"/>
    <w:rsid w:val="00BC1C77"/>
    <w:rsid w:val="00BD1830"/>
    <w:rsid w:val="00BD35EA"/>
    <w:rsid w:val="00BD4DC9"/>
    <w:rsid w:val="00BE6539"/>
    <w:rsid w:val="00BE6E44"/>
    <w:rsid w:val="00BF63D7"/>
    <w:rsid w:val="00BF75C6"/>
    <w:rsid w:val="00BF795A"/>
    <w:rsid w:val="00C0366B"/>
    <w:rsid w:val="00C06F9F"/>
    <w:rsid w:val="00C0714F"/>
    <w:rsid w:val="00C10816"/>
    <w:rsid w:val="00C1114B"/>
    <w:rsid w:val="00C14E50"/>
    <w:rsid w:val="00C275B6"/>
    <w:rsid w:val="00C33A7B"/>
    <w:rsid w:val="00C3483A"/>
    <w:rsid w:val="00C42352"/>
    <w:rsid w:val="00C43592"/>
    <w:rsid w:val="00C47103"/>
    <w:rsid w:val="00C5284A"/>
    <w:rsid w:val="00C56203"/>
    <w:rsid w:val="00C5763E"/>
    <w:rsid w:val="00C64085"/>
    <w:rsid w:val="00C64D51"/>
    <w:rsid w:val="00C707DE"/>
    <w:rsid w:val="00C7292E"/>
    <w:rsid w:val="00C74480"/>
    <w:rsid w:val="00C81126"/>
    <w:rsid w:val="00C84816"/>
    <w:rsid w:val="00C93FA2"/>
    <w:rsid w:val="00CA3DB7"/>
    <w:rsid w:val="00CA57CE"/>
    <w:rsid w:val="00CA5B13"/>
    <w:rsid w:val="00CA5B4A"/>
    <w:rsid w:val="00CA7A7B"/>
    <w:rsid w:val="00CB5FDC"/>
    <w:rsid w:val="00CC08B9"/>
    <w:rsid w:val="00CC1A9A"/>
    <w:rsid w:val="00CC746D"/>
    <w:rsid w:val="00CE3926"/>
    <w:rsid w:val="00CF175B"/>
    <w:rsid w:val="00CF6D21"/>
    <w:rsid w:val="00CF7685"/>
    <w:rsid w:val="00D13750"/>
    <w:rsid w:val="00D144D7"/>
    <w:rsid w:val="00D17E50"/>
    <w:rsid w:val="00D20664"/>
    <w:rsid w:val="00D22836"/>
    <w:rsid w:val="00D24BBD"/>
    <w:rsid w:val="00D30DC9"/>
    <w:rsid w:val="00D323CF"/>
    <w:rsid w:val="00D334F8"/>
    <w:rsid w:val="00D33DB9"/>
    <w:rsid w:val="00D356DF"/>
    <w:rsid w:val="00D43DE7"/>
    <w:rsid w:val="00D4627A"/>
    <w:rsid w:val="00D510A3"/>
    <w:rsid w:val="00D53522"/>
    <w:rsid w:val="00D5485D"/>
    <w:rsid w:val="00D55D65"/>
    <w:rsid w:val="00D5603F"/>
    <w:rsid w:val="00D658AD"/>
    <w:rsid w:val="00D674D5"/>
    <w:rsid w:val="00D807B5"/>
    <w:rsid w:val="00D816AD"/>
    <w:rsid w:val="00D81D59"/>
    <w:rsid w:val="00D84AE0"/>
    <w:rsid w:val="00D8703D"/>
    <w:rsid w:val="00D915C3"/>
    <w:rsid w:val="00DA09CC"/>
    <w:rsid w:val="00DA654B"/>
    <w:rsid w:val="00DB1D95"/>
    <w:rsid w:val="00DC32A6"/>
    <w:rsid w:val="00DD2D89"/>
    <w:rsid w:val="00DD741B"/>
    <w:rsid w:val="00DE085B"/>
    <w:rsid w:val="00DE4F7C"/>
    <w:rsid w:val="00DF124C"/>
    <w:rsid w:val="00DF2111"/>
    <w:rsid w:val="00DF772F"/>
    <w:rsid w:val="00E133F2"/>
    <w:rsid w:val="00E13843"/>
    <w:rsid w:val="00E17A4E"/>
    <w:rsid w:val="00E2248C"/>
    <w:rsid w:val="00E2427B"/>
    <w:rsid w:val="00E3106F"/>
    <w:rsid w:val="00E406CC"/>
    <w:rsid w:val="00E41EBB"/>
    <w:rsid w:val="00E53BB8"/>
    <w:rsid w:val="00E65A4A"/>
    <w:rsid w:val="00E67728"/>
    <w:rsid w:val="00E814A8"/>
    <w:rsid w:val="00E81642"/>
    <w:rsid w:val="00E81BC0"/>
    <w:rsid w:val="00E81C43"/>
    <w:rsid w:val="00E86713"/>
    <w:rsid w:val="00E871C2"/>
    <w:rsid w:val="00E90A47"/>
    <w:rsid w:val="00EA1B62"/>
    <w:rsid w:val="00EA28E0"/>
    <w:rsid w:val="00EB508E"/>
    <w:rsid w:val="00EC01BF"/>
    <w:rsid w:val="00EC0A01"/>
    <w:rsid w:val="00EC1508"/>
    <w:rsid w:val="00EC3264"/>
    <w:rsid w:val="00EC7CF7"/>
    <w:rsid w:val="00ED1B0F"/>
    <w:rsid w:val="00ED2425"/>
    <w:rsid w:val="00EE2749"/>
    <w:rsid w:val="00EE70FC"/>
    <w:rsid w:val="00F03CFC"/>
    <w:rsid w:val="00F11F2C"/>
    <w:rsid w:val="00F13F26"/>
    <w:rsid w:val="00F22011"/>
    <w:rsid w:val="00F2550A"/>
    <w:rsid w:val="00F30BDB"/>
    <w:rsid w:val="00F41781"/>
    <w:rsid w:val="00F45699"/>
    <w:rsid w:val="00F5258F"/>
    <w:rsid w:val="00F54136"/>
    <w:rsid w:val="00F541DF"/>
    <w:rsid w:val="00F56CC2"/>
    <w:rsid w:val="00F65EF5"/>
    <w:rsid w:val="00F6676F"/>
    <w:rsid w:val="00F719D6"/>
    <w:rsid w:val="00F94301"/>
    <w:rsid w:val="00F96D97"/>
    <w:rsid w:val="00F97611"/>
    <w:rsid w:val="00F97A90"/>
    <w:rsid w:val="00FA26A6"/>
    <w:rsid w:val="00FA2DF3"/>
    <w:rsid w:val="00FA5E84"/>
    <w:rsid w:val="00FA656D"/>
    <w:rsid w:val="00FB24FD"/>
    <w:rsid w:val="00FB2C79"/>
    <w:rsid w:val="00FD1966"/>
    <w:rsid w:val="00FD6BD2"/>
    <w:rsid w:val="00FE2540"/>
    <w:rsid w:val="00FF33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EF3E"/>
  <w15:chartTrackingRefBased/>
  <w15:docId w15:val="{BF32638A-D331-3A40-8DE9-DFD62E6B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96A33"/>
    <w:pPr>
      <w:keepNext/>
      <w:tabs>
        <w:tab w:val="left" w:pos="540"/>
      </w:tabs>
      <w:spacing w:line="480" w:lineRule="auto"/>
      <w:jc w:val="both"/>
      <w:outlineLvl w:val="0"/>
    </w:pPr>
    <w:rPr>
      <w:rFonts w:ascii="Times New Roman" w:eastAsia="Times New Roman" w:hAnsi="Times New Roman" w:cs="Times New Roman"/>
      <w:b/>
      <w:bCs/>
      <w:u w:val="single"/>
      <w:lang w:val="en-GB"/>
    </w:rPr>
  </w:style>
  <w:style w:type="paragraph" w:styleId="Heading2">
    <w:name w:val="heading 2"/>
    <w:basedOn w:val="Normal"/>
    <w:next w:val="Normal"/>
    <w:link w:val="Heading2Char"/>
    <w:uiPriority w:val="9"/>
    <w:semiHidden/>
    <w:unhideWhenUsed/>
    <w:qFormat/>
    <w:rsid w:val="006550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C8"/>
    <w:pPr>
      <w:ind w:left="720"/>
      <w:contextualSpacing/>
    </w:pPr>
  </w:style>
  <w:style w:type="paragraph" w:styleId="Header">
    <w:name w:val="header"/>
    <w:basedOn w:val="Normal"/>
    <w:link w:val="HeaderChar"/>
    <w:uiPriority w:val="99"/>
    <w:unhideWhenUsed/>
    <w:rsid w:val="00294AF2"/>
    <w:pPr>
      <w:tabs>
        <w:tab w:val="center" w:pos="4680"/>
        <w:tab w:val="right" w:pos="9360"/>
      </w:tabs>
    </w:pPr>
  </w:style>
  <w:style w:type="character" w:customStyle="1" w:styleId="HeaderChar">
    <w:name w:val="Header Char"/>
    <w:basedOn w:val="DefaultParagraphFont"/>
    <w:link w:val="Header"/>
    <w:uiPriority w:val="99"/>
    <w:rsid w:val="00294AF2"/>
  </w:style>
  <w:style w:type="character" w:styleId="PageNumber">
    <w:name w:val="page number"/>
    <w:basedOn w:val="DefaultParagraphFont"/>
    <w:uiPriority w:val="99"/>
    <w:semiHidden/>
    <w:unhideWhenUsed/>
    <w:rsid w:val="00294AF2"/>
  </w:style>
  <w:style w:type="paragraph" w:styleId="FootnoteText">
    <w:name w:val="footnote text"/>
    <w:basedOn w:val="Normal"/>
    <w:link w:val="FootnoteTextChar"/>
    <w:uiPriority w:val="99"/>
    <w:semiHidden/>
    <w:unhideWhenUsed/>
    <w:rsid w:val="005968E0"/>
    <w:rPr>
      <w:sz w:val="20"/>
      <w:szCs w:val="20"/>
    </w:rPr>
  </w:style>
  <w:style w:type="character" w:customStyle="1" w:styleId="FootnoteTextChar">
    <w:name w:val="Footnote Text Char"/>
    <w:basedOn w:val="DefaultParagraphFont"/>
    <w:link w:val="FootnoteText"/>
    <w:uiPriority w:val="99"/>
    <w:semiHidden/>
    <w:rsid w:val="005968E0"/>
    <w:rPr>
      <w:sz w:val="20"/>
      <w:szCs w:val="20"/>
    </w:rPr>
  </w:style>
  <w:style w:type="character" w:styleId="FootnoteReference">
    <w:name w:val="footnote reference"/>
    <w:basedOn w:val="DefaultParagraphFont"/>
    <w:uiPriority w:val="99"/>
    <w:semiHidden/>
    <w:unhideWhenUsed/>
    <w:rsid w:val="005968E0"/>
    <w:rPr>
      <w:vertAlign w:val="superscript"/>
    </w:rPr>
  </w:style>
  <w:style w:type="character" w:customStyle="1" w:styleId="Heading1Char">
    <w:name w:val="Heading 1 Char"/>
    <w:basedOn w:val="DefaultParagraphFont"/>
    <w:link w:val="Heading1"/>
    <w:rsid w:val="00A96A33"/>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uiPriority w:val="9"/>
    <w:semiHidden/>
    <w:rsid w:val="006550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46">
      <w:bodyDiv w:val="1"/>
      <w:marLeft w:val="0"/>
      <w:marRight w:val="0"/>
      <w:marTop w:val="0"/>
      <w:marBottom w:val="0"/>
      <w:divBdr>
        <w:top w:val="none" w:sz="0" w:space="0" w:color="auto"/>
        <w:left w:val="none" w:sz="0" w:space="0" w:color="auto"/>
        <w:bottom w:val="none" w:sz="0" w:space="0" w:color="auto"/>
        <w:right w:val="none" w:sz="0" w:space="0" w:color="auto"/>
      </w:divBdr>
    </w:div>
    <w:div w:id="445663215">
      <w:bodyDiv w:val="1"/>
      <w:marLeft w:val="0"/>
      <w:marRight w:val="0"/>
      <w:marTop w:val="0"/>
      <w:marBottom w:val="0"/>
      <w:divBdr>
        <w:top w:val="none" w:sz="0" w:space="0" w:color="auto"/>
        <w:left w:val="none" w:sz="0" w:space="0" w:color="auto"/>
        <w:bottom w:val="none" w:sz="0" w:space="0" w:color="auto"/>
        <w:right w:val="none" w:sz="0" w:space="0" w:color="auto"/>
      </w:divBdr>
    </w:div>
    <w:div w:id="517933299">
      <w:bodyDiv w:val="1"/>
      <w:marLeft w:val="0"/>
      <w:marRight w:val="0"/>
      <w:marTop w:val="0"/>
      <w:marBottom w:val="0"/>
      <w:divBdr>
        <w:top w:val="none" w:sz="0" w:space="0" w:color="auto"/>
        <w:left w:val="none" w:sz="0" w:space="0" w:color="auto"/>
        <w:bottom w:val="none" w:sz="0" w:space="0" w:color="auto"/>
        <w:right w:val="none" w:sz="0" w:space="0" w:color="auto"/>
      </w:divBdr>
    </w:div>
    <w:div w:id="546065623">
      <w:bodyDiv w:val="1"/>
      <w:marLeft w:val="0"/>
      <w:marRight w:val="0"/>
      <w:marTop w:val="0"/>
      <w:marBottom w:val="0"/>
      <w:divBdr>
        <w:top w:val="none" w:sz="0" w:space="0" w:color="auto"/>
        <w:left w:val="none" w:sz="0" w:space="0" w:color="auto"/>
        <w:bottom w:val="none" w:sz="0" w:space="0" w:color="auto"/>
        <w:right w:val="none" w:sz="0" w:space="0" w:color="auto"/>
      </w:divBdr>
    </w:div>
    <w:div w:id="635110939">
      <w:bodyDiv w:val="1"/>
      <w:marLeft w:val="0"/>
      <w:marRight w:val="0"/>
      <w:marTop w:val="0"/>
      <w:marBottom w:val="0"/>
      <w:divBdr>
        <w:top w:val="none" w:sz="0" w:space="0" w:color="auto"/>
        <w:left w:val="none" w:sz="0" w:space="0" w:color="auto"/>
        <w:bottom w:val="none" w:sz="0" w:space="0" w:color="auto"/>
        <w:right w:val="none" w:sz="0" w:space="0" w:color="auto"/>
      </w:divBdr>
    </w:div>
    <w:div w:id="753936166">
      <w:bodyDiv w:val="1"/>
      <w:marLeft w:val="0"/>
      <w:marRight w:val="0"/>
      <w:marTop w:val="0"/>
      <w:marBottom w:val="0"/>
      <w:divBdr>
        <w:top w:val="none" w:sz="0" w:space="0" w:color="auto"/>
        <w:left w:val="none" w:sz="0" w:space="0" w:color="auto"/>
        <w:bottom w:val="none" w:sz="0" w:space="0" w:color="auto"/>
        <w:right w:val="none" w:sz="0" w:space="0" w:color="auto"/>
      </w:divBdr>
      <w:divsChild>
        <w:div w:id="1785268869">
          <w:marLeft w:val="0"/>
          <w:marRight w:val="0"/>
          <w:marTop w:val="0"/>
          <w:marBottom w:val="0"/>
          <w:divBdr>
            <w:top w:val="none" w:sz="0" w:space="0" w:color="auto"/>
            <w:left w:val="none" w:sz="0" w:space="0" w:color="auto"/>
            <w:bottom w:val="none" w:sz="0" w:space="0" w:color="auto"/>
            <w:right w:val="none" w:sz="0" w:space="0" w:color="auto"/>
          </w:divBdr>
          <w:divsChild>
            <w:div w:id="1104495710">
              <w:marLeft w:val="0"/>
              <w:marRight w:val="0"/>
              <w:marTop w:val="0"/>
              <w:marBottom w:val="0"/>
              <w:divBdr>
                <w:top w:val="none" w:sz="0" w:space="0" w:color="auto"/>
                <w:left w:val="none" w:sz="0" w:space="0" w:color="auto"/>
                <w:bottom w:val="none" w:sz="0" w:space="0" w:color="auto"/>
                <w:right w:val="none" w:sz="0" w:space="0" w:color="auto"/>
              </w:divBdr>
              <w:divsChild>
                <w:div w:id="7466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91254">
      <w:bodyDiv w:val="1"/>
      <w:marLeft w:val="0"/>
      <w:marRight w:val="0"/>
      <w:marTop w:val="0"/>
      <w:marBottom w:val="0"/>
      <w:divBdr>
        <w:top w:val="none" w:sz="0" w:space="0" w:color="auto"/>
        <w:left w:val="none" w:sz="0" w:space="0" w:color="auto"/>
        <w:bottom w:val="none" w:sz="0" w:space="0" w:color="auto"/>
        <w:right w:val="none" w:sz="0" w:space="0" w:color="auto"/>
      </w:divBdr>
    </w:div>
    <w:div w:id="870342353">
      <w:bodyDiv w:val="1"/>
      <w:marLeft w:val="0"/>
      <w:marRight w:val="0"/>
      <w:marTop w:val="0"/>
      <w:marBottom w:val="0"/>
      <w:divBdr>
        <w:top w:val="none" w:sz="0" w:space="0" w:color="auto"/>
        <w:left w:val="none" w:sz="0" w:space="0" w:color="auto"/>
        <w:bottom w:val="none" w:sz="0" w:space="0" w:color="auto"/>
        <w:right w:val="none" w:sz="0" w:space="0" w:color="auto"/>
      </w:divBdr>
    </w:div>
    <w:div w:id="1084228787">
      <w:bodyDiv w:val="1"/>
      <w:marLeft w:val="0"/>
      <w:marRight w:val="0"/>
      <w:marTop w:val="0"/>
      <w:marBottom w:val="0"/>
      <w:divBdr>
        <w:top w:val="none" w:sz="0" w:space="0" w:color="auto"/>
        <w:left w:val="none" w:sz="0" w:space="0" w:color="auto"/>
        <w:bottom w:val="none" w:sz="0" w:space="0" w:color="auto"/>
        <w:right w:val="none" w:sz="0" w:space="0" w:color="auto"/>
      </w:divBdr>
    </w:div>
    <w:div w:id="1168669943">
      <w:bodyDiv w:val="1"/>
      <w:marLeft w:val="0"/>
      <w:marRight w:val="0"/>
      <w:marTop w:val="0"/>
      <w:marBottom w:val="0"/>
      <w:divBdr>
        <w:top w:val="none" w:sz="0" w:space="0" w:color="auto"/>
        <w:left w:val="none" w:sz="0" w:space="0" w:color="auto"/>
        <w:bottom w:val="none" w:sz="0" w:space="0" w:color="auto"/>
        <w:right w:val="none" w:sz="0" w:space="0" w:color="auto"/>
      </w:divBdr>
    </w:div>
    <w:div w:id="1330986184">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545867561">
      <w:bodyDiv w:val="1"/>
      <w:marLeft w:val="0"/>
      <w:marRight w:val="0"/>
      <w:marTop w:val="0"/>
      <w:marBottom w:val="0"/>
      <w:divBdr>
        <w:top w:val="none" w:sz="0" w:space="0" w:color="auto"/>
        <w:left w:val="none" w:sz="0" w:space="0" w:color="auto"/>
        <w:bottom w:val="none" w:sz="0" w:space="0" w:color="auto"/>
        <w:right w:val="none" w:sz="0" w:space="0" w:color="auto"/>
      </w:divBdr>
    </w:div>
    <w:div w:id="1609776956">
      <w:bodyDiv w:val="1"/>
      <w:marLeft w:val="0"/>
      <w:marRight w:val="0"/>
      <w:marTop w:val="0"/>
      <w:marBottom w:val="0"/>
      <w:divBdr>
        <w:top w:val="none" w:sz="0" w:space="0" w:color="auto"/>
        <w:left w:val="none" w:sz="0" w:space="0" w:color="auto"/>
        <w:bottom w:val="none" w:sz="0" w:space="0" w:color="auto"/>
        <w:right w:val="none" w:sz="0" w:space="0" w:color="auto"/>
      </w:divBdr>
      <w:divsChild>
        <w:div w:id="584918541">
          <w:marLeft w:val="0"/>
          <w:marRight w:val="0"/>
          <w:marTop w:val="0"/>
          <w:marBottom w:val="0"/>
          <w:divBdr>
            <w:top w:val="none" w:sz="0" w:space="0" w:color="auto"/>
            <w:left w:val="none" w:sz="0" w:space="0" w:color="auto"/>
            <w:bottom w:val="none" w:sz="0" w:space="0" w:color="auto"/>
            <w:right w:val="none" w:sz="0" w:space="0" w:color="auto"/>
          </w:divBdr>
          <w:divsChild>
            <w:div w:id="830484554">
              <w:marLeft w:val="0"/>
              <w:marRight w:val="0"/>
              <w:marTop w:val="0"/>
              <w:marBottom w:val="0"/>
              <w:divBdr>
                <w:top w:val="none" w:sz="0" w:space="0" w:color="auto"/>
                <w:left w:val="none" w:sz="0" w:space="0" w:color="auto"/>
                <w:bottom w:val="none" w:sz="0" w:space="0" w:color="auto"/>
                <w:right w:val="none" w:sz="0" w:space="0" w:color="auto"/>
              </w:divBdr>
              <w:divsChild>
                <w:div w:id="4631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73635">
      <w:bodyDiv w:val="1"/>
      <w:marLeft w:val="0"/>
      <w:marRight w:val="0"/>
      <w:marTop w:val="0"/>
      <w:marBottom w:val="0"/>
      <w:divBdr>
        <w:top w:val="none" w:sz="0" w:space="0" w:color="auto"/>
        <w:left w:val="none" w:sz="0" w:space="0" w:color="auto"/>
        <w:bottom w:val="none" w:sz="0" w:space="0" w:color="auto"/>
        <w:right w:val="none" w:sz="0" w:space="0" w:color="auto"/>
      </w:divBdr>
    </w:div>
    <w:div w:id="1671299196">
      <w:bodyDiv w:val="1"/>
      <w:marLeft w:val="0"/>
      <w:marRight w:val="0"/>
      <w:marTop w:val="0"/>
      <w:marBottom w:val="0"/>
      <w:divBdr>
        <w:top w:val="none" w:sz="0" w:space="0" w:color="auto"/>
        <w:left w:val="none" w:sz="0" w:space="0" w:color="auto"/>
        <w:bottom w:val="none" w:sz="0" w:space="0" w:color="auto"/>
        <w:right w:val="none" w:sz="0" w:space="0" w:color="auto"/>
      </w:divBdr>
    </w:div>
    <w:div w:id="1963615379">
      <w:bodyDiv w:val="1"/>
      <w:marLeft w:val="0"/>
      <w:marRight w:val="0"/>
      <w:marTop w:val="0"/>
      <w:marBottom w:val="0"/>
      <w:divBdr>
        <w:top w:val="none" w:sz="0" w:space="0" w:color="auto"/>
        <w:left w:val="none" w:sz="0" w:space="0" w:color="auto"/>
        <w:bottom w:val="none" w:sz="0" w:space="0" w:color="auto"/>
        <w:right w:val="none" w:sz="0" w:space="0" w:color="auto"/>
      </w:divBdr>
    </w:div>
    <w:div w:id="212202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027A5-3EE7-428D-82E0-9F594448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Vivian</dc:creator>
  <cp:keywords/>
  <dc:description/>
  <cp:lastModifiedBy>Mokone</cp:lastModifiedBy>
  <cp:revision>3</cp:revision>
  <cp:lastPrinted>2023-06-05T11:40:00Z</cp:lastPrinted>
  <dcterms:created xsi:type="dcterms:W3CDTF">2023-06-09T12:00:00Z</dcterms:created>
  <dcterms:modified xsi:type="dcterms:W3CDTF">2023-06-09T12:01:00Z</dcterms:modified>
</cp:coreProperties>
</file>