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9FB51C" w14:textId="77777777" w:rsidR="006017E0" w:rsidRDefault="00F606D7" w:rsidP="004D3251">
      <w:pPr>
        <w:jc w:val="center"/>
        <w:rPr>
          <w:rFonts w:ascii="Verdana" w:hAnsi="Verdana"/>
          <w:b/>
          <w:sz w:val="24"/>
          <w:szCs w:val="24"/>
        </w:rPr>
      </w:pPr>
      <w:bookmarkStart w:id="0" w:name="_GoBack"/>
      <w:bookmarkEnd w:id="0"/>
      <w:r w:rsidRPr="007E4FC7">
        <w:rPr>
          <w:rFonts w:cs="Arial"/>
          <w:b/>
          <w:noProof/>
          <w:u w:val="single"/>
        </w:rPr>
        <w:drawing>
          <wp:inline distT="0" distB="0" distL="0" distR="0" wp14:anchorId="43BA561B" wp14:editId="5E86278B">
            <wp:extent cx="1155700" cy="1555750"/>
            <wp:effectExtent l="0" t="0" r="6350" b="6350"/>
            <wp:docPr id="2" name="Picture 1" descr="C:\Users\DThaba\AppData\Local\Microsoft\Windows\INetCache\Content.Outlook\XFIJKGTA\image002 (0000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Thaba\AppData\Local\Microsoft\Windows\INetCache\Content.Outlook\XFIJKGTA\image002 (0000000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5700" cy="1555750"/>
                    </a:xfrm>
                    <a:prstGeom prst="rect">
                      <a:avLst/>
                    </a:prstGeom>
                    <a:noFill/>
                    <a:ln>
                      <a:noFill/>
                    </a:ln>
                  </pic:spPr>
                </pic:pic>
              </a:graphicData>
            </a:graphic>
          </wp:inline>
        </w:drawing>
      </w:r>
    </w:p>
    <w:p w14:paraId="0EF3E26F" w14:textId="36D13158" w:rsidR="00F606D7" w:rsidRPr="00954453" w:rsidRDefault="00F606D7" w:rsidP="00F606D7">
      <w:pPr>
        <w:pStyle w:val="Body1"/>
        <w:ind w:left="567" w:hanging="425"/>
        <w:jc w:val="center"/>
        <w:rPr>
          <w:rFonts w:cs="Arial"/>
          <w:b/>
          <w:szCs w:val="24"/>
          <w:lang w:val="en-GB"/>
        </w:rPr>
      </w:pPr>
      <w:r w:rsidRPr="00954453">
        <w:rPr>
          <w:rFonts w:cs="Arial"/>
          <w:b/>
          <w:szCs w:val="24"/>
          <w:lang w:val="en-GB"/>
        </w:rPr>
        <w:t xml:space="preserve">IN THE </w:t>
      </w:r>
      <w:r w:rsidR="00176D47">
        <w:rPr>
          <w:rFonts w:cs="Arial"/>
          <w:b/>
          <w:szCs w:val="24"/>
          <w:lang w:val="en-GB"/>
        </w:rPr>
        <w:t>COURT OF THE COMMISSIONER OF PATENTS</w:t>
      </w:r>
    </w:p>
    <w:p w14:paraId="3D427CC3" w14:textId="5D67BB0B" w:rsidR="00F606D7" w:rsidRDefault="00F606D7" w:rsidP="00F606D7">
      <w:pPr>
        <w:pStyle w:val="Body1"/>
        <w:ind w:left="567" w:hanging="425"/>
        <w:jc w:val="center"/>
        <w:rPr>
          <w:rFonts w:cs="Arial"/>
          <w:b/>
          <w:szCs w:val="24"/>
          <w:lang w:val="en-GB"/>
        </w:rPr>
      </w:pPr>
      <w:r w:rsidRPr="00954453">
        <w:rPr>
          <w:rFonts w:cs="Arial"/>
          <w:b/>
          <w:szCs w:val="24"/>
          <w:lang w:val="en-GB"/>
        </w:rPr>
        <w:t>(</w:t>
      </w:r>
      <w:r w:rsidR="00176D47">
        <w:rPr>
          <w:rFonts w:cs="Arial"/>
          <w:b/>
          <w:szCs w:val="24"/>
          <w:lang w:val="en-GB"/>
        </w:rPr>
        <w:t>FOR THE REPUBLIC OF SOUTH AFRICA</w:t>
      </w:r>
      <w:r w:rsidRPr="00954453">
        <w:rPr>
          <w:rFonts w:cs="Arial"/>
          <w:b/>
          <w:szCs w:val="24"/>
          <w:lang w:val="en-GB"/>
        </w:rPr>
        <w:t>)</w:t>
      </w:r>
    </w:p>
    <w:p w14:paraId="3AB926C6" w14:textId="77777777" w:rsidR="00F606D7" w:rsidRDefault="00F606D7" w:rsidP="00F606D7">
      <w:pPr>
        <w:jc w:val="both"/>
        <w:rPr>
          <w:rFonts w:ascii="Verdana" w:hAnsi="Verdana"/>
          <w:b/>
          <w:sz w:val="24"/>
          <w:szCs w:val="24"/>
        </w:rPr>
      </w:pPr>
      <w:r w:rsidRPr="001973CE">
        <w:rPr>
          <w:rFonts w:ascii="Arial" w:eastAsia="Calibri" w:hAnsi="Arial" w:cs="Times New Roman"/>
          <w:noProof/>
          <w:sz w:val="26"/>
          <w:szCs w:val="26"/>
        </w:rPr>
        <mc:AlternateContent>
          <mc:Choice Requires="wps">
            <w:drawing>
              <wp:anchor distT="0" distB="0" distL="114300" distR="114300" simplePos="0" relativeHeight="251659264" behindDoc="0" locked="0" layoutInCell="1" allowOverlap="1" wp14:anchorId="5BA7E240" wp14:editId="529F9A86">
                <wp:simplePos x="0" y="0"/>
                <wp:positionH relativeFrom="margin">
                  <wp:posOffset>101600</wp:posOffset>
                </wp:positionH>
                <wp:positionV relativeFrom="paragraph">
                  <wp:posOffset>557530</wp:posOffset>
                </wp:positionV>
                <wp:extent cx="2946400" cy="1841500"/>
                <wp:effectExtent l="0" t="0" r="25400" b="254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6400" cy="1841500"/>
                        </a:xfrm>
                        <a:prstGeom prst="rect">
                          <a:avLst/>
                        </a:prstGeom>
                        <a:solidFill>
                          <a:srgbClr val="FFFFFF"/>
                        </a:solidFill>
                        <a:ln w="9525">
                          <a:solidFill>
                            <a:srgbClr val="000000"/>
                          </a:solidFill>
                          <a:miter lim="800000"/>
                          <a:headEnd/>
                          <a:tailEnd/>
                        </a:ln>
                      </wps:spPr>
                      <wps:txbx>
                        <w:txbxContent>
                          <w:p w14:paraId="521027D3" w14:textId="77777777" w:rsidR="009833B6" w:rsidRPr="006E5AB0" w:rsidRDefault="009833B6" w:rsidP="00F606D7">
                            <w:pPr>
                              <w:numPr>
                                <w:ilvl w:val="0"/>
                                <w:numId w:val="1"/>
                              </w:numPr>
                              <w:spacing w:before="120" w:after="0" w:line="240" w:lineRule="auto"/>
                              <w:rPr>
                                <w:rFonts w:ascii="Century Gothic" w:hAnsi="Century Gothic"/>
                                <w:sz w:val="18"/>
                                <w:szCs w:val="18"/>
                              </w:rPr>
                            </w:pPr>
                            <w:r w:rsidRPr="006E5AB0">
                              <w:rPr>
                                <w:rFonts w:ascii="Century Gothic" w:hAnsi="Century Gothic"/>
                                <w:sz w:val="18"/>
                                <w:szCs w:val="18"/>
                              </w:rPr>
                              <w:t>REPORTABLE: NO</w:t>
                            </w:r>
                          </w:p>
                          <w:p w14:paraId="50D4AB95" w14:textId="77777777" w:rsidR="009833B6" w:rsidRPr="006E5AB0" w:rsidRDefault="009833B6" w:rsidP="00F606D7">
                            <w:pPr>
                              <w:numPr>
                                <w:ilvl w:val="0"/>
                                <w:numId w:val="1"/>
                              </w:numPr>
                              <w:spacing w:after="0" w:line="240" w:lineRule="auto"/>
                              <w:rPr>
                                <w:rFonts w:ascii="Century Gothic" w:hAnsi="Century Gothic"/>
                                <w:sz w:val="18"/>
                                <w:szCs w:val="18"/>
                              </w:rPr>
                            </w:pPr>
                            <w:r w:rsidRPr="006E5AB0">
                              <w:rPr>
                                <w:rFonts w:ascii="Century Gothic" w:hAnsi="Century Gothic"/>
                                <w:sz w:val="18"/>
                                <w:szCs w:val="18"/>
                              </w:rPr>
                              <w:t>OF INTEREST TO OTHER JUDGES: NO</w:t>
                            </w:r>
                          </w:p>
                          <w:p w14:paraId="09C75C7B" w14:textId="77777777" w:rsidR="009833B6" w:rsidRPr="006E5AB0" w:rsidRDefault="009833B6" w:rsidP="00F606D7">
                            <w:pPr>
                              <w:numPr>
                                <w:ilvl w:val="0"/>
                                <w:numId w:val="1"/>
                              </w:numPr>
                              <w:spacing w:after="0" w:line="240" w:lineRule="auto"/>
                              <w:rPr>
                                <w:rFonts w:ascii="Century Gothic" w:hAnsi="Century Gothic"/>
                                <w:sz w:val="18"/>
                                <w:szCs w:val="18"/>
                              </w:rPr>
                            </w:pPr>
                            <w:r w:rsidRPr="006E5AB0">
                              <w:rPr>
                                <w:rFonts w:ascii="Century Gothic" w:hAnsi="Century Gothic"/>
                                <w:sz w:val="18"/>
                                <w:szCs w:val="18"/>
                              </w:rPr>
                              <w:t xml:space="preserve">REVISED </w:t>
                            </w:r>
                          </w:p>
                          <w:p w14:paraId="40339CFF" w14:textId="77777777" w:rsidR="009833B6" w:rsidRPr="006E5AB0" w:rsidRDefault="009833B6" w:rsidP="00F606D7">
                            <w:pPr>
                              <w:rPr>
                                <w:rFonts w:ascii="Century Gothic" w:hAnsi="Century Gothic"/>
                                <w:b/>
                                <w:sz w:val="18"/>
                                <w:szCs w:val="18"/>
                              </w:rPr>
                            </w:pPr>
                          </w:p>
                          <w:p w14:paraId="171AB2F6" w14:textId="77777777" w:rsidR="009833B6" w:rsidRPr="006E5AB0" w:rsidRDefault="009833B6" w:rsidP="00F606D7">
                            <w:pPr>
                              <w:rPr>
                                <w:rFonts w:ascii="Century Gothic" w:hAnsi="Century Gothic"/>
                                <w:b/>
                                <w:sz w:val="18"/>
                                <w:szCs w:val="18"/>
                              </w:rPr>
                            </w:pPr>
                            <w:r w:rsidRPr="006E5AB0">
                              <w:rPr>
                                <w:rFonts w:ascii="Century Gothic" w:hAnsi="Century Gothic"/>
                                <w:b/>
                                <w:sz w:val="18"/>
                                <w:szCs w:val="18"/>
                              </w:rPr>
                              <w:tab/>
                              <w:t xml:space="preserve"> </w:t>
                            </w:r>
                          </w:p>
                          <w:p w14:paraId="7650566A" w14:textId="70F9FE2A" w:rsidR="009833B6" w:rsidRDefault="00C1690C" w:rsidP="00F606D7">
                            <w:pPr>
                              <w:rPr>
                                <w:rFonts w:ascii="Century Gothic" w:hAnsi="Century Gothic"/>
                                <w:sz w:val="18"/>
                                <w:szCs w:val="18"/>
                              </w:rPr>
                            </w:pPr>
                            <w:r>
                              <w:rPr>
                                <w:rFonts w:ascii="Century Gothic" w:hAnsi="Century Gothic"/>
                                <w:b/>
                                <w:sz w:val="18"/>
                                <w:szCs w:val="18"/>
                                <w:u w:val="single"/>
                              </w:rPr>
                              <w:t>0</w:t>
                            </w:r>
                            <w:r w:rsidR="00513CFC">
                              <w:rPr>
                                <w:rFonts w:ascii="Century Gothic" w:hAnsi="Century Gothic"/>
                                <w:b/>
                                <w:sz w:val="18"/>
                                <w:szCs w:val="18"/>
                                <w:u w:val="single"/>
                              </w:rPr>
                              <w:t>7</w:t>
                            </w:r>
                            <w:r>
                              <w:rPr>
                                <w:rFonts w:ascii="Century Gothic" w:hAnsi="Century Gothic"/>
                                <w:b/>
                                <w:sz w:val="18"/>
                                <w:szCs w:val="18"/>
                                <w:u w:val="single"/>
                              </w:rPr>
                              <w:t xml:space="preserve"> JUNE</w:t>
                            </w:r>
                            <w:r w:rsidR="009833B6">
                              <w:rPr>
                                <w:rFonts w:ascii="Century Gothic" w:hAnsi="Century Gothic"/>
                                <w:b/>
                                <w:sz w:val="18"/>
                                <w:szCs w:val="18"/>
                                <w:u w:val="single"/>
                              </w:rPr>
                              <w:t xml:space="preserve"> </w:t>
                            </w:r>
                            <w:r w:rsidR="009833B6" w:rsidRPr="008B5058">
                              <w:rPr>
                                <w:rFonts w:ascii="Century Gothic" w:hAnsi="Century Gothic"/>
                                <w:b/>
                                <w:sz w:val="18"/>
                                <w:szCs w:val="18"/>
                                <w:u w:val="single"/>
                              </w:rPr>
                              <w:t>2023_</w:t>
                            </w:r>
                            <w:r w:rsidR="009833B6" w:rsidRPr="006E5AB0">
                              <w:rPr>
                                <w:rFonts w:ascii="Century Gothic" w:hAnsi="Century Gothic"/>
                                <w:sz w:val="18"/>
                                <w:szCs w:val="18"/>
                              </w:rPr>
                              <w:t xml:space="preserve">          </w:t>
                            </w:r>
                            <w:r w:rsidR="009833B6">
                              <w:rPr>
                                <w:rFonts w:ascii="Century Gothic" w:hAnsi="Century Gothic"/>
                                <w:sz w:val="18"/>
                                <w:szCs w:val="18"/>
                              </w:rPr>
                              <w:tab/>
                              <w:t xml:space="preserve">    </w:t>
                            </w:r>
                            <w:r w:rsidR="009833B6" w:rsidRPr="006E5AB0">
                              <w:rPr>
                                <w:noProof/>
                                <w:u w:val="single"/>
                              </w:rPr>
                              <w:drawing>
                                <wp:inline distT="0" distB="0" distL="0" distR="0" wp14:anchorId="55372B5A" wp14:editId="4086F0E4">
                                  <wp:extent cx="546100" cy="450850"/>
                                  <wp:effectExtent l="0" t="0" r="6350" b="635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6100" cy="450850"/>
                                          </a:xfrm>
                                          <a:prstGeom prst="rect">
                                            <a:avLst/>
                                          </a:prstGeom>
                                          <a:noFill/>
                                          <a:ln>
                                            <a:noFill/>
                                          </a:ln>
                                        </pic:spPr>
                                      </pic:pic>
                                    </a:graphicData>
                                  </a:graphic>
                                </wp:inline>
                              </w:drawing>
                            </w:r>
                            <w:r w:rsidR="009833B6">
                              <w:rPr>
                                <w:rFonts w:ascii="Century Gothic" w:hAnsi="Century Gothic"/>
                                <w:sz w:val="18"/>
                                <w:szCs w:val="18"/>
                              </w:rPr>
                              <w:tab/>
                            </w:r>
                          </w:p>
                          <w:p w14:paraId="0310128D" w14:textId="77777777" w:rsidR="009833B6" w:rsidRPr="006E5AB0" w:rsidRDefault="009833B6" w:rsidP="00F606D7">
                            <w:pPr>
                              <w:rPr>
                                <w:rFonts w:ascii="Century Gothic" w:hAnsi="Century Gothic"/>
                                <w:b/>
                                <w:sz w:val="18"/>
                                <w:szCs w:val="18"/>
                              </w:rPr>
                            </w:pPr>
                            <w:r w:rsidRPr="006E5AB0">
                              <w:rPr>
                                <w:rFonts w:ascii="Century Gothic" w:hAnsi="Century Gothic"/>
                                <w:b/>
                                <w:sz w:val="18"/>
                                <w:szCs w:val="18"/>
                              </w:rPr>
                              <w:t>DATE</w:t>
                            </w:r>
                            <w:r w:rsidRPr="006E5AB0">
                              <w:rPr>
                                <w:rFonts w:ascii="Century Gothic" w:hAnsi="Century Gothic"/>
                                <w:sz w:val="18"/>
                                <w:szCs w:val="18"/>
                              </w:rPr>
                              <w:tab/>
                            </w:r>
                            <w:r w:rsidRPr="006E5AB0">
                              <w:rPr>
                                <w:rFonts w:ascii="Century Gothic" w:hAnsi="Century Gothic"/>
                                <w:sz w:val="18"/>
                                <w:szCs w:val="18"/>
                              </w:rPr>
                              <w:tab/>
                            </w:r>
                            <w:r w:rsidRPr="006E5AB0">
                              <w:rPr>
                                <w:rFonts w:ascii="Century Gothic" w:hAnsi="Century Gothic"/>
                                <w:sz w:val="18"/>
                                <w:szCs w:val="18"/>
                              </w:rPr>
                              <w:tab/>
                              <w:t xml:space="preserve">    </w:t>
                            </w:r>
                            <w:r w:rsidRPr="006E5AB0">
                              <w:rPr>
                                <w:rFonts w:ascii="Century Gothic" w:hAnsi="Century Gothic"/>
                                <w:b/>
                                <w:sz w:val="18"/>
                                <w:szCs w:val="18"/>
                              </w:rPr>
                              <w:t>SIGNATURE</w:t>
                            </w:r>
                          </w:p>
                          <w:p w14:paraId="1AA47062" w14:textId="77777777" w:rsidR="009833B6" w:rsidRPr="006E5AB0" w:rsidRDefault="009833B6" w:rsidP="00F606D7">
                            <w:pPr>
                              <w:rPr>
                                <w:rFonts w:ascii="Century Gothic" w:hAnsi="Century Gothic"/>
                                <w:sz w:val="18"/>
                                <w:szCs w:val="18"/>
                              </w:rPr>
                            </w:pPr>
                          </w:p>
                          <w:p w14:paraId="31782C2F" w14:textId="77777777" w:rsidR="009833B6" w:rsidRPr="006E5AB0" w:rsidRDefault="009833B6" w:rsidP="00F606D7">
                            <w:pPr>
                              <w:rPr>
                                <w:rFonts w:ascii="Century Gothic" w:hAnsi="Century Gothic"/>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shapetype w14:anchorId="5BA7E240" id="_x0000_t202" coordsize="21600,21600" o:spt="202" path="m,l,21600r21600,l21600,xe">
                <v:stroke joinstyle="miter"/>
                <v:path gradientshapeok="t" o:connecttype="rect"/>
              </v:shapetype>
              <v:shape id="Text Box 2" o:spid="_x0000_s1026" type="#_x0000_t202" style="position:absolute;left:0;text-align:left;margin-left:8pt;margin-top:43.9pt;width:232pt;height:1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S4FQIAACwEAAAOAAAAZHJzL2Uyb0RvYy54bWysU9uO0zAQfUfiHyy/0yRVumyjpqulSxHS&#10;siAtfIDjOImF4zG226R8PWMn2y23F4QfLI9nfGbmzPHmZuwVOQrrJOiSZouUEqE51FK3Jf3yef/q&#10;mhLnma6ZAi1KehKO3mxfvtgMphBL6EDVwhIE0a4YTEk7702RJI53omduAUZodDZge+bRtG1SWzYg&#10;eq+SZZpeJQPY2ljgwjm8vZucdBvxm0Zw/7FpnPBElRRr83G3ca/Cnmw3rGgtM53kcxnsH6romdSY&#10;9Ax1xzwjByt/g+olt+Cg8QsOfQJNI7mIPWA3WfpLN48dMyL2guQ4c6bJ/T9Y/nB8NJ8s8eMbGHGA&#10;sQln7oF/dUTDrmO6FbfWwtAJVmPiLFCWDMYV89NAtStcAKmGD1DjkNnBQwQaG9sHVrBPgug4gNOZ&#10;dDF6wvFyuc6v8hRdHH3ZdZ6t0Ag5WPH03Fjn3wnoSTiU1OJUIzw73js/hT6FhGwOlKz3Uqlo2Lba&#10;KUuODBWwj2tG/ylMaTKUdL1ariYG/gqRxvUniF56lLKSfUmvz0GsCLy91XUUmmdSTWfsTumZyMDd&#10;xKIfqxEDA6EV1Cek1MIkWfxieOjAfqdkQLmW1H07MCsoUe81jmWd5XnQdzTy1eslGvbSU116mOYI&#10;VVJPyXTc+elPHIyVbYeZJiFouMVRNjKS/FzVXDdKMo5p/j5B85d2jHr+5NsfAAAA//8DAFBLAwQU&#10;AAYACAAAACEAnqvXRd0AAAAJAQAADwAAAGRycy9kb3ducmV2LnhtbEyPwU7DMBBE70j8g7VIXBB1&#10;oFUSQpwKIYHgVgqCqxtvkwh7HWw3DX/PcoLjzKxm59Xr2VkxYYiDJwVXiwwEUuvNQJ2Ct9eHyxJE&#10;TJqMtp5QwTdGWDenJ7WujD/SC07b1AkuoVhpBX1KYyVlbHt0Oi78iMTZ3genE8vQSRP0kcudlddZ&#10;lkunB+IPvR7xvsf2c3twCsrV0/QRn5eb9zbf25t0UUyPX0Gp87P57hZEwjn9HcPvfJ4ODW/a+QOZ&#10;KCzrnFESdxVMwPmqzNjYKVgW7Mimlv8Jmh8AAAD//wMAUEsBAi0AFAAGAAgAAAAhALaDOJL+AAAA&#10;4QEAABMAAAAAAAAAAAAAAAAAAAAAAFtDb250ZW50X1R5cGVzXS54bWxQSwECLQAUAAYACAAAACEA&#10;OP0h/9YAAACUAQAACwAAAAAAAAAAAAAAAAAvAQAAX3JlbHMvLnJlbHNQSwECLQAUAAYACAAAACEA&#10;Iuv0uBUCAAAsBAAADgAAAAAAAAAAAAAAAAAuAgAAZHJzL2Uyb0RvYy54bWxQSwECLQAUAAYACAAA&#10;ACEAnqvXRd0AAAAJAQAADwAAAAAAAAAAAAAAAABvBAAAZHJzL2Rvd25yZXYueG1sUEsFBgAAAAAE&#10;AAQA8wAAAHkFAAAAAA==&#10;">
                <v:textbox>
                  <w:txbxContent>
                    <w:p w14:paraId="521027D3" w14:textId="77777777" w:rsidR="009833B6" w:rsidRPr="006E5AB0" w:rsidRDefault="009833B6" w:rsidP="00F606D7">
                      <w:pPr>
                        <w:numPr>
                          <w:ilvl w:val="0"/>
                          <w:numId w:val="1"/>
                        </w:numPr>
                        <w:spacing w:before="120" w:after="0" w:line="240" w:lineRule="auto"/>
                        <w:rPr>
                          <w:rFonts w:ascii="Century Gothic" w:hAnsi="Century Gothic"/>
                          <w:sz w:val="18"/>
                          <w:szCs w:val="18"/>
                        </w:rPr>
                      </w:pPr>
                      <w:r w:rsidRPr="006E5AB0">
                        <w:rPr>
                          <w:rFonts w:ascii="Century Gothic" w:hAnsi="Century Gothic"/>
                          <w:sz w:val="18"/>
                          <w:szCs w:val="18"/>
                        </w:rPr>
                        <w:t>REPORTABLE: NO</w:t>
                      </w:r>
                    </w:p>
                    <w:p w14:paraId="50D4AB95" w14:textId="77777777" w:rsidR="009833B6" w:rsidRPr="006E5AB0" w:rsidRDefault="009833B6" w:rsidP="00F606D7">
                      <w:pPr>
                        <w:numPr>
                          <w:ilvl w:val="0"/>
                          <w:numId w:val="1"/>
                        </w:numPr>
                        <w:spacing w:after="0" w:line="240" w:lineRule="auto"/>
                        <w:rPr>
                          <w:rFonts w:ascii="Century Gothic" w:hAnsi="Century Gothic"/>
                          <w:sz w:val="18"/>
                          <w:szCs w:val="18"/>
                        </w:rPr>
                      </w:pPr>
                      <w:r w:rsidRPr="006E5AB0">
                        <w:rPr>
                          <w:rFonts w:ascii="Century Gothic" w:hAnsi="Century Gothic"/>
                          <w:sz w:val="18"/>
                          <w:szCs w:val="18"/>
                        </w:rPr>
                        <w:t>OF INTEREST TO OTHER JUDGES: NO</w:t>
                      </w:r>
                    </w:p>
                    <w:p w14:paraId="09C75C7B" w14:textId="77777777" w:rsidR="009833B6" w:rsidRPr="006E5AB0" w:rsidRDefault="009833B6" w:rsidP="00F606D7">
                      <w:pPr>
                        <w:numPr>
                          <w:ilvl w:val="0"/>
                          <w:numId w:val="1"/>
                        </w:numPr>
                        <w:spacing w:after="0" w:line="240" w:lineRule="auto"/>
                        <w:rPr>
                          <w:rFonts w:ascii="Century Gothic" w:hAnsi="Century Gothic"/>
                          <w:sz w:val="18"/>
                          <w:szCs w:val="18"/>
                        </w:rPr>
                      </w:pPr>
                      <w:r w:rsidRPr="006E5AB0">
                        <w:rPr>
                          <w:rFonts w:ascii="Century Gothic" w:hAnsi="Century Gothic"/>
                          <w:sz w:val="18"/>
                          <w:szCs w:val="18"/>
                        </w:rPr>
                        <w:t xml:space="preserve">REVISED </w:t>
                      </w:r>
                    </w:p>
                    <w:p w14:paraId="40339CFF" w14:textId="77777777" w:rsidR="009833B6" w:rsidRPr="006E5AB0" w:rsidRDefault="009833B6" w:rsidP="00F606D7">
                      <w:pPr>
                        <w:rPr>
                          <w:rFonts w:ascii="Century Gothic" w:hAnsi="Century Gothic"/>
                          <w:b/>
                          <w:sz w:val="18"/>
                          <w:szCs w:val="18"/>
                        </w:rPr>
                      </w:pPr>
                    </w:p>
                    <w:p w14:paraId="171AB2F6" w14:textId="77777777" w:rsidR="009833B6" w:rsidRPr="006E5AB0" w:rsidRDefault="009833B6" w:rsidP="00F606D7">
                      <w:pPr>
                        <w:rPr>
                          <w:rFonts w:ascii="Century Gothic" w:hAnsi="Century Gothic"/>
                          <w:b/>
                          <w:sz w:val="18"/>
                          <w:szCs w:val="18"/>
                        </w:rPr>
                      </w:pPr>
                      <w:r w:rsidRPr="006E5AB0">
                        <w:rPr>
                          <w:rFonts w:ascii="Century Gothic" w:hAnsi="Century Gothic"/>
                          <w:b/>
                          <w:sz w:val="18"/>
                          <w:szCs w:val="18"/>
                        </w:rPr>
                        <w:tab/>
                        <w:t xml:space="preserve"> </w:t>
                      </w:r>
                    </w:p>
                    <w:p w14:paraId="7650566A" w14:textId="70F9FE2A" w:rsidR="009833B6" w:rsidRDefault="00C1690C" w:rsidP="00F606D7">
                      <w:pPr>
                        <w:rPr>
                          <w:rFonts w:ascii="Century Gothic" w:hAnsi="Century Gothic"/>
                          <w:sz w:val="18"/>
                          <w:szCs w:val="18"/>
                        </w:rPr>
                      </w:pPr>
                      <w:r>
                        <w:rPr>
                          <w:rFonts w:ascii="Century Gothic" w:hAnsi="Century Gothic"/>
                          <w:b/>
                          <w:sz w:val="18"/>
                          <w:szCs w:val="18"/>
                          <w:u w:val="single"/>
                        </w:rPr>
                        <w:t>0</w:t>
                      </w:r>
                      <w:r w:rsidR="00513CFC">
                        <w:rPr>
                          <w:rFonts w:ascii="Century Gothic" w:hAnsi="Century Gothic"/>
                          <w:b/>
                          <w:sz w:val="18"/>
                          <w:szCs w:val="18"/>
                          <w:u w:val="single"/>
                        </w:rPr>
                        <w:t>7</w:t>
                      </w:r>
                      <w:r>
                        <w:rPr>
                          <w:rFonts w:ascii="Century Gothic" w:hAnsi="Century Gothic"/>
                          <w:b/>
                          <w:sz w:val="18"/>
                          <w:szCs w:val="18"/>
                          <w:u w:val="single"/>
                        </w:rPr>
                        <w:t xml:space="preserve"> JUNE</w:t>
                      </w:r>
                      <w:r w:rsidR="009833B6">
                        <w:rPr>
                          <w:rFonts w:ascii="Century Gothic" w:hAnsi="Century Gothic"/>
                          <w:b/>
                          <w:sz w:val="18"/>
                          <w:szCs w:val="18"/>
                          <w:u w:val="single"/>
                        </w:rPr>
                        <w:t xml:space="preserve"> </w:t>
                      </w:r>
                      <w:r w:rsidR="009833B6" w:rsidRPr="008B5058">
                        <w:rPr>
                          <w:rFonts w:ascii="Century Gothic" w:hAnsi="Century Gothic"/>
                          <w:b/>
                          <w:sz w:val="18"/>
                          <w:szCs w:val="18"/>
                          <w:u w:val="single"/>
                        </w:rPr>
                        <w:t>2023_</w:t>
                      </w:r>
                      <w:r w:rsidR="009833B6" w:rsidRPr="006E5AB0">
                        <w:rPr>
                          <w:rFonts w:ascii="Century Gothic" w:hAnsi="Century Gothic"/>
                          <w:sz w:val="18"/>
                          <w:szCs w:val="18"/>
                        </w:rPr>
                        <w:t xml:space="preserve">          </w:t>
                      </w:r>
                      <w:r w:rsidR="009833B6">
                        <w:rPr>
                          <w:rFonts w:ascii="Century Gothic" w:hAnsi="Century Gothic"/>
                          <w:sz w:val="18"/>
                          <w:szCs w:val="18"/>
                        </w:rPr>
                        <w:tab/>
                        <w:t xml:space="preserve">    </w:t>
                      </w:r>
                      <w:r w:rsidR="009833B6" w:rsidRPr="006E5AB0">
                        <w:rPr>
                          <w:noProof/>
                          <w:u w:val="single"/>
                        </w:rPr>
                        <w:drawing>
                          <wp:inline distT="0" distB="0" distL="0" distR="0" wp14:anchorId="55372B5A" wp14:editId="4086F0E4">
                            <wp:extent cx="546100" cy="450850"/>
                            <wp:effectExtent l="0" t="0" r="6350" b="635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6100" cy="450850"/>
                                    </a:xfrm>
                                    <a:prstGeom prst="rect">
                                      <a:avLst/>
                                    </a:prstGeom>
                                    <a:noFill/>
                                    <a:ln>
                                      <a:noFill/>
                                    </a:ln>
                                  </pic:spPr>
                                </pic:pic>
                              </a:graphicData>
                            </a:graphic>
                          </wp:inline>
                        </w:drawing>
                      </w:r>
                      <w:r w:rsidR="009833B6">
                        <w:rPr>
                          <w:rFonts w:ascii="Century Gothic" w:hAnsi="Century Gothic"/>
                          <w:sz w:val="18"/>
                          <w:szCs w:val="18"/>
                        </w:rPr>
                        <w:tab/>
                      </w:r>
                    </w:p>
                    <w:p w14:paraId="0310128D" w14:textId="77777777" w:rsidR="009833B6" w:rsidRPr="006E5AB0" w:rsidRDefault="009833B6" w:rsidP="00F606D7">
                      <w:pPr>
                        <w:rPr>
                          <w:rFonts w:ascii="Century Gothic" w:hAnsi="Century Gothic"/>
                          <w:b/>
                          <w:sz w:val="18"/>
                          <w:szCs w:val="18"/>
                        </w:rPr>
                      </w:pPr>
                      <w:r w:rsidRPr="006E5AB0">
                        <w:rPr>
                          <w:rFonts w:ascii="Century Gothic" w:hAnsi="Century Gothic"/>
                          <w:b/>
                          <w:sz w:val="18"/>
                          <w:szCs w:val="18"/>
                        </w:rPr>
                        <w:t>DATE</w:t>
                      </w:r>
                      <w:r w:rsidRPr="006E5AB0">
                        <w:rPr>
                          <w:rFonts w:ascii="Century Gothic" w:hAnsi="Century Gothic"/>
                          <w:sz w:val="18"/>
                          <w:szCs w:val="18"/>
                        </w:rPr>
                        <w:tab/>
                      </w:r>
                      <w:r w:rsidRPr="006E5AB0">
                        <w:rPr>
                          <w:rFonts w:ascii="Century Gothic" w:hAnsi="Century Gothic"/>
                          <w:sz w:val="18"/>
                          <w:szCs w:val="18"/>
                        </w:rPr>
                        <w:tab/>
                      </w:r>
                      <w:r w:rsidRPr="006E5AB0">
                        <w:rPr>
                          <w:rFonts w:ascii="Century Gothic" w:hAnsi="Century Gothic"/>
                          <w:sz w:val="18"/>
                          <w:szCs w:val="18"/>
                        </w:rPr>
                        <w:tab/>
                        <w:t xml:space="preserve">    </w:t>
                      </w:r>
                      <w:r w:rsidRPr="006E5AB0">
                        <w:rPr>
                          <w:rFonts w:ascii="Century Gothic" w:hAnsi="Century Gothic"/>
                          <w:b/>
                          <w:sz w:val="18"/>
                          <w:szCs w:val="18"/>
                        </w:rPr>
                        <w:t>SIGNATURE</w:t>
                      </w:r>
                    </w:p>
                    <w:p w14:paraId="1AA47062" w14:textId="77777777" w:rsidR="009833B6" w:rsidRPr="006E5AB0" w:rsidRDefault="009833B6" w:rsidP="00F606D7">
                      <w:pPr>
                        <w:rPr>
                          <w:rFonts w:ascii="Century Gothic" w:hAnsi="Century Gothic"/>
                          <w:sz w:val="18"/>
                          <w:szCs w:val="18"/>
                        </w:rPr>
                      </w:pPr>
                    </w:p>
                    <w:p w14:paraId="31782C2F" w14:textId="77777777" w:rsidR="009833B6" w:rsidRPr="006E5AB0" w:rsidRDefault="009833B6" w:rsidP="00F606D7">
                      <w:pPr>
                        <w:rPr>
                          <w:rFonts w:ascii="Century Gothic" w:hAnsi="Century Gothic"/>
                          <w:sz w:val="18"/>
                          <w:szCs w:val="18"/>
                        </w:rPr>
                      </w:pPr>
                    </w:p>
                  </w:txbxContent>
                </v:textbox>
                <w10:wrap anchorx="margin"/>
              </v:shape>
            </w:pict>
          </mc:Fallback>
        </mc:AlternateContent>
      </w:r>
    </w:p>
    <w:p w14:paraId="6C113CEA" w14:textId="77777777" w:rsidR="00F606D7" w:rsidRPr="00F606D7" w:rsidRDefault="00F606D7" w:rsidP="00F606D7">
      <w:pPr>
        <w:rPr>
          <w:rFonts w:ascii="Verdana" w:hAnsi="Verdana"/>
          <w:sz w:val="24"/>
          <w:szCs w:val="24"/>
        </w:rPr>
      </w:pPr>
    </w:p>
    <w:p w14:paraId="6C5AC5AE" w14:textId="77777777" w:rsidR="00F606D7" w:rsidRPr="00F606D7" w:rsidRDefault="00F606D7" w:rsidP="00F606D7">
      <w:pPr>
        <w:rPr>
          <w:rFonts w:ascii="Verdana" w:hAnsi="Verdana"/>
          <w:sz w:val="24"/>
          <w:szCs w:val="24"/>
        </w:rPr>
      </w:pPr>
    </w:p>
    <w:p w14:paraId="715E9AF8" w14:textId="77777777" w:rsidR="00F606D7" w:rsidRPr="00F606D7" w:rsidRDefault="00F606D7" w:rsidP="00F606D7">
      <w:pPr>
        <w:rPr>
          <w:rFonts w:ascii="Verdana" w:hAnsi="Verdana"/>
          <w:sz w:val="24"/>
          <w:szCs w:val="24"/>
        </w:rPr>
      </w:pPr>
    </w:p>
    <w:p w14:paraId="556C188C" w14:textId="77777777" w:rsidR="00F606D7" w:rsidRDefault="00F606D7" w:rsidP="00F606D7">
      <w:pPr>
        <w:rPr>
          <w:rFonts w:ascii="Verdana" w:hAnsi="Verdana"/>
          <w:sz w:val="24"/>
          <w:szCs w:val="24"/>
        </w:rPr>
      </w:pPr>
    </w:p>
    <w:p w14:paraId="2EF6A7D3" w14:textId="77777777" w:rsidR="0066757F" w:rsidRDefault="0066757F" w:rsidP="00F606D7">
      <w:pPr>
        <w:rPr>
          <w:rFonts w:ascii="Verdana" w:hAnsi="Verdana"/>
          <w:sz w:val="24"/>
          <w:szCs w:val="24"/>
        </w:rPr>
      </w:pPr>
    </w:p>
    <w:p w14:paraId="479111E2" w14:textId="77777777" w:rsidR="0066757F" w:rsidRPr="00F606D7" w:rsidRDefault="0066757F" w:rsidP="00F606D7">
      <w:pPr>
        <w:rPr>
          <w:rFonts w:ascii="Verdana" w:hAnsi="Verdana"/>
          <w:sz w:val="24"/>
          <w:szCs w:val="24"/>
        </w:rPr>
      </w:pPr>
    </w:p>
    <w:p w14:paraId="2367E8D7" w14:textId="77777777" w:rsidR="00F606D7" w:rsidRPr="00F606D7" w:rsidRDefault="00F606D7" w:rsidP="00F606D7">
      <w:pPr>
        <w:rPr>
          <w:rFonts w:ascii="Verdana" w:hAnsi="Verdana"/>
          <w:sz w:val="24"/>
          <w:szCs w:val="24"/>
        </w:rPr>
      </w:pPr>
    </w:p>
    <w:p w14:paraId="645C3C7F" w14:textId="77777777" w:rsidR="00FA5E28" w:rsidRDefault="0066757F" w:rsidP="0066757F">
      <w:pPr>
        <w:tabs>
          <w:tab w:val="left" w:pos="3640"/>
        </w:tabs>
        <w:rPr>
          <w:rFonts w:ascii="Verdana" w:hAnsi="Verdana"/>
          <w:sz w:val="24"/>
          <w:szCs w:val="24"/>
        </w:rPr>
      </w:pP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p>
    <w:p w14:paraId="4189BD69" w14:textId="77777777" w:rsidR="00FA5E28" w:rsidRPr="00FA5E28" w:rsidRDefault="00FA5E28" w:rsidP="0066757F">
      <w:pPr>
        <w:tabs>
          <w:tab w:val="left" w:pos="3640"/>
        </w:tabs>
        <w:rPr>
          <w:rFonts w:ascii="Verdana" w:hAnsi="Verdana"/>
          <w:b/>
          <w:sz w:val="24"/>
          <w:szCs w:val="24"/>
        </w:rPr>
      </w:pP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sidRPr="00FA5E28">
        <w:rPr>
          <w:rFonts w:ascii="Verdana" w:hAnsi="Verdana"/>
          <w:b/>
          <w:sz w:val="24"/>
          <w:szCs w:val="24"/>
        </w:rPr>
        <w:t>GDP CASE NO. 2022/8099</w:t>
      </w:r>
      <w:r w:rsidRPr="00FA5E28">
        <w:rPr>
          <w:rFonts w:ascii="Verdana" w:hAnsi="Verdana"/>
          <w:b/>
          <w:sz w:val="24"/>
          <w:szCs w:val="24"/>
        </w:rPr>
        <w:tab/>
      </w:r>
    </w:p>
    <w:p w14:paraId="5C3446DA" w14:textId="37AB4017" w:rsidR="00F606D7" w:rsidRDefault="00FA5E28" w:rsidP="0066757F">
      <w:pPr>
        <w:tabs>
          <w:tab w:val="left" w:pos="3640"/>
        </w:tabs>
        <w:rPr>
          <w:rFonts w:ascii="Verdana" w:hAnsi="Verdana"/>
          <w:b/>
          <w:sz w:val="24"/>
          <w:szCs w:val="24"/>
          <w:lang w:val="en-ZA"/>
        </w:rPr>
      </w:pPr>
      <w:r>
        <w:rPr>
          <w:rFonts w:ascii="Verdana" w:hAnsi="Verdana"/>
          <w:b/>
          <w:bCs/>
          <w:sz w:val="24"/>
          <w:szCs w:val="24"/>
          <w:lang w:val="en-ZA"/>
        </w:rPr>
        <w:tab/>
      </w:r>
      <w:r>
        <w:rPr>
          <w:rFonts w:ascii="Verdana" w:hAnsi="Verdana"/>
          <w:b/>
          <w:bCs/>
          <w:sz w:val="24"/>
          <w:szCs w:val="24"/>
          <w:lang w:val="en-ZA"/>
        </w:rPr>
        <w:tab/>
      </w:r>
      <w:r w:rsidR="00176D47">
        <w:rPr>
          <w:rFonts w:ascii="Verdana" w:hAnsi="Verdana"/>
          <w:b/>
          <w:bCs/>
          <w:sz w:val="24"/>
          <w:szCs w:val="24"/>
          <w:lang w:val="en-ZA"/>
        </w:rPr>
        <w:t xml:space="preserve">         PATENT </w:t>
      </w:r>
      <w:r w:rsidR="0066757F" w:rsidRPr="0066757F">
        <w:rPr>
          <w:rFonts w:ascii="Verdana" w:hAnsi="Verdana"/>
          <w:b/>
          <w:bCs/>
          <w:sz w:val="24"/>
          <w:szCs w:val="24"/>
          <w:lang w:val="en-ZA"/>
        </w:rPr>
        <w:t>CASE NO:</w:t>
      </w:r>
      <w:r w:rsidR="0066757F" w:rsidRPr="0066757F">
        <w:rPr>
          <w:rFonts w:ascii="Verdana" w:hAnsi="Verdana"/>
          <w:b/>
          <w:sz w:val="24"/>
          <w:szCs w:val="24"/>
          <w:lang w:val="en-ZA"/>
        </w:rPr>
        <w:t xml:space="preserve"> </w:t>
      </w:r>
      <w:r w:rsidR="00AE6C23">
        <w:rPr>
          <w:rFonts w:ascii="Verdana" w:hAnsi="Verdana"/>
          <w:b/>
          <w:sz w:val="24"/>
          <w:szCs w:val="24"/>
          <w:lang w:val="en-ZA"/>
        </w:rPr>
        <w:t>06238/2007</w:t>
      </w:r>
    </w:p>
    <w:p w14:paraId="5C8EEDA3" w14:textId="77777777" w:rsidR="0066757F" w:rsidRDefault="0066757F" w:rsidP="0066757F">
      <w:pPr>
        <w:tabs>
          <w:tab w:val="left" w:pos="3640"/>
        </w:tabs>
        <w:jc w:val="both"/>
        <w:rPr>
          <w:rFonts w:ascii="Verdana" w:hAnsi="Verdana"/>
          <w:sz w:val="24"/>
          <w:szCs w:val="24"/>
          <w:lang w:val="en-ZA"/>
        </w:rPr>
      </w:pPr>
    </w:p>
    <w:p w14:paraId="723F7B40" w14:textId="77777777" w:rsidR="0066757F" w:rsidRDefault="0066757F" w:rsidP="0066757F">
      <w:pPr>
        <w:tabs>
          <w:tab w:val="left" w:pos="3640"/>
        </w:tabs>
        <w:jc w:val="both"/>
        <w:rPr>
          <w:rFonts w:ascii="Verdana" w:hAnsi="Verdana"/>
          <w:sz w:val="24"/>
          <w:szCs w:val="24"/>
          <w:lang w:val="en-ZA"/>
        </w:rPr>
      </w:pPr>
    </w:p>
    <w:p w14:paraId="08683BD1" w14:textId="77777777" w:rsidR="0066757F" w:rsidRDefault="0066757F" w:rsidP="0066757F">
      <w:pPr>
        <w:tabs>
          <w:tab w:val="left" w:pos="3640"/>
        </w:tabs>
        <w:jc w:val="both"/>
        <w:rPr>
          <w:rFonts w:ascii="Verdana" w:hAnsi="Verdana" w:cs="Arial"/>
          <w:lang w:val="en-GB"/>
        </w:rPr>
      </w:pPr>
      <w:r w:rsidRPr="00954453">
        <w:rPr>
          <w:rFonts w:ascii="Verdana" w:hAnsi="Verdana" w:cs="Arial"/>
          <w:lang w:val="en-GB"/>
        </w:rPr>
        <w:t>In the matter between:</w:t>
      </w:r>
    </w:p>
    <w:p w14:paraId="21CB7441" w14:textId="293F19ED" w:rsidR="0066757F" w:rsidRDefault="00C1690C" w:rsidP="0066757F">
      <w:pPr>
        <w:tabs>
          <w:tab w:val="left" w:pos="3640"/>
        </w:tabs>
        <w:jc w:val="both"/>
        <w:rPr>
          <w:rFonts w:ascii="Verdana" w:hAnsi="Verdana" w:cs="Arial"/>
          <w:lang w:val="en-GB"/>
        </w:rPr>
      </w:pPr>
      <w:r>
        <w:rPr>
          <w:rFonts w:ascii="Verdana" w:hAnsi="Verdana" w:cs="Arial"/>
          <w:lang w:val="en-GB"/>
        </w:rPr>
        <w:t xml:space="preserve"> </w:t>
      </w:r>
    </w:p>
    <w:p w14:paraId="1537A55A" w14:textId="150F5415" w:rsidR="00AE6C23" w:rsidRDefault="00AE6C23" w:rsidP="00AE6C23">
      <w:pPr>
        <w:tabs>
          <w:tab w:val="left" w:pos="3640"/>
        </w:tabs>
        <w:jc w:val="both"/>
        <w:rPr>
          <w:rFonts w:ascii="Verdana" w:hAnsi="Verdana"/>
          <w:bCs/>
          <w:sz w:val="24"/>
          <w:szCs w:val="24"/>
          <w:lang w:val="en-ZA"/>
        </w:rPr>
      </w:pPr>
      <w:r>
        <w:rPr>
          <w:rFonts w:ascii="Verdana" w:hAnsi="Verdana"/>
          <w:bCs/>
          <w:sz w:val="24"/>
          <w:szCs w:val="24"/>
          <w:lang w:val="en-ZA"/>
        </w:rPr>
        <w:t>BAYER INTELLECTUAL PROPERTY GMBH</w:t>
      </w:r>
      <w:r>
        <w:rPr>
          <w:rFonts w:ascii="Verdana" w:hAnsi="Verdana"/>
          <w:bCs/>
          <w:sz w:val="24"/>
          <w:szCs w:val="24"/>
          <w:lang w:val="en-ZA"/>
        </w:rPr>
        <w:tab/>
      </w:r>
      <w:r>
        <w:rPr>
          <w:rFonts w:ascii="Verdana" w:hAnsi="Verdana"/>
          <w:bCs/>
          <w:sz w:val="24"/>
          <w:szCs w:val="24"/>
          <w:lang w:val="en-ZA"/>
        </w:rPr>
        <w:tab/>
      </w:r>
      <w:r w:rsidR="00C1690C">
        <w:rPr>
          <w:rFonts w:ascii="Verdana" w:hAnsi="Verdana"/>
          <w:bCs/>
          <w:sz w:val="24"/>
          <w:szCs w:val="24"/>
          <w:lang w:val="en-ZA"/>
        </w:rPr>
        <w:t xml:space="preserve">         </w:t>
      </w:r>
      <w:r>
        <w:rPr>
          <w:rFonts w:ascii="Verdana" w:hAnsi="Verdana"/>
          <w:bCs/>
          <w:sz w:val="24"/>
          <w:szCs w:val="24"/>
          <w:lang w:val="en-ZA"/>
        </w:rPr>
        <w:tab/>
        <w:t>First Applicant</w:t>
      </w:r>
    </w:p>
    <w:p w14:paraId="12CF28F7" w14:textId="77777777" w:rsidR="00AE6C23" w:rsidRDefault="00AE6C23" w:rsidP="00AE6C23">
      <w:pPr>
        <w:tabs>
          <w:tab w:val="left" w:pos="3640"/>
        </w:tabs>
        <w:jc w:val="both"/>
        <w:rPr>
          <w:rFonts w:ascii="Verdana" w:hAnsi="Verdana"/>
          <w:bCs/>
          <w:sz w:val="24"/>
          <w:szCs w:val="24"/>
          <w:lang w:val="en-ZA"/>
        </w:rPr>
      </w:pPr>
    </w:p>
    <w:p w14:paraId="30635935" w14:textId="71028B6C" w:rsidR="0066757F" w:rsidRDefault="00AE6C23" w:rsidP="00AE6C23">
      <w:pPr>
        <w:tabs>
          <w:tab w:val="left" w:pos="3640"/>
        </w:tabs>
        <w:spacing w:line="360" w:lineRule="auto"/>
        <w:jc w:val="both"/>
        <w:rPr>
          <w:rFonts w:ascii="Verdana" w:hAnsi="Verdana"/>
          <w:bCs/>
          <w:sz w:val="24"/>
          <w:szCs w:val="24"/>
          <w:lang w:val="en-ZA"/>
        </w:rPr>
      </w:pPr>
      <w:r>
        <w:rPr>
          <w:rFonts w:ascii="Verdana" w:hAnsi="Verdana"/>
          <w:bCs/>
          <w:sz w:val="24"/>
          <w:szCs w:val="24"/>
          <w:lang w:val="en-ZA"/>
        </w:rPr>
        <w:t>BAYER AG</w:t>
      </w:r>
      <w:r>
        <w:rPr>
          <w:rFonts w:ascii="Verdana" w:hAnsi="Verdana"/>
          <w:bCs/>
          <w:sz w:val="24"/>
          <w:szCs w:val="24"/>
          <w:lang w:val="en-ZA"/>
        </w:rPr>
        <w:tab/>
      </w:r>
      <w:r>
        <w:rPr>
          <w:rFonts w:ascii="Verdana" w:hAnsi="Verdana"/>
          <w:bCs/>
          <w:sz w:val="24"/>
          <w:szCs w:val="24"/>
          <w:lang w:val="en-ZA"/>
        </w:rPr>
        <w:tab/>
      </w:r>
      <w:r>
        <w:rPr>
          <w:rFonts w:ascii="Verdana" w:hAnsi="Verdana"/>
          <w:bCs/>
          <w:sz w:val="24"/>
          <w:szCs w:val="24"/>
          <w:lang w:val="en-ZA"/>
        </w:rPr>
        <w:tab/>
      </w:r>
      <w:r w:rsidR="00C1690C">
        <w:rPr>
          <w:rFonts w:ascii="Verdana" w:hAnsi="Verdana"/>
          <w:bCs/>
          <w:sz w:val="24"/>
          <w:szCs w:val="24"/>
          <w:lang w:val="en-ZA"/>
        </w:rPr>
        <w:t xml:space="preserve">         </w:t>
      </w:r>
      <w:r>
        <w:rPr>
          <w:rFonts w:ascii="Verdana" w:hAnsi="Verdana"/>
          <w:bCs/>
          <w:sz w:val="24"/>
          <w:szCs w:val="24"/>
          <w:lang w:val="en-ZA"/>
        </w:rPr>
        <w:tab/>
      </w:r>
      <w:r>
        <w:rPr>
          <w:rFonts w:ascii="Verdana" w:hAnsi="Verdana"/>
          <w:bCs/>
          <w:sz w:val="24"/>
          <w:szCs w:val="24"/>
          <w:lang w:val="en-ZA"/>
        </w:rPr>
        <w:tab/>
        <w:t>Second Applicant</w:t>
      </w:r>
    </w:p>
    <w:p w14:paraId="6E62190C" w14:textId="77777777" w:rsidR="00AE6C23" w:rsidRDefault="00AE6C23" w:rsidP="00AE6C23">
      <w:pPr>
        <w:tabs>
          <w:tab w:val="left" w:pos="3640"/>
        </w:tabs>
        <w:spacing w:line="360" w:lineRule="auto"/>
        <w:jc w:val="both"/>
        <w:rPr>
          <w:rFonts w:ascii="Verdana" w:hAnsi="Verdana"/>
          <w:bCs/>
          <w:sz w:val="24"/>
          <w:szCs w:val="24"/>
          <w:lang w:val="en-ZA"/>
        </w:rPr>
      </w:pPr>
    </w:p>
    <w:p w14:paraId="4467D68C" w14:textId="511AF8C5" w:rsidR="00AE6C23" w:rsidRDefault="00AE6C23" w:rsidP="00AE6C23">
      <w:pPr>
        <w:tabs>
          <w:tab w:val="left" w:pos="3640"/>
        </w:tabs>
        <w:spacing w:line="360" w:lineRule="auto"/>
        <w:jc w:val="both"/>
        <w:rPr>
          <w:rFonts w:ascii="Verdana" w:hAnsi="Verdana"/>
          <w:bCs/>
          <w:sz w:val="24"/>
          <w:szCs w:val="24"/>
          <w:lang w:val="en-ZA"/>
        </w:rPr>
      </w:pPr>
      <w:r>
        <w:rPr>
          <w:rFonts w:ascii="Verdana" w:hAnsi="Verdana"/>
          <w:bCs/>
          <w:sz w:val="24"/>
          <w:szCs w:val="24"/>
          <w:lang w:val="en-ZA"/>
        </w:rPr>
        <w:t>BAYER (PTY)</w:t>
      </w:r>
      <w:r w:rsidR="00C1690C">
        <w:rPr>
          <w:rFonts w:ascii="Verdana" w:hAnsi="Verdana"/>
          <w:bCs/>
          <w:sz w:val="24"/>
          <w:szCs w:val="24"/>
          <w:lang w:val="en-ZA"/>
        </w:rPr>
        <w:t xml:space="preserve"> </w:t>
      </w:r>
      <w:r>
        <w:rPr>
          <w:rFonts w:ascii="Verdana" w:hAnsi="Verdana"/>
          <w:bCs/>
          <w:sz w:val="24"/>
          <w:szCs w:val="24"/>
          <w:lang w:val="en-ZA"/>
        </w:rPr>
        <w:t>LTD</w:t>
      </w:r>
      <w:r>
        <w:rPr>
          <w:rFonts w:ascii="Verdana" w:hAnsi="Verdana"/>
          <w:bCs/>
          <w:sz w:val="24"/>
          <w:szCs w:val="24"/>
          <w:lang w:val="en-ZA"/>
        </w:rPr>
        <w:tab/>
      </w:r>
      <w:r>
        <w:rPr>
          <w:rFonts w:ascii="Verdana" w:hAnsi="Verdana"/>
          <w:bCs/>
          <w:sz w:val="24"/>
          <w:szCs w:val="24"/>
          <w:lang w:val="en-ZA"/>
        </w:rPr>
        <w:tab/>
      </w:r>
      <w:r>
        <w:rPr>
          <w:rFonts w:ascii="Verdana" w:hAnsi="Verdana"/>
          <w:bCs/>
          <w:sz w:val="24"/>
          <w:szCs w:val="24"/>
          <w:lang w:val="en-ZA"/>
        </w:rPr>
        <w:tab/>
      </w:r>
      <w:r>
        <w:rPr>
          <w:rFonts w:ascii="Verdana" w:hAnsi="Verdana"/>
          <w:bCs/>
          <w:sz w:val="24"/>
          <w:szCs w:val="24"/>
          <w:lang w:val="en-ZA"/>
        </w:rPr>
        <w:tab/>
      </w:r>
      <w:r w:rsidR="00C1690C">
        <w:rPr>
          <w:rFonts w:ascii="Verdana" w:hAnsi="Verdana"/>
          <w:bCs/>
          <w:sz w:val="24"/>
          <w:szCs w:val="24"/>
          <w:lang w:val="en-ZA"/>
        </w:rPr>
        <w:t xml:space="preserve">         </w:t>
      </w:r>
      <w:r>
        <w:rPr>
          <w:rFonts w:ascii="Verdana" w:hAnsi="Verdana"/>
          <w:bCs/>
          <w:sz w:val="24"/>
          <w:szCs w:val="24"/>
          <w:lang w:val="en-ZA"/>
        </w:rPr>
        <w:tab/>
        <w:t>Third Applicant</w:t>
      </w:r>
    </w:p>
    <w:p w14:paraId="62A0654C" w14:textId="77777777" w:rsidR="00C1690C" w:rsidRDefault="00C1690C" w:rsidP="00AE6C23">
      <w:pPr>
        <w:tabs>
          <w:tab w:val="left" w:pos="3640"/>
        </w:tabs>
        <w:spacing w:line="360" w:lineRule="auto"/>
        <w:jc w:val="both"/>
        <w:rPr>
          <w:rFonts w:ascii="Verdana" w:hAnsi="Verdana"/>
          <w:bCs/>
          <w:sz w:val="24"/>
          <w:szCs w:val="24"/>
          <w:lang w:val="en-ZA"/>
        </w:rPr>
      </w:pPr>
    </w:p>
    <w:p w14:paraId="437FEC2C" w14:textId="77777777" w:rsidR="00C1690C" w:rsidRDefault="0066757F" w:rsidP="00AE6C23">
      <w:pPr>
        <w:tabs>
          <w:tab w:val="left" w:pos="3640"/>
        </w:tabs>
        <w:spacing w:line="360" w:lineRule="auto"/>
        <w:jc w:val="both"/>
        <w:rPr>
          <w:rFonts w:ascii="Verdana" w:hAnsi="Verdana"/>
          <w:bCs/>
          <w:sz w:val="24"/>
          <w:szCs w:val="24"/>
          <w:lang w:val="en-ZA"/>
        </w:rPr>
      </w:pPr>
      <w:r>
        <w:rPr>
          <w:rFonts w:ascii="Verdana" w:hAnsi="Verdana"/>
          <w:bCs/>
          <w:sz w:val="24"/>
          <w:szCs w:val="24"/>
          <w:lang w:val="en-ZA"/>
        </w:rPr>
        <w:t>And</w:t>
      </w:r>
    </w:p>
    <w:p w14:paraId="5E9E95FE" w14:textId="3E5AFBF0" w:rsidR="0066757F" w:rsidRDefault="0066757F" w:rsidP="00AE6C23">
      <w:pPr>
        <w:tabs>
          <w:tab w:val="left" w:pos="3640"/>
        </w:tabs>
        <w:spacing w:line="360" w:lineRule="auto"/>
        <w:jc w:val="both"/>
        <w:rPr>
          <w:rFonts w:ascii="Verdana" w:hAnsi="Verdana"/>
          <w:bCs/>
          <w:sz w:val="24"/>
          <w:szCs w:val="24"/>
          <w:lang w:val="en-ZA"/>
        </w:rPr>
      </w:pPr>
      <w:r>
        <w:rPr>
          <w:rFonts w:ascii="Verdana" w:hAnsi="Verdana"/>
          <w:bCs/>
          <w:sz w:val="24"/>
          <w:szCs w:val="24"/>
          <w:lang w:val="en-ZA"/>
        </w:rPr>
        <w:t xml:space="preserve"> </w:t>
      </w:r>
    </w:p>
    <w:p w14:paraId="04ED2903" w14:textId="3A3F3E5D" w:rsidR="0066757F" w:rsidRPr="00C1690C" w:rsidRDefault="00AE6C23" w:rsidP="00AE6C23">
      <w:pPr>
        <w:tabs>
          <w:tab w:val="right" w:pos="8931"/>
        </w:tabs>
        <w:jc w:val="both"/>
        <w:rPr>
          <w:rFonts w:ascii="Verdana" w:hAnsi="Verdana"/>
          <w:bCs/>
          <w:sz w:val="24"/>
          <w:szCs w:val="24"/>
        </w:rPr>
      </w:pPr>
      <w:r w:rsidRPr="00C1690C">
        <w:rPr>
          <w:rFonts w:ascii="Verdana" w:hAnsi="Verdana"/>
          <w:bCs/>
          <w:sz w:val="24"/>
          <w:szCs w:val="24"/>
        </w:rPr>
        <w:t xml:space="preserve">NEW CLICKS SOUTH AFRICA (PTY) </w:t>
      </w:r>
      <w:r w:rsidR="00C1690C">
        <w:rPr>
          <w:rFonts w:ascii="Verdana" w:hAnsi="Verdana"/>
          <w:bCs/>
          <w:sz w:val="24"/>
          <w:szCs w:val="24"/>
        </w:rPr>
        <w:t>LTD</w:t>
      </w:r>
      <w:r w:rsidR="0066757F" w:rsidRPr="00C1690C">
        <w:rPr>
          <w:rFonts w:ascii="Verdana" w:hAnsi="Verdana"/>
          <w:bCs/>
          <w:sz w:val="24"/>
          <w:szCs w:val="24"/>
        </w:rPr>
        <w:t xml:space="preserve">    </w:t>
      </w:r>
      <w:r w:rsidRPr="00C1690C">
        <w:rPr>
          <w:rFonts w:ascii="Verdana" w:hAnsi="Verdana"/>
          <w:bCs/>
          <w:sz w:val="24"/>
          <w:szCs w:val="24"/>
        </w:rPr>
        <w:t xml:space="preserve">                             </w:t>
      </w:r>
      <w:r w:rsidR="0066757F" w:rsidRPr="00C1690C">
        <w:rPr>
          <w:rFonts w:ascii="Verdana" w:hAnsi="Verdana"/>
          <w:bCs/>
          <w:sz w:val="24"/>
          <w:szCs w:val="24"/>
        </w:rPr>
        <w:t xml:space="preserve"> First Respondent</w:t>
      </w:r>
    </w:p>
    <w:p w14:paraId="194B159C" w14:textId="615333C9" w:rsidR="00AE6C23" w:rsidRPr="00C1690C" w:rsidRDefault="00AE6C23" w:rsidP="00AE6C23">
      <w:pPr>
        <w:tabs>
          <w:tab w:val="right" w:pos="8931"/>
        </w:tabs>
        <w:jc w:val="both"/>
        <w:rPr>
          <w:rFonts w:ascii="Verdana" w:hAnsi="Verdana"/>
          <w:bCs/>
          <w:sz w:val="24"/>
          <w:szCs w:val="24"/>
        </w:rPr>
      </w:pPr>
    </w:p>
    <w:p w14:paraId="7088BA04" w14:textId="762B48A7" w:rsidR="00AE6C23" w:rsidRPr="00C1690C" w:rsidRDefault="00AE6C23" w:rsidP="0066757F">
      <w:pPr>
        <w:tabs>
          <w:tab w:val="right" w:pos="8931"/>
        </w:tabs>
        <w:rPr>
          <w:rFonts w:ascii="Verdana" w:hAnsi="Verdana"/>
          <w:bCs/>
          <w:sz w:val="24"/>
          <w:szCs w:val="24"/>
        </w:rPr>
      </w:pPr>
      <w:r w:rsidRPr="00C1690C">
        <w:rPr>
          <w:rFonts w:ascii="Verdana" w:hAnsi="Verdana"/>
          <w:bCs/>
          <w:sz w:val="24"/>
          <w:szCs w:val="24"/>
        </w:rPr>
        <w:t>ALPHA PHARM (PTY) LT</w:t>
      </w:r>
      <w:r w:rsidR="00CE0A02">
        <w:rPr>
          <w:rFonts w:ascii="Verdana" w:hAnsi="Verdana"/>
          <w:bCs/>
          <w:sz w:val="24"/>
          <w:szCs w:val="24"/>
        </w:rPr>
        <w:t>D</w:t>
      </w:r>
      <w:r w:rsidR="00C1690C">
        <w:rPr>
          <w:rFonts w:ascii="Verdana" w:hAnsi="Verdana"/>
          <w:bCs/>
          <w:sz w:val="24"/>
          <w:szCs w:val="24"/>
        </w:rPr>
        <w:t xml:space="preserve"> </w:t>
      </w:r>
      <w:r w:rsidRPr="00C1690C">
        <w:rPr>
          <w:rFonts w:ascii="Verdana" w:hAnsi="Verdana"/>
          <w:bCs/>
          <w:sz w:val="24"/>
          <w:szCs w:val="24"/>
        </w:rPr>
        <w:t xml:space="preserve">                                             Second Respondent</w:t>
      </w:r>
    </w:p>
    <w:p w14:paraId="48551C12" w14:textId="77777777" w:rsidR="00AE6C23" w:rsidRPr="00C1690C" w:rsidRDefault="00AE6C23" w:rsidP="0066757F">
      <w:pPr>
        <w:tabs>
          <w:tab w:val="right" w:pos="8931"/>
        </w:tabs>
        <w:rPr>
          <w:rFonts w:ascii="Verdana" w:hAnsi="Verdana"/>
          <w:bCs/>
          <w:sz w:val="24"/>
          <w:szCs w:val="24"/>
        </w:rPr>
      </w:pPr>
    </w:p>
    <w:p w14:paraId="0422B8AF" w14:textId="60570E84" w:rsidR="00AE6C23" w:rsidRPr="00C1690C" w:rsidRDefault="00AE6C23" w:rsidP="0066757F">
      <w:pPr>
        <w:tabs>
          <w:tab w:val="right" w:pos="8931"/>
        </w:tabs>
        <w:rPr>
          <w:rFonts w:ascii="Verdana" w:hAnsi="Verdana"/>
          <w:bCs/>
          <w:sz w:val="24"/>
          <w:szCs w:val="24"/>
        </w:rPr>
      </w:pPr>
      <w:r w:rsidRPr="00C1690C">
        <w:rPr>
          <w:rFonts w:ascii="Verdana" w:hAnsi="Verdana"/>
          <w:bCs/>
          <w:sz w:val="24"/>
          <w:szCs w:val="24"/>
        </w:rPr>
        <w:t>DIS-CHEM PHARMACIES (PTY)</w:t>
      </w:r>
      <w:r w:rsidR="00C1690C">
        <w:rPr>
          <w:rFonts w:ascii="Verdana" w:hAnsi="Verdana"/>
          <w:bCs/>
          <w:sz w:val="24"/>
          <w:szCs w:val="24"/>
        </w:rPr>
        <w:t xml:space="preserve"> </w:t>
      </w:r>
      <w:r w:rsidRPr="00C1690C">
        <w:rPr>
          <w:rFonts w:ascii="Verdana" w:hAnsi="Verdana"/>
          <w:bCs/>
          <w:sz w:val="24"/>
          <w:szCs w:val="24"/>
        </w:rPr>
        <w:t>LTD                                   Third Respondent</w:t>
      </w:r>
      <w:r w:rsidRPr="00C1690C">
        <w:rPr>
          <w:rFonts w:ascii="Verdana" w:hAnsi="Verdana"/>
          <w:bCs/>
          <w:sz w:val="24"/>
          <w:szCs w:val="24"/>
        </w:rPr>
        <w:tab/>
      </w:r>
    </w:p>
    <w:p w14:paraId="4313B265" w14:textId="77777777" w:rsidR="0066757F" w:rsidRPr="00006DB4" w:rsidRDefault="0066757F" w:rsidP="0066757F">
      <w:pPr>
        <w:tabs>
          <w:tab w:val="right" w:pos="8931"/>
        </w:tabs>
        <w:rPr>
          <w:rFonts w:ascii="Verdana" w:hAnsi="Verdana"/>
          <w:bCs/>
        </w:rPr>
      </w:pPr>
    </w:p>
    <w:p w14:paraId="65AF9598" w14:textId="77777777" w:rsidR="002342C1" w:rsidRPr="00006DB4" w:rsidRDefault="002342C1" w:rsidP="0066757F">
      <w:pPr>
        <w:tabs>
          <w:tab w:val="right" w:pos="8931"/>
        </w:tabs>
        <w:rPr>
          <w:rFonts w:ascii="Verdana" w:hAnsi="Verdana"/>
          <w:bCs/>
        </w:rPr>
      </w:pPr>
    </w:p>
    <w:p w14:paraId="1C0ADE4F" w14:textId="10A73EC1" w:rsidR="0066757F" w:rsidRDefault="002342C1" w:rsidP="0066757F">
      <w:pPr>
        <w:tabs>
          <w:tab w:val="left" w:pos="3640"/>
        </w:tabs>
        <w:spacing w:line="360" w:lineRule="auto"/>
        <w:jc w:val="both"/>
        <w:rPr>
          <w:rFonts w:ascii="Verdana" w:hAnsi="Verdana"/>
          <w:bCs/>
          <w:sz w:val="24"/>
          <w:szCs w:val="24"/>
          <w:lang w:val="en-ZA"/>
        </w:rPr>
      </w:pPr>
      <w:r w:rsidRPr="002342C1">
        <w:rPr>
          <w:rFonts w:ascii="Verdana" w:hAnsi="Verdana"/>
          <w:bCs/>
          <w:sz w:val="24"/>
          <w:szCs w:val="24"/>
          <w:lang w:val="en-ZA"/>
        </w:rPr>
        <w:t xml:space="preserve">This judgment is issued by the Judge whose name is reflected herein and is submitted electronically to the parties/their legal representatives by email. The judgment is further uploaded to the electronic file of this matter on CaseLines by the Judge or her Secretary. The date of </w:t>
      </w:r>
      <w:r>
        <w:rPr>
          <w:rFonts w:ascii="Verdana" w:hAnsi="Verdana"/>
          <w:bCs/>
          <w:sz w:val="24"/>
          <w:szCs w:val="24"/>
          <w:lang w:val="en-ZA"/>
        </w:rPr>
        <w:t xml:space="preserve">this judgment is deemed to be </w:t>
      </w:r>
      <w:r w:rsidR="00C1690C">
        <w:rPr>
          <w:rFonts w:ascii="Verdana" w:hAnsi="Verdana"/>
          <w:bCs/>
          <w:sz w:val="24"/>
          <w:szCs w:val="24"/>
          <w:lang w:val="en-ZA"/>
        </w:rPr>
        <w:t>0</w:t>
      </w:r>
      <w:r w:rsidR="00513CFC">
        <w:rPr>
          <w:rFonts w:ascii="Verdana" w:hAnsi="Verdana"/>
          <w:bCs/>
          <w:sz w:val="24"/>
          <w:szCs w:val="24"/>
          <w:lang w:val="en-ZA"/>
        </w:rPr>
        <w:t>7</w:t>
      </w:r>
      <w:r w:rsidR="00C1690C">
        <w:rPr>
          <w:rFonts w:ascii="Verdana" w:hAnsi="Verdana"/>
          <w:bCs/>
          <w:sz w:val="24"/>
          <w:szCs w:val="24"/>
          <w:lang w:val="en-ZA"/>
        </w:rPr>
        <w:t xml:space="preserve"> June</w:t>
      </w:r>
      <w:r w:rsidRPr="002342C1">
        <w:rPr>
          <w:rFonts w:ascii="Verdana" w:hAnsi="Verdana"/>
          <w:bCs/>
          <w:sz w:val="24"/>
          <w:szCs w:val="24"/>
          <w:lang w:val="en-ZA"/>
        </w:rPr>
        <w:t xml:space="preserve"> 2023.</w:t>
      </w:r>
    </w:p>
    <w:p w14:paraId="67FF3A5D" w14:textId="77777777" w:rsidR="002342C1" w:rsidRDefault="002342C1" w:rsidP="002342C1">
      <w:pPr>
        <w:pBdr>
          <w:top w:val="single" w:sz="12" w:space="1" w:color="auto"/>
          <w:bottom w:val="single" w:sz="12" w:space="1" w:color="auto"/>
        </w:pBdr>
        <w:tabs>
          <w:tab w:val="left" w:pos="3640"/>
        </w:tabs>
        <w:spacing w:line="360" w:lineRule="auto"/>
        <w:jc w:val="center"/>
        <w:rPr>
          <w:rFonts w:ascii="Verdana" w:hAnsi="Verdana"/>
          <w:bCs/>
          <w:sz w:val="24"/>
          <w:szCs w:val="24"/>
          <w:lang w:val="en-ZA"/>
        </w:rPr>
      </w:pPr>
    </w:p>
    <w:p w14:paraId="456EEE6E" w14:textId="77777777" w:rsidR="002342C1" w:rsidRPr="002342C1" w:rsidRDefault="002342C1" w:rsidP="002342C1">
      <w:pPr>
        <w:pBdr>
          <w:top w:val="single" w:sz="12" w:space="1" w:color="auto"/>
          <w:bottom w:val="single" w:sz="12" w:space="1" w:color="auto"/>
        </w:pBdr>
        <w:tabs>
          <w:tab w:val="left" w:pos="3640"/>
        </w:tabs>
        <w:spacing w:line="360" w:lineRule="auto"/>
        <w:jc w:val="center"/>
        <w:rPr>
          <w:rFonts w:ascii="Verdana" w:hAnsi="Verdana"/>
          <w:b/>
          <w:bCs/>
          <w:sz w:val="24"/>
          <w:szCs w:val="24"/>
          <w:lang w:val="en-ZA"/>
        </w:rPr>
      </w:pPr>
      <w:r w:rsidRPr="002342C1">
        <w:rPr>
          <w:rFonts w:ascii="Verdana" w:hAnsi="Verdana"/>
          <w:b/>
          <w:bCs/>
          <w:sz w:val="24"/>
          <w:szCs w:val="24"/>
          <w:lang w:val="en-ZA"/>
        </w:rPr>
        <w:t xml:space="preserve">JUDGEMENT </w:t>
      </w:r>
    </w:p>
    <w:p w14:paraId="4BBDDA56" w14:textId="77777777" w:rsidR="002342C1" w:rsidRDefault="002342C1" w:rsidP="002342C1">
      <w:pPr>
        <w:pBdr>
          <w:top w:val="single" w:sz="12" w:space="1" w:color="auto"/>
          <w:bottom w:val="single" w:sz="12" w:space="1" w:color="auto"/>
        </w:pBdr>
        <w:tabs>
          <w:tab w:val="left" w:pos="3640"/>
        </w:tabs>
        <w:spacing w:line="360" w:lineRule="auto"/>
        <w:jc w:val="center"/>
        <w:rPr>
          <w:rFonts w:ascii="Verdana" w:hAnsi="Verdana"/>
          <w:bCs/>
          <w:sz w:val="24"/>
          <w:szCs w:val="24"/>
          <w:lang w:val="en-ZA"/>
        </w:rPr>
      </w:pPr>
    </w:p>
    <w:p w14:paraId="4D6DF00E" w14:textId="77777777" w:rsidR="00BF3048" w:rsidRDefault="00BF3048" w:rsidP="002342C1">
      <w:pPr>
        <w:tabs>
          <w:tab w:val="left" w:pos="3640"/>
        </w:tabs>
        <w:spacing w:line="360" w:lineRule="auto"/>
        <w:jc w:val="both"/>
        <w:rPr>
          <w:rFonts w:ascii="Verdana" w:hAnsi="Verdana"/>
          <w:bCs/>
          <w:sz w:val="24"/>
          <w:szCs w:val="24"/>
          <w:lang w:val="en-ZA"/>
        </w:rPr>
      </w:pPr>
    </w:p>
    <w:p w14:paraId="0D9F289F" w14:textId="77777777" w:rsidR="002342C1" w:rsidRDefault="002342C1" w:rsidP="002342C1">
      <w:pPr>
        <w:tabs>
          <w:tab w:val="left" w:pos="3640"/>
        </w:tabs>
        <w:spacing w:line="360" w:lineRule="auto"/>
        <w:jc w:val="both"/>
        <w:rPr>
          <w:rFonts w:ascii="Verdana" w:hAnsi="Verdana"/>
          <w:b/>
          <w:bCs/>
          <w:sz w:val="24"/>
          <w:szCs w:val="24"/>
          <w:lang w:val="en-ZA"/>
        </w:rPr>
      </w:pPr>
      <w:r w:rsidRPr="002342C1">
        <w:rPr>
          <w:rFonts w:ascii="Verdana" w:hAnsi="Verdana"/>
          <w:b/>
          <w:bCs/>
          <w:sz w:val="24"/>
          <w:szCs w:val="24"/>
          <w:lang w:val="en-ZA"/>
        </w:rPr>
        <w:t>COLLIS J</w:t>
      </w:r>
    </w:p>
    <w:p w14:paraId="3D7CC0E9" w14:textId="77777777" w:rsidR="001477DB" w:rsidRDefault="001477DB" w:rsidP="002342C1">
      <w:pPr>
        <w:tabs>
          <w:tab w:val="left" w:pos="3640"/>
        </w:tabs>
        <w:spacing w:line="360" w:lineRule="auto"/>
        <w:jc w:val="both"/>
        <w:rPr>
          <w:rFonts w:ascii="Verdana" w:hAnsi="Verdana"/>
          <w:b/>
          <w:bCs/>
          <w:sz w:val="24"/>
          <w:szCs w:val="24"/>
          <w:lang w:val="en-ZA"/>
        </w:rPr>
      </w:pPr>
    </w:p>
    <w:p w14:paraId="34CE7D41" w14:textId="7B3960CF" w:rsidR="00C1690C" w:rsidRPr="001477DB" w:rsidRDefault="001477DB" w:rsidP="002342C1">
      <w:pPr>
        <w:tabs>
          <w:tab w:val="left" w:pos="3640"/>
        </w:tabs>
        <w:spacing w:line="360" w:lineRule="auto"/>
        <w:jc w:val="both"/>
        <w:rPr>
          <w:rFonts w:ascii="Verdana" w:hAnsi="Verdana"/>
          <w:bCs/>
          <w:sz w:val="24"/>
          <w:szCs w:val="24"/>
          <w:lang w:val="en-ZA"/>
        </w:rPr>
      </w:pPr>
      <w:r w:rsidRPr="001477DB">
        <w:rPr>
          <w:rFonts w:ascii="Verdana" w:hAnsi="Verdana"/>
          <w:bCs/>
          <w:sz w:val="24"/>
          <w:szCs w:val="24"/>
          <w:lang w:val="en-ZA"/>
        </w:rPr>
        <w:t>INTRODUCTION</w:t>
      </w:r>
    </w:p>
    <w:p w14:paraId="2DE625F1" w14:textId="3F4210CF" w:rsidR="002342C1" w:rsidRPr="00C1690C" w:rsidRDefault="00C1690C" w:rsidP="00C1690C">
      <w:pPr>
        <w:tabs>
          <w:tab w:val="left" w:pos="3640"/>
        </w:tabs>
        <w:spacing w:line="480" w:lineRule="auto"/>
        <w:jc w:val="both"/>
        <w:rPr>
          <w:rFonts w:ascii="Verdana" w:hAnsi="Verdana"/>
          <w:sz w:val="24"/>
          <w:szCs w:val="24"/>
          <w:lang w:val="en-ZA"/>
        </w:rPr>
      </w:pPr>
      <w:r>
        <w:rPr>
          <w:rFonts w:ascii="Verdana" w:hAnsi="Verdana"/>
          <w:sz w:val="24"/>
          <w:szCs w:val="24"/>
          <w:lang w:val="en-ZA"/>
        </w:rPr>
        <w:lastRenderedPageBreak/>
        <w:t>1. On 7 February 2021, the Applicants</w:t>
      </w:r>
      <w:r w:rsidR="000F24DE">
        <w:rPr>
          <w:rFonts w:ascii="Verdana" w:hAnsi="Verdana"/>
          <w:sz w:val="24"/>
          <w:szCs w:val="24"/>
          <w:lang w:val="en-ZA"/>
        </w:rPr>
        <w:t xml:space="preserve"> (</w:t>
      </w:r>
      <w:r w:rsidR="000F24DE" w:rsidRPr="000F24DE">
        <w:rPr>
          <w:rFonts w:ascii="Verdana" w:hAnsi="Verdana"/>
          <w:i/>
          <w:iCs/>
          <w:sz w:val="24"/>
          <w:szCs w:val="24"/>
          <w:lang w:val="en-ZA"/>
        </w:rPr>
        <w:t>Bayer</w:t>
      </w:r>
      <w:r w:rsidR="000F24DE">
        <w:rPr>
          <w:rFonts w:ascii="Verdana" w:hAnsi="Verdana"/>
          <w:sz w:val="24"/>
          <w:szCs w:val="24"/>
          <w:lang w:val="en-ZA"/>
        </w:rPr>
        <w:t>)</w:t>
      </w:r>
      <w:r>
        <w:rPr>
          <w:rFonts w:ascii="Verdana" w:hAnsi="Verdana"/>
          <w:sz w:val="24"/>
          <w:szCs w:val="24"/>
          <w:lang w:val="en-ZA"/>
        </w:rPr>
        <w:t xml:space="preserve"> issued out of the Court of the Commissioner of Patents </w:t>
      </w:r>
      <w:r w:rsidR="00CE0A02">
        <w:rPr>
          <w:rFonts w:ascii="Verdana" w:hAnsi="Verdana"/>
          <w:sz w:val="24"/>
          <w:szCs w:val="24"/>
          <w:lang w:val="en-ZA"/>
        </w:rPr>
        <w:t>an urgent application seeking the</w:t>
      </w:r>
      <w:r>
        <w:rPr>
          <w:rFonts w:ascii="Verdana" w:hAnsi="Verdana"/>
          <w:sz w:val="24"/>
          <w:szCs w:val="24"/>
          <w:lang w:val="en-ZA"/>
        </w:rPr>
        <w:t xml:space="preserve"> following </w:t>
      </w:r>
      <w:r w:rsidR="00CE0A02">
        <w:rPr>
          <w:rFonts w:ascii="Verdana" w:hAnsi="Verdana"/>
          <w:sz w:val="24"/>
          <w:szCs w:val="24"/>
          <w:lang w:val="en-ZA"/>
        </w:rPr>
        <w:t>relief</w:t>
      </w:r>
      <w:r>
        <w:rPr>
          <w:rFonts w:ascii="Verdana" w:hAnsi="Verdana"/>
          <w:sz w:val="24"/>
          <w:szCs w:val="24"/>
          <w:lang w:val="en-ZA"/>
        </w:rPr>
        <w:t>:</w:t>
      </w:r>
    </w:p>
    <w:p w14:paraId="714A61A5" w14:textId="77777777" w:rsidR="00AE6C23" w:rsidRPr="002342C1" w:rsidRDefault="00AE6C23" w:rsidP="002342C1">
      <w:pPr>
        <w:tabs>
          <w:tab w:val="left" w:pos="3640"/>
        </w:tabs>
        <w:spacing w:line="360" w:lineRule="auto"/>
        <w:jc w:val="both"/>
        <w:rPr>
          <w:rFonts w:ascii="Verdana" w:hAnsi="Verdana"/>
          <w:b/>
          <w:bCs/>
          <w:sz w:val="24"/>
          <w:szCs w:val="24"/>
          <w:lang w:val="en-ZA"/>
        </w:rPr>
      </w:pPr>
    </w:p>
    <w:p w14:paraId="4D90E1A4" w14:textId="49D7506D" w:rsidR="009747FB" w:rsidRDefault="00C1690C" w:rsidP="00952307">
      <w:pPr>
        <w:tabs>
          <w:tab w:val="left" w:pos="3640"/>
        </w:tabs>
        <w:spacing w:line="480" w:lineRule="auto"/>
        <w:ind w:left="720"/>
        <w:jc w:val="both"/>
        <w:rPr>
          <w:rFonts w:ascii="Verdana" w:hAnsi="Verdana"/>
          <w:bCs/>
          <w:sz w:val="24"/>
          <w:szCs w:val="24"/>
        </w:rPr>
      </w:pPr>
      <w:r>
        <w:rPr>
          <w:rFonts w:ascii="Verdana" w:hAnsi="Verdana"/>
          <w:bCs/>
        </w:rPr>
        <w:t>“</w:t>
      </w:r>
      <w:r w:rsidR="00AE6C23">
        <w:rPr>
          <w:rFonts w:ascii="Verdana" w:hAnsi="Verdana"/>
          <w:bCs/>
        </w:rPr>
        <w:t xml:space="preserve">1. </w:t>
      </w:r>
      <w:r w:rsidR="00AE6C23">
        <w:rPr>
          <w:rFonts w:ascii="Verdana" w:hAnsi="Verdana"/>
          <w:bCs/>
          <w:sz w:val="24"/>
          <w:szCs w:val="24"/>
        </w:rPr>
        <w:t>That the forms and service provided for in the Uniform Rules of Court are dispensed with and it is directed that the application be enrolled and heard as one of urgency.</w:t>
      </w:r>
    </w:p>
    <w:p w14:paraId="4A2D1D3B" w14:textId="77777777" w:rsidR="00AE6C23" w:rsidRDefault="00AE6C23" w:rsidP="00952307">
      <w:pPr>
        <w:tabs>
          <w:tab w:val="left" w:pos="3640"/>
        </w:tabs>
        <w:spacing w:line="480" w:lineRule="auto"/>
        <w:ind w:left="720"/>
        <w:jc w:val="both"/>
        <w:rPr>
          <w:rFonts w:ascii="Verdana" w:hAnsi="Verdana"/>
          <w:bCs/>
          <w:sz w:val="24"/>
          <w:szCs w:val="24"/>
        </w:rPr>
      </w:pPr>
      <w:r>
        <w:rPr>
          <w:rFonts w:ascii="Verdana" w:hAnsi="Verdana"/>
          <w:bCs/>
          <w:sz w:val="24"/>
          <w:szCs w:val="24"/>
        </w:rPr>
        <w:t xml:space="preserve">2. </w:t>
      </w:r>
      <w:r w:rsidR="001C27E0">
        <w:rPr>
          <w:rFonts w:ascii="Verdana" w:hAnsi="Verdana"/>
          <w:bCs/>
          <w:sz w:val="24"/>
          <w:szCs w:val="24"/>
        </w:rPr>
        <w:t>Pending</w:t>
      </w:r>
      <w:r>
        <w:rPr>
          <w:rFonts w:ascii="Verdana" w:hAnsi="Verdana"/>
          <w:bCs/>
          <w:sz w:val="24"/>
          <w:szCs w:val="24"/>
        </w:rPr>
        <w:t xml:space="preserve"> the final determination of the patent infringement action which has been instituted by the applicants against Dr. Reddy’s Laboratories (Pty)Ltd in respect of South African Patent No. </w:t>
      </w:r>
      <w:r w:rsidR="001C27E0">
        <w:rPr>
          <w:rFonts w:ascii="Verdana" w:hAnsi="Verdana"/>
          <w:bCs/>
          <w:sz w:val="24"/>
          <w:szCs w:val="24"/>
        </w:rPr>
        <w:t xml:space="preserve">2007/06238 or the dismissal of the applicants’ application to join the respondents as defendants in that action, the respondents are interdicted and restrained from infringing the claim of South African Patent No. </w:t>
      </w:r>
      <w:r w:rsidR="001C27E0" w:rsidRPr="001C27E0">
        <w:rPr>
          <w:rFonts w:ascii="Verdana" w:hAnsi="Verdana"/>
          <w:bCs/>
          <w:sz w:val="24"/>
          <w:szCs w:val="24"/>
        </w:rPr>
        <w:t>2007/06238</w:t>
      </w:r>
      <w:r w:rsidR="001C27E0">
        <w:rPr>
          <w:rFonts w:ascii="Verdana" w:hAnsi="Verdana"/>
          <w:bCs/>
          <w:sz w:val="24"/>
          <w:szCs w:val="24"/>
        </w:rPr>
        <w:t xml:space="preserve"> by disposing of or offering to dispose of the product Rivaxored (or any other product falling within the scope of the claim of the patent) in the Republic and by importing any such product into the Republic.</w:t>
      </w:r>
    </w:p>
    <w:p w14:paraId="47EC8401" w14:textId="55B4590D" w:rsidR="00FA5E28" w:rsidRDefault="001C27E0" w:rsidP="00952307">
      <w:pPr>
        <w:tabs>
          <w:tab w:val="left" w:pos="3640"/>
        </w:tabs>
        <w:spacing w:line="480" w:lineRule="auto"/>
        <w:ind w:left="720"/>
        <w:jc w:val="both"/>
        <w:rPr>
          <w:rFonts w:ascii="Verdana" w:hAnsi="Verdana"/>
          <w:bCs/>
          <w:sz w:val="24"/>
          <w:szCs w:val="24"/>
        </w:rPr>
      </w:pPr>
      <w:r>
        <w:rPr>
          <w:rFonts w:ascii="Verdana" w:hAnsi="Verdana"/>
          <w:bCs/>
          <w:sz w:val="24"/>
          <w:szCs w:val="24"/>
        </w:rPr>
        <w:t>3. The respondents are ordered to pay the cost of this application, including the costs of counsel, jointly and severally, the one paying the other to be absolved.</w:t>
      </w:r>
      <w:r w:rsidR="007869E4">
        <w:rPr>
          <w:rFonts w:ascii="Verdana" w:hAnsi="Verdana"/>
          <w:bCs/>
          <w:sz w:val="24"/>
          <w:szCs w:val="24"/>
        </w:rPr>
        <w:t>”</w:t>
      </w:r>
    </w:p>
    <w:p w14:paraId="7C9FFA5F" w14:textId="77777777" w:rsidR="00392292" w:rsidRDefault="00392292" w:rsidP="00392292">
      <w:pPr>
        <w:tabs>
          <w:tab w:val="left" w:pos="3640"/>
        </w:tabs>
        <w:spacing w:line="480" w:lineRule="auto"/>
        <w:jc w:val="both"/>
        <w:rPr>
          <w:rFonts w:ascii="Verdana" w:hAnsi="Verdana"/>
          <w:b/>
          <w:bCs/>
          <w:sz w:val="24"/>
          <w:szCs w:val="24"/>
        </w:rPr>
      </w:pPr>
    </w:p>
    <w:p w14:paraId="59264CE5" w14:textId="0A294192" w:rsidR="00CE0A02" w:rsidRDefault="00CE0A02" w:rsidP="001C27E0">
      <w:pPr>
        <w:tabs>
          <w:tab w:val="left" w:pos="3640"/>
        </w:tabs>
        <w:spacing w:line="480" w:lineRule="auto"/>
        <w:jc w:val="both"/>
        <w:rPr>
          <w:rFonts w:ascii="Verdana" w:hAnsi="Verdana"/>
          <w:bCs/>
          <w:sz w:val="24"/>
          <w:szCs w:val="24"/>
        </w:rPr>
      </w:pPr>
      <w:r>
        <w:rPr>
          <w:rFonts w:ascii="Verdana" w:hAnsi="Verdana"/>
          <w:bCs/>
          <w:sz w:val="24"/>
          <w:szCs w:val="24"/>
        </w:rPr>
        <w:lastRenderedPageBreak/>
        <w:t>2</w:t>
      </w:r>
      <w:r w:rsidR="00FA5E28">
        <w:rPr>
          <w:rFonts w:ascii="Verdana" w:hAnsi="Verdana"/>
          <w:bCs/>
          <w:sz w:val="24"/>
          <w:szCs w:val="24"/>
        </w:rPr>
        <w:t xml:space="preserve">. </w:t>
      </w:r>
      <w:r w:rsidR="000C5227">
        <w:rPr>
          <w:rFonts w:ascii="Verdana" w:hAnsi="Verdana"/>
          <w:bCs/>
          <w:sz w:val="24"/>
          <w:szCs w:val="24"/>
        </w:rPr>
        <w:t>T</w:t>
      </w:r>
      <w:r>
        <w:rPr>
          <w:rFonts w:ascii="Verdana" w:hAnsi="Verdana"/>
          <w:bCs/>
          <w:sz w:val="24"/>
          <w:szCs w:val="24"/>
        </w:rPr>
        <w:t xml:space="preserve">he urgent relief sought </w:t>
      </w:r>
      <w:r w:rsidR="000C5227">
        <w:rPr>
          <w:rFonts w:ascii="Verdana" w:hAnsi="Verdana"/>
          <w:bCs/>
          <w:sz w:val="24"/>
          <w:szCs w:val="24"/>
        </w:rPr>
        <w:t xml:space="preserve">by </w:t>
      </w:r>
      <w:r>
        <w:rPr>
          <w:rFonts w:ascii="Verdana" w:hAnsi="Verdana"/>
          <w:bCs/>
          <w:sz w:val="24"/>
          <w:szCs w:val="24"/>
        </w:rPr>
        <w:t xml:space="preserve">the applicants </w:t>
      </w:r>
      <w:r w:rsidR="000C5227">
        <w:rPr>
          <w:rFonts w:ascii="Verdana" w:hAnsi="Verdana"/>
          <w:bCs/>
          <w:sz w:val="24"/>
          <w:szCs w:val="24"/>
        </w:rPr>
        <w:t xml:space="preserve">is </w:t>
      </w:r>
      <w:r w:rsidR="00FF565D">
        <w:rPr>
          <w:rFonts w:ascii="Verdana" w:hAnsi="Verdana"/>
          <w:bCs/>
          <w:sz w:val="24"/>
          <w:szCs w:val="24"/>
        </w:rPr>
        <w:t>in the form of</w:t>
      </w:r>
      <w:r w:rsidR="000C5227">
        <w:rPr>
          <w:rFonts w:ascii="Verdana" w:hAnsi="Verdana"/>
          <w:bCs/>
          <w:sz w:val="24"/>
          <w:szCs w:val="24"/>
        </w:rPr>
        <w:t xml:space="preserve"> an</w:t>
      </w:r>
      <w:r w:rsidR="00FA5E28" w:rsidRPr="00FA5E28">
        <w:rPr>
          <w:rFonts w:ascii="Verdana" w:hAnsi="Verdana"/>
          <w:bCs/>
          <w:sz w:val="24"/>
          <w:szCs w:val="24"/>
        </w:rPr>
        <w:t xml:space="preserve"> interim interdict preventing the </w:t>
      </w:r>
      <w:r w:rsidR="00FF565D">
        <w:rPr>
          <w:rFonts w:ascii="Verdana" w:hAnsi="Verdana"/>
          <w:bCs/>
          <w:sz w:val="24"/>
          <w:szCs w:val="24"/>
        </w:rPr>
        <w:t>consequential</w:t>
      </w:r>
      <w:r w:rsidR="00FA5E28">
        <w:rPr>
          <w:rFonts w:ascii="Verdana" w:hAnsi="Verdana"/>
          <w:bCs/>
          <w:sz w:val="24"/>
          <w:szCs w:val="24"/>
        </w:rPr>
        <w:t xml:space="preserve"> </w:t>
      </w:r>
      <w:r w:rsidR="00FA5E28" w:rsidRPr="00FA5E28">
        <w:rPr>
          <w:rFonts w:ascii="Verdana" w:hAnsi="Verdana"/>
          <w:bCs/>
          <w:sz w:val="24"/>
          <w:szCs w:val="24"/>
        </w:rPr>
        <w:t>infringement of South African patent 2007/062381</w:t>
      </w:r>
      <w:r w:rsidR="00FA5E28">
        <w:rPr>
          <w:rStyle w:val="FootnoteReference"/>
          <w:rFonts w:ascii="Verdana" w:hAnsi="Verdana"/>
          <w:bCs/>
          <w:sz w:val="24"/>
          <w:szCs w:val="24"/>
        </w:rPr>
        <w:footnoteReference w:id="1"/>
      </w:r>
      <w:r w:rsidR="00FA5E28" w:rsidRPr="00FA5E28">
        <w:rPr>
          <w:rFonts w:ascii="Verdana" w:hAnsi="Verdana"/>
          <w:bCs/>
          <w:sz w:val="24"/>
          <w:szCs w:val="24"/>
        </w:rPr>
        <w:t xml:space="preserve"> </w:t>
      </w:r>
      <w:r w:rsidR="00FA5E28" w:rsidRPr="00CE0A02">
        <w:rPr>
          <w:rFonts w:ascii="Verdana" w:hAnsi="Verdana"/>
          <w:bCs/>
          <w:sz w:val="24"/>
          <w:szCs w:val="24"/>
        </w:rPr>
        <w:t xml:space="preserve">(the Patent) </w:t>
      </w:r>
      <w:r w:rsidR="00FA5E28" w:rsidRPr="00FA5E28">
        <w:rPr>
          <w:rFonts w:ascii="Verdana" w:hAnsi="Verdana"/>
          <w:bCs/>
          <w:sz w:val="24"/>
          <w:szCs w:val="24"/>
        </w:rPr>
        <w:t xml:space="preserve">occasioned through the sale and offer for sale of an anticoagulant drug called Rivaxored. </w:t>
      </w:r>
    </w:p>
    <w:p w14:paraId="744A74E1" w14:textId="77777777" w:rsidR="00CE0A02" w:rsidRDefault="00CE0A02" w:rsidP="001C27E0">
      <w:pPr>
        <w:tabs>
          <w:tab w:val="left" w:pos="3640"/>
        </w:tabs>
        <w:spacing w:line="480" w:lineRule="auto"/>
        <w:jc w:val="both"/>
        <w:rPr>
          <w:rFonts w:ascii="Verdana" w:hAnsi="Verdana"/>
          <w:bCs/>
          <w:sz w:val="24"/>
          <w:szCs w:val="24"/>
        </w:rPr>
      </w:pPr>
    </w:p>
    <w:p w14:paraId="5790EC1C" w14:textId="783E0BE5" w:rsidR="00FA5E28" w:rsidRDefault="00CE0A02" w:rsidP="001C27E0">
      <w:pPr>
        <w:tabs>
          <w:tab w:val="left" w:pos="3640"/>
        </w:tabs>
        <w:spacing w:line="480" w:lineRule="auto"/>
        <w:jc w:val="both"/>
        <w:rPr>
          <w:rFonts w:ascii="Verdana" w:hAnsi="Verdana"/>
          <w:bCs/>
          <w:sz w:val="24"/>
          <w:szCs w:val="24"/>
        </w:rPr>
      </w:pPr>
      <w:r>
        <w:rPr>
          <w:rFonts w:ascii="Verdana" w:hAnsi="Verdana"/>
          <w:bCs/>
          <w:sz w:val="24"/>
          <w:szCs w:val="24"/>
        </w:rPr>
        <w:t xml:space="preserve">3. </w:t>
      </w:r>
      <w:r w:rsidR="00FA5E28" w:rsidRPr="00FA5E28">
        <w:rPr>
          <w:rFonts w:ascii="Verdana" w:hAnsi="Verdana"/>
          <w:bCs/>
          <w:sz w:val="24"/>
          <w:szCs w:val="24"/>
        </w:rPr>
        <w:t>The</w:t>
      </w:r>
      <w:r w:rsidR="00FF565D">
        <w:rPr>
          <w:rFonts w:ascii="Verdana" w:hAnsi="Verdana"/>
          <w:bCs/>
          <w:sz w:val="24"/>
          <w:szCs w:val="24"/>
        </w:rPr>
        <w:t xml:space="preserve"> urgent</w:t>
      </w:r>
      <w:r w:rsidR="00FA5E28" w:rsidRPr="00FA5E28">
        <w:rPr>
          <w:rFonts w:ascii="Verdana" w:hAnsi="Verdana"/>
          <w:bCs/>
          <w:sz w:val="24"/>
          <w:szCs w:val="24"/>
        </w:rPr>
        <w:t xml:space="preserve"> relief </w:t>
      </w:r>
      <w:r w:rsidR="00FF565D">
        <w:rPr>
          <w:rFonts w:ascii="Verdana" w:hAnsi="Verdana"/>
          <w:bCs/>
          <w:sz w:val="24"/>
          <w:szCs w:val="24"/>
        </w:rPr>
        <w:t>is sought</w:t>
      </w:r>
      <w:r w:rsidR="00FA5E28" w:rsidRPr="00FA5E28">
        <w:rPr>
          <w:rFonts w:ascii="Verdana" w:hAnsi="Verdana"/>
          <w:bCs/>
          <w:sz w:val="24"/>
          <w:szCs w:val="24"/>
        </w:rPr>
        <w:t xml:space="preserve"> pending the outcome of a trial action.</w:t>
      </w:r>
    </w:p>
    <w:p w14:paraId="6DBECE87" w14:textId="77777777" w:rsidR="00FA5E28" w:rsidRDefault="00FA5E28" w:rsidP="001C27E0">
      <w:pPr>
        <w:tabs>
          <w:tab w:val="left" w:pos="3640"/>
        </w:tabs>
        <w:spacing w:line="480" w:lineRule="auto"/>
        <w:jc w:val="both"/>
        <w:rPr>
          <w:rFonts w:ascii="Verdana" w:hAnsi="Verdana"/>
          <w:bCs/>
          <w:sz w:val="24"/>
          <w:szCs w:val="24"/>
        </w:rPr>
      </w:pPr>
    </w:p>
    <w:p w14:paraId="72DBEEF2" w14:textId="51B5DB24" w:rsidR="001A7B3D" w:rsidRDefault="00CE0A02" w:rsidP="001C27E0">
      <w:pPr>
        <w:tabs>
          <w:tab w:val="left" w:pos="3640"/>
        </w:tabs>
        <w:spacing w:line="480" w:lineRule="auto"/>
        <w:jc w:val="both"/>
        <w:rPr>
          <w:rFonts w:ascii="Verdana" w:hAnsi="Verdana"/>
          <w:bCs/>
          <w:sz w:val="24"/>
          <w:szCs w:val="24"/>
        </w:rPr>
      </w:pPr>
      <w:r>
        <w:rPr>
          <w:rFonts w:ascii="Verdana" w:hAnsi="Verdana"/>
          <w:bCs/>
          <w:sz w:val="24"/>
          <w:szCs w:val="24"/>
        </w:rPr>
        <w:t xml:space="preserve">4. </w:t>
      </w:r>
      <w:r w:rsidR="00FA5E28" w:rsidRPr="00FA5E28">
        <w:rPr>
          <w:rFonts w:ascii="Verdana" w:hAnsi="Verdana"/>
          <w:bCs/>
          <w:sz w:val="24"/>
          <w:szCs w:val="24"/>
        </w:rPr>
        <w:t>The application</w:t>
      </w:r>
      <w:r w:rsidR="001A7B3D">
        <w:rPr>
          <w:rFonts w:ascii="Verdana" w:hAnsi="Verdana"/>
          <w:bCs/>
          <w:sz w:val="24"/>
          <w:szCs w:val="24"/>
        </w:rPr>
        <w:t xml:space="preserve"> was initially issued against three respondents.</w:t>
      </w:r>
      <w:r w:rsidR="00FA5E28" w:rsidRPr="00FA5E28">
        <w:rPr>
          <w:rFonts w:ascii="Verdana" w:hAnsi="Verdana"/>
          <w:bCs/>
          <w:sz w:val="24"/>
          <w:szCs w:val="24"/>
        </w:rPr>
        <w:t xml:space="preserve"> </w:t>
      </w:r>
      <w:r w:rsidR="001A7B3D">
        <w:rPr>
          <w:rFonts w:ascii="Verdana" w:hAnsi="Verdana"/>
          <w:bCs/>
          <w:sz w:val="24"/>
          <w:szCs w:val="24"/>
        </w:rPr>
        <w:t>I</w:t>
      </w:r>
      <w:r w:rsidR="00FA5E28" w:rsidRPr="00FA5E28">
        <w:rPr>
          <w:rFonts w:ascii="Verdana" w:hAnsi="Verdana"/>
          <w:bCs/>
          <w:sz w:val="24"/>
          <w:szCs w:val="24"/>
        </w:rPr>
        <w:t xml:space="preserve">nsofar as it relates to second and third respondents, </w:t>
      </w:r>
      <w:r w:rsidR="001A7B3D">
        <w:rPr>
          <w:rFonts w:ascii="Verdana" w:hAnsi="Verdana"/>
          <w:bCs/>
          <w:sz w:val="24"/>
          <w:szCs w:val="24"/>
        </w:rPr>
        <w:t xml:space="preserve">it </w:t>
      </w:r>
      <w:r w:rsidR="00FA5E28" w:rsidRPr="00FA5E28">
        <w:rPr>
          <w:rFonts w:ascii="Verdana" w:hAnsi="Verdana"/>
          <w:bCs/>
          <w:sz w:val="24"/>
          <w:szCs w:val="24"/>
        </w:rPr>
        <w:t xml:space="preserve">was </w:t>
      </w:r>
      <w:r w:rsidR="001A7B3D">
        <w:rPr>
          <w:rFonts w:ascii="Verdana" w:hAnsi="Verdana"/>
          <w:bCs/>
          <w:sz w:val="24"/>
          <w:szCs w:val="24"/>
        </w:rPr>
        <w:t xml:space="preserve">later </w:t>
      </w:r>
      <w:r w:rsidR="00FA5E28" w:rsidRPr="00FA5E28">
        <w:rPr>
          <w:rFonts w:ascii="Verdana" w:hAnsi="Verdana"/>
          <w:bCs/>
          <w:sz w:val="24"/>
          <w:szCs w:val="24"/>
        </w:rPr>
        <w:t>settled on the basis that the pharmacies would cease selling Rivaxored p</w:t>
      </w:r>
      <w:r w:rsidR="00FA5E28">
        <w:rPr>
          <w:rFonts w:ascii="Verdana" w:hAnsi="Verdana"/>
          <w:bCs/>
          <w:sz w:val="24"/>
          <w:szCs w:val="24"/>
        </w:rPr>
        <w:t>ending the outcome of the trial</w:t>
      </w:r>
      <w:r w:rsidR="00297CE8">
        <w:rPr>
          <w:rFonts w:ascii="Verdana" w:hAnsi="Verdana"/>
          <w:bCs/>
          <w:sz w:val="24"/>
          <w:szCs w:val="24"/>
        </w:rPr>
        <w:t>.</w:t>
      </w:r>
      <w:r w:rsidR="00FA5E28">
        <w:rPr>
          <w:rStyle w:val="FootnoteReference"/>
          <w:rFonts w:ascii="Verdana" w:hAnsi="Verdana"/>
          <w:bCs/>
          <w:sz w:val="24"/>
          <w:szCs w:val="24"/>
        </w:rPr>
        <w:footnoteReference w:id="2"/>
      </w:r>
      <w:r w:rsidR="00FA5E28" w:rsidRPr="00FA5E28">
        <w:rPr>
          <w:rFonts w:ascii="Verdana" w:hAnsi="Verdana"/>
          <w:bCs/>
          <w:sz w:val="24"/>
          <w:szCs w:val="24"/>
        </w:rPr>
        <w:t xml:space="preserve"> </w:t>
      </w:r>
    </w:p>
    <w:p w14:paraId="6C3C1997" w14:textId="77777777" w:rsidR="001A7B3D" w:rsidRDefault="001A7B3D" w:rsidP="001C27E0">
      <w:pPr>
        <w:tabs>
          <w:tab w:val="left" w:pos="3640"/>
        </w:tabs>
        <w:spacing w:line="480" w:lineRule="auto"/>
        <w:jc w:val="both"/>
        <w:rPr>
          <w:rFonts w:ascii="Verdana" w:hAnsi="Verdana"/>
          <w:bCs/>
          <w:sz w:val="24"/>
          <w:szCs w:val="24"/>
        </w:rPr>
      </w:pPr>
    </w:p>
    <w:p w14:paraId="4C060183" w14:textId="4694C2E1" w:rsidR="00FA5E28" w:rsidRDefault="001A7B3D" w:rsidP="001C27E0">
      <w:pPr>
        <w:tabs>
          <w:tab w:val="left" w:pos="3640"/>
        </w:tabs>
        <w:spacing w:line="480" w:lineRule="auto"/>
        <w:jc w:val="both"/>
        <w:rPr>
          <w:rFonts w:ascii="Verdana" w:hAnsi="Verdana"/>
          <w:bCs/>
          <w:sz w:val="24"/>
          <w:szCs w:val="24"/>
        </w:rPr>
      </w:pPr>
      <w:r>
        <w:rPr>
          <w:rFonts w:ascii="Verdana" w:hAnsi="Verdana"/>
          <w:bCs/>
          <w:sz w:val="24"/>
          <w:szCs w:val="24"/>
        </w:rPr>
        <w:t xml:space="preserve">5. </w:t>
      </w:r>
      <w:r w:rsidR="00297CE8">
        <w:rPr>
          <w:rFonts w:ascii="Verdana" w:hAnsi="Verdana"/>
          <w:bCs/>
          <w:sz w:val="24"/>
          <w:szCs w:val="24"/>
        </w:rPr>
        <w:t>The applicat</w:t>
      </w:r>
      <w:r w:rsidR="005D17AB">
        <w:rPr>
          <w:rFonts w:ascii="Verdana" w:hAnsi="Verdana"/>
          <w:bCs/>
          <w:sz w:val="24"/>
          <w:szCs w:val="24"/>
        </w:rPr>
        <w:t xml:space="preserve">ion </w:t>
      </w:r>
      <w:r w:rsidR="00297CE8">
        <w:rPr>
          <w:rFonts w:ascii="Verdana" w:hAnsi="Verdana"/>
          <w:bCs/>
          <w:sz w:val="24"/>
          <w:szCs w:val="24"/>
        </w:rPr>
        <w:t>against the second and third respondents</w:t>
      </w:r>
      <w:r w:rsidR="00FA5E28">
        <w:rPr>
          <w:rFonts w:ascii="Verdana" w:hAnsi="Verdana"/>
          <w:bCs/>
          <w:sz w:val="24"/>
          <w:szCs w:val="24"/>
        </w:rPr>
        <w:t xml:space="preserve"> </w:t>
      </w:r>
      <w:r>
        <w:rPr>
          <w:rFonts w:ascii="Verdana" w:hAnsi="Verdana"/>
          <w:bCs/>
          <w:sz w:val="24"/>
          <w:szCs w:val="24"/>
        </w:rPr>
        <w:t>w</w:t>
      </w:r>
      <w:r w:rsidR="005D17AB">
        <w:rPr>
          <w:rFonts w:ascii="Verdana" w:hAnsi="Verdana"/>
          <w:bCs/>
          <w:sz w:val="24"/>
          <w:szCs w:val="24"/>
        </w:rPr>
        <w:t xml:space="preserve">as </w:t>
      </w:r>
      <w:r>
        <w:rPr>
          <w:rFonts w:ascii="Verdana" w:hAnsi="Verdana"/>
          <w:bCs/>
          <w:sz w:val="24"/>
          <w:szCs w:val="24"/>
        </w:rPr>
        <w:t xml:space="preserve">as a result </w:t>
      </w:r>
      <w:r w:rsidR="00FA5E28">
        <w:rPr>
          <w:rFonts w:ascii="Verdana" w:hAnsi="Verdana"/>
          <w:bCs/>
          <w:sz w:val="24"/>
          <w:szCs w:val="24"/>
        </w:rPr>
        <w:t>withdrawn</w:t>
      </w:r>
      <w:r>
        <w:rPr>
          <w:rFonts w:ascii="Verdana" w:hAnsi="Verdana"/>
          <w:bCs/>
          <w:sz w:val="24"/>
          <w:szCs w:val="24"/>
        </w:rPr>
        <w:t>,</w:t>
      </w:r>
      <w:r w:rsidR="00FA5E28">
        <w:rPr>
          <w:rStyle w:val="FootnoteReference"/>
          <w:rFonts w:ascii="Verdana" w:hAnsi="Verdana"/>
          <w:bCs/>
          <w:sz w:val="24"/>
          <w:szCs w:val="24"/>
        </w:rPr>
        <w:footnoteReference w:id="3"/>
      </w:r>
      <w:r>
        <w:rPr>
          <w:rFonts w:ascii="Verdana" w:hAnsi="Verdana"/>
          <w:bCs/>
          <w:sz w:val="24"/>
          <w:szCs w:val="24"/>
        </w:rPr>
        <w:t xml:space="preserve"> and</w:t>
      </w:r>
      <w:r w:rsidR="00297CE8">
        <w:rPr>
          <w:rFonts w:ascii="Verdana" w:hAnsi="Verdana"/>
          <w:bCs/>
          <w:sz w:val="24"/>
          <w:szCs w:val="24"/>
        </w:rPr>
        <w:t xml:space="preserve"> proceeded </w:t>
      </w:r>
      <w:r>
        <w:rPr>
          <w:rFonts w:ascii="Verdana" w:hAnsi="Verdana"/>
          <w:bCs/>
          <w:sz w:val="24"/>
          <w:szCs w:val="24"/>
        </w:rPr>
        <w:t>only</w:t>
      </w:r>
      <w:r w:rsidR="00297CE8">
        <w:rPr>
          <w:rFonts w:ascii="Verdana" w:hAnsi="Verdana"/>
          <w:bCs/>
          <w:sz w:val="24"/>
          <w:szCs w:val="24"/>
        </w:rPr>
        <w:t xml:space="preserve"> against the</w:t>
      </w:r>
      <w:r w:rsidR="00FA5E28" w:rsidRPr="00FA5E28">
        <w:rPr>
          <w:rFonts w:ascii="Verdana" w:hAnsi="Verdana"/>
          <w:bCs/>
          <w:sz w:val="24"/>
          <w:szCs w:val="24"/>
        </w:rPr>
        <w:t xml:space="preserve"> first respondent </w:t>
      </w:r>
      <w:r w:rsidR="00297CE8">
        <w:rPr>
          <w:rFonts w:ascii="Verdana" w:hAnsi="Verdana"/>
          <w:bCs/>
          <w:sz w:val="24"/>
          <w:szCs w:val="24"/>
        </w:rPr>
        <w:t>on the basis of</w:t>
      </w:r>
      <w:r w:rsidR="00FA5E28" w:rsidRPr="00FA5E28">
        <w:rPr>
          <w:rFonts w:ascii="Verdana" w:hAnsi="Verdana"/>
          <w:bCs/>
          <w:sz w:val="24"/>
          <w:szCs w:val="24"/>
        </w:rPr>
        <w:t xml:space="preserve"> its </w:t>
      </w:r>
      <w:r w:rsidR="00FF565D">
        <w:rPr>
          <w:rFonts w:ascii="Verdana" w:hAnsi="Verdana"/>
          <w:bCs/>
          <w:sz w:val="24"/>
          <w:szCs w:val="24"/>
        </w:rPr>
        <w:t xml:space="preserve">alleged </w:t>
      </w:r>
      <w:r w:rsidR="00FA5E28" w:rsidRPr="00FA5E28">
        <w:rPr>
          <w:rFonts w:ascii="Verdana" w:hAnsi="Verdana"/>
          <w:bCs/>
          <w:sz w:val="24"/>
          <w:szCs w:val="24"/>
        </w:rPr>
        <w:t>refusal to cease its infringing conduct</w:t>
      </w:r>
      <w:r>
        <w:rPr>
          <w:rFonts w:ascii="Verdana" w:hAnsi="Verdana"/>
          <w:bCs/>
          <w:sz w:val="24"/>
          <w:szCs w:val="24"/>
        </w:rPr>
        <w:t>.</w:t>
      </w:r>
    </w:p>
    <w:p w14:paraId="3FAA0C7F" w14:textId="77777777" w:rsidR="001A7B3D" w:rsidRDefault="001A7B3D" w:rsidP="001C27E0">
      <w:pPr>
        <w:tabs>
          <w:tab w:val="left" w:pos="3640"/>
        </w:tabs>
        <w:spacing w:line="480" w:lineRule="auto"/>
        <w:jc w:val="both"/>
        <w:rPr>
          <w:rFonts w:ascii="Verdana" w:hAnsi="Verdana"/>
          <w:bCs/>
          <w:sz w:val="24"/>
          <w:szCs w:val="24"/>
        </w:rPr>
      </w:pPr>
    </w:p>
    <w:p w14:paraId="2E8C356A" w14:textId="77777777" w:rsidR="001F11E3" w:rsidRDefault="001F11E3" w:rsidP="001F11E3">
      <w:pPr>
        <w:tabs>
          <w:tab w:val="left" w:pos="3640"/>
        </w:tabs>
        <w:spacing w:line="480" w:lineRule="auto"/>
        <w:jc w:val="both"/>
        <w:rPr>
          <w:rFonts w:ascii="Verdana" w:hAnsi="Verdana"/>
          <w:bCs/>
          <w:sz w:val="24"/>
          <w:szCs w:val="24"/>
        </w:rPr>
      </w:pPr>
      <w:r w:rsidRPr="00D23D12">
        <w:rPr>
          <w:rFonts w:ascii="Verdana" w:hAnsi="Verdana"/>
          <w:bCs/>
          <w:sz w:val="24"/>
          <w:szCs w:val="24"/>
        </w:rPr>
        <w:lastRenderedPageBreak/>
        <w:t>URGENCY</w:t>
      </w:r>
    </w:p>
    <w:p w14:paraId="53E9F674" w14:textId="4D6E8861" w:rsidR="001F11E3" w:rsidRDefault="001F11E3" w:rsidP="001F11E3">
      <w:pPr>
        <w:tabs>
          <w:tab w:val="left" w:pos="3640"/>
        </w:tabs>
        <w:spacing w:line="480" w:lineRule="auto"/>
        <w:jc w:val="both"/>
        <w:rPr>
          <w:rFonts w:ascii="Verdana" w:hAnsi="Verdana"/>
          <w:bCs/>
          <w:sz w:val="24"/>
          <w:szCs w:val="24"/>
        </w:rPr>
      </w:pPr>
      <w:r>
        <w:rPr>
          <w:rFonts w:ascii="Verdana" w:hAnsi="Verdana"/>
          <w:bCs/>
          <w:sz w:val="24"/>
          <w:szCs w:val="24"/>
        </w:rPr>
        <w:t>6. Rule 6(12)(b) provides as follows:</w:t>
      </w:r>
    </w:p>
    <w:p w14:paraId="51A09CE7" w14:textId="77777777" w:rsidR="001F11E3" w:rsidRPr="00D23D12" w:rsidRDefault="001F11E3" w:rsidP="001F11E3">
      <w:pPr>
        <w:tabs>
          <w:tab w:val="left" w:pos="3640"/>
        </w:tabs>
        <w:spacing w:line="480" w:lineRule="auto"/>
        <w:jc w:val="both"/>
        <w:rPr>
          <w:rFonts w:ascii="Verdana" w:hAnsi="Verdana"/>
          <w:bCs/>
          <w:sz w:val="24"/>
          <w:szCs w:val="24"/>
        </w:rPr>
      </w:pPr>
      <w:r>
        <w:rPr>
          <w:rFonts w:ascii="Verdana" w:hAnsi="Verdana"/>
          <w:bCs/>
          <w:sz w:val="24"/>
          <w:szCs w:val="24"/>
        </w:rPr>
        <w:t>“(b) In every affidavit or petition filed in support of the application under the application under para. (a) of this sub-rule, the applicant shall set forth explicitly the circumstances which he avers render the matter urgent and the reasons why he claims that he could not be afforded substantial redress at the hearing in due course.”</w:t>
      </w:r>
    </w:p>
    <w:p w14:paraId="19B01ED0" w14:textId="77777777" w:rsidR="001F11E3" w:rsidRPr="005E1101" w:rsidRDefault="001F11E3" w:rsidP="001F11E3">
      <w:pPr>
        <w:tabs>
          <w:tab w:val="left" w:pos="3640"/>
        </w:tabs>
        <w:spacing w:line="480" w:lineRule="auto"/>
        <w:jc w:val="both"/>
        <w:rPr>
          <w:rFonts w:ascii="Verdana" w:hAnsi="Verdana"/>
          <w:bCs/>
          <w:sz w:val="24"/>
          <w:szCs w:val="24"/>
        </w:rPr>
      </w:pPr>
    </w:p>
    <w:p w14:paraId="149AE3B0" w14:textId="721DF95C" w:rsidR="001F11E3" w:rsidRDefault="001F11E3" w:rsidP="001F11E3">
      <w:pPr>
        <w:tabs>
          <w:tab w:val="left" w:pos="3640"/>
        </w:tabs>
        <w:spacing w:line="480" w:lineRule="auto"/>
        <w:jc w:val="both"/>
        <w:rPr>
          <w:rFonts w:ascii="Verdana" w:hAnsi="Verdana"/>
          <w:bCs/>
          <w:sz w:val="24"/>
          <w:szCs w:val="24"/>
        </w:rPr>
      </w:pPr>
      <w:r>
        <w:rPr>
          <w:rFonts w:ascii="Verdana" w:hAnsi="Verdana"/>
          <w:bCs/>
          <w:sz w:val="24"/>
          <w:szCs w:val="24"/>
        </w:rPr>
        <w:t xml:space="preserve">7. In paragraph 15 of its Founding Affidavit, </w:t>
      </w:r>
      <w:r w:rsidR="00FF565D">
        <w:rPr>
          <w:rFonts w:ascii="Verdana" w:hAnsi="Verdana"/>
          <w:bCs/>
          <w:sz w:val="24"/>
          <w:szCs w:val="24"/>
        </w:rPr>
        <w:t xml:space="preserve">deals with the basis for urgency relied upon by </w:t>
      </w:r>
      <w:r>
        <w:rPr>
          <w:rFonts w:ascii="Verdana" w:hAnsi="Verdana"/>
          <w:bCs/>
          <w:sz w:val="24"/>
          <w:szCs w:val="24"/>
        </w:rPr>
        <w:t>the applicant</w:t>
      </w:r>
      <w:r w:rsidR="00FF565D">
        <w:rPr>
          <w:rFonts w:ascii="Verdana" w:hAnsi="Verdana"/>
          <w:bCs/>
          <w:sz w:val="24"/>
          <w:szCs w:val="24"/>
        </w:rPr>
        <w:t>s</w:t>
      </w:r>
      <w:r>
        <w:rPr>
          <w:rFonts w:ascii="Verdana" w:hAnsi="Verdana"/>
          <w:bCs/>
          <w:sz w:val="24"/>
          <w:szCs w:val="24"/>
        </w:rPr>
        <w:t xml:space="preserve"> </w:t>
      </w:r>
      <w:r w:rsidR="00FF565D">
        <w:rPr>
          <w:rFonts w:ascii="Verdana" w:hAnsi="Verdana"/>
          <w:bCs/>
          <w:sz w:val="24"/>
          <w:szCs w:val="24"/>
        </w:rPr>
        <w:t>in their</w:t>
      </w:r>
      <w:r>
        <w:rPr>
          <w:rFonts w:ascii="Verdana" w:hAnsi="Verdana"/>
          <w:bCs/>
          <w:sz w:val="24"/>
          <w:szCs w:val="24"/>
        </w:rPr>
        <w:t xml:space="preserve"> application. In this regard the applicants assert that during December 2021, Keightley J granted an interim interdict against Dr. Reddy, t</w:t>
      </w:r>
      <w:r w:rsidRPr="005E1101">
        <w:rPr>
          <w:rFonts w:ascii="Verdana" w:hAnsi="Verdana"/>
          <w:bCs/>
          <w:sz w:val="24"/>
          <w:szCs w:val="24"/>
        </w:rPr>
        <w:t xml:space="preserve">he company that imports Rivaxored into South Africa </w:t>
      </w:r>
      <w:r>
        <w:rPr>
          <w:rFonts w:ascii="Verdana" w:hAnsi="Verdana"/>
          <w:bCs/>
          <w:sz w:val="24"/>
          <w:szCs w:val="24"/>
        </w:rPr>
        <w:t>to</w:t>
      </w:r>
      <w:r w:rsidRPr="005E1101">
        <w:rPr>
          <w:rFonts w:ascii="Verdana" w:hAnsi="Verdana"/>
          <w:bCs/>
          <w:sz w:val="24"/>
          <w:szCs w:val="24"/>
        </w:rPr>
        <w:t xml:space="preserve"> sell it to pharmaceutical wholesalers and retailers</w:t>
      </w:r>
      <w:r>
        <w:rPr>
          <w:rFonts w:ascii="Verdana" w:hAnsi="Verdana"/>
          <w:bCs/>
          <w:sz w:val="24"/>
          <w:szCs w:val="24"/>
        </w:rPr>
        <w:t>.</w:t>
      </w:r>
      <w:r w:rsidRPr="005E1101">
        <w:rPr>
          <w:rFonts w:ascii="Verdana" w:hAnsi="Verdana"/>
          <w:bCs/>
          <w:sz w:val="24"/>
          <w:szCs w:val="24"/>
        </w:rPr>
        <w:t xml:space="preserve"> </w:t>
      </w:r>
    </w:p>
    <w:p w14:paraId="151D8D6A" w14:textId="77777777" w:rsidR="001F11E3" w:rsidRDefault="001F11E3" w:rsidP="001F11E3">
      <w:pPr>
        <w:tabs>
          <w:tab w:val="left" w:pos="3640"/>
        </w:tabs>
        <w:spacing w:line="480" w:lineRule="auto"/>
        <w:jc w:val="both"/>
        <w:rPr>
          <w:rFonts w:ascii="Verdana" w:hAnsi="Verdana"/>
          <w:bCs/>
          <w:sz w:val="24"/>
          <w:szCs w:val="24"/>
        </w:rPr>
      </w:pPr>
    </w:p>
    <w:p w14:paraId="29C6D102" w14:textId="5284161B" w:rsidR="001F11E3" w:rsidRDefault="001F11E3" w:rsidP="001F11E3">
      <w:pPr>
        <w:tabs>
          <w:tab w:val="left" w:pos="3640"/>
        </w:tabs>
        <w:spacing w:line="480" w:lineRule="auto"/>
        <w:jc w:val="both"/>
        <w:rPr>
          <w:rFonts w:ascii="Verdana" w:hAnsi="Verdana"/>
          <w:bCs/>
          <w:sz w:val="24"/>
          <w:szCs w:val="24"/>
        </w:rPr>
      </w:pPr>
      <w:r>
        <w:rPr>
          <w:rFonts w:ascii="Verdana" w:hAnsi="Verdana"/>
          <w:bCs/>
          <w:sz w:val="24"/>
          <w:szCs w:val="24"/>
        </w:rPr>
        <w:t>8. In terms of the interdict so granted, the court had found</w:t>
      </w:r>
      <w:r w:rsidRPr="005E1101">
        <w:rPr>
          <w:rFonts w:ascii="Verdana" w:hAnsi="Verdana"/>
          <w:bCs/>
          <w:sz w:val="24"/>
          <w:szCs w:val="24"/>
        </w:rPr>
        <w:t xml:space="preserve"> that the patent was prima facie valid and that the sale of Rivaxored in South Africa constituted a prima facie infringement o</w:t>
      </w:r>
      <w:r>
        <w:rPr>
          <w:rFonts w:ascii="Verdana" w:hAnsi="Verdana"/>
          <w:bCs/>
          <w:sz w:val="24"/>
          <w:szCs w:val="24"/>
        </w:rPr>
        <w:t>f the patent.</w:t>
      </w:r>
      <w:r>
        <w:rPr>
          <w:rStyle w:val="FootnoteReference"/>
          <w:rFonts w:ascii="Verdana" w:hAnsi="Verdana"/>
          <w:bCs/>
          <w:sz w:val="24"/>
          <w:szCs w:val="24"/>
        </w:rPr>
        <w:footnoteReference w:id="4"/>
      </w:r>
      <w:r w:rsidR="0021656D">
        <w:rPr>
          <w:rFonts w:ascii="Verdana" w:hAnsi="Verdana"/>
          <w:bCs/>
          <w:sz w:val="24"/>
          <w:szCs w:val="24"/>
        </w:rPr>
        <w:t xml:space="preserve"> This judgment of Keightley J has not been taken on appeal.</w:t>
      </w:r>
    </w:p>
    <w:p w14:paraId="4B4D07BA" w14:textId="77777777" w:rsidR="001F11E3" w:rsidRDefault="001F11E3" w:rsidP="001F11E3">
      <w:pPr>
        <w:tabs>
          <w:tab w:val="left" w:pos="3640"/>
        </w:tabs>
        <w:spacing w:line="480" w:lineRule="auto"/>
        <w:jc w:val="both"/>
        <w:rPr>
          <w:rFonts w:ascii="Verdana" w:hAnsi="Verdana"/>
          <w:bCs/>
          <w:sz w:val="24"/>
          <w:szCs w:val="24"/>
        </w:rPr>
      </w:pPr>
    </w:p>
    <w:p w14:paraId="652E47C7" w14:textId="52829099" w:rsidR="001F11E3" w:rsidRDefault="001F11E3" w:rsidP="001F11E3">
      <w:pPr>
        <w:tabs>
          <w:tab w:val="left" w:pos="3640"/>
        </w:tabs>
        <w:spacing w:line="480" w:lineRule="auto"/>
        <w:jc w:val="both"/>
        <w:rPr>
          <w:rFonts w:ascii="Verdana" w:hAnsi="Verdana"/>
          <w:bCs/>
          <w:sz w:val="24"/>
          <w:szCs w:val="24"/>
        </w:rPr>
      </w:pPr>
      <w:r>
        <w:rPr>
          <w:rFonts w:ascii="Verdana" w:hAnsi="Verdana"/>
          <w:bCs/>
          <w:sz w:val="24"/>
          <w:szCs w:val="24"/>
        </w:rPr>
        <w:t>9. In addition the court had found</w:t>
      </w:r>
      <w:r w:rsidRPr="005E1101">
        <w:rPr>
          <w:rFonts w:ascii="Verdana" w:hAnsi="Verdana"/>
          <w:bCs/>
          <w:sz w:val="24"/>
          <w:szCs w:val="24"/>
        </w:rPr>
        <w:t xml:space="preserve"> that the continued sale of Rivaxored in South Africa gave rise to irreparable harm to Bayer in that it would not be able to prove the full extent of its damages occasioned by these sales; that Bayer had no alternativ</w:t>
      </w:r>
      <w:r>
        <w:rPr>
          <w:rFonts w:ascii="Verdana" w:hAnsi="Verdana"/>
          <w:bCs/>
          <w:sz w:val="24"/>
          <w:szCs w:val="24"/>
        </w:rPr>
        <w:t>e remedy available to it;</w:t>
      </w:r>
      <w:r>
        <w:rPr>
          <w:rStyle w:val="FootnoteReference"/>
          <w:rFonts w:ascii="Verdana" w:hAnsi="Verdana"/>
          <w:bCs/>
          <w:sz w:val="24"/>
          <w:szCs w:val="24"/>
        </w:rPr>
        <w:footnoteReference w:id="5"/>
      </w:r>
      <w:r w:rsidRPr="005E1101">
        <w:rPr>
          <w:rFonts w:ascii="Verdana" w:hAnsi="Verdana"/>
          <w:bCs/>
          <w:sz w:val="24"/>
          <w:szCs w:val="24"/>
        </w:rPr>
        <w:t xml:space="preserve"> and that the balance of convenience in the circumstances of that case</w:t>
      </w:r>
      <w:r>
        <w:rPr>
          <w:rFonts w:ascii="Verdana" w:hAnsi="Verdana"/>
          <w:bCs/>
          <w:sz w:val="24"/>
          <w:szCs w:val="24"/>
        </w:rPr>
        <w:t xml:space="preserve"> favoured Bayer.</w:t>
      </w:r>
      <w:r>
        <w:rPr>
          <w:rStyle w:val="FootnoteReference"/>
          <w:rFonts w:ascii="Verdana" w:hAnsi="Verdana"/>
          <w:bCs/>
          <w:sz w:val="24"/>
          <w:szCs w:val="24"/>
        </w:rPr>
        <w:footnoteReference w:id="6"/>
      </w:r>
    </w:p>
    <w:p w14:paraId="3B849BFF" w14:textId="77777777" w:rsidR="001F11E3" w:rsidRPr="005E1101" w:rsidRDefault="001F11E3" w:rsidP="001F11E3">
      <w:pPr>
        <w:tabs>
          <w:tab w:val="left" w:pos="3640"/>
        </w:tabs>
        <w:spacing w:line="480" w:lineRule="auto"/>
        <w:jc w:val="both"/>
        <w:rPr>
          <w:rFonts w:ascii="Verdana" w:hAnsi="Verdana"/>
          <w:bCs/>
          <w:sz w:val="24"/>
          <w:szCs w:val="24"/>
        </w:rPr>
      </w:pPr>
    </w:p>
    <w:p w14:paraId="69616565" w14:textId="31E570A0" w:rsidR="001F11E3" w:rsidRPr="005E1101" w:rsidRDefault="001F11E3" w:rsidP="001F11E3">
      <w:pPr>
        <w:tabs>
          <w:tab w:val="left" w:pos="3640"/>
        </w:tabs>
        <w:spacing w:line="480" w:lineRule="auto"/>
        <w:jc w:val="both"/>
        <w:rPr>
          <w:rFonts w:ascii="Verdana" w:hAnsi="Verdana"/>
          <w:bCs/>
          <w:sz w:val="24"/>
          <w:szCs w:val="24"/>
        </w:rPr>
      </w:pPr>
      <w:r>
        <w:rPr>
          <w:rFonts w:ascii="Verdana" w:hAnsi="Verdana"/>
          <w:bCs/>
          <w:sz w:val="24"/>
          <w:szCs w:val="24"/>
        </w:rPr>
        <w:t>10. Notwit</w:t>
      </w:r>
      <w:r w:rsidR="00EA5732">
        <w:rPr>
          <w:rFonts w:ascii="Verdana" w:hAnsi="Verdana"/>
          <w:bCs/>
          <w:sz w:val="24"/>
          <w:szCs w:val="24"/>
        </w:rPr>
        <w:t>h</w:t>
      </w:r>
      <w:r>
        <w:rPr>
          <w:rFonts w:ascii="Verdana" w:hAnsi="Verdana"/>
          <w:bCs/>
          <w:sz w:val="24"/>
          <w:szCs w:val="24"/>
        </w:rPr>
        <w:t>standing the above</w:t>
      </w:r>
      <w:r w:rsidRPr="005E1101">
        <w:rPr>
          <w:rFonts w:ascii="Verdana" w:hAnsi="Verdana"/>
          <w:bCs/>
          <w:sz w:val="24"/>
          <w:szCs w:val="24"/>
        </w:rPr>
        <w:t xml:space="preserve"> findings, and the order granted against Dr Reddy’s, UPD and Clicks Retailers (together “Clicks”) refused to stop selling Rivaxored pending the outcome of</w:t>
      </w:r>
      <w:r>
        <w:rPr>
          <w:rFonts w:ascii="Verdana" w:hAnsi="Verdana"/>
          <w:bCs/>
          <w:sz w:val="24"/>
          <w:szCs w:val="24"/>
        </w:rPr>
        <w:t xml:space="preserve"> the trial against Dr Reddy’s.</w:t>
      </w:r>
      <w:r>
        <w:rPr>
          <w:rStyle w:val="FootnoteReference"/>
          <w:rFonts w:ascii="Verdana" w:hAnsi="Verdana"/>
          <w:bCs/>
          <w:sz w:val="24"/>
          <w:szCs w:val="24"/>
        </w:rPr>
        <w:footnoteReference w:id="7"/>
      </w:r>
      <w:r w:rsidRPr="005E1101">
        <w:rPr>
          <w:rFonts w:ascii="Verdana" w:hAnsi="Verdana"/>
          <w:bCs/>
          <w:sz w:val="24"/>
          <w:szCs w:val="24"/>
        </w:rPr>
        <w:t xml:space="preserve"> </w:t>
      </w:r>
    </w:p>
    <w:p w14:paraId="587BB2C6" w14:textId="77777777" w:rsidR="001F11E3" w:rsidRPr="005E1101" w:rsidRDefault="001F11E3" w:rsidP="001F11E3">
      <w:pPr>
        <w:tabs>
          <w:tab w:val="left" w:pos="3640"/>
        </w:tabs>
        <w:spacing w:line="480" w:lineRule="auto"/>
        <w:jc w:val="both"/>
        <w:rPr>
          <w:rFonts w:ascii="Verdana" w:hAnsi="Verdana"/>
          <w:bCs/>
          <w:sz w:val="24"/>
          <w:szCs w:val="24"/>
        </w:rPr>
      </w:pPr>
    </w:p>
    <w:p w14:paraId="1C864307" w14:textId="25726C3F" w:rsidR="001F11E3" w:rsidRDefault="001F11E3" w:rsidP="001F11E3">
      <w:pPr>
        <w:tabs>
          <w:tab w:val="left" w:pos="3640"/>
        </w:tabs>
        <w:spacing w:line="480" w:lineRule="auto"/>
        <w:jc w:val="both"/>
        <w:rPr>
          <w:rFonts w:ascii="Verdana" w:hAnsi="Verdana"/>
          <w:bCs/>
          <w:sz w:val="24"/>
          <w:szCs w:val="24"/>
        </w:rPr>
      </w:pPr>
      <w:r>
        <w:rPr>
          <w:rFonts w:ascii="Verdana" w:hAnsi="Verdana"/>
          <w:bCs/>
          <w:sz w:val="24"/>
          <w:szCs w:val="24"/>
        </w:rPr>
        <w:t xml:space="preserve">11. </w:t>
      </w:r>
      <w:r w:rsidRPr="005E1101">
        <w:rPr>
          <w:rFonts w:ascii="Verdana" w:hAnsi="Verdana"/>
          <w:bCs/>
          <w:sz w:val="24"/>
          <w:szCs w:val="24"/>
        </w:rPr>
        <w:t>Clicks’ continued sale of Rivaxored</w:t>
      </w:r>
      <w:r w:rsidR="00FF565D">
        <w:rPr>
          <w:rFonts w:ascii="Verdana" w:hAnsi="Verdana"/>
          <w:bCs/>
          <w:sz w:val="24"/>
          <w:szCs w:val="24"/>
        </w:rPr>
        <w:t>,</w:t>
      </w:r>
      <w:r w:rsidRPr="005E1101">
        <w:rPr>
          <w:rFonts w:ascii="Verdana" w:hAnsi="Verdana"/>
          <w:bCs/>
          <w:sz w:val="24"/>
          <w:szCs w:val="24"/>
        </w:rPr>
        <w:t xml:space="preserve"> </w:t>
      </w:r>
      <w:r>
        <w:rPr>
          <w:rFonts w:ascii="Verdana" w:hAnsi="Verdana"/>
          <w:bCs/>
          <w:sz w:val="24"/>
          <w:szCs w:val="24"/>
        </w:rPr>
        <w:t>the applicants argue</w:t>
      </w:r>
      <w:r w:rsidR="00A06D64">
        <w:rPr>
          <w:rFonts w:ascii="Verdana" w:hAnsi="Verdana"/>
          <w:bCs/>
          <w:sz w:val="24"/>
          <w:szCs w:val="24"/>
        </w:rPr>
        <w:t>s</w:t>
      </w:r>
      <w:r>
        <w:rPr>
          <w:rFonts w:ascii="Verdana" w:hAnsi="Verdana"/>
          <w:bCs/>
          <w:sz w:val="24"/>
          <w:szCs w:val="24"/>
        </w:rPr>
        <w:t xml:space="preserve">, </w:t>
      </w:r>
      <w:r w:rsidRPr="005E1101">
        <w:rPr>
          <w:rFonts w:ascii="Verdana" w:hAnsi="Verdana"/>
          <w:bCs/>
          <w:sz w:val="24"/>
          <w:szCs w:val="24"/>
        </w:rPr>
        <w:t xml:space="preserve">undermines the purpose of the interim interdict granted </w:t>
      </w:r>
      <w:r w:rsidR="00F66E10">
        <w:rPr>
          <w:rFonts w:ascii="Verdana" w:hAnsi="Verdana"/>
          <w:bCs/>
          <w:sz w:val="24"/>
          <w:szCs w:val="24"/>
        </w:rPr>
        <w:t xml:space="preserve">by Keightly J </w:t>
      </w:r>
      <w:r w:rsidRPr="005E1101">
        <w:rPr>
          <w:rFonts w:ascii="Verdana" w:hAnsi="Verdana"/>
          <w:bCs/>
          <w:sz w:val="24"/>
          <w:szCs w:val="24"/>
        </w:rPr>
        <w:t xml:space="preserve">against Dr Reddy’s; and gives rise to precisely the same irreparable harm to Bayer that </w:t>
      </w:r>
      <w:r w:rsidR="00F66E10">
        <w:rPr>
          <w:rFonts w:ascii="Verdana" w:hAnsi="Verdana"/>
          <w:bCs/>
          <w:sz w:val="24"/>
          <w:szCs w:val="24"/>
        </w:rPr>
        <w:t>it</w:t>
      </w:r>
      <w:r w:rsidRPr="005E1101">
        <w:rPr>
          <w:rFonts w:ascii="Verdana" w:hAnsi="Verdana"/>
          <w:bCs/>
          <w:sz w:val="24"/>
          <w:szCs w:val="24"/>
        </w:rPr>
        <w:t xml:space="preserve"> sought </w:t>
      </w:r>
      <w:r>
        <w:rPr>
          <w:rFonts w:ascii="Verdana" w:hAnsi="Verdana"/>
          <w:bCs/>
          <w:sz w:val="24"/>
          <w:szCs w:val="24"/>
        </w:rPr>
        <w:t>to prevented by that order.</w:t>
      </w:r>
      <w:r>
        <w:rPr>
          <w:rStyle w:val="FootnoteReference"/>
          <w:rFonts w:ascii="Verdana" w:hAnsi="Verdana"/>
          <w:bCs/>
          <w:sz w:val="24"/>
          <w:szCs w:val="24"/>
        </w:rPr>
        <w:footnoteReference w:id="8"/>
      </w:r>
      <w:r w:rsidRPr="005E1101">
        <w:rPr>
          <w:rFonts w:ascii="Verdana" w:hAnsi="Verdana"/>
          <w:bCs/>
          <w:sz w:val="24"/>
          <w:szCs w:val="24"/>
        </w:rPr>
        <w:t xml:space="preserve"> </w:t>
      </w:r>
    </w:p>
    <w:p w14:paraId="65C62900" w14:textId="77777777" w:rsidR="001F11E3" w:rsidRDefault="001F11E3" w:rsidP="001F11E3">
      <w:pPr>
        <w:tabs>
          <w:tab w:val="left" w:pos="3640"/>
        </w:tabs>
        <w:spacing w:line="480" w:lineRule="auto"/>
        <w:jc w:val="both"/>
        <w:rPr>
          <w:rFonts w:ascii="Verdana" w:hAnsi="Verdana"/>
          <w:bCs/>
          <w:sz w:val="24"/>
          <w:szCs w:val="24"/>
        </w:rPr>
      </w:pPr>
    </w:p>
    <w:p w14:paraId="7E1FCD72" w14:textId="6F11C767" w:rsidR="001F11E3" w:rsidRDefault="001F11E3" w:rsidP="001F11E3">
      <w:pPr>
        <w:tabs>
          <w:tab w:val="left" w:pos="3640"/>
        </w:tabs>
        <w:spacing w:line="480" w:lineRule="auto"/>
        <w:jc w:val="both"/>
        <w:rPr>
          <w:rFonts w:ascii="Verdana" w:hAnsi="Verdana"/>
          <w:bCs/>
          <w:sz w:val="24"/>
          <w:szCs w:val="24"/>
        </w:rPr>
      </w:pPr>
      <w:r>
        <w:rPr>
          <w:rFonts w:ascii="Verdana" w:hAnsi="Verdana"/>
          <w:bCs/>
          <w:sz w:val="24"/>
          <w:szCs w:val="24"/>
        </w:rPr>
        <w:lastRenderedPageBreak/>
        <w:t xml:space="preserve">12. </w:t>
      </w:r>
      <w:r w:rsidRPr="005E1101">
        <w:rPr>
          <w:rFonts w:ascii="Verdana" w:hAnsi="Verdana"/>
          <w:bCs/>
          <w:sz w:val="24"/>
          <w:szCs w:val="24"/>
        </w:rPr>
        <w:t>Indeed, the very purpose of the order granted against Dr Reddy’s, in an urgent application,</w:t>
      </w:r>
      <w:r>
        <w:rPr>
          <w:rFonts w:ascii="Verdana" w:hAnsi="Verdana"/>
          <w:bCs/>
          <w:sz w:val="24"/>
          <w:szCs w:val="24"/>
        </w:rPr>
        <w:t xml:space="preserve"> is being defeated by Clicks.</w:t>
      </w:r>
      <w:r>
        <w:rPr>
          <w:rStyle w:val="FootnoteReference"/>
          <w:rFonts w:ascii="Verdana" w:hAnsi="Verdana"/>
          <w:bCs/>
          <w:sz w:val="24"/>
          <w:szCs w:val="24"/>
        </w:rPr>
        <w:footnoteReference w:id="9"/>
      </w:r>
      <w:r w:rsidR="003424B8">
        <w:rPr>
          <w:rFonts w:ascii="Verdana" w:hAnsi="Verdana"/>
          <w:bCs/>
          <w:sz w:val="24"/>
          <w:szCs w:val="24"/>
        </w:rPr>
        <w:t xml:space="preserve"> </w:t>
      </w:r>
      <w:r w:rsidRPr="005E1101">
        <w:rPr>
          <w:rFonts w:ascii="Verdana" w:hAnsi="Verdana"/>
          <w:bCs/>
          <w:sz w:val="24"/>
          <w:szCs w:val="24"/>
        </w:rPr>
        <w:t xml:space="preserve">This conduct, </w:t>
      </w:r>
      <w:r>
        <w:rPr>
          <w:rFonts w:ascii="Verdana" w:hAnsi="Verdana"/>
          <w:bCs/>
          <w:sz w:val="24"/>
          <w:szCs w:val="24"/>
        </w:rPr>
        <w:t xml:space="preserve">by Clicks </w:t>
      </w:r>
      <w:r w:rsidRPr="005E1101">
        <w:rPr>
          <w:rFonts w:ascii="Verdana" w:hAnsi="Verdana"/>
          <w:bCs/>
          <w:sz w:val="24"/>
          <w:szCs w:val="24"/>
        </w:rPr>
        <w:t>after the grant</w:t>
      </w:r>
      <w:r>
        <w:rPr>
          <w:rFonts w:ascii="Verdana" w:hAnsi="Verdana"/>
          <w:bCs/>
          <w:sz w:val="24"/>
          <w:szCs w:val="24"/>
        </w:rPr>
        <w:t>ing</w:t>
      </w:r>
      <w:r w:rsidRPr="005E1101">
        <w:rPr>
          <w:rFonts w:ascii="Verdana" w:hAnsi="Verdana"/>
          <w:bCs/>
          <w:sz w:val="24"/>
          <w:szCs w:val="24"/>
        </w:rPr>
        <w:t xml:space="preserve"> of the</w:t>
      </w:r>
      <w:r>
        <w:rPr>
          <w:rFonts w:ascii="Verdana" w:hAnsi="Verdana"/>
          <w:bCs/>
          <w:sz w:val="24"/>
          <w:szCs w:val="24"/>
        </w:rPr>
        <w:t xml:space="preserve"> </w:t>
      </w:r>
      <w:r w:rsidRPr="005E1101">
        <w:rPr>
          <w:rFonts w:ascii="Verdana" w:hAnsi="Verdana"/>
          <w:bCs/>
          <w:sz w:val="24"/>
          <w:szCs w:val="24"/>
        </w:rPr>
        <w:t>interim</w:t>
      </w:r>
      <w:r>
        <w:rPr>
          <w:rFonts w:ascii="Verdana" w:hAnsi="Verdana"/>
          <w:bCs/>
          <w:sz w:val="24"/>
          <w:szCs w:val="24"/>
        </w:rPr>
        <w:t xml:space="preserve"> interdict against Dr Reddy’s,</w:t>
      </w:r>
      <w:r>
        <w:rPr>
          <w:rStyle w:val="FootnoteReference"/>
          <w:rFonts w:ascii="Verdana" w:hAnsi="Verdana"/>
          <w:bCs/>
          <w:sz w:val="24"/>
          <w:szCs w:val="24"/>
        </w:rPr>
        <w:footnoteReference w:id="10"/>
      </w:r>
      <w:r w:rsidRPr="005E1101">
        <w:rPr>
          <w:rFonts w:ascii="Verdana" w:hAnsi="Verdana"/>
          <w:bCs/>
          <w:sz w:val="24"/>
          <w:szCs w:val="24"/>
        </w:rPr>
        <w:t xml:space="preserve"> warranted the bringing of a separate, urgent application against Clicks</w:t>
      </w:r>
      <w:r>
        <w:rPr>
          <w:rFonts w:ascii="Verdana" w:hAnsi="Verdana"/>
          <w:bCs/>
          <w:sz w:val="24"/>
          <w:szCs w:val="24"/>
        </w:rPr>
        <w:t xml:space="preserve"> and only once the intention of Clicks was made clear did the applicants move with all reasonable expedition in instituting this application. </w:t>
      </w:r>
    </w:p>
    <w:p w14:paraId="25199690" w14:textId="77777777" w:rsidR="001F11E3" w:rsidRDefault="001F11E3" w:rsidP="001F11E3">
      <w:pPr>
        <w:tabs>
          <w:tab w:val="left" w:pos="3640"/>
        </w:tabs>
        <w:spacing w:line="480" w:lineRule="auto"/>
        <w:jc w:val="both"/>
        <w:rPr>
          <w:rFonts w:ascii="Verdana" w:hAnsi="Verdana"/>
          <w:bCs/>
          <w:sz w:val="24"/>
          <w:szCs w:val="24"/>
        </w:rPr>
      </w:pPr>
    </w:p>
    <w:p w14:paraId="61B1C76F" w14:textId="5A6C24A2" w:rsidR="001F11E3" w:rsidRPr="005E1101" w:rsidRDefault="001F11E3" w:rsidP="001F11E3">
      <w:pPr>
        <w:tabs>
          <w:tab w:val="left" w:pos="3640"/>
        </w:tabs>
        <w:spacing w:line="480" w:lineRule="auto"/>
        <w:jc w:val="both"/>
        <w:rPr>
          <w:rFonts w:ascii="Verdana" w:hAnsi="Verdana"/>
          <w:bCs/>
          <w:sz w:val="24"/>
          <w:szCs w:val="24"/>
        </w:rPr>
      </w:pPr>
      <w:r>
        <w:rPr>
          <w:rFonts w:ascii="Verdana" w:hAnsi="Verdana"/>
          <w:bCs/>
          <w:sz w:val="24"/>
          <w:szCs w:val="24"/>
        </w:rPr>
        <w:t xml:space="preserve">13. </w:t>
      </w:r>
      <w:r w:rsidRPr="005E1101">
        <w:rPr>
          <w:rFonts w:ascii="Verdana" w:hAnsi="Verdana"/>
          <w:bCs/>
          <w:sz w:val="24"/>
          <w:szCs w:val="24"/>
        </w:rPr>
        <w:t xml:space="preserve">Moreover, while </w:t>
      </w:r>
      <w:r w:rsidR="000F24DE">
        <w:rPr>
          <w:rFonts w:ascii="Verdana" w:hAnsi="Verdana"/>
          <w:bCs/>
          <w:sz w:val="24"/>
          <w:szCs w:val="24"/>
        </w:rPr>
        <w:t xml:space="preserve">it is conceded that </w:t>
      </w:r>
      <w:r w:rsidRPr="005E1101">
        <w:rPr>
          <w:rFonts w:ascii="Verdana" w:hAnsi="Verdana"/>
          <w:bCs/>
          <w:sz w:val="24"/>
          <w:szCs w:val="24"/>
        </w:rPr>
        <w:t xml:space="preserve">Clicks is not bound by the order against Dr Reddy’s and there is therefore no question of contempt, their conduct clearly undermines the authority of the court to prevent unlawful commercial conduct in the same way that contemptuous conduct does. Simply put, Clicks has shown scant regard for the findings of this court: it is quite content to continue selling a product, the sale of which this court has already found to be prima </w:t>
      </w:r>
      <w:r w:rsidRPr="001448E2">
        <w:rPr>
          <w:rFonts w:ascii="Verdana" w:hAnsi="Verdana"/>
          <w:bCs/>
          <w:i/>
          <w:sz w:val="24"/>
          <w:szCs w:val="24"/>
        </w:rPr>
        <w:t>facie unlawful</w:t>
      </w:r>
      <w:r>
        <w:rPr>
          <w:rFonts w:ascii="Verdana" w:hAnsi="Verdana"/>
          <w:bCs/>
          <w:sz w:val="24"/>
          <w:szCs w:val="24"/>
        </w:rPr>
        <w:t xml:space="preserve"> and based on this reason alone, it</w:t>
      </w:r>
      <w:r w:rsidRPr="005E1101">
        <w:rPr>
          <w:rFonts w:ascii="Verdana" w:hAnsi="Verdana"/>
          <w:bCs/>
          <w:sz w:val="24"/>
          <w:szCs w:val="24"/>
        </w:rPr>
        <w:t xml:space="preserve"> renders the matter urgent.</w:t>
      </w:r>
    </w:p>
    <w:p w14:paraId="7C3CE535" w14:textId="77777777" w:rsidR="001F11E3" w:rsidRDefault="001F11E3" w:rsidP="001F11E3">
      <w:pPr>
        <w:tabs>
          <w:tab w:val="left" w:pos="3640"/>
        </w:tabs>
        <w:spacing w:line="480" w:lineRule="auto"/>
        <w:jc w:val="both"/>
        <w:rPr>
          <w:rFonts w:ascii="Verdana" w:hAnsi="Verdana"/>
          <w:bCs/>
          <w:sz w:val="24"/>
          <w:szCs w:val="24"/>
        </w:rPr>
      </w:pPr>
    </w:p>
    <w:p w14:paraId="47321412" w14:textId="38825DD3" w:rsidR="001F11E3" w:rsidRDefault="001F11E3" w:rsidP="001F11E3">
      <w:pPr>
        <w:tabs>
          <w:tab w:val="left" w:pos="3640"/>
        </w:tabs>
        <w:spacing w:line="480" w:lineRule="auto"/>
        <w:jc w:val="both"/>
        <w:rPr>
          <w:rFonts w:ascii="Verdana" w:hAnsi="Verdana"/>
          <w:bCs/>
          <w:sz w:val="24"/>
          <w:szCs w:val="24"/>
        </w:rPr>
      </w:pPr>
      <w:r>
        <w:rPr>
          <w:rFonts w:ascii="Verdana" w:hAnsi="Verdana"/>
          <w:bCs/>
          <w:sz w:val="24"/>
          <w:szCs w:val="24"/>
        </w:rPr>
        <w:lastRenderedPageBreak/>
        <w:t xml:space="preserve">14. The first respondent disputes that the application is urgent. The position adopted by the first respondent is that the urgency of the application is self-created. This </w:t>
      </w:r>
      <w:r w:rsidR="00F66E10">
        <w:rPr>
          <w:rFonts w:ascii="Verdana" w:hAnsi="Verdana"/>
          <w:bCs/>
          <w:sz w:val="24"/>
          <w:szCs w:val="24"/>
        </w:rPr>
        <w:t>the first respondent</w:t>
      </w:r>
      <w:r>
        <w:rPr>
          <w:rFonts w:ascii="Verdana" w:hAnsi="Verdana"/>
          <w:bCs/>
          <w:sz w:val="24"/>
          <w:szCs w:val="24"/>
        </w:rPr>
        <w:t xml:space="preserve"> assert</w:t>
      </w:r>
      <w:r w:rsidR="00F66E10">
        <w:rPr>
          <w:rFonts w:ascii="Verdana" w:hAnsi="Verdana"/>
          <w:bCs/>
          <w:sz w:val="24"/>
          <w:szCs w:val="24"/>
        </w:rPr>
        <w:t>s</w:t>
      </w:r>
      <w:r>
        <w:rPr>
          <w:rFonts w:ascii="Verdana" w:hAnsi="Verdana"/>
          <w:bCs/>
          <w:sz w:val="24"/>
          <w:szCs w:val="24"/>
        </w:rPr>
        <w:t xml:space="preserve">, is so, as the applicants only waited until the </w:t>
      </w:r>
      <w:r w:rsidR="008B6F02">
        <w:rPr>
          <w:rFonts w:ascii="Verdana" w:hAnsi="Verdana"/>
          <w:bCs/>
          <w:sz w:val="24"/>
          <w:szCs w:val="24"/>
        </w:rPr>
        <w:t xml:space="preserve">judgment by </w:t>
      </w:r>
      <w:r>
        <w:rPr>
          <w:rFonts w:ascii="Verdana" w:hAnsi="Verdana"/>
          <w:bCs/>
          <w:sz w:val="24"/>
          <w:szCs w:val="24"/>
        </w:rPr>
        <w:t xml:space="preserve">Keightley </w:t>
      </w:r>
      <w:r w:rsidR="008B6F02">
        <w:rPr>
          <w:rFonts w:ascii="Verdana" w:hAnsi="Verdana"/>
          <w:bCs/>
          <w:sz w:val="24"/>
          <w:szCs w:val="24"/>
        </w:rPr>
        <w:t>J</w:t>
      </w:r>
      <w:r>
        <w:rPr>
          <w:rFonts w:ascii="Verdana" w:hAnsi="Verdana"/>
          <w:bCs/>
          <w:sz w:val="24"/>
          <w:szCs w:val="24"/>
        </w:rPr>
        <w:t xml:space="preserve"> was handed down, before approach</w:t>
      </w:r>
      <w:r w:rsidR="00F66E10">
        <w:rPr>
          <w:rFonts w:ascii="Verdana" w:hAnsi="Verdana"/>
          <w:bCs/>
          <w:sz w:val="24"/>
          <w:szCs w:val="24"/>
        </w:rPr>
        <w:t>ing</w:t>
      </w:r>
      <w:r>
        <w:rPr>
          <w:rFonts w:ascii="Verdana" w:hAnsi="Verdana"/>
          <w:bCs/>
          <w:sz w:val="24"/>
          <w:szCs w:val="24"/>
        </w:rPr>
        <w:t xml:space="preserve"> this court on an urgent basis seeking an interdict against New Clicks South Africa (Pty) Ltd (</w:t>
      </w:r>
      <w:r w:rsidRPr="00386A03">
        <w:rPr>
          <w:rFonts w:ascii="Verdana" w:hAnsi="Verdana"/>
          <w:bCs/>
          <w:i/>
          <w:sz w:val="24"/>
          <w:szCs w:val="24"/>
        </w:rPr>
        <w:t>NCSA</w:t>
      </w:r>
      <w:r>
        <w:rPr>
          <w:rFonts w:ascii="Verdana" w:hAnsi="Verdana"/>
          <w:bCs/>
          <w:sz w:val="24"/>
          <w:szCs w:val="24"/>
        </w:rPr>
        <w:t>)</w:t>
      </w:r>
      <w:r w:rsidR="00F66E10">
        <w:rPr>
          <w:rFonts w:ascii="Verdana" w:hAnsi="Verdana"/>
          <w:bCs/>
          <w:sz w:val="24"/>
          <w:szCs w:val="24"/>
        </w:rPr>
        <w:t>,</w:t>
      </w:r>
      <w:r>
        <w:rPr>
          <w:rFonts w:ascii="Verdana" w:hAnsi="Verdana"/>
          <w:bCs/>
          <w:sz w:val="24"/>
          <w:szCs w:val="24"/>
        </w:rPr>
        <w:t xml:space="preserve"> without providing any reason as to why NCSA was not cited in the Dr. Reddy’s matter.</w:t>
      </w:r>
    </w:p>
    <w:p w14:paraId="229163A1" w14:textId="77777777" w:rsidR="001F11E3" w:rsidRDefault="001F11E3" w:rsidP="001F11E3">
      <w:pPr>
        <w:tabs>
          <w:tab w:val="left" w:pos="3640"/>
        </w:tabs>
        <w:spacing w:line="480" w:lineRule="auto"/>
        <w:jc w:val="both"/>
        <w:rPr>
          <w:rFonts w:ascii="Verdana" w:hAnsi="Verdana"/>
          <w:bCs/>
          <w:sz w:val="24"/>
          <w:szCs w:val="24"/>
        </w:rPr>
      </w:pPr>
    </w:p>
    <w:p w14:paraId="0920709B" w14:textId="25E38E8B" w:rsidR="001F11E3" w:rsidRPr="00A94C16" w:rsidRDefault="001F11E3" w:rsidP="001F11E3">
      <w:pPr>
        <w:tabs>
          <w:tab w:val="left" w:pos="3640"/>
        </w:tabs>
        <w:spacing w:line="480" w:lineRule="auto"/>
        <w:jc w:val="both"/>
        <w:rPr>
          <w:rFonts w:ascii="Verdana" w:hAnsi="Verdana"/>
          <w:bCs/>
          <w:sz w:val="24"/>
          <w:szCs w:val="24"/>
        </w:rPr>
      </w:pPr>
      <w:r>
        <w:rPr>
          <w:rFonts w:ascii="Verdana" w:hAnsi="Verdana"/>
          <w:bCs/>
          <w:sz w:val="24"/>
          <w:szCs w:val="24"/>
        </w:rPr>
        <w:t xml:space="preserve">15. In finding support for the argument of self-created urgency the respondent relied on the decision of </w:t>
      </w:r>
      <w:r w:rsidRPr="00A94C16">
        <w:rPr>
          <w:rFonts w:ascii="Verdana" w:hAnsi="Verdana"/>
          <w:bCs/>
          <w:sz w:val="24"/>
          <w:szCs w:val="24"/>
        </w:rPr>
        <w:t>Lindeque v Hirsch,</w:t>
      </w:r>
      <w:r w:rsidRPr="00A94C16">
        <w:rPr>
          <w:rStyle w:val="FootnoteReference"/>
          <w:rFonts w:ascii="Verdana" w:hAnsi="Verdana"/>
          <w:bCs/>
          <w:sz w:val="24"/>
          <w:szCs w:val="24"/>
        </w:rPr>
        <w:footnoteReference w:id="11"/>
      </w:r>
      <w:r w:rsidRPr="00A94C16">
        <w:rPr>
          <w:rFonts w:ascii="Verdana" w:hAnsi="Verdana"/>
          <w:bCs/>
          <w:sz w:val="24"/>
          <w:szCs w:val="24"/>
        </w:rPr>
        <w:t xml:space="preserve"> where Adams J held:</w:t>
      </w:r>
    </w:p>
    <w:p w14:paraId="3C8C92D8" w14:textId="4982DA7D" w:rsidR="001F11E3" w:rsidRPr="008B253D" w:rsidRDefault="001F11E3" w:rsidP="001F11E3">
      <w:pPr>
        <w:tabs>
          <w:tab w:val="left" w:pos="3640"/>
        </w:tabs>
        <w:spacing w:line="480" w:lineRule="auto"/>
        <w:jc w:val="both"/>
        <w:rPr>
          <w:rFonts w:ascii="Verdana" w:hAnsi="Verdana"/>
          <w:bCs/>
          <w:sz w:val="24"/>
          <w:szCs w:val="24"/>
        </w:rPr>
      </w:pPr>
      <w:r w:rsidRPr="008B253D">
        <w:rPr>
          <w:rFonts w:ascii="Verdana" w:hAnsi="Verdana"/>
          <w:bCs/>
          <w:sz w:val="24"/>
          <w:szCs w:val="24"/>
        </w:rPr>
        <w:t>“As rightly pointed out by Mr Subel, self-created urgency does not constitute acceptable urgency for purposes of uniform rule 6(12) justifying the determination of a matter on an urgent basis.</w:t>
      </w:r>
      <w:r w:rsidR="008B253D">
        <w:rPr>
          <w:rFonts w:ascii="Verdana" w:hAnsi="Verdana"/>
          <w:bCs/>
          <w:sz w:val="24"/>
          <w:szCs w:val="24"/>
        </w:rPr>
        <w:t>”</w:t>
      </w:r>
    </w:p>
    <w:p w14:paraId="77EA4C92" w14:textId="77777777" w:rsidR="001F11E3" w:rsidRDefault="001F11E3" w:rsidP="001F11E3">
      <w:pPr>
        <w:tabs>
          <w:tab w:val="left" w:pos="3640"/>
        </w:tabs>
        <w:spacing w:line="480" w:lineRule="auto"/>
        <w:jc w:val="both"/>
        <w:rPr>
          <w:rFonts w:ascii="Verdana" w:hAnsi="Verdana"/>
          <w:bCs/>
          <w:sz w:val="24"/>
          <w:szCs w:val="24"/>
        </w:rPr>
      </w:pPr>
    </w:p>
    <w:p w14:paraId="728870A7" w14:textId="31248B15" w:rsidR="001F11E3" w:rsidRPr="00E531DA" w:rsidRDefault="001F11E3" w:rsidP="001F11E3">
      <w:pPr>
        <w:tabs>
          <w:tab w:val="left" w:pos="3640"/>
        </w:tabs>
        <w:spacing w:line="480" w:lineRule="auto"/>
        <w:jc w:val="both"/>
        <w:rPr>
          <w:rFonts w:ascii="Verdana" w:hAnsi="Verdana"/>
          <w:bCs/>
          <w:sz w:val="24"/>
          <w:szCs w:val="24"/>
        </w:rPr>
      </w:pPr>
      <w:r>
        <w:rPr>
          <w:rFonts w:ascii="Verdana" w:hAnsi="Verdana"/>
          <w:bCs/>
          <w:sz w:val="24"/>
          <w:szCs w:val="24"/>
        </w:rPr>
        <w:t>16.</w:t>
      </w:r>
      <w:r w:rsidRPr="00E531DA">
        <w:rPr>
          <w:rFonts w:ascii="Verdana" w:hAnsi="Verdana"/>
          <w:bCs/>
          <w:color w:val="FF0000"/>
          <w:sz w:val="24"/>
          <w:szCs w:val="24"/>
        </w:rPr>
        <w:t xml:space="preserve"> </w:t>
      </w:r>
      <w:r>
        <w:rPr>
          <w:rFonts w:ascii="Verdana" w:hAnsi="Verdana"/>
          <w:bCs/>
          <w:sz w:val="24"/>
          <w:szCs w:val="24"/>
        </w:rPr>
        <w:t>The first respondent further asserts that the applicants could</w:t>
      </w:r>
      <w:r w:rsidR="000F24DE">
        <w:rPr>
          <w:rFonts w:ascii="Verdana" w:hAnsi="Verdana"/>
          <w:bCs/>
          <w:sz w:val="24"/>
          <w:szCs w:val="24"/>
        </w:rPr>
        <w:t xml:space="preserve"> further</w:t>
      </w:r>
      <w:r>
        <w:rPr>
          <w:rFonts w:ascii="Verdana" w:hAnsi="Verdana"/>
          <w:bCs/>
          <w:sz w:val="24"/>
          <w:szCs w:val="24"/>
        </w:rPr>
        <w:t xml:space="preserve"> be afforded substantial redress in due course and have delayed in approaching this court.  </w:t>
      </w:r>
    </w:p>
    <w:p w14:paraId="77569AFE" w14:textId="77777777" w:rsidR="001F11E3" w:rsidRPr="00E531DA" w:rsidRDefault="001F11E3" w:rsidP="001F11E3">
      <w:pPr>
        <w:tabs>
          <w:tab w:val="left" w:pos="3640"/>
        </w:tabs>
        <w:spacing w:line="480" w:lineRule="auto"/>
        <w:jc w:val="both"/>
        <w:rPr>
          <w:rFonts w:ascii="Verdana" w:hAnsi="Verdana"/>
          <w:bCs/>
          <w:sz w:val="24"/>
          <w:szCs w:val="24"/>
        </w:rPr>
      </w:pPr>
    </w:p>
    <w:p w14:paraId="50850ADE" w14:textId="170A9B22" w:rsidR="001F11E3" w:rsidRDefault="001F11E3" w:rsidP="001F11E3">
      <w:pPr>
        <w:tabs>
          <w:tab w:val="left" w:pos="3640"/>
        </w:tabs>
        <w:spacing w:line="480" w:lineRule="auto"/>
        <w:jc w:val="both"/>
        <w:rPr>
          <w:rFonts w:ascii="Verdana" w:hAnsi="Verdana"/>
          <w:bCs/>
          <w:sz w:val="24"/>
          <w:szCs w:val="24"/>
        </w:rPr>
      </w:pPr>
      <w:r>
        <w:rPr>
          <w:rFonts w:ascii="Verdana" w:hAnsi="Verdana"/>
          <w:bCs/>
          <w:sz w:val="24"/>
          <w:szCs w:val="24"/>
        </w:rPr>
        <w:lastRenderedPageBreak/>
        <w:t>17</w:t>
      </w:r>
      <w:r w:rsidRPr="00E531DA">
        <w:rPr>
          <w:rFonts w:ascii="Verdana" w:hAnsi="Verdana"/>
          <w:bCs/>
          <w:sz w:val="24"/>
          <w:szCs w:val="24"/>
        </w:rPr>
        <w:t xml:space="preserve">. If this application were to be heard on the ordinary roll, </w:t>
      </w:r>
      <w:r>
        <w:rPr>
          <w:rFonts w:ascii="Verdana" w:hAnsi="Verdana"/>
          <w:bCs/>
          <w:sz w:val="24"/>
          <w:szCs w:val="24"/>
        </w:rPr>
        <w:t xml:space="preserve">the first respondent had argued that </w:t>
      </w:r>
      <w:r w:rsidRPr="00E531DA">
        <w:rPr>
          <w:rFonts w:ascii="Verdana" w:hAnsi="Verdana"/>
          <w:bCs/>
          <w:sz w:val="24"/>
          <w:szCs w:val="24"/>
        </w:rPr>
        <w:t>NCSA’s limited stocks of Rivaxored would by then have been distributed to Clicks pharmacies, and most likely sold.</w:t>
      </w:r>
    </w:p>
    <w:p w14:paraId="1AFEC596" w14:textId="77777777" w:rsidR="001F11E3" w:rsidRDefault="001F11E3" w:rsidP="001F11E3">
      <w:pPr>
        <w:tabs>
          <w:tab w:val="left" w:pos="3640"/>
        </w:tabs>
        <w:spacing w:line="480" w:lineRule="auto"/>
        <w:jc w:val="both"/>
        <w:rPr>
          <w:rFonts w:ascii="Verdana" w:hAnsi="Verdana"/>
          <w:bCs/>
          <w:sz w:val="24"/>
          <w:szCs w:val="24"/>
        </w:rPr>
      </w:pPr>
    </w:p>
    <w:p w14:paraId="3AEEC44A" w14:textId="2498D9A2" w:rsidR="001F11E3" w:rsidRDefault="001F11E3" w:rsidP="001F11E3">
      <w:pPr>
        <w:tabs>
          <w:tab w:val="left" w:pos="3640"/>
        </w:tabs>
        <w:spacing w:line="480" w:lineRule="auto"/>
        <w:jc w:val="both"/>
        <w:rPr>
          <w:rFonts w:ascii="Verdana" w:hAnsi="Verdana"/>
          <w:bCs/>
          <w:sz w:val="24"/>
          <w:szCs w:val="24"/>
        </w:rPr>
      </w:pPr>
      <w:r>
        <w:rPr>
          <w:rFonts w:ascii="Verdana" w:hAnsi="Verdana"/>
          <w:bCs/>
          <w:sz w:val="24"/>
          <w:szCs w:val="24"/>
        </w:rPr>
        <w:t>18. This however would not mean</w:t>
      </w:r>
      <w:r w:rsidRPr="00E531DA">
        <w:rPr>
          <w:rFonts w:ascii="Verdana" w:hAnsi="Verdana"/>
          <w:bCs/>
          <w:sz w:val="24"/>
          <w:szCs w:val="24"/>
        </w:rPr>
        <w:t xml:space="preserve"> that the applicants would not be able to obtain substantial redress in due course. Should they be successful in their </w:t>
      </w:r>
      <w:r>
        <w:rPr>
          <w:rFonts w:ascii="Verdana" w:hAnsi="Verdana"/>
          <w:bCs/>
          <w:sz w:val="24"/>
          <w:szCs w:val="24"/>
        </w:rPr>
        <w:t xml:space="preserve">pending </w:t>
      </w:r>
      <w:r w:rsidRPr="00E531DA">
        <w:rPr>
          <w:rFonts w:ascii="Verdana" w:hAnsi="Verdana"/>
          <w:bCs/>
          <w:sz w:val="24"/>
          <w:szCs w:val="24"/>
        </w:rPr>
        <w:t>action, they would be entitled either to damages, or should quantification prove impossible (as they allege), a reasonable royalty in lieu of damages.</w:t>
      </w:r>
      <w:r w:rsidRPr="00E531DA">
        <w:rPr>
          <w:rStyle w:val="FootnoteReference"/>
          <w:rFonts w:ascii="Verdana" w:hAnsi="Verdana"/>
          <w:bCs/>
          <w:sz w:val="24"/>
          <w:szCs w:val="24"/>
        </w:rPr>
        <w:footnoteReference w:id="12"/>
      </w:r>
    </w:p>
    <w:p w14:paraId="74ED1895" w14:textId="77777777" w:rsidR="001F11E3" w:rsidRDefault="001F11E3" w:rsidP="001F11E3">
      <w:pPr>
        <w:tabs>
          <w:tab w:val="left" w:pos="3640"/>
        </w:tabs>
        <w:spacing w:line="480" w:lineRule="auto"/>
        <w:jc w:val="both"/>
        <w:rPr>
          <w:rFonts w:ascii="Verdana" w:hAnsi="Verdana"/>
          <w:bCs/>
          <w:sz w:val="24"/>
          <w:szCs w:val="24"/>
        </w:rPr>
      </w:pPr>
    </w:p>
    <w:p w14:paraId="46D4F3D4" w14:textId="7C563281" w:rsidR="001F11E3" w:rsidRPr="00353781" w:rsidRDefault="001F11E3" w:rsidP="001F11E3">
      <w:pPr>
        <w:tabs>
          <w:tab w:val="left" w:pos="3640"/>
        </w:tabs>
        <w:spacing w:line="480" w:lineRule="auto"/>
        <w:jc w:val="both"/>
        <w:rPr>
          <w:rFonts w:ascii="Verdana" w:hAnsi="Verdana"/>
          <w:bCs/>
          <w:sz w:val="24"/>
          <w:szCs w:val="24"/>
        </w:rPr>
      </w:pPr>
      <w:r>
        <w:rPr>
          <w:rFonts w:ascii="Verdana" w:hAnsi="Verdana"/>
          <w:bCs/>
          <w:sz w:val="24"/>
          <w:szCs w:val="24"/>
        </w:rPr>
        <w:t xml:space="preserve">19. </w:t>
      </w:r>
      <w:r w:rsidR="00F66E10">
        <w:rPr>
          <w:rFonts w:ascii="Verdana" w:hAnsi="Verdana"/>
          <w:bCs/>
          <w:sz w:val="24"/>
          <w:szCs w:val="24"/>
        </w:rPr>
        <w:t>That being said, i</w:t>
      </w:r>
      <w:r>
        <w:rPr>
          <w:rFonts w:ascii="Verdana" w:hAnsi="Verdana"/>
          <w:bCs/>
          <w:sz w:val="24"/>
          <w:szCs w:val="24"/>
        </w:rPr>
        <w:t>t</w:t>
      </w:r>
      <w:r w:rsidRPr="00353781">
        <w:rPr>
          <w:rFonts w:ascii="Verdana" w:hAnsi="Verdana"/>
          <w:bCs/>
          <w:sz w:val="24"/>
          <w:szCs w:val="24"/>
        </w:rPr>
        <w:t xml:space="preserve"> is trite that “[r]ule 6(12) confers a general judicial discretion on a court to hear a matter urgently”.</w:t>
      </w:r>
      <w:r w:rsidRPr="00353781">
        <w:rPr>
          <w:rStyle w:val="FootnoteReference"/>
          <w:rFonts w:ascii="Verdana" w:hAnsi="Verdana"/>
          <w:bCs/>
          <w:sz w:val="24"/>
          <w:szCs w:val="24"/>
        </w:rPr>
        <w:footnoteReference w:id="13"/>
      </w:r>
      <w:r w:rsidRPr="00353781">
        <w:rPr>
          <w:rFonts w:ascii="Verdana" w:hAnsi="Verdana"/>
          <w:bCs/>
          <w:sz w:val="24"/>
          <w:szCs w:val="24"/>
        </w:rPr>
        <w:t xml:space="preserve"> In </w:t>
      </w:r>
      <w:r w:rsidRPr="00353781">
        <w:rPr>
          <w:rFonts w:ascii="Verdana" w:hAnsi="Verdana"/>
          <w:bCs/>
          <w:i/>
          <w:sz w:val="24"/>
          <w:szCs w:val="24"/>
        </w:rPr>
        <w:t>Mogalakwena Local Municipality v Provincial</w:t>
      </w:r>
      <w:r w:rsidRPr="00353781">
        <w:rPr>
          <w:rFonts w:ascii="Verdana" w:hAnsi="Verdana"/>
          <w:bCs/>
          <w:sz w:val="24"/>
          <w:szCs w:val="24"/>
        </w:rPr>
        <w:t xml:space="preserve"> </w:t>
      </w:r>
      <w:r w:rsidRPr="00353781">
        <w:rPr>
          <w:rFonts w:ascii="Verdana" w:hAnsi="Verdana"/>
          <w:bCs/>
          <w:i/>
          <w:sz w:val="24"/>
          <w:szCs w:val="24"/>
        </w:rPr>
        <w:t>Executive Council, Limpopo</w:t>
      </w:r>
      <w:r w:rsidRPr="00353781">
        <w:rPr>
          <w:rFonts w:ascii="Verdana" w:hAnsi="Verdana"/>
          <w:bCs/>
          <w:sz w:val="24"/>
          <w:szCs w:val="24"/>
        </w:rPr>
        <w:t>, Tuchten J set out the considerations that a court ought to take into account when exercising that discretion:</w:t>
      </w:r>
    </w:p>
    <w:p w14:paraId="729AF4D6" w14:textId="77777777" w:rsidR="001F11E3" w:rsidRPr="00816459" w:rsidRDefault="001F11E3" w:rsidP="001F11E3">
      <w:pPr>
        <w:tabs>
          <w:tab w:val="left" w:pos="3640"/>
        </w:tabs>
        <w:spacing w:line="480" w:lineRule="auto"/>
        <w:ind w:left="720"/>
        <w:jc w:val="both"/>
        <w:rPr>
          <w:rFonts w:ascii="Verdana" w:hAnsi="Verdana"/>
          <w:bCs/>
          <w:sz w:val="24"/>
          <w:szCs w:val="24"/>
        </w:rPr>
      </w:pPr>
      <w:r w:rsidRPr="00816459">
        <w:rPr>
          <w:rFonts w:ascii="Verdana" w:hAnsi="Verdana"/>
          <w:bCs/>
          <w:sz w:val="24"/>
          <w:szCs w:val="24"/>
        </w:rPr>
        <w:t xml:space="preserve">“It seems to me that when urgency is in issue the primary investigation should be to determine whether the applicant will be afforded </w:t>
      </w:r>
      <w:r w:rsidRPr="00816459">
        <w:rPr>
          <w:rFonts w:ascii="Verdana" w:hAnsi="Verdana"/>
          <w:bCs/>
          <w:sz w:val="24"/>
          <w:szCs w:val="24"/>
        </w:rPr>
        <w:lastRenderedPageBreak/>
        <w:t>substantial redress at a hearing in due course. If the applicant cannot establish prejudice in this sense, the application cannot be urgent.</w:t>
      </w:r>
    </w:p>
    <w:p w14:paraId="3DAFBA5E" w14:textId="77777777" w:rsidR="001F11E3" w:rsidRPr="00816459" w:rsidRDefault="001F11E3" w:rsidP="001F11E3">
      <w:pPr>
        <w:tabs>
          <w:tab w:val="left" w:pos="3640"/>
        </w:tabs>
        <w:spacing w:line="480" w:lineRule="auto"/>
        <w:ind w:left="720"/>
        <w:jc w:val="both"/>
        <w:rPr>
          <w:rFonts w:ascii="Verdana" w:hAnsi="Verdana"/>
          <w:bCs/>
          <w:sz w:val="24"/>
          <w:szCs w:val="24"/>
        </w:rPr>
      </w:pPr>
      <w:r w:rsidRPr="00816459">
        <w:rPr>
          <w:rFonts w:ascii="Verdana" w:hAnsi="Verdana"/>
          <w:bCs/>
          <w:sz w:val="24"/>
          <w:szCs w:val="24"/>
        </w:rPr>
        <w:t>Once such prejudice is established, other factors come into consideration. These factors include (but are not limited to): whether the respondents can adequately present their cases in the time available between notice of the application to them and the actual hearing, other prejudice to the respondents and the administration of justice, the strength of the case made by the applicant[,] and any delay by the applicant in asserting its rights. This last factor is often called, usually by counsel acting for respondents, self-created urgency.”</w:t>
      </w:r>
    </w:p>
    <w:p w14:paraId="5E1BCB02" w14:textId="77777777" w:rsidR="001F11E3" w:rsidRPr="00353781" w:rsidRDefault="001F11E3" w:rsidP="001F11E3">
      <w:pPr>
        <w:tabs>
          <w:tab w:val="left" w:pos="3640"/>
        </w:tabs>
        <w:spacing w:line="480" w:lineRule="auto"/>
        <w:ind w:left="720"/>
        <w:jc w:val="both"/>
        <w:rPr>
          <w:rFonts w:ascii="Verdana" w:hAnsi="Verdana"/>
          <w:bCs/>
          <w:i/>
          <w:sz w:val="24"/>
          <w:szCs w:val="24"/>
          <w:u w:val="single"/>
        </w:rPr>
      </w:pPr>
    </w:p>
    <w:p w14:paraId="61EC392C" w14:textId="730D45D2" w:rsidR="001F11E3" w:rsidRDefault="001F11E3" w:rsidP="001F11E3">
      <w:pPr>
        <w:tabs>
          <w:tab w:val="left" w:pos="3640"/>
        </w:tabs>
        <w:spacing w:line="480" w:lineRule="auto"/>
        <w:jc w:val="both"/>
        <w:rPr>
          <w:rFonts w:ascii="Verdana" w:hAnsi="Verdana"/>
          <w:bCs/>
          <w:sz w:val="24"/>
          <w:szCs w:val="24"/>
        </w:rPr>
      </w:pPr>
      <w:r>
        <w:rPr>
          <w:rFonts w:ascii="Verdana" w:hAnsi="Verdana"/>
          <w:bCs/>
          <w:sz w:val="24"/>
          <w:szCs w:val="24"/>
        </w:rPr>
        <w:t xml:space="preserve">20. </w:t>
      </w:r>
      <w:r w:rsidR="000F24DE">
        <w:rPr>
          <w:rFonts w:ascii="Verdana" w:hAnsi="Verdana"/>
          <w:bCs/>
          <w:sz w:val="24"/>
          <w:szCs w:val="24"/>
        </w:rPr>
        <w:t xml:space="preserve">This Court aligns itself with what has been stated in the </w:t>
      </w:r>
      <w:r w:rsidR="008B6F02">
        <w:rPr>
          <w:rFonts w:ascii="Verdana" w:hAnsi="Verdana"/>
          <w:bCs/>
          <w:sz w:val="24"/>
          <w:szCs w:val="24"/>
        </w:rPr>
        <w:t xml:space="preserve">judgment </w:t>
      </w:r>
      <w:r w:rsidR="000F24DE">
        <w:rPr>
          <w:rFonts w:ascii="Verdana" w:hAnsi="Verdana"/>
          <w:bCs/>
          <w:sz w:val="24"/>
          <w:szCs w:val="24"/>
        </w:rPr>
        <w:t xml:space="preserve">quoted above. </w:t>
      </w:r>
      <w:r w:rsidR="00AC6C16">
        <w:rPr>
          <w:rFonts w:ascii="Verdana" w:hAnsi="Verdana"/>
          <w:bCs/>
          <w:sz w:val="24"/>
          <w:szCs w:val="24"/>
        </w:rPr>
        <w:t>Considering</w:t>
      </w:r>
      <w:r>
        <w:rPr>
          <w:rFonts w:ascii="Verdana" w:hAnsi="Verdana"/>
          <w:bCs/>
          <w:sz w:val="24"/>
          <w:szCs w:val="24"/>
        </w:rPr>
        <w:t xml:space="preserve"> what has been presented before this </w:t>
      </w:r>
      <w:r w:rsidR="00EA5732">
        <w:rPr>
          <w:rFonts w:ascii="Verdana" w:hAnsi="Verdana"/>
          <w:bCs/>
          <w:sz w:val="24"/>
          <w:szCs w:val="24"/>
        </w:rPr>
        <w:t>C</w:t>
      </w:r>
      <w:r>
        <w:rPr>
          <w:rFonts w:ascii="Verdana" w:hAnsi="Verdana"/>
          <w:bCs/>
          <w:sz w:val="24"/>
          <w:szCs w:val="24"/>
        </w:rPr>
        <w:t xml:space="preserve">ourt on urgency, it seems to me that irreparable harm will </w:t>
      </w:r>
      <w:r w:rsidR="000F24DE">
        <w:rPr>
          <w:rFonts w:ascii="Verdana" w:hAnsi="Verdana"/>
          <w:bCs/>
          <w:sz w:val="24"/>
          <w:szCs w:val="24"/>
        </w:rPr>
        <w:t xml:space="preserve">potentially </w:t>
      </w:r>
      <w:r>
        <w:rPr>
          <w:rFonts w:ascii="Verdana" w:hAnsi="Verdana"/>
          <w:bCs/>
          <w:sz w:val="24"/>
          <w:szCs w:val="24"/>
        </w:rPr>
        <w:t xml:space="preserve">be suffered by the applicants with any delay in asserting their rights </w:t>
      </w:r>
      <w:r w:rsidR="00AC6C16">
        <w:rPr>
          <w:rFonts w:ascii="Verdana" w:hAnsi="Verdana"/>
          <w:bCs/>
          <w:sz w:val="24"/>
          <w:szCs w:val="24"/>
        </w:rPr>
        <w:t xml:space="preserve">- </w:t>
      </w:r>
      <w:r>
        <w:rPr>
          <w:rFonts w:ascii="Verdana" w:hAnsi="Verdana"/>
          <w:bCs/>
          <w:sz w:val="24"/>
          <w:szCs w:val="24"/>
        </w:rPr>
        <w:t xml:space="preserve">that is if the application is not dealt with in the urgent court. </w:t>
      </w:r>
      <w:r w:rsidR="00AC6C16">
        <w:rPr>
          <w:rFonts w:ascii="Verdana" w:hAnsi="Verdana"/>
          <w:bCs/>
          <w:sz w:val="24"/>
          <w:szCs w:val="24"/>
        </w:rPr>
        <w:t>Given that</w:t>
      </w:r>
      <w:r>
        <w:rPr>
          <w:rFonts w:ascii="Verdana" w:hAnsi="Verdana"/>
          <w:bCs/>
          <w:sz w:val="24"/>
          <w:szCs w:val="24"/>
        </w:rPr>
        <w:t xml:space="preserve"> the</w:t>
      </w:r>
      <w:r w:rsidR="00AC6C16">
        <w:rPr>
          <w:rFonts w:ascii="Verdana" w:hAnsi="Verdana"/>
          <w:bCs/>
          <w:sz w:val="24"/>
          <w:szCs w:val="24"/>
        </w:rPr>
        <w:t xml:space="preserve"> alleged</w:t>
      </w:r>
      <w:r>
        <w:rPr>
          <w:rFonts w:ascii="Verdana" w:hAnsi="Verdana"/>
          <w:bCs/>
          <w:sz w:val="24"/>
          <w:szCs w:val="24"/>
        </w:rPr>
        <w:t xml:space="preserve"> infringing conduct has not been </w:t>
      </w:r>
      <w:r w:rsidR="00AC6C16">
        <w:rPr>
          <w:rFonts w:ascii="Verdana" w:hAnsi="Verdana"/>
          <w:bCs/>
          <w:sz w:val="24"/>
          <w:szCs w:val="24"/>
        </w:rPr>
        <w:t xml:space="preserve">stopped or </w:t>
      </w:r>
      <w:r>
        <w:rPr>
          <w:rFonts w:ascii="Verdana" w:hAnsi="Verdana"/>
          <w:bCs/>
          <w:sz w:val="24"/>
          <w:szCs w:val="24"/>
        </w:rPr>
        <w:t xml:space="preserve">ceased </w:t>
      </w:r>
      <w:r w:rsidR="00AC6C16">
        <w:rPr>
          <w:rFonts w:ascii="Verdana" w:hAnsi="Verdana"/>
          <w:bCs/>
          <w:sz w:val="24"/>
          <w:szCs w:val="24"/>
        </w:rPr>
        <w:t>after</w:t>
      </w:r>
      <w:r>
        <w:rPr>
          <w:rFonts w:ascii="Verdana" w:hAnsi="Verdana"/>
          <w:bCs/>
          <w:sz w:val="24"/>
          <w:szCs w:val="24"/>
        </w:rPr>
        <w:t xml:space="preserve"> Keightley </w:t>
      </w:r>
      <w:r w:rsidR="00AC6C16">
        <w:rPr>
          <w:rFonts w:ascii="Verdana" w:hAnsi="Verdana"/>
          <w:bCs/>
          <w:sz w:val="24"/>
          <w:szCs w:val="24"/>
        </w:rPr>
        <w:t xml:space="preserve">handed down her </w:t>
      </w:r>
      <w:r>
        <w:rPr>
          <w:rFonts w:ascii="Verdana" w:hAnsi="Verdana"/>
          <w:bCs/>
          <w:sz w:val="24"/>
          <w:szCs w:val="24"/>
        </w:rPr>
        <w:t>judgment</w:t>
      </w:r>
      <w:r w:rsidR="00AC6C16">
        <w:rPr>
          <w:rFonts w:ascii="Verdana" w:hAnsi="Verdana"/>
          <w:bCs/>
          <w:sz w:val="24"/>
          <w:szCs w:val="24"/>
        </w:rPr>
        <w:t>,</w:t>
      </w:r>
      <w:r>
        <w:rPr>
          <w:rFonts w:ascii="Verdana" w:hAnsi="Verdana"/>
          <w:bCs/>
          <w:sz w:val="24"/>
          <w:szCs w:val="24"/>
        </w:rPr>
        <w:t xml:space="preserve"> </w:t>
      </w:r>
      <w:r w:rsidR="00AC6C16">
        <w:rPr>
          <w:rFonts w:ascii="Verdana" w:hAnsi="Verdana"/>
          <w:bCs/>
          <w:sz w:val="24"/>
          <w:szCs w:val="24"/>
        </w:rPr>
        <w:t xml:space="preserve">I find that </w:t>
      </w:r>
      <w:r>
        <w:rPr>
          <w:rFonts w:ascii="Verdana" w:hAnsi="Verdana"/>
          <w:bCs/>
          <w:sz w:val="24"/>
          <w:szCs w:val="24"/>
        </w:rPr>
        <w:t xml:space="preserve">there is justification in enrolling this application in the urgent court.   </w:t>
      </w:r>
    </w:p>
    <w:p w14:paraId="3E5A2912" w14:textId="77777777" w:rsidR="001F11E3" w:rsidRDefault="001F11E3" w:rsidP="001F11E3">
      <w:pPr>
        <w:tabs>
          <w:tab w:val="left" w:pos="3640"/>
        </w:tabs>
        <w:spacing w:line="480" w:lineRule="auto"/>
        <w:jc w:val="both"/>
        <w:rPr>
          <w:rFonts w:ascii="Verdana" w:hAnsi="Verdana"/>
          <w:bCs/>
          <w:sz w:val="24"/>
          <w:szCs w:val="24"/>
        </w:rPr>
      </w:pPr>
    </w:p>
    <w:p w14:paraId="23E67A72" w14:textId="71AF2800" w:rsidR="001F11E3" w:rsidRDefault="001F11E3" w:rsidP="001F11E3">
      <w:pPr>
        <w:tabs>
          <w:tab w:val="left" w:pos="3640"/>
        </w:tabs>
        <w:spacing w:line="480" w:lineRule="auto"/>
        <w:jc w:val="both"/>
        <w:rPr>
          <w:rFonts w:ascii="Verdana" w:hAnsi="Verdana"/>
          <w:bCs/>
          <w:sz w:val="24"/>
          <w:szCs w:val="24"/>
        </w:rPr>
      </w:pPr>
      <w:r>
        <w:rPr>
          <w:rFonts w:ascii="Verdana" w:hAnsi="Verdana"/>
          <w:bCs/>
          <w:sz w:val="24"/>
          <w:szCs w:val="24"/>
        </w:rPr>
        <w:lastRenderedPageBreak/>
        <w:t>21. For the above reasons, I am inclined in exercising my judicial discretion to enroll the application as an urgent application in term</w:t>
      </w:r>
      <w:r w:rsidR="00EA5732">
        <w:rPr>
          <w:rFonts w:ascii="Verdana" w:hAnsi="Verdana"/>
          <w:bCs/>
          <w:sz w:val="24"/>
          <w:szCs w:val="24"/>
        </w:rPr>
        <w:t>s</w:t>
      </w:r>
      <w:r>
        <w:rPr>
          <w:rFonts w:ascii="Verdana" w:hAnsi="Verdana"/>
          <w:bCs/>
          <w:sz w:val="24"/>
          <w:szCs w:val="24"/>
        </w:rPr>
        <w:t xml:space="preserve"> </w:t>
      </w:r>
      <w:r w:rsidR="00EA5732">
        <w:rPr>
          <w:rFonts w:ascii="Verdana" w:hAnsi="Verdana"/>
          <w:bCs/>
          <w:sz w:val="24"/>
          <w:szCs w:val="24"/>
        </w:rPr>
        <w:t>o</w:t>
      </w:r>
      <w:r>
        <w:rPr>
          <w:rFonts w:ascii="Verdana" w:hAnsi="Verdana"/>
          <w:bCs/>
          <w:sz w:val="24"/>
          <w:szCs w:val="24"/>
        </w:rPr>
        <w:t>f Rule 6(12)(c) of the Uniform Rules of Court.</w:t>
      </w:r>
      <w:r w:rsidR="004D3E8E">
        <w:rPr>
          <w:rFonts w:ascii="Verdana" w:hAnsi="Verdana"/>
          <w:bCs/>
          <w:sz w:val="24"/>
          <w:szCs w:val="24"/>
        </w:rPr>
        <w:t xml:space="preserve"> </w:t>
      </w:r>
      <w:r w:rsidR="009D336D">
        <w:rPr>
          <w:rFonts w:ascii="Verdana" w:hAnsi="Verdana"/>
          <w:bCs/>
          <w:sz w:val="24"/>
          <w:szCs w:val="24"/>
        </w:rPr>
        <w:t>The first issue for adjudication p</w:t>
      </w:r>
      <w:r w:rsidR="00AC6C16">
        <w:rPr>
          <w:rFonts w:ascii="Verdana" w:hAnsi="Verdana"/>
          <w:bCs/>
          <w:sz w:val="24"/>
          <w:szCs w:val="24"/>
        </w:rPr>
        <w:t>rior to dealing with the merits of the interdict</w:t>
      </w:r>
      <w:r w:rsidR="009D336D">
        <w:rPr>
          <w:rFonts w:ascii="Verdana" w:hAnsi="Verdana"/>
          <w:bCs/>
          <w:sz w:val="24"/>
          <w:szCs w:val="24"/>
        </w:rPr>
        <w:t>, concerns</w:t>
      </w:r>
      <w:r w:rsidR="00AC6C16">
        <w:rPr>
          <w:rFonts w:ascii="Verdana" w:hAnsi="Verdana"/>
          <w:bCs/>
          <w:sz w:val="24"/>
          <w:szCs w:val="24"/>
        </w:rPr>
        <w:t xml:space="preserve"> the question of joinder.</w:t>
      </w:r>
    </w:p>
    <w:p w14:paraId="5BF43843" w14:textId="77777777" w:rsidR="001F11E3" w:rsidRPr="003E35B6" w:rsidRDefault="001F11E3" w:rsidP="001F11E3">
      <w:pPr>
        <w:tabs>
          <w:tab w:val="left" w:pos="3640"/>
        </w:tabs>
        <w:spacing w:line="480" w:lineRule="auto"/>
        <w:jc w:val="both"/>
        <w:rPr>
          <w:rFonts w:ascii="Verdana" w:hAnsi="Verdana"/>
          <w:bCs/>
          <w:sz w:val="24"/>
          <w:szCs w:val="24"/>
        </w:rPr>
      </w:pPr>
    </w:p>
    <w:p w14:paraId="63AED823" w14:textId="77777777" w:rsidR="001F11E3" w:rsidRDefault="0068109E" w:rsidP="001C27E0">
      <w:pPr>
        <w:tabs>
          <w:tab w:val="left" w:pos="3640"/>
        </w:tabs>
        <w:spacing w:line="480" w:lineRule="auto"/>
        <w:jc w:val="both"/>
        <w:rPr>
          <w:rFonts w:ascii="Verdana" w:hAnsi="Verdana"/>
          <w:bCs/>
          <w:sz w:val="24"/>
          <w:szCs w:val="24"/>
        </w:rPr>
      </w:pPr>
      <w:r>
        <w:rPr>
          <w:rFonts w:ascii="Verdana" w:hAnsi="Verdana"/>
          <w:bCs/>
          <w:sz w:val="24"/>
          <w:szCs w:val="24"/>
        </w:rPr>
        <w:t>JOINDER OF CLICKS RETAILERS (PTY) LTD</w:t>
      </w:r>
    </w:p>
    <w:p w14:paraId="4D64B188" w14:textId="0A3DD540" w:rsidR="00B42F1D" w:rsidRDefault="001F11E3" w:rsidP="001C27E0">
      <w:pPr>
        <w:tabs>
          <w:tab w:val="left" w:pos="3640"/>
        </w:tabs>
        <w:spacing w:line="480" w:lineRule="auto"/>
        <w:jc w:val="both"/>
        <w:rPr>
          <w:rFonts w:ascii="Verdana" w:hAnsi="Verdana"/>
          <w:bCs/>
          <w:sz w:val="24"/>
          <w:szCs w:val="24"/>
        </w:rPr>
      </w:pPr>
      <w:r>
        <w:rPr>
          <w:rFonts w:ascii="Verdana" w:hAnsi="Verdana"/>
          <w:bCs/>
          <w:sz w:val="24"/>
          <w:szCs w:val="24"/>
        </w:rPr>
        <w:t>22</w:t>
      </w:r>
      <w:r w:rsidR="00B42F1D">
        <w:rPr>
          <w:rFonts w:ascii="Verdana" w:hAnsi="Verdana"/>
          <w:bCs/>
          <w:sz w:val="24"/>
          <w:szCs w:val="24"/>
        </w:rPr>
        <w:t xml:space="preserve">. In and around March 2022 the applicants </w:t>
      </w:r>
      <w:r w:rsidR="00AC6C16">
        <w:rPr>
          <w:rFonts w:ascii="Verdana" w:hAnsi="Verdana"/>
          <w:bCs/>
          <w:sz w:val="24"/>
          <w:szCs w:val="24"/>
        </w:rPr>
        <w:t>have simultaneously</w:t>
      </w:r>
      <w:r w:rsidR="00B42F1D">
        <w:rPr>
          <w:rFonts w:ascii="Verdana" w:hAnsi="Verdana"/>
          <w:bCs/>
          <w:sz w:val="24"/>
          <w:szCs w:val="24"/>
        </w:rPr>
        <w:t xml:space="preserve"> with </w:t>
      </w:r>
      <w:r w:rsidR="009D336D">
        <w:rPr>
          <w:rFonts w:ascii="Verdana" w:hAnsi="Verdana"/>
          <w:bCs/>
          <w:sz w:val="24"/>
          <w:szCs w:val="24"/>
        </w:rPr>
        <w:t>the</w:t>
      </w:r>
      <w:r w:rsidR="00B42F1D">
        <w:rPr>
          <w:rFonts w:ascii="Verdana" w:hAnsi="Verdana"/>
          <w:bCs/>
          <w:sz w:val="24"/>
          <w:szCs w:val="24"/>
        </w:rPr>
        <w:t xml:space="preserve"> Replying Affidavit</w:t>
      </w:r>
      <w:r w:rsidR="009D336D">
        <w:rPr>
          <w:rFonts w:ascii="Verdana" w:hAnsi="Verdana"/>
          <w:bCs/>
          <w:sz w:val="24"/>
          <w:szCs w:val="24"/>
        </w:rPr>
        <w:t>,</w:t>
      </w:r>
      <w:r w:rsidR="007F5573">
        <w:rPr>
          <w:rFonts w:ascii="Verdana" w:hAnsi="Verdana"/>
          <w:bCs/>
          <w:sz w:val="24"/>
          <w:szCs w:val="24"/>
        </w:rPr>
        <w:t xml:space="preserve"> served</w:t>
      </w:r>
      <w:r w:rsidR="00B42F1D">
        <w:rPr>
          <w:rFonts w:ascii="Verdana" w:hAnsi="Verdana"/>
          <w:bCs/>
          <w:sz w:val="24"/>
          <w:szCs w:val="24"/>
        </w:rPr>
        <w:t xml:space="preserve"> a Notice to amend </w:t>
      </w:r>
      <w:r w:rsidR="009D336D">
        <w:rPr>
          <w:rFonts w:ascii="Verdana" w:hAnsi="Verdana"/>
          <w:bCs/>
          <w:sz w:val="24"/>
          <w:szCs w:val="24"/>
        </w:rPr>
        <w:t>the</w:t>
      </w:r>
      <w:r w:rsidR="00B42F1D">
        <w:rPr>
          <w:rFonts w:ascii="Verdana" w:hAnsi="Verdana"/>
          <w:bCs/>
          <w:sz w:val="24"/>
          <w:szCs w:val="24"/>
        </w:rPr>
        <w:t xml:space="preserve"> Notice of Motion</w:t>
      </w:r>
      <w:r w:rsidR="009D336D">
        <w:rPr>
          <w:rFonts w:ascii="Verdana" w:hAnsi="Verdana"/>
          <w:bCs/>
          <w:sz w:val="24"/>
          <w:szCs w:val="24"/>
        </w:rPr>
        <w:t>,</w:t>
      </w:r>
      <w:r w:rsidR="00B42F1D">
        <w:rPr>
          <w:rFonts w:ascii="Verdana" w:hAnsi="Verdana"/>
          <w:bCs/>
          <w:sz w:val="24"/>
          <w:szCs w:val="24"/>
        </w:rPr>
        <w:t xml:space="preserve"> specifically </w:t>
      </w:r>
      <w:r w:rsidR="009D336D">
        <w:rPr>
          <w:rFonts w:ascii="Verdana" w:hAnsi="Verdana"/>
          <w:bCs/>
          <w:sz w:val="24"/>
          <w:szCs w:val="24"/>
        </w:rPr>
        <w:t>seeking</w:t>
      </w:r>
      <w:r w:rsidR="00B42F1D">
        <w:rPr>
          <w:rFonts w:ascii="Verdana" w:hAnsi="Verdana"/>
          <w:bCs/>
          <w:sz w:val="24"/>
          <w:szCs w:val="24"/>
        </w:rPr>
        <w:t xml:space="preserve"> to join Clicks Retailers (Pty) Ltd as the fourth respondent in these proceedings.</w:t>
      </w:r>
      <w:r w:rsidR="00B42F1D">
        <w:rPr>
          <w:rStyle w:val="FootnoteReference"/>
          <w:rFonts w:ascii="Verdana" w:hAnsi="Verdana"/>
          <w:bCs/>
          <w:sz w:val="24"/>
          <w:szCs w:val="24"/>
        </w:rPr>
        <w:footnoteReference w:id="14"/>
      </w:r>
    </w:p>
    <w:p w14:paraId="5C2AA6D0" w14:textId="77777777" w:rsidR="001F11E3" w:rsidRDefault="001F11E3" w:rsidP="001C27E0">
      <w:pPr>
        <w:tabs>
          <w:tab w:val="left" w:pos="3640"/>
        </w:tabs>
        <w:spacing w:line="480" w:lineRule="auto"/>
        <w:jc w:val="both"/>
        <w:rPr>
          <w:rFonts w:ascii="Verdana" w:hAnsi="Verdana"/>
          <w:bCs/>
          <w:sz w:val="24"/>
          <w:szCs w:val="24"/>
        </w:rPr>
      </w:pPr>
    </w:p>
    <w:p w14:paraId="24949D2C" w14:textId="53E2A563" w:rsidR="00FA5E28" w:rsidRDefault="0096663A" w:rsidP="00FA5E28">
      <w:pPr>
        <w:tabs>
          <w:tab w:val="left" w:pos="3640"/>
        </w:tabs>
        <w:spacing w:line="480" w:lineRule="auto"/>
        <w:jc w:val="both"/>
        <w:rPr>
          <w:rFonts w:ascii="Verdana" w:hAnsi="Verdana"/>
          <w:bCs/>
          <w:sz w:val="24"/>
          <w:szCs w:val="24"/>
        </w:rPr>
      </w:pPr>
      <w:r>
        <w:rPr>
          <w:rFonts w:ascii="Verdana" w:hAnsi="Verdana"/>
          <w:bCs/>
          <w:sz w:val="24"/>
          <w:szCs w:val="24"/>
        </w:rPr>
        <w:t>2</w:t>
      </w:r>
      <w:r w:rsidR="001F11E3">
        <w:rPr>
          <w:rFonts w:ascii="Verdana" w:hAnsi="Verdana"/>
          <w:bCs/>
          <w:sz w:val="24"/>
          <w:szCs w:val="24"/>
        </w:rPr>
        <w:t>3</w:t>
      </w:r>
      <w:r w:rsidR="00297CE8">
        <w:rPr>
          <w:rFonts w:ascii="Verdana" w:hAnsi="Verdana"/>
          <w:bCs/>
          <w:sz w:val="24"/>
          <w:szCs w:val="24"/>
        </w:rPr>
        <w:t>.</w:t>
      </w:r>
      <w:r w:rsidR="000C17BA">
        <w:rPr>
          <w:rFonts w:ascii="Verdana" w:hAnsi="Verdana"/>
          <w:bCs/>
          <w:sz w:val="24"/>
          <w:szCs w:val="24"/>
        </w:rPr>
        <w:t xml:space="preserve"> </w:t>
      </w:r>
      <w:r w:rsidR="00D4463D">
        <w:rPr>
          <w:rFonts w:ascii="Verdana" w:hAnsi="Verdana"/>
          <w:bCs/>
          <w:sz w:val="24"/>
          <w:szCs w:val="24"/>
        </w:rPr>
        <w:t xml:space="preserve">The applicants contend </w:t>
      </w:r>
      <w:r w:rsidR="009D336D">
        <w:rPr>
          <w:rFonts w:ascii="Verdana" w:hAnsi="Verdana"/>
          <w:bCs/>
          <w:sz w:val="24"/>
          <w:szCs w:val="24"/>
        </w:rPr>
        <w:t xml:space="preserve">that the amendment was as a result of new facts that came to light, namely </w:t>
      </w:r>
      <w:r w:rsidR="00D4463D">
        <w:rPr>
          <w:rFonts w:ascii="Verdana" w:hAnsi="Verdana"/>
          <w:bCs/>
          <w:sz w:val="24"/>
          <w:szCs w:val="24"/>
        </w:rPr>
        <w:t xml:space="preserve">that contrary to what </w:t>
      </w:r>
      <w:r w:rsidR="00FA5E28" w:rsidRPr="00FA5E28">
        <w:rPr>
          <w:rFonts w:ascii="Verdana" w:hAnsi="Verdana"/>
          <w:bCs/>
          <w:sz w:val="24"/>
          <w:szCs w:val="24"/>
        </w:rPr>
        <w:t xml:space="preserve">Bayer understood at the time of filing its application and </w:t>
      </w:r>
      <w:r w:rsidR="009D336D">
        <w:rPr>
          <w:rFonts w:ascii="Verdana" w:hAnsi="Verdana"/>
          <w:bCs/>
          <w:sz w:val="24"/>
          <w:szCs w:val="24"/>
        </w:rPr>
        <w:t xml:space="preserve">as </w:t>
      </w:r>
      <w:r w:rsidR="00FA5E28" w:rsidRPr="00FA5E28">
        <w:rPr>
          <w:rFonts w:ascii="Verdana" w:hAnsi="Verdana"/>
          <w:bCs/>
          <w:sz w:val="24"/>
          <w:szCs w:val="24"/>
        </w:rPr>
        <w:t>alleged in its founding af</w:t>
      </w:r>
      <w:r w:rsidR="005E1101">
        <w:rPr>
          <w:rFonts w:ascii="Verdana" w:hAnsi="Verdana"/>
          <w:bCs/>
          <w:sz w:val="24"/>
          <w:szCs w:val="24"/>
        </w:rPr>
        <w:t>fidavit</w:t>
      </w:r>
      <w:r w:rsidR="009D336D">
        <w:rPr>
          <w:rFonts w:ascii="Verdana" w:hAnsi="Verdana"/>
          <w:bCs/>
          <w:sz w:val="24"/>
          <w:szCs w:val="24"/>
        </w:rPr>
        <w:t>,</w:t>
      </w:r>
      <w:r w:rsidR="005E1101">
        <w:rPr>
          <w:rStyle w:val="FootnoteReference"/>
          <w:rFonts w:ascii="Verdana" w:hAnsi="Verdana"/>
          <w:bCs/>
          <w:sz w:val="24"/>
          <w:szCs w:val="24"/>
        </w:rPr>
        <w:footnoteReference w:id="15"/>
      </w:r>
      <w:r w:rsidR="00FA5E28" w:rsidRPr="00FA5E28">
        <w:rPr>
          <w:rFonts w:ascii="Verdana" w:hAnsi="Verdana"/>
          <w:bCs/>
          <w:sz w:val="24"/>
          <w:szCs w:val="24"/>
        </w:rPr>
        <w:t xml:space="preserve"> it </w:t>
      </w:r>
      <w:r w:rsidR="009D336D">
        <w:rPr>
          <w:rFonts w:ascii="Verdana" w:hAnsi="Verdana"/>
          <w:bCs/>
          <w:sz w:val="24"/>
          <w:szCs w:val="24"/>
        </w:rPr>
        <w:t>established</w:t>
      </w:r>
      <w:r w:rsidR="00FA5E28" w:rsidRPr="00FA5E28">
        <w:rPr>
          <w:rFonts w:ascii="Verdana" w:hAnsi="Verdana"/>
          <w:bCs/>
          <w:sz w:val="24"/>
          <w:szCs w:val="24"/>
        </w:rPr>
        <w:t xml:space="preserve"> that, while the first respondent operates Clicks’ group’s pharmaceutical wholesaling business known as </w:t>
      </w:r>
      <w:r w:rsidR="005E1101">
        <w:rPr>
          <w:rFonts w:ascii="Verdana" w:hAnsi="Verdana"/>
          <w:bCs/>
          <w:sz w:val="24"/>
          <w:szCs w:val="24"/>
        </w:rPr>
        <w:t>“UPD”,</w:t>
      </w:r>
      <w:r w:rsidR="005E1101">
        <w:rPr>
          <w:rStyle w:val="FootnoteReference"/>
          <w:rFonts w:ascii="Verdana" w:hAnsi="Verdana"/>
          <w:bCs/>
          <w:sz w:val="24"/>
          <w:szCs w:val="24"/>
        </w:rPr>
        <w:footnoteReference w:id="16"/>
      </w:r>
      <w:r w:rsidR="00FA5E28" w:rsidRPr="00FA5E28">
        <w:rPr>
          <w:rFonts w:ascii="Verdana" w:hAnsi="Verdana"/>
          <w:bCs/>
          <w:sz w:val="24"/>
          <w:szCs w:val="24"/>
        </w:rPr>
        <w:t xml:space="preserve"> it does not operate “Clicks” stores, the retail pharmac</w:t>
      </w:r>
      <w:r w:rsidR="005E1101">
        <w:rPr>
          <w:rFonts w:ascii="Verdana" w:hAnsi="Verdana"/>
          <w:bCs/>
          <w:sz w:val="24"/>
          <w:szCs w:val="24"/>
        </w:rPr>
        <w:t>y business of the Clicks group.</w:t>
      </w:r>
      <w:r w:rsidR="005E1101">
        <w:rPr>
          <w:rStyle w:val="FootnoteReference"/>
          <w:rFonts w:ascii="Verdana" w:hAnsi="Verdana"/>
          <w:bCs/>
          <w:sz w:val="24"/>
          <w:szCs w:val="24"/>
        </w:rPr>
        <w:footnoteReference w:id="17"/>
      </w:r>
      <w:r w:rsidR="00FA5E28" w:rsidRPr="00FA5E28">
        <w:rPr>
          <w:rFonts w:ascii="Verdana" w:hAnsi="Verdana"/>
          <w:bCs/>
          <w:sz w:val="24"/>
          <w:szCs w:val="24"/>
        </w:rPr>
        <w:t xml:space="preserve"> The latter business is </w:t>
      </w:r>
      <w:r w:rsidR="00FA5E28" w:rsidRPr="00FA5E28">
        <w:rPr>
          <w:rFonts w:ascii="Verdana" w:hAnsi="Verdana"/>
          <w:bCs/>
          <w:sz w:val="24"/>
          <w:szCs w:val="24"/>
        </w:rPr>
        <w:lastRenderedPageBreak/>
        <w:t>operated by a separate company within the Clicks group called Clicks Retailers (Pty) Ltd.</w:t>
      </w:r>
    </w:p>
    <w:p w14:paraId="44EC6D19" w14:textId="77777777" w:rsidR="001F11E3" w:rsidRPr="00FA5E28" w:rsidRDefault="001F11E3" w:rsidP="00FA5E28">
      <w:pPr>
        <w:tabs>
          <w:tab w:val="left" w:pos="3640"/>
        </w:tabs>
        <w:spacing w:line="480" w:lineRule="auto"/>
        <w:jc w:val="both"/>
        <w:rPr>
          <w:rFonts w:ascii="Verdana" w:hAnsi="Verdana"/>
          <w:bCs/>
          <w:sz w:val="24"/>
          <w:szCs w:val="24"/>
        </w:rPr>
      </w:pPr>
    </w:p>
    <w:p w14:paraId="5D38291E" w14:textId="57FFF0D6" w:rsidR="00297CE8" w:rsidRDefault="001F11E3" w:rsidP="00FA5E28">
      <w:pPr>
        <w:tabs>
          <w:tab w:val="left" w:pos="3640"/>
        </w:tabs>
        <w:spacing w:line="480" w:lineRule="auto"/>
        <w:jc w:val="both"/>
        <w:rPr>
          <w:rFonts w:ascii="Verdana" w:hAnsi="Verdana"/>
          <w:bCs/>
          <w:sz w:val="24"/>
          <w:szCs w:val="24"/>
        </w:rPr>
      </w:pPr>
      <w:r>
        <w:rPr>
          <w:rFonts w:ascii="Verdana" w:hAnsi="Verdana"/>
          <w:bCs/>
          <w:sz w:val="24"/>
          <w:szCs w:val="24"/>
        </w:rPr>
        <w:t>24</w:t>
      </w:r>
      <w:r w:rsidR="005E1101">
        <w:rPr>
          <w:rFonts w:ascii="Verdana" w:hAnsi="Verdana"/>
          <w:bCs/>
          <w:sz w:val="24"/>
          <w:szCs w:val="24"/>
        </w:rPr>
        <w:t>.</w:t>
      </w:r>
      <w:r w:rsidR="007F5573">
        <w:rPr>
          <w:rFonts w:ascii="Verdana" w:hAnsi="Verdana"/>
          <w:bCs/>
          <w:sz w:val="24"/>
          <w:szCs w:val="24"/>
        </w:rPr>
        <w:t xml:space="preserve"> O</w:t>
      </w:r>
      <w:r w:rsidR="00297CE8">
        <w:rPr>
          <w:rFonts w:ascii="Verdana" w:hAnsi="Verdana"/>
          <w:bCs/>
          <w:sz w:val="24"/>
          <w:szCs w:val="24"/>
        </w:rPr>
        <w:t xml:space="preserve">n this basis </w:t>
      </w:r>
      <w:r w:rsidR="00FA5E28" w:rsidRPr="00FA5E28">
        <w:rPr>
          <w:rFonts w:ascii="Verdana" w:hAnsi="Verdana"/>
          <w:bCs/>
          <w:sz w:val="24"/>
          <w:szCs w:val="24"/>
        </w:rPr>
        <w:t>Bayer has applied</w:t>
      </w:r>
      <w:r w:rsidR="00297CE8">
        <w:rPr>
          <w:rFonts w:ascii="Verdana" w:hAnsi="Verdana"/>
          <w:bCs/>
          <w:sz w:val="24"/>
          <w:szCs w:val="24"/>
        </w:rPr>
        <w:t>,</w:t>
      </w:r>
      <w:r w:rsidR="00FA5E28" w:rsidRPr="00FA5E28">
        <w:rPr>
          <w:rFonts w:ascii="Verdana" w:hAnsi="Verdana"/>
          <w:bCs/>
          <w:sz w:val="24"/>
          <w:szCs w:val="24"/>
        </w:rPr>
        <w:t xml:space="preserve"> to join Clicks Retailers (Pty) Ltd as the fourth </w:t>
      </w:r>
      <w:r w:rsidR="005E1101">
        <w:rPr>
          <w:rFonts w:ascii="Verdana" w:hAnsi="Verdana"/>
          <w:bCs/>
          <w:sz w:val="24"/>
          <w:szCs w:val="24"/>
        </w:rPr>
        <w:t>respondent in this application.</w:t>
      </w:r>
      <w:r w:rsidR="005E1101">
        <w:rPr>
          <w:rStyle w:val="FootnoteReference"/>
          <w:rFonts w:ascii="Verdana" w:hAnsi="Verdana"/>
          <w:bCs/>
          <w:sz w:val="24"/>
          <w:szCs w:val="24"/>
        </w:rPr>
        <w:footnoteReference w:id="18"/>
      </w:r>
      <w:r w:rsidR="00FA5E28" w:rsidRPr="00FA5E28">
        <w:rPr>
          <w:rFonts w:ascii="Verdana" w:hAnsi="Verdana"/>
          <w:bCs/>
          <w:sz w:val="24"/>
          <w:szCs w:val="24"/>
        </w:rPr>
        <w:t xml:space="preserve"> </w:t>
      </w:r>
    </w:p>
    <w:p w14:paraId="3FF93937" w14:textId="77777777" w:rsidR="001F11E3" w:rsidRDefault="001F11E3" w:rsidP="00FA5E28">
      <w:pPr>
        <w:tabs>
          <w:tab w:val="left" w:pos="3640"/>
        </w:tabs>
        <w:spacing w:line="480" w:lineRule="auto"/>
        <w:jc w:val="both"/>
        <w:rPr>
          <w:rFonts w:ascii="Verdana" w:hAnsi="Verdana"/>
          <w:bCs/>
          <w:sz w:val="24"/>
          <w:szCs w:val="24"/>
        </w:rPr>
      </w:pPr>
    </w:p>
    <w:p w14:paraId="64F460D8" w14:textId="78587835" w:rsidR="00FA5E28" w:rsidRPr="00D665E9" w:rsidRDefault="001F11E3" w:rsidP="00FA5E28">
      <w:pPr>
        <w:tabs>
          <w:tab w:val="left" w:pos="3640"/>
        </w:tabs>
        <w:spacing w:line="480" w:lineRule="auto"/>
        <w:jc w:val="both"/>
        <w:rPr>
          <w:rFonts w:ascii="Verdana" w:hAnsi="Verdana"/>
          <w:bCs/>
          <w:color w:val="7030A0"/>
          <w:sz w:val="24"/>
          <w:szCs w:val="24"/>
        </w:rPr>
      </w:pPr>
      <w:r>
        <w:rPr>
          <w:rFonts w:ascii="Verdana" w:hAnsi="Verdana"/>
          <w:bCs/>
          <w:sz w:val="24"/>
          <w:szCs w:val="24"/>
        </w:rPr>
        <w:t>25</w:t>
      </w:r>
      <w:r w:rsidR="00297CE8">
        <w:rPr>
          <w:rFonts w:ascii="Verdana" w:hAnsi="Verdana"/>
          <w:bCs/>
          <w:sz w:val="24"/>
          <w:szCs w:val="24"/>
        </w:rPr>
        <w:t xml:space="preserve">. </w:t>
      </w:r>
      <w:r w:rsidR="007F5573">
        <w:rPr>
          <w:rFonts w:ascii="Verdana" w:hAnsi="Verdana"/>
          <w:bCs/>
          <w:sz w:val="24"/>
          <w:szCs w:val="24"/>
        </w:rPr>
        <w:t>In support of the joinder of Clicks Retailers Group (Pty) Ltd, t</w:t>
      </w:r>
      <w:r w:rsidR="00297CE8">
        <w:rPr>
          <w:rFonts w:ascii="Verdana" w:hAnsi="Verdana"/>
          <w:bCs/>
          <w:sz w:val="24"/>
          <w:szCs w:val="24"/>
        </w:rPr>
        <w:t>he applicant</w:t>
      </w:r>
      <w:r w:rsidR="0096663A">
        <w:rPr>
          <w:rFonts w:ascii="Verdana" w:hAnsi="Verdana"/>
          <w:bCs/>
          <w:sz w:val="24"/>
          <w:szCs w:val="24"/>
        </w:rPr>
        <w:t xml:space="preserve">s </w:t>
      </w:r>
      <w:r w:rsidR="00F72048">
        <w:rPr>
          <w:rFonts w:ascii="Verdana" w:hAnsi="Verdana"/>
          <w:bCs/>
          <w:sz w:val="24"/>
          <w:szCs w:val="24"/>
        </w:rPr>
        <w:t>argue</w:t>
      </w:r>
      <w:r w:rsidR="00297CE8">
        <w:rPr>
          <w:rFonts w:ascii="Verdana" w:hAnsi="Verdana"/>
          <w:bCs/>
          <w:sz w:val="24"/>
          <w:szCs w:val="24"/>
        </w:rPr>
        <w:t xml:space="preserve"> that there</w:t>
      </w:r>
      <w:r w:rsidR="00FA5E28" w:rsidRPr="00FA5E28">
        <w:rPr>
          <w:rFonts w:ascii="Verdana" w:hAnsi="Verdana"/>
          <w:bCs/>
          <w:sz w:val="24"/>
          <w:szCs w:val="24"/>
        </w:rPr>
        <w:t xml:space="preserve"> is no prejudice to either the first</w:t>
      </w:r>
      <w:r w:rsidR="005E1101">
        <w:rPr>
          <w:rFonts w:ascii="Verdana" w:hAnsi="Verdana"/>
          <w:bCs/>
          <w:sz w:val="24"/>
          <w:szCs w:val="24"/>
        </w:rPr>
        <w:t xml:space="preserve"> </w:t>
      </w:r>
      <w:r w:rsidR="005E1101" w:rsidRPr="005E1101">
        <w:rPr>
          <w:rFonts w:ascii="Verdana" w:hAnsi="Verdana"/>
          <w:bCs/>
          <w:sz w:val="24"/>
          <w:szCs w:val="24"/>
        </w:rPr>
        <w:t xml:space="preserve">respondent or Clicks Retailers occasioned by Bayer </w:t>
      </w:r>
      <w:r w:rsidR="007F5573">
        <w:rPr>
          <w:rFonts w:ascii="Verdana" w:hAnsi="Verdana"/>
          <w:bCs/>
          <w:sz w:val="24"/>
          <w:szCs w:val="24"/>
        </w:rPr>
        <w:t>joining them</w:t>
      </w:r>
      <w:r w:rsidR="005E1101" w:rsidRPr="005E1101">
        <w:rPr>
          <w:rFonts w:ascii="Verdana" w:hAnsi="Verdana"/>
          <w:bCs/>
          <w:sz w:val="24"/>
          <w:szCs w:val="24"/>
        </w:rPr>
        <w:t xml:space="preserve">. The case made out in the founding affidavit is against UPD and Clicks retail stores because </w:t>
      </w:r>
      <w:r w:rsidR="005E1101">
        <w:rPr>
          <w:rFonts w:ascii="Verdana" w:hAnsi="Verdana"/>
          <w:bCs/>
          <w:sz w:val="24"/>
          <w:szCs w:val="24"/>
        </w:rPr>
        <w:t xml:space="preserve">both </w:t>
      </w:r>
      <w:r w:rsidR="005E1101" w:rsidRPr="000C17BA">
        <w:rPr>
          <w:rFonts w:ascii="Verdana" w:hAnsi="Verdana"/>
          <w:bCs/>
          <w:sz w:val="24"/>
          <w:szCs w:val="24"/>
        </w:rPr>
        <w:t>businesses sell Rivaxored</w:t>
      </w:r>
      <w:r w:rsidR="00D665E9" w:rsidRPr="000C17BA">
        <w:rPr>
          <w:rFonts w:ascii="Verdana" w:hAnsi="Verdana"/>
          <w:bCs/>
          <w:sz w:val="24"/>
          <w:szCs w:val="24"/>
        </w:rPr>
        <w:t>.</w:t>
      </w:r>
      <w:r w:rsidR="005E1101" w:rsidRPr="000C17BA">
        <w:rPr>
          <w:rStyle w:val="FootnoteReference"/>
          <w:rFonts w:ascii="Verdana" w:hAnsi="Verdana"/>
          <w:bCs/>
          <w:sz w:val="24"/>
          <w:szCs w:val="24"/>
        </w:rPr>
        <w:footnoteReference w:id="19"/>
      </w:r>
      <w:r w:rsidR="005E1101" w:rsidRPr="000C17BA">
        <w:rPr>
          <w:rFonts w:ascii="Verdana" w:hAnsi="Verdana"/>
          <w:bCs/>
          <w:sz w:val="24"/>
          <w:szCs w:val="24"/>
        </w:rPr>
        <w:t xml:space="preserve"> </w:t>
      </w:r>
      <w:r w:rsidR="004828A4">
        <w:rPr>
          <w:rFonts w:ascii="Verdana" w:hAnsi="Verdana"/>
          <w:bCs/>
          <w:sz w:val="24"/>
          <w:szCs w:val="24"/>
        </w:rPr>
        <w:t>This</w:t>
      </w:r>
      <w:r w:rsidR="005E1101" w:rsidRPr="000C17BA">
        <w:rPr>
          <w:rFonts w:ascii="Verdana" w:hAnsi="Verdana"/>
          <w:bCs/>
          <w:sz w:val="24"/>
          <w:szCs w:val="24"/>
        </w:rPr>
        <w:t xml:space="preserve"> Clicks understood as much.</w:t>
      </w:r>
      <w:r w:rsidR="005E1101" w:rsidRPr="000C17BA">
        <w:rPr>
          <w:rStyle w:val="FootnoteReference"/>
          <w:rFonts w:ascii="Verdana" w:hAnsi="Verdana"/>
          <w:bCs/>
          <w:sz w:val="24"/>
          <w:szCs w:val="24"/>
        </w:rPr>
        <w:footnoteReference w:id="20"/>
      </w:r>
      <w:r w:rsidR="005E1101" w:rsidRPr="000C17BA">
        <w:rPr>
          <w:rFonts w:ascii="Verdana" w:hAnsi="Verdana"/>
          <w:bCs/>
          <w:sz w:val="24"/>
          <w:szCs w:val="24"/>
        </w:rPr>
        <w:t xml:space="preserve"> The case against the first respondent is in fact no different to that against Clicks Retailers; and the parent company of both the first respondent and Clicks Retailers, Clicks Group (represented by the Head of Legal for the group, Matthew Welz), has answered that case to the extent that Clicks was able to do so.</w:t>
      </w:r>
    </w:p>
    <w:p w14:paraId="0E342580" w14:textId="77777777" w:rsidR="005E1101" w:rsidRDefault="005E1101" w:rsidP="00FA5E28">
      <w:pPr>
        <w:tabs>
          <w:tab w:val="left" w:pos="3640"/>
        </w:tabs>
        <w:spacing w:line="480" w:lineRule="auto"/>
        <w:jc w:val="both"/>
        <w:rPr>
          <w:rFonts w:ascii="Verdana" w:hAnsi="Verdana"/>
          <w:bCs/>
          <w:sz w:val="24"/>
          <w:szCs w:val="24"/>
        </w:rPr>
      </w:pPr>
    </w:p>
    <w:p w14:paraId="335D7FF0" w14:textId="46458555" w:rsidR="00DC2B93" w:rsidRPr="005E1FB5" w:rsidRDefault="001F11E3" w:rsidP="00DC2B93">
      <w:pPr>
        <w:tabs>
          <w:tab w:val="left" w:pos="3640"/>
        </w:tabs>
        <w:spacing w:line="480" w:lineRule="auto"/>
        <w:jc w:val="both"/>
        <w:rPr>
          <w:rFonts w:ascii="Verdana" w:hAnsi="Verdana"/>
          <w:bCs/>
          <w:sz w:val="24"/>
          <w:szCs w:val="24"/>
        </w:rPr>
      </w:pPr>
      <w:r>
        <w:rPr>
          <w:rFonts w:ascii="Verdana" w:hAnsi="Verdana"/>
          <w:bCs/>
          <w:sz w:val="24"/>
          <w:szCs w:val="24"/>
        </w:rPr>
        <w:lastRenderedPageBreak/>
        <w:t>26</w:t>
      </w:r>
      <w:r w:rsidR="005E1101">
        <w:rPr>
          <w:rFonts w:ascii="Verdana" w:hAnsi="Verdana"/>
          <w:bCs/>
          <w:sz w:val="24"/>
          <w:szCs w:val="24"/>
        </w:rPr>
        <w:t xml:space="preserve">. </w:t>
      </w:r>
      <w:r w:rsidR="005E1101" w:rsidRPr="005E1101">
        <w:rPr>
          <w:rFonts w:ascii="Verdana" w:hAnsi="Verdana"/>
          <w:bCs/>
          <w:sz w:val="24"/>
          <w:szCs w:val="24"/>
        </w:rPr>
        <w:t xml:space="preserve">In the circumstances, </w:t>
      </w:r>
      <w:r w:rsidR="000C17BA">
        <w:rPr>
          <w:rFonts w:ascii="Verdana" w:hAnsi="Verdana"/>
          <w:bCs/>
          <w:sz w:val="24"/>
          <w:szCs w:val="24"/>
        </w:rPr>
        <w:t>the applicants argue</w:t>
      </w:r>
      <w:r w:rsidR="009D336D">
        <w:rPr>
          <w:rFonts w:ascii="Verdana" w:hAnsi="Verdana"/>
          <w:bCs/>
          <w:sz w:val="24"/>
          <w:szCs w:val="24"/>
        </w:rPr>
        <w:t>d</w:t>
      </w:r>
      <w:r w:rsidR="000C17BA">
        <w:rPr>
          <w:rFonts w:ascii="Verdana" w:hAnsi="Verdana"/>
          <w:bCs/>
          <w:sz w:val="24"/>
          <w:szCs w:val="24"/>
        </w:rPr>
        <w:t xml:space="preserve"> that </w:t>
      </w:r>
      <w:r w:rsidR="005E1101" w:rsidRPr="005E1101">
        <w:rPr>
          <w:rFonts w:ascii="Verdana" w:hAnsi="Verdana"/>
          <w:bCs/>
          <w:sz w:val="24"/>
          <w:szCs w:val="24"/>
        </w:rPr>
        <w:t>Clicks Retailers must be joined as a respondent to give effect to the relief sought against Clicks at the retail level. Bayer therefore asks that Clicks Retailers</w:t>
      </w:r>
      <w:r w:rsidR="00B55EB5">
        <w:rPr>
          <w:rFonts w:ascii="Verdana" w:hAnsi="Verdana"/>
          <w:bCs/>
          <w:sz w:val="24"/>
          <w:szCs w:val="24"/>
        </w:rPr>
        <w:t xml:space="preserve"> (Pty) Ltd</w:t>
      </w:r>
      <w:r w:rsidR="005E1101" w:rsidRPr="005E1101">
        <w:rPr>
          <w:rFonts w:ascii="Verdana" w:hAnsi="Verdana"/>
          <w:bCs/>
          <w:sz w:val="24"/>
          <w:szCs w:val="24"/>
        </w:rPr>
        <w:t xml:space="preserve"> be joined as the fourth respondent.</w:t>
      </w:r>
    </w:p>
    <w:p w14:paraId="2501E199" w14:textId="77777777" w:rsidR="00DC2B93" w:rsidRPr="00DC2B93" w:rsidRDefault="00DC2B93" w:rsidP="00DC2B93">
      <w:pPr>
        <w:tabs>
          <w:tab w:val="left" w:pos="3640"/>
        </w:tabs>
        <w:spacing w:line="480" w:lineRule="auto"/>
        <w:jc w:val="both"/>
        <w:rPr>
          <w:rFonts w:ascii="Verdana" w:hAnsi="Verdana"/>
          <w:bCs/>
          <w:sz w:val="24"/>
          <w:szCs w:val="24"/>
        </w:rPr>
      </w:pPr>
    </w:p>
    <w:p w14:paraId="2F130AE4" w14:textId="38EFA334" w:rsidR="00DC2B93" w:rsidRDefault="005E1FB5" w:rsidP="00DC2B93">
      <w:pPr>
        <w:tabs>
          <w:tab w:val="left" w:pos="3640"/>
        </w:tabs>
        <w:spacing w:line="480" w:lineRule="auto"/>
        <w:jc w:val="both"/>
        <w:rPr>
          <w:rFonts w:ascii="Verdana" w:hAnsi="Verdana"/>
          <w:bCs/>
          <w:sz w:val="24"/>
          <w:szCs w:val="24"/>
        </w:rPr>
      </w:pPr>
      <w:r>
        <w:rPr>
          <w:rFonts w:ascii="Verdana" w:hAnsi="Verdana"/>
          <w:bCs/>
          <w:sz w:val="24"/>
          <w:szCs w:val="24"/>
        </w:rPr>
        <w:t>27</w:t>
      </w:r>
      <w:r w:rsidR="00DC2B93" w:rsidRPr="00DC2B93">
        <w:rPr>
          <w:rFonts w:ascii="Verdana" w:hAnsi="Verdana"/>
          <w:bCs/>
          <w:sz w:val="24"/>
          <w:szCs w:val="24"/>
        </w:rPr>
        <w:t>.</w:t>
      </w:r>
      <w:r w:rsidR="00DC2B93">
        <w:rPr>
          <w:rFonts w:ascii="Verdana" w:hAnsi="Verdana"/>
          <w:bCs/>
          <w:sz w:val="24"/>
          <w:szCs w:val="24"/>
        </w:rPr>
        <w:t xml:space="preserve"> The </w:t>
      </w:r>
      <w:r w:rsidR="00CD1E06">
        <w:rPr>
          <w:rFonts w:ascii="Verdana" w:hAnsi="Verdana"/>
          <w:bCs/>
          <w:sz w:val="24"/>
          <w:szCs w:val="24"/>
        </w:rPr>
        <w:t xml:space="preserve">first </w:t>
      </w:r>
      <w:r w:rsidR="00DC2B93">
        <w:rPr>
          <w:rFonts w:ascii="Verdana" w:hAnsi="Verdana"/>
          <w:bCs/>
          <w:sz w:val="24"/>
          <w:szCs w:val="24"/>
        </w:rPr>
        <w:t xml:space="preserve">respondent opposes the joinder of Clicks Retailers (Pty) Ltd on the basis that </w:t>
      </w:r>
      <w:r w:rsidR="00DC2B93" w:rsidRPr="00DC2B93">
        <w:rPr>
          <w:rFonts w:ascii="Verdana" w:hAnsi="Verdana"/>
          <w:bCs/>
          <w:sz w:val="24"/>
          <w:szCs w:val="24"/>
        </w:rPr>
        <w:t>no formal joinder application has been issued and served on Clicks Retailers or its legal representatives.</w:t>
      </w:r>
      <w:r w:rsidR="00087CBE">
        <w:rPr>
          <w:rFonts w:ascii="Verdana" w:hAnsi="Verdana"/>
          <w:bCs/>
          <w:sz w:val="24"/>
          <w:szCs w:val="24"/>
        </w:rPr>
        <w:t xml:space="preserve"> In the absence of a formal notice for joinder the respondents had argued</w:t>
      </w:r>
      <w:r w:rsidR="009D336D">
        <w:rPr>
          <w:rFonts w:ascii="Verdana" w:hAnsi="Verdana"/>
          <w:bCs/>
          <w:sz w:val="24"/>
          <w:szCs w:val="24"/>
        </w:rPr>
        <w:t>,</w:t>
      </w:r>
      <w:r w:rsidR="00087CBE">
        <w:rPr>
          <w:rFonts w:ascii="Verdana" w:hAnsi="Verdana"/>
          <w:bCs/>
          <w:sz w:val="24"/>
          <w:szCs w:val="24"/>
        </w:rPr>
        <w:t xml:space="preserve"> the Court should not entertain the application to join Clicks Retailers (Pty) Ltd.</w:t>
      </w:r>
    </w:p>
    <w:p w14:paraId="6F5BA8F9" w14:textId="77777777" w:rsidR="00DC2B93" w:rsidRDefault="00DC2B93" w:rsidP="00DC2B93">
      <w:pPr>
        <w:tabs>
          <w:tab w:val="left" w:pos="3640"/>
        </w:tabs>
        <w:spacing w:line="480" w:lineRule="auto"/>
        <w:jc w:val="both"/>
        <w:rPr>
          <w:rFonts w:ascii="Verdana" w:hAnsi="Verdana"/>
          <w:bCs/>
          <w:sz w:val="24"/>
          <w:szCs w:val="24"/>
        </w:rPr>
      </w:pPr>
    </w:p>
    <w:p w14:paraId="12159045" w14:textId="43D0561D" w:rsidR="00DC2B93" w:rsidRPr="00DC2B93" w:rsidRDefault="00010F50" w:rsidP="00DC2B93">
      <w:pPr>
        <w:tabs>
          <w:tab w:val="left" w:pos="3640"/>
        </w:tabs>
        <w:spacing w:line="480" w:lineRule="auto"/>
        <w:jc w:val="both"/>
        <w:rPr>
          <w:rFonts w:ascii="Verdana" w:hAnsi="Verdana"/>
          <w:bCs/>
          <w:sz w:val="24"/>
          <w:szCs w:val="24"/>
        </w:rPr>
      </w:pPr>
      <w:r>
        <w:rPr>
          <w:rFonts w:ascii="Verdana" w:hAnsi="Verdana"/>
          <w:bCs/>
          <w:sz w:val="24"/>
          <w:szCs w:val="24"/>
        </w:rPr>
        <w:t>28</w:t>
      </w:r>
      <w:r w:rsidR="00DC2B93">
        <w:rPr>
          <w:rFonts w:ascii="Verdana" w:hAnsi="Verdana"/>
          <w:bCs/>
          <w:sz w:val="24"/>
          <w:szCs w:val="24"/>
        </w:rPr>
        <w:t>.</w:t>
      </w:r>
      <w:r w:rsidR="005D5B4F">
        <w:rPr>
          <w:rFonts w:ascii="Verdana" w:hAnsi="Verdana"/>
          <w:bCs/>
          <w:sz w:val="24"/>
          <w:szCs w:val="24"/>
        </w:rPr>
        <w:t xml:space="preserve"> In addition the first respondent argue</w:t>
      </w:r>
      <w:r w:rsidR="009D336D">
        <w:rPr>
          <w:rFonts w:ascii="Verdana" w:hAnsi="Verdana"/>
          <w:bCs/>
          <w:sz w:val="24"/>
          <w:szCs w:val="24"/>
        </w:rPr>
        <w:t>d</w:t>
      </w:r>
      <w:r w:rsidR="005D5B4F">
        <w:rPr>
          <w:rFonts w:ascii="Verdana" w:hAnsi="Verdana"/>
          <w:bCs/>
          <w:sz w:val="24"/>
          <w:szCs w:val="24"/>
        </w:rPr>
        <w:t xml:space="preserve"> that the explanation for the belated </w:t>
      </w:r>
      <w:r w:rsidR="004828A4">
        <w:rPr>
          <w:rFonts w:ascii="Verdana" w:hAnsi="Verdana"/>
          <w:bCs/>
          <w:sz w:val="24"/>
          <w:szCs w:val="24"/>
        </w:rPr>
        <w:t>request to join Clicks Retailers Group (Pty) Ltd is</w:t>
      </w:r>
      <w:r w:rsidR="005D5B4F" w:rsidRPr="00DC2B93">
        <w:rPr>
          <w:rFonts w:ascii="Verdana" w:hAnsi="Verdana"/>
          <w:bCs/>
          <w:sz w:val="24"/>
          <w:szCs w:val="24"/>
        </w:rPr>
        <w:t xml:space="preserve"> </w:t>
      </w:r>
      <w:r w:rsidR="00087CBE">
        <w:rPr>
          <w:rFonts w:ascii="Verdana" w:hAnsi="Verdana"/>
          <w:bCs/>
          <w:sz w:val="24"/>
          <w:szCs w:val="24"/>
        </w:rPr>
        <w:t xml:space="preserve">further </w:t>
      </w:r>
      <w:r w:rsidR="005D5B4F" w:rsidRPr="00DC2B93">
        <w:rPr>
          <w:rFonts w:ascii="Verdana" w:hAnsi="Verdana"/>
          <w:bCs/>
          <w:sz w:val="24"/>
          <w:szCs w:val="24"/>
        </w:rPr>
        <w:t>wholly unconvincing</w:t>
      </w:r>
      <w:r w:rsidR="00087CBE">
        <w:rPr>
          <w:rFonts w:ascii="Verdana" w:hAnsi="Verdana"/>
          <w:bCs/>
          <w:sz w:val="24"/>
          <w:szCs w:val="24"/>
        </w:rPr>
        <w:t xml:space="preserve"> in that the applicants</w:t>
      </w:r>
      <w:r w:rsidR="00DC2B93" w:rsidRPr="00DC2B93">
        <w:rPr>
          <w:rFonts w:ascii="Verdana" w:hAnsi="Verdana"/>
          <w:bCs/>
          <w:sz w:val="24"/>
          <w:szCs w:val="24"/>
        </w:rPr>
        <w:t xml:space="preserve"> suggest that they only became aware of the true state of affairs </w:t>
      </w:r>
      <w:r w:rsidR="00DB0E95">
        <w:rPr>
          <w:rFonts w:ascii="Verdana" w:hAnsi="Verdana"/>
          <w:bCs/>
          <w:sz w:val="24"/>
          <w:szCs w:val="24"/>
        </w:rPr>
        <w:t>after</w:t>
      </w:r>
      <w:r w:rsidR="00DC2B93" w:rsidRPr="00DC2B93">
        <w:rPr>
          <w:rFonts w:ascii="Verdana" w:hAnsi="Verdana"/>
          <w:bCs/>
          <w:sz w:val="24"/>
          <w:szCs w:val="24"/>
        </w:rPr>
        <w:t xml:space="preserve"> receipt of the answering affidavit (on 25 March 2022).</w:t>
      </w:r>
      <w:r w:rsidR="00DC2B93" w:rsidRPr="00DC2B93">
        <w:rPr>
          <w:rStyle w:val="FootnoteReference"/>
          <w:rFonts w:ascii="Verdana" w:hAnsi="Verdana"/>
          <w:bCs/>
          <w:sz w:val="24"/>
          <w:szCs w:val="24"/>
        </w:rPr>
        <w:footnoteReference w:id="21"/>
      </w:r>
      <w:r w:rsidR="00087CBE">
        <w:rPr>
          <w:rFonts w:ascii="Verdana" w:hAnsi="Verdana"/>
          <w:bCs/>
          <w:sz w:val="24"/>
          <w:szCs w:val="24"/>
        </w:rPr>
        <w:t xml:space="preserve"> This</w:t>
      </w:r>
      <w:r w:rsidR="00F72048">
        <w:rPr>
          <w:rFonts w:ascii="Verdana" w:hAnsi="Verdana"/>
          <w:bCs/>
          <w:sz w:val="24"/>
          <w:szCs w:val="24"/>
        </w:rPr>
        <w:t xml:space="preserve"> the first respondent contends,</w:t>
      </w:r>
      <w:r w:rsidR="00DC2B93" w:rsidRPr="00DC2B93">
        <w:rPr>
          <w:rFonts w:ascii="Verdana" w:hAnsi="Verdana"/>
          <w:bCs/>
          <w:sz w:val="24"/>
          <w:szCs w:val="24"/>
        </w:rPr>
        <w:t xml:space="preserve"> is simply not true. In a letter to the applicants’ attorneys dated 11 March 2022,</w:t>
      </w:r>
      <w:r w:rsidR="00DC2B93" w:rsidRPr="00DC2B93">
        <w:rPr>
          <w:rStyle w:val="FootnoteReference"/>
          <w:rFonts w:ascii="Verdana" w:hAnsi="Verdana"/>
          <w:bCs/>
          <w:sz w:val="24"/>
          <w:szCs w:val="24"/>
        </w:rPr>
        <w:footnoteReference w:id="22"/>
      </w:r>
      <w:r w:rsidR="00DC2B93" w:rsidRPr="00DC2B93">
        <w:rPr>
          <w:rFonts w:ascii="Verdana" w:hAnsi="Verdana"/>
          <w:bCs/>
          <w:sz w:val="24"/>
          <w:szCs w:val="24"/>
        </w:rPr>
        <w:t xml:space="preserve"> NCSA’s Mr Welz made it clear that Clicks Retailers is “</w:t>
      </w:r>
      <w:r w:rsidR="00DC2B93" w:rsidRPr="00DC2B93">
        <w:rPr>
          <w:rFonts w:ascii="Verdana" w:hAnsi="Verdana"/>
          <w:bCs/>
          <w:i/>
          <w:sz w:val="24"/>
          <w:szCs w:val="24"/>
        </w:rPr>
        <w:t>the entity which owns and operates Clicks pharmacies</w:t>
      </w:r>
      <w:r w:rsidR="00DC2B93" w:rsidRPr="00DC2B93">
        <w:rPr>
          <w:rFonts w:ascii="Verdana" w:hAnsi="Verdana"/>
          <w:bCs/>
          <w:sz w:val="24"/>
          <w:szCs w:val="24"/>
        </w:rPr>
        <w:t>”.</w:t>
      </w:r>
    </w:p>
    <w:p w14:paraId="604C65DB" w14:textId="77777777" w:rsidR="00DC2B93" w:rsidRPr="00DC2B93" w:rsidRDefault="00DC2B93" w:rsidP="00DC2B93">
      <w:pPr>
        <w:tabs>
          <w:tab w:val="left" w:pos="3640"/>
        </w:tabs>
        <w:spacing w:line="480" w:lineRule="auto"/>
        <w:jc w:val="both"/>
        <w:rPr>
          <w:rFonts w:ascii="Verdana" w:hAnsi="Verdana"/>
          <w:bCs/>
          <w:sz w:val="24"/>
          <w:szCs w:val="24"/>
        </w:rPr>
      </w:pPr>
    </w:p>
    <w:p w14:paraId="6DEC64A3" w14:textId="2A8464B0" w:rsidR="00DC2B93" w:rsidRDefault="00010F50" w:rsidP="00DC2B93">
      <w:pPr>
        <w:tabs>
          <w:tab w:val="left" w:pos="3640"/>
        </w:tabs>
        <w:spacing w:line="480" w:lineRule="auto"/>
        <w:jc w:val="both"/>
        <w:rPr>
          <w:rFonts w:ascii="Verdana" w:hAnsi="Verdana"/>
          <w:bCs/>
          <w:sz w:val="24"/>
          <w:szCs w:val="24"/>
        </w:rPr>
      </w:pPr>
      <w:r>
        <w:rPr>
          <w:rFonts w:ascii="Verdana" w:hAnsi="Verdana"/>
          <w:bCs/>
          <w:sz w:val="24"/>
          <w:szCs w:val="24"/>
        </w:rPr>
        <w:t>29</w:t>
      </w:r>
      <w:r w:rsidR="00DC2B93" w:rsidRPr="00DC2B93">
        <w:rPr>
          <w:rFonts w:ascii="Verdana" w:hAnsi="Verdana"/>
          <w:bCs/>
          <w:sz w:val="24"/>
          <w:szCs w:val="24"/>
        </w:rPr>
        <w:t xml:space="preserve">. Regarding the alleged need for the joinder, and any consequent amendment to the notice of motion, </w:t>
      </w:r>
      <w:r w:rsidR="00F72048">
        <w:rPr>
          <w:rFonts w:ascii="Verdana" w:hAnsi="Verdana"/>
          <w:bCs/>
          <w:sz w:val="24"/>
          <w:szCs w:val="24"/>
        </w:rPr>
        <w:t xml:space="preserve">counsel submitted </w:t>
      </w:r>
      <w:r w:rsidR="00DB0E95">
        <w:rPr>
          <w:rFonts w:ascii="Verdana" w:hAnsi="Verdana"/>
          <w:bCs/>
          <w:sz w:val="24"/>
          <w:szCs w:val="24"/>
        </w:rPr>
        <w:t xml:space="preserve">that </w:t>
      </w:r>
      <w:r w:rsidR="00DC2B93" w:rsidRPr="00DC2B93">
        <w:rPr>
          <w:rFonts w:ascii="Verdana" w:hAnsi="Verdana"/>
          <w:bCs/>
          <w:sz w:val="24"/>
          <w:szCs w:val="24"/>
        </w:rPr>
        <w:t>the applicants ought to have done their homework</w:t>
      </w:r>
      <w:r w:rsidR="00F72048">
        <w:rPr>
          <w:rFonts w:ascii="Verdana" w:hAnsi="Verdana"/>
          <w:bCs/>
          <w:sz w:val="24"/>
          <w:szCs w:val="24"/>
        </w:rPr>
        <w:t xml:space="preserve"> as it</w:t>
      </w:r>
      <w:r w:rsidR="00DC2B93" w:rsidRPr="00DC2B93">
        <w:rPr>
          <w:rFonts w:ascii="Verdana" w:hAnsi="Verdana"/>
          <w:bCs/>
          <w:sz w:val="24"/>
          <w:szCs w:val="24"/>
        </w:rPr>
        <w:t xml:space="preserve"> is a matter of public record that Clicks Retailers, and not NCSA, owns and operates Clicks pharmacies. The applicants have offered no explanation as to why, with the resources available to them, they were unable to obtain this publicly available information.</w:t>
      </w:r>
      <w:r w:rsidR="00F72048">
        <w:rPr>
          <w:rFonts w:ascii="Verdana" w:hAnsi="Verdana"/>
          <w:bCs/>
          <w:sz w:val="24"/>
          <w:szCs w:val="24"/>
        </w:rPr>
        <w:t xml:space="preserve"> It is for this reason that it was implored upon this Court,</w:t>
      </w:r>
      <w:r w:rsidR="00DB0E95">
        <w:rPr>
          <w:rFonts w:ascii="Verdana" w:hAnsi="Verdana"/>
          <w:bCs/>
          <w:sz w:val="24"/>
          <w:szCs w:val="24"/>
        </w:rPr>
        <w:t xml:space="preserve"> to</w:t>
      </w:r>
      <w:r w:rsidR="00F72048">
        <w:rPr>
          <w:rFonts w:ascii="Verdana" w:hAnsi="Verdana"/>
          <w:bCs/>
          <w:sz w:val="24"/>
          <w:szCs w:val="24"/>
        </w:rPr>
        <w:t xml:space="preserve"> not allow the joinder.</w:t>
      </w:r>
    </w:p>
    <w:p w14:paraId="484EAA2B" w14:textId="77777777" w:rsidR="00746DB9" w:rsidRDefault="00746DB9" w:rsidP="00DC2B93">
      <w:pPr>
        <w:tabs>
          <w:tab w:val="left" w:pos="3640"/>
        </w:tabs>
        <w:spacing w:line="480" w:lineRule="auto"/>
        <w:jc w:val="both"/>
        <w:rPr>
          <w:rFonts w:ascii="Verdana" w:hAnsi="Verdana"/>
          <w:bCs/>
          <w:sz w:val="24"/>
          <w:szCs w:val="24"/>
        </w:rPr>
      </w:pPr>
    </w:p>
    <w:p w14:paraId="10CDC7C7" w14:textId="341778B9" w:rsidR="000F6B19" w:rsidRDefault="00010F50" w:rsidP="00DC2B93">
      <w:pPr>
        <w:tabs>
          <w:tab w:val="left" w:pos="3640"/>
        </w:tabs>
        <w:spacing w:line="480" w:lineRule="auto"/>
        <w:jc w:val="both"/>
        <w:rPr>
          <w:rFonts w:ascii="Verdana" w:hAnsi="Verdana"/>
          <w:bCs/>
          <w:sz w:val="24"/>
          <w:szCs w:val="24"/>
        </w:rPr>
      </w:pPr>
      <w:r>
        <w:rPr>
          <w:rFonts w:ascii="Verdana" w:hAnsi="Verdana"/>
          <w:bCs/>
          <w:sz w:val="24"/>
          <w:szCs w:val="24"/>
        </w:rPr>
        <w:t>30</w:t>
      </w:r>
      <w:r w:rsidR="00F72048">
        <w:rPr>
          <w:rFonts w:ascii="Verdana" w:hAnsi="Verdana"/>
          <w:bCs/>
          <w:sz w:val="24"/>
          <w:szCs w:val="24"/>
        </w:rPr>
        <w:t>.</w:t>
      </w:r>
      <w:r>
        <w:rPr>
          <w:rFonts w:ascii="Verdana" w:hAnsi="Verdana"/>
          <w:bCs/>
          <w:sz w:val="24"/>
          <w:szCs w:val="24"/>
        </w:rPr>
        <w:t xml:space="preserve"> </w:t>
      </w:r>
      <w:r w:rsidR="00F72048">
        <w:rPr>
          <w:rFonts w:ascii="Verdana" w:hAnsi="Verdana"/>
          <w:bCs/>
          <w:sz w:val="24"/>
          <w:szCs w:val="24"/>
        </w:rPr>
        <w:t>Rule 10 of the Uniform Rules of court provide for the joinder</w:t>
      </w:r>
      <w:r w:rsidR="00430B80">
        <w:rPr>
          <w:rFonts w:ascii="Verdana" w:hAnsi="Verdana"/>
          <w:bCs/>
          <w:sz w:val="24"/>
          <w:szCs w:val="24"/>
        </w:rPr>
        <w:t xml:space="preserve"> of parties </w:t>
      </w:r>
      <w:r w:rsidR="00DB0E95">
        <w:rPr>
          <w:rFonts w:ascii="Verdana" w:hAnsi="Verdana"/>
          <w:bCs/>
          <w:sz w:val="24"/>
          <w:szCs w:val="24"/>
        </w:rPr>
        <w:t>in</w:t>
      </w:r>
      <w:r w:rsidR="00430B80">
        <w:rPr>
          <w:rFonts w:ascii="Verdana" w:hAnsi="Verdana"/>
          <w:bCs/>
          <w:sz w:val="24"/>
          <w:szCs w:val="24"/>
        </w:rPr>
        <w:t xml:space="preserve"> pending proceedings</w:t>
      </w:r>
      <w:r w:rsidR="00746DB9">
        <w:rPr>
          <w:rFonts w:ascii="Verdana" w:hAnsi="Verdana"/>
          <w:bCs/>
          <w:sz w:val="24"/>
          <w:szCs w:val="24"/>
        </w:rPr>
        <w:t xml:space="preserve"> and Rule 6(14) also makes the provisions of Rule 10 applicable to urgent applications.</w:t>
      </w:r>
    </w:p>
    <w:p w14:paraId="51B8D93C" w14:textId="75DBEADB" w:rsidR="00F72048" w:rsidRPr="00DC2B93" w:rsidRDefault="00746DB9" w:rsidP="00DC2B93">
      <w:pPr>
        <w:tabs>
          <w:tab w:val="left" w:pos="3640"/>
        </w:tabs>
        <w:spacing w:line="480" w:lineRule="auto"/>
        <w:jc w:val="both"/>
        <w:rPr>
          <w:rFonts w:ascii="Verdana" w:hAnsi="Verdana"/>
          <w:bCs/>
          <w:sz w:val="24"/>
          <w:szCs w:val="24"/>
        </w:rPr>
      </w:pPr>
      <w:r>
        <w:rPr>
          <w:rFonts w:ascii="Verdana" w:hAnsi="Verdana"/>
          <w:bCs/>
          <w:sz w:val="24"/>
          <w:szCs w:val="24"/>
        </w:rPr>
        <w:t xml:space="preserve"> </w:t>
      </w:r>
      <w:r w:rsidR="00430B80">
        <w:rPr>
          <w:rFonts w:ascii="Verdana" w:hAnsi="Verdana"/>
          <w:bCs/>
          <w:sz w:val="24"/>
          <w:szCs w:val="24"/>
        </w:rPr>
        <w:t xml:space="preserve">   </w:t>
      </w:r>
      <w:r w:rsidR="00F72048">
        <w:rPr>
          <w:rFonts w:ascii="Verdana" w:hAnsi="Verdana"/>
          <w:bCs/>
          <w:sz w:val="24"/>
          <w:szCs w:val="24"/>
        </w:rPr>
        <w:t xml:space="preserve"> </w:t>
      </w:r>
    </w:p>
    <w:p w14:paraId="18E08269" w14:textId="3732D469" w:rsidR="008866CF" w:rsidRPr="008866CF" w:rsidRDefault="00010F50" w:rsidP="000F6B19">
      <w:pPr>
        <w:pStyle w:val="Title"/>
        <w:spacing w:line="480" w:lineRule="auto"/>
        <w:ind w:left="0"/>
        <w:jc w:val="both"/>
        <w:rPr>
          <w:b w:val="0"/>
          <w:sz w:val="24"/>
          <w:szCs w:val="24"/>
        </w:rPr>
      </w:pPr>
      <w:r w:rsidRPr="008866CF">
        <w:rPr>
          <w:b w:val="0"/>
          <w:bCs w:val="0"/>
          <w:sz w:val="24"/>
          <w:szCs w:val="24"/>
        </w:rPr>
        <w:t>31.</w:t>
      </w:r>
      <w:r w:rsidR="008866CF" w:rsidRPr="008866CF">
        <w:rPr>
          <w:b w:val="0"/>
          <w:spacing w:val="-4"/>
        </w:rPr>
        <w:t xml:space="preserve"> </w:t>
      </w:r>
      <w:r w:rsidR="008866CF" w:rsidRPr="008866CF">
        <w:rPr>
          <w:b w:val="0"/>
          <w:spacing w:val="-4"/>
          <w:sz w:val="24"/>
          <w:szCs w:val="24"/>
        </w:rPr>
        <w:t xml:space="preserve">Rule 10 </w:t>
      </w:r>
      <w:r w:rsidR="00DB0E95">
        <w:rPr>
          <w:b w:val="0"/>
          <w:spacing w:val="-4"/>
          <w:sz w:val="24"/>
          <w:szCs w:val="24"/>
        </w:rPr>
        <w:t xml:space="preserve">inter alia </w:t>
      </w:r>
      <w:r w:rsidR="008866CF" w:rsidRPr="008866CF">
        <w:rPr>
          <w:b w:val="0"/>
          <w:spacing w:val="-4"/>
          <w:sz w:val="24"/>
          <w:szCs w:val="24"/>
        </w:rPr>
        <w:t>provides as follows:</w:t>
      </w:r>
    </w:p>
    <w:p w14:paraId="77BF360E" w14:textId="3B2E78E7" w:rsidR="008866CF" w:rsidRPr="008866CF" w:rsidRDefault="008866CF" w:rsidP="000F6B19">
      <w:pPr>
        <w:pStyle w:val="ListParagraph"/>
        <w:numPr>
          <w:ilvl w:val="0"/>
          <w:numId w:val="37"/>
        </w:numPr>
        <w:tabs>
          <w:tab w:val="left" w:pos="572"/>
        </w:tabs>
        <w:spacing w:before="45" w:line="480" w:lineRule="auto"/>
        <w:ind w:right="322"/>
        <w:rPr>
          <w:rFonts w:ascii="Verdana" w:hAnsi="Verdana"/>
          <w:sz w:val="24"/>
          <w:szCs w:val="24"/>
        </w:rPr>
      </w:pPr>
      <w:r>
        <w:rPr>
          <w:rFonts w:ascii="Verdana" w:hAnsi="Verdana"/>
          <w:w w:val="105"/>
          <w:sz w:val="24"/>
          <w:szCs w:val="24"/>
        </w:rPr>
        <w:t>“</w:t>
      </w:r>
      <w:r w:rsidRPr="008866CF">
        <w:rPr>
          <w:rFonts w:ascii="Verdana" w:hAnsi="Verdana"/>
          <w:w w:val="105"/>
          <w:sz w:val="24"/>
          <w:szCs w:val="24"/>
        </w:rPr>
        <w:t>Any number of persons, each of whom has a claim, whether jointly, jointly and severally, separately or in the alternative, may join as plaintiffs in one action</w:t>
      </w:r>
      <w:r w:rsidRPr="008866CF">
        <w:rPr>
          <w:rFonts w:ascii="Verdana" w:hAnsi="Verdana"/>
          <w:spacing w:val="1"/>
          <w:w w:val="105"/>
          <w:sz w:val="24"/>
          <w:szCs w:val="24"/>
        </w:rPr>
        <w:t xml:space="preserve"> </w:t>
      </w:r>
      <w:r w:rsidRPr="008866CF">
        <w:rPr>
          <w:rFonts w:ascii="Verdana" w:hAnsi="Verdana"/>
          <w:w w:val="105"/>
          <w:sz w:val="24"/>
          <w:szCs w:val="24"/>
        </w:rPr>
        <w:t>against the</w:t>
      </w:r>
      <w:r w:rsidRPr="008866CF">
        <w:rPr>
          <w:rFonts w:ascii="Verdana" w:hAnsi="Verdana"/>
          <w:spacing w:val="1"/>
          <w:w w:val="105"/>
          <w:sz w:val="24"/>
          <w:szCs w:val="24"/>
        </w:rPr>
        <w:t xml:space="preserve"> </w:t>
      </w:r>
      <w:r w:rsidRPr="008866CF">
        <w:rPr>
          <w:rFonts w:ascii="Verdana" w:hAnsi="Verdana"/>
          <w:w w:val="105"/>
          <w:sz w:val="24"/>
          <w:szCs w:val="24"/>
        </w:rPr>
        <w:t>same</w:t>
      </w:r>
      <w:r w:rsidRPr="008866CF">
        <w:rPr>
          <w:rFonts w:ascii="Verdana" w:hAnsi="Verdana"/>
          <w:spacing w:val="-1"/>
          <w:w w:val="105"/>
          <w:sz w:val="24"/>
          <w:szCs w:val="24"/>
        </w:rPr>
        <w:t xml:space="preserve"> </w:t>
      </w:r>
      <w:r w:rsidRPr="008866CF">
        <w:rPr>
          <w:rFonts w:ascii="Verdana" w:hAnsi="Verdana"/>
          <w:w w:val="105"/>
          <w:sz w:val="24"/>
          <w:szCs w:val="24"/>
        </w:rPr>
        <w:t>defendant</w:t>
      </w:r>
      <w:r w:rsidRPr="008866CF">
        <w:rPr>
          <w:rFonts w:ascii="Verdana" w:hAnsi="Verdana"/>
          <w:spacing w:val="1"/>
          <w:w w:val="105"/>
          <w:sz w:val="24"/>
          <w:szCs w:val="24"/>
        </w:rPr>
        <w:t xml:space="preserve"> </w:t>
      </w:r>
      <w:r w:rsidRPr="008866CF">
        <w:rPr>
          <w:rFonts w:ascii="Verdana" w:hAnsi="Verdana"/>
          <w:w w:val="105"/>
          <w:sz w:val="24"/>
          <w:szCs w:val="24"/>
        </w:rPr>
        <w:t>or defendants against</w:t>
      </w:r>
      <w:r w:rsidRPr="008866CF">
        <w:rPr>
          <w:rFonts w:ascii="Verdana" w:hAnsi="Verdana"/>
          <w:spacing w:val="1"/>
          <w:w w:val="105"/>
          <w:sz w:val="24"/>
          <w:szCs w:val="24"/>
        </w:rPr>
        <w:t xml:space="preserve"> </w:t>
      </w:r>
      <w:r w:rsidRPr="008866CF">
        <w:rPr>
          <w:rFonts w:ascii="Verdana" w:hAnsi="Verdana"/>
          <w:w w:val="105"/>
          <w:sz w:val="24"/>
          <w:szCs w:val="24"/>
        </w:rPr>
        <w:t>whom</w:t>
      </w:r>
      <w:r w:rsidRPr="008866CF">
        <w:rPr>
          <w:rFonts w:ascii="Verdana" w:hAnsi="Verdana"/>
          <w:spacing w:val="1"/>
          <w:w w:val="105"/>
          <w:sz w:val="24"/>
          <w:szCs w:val="24"/>
        </w:rPr>
        <w:t xml:space="preserve"> </w:t>
      </w:r>
      <w:r w:rsidRPr="008866CF">
        <w:rPr>
          <w:rFonts w:ascii="Verdana" w:hAnsi="Verdana"/>
          <w:w w:val="105"/>
          <w:sz w:val="24"/>
          <w:szCs w:val="24"/>
        </w:rPr>
        <w:t>any one or more</w:t>
      </w:r>
      <w:r w:rsidRPr="008866CF">
        <w:rPr>
          <w:rFonts w:ascii="Verdana" w:hAnsi="Verdana"/>
          <w:spacing w:val="-1"/>
          <w:w w:val="105"/>
          <w:sz w:val="24"/>
          <w:szCs w:val="24"/>
        </w:rPr>
        <w:t xml:space="preserve"> </w:t>
      </w:r>
      <w:r w:rsidRPr="008866CF">
        <w:rPr>
          <w:rFonts w:ascii="Verdana" w:hAnsi="Verdana"/>
          <w:w w:val="105"/>
          <w:sz w:val="24"/>
          <w:szCs w:val="24"/>
        </w:rPr>
        <w:t>of such persons</w:t>
      </w:r>
      <w:r w:rsidRPr="008866CF">
        <w:rPr>
          <w:rFonts w:ascii="Verdana" w:hAnsi="Verdana"/>
          <w:spacing w:val="1"/>
          <w:w w:val="105"/>
          <w:sz w:val="24"/>
          <w:szCs w:val="24"/>
        </w:rPr>
        <w:t xml:space="preserve"> </w:t>
      </w:r>
      <w:r w:rsidRPr="008866CF">
        <w:rPr>
          <w:rFonts w:ascii="Verdana" w:hAnsi="Verdana"/>
          <w:w w:val="105"/>
          <w:sz w:val="24"/>
          <w:szCs w:val="24"/>
        </w:rPr>
        <w:t>proposing to</w:t>
      </w:r>
      <w:r w:rsidRPr="008866CF">
        <w:rPr>
          <w:rFonts w:ascii="Verdana" w:hAnsi="Verdana"/>
          <w:spacing w:val="1"/>
          <w:w w:val="105"/>
          <w:sz w:val="24"/>
          <w:szCs w:val="24"/>
        </w:rPr>
        <w:t xml:space="preserve"> </w:t>
      </w:r>
      <w:r w:rsidRPr="008866CF">
        <w:rPr>
          <w:rFonts w:ascii="Verdana" w:hAnsi="Verdana"/>
          <w:w w:val="105"/>
          <w:sz w:val="24"/>
          <w:szCs w:val="24"/>
        </w:rPr>
        <w:t>join as</w:t>
      </w:r>
      <w:r w:rsidRPr="008866CF">
        <w:rPr>
          <w:rFonts w:ascii="Verdana" w:hAnsi="Verdana"/>
          <w:spacing w:val="1"/>
          <w:w w:val="105"/>
          <w:sz w:val="24"/>
          <w:szCs w:val="24"/>
        </w:rPr>
        <w:t xml:space="preserve"> </w:t>
      </w:r>
      <w:r w:rsidRPr="008866CF">
        <w:rPr>
          <w:rFonts w:ascii="Verdana" w:hAnsi="Verdana"/>
          <w:w w:val="105"/>
          <w:sz w:val="24"/>
          <w:szCs w:val="24"/>
        </w:rPr>
        <w:t>plaintiffs</w:t>
      </w:r>
      <w:r w:rsidRPr="008866CF">
        <w:rPr>
          <w:rFonts w:ascii="Verdana" w:hAnsi="Verdana"/>
          <w:spacing w:val="1"/>
          <w:w w:val="105"/>
          <w:sz w:val="24"/>
          <w:szCs w:val="24"/>
        </w:rPr>
        <w:t xml:space="preserve"> </w:t>
      </w:r>
      <w:r w:rsidRPr="008866CF">
        <w:rPr>
          <w:rFonts w:ascii="Verdana" w:hAnsi="Verdana"/>
          <w:w w:val="105"/>
          <w:sz w:val="24"/>
          <w:szCs w:val="24"/>
        </w:rPr>
        <w:t>would, if</w:t>
      </w:r>
      <w:r w:rsidRPr="008866CF">
        <w:rPr>
          <w:rFonts w:ascii="Verdana" w:hAnsi="Verdana"/>
          <w:spacing w:val="1"/>
          <w:w w:val="105"/>
          <w:sz w:val="24"/>
          <w:szCs w:val="24"/>
        </w:rPr>
        <w:t xml:space="preserve"> </w:t>
      </w:r>
      <w:r w:rsidRPr="008866CF">
        <w:rPr>
          <w:rFonts w:ascii="Verdana" w:hAnsi="Verdana"/>
          <w:w w:val="105"/>
          <w:sz w:val="24"/>
          <w:szCs w:val="24"/>
        </w:rPr>
        <w:t>he brought a</w:t>
      </w:r>
      <w:r w:rsidRPr="008866CF">
        <w:rPr>
          <w:rFonts w:ascii="Verdana" w:hAnsi="Verdana"/>
          <w:spacing w:val="1"/>
          <w:w w:val="105"/>
          <w:sz w:val="24"/>
          <w:szCs w:val="24"/>
        </w:rPr>
        <w:t xml:space="preserve"> </w:t>
      </w:r>
      <w:r w:rsidRPr="008866CF">
        <w:rPr>
          <w:rFonts w:ascii="Verdana" w:hAnsi="Verdana"/>
          <w:w w:val="105"/>
          <w:sz w:val="24"/>
          <w:szCs w:val="24"/>
        </w:rPr>
        <w:t>separate action, be</w:t>
      </w:r>
      <w:r w:rsidRPr="008866CF">
        <w:rPr>
          <w:rFonts w:ascii="Verdana" w:hAnsi="Verdana"/>
          <w:spacing w:val="1"/>
          <w:w w:val="105"/>
          <w:sz w:val="24"/>
          <w:szCs w:val="24"/>
        </w:rPr>
        <w:t xml:space="preserve"> </w:t>
      </w:r>
      <w:r w:rsidRPr="008866CF">
        <w:rPr>
          <w:rFonts w:ascii="Verdana" w:hAnsi="Verdana"/>
          <w:w w:val="105"/>
          <w:sz w:val="24"/>
          <w:szCs w:val="24"/>
        </w:rPr>
        <w:t xml:space="preserve">entitled to bring such action, provided that the right </w:t>
      </w:r>
      <w:r w:rsidRPr="008866CF">
        <w:rPr>
          <w:rFonts w:ascii="Verdana" w:hAnsi="Verdana"/>
          <w:w w:val="105"/>
          <w:sz w:val="24"/>
          <w:szCs w:val="24"/>
        </w:rPr>
        <w:lastRenderedPageBreak/>
        <w:t>to relief of the persons proposing to join as plaintiffs depends upon the determination of substantially the same</w:t>
      </w:r>
      <w:r w:rsidRPr="008866CF">
        <w:rPr>
          <w:rFonts w:ascii="Verdana" w:hAnsi="Verdana"/>
          <w:spacing w:val="1"/>
          <w:w w:val="105"/>
          <w:sz w:val="24"/>
          <w:szCs w:val="24"/>
        </w:rPr>
        <w:t xml:space="preserve"> </w:t>
      </w:r>
      <w:r w:rsidRPr="008866CF">
        <w:rPr>
          <w:rFonts w:ascii="Verdana" w:hAnsi="Verdana"/>
          <w:w w:val="105"/>
          <w:sz w:val="24"/>
          <w:szCs w:val="24"/>
        </w:rPr>
        <w:t>question of law or fact which, if separate actions were instituted, would arise on such action, and provided that there may be a joinder conditionally upon the claim of</w:t>
      </w:r>
      <w:r w:rsidRPr="008866CF">
        <w:rPr>
          <w:rFonts w:ascii="Verdana" w:hAnsi="Verdana"/>
          <w:spacing w:val="1"/>
          <w:w w:val="105"/>
          <w:sz w:val="24"/>
          <w:szCs w:val="24"/>
        </w:rPr>
        <w:t xml:space="preserve"> </w:t>
      </w:r>
      <w:r w:rsidRPr="008866CF">
        <w:rPr>
          <w:rFonts w:ascii="Verdana" w:hAnsi="Verdana"/>
          <w:w w:val="105"/>
          <w:sz w:val="24"/>
          <w:szCs w:val="24"/>
        </w:rPr>
        <w:t>any other</w:t>
      </w:r>
      <w:r w:rsidRPr="008866CF">
        <w:rPr>
          <w:rFonts w:ascii="Verdana" w:hAnsi="Verdana"/>
          <w:spacing w:val="1"/>
          <w:w w:val="105"/>
          <w:sz w:val="24"/>
          <w:szCs w:val="24"/>
        </w:rPr>
        <w:t xml:space="preserve"> </w:t>
      </w:r>
      <w:r w:rsidRPr="008866CF">
        <w:rPr>
          <w:rFonts w:ascii="Verdana" w:hAnsi="Verdana"/>
          <w:w w:val="105"/>
          <w:sz w:val="24"/>
          <w:szCs w:val="24"/>
        </w:rPr>
        <w:t>plaintiff</w:t>
      </w:r>
      <w:r w:rsidRPr="008866CF">
        <w:rPr>
          <w:rFonts w:ascii="Verdana" w:hAnsi="Verdana"/>
          <w:spacing w:val="1"/>
          <w:w w:val="105"/>
          <w:sz w:val="24"/>
          <w:szCs w:val="24"/>
        </w:rPr>
        <w:t xml:space="preserve"> </w:t>
      </w:r>
      <w:r w:rsidRPr="008866CF">
        <w:rPr>
          <w:rFonts w:ascii="Verdana" w:hAnsi="Verdana"/>
          <w:w w:val="105"/>
          <w:sz w:val="24"/>
          <w:szCs w:val="24"/>
        </w:rPr>
        <w:t>failing.</w:t>
      </w:r>
      <w:r w:rsidR="00DB0E95">
        <w:rPr>
          <w:rFonts w:ascii="Verdana" w:hAnsi="Verdana"/>
          <w:w w:val="105"/>
          <w:sz w:val="24"/>
          <w:szCs w:val="24"/>
        </w:rPr>
        <w:t>”</w:t>
      </w:r>
    </w:p>
    <w:p w14:paraId="05555FA9" w14:textId="037F214F" w:rsidR="008866CF" w:rsidRDefault="008866CF" w:rsidP="000F6B19">
      <w:pPr>
        <w:pStyle w:val="ListParagraph"/>
        <w:tabs>
          <w:tab w:val="left" w:pos="572"/>
        </w:tabs>
        <w:spacing w:before="45" w:line="480" w:lineRule="auto"/>
        <w:ind w:left="1049" w:right="322" w:firstLine="0"/>
        <w:rPr>
          <w:rFonts w:ascii="Verdana" w:hAnsi="Verdana"/>
          <w:w w:val="105"/>
          <w:sz w:val="24"/>
          <w:szCs w:val="24"/>
        </w:rPr>
      </w:pPr>
    </w:p>
    <w:p w14:paraId="526579DF" w14:textId="77777777" w:rsidR="008866CF" w:rsidRDefault="008866CF" w:rsidP="008866CF">
      <w:pPr>
        <w:pStyle w:val="ListParagraph"/>
        <w:tabs>
          <w:tab w:val="left" w:pos="572"/>
        </w:tabs>
        <w:spacing w:before="45"/>
        <w:ind w:left="1049" w:right="322" w:firstLine="0"/>
        <w:rPr>
          <w:rFonts w:ascii="Verdana" w:hAnsi="Verdana"/>
          <w:w w:val="105"/>
          <w:sz w:val="24"/>
          <w:szCs w:val="24"/>
        </w:rPr>
      </w:pPr>
    </w:p>
    <w:p w14:paraId="3FA18900" w14:textId="77777777" w:rsidR="008866CF" w:rsidRPr="008866CF" w:rsidRDefault="008866CF" w:rsidP="008866CF">
      <w:pPr>
        <w:pStyle w:val="ListParagraph"/>
        <w:tabs>
          <w:tab w:val="left" w:pos="572"/>
        </w:tabs>
        <w:spacing w:before="45"/>
        <w:ind w:left="1049" w:right="322" w:firstLine="0"/>
        <w:rPr>
          <w:rFonts w:ascii="Verdana" w:hAnsi="Verdana"/>
          <w:sz w:val="24"/>
          <w:szCs w:val="24"/>
        </w:rPr>
      </w:pPr>
    </w:p>
    <w:p w14:paraId="731CBC96" w14:textId="70E3DE18" w:rsidR="008866CF" w:rsidRDefault="000F6B19" w:rsidP="000F6B19">
      <w:pPr>
        <w:pStyle w:val="BodyText"/>
        <w:spacing w:before="100" w:line="480" w:lineRule="auto"/>
        <w:ind w:right="176"/>
        <w:jc w:val="both"/>
        <w:rPr>
          <w:rFonts w:ascii="Verdana" w:hAnsi="Verdana"/>
          <w:w w:val="105"/>
        </w:rPr>
      </w:pPr>
      <w:r>
        <w:rPr>
          <w:rFonts w:ascii="Verdana" w:hAnsi="Verdana"/>
          <w:w w:val="105"/>
        </w:rPr>
        <w:t xml:space="preserve">32. </w:t>
      </w:r>
      <w:r w:rsidR="008866CF" w:rsidRPr="000F6B19">
        <w:rPr>
          <w:rFonts w:ascii="Verdana" w:hAnsi="Verdana"/>
          <w:w w:val="105"/>
        </w:rPr>
        <w:t>In</w:t>
      </w:r>
      <w:r w:rsidR="008866CF" w:rsidRPr="000F6B19">
        <w:rPr>
          <w:rFonts w:ascii="Verdana" w:hAnsi="Verdana"/>
          <w:spacing w:val="-2"/>
          <w:w w:val="105"/>
        </w:rPr>
        <w:t xml:space="preserve"> </w:t>
      </w:r>
      <w:r w:rsidR="008866CF" w:rsidRPr="00200EDC">
        <w:rPr>
          <w:rFonts w:ascii="Verdana" w:hAnsi="Verdana"/>
          <w:w w:val="105"/>
        </w:rPr>
        <w:t>Hoffman</w:t>
      </w:r>
      <w:r w:rsidR="008866CF" w:rsidRPr="00200EDC">
        <w:rPr>
          <w:rFonts w:ascii="Verdana" w:hAnsi="Verdana"/>
          <w:spacing w:val="3"/>
          <w:w w:val="105"/>
        </w:rPr>
        <w:t xml:space="preserve"> </w:t>
      </w:r>
      <w:r w:rsidR="008866CF" w:rsidRPr="00200EDC">
        <w:rPr>
          <w:rFonts w:ascii="Verdana" w:hAnsi="Verdana"/>
          <w:w w:val="105"/>
        </w:rPr>
        <w:t>NO</w:t>
      </w:r>
      <w:r w:rsidR="008866CF" w:rsidRPr="00200EDC">
        <w:rPr>
          <w:rFonts w:ascii="Verdana" w:hAnsi="Verdana"/>
          <w:spacing w:val="2"/>
          <w:w w:val="105"/>
        </w:rPr>
        <w:t xml:space="preserve"> </w:t>
      </w:r>
      <w:r w:rsidR="008866CF" w:rsidRPr="00200EDC">
        <w:rPr>
          <w:rFonts w:ascii="Verdana" w:hAnsi="Verdana"/>
          <w:w w:val="105"/>
        </w:rPr>
        <w:t>v</w:t>
      </w:r>
      <w:r w:rsidR="008866CF" w:rsidRPr="00200EDC">
        <w:rPr>
          <w:rFonts w:ascii="Verdana" w:hAnsi="Verdana"/>
          <w:spacing w:val="3"/>
          <w:w w:val="105"/>
        </w:rPr>
        <w:t xml:space="preserve"> </w:t>
      </w:r>
      <w:r w:rsidR="008866CF" w:rsidRPr="00200EDC">
        <w:rPr>
          <w:rFonts w:ascii="Verdana" w:hAnsi="Verdana"/>
          <w:w w:val="105"/>
        </w:rPr>
        <w:t>Livewell</w:t>
      </w:r>
      <w:r w:rsidR="008866CF" w:rsidRPr="00200EDC">
        <w:rPr>
          <w:rFonts w:ascii="Verdana" w:hAnsi="Verdana"/>
          <w:spacing w:val="2"/>
          <w:w w:val="105"/>
        </w:rPr>
        <w:t xml:space="preserve"> </w:t>
      </w:r>
      <w:r w:rsidR="008866CF" w:rsidRPr="00200EDC">
        <w:rPr>
          <w:rFonts w:ascii="Verdana" w:hAnsi="Verdana"/>
          <w:w w:val="105"/>
        </w:rPr>
        <w:t>Devco</w:t>
      </w:r>
      <w:r w:rsidR="008866CF" w:rsidRPr="00200EDC">
        <w:rPr>
          <w:rFonts w:ascii="Verdana" w:hAnsi="Verdana"/>
          <w:spacing w:val="3"/>
          <w:w w:val="105"/>
        </w:rPr>
        <w:t xml:space="preserve"> </w:t>
      </w:r>
      <w:r w:rsidR="008866CF" w:rsidRPr="00200EDC">
        <w:rPr>
          <w:rFonts w:ascii="Verdana" w:hAnsi="Verdana"/>
          <w:w w:val="105"/>
        </w:rPr>
        <w:t>1</w:t>
      </w:r>
      <w:r w:rsidR="008866CF" w:rsidRPr="00200EDC">
        <w:rPr>
          <w:rFonts w:ascii="Verdana" w:hAnsi="Verdana"/>
          <w:spacing w:val="2"/>
          <w:w w:val="105"/>
        </w:rPr>
        <w:t xml:space="preserve"> </w:t>
      </w:r>
      <w:r w:rsidR="008866CF" w:rsidRPr="00200EDC">
        <w:rPr>
          <w:rFonts w:ascii="Verdana" w:hAnsi="Verdana"/>
          <w:w w:val="105"/>
        </w:rPr>
        <w:t>(Pty)</w:t>
      </w:r>
      <w:r w:rsidR="008866CF" w:rsidRPr="00200EDC">
        <w:rPr>
          <w:rFonts w:ascii="Verdana" w:hAnsi="Verdana"/>
          <w:spacing w:val="3"/>
          <w:w w:val="105"/>
        </w:rPr>
        <w:t xml:space="preserve"> </w:t>
      </w:r>
      <w:r w:rsidR="008866CF" w:rsidRPr="00200EDC">
        <w:rPr>
          <w:rFonts w:ascii="Verdana" w:hAnsi="Verdana"/>
          <w:w w:val="105"/>
        </w:rPr>
        <w:t>Ltd</w:t>
      </w:r>
      <w:r w:rsidR="008866CF" w:rsidRPr="00200EDC">
        <w:rPr>
          <w:rFonts w:ascii="Verdana" w:hAnsi="Verdana"/>
          <w:spacing w:val="6"/>
          <w:w w:val="105"/>
        </w:rPr>
        <w:t xml:space="preserve"> </w:t>
      </w:r>
      <w:r w:rsidR="008866CF" w:rsidRPr="000F6B19">
        <w:rPr>
          <w:rFonts w:ascii="Verdana" w:hAnsi="Verdana"/>
          <w:w w:val="105"/>
        </w:rPr>
        <w:t>Cloete</w:t>
      </w:r>
      <w:r w:rsidR="008866CF" w:rsidRPr="000F6B19">
        <w:rPr>
          <w:rFonts w:ascii="Verdana" w:hAnsi="Verdana"/>
          <w:spacing w:val="4"/>
          <w:w w:val="105"/>
        </w:rPr>
        <w:t xml:space="preserve"> </w:t>
      </w:r>
      <w:r w:rsidR="008866CF" w:rsidRPr="000F6B19">
        <w:rPr>
          <w:rFonts w:ascii="Verdana" w:hAnsi="Verdana"/>
          <w:w w:val="105"/>
        </w:rPr>
        <w:t>J,</w:t>
      </w:r>
      <w:r w:rsidR="008866CF" w:rsidRPr="000F6B19">
        <w:rPr>
          <w:rFonts w:ascii="Verdana" w:hAnsi="Verdana"/>
          <w:spacing w:val="3"/>
          <w:w w:val="105"/>
        </w:rPr>
        <w:t xml:space="preserve"> </w:t>
      </w:r>
      <w:r w:rsidR="008866CF" w:rsidRPr="000F6B19">
        <w:rPr>
          <w:rFonts w:ascii="Verdana" w:hAnsi="Verdana"/>
          <w:w w:val="105"/>
        </w:rPr>
        <w:t>with</w:t>
      </w:r>
      <w:r w:rsidR="008866CF" w:rsidRPr="000F6B19">
        <w:rPr>
          <w:rFonts w:ascii="Verdana" w:hAnsi="Verdana"/>
          <w:spacing w:val="4"/>
          <w:w w:val="105"/>
        </w:rPr>
        <w:t xml:space="preserve"> </w:t>
      </w:r>
      <w:r w:rsidR="008866CF" w:rsidRPr="000F6B19">
        <w:rPr>
          <w:rFonts w:ascii="Verdana" w:hAnsi="Verdana"/>
          <w:w w:val="105"/>
        </w:rPr>
        <w:t>reference</w:t>
      </w:r>
      <w:r w:rsidR="008866CF" w:rsidRPr="000F6B19">
        <w:rPr>
          <w:rFonts w:ascii="Verdana" w:hAnsi="Verdana"/>
          <w:spacing w:val="3"/>
          <w:w w:val="105"/>
        </w:rPr>
        <w:t xml:space="preserve"> </w:t>
      </w:r>
      <w:r w:rsidR="008866CF" w:rsidRPr="000F6B19">
        <w:rPr>
          <w:rFonts w:ascii="Verdana" w:hAnsi="Verdana"/>
          <w:w w:val="105"/>
        </w:rPr>
        <w:t>to</w:t>
      </w:r>
      <w:r w:rsidR="008866CF" w:rsidRPr="000F6B19">
        <w:rPr>
          <w:rFonts w:ascii="Verdana" w:hAnsi="Verdana"/>
          <w:spacing w:val="4"/>
          <w:w w:val="105"/>
        </w:rPr>
        <w:t xml:space="preserve"> </w:t>
      </w:r>
      <w:r w:rsidR="008866CF" w:rsidRPr="000F6B19">
        <w:rPr>
          <w:rFonts w:ascii="Verdana" w:hAnsi="Verdana"/>
          <w:w w:val="105"/>
        </w:rPr>
        <w:t>rule</w:t>
      </w:r>
      <w:r w:rsidR="008866CF" w:rsidRPr="000F6B19">
        <w:rPr>
          <w:rFonts w:ascii="Verdana" w:hAnsi="Verdana"/>
          <w:spacing w:val="4"/>
          <w:w w:val="105"/>
        </w:rPr>
        <w:t xml:space="preserve"> </w:t>
      </w:r>
      <w:r w:rsidR="008866CF" w:rsidRPr="000F6B19">
        <w:rPr>
          <w:rFonts w:ascii="Verdana" w:hAnsi="Verdana"/>
          <w:w w:val="105"/>
        </w:rPr>
        <w:t>10,</w:t>
      </w:r>
      <w:r w:rsidR="008866CF" w:rsidRPr="000F6B19">
        <w:rPr>
          <w:rFonts w:ascii="Verdana" w:hAnsi="Verdana"/>
          <w:spacing w:val="3"/>
          <w:w w:val="105"/>
        </w:rPr>
        <w:t xml:space="preserve"> </w:t>
      </w:r>
      <w:r w:rsidR="008866CF" w:rsidRPr="000F6B19">
        <w:rPr>
          <w:rFonts w:ascii="Verdana" w:hAnsi="Verdana"/>
          <w:w w:val="105"/>
        </w:rPr>
        <w:t>observed</w:t>
      </w:r>
      <w:r w:rsidR="008866CF" w:rsidRPr="000F6B19">
        <w:rPr>
          <w:rFonts w:ascii="Verdana" w:hAnsi="Verdana"/>
          <w:spacing w:val="4"/>
          <w:w w:val="105"/>
        </w:rPr>
        <w:t xml:space="preserve"> </w:t>
      </w:r>
      <w:r w:rsidR="008866CF" w:rsidRPr="000F6B19">
        <w:rPr>
          <w:rFonts w:ascii="Verdana" w:hAnsi="Verdana"/>
          <w:w w:val="105"/>
        </w:rPr>
        <w:t>that</w:t>
      </w:r>
      <w:r w:rsidR="008866CF" w:rsidRPr="000F6B19">
        <w:rPr>
          <w:rFonts w:ascii="Verdana" w:hAnsi="Verdana"/>
          <w:spacing w:val="3"/>
          <w:w w:val="105"/>
        </w:rPr>
        <w:t xml:space="preserve"> </w:t>
      </w:r>
      <w:r w:rsidR="008866CF" w:rsidRPr="000F6B19">
        <w:rPr>
          <w:rFonts w:ascii="Verdana" w:hAnsi="Verdana"/>
          <w:w w:val="105"/>
        </w:rPr>
        <w:t>the</w:t>
      </w:r>
      <w:r w:rsidR="008866CF" w:rsidRPr="000F6B19">
        <w:rPr>
          <w:rFonts w:ascii="Verdana" w:hAnsi="Verdana"/>
          <w:spacing w:val="4"/>
          <w:w w:val="105"/>
        </w:rPr>
        <w:t xml:space="preserve"> </w:t>
      </w:r>
      <w:r w:rsidR="008866CF" w:rsidRPr="000F6B19">
        <w:rPr>
          <w:rFonts w:ascii="Verdana" w:hAnsi="Verdana"/>
          <w:w w:val="105"/>
        </w:rPr>
        <w:t>rule</w:t>
      </w:r>
      <w:r w:rsidR="008866CF" w:rsidRPr="000F6B19">
        <w:rPr>
          <w:rFonts w:ascii="Verdana" w:hAnsi="Verdana"/>
          <w:spacing w:val="3"/>
          <w:w w:val="105"/>
        </w:rPr>
        <w:t xml:space="preserve"> </w:t>
      </w:r>
      <w:r w:rsidR="008866CF" w:rsidRPr="000F6B19">
        <w:rPr>
          <w:rFonts w:ascii="Verdana" w:hAnsi="Verdana"/>
          <w:w w:val="105"/>
        </w:rPr>
        <w:t>‘is</w:t>
      </w:r>
      <w:r w:rsidR="008866CF" w:rsidRPr="000F6B19">
        <w:rPr>
          <w:rFonts w:ascii="Verdana" w:hAnsi="Verdana"/>
          <w:spacing w:val="4"/>
          <w:w w:val="105"/>
        </w:rPr>
        <w:t xml:space="preserve"> </w:t>
      </w:r>
      <w:r w:rsidR="008866CF" w:rsidRPr="000F6B19">
        <w:rPr>
          <w:rFonts w:ascii="Verdana" w:hAnsi="Verdana"/>
          <w:w w:val="105"/>
        </w:rPr>
        <w:t>silent</w:t>
      </w:r>
      <w:r w:rsidR="008866CF" w:rsidRPr="000F6B19">
        <w:rPr>
          <w:rFonts w:ascii="Verdana" w:hAnsi="Verdana"/>
          <w:spacing w:val="4"/>
          <w:w w:val="105"/>
        </w:rPr>
        <w:t xml:space="preserve"> </w:t>
      </w:r>
      <w:r w:rsidR="008866CF" w:rsidRPr="000F6B19">
        <w:rPr>
          <w:rFonts w:ascii="Verdana" w:hAnsi="Verdana"/>
          <w:w w:val="105"/>
        </w:rPr>
        <w:t>on</w:t>
      </w:r>
      <w:r w:rsidR="008866CF" w:rsidRPr="000F6B19">
        <w:rPr>
          <w:rFonts w:ascii="Verdana" w:hAnsi="Verdana"/>
          <w:spacing w:val="3"/>
          <w:w w:val="105"/>
        </w:rPr>
        <w:t xml:space="preserve"> </w:t>
      </w:r>
      <w:r w:rsidR="008866CF" w:rsidRPr="000F6B19">
        <w:rPr>
          <w:rFonts w:ascii="Verdana" w:hAnsi="Verdana"/>
          <w:w w:val="105"/>
        </w:rPr>
        <w:t>the</w:t>
      </w:r>
      <w:r w:rsidR="008866CF" w:rsidRPr="000F6B19">
        <w:rPr>
          <w:rFonts w:ascii="Verdana" w:hAnsi="Verdana"/>
          <w:spacing w:val="4"/>
          <w:w w:val="105"/>
        </w:rPr>
        <w:t xml:space="preserve"> </w:t>
      </w:r>
      <w:r w:rsidR="008866CF" w:rsidRPr="000F6B19">
        <w:rPr>
          <w:rFonts w:ascii="Verdana" w:hAnsi="Verdana"/>
          <w:w w:val="105"/>
        </w:rPr>
        <w:t>procedure</w:t>
      </w:r>
      <w:r w:rsidR="008866CF" w:rsidRPr="000F6B19">
        <w:rPr>
          <w:rFonts w:ascii="Verdana" w:hAnsi="Verdana"/>
          <w:spacing w:val="3"/>
          <w:w w:val="105"/>
        </w:rPr>
        <w:t xml:space="preserve"> </w:t>
      </w:r>
      <w:r w:rsidR="008866CF" w:rsidRPr="000F6B19">
        <w:rPr>
          <w:rFonts w:ascii="Verdana" w:hAnsi="Verdana"/>
          <w:w w:val="105"/>
        </w:rPr>
        <w:t>to</w:t>
      </w:r>
      <w:r w:rsidR="008866CF" w:rsidRPr="000F6B19">
        <w:rPr>
          <w:rFonts w:ascii="Verdana" w:hAnsi="Verdana"/>
          <w:spacing w:val="4"/>
          <w:w w:val="105"/>
        </w:rPr>
        <w:t xml:space="preserve"> </w:t>
      </w:r>
      <w:r w:rsidR="008866CF" w:rsidRPr="000F6B19">
        <w:rPr>
          <w:rFonts w:ascii="Verdana" w:hAnsi="Verdana"/>
          <w:w w:val="105"/>
        </w:rPr>
        <w:t>be</w:t>
      </w:r>
      <w:r w:rsidR="008866CF" w:rsidRPr="000F6B19">
        <w:rPr>
          <w:rFonts w:ascii="Verdana" w:hAnsi="Verdana"/>
          <w:spacing w:val="1"/>
          <w:w w:val="105"/>
        </w:rPr>
        <w:t xml:space="preserve"> </w:t>
      </w:r>
      <w:r w:rsidR="008866CF" w:rsidRPr="000F6B19">
        <w:rPr>
          <w:rFonts w:ascii="Verdana" w:hAnsi="Verdana"/>
          <w:w w:val="105"/>
        </w:rPr>
        <w:t>followed, and accordingly rule 6(1) applies, namely that every application must be brought on notice of motion supported by an affidavit as to</w:t>
      </w:r>
      <w:r w:rsidR="008866CF" w:rsidRPr="000F6B19">
        <w:rPr>
          <w:rFonts w:ascii="Verdana" w:hAnsi="Verdana"/>
          <w:spacing w:val="1"/>
          <w:w w:val="105"/>
        </w:rPr>
        <w:t xml:space="preserve"> </w:t>
      </w:r>
      <w:r w:rsidR="008866CF" w:rsidRPr="000F6B19">
        <w:rPr>
          <w:rFonts w:ascii="Verdana" w:hAnsi="Verdana"/>
          <w:w w:val="105"/>
        </w:rPr>
        <w:t>the</w:t>
      </w:r>
      <w:r w:rsidR="008866CF" w:rsidRPr="000F6B19">
        <w:rPr>
          <w:rFonts w:ascii="Verdana" w:hAnsi="Verdana"/>
          <w:spacing w:val="2"/>
          <w:w w:val="105"/>
        </w:rPr>
        <w:t xml:space="preserve"> </w:t>
      </w:r>
      <w:r w:rsidR="008866CF" w:rsidRPr="000F6B19">
        <w:rPr>
          <w:rFonts w:ascii="Verdana" w:hAnsi="Verdana"/>
          <w:w w:val="105"/>
        </w:rPr>
        <w:t>facts</w:t>
      </w:r>
      <w:r w:rsidR="008866CF" w:rsidRPr="000F6B19">
        <w:rPr>
          <w:rFonts w:ascii="Verdana" w:hAnsi="Verdana"/>
          <w:spacing w:val="3"/>
          <w:w w:val="105"/>
        </w:rPr>
        <w:t xml:space="preserve"> </w:t>
      </w:r>
      <w:r w:rsidR="008866CF" w:rsidRPr="000F6B19">
        <w:rPr>
          <w:rFonts w:ascii="Verdana" w:hAnsi="Verdana"/>
          <w:w w:val="105"/>
        </w:rPr>
        <w:t>upon</w:t>
      </w:r>
      <w:r w:rsidR="008866CF" w:rsidRPr="000F6B19">
        <w:rPr>
          <w:rFonts w:ascii="Verdana" w:hAnsi="Verdana"/>
          <w:spacing w:val="3"/>
          <w:w w:val="105"/>
        </w:rPr>
        <w:t xml:space="preserve"> </w:t>
      </w:r>
      <w:r w:rsidR="008866CF" w:rsidRPr="000F6B19">
        <w:rPr>
          <w:rFonts w:ascii="Verdana" w:hAnsi="Verdana"/>
          <w:w w:val="105"/>
        </w:rPr>
        <w:t>which</w:t>
      </w:r>
      <w:r w:rsidR="008866CF" w:rsidRPr="000F6B19">
        <w:rPr>
          <w:rFonts w:ascii="Verdana" w:hAnsi="Verdana"/>
          <w:spacing w:val="2"/>
          <w:w w:val="105"/>
        </w:rPr>
        <w:t xml:space="preserve"> </w:t>
      </w:r>
      <w:r w:rsidR="008866CF" w:rsidRPr="000F6B19">
        <w:rPr>
          <w:rFonts w:ascii="Verdana" w:hAnsi="Verdana"/>
          <w:w w:val="105"/>
        </w:rPr>
        <w:t>the</w:t>
      </w:r>
      <w:r w:rsidR="008866CF" w:rsidRPr="000F6B19">
        <w:rPr>
          <w:rFonts w:ascii="Verdana" w:hAnsi="Verdana"/>
          <w:spacing w:val="3"/>
          <w:w w:val="105"/>
        </w:rPr>
        <w:t xml:space="preserve"> </w:t>
      </w:r>
      <w:r w:rsidR="008866CF" w:rsidRPr="000F6B19">
        <w:rPr>
          <w:rFonts w:ascii="Verdana" w:hAnsi="Verdana"/>
          <w:w w:val="105"/>
        </w:rPr>
        <w:t>applicant</w:t>
      </w:r>
      <w:r w:rsidR="008866CF" w:rsidRPr="000F6B19">
        <w:rPr>
          <w:rFonts w:ascii="Verdana" w:hAnsi="Verdana"/>
          <w:spacing w:val="3"/>
          <w:w w:val="105"/>
        </w:rPr>
        <w:t xml:space="preserve"> </w:t>
      </w:r>
      <w:r w:rsidR="008866CF" w:rsidRPr="000F6B19">
        <w:rPr>
          <w:rFonts w:ascii="Verdana" w:hAnsi="Verdana"/>
          <w:w w:val="105"/>
        </w:rPr>
        <w:t>relies</w:t>
      </w:r>
      <w:r w:rsidR="008866CF" w:rsidRPr="000F6B19">
        <w:rPr>
          <w:rFonts w:ascii="Verdana" w:hAnsi="Verdana"/>
          <w:spacing w:val="2"/>
          <w:w w:val="105"/>
        </w:rPr>
        <w:t xml:space="preserve"> </w:t>
      </w:r>
      <w:r w:rsidR="008866CF" w:rsidRPr="000F6B19">
        <w:rPr>
          <w:rFonts w:ascii="Verdana" w:hAnsi="Verdana"/>
          <w:w w:val="105"/>
        </w:rPr>
        <w:t>for</w:t>
      </w:r>
      <w:r w:rsidR="008866CF" w:rsidRPr="000F6B19">
        <w:rPr>
          <w:rFonts w:ascii="Verdana" w:hAnsi="Verdana"/>
          <w:spacing w:val="3"/>
          <w:w w:val="105"/>
        </w:rPr>
        <w:t xml:space="preserve"> </w:t>
      </w:r>
      <w:r w:rsidR="008866CF" w:rsidRPr="000F6B19">
        <w:rPr>
          <w:rFonts w:ascii="Verdana" w:hAnsi="Verdana"/>
          <w:w w:val="105"/>
        </w:rPr>
        <w:t>relief’.</w:t>
      </w:r>
      <w:r w:rsidR="008866CF" w:rsidRPr="000F6B19">
        <w:rPr>
          <w:rFonts w:ascii="Verdana" w:hAnsi="Verdana"/>
          <w:spacing w:val="3"/>
          <w:w w:val="105"/>
        </w:rPr>
        <w:t xml:space="preserve"> </w:t>
      </w:r>
      <w:r w:rsidR="00E03A7E">
        <w:rPr>
          <w:rFonts w:ascii="Verdana" w:hAnsi="Verdana"/>
          <w:spacing w:val="3"/>
          <w:w w:val="105"/>
        </w:rPr>
        <w:t>I agree with the sentiments expressed in this judgment.</w:t>
      </w:r>
    </w:p>
    <w:p w14:paraId="633A433D" w14:textId="77777777" w:rsidR="000F6B19" w:rsidRDefault="000F6B19" w:rsidP="000F6B19">
      <w:pPr>
        <w:pStyle w:val="BodyText"/>
        <w:spacing w:before="100" w:line="480" w:lineRule="auto"/>
        <w:ind w:right="176"/>
        <w:jc w:val="both"/>
        <w:rPr>
          <w:rFonts w:ascii="Verdana" w:hAnsi="Verdana"/>
          <w:w w:val="105"/>
        </w:rPr>
      </w:pPr>
    </w:p>
    <w:p w14:paraId="20AE5EC2" w14:textId="1C7CF060" w:rsidR="000F6B19" w:rsidRDefault="000F6B19" w:rsidP="000F6B19">
      <w:pPr>
        <w:pStyle w:val="BodyText"/>
        <w:spacing w:before="100" w:line="480" w:lineRule="auto"/>
        <w:ind w:right="176"/>
        <w:jc w:val="both"/>
        <w:rPr>
          <w:rFonts w:ascii="Verdana" w:hAnsi="Verdana"/>
          <w:w w:val="105"/>
        </w:rPr>
      </w:pPr>
      <w:r>
        <w:rPr>
          <w:rFonts w:ascii="Verdana" w:hAnsi="Verdana"/>
          <w:w w:val="105"/>
        </w:rPr>
        <w:t>33. In the present application, the applicants sought to join Click Retailers (Pty) Ltd as a fourth respondent not by way of a substantive application supported by an affidavit as envisaged by Ru</w:t>
      </w:r>
      <w:r w:rsidR="003424B8">
        <w:rPr>
          <w:rFonts w:ascii="Verdana" w:hAnsi="Verdana"/>
          <w:w w:val="105"/>
        </w:rPr>
        <w:t>l</w:t>
      </w:r>
      <w:r>
        <w:rPr>
          <w:rFonts w:ascii="Verdana" w:hAnsi="Verdana"/>
          <w:w w:val="105"/>
        </w:rPr>
        <w:t>e 6(1), but sought to join Clicks Retailers (Pty)</w:t>
      </w:r>
      <w:r w:rsidR="00537E11">
        <w:rPr>
          <w:rFonts w:ascii="Verdana" w:hAnsi="Verdana"/>
          <w:w w:val="105"/>
        </w:rPr>
        <w:t xml:space="preserve"> </w:t>
      </w:r>
      <w:r>
        <w:rPr>
          <w:rFonts w:ascii="Verdana" w:hAnsi="Verdana"/>
          <w:w w:val="105"/>
        </w:rPr>
        <w:t xml:space="preserve">Ltd by way of an amendment without </w:t>
      </w:r>
      <w:r w:rsidR="00CD1E06">
        <w:rPr>
          <w:rFonts w:ascii="Verdana" w:hAnsi="Verdana"/>
          <w:w w:val="105"/>
        </w:rPr>
        <w:t xml:space="preserve">even </w:t>
      </w:r>
      <w:r>
        <w:rPr>
          <w:rFonts w:ascii="Verdana" w:hAnsi="Verdana"/>
          <w:w w:val="105"/>
        </w:rPr>
        <w:t xml:space="preserve">compliance with Rule 28. </w:t>
      </w:r>
    </w:p>
    <w:p w14:paraId="75D10794" w14:textId="77777777" w:rsidR="000F6B19" w:rsidRDefault="000F6B19" w:rsidP="000F6B19">
      <w:pPr>
        <w:pStyle w:val="BodyText"/>
        <w:spacing w:before="100" w:line="480" w:lineRule="auto"/>
        <w:ind w:right="176"/>
        <w:jc w:val="both"/>
        <w:rPr>
          <w:rFonts w:ascii="Verdana" w:hAnsi="Verdana"/>
          <w:w w:val="105"/>
        </w:rPr>
      </w:pPr>
    </w:p>
    <w:p w14:paraId="21C5AD11" w14:textId="3F2D8DD8" w:rsidR="000F6B19" w:rsidRDefault="000F6B19" w:rsidP="000F6B19">
      <w:pPr>
        <w:pStyle w:val="BodyText"/>
        <w:spacing w:before="100" w:line="480" w:lineRule="auto"/>
        <w:ind w:right="176"/>
        <w:jc w:val="both"/>
        <w:rPr>
          <w:rFonts w:ascii="Verdana" w:hAnsi="Verdana"/>
          <w:w w:val="105"/>
        </w:rPr>
      </w:pPr>
      <w:r>
        <w:rPr>
          <w:rFonts w:ascii="Verdana" w:hAnsi="Verdana"/>
          <w:w w:val="105"/>
        </w:rPr>
        <w:t xml:space="preserve">34. A party to be joined should be given </w:t>
      </w:r>
      <w:r w:rsidR="006B25F9">
        <w:rPr>
          <w:rFonts w:ascii="Verdana" w:hAnsi="Verdana"/>
          <w:w w:val="105"/>
        </w:rPr>
        <w:t xml:space="preserve">due </w:t>
      </w:r>
      <w:r>
        <w:rPr>
          <w:rFonts w:ascii="Verdana" w:hAnsi="Verdana"/>
          <w:w w:val="105"/>
        </w:rPr>
        <w:t xml:space="preserve">notice and should be </w:t>
      </w:r>
      <w:r>
        <w:rPr>
          <w:rFonts w:ascii="Verdana" w:hAnsi="Verdana"/>
          <w:w w:val="105"/>
        </w:rPr>
        <w:lastRenderedPageBreak/>
        <w:t xml:space="preserve">afforded an opportunity to oppose any such joinder and once joined all pleadings filed as at </w:t>
      </w:r>
      <w:r w:rsidR="006B25F9">
        <w:rPr>
          <w:rFonts w:ascii="Verdana" w:hAnsi="Verdana"/>
          <w:w w:val="105"/>
        </w:rPr>
        <w:t xml:space="preserve">by </w:t>
      </w:r>
      <w:r>
        <w:rPr>
          <w:rFonts w:ascii="Verdana" w:hAnsi="Verdana"/>
          <w:w w:val="105"/>
        </w:rPr>
        <w:t xml:space="preserve">that time should be served on the party that </w:t>
      </w:r>
      <w:r w:rsidR="00537E11">
        <w:rPr>
          <w:rFonts w:ascii="Verdana" w:hAnsi="Verdana"/>
          <w:w w:val="105"/>
        </w:rPr>
        <w:t>i</w:t>
      </w:r>
      <w:r>
        <w:rPr>
          <w:rFonts w:ascii="Verdana" w:hAnsi="Verdana"/>
          <w:w w:val="105"/>
        </w:rPr>
        <w:t>s</w:t>
      </w:r>
      <w:r w:rsidR="006B25F9">
        <w:rPr>
          <w:rFonts w:ascii="Verdana" w:hAnsi="Verdana"/>
          <w:w w:val="105"/>
        </w:rPr>
        <w:t xml:space="preserve"> then</w:t>
      </w:r>
      <w:r>
        <w:rPr>
          <w:rFonts w:ascii="Verdana" w:hAnsi="Verdana"/>
          <w:w w:val="105"/>
        </w:rPr>
        <w:t xml:space="preserve"> joined. </w:t>
      </w:r>
      <w:r w:rsidR="003424B8">
        <w:rPr>
          <w:rFonts w:ascii="Verdana" w:hAnsi="Verdana"/>
          <w:w w:val="105"/>
        </w:rPr>
        <w:t xml:space="preserve">In </w:t>
      </w:r>
      <w:r w:rsidR="003424B8" w:rsidRPr="00347C69">
        <w:rPr>
          <w:rFonts w:ascii="Verdana" w:hAnsi="Verdana"/>
          <w:i/>
          <w:iCs/>
          <w:w w:val="105"/>
        </w:rPr>
        <w:t>casu</w:t>
      </w:r>
      <w:r w:rsidR="000C399C">
        <w:rPr>
          <w:rFonts w:ascii="Verdana" w:hAnsi="Verdana"/>
          <w:w w:val="105"/>
        </w:rPr>
        <w:t>,</w:t>
      </w:r>
      <w:r w:rsidR="003424B8">
        <w:rPr>
          <w:rFonts w:ascii="Verdana" w:hAnsi="Verdana"/>
          <w:w w:val="105"/>
        </w:rPr>
        <w:t xml:space="preserve"> no substantive application has been filed by the applicants, nor has the party to be joined been given an opportunity to oppose its joinder as the </w:t>
      </w:r>
      <w:r w:rsidR="00D60CF1">
        <w:rPr>
          <w:rFonts w:ascii="Verdana" w:hAnsi="Verdana"/>
          <w:w w:val="105"/>
        </w:rPr>
        <w:t>N</w:t>
      </w:r>
      <w:r w:rsidR="003424B8">
        <w:rPr>
          <w:rFonts w:ascii="Verdana" w:hAnsi="Verdana"/>
          <w:w w:val="105"/>
        </w:rPr>
        <w:t xml:space="preserve">otice to </w:t>
      </w:r>
      <w:r w:rsidR="00D60CF1">
        <w:rPr>
          <w:rFonts w:ascii="Verdana" w:hAnsi="Verdana"/>
          <w:w w:val="105"/>
        </w:rPr>
        <w:t>A</w:t>
      </w:r>
      <w:r w:rsidR="003424B8">
        <w:rPr>
          <w:rFonts w:ascii="Verdana" w:hAnsi="Verdana"/>
          <w:w w:val="105"/>
        </w:rPr>
        <w:t xml:space="preserve">mend the </w:t>
      </w:r>
      <w:r w:rsidR="00D60CF1">
        <w:rPr>
          <w:rFonts w:ascii="Verdana" w:hAnsi="Verdana"/>
          <w:w w:val="105"/>
        </w:rPr>
        <w:t>N</w:t>
      </w:r>
      <w:r w:rsidR="003424B8">
        <w:rPr>
          <w:rFonts w:ascii="Verdana" w:hAnsi="Verdana"/>
          <w:w w:val="105"/>
        </w:rPr>
        <w:t xml:space="preserve">otice of </w:t>
      </w:r>
      <w:r w:rsidR="00D60CF1">
        <w:rPr>
          <w:rFonts w:ascii="Verdana" w:hAnsi="Verdana"/>
          <w:w w:val="105"/>
        </w:rPr>
        <w:t>M</w:t>
      </w:r>
      <w:r w:rsidR="003424B8">
        <w:rPr>
          <w:rFonts w:ascii="Verdana" w:hAnsi="Verdana"/>
          <w:w w:val="105"/>
        </w:rPr>
        <w:t>otion was simultaneously filed with the Rep</w:t>
      </w:r>
      <w:r w:rsidR="00D60CF1">
        <w:rPr>
          <w:rFonts w:ascii="Verdana" w:hAnsi="Verdana"/>
          <w:w w:val="105"/>
        </w:rPr>
        <w:t>lying Affidavit.</w:t>
      </w:r>
      <w:r w:rsidR="003424B8">
        <w:rPr>
          <w:rFonts w:ascii="Verdana" w:hAnsi="Verdana"/>
          <w:w w:val="105"/>
        </w:rPr>
        <w:t xml:space="preserve"> </w:t>
      </w:r>
    </w:p>
    <w:p w14:paraId="3D30B6BC" w14:textId="77777777" w:rsidR="000F6B19" w:rsidRDefault="000F6B19" w:rsidP="000F6B19">
      <w:pPr>
        <w:pStyle w:val="BodyText"/>
        <w:spacing w:before="100" w:line="480" w:lineRule="auto"/>
        <w:ind w:right="176"/>
        <w:jc w:val="both"/>
        <w:rPr>
          <w:rFonts w:ascii="Verdana" w:hAnsi="Verdana"/>
          <w:w w:val="105"/>
        </w:rPr>
      </w:pPr>
    </w:p>
    <w:p w14:paraId="0E2B944F" w14:textId="35B19963" w:rsidR="00D60CF1" w:rsidRDefault="00D60CF1" w:rsidP="000F6B19">
      <w:pPr>
        <w:pStyle w:val="BodyText"/>
        <w:spacing w:before="100" w:line="480" w:lineRule="auto"/>
        <w:ind w:right="176"/>
        <w:jc w:val="both"/>
        <w:rPr>
          <w:rFonts w:ascii="Verdana" w:hAnsi="Verdana"/>
          <w:w w:val="105"/>
        </w:rPr>
      </w:pPr>
      <w:r>
        <w:rPr>
          <w:rFonts w:ascii="Verdana" w:hAnsi="Verdana"/>
          <w:w w:val="105"/>
        </w:rPr>
        <w:t>35. This is completely unprocedural and prejudicial to the party to be joined</w:t>
      </w:r>
      <w:r w:rsidR="00DB0E95">
        <w:rPr>
          <w:rFonts w:ascii="Verdana" w:hAnsi="Verdana"/>
          <w:w w:val="105"/>
        </w:rPr>
        <w:t xml:space="preserve">. The rights of the </w:t>
      </w:r>
      <w:r w:rsidR="00200EDC">
        <w:rPr>
          <w:rFonts w:ascii="Verdana" w:hAnsi="Verdana"/>
          <w:w w:val="105"/>
        </w:rPr>
        <w:t>party</w:t>
      </w:r>
      <w:r w:rsidR="00DB0E95">
        <w:rPr>
          <w:rFonts w:ascii="Verdana" w:hAnsi="Verdana"/>
          <w:w w:val="105"/>
        </w:rPr>
        <w:t xml:space="preserve"> sought</w:t>
      </w:r>
      <w:r w:rsidR="00200EDC">
        <w:rPr>
          <w:rFonts w:ascii="Verdana" w:hAnsi="Verdana"/>
          <w:w w:val="105"/>
        </w:rPr>
        <w:t xml:space="preserve"> to be joined, </w:t>
      </w:r>
      <w:r w:rsidR="00DB0E95">
        <w:rPr>
          <w:rFonts w:ascii="Verdana" w:hAnsi="Verdana"/>
          <w:w w:val="105"/>
        </w:rPr>
        <w:t xml:space="preserve">including </w:t>
      </w:r>
      <w:r w:rsidR="00200EDC">
        <w:rPr>
          <w:rFonts w:ascii="Verdana" w:hAnsi="Verdana"/>
          <w:w w:val="105"/>
        </w:rPr>
        <w:t>right</w:t>
      </w:r>
      <w:r w:rsidR="00142F8A">
        <w:rPr>
          <w:rFonts w:ascii="Verdana" w:hAnsi="Verdana"/>
          <w:w w:val="105"/>
        </w:rPr>
        <w:t>s</w:t>
      </w:r>
      <w:r w:rsidR="00200EDC">
        <w:rPr>
          <w:rFonts w:ascii="Verdana" w:hAnsi="Verdana"/>
          <w:w w:val="105"/>
        </w:rPr>
        <w:t xml:space="preserve"> to </w:t>
      </w:r>
      <w:r w:rsidR="00E03A7E">
        <w:rPr>
          <w:rFonts w:ascii="Verdana" w:hAnsi="Verdana"/>
          <w:w w:val="105"/>
        </w:rPr>
        <w:t xml:space="preserve">potentially </w:t>
      </w:r>
      <w:r w:rsidR="00200EDC">
        <w:rPr>
          <w:rFonts w:ascii="Verdana" w:hAnsi="Verdana"/>
          <w:w w:val="105"/>
        </w:rPr>
        <w:t>oppose the joinder</w:t>
      </w:r>
      <w:r w:rsidR="00DB0E95">
        <w:rPr>
          <w:rFonts w:ascii="Verdana" w:hAnsi="Verdana"/>
          <w:w w:val="105"/>
        </w:rPr>
        <w:t xml:space="preserve"> have been</w:t>
      </w:r>
      <w:r w:rsidR="00200EDC">
        <w:rPr>
          <w:rFonts w:ascii="Verdana" w:hAnsi="Verdana"/>
          <w:w w:val="105"/>
        </w:rPr>
        <w:t xml:space="preserve"> severely</w:t>
      </w:r>
      <w:r w:rsidR="00142F8A">
        <w:rPr>
          <w:rFonts w:ascii="Verdana" w:hAnsi="Verdana"/>
          <w:w w:val="105"/>
        </w:rPr>
        <w:t xml:space="preserve"> </w:t>
      </w:r>
      <w:r w:rsidR="00200EDC">
        <w:rPr>
          <w:rFonts w:ascii="Verdana" w:hAnsi="Verdana"/>
          <w:w w:val="105"/>
        </w:rPr>
        <w:t xml:space="preserve">curtailed. </w:t>
      </w:r>
    </w:p>
    <w:p w14:paraId="6501250A" w14:textId="77777777" w:rsidR="00D60CF1" w:rsidRDefault="00D60CF1" w:rsidP="000F6B19">
      <w:pPr>
        <w:pStyle w:val="BodyText"/>
        <w:spacing w:before="100" w:line="480" w:lineRule="auto"/>
        <w:ind w:right="176"/>
        <w:jc w:val="both"/>
        <w:rPr>
          <w:rFonts w:ascii="Verdana" w:hAnsi="Verdana"/>
          <w:w w:val="105"/>
        </w:rPr>
      </w:pPr>
    </w:p>
    <w:p w14:paraId="3BBFF61D" w14:textId="3F70EB0C" w:rsidR="000F6B19" w:rsidRPr="00D60CF1" w:rsidRDefault="000F6B19" w:rsidP="000F6B19">
      <w:pPr>
        <w:pStyle w:val="BodyText"/>
        <w:spacing w:before="100" w:line="480" w:lineRule="auto"/>
        <w:ind w:right="176"/>
        <w:jc w:val="both"/>
        <w:rPr>
          <w:rFonts w:ascii="Verdana" w:hAnsi="Verdana"/>
          <w:w w:val="105"/>
        </w:rPr>
      </w:pPr>
      <w:r>
        <w:rPr>
          <w:rFonts w:ascii="Verdana" w:hAnsi="Verdana"/>
          <w:w w:val="105"/>
        </w:rPr>
        <w:t>3</w:t>
      </w:r>
      <w:r w:rsidR="00D60CF1">
        <w:rPr>
          <w:rFonts w:ascii="Verdana" w:hAnsi="Verdana"/>
          <w:w w:val="105"/>
        </w:rPr>
        <w:t>6</w:t>
      </w:r>
      <w:r>
        <w:rPr>
          <w:rFonts w:ascii="Verdana" w:hAnsi="Verdana"/>
          <w:w w:val="105"/>
        </w:rPr>
        <w:t xml:space="preserve">. </w:t>
      </w:r>
      <w:r w:rsidR="00142F8A">
        <w:rPr>
          <w:rFonts w:ascii="Verdana" w:hAnsi="Verdana"/>
          <w:w w:val="105"/>
        </w:rPr>
        <w:t xml:space="preserve">In </w:t>
      </w:r>
      <w:r w:rsidR="00142F8A" w:rsidRPr="00347C69">
        <w:rPr>
          <w:rFonts w:ascii="Verdana" w:hAnsi="Verdana"/>
          <w:i/>
          <w:w w:val="105"/>
        </w:rPr>
        <w:t>casu</w:t>
      </w:r>
      <w:r w:rsidR="00D60CF1">
        <w:rPr>
          <w:rFonts w:ascii="Verdana" w:hAnsi="Verdana"/>
          <w:w w:val="105"/>
        </w:rPr>
        <w:t>, t</w:t>
      </w:r>
      <w:r>
        <w:rPr>
          <w:rFonts w:ascii="Verdana" w:hAnsi="Verdana"/>
          <w:w w:val="105"/>
        </w:rPr>
        <w:t xml:space="preserve">he non-compliance with the provisions of Rule 10 was </w:t>
      </w:r>
      <w:r w:rsidR="00854E0D">
        <w:rPr>
          <w:rFonts w:ascii="Verdana" w:hAnsi="Verdana"/>
          <w:w w:val="105"/>
        </w:rPr>
        <w:t>also</w:t>
      </w:r>
      <w:r>
        <w:rPr>
          <w:rFonts w:ascii="Verdana" w:hAnsi="Verdana"/>
          <w:w w:val="105"/>
        </w:rPr>
        <w:t xml:space="preserve"> not address</w:t>
      </w:r>
      <w:r w:rsidR="00DB0E95">
        <w:rPr>
          <w:rFonts w:ascii="Verdana" w:hAnsi="Verdana"/>
          <w:w w:val="105"/>
        </w:rPr>
        <w:t>ed</w:t>
      </w:r>
      <w:r>
        <w:rPr>
          <w:rFonts w:ascii="Verdana" w:hAnsi="Verdana"/>
          <w:w w:val="105"/>
        </w:rPr>
        <w:t xml:space="preserve"> by the applicants</w:t>
      </w:r>
      <w:r w:rsidR="00DB0E95">
        <w:rPr>
          <w:rFonts w:ascii="Verdana" w:hAnsi="Verdana"/>
          <w:w w:val="105"/>
        </w:rPr>
        <w:t xml:space="preserve">.  They </w:t>
      </w:r>
      <w:r>
        <w:rPr>
          <w:rFonts w:ascii="Verdana" w:hAnsi="Verdana"/>
          <w:w w:val="105"/>
        </w:rPr>
        <w:t>mere</w:t>
      </w:r>
      <w:r w:rsidR="00D60CF1">
        <w:rPr>
          <w:rFonts w:ascii="Verdana" w:hAnsi="Verdana"/>
          <w:w w:val="105"/>
        </w:rPr>
        <w:t xml:space="preserve">ly </w:t>
      </w:r>
      <w:r w:rsidR="00DB0E95">
        <w:rPr>
          <w:rFonts w:ascii="Verdana" w:hAnsi="Verdana"/>
          <w:w w:val="105"/>
        </w:rPr>
        <w:t xml:space="preserve">traversed </w:t>
      </w:r>
      <w:r w:rsidR="00D60CF1">
        <w:rPr>
          <w:rFonts w:ascii="Verdana" w:hAnsi="Verdana"/>
          <w:w w:val="105"/>
        </w:rPr>
        <w:t>the</w:t>
      </w:r>
      <w:r>
        <w:rPr>
          <w:rFonts w:ascii="Verdana" w:hAnsi="Verdana"/>
          <w:w w:val="105"/>
        </w:rPr>
        <w:t xml:space="preserve"> reasons for the joinder. </w:t>
      </w:r>
      <w:r w:rsidR="00D60CF1">
        <w:rPr>
          <w:rFonts w:ascii="Verdana" w:hAnsi="Verdana"/>
          <w:w w:val="105"/>
        </w:rPr>
        <w:t>Absent compliance with the provisions of Rule 10, it must follow that</w:t>
      </w:r>
      <w:r w:rsidR="001E35DD">
        <w:rPr>
          <w:rFonts w:ascii="Verdana" w:hAnsi="Verdana"/>
          <w:w w:val="105"/>
        </w:rPr>
        <w:t xml:space="preserve"> the ‘joinder’ disguised as an amendment must </w:t>
      </w:r>
      <w:r w:rsidR="00142F8A">
        <w:rPr>
          <w:rFonts w:ascii="Verdana" w:hAnsi="Verdana"/>
          <w:w w:val="105"/>
        </w:rPr>
        <w:t xml:space="preserve">therefore </w:t>
      </w:r>
      <w:r w:rsidR="001E35DD">
        <w:rPr>
          <w:rFonts w:ascii="Verdana" w:hAnsi="Verdana"/>
          <w:w w:val="105"/>
        </w:rPr>
        <w:t xml:space="preserve">fail.  </w:t>
      </w:r>
      <w:r>
        <w:rPr>
          <w:rFonts w:ascii="Verdana" w:hAnsi="Verdana"/>
          <w:w w:val="105"/>
        </w:rPr>
        <w:t xml:space="preserve">  </w:t>
      </w:r>
    </w:p>
    <w:p w14:paraId="7107C2A8" w14:textId="307BAA39" w:rsidR="005E1101" w:rsidRPr="005E1101" w:rsidRDefault="005E1101" w:rsidP="005E1101">
      <w:pPr>
        <w:tabs>
          <w:tab w:val="left" w:pos="3640"/>
        </w:tabs>
        <w:spacing w:line="480" w:lineRule="auto"/>
        <w:jc w:val="both"/>
        <w:rPr>
          <w:rFonts w:ascii="Verdana" w:hAnsi="Verdana"/>
          <w:bCs/>
          <w:sz w:val="24"/>
          <w:szCs w:val="24"/>
        </w:rPr>
      </w:pPr>
    </w:p>
    <w:p w14:paraId="1BA2C15D" w14:textId="16A13210" w:rsidR="003E35B6" w:rsidRPr="00D60CF1" w:rsidRDefault="00D60CF1" w:rsidP="003E35B6">
      <w:pPr>
        <w:tabs>
          <w:tab w:val="left" w:pos="3640"/>
        </w:tabs>
        <w:spacing w:line="480" w:lineRule="auto"/>
        <w:jc w:val="both"/>
        <w:rPr>
          <w:rFonts w:ascii="Verdana" w:hAnsi="Verdana"/>
          <w:sz w:val="24"/>
          <w:szCs w:val="24"/>
        </w:rPr>
      </w:pPr>
      <w:r w:rsidRPr="00D60CF1">
        <w:rPr>
          <w:rFonts w:ascii="Verdana" w:hAnsi="Verdana"/>
          <w:sz w:val="24"/>
          <w:szCs w:val="24"/>
        </w:rPr>
        <w:t>MERITS</w:t>
      </w:r>
    </w:p>
    <w:p w14:paraId="39992F4C" w14:textId="14B4BC7A" w:rsidR="001B05A3" w:rsidRDefault="001B05A3" w:rsidP="003E35B6">
      <w:pPr>
        <w:tabs>
          <w:tab w:val="left" w:pos="3640"/>
        </w:tabs>
        <w:spacing w:line="480" w:lineRule="auto"/>
        <w:jc w:val="both"/>
        <w:rPr>
          <w:rFonts w:ascii="Verdana" w:hAnsi="Verdana"/>
          <w:bCs/>
          <w:sz w:val="24"/>
          <w:szCs w:val="24"/>
        </w:rPr>
      </w:pPr>
      <w:r>
        <w:rPr>
          <w:rFonts w:ascii="Verdana" w:hAnsi="Verdana"/>
          <w:bCs/>
          <w:sz w:val="24"/>
          <w:szCs w:val="24"/>
        </w:rPr>
        <w:t xml:space="preserve">37. In order to succeed with the merits </w:t>
      </w:r>
      <w:r w:rsidR="00CD187F">
        <w:rPr>
          <w:rFonts w:ascii="Verdana" w:hAnsi="Verdana"/>
          <w:bCs/>
          <w:sz w:val="24"/>
          <w:szCs w:val="24"/>
        </w:rPr>
        <w:t>of the</w:t>
      </w:r>
      <w:r>
        <w:rPr>
          <w:rFonts w:ascii="Verdana" w:hAnsi="Verdana"/>
          <w:bCs/>
          <w:sz w:val="24"/>
          <w:szCs w:val="24"/>
        </w:rPr>
        <w:t xml:space="preserve"> applicat</w:t>
      </w:r>
      <w:r w:rsidR="00CD187F">
        <w:rPr>
          <w:rFonts w:ascii="Verdana" w:hAnsi="Verdana"/>
          <w:bCs/>
          <w:sz w:val="24"/>
          <w:szCs w:val="24"/>
        </w:rPr>
        <w:t>ion, the applicant</w:t>
      </w:r>
      <w:r>
        <w:rPr>
          <w:rFonts w:ascii="Verdana" w:hAnsi="Verdana"/>
          <w:bCs/>
          <w:sz w:val="24"/>
          <w:szCs w:val="24"/>
        </w:rPr>
        <w:t xml:space="preserve"> must satisfy this court that the following requirements have been met, namely:</w:t>
      </w:r>
    </w:p>
    <w:p w14:paraId="4DE0DADC" w14:textId="6FB284B6" w:rsidR="003E35B6" w:rsidRDefault="001B05A3" w:rsidP="003E35B6">
      <w:pPr>
        <w:tabs>
          <w:tab w:val="left" w:pos="3640"/>
        </w:tabs>
        <w:spacing w:line="480" w:lineRule="auto"/>
        <w:jc w:val="both"/>
        <w:rPr>
          <w:rFonts w:ascii="Verdana" w:hAnsi="Verdana"/>
          <w:bCs/>
          <w:sz w:val="24"/>
          <w:szCs w:val="24"/>
        </w:rPr>
      </w:pPr>
      <w:r>
        <w:rPr>
          <w:rFonts w:ascii="Verdana" w:hAnsi="Verdana"/>
          <w:bCs/>
          <w:sz w:val="24"/>
          <w:szCs w:val="24"/>
        </w:rPr>
        <w:t xml:space="preserve">37.1 </w:t>
      </w:r>
      <w:r w:rsidR="00CD187F">
        <w:rPr>
          <w:rFonts w:ascii="Verdana" w:hAnsi="Verdana"/>
          <w:bCs/>
          <w:sz w:val="24"/>
          <w:szCs w:val="24"/>
        </w:rPr>
        <w:t>that it has a clear right or, if not clear, that it has a p</w:t>
      </w:r>
      <w:r>
        <w:rPr>
          <w:rFonts w:ascii="Verdana" w:hAnsi="Verdana"/>
          <w:bCs/>
          <w:sz w:val="24"/>
          <w:szCs w:val="24"/>
        </w:rPr>
        <w:t xml:space="preserve">rima </w:t>
      </w:r>
      <w:r w:rsidR="00CD187F">
        <w:rPr>
          <w:rFonts w:ascii="Verdana" w:hAnsi="Verdana"/>
          <w:bCs/>
          <w:sz w:val="24"/>
          <w:szCs w:val="24"/>
        </w:rPr>
        <w:t>f</w:t>
      </w:r>
      <w:r>
        <w:rPr>
          <w:rFonts w:ascii="Verdana" w:hAnsi="Verdana"/>
          <w:bCs/>
          <w:sz w:val="24"/>
          <w:szCs w:val="24"/>
        </w:rPr>
        <w:t xml:space="preserve">acie right; </w:t>
      </w:r>
    </w:p>
    <w:p w14:paraId="203C7DAD" w14:textId="20F1550D" w:rsidR="001B05A3" w:rsidRDefault="001B05A3" w:rsidP="003E35B6">
      <w:pPr>
        <w:tabs>
          <w:tab w:val="left" w:pos="3640"/>
        </w:tabs>
        <w:spacing w:line="480" w:lineRule="auto"/>
        <w:jc w:val="both"/>
        <w:rPr>
          <w:rFonts w:ascii="Verdana" w:hAnsi="Verdana"/>
          <w:bCs/>
          <w:sz w:val="24"/>
          <w:szCs w:val="24"/>
        </w:rPr>
      </w:pPr>
      <w:r>
        <w:rPr>
          <w:rFonts w:ascii="Verdana" w:hAnsi="Verdana"/>
          <w:bCs/>
          <w:sz w:val="24"/>
          <w:szCs w:val="24"/>
        </w:rPr>
        <w:lastRenderedPageBreak/>
        <w:t xml:space="preserve">37.2 </w:t>
      </w:r>
      <w:r w:rsidR="00CD187F">
        <w:rPr>
          <w:rFonts w:ascii="Verdana" w:hAnsi="Verdana"/>
          <w:bCs/>
          <w:sz w:val="24"/>
          <w:szCs w:val="24"/>
        </w:rPr>
        <w:t>that there is a well-grounded apprehension of i</w:t>
      </w:r>
      <w:r>
        <w:rPr>
          <w:rFonts w:ascii="Verdana" w:hAnsi="Verdana"/>
          <w:bCs/>
          <w:sz w:val="24"/>
          <w:szCs w:val="24"/>
        </w:rPr>
        <w:t xml:space="preserve">rreparable </w:t>
      </w:r>
      <w:r w:rsidR="00CD187F">
        <w:rPr>
          <w:rFonts w:ascii="Verdana" w:hAnsi="Verdana"/>
          <w:bCs/>
          <w:sz w:val="24"/>
          <w:szCs w:val="24"/>
        </w:rPr>
        <w:t>h</w:t>
      </w:r>
      <w:r>
        <w:rPr>
          <w:rFonts w:ascii="Verdana" w:hAnsi="Verdana"/>
          <w:bCs/>
          <w:sz w:val="24"/>
          <w:szCs w:val="24"/>
        </w:rPr>
        <w:t>arm</w:t>
      </w:r>
      <w:r w:rsidR="00CD187F">
        <w:rPr>
          <w:rFonts w:ascii="Verdana" w:hAnsi="Verdana"/>
          <w:bCs/>
          <w:sz w:val="24"/>
          <w:szCs w:val="24"/>
        </w:rPr>
        <w:t xml:space="preserve"> if the interim relief is not granted and the ultimate relief by way of summons issued is eventually granted</w:t>
      </w:r>
      <w:r>
        <w:rPr>
          <w:rFonts w:ascii="Verdana" w:hAnsi="Verdana"/>
          <w:bCs/>
          <w:sz w:val="24"/>
          <w:szCs w:val="24"/>
        </w:rPr>
        <w:t>;</w:t>
      </w:r>
    </w:p>
    <w:p w14:paraId="568C4361" w14:textId="268EA493" w:rsidR="001B05A3" w:rsidRDefault="001B05A3" w:rsidP="003E35B6">
      <w:pPr>
        <w:tabs>
          <w:tab w:val="left" w:pos="3640"/>
        </w:tabs>
        <w:spacing w:line="480" w:lineRule="auto"/>
        <w:jc w:val="both"/>
        <w:rPr>
          <w:rFonts w:ascii="Verdana" w:hAnsi="Verdana"/>
          <w:bCs/>
          <w:sz w:val="24"/>
          <w:szCs w:val="24"/>
        </w:rPr>
      </w:pPr>
      <w:r>
        <w:rPr>
          <w:rFonts w:ascii="Verdana" w:hAnsi="Verdana"/>
          <w:bCs/>
          <w:sz w:val="24"/>
          <w:szCs w:val="24"/>
        </w:rPr>
        <w:t xml:space="preserve">37.3 </w:t>
      </w:r>
      <w:r w:rsidR="00CD187F">
        <w:rPr>
          <w:rFonts w:ascii="Verdana" w:hAnsi="Verdana"/>
          <w:bCs/>
          <w:sz w:val="24"/>
          <w:szCs w:val="24"/>
        </w:rPr>
        <w:t>that the b</w:t>
      </w:r>
      <w:r w:rsidR="00ED592F">
        <w:rPr>
          <w:rFonts w:ascii="Verdana" w:hAnsi="Verdana"/>
          <w:bCs/>
          <w:sz w:val="24"/>
          <w:szCs w:val="24"/>
        </w:rPr>
        <w:t xml:space="preserve">alance of </w:t>
      </w:r>
      <w:r w:rsidR="00CD187F">
        <w:rPr>
          <w:rFonts w:ascii="Verdana" w:hAnsi="Verdana"/>
          <w:bCs/>
          <w:sz w:val="24"/>
          <w:szCs w:val="24"/>
        </w:rPr>
        <w:t>c</w:t>
      </w:r>
      <w:r w:rsidR="00ED592F">
        <w:rPr>
          <w:rFonts w:ascii="Verdana" w:hAnsi="Verdana"/>
          <w:bCs/>
          <w:sz w:val="24"/>
          <w:szCs w:val="24"/>
        </w:rPr>
        <w:t>onvenience</w:t>
      </w:r>
      <w:r w:rsidR="00CD187F">
        <w:rPr>
          <w:rFonts w:ascii="Verdana" w:hAnsi="Verdana"/>
          <w:bCs/>
          <w:sz w:val="24"/>
          <w:szCs w:val="24"/>
        </w:rPr>
        <w:t xml:space="preserve"> favour the grant of an interim interdict; and;</w:t>
      </w:r>
    </w:p>
    <w:p w14:paraId="4BCB7F69" w14:textId="1A648F9B" w:rsidR="00CD187F" w:rsidRDefault="00CD187F" w:rsidP="003E35B6">
      <w:pPr>
        <w:tabs>
          <w:tab w:val="left" w:pos="3640"/>
        </w:tabs>
        <w:spacing w:line="480" w:lineRule="auto"/>
        <w:jc w:val="both"/>
        <w:rPr>
          <w:rFonts w:ascii="Verdana" w:hAnsi="Verdana"/>
          <w:bCs/>
          <w:sz w:val="24"/>
          <w:szCs w:val="24"/>
        </w:rPr>
      </w:pPr>
      <w:r>
        <w:rPr>
          <w:rFonts w:ascii="Verdana" w:hAnsi="Verdana"/>
          <w:bCs/>
          <w:sz w:val="24"/>
          <w:szCs w:val="24"/>
        </w:rPr>
        <w:t>37.4 that the applicant has no other satisfactory remedy</w:t>
      </w:r>
      <w:r w:rsidR="00E03A7E">
        <w:rPr>
          <w:rFonts w:ascii="Verdana" w:hAnsi="Verdana"/>
          <w:bCs/>
          <w:sz w:val="24"/>
          <w:szCs w:val="24"/>
        </w:rPr>
        <w:t>.</w:t>
      </w:r>
      <w:r w:rsidR="00E03A7E">
        <w:rPr>
          <w:rStyle w:val="FootnoteReference"/>
          <w:rFonts w:ascii="Verdana" w:hAnsi="Verdana"/>
          <w:bCs/>
          <w:sz w:val="24"/>
          <w:szCs w:val="24"/>
        </w:rPr>
        <w:footnoteReference w:id="23"/>
      </w:r>
      <w:r>
        <w:rPr>
          <w:rFonts w:ascii="Verdana" w:hAnsi="Verdana"/>
          <w:bCs/>
          <w:sz w:val="24"/>
          <w:szCs w:val="24"/>
        </w:rPr>
        <w:t xml:space="preserve"> </w:t>
      </w:r>
    </w:p>
    <w:p w14:paraId="6FA7605F" w14:textId="77777777" w:rsidR="00E03A7E" w:rsidRDefault="00E03A7E" w:rsidP="003E35B6">
      <w:pPr>
        <w:tabs>
          <w:tab w:val="left" w:pos="3640"/>
        </w:tabs>
        <w:spacing w:line="480" w:lineRule="auto"/>
        <w:jc w:val="both"/>
        <w:rPr>
          <w:rFonts w:ascii="Verdana" w:hAnsi="Verdana"/>
          <w:bCs/>
          <w:sz w:val="24"/>
          <w:szCs w:val="24"/>
        </w:rPr>
      </w:pPr>
    </w:p>
    <w:p w14:paraId="5D574E03" w14:textId="69F5F17D" w:rsidR="00854E0D" w:rsidRDefault="00CD187F" w:rsidP="003E35B6">
      <w:pPr>
        <w:tabs>
          <w:tab w:val="left" w:pos="3640"/>
        </w:tabs>
        <w:spacing w:line="480" w:lineRule="auto"/>
        <w:jc w:val="both"/>
        <w:rPr>
          <w:rFonts w:ascii="Verdana" w:hAnsi="Verdana"/>
          <w:bCs/>
          <w:sz w:val="24"/>
          <w:szCs w:val="24"/>
        </w:rPr>
      </w:pPr>
      <w:r>
        <w:rPr>
          <w:rFonts w:ascii="Verdana" w:hAnsi="Verdana"/>
          <w:bCs/>
          <w:sz w:val="24"/>
          <w:szCs w:val="24"/>
        </w:rPr>
        <w:t xml:space="preserve">38. In Beecham Group Ltd </w:t>
      </w:r>
      <w:r w:rsidR="00487C26">
        <w:rPr>
          <w:rFonts w:ascii="Verdana" w:hAnsi="Verdana"/>
          <w:bCs/>
          <w:sz w:val="24"/>
          <w:szCs w:val="24"/>
        </w:rPr>
        <w:t>v</w:t>
      </w:r>
      <w:r>
        <w:rPr>
          <w:rFonts w:ascii="Verdana" w:hAnsi="Verdana"/>
          <w:bCs/>
          <w:sz w:val="24"/>
          <w:szCs w:val="24"/>
        </w:rPr>
        <w:t xml:space="preserve"> B-M Group </w:t>
      </w:r>
      <w:r w:rsidR="00117077">
        <w:rPr>
          <w:rFonts w:ascii="Verdana" w:hAnsi="Verdana"/>
          <w:bCs/>
          <w:sz w:val="24"/>
          <w:szCs w:val="24"/>
        </w:rPr>
        <w:t>(Pty) Ltd</w:t>
      </w:r>
      <w:r w:rsidR="00487C26">
        <w:rPr>
          <w:rStyle w:val="FootnoteReference"/>
          <w:rFonts w:ascii="Verdana" w:hAnsi="Verdana"/>
          <w:bCs/>
          <w:sz w:val="24"/>
          <w:szCs w:val="24"/>
        </w:rPr>
        <w:footnoteReference w:id="24"/>
      </w:r>
      <w:r w:rsidR="00117077">
        <w:rPr>
          <w:rFonts w:ascii="Verdana" w:hAnsi="Verdana"/>
          <w:bCs/>
          <w:sz w:val="24"/>
          <w:szCs w:val="24"/>
        </w:rPr>
        <w:t xml:space="preserve"> the Court said with regards to the various factors, </w:t>
      </w:r>
      <w:r w:rsidR="00D228E3">
        <w:rPr>
          <w:rFonts w:ascii="Verdana" w:hAnsi="Verdana"/>
          <w:bCs/>
          <w:sz w:val="24"/>
          <w:szCs w:val="24"/>
        </w:rPr>
        <w:t>to</w:t>
      </w:r>
      <w:r w:rsidR="00117077">
        <w:rPr>
          <w:rFonts w:ascii="Verdana" w:hAnsi="Verdana"/>
          <w:bCs/>
          <w:sz w:val="24"/>
          <w:szCs w:val="24"/>
        </w:rPr>
        <w:t xml:space="preserve"> be considered:</w:t>
      </w:r>
    </w:p>
    <w:p w14:paraId="051DF855" w14:textId="494C576C" w:rsidR="00117077" w:rsidRDefault="00117077" w:rsidP="003E35B6">
      <w:pPr>
        <w:tabs>
          <w:tab w:val="left" w:pos="3640"/>
        </w:tabs>
        <w:spacing w:line="480" w:lineRule="auto"/>
        <w:jc w:val="both"/>
        <w:rPr>
          <w:rFonts w:ascii="Verdana" w:hAnsi="Verdana"/>
          <w:bCs/>
          <w:sz w:val="24"/>
          <w:szCs w:val="24"/>
        </w:rPr>
      </w:pPr>
      <w:r>
        <w:rPr>
          <w:rFonts w:ascii="Verdana" w:hAnsi="Verdana"/>
          <w:bCs/>
          <w:sz w:val="24"/>
          <w:szCs w:val="24"/>
        </w:rPr>
        <w:t>‘I consider that both the question of the applicant</w:t>
      </w:r>
      <w:r w:rsidR="00487C26">
        <w:rPr>
          <w:rFonts w:ascii="Verdana" w:hAnsi="Verdana"/>
          <w:bCs/>
          <w:sz w:val="24"/>
          <w:szCs w:val="24"/>
        </w:rPr>
        <w:t>’</w:t>
      </w:r>
      <w:r>
        <w:rPr>
          <w:rFonts w:ascii="Verdana" w:hAnsi="Verdana"/>
          <w:bCs/>
          <w:sz w:val="24"/>
          <w:szCs w:val="24"/>
        </w:rPr>
        <w:t>s prospects of success in the action and the question whether he would be adequately compensated by an award of damages at the trial are factors which should be taken int</w:t>
      </w:r>
      <w:r w:rsidR="00E03A7E">
        <w:rPr>
          <w:rFonts w:ascii="Verdana" w:hAnsi="Verdana"/>
          <w:bCs/>
          <w:sz w:val="24"/>
          <w:szCs w:val="24"/>
        </w:rPr>
        <w:t>o</w:t>
      </w:r>
      <w:r>
        <w:rPr>
          <w:rFonts w:ascii="Verdana" w:hAnsi="Verdana"/>
          <w:bCs/>
          <w:sz w:val="24"/>
          <w:szCs w:val="24"/>
        </w:rPr>
        <w:t xml:space="preserve"> account as part of a genera</w:t>
      </w:r>
      <w:r w:rsidR="00CD1E06">
        <w:rPr>
          <w:rFonts w:ascii="Verdana" w:hAnsi="Verdana"/>
          <w:bCs/>
          <w:sz w:val="24"/>
          <w:szCs w:val="24"/>
        </w:rPr>
        <w:t>l</w:t>
      </w:r>
      <w:r>
        <w:rPr>
          <w:rFonts w:ascii="Verdana" w:hAnsi="Verdana"/>
          <w:bCs/>
          <w:sz w:val="24"/>
          <w:szCs w:val="24"/>
        </w:rPr>
        <w:t xml:space="preserve"> discretion to be exercised by a Court in considering whether to grant or refuse a temporary interdict. Those two elements, should not be considered separately or in isolation, but a part of the discretionary function of the Court which includes a consideration of the balance of convenience and the respective prejudice which would be suffered by each party as a result of the grant or refusal of a temporary interdict.</w:t>
      </w:r>
      <w:r w:rsidR="00487C26">
        <w:rPr>
          <w:rFonts w:ascii="Verdana" w:hAnsi="Verdana"/>
          <w:bCs/>
          <w:sz w:val="24"/>
          <w:szCs w:val="24"/>
        </w:rPr>
        <w:t>’</w:t>
      </w:r>
      <w:r>
        <w:rPr>
          <w:rFonts w:ascii="Verdana" w:hAnsi="Verdana"/>
          <w:bCs/>
          <w:sz w:val="24"/>
          <w:szCs w:val="24"/>
        </w:rPr>
        <w:t xml:space="preserve">   </w:t>
      </w:r>
    </w:p>
    <w:p w14:paraId="4AA755E0" w14:textId="77777777" w:rsidR="00E03A7E" w:rsidRDefault="00E03A7E" w:rsidP="003E35B6">
      <w:pPr>
        <w:tabs>
          <w:tab w:val="left" w:pos="3640"/>
        </w:tabs>
        <w:spacing w:line="480" w:lineRule="auto"/>
        <w:jc w:val="both"/>
        <w:rPr>
          <w:rFonts w:ascii="Verdana" w:hAnsi="Verdana"/>
          <w:bCs/>
          <w:sz w:val="24"/>
          <w:szCs w:val="24"/>
        </w:rPr>
      </w:pPr>
    </w:p>
    <w:p w14:paraId="7874F60D" w14:textId="42B69DD6" w:rsidR="00487C26" w:rsidRDefault="00E03A7E" w:rsidP="003E35B6">
      <w:pPr>
        <w:tabs>
          <w:tab w:val="left" w:pos="3640"/>
        </w:tabs>
        <w:spacing w:line="480" w:lineRule="auto"/>
        <w:jc w:val="both"/>
        <w:rPr>
          <w:rFonts w:ascii="Verdana" w:hAnsi="Verdana"/>
          <w:bCs/>
          <w:sz w:val="24"/>
          <w:szCs w:val="24"/>
        </w:rPr>
      </w:pPr>
      <w:r>
        <w:rPr>
          <w:rFonts w:ascii="Verdana" w:hAnsi="Verdana"/>
          <w:bCs/>
          <w:sz w:val="24"/>
          <w:szCs w:val="24"/>
        </w:rPr>
        <w:t xml:space="preserve">39. The test to be applied for purposes for determining whether, on the facts, the applicant has met these requirements is well established. </w:t>
      </w:r>
    </w:p>
    <w:p w14:paraId="0CFFA9B7" w14:textId="77777777" w:rsidR="00A42203" w:rsidRDefault="00E03A7E" w:rsidP="003E35B6">
      <w:pPr>
        <w:tabs>
          <w:tab w:val="left" w:pos="3640"/>
        </w:tabs>
        <w:spacing w:line="480" w:lineRule="auto"/>
        <w:jc w:val="both"/>
        <w:rPr>
          <w:rFonts w:ascii="Verdana" w:hAnsi="Verdana"/>
          <w:bCs/>
          <w:sz w:val="24"/>
          <w:szCs w:val="24"/>
        </w:rPr>
      </w:pPr>
      <w:r>
        <w:rPr>
          <w:rFonts w:ascii="Verdana" w:hAnsi="Verdana"/>
          <w:bCs/>
          <w:sz w:val="24"/>
          <w:szCs w:val="24"/>
        </w:rPr>
        <w:t xml:space="preserve">‘The proper manner of approach I consider is to take the facts set out by the applicant, together with any facts set out by the respondent which the applicant cannot dispute, and to consider whether, having regard to the inherent probabilities, the applicant could on those facts obtain relief at trial. The facts set up in contradiction by the respondent should then be considered. </w:t>
      </w:r>
      <w:r w:rsidR="008F7138">
        <w:rPr>
          <w:rFonts w:ascii="Verdana" w:hAnsi="Verdana"/>
          <w:bCs/>
          <w:sz w:val="24"/>
          <w:szCs w:val="24"/>
        </w:rPr>
        <w:t>If serious doubt is thrown on a case of the applicant, he could not succeed in obtaining temporary relief, for his right, prima facie established, may only be open to some doubt. But if there is mere contradiction, or an unconvincing explanation, the matter should be left for trial and the right to be protected in the meanwhile, subject of course to the respective prejudice in the grant or refusal of interim relief.”</w:t>
      </w:r>
      <w:r w:rsidR="008F7138">
        <w:rPr>
          <w:rStyle w:val="FootnoteReference"/>
          <w:rFonts w:ascii="Verdana" w:hAnsi="Verdana"/>
          <w:bCs/>
          <w:sz w:val="24"/>
          <w:szCs w:val="24"/>
        </w:rPr>
        <w:footnoteReference w:id="25"/>
      </w:r>
      <w:r w:rsidR="008F7138">
        <w:rPr>
          <w:rFonts w:ascii="Verdana" w:hAnsi="Verdana"/>
          <w:bCs/>
          <w:sz w:val="24"/>
          <w:szCs w:val="24"/>
        </w:rPr>
        <w:t xml:space="preserve"> </w:t>
      </w:r>
    </w:p>
    <w:p w14:paraId="7C1F441B" w14:textId="4F6FBF03" w:rsidR="00E03A7E" w:rsidRDefault="008F7138" w:rsidP="003E35B6">
      <w:pPr>
        <w:tabs>
          <w:tab w:val="left" w:pos="3640"/>
        </w:tabs>
        <w:spacing w:line="480" w:lineRule="auto"/>
        <w:jc w:val="both"/>
        <w:rPr>
          <w:rFonts w:ascii="Verdana" w:hAnsi="Verdana"/>
          <w:bCs/>
          <w:sz w:val="24"/>
          <w:szCs w:val="24"/>
        </w:rPr>
      </w:pPr>
      <w:r>
        <w:rPr>
          <w:rFonts w:ascii="Verdana" w:hAnsi="Verdana"/>
          <w:bCs/>
          <w:sz w:val="24"/>
          <w:szCs w:val="24"/>
        </w:rPr>
        <w:t xml:space="preserve"> </w:t>
      </w:r>
      <w:r w:rsidR="00E03A7E">
        <w:rPr>
          <w:rFonts w:ascii="Verdana" w:hAnsi="Verdana"/>
          <w:bCs/>
          <w:sz w:val="24"/>
          <w:szCs w:val="24"/>
        </w:rPr>
        <w:t xml:space="preserve"> </w:t>
      </w:r>
    </w:p>
    <w:p w14:paraId="679AAA07" w14:textId="446AC761" w:rsidR="00A42203" w:rsidRPr="00A42203" w:rsidRDefault="00A42203" w:rsidP="00A42203">
      <w:pPr>
        <w:tabs>
          <w:tab w:val="left" w:pos="3640"/>
        </w:tabs>
        <w:spacing w:line="480" w:lineRule="auto"/>
        <w:jc w:val="both"/>
        <w:rPr>
          <w:rFonts w:ascii="Verdana" w:hAnsi="Verdana"/>
          <w:bCs/>
          <w:sz w:val="24"/>
          <w:szCs w:val="24"/>
        </w:rPr>
      </w:pPr>
      <w:r>
        <w:rPr>
          <w:rFonts w:ascii="Verdana" w:hAnsi="Verdana"/>
          <w:bCs/>
          <w:sz w:val="24"/>
          <w:szCs w:val="24"/>
        </w:rPr>
        <w:t>40</w:t>
      </w:r>
      <w:r w:rsidRPr="00A42203">
        <w:rPr>
          <w:rFonts w:ascii="Verdana" w:hAnsi="Verdana"/>
          <w:bCs/>
          <w:sz w:val="24"/>
          <w:szCs w:val="24"/>
        </w:rPr>
        <w:t xml:space="preserve">. In </w:t>
      </w:r>
      <w:r w:rsidRPr="00A42203">
        <w:rPr>
          <w:rFonts w:ascii="Verdana" w:hAnsi="Verdana"/>
          <w:bCs/>
          <w:i/>
          <w:sz w:val="24"/>
          <w:szCs w:val="24"/>
        </w:rPr>
        <w:t>Annex Distribution (Pty) Ltd v Bank of Baroda</w:t>
      </w:r>
      <w:r w:rsidRPr="00A42203">
        <w:rPr>
          <w:rFonts w:ascii="Verdana" w:hAnsi="Verdana"/>
          <w:bCs/>
          <w:sz w:val="24"/>
          <w:szCs w:val="24"/>
        </w:rPr>
        <w:t>,</w:t>
      </w:r>
      <w:r w:rsidRPr="00A42203">
        <w:rPr>
          <w:rStyle w:val="FootnoteReference"/>
          <w:rFonts w:ascii="Verdana" w:hAnsi="Verdana"/>
          <w:bCs/>
          <w:sz w:val="24"/>
          <w:szCs w:val="24"/>
        </w:rPr>
        <w:footnoteReference w:id="26"/>
      </w:r>
      <w:r w:rsidRPr="00A42203">
        <w:rPr>
          <w:rFonts w:ascii="Verdana" w:hAnsi="Verdana"/>
          <w:bCs/>
          <w:sz w:val="24"/>
          <w:szCs w:val="24"/>
        </w:rPr>
        <w:t xml:space="preserve"> Fabricius J noted that </w:t>
      </w:r>
      <w:r w:rsidRPr="007E605A">
        <w:rPr>
          <w:rFonts w:ascii="Verdana" w:hAnsi="Verdana"/>
          <w:bCs/>
          <w:sz w:val="24"/>
          <w:szCs w:val="24"/>
        </w:rPr>
        <w:t xml:space="preserve">“[m]ost applications for an interim interdict are decided on the basis of the </w:t>
      </w:r>
      <w:r w:rsidRPr="007E605A">
        <w:rPr>
          <w:rFonts w:ascii="Verdana" w:hAnsi="Verdana"/>
          <w:bCs/>
          <w:sz w:val="24"/>
          <w:szCs w:val="24"/>
        </w:rPr>
        <w:lastRenderedPageBreak/>
        <w:t xml:space="preserve">balance of convenience”. It is with this foremost in mind, in dealing with the </w:t>
      </w:r>
      <w:r w:rsidRPr="00A42203">
        <w:rPr>
          <w:rFonts w:ascii="Verdana" w:hAnsi="Verdana"/>
          <w:bCs/>
          <w:sz w:val="24"/>
          <w:szCs w:val="24"/>
        </w:rPr>
        <w:t>merits of this application purportedly brought in terms of rule 6(12), that we focus primarily on this key requirement for the grant of interim interdictory relief.</w:t>
      </w:r>
      <w:r w:rsidRPr="00A42203">
        <w:rPr>
          <w:rStyle w:val="FootnoteReference"/>
          <w:rFonts w:ascii="Verdana" w:hAnsi="Verdana"/>
          <w:bCs/>
          <w:sz w:val="24"/>
          <w:szCs w:val="24"/>
        </w:rPr>
        <w:footnoteReference w:id="27"/>
      </w:r>
    </w:p>
    <w:p w14:paraId="3379A9F5" w14:textId="77777777" w:rsidR="00A42203" w:rsidRPr="007869E4" w:rsidRDefault="00A42203" w:rsidP="00A42203">
      <w:pPr>
        <w:tabs>
          <w:tab w:val="left" w:pos="3640"/>
        </w:tabs>
        <w:spacing w:line="480" w:lineRule="auto"/>
        <w:jc w:val="both"/>
        <w:rPr>
          <w:rFonts w:ascii="Verdana" w:hAnsi="Verdana"/>
          <w:bCs/>
          <w:color w:val="FF0000"/>
          <w:sz w:val="24"/>
          <w:szCs w:val="24"/>
        </w:rPr>
      </w:pPr>
    </w:p>
    <w:p w14:paraId="660C9269" w14:textId="0A2E7DB3" w:rsidR="008F7138" w:rsidRDefault="008F7138" w:rsidP="003E35B6">
      <w:pPr>
        <w:tabs>
          <w:tab w:val="left" w:pos="3640"/>
        </w:tabs>
        <w:spacing w:line="480" w:lineRule="auto"/>
        <w:jc w:val="both"/>
        <w:rPr>
          <w:rFonts w:ascii="Verdana" w:hAnsi="Verdana"/>
          <w:bCs/>
          <w:sz w:val="24"/>
          <w:szCs w:val="24"/>
        </w:rPr>
      </w:pPr>
      <w:r>
        <w:rPr>
          <w:rFonts w:ascii="Verdana" w:hAnsi="Verdana"/>
          <w:bCs/>
          <w:sz w:val="24"/>
          <w:szCs w:val="24"/>
        </w:rPr>
        <w:t>4</w:t>
      </w:r>
      <w:r w:rsidR="00A42203">
        <w:rPr>
          <w:rFonts w:ascii="Verdana" w:hAnsi="Verdana"/>
          <w:bCs/>
          <w:sz w:val="24"/>
          <w:szCs w:val="24"/>
        </w:rPr>
        <w:t>1</w:t>
      </w:r>
      <w:r>
        <w:rPr>
          <w:rFonts w:ascii="Verdana" w:hAnsi="Verdana"/>
          <w:bCs/>
          <w:sz w:val="24"/>
          <w:szCs w:val="24"/>
        </w:rPr>
        <w:t>. In patent matters</w:t>
      </w:r>
      <w:r w:rsidR="000C399C">
        <w:rPr>
          <w:rFonts w:ascii="Verdana" w:hAnsi="Verdana"/>
          <w:bCs/>
          <w:sz w:val="24"/>
          <w:szCs w:val="24"/>
        </w:rPr>
        <w:t xml:space="preserve"> further</w:t>
      </w:r>
      <w:r>
        <w:rPr>
          <w:rFonts w:ascii="Verdana" w:hAnsi="Verdana"/>
          <w:bCs/>
          <w:sz w:val="24"/>
          <w:szCs w:val="24"/>
        </w:rPr>
        <w:t xml:space="preserve">, where an interim interdict is being sought, </w:t>
      </w:r>
      <w:r w:rsidR="000C399C">
        <w:rPr>
          <w:rFonts w:ascii="Verdana" w:hAnsi="Verdana"/>
          <w:bCs/>
          <w:sz w:val="24"/>
          <w:szCs w:val="24"/>
        </w:rPr>
        <w:t xml:space="preserve">a </w:t>
      </w:r>
      <w:r>
        <w:rPr>
          <w:rFonts w:ascii="Verdana" w:hAnsi="Verdana"/>
          <w:bCs/>
          <w:sz w:val="24"/>
          <w:szCs w:val="24"/>
        </w:rPr>
        <w:t>court should refrain from making final findings, but nevertheless consider the relative strength of each party’s case. Each case must be decided on the basis of fairness, justice and common sense, in relation to the whole of the issues.</w:t>
      </w:r>
      <w:r>
        <w:rPr>
          <w:rStyle w:val="FootnoteReference"/>
          <w:rFonts w:ascii="Verdana" w:hAnsi="Verdana"/>
          <w:bCs/>
          <w:sz w:val="24"/>
          <w:szCs w:val="24"/>
        </w:rPr>
        <w:footnoteReference w:id="28"/>
      </w:r>
      <w:r>
        <w:rPr>
          <w:rFonts w:ascii="Verdana" w:hAnsi="Verdana"/>
          <w:bCs/>
          <w:sz w:val="24"/>
          <w:szCs w:val="24"/>
        </w:rPr>
        <w:t xml:space="preserve"> </w:t>
      </w:r>
    </w:p>
    <w:p w14:paraId="44C81252" w14:textId="77777777" w:rsidR="00C07A32" w:rsidRDefault="00C07A32" w:rsidP="003E35B6">
      <w:pPr>
        <w:tabs>
          <w:tab w:val="left" w:pos="3640"/>
        </w:tabs>
        <w:spacing w:line="480" w:lineRule="auto"/>
        <w:jc w:val="both"/>
        <w:rPr>
          <w:rFonts w:ascii="Verdana" w:hAnsi="Verdana"/>
          <w:bCs/>
          <w:sz w:val="24"/>
          <w:szCs w:val="24"/>
        </w:rPr>
      </w:pPr>
    </w:p>
    <w:p w14:paraId="5376E40C" w14:textId="1B3E4937" w:rsidR="00C07A32" w:rsidRDefault="00C07A32" w:rsidP="003E35B6">
      <w:pPr>
        <w:tabs>
          <w:tab w:val="left" w:pos="3640"/>
        </w:tabs>
        <w:spacing w:line="480" w:lineRule="auto"/>
        <w:jc w:val="both"/>
        <w:rPr>
          <w:rFonts w:ascii="Verdana" w:hAnsi="Verdana"/>
          <w:bCs/>
          <w:sz w:val="24"/>
          <w:szCs w:val="24"/>
        </w:rPr>
      </w:pPr>
      <w:r>
        <w:rPr>
          <w:rFonts w:ascii="Verdana" w:hAnsi="Verdana"/>
          <w:bCs/>
          <w:sz w:val="24"/>
          <w:szCs w:val="24"/>
        </w:rPr>
        <w:t>4</w:t>
      </w:r>
      <w:r w:rsidR="00A42203">
        <w:rPr>
          <w:rFonts w:ascii="Verdana" w:hAnsi="Verdana"/>
          <w:bCs/>
          <w:sz w:val="24"/>
          <w:szCs w:val="24"/>
        </w:rPr>
        <w:t>2</w:t>
      </w:r>
      <w:r>
        <w:rPr>
          <w:rFonts w:ascii="Verdana" w:hAnsi="Verdana"/>
          <w:bCs/>
          <w:sz w:val="24"/>
          <w:szCs w:val="24"/>
        </w:rPr>
        <w:t>. It is important to bear in mind that all these requirements for an interim interdict should be met before a Court can come to the assistance of an applicant, and it follows that where one or more of the requirements have not been met, the application must fail.</w:t>
      </w:r>
    </w:p>
    <w:p w14:paraId="015DE1BE" w14:textId="77777777" w:rsidR="008F7138" w:rsidRPr="003E35B6" w:rsidRDefault="008F7138" w:rsidP="003E35B6">
      <w:pPr>
        <w:tabs>
          <w:tab w:val="left" w:pos="3640"/>
        </w:tabs>
        <w:spacing w:line="480" w:lineRule="auto"/>
        <w:jc w:val="both"/>
        <w:rPr>
          <w:rFonts w:ascii="Verdana" w:hAnsi="Verdana"/>
          <w:bCs/>
          <w:sz w:val="24"/>
          <w:szCs w:val="24"/>
        </w:rPr>
      </w:pPr>
    </w:p>
    <w:p w14:paraId="15DECFAB" w14:textId="77777777" w:rsidR="003E35B6" w:rsidRDefault="003E35B6" w:rsidP="003E35B6">
      <w:pPr>
        <w:tabs>
          <w:tab w:val="left" w:pos="3640"/>
        </w:tabs>
        <w:spacing w:line="480" w:lineRule="auto"/>
        <w:jc w:val="both"/>
        <w:rPr>
          <w:rFonts w:ascii="Verdana" w:hAnsi="Verdana"/>
          <w:bCs/>
          <w:sz w:val="24"/>
          <w:szCs w:val="24"/>
        </w:rPr>
      </w:pPr>
      <w:r w:rsidRPr="00854E0D">
        <w:rPr>
          <w:rFonts w:ascii="Verdana" w:hAnsi="Verdana"/>
          <w:bCs/>
          <w:sz w:val="24"/>
          <w:szCs w:val="24"/>
        </w:rPr>
        <w:t>Prima facie right</w:t>
      </w:r>
    </w:p>
    <w:p w14:paraId="4516E264" w14:textId="6FA5F069" w:rsidR="003E35B6" w:rsidRPr="003E35B6" w:rsidRDefault="008016A5" w:rsidP="003E35B6">
      <w:pPr>
        <w:tabs>
          <w:tab w:val="left" w:pos="3640"/>
        </w:tabs>
        <w:spacing w:line="480" w:lineRule="auto"/>
        <w:jc w:val="both"/>
        <w:rPr>
          <w:rFonts w:ascii="Verdana" w:hAnsi="Verdana"/>
          <w:bCs/>
          <w:sz w:val="24"/>
          <w:szCs w:val="24"/>
        </w:rPr>
      </w:pPr>
      <w:r>
        <w:rPr>
          <w:rFonts w:ascii="Verdana" w:hAnsi="Verdana"/>
          <w:bCs/>
          <w:sz w:val="24"/>
          <w:szCs w:val="24"/>
        </w:rPr>
        <w:lastRenderedPageBreak/>
        <w:t>4</w:t>
      </w:r>
      <w:r w:rsidR="00A42203">
        <w:rPr>
          <w:rFonts w:ascii="Verdana" w:hAnsi="Verdana"/>
          <w:bCs/>
          <w:sz w:val="24"/>
          <w:szCs w:val="24"/>
        </w:rPr>
        <w:t>3</w:t>
      </w:r>
      <w:r w:rsidR="00854E0D">
        <w:rPr>
          <w:rFonts w:ascii="Verdana" w:hAnsi="Verdana"/>
          <w:bCs/>
          <w:sz w:val="24"/>
          <w:szCs w:val="24"/>
        </w:rPr>
        <w:t xml:space="preserve">. </w:t>
      </w:r>
      <w:r w:rsidR="000C399C">
        <w:rPr>
          <w:rFonts w:ascii="Verdana" w:hAnsi="Verdana"/>
          <w:bCs/>
          <w:sz w:val="24"/>
          <w:szCs w:val="24"/>
        </w:rPr>
        <w:t>I</w:t>
      </w:r>
      <w:r>
        <w:rPr>
          <w:rFonts w:ascii="Verdana" w:hAnsi="Verdana"/>
          <w:bCs/>
          <w:sz w:val="24"/>
          <w:szCs w:val="24"/>
        </w:rPr>
        <w:t>t is the case for the applicant that the</w:t>
      </w:r>
      <w:r w:rsidR="00A32E85">
        <w:rPr>
          <w:rFonts w:ascii="Verdana" w:hAnsi="Verdana"/>
          <w:bCs/>
          <w:sz w:val="24"/>
          <w:szCs w:val="24"/>
        </w:rPr>
        <w:t xml:space="preserve"> first respondent</w:t>
      </w:r>
      <w:r w:rsidR="003E35B6" w:rsidRPr="003E35B6">
        <w:rPr>
          <w:rFonts w:ascii="Verdana" w:hAnsi="Verdana"/>
          <w:bCs/>
          <w:sz w:val="24"/>
          <w:szCs w:val="24"/>
        </w:rPr>
        <w:t xml:space="preserve"> does not dispute that Rivaxored falls within the scope of Bayer’s patent and therefore that the sale of the product infringes the patent.</w:t>
      </w:r>
    </w:p>
    <w:p w14:paraId="19F7EED2" w14:textId="77777777" w:rsidR="003E35B6" w:rsidRPr="003E35B6" w:rsidRDefault="003E35B6" w:rsidP="003E35B6">
      <w:pPr>
        <w:tabs>
          <w:tab w:val="left" w:pos="3640"/>
        </w:tabs>
        <w:spacing w:line="480" w:lineRule="auto"/>
        <w:jc w:val="both"/>
        <w:rPr>
          <w:rFonts w:ascii="Verdana" w:hAnsi="Verdana"/>
          <w:bCs/>
          <w:sz w:val="24"/>
          <w:szCs w:val="24"/>
        </w:rPr>
      </w:pPr>
    </w:p>
    <w:p w14:paraId="1ED8C462" w14:textId="2CD87636" w:rsidR="007E605A" w:rsidRDefault="008016A5" w:rsidP="003E35B6">
      <w:pPr>
        <w:tabs>
          <w:tab w:val="left" w:pos="3640"/>
        </w:tabs>
        <w:spacing w:line="480" w:lineRule="auto"/>
        <w:jc w:val="both"/>
        <w:rPr>
          <w:rFonts w:ascii="Verdana" w:hAnsi="Verdana"/>
          <w:bCs/>
          <w:sz w:val="24"/>
          <w:szCs w:val="24"/>
        </w:rPr>
      </w:pPr>
      <w:r>
        <w:rPr>
          <w:rFonts w:ascii="Verdana" w:hAnsi="Verdana"/>
          <w:bCs/>
          <w:sz w:val="24"/>
          <w:szCs w:val="24"/>
        </w:rPr>
        <w:t>4</w:t>
      </w:r>
      <w:r w:rsidR="00A42203">
        <w:rPr>
          <w:rFonts w:ascii="Verdana" w:hAnsi="Verdana"/>
          <w:bCs/>
          <w:sz w:val="24"/>
          <w:szCs w:val="24"/>
        </w:rPr>
        <w:t>4</w:t>
      </w:r>
      <w:r w:rsidR="00420D11">
        <w:rPr>
          <w:rFonts w:ascii="Verdana" w:hAnsi="Verdana"/>
          <w:bCs/>
          <w:sz w:val="24"/>
          <w:szCs w:val="24"/>
        </w:rPr>
        <w:t xml:space="preserve">. </w:t>
      </w:r>
      <w:r w:rsidR="00A32E85">
        <w:rPr>
          <w:rFonts w:ascii="Verdana" w:hAnsi="Verdana"/>
          <w:bCs/>
          <w:sz w:val="24"/>
          <w:szCs w:val="24"/>
        </w:rPr>
        <w:t>The first respondent however</w:t>
      </w:r>
      <w:r w:rsidR="003E35B6" w:rsidRPr="003E35B6">
        <w:rPr>
          <w:rFonts w:ascii="Verdana" w:hAnsi="Verdana"/>
          <w:bCs/>
          <w:sz w:val="24"/>
          <w:szCs w:val="24"/>
        </w:rPr>
        <w:t>, baldly assert</w:t>
      </w:r>
      <w:r w:rsidR="00D228E3">
        <w:rPr>
          <w:rFonts w:ascii="Verdana" w:hAnsi="Verdana"/>
          <w:bCs/>
          <w:sz w:val="24"/>
          <w:szCs w:val="24"/>
        </w:rPr>
        <w:t>s</w:t>
      </w:r>
      <w:r w:rsidR="003E35B6" w:rsidRPr="003E35B6">
        <w:rPr>
          <w:rFonts w:ascii="Verdana" w:hAnsi="Verdana"/>
          <w:bCs/>
          <w:sz w:val="24"/>
          <w:szCs w:val="24"/>
        </w:rPr>
        <w:t xml:space="preserve"> that the patent is invalid. Mr Welz</w:t>
      </w:r>
      <w:r w:rsidR="00A32E85">
        <w:rPr>
          <w:rFonts w:ascii="Verdana" w:hAnsi="Verdana"/>
          <w:bCs/>
          <w:sz w:val="24"/>
          <w:szCs w:val="24"/>
        </w:rPr>
        <w:t xml:space="preserve"> the deponent to the </w:t>
      </w:r>
      <w:r w:rsidR="0064058E">
        <w:rPr>
          <w:rFonts w:ascii="Verdana" w:hAnsi="Verdana"/>
          <w:bCs/>
          <w:sz w:val="24"/>
          <w:szCs w:val="24"/>
        </w:rPr>
        <w:t>answering</w:t>
      </w:r>
      <w:r w:rsidR="00A32E85">
        <w:rPr>
          <w:rFonts w:ascii="Verdana" w:hAnsi="Verdana"/>
          <w:bCs/>
          <w:sz w:val="24"/>
          <w:szCs w:val="24"/>
        </w:rPr>
        <w:t xml:space="preserve"> affidavit</w:t>
      </w:r>
      <w:r w:rsidR="003E35B6" w:rsidRPr="003E35B6">
        <w:rPr>
          <w:rFonts w:ascii="Verdana" w:hAnsi="Verdana"/>
          <w:bCs/>
          <w:sz w:val="24"/>
          <w:szCs w:val="24"/>
        </w:rPr>
        <w:t xml:space="preserve"> s</w:t>
      </w:r>
      <w:r w:rsidR="00A32E85">
        <w:rPr>
          <w:rFonts w:ascii="Verdana" w:hAnsi="Verdana"/>
          <w:bCs/>
          <w:sz w:val="24"/>
          <w:szCs w:val="24"/>
        </w:rPr>
        <w:t>tates</w:t>
      </w:r>
      <w:r w:rsidR="003E35B6" w:rsidRPr="003E35B6">
        <w:rPr>
          <w:rFonts w:ascii="Verdana" w:hAnsi="Verdana"/>
          <w:bCs/>
          <w:sz w:val="24"/>
          <w:szCs w:val="24"/>
        </w:rPr>
        <w:t xml:space="preserve"> in this regard that </w:t>
      </w:r>
      <w:r w:rsidR="00A32E85">
        <w:rPr>
          <w:rFonts w:ascii="Verdana" w:hAnsi="Verdana"/>
          <w:bCs/>
          <w:sz w:val="24"/>
          <w:szCs w:val="24"/>
        </w:rPr>
        <w:t>the first respondent</w:t>
      </w:r>
      <w:r w:rsidR="003E35B6" w:rsidRPr="003E35B6">
        <w:rPr>
          <w:rFonts w:ascii="Verdana" w:hAnsi="Verdana"/>
          <w:bCs/>
          <w:sz w:val="24"/>
          <w:szCs w:val="24"/>
        </w:rPr>
        <w:t xml:space="preserve"> is not willing to accept that the claimed inventi</w:t>
      </w:r>
      <w:r w:rsidR="00420D11">
        <w:rPr>
          <w:rFonts w:ascii="Verdana" w:hAnsi="Verdana"/>
          <w:bCs/>
          <w:sz w:val="24"/>
          <w:szCs w:val="24"/>
        </w:rPr>
        <w:t>on contains an inventive step;</w:t>
      </w:r>
      <w:r w:rsidR="00420D11">
        <w:rPr>
          <w:rStyle w:val="FootnoteReference"/>
          <w:rFonts w:ascii="Verdana" w:hAnsi="Verdana"/>
          <w:bCs/>
          <w:sz w:val="24"/>
          <w:szCs w:val="24"/>
        </w:rPr>
        <w:footnoteReference w:id="29"/>
      </w:r>
      <w:r w:rsidR="003E35B6" w:rsidRPr="003E35B6">
        <w:rPr>
          <w:rFonts w:ascii="Verdana" w:hAnsi="Verdana"/>
          <w:bCs/>
          <w:sz w:val="24"/>
          <w:szCs w:val="24"/>
        </w:rPr>
        <w:t xml:space="preserve"> and that “there is nothing exceptiona</w:t>
      </w:r>
      <w:r w:rsidR="00420D11">
        <w:rPr>
          <w:rFonts w:ascii="Verdana" w:hAnsi="Verdana"/>
          <w:bCs/>
          <w:sz w:val="24"/>
          <w:szCs w:val="24"/>
        </w:rPr>
        <w:t>l about the new dosage claim”.</w:t>
      </w:r>
      <w:r w:rsidR="00420D11">
        <w:rPr>
          <w:rStyle w:val="FootnoteReference"/>
          <w:rFonts w:ascii="Verdana" w:hAnsi="Verdana"/>
          <w:bCs/>
          <w:sz w:val="24"/>
          <w:szCs w:val="24"/>
        </w:rPr>
        <w:footnoteReference w:id="30"/>
      </w:r>
      <w:r w:rsidR="003E35B6" w:rsidRPr="003E35B6">
        <w:rPr>
          <w:rFonts w:ascii="Verdana" w:hAnsi="Verdana"/>
          <w:bCs/>
          <w:sz w:val="24"/>
          <w:szCs w:val="24"/>
        </w:rPr>
        <w:t xml:space="preserve"> </w:t>
      </w:r>
    </w:p>
    <w:p w14:paraId="03DF51D1" w14:textId="77777777" w:rsidR="007E605A" w:rsidRDefault="007E605A" w:rsidP="003E35B6">
      <w:pPr>
        <w:tabs>
          <w:tab w:val="left" w:pos="3640"/>
        </w:tabs>
        <w:spacing w:line="480" w:lineRule="auto"/>
        <w:jc w:val="both"/>
        <w:rPr>
          <w:rFonts w:ascii="Verdana" w:hAnsi="Verdana"/>
          <w:bCs/>
          <w:sz w:val="24"/>
          <w:szCs w:val="24"/>
        </w:rPr>
      </w:pPr>
    </w:p>
    <w:p w14:paraId="6E68A01B" w14:textId="6D2D72F9" w:rsidR="008016A5" w:rsidRDefault="007E605A" w:rsidP="003E35B6">
      <w:pPr>
        <w:tabs>
          <w:tab w:val="left" w:pos="3640"/>
        </w:tabs>
        <w:spacing w:line="480" w:lineRule="auto"/>
        <w:jc w:val="both"/>
        <w:rPr>
          <w:rFonts w:ascii="Verdana" w:hAnsi="Verdana"/>
          <w:bCs/>
          <w:sz w:val="24"/>
          <w:szCs w:val="24"/>
        </w:rPr>
      </w:pPr>
      <w:r>
        <w:rPr>
          <w:rFonts w:ascii="Verdana" w:hAnsi="Verdana"/>
          <w:bCs/>
          <w:sz w:val="24"/>
          <w:szCs w:val="24"/>
        </w:rPr>
        <w:t>45. In the replying affidavit it is allege</w:t>
      </w:r>
      <w:r w:rsidR="00D228E3">
        <w:rPr>
          <w:rFonts w:ascii="Verdana" w:hAnsi="Verdana"/>
          <w:bCs/>
          <w:sz w:val="24"/>
          <w:szCs w:val="24"/>
        </w:rPr>
        <w:t>d</w:t>
      </w:r>
      <w:r>
        <w:rPr>
          <w:rFonts w:ascii="Verdana" w:hAnsi="Verdana"/>
          <w:bCs/>
          <w:sz w:val="24"/>
          <w:szCs w:val="24"/>
        </w:rPr>
        <w:t xml:space="preserve"> that</w:t>
      </w:r>
      <w:r w:rsidR="003E35B6" w:rsidRPr="003E35B6">
        <w:rPr>
          <w:rFonts w:ascii="Verdana" w:hAnsi="Verdana"/>
          <w:bCs/>
          <w:sz w:val="24"/>
          <w:szCs w:val="24"/>
        </w:rPr>
        <w:t xml:space="preserve"> Mr Welz</w:t>
      </w:r>
      <w:r w:rsidR="0064058E">
        <w:rPr>
          <w:rFonts w:ascii="Verdana" w:hAnsi="Verdana"/>
          <w:bCs/>
          <w:sz w:val="24"/>
          <w:szCs w:val="24"/>
        </w:rPr>
        <w:t xml:space="preserve"> </w:t>
      </w:r>
      <w:r w:rsidR="003E35B6" w:rsidRPr="003E35B6">
        <w:rPr>
          <w:rFonts w:ascii="Verdana" w:hAnsi="Verdana"/>
          <w:bCs/>
          <w:sz w:val="24"/>
          <w:szCs w:val="24"/>
        </w:rPr>
        <w:t>is not a person ski</w:t>
      </w:r>
      <w:r w:rsidR="00420D11">
        <w:rPr>
          <w:rFonts w:ascii="Verdana" w:hAnsi="Verdana"/>
          <w:bCs/>
          <w:sz w:val="24"/>
          <w:szCs w:val="24"/>
        </w:rPr>
        <w:t>lled in the art of the patent;</w:t>
      </w:r>
      <w:r w:rsidR="00420D11">
        <w:rPr>
          <w:rStyle w:val="FootnoteReference"/>
          <w:rFonts w:ascii="Verdana" w:hAnsi="Verdana"/>
          <w:bCs/>
          <w:sz w:val="24"/>
          <w:szCs w:val="24"/>
        </w:rPr>
        <w:footnoteReference w:id="31"/>
      </w:r>
      <w:r w:rsidR="003E35B6" w:rsidRPr="003E35B6">
        <w:rPr>
          <w:rFonts w:ascii="Verdana" w:hAnsi="Verdana"/>
          <w:bCs/>
          <w:sz w:val="24"/>
          <w:szCs w:val="24"/>
        </w:rPr>
        <w:t xml:space="preserve"> and his opinions on such</w:t>
      </w:r>
      <w:r w:rsidR="003E35B6">
        <w:rPr>
          <w:rFonts w:ascii="Verdana" w:hAnsi="Verdana"/>
          <w:bCs/>
          <w:sz w:val="24"/>
          <w:szCs w:val="24"/>
        </w:rPr>
        <w:t xml:space="preserve"> </w:t>
      </w:r>
      <w:r w:rsidR="003E35B6" w:rsidRPr="003E35B6">
        <w:rPr>
          <w:rFonts w:ascii="Verdana" w:hAnsi="Verdana"/>
          <w:bCs/>
          <w:sz w:val="24"/>
          <w:szCs w:val="24"/>
        </w:rPr>
        <w:t>matters are plainly inadmissible.</w:t>
      </w:r>
    </w:p>
    <w:p w14:paraId="0BF16B9B" w14:textId="77777777" w:rsidR="00420D11" w:rsidRDefault="00420D11" w:rsidP="003E35B6">
      <w:pPr>
        <w:tabs>
          <w:tab w:val="left" w:pos="3640"/>
        </w:tabs>
        <w:spacing w:line="480" w:lineRule="auto"/>
        <w:jc w:val="both"/>
        <w:rPr>
          <w:rFonts w:ascii="Verdana" w:hAnsi="Verdana"/>
          <w:bCs/>
          <w:sz w:val="24"/>
          <w:szCs w:val="24"/>
        </w:rPr>
      </w:pPr>
    </w:p>
    <w:p w14:paraId="47B9E0CA" w14:textId="50ECC772" w:rsidR="003E35B6" w:rsidRDefault="00A32E85" w:rsidP="003E35B6">
      <w:pPr>
        <w:tabs>
          <w:tab w:val="left" w:pos="3640"/>
        </w:tabs>
        <w:spacing w:line="480" w:lineRule="auto"/>
        <w:jc w:val="both"/>
        <w:rPr>
          <w:rFonts w:ascii="Verdana" w:hAnsi="Verdana"/>
          <w:bCs/>
          <w:sz w:val="24"/>
          <w:szCs w:val="24"/>
        </w:rPr>
      </w:pPr>
      <w:r>
        <w:rPr>
          <w:rFonts w:ascii="Verdana" w:hAnsi="Verdana"/>
          <w:bCs/>
          <w:sz w:val="24"/>
          <w:szCs w:val="24"/>
        </w:rPr>
        <w:t>4</w:t>
      </w:r>
      <w:r w:rsidR="007E605A">
        <w:rPr>
          <w:rFonts w:ascii="Verdana" w:hAnsi="Verdana"/>
          <w:bCs/>
          <w:sz w:val="24"/>
          <w:szCs w:val="24"/>
        </w:rPr>
        <w:t>6</w:t>
      </w:r>
      <w:r w:rsidR="00420D11">
        <w:rPr>
          <w:rFonts w:ascii="Verdana" w:hAnsi="Verdana"/>
          <w:bCs/>
          <w:sz w:val="24"/>
          <w:szCs w:val="24"/>
        </w:rPr>
        <w:t xml:space="preserve">. </w:t>
      </w:r>
      <w:r w:rsidR="007E605A">
        <w:rPr>
          <w:rFonts w:ascii="Verdana" w:hAnsi="Verdana"/>
          <w:bCs/>
          <w:sz w:val="24"/>
          <w:szCs w:val="24"/>
        </w:rPr>
        <w:t xml:space="preserve">In addition a further argument </w:t>
      </w:r>
      <w:r w:rsidR="00564973">
        <w:rPr>
          <w:rFonts w:ascii="Verdana" w:hAnsi="Verdana"/>
          <w:bCs/>
          <w:sz w:val="24"/>
          <w:szCs w:val="24"/>
        </w:rPr>
        <w:t>advance on point is that i</w:t>
      </w:r>
      <w:r w:rsidR="007E605A">
        <w:rPr>
          <w:rFonts w:ascii="Verdana" w:hAnsi="Verdana"/>
          <w:bCs/>
          <w:sz w:val="24"/>
          <w:szCs w:val="24"/>
        </w:rPr>
        <w:t>n Dr Reddy’s application</w:t>
      </w:r>
      <w:r w:rsidR="00D228E3">
        <w:rPr>
          <w:rFonts w:ascii="Verdana" w:hAnsi="Verdana"/>
          <w:bCs/>
          <w:sz w:val="24"/>
          <w:szCs w:val="24"/>
        </w:rPr>
        <w:t>,</w:t>
      </w:r>
      <w:r w:rsidR="007E605A">
        <w:rPr>
          <w:rFonts w:ascii="Verdana" w:hAnsi="Verdana"/>
          <w:bCs/>
          <w:sz w:val="24"/>
          <w:szCs w:val="24"/>
        </w:rPr>
        <w:t xml:space="preserve"> t</w:t>
      </w:r>
      <w:r w:rsidR="003E35B6" w:rsidRPr="003E35B6">
        <w:rPr>
          <w:rFonts w:ascii="Verdana" w:hAnsi="Verdana"/>
          <w:bCs/>
          <w:sz w:val="24"/>
          <w:szCs w:val="24"/>
        </w:rPr>
        <w:t>he inventiveness of the patent was dealt with through the leading o</w:t>
      </w:r>
      <w:r w:rsidR="00BB302D">
        <w:rPr>
          <w:rFonts w:ascii="Verdana" w:hAnsi="Verdana"/>
          <w:bCs/>
          <w:sz w:val="24"/>
          <w:szCs w:val="24"/>
        </w:rPr>
        <w:t>f</w:t>
      </w:r>
      <w:r w:rsidR="003E35B6" w:rsidRPr="003E35B6">
        <w:rPr>
          <w:rFonts w:ascii="Verdana" w:hAnsi="Verdana"/>
          <w:bCs/>
          <w:sz w:val="24"/>
          <w:szCs w:val="24"/>
        </w:rPr>
        <w:t xml:space="preserve"> expert evidence </w:t>
      </w:r>
      <w:r w:rsidR="00BB302D">
        <w:rPr>
          <w:rFonts w:ascii="Verdana" w:hAnsi="Verdana"/>
          <w:bCs/>
          <w:sz w:val="24"/>
          <w:szCs w:val="24"/>
        </w:rPr>
        <w:t xml:space="preserve">and </w:t>
      </w:r>
      <w:r w:rsidR="00564973">
        <w:rPr>
          <w:rFonts w:ascii="Verdana" w:hAnsi="Verdana"/>
          <w:bCs/>
          <w:sz w:val="24"/>
          <w:szCs w:val="24"/>
        </w:rPr>
        <w:t xml:space="preserve">comprehensively </w:t>
      </w:r>
      <w:r w:rsidR="00BB302D">
        <w:rPr>
          <w:rFonts w:ascii="Verdana" w:hAnsi="Verdana"/>
          <w:bCs/>
          <w:sz w:val="24"/>
          <w:szCs w:val="24"/>
        </w:rPr>
        <w:t xml:space="preserve">dealt with </w:t>
      </w:r>
      <w:r w:rsidR="003E35B6" w:rsidRPr="003E35B6">
        <w:rPr>
          <w:rFonts w:ascii="Verdana" w:hAnsi="Verdana"/>
          <w:bCs/>
          <w:sz w:val="24"/>
          <w:szCs w:val="24"/>
        </w:rPr>
        <w:t>in</w:t>
      </w:r>
      <w:r w:rsidR="00420D11">
        <w:rPr>
          <w:rFonts w:ascii="Verdana" w:hAnsi="Verdana"/>
          <w:bCs/>
          <w:sz w:val="24"/>
          <w:szCs w:val="24"/>
        </w:rPr>
        <w:t xml:space="preserve"> </w:t>
      </w:r>
      <w:r>
        <w:rPr>
          <w:rFonts w:ascii="Verdana" w:hAnsi="Verdana"/>
          <w:bCs/>
          <w:sz w:val="24"/>
          <w:szCs w:val="24"/>
        </w:rPr>
        <w:t xml:space="preserve">the </w:t>
      </w:r>
      <w:r w:rsidR="00420D11">
        <w:rPr>
          <w:rFonts w:ascii="Verdana" w:hAnsi="Verdana"/>
          <w:bCs/>
          <w:sz w:val="24"/>
          <w:szCs w:val="24"/>
        </w:rPr>
        <w:t xml:space="preserve">Keightley </w:t>
      </w:r>
      <w:r>
        <w:rPr>
          <w:rFonts w:ascii="Verdana" w:hAnsi="Verdana"/>
          <w:bCs/>
          <w:sz w:val="24"/>
          <w:szCs w:val="24"/>
        </w:rPr>
        <w:t>judgment</w:t>
      </w:r>
      <w:r w:rsidR="00564973">
        <w:rPr>
          <w:rFonts w:ascii="Verdana" w:hAnsi="Verdana"/>
          <w:bCs/>
          <w:sz w:val="24"/>
          <w:szCs w:val="24"/>
        </w:rPr>
        <w:t xml:space="preserve">, </w:t>
      </w:r>
      <w:r w:rsidR="00564973">
        <w:rPr>
          <w:rFonts w:ascii="Verdana" w:hAnsi="Verdana"/>
          <w:bCs/>
          <w:sz w:val="24"/>
          <w:szCs w:val="24"/>
        </w:rPr>
        <w:lastRenderedPageBreak/>
        <w:t>and it thus follows that any findings made on the inventi</w:t>
      </w:r>
      <w:r w:rsidR="007E21F3">
        <w:rPr>
          <w:rFonts w:ascii="Verdana" w:hAnsi="Verdana"/>
          <w:bCs/>
          <w:sz w:val="24"/>
          <w:szCs w:val="24"/>
        </w:rPr>
        <w:t>veness of the patent</w:t>
      </w:r>
      <w:r w:rsidR="00564973">
        <w:rPr>
          <w:rFonts w:ascii="Verdana" w:hAnsi="Verdana"/>
          <w:bCs/>
          <w:sz w:val="24"/>
          <w:szCs w:val="24"/>
        </w:rPr>
        <w:t xml:space="preserve"> stands until set aside </w:t>
      </w:r>
      <w:r w:rsidR="00CD1E06">
        <w:rPr>
          <w:rFonts w:ascii="Verdana" w:hAnsi="Verdana"/>
          <w:bCs/>
          <w:sz w:val="24"/>
          <w:szCs w:val="24"/>
        </w:rPr>
        <w:t>on appeal</w:t>
      </w:r>
      <w:r w:rsidR="00564973">
        <w:rPr>
          <w:rFonts w:ascii="Verdana" w:hAnsi="Verdana"/>
          <w:bCs/>
          <w:sz w:val="24"/>
          <w:szCs w:val="24"/>
        </w:rPr>
        <w:t>.</w:t>
      </w:r>
      <w:r w:rsidR="00420D11">
        <w:rPr>
          <w:rStyle w:val="FootnoteReference"/>
          <w:rFonts w:ascii="Verdana" w:hAnsi="Verdana"/>
          <w:bCs/>
          <w:sz w:val="24"/>
          <w:szCs w:val="24"/>
        </w:rPr>
        <w:footnoteReference w:id="32"/>
      </w:r>
      <w:r w:rsidR="003E35B6" w:rsidRPr="003E35B6">
        <w:rPr>
          <w:rFonts w:ascii="Verdana" w:hAnsi="Verdana"/>
          <w:bCs/>
          <w:sz w:val="24"/>
          <w:szCs w:val="24"/>
        </w:rPr>
        <w:t xml:space="preserve"> </w:t>
      </w:r>
    </w:p>
    <w:p w14:paraId="4B5ABEB7" w14:textId="77777777" w:rsidR="00BB302D" w:rsidRDefault="00BB302D" w:rsidP="003E35B6">
      <w:pPr>
        <w:tabs>
          <w:tab w:val="left" w:pos="3640"/>
        </w:tabs>
        <w:spacing w:line="480" w:lineRule="auto"/>
        <w:jc w:val="both"/>
        <w:rPr>
          <w:rFonts w:ascii="Verdana" w:hAnsi="Verdana"/>
          <w:bCs/>
          <w:sz w:val="24"/>
          <w:szCs w:val="24"/>
        </w:rPr>
      </w:pPr>
    </w:p>
    <w:p w14:paraId="24A00917" w14:textId="56E8D04A" w:rsidR="0064058E" w:rsidRDefault="00BB302D" w:rsidP="003E35B6">
      <w:pPr>
        <w:tabs>
          <w:tab w:val="left" w:pos="3640"/>
        </w:tabs>
        <w:spacing w:line="480" w:lineRule="auto"/>
        <w:jc w:val="both"/>
        <w:rPr>
          <w:rFonts w:ascii="Verdana" w:hAnsi="Verdana"/>
          <w:bCs/>
          <w:sz w:val="24"/>
          <w:szCs w:val="24"/>
        </w:rPr>
      </w:pPr>
      <w:r>
        <w:rPr>
          <w:rFonts w:ascii="Verdana" w:hAnsi="Verdana"/>
          <w:bCs/>
          <w:sz w:val="24"/>
          <w:szCs w:val="24"/>
        </w:rPr>
        <w:t>4</w:t>
      </w:r>
      <w:r w:rsidR="007E21F3">
        <w:rPr>
          <w:rFonts w:ascii="Verdana" w:hAnsi="Verdana"/>
          <w:bCs/>
          <w:sz w:val="24"/>
          <w:szCs w:val="24"/>
        </w:rPr>
        <w:t>7</w:t>
      </w:r>
      <w:r>
        <w:rPr>
          <w:rFonts w:ascii="Verdana" w:hAnsi="Verdana"/>
          <w:bCs/>
          <w:sz w:val="24"/>
          <w:szCs w:val="24"/>
        </w:rPr>
        <w:t>.</w:t>
      </w:r>
      <w:r w:rsidRPr="00BB302D">
        <w:rPr>
          <w:rFonts w:ascii="Verdana" w:hAnsi="Verdana"/>
          <w:bCs/>
          <w:sz w:val="24"/>
          <w:szCs w:val="24"/>
        </w:rPr>
        <w:t xml:space="preserve"> </w:t>
      </w:r>
      <w:r>
        <w:rPr>
          <w:rFonts w:ascii="Verdana" w:hAnsi="Verdana"/>
          <w:bCs/>
          <w:sz w:val="24"/>
          <w:szCs w:val="24"/>
        </w:rPr>
        <w:t>In addition the first respondent attacks</w:t>
      </w:r>
      <w:r w:rsidRPr="00846419">
        <w:rPr>
          <w:rFonts w:ascii="Verdana" w:hAnsi="Verdana"/>
          <w:bCs/>
          <w:sz w:val="24"/>
          <w:szCs w:val="24"/>
        </w:rPr>
        <w:t xml:space="preserve"> the validity of the patent </w:t>
      </w:r>
      <w:r w:rsidR="005A174A">
        <w:rPr>
          <w:rFonts w:ascii="Verdana" w:hAnsi="Verdana"/>
          <w:bCs/>
          <w:sz w:val="24"/>
          <w:szCs w:val="24"/>
        </w:rPr>
        <w:t>under</w:t>
      </w:r>
      <w:r w:rsidRPr="00846419">
        <w:rPr>
          <w:rFonts w:ascii="Verdana" w:hAnsi="Verdana"/>
          <w:bCs/>
          <w:sz w:val="24"/>
          <w:szCs w:val="24"/>
        </w:rPr>
        <w:t xml:space="preserve"> section 25 of the Patents Act</w:t>
      </w:r>
      <w:r>
        <w:rPr>
          <w:rFonts w:ascii="Verdana" w:hAnsi="Verdana"/>
          <w:bCs/>
          <w:sz w:val="24"/>
          <w:szCs w:val="24"/>
        </w:rPr>
        <w:t>. This is done in circumstances where the first respondent attacks the constitutionality of section 25 of the Patents Act</w:t>
      </w:r>
      <w:r w:rsidR="0064058E">
        <w:rPr>
          <w:rFonts w:ascii="Verdana" w:hAnsi="Verdana"/>
          <w:bCs/>
          <w:sz w:val="24"/>
          <w:szCs w:val="24"/>
        </w:rPr>
        <w:t>.</w:t>
      </w:r>
    </w:p>
    <w:p w14:paraId="5CFFDED5" w14:textId="25692A33" w:rsidR="00BB302D" w:rsidRPr="003E35B6" w:rsidRDefault="00BB302D" w:rsidP="003E35B6">
      <w:pPr>
        <w:tabs>
          <w:tab w:val="left" w:pos="3640"/>
        </w:tabs>
        <w:spacing w:line="480" w:lineRule="auto"/>
        <w:jc w:val="both"/>
        <w:rPr>
          <w:rFonts w:ascii="Verdana" w:hAnsi="Verdana"/>
          <w:bCs/>
          <w:sz w:val="24"/>
          <w:szCs w:val="24"/>
        </w:rPr>
      </w:pPr>
    </w:p>
    <w:p w14:paraId="707A51F0" w14:textId="77777777" w:rsidR="002236BF" w:rsidRDefault="008016A5" w:rsidP="003E35B6">
      <w:pPr>
        <w:tabs>
          <w:tab w:val="left" w:pos="3640"/>
        </w:tabs>
        <w:spacing w:line="480" w:lineRule="auto"/>
        <w:jc w:val="both"/>
        <w:rPr>
          <w:rFonts w:ascii="Verdana" w:hAnsi="Verdana"/>
          <w:bCs/>
          <w:sz w:val="24"/>
          <w:szCs w:val="24"/>
        </w:rPr>
      </w:pPr>
      <w:r>
        <w:rPr>
          <w:rFonts w:ascii="Verdana" w:hAnsi="Verdana"/>
          <w:bCs/>
          <w:sz w:val="24"/>
          <w:szCs w:val="24"/>
        </w:rPr>
        <w:t>4</w:t>
      </w:r>
      <w:r w:rsidR="007E21F3">
        <w:rPr>
          <w:rFonts w:ascii="Verdana" w:hAnsi="Verdana"/>
          <w:bCs/>
          <w:sz w:val="24"/>
          <w:szCs w:val="24"/>
        </w:rPr>
        <w:t>8</w:t>
      </w:r>
      <w:r w:rsidR="00420D11">
        <w:rPr>
          <w:rFonts w:ascii="Verdana" w:hAnsi="Verdana"/>
          <w:bCs/>
          <w:sz w:val="24"/>
          <w:szCs w:val="24"/>
        </w:rPr>
        <w:t xml:space="preserve">. </w:t>
      </w:r>
      <w:r w:rsidR="003E35B6" w:rsidRPr="003E35B6">
        <w:rPr>
          <w:rFonts w:ascii="Verdana" w:hAnsi="Verdana"/>
          <w:bCs/>
          <w:sz w:val="24"/>
          <w:szCs w:val="24"/>
        </w:rPr>
        <w:t xml:space="preserve">Aside from </w:t>
      </w:r>
      <w:r w:rsidR="007E21F3">
        <w:rPr>
          <w:rFonts w:ascii="Verdana" w:hAnsi="Verdana"/>
          <w:bCs/>
          <w:sz w:val="24"/>
          <w:szCs w:val="24"/>
        </w:rPr>
        <w:t>the first respondents</w:t>
      </w:r>
      <w:r w:rsidR="003E35B6" w:rsidRPr="003E35B6">
        <w:rPr>
          <w:rFonts w:ascii="Verdana" w:hAnsi="Verdana"/>
          <w:bCs/>
          <w:sz w:val="24"/>
          <w:szCs w:val="24"/>
        </w:rPr>
        <w:t>’ wholly unsubstantiated attack on the inventiveness of the patent, Mr Welz appears to suggest that section 25 of the Patents Act, which is the cornerstone of the entire Patents Act and which has never been the subject of a Constitutional challenge (despite not having changed materially sinc</w:t>
      </w:r>
      <w:r w:rsidR="00420D11">
        <w:rPr>
          <w:rFonts w:ascii="Verdana" w:hAnsi="Verdana"/>
          <w:bCs/>
          <w:sz w:val="24"/>
          <w:szCs w:val="24"/>
        </w:rPr>
        <w:t>e 1994), is unconstitutional.</w:t>
      </w:r>
      <w:r w:rsidR="00420D11">
        <w:rPr>
          <w:rStyle w:val="FootnoteReference"/>
          <w:rFonts w:ascii="Verdana" w:hAnsi="Verdana"/>
          <w:bCs/>
          <w:sz w:val="24"/>
          <w:szCs w:val="24"/>
        </w:rPr>
        <w:footnoteReference w:id="33"/>
      </w:r>
      <w:r w:rsidR="00904BDE">
        <w:rPr>
          <w:rFonts w:ascii="Verdana" w:hAnsi="Verdana"/>
          <w:bCs/>
          <w:sz w:val="24"/>
          <w:szCs w:val="24"/>
        </w:rPr>
        <w:t xml:space="preserve"> </w:t>
      </w:r>
    </w:p>
    <w:p w14:paraId="4B43FAA5" w14:textId="77777777" w:rsidR="002236BF" w:rsidRDefault="002236BF" w:rsidP="003E35B6">
      <w:pPr>
        <w:tabs>
          <w:tab w:val="left" w:pos="3640"/>
        </w:tabs>
        <w:spacing w:line="480" w:lineRule="auto"/>
        <w:jc w:val="both"/>
        <w:rPr>
          <w:rFonts w:ascii="Verdana" w:hAnsi="Verdana"/>
          <w:bCs/>
          <w:sz w:val="24"/>
          <w:szCs w:val="24"/>
        </w:rPr>
      </w:pPr>
    </w:p>
    <w:p w14:paraId="0B0DE9AB" w14:textId="02CCAA71" w:rsidR="003E35B6" w:rsidRDefault="002236BF" w:rsidP="003E35B6">
      <w:pPr>
        <w:tabs>
          <w:tab w:val="left" w:pos="3640"/>
        </w:tabs>
        <w:spacing w:line="480" w:lineRule="auto"/>
        <w:jc w:val="both"/>
        <w:rPr>
          <w:rFonts w:ascii="Verdana" w:hAnsi="Verdana"/>
          <w:bCs/>
          <w:sz w:val="24"/>
          <w:szCs w:val="24"/>
        </w:rPr>
      </w:pPr>
      <w:r>
        <w:rPr>
          <w:rFonts w:ascii="Verdana" w:hAnsi="Verdana"/>
          <w:bCs/>
          <w:sz w:val="24"/>
          <w:szCs w:val="24"/>
        </w:rPr>
        <w:t xml:space="preserve">49. </w:t>
      </w:r>
      <w:r w:rsidR="003E35B6" w:rsidRPr="003E35B6">
        <w:rPr>
          <w:rFonts w:ascii="Verdana" w:hAnsi="Verdana"/>
          <w:bCs/>
          <w:sz w:val="24"/>
          <w:szCs w:val="24"/>
        </w:rPr>
        <w:t xml:space="preserve">It is not clear from Mr Welz’s affidavit why </w:t>
      </w:r>
      <w:r>
        <w:rPr>
          <w:rFonts w:ascii="Verdana" w:hAnsi="Verdana"/>
          <w:bCs/>
          <w:sz w:val="24"/>
          <w:szCs w:val="24"/>
        </w:rPr>
        <w:t>the first respondent</w:t>
      </w:r>
      <w:r w:rsidR="003E35B6" w:rsidRPr="003E35B6">
        <w:rPr>
          <w:rFonts w:ascii="Verdana" w:hAnsi="Verdana"/>
          <w:bCs/>
          <w:sz w:val="24"/>
          <w:szCs w:val="24"/>
        </w:rPr>
        <w:t xml:space="preserve"> maintains that section 25 of the Patents Act is unconstitutional. Nor indeed is it clear which of the 12 subsections that make up section 25 is alleged to fall foul of the Constitution, and in what respect.</w:t>
      </w:r>
    </w:p>
    <w:p w14:paraId="2FC9FD52" w14:textId="77777777" w:rsidR="00904BDE" w:rsidRDefault="00904BDE" w:rsidP="003E35B6">
      <w:pPr>
        <w:tabs>
          <w:tab w:val="left" w:pos="3640"/>
        </w:tabs>
        <w:spacing w:line="480" w:lineRule="auto"/>
        <w:jc w:val="both"/>
        <w:rPr>
          <w:rFonts w:ascii="Verdana" w:hAnsi="Verdana"/>
          <w:bCs/>
          <w:sz w:val="24"/>
          <w:szCs w:val="24"/>
        </w:rPr>
      </w:pPr>
    </w:p>
    <w:p w14:paraId="211D17E5" w14:textId="40F102FD" w:rsidR="005112E9" w:rsidRDefault="005112E9" w:rsidP="00904BDE">
      <w:pPr>
        <w:tabs>
          <w:tab w:val="left" w:pos="3640"/>
        </w:tabs>
        <w:spacing w:line="480" w:lineRule="auto"/>
        <w:jc w:val="both"/>
        <w:rPr>
          <w:rFonts w:ascii="Verdana" w:hAnsi="Verdana"/>
          <w:bCs/>
          <w:sz w:val="24"/>
          <w:szCs w:val="24"/>
        </w:rPr>
      </w:pPr>
      <w:r>
        <w:rPr>
          <w:rFonts w:ascii="Verdana" w:hAnsi="Verdana"/>
          <w:bCs/>
          <w:sz w:val="24"/>
          <w:szCs w:val="24"/>
        </w:rPr>
        <w:lastRenderedPageBreak/>
        <w:t>50</w:t>
      </w:r>
      <w:r w:rsidR="00904BDE">
        <w:rPr>
          <w:rFonts w:ascii="Verdana" w:hAnsi="Verdana"/>
          <w:bCs/>
          <w:sz w:val="24"/>
          <w:szCs w:val="24"/>
        </w:rPr>
        <w:t xml:space="preserve">. </w:t>
      </w:r>
      <w:r>
        <w:rPr>
          <w:rFonts w:ascii="Verdana" w:hAnsi="Verdana"/>
          <w:bCs/>
          <w:sz w:val="24"/>
          <w:szCs w:val="24"/>
        </w:rPr>
        <w:t xml:space="preserve">The complaint of Mr Welz is rather that in the Dr Reddy’s judgment the court </w:t>
      </w:r>
      <w:r w:rsidRPr="00904BDE">
        <w:rPr>
          <w:rFonts w:ascii="Verdana" w:hAnsi="Verdana"/>
          <w:bCs/>
          <w:sz w:val="24"/>
          <w:szCs w:val="24"/>
        </w:rPr>
        <w:t>ought not to have found, prima facie, that Swiss form claims to dosage regimens are allowable under the Patents Act.</w:t>
      </w:r>
      <w:r>
        <w:rPr>
          <w:rFonts w:ascii="Verdana" w:hAnsi="Verdana"/>
          <w:bCs/>
          <w:sz w:val="24"/>
          <w:szCs w:val="24"/>
        </w:rPr>
        <w:t xml:space="preserve"> </w:t>
      </w:r>
    </w:p>
    <w:p w14:paraId="1C87880C" w14:textId="77777777" w:rsidR="005112E9" w:rsidRDefault="005112E9" w:rsidP="00904BDE">
      <w:pPr>
        <w:tabs>
          <w:tab w:val="left" w:pos="3640"/>
        </w:tabs>
        <w:spacing w:line="480" w:lineRule="auto"/>
        <w:jc w:val="both"/>
        <w:rPr>
          <w:rFonts w:ascii="Verdana" w:hAnsi="Verdana"/>
          <w:bCs/>
          <w:sz w:val="24"/>
          <w:szCs w:val="24"/>
        </w:rPr>
      </w:pPr>
    </w:p>
    <w:p w14:paraId="5BC667A5" w14:textId="77777777" w:rsidR="005112E9" w:rsidRDefault="005112E9" w:rsidP="00904BDE">
      <w:pPr>
        <w:tabs>
          <w:tab w:val="left" w:pos="3640"/>
        </w:tabs>
        <w:spacing w:line="480" w:lineRule="auto"/>
        <w:jc w:val="both"/>
        <w:rPr>
          <w:rFonts w:ascii="Verdana" w:hAnsi="Verdana"/>
          <w:bCs/>
          <w:sz w:val="24"/>
          <w:szCs w:val="24"/>
        </w:rPr>
      </w:pPr>
      <w:r>
        <w:rPr>
          <w:rFonts w:ascii="Verdana" w:hAnsi="Verdana"/>
          <w:bCs/>
          <w:sz w:val="24"/>
          <w:szCs w:val="24"/>
        </w:rPr>
        <w:t xml:space="preserve">51. </w:t>
      </w:r>
      <w:r w:rsidR="00904BDE" w:rsidRPr="00904BDE">
        <w:rPr>
          <w:rFonts w:ascii="Verdana" w:hAnsi="Verdana"/>
          <w:bCs/>
          <w:sz w:val="24"/>
          <w:szCs w:val="24"/>
        </w:rPr>
        <w:t>In fact, wh</w:t>
      </w:r>
      <w:r w:rsidR="00904BDE">
        <w:rPr>
          <w:rFonts w:ascii="Verdana" w:hAnsi="Verdana"/>
          <w:bCs/>
          <w:sz w:val="24"/>
          <w:szCs w:val="24"/>
        </w:rPr>
        <w:t>en one reads what Mr Welz says</w:t>
      </w:r>
      <w:r w:rsidR="00904BDE">
        <w:rPr>
          <w:rStyle w:val="FootnoteReference"/>
          <w:rFonts w:ascii="Verdana" w:hAnsi="Verdana"/>
          <w:bCs/>
          <w:sz w:val="24"/>
          <w:szCs w:val="24"/>
        </w:rPr>
        <w:footnoteReference w:id="34"/>
      </w:r>
      <w:r w:rsidR="00904BDE" w:rsidRPr="00904BDE">
        <w:rPr>
          <w:rFonts w:ascii="Verdana" w:hAnsi="Verdana"/>
          <w:bCs/>
          <w:sz w:val="24"/>
          <w:szCs w:val="24"/>
        </w:rPr>
        <w:t xml:space="preserve">, </w:t>
      </w:r>
      <w:r>
        <w:rPr>
          <w:rFonts w:ascii="Verdana" w:hAnsi="Verdana"/>
          <w:bCs/>
          <w:sz w:val="24"/>
          <w:szCs w:val="24"/>
        </w:rPr>
        <w:t>what Keightley J ought to have found</w:t>
      </w:r>
      <w:r w:rsidR="00904BDE" w:rsidRPr="00904BDE">
        <w:rPr>
          <w:rFonts w:ascii="Verdana" w:hAnsi="Verdana"/>
          <w:bCs/>
          <w:sz w:val="24"/>
          <w:szCs w:val="24"/>
        </w:rPr>
        <w:t xml:space="preserve"> is that “</w:t>
      </w:r>
      <w:r w:rsidR="00904BDE" w:rsidRPr="00904BDE">
        <w:rPr>
          <w:rFonts w:ascii="Verdana" w:hAnsi="Verdana"/>
          <w:bCs/>
          <w:i/>
          <w:sz w:val="24"/>
          <w:szCs w:val="24"/>
        </w:rPr>
        <w:t>absent exceptional circumstances, a new dosage claim in respect of an existing medicine, for the same invention, ought not to be a patentable invention”.</w:t>
      </w:r>
      <w:r w:rsidR="00904BDE">
        <w:rPr>
          <w:rStyle w:val="FootnoteReference"/>
          <w:rFonts w:ascii="Verdana" w:hAnsi="Verdana"/>
          <w:bCs/>
          <w:i/>
          <w:sz w:val="24"/>
          <w:szCs w:val="24"/>
        </w:rPr>
        <w:footnoteReference w:id="35"/>
      </w:r>
      <w:r w:rsidR="00904BDE" w:rsidRPr="00904BDE">
        <w:rPr>
          <w:rFonts w:ascii="Verdana" w:hAnsi="Verdana"/>
          <w:bCs/>
          <w:sz w:val="24"/>
          <w:szCs w:val="24"/>
        </w:rPr>
        <w:t xml:space="preserve"> </w:t>
      </w:r>
    </w:p>
    <w:p w14:paraId="6EDC6029" w14:textId="77777777" w:rsidR="005112E9" w:rsidRDefault="005112E9" w:rsidP="00904BDE">
      <w:pPr>
        <w:tabs>
          <w:tab w:val="left" w:pos="3640"/>
        </w:tabs>
        <w:spacing w:line="480" w:lineRule="auto"/>
        <w:jc w:val="both"/>
        <w:rPr>
          <w:rFonts w:ascii="Verdana" w:hAnsi="Verdana"/>
          <w:bCs/>
          <w:sz w:val="24"/>
          <w:szCs w:val="24"/>
        </w:rPr>
      </w:pPr>
    </w:p>
    <w:p w14:paraId="7307EF1B" w14:textId="26E42F0B" w:rsidR="00904BDE" w:rsidRDefault="005112E9" w:rsidP="00904BDE">
      <w:pPr>
        <w:tabs>
          <w:tab w:val="left" w:pos="3640"/>
        </w:tabs>
        <w:spacing w:line="480" w:lineRule="auto"/>
        <w:jc w:val="both"/>
        <w:rPr>
          <w:rFonts w:ascii="Verdana" w:hAnsi="Verdana"/>
          <w:bCs/>
          <w:sz w:val="24"/>
          <w:szCs w:val="24"/>
        </w:rPr>
      </w:pPr>
      <w:r>
        <w:rPr>
          <w:rFonts w:ascii="Verdana" w:hAnsi="Verdana"/>
          <w:bCs/>
          <w:sz w:val="24"/>
          <w:szCs w:val="24"/>
        </w:rPr>
        <w:t>52. On behalf of the applicant it was argued that this in fact</w:t>
      </w:r>
      <w:r w:rsidR="00904BDE" w:rsidRPr="00904BDE">
        <w:rPr>
          <w:rFonts w:ascii="Verdana" w:hAnsi="Verdana"/>
          <w:bCs/>
          <w:sz w:val="24"/>
          <w:szCs w:val="24"/>
        </w:rPr>
        <w:t xml:space="preserve"> is not an attack on the Constitutionality of section 25. It is </w:t>
      </w:r>
      <w:r>
        <w:rPr>
          <w:rFonts w:ascii="Verdana" w:hAnsi="Verdana"/>
          <w:bCs/>
          <w:sz w:val="24"/>
          <w:szCs w:val="24"/>
        </w:rPr>
        <w:t xml:space="preserve">instead </w:t>
      </w:r>
      <w:r w:rsidR="00904BDE" w:rsidRPr="00904BDE">
        <w:rPr>
          <w:rFonts w:ascii="Verdana" w:hAnsi="Verdana"/>
          <w:bCs/>
          <w:sz w:val="24"/>
          <w:szCs w:val="24"/>
        </w:rPr>
        <w:t>an attack on the interpretation of the section adopted in the Dr Reddy’s judgment, on Constitutional grounds.</w:t>
      </w:r>
    </w:p>
    <w:p w14:paraId="50C7138E" w14:textId="77777777" w:rsidR="005112E9" w:rsidRDefault="005112E9" w:rsidP="00904BDE">
      <w:pPr>
        <w:tabs>
          <w:tab w:val="left" w:pos="3640"/>
        </w:tabs>
        <w:spacing w:line="480" w:lineRule="auto"/>
        <w:jc w:val="both"/>
        <w:rPr>
          <w:rFonts w:ascii="Verdana" w:hAnsi="Verdana"/>
          <w:bCs/>
          <w:sz w:val="24"/>
          <w:szCs w:val="24"/>
        </w:rPr>
      </w:pPr>
    </w:p>
    <w:p w14:paraId="0DF995C1" w14:textId="5E9C5712" w:rsidR="005112E9" w:rsidRDefault="005112E9" w:rsidP="005112E9">
      <w:pPr>
        <w:tabs>
          <w:tab w:val="left" w:pos="3640"/>
        </w:tabs>
        <w:spacing w:line="480" w:lineRule="auto"/>
        <w:jc w:val="both"/>
        <w:rPr>
          <w:rFonts w:ascii="Verdana" w:hAnsi="Verdana"/>
          <w:bCs/>
          <w:sz w:val="24"/>
          <w:szCs w:val="24"/>
        </w:rPr>
      </w:pPr>
      <w:r>
        <w:rPr>
          <w:rFonts w:ascii="Verdana" w:hAnsi="Verdana"/>
          <w:bCs/>
          <w:sz w:val="24"/>
          <w:szCs w:val="24"/>
        </w:rPr>
        <w:t>53.</w:t>
      </w:r>
      <w:r w:rsidRPr="00904BDE">
        <w:rPr>
          <w:rFonts w:ascii="Verdana" w:hAnsi="Verdana"/>
          <w:bCs/>
          <w:sz w:val="24"/>
          <w:szCs w:val="24"/>
        </w:rPr>
        <w:t xml:space="preserve"> Mr Welz’ affidavit</w:t>
      </w:r>
      <w:r w:rsidR="000C399C">
        <w:rPr>
          <w:rFonts w:ascii="Verdana" w:hAnsi="Verdana"/>
          <w:bCs/>
          <w:sz w:val="24"/>
          <w:szCs w:val="24"/>
        </w:rPr>
        <w:t>, I agree,</w:t>
      </w:r>
      <w:r w:rsidRPr="00904BDE">
        <w:rPr>
          <w:rFonts w:ascii="Verdana" w:hAnsi="Verdana"/>
          <w:bCs/>
          <w:sz w:val="24"/>
          <w:szCs w:val="24"/>
        </w:rPr>
        <w:t xml:space="preserve"> </w:t>
      </w:r>
      <w:r>
        <w:rPr>
          <w:rFonts w:ascii="Verdana" w:hAnsi="Verdana"/>
          <w:bCs/>
          <w:sz w:val="24"/>
          <w:szCs w:val="24"/>
        </w:rPr>
        <w:t xml:space="preserve">fails to disclose any facts </w:t>
      </w:r>
      <w:r w:rsidRPr="00904BDE">
        <w:rPr>
          <w:rFonts w:ascii="Verdana" w:hAnsi="Verdana"/>
          <w:bCs/>
          <w:sz w:val="24"/>
          <w:szCs w:val="24"/>
        </w:rPr>
        <w:t>relevant to the determination of the Constitutionality of section 25 of the Act</w:t>
      </w:r>
      <w:r>
        <w:rPr>
          <w:rFonts w:ascii="Verdana" w:hAnsi="Verdana"/>
          <w:bCs/>
          <w:sz w:val="24"/>
          <w:szCs w:val="24"/>
        </w:rPr>
        <w:t xml:space="preserve">, and in the absence thereof, </w:t>
      </w:r>
      <w:r w:rsidR="001477DB">
        <w:rPr>
          <w:rFonts w:ascii="Verdana" w:hAnsi="Verdana"/>
          <w:bCs/>
          <w:sz w:val="24"/>
          <w:szCs w:val="24"/>
        </w:rPr>
        <w:t>this Court</w:t>
      </w:r>
      <w:r>
        <w:rPr>
          <w:rFonts w:ascii="Verdana" w:hAnsi="Verdana"/>
          <w:bCs/>
          <w:sz w:val="24"/>
          <w:szCs w:val="24"/>
        </w:rPr>
        <w:t xml:space="preserve"> cannot</w:t>
      </w:r>
      <w:r w:rsidR="001477DB">
        <w:rPr>
          <w:rFonts w:ascii="Verdana" w:hAnsi="Verdana"/>
          <w:bCs/>
          <w:sz w:val="24"/>
          <w:szCs w:val="24"/>
        </w:rPr>
        <w:t xml:space="preserve"> be called upon to determine constitutionality of section 25 of the Act.</w:t>
      </w:r>
      <w:r>
        <w:rPr>
          <w:rFonts w:ascii="Verdana" w:hAnsi="Verdana"/>
          <w:bCs/>
          <w:sz w:val="24"/>
          <w:szCs w:val="24"/>
        </w:rPr>
        <w:t xml:space="preserve"> </w:t>
      </w:r>
    </w:p>
    <w:p w14:paraId="5C98A501" w14:textId="77777777" w:rsidR="000C399C" w:rsidRDefault="000C399C" w:rsidP="005112E9">
      <w:pPr>
        <w:tabs>
          <w:tab w:val="left" w:pos="3640"/>
        </w:tabs>
        <w:spacing w:line="480" w:lineRule="auto"/>
        <w:jc w:val="both"/>
        <w:rPr>
          <w:rFonts w:ascii="Verdana" w:hAnsi="Verdana"/>
          <w:bCs/>
          <w:sz w:val="24"/>
          <w:szCs w:val="24"/>
        </w:rPr>
      </w:pPr>
    </w:p>
    <w:p w14:paraId="5ED3F9EA" w14:textId="1000889D" w:rsidR="000C399C" w:rsidRPr="00904BDE" w:rsidRDefault="000C399C" w:rsidP="005112E9">
      <w:pPr>
        <w:tabs>
          <w:tab w:val="left" w:pos="3640"/>
        </w:tabs>
        <w:spacing w:line="480" w:lineRule="auto"/>
        <w:jc w:val="both"/>
        <w:rPr>
          <w:rFonts w:ascii="Verdana" w:hAnsi="Verdana"/>
          <w:bCs/>
          <w:sz w:val="24"/>
          <w:szCs w:val="24"/>
        </w:rPr>
      </w:pPr>
      <w:r>
        <w:rPr>
          <w:rFonts w:ascii="Verdana" w:hAnsi="Verdana"/>
          <w:bCs/>
          <w:sz w:val="24"/>
          <w:szCs w:val="24"/>
        </w:rPr>
        <w:t xml:space="preserve">54. Consequently, </w:t>
      </w:r>
      <w:r w:rsidR="00CD1E06">
        <w:rPr>
          <w:rFonts w:ascii="Verdana" w:hAnsi="Verdana"/>
          <w:bCs/>
          <w:sz w:val="24"/>
          <w:szCs w:val="24"/>
        </w:rPr>
        <w:t xml:space="preserve">absent a challenge on the </w:t>
      </w:r>
      <w:r w:rsidR="000B79E4">
        <w:rPr>
          <w:rFonts w:ascii="Verdana" w:hAnsi="Verdana"/>
          <w:bCs/>
          <w:sz w:val="24"/>
          <w:szCs w:val="24"/>
        </w:rPr>
        <w:t>Bayer</w:t>
      </w:r>
      <w:r w:rsidR="00CD1E06">
        <w:rPr>
          <w:rFonts w:ascii="Verdana" w:hAnsi="Verdana"/>
          <w:bCs/>
          <w:sz w:val="24"/>
          <w:szCs w:val="24"/>
        </w:rPr>
        <w:t xml:space="preserve"> patent as found by Keightley J, </w:t>
      </w:r>
      <w:r>
        <w:rPr>
          <w:rFonts w:ascii="Verdana" w:hAnsi="Verdana"/>
          <w:bCs/>
          <w:sz w:val="24"/>
          <w:szCs w:val="24"/>
        </w:rPr>
        <w:t>I cannot but conclude that the applicant has satisfied the first requirement of having</w:t>
      </w:r>
      <w:r w:rsidR="002E0D11">
        <w:rPr>
          <w:rFonts w:ascii="Verdana" w:hAnsi="Verdana"/>
          <w:bCs/>
          <w:sz w:val="24"/>
          <w:szCs w:val="24"/>
        </w:rPr>
        <w:t xml:space="preserve"> a </w:t>
      </w:r>
      <w:r>
        <w:rPr>
          <w:rFonts w:ascii="Verdana" w:hAnsi="Verdana"/>
          <w:bCs/>
          <w:sz w:val="24"/>
          <w:szCs w:val="24"/>
        </w:rPr>
        <w:t>prima facie right in respect of which protection is to be afforded.</w:t>
      </w:r>
    </w:p>
    <w:p w14:paraId="19FA6C8E" w14:textId="3AF2D81E" w:rsidR="005112E9" w:rsidRDefault="005112E9" w:rsidP="00904BDE">
      <w:pPr>
        <w:tabs>
          <w:tab w:val="left" w:pos="3640"/>
        </w:tabs>
        <w:spacing w:line="480" w:lineRule="auto"/>
        <w:jc w:val="both"/>
        <w:rPr>
          <w:rFonts w:ascii="Verdana" w:hAnsi="Verdana"/>
          <w:bCs/>
          <w:sz w:val="24"/>
          <w:szCs w:val="24"/>
        </w:rPr>
      </w:pPr>
    </w:p>
    <w:p w14:paraId="1AA5B81B" w14:textId="65AF6889" w:rsidR="005112E9" w:rsidRDefault="00381D22" w:rsidP="00904BDE">
      <w:pPr>
        <w:tabs>
          <w:tab w:val="left" w:pos="3640"/>
        </w:tabs>
        <w:spacing w:line="480" w:lineRule="auto"/>
        <w:jc w:val="both"/>
        <w:rPr>
          <w:rFonts w:ascii="Verdana" w:hAnsi="Verdana"/>
          <w:bCs/>
          <w:sz w:val="24"/>
          <w:szCs w:val="24"/>
        </w:rPr>
      </w:pPr>
      <w:r>
        <w:rPr>
          <w:rFonts w:ascii="Verdana" w:hAnsi="Verdana"/>
          <w:bCs/>
          <w:sz w:val="24"/>
          <w:szCs w:val="24"/>
        </w:rPr>
        <w:t>IRREPARABLE HARM, BALANCE OF CONVENIENCE AND NO ALTERNATIVE REMEDY.</w:t>
      </w:r>
    </w:p>
    <w:p w14:paraId="7520CD32" w14:textId="27F2D363" w:rsidR="00381D22" w:rsidRDefault="005112E9" w:rsidP="00854E0D">
      <w:pPr>
        <w:tabs>
          <w:tab w:val="left" w:pos="3640"/>
        </w:tabs>
        <w:spacing w:line="480" w:lineRule="auto"/>
        <w:jc w:val="both"/>
        <w:rPr>
          <w:rFonts w:ascii="Verdana" w:hAnsi="Verdana"/>
          <w:bCs/>
          <w:sz w:val="24"/>
          <w:szCs w:val="24"/>
        </w:rPr>
      </w:pPr>
      <w:r>
        <w:rPr>
          <w:rFonts w:ascii="Verdana" w:hAnsi="Verdana"/>
          <w:bCs/>
          <w:sz w:val="24"/>
          <w:szCs w:val="24"/>
        </w:rPr>
        <w:t>5</w:t>
      </w:r>
      <w:r w:rsidR="002E0D11">
        <w:rPr>
          <w:rFonts w:ascii="Verdana" w:hAnsi="Verdana"/>
          <w:bCs/>
          <w:sz w:val="24"/>
          <w:szCs w:val="24"/>
        </w:rPr>
        <w:t>5</w:t>
      </w:r>
      <w:r>
        <w:rPr>
          <w:rFonts w:ascii="Verdana" w:hAnsi="Verdana"/>
          <w:bCs/>
          <w:sz w:val="24"/>
          <w:szCs w:val="24"/>
        </w:rPr>
        <w:t>.</w:t>
      </w:r>
      <w:r w:rsidR="00381D22">
        <w:rPr>
          <w:rFonts w:ascii="Verdana" w:hAnsi="Verdana"/>
          <w:bCs/>
          <w:sz w:val="24"/>
          <w:szCs w:val="24"/>
        </w:rPr>
        <w:t xml:space="preserve"> In relation to the further requirements which should be met, the applicant</w:t>
      </w:r>
      <w:r w:rsidR="005A174A">
        <w:rPr>
          <w:rFonts w:ascii="Verdana" w:hAnsi="Verdana"/>
          <w:bCs/>
          <w:sz w:val="24"/>
          <w:szCs w:val="24"/>
        </w:rPr>
        <w:t>s</w:t>
      </w:r>
      <w:r w:rsidR="00381D22">
        <w:rPr>
          <w:rFonts w:ascii="Verdana" w:hAnsi="Verdana"/>
          <w:bCs/>
          <w:sz w:val="24"/>
          <w:szCs w:val="24"/>
        </w:rPr>
        <w:t xml:space="preserve"> assert that the first respondent has been</w:t>
      </w:r>
      <w:r w:rsidR="00854E0D" w:rsidRPr="00381D22">
        <w:rPr>
          <w:rFonts w:ascii="Verdana" w:hAnsi="Verdana"/>
          <w:bCs/>
          <w:sz w:val="24"/>
          <w:szCs w:val="24"/>
        </w:rPr>
        <w:t xml:space="preserve"> afforded ample time and opportunity to explain why it is that it should be allowed to continue selling a product which has already been found, prima facie, to infringe the patent and which the importer of the product (Dr Reddy’s) is not currently entitled to import or sell in South Africa. </w:t>
      </w:r>
    </w:p>
    <w:p w14:paraId="19FC49B2" w14:textId="77777777" w:rsidR="00381D22" w:rsidRDefault="00381D22" w:rsidP="00854E0D">
      <w:pPr>
        <w:tabs>
          <w:tab w:val="left" w:pos="3640"/>
        </w:tabs>
        <w:spacing w:line="480" w:lineRule="auto"/>
        <w:jc w:val="both"/>
        <w:rPr>
          <w:rFonts w:ascii="Verdana" w:hAnsi="Verdana"/>
          <w:bCs/>
          <w:sz w:val="24"/>
          <w:szCs w:val="24"/>
        </w:rPr>
      </w:pPr>
    </w:p>
    <w:p w14:paraId="63481939" w14:textId="68A94350" w:rsidR="00846419" w:rsidRDefault="00381D22" w:rsidP="00846419">
      <w:pPr>
        <w:tabs>
          <w:tab w:val="left" w:pos="3640"/>
        </w:tabs>
        <w:spacing w:line="480" w:lineRule="auto"/>
        <w:jc w:val="both"/>
        <w:rPr>
          <w:rFonts w:ascii="Verdana" w:hAnsi="Verdana"/>
          <w:bCs/>
          <w:sz w:val="24"/>
          <w:szCs w:val="24"/>
        </w:rPr>
      </w:pPr>
      <w:r>
        <w:rPr>
          <w:rFonts w:ascii="Verdana" w:hAnsi="Verdana"/>
          <w:bCs/>
          <w:sz w:val="24"/>
          <w:szCs w:val="24"/>
        </w:rPr>
        <w:t>5</w:t>
      </w:r>
      <w:r w:rsidR="002E0D11">
        <w:rPr>
          <w:rFonts w:ascii="Verdana" w:hAnsi="Verdana"/>
          <w:bCs/>
          <w:sz w:val="24"/>
          <w:szCs w:val="24"/>
        </w:rPr>
        <w:t>6</w:t>
      </w:r>
      <w:r>
        <w:rPr>
          <w:rFonts w:ascii="Verdana" w:hAnsi="Verdana"/>
          <w:bCs/>
          <w:sz w:val="24"/>
          <w:szCs w:val="24"/>
        </w:rPr>
        <w:t xml:space="preserve">. </w:t>
      </w:r>
      <w:r w:rsidR="00854E0D" w:rsidRPr="00381D22">
        <w:rPr>
          <w:rFonts w:ascii="Verdana" w:hAnsi="Verdana"/>
          <w:bCs/>
          <w:sz w:val="24"/>
          <w:szCs w:val="24"/>
        </w:rPr>
        <w:t>Despite t</w:t>
      </w:r>
      <w:r>
        <w:rPr>
          <w:rFonts w:ascii="Verdana" w:hAnsi="Verdana"/>
          <w:bCs/>
          <w:sz w:val="24"/>
          <w:szCs w:val="24"/>
        </w:rPr>
        <w:t>his finding</w:t>
      </w:r>
      <w:r w:rsidR="00854E0D" w:rsidRPr="00381D22">
        <w:rPr>
          <w:rFonts w:ascii="Verdana" w:hAnsi="Verdana"/>
          <w:bCs/>
          <w:sz w:val="24"/>
          <w:szCs w:val="24"/>
        </w:rPr>
        <w:t xml:space="preserve">, </w:t>
      </w:r>
      <w:r>
        <w:rPr>
          <w:rFonts w:ascii="Verdana" w:hAnsi="Verdana"/>
          <w:bCs/>
          <w:sz w:val="24"/>
          <w:szCs w:val="24"/>
        </w:rPr>
        <w:t>the first respondent</w:t>
      </w:r>
      <w:r w:rsidR="00854E0D" w:rsidRPr="00381D22">
        <w:rPr>
          <w:rFonts w:ascii="Verdana" w:hAnsi="Verdana"/>
          <w:bCs/>
          <w:sz w:val="24"/>
          <w:szCs w:val="24"/>
        </w:rPr>
        <w:t xml:space="preserve"> has failed to advance a credible defen</w:t>
      </w:r>
      <w:r>
        <w:rPr>
          <w:rFonts w:ascii="Verdana" w:hAnsi="Verdana"/>
          <w:bCs/>
          <w:sz w:val="24"/>
          <w:szCs w:val="24"/>
        </w:rPr>
        <w:t>s</w:t>
      </w:r>
      <w:r w:rsidR="00854E0D" w:rsidRPr="00381D22">
        <w:rPr>
          <w:rFonts w:ascii="Verdana" w:hAnsi="Verdana"/>
          <w:bCs/>
          <w:sz w:val="24"/>
          <w:szCs w:val="24"/>
        </w:rPr>
        <w:t xml:space="preserve">e to this application. </w:t>
      </w:r>
    </w:p>
    <w:p w14:paraId="2A0D1D67" w14:textId="77777777" w:rsidR="00381D22" w:rsidRPr="00381D22" w:rsidRDefault="00381D22" w:rsidP="00846419">
      <w:pPr>
        <w:tabs>
          <w:tab w:val="left" w:pos="3640"/>
        </w:tabs>
        <w:spacing w:line="480" w:lineRule="auto"/>
        <w:jc w:val="both"/>
        <w:rPr>
          <w:rFonts w:ascii="Verdana" w:hAnsi="Verdana"/>
          <w:bCs/>
          <w:sz w:val="24"/>
          <w:szCs w:val="24"/>
        </w:rPr>
      </w:pPr>
    </w:p>
    <w:p w14:paraId="2B125138" w14:textId="43B78431" w:rsidR="00A42203" w:rsidRDefault="00A42203" w:rsidP="00E874EF">
      <w:pPr>
        <w:spacing w:line="480" w:lineRule="auto"/>
        <w:jc w:val="both"/>
        <w:rPr>
          <w:rFonts w:ascii="Verdana" w:hAnsi="Verdana"/>
          <w:bCs/>
          <w:sz w:val="24"/>
          <w:szCs w:val="24"/>
        </w:rPr>
      </w:pPr>
      <w:r>
        <w:rPr>
          <w:rFonts w:ascii="Verdana" w:hAnsi="Verdana"/>
          <w:bCs/>
          <w:sz w:val="24"/>
          <w:szCs w:val="24"/>
        </w:rPr>
        <w:lastRenderedPageBreak/>
        <w:t>5</w:t>
      </w:r>
      <w:r w:rsidR="002E0D11">
        <w:rPr>
          <w:rFonts w:ascii="Verdana" w:hAnsi="Verdana"/>
          <w:bCs/>
          <w:sz w:val="24"/>
          <w:szCs w:val="24"/>
        </w:rPr>
        <w:t>7</w:t>
      </w:r>
      <w:r w:rsidR="00846419" w:rsidRPr="00846419">
        <w:rPr>
          <w:rFonts w:ascii="Verdana" w:hAnsi="Verdana"/>
          <w:bCs/>
          <w:sz w:val="24"/>
          <w:szCs w:val="24"/>
        </w:rPr>
        <w:t>.</w:t>
      </w:r>
      <w:r w:rsidR="00381D22">
        <w:rPr>
          <w:rFonts w:ascii="Verdana" w:hAnsi="Verdana"/>
          <w:bCs/>
          <w:sz w:val="24"/>
          <w:szCs w:val="24"/>
        </w:rPr>
        <w:t xml:space="preserve"> </w:t>
      </w:r>
      <w:r w:rsidR="00033A2F">
        <w:rPr>
          <w:rFonts w:ascii="Verdana" w:hAnsi="Verdana"/>
          <w:bCs/>
          <w:sz w:val="24"/>
          <w:szCs w:val="24"/>
        </w:rPr>
        <w:t xml:space="preserve">In this regard the argument advanced </w:t>
      </w:r>
      <w:r w:rsidR="00CB7912">
        <w:rPr>
          <w:rFonts w:ascii="Verdana" w:hAnsi="Verdana"/>
          <w:bCs/>
          <w:sz w:val="24"/>
          <w:szCs w:val="24"/>
        </w:rPr>
        <w:t xml:space="preserve">by the applicant </w:t>
      </w:r>
      <w:r w:rsidR="00033A2F">
        <w:rPr>
          <w:rFonts w:ascii="Verdana" w:hAnsi="Verdana"/>
          <w:bCs/>
          <w:sz w:val="24"/>
          <w:szCs w:val="24"/>
        </w:rPr>
        <w:t>is that the first respondent</w:t>
      </w:r>
      <w:r w:rsidR="00846419" w:rsidRPr="00846419">
        <w:rPr>
          <w:rFonts w:ascii="Verdana" w:hAnsi="Verdana"/>
          <w:bCs/>
          <w:sz w:val="24"/>
          <w:szCs w:val="24"/>
        </w:rPr>
        <w:t xml:space="preserve"> does not dispute that Bayer will suffer irreparable harm if it is allowed to sell its remaining stock of Rivaxored. </w:t>
      </w:r>
    </w:p>
    <w:p w14:paraId="3AE5CE70" w14:textId="77777777" w:rsidR="007E3DA5" w:rsidRDefault="007E3DA5" w:rsidP="00E874EF">
      <w:pPr>
        <w:spacing w:line="480" w:lineRule="auto"/>
        <w:jc w:val="both"/>
        <w:rPr>
          <w:rFonts w:ascii="Verdana" w:hAnsi="Verdana"/>
          <w:bCs/>
          <w:sz w:val="24"/>
          <w:szCs w:val="24"/>
        </w:rPr>
      </w:pPr>
    </w:p>
    <w:p w14:paraId="5F04193F" w14:textId="163A4002" w:rsidR="007E3DA5" w:rsidRDefault="00A42203" w:rsidP="007E3DA5">
      <w:pPr>
        <w:spacing w:line="480" w:lineRule="auto"/>
        <w:jc w:val="both"/>
        <w:rPr>
          <w:rFonts w:ascii="Verdana" w:hAnsi="Verdana"/>
          <w:bCs/>
          <w:sz w:val="24"/>
          <w:szCs w:val="24"/>
        </w:rPr>
      </w:pPr>
      <w:r>
        <w:rPr>
          <w:rFonts w:ascii="Verdana" w:hAnsi="Verdana"/>
          <w:bCs/>
          <w:sz w:val="24"/>
          <w:szCs w:val="24"/>
        </w:rPr>
        <w:t>5</w:t>
      </w:r>
      <w:r w:rsidR="002E0D11">
        <w:rPr>
          <w:rFonts w:ascii="Verdana" w:hAnsi="Verdana"/>
          <w:bCs/>
          <w:sz w:val="24"/>
          <w:szCs w:val="24"/>
        </w:rPr>
        <w:t>8</w:t>
      </w:r>
      <w:r>
        <w:rPr>
          <w:rFonts w:ascii="Verdana" w:hAnsi="Verdana"/>
          <w:bCs/>
          <w:sz w:val="24"/>
          <w:szCs w:val="24"/>
        </w:rPr>
        <w:t xml:space="preserve">. </w:t>
      </w:r>
      <w:r w:rsidR="00AC2988">
        <w:rPr>
          <w:rFonts w:ascii="Verdana" w:hAnsi="Verdana"/>
          <w:bCs/>
          <w:sz w:val="24"/>
          <w:szCs w:val="24"/>
        </w:rPr>
        <w:t>In support of the argument on irreparable harm,</w:t>
      </w:r>
      <w:r w:rsidR="00033A2F">
        <w:rPr>
          <w:rFonts w:ascii="Verdana" w:hAnsi="Verdana"/>
          <w:bCs/>
          <w:sz w:val="24"/>
          <w:szCs w:val="24"/>
        </w:rPr>
        <w:t xml:space="preserve"> Ms Steenekamp on behalf of Bayer gave</w:t>
      </w:r>
      <w:r w:rsidR="00846419" w:rsidRPr="00846419">
        <w:rPr>
          <w:rFonts w:ascii="Verdana" w:hAnsi="Verdana"/>
          <w:bCs/>
          <w:sz w:val="24"/>
          <w:szCs w:val="24"/>
        </w:rPr>
        <w:t xml:space="preserve"> detailed evidence, explaining precisely why it is that Bayer will never prove the full extent of the damages that it is likely to suffer</w:t>
      </w:r>
      <w:r w:rsidR="00E874EF">
        <w:rPr>
          <w:rFonts w:ascii="Verdana" w:hAnsi="Verdana"/>
          <w:bCs/>
          <w:sz w:val="24"/>
          <w:szCs w:val="24"/>
        </w:rPr>
        <w:t xml:space="preserve"> as a result of </w:t>
      </w:r>
      <w:r w:rsidR="00CB7912">
        <w:rPr>
          <w:rFonts w:ascii="Verdana" w:hAnsi="Verdana"/>
          <w:bCs/>
          <w:sz w:val="24"/>
          <w:szCs w:val="24"/>
        </w:rPr>
        <w:t xml:space="preserve">any continued </w:t>
      </w:r>
      <w:r w:rsidR="00E874EF">
        <w:rPr>
          <w:rFonts w:ascii="Verdana" w:hAnsi="Verdana"/>
          <w:bCs/>
          <w:sz w:val="24"/>
          <w:szCs w:val="24"/>
        </w:rPr>
        <w:t>sale</w:t>
      </w:r>
      <w:r w:rsidR="00CB7912">
        <w:rPr>
          <w:rFonts w:ascii="Verdana" w:hAnsi="Verdana"/>
          <w:bCs/>
          <w:sz w:val="24"/>
          <w:szCs w:val="24"/>
        </w:rPr>
        <w:t xml:space="preserve"> of Rivaxored</w:t>
      </w:r>
      <w:r w:rsidR="00033A2F">
        <w:rPr>
          <w:rFonts w:ascii="Verdana" w:hAnsi="Verdana"/>
          <w:bCs/>
          <w:sz w:val="24"/>
          <w:szCs w:val="24"/>
        </w:rPr>
        <w:t>.</w:t>
      </w:r>
      <w:r w:rsidR="00E874EF">
        <w:rPr>
          <w:rStyle w:val="FootnoteReference"/>
          <w:rFonts w:ascii="Verdana" w:hAnsi="Verdana"/>
          <w:bCs/>
          <w:sz w:val="24"/>
          <w:szCs w:val="24"/>
        </w:rPr>
        <w:footnoteReference w:id="36"/>
      </w:r>
      <w:r w:rsidR="00846419" w:rsidRPr="00846419">
        <w:rPr>
          <w:rFonts w:ascii="Verdana" w:hAnsi="Verdana"/>
          <w:bCs/>
          <w:sz w:val="24"/>
          <w:szCs w:val="24"/>
        </w:rPr>
        <w:t xml:space="preserve"> </w:t>
      </w:r>
      <w:r w:rsidR="00AC2988">
        <w:rPr>
          <w:rFonts w:ascii="Verdana" w:hAnsi="Verdana"/>
          <w:bCs/>
          <w:sz w:val="24"/>
          <w:szCs w:val="24"/>
        </w:rPr>
        <w:t>I</w:t>
      </w:r>
      <w:r w:rsidR="00033A2F">
        <w:rPr>
          <w:rFonts w:ascii="Verdana" w:hAnsi="Verdana"/>
          <w:bCs/>
          <w:sz w:val="24"/>
          <w:szCs w:val="24"/>
        </w:rPr>
        <w:t xml:space="preserve">t is </w:t>
      </w:r>
      <w:r w:rsidR="00AC2988">
        <w:rPr>
          <w:rFonts w:ascii="Verdana" w:hAnsi="Verdana"/>
          <w:bCs/>
          <w:sz w:val="24"/>
          <w:szCs w:val="24"/>
        </w:rPr>
        <w:t xml:space="preserve">therefore </w:t>
      </w:r>
      <w:r w:rsidR="00033A2F">
        <w:rPr>
          <w:rFonts w:ascii="Verdana" w:hAnsi="Verdana"/>
          <w:bCs/>
          <w:sz w:val="24"/>
          <w:szCs w:val="24"/>
        </w:rPr>
        <w:t>undisputed</w:t>
      </w:r>
      <w:r w:rsidR="00846419" w:rsidRPr="00846419">
        <w:rPr>
          <w:rFonts w:ascii="Verdana" w:hAnsi="Verdana"/>
          <w:bCs/>
          <w:sz w:val="24"/>
          <w:szCs w:val="24"/>
        </w:rPr>
        <w:t xml:space="preserve"> that Bayer loses sales as a result of</w:t>
      </w:r>
      <w:r w:rsidR="00846419">
        <w:rPr>
          <w:rFonts w:ascii="Verdana" w:hAnsi="Verdana"/>
          <w:bCs/>
          <w:sz w:val="24"/>
          <w:szCs w:val="24"/>
        </w:rPr>
        <w:t xml:space="preserve"> </w:t>
      </w:r>
      <w:r w:rsidR="00033A2F">
        <w:rPr>
          <w:rFonts w:ascii="Verdana" w:hAnsi="Verdana"/>
          <w:bCs/>
          <w:sz w:val="24"/>
          <w:szCs w:val="24"/>
        </w:rPr>
        <w:t>the</w:t>
      </w:r>
      <w:r w:rsidR="00846419" w:rsidRPr="00846419">
        <w:rPr>
          <w:rFonts w:ascii="Verdana" w:hAnsi="Verdana"/>
          <w:bCs/>
          <w:sz w:val="24"/>
          <w:szCs w:val="24"/>
        </w:rPr>
        <w:t xml:space="preserve"> conduct</w:t>
      </w:r>
      <w:r w:rsidR="00033A2F">
        <w:rPr>
          <w:rFonts w:ascii="Verdana" w:hAnsi="Verdana"/>
          <w:bCs/>
          <w:sz w:val="24"/>
          <w:szCs w:val="24"/>
        </w:rPr>
        <w:t xml:space="preserve"> of the first respondent by its continued sale of Rivaxored</w:t>
      </w:r>
      <w:r w:rsidR="00846419" w:rsidRPr="00846419">
        <w:rPr>
          <w:rFonts w:ascii="Verdana" w:hAnsi="Verdana"/>
          <w:bCs/>
          <w:sz w:val="24"/>
          <w:szCs w:val="24"/>
        </w:rPr>
        <w:t xml:space="preserve"> </w:t>
      </w:r>
      <w:r w:rsidR="00033A2F">
        <w:rPr>
          <w:rFonts w:ascii="Verdana" w:hAnsi="Verdana"/>
          <w:bCs/>
          <w:sz w:val="24"/>
          <w:szCs w:val="24"/>
        </w:rPr>
        <w:t xml:space="preserve">and that Bayer will find it difficult </w:t>
      </w:r>
      <w:r w:rsidR="00AC2988">
        <w:rPr>
          <w:rFonts w:ascii="Verdana" w:hAnsi="Verdana"/>
          <w:bCs/>
          <w:sz w:val="24"/>
          <w:szCs w:val="24"/>
        </w:rPr>
        <w:t xml:space="preserve">in time </w:t>
      </w:r>
      <w:r w:rsidR="00D5630A">
        <w:rPr>
          <w:rFonts w:ascii="Verdana" w:hAnsi="Verdana"/>
          <w:bCs/>
          <w:sz w:val="24"/>
          <w:szCs w:val="24"/>
        </w:rPr>
        <w:t xml:space="preserve">to </w:t>
      </w:r>
      <w:r w:rsidR="00846419" w:rsidRPr="00846419">
        <w:rPr>
          <w:rFonts w:ascii="Verdana" w:hAnsi="Verdana"/>
          <w:bCs/>
          <w:sz w:val="24"/>
          <w:szCs w:val="24"/>
        </w:rPr>
        <w:t>prove the full extent of its losses</w:t>
      </w:r>
      <w:r w:rsidR="007E3DA5">
        <w:rPr>
          <w:rFonts w:ascii="Verdana" w:hAnsi="Verdana"/>
          <w:bCs/>
          <w:sz w:val="24"/>
          <w:szCs w:val="24"/>
        </w:rPr>
        <w:t>.</w:t>
      </w:r>
      <w:r w:rsidR="007E3DA5" w:rsidRPr="007E3DA5">
        <w:rPr>
          <w:rFonts w:ascii="Verdana" w:hAnsi="Verdana"/>
          <w:bCs/>
          <w:sz w:val="24"/>
          <w:szCs w:val="24"/>
        </w:rPr>
        <w:t xml:space="preserve"> </w:t>
      </w:r>
    </w:p>
    <w:p w14:paraId="0D2E831A" w14:textId="77777777" w:rsidR="007E3DA5" w:rsidRDefault="007E3DA5" w:rsidP="007E3DA5">
      <w:pPr>
        <w:spacing w:line="480" w:lineRule="auto"/>
        <w:jc w:val="both"/>
        <w:rPr>
          <w:rFonts w:ascii="Verdana" w:hAnsi="Verdana"/>
          <w:bCs/>
          <w:sz w:val="24"/>
          <w:szCs w:val="24"/>
        </w:rPr>
      </w:pPr>
    </w:p>
    <w:p w14:paraId="5677DFDF" w14:textId="77777777" w:rsidR="002E0D11" w:rsidRDefault="00A42203" w:rsidP="00E874EF">
      <w:pPr>
        <w:spacing w:line="480" w:lineRule="auto"/>
        <w:jc w:val="both"/>
        <w:rPr>
          <w:rFonts w:ascii="Verdana" w:hAnsi="Verdana"/>
          <w:bCs/>
          <w:sz w:val="24"/>
          <w:szCs w:val="24"/>
        </w:rPr>
      </w:pPr>
      <w:r>
        <w:rPr>
          <w:rFonts w:ascii="Verdana" w:hAnsi="Verdana"/>
          <w:bCs/>
          <w:sz w:val="24"/>
          <w:szCs w:val="24"/>
        </w:rPr>
        <w:t>5</w:t>
      </w:r>
      <w:r w:rsidR="002E0D11">
        <w:rPr>
          <w:rFonts w:ascii="Verdana" w:hAnsi="Verdana"/>
          <w:bCs/>
          <w:sz w:val="24"/>
          <w:szCs w:val="24"/>
        </w:rPr>
        <w:t>9</w:t>
      </w:r>
      <w:r w:rsidR="00E874EF" w:rsidRPr="00E874EF">
        <w:rPr>
          <w:rFonts w:ascii="Verdana" w:hAnsi="Verdana"/>
          <w:bCs/>
          <w:sz w:val="24"/>
          <w:szCs w:val="24"/>
        </w:rPr>
        <w:t>.</w:t>
      </w:r>
      <w:r w:rsidR="00411595">
        <w:rPr>
          <w:rFonts w:ascii="Verdana" w:hAnsi="Verdana"/>
          <w:bCs/>
          <w:sz w:val="24"/>
          <w:szCs w:val="24"/>
        </w:rPr>
        <w:t xml:space="preserve"> </w:t>
      </w:r>
      <w:r w:rsidR="00E874EF" w:rsidRPr="00E874EF">
        <w:rPr>
          <w:rFonts w:ascii="Verdana" w:hAnsi="Verdana"/>
          <w:bCs/>
          <w:sz w:val="24"/>
          <w:szCs w:val="24"/>
        </w:rPr>
        <w:t xml:space="preserve">Mr Welz </w:t>
      </w:r>
      <w:r w:rsidR="0022248D">
        <w:rPr>
          <w:rFonts w:ascii="Verdana" w:hAnsi="Verdana"/>
          <w:bCs/>
          <w:sz w:val="24"/>
          <w:szCs w:val="24"/>
        </w:rPr>
        <w:t xml:space="preserve">in answer </w:t>
      </w:r>
      <w:r w:rsidR="00E874EF" w:rsidRPr="00E874EF">
        <w:rPr>
          <w:rFonts w:ascii="Verdana" w:hAnsi="Verdana"/>
          <w:bCs/>
          <w:sz w:val="24"/>
          <w:szCs w:val="24"/>
        </w:rPr>
        <w:t xml:space="preserve">does </w:t>
      </w:r>
      <w:r w:rsidR="00B35D29">
        <w:rPr>
          <w:rFonts w:ascii="Verdana" w:hAnsi="Verdana"/>
          <w:bCs/>
          <w:sz w:val="24"/>
          <w:szCs w:val="24"/>
        </w:rPr>
        <w:t xml:space="preserve">attempt to </w:t>
      </w:r>
      <w:r w:rsidR="00E874EF" w:rsidRPr="00E874EF">
        <w:rPr>
          <w:rFonts w:ascii="Verdana" w:hAnsi="Verdana"/>
          <w:bCs/>
          <w:sz w:val="24"/>
          <w:szCs w:val="24"/>
        </w:rPr>
        <w:t>proffer an argument on the issue of an alternative remedy</w:t>
      </w:r>
      <w:r w:rsidR="002E0D11">
        <w:rPr>
          <w:rFonts w:ascii="Verdana" w:hAnsi="Verdana"/>
          <w:bCs/>
          <w:sz w:val="24"/>
          <w:szCs w:val="24"/>
        </w:rPr>
        <w:t>. In this regard he</w:t>
      </w:r>
      <w:r w:rsidR="00E874EF" w:rsidRPr="00E874EF">
        <w:rPr>
          <w:rFonts w:ascii="Verdana" w:hAnsi="Verdana"/>
          <w:bCs/>
          <w:sz w:val="24"/>
          <w:szCs w:val="24"/>
        </w:rPr>
        <w:t xml:space="preserve"> argu</w:t>
      </w:r>
      <w:r w:rsidR="00411595">
        <w:rPr>
          <w:rFonts w:ascii="Verdana" w:hAnsi="Verdana"/>
          <w:bCs/>
          <w:sz w:val="24"/>
          <w:szCs w:val="24"/>
        </w:rPr>
        <w:t>es</w:t>
      </w:r>
      <w:r w:rsidR="00E874EF" w:rsidRPr="00E874EF">
        <w:rPr>
          <w:rFonts w:ascii="Verdana" w:hAnsi="Verdana"/>
          <w:bCs/>
          <w:sz w:val="24"/>
          <w:szCs w:val="24"/>
        </w:rPr>
        <w:t xml:space="preserve"> that Bayer has a statutory right to claim a reasonable royalty in lieu of damages. </w:t>
      </w:r>
      <w:r w:rsidR="00411595">
        <w:rPr>
          <w:rFonts w:ascii="Verdana" w:hAnsi="Verdana"/>
          <w:bCs/>
          <w:sz w:val="24"/>
          <w:szCs w:val="24"/>
        </w:rPr>
        <w:t xml:space="preserve">This is the same </w:t>
      </w:r>
      <w:r w:rsidR="00E874EF" w:rsidRPr="00E874EF">
        <w:rPr>
          <w:rFonts w:ascii="Verdana" w:hAnsi="Verdana"/>
          <w:bCs/>
          <w:sz w:val="24"/>
          <w:szCs w:val="24"/>
        </w:rPr>
        <w:t>argument</w:t>
      </w:r>
      <w:r w:rsidR="002E0D11">
        <w:rPr>
          <w:rFonts w:ascii="Verdana" w:hAnsi="Verdana"/>
          <w:bCs/>
          <w:sz w:val="24"/>
          <w:szCs w:val="24"/>
        </w:rPr>
        <w:t xml:space="preserve"> previously</w:t>
      </w:r>
      <w:r w:rsidR="00423936">
        <w:rPr>
          <w:rFonts w:ascii="Verdana" w:hAnsi="Verdana"/>
          <w:bCs/>
          <w:sz w:val="24"/>
          <w:szCs w:val="24"/>
        </w:rPr>
        <w:t xml:space="preserve"> </w:t>
      </w:r>
      <w:r w:rsidR="00411595">
        <w:rPr>
          <w:rFonts w:ascii="Verdana" w:hAnsi="Verdana"/>
          <w:bCs/>
          <w:sz w:val="24"/>
          <w:szCs w:val="24"/>
        </w:rPr>
        <w:t xml:space="preserve">raised by </w:t>
      </w:r>
      <w:r w:rsidR="00411595" w:rsidRPr="00E874EF">
        <w:rPr>
          <w:rFonts w:ascii="Verdana" w:hAnsi="Verdana"/>
          <w:bCs/>
          <w:sz w:val="24"/>
          <w:szCs w:val="24"/>
        </w:rPr>
        <w:t>Dr Reddy’s</w:t>
      </w:r>
      <w:r w:rsidR="00411595">
        <w:rPr>
          <w:rFonts w:ascii="Verdana" w:hAnsi="Verdana"/>
          <w:bCs/>
          <w:sz w:val="24"/>
          <w:szCs w:val="24"/>
        </w:rPr>
        <w:t xml:space="preserve"> </w:t>
      </w:r>
      <w:r w:rsidR="00423936">
        <w:rPr>
          <w:rFonts w:ascii="Verdana" w:hAnsi="Verdana"/>
          <w:bCs/>
          <w:sz w:val="24"/>
          <w:szCs w:val="24"/>
        </w:rPr>
        <w:t>in</w:t>
      </w:r>
      <w:r w:rsidR="00411595">
        <w:rPr>
          <w:rFonts w:ascii="Verdana" w:hAnsi="Verdana"/>
          <w:bCs/>
          <w:sz w:val="24"/>
          <w:szCs w:val="24"/>
        </w:rPr>
        <w:t xml:space="preserve"> his</w:t>
      </w:r>
      <w:r w:rsidR="00423936">
        <w:rPr>
          <w:rFonts w:ascii="Verdana" w:hAnsi="Verdana"/>
          <w:bCs/>
          <w:sz w:val="24"/>
          <w:szCs w:val="24"/>
        </w:rPr>
        <w:t xml:space="preserve"> application</w:t>
      </w:r>
      <w:r w:rsidR="002E0D11">
        <w:rPr>
          <w:rFonts w:ascii="Verdana" w:hAnsi="Verdana"/>
          <w:bCs/>
          <w:sz w:val="24"/>
          <w:szCs w:val="24"/>
        </w:rPr>
        <w:t xml:space="preserve"> and which</w:t>
      </w:r>
      <w:r w:rsidR="00423936">
        <w:rPr>
          <w:rFonts w:ascii="Verdana" w:hAnsi="Verdana"/>
          <w:bCs/>
          <w:sz w:val="24"/>
          <w:szCs w:val="24"/>
        </w:rPr>
        <w:t xml:space="preserve"> argument was</w:t>
      </w:r>
      <w:r w:rsidR="00E874EF" w:rsidRPr="00E874EF">
        <w:rPr>
          <w:rFonts w:ascii="Verdana" w:hAnsi="Verdana"/>
          <w:bCs/>
          <w:sz w:val="24"/>
          <w:szCs w:val="24"/>
        </w:rPr>
        <w:t xml:space="preserve"> rejected in paragraph </w:t>
      </w:r>
      <w:r w:rsidR="00E874EF">
        <w:rPr>
          <w:rFonts w:ascii="Verdana" w:hAnsi="Verdana"/>
          <w:bCs/>
          <w:sz w:val="24"/>
          <w:szCs w:val="24"/>
        </w:rPr>
        <w:t>90 of the Dr Reddy’s judgment.</w:t>
      </w:r>
      <w:r w:rsidR="00E874EF">
        <w:rPr>
          <w:rStyle w:val="FootnoteReference"/>
          <w:rFonts w:ascii="Verdana" w:hAnsi="Verdana"/>
          <w:bCs/>
          <w:sz w:val="24"/>
          <w:szCs w:val="24"/>
        </w:rPr>
        <w:footnoteReference w:id="37"/>
      </w:r>
    </w:p>
    <w:p w14:paraId="1D624D0B" w14:textId="77777777" w:rsidR="002E0D11" w:rsidRDefault="002E0D11" w:rsidP="00E874EF">
      <w:pPr>
        <w:spacing w:line="480" w:lineRule="auto"/>
        <w:jc w:val="both"/>
        <w:rPr>
          <w:rFonts w:ascii="Verdana" w:hAnsi="Verdana"/>
          <w:bCs/>
          <w:sz w:val="24"/>
          <w:szCs w:val="24"/>
        </w:rPr>
      </w:pPr>
    </w:p>
    <w:p w14:paraId="7C477037" w14:textId="4E40919A" w:rsidR="00E874EF" w:rsidRPr="002E0D11" w:rsidRDefault="002E0D11" w:rsidP="00E874EF">
      <w:pPr>
        <w:spacing w:line="480" w:lineRule="auto"/>
        <w:jc w:val="both"/>
        <w:rPr>
          <w:rFonts w:ascii="Verdana" w:hAnsi="Verdana"/>
          <w:bCs/>
          <w:sz w:val="24"/>
          <w:szCs w:val="24"/>
        </w:rPr>
      </w:pPr>
      <w:r>
        <w:rPr>
          <w:rFonts w:ascii="Verdana" w:hAnsi="Verdana"/>
          <w:bCs/>
          <w:sz w:val="24"/>
          <w:szCs w:val="24"/>
        </w:rPr>
        <w:lastRenderedPageBreak/>
        <w:t>60. In the said judgment t</w:t>
      </w:r>
      <w:r w:rsidR="00D5630A">
        <w:rPr>
          <w:rFonts w:ascii="Verdana" w:hAnsi="Verdana"/>
          <w:bCs/>
          <w:sz w:val="24"/>
          <w:szCs w:val="24"/>
        </w:rPr>
        <w:t>he r</w:t>
      </w:r>
      <w:r w:rsidR="00E874EF" w:rsidRPr="00E874EF">
        <w:rPr>
          <w:rFonts w:ascii="Verdana" w:hAnsi="Verdana"/>
          <w:bCs/>
          <w:sz w:val="24"/>
          <w:szCs w:val="24"/>
        </w:rPr>
        <w:t xml:space="preserve">easoning </w:t>
      </w:r>
      <w:r w:rsidR="00D5630A">
        <w:rPr>
          <w:rFonts w:ascii="Verdana" w:hAnsi="Verdana"/>
          <w:bCs/>
          <w:sz w:val="24"/>
          <w:szCs w:val="24"/>
        </w:rPr>
        <w:t xml:space="preserve">employed by Keightley J </w:t>
      </w:r>
      <w:r w:rsidR="00E874EF" w:rsidRPr="00E874EF">
        <w:rPr>
          <w:rFonts w:ascii="Verdana" w:hAnsi="Verdana"/>
          <w:bCs/>
          <w:sz w:val="24"/>
          <w:szCs w:val="24"/>
        </w:rPr>
        <w:t xml:space="preserve">was in line with similar rejections of the same argument in two earlier cases, first by this court in </w:t>
      </w:r>
      <w:r w:rsidR="00E874EF" w:rsidRPr="00E874EF">
        <w:rPr>
          <w:rFonts w:ascii="Verdana" w:hAnsi="Verdana"/>
          <w:bCs/>
          <w:i/>
          <w:sz w:val="24"/>
          <w:szCs w:val="24"/>
        </w:rPr>
        <w:t>Pfizer v Cipla Medpro:</w:t>
      </w:r>
    </w:p>
    <w:p w14:paraId="7BE5C5E3" w14:textId="77777777" w:rsidR="00E874EF" w:rsidRPr="00E874EF" w:rsidRDefault="00E874EF" w:rsidP="00E874EF">
      <w:pPr>
        <w:spacing w:line="480" w:lineRule="auto"/>
        <w:ind w:left="720"/>
        <w:jc w:val="both"/>
        <w:rPr>
          <w:rFonts w:ascii="Verdana" w:hAnsi="Verdana"/>
          <w:bCs/>
          <w:i/>
          <w:sz w:val="24"/>
          <w:szCs w:val="24"/>
        </w:rPr>
      </w:pPr>
      <w:r w:rsidRPr="00E874EF">
        <w:rPr>
          <w:rFonts w:ascii="Verdana" w:hAnsi="Verdana"/>
          <w:bCs/>
          <w:sz w:val="24"/>
          <w:szCs w:val="24"/>
        </w:rPr>
        <w:t>“</w:t>
      </w:r>
      <w:r w:rsidRPr="00E874EF">
        <w:rPr>
          <w:rFonts w:ascii="Verdana" w:hAnsi="Verdana"/>
          <w:bCs/>
          <w:i/>
          <w:sz w:val="24"/>
          <w:szCs w:val="24"/>
        </w:rPr>
        <w:t xml:space="preserve">The statutory provision that a royalty may be imposed in lieu of damages is an option available to a plaintiff. It is not an invitation to infringers </w:t>
      </w:r>
      <w:r w:rsidR="005742D5">
        <w:rPr>
          <w:rFonts w:ascii="Verdana" w:hAnsi="Verdana"/>
          <w:bCs/>
          <w:i/>
          <w:sz w:val="24"/>
          <w:szCs w:val="24"/>
        </w:rPr>
        <w:t>to become de facto licensees.”</w:t>
      </w:r>
      <w:r w:rsidR="005742D5">
        <w:rPr>
          <w:rStyle w:val="FootnoteReference"/>
          <w:rFonts w:ascii="Verdana" w:hAnsi="Verdana"/>
          <w:bCs/>
          <w:i/>
          <w:sz w:val="24"/>
          <w:szCs w:val="24"/>
        </w:rPr>
        <w:footnoteReference w:id="38"/>
      </w:r>
    </w:p>
    <w:p w14:paraId="38E57FB7" w14:textId="77777777" w:rsidR="00E874EF" w:rsidRPr="00E874EF" w:rsidRDefault="00E874EF" w:rsidP="00E874EF">
      <w:pPr>
        <w:spacing w:line="480" w:lineRule="auto"/>
        <w:jc w:val="both"/>
        <w:rPr>
          <w:rFonts w:ascii="Verdana" w:hAnsi="Verdana"/>
          <w:bCs/>
          <w:sz w:val="24"/>
          <w:szCs w:val="24"/>
        </w:rPr>
      </w:pPr>
    </w:p>
    <w:p w14:paraId="576158D6" w14:textId="527B06A0" w:rsidR="00E874EF" w:rsidRDefault="002E0D11" w:rsidP="00E874EF">
      <w:pPr>
        <w:spacing w:line="480" w:lineRule="auto"/>
        <w:jc w:val="both"/>
        <w:rPr>
          <w:rFonts w:ascii="Verdana" w:hAnsi="Verdana"/>
          <w:bCs/>
          <w:sz w:val="24"/>
          <w:szCs w:val="24"/>
        </w:rPr>
      </w:pPr>
      <w:r>
        <w:rPr>
          <w:rFonts w:ascii="Verdana" w:hAnsi="Verdana"/>
          <w:bCs/>
          <w:sz w:val="24"/>
          <w:szCs w:val="24"/>
        </w:rPr>
        <w:t>61</w:t>
      </w:r>
      <w:r w:rsidR="00D5630A">
        <w:rPr>
          <w:rFonts w:ascii="Verdana" w:hAnsi="Verdana"/>
          <w:bCs/>
          <w:sz w:val="24"/>
          <w:szCs w:val="24"/>
        </w:rPr>
        <w:t xml:space="preserve">. </w:t>
      </w:r>
      <w:r w:rsidR="00E874EF" w:rsidRPr="00E874EF">
        <w:rPr>
          <w:rFonts w:ascii="Verdana" w:hAnsi="Verdana"/>
          <w:bCs/>
          <w:sz w:val="24"/>
          <w:szCs w:val="24"/>
        </w:rPr>
        <w:t>And then by the Supr</w:t>
      </w:r>
      <w:r w:rsidR="005742D5">
        <w:rPr>
          <w:rFonts w:ascii="Verdana" w:hAnsi="Verdana"/>
          <w:bCs/>
          <w:sz w:val="24"/>
          <w:szCs w:val="24"/>
        </w:rPr>
        <w:t>eme Court of Appeal in Aventis:</w:t>
      </w:r>
    </w:p>
    <w:p w14:paraId="4C99DCEA" w14:textId="77777777" w:rsidR="005742D5" w:rsidRPr="00E874EF" w:rsidRDefault="005742D5" w:rsidP="00E874EF">
      <w:pPr>
        <w:spacing w:line="480" w:lineRule="auto"/>
        <w:jc w:val="both"/>
        <w:rPr>
          <w:rFonts w:ascii="Verdana" w:hAnsi="Verdana"/>
          <w:bCs/>
          <w:sz w:val="24"/>
          <w:szCs w:val="24"/>
        </w:rPr>
      </w:pPr>
    </w:p>
    <w:p w14:paraId="45BCC850" w14:textId="77777777" w:rsidR="00E874EF" w:rsidRDefault="00E874EF" w:rsidP="00E874EF">
      <w:pPr>
        <w:spacing w:line="480" w:lineRule="auto"/>
        <w:jc w:val="both"/>
        <w:rPr>
          <w:rFonts w:ascii="Verdana" w:hAnsi="Verdana"/>
          <w:bCs/>
          <w:sz w:val="24"/>
          <w:szCs w:val="24"/>
        </w:rPr>
      </w:pPr>
      <w:r w:rsidRPr="00E874EF">
        <w:rPr>
          <w:rFonts w:ascii="Verdana" w:hAnsi="Verdana"/>
          <w:bCs/>
          <w:sz w:val="24"/>
          <w:szCs w:val="24"/>
        </w:rPr>
        <w:t>“</w:t>
      </w:r>
      <w:r w:rsidRPr="005742D5">
        <w:rPr>
          <w:rFonts w:ascii="Verdana" w:hAnsi="Verdana"/>
          <w:bCs/>
          <w:i/>
          <w:sz w:val="24"/>
          <w:szCs w:val="24"/>
        </w:rPr>
        <w:t>Nor is it an answer to its claim for an interdict that Aventis might be awarded a reasonable royalty as an alternative to damages. That is a remedy available at the option of a patentee and it cannot be compelled in effect to licence the use of its patent.”</w:t>
      </w:r>
      <w:r w:rsidR="005742D5">
        <w:rPr>
          <w:rFonts w:ascii="Verdana" w:hAnsi="Verdana"/>
          <w:bCs/>
          <w:sz w:val="24"/>
          <w:szCs w:val="24"/>
        </w:rPr>
        <w:t xml:space="preserve"> </w:t>
      </w:r>
      <w:r w:rsidR="005742D5">
        <w:rPr>
          <w:rStyle w:val="FootnoteReference"/>
          <w:rFonts w:ascii="Verdana" w:hAnsi="Verdana"/>
          <w:bCs/>
          <w:sz w:val="24"/>
          <w:szCs w:val="24"/>
        </w:rPr>
        <w:footnoteReference w:id="39"/>
      </w:r>
    </w:p>
    <w:p w14:paraId="6F56379C" w14:textId="77777777" w:rsidR="0022248D" w:rsidRDefault="0022248D" w:rsidP="00E874EF">
      <w:pPr>
        <w:spacing w:line="480" w:lineRule="auto"/>
        <w:jc w:val="both"/>
        <w:rPr>
          <w:rFonts w:ascii="Verdana" w:hAnsi="Verdana"/>
          <w:bCs/>
          <w:sz w:val="24"/>
          <w:szCs w:val="24"/>
        </w:rPr>
      </w:pPr>
    </w:p>
    <w:p w14:paraId="7F32B312" w14:textId="21A0CD05" w:rsidR="0022248D" w:rsidRDefault="002D7F18" w:rsidP="00E874EF">
      <w:pPr>
        <w:spacing w:line="480" w:lineRule="auto"/>
        <w:jc w:val="both"/>
        <w:rPr>
          <w:rFonts w:ascii="Verdana" w:hAnsi="Verdana"/>
          <w:bCs/>
          <w:sz w:val="24"/>
          <w:szCs w:val="24"/>
        </w:rPr>
      </w:pPr>
      <w:r>
        <w:rPr>
          <w:rFonts w:ascii="Verdana" w:hAnsi="Verdana"/>
          <w:bCs/>
          <w:sz w:val="24"/>
          <w:szCs w:val="24"/>
        </w:rPr>
        <w:t>6</w:t>
      </w:r>
      <w:r w:rsidR="002E0D11">
        <w:rPr>
          <w:rFonts w:ascii="Verdana" w:hAnsi="Verdana"/>
          <w:bCs/>
          <w:sz w:val="24"/>
          <w:szCs w:val="24"/>
        </w:rPr>
        <w:t>2</w:t>
      </w:r>
      <w:r w:rsidR="0022248D">
        <w:rPr>
          <w:rFonts w:ascii="Verdana" w:hAnsi="Verdana"/>
          <w:bCs/>
          <w:sz w:val="24"/>
          <w:szCs w:val="24"/>
        </w:rPr>
        <w:t xml:space="preserve">. The similar argument having earlier been rejected in the Dr. Reddy’s judgment </w:t>
      </w:r>
      <w:r w:rsidR="00B35D29">
        <w:rPr>
          <w:rFonts w:ascii="Verdana" w:hAnsi="Verdana"/>
          <w:bCs/>
          <w:sz w:val="24"/>
          <w:szCs w:val="24"/>
        </w:rPr>
        <w:t xml:space="preserve">in relation to the importer, </w:t>
      </w:r>
      <w:r w:rsidR="0022248D">
        <w:rPr>
          <w:rFonts w:ascii="Verdana" w:hAnsi="Verdana"/>
          <w:bCs/>
          <w:sz w:val="24"/>
          <w:szCs w:val="24"/>
        </w:rPr>
        <w:t xml:space="preserve">it follows it will have very little persuasive value before this Court </w:t>
      </w:r>
      <w:r w:rsidR="00B35D29">
        <w:rPr>
          <w:rFonts w:ascii="Verdana" w:hAnsi="Verdana"/>
          <w:bCs/>
          <w:sz w:val="24"/>
          <w:szCs w:val="24"/>
        </w:rPr>
        <w:t xml:space="preserve">in relation to the Clicks </w:t>
      </w:r>
      <w:r w:rsidR="0090429E">
        <w:rPr>
          <w:rFonts w:ascii="Verdana" w:hAnsi="Verdana"/>
          <w:bCs/>
          <w:sz w:val="24"/>
          <w:szCs w:val="24"/>
        </w:rPr>
        <w:t>g</w:t>
      </w:r>
      <w:r w:rsidR="00B35D29">
        <w:rPr>
          <w:rFonts w:ascii="Verdana" w:hAnsi="Verdana"/>
          <w:bCs/>
          <w:sz w:val="24"/>
          <w:szCs w:val="24"/>
        </w:rPr>
        <w:t>roup</w:t>
      </w:r>
      <w:r w:rsidR="0090429E">
        <w:rPr>
          <w:rFonts w:ascii="Verdana" w:hAnsi="Verdana"/>
          <w:bCs/>
          <w:sz w:val="24"/>
          <w:szCs w:val="24"/>
        </w:rPr>
        <w:t>’s</w:t>
      </w:r>
      <w:r w:rsidR="00B35D29">
        <w:rPr>
          <w:rFonts w:ascii="Verdana" w:hAnsi="Verdana"/>
          <w:bCs/>
          <w:sz w:val="24"/>
          <w:szCs w:val="24"/>
        </w:rPr>
        <w:t xml:space="preserve"> </w:t>
      </w:r>
      <w:r w:rsidR="0090429E">
        <w:rPr>
          <w:rFonts w:ascii="Verdana" w:hAnsi="Verdana"/>
          <w:bCs/>
          <w:sz w:val="24"/>
          <w:szCs w:val="24"/>
        </w:rPr>
        <w:t>P</w:t>
      </w:r>
      <w:r w:rsidR="00B35D29">
        <w:rPr>
          <w:rFonts w:ascii="Verdana" w:hAnsi="Verdana"/>
          <w:bCs/>
          <w:sz w:val="24"/>
          <w:szCs w:val="24"/>
        </w:rPr>
        <w:t xml:space="preserve">harmaceuticals </w:t>
      </w:r>
      <w:r w:rsidR="0090429E">
        <w:rPr>
          <w:rFonts w:ascii="Verdana" w:hAnsi="Verdana"/>
          <w:bCs/>
          <w:sz w:val="24"/>
          <w:szCs w:val="24"/>
        </w:rPr>
        <w:lastRenderedPageBreak/>
        <w:t>wholesaling business</w:t>
      </w:r>
      <w:r>
        <w:rPr>
          <w:rFonts w:ascii="Verdana" w:hAnsi="Verdana"/>
          <w:bCs/>
          <w:sz w:val="24"/>
          <w:szCs w:val="24"/>
        </w:rPr>
        <w:t xml:space="preserve"> (the First respondent)</w:t>
      </w:r>
      <w:r w:rsidR="0090429E">
        <w:rPr>
          <w:rFonts w:ascii="Verdana" w:hAnsi="Verdana"/>
          <w:bCs/>
          <w:sz w:val="24"/>
          <w:szCs w:val="24"/>
        </w:rPr>
        <w:t xml:space="preserve"> </w:t>
      </w:r>
      <w:r w:rsidR="002E0D11">
        <w:rPr>
          <w:rFonts w:ascii="Verdana" w:hAnsi="Verdana"/>
          <w:bCs/>
          <w:sz w:val="24"/>
          <w:szCs w:val="24"/>
        </w:rPr>
        <w:t xml:space="preserve">where the judgment of Keightley J, has not been set aside </w:t>
      </w:r>
      <w:r w:rsidR="000B79E4">
        <w:rPr>
          <w:rFonts w:ascii="Verdana" w:hAnsi="Verdana"/>
          <w:bCs/>
          <w:sz w:val="24"/>
          <w:szCs w:val="24"/>
        </w:rPr>
        <w:t>on appeal. C</w:t>
      </w:r>
      <w:r w:rsidR="0022248D">
        <w:rPr>
          <w:rFonts w:ascii="Verdana" w:hAnsi="Verdana"/>
          <w:bCs/>
          <w:sz w:val="24"/>
          <w:szCs w:val="24"/>
        </w:rPr>
        <w:t>onsequently</w:t>
      </w:r>
      <w:r w:rsidR="00022D43">
        <w:rPr>
          <w:rFonts w:ascii="Verdana" w:hAnsi="Verdana"/>
          <w:bCs/>
          <w:sz w:val="24"/>
          <w:szCs w:val="24"/>
        </w:rPr>
        <w:t>,</w:t>
      </w:r>
      <w:r w:rsidR="0022248D">
        <w:rPr>
          <w:rFonts w:ascii="Verdana" w:hAnsi="Verdana"/>
          <w:bCs/>
          <w:sz w:val="24"/>
          <w:szCs w:val="24"/>
        </w:rPr>
        <w:t xml:space="preserve"> it </w:t>
      </w:r>
      <w:r w:rsidR="000B79E4">
        <w:rPr>
          <w:rFonts w:ascii="Verdana" w:hAnsi="Verdana"/>
          <w:bCs/>
          <w:sz w:val="24"/>
          <w:szCs w:val="24"/>
        </w:rPr>
        <w:t xml:space="preserve">follows, it must </w:t>
      </w:r>
      <w:r w:rsidR="00022D43">
        <w:rPr>
          <w:rFonts w:ascii="Verdana" w:hAnsi="Verdana"/>
          <w:bCs/>
          <w:sz w:val="24"/>
          <w:szCs w:val="24"/>
        </w:rPr>
        <w:t xml:space="preserve">therefore </w:t>
      </w:r>
      <w:r w:rsidR="000B79E4">
        <w:rPr>
          <w:rFonts w:ascii="Verdana" w:hAnsi="Verdana"/>
          <w:bCs/>
          <w:sz w:val="24"/>
          <w:szCs w:val="24"/>
        </w:rPr>
        <w:t>also</w:t>
      </w:r>
      <w:r w:rsidR="0022248D">
        <w:rPr>
          <w:rFonts w:ascii="Verdana" w:hAnsi="Verdana"/>
          <w:bCs/>
          <w:sz w:val="24"/>
          <w:szCs w:val="24"/>
        </w:rPr>
        <w:t xml:space="preserve"> be rejected. </w:t>
      </w:r>
    </w:p>
    <w:p w14:paraId="0FEA69DA" w14:textId="77777777" w:rsidR="0001454D" w:rsidRDefault="0001454D" w:rsidP="00E874EF">
      <w:pPr>
        <w:spacing w:line="480" w:lineRule="auto"/>
        <w:jc w:val="both"/>
        <w:rPr>
          <w:rFonts w:ascii="Verdana" w:hAnsi="Verdana"/>
          <w:bCs/>
          <w:sz w:val="24"/>
          <w:szCs w:val="24"/>
        </w:rPr>
      </w:pPr>
    </w:p>
    <w:p w14:paraId="6DC41C71" w14:textId="1A71FCAC" w:rsidR="007E3DA5" w:rsidRDefault="002051B7" w:rsidP="007E3DA5">
      <w:pPr>
        <w:spacing w:line="480" w:lineRule="auto"/>
        <w:jc w:val="both"/>
        <w:rPr>
          <w:rFonts w:ascii="Verdana" w:hAnsi="Verdana"/>
          <w:bCs/>
          <w:sz w:val="24"/>
          <w:szCs w:val="24"/>
        </w:rPr>
      </w:pPr>
      <w:r>
        <w:rPr>
          <w:rFonts w:ascii="Verdana" w:hAnsi="Verdana"/>
          <w:bCs/>
          <w:sz w:val="24"/>
          <w:szCs w:val="24"/>
        </w:rPr>
        <w:t>6</w:t>
      </w:r>
      <w:r w:rsidR="002E0D11">
        <w:rPr>
          <w:rFonts w:ascii="Verdana" w:hAnsi="Verdana"/>
          <w:bCs/>
          <w:sz w:val="24"/>
          <w:szCs w:val="24"/>
        </w:rPr>
        <w:t>3</w:t>
      </w:r>
      <w:r w:rsidR="0001454D">
        <w:rPr>
          <w:rFonts w:ascii="Verdana" w:hAnsi="Verdana"/>
          <w:bCs/>
          <w:sz w:val="24"/>
          <w:szCs w:val="24"/>
        </w:rPr>
        <w:t xml:space="preserve">. In the absence of any evidence in rebuttal this court as such is satisfied that the applicant has established </w:t>
      </w:r>
      <w:r w:rsidR="00A71C95">
        <w:rPr>
          <w:rFonts w:ascii="Verdana" w:hAnsi="Verdana"/>
          <w:bCs/>
          <w:sz w:val="24"/>
          <w:szCs w:val="24"/>
        </w:rPr>
        <w:t xml:space="preserve">that it stands to suffer </w:t>
      </w:r>
      <w:r w:rsidR="0001454D">
        <w:rPr>
          <w:rFonts w:ascii="Verdana" w:hAnsi="Verdana"/>
          <w:bCs/>
          <w:sz w:val="24"/>
          <w:szCs w:val="24"/>
        </w:rPr>
        <w:t>irreparable</w:t>
      </w:r>
      <w:r w:rsidR="002E0D11">
        <w:rPr>
          <w:rFonts w:ascii="Verdana" w:hAnsi="Verdana"/>
          <w:bCs/>
          <w:sz w:val="24"/>
          <w:szCs w:val="24"/>
        </w:rPr>
        <w:t xml:space="preserve"> and </w:t>
      </w:r>
      <w:r w:rsidR="00A71C95">
        <w:rPr>
          <w:rFonts w:ascii="Verdana" w:hAnsi="Verdana"/>
          <w:bCs/>
          <w:sz w:val="24"/>
          <w:szCs w:val="24"/>
        </w:rPr>
        <w:t xml:space="preserve">that there is </w:t>
      </w:r>
      <w:r w:rsidR="002E0D11">
        <w:rPr>
          <w:rFonts w:ascii="Verdana" w:hAnsi="Verdana"/>
          <w:bCs/>
          <w:sz w:val="24"/>
          <w:szCs w:val="24"/>
        </w:rPr>
        <w:t>no alternative remedy which is available to it.</w:t>
      </w:r>
    </w:p>
    <w:p w14:paraId="765D6D97" w14:textId="136EF9BE" w:rsidR="00E874EF" w:rsidRPr="00E874EF" w:rsidRDefault="0022248D" w:rsidP="00E874EF">
      <w:pPr>
        <w:spacing w:line="480" w:lineRule="auto"/>
        <w:jc w:val="both"/>
        <w:rPr>
          <w:rFonts w:ascii="Verdana" w:hAnsi="Verdana"/>
          <w:bCs/>
          <w:sz w:val="24"/>
          <w:szCs w:val="24"/>
        </w:rPr>
      </w:pPr>
      <w:r>
        <w:rPr>
          <w:rFonts w:ascii="Verdana" w:hAnsi="Verdana"/>
          <w:bCs/>
          <w:sz w:val="24"/>
          <w:szCs w:val="24"/>
        </w:rPr>
        <w:t xml:space="preserve"> </w:t>
      </w:r>
    </w:p>
    <w:p w14:paraId="3CA45F79" w14:textId="21F7158C" w:rsidR="00154E05" w:rsidRDefault="002E0D11" w:rsidP="00E874EF">
      <w:pPr>
        <w:spacing w:line="480" w:lineRule="auto"/>
        <w:jc w:val="both"/>
        <w:rPr>
          <w:rFonts w:ascii="Verdana" w:hAnsi="Verdana"/>
          <w:bCs/>
          <w:sz w:val="24"/>
          <w:szCs w:val="24"/>
        </w:rPr>
      </w:pPr>
      <w:r>
        <w:rPr>
          <w:rFonts w:ascii="Verdana" w:hAnsi="Verdana"/>
          <w:bCs/>
          <w:sz w:val="24"/>
          <w:szCs w:val="24"/>
        </w:rPr>
        <w:t>64. O</w:t>
      </w:r>
      <w:r w:rsidR="00E874EF" w:rsidRPr="00E874EF">
        <w:rPr>
          <w:rFonts w:ascii="Verdana" w:hAnsi="Verdana"/>
          <w:bCs/>
          <w:sz w:val="24"/>
          <w:szCs w:val="24"/>
        </w:rPr>
        <w:t>n the balance of convenience,</w:t>
      </w:r>
      <w:r>
        <w:rPr>
          <w:rFonts w:ascii="Verdana" w:hAnsi="Verdana"/>
          <w:bCs/>
          <w:sz w:val="24"/>
          <w:szCs w:val="24"/>
        </w:rPr>
        <w:t xml:space="preserve"> the first respondent</w:t>
      </w:r>
      <w:r w:rsidR="00E874EF" w:rsidRPr="00E874EF">
        <w:rPr>
          <w:rFonts w:ascii="Verdana" w:hAnsi="Verdana"/>
          <w:bCs/>
          <w:sz w:val="24"/>
          <w:szCs w:val="24"/>
        </w:rPr>
        <w:t xml:space="preserve"> does not argue, or adduce evidence in support of an argument that it will be prejudiced by the g</w:t>
      </w:r>
      <w:r w:rsidR="005742D5">
        <w:rPr>
          <w:rFonts w:ascii="Verdana" w:hAnsi="Verdana"/>
          <w:bCs/>
          <w:sz w:val="24"/>
          <w:szCs w:val="24"/>
        </w:rPr>
        <w:t>rant of the interim interdict.</w:t>
      </w:r>
      <w:r w:rsidR="005742D5">
        <w:rPr>
          <w:rStyle w:val="FootnoteReference"/>
          <w:rFonts w:ascii="Verdana" w:hAnsi="Verdana"/>
          <w:bCs/>
          <w:sz w:val="24"/>
          <w:szCs w:val="24"/>
        </w:rPr>
        <w:footnoteReference w:id="40"/>
      </w:r>
    </w:p>
    <w:p w14:paraId="67FF9CD9" w14:textId="77777777" w:rsidR="00154E05" w:rsidRDefault="00154E05" w:rsidP="00E874EF">
      <w:pPr>
        <w:spacing w:line="480" w:lineRule="auto"/>
        <w:jc w:val="both"/>
        <w:rPr>
          <w:rFonts w:ascii="Verdana" w:hAnsi="Verdana"/>
          <w:bCs/>
          <w:sz w:val="24"/>
          <w:szCs w:val="24"/>
        </w:rPr>
      </w:pPr>
    </w:p>
    <w:p w14:paraId="23B0AF38" w14:textId="39EEE248" w:rsidR="00E874EF" w:rsidRDefault="00154E05" w:rsidP="00E874EF">
      <w:pPr>
        <w:spacing w:line="480" w:lineRule="auto"/>
        <w:jc w:val="both"/>
        <w:rPr>
          <w:rFonts w:ascii="Verdana" w:hAnsi="Verdana"/>
          <w:bCs/>
          <w:sz w:val="24"/>
          <w:szCs w:val="24"/>
        </w:rPr>
      </w:pPr>
      <w:r>
        <w:rPr>
          <w:rFonts w:ascii="Verdana" w:hAnsi="Verdana"/>
          <w:bCs/>
          <w:sz w:val="24"/>
          <w:szCs w:val="24"/>
        </w:rPr>
        <w:t>65. Instead the argument advance by the first respondent is that the applicants</w:t>
      </w:r>
      <w:r w:rsidR="005742D5">
        <w:rPr>
          <w:rFonts w:ascii="Verdana" w:hAnsi="Verdana"/>
          <w:bCs/>
          <w:sz w:val="24"/>
          <w:szCs w:val="24"/>
        </w:rPr>
        <w:t xml:space="preserve"> stand to lose</w:t>
      </w:r>
      <w:r>
        <w:rPr>
          <w:rFonts w:ascii="Verdana" w:hAnsi="Verdana"/>
          <w:bCs/>
          <w:sz w:val="24"/>
          <w:szCs w:val="24"/>
        </w:rPr>
        <w:t xml:space="preserve"> </w:t>
      </w:r>
      <w:r w:rsidR="005742D5">
        <w:rPr>
          <w:rFonts w:ascii="Verdana" w:hAnsi="Verdana"/>
          <w:bCs/>
          <w:sz w:val="24"/>
          <w:szCs w:val="24"/>
        </w:rPr>
        <w:t>only</w:t>
      </w:r>
      <w:r w:rsidR="00E874EF" w:rsidRPr="00E874EF">
        <w:rPr>
          <w:rFonts w:ascii="Verdana" w:hAnsi="Verdana"/>
          <w:bCs/>
          <w:sz w:val="24"/>
          <w:szCs w:val="24"/>
        </w:rPr>
        <w:t xml:space="preserve"> in the region of R3m</w:t>
      </w:r>
      <w:r w:rsidR="00E874EF">
        <w:rPr>
          <w:rFonts w:ascii="Verdana" w:hAnsi="Verdana"/>
          <w:bCs/>
          <w:sz w:val="24"/>
          <w:szCs w:val="24"/>
        </w:rPr>
        <w:t xml:space="preserve"> </w:t>
      </w:r>
      <w:r w:rsidR="00E874EF" w:rsidRPr="00E874EF">
        <w:rPr>
          <w:rFonts w:ascii="Verdana" w:hAnsi="Verdana"/>
          <w:bCs/>
          <w:sz w:val="24"/>
          <w:szCs w:val="24"/>
        </w:rPr>
        <w:t xml:space="preserve">in sales based on its current stock levels; and this prejudice is outweighed by the public interest </w:t>
      </w:r>
      <w:r>
        <w:rPr>
          <w:rFonts w:ascii="Verdana" w:hAnsi="Verdana"/>
          <w:bCs/>
          <w:sz w:val="24"/>
          <w:szCs w:val="24"/>
        </w:rPr>
        <w:t>in that it would be able</w:t>
      </w:r>
      <w:r w:rsidR="00E874EF" w:rsidRPr="00E874EF">
        <w:rPr>
          <w:rFonts w:ascii="Verdana" w:hAnsi="Verdana"/>
          <w:bCs/>
          <w:sz w:val="24"/>
          <w:szCs w:val="24"/>
        </w:rPr>
        <w:t xml:space="preserve"> to access a cheaper alternative to </w:t>
      </w:r>
      <w:r>
        <w:rPr>
          <w:rFonts w:ascii="Verdana" w:hAnsi="Verdana"/>
          <w:bCs/>
          <w:sz w:val="24"/>
          <w:szCs w:val="24"/>
        </w:rPr>
        <w:t>the applicant</w:t>
      </w:r>
      <w:r w:rsidR="00E874EF" w:rsidRPr="00E874EF">
        <w:rPr>
          <w:rFonts w:ascii="Verdana" w:hAnsi="Verdana"/>
          <w:bCs/>
          <w:sz w:val="24"/>
          <w:szCs w:val="24"/>
        </w:rPr>
        <w:t>s</w:t>
      </w:r>
      <w:r w:rsidR="00A71C95">
        <w:rPr>
          <w:rFonts w:ascii="Verdana" w:hAnsi="Verdana"/>
          <w:bCs/>
          <w:sz w:val="24"/>
          <w:szCs w:val="24"/>
        </w:rPr>
        <w:t>’</w:t>
      </w:r>
      <w:r w:rsidR="00E874EF" w:rsidRPr="00E874EF">
        <w:rPr>
          <w:rFonts w:ascii="Verdana" w:hAnsi="Verdana"/>
          <w:bCs/>
          <w:sz w:val="24"/>
          <w:szCs w:val="24"/>
        </w:rPr>
        <w:t xml:space="preserve"> patented product.</w:t>
      </w:r>
    </w:p>
    <w:p w14:paraId="4C3ECDE3" w14:textId="77777777" w:rsidR="005742D5" w:rsidRDefault="005742D5" w:rsidP="00E874EF">
      <w:pPr>
        <w:spacing w:line="480" w:lineRule="auto"/>
        <w:jc w:val="both"/>
        <w:rPr>
          <w:rFonts w:ascii="Verdana" w:hAnsi="Verdana"/>
          <w:bCs/>
          <w:sz w:val="24"/>
          <w:szCs w:val="24"/>
        </w:rPr>
      </w:pPr>
    </w:p>
    <w:p w14:paraId="206D4F70" w14:textId="7A4E04E2" w:rsidR="00E874EF" w:rsidRPr="00E874EF" w:rsidRDefault="00154E05" w:rsidP="00E874EF">
      <w:pPr>
        <w:spacing w:line="480" w:lineRule="auto"/>
        <w:jc w:val="both"/>
        <w:rPr>
          <w:rFonts w:ascii="Verdana" w:hAnsi="Verdana"/>
          <w:bCs/>
          <w:sz w:val="24"/>
          <w:szCs w:val="24"/>
        </w:rPr>
      </w:pPr>
      <w:r>
        <w:rPr>
          <w:rFonts w:ascii="Verdana" w:hAnsi="Verdana"/>
          <w:bCs/>
          <w:sz w:val="24"/>
          <w:szCs w:val="24"/>
        </w:rPr>
        <w:lastRenderedPageBreak/>
        <w:t>66. A similar argument</w:t>
      </w:r>
      <w:r w:rsidR="00A71C95">
        <w:rPr>
          <w:rFonts w:ascii="Verdana" w:hAnsi="Verdana"/>
          <w:bCs/>
          <w:sz w:val="24"/>
          <w:szCs w:val="24"/>
        </w:rPr>
        <w:t>, namely,</w:t>
      </w:r>
      <w:r>
        <w:rPr>
          <w:rFonts w:ascii="Verdana" w:hAnsi="Verdana"/>
          <w:bCs/>
          <w:sz w:val="24"/>
          <w:szCs w:val="24"/>
        </w:rPr>
        <w:t xml:space="preserve"> that of </w:t>
      </w:r>
      <w:r w:rsidR="00E874EF" w:rsidRPr="00E874EF">
        <w:rPr>
          <w:rFonts w:ascii="Verdana" w:hAnsi="Verdana"/>
          <w:bCs/>
          <w:sz w:val="24"/>
          <w:szCs w:val="24"/>
        </w:rPr>
        <w:t xml:space="preserve">the public interest </w:t>
      </w:r>
      <w:r w:rsidR="00A71C95">
        <w:rPr>
          <w:rFonts w:ascii="Verdana" w:hAnsi="Verdana"/>
          <w:bCs/>
          <w:sz w:val="24"/>
          <w:szCs w:val="24"/>
        </w:rPr>
        <w:t xml:space="preserve">based </w:t>
      </w:r>
      <w:r w:rsidR="00AA6D3E">
        <w:rPr>
          <w:rFonts w:ascii="Verdana" w:hAnsi="Verdana"/>
          <w:bCs/>
          <w:sz w:val="24"/>
          <w:szCs w:val="24"/>
        </w:rPr>
        <w:t>o</w:t>
      </w:r>
      <w:r w:rsidR="00E874EF" w:rsidRPr="00E874EF">
        <w:rPr>
          <w:rFonts w:ascii="Verdana" w:hAnsi="Verdana"/>
          <w:bCs/>
          <w:sz w:val="24"/>
          <w:szCs w:val="24"/>
        </w:rPr>
        <w:t>n the availability of cheaper generic medicines should outweigh the interests of the patentee in the enforcement of its statutory patent right</w:t>
      </w:r>
      <w:r w:rsidR="00A71C95">
        <w:rPr>
          <w:rFonts w:ascii="Verdana" w:hAnsi="Verdana"/>
          <w:bCs/>
          <w:sz w:val="24"/>
          <w:szCs w:val="24"/>
        </w:rPr>
        <w:t>,</w:t>
      </w:r>
      <w:r w:rsidR="00E874EF" w:rsidRPr="00E874EF">
        <w:rPr>
          <w:rFonts w:ascii="Verdana" w:hAnsi="Verdana"/>
          <w:bCs/>
          <w:sz w:val="24"/>
          <w:szCs w:val="24"/>
        </w:rPr>
        <w:t xml:space="preserve"> was </w:t>
      </w:r>
      <w:r>
        <w:rPr>
          <w:rFonts w:ascii="Verdana" w:hAnsi="Verdana"/>
          <w:bCs/>
          <w:sz w:val="24"/>
          <w:szCs w:val="24"/>
        </w:rPr>
        <w:t xml:space="preserve">also </w:t>
      </w:r>
      <w:r w:rsidR="00E874EF" w:rsidRPr="00E874EF">
        <w:rPr>
          <w:rFonts w:ascii="Verdana" w:hAnsi="Verdana"/>
          <w:bCs/>
          <w:sz w:val="24"/>
          <w:szCs w:val="24"/>
        </w:rPr>
        <w:t>considered by the Supreme Court of Appeal in Aventis and rejected.</w:t>
      </w:r>
      <w:r>
        <w:rPr>
          <w:rStyle w:val="FootnoteReference"/>
          <w:rFonts w:ascii="Verdana" w:hAnsi="Verdana"/>
          <w:bCs/>
          <w:sz w:val="24"/>
          <w:szCs w:val="24"/>
        </w:rPr>
        <w:footnoteReference w:id="41"/>
      </w:r>
      <w:r w:rsidR="00E874EF" w:rsidRPr="00E874EF">
        <w:rPr>
          <w:rFonts w:ascii="Verdana" w:hAnsi="Verdana"/>
          <w:bCs/>
          <w:sz w:val="24"/>
          <w:szCs w:val="24"/>
        </w:rPr>
        <w:t xml:space="preserve"> </w:t>
      </w:r>
    </w:p>
    <w:p w14:paraId="1C8D4A97" w14:textId="77777777" w:rsidR="00E874EF" w:rsidRPr="00E874EF" w:rsidRDefault="00E874EF" w:rsidP="00E874EF">
      <w:pPr>
        <w:spacing w:line="480" w:lineRule="auto"/>
        <w:jc w:val="both"/>
        <w:rPr>
          <w:rFonts w:ascii="Verdana" w:hAnsi="Verdana"/>
          <w:bCs/>
          <w:sz w:val="24"/>
          <w:szCs w:val="24"/>
        </w:rPr>
      </w:pPr>
    </w:p>
    <w:p w14:paraId="4080A1B5" w14:textId="7DFD3104" w:rsidR="00E874EF" w:rsidRDefault="00CF193F" w:rsidP="00AF2559">
      <w:pPr>
        <w:spacing w:line="480" w:lineRule="auto"/>
        <w:jc w:val="both"/>
        <w:rPr>
          <w:rFonts w:ascii="Verdana" w:hAnsi="Verdana"/>
          <w:bCs/>
          <w:i/>
          <w:sz w:val="24"/>
          <w:szCs w:val="24"/>
        </w:rPr>
      </w:pPr>
      <w:r>
        <w:rPr>
          <w:rFonts w:ascii="Verdana" w:hAnsi="Verdana"/>
          <w:bCs/>
          <w:sz w:val="24"/>
          <w:szCs w:val="24"/>
        </w:rPr>
        <w:t>67</w:t>
      </w:r>
      <w:r w:rsidR="00E874EF" w:rsidRPr="00E874EF">
        <w:rPr>
          <w:rFonts w:ascii="Verdana" w:hAnsi="Verdana"/>
          <w:bCs/>
          <w:sz w:val="24"/>
          <w:szCs w:val="24"/>
        </w:rPr>
        <w:t>.</w:t>
      </w:r>
      <w:r>
        <w:rPr>
          <w:rFonts w:ascii="Verdana" w:hAnsi="Verdana"/>
          <w:bCs/>
          <w:sz w:val="24"/>
          <w:szCs w:val="24"/>
        </w:rPr>
        <w:t xml:space="preserve"> This same argument of the public interest was also relied upon by </w:t>
      </w:r>
      <w:r w:rsidR="00E874EF" w:rsidRPr="00E874EF">
        <w:rPr>
          <w:rFonts w:ascii="Verdana" w:hAnsi="Verdana"/>
          <w:bCs/>
          <w:sz w:val="24"/>
          <w:szCs w:val="24"/>
        </w:rPr>
        <w:t xml:space="preserve">Dr Reddy </w:t>
      </w:r>
      <w:r>
        <w:rPr>
          <w:rFonts w:ascii="Verdana" w:hAnsi="Verdana"/>
          <w:bCs/>
          <w:sz w:val="24"/>
          <w:szCs w:val="24"/>
        </w:rPr>
        <w:t>o</w:t>
      </w:r>
      <w:r w:rsidR="00E874EF" w:rsidRPr="00E874EF">
        <w:rPr>
          <w:rFonts w:ascii="Verdana" w:hAnsi="Verdana"/>
          <w:bCs/>
          <w:sz w:val="24"/>
          <w:szCs w:val="24"/>
        </w:rPr>
        <w:t xml:space="preserve">n the availability of cheaper generic medicines in </w:t>
      </w:r>
      <w:r>
        <w:rPr>
          <w:rFonts w:ascii="Verdana" w:hAnsi="Verdana"/>
          <w:bCs/>
          <w:sz w:val="24"/>
          <w:szCs w:val="24"/>
        </w:rPr>
        <w:t xml:space="preserve">his </w:t>
      </w:r>
      <w:r w:rsidR="00E874EF" w:rsidRPr="00E874EF">
        <w:rPr>
          <w:rFonts w:ascii="Verdana" w:hAnsi="Verdana"/>
          <w:bCs/>
          <w:sz w:val="24"/>
          <w:szCs w:val="24"/>
        </w:rPr>
        <w:t>application</w:t>
      </w:r>
      <w:r>
        <w:rPr>
          <w:rFonts w:ascii="Verdana" w:hAnsi="Verdana"/>
          <w:bCs/>
          <w:sz w:val="24"/>
          <w:szCs w:val="24"/>
        </w:rPr>
        <w:t xml:space="preserve">, which </w:t>
      </w:r>
      <w:r w:rsidR="00E874EF" w:rsidRPr="00E874EF">
        <w:rPr>
          <w:rFonts w:ascii="Verdana" w:hAnsi="Verdana"/>
          <w:bCs/>
          <w:sz w:val="24"/>
          <w:szCs w:val="24"/>
        </w:rPr>
        <w:t xml:space="preserve">argument was </w:t>
      </w:r>
      <w:r w:rsidR="00AF2559">
        <w:rPr>
          <w:rFonts w:ascii="Verdana" w:hAnsi="Verdana"/>
          <w:bCs/>
          <w:sz w:val="24"/>
          <w:szCs w:val="24"/>
        </w:rPr>
        <w:t>similarly</w:t>
      </w:r>
      <w:r w:rsidR="00E874EF" w:rsidRPr="00E874EF">
        <w:rPr>
          <w:rFonts w:ascii="Verdana" w:hAnsi="Verdana"/>
          <w:bCs/>
          <w:sz w:val="24"/>
          <w:szCs w:val="24"/>
        </w:rPr>
        <w:t xml:space="preserve"> rejected by </w:t>
      </w:r>
      <w:r w:rsidR="005742D5">
        <w:rPr>
          <w:rFonts w:ascii="Verdana" w:hAnsi="Verdana"/>
          <w:bCs/>
          <w:sz w:val="24"/>
          <w:szCs w:val="24"/>
        </w:rPr>
        <w:t>Keightley</w:t>
      </w:r>
      <w:r>
        <w:rPr>
          <w:rFonts w:ascii="Verdana" w:hAnsi="Verdana"/>
          <w:bCs/>
          <w:sz w:val="24"/>
          <w:szCs w:val="24"/>
        </w:rPr>
        <w:t xml:space="preserve"> J,</w:t>
      </w:r>
      <w:r w:rsidR="005742D5">
        <w:rPr>
          <w:rStyle w:val="FootnoteReference"/>
          <w:rFonts w:ascii="Verdana" w:hAnsi="Verdana"/>
          <w:bCs/>
          <w:sz w:val="24"/>
          <w:szCs w:val="24"/>
        </w:rPr>
        <w:footnoteReference w:id="42"/>
      </w:r>
      <w:r w:rsidR="00E874EF" w:rsidRPr="00E874EF">
        <w:rPr>
          <w:rFonts w:ascii="Verdana" w:hAnsi="Verdana"/>
          <w:bCs/>
          <w:sz w:val="24"/>
          <w:szCs w:val="24"/>
        </w:rPr>
        <w:t xml:space="preserve"> </w:t>
      </w:r>
      <w:r>
        <w:rPr>
          <w:rFonts w:ascii="Verdana" w:hAnsi="Verdana"/>
          <w:bCs/>
          <w:sz w:val="24"/>
          <w:szCs w:val="24"/>
        </w:rPr>
        <w:t>in that the court ha</w:t>
      </w:r>
      <w:r w:rsidR="00AF2559">
        <w:rPr>
          <w:rFonts w:ascii="Verdana" w:hAnsi="Verdana"/>
          <w:bCs/>
          <w:sz w:val="24"/>
          <w:szCs w:val="24"/>
        </w:rPr>
        <w:t>d</w:t>
      </w:r>
      <w:r>
        <w:rPr>
          <w:rFonts w:ascii="Verdana" w:hAnsi="Verdana"/>
          <w:bCs/>
          <w:sz w:val="24"/>
          <w:szCs w:val="24"/>
        </w:rPr>
        <w:t xml:space="preserve"> found a lack of persuasive evidence was placed before it</w:t>
      </w:r>
      <w:r w:rsidR="00AF2559">
        <w:rPr>
          <w:rFonts w:ascii="Verdana" w:hAnsi="Verdana"/>
          <w:bCs/>
          <w:sz w:val="24"/>
          <w:szCs w:val="24"/>
        </w:rPr>
        <w:t xml:space="preserve"> and that the protection of a patent will also serve the public interest.</w:t>
      </w:r>
    </w:p>
    <w:p w14:paraId="21C87EEA" w14:textId="77777777" w:rsidR="005742D5" w:rsidRPr="005742D5" w:rsidRDefault="005742D5" w:rsidP="005742D5">
      <w:pPr>
        <w:spacing w:line="480" w:lineRule="auto"/>
        <w:ind w:left="1440"/>
        <w:jc w:val="both"/>
        <w:rPr>
          <w:rFonts w:ascii="Verdana" w:hAnsi="Verdana"/>
          <w:bCs/>
          <w:i/>
          <w:sz w:val="24"/>
          <w:szCs w:val="24"/>
        </w:rPr>
      </w:pPr>
    </w:p>
    <w:p w14:paraId="648750EA" w14:textId="6AD52348" w:rsidR="00CC1882" w:rsidRDefault="00AF2559" w:rsidP="00E874EF">
      <w:pPr>
        <w:spacing w:line="480" w:lineRule="auto"/>
        <w:jc w:val="both"/>
        <w:rPr>
          <w:rFonts w:ascii="Verdana" w:hAnsi="Verdana"/>
          <w:bCs/>
          <w:sz w:val="24"/>
          <w:szCs w:val="24"/>
        </w:rPr>
      </w:pPr>
      <w:r>
        <w:rPr>
          <w:rFonts w:ascii="Verdana" w:hAnsi="Verdana"/>
          <w:bCs/>
          <w:sz w:val="24"/>
          <w:szCs w:val="24"/>
        </w:rPr>
        <w:t>68</w:t>
      </w:r>
      <w:r w:rsidR="00E874EF" w:rsidRPr="00E874EF">
        <w:rPr>
          <w:rFonts w:ascii="Verdana" w:hAnsi="Verdana"/>
          <w:bCs/>
          <w:sz w:val="24"/>
          <w:szCs w:val="24"/>
        </w:rPr>
        <w:t>.</w:t>
      </w:r>
      <w:r>
        <w:rPr>
          <w:rFonts w:ascii="Verdana" w:hAnsi="Verdana"/>
          <w:bCs/>
          <w:sz w:val="24"/>
          <w:szCs w:val="24"/>
        </w:rPr>
        <w:t xml:space="preserve"> In the absence of any persuasive evidence that the first respondent has placed before this </w:t>
      </w:r>
      <w:r w:rsidR="00AA6D3E">
        <w:rPr>
          <w:rFonts w:ascii="Verdana" w:hAnsi="Verdana"/>
          <w:bCs/>
          <w:sz w:val="24"/>
          <w:szCs w:val="24"/>
        </w:rPr>
        <w:t>C</w:t>
      </w:r>
      <w:r>
        <w:rPr>
          <w:rFonts w:ascii="Verdana" w:hAnsi="Verdana"/>
          <w:bCs/>
          <w:sz w:val="24"/>
          <w:szCs w:val="24"/>
        </w:rPr>
        <w:t>ourt, which will deprive the applicant of its rel</w:t>
      </w:r>
      <w:r w:rsidR="00AA6D3E">
        <w:rPr>
          <w:rFonts w:ascii="Verdana" w:hAnsi="Verdana"/>
          <w:bCs/>
          <w:sz w:val="24"/>
          <w:szCs w:val="24"/>
        </w:rPr>
        <w:t xml:space="preserve">ief, </w:t>
      </w:r>
      <w:r w:rsidR="00CC1882">
        <w:rPr>
          <w:rFonts w:ascii="Verdana" w:hAnsi="Verdana"/>
          <w:bCs/>
          <w:sz w:val="24"/>
          <w:szCs w:val="24"/>
        </w:rPr>
        <w:t xml:space="preserve">this </w:t>
      </w:r>
      <w:r w:rsidR="00AA6D3E">
        <w:rPr>
          <w:rFonts w:ascii="Verdana" w:hAnsi="Verdana"/>
          <w:bCs/>
          <w:sz w:val="24"/>
          <w:szCs w:val="24"/>
        </w:rPr>
        <w:t>Court must find that</w:t>
      </w:r>
      <w:r w:rsidR="00893E9D">
        <w:rPr>
          <w:rFonts w:ascii="Verdana" w:hAnsi="Verdana"/>
          <w:bCs/>
          <w:sz w:val="24"/>
          <w:szCs w:val="24"/>
        </w:rPr>
        <w:t xml:space="preserve"> the </w:t>
      </w:r>
      <w:r w:rsidR="00AA6D3E">
        <w:rPr>
          <w:rFonts w:ascii="Verdana" w:hAnsi="Verdana"/>
          <w:bCs/>
          <w:sz w:val="24"/>
          <w:szCs w:val="24"/>
        </w:rPr>
        <w:t>applicant</w:t>
      </w:r>
      <w:r w:rsidR="00893E9D">
        <w:rPr>
          <w:rFonts w:ascii="Verdana" w:hAnsi="Verdana"/>
          <w:bCs/>
          <w:sz w:val="24"/>
          <w:szCs w:val="24"/>
        </w:rPr>
        <w:t xml:space="preserve">s would be </w:t>
      </w:r>
      <w:r w:rsidR="00E874EF" w:rsidRPr="00E874EF">
        <w:rPr>
          <w:rFonts w:ascii="Verdana" w:hAnsi="Verdana"/>
          <w:bCs/>
          <w:sz w:val="24"/>
          <w:szCs w:val="24"/>
        </w:rPr>
        <w:t>entitle</w:t>
      </w:r>
      <w:r w:rsidR="00AA6D3E">
        <w:rPr>
          <w:rFonts w:ascii="Verdana" w:hAnsi="Verdana"/>
          <w:bCs/>
          <w:sz w:val="24"/>
          <w:szCs w:val="24"/>
        </w:rPr>
        <w:t xml:space="preserve">d </w:t>
      </w:r>
      <w:r w:rsidR="00E874EF" w:rsidRPr="00E874EF">
        <w:rPr>
          <w:rFonts w:ascii="Verdana" w:hAnsi="Verdana"/>
          <w:bCs/>
          <w:sz w:val="24"/>
          <w:szCs w:val="24"/>
        </w:rPr>
        <w:t xml:space="preserve">to </w:t>
      </w:r>
      <w:r w:rsidR="00893E9D">
        <w:rPr>
          <w:rFonts w:ascii="Verdana" w:hAnsi="Verdana"/>
          <w:bCs/>
          <w:sz w:val="24"/>
          <w:szCs w:val="24"/>
        </w:rPr>
        <w:t xml:space="preserve">the </w:t>
      </w:r>
      <w:r w:rsidR="00E874EF" w:rsidRPr="00E874EF">
        <w:rPr>
          <w:rFonts w:ascii="Verdana" w:hAnsi="Verdana"/>
          <w:bCs/>
          <w:sz w:val="24"/>
          <w:szCs w:val="24"/>
        </w:rPr>
        <w:t>interim interdict</w:t>
      </w:r>
      <w:r w:rsidR="00A71C95">
        <w:rPr>
          <w:rFonts w:ascii="Verdana" w:hAnsi="Verdana"/>
          <w:bCs/>
          <w:sz w:val="24"/>
          <w:szCs w:val="24"/>
        </w:rPr>
        <w:t xml:space="preserve"> they seek</w:t>
      </w:r>
      <w:r w:rsidR="00E874EF" w:rsidRPr="00E874EF">
        <w:rPr>
          <w:rFonts w:ascii="Verdana" w:hAnsi="Verdana"/>
          <w:bCs/>
          <w:sz w:val="24"/>
          <w:szCs w:val="24"/>
        </w:rPr>
        <w:t xml:space="preserve">. </w:t>
      </w:r>
    </w:p>
    <w:p w14:paraId="1DDE3A27" w14:textId="77777777" w:rsidR="00CC1882" w:rsidRDefault="00CC1882" w:rsidP="00E874EF">
      <w:pPr>
        <w:spacing w:line="480" w:lineRule="auto"/>
        <w:jc w:val="both"/>
        <w:rPr>
          <w:rFonts w:ascii="Verdana" w:hAnsi="Verdana"/>
          <w:bCs/>
          <w:sz w:val="24"/>
          <w:szCs w:val="24"/>
        </w:rPr>
      </w:pPr>
    </w:p>
    <w:p w14:paraId="1231DB76" w14:textId="7C045316" w:rsidR="00CC1882" w:rsidRDefault="00CC1882" w:rsidP="00E874EF">
      <w:pPr>
        <w:spacing w:line="480" w:lineRule="auto"/>
        <w:jc w:val="both"/>
        <w:rPr>
          <w:rFonts w:ascii="Verdana" w:hAnsi="Verdana"/>
          <w:bCs/>
          <w:sz w:val="24"/>
          <w:szCs w:val="24"/>
        </w:rPr>
      </w:pPr>
      <w:r>
        <w:rPr>
          <w:rFonts w:ascii="Verdana" w:hAnsi="Verdana"/>
          <w:bCs/>
          <w:sz w:val="24"/>
          <w:szCs w:val="24"/>
        </w:rPr>
        <w:lastRenderedPageBreak/>
        <w:t>69. On the balance of convenience</w:t>
      </w:r>
      <w:r w:rsidR="00A71C95">
        <w:rPr>
          <w:rFonts w:ascii="Verdana" w:hAnsi="Verdana"/>
          <w:bCs/>
          <w:sz w:val="24"/>
          <w:szCs w:val="24"/>
        </w:rPr>
        <w:t>,</w:t>
      </w:r>
      <w:r>
        <w:rPr>
          <w:rFonts w:ascii="Verdana" w:hAnsi="Verdana"/>
          <w:bCs/>
          <w:sz w:val="24"/>
          <w:szCs w:val="24"/>
        </w:rPr>
        <w:t xml:space="preserve"> the first respondent’s evidence on point</w:t>
      </w:r>
      <w:r w:rsidR="00E874EF" w:rsidRPr="00E874EF">
        <w:rPr>
          <w:rFonts w:ascii="Verdana" w:hAnsi="Verdana"/>
          <w:bCs/>
          <w:sz w:val="24"/>
          <w:szCs w:val="24"/>
        </w:rPr>
        <w:t xml:space="preserve"> is that medical aids and some patients in the private sector who do not have medical aid may have to pay more for rivaroxaban than they do currently. </w:t>
      </w:r>
    </w:p>
    <w:p w14:paraId="77F32710" w14:textId="77777777" w:rsidR="00CC1882" w:rsidRDefault="00CC1882" w:rsidP="00E874EF">
      <w:pPr>
        <w:spacing w:line="480" w:lineRule="auto"/>
        <w:jc w:val="both"/>
        <w:rPr>
          <w:rFonts w:ascii="Verdana" w:hAnsi="Verdana"/>
          <w:bCs/>
          <w:sz w:val="24"/>
          <w:szCs w:val="24"/>
        </w:rPr>
      </w:pPr>
    </w:p>
    <w:p w14:paraId="23B9888A" w14:textId="0DB77E4A" w:rsidR="00E874EF" w:rsidRDefault="00CC1882" w:rsidP="00E874EF">
      <w:pPr>
        <w:spacing w:line="480" w:lineRule="auto"/>
        <w:jc w:val="both"/>
        <w:rPr>
          <w:rFonts w:ascii="Verdana" w:hAnsi="Verdana"/>
          <w:bCs/>
          <w:sz w:val="24"/>
          <w:szCs w:val="24"/>
        </w:rPr>
      </w:pPr>
      <w:r>
        <w:rPr>
          <w:rFonts w:ascii="Verdana" w:hAnsi="Verdana"/>
          <w:bCs/>
          <w:sz w:val="24"/>
          <w:szCs w:val="24"/>
        </w:rPr>
        <w:t xml:space="preserve">70. Similar </w:t>
      </w:r>
      <w:r w:rsidR="000D758B">
        <w:rPr>
          <w:rFonts w:ascii="Verdana" w:hAnsi="Verdana"/>
          <w:bCs/>
          <w:sz w:val="24"/>
          <w:szCs w:val="24"/>
        </w:rPr>
        <w:t>arguments and facts</w:t>
      </w:r>
      <w:r>
        <w:rPr>
          <w:rFonts w:ascii="Verdana" w:hAnsi="Verdana"/>
          <w:bCs/>
          <w:sz w:val="24"/>
          <w:szCs w:val="24"/>
        </w:rPr>
        <w:t xml:space="preserve"> were placed </w:t>
      </w:r>
      <w:r w:rsidR="00A71C95">
        <w:rPr>
          <w:rFonts w:ascii="Verdana" w:hAnsi="Verdana"/>
          <w:bCs/>
          <w:sz w:val="24"/>
          <w:szCs w:val="24"/>
        </w:rPr>
        <w:t xml:space="preserve">before the court </w:t>
      </w:r>
      <w:r>
        <w:rPr>
          <w:rFonts w:ascii="Verdana" w:hAnsi="Verdana"/>
          <w:bCs/>
          <w:sz w:val="24"/>
          <w:szCs w:val="24"/>
        </w:rPr>
        <w:t xml:space="preserve">in the </w:t>
      </w:r>
      <w:r w:rsidR="00E874EF" w:rsidRPr="00CC1882">
        <w:rPr>
          <w:rFonts w:ascii="Verdana" w:hAnsi="Verdana"/>
          <w:bCs/>
          <w:sz w:val="24"/>
          <w:szCs w:val="24"/>
        </w:rPr>
        <w:t>Aventis</w:t>
      </w:r>
      <w:r>
        <w:rPr>
          <w:rFonts w:ascii="Verdana" w:hAnsi="Verdana"/>
          <w:bCs/>
          <w:sz w:val="24"/>
          <w:szCs w:val="24"/>
        </w:rPr>
        <w:t>-decision</w:t>
      </w:r>
      <w:r w:rsidR="00A71C95">
        <w:rPr>
          <w:rFonts w:ascii="Verdana" w:hAnsi="Verdana"/>
          <w:bCs/>
          <w:sz w:val="24"/>
          <w:szCs w:val="24"/>
        </w:rPr>
        <w:t>,</w:t>
      </w:r>
      <w:r>
        <w:rPr>
          <w:rFonts w:ascii="Verdana" w:hAnsi="Verdana"/>
          <w:bCs/>
          <w:sz w:val="24"/>
          <w:szCs w:val="24"/>
        </w:rPr>
        <w:t xml:space="preserve"> </w:t>
      </w:r>
      <w:r w:rsidR="00E874EF" w:rsidRPr="00CC1882">
        <w:rPr>
          <w:rFonts w:ascii="Verdana" w:hAnsi="Verdana"/>
          <w:bCs/>
          <w:sz w:val="24"/>
          <w:szCs w:val="24"/>
        </w:rPr>
        <w:t xml:space="preserve">but </w:t>
      </w:r>
      <w:r w:rsidR="00E874EF" w:rsidRPr="00E874EF">
        <w:rPr>
          <w:rFonts w:ascii="Verdana" w:hAnsi="Verdana"/>
          <w:bCs/>
          <w:sz w:val="24"/>
          <w:szCs w:val="24"/>
        </w:rPr>
        <w:t>the marginal harm to a small percentage of patients in the private sector (who don’t have medical aid or who have to make a small co-payment) was not considered to be sufficient to outweigh the negative public interest effect of fai</w:t>
      </w:r>
      <w:r w:rsidR="005742D5">
        <w:rPr>
          <w:rFonts w:ascii="Verdana" w:hAnsi="Verdana"/>
          <w:bCs/>
          <w:sz w:val="24"/>
          <w:szCs w:val="24"/>
        </w:rPr>
        <w:t>ling to enforce valid patents.</w:t>
      </w:r>
      <w:r w:rsidR="005742D5">
        <w:rPr>
          <w:rStyle w:val="FootnoteReference"/>
          <w:rFonts w:ascii="Verdana" w:hAnsi="Verdana"/>
          <w:bCs/>
          <w:sz w:val="24"/>
          <w:szCs w:val="24"/>
        </w:rPr>
        <w:footnoteReference w:id="43"/>
      </w:r>
      <w:r w:rsidR="000D758B">
        <w:rPr>
          <w:rFonts w:ascii="Verdana" w:hAnsi="Verdana"/>
          <w:bCs/>
          <w:sz w:val="24"/>
          <w:szCs w:val="24"/>
        </w:rPr>
        <w:t xml:space="preserve"> It is for this reason that it was found that the balance of convenience favour</w:t>
      </w:r>
      <w:r w:rsidR="003C1F1D">
        <w:rPr>
          <w:rFonts w:ascii="Verdana" w:hAnsi="Verdana"/>
          <w:bCs/>
          <w:sz w:val="24"/>
          <w:szCs w:val="24"/>
        </w:rPr>
        <w:t>s</w:t>
      </w:r>
      <w:r w:rsidR="000D758B">
        <w:rPr>
          <w:rFonts w:ascii="Verdana" w:hAnsi="Verdana"/>
          <w:bCs/>
          <w:sz w:val="24"/>
          <w:szCs w:val="24"/>
        </w:rPr>
        <w:t xml:space="preserve"> the</w:t>
      </w:r>
      <w:r w:rsidR="00AE43F2">
        <w:rPr>
          <w:rFonts w:ascii="Verdana" w:hAnsi="Verdana"/>
          <w:bCs/>
          <w:sz w:val="24"/>
          <w:szCs w:val="24"/>
        </w:rPr>
        <w:t xml:space="preserve"> applicants and that </w:t>
      </w:r>
      <w:r w:rsidR="00A71C95">
        <w:rPr>
          <w:rFonts w:ascii="Verdana" w:hAnsi="Verdana"/>
          <w:bCs/>
          <w:sz w:val="24"/>
          <w:szCs w:val="24"/>
        </w:rPr>
        <w:t xml:space="preserve">they </w:t>
      </w:r>
      <w:r w:rsidR="00AE43F2">
        <w:rPr>
          <w:rFonts w:ascii="Verdana" w:hAnsi="Verdana"/>
          <w:bCs/>
          <w:sz w:val="24"/>
          <w:szCs w:val="24"/>
        </w:rPr>
        <w:t>ought to be</w:t>
      </w:r>
      <w:r w:rsidR="000D758B">
        <w:rPr>
          <w:rFonts w:ascii="Verdana" w:hAnsi="Verdana"/>
          <w:bCs/>
          <w:sz w:val="24"/>
          <w:szCs w:val="24"/>
        </w:rPr>
        <w:t xml:space="preserve"> grant</w:t>
      </w:r>
      <w:r w:rsidR="00AE43F2">
        <w:rPr>
          <w:rFonts w:ascii="Verdana" w:hAnsi="Verdana"/>
          <w:bCs/>
          <w:sz w:val="24"/>
          <w:szCs w:val="24"/>
        </w:rPr>
        <w:t>ed</w:t>
      </w:r>
      <w:r w:rsidR="000D758B">
        <w:rPr>
          <w:rFonts w:ascii="Verdana" w:hAnsi="Verdana"/>
          <w:bCs/>
          <w:sz w:val="24"/>
          <w:szCs w:val="24"/>
        </w:rPr>
        <w:t xml:space="preserve"> the interim interdict. </w:t>
      </w:r>
    </w:p>
    <w:p w14:paraId="1FB7CC15" w14:textId="77777777" w:rsidR="005742D5" w:rsidRPr="00E874EF" w:rsidRDefault="005742D5" w:rsidP="00E874EF">
      <w:pPr>
        <w:spacing w:line="480" w:lineRule="auto"/>
        <w:jc w:val="both"/>
        <w:rPr>
          <w:rFonts w:ascii="Verdana" w:hAnsi="Verdana"/>
          <w:bCs/>
          <w:sz w:val="24"/>
          <w:szCs w:val="24"/>
        </w:rPr>
      </w:pPr>
    </w:p>
    <w:p w14:paraId="0246E8ED" w14:textId="20EE3F07" w:rsidR="007C3337" w:rsidRPr="00235656" w:rsidRDefault="007C3337" w:rsidP="007C3337">
      <w:pPr>
        <w:rPr>
          <w:rFonts w:ascii="Verdana" w:hAnsi="Verdana"/>
          <w:bCs/>
          <w:sz w:val="24"/>
          <w:szCs w:val="24"/>
        </w:rPr>
      </w:pPr>
      <w:r w:rsidRPr="00235656">
        <w:rPr>
          <w:rFonts w:ascii="Verdana" w:hAnsi="Verdana"/>
          <w:bCs/>
          <w:sz w:val="24"/>
          <w:szCs w:val="24"/>
        </w:rPr>
        <w:t>ORDER</w:t>
      </w:r>
    </w:p>
    <w:p w14:paraId="1876233A" w14:textId="654927CD" w:rsidR="007C3337" w:rsidRDefault="000D758B" w:rsidP="00235656">
      <w:pPr>
        <w:jc w:val="both"/>
        <w:rPr>
          <w:rFonts w:ascii="Verdana" w:hAnsi="Verdana"/>
          <w:bCs/>
          <w:sz w:val="24"/>
          <w:szCs w:val="24"/>
        </w:rPr>
      </w:pPr>
      <w:r>
        <w:rPr>
          <w:rFonts w:ascii="Verdana" w:hAnsi="Verdana"/>
          <w:bCs/>
          <w:sz w:val="24"/>
          <w:szCs w:val="24"/>
        </w:rPr>
        <w:t>71. In the result the following order is made:</w:t>
      </w:r>
    </w:p>
    <w:p w14:paraId="5030618D" w14:textId="77777777" w:rsidR="000D758B" w:rsidRPr="00871283" w:rsidRDefault="000D758B" w:rsidP="00235656">
      <w:pPr>
        <w:jc w:val="both"/>
        <w:rPr>
          <w:rFonts w:ascii="Verdana" w:hAnsi="Verdana"/>
          <w:bCs/>
          <w:sz w:val="24"/>
          <w:szCs w:val="24"/>
        </w:rPr>
      </w:pPr>
    </w:p>
    <w:p w14:paraId="070AD34D" w14:textId="77777777" w:rsidR="000D758B" w:rsidRDefault="000D758B" w:rsidP="00235656">
      <w:pPr>
        <w:spacing w:line="480" w:lineRule="auto"/>
        <w:jc w:val="both"/>
        <w:rPr>
          <w:rFonts w:ascii="Verdana" w:hAnsi="Verdana"/>
          <w:bCs/>
          <w:sz w:val="24"/>
          <w:szCs w:val="24"/>
        </w:rPr>
      </w:pPr>
      <w:r>
        <w:rPr>
          <w:rFonts w:ascii="Verdana" w:hAnsi="Verdana"/>
          <w:bCs/>
          <w:sz w:val="24"/>
          <w:szCs w:val="24"/>
        </w:rPr>
        <w:t xml:space="preserve">71.1 </w:t>
      </w:r>
      <w:r w:rsidR="007C3337" w:rsidRPr="00871283">
        <w:rPr>
          <w:rFonts w:ascii="Verdana" w:hAnsi="Verdana"/>
          <w:bCs/>
          <w:sz w:val="24"/>
          <w:szCs w:val="24"/>
        </w:rPr>
        <w:t xml:space="preserve">The </w:t>
      </w:r>
      <w:r w:rsidR="00871283" w:rsidRPr="00871283">
        <w:rPr>
          <w:rFonts w:ascii="Verdana" w:hAnsi="Verdana"/>
          <w:bCs/>
          <w:sz w:val="24"/>
          <w:szCs w:val="24"/>
        </w:rPr>
        <w:t xml:space="preserve">application is enrolled as an urgent application in terms of Rule </w:t>
      </w:r>
    </w:p>
    <w:p w14:paraId="07321794" w14:textId="6959C602" w:rsidR="007C3337" w:rsidRPr="00871283" w:rsidRDefault="00235656" w:rsidP="00235656">
      <w:pPr>
        <w:spacing w:line="480" w:lineRule="auto"/>
        <w:jc w:val="both"/>
        <w:rPr>
          <w:rFonts w:ascii="Verdana" w:hAnsi="Verdana"/>
          <w:bCs/>
          <w:sz w:val="24"/>
          <w:szCs w:val="24"/>
        </w:rPr>
      </w:pPr>
      <w:r>
        <w:rPr>
          <w:rFonts w:ascii="Verdana" w:hAnsi="Verdana"/>
          <w:bCs/>
          <w:sz w:val="24"/>
          <w:szCs w:val="24"/>
        </w:rPr>
        <w:t xml:space="preserve">       </w:t>
      </w:r>
      <w:r w:rsidR="003C1F1D">
        <w:rPr>
          <w:rFonts w:ascii="Verdana" w:hAnsi="Verdana"/>
          <w:bCs/>
          <w:sz w:val="24"/>
          <w:szCs w:val="24"/>
        </w:rPr>
        <w:t xml:space="preserve">6(12)(c) </w:t>
      </w:r>
      <w:r w:rsidR="00871283" w:rsidRPr="00871283">
        <w:rPr>
          <w:rFonts w:ascii="Verdana" w:hAnsi="Verdana"/>
          <w:bCs/>
          <w:sz w:val="24"/>
          <w:szCs w:val="24"/>
        </w:rPr>
        <w:t>of the Uniform Rules of Court.</w:t>
      </w:r>
    </w:p>
    <w:p w14:paraId="2025B793" w14:textId="620055B9" w:rsidR="00235656" w:rsidRDefault="000D758B" w:rsidP="00235656">
      <w:pPr>
        <w:spacing w:line="480" w:lineRule="auto"/>
        <w:jc w:val="both"/>
        <w:rPr>
          <w:rFonts w:ascii="Verdana" w:hAnsi="Verdana"/>
          <w:bCs/>
          <w:sz w:val="24"/>
          <w:szCs w:val="24"/>
        </w:rPr>
      </w:pPr>
      <w:r>
        <w:rPr>
          <w:rFonts w:ascii="Verdana" w:hAnsi="Verdana"/>
          <w:bCs/>
          <w:sz w:val="24"/>
          <w:szCs w:val="24"/>
        </w:rPr>
        <w:t>71.</w:t>
      </w:r>
      <w:r w:rsidR="00871283" w:rsidRPr="00871283">
        <w:rPr>
          <w:rFonts w:ascii="Verdana" w:hAnsi="Verdana"/>
          <w:bCs/>
          <w:sz w:val="24"/>
          <w:szCs w:val="24"/>
        </w:rPr>
        <w:t>2</w:t>
      </w:r>
      <w:r>
        <w:rPr>
          <w:rFonts w:ascii="Verdana" w:hAnsi="Verdana"/>
          <w:bCs/>
          <w:sz w:val="24"/>
          <w:szCs w:val="24"/>
        </w:rPr>
        <w:t xml:space="preserve"> </w:t>
      </w:r>
      <w:r w:rsidR="00871283" w:rsidRPr="00871283">
        <w:rPr>
          <w:rFonts w:ascii="Verdana" w:hAnsi="Verdana"/>
          <w:bCs/>
          <w:sz w:val="24"/>
          <w:szCs w:val="24"/>
        </w:rPr>
        <w:t>The joinder of the Clicks Retailers (Pty) Ltd as fourth respondent is</w:t>
      </w:r>
    </w:p>
    <w:p w14:paraId="7C1445C8" w14:textId="77777777" w:rsidR="0091566F" w:rsidRDefault="00235656" w:rsidP="00C57D6C">
      <w:pPr>
        <w:spacing w:line="480" w:lineRule="auto"/>
        <w:jc w:val="both"/>
        <w:rPr>
          <w:rFonts w:ascii="Verdana" w:hAnsi="Verdana"/>
          <w:bCs/>
          <w:sz w:val="24"/>
          <w:szCs w:val="24"/>
        </w:rPr>
      </w:pPr>
      <w:r>
        <w:rPr>
          <w:rFonts w:ascii="Verdana" w:hAnsi="Verdana"/>
          <w:bCs/>
          <w:sz w:val="24"/>
          <w:szCs w:val="24"/>
        </w:rPr>
        <w:t xml:space="preserve">        </w:t>
      </w:r>
      <w:r w:rsidR="003C1F1D">
        <w:rPr>
          <w:rFonts w:ascii="Verdana" w:hAnsi="Verdana"/>
          <w:bCs/>
          <w:sz w:val="24"/>
          <w:szCs w:val="24"/>
        </w:rPr>
        <w:t>refused.</w:t>
      </w:r>
    </w:p>
    <w:p w14:paraId="0B806B3B" w14:textId="3AE0DE18" w:rsidR="003C1F1D" w:rsidRDefault="003C1F1D" w:rsidP="0091566F">
      <w:pPr>
        <w:spacing w:line="480" w:lineRule="auto"/>
        <w:jc w:val="both"/>
        <w:rPr>
          <w:rFonts w:ascii="Verdana" w:hAnsi="Verdana"/>
          <w:bCs/>
          <w:sz w:val="24"/>
          <w:szCs w:val="24"/>
        </w:rPr>
      </w:pPr>
      <w:r>
        <w:rPr>
          <w:rFonts w:ascii="Verdana" w:hAnsi="Verdana"/>
          <w:bCs/>
          <w:sz w:val="24"/>
          <w:szCs w:val="24"/>
        </w:rPr>
        <w:lastRenderedPageBreak/>
        <w:t xml:space="preserve">71.3 </w:t>
      </w:r>
      <w:r w:rsidR="0091566F">
        <w:rPr>
          <w:rFonts w:ascii="Verdana" w:hAnsi="Verdana"/>
          <w:bCs/>
          <w:sz w:val="24"/>
          <w:szCs w:val="24"/>
        </w:rPr>
        <w:t xml:space="preserve">Pending the final determination of the patent infringement action which has been instituted by the applicants against Dr.Reddy’s Laboratories (Pty)Ltd in respect of South African Patent No.2007/06238 or the dismissal of the applicants’ application to join the respondents as defendants in that action, the first respondent is interdicted and restrained from infringing the claim of South African Patent No.2007/06238, by disposing of or offering to dispose of the product Rivaxored (or any other product falling within the scope of the claim of the patent) in the Republic and by importing any such product into the Republic. </w:t>
      </w:r>
    </w:p>
    <w:p w14:paraId="013040AD" w14:textId="77777777" w:rsidR="00235656" w:rsidRDefault="003C1F1D" w:rsidP="00235656">
      <w:pPr>
        <w:spacing w:line="480" w:lineRule="auto"/>
        <w:jc w:val="both"/>
        <w:rPr>
          <w:rFonts w:ascii="Verdana" w:hAnsi="Verdana"/>
          <w:bCs/>
          <w:sz w:val="24"/>
          <w:szCs w:val="24"/>
        </w:rPr>
      </w:pPr>
      <w:r>
        <w:rPr>
          <w:rFonts w:ascii="Verdana" w:hAnsi="Verdana"/>
          <w:bCs/>
          <w:sz w:val="24"/>
          <w:szCs w:val="24"/>
        </w:rPr>
        <w:t xml:space="preserve">71.4 The first respondent is ordered to pay the cost of this application, </w:t>
      </w:r>
    </w:p>
    <w:p w14:paraId="589E5CDF" w14:textId="2D14A4E4" w:rsidR="003C1F1D" w:rsidRDefault="00235656" w:rsidP="00235656">
      <w:pPr>
        <w:spacing w:line="480" w:lineRule="auto"/>
        <w:jc w:val="both"/>
        <w:rPr>
          <w:rFonts w:ascii="Verdana" w:hAnsi="Verdana"/>
          <w:bCs/>
          <w:sz w:val="24"/>
          <w:szCs w:val="24"/>
        </w:rPr>
      </w:pPr>
      <w:r>
        <w:rPr>
          <w:rFonts w:ascii="Verdana" w:hAnsi="Verdana"/>
          <w:bCs/>
          <w:sz w:val="24"/>
          <w:szCs w:val="24"/>
        </w:rPr>
        <w:t xml:space="preserve">        </w:t>
      </w:r>
      <w:r w:rsidR="003C1F1D">
        <w:rPr>
          <w:rFonts w:ascii="Verdana" w:hAnsi="Verdana"/>
          <w:bCs/>
          <w:sz w:val="24"/>
          <w:szCs w:val="24"/>
        </w:rPr>
        <w:t>including the costs of counsel.</w:t>
      </w:r>
    </w:p>
    <w:p w14:paraId="4E5DB7D2" w14:textId="77777777" w:rsidR="003C1F1D" w:rsidRDefault="003C1F1D" w:rsidP="00235656">
      <w:pPr>
        <w:tabs>
          <w:tab w:val="left" w:pos="3640"/>
        </w:tabs>
        <w:spacing w:line="480" w:lineRule="auto"/>
        <w:jc w:val="both"/>
        <w:rPr>
          <w:rFonts w:ascii="Verdana" w:hAnsi="Verdana"/>
          <w:b/>
          <w:bCs/>
          <w:sz w:val="24"/>
          <w:szCs w:val="24"/>
        </w:rPr>
      </w:pPr>
    </w:p>
    <w:p w14:paraId="2F875538" w14:textId="7C61C0D6" w:rsidR="00871283" w:rsidRPr="00871283" w:rsidRDefault="00871283" w:rsidP="00235656">
      <w:pPr>
        <w:spacing w:line="480" w:lineRule="auto"/>
        <w:jc w:val="both"/>
        <w:rPr>
          <w:rFonts w:ascii="Verdana" w:hAnsi="Verdana"/>
          <w:bCs/>
          <w:sz w:val="24"/>
          <w:szCs w:val="24"/>
        </w:rPr>
      </w:pPr>
    </w:p>
    <w:p w14:paraId="27BF4263" w14:textId="77777777" w:rsidR="007C3337" w:rsidRPr="007869E4" w:rsidRDefault="007C3337" w:rsidP="00235656">
      <w:pPr>
        <w:jc w:val="both"/>
        <w:rPr>
          <w:rFonts w:ascii="Verdana" w:hAnsi="Verdana"/>
          <w:bCs/>
          <w:color w:val="FF0000"/>
          <w:sz w:val="24"/>
          <w:szCs w:val="24"/>
        </w:rPr>
      </w:pPr>
    </w:p>
    <w:p w14:paraId="42AC264D" w14:textId="3B702276" w:rsidR="00C57D6C" w:rsidRPr="00871283" w:rsidRDefault="007C3337" w:rsidP="00235656">
      <w:pPr>
        <w:spacing w:line="480" w:lineRule="auto"/>
        <w:jc w:val="both"/>
        <w:rPr>
          <w:rFonts w:ascii="Verdana" w:hAnsi="Verdana"/>
          <w:bCs/>
          <w:sz w:val="24"/>
          <w:szCs w:val="24"/>
        </w:rPr>
      </w:pPr>
      <w:r w:rsidRPr="00871283">
        <w:rPr>
          <w:rFonts w:ascii="Verdana" w:hAnsi="Verdana"/>
          <w:bCs/>
          <w:sz w:val="24"/>
          <w:szCs w:val="24"/>
        </w:rPr>
        <w:tab/>
      </w:r>
    </w:p>
    <w:p w14:paraId="68D01A9F" w14:textId="1F942B07" w:rsidR="007C3337" w:rsidRPr="00871283" w:rsidRDefault="007A454D" w:rsidP="00235656">
      <w:pPr>
        <w:spacing w:line="240" w:lineRule="auto"/>
        <w:jc w:val="both"/>
        <w:rPr>
          <w:rFonts w:ascii="Verdana" w:hAnsi="Verdana"/>
          <w:bCs/>
          <w:sz w:val="24"/>
          <w:szCs w:val="24"/>
        </w:rPr>
      </w:pPr>
      <w:r>
        <w:rPr>
          <w:rFonts w:ascii="Verdana" w:hAnsi="Verdana"/>
          <w:bCs/>
          <w:sz w:val="24"/>
          <w:szCs w:val="24"/>
        </w:rPr>
        <w:tab/>
      </w:r>
      <w:r>
        <w:rPr>
          <w:rFonts w:ascii="Verdana" w:hAnsi="Verdana"/>
          <w:bCs/>
          <w:sz w:val="24"/>
          <w:szCs w:val="24"/>
        </w:rPr>
        <w:tab/>
      </w:r>
      <w:r>
        <w:rPr>
          <w:rFonts w:ascii="Verdana" w:hAnsi="Verdana"/>
          <w:bCs/>
          <w:sz w:val="24"/>
          <w:szCs w:val="24"/>
        </w:rPr>
        <w:tab/>
      </w:r>
      <w:r>
        <w:rPr>
          <w:rFonts w:ascii="Verdana" w:hAnsi="Verdana"/>
          <w:bCs/>
          <w:sz w:val="24"/>
          <w:szCs w:val="24"/>
        </w:rPr>
        <w:tab/>
      </w:r>
      <w:r>
        <w:rPr>
          <w:rFonts w:ascii="Verdana" w:hAnsi="Verdana"/>
          <w:bCs/>
          <w:sz w:val="24"/>
          <w:szCs w:val="24"/>
        </w:rPr>
        <w:tab/>
        <w:t xml:space="preserve">            </w:t>
      </w:r>
      <w:r w:rsidR="007C3337" w:rsidRPr="00871283">
        <w:rPr>
          <w:noProof/>
          <w:u w:val="single"/>
        </w:rPr>
        <w:drawing>
          <wp:inline distT="0" distB="0" distL="0" distR="0" wp14:anchorId="4FF7E863" wp14:editId="749AF268">
            <wp:extent cx="685800" cy="635000"/>
            <wp:effectExtent l="0" t="0" r="0" b="0"/>
            <wp:docPr id="4" name="Picture 3" descr="C:\Users\AThangavhuelelo\Pictures\JUDGE COLLIS SIGNATURE-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Thangavhuelelo\Pictures\JUDGE COLLIS SIGNATURE-1 (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1675" cy="649699"/>
                    </a:xfrm>
                    <a:prstGeom prst="rect">
                      <a:avLst/>
                    </a:prstGeom>
                    <a:noFill/>
                    <a:ln>
                      <a:noFill/>
                    </a:ln>
                  </pic:spPr>
                </pic:pic>
              </a:graphicData>
            </a:graphic>
          </wp:inline>
        </w:drawing>
      </w:r>
      <w:r w:rsidR="007C3337" w:rsidRPr="00871283">
        <w:rPr>
          <w:rFonts w:ascii="Verdana" w:hAnsi="Verdana"/>
          <w:bCs/>
          <w:sz w:val="24"/>
          <w:szCs w:val="24"/>
        </w:rPr>
        <w:t>_______</w:t>
      </w:r>
      <w:r>
        <w:rPr>
          <w:rFonts w:ascii="Verdana" w:hAnsi="Verdana"/>
          <w:bCs/>
          <w:sz w:val="24"/>
          <w:szCs w:val="24"/>
        </w:rPr>
        <w:t>_________</w:t>
      </w:r>
    </w:p>
    <w:p w14:paraId="129A272C" w14:textId="7E2B7A36" w:rsidR="007C3337" w:rsidRPr="00871283" w:rsidRDefault="007A454D" w:rsidP="007A454D">
      <w:pPr>
        <w:spacing w:line="240" w:lineRule="auto"/>
        <w:ind w:left="720" w:firstLine="720"/>
        <w:jc w:val="both"/>
        <w:rPr>
          <w:rFonts w:ascii="Verdana" w:hAnsi="Verdana"/>
          <w:b/>
          <w:bCs/>
          <w:sz w:val="24"/>
          <w:szCs w:val="24"/>
        </w:rPr>
      </w:pPr>
      <w:r>
        <w:rPr>
          <w:rFonts w:ascii="Verdana" w:hAnsi="Verdana"/>
          <w:b/>
          <w:bCs/>
          <w:sz w:val="24"/>
          <w:szCs w:val="24"/>
        </w:rPr>
        <w:t xml:space="preserve">                                       </w:t>
      </w:r>
      <w:r w:rsidR="007C3337" w:rsidRPr="00871283">
        <w:rPr>
          <w:rFonts w:ascii="Verdana" w:hAnsi="Verdana"/>
          <w:b/>
          <w:bCs/>
          <w:sz w:val="24"/>
          <w:szCs w:val="24"/>
        </w:rPr>
        <w:t xml:space="preserve">COLLIS J                                       </w:t>
      </w:r>
    </w:p>
    <w:p w14:paraId="3EDD7B8E" w14:textId="37F510A9" w:rsidR="007C3337" w:rsidRPr="00871283" w:rsidRDefault="007A454D" w:rsidP="007A454D">
      <w:pPr>
        <w:spacing w:line="240" w:lineRule="auto"/>
        <w:ind w:firstLine="720"/>
        <w:jc w:val="both"/>
        <w:rPr>
          <w:rFonts w:ascii="Verdana" w:hAnsi="Verdana"/>
          <w:b/>
          <w:bCs/>
          <w:sz w:val="24"/>
          <w:szCs w:val="24"/>
        </w:rPr>
      </w:pPr>
      <w:r>
        <w:rPr>
          <w:rFonts w:ascii="Verdana" w:hAnsi="Verdana"/>
          <w:b/>
          <w:bCs/>
          <w:sz w:val="24"/>
          <w:szCs w:val="24"/>
        </w:rPr>
        <w:t xml:space="preserve">                                               </w:t>
      </w:r>
      <w:r w:rsidR="007C3337" w:rsidRPr="00871283">
        <w:rPr>
          <w:rFonts w:ascii="Verdana" w:hAnsi="Verdana"/>
          <w:b/>
          <w:bCs/>
          <w:sz w:val="24"/>
          <w:szCs w:val="24"/>
        </w:rPr>
        <w:t xml:space="preserve">JUDGE OF THE HIGH COURT                                                                                                                                                                          </w:t>
      </w:r>
    </w:p>
    <w:p w14:paraId="51D9D5BE" w14:textId="5D890D47" w:rsidR="007C3337" w:rsidRPr="007A454D" w:rsidRDefault="007A454D" w:rsidP="00235656">
      <w:pPr>
        <w:tabs>
          <w:tab w:val="left" w:pos="3640"/>
        </w:tabs>
        <w:spacing w:line="480" w:lineRule="auto"/>
        <w:jc w:val="both"/>
        <w:rPr>
          <w:rFonts w:ascii="Verdana" w:hAnsi="Verdana"/>
          <w:b/>
          <w:bCs/>
          <w:sz w:val="24"/>
          <w:szCs w:val="24"/>
        </w:rPr>
      </w:pPr>
      <w:r>
        <w:rPr>
          <w:rFonts w:ascii="Verdana" w:hAnsi="Verdana"/>
          <w:bCs/>
          <w:sz w:val="24"/>
          <w:szCs w:val="24"/>
        </w:rPr>
        <w:tab/>
      </w:r>
      <w:r>
        <w:rPr>
          <w:rFonts w:ascii="Verdana" w:hAnsi="Verdana"/>
          <w:bCs/>
          <w:sz w:val="24"/>
          <w:szCs w:val="24"/>
        </w:rPr>
        <w:tab/>
        <w:t xml:space="preserve">   </w:t>
      </w:r>
      <w:r>
        <w:rPr>
          <w:rFonts w:ascii="Verdana" w:hAnsi="Verdana"/>
          <w:b/>
          <w:bCs/>
          <w:sz w:val="24"/>
          <w:szCs w:val="24"/>
        </w:rPr>
        <w:t xml:space="preserve">GAUTENG </w:t>
      </w:r>
      <w:r w:rsidRPr="007A454D">
        <w:rPr>
          <w:rFonts w:ascii="Verdana" w:hAnsi="Verdana"/>
          <w:b/>
          <w:bCs/>
          <w:sz w:val="24"/>
          <w:szCs w:val="24"/>
        </w:rPr>
        <w:t>DIVISION, PRETORIA</w:t>
      </w:r>
    </w:p>
    <w:p w14:paraId="2CE9CE17" w14:textId="6477FE73" w:rsidR="007C3337" w:rsidRPr="00871283" w:rsidRDefault="007C3337" w:rsidP="00235656">
      <w:pPr>
        <w:tabs>
          <w:tab w:val="left" w:pos="3640"/>
        </w:tabs>
        <w:spacing w:line="480" w:lineRule="auto"/>
        <w:jc w:val="both"/>
        <w:rPr>
          <w:rFonts w:ascii="Verdana" w:hAnsi="Verdana"/>
          <w:bCs/>
          <w:sz w:val="24"/>
          <w:szCs w:val="24"/>
        </w:rPr>
      </w:pPr>
      <w:r w:rsidRPr="00871283">
        <w:rPr>
          <w:rFonts w:ascii="Verdana" w:hAnsi="Verdana"/>
          <w:bCs/>
          <w:sz w:val="24"/>
          <w:szCs w:val="24"/>
        </w:rPr>
        <w:lastRenderedPageBreak/>
        <w:t>APPEARANCE</w:t>
      </w:r>
      <w:r w:rsidR="00EE1114">
        <w:rPr>
          <w:rFonts w:ascii="Verdana" w:hAnsi="Verdana"/>
          <w:bCs/>
          <w:sz w:val="24"/>
          <w:szCs w:val="24"/>
        </w:rPr>
        <w:t>S</w:t>
      </w:r>
      <w:r w:rsidRPr="00871283">
        <w:rPr>
          <w:rFonts w:ascii="Verdana" w:hAnsi="Verdana"/>
          <w:bCs/>
          <w:sz w:val="24"/>
          <w:szCs w:val="24"/>
        </w:rPr>
        <w:t>:</w:t>
      </w:r>
    </w:p>
    <w:p w14:paraId="209409B2" w14:textId="77777777" w:rsidR="007C3337" w:rsidRPr="00871283" w:rsidRDefault="007C3337" w:rsidP="00235656">
      <w:pPr>
        <w:tabs>
          <w:tab w:val="left" w:pos="3640"/>
        </w:tabs>
        <w:spacing w:line="480" w:lineRule="auto"/>
        <w:jc w:val="both"/>
        <w:rPr>
          <w:rFonts w:ascii="Verdana" w:hAnsi="Verdana"/>
          <w:bCs/>
          <w:sz w:val="24"/>
          <w:szCs w:val="24"/>
        </w:rPr>
      </w:pPr>
      <w:r w:rsidRPr="00871283">
        <w:rPr>
          <w:rFonts w:ascii="Verdana" w:hAnsi="Verdana"/>
          <w:bCs/>
          <w:sz w:val="24"/>
          <w:szCs w:val="24"/>
        </w:rPr>
        <w:t>Counsel for the Applicants:       Adv. G. Marriot</w:t>
      </w:r>
    </w:p>
    <w:p w14:paraId="6A44B420" w14:textId="77777777" w:rsidR="007C3337" w:rsidRPr="00871283" w:rsidRDefault="007C3337" w:rsidP="00235656">
      <w:pPr>
        <w:tabs>
          <w:tab w:val="left" w:pos="3640"/>
        </w:tabs>
        <w:spacing w:line="480" w:lineRule="auto"/>
        <w:jc w:val="both"/>
        <w:rPr>
          <w:rFonts w:ascii="Verdana" w:hAnsi="Verdana"/>
          <w:bCs/>
          <w:sz w:val="24"/>
          <w:szCs w:val="24"/>
        </w:rPr>
      </w:pPr>
      <w:r w:rsidRPr="00871283">
        <w:rPr>
          <w:rFonts w:ascii="Verdana" w:hAnsi="Verdana"/>
          <w:bCs/>
          <w:sz w:val="24"/>
          <w:szCs w:val="24"/>
        </w:rPr>
        <w:t>Attorneys for the Applicants:     Adams and Adams Attorneys</w:t>
      </w:r>
    </w:p>
    <w:p w14:paraId="68BF0DE2" w14:textId="77777777" w:rsidR="007C3337" w:rsidRPr="00871283" w:rsidRDefault="007C3337" w:rsidP="00235656">
      <w:pPr>
        <w:tabs>
          <w:tab w:val="left" w:pos="3640"/>
        </w:tabs>
        <w:spacing w:line="480" w:lineRule="auto"/>
        <w:jc w:val="both"/>
        <w:rPr>
          <w:rFonts w:ascii="Verdana" w:hAnsi="Verdana"/>
          <w:bCs/>
          <w:sz w:val="24"/>
          <w:szCs w:val="24"/>
        </w:rPr>
      </w:pPr>
      <w:r w:rsidRPr="00871283">
        <w:rPr>
          <w:rFonts w:ascii="Verdana" w:hAnsi="Verdana"/>
          <w:bCs/>
          <w:sz w:val="24"/>
          <w:szCs w:val="24"/>
        </w:rPr>
        <w:t xml:space="preserve">Counsel for the Respondents:    Adv. J. Berger </w:t>
      </w:r>
    </w:p>
    <w:p w14:paraId="04848447" w14:textId="77777777" w:rsidR="007C3337" w:rsidRPr="00871283" w:rsidRDefault="007C3337" w:rsidP="00235656">
      <w:pPr>
        <w:tabs>
          <w:tab w:val="left" w:pos="3640"/>
        </w:tabs>
        <w:spacing w:line="480" w:lineRule="auto"/>
        <w:jc w:val="both"/>
        <w:rPr>
          <w:rFonts w:ascii="Verdana" w:hAnsi="Verdana"/>
          <w:bCs/>
          <w:sz w:val="24"/>
          <w:szCs w:val="24"/>
        </w:rPr>
      </w:pPr>
      <w:r w:rsidRPr="00871283">
        <w:rPr>
          <w:rFonts w:ascii="Verdana" w:hAnsi="Verdana"/>
          <w:bCs/>
          <w:sz w:val="24"/>
          <w:szCs w:val="24"/>
        </w:rPr>
        <w:t>Attorneys for the first respondent:  Von Seidels Intellectual Property Attorneys</w:t>
      </w:r>
    </w:p>
    <w:p w14:paraId="6AD33DDB" w14:textId="77777777" w:rsidR="00C22004" w:rsidRPr="00871283" w:rsidRDefault="007C3337" w:rsidP="00235656">
      <w:pPr>
        <w:tabs>
          <w:tab w:val="left" w:pos="3640"/>
        </w:tabs>
        <w:spacing w:line="480" w:lineRule="auto"/>
        <w:jc w:val="both"/>
        <w:rPr>
          <w:rFonts w:ascii="Verdana" w:hAnsi="Verdana"/>
          <w:bCs/>
          <w:sz w:val="24"/>
          <w:szCs w:val="24"/>
        </w:rPr>
      </w:pPr>
      <w:r w:rsidRPr="00871283">
        <w:rPr>
          <w:rFonts w:ascii="Verdana" w:hAnsi="Verdana"/>
          <w:bCs/>
          <w:sz w:val="24"/>
          <w:szCs w:val="24"/>
        </w:rPr>
        <w:t>Attorneys</w:t>
      </w:r>
      <w:r w:rsidR="00C22004" w:rsidRPr="00871283">
        <w:rPr>
          <w:rFonts w:ascii="Verdana" w:hAnsi="Verdana"/>
          <w:bCs/>
          <w:sz w:val="24"/>
          <w:szCs w:val="24"/>
        </w:rPr>
        <w:t xml:space="preserve"> for the second respondent: Kingsbury Incorporated Attorneys</w:t>
      </w:r>
    </w:p>
    <w:p w14:paraId="44F8DEE3" w14:textId="77777777" w:rsidR="00C22004" w:rsidRPr="00871283" w:rsidRDefault="00C22004" w:rsidP="00235656">
      <w:pPr>
        <w:tabs>
          <w:tab w:val="left" w:pos="3640"/>
        </w:tabs>
        <w:spacing w:line="480" w:lineRule="auto"/>
        <w:jc w:val="both"/>
        <w:rPr>
          <w:rFonts w:ascii="Verdana" w:hAnsi="Verdana"/>
          <w:bCs/>
          <w:sz w:val="24"/>
          <w:szCs w:val="24"/>
        </w:rPr>
      </w:pPr>
      <w:r w:rsidRPr="00871283">
        <w:rPr>
          <w:rFonts w:ascii="Verdana" w:hAnsi="Verdana"/>
          <w:bCs/>
          <w:sz w:val="24"/>
          <w:szCs w:val="24"/>
        </w:rPr>
        <w:t>Attorneys for the third respondent: Margo Attorneys</w:t>
      </w:r>
    </w:p>
    <w:p w14:paraId="1A8B8CB3" w14:textId="5769F90C" w:rsidR="00C22004" w:rsidRPr="00871283" w:rsidRDefault="00C22004" w:rsidP="00235656">
      <w:pPr>
        <w:tabs>
          <w:tab w:val="left" w:pos="3640"/>
        </w:tabs>
        <w:spacing w:line="480" w:lineRule="auto"/>
        <w:jc w:val="both"/>
        <w:rPr>
          <w:rFonts w:ascii="Verdana" w:hAnsi="Verdana"/>
          <w:bCs/>
          <w:sz w:val="24"/>
          <w:szCs w:val="24"/>
        </w:rPr>
      </w:pPr>
      <w:r w:rsidRPr="00871283">
        <w:rPr>
          <w:rFonts w:ascii="Verdana" w:hAnsi="Verdana"/>
          <w:bCs/>
          <w:sz w:val="24"/>
          <w:szCs w:val="24"/>
        </w:rPr>
        <w:t>D</w:t>
      </w:r>
      <w:r w:rsidR="00235656">
        <w:rPr>
          <w:rFonts w:ascii="Verdana" w:hAnsi="Verdana"/>
          <w:bCs/>
          <w:sz w:val="24"/>
          <w:szCs w:val="24"/>
        </w:rPr>
        <w:t>ate of Hearing</w:t>
      </w:r>
      <w:r w:rsidRPr="00871283">
        <w:rPr>
          <w:rFonts w:ascii="Verdana" w:hAnsi="Verdana"/>
          <w:bCs/>
          <w:sz w:val="24"/>
          <w:szCs w:val="24"/>
        </w:rPr>
        <w:t>: 07</w:t>
      </w:r>
      <w:r w:rsidRPr="00871283">
        <w:rPr>
          <w:rFonts w:ascii="Verdana" w:hAnsi="Verdana"/>
          <w:bCs/>
          <w:sz w:val="24"/>
          <w:szCs w:val="24"/>
          <w:vertAlign w:val="superscript"/>
        </w:rPr>
        <w:t>th</w:t>
      </w:r>
      <w:r w:rsidRPr="00871283">
        <w:rPr>
          <w:rFonts w:ascii="Verdana" w:hAnsi="Verdana"/>
          <w:bCs/>
          <w:sz w:val="24"/>
          <w:szCs w:val="24"/>
        </w:rPr>
        <w:t xml:space="preserve"> April 2022</w:t>
      </w:r>
    </w:p>
    <w:p w14:paraId="76A16785" w14:textId="496B206E" w:rsidR="007C3337" w:rsidRPr="00871283" w:rsidRDefault="00C22004" w:rsidP="00235656">
      <w:pPr>
        <w:tabs>
          <w:tab w:val="left" w:pos="3640"/>
        </w:tabs>
        <w:spacing w:line="480" w:lineRule="auto"/>
        <w:jc w:val="both"/>
        <w:rPr>
          <w:rFonts w:ascii="Verdana" w:hAnsi="Verdana"/>
          <w:bCs/>
          <w:sz w:val="24"/>
          <w:szCs w:val="24"/>
        </w:rPr>
      </w:pPr>
      <w:r w:rsidRPr="00871283">
        <w:rPr>
          <w:rFonts w:ascii="Verdana" w:hAnsi="Verdana"/>
          <w:bCs/>
          <w:sz w:val="24"/>
          <w:szCs w:val="24"/>
        </w:rPr>
        <w:t>D</w:t>
      </w:r>
      <w:r w:rsidR="00235656">
        <w:rPr>
          <w:rFonts w:ascii="Verdana" w:hAnsi="Verdana"/>
          <w:bCs/>
          <w:sz w:val="24"/>
          <w:szCs w:val="24"/>
        </w:rPr>
        <w:t>ate of Judgement</w:t>
      </w:r>
      <w:r w:rsidRPr="00871283">
        <w:rPr>
          <w:rFonts w:ascii="Verdana" w:hAnsi="Verdana"/>
          <w:bCs/>
          <w:sz w:val="24"/>
          <w:szCs w:val="24"/>
        </w:rPr>
        <w:t xml:space="preserve">: </w:t>
      </w:r>
      <w:r w:rsidR="00871283" w:rsidRPr="00871283">
        <w:rPr>
          <w:rFonts w:ascii="Verdana" w:hAnsi="Verdana"/>
          <w:bCs/>
          <w:sz w:val="24"/>
          <w:szCs w:val="24"/>
        </w:rPr>
        <w:t>07</w:t>
      </w:r>
      <w:r w:rsidR="00871283" w:rsidRPr="00871283">
        <w:rPr>
          <w:rFonts w:ascii="Verdana" w:hAnsi="Verdana"/>
          <w:bCs/>
          <w:sz w:val="24"/>
          <w:szCs w:val="24"/>
          <w:vertAlign w:val="superscript"/>
        </w:rPr>
        <w:t>th</w:t>
      </w:r>
      <w:r w:rsidR="00871283" w:rsidRPr="00871283">
        <w:rPr>
          <w:rFonts w:ascii="Verdana" w:hAnsi="Verdana"/>
          <w:bCs/>
          <w:sz w:val="24"/>
          <w:szCs w:val="24"/>
        </w:rPr>
        <w:t xml:space="preserve"> June 2023</w:t>
      </w:r>
      <w:r w:rsidR="007C3337" w:rsidRPr="00871283">
        <w:rPr>
          <w:rFonts w:ascii="Verdana" w:hAnsi="Verdana"/>
          <w:bCs/>
          <w:sz w:val="24"/>
          <w:szCs w:val="24"/>
        </w:rPr>
        <w:t xml:space="preserve">   </w:t>
      </w:r>
    </w:p>
    <w:p w14:paraId="290D57DF" w14:textId="77777777" w:rsidR="004469EB" w:rsidRPr="00871283" w:rsidRDefault="004469EB" w:rsidP="004469EB">
      <w:pPr>
        <w:tabs>
          <w:tab w:val="left" w:pos="3640"/>
        </w:tabs>
        <w:spacing w:line="480" w:lineRule="auto"/>
        <w:jc w:val="both"/>
        <w:rPr>
          <w:rFonts w:ascii="Verdana" w:hAnsi="Verdana"/>
          <w:bCs/>
          <w:sz w:val="24"/>
          <w:szCs w:val="24"/>
        </w:rPr>
      </w:pPr>
    </w:p>
    <w:p w14:paraId="7FF0D7E8" w14:textId="77777777" w:rsidR="00BC20C2" w:rsidRPr="00871283" w:rsidRDefault="00BC20C2" w:rsidP="00FB6E9D">
      <w:pPr>
        <w:tabs>
          <w:tab w:val="left" w:pos="3640"/>
        </w:tabs>
        <w:spacing w:line="480" w:lineRule="auto"/>
        <w:jc w:val="both"/>
        <w:rPr>
          <w:rFonts w:ascii="Verdana" w:hAnsi="Verdana"/>
          <w:bCs/>
          <w:sz w:val="24"/>
          <w:szCs w:val="24"/>
        </w:rPr>
      </w:pPr>
    </w:p>
    <w:p w14:paraId="5597CD93" w14:textId="77777777" w:rsidR="0070160D" w:rsidRPr="00871283" w:rsidRDefault="0070160D" w:rsidP="000736A9">
      <w:pPr>
        <w:tabs>
          <w:tab w:val="left" w:pos="3640"/>
        </w:tabs>
        <w:spacing w:line="480" w:lineRule="auto"/>
        <w:jc w:val="both"/>
        <w:rPr>
          <w:rFonts w:ascii="Verdana" w:hAnsi="Verdana"/>
          <w:bCs/>
          <w:sz w:val="24"/>
          <w:szCs w:val="24"/>
        </w:rPr>
      </w:pPr>
    </w:p>
    <w:p w14:paraId="3BB668A1" w14:textId="77777777" w:rsidR="000736A9" w:rsidRPr="00871283" w:rsidRDefault="000736A9" w:rsidP="000736A9">
      <w:pPr>
        <w:tabs>
          <w:tab w:val="left" w:pos="3640"/>
        </w:tabs>
        <w:spacing w:line="480" w:lineRule="auto"/>
        <w:jc w:val="both"/>
        <w:rPr>
          <w:rFonts w:ascii="Verdana" w:hAnsi="Verdana"/>
          <w:bCs/>
          <w:sz w:val="24"/>
          <w:szCs w:val="24"/>
        </w:rPr>
      </w:pPr>
    </w:p>
    <w:p w14:paraId="5FD8B55D" w14:textId="77777777" w:rsidR="00EE1C8D" w:rsidRPr="00871283" w:rsidRDefault="00EE1C8D" w:rsidP="00EE1C8D">
      <w:pPr>
        <w:tabs>
          <w:tab w:val="left" w:pos="3640"/>
        </w:tabs>
        <w:spacing w:line="480" w:lineRule="auto"/>
        <w:jc w:val="both"/>
        <w:rPr>
          <w:rFonts w:ascii="Verdana" w:hAnsi="Verdana"/>
          <w:bCs/>
          <w:i/>
          <w:sz w:val="24"/>
          <w:szCs w:val="24"/>
        </w:rPr>
      </w:pPr>
    </w:p>
    <w:p w14:paraId="17B29890" w14:textId="77777777" w:rsidR="00EE1C8D" w:rsidRPr="00EE1C8D" w:rsidRDefault="00EE1C8D" w:rsidP="00EE1C8D">
      <w:pPr>
        <w:tabs>
          <w:tab w:val="left" w:pos="3640"/>
        </w:tabs>
        <w:spacing w:line="480" w:lineRule="auto"/>
        <w:jc w:val="both"/>
        <w:rPr>
          <w:rFonts w:ascii="Verdana" w:hAnsi="Verdana"/>
          <w:bCs/>
          <w:sz w:val="24"/>
          <w:szCs w:val="24"/>
        </w:rPr>
      </w:pPr>
    </w:p>
    <w:p w14:paraId="399395BE" w14:textId="77777777" w:rsidR="00EE1C8D" w:rsidRDefault="00EE1C8D" w:rsidP="00EB5D7D">
      <w:pPr>
        <w:tabs>
          <w:tab w:val="left" w:pos="3640"/>
        </w:tabs>
        <w:spacing w:line="480" w:lineRule="auto"/>
        <w:jc w:val="both"/>
        <w:rPr>
          <w:rFonts w:ascii="Verdana" w:hAnsi="Verdana"/>
          <w:bCs/>
          <w:sz w:val="24"/>
          <w:szCs w:val="24"/>
        </w:rPr>
      </w:pPr>
    </w:p>
    <w:p w14:paraId="6DE47429" w14:textId="77777777" w:rsidR="00EB5D7D" w:rsidRPr="009833B6" w:rsidRDefault="00EB5D7D" w:rsidP="00EB5D7D">
      <w:pPr>
        <w:tabs>
          <w:tab w:val="left" w:pos="3640"/>
        </w:tabs>
        <w:spacing w:line="480" w:lineRule="auto"/>
        <w:jc w:val="both"/>
        <w:rPr>
          <w:rFonts w:ascii="Verdana" w:hAnsi="Verdana"/>
          <w:bCs/>
          <w:sz w:val="24"/>
          <w:szCs w:val="24"/>
        </w:rPr>
      </w:pPr>
    </w:p>
    <w:p w14:paraId="70493670" w14:textId="77777777" w:rsidR="0018665F" w:rsidRPr="00A63CAC" w:rsidRDefault="0018665F" w:rsidP="009833B6">
      <w:pPr>
        <w:tabs>
          <w:tab w:val="left" w:pos="3640"/>
        </w:tabs>
        <w:spacing w:line="480" w:lineRule="auto"/>
        <w:jc w:val="both"/>
        <w:rPr>
          <w:rFonts w:ascii="Verdana" w:hAnsi="Verdana"/>
          <w:bCs/>
          <w:sz w:val="24"/>
          <w:szCs w:val="24"/>
        </w:rPr>
      </w:pPr>
    </w:p>
    <w:sectPr w:rsidR="0018665F" w:rsidRPr="00A63CAC">
      <w:footerReference w:type="default" r:id="rId12"/>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AE2D34" w14:textId="77777777" w:rsidR="008F02AB" w:rsidRDefault="008F02AB" w:rsidP="002342C1">
      <w:pPr>
        <w:spacing w:after="0" w:line="240" w:lineRule="auto"/>
      </w:pPr>
      <w:r>
        <w:separator/>
      </w:r>
    </w:p>
  </w:endnote>
  <w:endnote w:type="continuationSeparator" w:id="0">
    <w:p w14:paraId="782123FC" w14:textId="77777777" w:rsidR="008F02AB" w:rsidRDefault="008F02AB" w:rsidP="00234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8984045"/>
      <w:docPartObj>
        <w:docPartGallery w:val="Page Numbers (Bottom of Page)"/>
        <w:docPartUnique/>
      </w:docPartObj>
    </w:sdtPr>
    <w:sdtEndPr>
      <w:rPr>
        <w:noProof/>
      </w:rPr>
    </w:sdtEndPr>
    <w:sdtContent>
      <w:p w14:paraId="7AA83C08" w14:textId="7293ED5A" w:rsidR="009833B6" w:rsidRDefault="009833B6">
        <w:pPr>
          <w:pStyle w:val="Footer"/>
          <w:jc w:val="right"/>
        </w:pPr>
        <w:r>
          <w:fldChar w:fldCharType="begin"/>
        </w:r>
        <w:r>
          <w:instrText xml:space="preserve"> PAGE   \* MERGEFORMAT </w:instrText>
        </w:r>
        <w:r>
          <w:fldChar w:fldCharType="separate"/>
        </w:r>
        <w:r w:rsidR="004C2571">
          <w:rPr>
            <w:noProof/>
          </w:rPr>
          <w:t>2</w:t>
        </w:r>
        <w:r>
          <w:rPr>
            <w:noProof/>
          </w:rPr>
          <w:fldChar w:fldCharType="end"/>
        </w:r>
      </w:p>
    </w:sdtContent>
  </w:sdt>
  <w:p w14:paraId="2313E869" w14:textId="77777777" w:rsidR="009833B6" w:rsidRDefault="009833B6">
    <w:pPr>
      <w:pStyle w:val="Footer"/>
    </w:pPr>
  </w:p>
  <w:p w14:paraId="4DC7B991" w14:textId="77777777" w:rsidR="009833B6" w:rsidRDefault="009833B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392AF0" w14:textId="77777777" w:rsidR="008F02AB" w:rsidRDefault="008F02AB" w:rsidP="002342C1">
      <w:pPr>
        <w:spacing w:after="0" w:line="240" w:lineRule="auto"/>
      </w:pPr>
      <w:r>
        <w:separator/>
      </w:r>
    </w:p>
  </w:footnote>
  <w:footnote w:type="continuationSeparator" w:id="0">
    <w:p w14:paraId="6CB407BA" w14:textId="77777777" w:rsidR="008F02AB" w:rsidRDefault="008F02AB" w:rsidP="002342C1">
      <w:pPr>
        <w:spacing w:after="0" w:line="240" w:lineRule="auto"/>
      </w:pPr>
      <w:r>
        <w:continuationSeparator/>
      </w:r>
    </w:p>
  </w:footnote>
  <w:footnote w:id="1">
    <w:p w14:paraId="04552EFC" w14:textId="4BABE843" w:rsidR="009833B6" w:rsidRPr="00FA5E28" w:rsidRDefault="009833B6" w:rsidP="00FA5E28">
      <w:pPr>
        <w:pStyle w:val="FootnoteText"/>
        <w:jc w:val="both"/>
        <w:rPr>
          <w:rFonts w:ascii="Verdana" w:hAnsi="Verdana"/>
          <w:sz w:val="24"/>
        </w:rPr>
      </w:pPr>
      <w:r>
        <w:rPr>
          <w:rStyle w:val="FootnoteReference"/>
        </w:rPr>
        <w:footnoteRef/>
      </w:r>
      <w:r>
        <w:t xml:space="preserve"> </w:t>
      </w:r>
      <w:r w:rsidRPr="00FA5E28">
        <w:rPr>
          <w:rFonts w:ascii="Verdana" w:hAnsi="Verdana"/>
          <w:sz w:val="22"/>
        </w:rPr>
        <w:t xml:space="preserve">The claim of the patent is a so-called “Swiss-type claim” directed at a once-daily dosage regimen for an active pharmaceutical ingredient called </w:t>
      </w:r>
      <w:r w:rsidR="00CE0A02">
        <w:rPr>
          <w:rFonts w:ascii="Verdana" w:hAnsi="Verdana"/>
          <w:sz w:val="22"/>
        </w:rPr>
        <w:t>R</w:t>
      </w:r>
      <w:r w:rsidRPr="00FA5E28">
        <w:rPr>
          <w:rFonts w:ascii="Verdana" w:hAnsi="Verdana"/>
          <w:sz w:val="22"/>
        </w:rPr>
        <w:t xml:space="preserve">ivaroxaban in a rapid release formulation. </w:t>
      </w:r>
    </w:p>
  </w:footnote>
  <w:footnote w:id="2">
    <w:p w14:paraId="52F8271A" w14:textId="7D11E9E6" w:rsidR="009833B6" w:rsidRPr="00FA5E28" w:rsidRDefault="009833B6">
      <w:pPr>
        <w:pStyle w:val="FootnoteText"/>
        <w:rPr>
          <w:rFonts w:ascii="Verdana" w:hAnsi="Verdana"/>
          <w:sz w:val="22"/>
        </w:rPr>
      </w:pPr>
      <w:r>
        <w:rPr>
          <w:rStyle w:val="FootnoteReference"/>
        </w:rPr>
        <w:footnoteRef/>
      </w:r>
      <w:r>
        <w:t xml:space="preserve"> </w:t>
      </w:r>
      <w:r w:rsidR="00CE0A02">
        <w:rPr>
          <w:rFonts w:ascii="Verdana" w:hAnsi="Verdana"/>
          <w:sz w:val="22"/>
        </w:rPr>
        <w:t>Answering Affidavit</w:t>
      </w:r>
      <w:r w:rsidRPr="00FA5E28">
        <w:rPr>
          <w:rFonts w:ascii="Verdana" w:hAnsi="Verdana"/>
          <w:sz w:val="22"/>
        </w:rPr>
        <w:t>, p. 5-6, para 16 and R</w:t>
      </w:r>
      <w:r w:rsidR="00CE0A02">
        <w:rPr>
          <w:rFonts w:ascii="Verdana" w:hAnsi="Verdana"/>
          <w:sz w:val="22"/>
        </w:rPr>
        <w:t xml:space="preserve">eplying </w:t>
      </w:r>
      <w:r w:rsidRPr="00FA5E28">
        <w:rPr>
          <w:rFonts w:ascii="Verdana" w:hAnsi="Verdana"/>
          <w:sz w:val="22"/>
        </w:rPr>
        <w:t>A</w:t>
      </w:r>
      <w:r w:rsidR="00CE0A02">
        <w:rPr>
          <w:rFonts w:ascii="Verdana" w:hAnsi="Verdana"/>
          <w:sz w:val="22"/>
        </w:rPr>
        <w:t>ffidavit</w:t>
      </w:r>
      <w:r w:rsidRPr="00FA5E28">
        <w:rPr>
          <w:rFonts w:ascii="Verdana" w:hAnsi="Verdana"/>
          <w:sz w:val="22"/>
        </w:rPr>
        <w:t>, p. 4-21, para 6.6.</w:t>
      </w:r>
    </w:p>
  </w:footnote>
  <w:footnote w:id="3">
    <w:p w14:paraId="1500FB12" w14:textId="77777777" w:rsidR="009833B6" w:rsidRPr="005E1101" w:rsidRDefault="009833B6">
      <w:pPr>
        <w:pStyle w:val="FootnoteText"/>
        <w:rPr>
          <w:rFonts w:ascii="Verdana" w:hAnsi="Verdana"/>
          <w:sz w:val="22"/>
        </w:rPr>
      </w:pPr>
      <w:r>
        <w:rPr>
          <w:rStyle w:val="FootnoteReference"/>
        </w:rPr>
        <w:footnoteRef/>
      </w:r>
      <w:r>
        <w:t xml:space="preserve"> </w:t>
      </w:r>
      <w:r w:rsidRPr="005E1101">
        <w:rPr>
          <w:rFonts w:ascii="Verdana" w:hAnsi="Verdana"/>
          <w:sz w:val="22"/>
        </w:rPr>
        <w:t>Caselines, p. 5-10 – 17.</w:t>
      </w:r>
    </w:p>
  </w:footnote>
  <w:footnote w:id="4">
    <w:p w14:paraId="431F3BCE" w14:textId="77777777" w:rsidR="001F11E3" w:rsidRDefault="001F11E3" w:rsidP="001F11E3">
      <w:pPr>
        <w:pStyle w:val="FootnoteText"/>
      </w:pPr>
      <w:r>
        <w:rPr>
          <w:rStyle w:val="FootnoteReference"/>
        </w:rPr>
        <w:footnoteRef/>
      </w:r>
      <w:r>
        <w:t xml:space="preserve"> </w:t>
      </w:r>
      <w:r w:rsidRPr="001448E2">
        <w:rPr>
          <w:rFonts w:ascii="Verdana" w:hAnsi="Verdana"/>
          <w:sz w:val="22"/>
        </w:rPr>
        <w:t>Dr Reddy’s Judgment, p. 2-74 para 77 and 2-76, para 83.</w:t>
      </w:r>
    </w:p>
  </w:footnote>
  <w:footnote w:id="5">
    <w:p w14:paraId="20462308" w14:textId="0F53B0F9" w:rsidR="001F11E3" w:rsidRPr="001448E2" w:rsidRDefault="001F11E3" w:rsidP="001F11E3">
      <w:pPr>
        <w:pStyle w:val="FootnoteText"/>
        <w:tabs>
          <w:tab w:val="left" w:pos="1170"/>
        </w:tabs>
        <w:rPr>
          <w:rFonts w:ascii="Verdana" w:hAnsi="Verdana"/>
          <w:sz w:val="22"/>
        </w:rPr>
      </w:pPr>
      <w:r>
        <w:rPr>
          <w:rStyle w:val="FootnoteReference"/>
        </w:rPr>
        <w:footnoteRef/>
      </w:r>
      <w:r>
        <w:t xml:space="preserve"> </w:t>
      </w:r>
      <w:r w:rsidRPr="001448E2">
        <w:rPr>
          <w:rFonts w:ascii="Verdana" w:hAnsi="Verdana"/>
          <w:sz w:val="22"/>
        </w:rPr>
        <w:t>Dr Reddy’s Judgment, p. 2-79, para 90 and 91.</w:t>
      </w:r>
    </w:p>
  </w:footnote>
  <w:footnote w:id="6">
    <w:p w14:paraId="3DBAB18A" w14:textId="77777777" w:rsidR="001F11E3" w:rsidRPr="001448E2" w:rsidRDefault="001F11E3" w:rsidP="001F11E3">
      <w:pPr>
        <w:pStyle w:val="FootnoteText"/>
        <w:rPr>
          <w:rFonts w:ascii="Verdana" w:hAnsi="Verdana"/>
          <w:sz w:val="22"/>
        </w:rPr>
      </w:pPr>
      <w:r>
        <w:rPr>
          <w:rStyle w:val="FootnoteReference"/>
        </w:rPr>
        <w:footnoteRef/>
      </w:r>
      <w:r>
        <w:t xml:space="preserve"> </w:t>
      </w:r>
      <w:r w:rsidRPr="001448E2">
        <w:rPr>
          <w:rFonts w:ascii="Verdana" w:hAnsi="Verdana"/>
          <w:sz w:val="22"/>
        </w:rPr>
        <w:t>Dr Reddy’s Judgment, p. 2-82, para 100.</w:t>
      </w:r>
    </w:p>
  </w:footnote>
  <w:footnote w:id="7">
    <w:p w14:paraId="3E39C77C" w14:textId="5A1BDA73" w:rsidR="001F11E3" w:rsidRPr="001448E2" w:rsidRDefault="001F11E3" w:rsidP="001F11E3">
      <w:pPr>
        <w:pStyle w:val="FootnoteText"/>
        <w:rPr>
          <w:rFonts w:ascii="Verdana" w:hAnsi="Verdana"/>
          <w:sz w:val="22"/>
        </w:rPr>
      </w:pPr>
      <w:r>
        <w:rPr>
          <w:rStyle w:val="FootnoteReference"/>
        </w:rPr>
        <w:footnoteRef/>
      </w:r>
      <w:r>
        <w:t xml:space="preserve"> </w:t>
      </w:r>
      <w:r w:rsidRPr="001448E2">
        <w:rPr>
          <w:rFonts w:ascii="Verdana" w:hAnsi="Verdana"/>
          <w:sz w:val="22"/>
        </w:rPr>
        <w:t>F</w:t>
      </w:r>
      <w:r w:rsidR="005E71D0">
        <w:rPr>
          <w:rFonts w:ascii="Verdana" w:hAnsi="Verdana"/>
          <w:sz w:val="22"/>
        </w:rPr>
        <w:t xml:space="preserve">ounding </w:t>
      </w:r>
      <w:r w:rsidRPr="001448E2">
        <w:rPr>
          <w:rFonts w:ascii="Verdana" w:hAnsi="Verdana"/>
          <w:sz w:val="22"/>
        </w:rPr>
        <w:t>A</w:t>
      </w:r>
      <w:r w:rsidR="005E71D0">
        <w:rPr>
          <w:rFonts w:ascii="Verdana" w:hAnsi="Verdana"/>
          <w:sz w:val="22"/>
        </w:rPr>
        <w:t>ffidavit</w:t>
      </w:r>
      <w:r w:rsidRPr="001448E2">
        <w:rPr>
          <w:rFonts w:ascii="Verdana" w:hAnsi="Verdana"/>
          <w:sz w:val="22"/>
        </w:rPr>
        <w:t>, p. 2-8, para 23.</w:t>
      </w:r>
    </w:p>
  </w:footnote>
  <w:footnote w:id="8">
    <w:p w14:paraId="49A6BD68" w14:textId="3AD420AE" w:rsidR="001F11E3" w:rsidRPr="001448E2" w:rsidRDefault="001F11E3" w:rsidP="001F11E3">
      <w:pPr>
        <w:pStyle w:val="FootnoteText"/>
        <w:rPr>
          <w:rFonts w:ascii="Verdana" w:hAnsi="Verdana"/>
          <w:sz w:val="22"/>
        </w:rPr>
      </w:pPr>
      <w:r>
        <w:rPr>
          <w:rStyle w:val="FootnoteReference"/>
        </w:rPr>
        <w:footnoteRef/>
      </w:r>
      <w:r>
        <w:t xml:space="preserve"> </w:t>
      </w:r>
      <w:r w:rsidRPr="001448E2">
        <w:rPr>
          <w:rFonts w:ascii="Verdana" w:hAnsi="Verdana"/>
          <w:sz w:val="22"/>
        </w:rPr>
        <w:t>F</w:t>
      </w:r>
      <w:r w:rsidR="005E71D0">
        <w:rPr>
          <w:rFonts w:ascii="Verdana" w:hAnsi="Verdana"/>
          <w:sz w:val="22"/>
        </w:rPr>
        <w:t xml:space="preserve">ounding </w:t>
      </w:r>
      <w:r w:rsidRPr="001448E2">
        <w:rPr>
          <w:rFonts w:ascii="Verdana" w:hAnsi="Verdana"/>
          <w:sz w:val="22"/>
        </w:rPr>
        <w:t>A</w:t>
      </w:r>
      <w:r w:rsidR="005E71D0">
        <w:rPr>
          <w:rFonts w:ascii="Verdana" w:hAnsi="Verdana"/>
          <w:sz w:val="22"/>
        </w:rPr>
        <w:t>ffidavit</w:t>
      </w:r>
      <w:r w:rsidRPr="001448E2">
        <w:rPr>
          <w:rFonts w:ascii="Verdana" w:hAnsi="Verdana"/>
          <w:sz w:val="22"/>
        </w:rPr>
        <w:t>, p. 2-5 to 2-6, para 15 – 19.</w:t>
      </w:r>
    </w:p>
  </w:footnote>
  <w:footnote w:id="9">
    <w:p w14:paraId="1CBD2510" w14:textId="3E2DB810" w:rsidR="001F11E3" w:rsidRPr="001448E2" w:rsidRDefault="001F11E3" w:rsidP="001F11E3">
      <w:pPr>
        <w:pStyle w:val="FootnoteText"/>
        <w:rPr>
          <w:rFonts w:ascii="Verdana" w:hAnsi="Verdana"/>
          <w:sz w:val="22"/>
        </w:rPr>
      </w:pPr>
      <w:r>
        <w:rPr>
          <w:rStyle w:val="FootnoteReference"/>
        </w:rPr>
        <w:footnoteRef/>
      </w:r>
      <w:r>
        <w:t xml:space="preserve"> </w:t>
      </w:r>
      <w:r w:rsidRPr="001448E2">
        <w:rPr>
          <w:rFonts w:ascii="Verdana" w:hAnsi="Verdana"/>
          <w:sz w:val="22"/>
        </w:rPr>
        <w:t>F</w:t>
      </w:r>
      <w:r w:rsidR="005E71D0">
        <w:rPr>
          <w:rFonts w:ascii="Verdana" w:hAnsi="Verdana"/>
          <w:sz w:val="22"/>
        </w:rPr>
        <w:t xml:space="preserve">ounding </w:t>
      </w:r>
      <w:r w:rsidRPr="001448E2">
        <w:rPr>
          <w:rFonts w:ascii="Verdana" w:hAnsi="Verdana"/>
          <w:sz w:val="22"/>
        </w:rPr>
        <w:t>A</w:t>
      </w:r>
      <w:r w:rsidR="005E71D0">
        <w:rPr>
          <w:rFonts w:ascii="Verdana" w:hAnsi="Verdana"/>
          <w:sz w:val="22"/>
        </w:rPr>
        <w:t>ffidavit</w:t>
      </w:r>
      <w:r w:rsidRPr="001448E2">
        <w:rPr>
          <w:rFonts w:ascii="Verdana" w:hAnsi="Verdana"/>
          <w:sz w:val="22"/>
        </w:rPr>
        <w:t>, p. 2-44, para 127 – 129.</w:t>
      </w:r>
    </w:p>
  </w:footnote>
  <w:footnote w:id="10">
    <w:p w14:paraId="1F4387F8" w14:textId="483B65A1" w:rsidR="001F11E3" w:rsidRPr="001448E2" w:rsidRDefault="001F11E3" w:rsidP="001F11E3">
      <w:pPr>
        <w:pStyle w:val="FootnoteText"/>
        <w:jc w:val="both"/>
        <w:rPr>
          <w:rFonts w:ascii="Verdana" w:hAnsi="Verdana"/>
          <w:sz w:val="22"/>
        </w:rPr>
      </w:pPr>
      <w:r>
        <w:rPr>
          <w:rStyle w:val="FootnoteReference"/>
        </w:rPr>
        <w:footnoteRef/>
      </w:r>
      <w:r>
        <w:t xml:space="preserve"> </w:t>
      </w:r>
      <w:r w:rsidRPr="001448E2">
        <w:rPr>
          <w:rFonts w:ascii="Verdana" w:hAnsi="Verdana"/>
          <w:sz w:val="22"/>
        </w:rPr>
        <w:t>The judgment of Keightley</w:t>
      </w:r>
      <w:r w:rsidR="001C2078">
        <w:rPr>
          <w:rFonts w:ascii="Verdana" w:hAnsi="Verdana"/>
          <w:sz w:val="22"/>
        </w:rPr>
        <w:t xml:space="preserve"> J</w:t>
      </w:r>
      <w:r w:rsidRPr="001448E2">
        <w:rPr>
          <w:rFonts w:ascii="Verdana" w:hAnsi="Verdana"/>
          <w:sz w:val="22"/>
        </w:rPr>
        <w:t xml:space="preserve"> appears 2-47 – to 2-83. Notably, the order against Dr Reddy’s was handed down on 15 December 2021 </w:t>
      </w:r>
      <w:r w:rsidR="001C2078">
        <w:rPr>
          <w:rFonts w:ascii="Verdana" w:hAnsi="Verdana"/>
          <w:sz w:val="22"/>
        </w:rPr>
        <w:t xml:space="preserve">and </w:t>
      </w:r>
      <w:r w:rsidRPr="001448E2">
        <w:rPr>
          <w:rFonts w:ascii="Verdana" w:hAnsi="Verdana"/>
          <w:sz w:val="22"/>
        </w:rPr>
        <w:t>came to the attention of the parties on 19 January 2022 (See p. 2-3, para 9). Dr Reddy’s sought leave to appeal against the judgment and</w:t>
      </w:r>
      <w:r>
        <w:rPr>
          <w:rFonts w:ascii="Verdana" w:hAnsi="Verdana"/>
          <w:sz w:val="22"/>
        </w:rPr>
        <w:t xml:space="preserve"> </w:t>
      </w:r>
      <w:r w:rsidRPr="001448E2">
        <w:rPr>
          <w:rFonts w:ascii="Verdana" w:hAnsi="Verdana"/>
          <w:sz w:val="22"/>
        </w:rPr>
        <w:t>order, but that application was dismissed with costs on 1 March 2022.</w:t>
      </w:r>
    </w:p>
  </w:footnote>
  <w:footnote w:id="11">
    <w:p w14:paraId="7CC3EE8F" w14:textId="59BC5F82" w:rsidR="001F11E3" w:rsidRPr="00861DC6" w:rsidRDefault="001F11E3" w:rsidP="001F11E3">
      <w:pPr>
        <w:pStyle w:val="FootnoteText"/>
        <w:rPr>
          <w:rFonts w:ascii="Verdana" w:hAnsi="Verdana"/>
          <w:sz w:val="22"/>
        </w:rPr>
      </w:pPr>
      <w:r>
        <w:rPr>
          <w:rStyle w:val="FootnoteReference"/>
        </w:rPr>
        <w:footnoteRef/>
      </w:r>
      <w:r>
        <w:t xml:space="preserve"> </w:t>
      </w:r>
      <w:r w:rsidRPr="00861DC6">
        <w:rPr>
          <w:rFonts w:ascii="Verdana" w:hAnsi="Verdana"/>
          <w:sz w:val="22"/>
        </w:rPr>
        <w:t>Lindeque and Others v Hirsch and Others, In Re: Prepaid24 (Pty) Limited [2019] ZAGPJHC 122 at para 10</w:t>
      </w:r>
      <w:r w:rsidR="00347C69">
        <w:rPr>
          <w:rFonts w:ascii="Verdana" w:hAnsi="Verdana"/>
          <w:sz w:val="22"/>
        </w:rPr>
        <w:t>.</w:t>
      </w:r>
    </w:p>
  </w:footnote>
  <w:footnote w:id="12">
    <w:p w14:paraId="03A3F05E" w14:textId="67593E01" w:rsidR="001F11E3" w:rsidRPr="00347C69" w:rsidRDefault="001F11E3" w:rsidP="001F11E3">
      <w:pPr>
        <w:pStyle w:val="FootnoteText"/>
        <w:rPr>
          <w:rFonts w:ascii="Verdana" w:hAnsi="Verdana"/>
          <w:sz w:val="22"/>
          <w:szCs w:val="22"/>
        </w:rPr>
      </w:pPr>
      <w:r w:rsidRPr="00347C69">
        <w:rPr>
          <w:rStyle w:val="FootnoteReference"/>
          <w:rFonts w:ascii="Verdana" w:hAnsi="Verdana"/>
          <w:sz w:val="22"/>
          <w:szCs w:val="22"/>
        </w:rPr>
        <w:footnoteRef/>
      </w:r>
      <w:r w:rsidRPr="00347C69">
        <w:rPr>
          <w:rFonts w:ascii="Verdana" w:hAnsi="Verdana"/>
          <w:sz w:val="22"/>
          <w:szCs w:val="22"/>
        </w:rPr>
        <w:t xml:space="preserve"> Section 65(6) of the Patents Act. </w:t>
      </w:r>
    </w:p>
  </w:footnote>
  <w:footnote w:id="13">
    <w:p w14:paraId="55B33A9F" w14:textId="77777777" w:rsidR="00347C69" w:rsidRDefault="001F11E3" w:rsidP="001F11E3">
      <w:pPr>
        <w:pStyle w:val="FootnoteText"/>
        <w:rPr>
          <w:rFonts w:ascii="Verdana" w:hAnsi="Verdana"/>
          <w:sz w:val="22"/>
        </w:rPr>
      </w:pPr>
      <w:r>
        <w:rPr>
          <w:rStyle w:val="FootnoteReference"/>
        </w:rPr>
        <w:footnoteRef/>
      </w:r>
      <w:r>
        <w:t xml:space="preserve"> </w:t>
      </w:r>
      <w:r w:rsidRPr="00570097">
        <w:rPr>
          <w:rFonts w:ascii="Verdana" w:hAnsi="Verdana"/>
          <w:sz w:val="22"/>
        </w:rPr>
        <w:t xml:space="preserve">Mogalakwena Local Municipality v Provincial Executive Council, Limpopo and </w:t>
      </w:r>
    </w:p>
    <w:p w14:paraId="434908E9" w14:textId="7DA687A5" w:rsidR="001F11E3" w:rsidRPr="00570097" w:rsidRDefault="00347C69" w:rsidP="001F11E3">
      <w:pPr>
        <w:pStyle w:val="FootnoteText"/>
        <w:rPr>
          <w:rFonts w:ascii="Verdana" w:hAnsi="Verdana"/>
          <w:sz w:val="22"/>
        </w:rPr>
      </w:pPr>
      <w:r>
        <w:rPr>
          <w:rFonts w:ascii="Verdana" w:hAnsi="Verdana"/>
          <w:sz w:val="22"/>
        </w:rPr>
        <w:t xml:space="preserve">  </w:t>
      </w:r>
      <w:r w:rsidR="001F11E3" w:rsidRPr="00570097">
        <w:rPr>
          <w:rFonts w:ascii="Verdana" w:hAnsi="Verdana"/>
          <w:sz w:val="22"/>
        </w:rPr>
        <w:t>Others [2014] ZAGPPHC 400; [2014] 4 All SA 67 (GP) at para 63</w:t>
      </w:r>
      <w:r>
        <w:rPr>
          <w:rFonts w:ascii="Verdana" w:hAnsi="Verdana"/>
          <w:sz w:val="22"/>
        </w:rPr>
        <w:t>.</w:t>
      </w:r>
    </w:p>
  </w:footnote>
  <w:footnote w:id="14">
    <w:p w14:paraId="6ABDF65B" w14:textId="73B6923F" w:rsidR="00B42F1D" w:rsidRPr="00B42F1D" w:rsidRDefault="00B42F1D">
      <w:pPr>
        <w:pStyle w:val="FootnoteText"/>
        <w:rPr>
          <w:lang w:val="en-ZA"/>
        </w:rPr>
      </w:pPr>
      <w:r>
        <w:rPr>
          <w:rStyle w:val="FootnoteReference"/>
        </w:rPr>
        <w:footnoteRef/>
      </w:r>
      <w:r>
        <w:t xml:space="preserve"> </w:t>
      </w:r>
      <w:r w:rsidRPr="00B42F1D">
        <w:rPr>
          <w:rFonts w:ascii="Verdana" w:hAnsi="Verdana"/>
          <w:sz w:val="22"/>
          <w:szCs w:val="22"/>
          <w:lang w:val="en-ZA"/>
        </w:rPr>
        <w:t>Index 5-30</w:t>
      </w:r>
      <w:r w:rsidR="00347C69">
        <w:rPr>
          <w:rFonts w:ascii="Verdana" w:hAnsi="Verdana"/>
          <w:sz w:val="22"/>
          <w:szCs w:val="22"/>
          <w:lang w:val="en-ZA"/>
        </w:rPr>
        <w:t>.</w:t>
      </w:r>
    </w:p>
  </w:footnote>
  <w:footnote w:id="15">
    <w:p w14:paraId="37980CB3" w14:textId="11CCAA86" w:rsidR="009833B6" w:rsidRPr="005E1101" w:rsidRDefault="009833B6">
      <w:pPr>
        <w:pStyle w:val="FootnoteText"/>
        <w:rPr>
          <w:rFonts w:ascii="Verdana" w:hAnsi="Verdana"/>
          <w:sz w:val="22"/>
        </w:rPr>
      </w:pPr>
      <w:r>
        <w:rPr>
          <w:rStyle w:val="FootnoteReference"/>
        </w:rPr>
        <w:footnoteRef/>
      </w:r>
      <w:r w:rsidR="00347C69">
        <w:rPr>
          <w:rFonts w:ascii="Verdana" w:hAnsi="Verdana"/>
          <w:sz w:val="22"/>
        </w:rPr>
        <w:t xml:space="preserve"> </w:t>
      </w:r>
      <w:r w:rsidRPr="005E1101">
        <w:rPr>
          <w:rFonts w:ascii="Verdana" w:hAnsi="Verdana"/>
          <w:sz w:val="22"/>
        </w:rPr>
        <w:t>F</w:t>
      </w:r>
      <w:r w:rsidR="00D665E9">
        <w:rPr>
          <w:rFonts w:ascii="Verdana" w:hAnsi="Verdana"/>
          <w:sz w:val="22"/>
        </w:rPr>
        <w:t xml:space="preserve">ounding </w:t>
      </w:r>
      <w:r w:rsidRPr="005E1101">
        <w:rPr>
          <w:rFonts w:ascii="Verdana" w:hAnsi="Verdana"/>
          <w:sz w:val="22"/>
        </w:rPr>
        <w:t>A</w:t>
      </w:r>
      <w:r w:rsidR="00D665E9">
        <w:rPr>
          <w:rFonts w:ascii="Verdana" w:hAnsi="Verdana"/>
          <w:sz w:val="22"/>
        </w:rPr>
        <w:t>ffidavit</w:t>
      </w:r>
      <w:r w:rsidRPr="005E1101">
        <w:rPr>
          <w:rFonts w:ascii="Verdana" w:hAnsi="Verdana"/>
          <w:sz w:val="22"/>
        </w:rPr>
        <w:t>, p. 2-16 to 2-17, para 54.</w:t>
      </w:r>
    </w:p>
  </w:footnote>
  <w:footnote w:id="16">
    <w:p w14:paraId="5F2C0472" w14:textId="3EB5E622" w:rsidR="009833B6" w:rsidRPr="005E1101" w:rsidRDefault="009833B6">
      <w:pPr>
        <w:pStyle w:val="FootnoteText"/>
        <w:rPr>
          <w:rFonts w:ascii="Verdana" w:hAnsi="Verdana"/>
          <w:sz w:val="22"/>
        </w:rPr>
      </w:pPr>
      <w:r>
        <w:rPr>
          <w:rStyle w:val="FootnoteReference"/>
        </w:rPr>
        <w:footnoteRef/>
      </w:r>
      <w:r>
        <w:t xml:space="preserve"> </w:t>
      </w:r>
      <w:r w:rsidRPr="005E1101">
        <w:rPr>
          <w:rFonts w:ascii="Verdana" w:hAnsi="Verdana"/>
          <w:sz w:val="22"/>
        </w:rPr>
        <w:t>A</w:t>
      </w:r>
      <w:r w:rsidR="00D665E9">
        <w:rPr>
          <w:rFonts w:ascii="Verdana" w:hAnsi="Verdana"/>
          <w:sz w:val="22"/>
        </w:rPr>
        <w:t xml:space="preserve">nswering </w:t>
      </w:r>
      <w:r w:rsidRPr="005E1101">
        <w:rPr>
          <w:rFonts w:ascii="Verdana" w:hAnsi="Verdana"/>
          <w:sz w:val="22"/>
        </w:rPr>
        <w:t>A</w:t>
      </w:r>
      <w:r w:rsidR="00D665E9">
        <w:rPr>
          <w:rFonts w:ascii="Verdana" w:hAnsi="Verdana"/>
          <w:sz w:val="22"/>
        </w:rPr>
        <w:t>ffidavit</w:t>
      </w:r>
      <w:r w:rsidRPr="005E1101">
        <w:rPr>
          <w:rFonts w:ascii="Verdana" w:hAnsi="Verdana"/>
          <w:sz w:val="22"/>
        </w:rPr>
        <w:t>, p. 3-2, para 5.</w:t>
      </w:r>
    </w:p>
  </w:footnote>
  <w:footnote w:id="17">
    <w:p w14:paraId="36B365F4" w14:textId="43E36E2B" w:rsidR="009833B6" w:rsidRPr="005E1101" w:rsidRDefault="009833B6">
      <w:pPr>
        <w:pStyle w:val="FootnoteText"/>
        <w:rPr>
          <w:rFonts w:ascii="Verdana" w:hAnsi="Verdana"/>
          <w:sz w:val="22"/>
        </w:rPr>
      </w:pPr>
      <w:r>
        <w:rPr>
          <w:rStyle w:val="FootnoteReference"/>
        </w:rPr>
        <w:footnoteRef/>
      </w:r>
      <w:r>
        <w:t xml:space="preserve"> </w:t>
      </w:r>
      <w:r w:rsidRPr="005E1101">
        <w:rPr>
          <w:rFonts w:ascii="Verdana" w:hAnsi="Verdana"/>
          <w:sz w:val="22"/>
        </w:rPr>
        <w:t>A</w:t>
      </w:r>
      <w:r w:rsidR="00D665E9">
        <w:rPr>
          <w:rFonts w:ascii="Verdana" w:hAnsi="Verdana"/>
          <w:sz w:val="22"/>
        </w:rPr>
        <w:t xml:space="preserve">nswering </w:t>
      </w:r>
      <w:r w:rsidRPr="005E1101">
        <w:rPr>
          <w:rFonts w:ascii="Verdana" w:hAnsi="Verdana"/>
          <w:sz w:val="22"/>
        </w:rPr>
        <w:t>A</w:t>
      </w:r>
      <w:r w:rsidR="00D665E9">
        <w:rPr>
          <w:rFonts w:ascii="Verdana" w:hAnsi="Verdana"/>
          <w:sz w:val="22"/>
        </w:rPr>
        <w:t>ffidavit</w:t>
      </w:r>
      <w:r w:rsidRPr="005E1101">
        <w:rPr>
          <w:rFonts w:ascii="Verdana" w:hAnsi="Verdana"/>
          <w:sz w:val="22"/>
        </w:rPr>
        <w:t>, p. 3-2, para 4.</w:t>
      </w:r>
    </w:p>
  </w:footnote>
  <w:footnote w:id="18">
    <w:p w14:paraId="5B6A793E" w14:textId="77777777" w:rsidR="00347C69" w:rsidRDefault="009833B6">
      <w:pPr>
        <w:pStyle w:val="FootnoteText"/>
        <w:rPr>
          <w:rFonts w:ascii="Verdana" w:hAnsi="Verdana"/>
          <w:sz w:val="22"/>
        </w:rPr>
      </w:pPr>
      <w:r>
        <w:rPr>
          <w:rStyle w:val="FootnoteReference"/>
        </w:rPr>
        <w:footnoteRef/>
      </w:r>
      <w:r>
        <w:t xml:space="preserve"> </w:t>
      </w:r>
      <w:r w:rsidRPr="005E1101">
        <w:rPr>
          <w:rFonts w:ascii="Verdana" w:hAnsi="Verdana"/>
          <w:sz w:val="22"/>
        </w:rPr>
        <w:t>Amended notice of motion, prayer 2, p. 4-30. See further R</w:t>
      </w:r>
      <w:r w:rsidR="00347C69">
        <w:rPr>
          <w:rFonts w:ascii="Verdana" w:hAnsi="Verdana"/>
          <w:sz w:val="22"/>
        </w:rPr>
        <w:t xml:space="preserve">eplying </w:t>
      </w:r>
      <w:r w:rsidRPr="005E1101">
        <w:rPr>
          <w:rFonts w:ascii="Verdana" w:hAnsi="Verdana"/>
          <w:sz w:val="22"/>
        </w:rPr>
        <w:t>A</w:t>
      </w:r>
      <w:r w:rsidR="00347C69">
        <w:rPr>
          <w:rFonts w:ascii="Verdana" w:hAnsi="Verdana"/>
          <w:sz w:val="22"/>
        </w:rPr>
        <w:t>ffidavit</w:t>
      </w:r>
      <w:r w:rsidRPr="005E1101">
        <w:rPr>
          <w:rFonts w:ascii="Verdana" w:hAnsi="Verdana"/>
          <w:sz w:val="22"/>
        </w:rPr>
        <w:t>, p. 4-</w:t>
      </w:r>
    </w:p>
    <w:p w14:paraId="3D3AB338" w14:textId="5E342718" w:rsidR="00347C69" w:rsidRDefault="00347C69">
      <w:pPr>
        <w:pStyle w:val="FootnoteText"/>
        <w:rPr>
          <w:rFonts w:ascii="Verdana" w:hAnsi="Verdana"/>
          <w:sz w:val="22"/>
        </w:rPr>
      </w:pPr>
      <w:r>
        <w:rPr>
          <w:rFonts w:ascii="Verdana" w:hAnsi="Verdana"/>
          <w:sz w:val="22"/>
        </w:rPr>
        <w:t xml:space="preserve">  </w:t>
      </w:r>
      <w:r w:rsidR="009833B6" w:rsidRPr="005E1101">
        <w:rPr>
          <w:rFonts w:ascii="Verdana" w:hAnsi="Verdana"/>
          <w:sz w:val="22"/>
        </w:rPr>
        <w:t>3 to 4-5, para</w:t>
      </w:r>
      <w:r>
        <w:rPr>
          <w:rFonts w:ascii="Verdana" w:hAnsi="Verdana"/>
          <w:sz w:val="22"/>
        </w:rPr>
        <w:t xml:space="preserve"> 2.</w:t>
      </w:r>
    </w:p>
    <w:p w14:paraId="1B5B01A2" w14:textId="67A27374" w:rsidR="009833B6" w:rsidRPr="005E1101" w:rsidRDefault="00347C69">
      <w:pPr>
        <w:pStyle w:val="FootnoteText"/>
        <w:rPr>
          <w:rFonts w:ascii="Verdana" w:hAnsi="Verdana"/>
          <w:sz w:val="22"/>
        </w:rPr>
      </w:pPr>
      <w:r>
        <w:rPr>
          <w:rFonts w:ascii="Verdana" w:hAnsi="Verdana"/>
          <w:sz w:val="22"/>
        </w:rPr>
        <w:t xml:space="preserve"> </w:t>
      </w:r>
    </w:p>
  </w:footnote>
  <w:footnote w:id="19">
    <w:p w14:paraId="0D5A5BFA" w14:textId="5A957529" w:rsidR="009833B6" w:rsidRPr="005E1101" w:rsidRDefault="009833B6">
      <w:pPr>
        <w:pStyle w:val="FootnoteText"/>
        <w:rPr>
          <w:rFonts w:ascii="Verdana" w:hAnsi="Verdana"/>
          <w:sz w:val="22"/>
        </w:rPr>
      </w:pPr>
      <w:r>
        <w:rPr>
          <w:rStyle w:val="FootnoteReference"/>
        </w:rPr>
        <w:footnoteRef/>
      </w:r>
      <w:r>
        <w:t xml:space="preserve"> </w:t>
      </w:r>
      <w:r w:rsidRPr="005E1101">
        <w:rPr>
          <w:rFonts w:ascii="Verdana" w:hAnsi="Verdana"/>
          <w:sz w:val="22"/>
        </w:rPr>
        <w:t>F</w:t>
      </w:r>
      <w:r w:rsidR="00347C69">
        <w:rPr>
          <w:rFonts w:ascii="Verdana" w:hAnsi="Verdana"/>
          <w:sz w:val="22"/>
        </w:rPr>
        <w:t xml:space="preserve">ounding </w:t>
      </w:r>
      <w:r w:rsidRPr="005E1101">
        <w:rPr>
          <w:rFonts w:ascii="Verdana" w:hAnsi="Verdana"/>
          <w:sz w:val="22"/>
        </w:rPr>
        <w:t>A</w:t>
      </w:r>
      <w:r w:rsidR="00347C69">
        <w:rPr>
          <w:rFonts w:ascii="Verdana" w:hAnsi="Verdana"/>
          <w:sz w:val="22"/>
        </w:rPr>
        <w:t>ffidavit</w:t>
      </w:r>
      <w:r w:rsidRPr="005E1101">
        <w:rPr>
          <w:rFonts w:ascii="Verdana" w:hAnsi="Verdana"/>
          <w:sz w:val="22"/>
        </w:rPr>
        <w:t>, p. 2-16 to 2-17, para 54.</w:t>
      </w:r>
    </w:p>
  </w:footnote>
  <w:footnote w:id="20">
    <w:p w14:paraId="077F7E50" w14:textId="77777777" w:rsidR="00347C69" w:rsidRDefault="009833B6">
      <w:pPr>
        <w:pStyle w:val="FootnoteText"/>
        <w:rPr>
          <w:rFonts w:ascii="Verdana" w:hAnsi="Verdana"/>
          <w:sz w:val="22"/>
        </w:rPr>
      </w:pPr>
      <w:r>
        <w:rPr>
          <w:rStyle w:val="FootnoteReference"/>
        </w:rPr>
        <w:footnoteRef/>
      </w:r>
      <w:r>
        <w:t xml:space="preserve"> </w:t>
      </w:r>
      <w:r w:rsidRPr="005E1101">
        <w:rPr>
          <w:rFonts w:ascii="Verdana" w:hAnsi="Verdana"/>
          <w:sz w:val="22"/>
        </w:rPr>
        <w:t xml:space="preserve">That is why it has adduced evidence of the number of Rivaxored packages in the </w:t>
      </w:r>
    </w:p>
    <w:p w14:paraId="5E873B2B" w14:textId="1C8250FB" w:rsidR="009833B6" w:rsidRPr="005E1101" w:rsidRDefault="00347C69">
      <w:pPr>
        <w:pStyle w:val="FootnoteText"/>
        <w:rPr>
          <w:rFonts w:ascii="Verdana" w:hAnsi="Verdana"/>
          <w:sz w:val="22"/>
        </w:rPr>
      </w:pPr>
      <w:r>
        <w:rPr>
          <w:rFonts w:ascii="Verdana" w:hAnsi="Verdana"/>
          <w:sz w:val="22"/>
        </w:rPr>
        <w:t xml:space="preserve">  </w:t>
      </w:r>
      <w:r w:rsidR="009833B6" w:rsidRPr="005E1101">
        <w:rPr>
          <w:rFonts w:ascii="Verdana" w:hAnsi="Verdana"/>
          <w:sz w:val="22"/>
        </w:rPr>
        <w:t>control or possession of UPD and Clicks retail stores – see AA, p. 5-7, para 18.</w:t>
      </w:r>
    </w:p>
  </w:footnote>
  <w:footnote w:id="21">
    <w:p w14:paraId="74FBE6EE" w14:textId="002CAE8D" w:rsidR="00DC2B93" w:rsidRDefault="00DC2B93" w:rsidP="00DC2B93">
      <w:pPr>
        <w:pStyle w:val="FootnoteText"/>
      </w:pPr>
      <w:r>
        <w:rPr>
          <w:rStyle w:val="FootnoteReference"/>
        </w:rPr>
        <w:footnoteRef/>
      </w:r>
      <w:r>
        <w:t xml:space="preserve"> </w:t>
      </w:r>
      <w:r w:rsidRPr="009833B6">
        <w:rPr>
          <w:rFonts w:ascii="Verdana" w:hAnsi="Verdana"/>
          <w:sz w:val="22"/>
        </w:rPr>
        <w:t xml:space="preserve">Replying </w:t>
      </w:r>
      <w:r w:rsidR="00347C69">
        <w:rPr>
          <w:rFonts w:ascii="Verdana" w:hAnsi="Verdana"/>
          <w:sz w:val="22"/>
        </w:rPr>
        <w:t>A</w:t>
      </w:r>
      <w:r w:rsidRPr="009833B6">
        <w:rPr>
          <w:rFonts w:ascii="Verdana" w:hAnsi="Verdana"/>
          <w:sz w:val="22"/>
        </w:rPr>
        <w:t>ffidavit, para 2.1, p 4-3</w:t>
      </w:r>
    </w:p>
  </w:footnote>
  <w:footnote w:id="22">
    <w:p w14:paraId="7ED72FE5" w14:textId="2D29C85F" w:rsidR="00DC2B93" w:rsidRPr="009833B6" w:rsidRDefault="00DC2B93" w:rsidP="00DC2B93">
      <w:pPr>
        <w:pStyle w:val="FootnoteText"/>
        <w:rPr>
          <w:rFonts w:ascii="Verdana" w:hAnsi="Verdana"/>
          <w:sz w:val="22"/>
        </w:rPr>
      </w:pPr>
      <w:r>
        <w:rPr>
          <w:rStyle w:val="FootnoteReference"/>
        </w:rPr>
        <w:footnoteRef/>
      </w:r>
      <w:r>
        <w:t xml:space="preserve"> </w:t>
      </w:r>
      <w:r w:rsidRPr="009833B6">
        <w:rPr>
          <w:rFonts w:ascii="Verdana" w:hAnsi="Verdana"/>
          <w:sz w:val="22"/>
        </w:rPr>
        <w:t xml:space="preserve">Answering </w:t>
      </w:r>
      <w:r w:rsidR="00347C69">
        <w:rPr>
          <w:rFonts w:ascii="Verdana" w:hAnsi="Verdana"/>
          <w:sz w:val="22"/>
        </w:rPr>
        <w:t>A</w:t>
      </w:r>
      <w:r w:rsidRPr="009833B6">
        <w:rPr>
          <w:rFonts w:ascii="Verdana" w:hAnsi="Verdana"/>
          <w:sz w:val="22"/>
        </w:rPr>
        <w:t xml:space="preserve">ffidavit, </w:t>
      </w:r>
      <w:r w:rsidR="00347C69">
        <w:rPr>
          <w:rFonts w:ascii="Verdana" w:hAnsi="Verdana"/>
          <w:sz w:val="22"/>
        </w:rPr>
        <w:t>A</w:t>
      </w:r>
      <w:r w:rsidRPr="009833B6">
        <w:rPr>
          <w:rFonts w:ascii="Verdana" w:hAnsi="Verdana"/>
          <w:sz w:val="22"/>
        </w:rPr>
        <w:t>nnexure MFW1, para 2(a), p 5-43</w:t>
      </w:r>
      <w:r w:rsidR="00347C69">
        <w:rPr>
          <w:rFonts w:ascii="Verdana" w:hAnsi="Verdana"/>
          <w:sz w:val="22"/>
        </w:rPr>
        <w:t>.</w:t>
      </w:r>
    </w:p>
  </w:footnote>
  <w:footnote w:id="23">
    <w:p w14:paraId="243E257E" w14:textId="7B54721A" w:rsidR="00347C69" w:rsidRDefault="00E03A7E">
      <w:pPr>
        <w:pStyle w:val="FootnoteText"/>
        <w:rPr>
          <w:rFonts w:ascii="Verdana" w:hAnsi="Verdana"/>
          <w:sz w:val="22"/>
          <w:szCs w:val="22"/>
          <w:lang w:val="en-ZA"/>
        </w:rPr>
      </w:pPr>
      <w:r w:rsidRPr="00347C69">
        <w:rPr>
          <w:rStyle w:val="FootnoteReference"/>
          <w:rFonts w:ascii="Verdana" w:hAnsi="Verdana"/>
          <w:sz w:val="22"/>
          <w:szCs w:val="22"/>
        </w:rPr>
        <w:footnoteRef/>
      </w:r>
      <w:r w:rsidRPr="00347C69">
        <w:rPr>
          <w:rFonts w:ascii="Verdana" w:hAnsi="Verdana"/>
          <w:sz w:val="22"/>
          <w:szCs w:val="22"/>
        </w:rPr>
        <w:t xml:space="preserve"> </w:t>
      </w:r>
      <w:r w:rsidRPr="00347C69">
        <w:rPr>
          <w:rFonts w:ascii="Verdana" w:hAnsi="Verdana"/>
          <w:sz w:val="22"/>
          <w:szCs w:val="22"/>
          <w:lang w:val="en-ZA"/>
        </w:rPr>
        <w:t>L.F Boshoff Investments (Pty) Ltd v Cape Town Municipality 1969</w:t>
      </w:r>
      <w:r w:rsidR="00347C69">
        <w:rPr>
          <w:rFonts w:ascii="Verdana" w:hAnsi="Verdana"/>
          <w:sz w:val="22"/>
          <w:szCs w:val="22"/>
          <w:lang w:val="en-ZA"/>
        </w:rPr>
        <w:t xml:space="preserve"> </w:t>
      </w:r>
      <w:r w:rsidRPr="00347C69">
        <w:rPr>
          <w:rFonts w:ascii="Verdana" w:hAnsi="Verdana"/>
          <w:sz w:val="22"/>
          <w:szCs w:val="22"/>
          <w:lang w:val="en-ZA"/>
        </w:rPr>
        <w:t xml:space="preserve">(2) SA 256 (C) </w:t>
      </w:r>
    </w:p>
    <w:p w14:paraId="1EE5DA58" w14:textId="1EC15E89" w:rsidR="00E03A7E" w:rsidRPr="00347C69" w:rsidRDefault="00347C69">
      <w:pPr>
        <w:pStyle w:val="FootnoteText"/>
        <w:rPr>
          <w:rFonts w:ascii="Verdana" w:hAnsi="Verdana"/>
          <w:sz w:val="22"/>
          <w:szCs w:val="22"/>
          <w:lang w:val="en-ZA"/>
        </w:rPr>
      </w:pPr>
      <w:r>
        <w:rPr>
          <w:rFonts w:ascii="Verdana" w:hAnsi="Verdana"/>
          <w:sz w:val="22"/>
          <w:szCs w:val="22"/>
          <w:lang w:val="en-ZA"/>
        </w:rPr>
        <w:t xml:space="preserve">   </w:t>
      </w:r>
      <w:r w:rsidR="00E03A7E" w:rsidRPr="00347C69">
        <w:rPr>
          <w:rFonts w:ascii="Verdana" w:hAnsi="Verdana"/>
          <w:sz w:val="22"/>
          <w:szCs w:val="22"/>
          <w:lang w:val="en-ZA"/>
        </w:rPr>
        <w:t>at 267</w:t>
      </w:r>
      <w:r w:rsidRPr="00347C69">
        <w:rPr>
          <w:rFonts w:ascii="Verdana" w:hAnsi="Verdana"/>
          <w:sz w:val="22"/>
          <w:szCs w:val="22"/>
          <w:lang w:val="en-ZA"/>
        </w:rPr>
        <w:t>.</w:t>
      </w:r>
    </w:p>
  </w:footnote>
  <w:footnote w:id="24">
    <w:p w14:paraId="06D9DADF" w14:textId="659F0B8F" w:rsidR="00487C26" w:rsidRPr="00347C69" w:rsidRDefault="00487C26">
      <w:pPr>
        <w:pStyle w:val="FootnoteText"/>
        <w:rPr>
          <w:rFonts w:ascii="Verdana" w:hAnsi="Verdana"/>
          <w:sz w:val="22"/>
          <w:szCs w:val="22"/>
        </w:rPr>
      </w:pPr>
      <w:r w:rsidRPr="00347C69">
        <w:rPr>
          <w:rStyle w:val="FootnoteReference"/>
          <w:rFonts w:ascii="Verdana" w:hAnsi="Verdana"/>
          <w:sz w:val="22"/>
          <w:szCs w:val="22"/>
        </w:rPr>
        <w:footnoteRef/>
      </w:r>
      <w:r w:rsidRPr="00347C69">
        <w:rPr>
          <w:rFonts w:ascii="Verdana" w:hAnsi="Verdana"/>
          <w:sz w:val="22"/>
          <w:szCs w:val="22"/>
        </w:rPr>
        <w:t xml:space="preserve"> 1977 (1) SA 50 (T).</w:t>
      </w:r>
    </w:p>
  </w:footnote>
  <w:footnote w:id="25">
    <w:p w14:paraId="3E288C57" w14:textId="29DE164F" w:rsidR="008F7138" w:rsidRPr="008F7138" w:rsidRDefault="008F7138">
      <w:pPr>
        <w:pStyle w:val="FootnoteText"/>
        <w:rPr>
          <w:rFonts w:ascii="Verdana" w:hAnsi="Verdana"/>
          <w:sz w:val="22"/>
          <w:szCs w:val="22"/>
          <w:lang w:val="en-ZA"/>
        </w:rPr>
      </w:pPr>
      <w:r w:rsidRPr="008F7138">
        <w:rPr>
          <w:rStyle w:val="FootnoteReference"/>
          <w:rFonts w:ascii="Verdana" w:hAnsi="Verdana"/>
          <w:sz w:val="22"/>
          <w:szCs w:val="22"/>
        </w:rPr>
        <w:footnoteRef/>
      </w:r>
      <w:r w:rsidRPr="008F7138">
        <w:rPr>
          <w:rFonts w:ascii="Verdana" w:hAnsi="Verdana"/>
          <w:sz w:val="22"/>
          <w:szCs w:val="22"/>
        </w:rPr>
        <w:t xml:space="preserve"> </w:t>
      </w:r>
      <w:r w:rsidRPr="008F7138">
        <w:rPr>
          <w:rFonts w:ascii="Verdana" w:hAnsi="Verdana"/>
          <w:sz w:val="22"/>
          <w:szCs w:val="22"/>
          <w:lang w:val="en-ZA"/>
        </w:rPr>
        <w:t>Webster v Michell 1948 (1) SA 1186 (W) at 1189</w:t>
      </w:r>
    </w:p>
  </w:footnote>
  <w:footnote w:id="26">
    <w:p w14:paraId="553D8283" w14:textId="61270622" w:rsidR="00A42203" w:rsidRPr="00EB5D7D" w:rsidRDefault="00A42203" w:rsidP="00A42203">
      <w:pPr>
        <w:pStyle w:val="FootnoteText"/>
        <w:rPr>
          <w:rFonts w:ascii="Verdana" w:hAnsi="Verdana"/>
          <w:sz w:val="22"/>
        </w:rPr>
      </w:pPr>
      <w:r>
        <w:rPr>
          <w:rStyle w:val="FootnoteReference"/>
        </w:rPr>
        <w:footnoteRef/>
      </w:r>
      <w:r>
        <w:t xml:space="preserve"> </w:t>
      </w:r>
      <w:r w:rsidRPr="00EB5D7D">
        <w:rPr>
          <w:rFonts w:ascii="Verdana" w:hAnsi="Verdana"/>
          <w:sz w:val="22"/>
        </w:rPr>
        <w:t xml:space="preserve">Annex Distribution (Pty) Ltd and Others v Bank </w:t>
      </w:r>
      <w:r w:rsidR="0037145B">
        <w:rPr>
          <w:rFonts w:ascii="Verdana" w:hAnsi="Verdana"/>
          <w:sz w:val="22"/>
        </w:rPr>
        <w:t>o</w:t>
      </w:r>
      <w:r w:rsidRPr="00EB5D7D">
        <w:rPr>
          <w:rFonts w:ascii="Verdana" w:hAnsi="Verdana"/>
          <w:sz w:val="22"/>
        </w:rPr>
        <w:t>f Baroda 2018 (1) SA 562 (GP) at para 9, cited with approval in South African Broadcasting Corporation SOC Ltd v South African Broadcasting Corporation Pension Fund and Others 2019 (4) SA 608 (GJ) at para 77</w:t>
      </w:r>
    </w:p>
  </w:footnote>
  <w:footnote w:id="27">
    <w:p w14:paraId="33C4AE29" w14:textId="77777777" w:rsidR="00A42203" w:rsidRPr="00EB5D7D" w:rsidRDefault="00A42203" w:rsidP="00A42203">
      <w:pPr>
        <w:pStyle w:val="FootnoteText"/>
        <w:jc w:val="both"/>
        <w:rPr>
          <w:rFonts w:ascii="Verdana" w:hAnsi="Verdana"/>
          <w:sz w:val="22"/>
        </w:rPr>
      </w:pPr>
      <w:r>
        <w:rPr>
          <w:rStyle w:val="FootnoteReference"/>
        </w:rPr>
        <w:footnoteRef/>
      </w:r>
      <w:r>
        <w:t xml:space="preserve"> </w:t>
      </w:r>
      <w:r w:rsidRPr="00EB5D7D">
        <w:rPr>
          <w:rFonts w:ascii="Verdana" w:hAnsi="Verdana"/>
          <w:sz w:val="22"/>
        </w:rPr>
        <w:t>As indicated above, we also consider the fourth requirement (no suitable alternative remedy).</w:t>
      </w:r>
    </w:p>
  </w:footnote>
  <w:footnote w:id="28">
    <w:p w14:paraId="4526924B" w14:textId="439C22E7" w:rsidR="008F7138" w:rsidRPr="008F7138" w:rsidRDefault="008F7138">
      <w:pPr>
        <w:pStyle w:val="FootnoteText"/>
        <w:rPr>
          <w:rFonts w:ascii="Verdana" w:hAnsi="Verdana"/>
          <w:sz w:val="22"/>
          <w:szCs w:val="22"/>
          <w:lang w:val="en-ZA"/>
        </w:rPr>
      </w:pPr>
      <w:r w:rsidRPr="008F7138">
        <w:rPr>
          <w:rStyle w:val="FootnoteReference"/>
          <w:rFonts w:ascii="Verdana" w:hAnsi="Verdana"/>
          <w:sz w:val="22"/>
          <w:szCs w:val="22"/>
        </w:rPr>
        <w:footnoteRef/>
      </w:r>
      <w:r w:rsidRPr="008F7138">
        <w:rPr>
          <w:rFonts w:ascii="Verdana" w:hAnsi="Verdana"/>
          <w:sz w:val="22"/>
          <w:szCs w:val="22"/>
        </w:rPr>
        <w:t xml:space="preserve"> </w:t>
      </w:r>
      <w:r w:rsidRPr="008F7138">
        <w:rPr>
          <w:rFonts w:ascii="Verdana" w:hAnsi="Verdana"/>
          <w:sz w:val="22"/>
          <w:szCs w:val="22"/>
          <w:lang w:val="en-ZA"/>
        </w:rPr>
        <w:t>Beecham Group decision quoted supra</w:t>
      </w:r>
      <w:r w:rsidR="00347C69">
        <w:rPr>
          <w:rFonts w:ascii="Verdana" w:hAnsi="Verdana"/>
          <w:sz w:val="22"/>
          <w:szCs w:val="22"/>
          <w:lang w:val="en-ZA"/>
        </w:rPr>
        <w:t>.</w:t>
      </w:r>
    </w:p>
  </w:footnote>
  <w:footnote w:id="29">
    <w:p w14:paraId="43079747" w14:textId="6FF5CBE6" w:rsidR="009833B6" w:rsidRPr="00420D11" w:rsidRDefault="009833B6">
      <w:pPr>
        <w:pStyle w:val="FootnoteText"/>
        <w:rPr>
          <w:rFonts w:ascii="Verdana" w:hAnsi="Verdana"/>
          <w:sz w:val="22"/>
        </w:rPr>
      </w:pPr>
      <w:r>
        <w:rPr>
          <w:rStyle w:val="FootnoteReference"/>
        </w:rPr>
        <w:footnoteRef/>
      </w:r>
      <w:r>
        <w:t xml:space="preserve"> </w:t>
      </w:r>
      <w:r w:rsidRPr="00420D11">
        <w:rPr>
          <w:rFonts w:ascii="Verdana" w:hAnsi="Verdana"/>
          <w:sz w:val="22"/>
        </w:rPr>
        <w:t>A</w:t>
      </w:r>
      <w:r w:rsidR="00347C69">
        <w:rPr>
          <w:rFonts w:ascii="Verdana" w:hAnsi="Verdana"/>
          <w:sz w:val="22"/>
        </w:rPr>
        <w:t xml:space="preserve">nswering </w:t>
      </w:r>
      <w:r w:rsidRPr="00420D11">
        <w:rPr>
          <w:rFonts w:ascii="Verdana" w:hAnsi="Verdana"/>
          <w:sz w:val="22"/>
        </w:rPr>
        <w:t>A</w:t>
      </w:r>
      <w:r w:rsidR="00347C69">
        <w:rPr>
          <w:rFonts w:ascii="Verdana" w:hAnsi="Verdana"/>
          <w:sz w:val="22"/>
        </w:rPr>
        <w:t>ffidavit</w:t>
      </w:r>
      <w:r w:rsidRPr="00420D11">
        <w:rPr>
          <w:rFonts w:ascii="Verdana" w:hAnsi="Verdana"/>
          <w:sz w:val="22"/>
        </w:rPr>
        <w:t>, p. 5-17, para 47</w:t>
      </w:r>
    </w:p>
  </w:footnote>
  <w:footnote w:id="30">
    <w:p w14:paraId="15436838" w14:textId="1B75A2D3" w:rsidR="009833B6" w:rsidRPr="00420D11" w:rsidRDefault="009833B6">
      <w:pPr>
        <w:pStyle w:val="FootnoteText"/>
        <w:rPr>
          <w:rFonts w:ascii="Verdana" w:hAnsi="Verdana"/>
          <w:sz w:val="22"/>
        </w:rPr>
      </w:pPr>
      <w:r>
        <w:rPr>
          <w:rStyle w:val="FootnoteReference"/>
        </w:rPr>
        <w:footnoteRef/>
      </w:r>
      <w:r>
        <w:t xml:space="preserve"> </w:t>
      </w:r>
      <w:r w:rsidRPr="00420D11">
        <w:rPr>
          <w:rFonts w:ascii="Verdana" w:hAnsi="Verdana"/>
          <w:sz w:val="22"/>
        </w:rPr>
        <w:t>A</w:t>
      </w:r>
      <w:r w:rsidR="00347C69">
        <w:rPr>
          <w:rFonts w:ascii="Verdana" w:hAnsi="Verdana"/>
          <w:sz w:val="22"/>
        </w:rPr>
        <w:t xml:space="preserve">nswering </w:t>
      </w:r>
      <w:r w:rsidRPr="00420D11">
        <w:rPr>
          <w:rFonts w:ascii="Verdana" w:hAnsi="Verdana"/>
          <w:sz w:val="22"/>
        </w:rPr>
        <w:t>A</w:t>
      </w:r>
      <w:r w:rsidR="00347C69">
        <w:rPr>
          <w:rFonts w:ascii="Verdana" w:hAnsi="Verdana"/>
          <w:sz w:val="22"/>
        </w:rPr>
        <w:t>ffidavit</w:t>
      </w:r>
      <w:r w:rsidRPr="00420D11">
        <w:rPr>
          <w:rFonts w:ascii="Verdana" w:hAnsi="Verdana"/>
          <w:sz w:val="22"/>
        </w:rPr>
        <w:t>, p. 55-20, para 55.</w:t>
      </w:r>
    </w:p>
  </w:footnote>
  <w:footnote w:id="31">
    <w:p w14:paraId="5601F59F" w14:textId="11E99BEC" w:rsidR="009833B6" w:rsidRPr="00420D11" w:rsidRDefault="009833B6">
      <w:pPr>
        <w:pStyle w:val="FootnoteText"/>
        <w:rPr>
          <w:rFonts w:ascii="Verdana" w:hAnsi="Verdana"/>
          <w:sz w:val="22"/>
        </w:rPr>
      </w:pPr>
      <w:r>
        <w:rPr>
          <w:rStyle w:val="FootnoteReference"/>
        </w:rPr>
        <w:footnoteRef/>
      </w:r>
      <w:r>
        <w:t xml:space="preserve"> </w:t>
      </w:r>
      <w:r w:rsidRPr="00420D11">
        <w:rPr>
          <w:rFonts w:ascii="Verdana" w:hAnsi="Verdana"/>
          <w:sz w:val="22"/>
        </w:rPr>
        <w:t>R</w:t>
      </w:r>
      <w:r w:rsidR="00347C69">
        <w:rPr>
          <w:rFonts w:ascii="Verdana" w:hAnsi="Verdana"/>
          <w:sz w:val="22"/>
        </w:rPr>
        <w:t xml:space="preserve">eplying </w:t>
      </w:r>
      <w:r w:rsidRPr="00420D11">
        <w:rPr>
          <w:rFonts w:ascii="Verdana" w:hAnsi="Verdana"/>
          <w:sz w:val="22"/>
        </w:rPr>
        <w:t>A</w:t>
      </w:r>
      <w:r w:rsidR="00347C69">
        <w:rPr>
          <w:rFonts w:ascii="Verdana" w:hAnsi="Verdana"/>
          <w:sz w:val="22"/>
        </w:rPr>
        <w:t>ffidavit</w:t>
      </w:r>
      <w:r w:rsidRPr="00420D11">
        <w:rPr>
          <w:rFonts w:ascii="Verdana" w:hAnsi="Verdana"/>
          <w:sz w:val="22"/>
        </w:rPr>
        <w:t>, p. 4-3, para 1.6.</w:t>
      </w:r>
    </w:p>
  </w:footnote>
  <w:footnote w:id="32">
    <w:p w14:paraId="3143B0F1" w14:textId="77777777" w:rsidR="009833B6" w:rsidRPr="00420D11" w:rsidRDefault="009833B6">
      <w:pPr>
        <w:pStyle w:val="FootnoteText"/>
        <w:rPr>
          <w:rFonts w:ascii="Verdana" w:hAnsi="Verdana"/>
          <w:sz w:val="22"/>
        </w:rPr>
      </w:pPr>
      <w:r>
        <w:rPr>
          <w:rStyle w:val="FootnoteReference"/>
        </w:rPr>
        <w:footnoteRef/>
      </w:r>
      <w:r>
        <w:t xml:space="preserve"> </w:t>
      </w:r>
      <w:r w:rsidRPr="00420D11">
        <w:rPr>
          <w:rFonts w:ascii="Verdana" w:hAnsi="Verdana"/>
          <w:sz w:val="22"/>
        </w:rPr>
        <w:t>See Dr Reddy’s judgment, p. 2-69 to 2-70, para [58] – [62].</w:t>
      </w:r>
    </w:p>
  </w:footnote>
  <w:footnote w:id="33">
    <w:p w14:paraId="34FE5786" w14:textId="20A920B6" w:rsidR="009833B6" w:rsidRPr="00420D11" w:rsidRDefault="009833B6">
      <w:pPr>
        <w:pStyle w:val="FootnoteText"/>
        <w:rPr>
          <w:rFonts w:ascii="Verdana" w:hAnsi="Verdana"/>
          <w:sz w:val="22"/>
        </w:rPr>
      </w:pPr>
      <w:r>
        <w:rPr>
          <w:rStyle w:val="FootnoteReference"/>
        </w:rPr>
        <w:footnoteRef/>
      </w:r>
      <w:r>
        <w:t xml:space="preserve"> </w:t>
      </w:r>
      <w:r w:rsidRPr="00420D11">
        <w:rPr>
          <w:rFonts w:ascii="Verdana" w:hAnsi="Verdana"/>
          <w:sz w:val="22"/>
        </w:rPr>
        <w:t>See the heading on p. 5-16</w:t>
      </w:r>
      <w:r w:rsidR="00347C69">
        <w:rPr>
          <w:rFonts w:ascii="Verdana" w:hAnsi="Verdana"/>
          <w:sz w:val="22"/>
        </w:rPr>
        <w:t>.</w:t>
      </w:r>
    </w:p>
  </w:footnote>
  <w:footnote w:id="34">
    <w:p w14:paraId="1C707032" w14:textId="535B6294" w:rsidR="009833B6" w:rsidRPr="00904BDE" w:rsidRDefault="009833B6">
      <w:pPr>
        <w:pStyle w:val="FootnoteText"/>
        <w:rPr>
          <w:rFonts w:ascii="Verdana" w:hAnsi="Verdana"/>
          <w:sz w:val="22"/>
        </w:rPr>
      </w:pPr>
      <w:r>
        <w:rPr>
          <w:rStyle w:val="FootnoteReference"/>
        </w:rPr>
        <w:footnoteRef/>
      </w:r>
      <w:r>
        <w:t xml:space="preserve"> </w:t>
      </w:r>
      <w:r w:rsidRPr="00904BDE">
        <w:rPr>
          <w:rFonts w:ascii="Verdana" w:hAnsi="Verdana"/>
          <w:sz w:val="22"/>
        </w:rPr>
        <w:t>A</w:t>
      </w:r>
      <w:r w:rsidR="00EE1114">
        <w:rPr>
          <w:rFonts w:ascii="Verdana" w:hAnsi="Verdana"/>
          <w:sz w:val="22"/>
        </w:rPr>
        <w:t xml:space="preserve">nswering </w:t>
      </w:r>
      <w:r w:rsidRPr="00904BDE">
        <w:rPr>
          <w:rFonts w:ascii="Verdana" w:hAnsi="Verdana"/>
          <w:sz w:val="22"/>
        </w:rPr>
        <w:t>A</w:t>
      </w:r>
      <w:r w:rsidR="00EE1114">
        <w:rPr>
          <w:rFonts w:ascii="Verdana" w:hAnsi="Verdana"/>
          <w:sz w:val="22"/>
        </w:rPr>
        <w:t>ffidavit</w:t>
      </w:r>
      <w:r w:rsidRPr="00904BDE">
        <w:rPr>
          <w:rFonts w:ascii="Verdana" w:hAnsi="Verdana"/>
          <w:sz w:val="22"/>
        </w:rPr>
        <w:t>, p. 5-17, para 48.</w:t>
      </w:r>
    </w:p>
  </w:footnote>
  <w:footnote w:id="35">
    <w:p w14:paraId="208CF0B4" w14:textId="22C35F09" w:rsidR="009833B6" w:rsidRPr="00904BDE" w:rsidRDefault="009833B6">
      <w:pPr>
        <w:pStyle w:val="FootnoteText"/>
        <w:rPr>
          <w:rFonts w:ascii="Verdana" w:hAnsi="Verdana"/>
          <w:sz w:val="22"/>
        </w:rPr>
      </w:pPr>
      <w:r>
        <w:rPr>
          <w:rStyle w:val="FootnoteReference"/>
        </w:rPr>
        <w:footnoteRef/>
      </w:r>
      <w:r>
        <w:t xml:space="preserve"> </w:t>
      </w:r>
      <w:r w:rsidRPr="00904BDE">
        <w:rPr>
          <w:rFonts w:ascii="Verdana" w:hAnsi="Verdana"/>
          <w:sz w:val="22"/>
        </w:rPr>
        <w:t>A</w:t>
      </w:r>
      <w:r w:rsidR="00EE1114">
        <w:rPr>
          <w:rFonts w:ascii="Verdana" w:hAnsi="Verdana"/>
          <w:sz w:val="22"/>
        </w:rPr>
        <w:t xml:space="preserve">nswering </w:t>
      </w:r>
      <w:r w:rsidRPr="00904BDE">
        <w:rPr>
          <w:rFonts w:ascii="Verdana" w:hAnsi="Verdana"/>
          <w:sz w:val="22"/>
        </w:rPr>
        <w:t>A</w:t>
      </w:r>
      <w:r w:rsidR="00EE1114">
        <w:rPr>
          <w:rFonts w:ascii="Verdana" w:hAnsi="Verdana"/>
          <w:sz w:val="22"/>
        </w:rPr>
        <w:t>ffidavit</w:t>
      </w:r>
      <w:r w:rsidRPr="00904BDE">
        <w:rPr>
          <w:rFonts w:ascii="Verdana" w:hAnsi="Verdana"/>
          <w:sz w:val="22"/>
        </w:rPr>
        <w:t>, p. 5-17, para 48, 5-20, para 54 and</w:t>
      </w:r>
      <w:r w:rsidR="00EE1114">
        <w:rPr>
          <w:rFonts w:ascii="Verdana" w:hAnsi="Verdana"/>
          <w:sz w:val="22"/>
        </w:rPr>
        <w:t xml:space="preserve"> </w:t>
      </w:r>
      <w:r w:rsidRPr="00904BDE">
        <w:rPr>
          <w:rFonts w:ascii="Verdana" w:hAnsi="Verdana"/>
          <w:sz w:val="22"/>
        </w:rPr>
        <w:t>p. 5-21, para 57.</w:t>
      </w:r>
    </w:p>
  </w:footnote>
  <w:footnote w:id="36">
    <w:p w14:paraId="0471F147" w14:textId="42E4EFEF" w:rsidR="009833B6" w:rsidRPr="00E874EF" w:rsidRDefault="009833B6">
      <w:pPr>
        <w:pStyle w:val="FootnoteText"/>
        <w:rPr>
          <w:rFonts w:ascii="Verdana" w:hAnsi="Verdana"/>
          <w:sz w:val="22"/>
        </w:rPr>
      </w:pPr>
      <w:r>
        <w:rPr>
          <w:rStyle w:val="FootnoteReference"/>
        </w:rPr>
        <w:footnoteRef/>
      </w:r>
      <w:r>
        <w:t xml:space="preserve"> </w:t>
      </w:r>
      <w:r w:rsidRPr="00E874EF">
        <w:rPr>
          <w:rFonts w:ascii="Verdana" w:hAnsi="Verdana"/>
          <w:sz w:val="22"/>
        </w:rPr>
        <w:t>F</w:t>
      </w:r>
      <w:r w:rsidR="00EE1114">
        <w:rPr>
          <w:rFonts w:ascii="Verdana" w:hAnsi="Verdana"/>
          <w:sz w:val="22"/>
        </w:rPr>
        <w:t xml:space="preserve">ounding </w:t>
      </w:r>
      <w:r w:rsidRPr="00E874EF">
        <w:rPr>
          <w:rFonts w:ascii="Verdana" w:hAnsi="Verdana"/>
          <w:sz w:val="22"/>
        </w:rPr>
        <w:t>A</w:t>
      </w:r>
      <w:r w:rsidR="00EE1114">
        <w:rPr>
          <w:rFonts w:ascii="Verdana" w:hAnsi="Verdana"/>
          <w:sz w:val="22"/>
        </w:rPr>
        <w:t>ffidavit</w:t>
      </w:r>
      <w:r w:rsidRPr="00E874EF">
        <w:rPr>
          <w:rFonts w:ascii="Verdana" w:hAnsi="Verdana"/>
          <w:sz w:val="22"/>
        </w:rPr>
        <w:t>, p. 2-21, para 70 – p. 242, para 120.</w:t>
      </w:r>
    </w:p>
  </w:footnote>
  <w:footnote w:id="37">
    <w:p w14:paraId="54CDBD83" w14:textId="77777777" w:rsidR="009833B6" w:rsidRDefault="009833B6">
      <w:pPr>
        <w:pStyle w:val="FootnoteText"/>
      </w:pPr>
      <w:r>
        <w:rPr>
          <w:rStyle w:val="FootnoteReference"/>
        </w:rPr>
        <w:footnoteRef/>
      </w:r>
      <w:r>
        <w:t xml:space="preserve"> </w:t>
      </w:r>
      <w:r w:rsidRPr="00E874EF">
        <w:rPr>
          <w:rFonts w:ascii="Verdana" w:hAnsi="Verdana"/>
          <w:sz w:val="22"/>
        </w:rPr>
        <w:t>Dr Reddy’s Judgment, p. 2-79.</w:t>
      </w:r>
    </w:p>
  </w:footnote>
  <w:footnote w:id="38">
    <w:p w14:paraId="76D230CA" w14:textId="77777777" w:rsidR="00347C69" w:rsidRDefault="009833B6">
      <w:pPr>
        <w:pStyle w:val="FootnoteText"/>
        <w:rPr>
          <w:rFonts w:ascii="Verdana" w:hAnsi="Verdana"/>
          <w:sz w:val="22"/>
        </w:rPr>
      </w:pPr>
      <w:r>
        <w:rPr>
          <w:rStyle w:val="FootnoteReference"/>
        </w:rPr>
        <w:footnoteRef/>
      </w:r>
      <w:r>
        <w:t xml:space="preserve"> </w:t>
      </w:r>
      <w:r w:rsidRPr="005742D5">
        <w:rPr>
          <w:rFonts w:ascii="Verdana" w:hAnsi="Verdana"/>
          <w:sz w:val="22"/>
        </w:rPr>
        <w:t xml:space="preserve">Pfizer Ltd and Another v Cipla Medpro (Pty) Ltd and Others 2005 BIP 1 (CP) p. </w:t>
      </w:r>
    </w:p>
    <w:p w14:paraId="73EC3CB4" w14:textId="11A2E9C6" w:rsidR="009833B6" w:rsidRPr="005742D5" w:rsidRDefault="00347C69">
      <w:pPr>
        <w:pStyle w:val="FootnoteText"/>
        <w:rPr>
          <w:rFonts w:ascii="Verdana" w:hAnsi="Verdana"/>
          <w:sz w:val="22"/>
        </w:rPr>
      </w:pPr>
      <w:r>
        <w:rPr>
          <w:rFonts w:ascii="Verdana" w:hAnsi="Verdana"/>
          <w:sz w:val="22"/>
        </w:rPr>
        <w:t xml:space="preserve">  </w:t>
      </w:r>
      <w:r w:rsidR="009833B6" w:rsidRPr="005742D5">
        <w:rPr>
          <w:rFonts w:ascii="Verdana" w:hAnsi="Verdana"/>
          <w:sz w:val="22"/>
        </w:rPr>
        <w:t>12C – 12D.</w:t>
      </w:r>
    </w:p>
  </w:footnote>
  <w:footnote w:id="39">
    <w:p w14:paraId="48E1B7BB" w14:textId="77777777" w:rsidR="009833B6" w:rsidRDefault="009833B6">
      <w:pPr>
        <w:pStyle w:val="FootnoteText"/>
      </w:pPr>
      <w:r>
        <w:rPr>
          <w:rStyle w:val="FootnoteReference"/>
        </w:rPr>
        <w:footnoteRef/>
      </w:r>
      <w:r>
        <w:t xml:space="preserve"> </w:t>
      </w:r>
      <w:r w:rsidRPr="005742D5">
        <w:rPr>
          <w:rFonts w:ascii="Verdana" w:hAnsi="Verdana"/>
          <w:sz w:val="22"/>
        </w:rPr>
        <w:t>Cipla Medpro (Pty) Ltd v Aventis Pharma SA and Related Appeal 2013 (4) SA 579 (SCA) para [41].</w:t>
      </w:r>
    </w:p>
  </w:footnote>
  <w:footnote w:id="40">
    <w:p w14:paraId="165261F8" w14:textId="4440902A" w:rsidR="009833B6" w:rsidRPr="005742D5" w:rsidRDefault="009833B6">
      <w:pPr>
        <w:pStyle w:val="FootnoteText"/>
        <w:rPr>
          <w:rFonts w:ascii="Verdana" w:hAnsi="Verdana"/>
          <w:sz w:val="22"/>
        </w:rPr>
      </w:pPr>
      <w:r>
        <w:rPr>
          <w:rStyle w:val="FootnoteReference"/>
        </w:rPr>
        <w:footnoteRef/>
      </w:r>
      <w:r>
        <w:t xml:space="preserve"> </w:t>
      </w:r>
      <w:r w:rsidRPr="005742D5">
        <w:rPr>
          <w:rFonts w:ascii="Verdana" w:hAnsi="Verdana"/>
          <w:sz w:val="22"/>
        </w:rPr>
        <w:t>A</w:t>
      </w:r>
      <w:r w:rsidR="00347C69">
        <w:rPr>
          <w:rFonts w:ascii="Verdana" w:hAnsi="Verdana"/>
          <w:sz w:val="22"/>
        </w:rPr>
        <w:t xml:space="preserve">nswering </w:t>
      </w:r>
      <w:r w:rsidRPr="005742D5">
        <w:rPr>
          <w:rFonts w:ascii="Verdana" w:hAnsi="Verdana"/>
          <w:sz w:val="22"/>
        </w:rPr>
        <w:t>A</w:t>
      </w:r>
      <w:r w:rsidR="00347C69">
        <w:rPr>
          <w:rFonts w:ascii="Verdana" w:hAnsi="Verdana"/>
          <w:sz w:val="22"/>
        </w:rPr>
        <w:t>ffidavit</w:t>
      </w:r>
      <w:r w:rsidRPr="005742D5">
        <w:rPr>
          <w:rFonts w:ascii="Verdana" w:hAnsi="Verdana"/>
          <w:sz w:val="22"/>
        </w:rPr>
        <w:t>, p. 5-22, para [59] – [66].</w:t>
      </w:r>
    </w:p>
  </w:footnote>
  <w:footnote w:id="41">
    <w:p w14:paraId="5107FC65" w14:textId="72DB70F2" w:rsidR="00154E05" w:rsidRPr="00154E05" w:rsidRDefault="00154E05">
      <w:pPr>
        <w:pStyle w:val="FootnoteText"/>
        <w:rPr>
          <w:lang w:val="en-ZA"/>
        </w:rPr>
      </w:pPr>
      <w:r w:rsidRPr="00154E05">
        <w:rPr>
          <w:rStyle w:val="FootnoteReference"/>
          <w:rFonts w:ascii="Verdana" w:hAnsi="Verdana"/>
          <w:sz w:val="22"/>
          <w:szCs w:val="22"/>
        </w:rPr>
        <w:footnoteRef/>
      </w:r>
      <w:r w:rsidRPr="00154E05">
        <w:rPr>
          <w:rFonts w:ascii="Verdana" w:hAnsi="Verdana"/>
          <w:sz w:val="22"/>
          <w:szCs w:val="22"/>
        </w:rPr>
        <w:t xml:space="preserve"> </w:t>
      </w:r>
      <w:r w:rsidRPr="00154E05">
        <w:rPr>
          <w:rFonts w:ascii="Verdana" w:hAnsi="Verdana"/>
          <w:sz w:val="22"/>
          <w:szCs w:val="22"/>
          <w:lang w:val="en-ZA"/>
        </w:rPr>
        <w:t xml:space="preserve">See para </w:t>
      </w:r>
      <w:r>
        <w:rPr>
          <w:rFonts w:ascii="Verdana" w:hAnsi="Verdana"/>
          <w:sz w:val="22"/>
          <w:szCs w:val="22"/>
          <w:lang w:val="en-ZA"/>
        </w:rPr>
        <w:t>[</w:t>
      </w:r>
      <w:r w:rsidRPr="00154E05">
        <w:rPr>
          <w:rFonts w:ascii="Verdana" w:hAnsi="Verdana"/>
          <w:sz w:val="22"/>
          <w:szCs w:val="22"/>
          <w:lang w:val="en-ZA"/>
        </w:rPr>
        <w:t>51</w:t>
      </w:r>
      <w:r>
        <w:rPr>
          <w:rFonts w:ascii="Verdana" w:hAnsi="Verdana"/>
          <w:sz w:val="22"/>
          <w:szCs w:val="22"/>
          <w:lang w:val="en-ZA"/>
        </w:rPr>
        <w:t>]</w:t>
      </w:r>
      <w:r w:rsidRPr="00154E05">
        <w:rPr>
          <w:rFonts w:ascii="Verdana" w:hAnsi="Verdana"/>
          <w:sz w:val="22"/>
          <w:szCs w:val="22"/>
          <w:lang w:val="en-ZA"/>
        </w:rPr>
        <w:t>-</w:t>
      </w:r>
      <w:r>
        <w:rPr>
          <w:rFonts w:ascii="Verdana" w:hAnsi="Verdana"/>
          <w:sz w:val="22"/>
          <w:szCs w:val="22"/>
          <w:lang w:val="en-ZA"/>
        </w:rPr>
        <w:t>[</w:t>
      </w:r>
      <w:r w:rsidRPr="00154E05">
        <w:rPr>
          <w:rFonts w:ascii="Verdana" w:hAnsi="Verdana"/>
          <w:sz w:val="22"/>
          <w:szCs w:val="22"/>
          <w:lang w:val="en-ZA"/>
        </w:rPr>
        <w:t>59</w:t>
      </w:r>
      <w:r>
        <w:rPr>
          <w:rFonts w:ascii="Verdana" w:hAnsi="Verdana"/>
          <w:sz w:val="22"/>
          <w:szCs w:val="22"/>
          <w:lang w:val="en-ZA"/>
        </w:rPr>
        <w:t>]</w:t>
      </w:r>
      <w:r w:rsidRPr="00154E05">
        <w:rPr>
          <w:rFonts w:ascii="Verdana" w:hAnsi="Verdana"/>
          <w:sz w:val="22"/>
          <w:szCs w:val="22"/>
          <w:lang w:val="en-ZA"/>
        </w:rPr>
        <w:t xml:space="preserve"> of the Aventis-judgment supra</w:t>
      </w:r>
      <w:r>
        <w:rPr>
          <w:lang w:val="en-ZA"/>
        </w:rPr>
        <w:t>.</w:t>
      </w:r>
    </w:p>
  </w:footnote>
  <w:footnote w:id="42">
    <w:p w14:paraId="1BA3B5D7" w14:textId="77777777" w:rsidR="009833B6" w:rsidRPr="000D758B" w:rsidRDefault="009833B6">
      <w:pPr>
        <w:pStyle w:val="FootnoteText"/>
        <w:rPr>
          <w:rFonts w:ascii="Verdana" w:hAnsi="Verdana"/>
          <w:sz w:val="22"/>
          <w:szCs w:val="22"/>
        </w:rPr>
      </w:pPr>
      <w:r w:rsidRPr="000D758B">
        <w:rPr>
          <w:rStyle w:val="FootnoteReference"/>
          <w:rFonts w:ascii="Verdana" w:hAnsi="Verdana"/>
          <w:sz w:val="22"/>
          <w:szCs w:val="22"/>
        </w:rPr>
        <w:footnoteRef/>
      </w:r>
      <w:r w:rsidRPr="000D758B">
        <w:rPr>
          <w:rFonts w:ascii="Verdana" w:hAnsi="Verdana"/>
          <w:sz w:val="22"/>
          <w:szCs w:val="22"/>
        </w:rPr>
        <w:t xml:space="preserve"> Dr Reddy’s Judgment, p. 2-81 to 2-82, para [97] and [98].</w:t>
      </w:r>
    </w:p>
  </w:footnote>
  <w:footnote w:id="43">
    <w:p w14:paraId="4429B7A4" w14:textId="52F9D0ED" w:rsidR="009833B6" w:rsidRPr="005742D5" w:rsidRDefault="009833B6">
      <w:pPr>
        <w:pStyle w:val="FootnoteText"/>
        <w:rPr>
          <w:rFonts w:ascii="Verdana" w:hAnsi="Verdana"/>
          <w:sz w:val="22"/>
        </w:rPr>
      </w:pPr>
      <w:r w:rsidRPr="000D758B">
        <w:rPr>
          <w:rStyle w:val="FootnoteReference"/>
          <w:rFonts w:ascii="Verdana" w:hAnsi="Verdana"/>
          <w:sz w:val="22"/>
          <w:szCs w:val="22"/>
        </w:rPr>
        <w:footnoteRef/>
      </w:r>
      <w:r w:rsidRPr="000D758B">
        <w:rPr>
          <w:rFonts w:ascii="Verdana" w:hAnsi="Verdana"/>
          <w:sz w:val="22"/>
          <w:szCs w:val="22"/>
        </w:rPr>
        <w:t xml:space="preserve"> See para [58] of </w:t>
      </w:r>
      <w:r w:rsidR="000D758B">
        <w:rPr>
          <w:rFonts w:ascii="Verdana" w:hAnsi="Verdana"/>
          <w:sz w:val="22"/>
          <w:szCs w:val="22"/>
        </w:rPr>
        <w:t xml:space="preserve">the </w:t>
      </w:r>
      <w:r w:rsidRPr="000D758B">
        <w:rPr>
          <w:rFonts w:ascii="Verdana" w:hAnsi="Verdana"/>
          <w:sz w:val="22"/>
          <w:szCs w:val="22"/>
        </w:rPr>
        <w:t>Aventis</w:t>
      </w:r>
      <w:r w:rsidR="000D758B">
        <w:rPr>
          <w:rFonts w:ascii="Verdana" w:hAnsi="Verdana"/>
          <w:sz w:val="22"/>
          <w:szCs w:val="22"/>
        </w:rPr>
        <w:t>-decision.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87AC1"/>
    <w:multiLevelType w:val="hybridMultilevel"/>
    <w:tmpl w:val="77741BC0"/>
    <w:lvl w:ilvl="0" w:tplc="04090019">
      <w:start w:val="1"/>
      <w:numFmt w:val="lowerLetter"/>
      <w:lvlText w:val="%1."/>
      <w:lvlJc w:val="left"/>
      <w:pPr>
        <w:ind w:left="1219" w:hanging="360"/>
      </w:pPr>
    </w:lvl>
    <w:lvl w:ilvl="1" w:tplc="04090019" w:tentative="1">
      <w:start w:val="1"/>
      <w:numFmt w:val="lowerLetter"/>
      <w:lvlText w:val="%2."/>
      <w:lvlJc w:val="left"/>
      <w:pPr>
        <w:ind w:left="1939" w:hanging="360"/>
      </w:pPr>
    </w:lvl>
    <w:lvl w:ilvl="2" w:tplc="0409001B" w:tentative="1">
      <w:start w:val="1"/>
      <w:numFmt w:val="lowerRoman"/>
      <w:lvlText w:val="%3."/>
      <w:lvlJc w:val="right"/>
      <w:pPr>
        <w:ind w:left="2659" w:hanging="180"/>
      </w:pPr>
    </w:lvl>
    <w:lvl w:ilvl="3" w:tplc="0409000F" w:tentative="1">
      <w:start w:val="1"/>
      <w:numFmt w:val="decimal"/>
      <w:lvlText w:val="%4."/>
      <w:lvlJc w:val="left"/>
      <w:pPr>
        <w:ind w:left="3379" w:hanging="360"/>
      </w:pPr>
    </w:lvl>
    <w:lvl w:ilvl="4" w:tplc="04090019" w:tentative="1">
      <w:start w:val="1"/>
      <w:numFmt w:val="lowerLetter"/>
      <w:lvlText w:val="%5."/>
      <w:lvlJc w:val="left"/>
      <w:pPr>
        <w:ind w:left="4099" w:hanging="360"/>
      </w:pPr>
    </w:lvl>
    <w:lvl w:ilvl="5" w:tplc="0409001B" w:tentative="1">
      <w:start w:val="1"/>
      <w:numFmt w:val="lowerRoman"/>
      <w:lvlText w:val="%6."/>
      <w:lvlJc w:val="right"/>
      <w:pPr>
        <w:ind w:left="4819" w:hanging="180"/>
      </w:pPr>
    </w:lvl>
    <w:lvl w:ilvl="6" w:tplc="0409000F" w:tentative="1">
      <w:start w:val="1"/>
      <w:numFmt w:val="decimal"/>
      <w:lvlText w:val="%7."/>
      <w:lvlJc w:val="left"/>
      <w:pPr>
        <w:ind w:left="5539" w:hanging="360"/>
      </w:pPr>
    </w:lvl>
    <w:lvl w:ilvl="7" w:tplc="04090019" w:tentative="1">
      <w:start w:val="1"/>
      <w:numFmt w:val="lowerLetter"/>
      <w:lvlText w:val="%8."/>
      <w:lvlJc w:val="left"/>
      <w:pPr>
        <w:ind w:left="6259" w:hanging="360"/>
      </w:pPr>
    </w:lvl>
    <w:lvl w:ilvl="8" w:tplc="0409001B" w:tentative="1">
      <w:start w:val="1"/>
      <w:numFmt w:val="lowerRoman"/>
      <w:lvlText w:val="%9."/>
      <w:lvlJc w:val="right"/>
      <w:pPr>
        <w:ind w:left="6979" w:hanging="180"/>
      </w:pPr>
    </w:lvl>
  </w:abstractNum>
  <w:abstractNum w:abstractNumId="1">
    <w:nsid w:val="07B67C00"/>
    <w:multiLevelType w:val="hybridMultilevel"/>
    <w:tmpl w:val="325AF220"/>
    <w:lvl w:ilvl="0" w:tplc="CA28F6E4">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09B77525"/>
    <w:multiLevelType w:val="multilevel"/>
    <w:tmpl w:val="32C2A610"/>
    <w:lvl w:ilvl="0">
      <w:start w:val="1"/>
      <w:numFmt w:val="decimal"/>
      <w:lvlText w:val="%1"/>
      <w:lvlJc w:val="left"/>
      <w:pPr>
        <w:ind w:left="706" w:hanging="567"/>
      </w:pPr>
      <w:rPr>
        <w:rFonts w:ascii="Arial MT" w:eastAsia="Arial MT" w:hAnsi="Arial MT" w:cs="Arial MT" w:hint="default"/>
        <w:w w:val="99"/>
        <w:sz w:val="24"/>
        <w:szCs w:val="24"/>
        <w:lang w:val="en-US" w:eastAsia="en-US" w:bidi="ar-SA"/>
      </w:rPr>
    </w:lvl>
    <w:lvl w:ilvl="1">
      <w:start w:val="1"/>
      <w:numFmt w:val="decimal"/>
      <w:lvlText w:val="%1.%2"/>
      <w:lvlJc w:val="left"/>
      <w:pPr>
        <w:ind w:left="1388" w:hanging="682"/>
      </w:pPr>
      <w:rPr>
        <w:rFonts w:hint="default"/>
        <w:w w:val="99"/>
        <w:lang w:val="en-US" w:eastAsia="en-US" w:bidi="ar-SA"/>
      </w:rPr>
    </w:lvl>
    <w:lvl w:ilvl="2">
      <w:start w:val="1"/>
      <w:numFmt w:val="decimal"/>
      <w:lvlText w:val="%1.%2.%3"/>
      <w:lvlJc w:val="left"/>
      <w:pPr>
        <w:ind w:left="2295" w:hanging="682"/>
      </w:pPr>
      <w:rPr>
        <w:rFonts w:ascii="Arial MT" w:eastAsia="Arial MT" w:hAnsi="Arial MT" w:cs="Arial MT" w:hint="default"/>
        <w:spacing w:val="-2"/>
        <w:w w:val="99"/>
        <w:sz w:val="24"/>
        <w:szCs w:val="24"/>
        <w:lang w:val="en-US" w:eastAsia="en-US" w:bidi="ar-SA"/>
      </w:rPr>
    </w:lvl>
    <w:lvl w:ilvl="3">
      <w:numFmt w:val="bullet"/>
      <w:lvlText w:val="•"/>
      <w:lvlJc w:val="left"/>
      <w:pPr>
        <w:ind w:left="2300" w:hanging="682"/>
      </w:pPr>
      <w:rPr>
        <w:rFonts w:hint="default"/>
        <w:lang w:val="en-US" w:eastAsia="en-US" w:bidi="ar-SA"/>
      </w:rPr>
    </w:lvl>
    <w:lvl w:ilvl="4">
      <w:numFmt w:val="bullet"/>
      <w:lvlText w:val="•"/>
      <w:lvlJc w:val="left"/>
      <w:pPr>
        <w:ind w:left="3300" w:hanging="682"/>
      </w:pPr>
      <w:rPr>
        <w:rFonts w:hint="default"/>
        <w:lang w:val="en-US" w:eastAsia="en-US" w:bidi="ar-SA"/>
      </w:rPr>
    </w:lvl>
    <w:lvl w:ilvl="5">
      <w:numFmt w:val="bullet"/>
      <w:lvlText w:val="•"/>
      <w:lvlJc w:val="left"/>
      <w:pPr>
        <w:ind w:left="4301" w:hanging="682"/>
      </w:pPr>
      <w:rPr>
        <w:rFonts w:hint="default"/>
        <w:lang w:val="en-US" w:eastAsia="en-US" w:bidi="ar-SA"/>
      </w:rPr>
    </w:lvl>
    <w:lvl w:ilvl="6">
      <w:numFmt w:val="bullet"/>
      <w:lvlText w:val="•"/>
      <w:lvlJc w:val="left"/>
      <w:pPr>
        <w:ind w:left="5302" w:hanging="682"/>
      </w:pPr>
      <w:rPr>
        <w:rFonts w:hint="default"/>
        <w:lang w:val="en-US" w:eastAsia="en-US" w:bidi="ar-SA"/>
      </w:rPr>
    </w:lvl>
    <w:lvl w:ilvl="7">
      <w:numFmt w:val="bullet"/>
      <w:lvlText w:val="•"/>
      <w:lvlJc w:val="left"/>
      <w:pPr>
        <w:ind w:left="6303" w:hanging="682"/>
      </w:pPr>
      <w:rPr>
        <w:rFonts w:hint="default"/>
        <w:lang w:val="en-US" w:eastAsia="en-US" w:bidi="ar-SA"/>
      </w:rPr>
    </w:lvl>
    <w:lvl w:ilvl="8">
      <w:numFmt w:val="bullet"/>
      <w:lvlText w:val="•"/>
      <w:lvlJc w:val="left"/>
      <w:pPr>
        <w:ind w:left="7304" w:hanging="682"/>
      </w:pPr>
      <w:rPr>
        <w:rFonts w:hint="default"/>
        <w:lang w:val="en-US" w:eastAsia="en-US" w:bidi="ar-SA"/>
      </w:rPr>
    </w:lvl>
  </w:abstractNum>
  <w:abstractNum w:abstractNumId="3">
    <w:nsid w:val="0A132429"/>
    <w:multiLevelType w:val="hybridMultilevel"/>
    <w:tmpl w:val="5DDAEADE"/>
    <w:lvl w:ilvl="0" w:tplc="859E9736">
      <w:start w:val="1"/>
      <w:numFmt w:val="decimal"/>
      <w:lvlText w:val="(%1)"/>
      <w:lvlJc w:val="left"/>
      <w:pPr>
        <w:tabs>
          <w:tab w:val="num" w:pos="900"/>
        </w:tabs>
        <w:ind w:left="900" w:hanging="720"/>
      </w:pPr>
      <w:rPr>
        <w:rFonts w:cs="Times New Roman" w:hint="default"/>
      </w:rPr>
    </w:lvl>
    <w:lvl w:ilvl="1" w:tplc="08090019" w:tentative="1">
      <w:start w:val="1"/>
      <w:numFmt w:val="lowerLetter"/>
      <w:lvlText w:val="%2."/>
      <w:lvlJc w:val="left"/>
      <w:pPr>
        <w:tabs>
          <w:tab w:val="num" w:pos="1260"/>
        </w:tabs>
        <w:ind w:left="1260" w:hanging="360"/>
      </w:pPr>
      <w:rPr>
        <w:rFonts w:cs="Times New Roman"/>
      </w:rPr>
    </w:lvl>
    <w:lvl w:ilvl="2" w:tplc="0809001B" w:tentative="1">
      <w:start w:val="1"/>
      <w:numFmt w:val="lowerRoman"/>
      <w:lvlText w:val="%3."/>
      <w:lvlJc w:val="right"/>
      <w:pPr>
        <w:tabs>
          <w:tab w:val="num" w:pos="1980"/>
        </w:tabs>
        <w:ind w:left="1980" w:hanging="180"/>
      </w:pPr>
      <w:rPr>
        <w:rFonts w:cs="Times New Roman"/>
      </w:rPr>
    </w:lvl>
    <w:lvl w:ilvl="3" w:tplc="0809000F" w:tentative="1">
      <w:start w:val="1"/>
      <w:numFmt w:val="decimal"/>
      <w:lvlText w:val="%4."/>
      <w:lvlJc w:val="left"/>
      <w:pPr>
        <w:tabs>
          <w:tab w:val="num" w:pos="2700"/>
        </w:tabs>
        <w:ind w:left="2700" w:hanging="360"/>
      </w:pPr>
      <w:rPr>
        <w:rFonts w:cs="Times New Roman"/>
      </w:rPr>
    </w:lvl>
    <w:lvl w:ilvl="4" w:tplc="08090019" w:tentative="1">
      <w:start w:val="1"/>
      <w:numFmt w:val="lowerLetter"/>
      <w:lvlText w:val="%5."/>
      <w:lvlJc w:val="left"/>
      <w:pPr>
        <w:tabs>
          <w:tab w:val="num" w:pos="3420"/>
        </w:tabs>
        <w:ind w:left="3420" w:hanging="360"/>
      </w:pPr>
      <w:rPr>
        <w:rFonts w:cs="Times New Roman"/>
      </w:rPr>
    </w:lvl>
    <w:lvl w:ilvl="5" w:tplc="0809001B" w:tentative="1">
      <w:start w:val="1"/>
      <w:numFmt w:val="lowerRoman"/>
      <w:lvlText w:val="%6."/>
      <w:lvlJc w:val="right"/>
      <w:pPr>
        <w:tabs>
          <w:tab w:val="num" w:pos="4140"/>
        </w:tabs>
        <w:ind w:left="4140" w:hanging="180"/>
      </w:pPr>
      <w:rPr>
        <w:rFonts w:cs="Times New Roman"/>
      </w:rPr>
    </w:lvl>
    <w:lvl w:ilvl="6" w:tplc="0809000F" w:tentative="1">
      <w:start w:val="1"/>
      <w:numFmt w:val="decimal"/>
      <w:lvlText w:val="%7."/>
      <w:lvlJc w:val="left"/>
      <w:pPr>
        <w:tabs>
          <w:tab w:val="num" w:pos="4860"/>
        </w:tabs>
        <w:ind w:left="4860" w:hanging="360"/>
      </w:pPr>
      <w:rPr>
        <w:rFonts w:cs="Times New Roman"/>
      </w:rPr>
    </w:lvl>
    <w:lvl w:ilvl="7" w:tplc="08090019" w:tentative="1">
      <w:start w:val="1"/>
      <w:numFmt w:val="lowerLetter"/>
      <w:lvlText w:val="%8."/>
      <w:lvlJc w:val="left"/>
      <w:pPr>
        <w:tabs>
          <w:tab w:val="num" w:pos="5580"/>
        </w:tabs>
        <w:ind w:left="5580" w:hanging="360"/>
      </w:pPr>
      <w:rPr>
        <w:rFonts w:cs="Times New Roman"/>
      </w:rPr>
    </w:lvl>
    <w:lvl w:ilvl="8" w:tplc="0809001B" w:tentative="1">
      <w:start w:val="1"/>
      <w:numFmt w:val="lowerRoman"/>
      <w:lvlText w:val="%9."/>
      <w:lvlJc w:val="right"/>
      <w:pPr>
        <w:tabs>
          <w:tab w:val="num" w:pos="6300"/>
        </w:tabs>
        <w:ind w:left="6300" w:hanging="180"/>
      </w:pPr>
      <w:rPr>
        <w:rFonts w:cs="Times New Roman"/>
      </w:rPr>
    </w:lvl>
  </w:abstractNum>
  <w:abstractNum w:abstractNumId="4">
    <w:nsid w:val="0A2B3513"/>
    <w:multiLevelType w:val="multilevel"/>
    <w:tmpl w:val="A316F836"/>
    <w:lvl w:ilvl="0">
      <w:start w:val="5"/>
      <w:numFmt w:val="decimal"/>
      <w:lvlText w:val="%1"/>
      <w:lvlJc w:val="left"/>
      <w:pPr>
        <w:ind w:left="2068" w:hanging="1023"/>
      </w:pPr>
      <w:rPr>
        <w:rFonts w:hint="default"/>
        <w:lang w:val="en-US" w:eastAsia="en-US" w:bidi="ar-SA"/>
      </w:rPr>
    </w:lvl>
    <w:lvl w:ilvl="1">
      <w:start w:val="1"/>
      <w:numFmt w:val="decimal"/>
      <w:lvlText w:val="%1.%2"/>
      <w:lvlJc w:val="left"/>
      <w:pPr>
        <w:ind w:left="2193" w:hanging="1023"/>
      </w:pPr>
      <w:rPr>
        <w:rFonts w:ascii="Arial MT" w:eastAsia="Arial MT" w:hAnsi="Arial MT" w:cs="Arial MT" w:hint="default"/>
        <w:w w:val="100"/>
        <w:sz w:val="24"/>
        <w:szCs w:val="24"/>
        <w:lang w:val="en-US" w:eastAsia="en-US" w:bidi="ar-SA"/>
      </w:rPr>
    </w:lvl>
    <w:lvl w:ilvl="2">
      <w:numFmt w:val="bullet"/>
      <w:lvlText w:val="•"/>
      <w:lvlJc w:val="left"/>
      <w:pPr>
        <w:ind w:left="3713" w:hanging="1023"/>
      </w:pPr>
      <w:rPr>
        <w:rFonts w:hint="default"/>
        <w:lang w:val="en-US" w:eastAsia="en-US" w:bidi="ar-SA"/>
      </w:rPr>
    </w:lvl>
    <w:lvl w:ilvl="3">
      <w:numFmt w:val="bullet"/>
      <w:lvlText w:val="•"/>
      <w:lvlJc w:val="left"/>
      <w:pPr>
        <w:ind w:left="4539" w:hanging="1023"/>
      </w:pPr>
      <w:rPr>
        <w:rFonts w:hint="default"/>
        <w:lang w:val="en-US" w:eastAsia="en-US" w:bidi="ar-SA"/>
      </w:rPr>
    </w:lvl>
    <w:lvl w:ilvl="4">
      <w:numFmt w:val="bullet"/>
      <w:lvlText w:val="•"/>
      <w:lvlJc w:val="left"/>
      <w:pPr>
        <w:ind w:left="5366" w:hanging="1023"/>
      </w:pPr>
      <w:rPr>
        <w:rFonts w:hint="default"/>
        <w:lang w:val="en-US" w:eastAsia="en-US" w:bidi="ar-SA"/>
      </w:rPr>
    </w:lvl>
    <w:lvl w:ilvl="5">
      <w:numFmt w:val="bullet"/>
      <w:lvlText w:val="•"/>
      <w:lvlJc w:val="left"/>
      <w:pPr>
        <w:ind w:left="6193" w:hanging="1023"/>
      </w:pPr>
      <w:rPr>
        <w:rFonts w:hint="default"/>
        <w:lang w:val="en-US" w:eastAsia="en-US" w:bidi="ar-SA"/>
      </w:rPr>
    </w:lvl>
    <w:lvl w:ilvl="6">
      <w:numFmt w:val="bullet"/>
      <w:lvlText w:val="•"/>
      <w:lvlJc w:val="left"/>
      <w:pPr>
        <w:ind w:left="7019" w:hanging="1023"/>
      </w:pPr>
      <w:rPr>
        <w:rFonts w:hint="default"/>
        <w:lang w:val="en-US" w:eastAsia="en-US" w:bidi="ar-SA"/>
      </w:rPr>
    </w:lvl>
    <w:lvl w:ilvl="7">
      <w:numFmt w:val="bullet"/>
      <w:lvlText w:val="•"/>
      <w:lvlJc w:val="left"/>
      <w:pPr>
        <w:ind w:left="7846" w:hanging="1023"/>
      </w:pPr>
      <w:rPr>
        <w:rFonts w:hint="default"/>
        <w:lang w:val="en-US" w:eastAsia="en-US" w:bidi="ar-SA"/>
      </w:rPr>
    </w:lvl>
    <w:lvl w:ilvl="8">
      <w:numFmt w:val="bullet"/>
      <w:lvlText w:val="•"/>
      <w:lvlJc w:val="left"/>
      <w:pPr>
        <w:ind w:left="8673" w:hanging="1023"/>
      </w:pPr>
      <w:rPr>
        <w:rFonts w:hint="default"/>
        <w:lang w:val="en-US" w:eastAsia="en-US" w:bidi="ar-SA"/>
      </w:rPr>
    </w:lvl>
  </w:abstractNum>
  <w:abstractNum w:abstractNumId="5">
    <w:nsid w:val="0BF4451F"/>
    <w:multiLevelType w:val="hybridMultilevel"/>
    <w:tmpl w:val="DC7AD56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6E0347D"/>
    <w:multiLevelType w:val="hybridMultilevel"/>
    <w:tmpl w:val="67E2C2F6"/>
    <w:lvl w:ilvl="0" w:tplc="965CD70C">
      <w:start w:val="519"/>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135D29"/>
    <w:multiLevelType w:val="hybridMultilevel"/>
    <w:tmpl w:val="D66EF7FC"/>
    <w:lvl w:ilvl="0" w:tplc="97504E50">
      <w:start w:val="259"/>
      <w:numFmt w:val="decimal"/>
      <w:lvlText w:val="%1."/>
      <w:lvlJc w:val="left"/>
      <w:pPr>
        <w:ind w:left="599" w:hanging="460"/>
      </w:pPr>
      <w:rPr>
        <w:rFonts w:hint="default"/>
      </w:rPr>
    </w:lvl>
    <w:lvl w:ilvl="1" w:tplc="04090019">
      <w:start w:val="1"/>
      <w:numFmt w:val="lowerLetter"/>
      <w:lvlText w:val="%2."/>
      <w:lvlJc w:val="left"/>
      <w:pPr>
        <w:ind w:left="1219" w:hanging="360"/>
      </w:pPr>
    </w:lvl>
    <w:lvl w:ilvl="2" w:tplc="0409001B" w:tentative="1">
      <w:start w:val="1"/>
      <w:numFmt w:val="lowerRoman"/>
      <w:lvlText w:val="%3."/>
      <w:lvlJc w:val="right"/>
      <w:pPr>
        <w:ind w:left="1939" w:hanging="180"/>
      </w:pPr>
    </w:lvl>
    <w:lvl w:ilvl="3" w:tplc="0409000F" w:tentative="1">
      <w:start w:val="1"/>
      <w:numFmt w:val="decimal"/>
      <w:lvlText w:val="%4."/>
      <w:lvlJc w:val="left"/>
      <w:pPr>
        <w:ind w:left="2659" w:hanging="360"/>
      </w:pPr>
    </w:lvl>
    <w:lvl w:ilvl="4" w:tplc="04090019" w:tentative="1">
      <w:start w:val="1"/>
      <w:numFmt w:val="lowerLetter"/>
      <w:lvlText w:val="%5."/>
      <w:lvlJc w:val="left"/>
      <w:pPr>
        <w:ind w:left="3379" w:hanging="360"/>
      </w:pPr>
    </w:lvl>
    <w:lvl w:ilvl="5" w:tplc="0409001B" w:tentative="1">
      <w:start w:val="1"/>
      <w:numFmt w:val="lowerRoman"/>
      <w:lvlText w:val="%6."/>
      <w:lvlJc w:val="right"/>
      <w:pPr>
        <w:ind w:left="4099" w:hanging="180"/>
      </w:pPr>
    </w:lvl>
    <w:lvl w:ilvl="6" w:tplc="0409000F" w:tentative="1">
      <w:start w:val="1"/>
      <w:numFmt w:val="decimal"/>
      <w:lvlText w:val="%7."/>
      <w:lvlJc w:val="left"/>
      <w:pPr>
        <w:ind w:left="4819" w:hanging="360"/>
      </w:pPr>
    </w:lvl>
    <w:lvl w:ilvl="7" w:tplc="04090019" w:tentative="1">
      <w:start w:val="1"/>
      <w:numFmt w:val="lowerLetter"/>
      <w:lvlText w:val="%8."/>
      <w:lvlJc w:val="left"/>
      <w:pPr>
        <w:ind w:left="5539" w:hanging="360"/>
      </w:pPr>
    </w:lvl>
    <w:lvl w:ilvl="8" w:tplc="0409001B" w:tentative="1">
      <w:start w:val="1"/>
      <w:numFmt w:val="lowerRoman"/>
      <w:lvlText w:val="%9."/>
      <w:lvlJc w:val="right"/>
      <w:pPr>
        <w:ind w:left="6259" w:hanging="180"/>
      </w:pPr>
    </w:lvl>
  </w:abstractNum>
  <w:abstractNum w:abstractNumId="8">
    <w:nsid w:val="27D72BD9"/>
    <w:multiLevelType w:val="hybridMultilevel"/>
    <w:tmpl w:val="9E7EC2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857808"/>
    <w:multiLevelType w:val="hybridMultilevel"/>
    <w:tmpl w:val="79343A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F64EE5"/>
    <w:multiLevelType w:val="hybridMultilevel"/>
    <w:tmpl w:val="BD76E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821117"/>
    <w:multiLevelType w:val="hybridMultilevel"/>
    <w:tmpl w:val="E268673A"/>
    <w:lvl w:ilvl="0" w:tplc="9392BC3C">
      <w:start w:val="4"/>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C17A77"/>
    <w:multiLevelType w:val="hybridMultilevel"/>
    <w:tmpl w:val="88709700"/>
    <w:lvl w:ilvl="0" w:tplc="D3FE663C">
      <w:start w:val="366"/>
      <w:numFmt w:val="decimal"/>
      <w:lvlText w:val="%1."/>
      <w:lvlJc w:val="left"/>
      <w:pPr>
        <w:ind w:left="718" w:hanging="460"/>
      </w:pPr>
      <w:rPr>
        <w:rFonts w:hint="default"/>
      </w:rPr>
    </w:lvl>
    <w:lvl w:ilvl="1" w:tplc="04090019">
      <w:start w:val="1"/>
      <w:numFmt w:val="lowerLetter"/>
      <w:lvlText w:val="%2."/>
      <w:lvlJc w:val="left"/>
      <w:pPr>
        <w:ind w:left="1338" w:hanging="360"/>
      </w:pPr>
    </w:lvl>
    <w:lvl w:ilvl="2" w:tplc="0409001B" w:tentative="1">
      <w:start w:val="1"/>
      <w:numFmt w:val="lowerRoman"/>
      <w:lvlText w:val="%3."/>
      <w:lvlJc w:val="right"/>
      <w:pPr>
        <w:ind w:left="2058" w:hanging="180"/>
      </w:pPr>
    </w:lvl>
    <w:lvl w:ilvl="3" w:tplc="0409000F" w:tentative="1">
      <w:start w:val="1"/>
      <w:numFmt w:val="decimal"/>
      <w:lvlText w:val="%4."/>
      <w:lvlJc w:val="left"/>
      <w:pPr>
        <w:ind w:left="2778" w:hanging="360"/>
      </w:pPr>
    </w:lvl>
    <w:lvl w:ilvl="4" w:tplc="04090019" w:tentative="1">
      <w:start w:val="1"/>
      <w:numFmt w:val="lowerLetter"/>
      <w:lvlText w:val="%5."/>
      <w:lvlJc w:val="left"/>
      <w:pPr>
        <w:ind w:left="3498" w:hanging="360"/>
      </w:pPr>
    </w:lvl>
    <w:lvl w:ilvl="5" w:tplc="0409001B" w:tentative="1">
      <w:start w:val="1"/>
      <w:numFmt w:val="lowerRoman"/>
      <w:lvlText w:val="%6."/>
      <w:lvlJc w:val="right"/>
      <w:pPr>
        <w:ind w:left="4218" w:hanging="180"/>
      </w:pPr>
    </w:lvl>
    <w:lvl w:ilvl="6" w:tplc="0409000F" w:tentative="1">
      <w:start w:val="1"/>
      <w:numFmt w:val="decimal"/>
      <w:lvlText w:val="%7."/>
      <w:lvlJc w:val="left"/>
      <w:pPr>
        <w:ind w:left="4938" w:hanging="360"/>
      </w:pPr>
    </w:lvl>
    <w:lvl w:ilvl="7" w:tplc="04090019" w:tentative="1">
      <w:start w:val="1"/>
      <w:numFmt w:val="lowerLetter"/>
      <w:lvlText w:val="%8."/>
      <w:lvlJc w:val="left"/>
      <w:pPr>
        <w:ind w:left="5658" w:hanging="360"/>
      </w:pPr>
    </w:lvl>
    <w:lvl w:ilvl="8" w:tplc="0409001B" w:tentative="1">
      <w:start w:val="1"/>
      <w:numFmt w:val="lowerRoman"/>
      <w:lvlText w:val="%9."/>
      <w:lvlJc w:val="right"/>
      <w:pPr>
        <w:ind w:left="6378" w:hanging="180"/>
      </w:pPr>
    </w:lvl>
  </w:abstractNum>
  <w:abstractNum w:abstractNumId="13">
    <w:nsid w:val="2EC32EAB"/>
    <w:multiLevelType w:val="multilevel"/>
    <w:tmpl w:val="C4B86D04"/>
    <w:lvl w:ilvl="0">
      <w:start w:val="1"/>
      <w:numFmt w:val="decimal"/>
      <w:pStyle w:val="1"/>
      <w:lvlText w:val="%1"/>
      <w:lvlJc w:val="left"/>
      <w:pPr>
        <w:tabs>
          <w:tab w:val="num" w:pos="567"/>
        </w:tabs>
        <w:ind w:left="567" w:hanging="567"/>
      </w:pPr>
      <w:rPr>
        <w:rFonts w:ascii="Arial" w:hAnsi="Arial" w:cs="Arial" w:hint="default"/>
        <w:b w:val="0"/>
        <w:i w:val="0"/>
        <w:sz w:val="24"/>
        <w:szCs w:val="24"/>
      </w:rPr>
    </w:lvl>
    <w:lvl w:ilvl="1">
      <w:start w:val="1"/>
      <w:numFmt w:val="decimal"/>
      <w:pStyle w:val="2"/>
      <w:lvlText w:val="%1.%2"/>
      <w:lvlJc w:val="left"/>
      <w:pPr>
        <w:tabs>
          <w:tab w:val="num" w:pos="1247"/>
        </w:tabs>
        <w:ind w:left="1247" w:hanging="680"/>
      </w:pPr>
      <w:rPr>
        <w:rFonts w:hint="default"/>
        <w:i w:val="0"/>
      </w:rPr>
    </w:lvl>
    <w:lvl w:ilvl="2">
      <w:start w:val="1"/>
      <w:numFmt w:val="decimal"/>
      <w:pStyle w:val="3"/>
      <w:lvlText w:val="%1.%2.%3"/>
      <w:lvlJc w:val="left"/>
      <w:pPr>
        <w:tabs>
          <w:tab w:val="num" w:pos="2155"/>
        </w:tabs>
        <w:ind w:left="2155" w:hanging="908"/>
      </w:pPr>
      <w:rPr>
        <w:rFonts w:hint="default"/>
      </w:rPr>
    </w:lvl>
    <w:lvl w:ilvl="3">
      <w:start w:val="1"/>
      <w:numFmt w:val="lowerLetter"/>
      <w:pStyle w:val="4"/>
      <w:lvlText w:val="(%4)"/>
      <w:lvlJc w:val="left"/>
      <w:pPr>
        <w:tabs>
          <w:tab w:val="num" w:pos="2552"/>
        </w:tabs>
        <w:ind w:left="2552" w:hanging="397"/>
      </w:pPr>
      <w:rPr>
        <w:rFonts w:hint="default"/>
      </w:rPr>
    </w:lvl>
    <w:lvl w:ilvl="4">
      <w:start w:val="1"/>
      <w:numFmt w:val="lowerRoman"/>
      <w:pStyle w:val="5"/>
      <w:lvlText w:val="(%5)"/>
      <w:lvlJc w:val="left"/>
      <w:pPr>
        <w:tabs>
          <w:tab w:val="num" w:pos="3119"/>
        </w:tabs>
        <w:ind w:left="3119" w:hanging="567"/>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306427A9"/>
    <w:multiLevelType w:val="hybridMultilevel"/>
    <w:tmpl w:val="77741BC0"/>
    <w:lvl w:ilvl="0" w:tplc="04090019">
      <w:start w:val="1"/>
      <w:numFmt w:val="lowerLetter"/>
      <w:lvlText w:val="%1."/>
      <w:lvlJc w:val="left"/>
      <w:pPr>
        <w:ind w:left="1219" w:hanging="360"/>
      </w:pPr>
    </w:lvl>
    <w:lvl w:ilvl="1" w:tplc="04090019" w:tentative="1">
      <w:start w:val="1"/>
      <w:numFmt w:val="lowerLetter"/>
      <w:lvlText w:val="%2."/>
      <w:lvlJc w:val="left"/>
      <w:pPr>
        <w:ind w:left="1939" w:hanging="360"/>
      </w:pPr>
    </w:lvl>
    <w:lvl w:ilvl="2" w:tplc="0409001B" w:tentative="1">
      <w:start w:val="1"/>
      <w:numFmt w:val="lowerRoman"/>
      <w:lvlText w:val="%3."/>
      <w:lvlJc w:val="right"/>
      <w:pPr>
        <w:ind w:left="2659" w:hanging="180"/>
      </w:pPr>
    </w:lvl>
    <w:lvl w:ilvl="3" w:tplc="0409000F" w:tentative="1">
      <w:start w:val="1"/>
      <w:numFmt w:val="decimal"/>
      <w:lvlText w:val="%4."/>
      <w:lvlJc w:val="left"/>
      <w:pPr>
        <w:ind w:left="3379" w:hanging="360"/>
      </w:pPr>
    </w:lvl>
    <w:lvl w:ilvl="4" w:tplc="04090019" w:tentative="1">
      <w:start w:val="1"/>
      <w:numFmt w:val="lowerLetter"/>
      <w:lvlText w:val="%5."/>
      <w:lvlJc w:val="left"/>
      <w:pPr>
        <w:ind w:left="4099" w:hanging="360"/>
      </w:pPr>
    </w:lvl>
    <w:lvl w:ilvl="5" w:tplc="0409001B" w:tentative="1">
      <w:start w:val="1"/>
      <w:numFmt w:val="lowerRoman"/>
      <w:lvlText w:val="%6."/>
      <w:lvlJc w:val="right"/>
      <w:pPr>
        <w:ind w:left="4819" w:hanging="180"/>
      </w:pPr>
    </w:lvl>
    <w:lvl w:ilvl="6" w:tplc="0409000F" w:tentative="1">
      <w:start w:val="1"/>
      <w:numFmt w:val="decimal"/>
      <w:lvlText w:val="%7."/>
      <w:lvlJc w:val="left"/>
      <w:pPr>
        <w:ind w:left="5539" w:hanging="360"/>
      </w:pPr>
    </w:lvl>
    <w:lvl w:ilvl="7" w:tplc="04090019" w:tentative="1">
      <w:start w:val="1"/>
      <w:numFmt w:val="lowerLetter"/>
      <w:lvlText w:val="%8."/>
      <w:lvlJc w:val="left"/>
      <w:pPr>
        <w:ind w:left="6259" w:hanging="360"/>
      </w:pPr>
    </w:lvl>
    <w:lvl w:ilvl="8" w:tplc="0409001B" w:tentative="1">
      <w:start w:val="1"/>
      <w:numFmt w:val="lowerRoman"/>
      <w:lvlText w:val="%9."/>
      <w:lvlJc w:val="right"/>
      <w:pPr>
        <w:ind w:left="6979" w:hanging="180"/>
      </w:pPr>
    </w:lvl>
  </w:abstractNum>
  <w:abstractNum w:abstractNumId="15">
    <w:nsid w:val="319B39DC"/>
    <w:multiLevelType w:val="hybridMultilevel"/>
    <w:tmpl w:val="006C7EEC"/>
    <w:lvl w:ilvl="0" w:tplc="1632FC56">
      <w:start w:val="1"/>
      <w:numFmt w:val="decimal"/>
      <w:lvlText w:val="(%1)"/>
      <w:lvlJc w:val="left"/>
      <w:pPr>
        <w:ind w:left="1049" w:hanging="720"/>
      </w:pPr>
      <w:rPr>
        <w:rFonts w:hint="default"/>
        <w:w w:val="105"/>
      </w:rPr>
    </w:lvl>
    <w:lvl w:ilvl="1" w:tplc="1C090019" w:tentative="1">
      <w:start w:val="1"/>
      <w:numFmt w:val="lowerLetter"/>
      <w:lvlText w:val="%2."/>
      <w:lvlJc w:val="left"/>
      <w:pPr>
        <w:ind w:left="1409" w:hanging="360"/>
      </w:pPr>
    </w:lvl>
    <w:lvl w:ilvl="2" w:tplc="1C09001B" w:tentative="1">
      <w:start w:val="1"/>
      <w:numFmt w:val="lowerRoman"/>
      <w:lvlText w:val="%3."/>
      <w:lvlJc w:val="right"/>
      <w:pPr>
        <w:ind w:left="2129" w:hanging="180"/>
      </w:pPr>
    </w:lvl>
    <w:lvl w:ilvl="3" w:tplc="1C09000F" w:tentative="1">
      <w:start w:val="1"/>
      <w:numFmt w:val="decimal"/>
      <w:lvlText w:val="%4."/>
      <w:lvlJc w:val="left"/>
      <w:pPr>
        <w:ind w:left="2849" w:hanging="360"/>
      </w:pPr>
    </w:lvl>
    <w:lvl w:ilvl="4" w:tplc="1C090019" w:tentative="1">
      <w:start w:val="1"/>
      <w:numFmt w:val="lowerLetter"/>
      <w:lvlText w:val="%5."/>
      <w:lvlJc w:val="left"/>
      <w:pPr>
        <w:ind w:left="3569" w:hanging="360"/>
      </w:pPr>
    </w:lvl>
    <w:lvl w:ilvl="5" w:tplc="1C09001B" w:tentative="1">
      <w:start w:val="1"/>
      <w:numFmt w:val="lowerRoman"/>
      <w:lvlText w:val="%6."/>
      <w:lvlJc w:val="right"/>
      <w:pPr>
        <w:ind w:left="4289" w:hanging="180"/>
      </w:pPr>
    </w:lvl>
    <w:lvl w:ilvl="6" w:tplc="1C09000F" w:tentative="1">
      <w:start w:val="1"/>
      <w:numFmt w:val="decimal"/>
      <w:lvlText w:val="%7."/>
      <w:lvlJc w:val="left"/>
      <w:pPr>
        <w:ind w:left="5009" w:hanging="360"/>
      </w:pPr>
    </w:lvl>
    <w:lvl w:ilvl="7" w:tplc="1C090019" w:tentative="1">
      <w:start w:val="1"/>
      <w:numFmt w:val="lowerLetter"/>
      <w:lvlText w:val="%8."/>
      <w:lvlJc w:val="left"/>
      <w:pPr>
        <w:ind w:left="5729" w:hanging="360"/>
      </w:pPr>
    </w:lvl>
    <w:lvl w:ilvl="8" w:tplc="1C09001B" w:tentative="1">
      <w:start w:val="1"/>
      <w:numFmt w:val="lowerRoman"/>
      <w:lvlText w:val="%9."/>
      <w:lvlJc w:val="right"/>
      <w:pPr>
        <w:ind w:left="6449" w:hanging="180"/>
      </w:pPr>
    </w:lvl>
  </w:abstractNum>
  <w:abstractNum w:abstractNumId="16">
    <w:nsid w:val="368015DC"/>
    <w:multiLevelType w:val="hybridMultilevel"/>
    <w:tmpl w:val="F49EF186"/>
    <w:lvl w:ilvl="0" w:tplc="B1E4EEA0">
      <w:start w:val="151"/>
      <w:numFmt w:val="decimal"/>
      <w:lvlText w:val="%1."/>
      <w:lvlJc w:val="left"/>
      <w:pPr>
        <w:ind w:left="899" w:hanging="420"/>
      </w:pPr>
      <w:rPr>
        <w:rFonts w:hint="default"/>
        <w:i w:val="0"/>
      </w:r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17">
    <w:nsid w:val="3B6003CA"/>
    <w:multiLevelType w:val="hybridMultilevel"/>
    <w:tmpl w:val="475E67F8"/>
    <w:lvl w:ilvl="0" w:tplc="04090019">
      <w:start w:val="1"/>
      <w:numFmt w:val="lowerLetter"/>
      <w:lvlText w:val="%1."/>
      <w:lvlJc w:val="left"/>
      <w:pPr>
        <w:ind w:left="540" w:hanging="360"/>
      </w:pPr>
      <w:rPr>
        <w:rFonts w:hint="default"/>
      </w:rPr>
    </w:lvl>
    <w:lvl w:ilvl="1" w:tplc="04090019">
      <w:start w:val="1"/>
      <w:numFmt w:val="lowerLetter"/>
      <w:lvlText w:val="%2."/>
      <w:lvlJc w:val="left"/>
      <w:pPr>
        <w:ind w:left="1440" w:hanging="360"/>
      </w:pPr>
    </w:lvl>
    <w:lvl w:ilvl="2" w:tplc="2FA08718">
      <w:start w:val="1"/>
      <w:numFmt w:val="lowerRoman"/>
      <w:lvlText w:val="%3."/>
      <w:lvlJc w:val="right"/>
      <w:pPr>
        <w:ind w:left="1584" w:firstLine="288"/>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9F0414"/>
    <w:multiLevelType w:val="hybridMultilevel"/>
    <w:tmpl w:val="DFFE9466"/>
    <w:lvl w:ilvl="0" w:tplc="554A5CE2">
      <w:start w:val="3"/>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9">
    <w:nsid w:val="3DD00708"/>
    <w:multiLevelType w:val="hybridMultilevel"/>
    <w:tmpl w:val="9BC662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E25E38"/>
    <w:multiLevelType w:val="hybridMultilevel"/>
    <w:tmpl w:val="64E40CF8"/>
    <w:lvl w:ilvl="0" w:tplc="04090013">
      <w:start w:val="1"/>
      <w:numFmt w:val="upperRoman"/>
      <w:lvlText w:val="%1."/>
      <w:lvlJc w:val="righ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nsid w:val="4B007E45"/>
    <w:multiLevelType w:val="hybridMultilevel"/>
    <w:tmpl w:val="F4C4B05E"/>
    <w:lvl w:ilvl="0" w:tplc="40AC6938">
      <w:start w:val="493"/>
      <w:numFmt w:val="decimal"/>
      <w:lvlText w:val="%1."/>
      <w:lvlJc w:val="left"/>
      <w:pPr>
        <w:ind w:left="718" w:hanging="460"/>
      </w:pPr>
      <w:rPr>
        <w:rFonts w:hint="default"/>
        <w:sz w:val="24"/>
      </w:rPr>
    </w:lvl>
    <w:lvl w:ilvl="1" w:tplc="04090019" w:tentative="1">
      <w:start w:val="1"/>
      <w:numFmt w:val="lowerLetter"/>
      <w:lvlText w:val="%2."/>
      <w:lvlJc w:val="left"/>
      <w:pPr>
        <w:ind w:left="1338" w:hanging="360"/>
      </w:pPr>
    </w:lvl>
    <w:lvl w:ilvl="2" w:tplc="0409001B" w:tentative="1">
      <w:start w:val="1"/>
      <w:numFmt w:val="lowerRoman"/>
      <w:lvlText w:val="%3."/>
      <w:lvlJc w:val="right"/>
      <w:pPr>
        <w:ind w:left="2058" w:hanging="180"/>
      </w:pPr>
    </w:lvl>
    <w:lvl w:ilvl="3" w:tplc="0409000F" w:tentative="1">
      <w:start w:val="1"/>
      <w:numFmt w:val="decimal"/>
      <w:lvlText w:val="%4."/>
      <w:lvlJc w:val="left"/>
      <w:pPr>
        <w:ind w:left="2778" w:hanging="360"/>
      </w:pPr>
    </w:lvl>
    <w:lvl w:ilvl="4" w:tplc="04090019" w:tentative="1">
      <w:start w:val="1"/>
      <w:numFmt w:val="lowerLetter"/>
      <w:lvlText w:val="%5."/>
      <w:lvlJc w:val="left"/>
      <w:pPr>
        <w:ind w:left="3498" w:hanging="360"/>
      </w:pPr>
    </w:lvl>
    <w:lvl w:ilvl="5" w:tplc="0409001B" w:tentative="1">
      <w:start w:val="1"/>
      <w:numFmt w:val="lowerRoman"/>
      <w:lvlText w:val="%6."/>
      <w:lvlJc w:val="right"/>
      <w:pPr>
        <w:ind w:left="4218" w:hanging="180"/>
      </w:pPr>
    </w:lvl>
    <w:lvl w:ilvl="6" w:tplc="0409000F" w:tentative="1">
      <w:start w:val="1"/>
      <w:numFmt w:val="decimal"/>
      <w:lvlText w:val="%7."/>
      <w:lvlJc w:val="left"/>
      <w:pPr>
        <w:ind w:left="4938" w:hanging="360"/>
      </w:pPr>
    </w:lvl>
    <w:lvl w:ilvl="7" w:tplc="04090019" w:tentative="1">
      <w:start w:val="1"/>
      <w:numFmt w:val="lowerLetter"/>
      <w:lvlText w:val="%8."/>
      <w:lvlJc w:val="left"/>
      <w:pPr>
        <w:ind w:left="5658" w:hanging="360"/>
      </w:pPr>
    </w:lvl>
    <w:lvl w:ilvl="8" w:tplc="0409001B" w:tentative="1">
      <w:start w:val="1"/>
      <w:numFmt w:val="lowerRoman"/>
      <w:lvlText w:val="%9."/>
      <w:lvlJc w:val="right"/>
      <w:pPr>
        <w:ind w:left="6378" w:hanging="180"/>
      </w:pPr>
    </w:lvl>
  </w:abstractNum>
  <w:abstractNum w:abstractNumId="22">
    <w:nsid w:val="4DFD1FE5"/>
    <w:multiLevelType w:val="hybridMultilevel"/>
    <w:tmpl w:val="555ADF8E"/>
    <w:lvl w:ilvl="0" w:tplc="A804361C">
      <w:start w:val="493"/>
      <w:numFmt w:val="decimal"/>
      <w:lvlText w:val="%1."/>
      <w:lvlJc w:val="left"/>
      <w:pPr>
        <w:ind w:left="798" w:hanging="540"/>
      </w:pPr>
      <w:rPr>
        <w:rFonts w:hint="default"/>
      </w:rPr>
    </w:lvl>
    <w:lvl w:ilvl="1" w:tplc="04090019" w:tentative="1">
      <w:start w:val="1"/>
      <w:numFmt w:val="lowerLetter"/>
      <w:lvlText w:val="%2."/>
      <w:lvlJc w:val="left"/>
      <w:pPr>
        <w:ind w:left="1338" w:hanging="360"/>
      </w:pPr>
    </w:lvl>
    <w:lvl w:ilvl="2" w:tplc="0409001B" w:tentative="1">
      <w:start w:val="1"/>
      <w:numFmt w:val="lowerRoman"/>
      <w:lvlText w:val="%3."/>
      <w:lvlJc w:val="right"/>
      <w:pPr>
        <w:ind w:left="2058" w:hanging="180"/>
      </w:pPr>
    </w:lvl>
    <w:lvl w:ilvl="3" w:tplc="0409000F" w:tentative="1">
      <w:start w:val="1"/>
      <w:numFmt w:val="decimal"/>
      <w:lvlText w:val="%4."/>
      <w:lvlJc w:val="left"/>
      <w:pPr>
        <w:ind w:left="2778" w:hanging="360"/>
      </w:pPr>
    </w:lvl>
    <w:lvl w:ilvl="4" w:tplc="04090019" w:tentative="1">
      <w:start w:val="1"/>
      <w:numFmt w:val="lowerLetter"/>
      <w:lvlText w:val="%5."/>
      <w:lvlJc w:val="left"/>
      <w:pPr>
        <w:ind w:left="3498" w:hanging="360"/>
      </w:pPr>
    </w:lvl>
    <w:lvl w:ilvl="5" w:tplc="0409001B" w:tentative="1">
      <w:start w:val="1"/>
      <w:numFmt w:val="lowerRoman"/>
      <w:lvlText w:val="%6."/>
      <w:lvlJc w:val="right"/>
      <w:pPr>
        <w:ind w:left="4218" w:hanging="180"/>
      </w:pPr>
    </w:lvl>
    <w:lvl w:ilvl="6" w:tplc="0409000F" w:tentative="1">
      <w:start w:val="1"/>
      <w:numFmt w:val="decimal"/>
      <w:lvlText w:val="%7."/>
      <w:lvlJc w:val="left"/>
      <w:pPr>
        <w:ind w:left="4938" w:hanging="360"/>
      </w:pPr>
    </w:lvl>
    <w:lvl w:ilvl="7" w:tplc="04090019" w:tentative="1">
      <w:start w:val="1"/>
      <w:numFmt w:val="lowerLetter"/>
      <w:lvlText w:val="%8."/>
      <w:lvlJc w:val="left"/>
      <w:pPr>
        <w:ind w:left="5658" w:hanging="360"/>
      </w:pPr>
    </w:lvl>
    <w:lvl w:ilvl="8" w:tplc="0409001B" w:tentative="1">
      <w:start w:val="1"/>
      <w:numFmt w:val="lowerRoman"/>
      <w:lvlText w:val="%9."/>
      <w:lvlJc w:val="right"/>
      <w:pPr>
        <w:ind w:left="6378" w:hanging="180"/>
      </w:pPr>
    </w:lvl>
  </w:abstractNum>
  <w:abstractNum w:abstractNumId="23">
    <w:nsid w:val="591D79BD"/>
    <w:multiLevelType w:val="hybridMultilevel"/>
    <w:tmpl w:val="FB34B7EA"/>
    <w:lvl w:ilvl="0" w:tplc="5A3AEE3C">
      <w:start w:val="238"/>
      <w:numFmt w:val="decimal"/>
      <w:lvlText w:val="%1."/>
      <w:lvlJc w:val="left"/>
      <w:pPr>
        <w:ind w:left="599" w:hanging="460"/>
      </w:pPr>
      <w:rPr>
        <w:rFonts w:hint="default"/>
      </w:rPr>
    </w:lvl>
    <w:lvl w:ilvl="1" w:tplc="04090019">
      <w:start w:val="1"/>
      <w:numFmt w:val="lowerLetter"/>
      <w:lvlText w:val="%2."/>
      <w:lvlJc w:val="left"/>
      <w:pPr>
        <w:ind w:left="1219" w:hanging="360"/>
      </w:pPr>
    </w:lvl>
    <w:lvl w:ilvl="2" w:tplc="0409001B">
      <w:start w:val="1"/>
      <w:numFmt w:val="lowerRoman"/>
      <w:lvlText w:val="%3."/>
      <w:lvlJc w:val="right"/>
      <w:pPr>
        <w:ind w:left="1939" w:hanging="180"/>
      </w:pPr>
    </w:lvl>
    <w:lvl w:ilvl="3" w:tplc="0409000F" w:tentative="1">
      <w:start w:val="1"/>
      <w:numFmt w:val="decimal"/>
      <w:lvlText w:val="%4."/>
      <w:lvlJc w:val="left"/>
      <w:pPr>
        <w:ind w:left="2659" w:hanging="360"/>
      </w:pPr>
    </w:lvl>
    <w:lvl w:ilvl="4" w:tplc="04090019" w:tentative="1">
      <w:start w:val="1"/>
      <w:numFmt w:val="lowerLetter"/>
      <w:lvlText w:val="%5."/>
      <w:lvlJc w:val="left"/>
      <w:pPr>
        <w:ind w:left="3379" w:hanging="360"/>
      </w:pPr>
    </w:lvl>
    <w:lvl w:ilvl="5" w:tplc="0409001B" w:tentative="1">
      <w:start w:val="1"/>
      <w:numFmt w:val="lowerRoman"/>
      <w:lvlText w:val="%6."/>
      <w:lvlJc w:val="right"/>
      <w:pPr>
        <w:ind w:left="4099" w:hanging="180"/>
      </w:pPr>
    </w:lvl>
    <w:lvl w:ilvl="6" w:tplc="0409000F" w:tentative="1">
      <w:start w:val="1"/>
      <w:numFmt w:val="decimal"/>
      <w:lvlText w:val="%7."/>
      <w:lvlJc w:val="left"/>
      <w:pPr>
        <w:ind w:left="4819" w:hanging="360"/>
      </w:pPr>
    </w:lvl>
    <w:lvl w:ilvl="7" w:tplc="04090019" w:tentative="1">
      <w:start w:val="1"/>
      <w:numFmt w:val="lowerLetter"/>
      <w:lvlText w:val="%8."/>
      <w:lvlJc w:val="left"/>
      <w:pPr>
        <w:ind w:left="5539" w:hanging="360"/>
      </w:pPr>
    </w:lvl>
    <w:lvl w:ilvl="8" w:tplc="0409001B" w:tentative="1">
      <w:start w:val="1"/>
      <w:numFmt w:val="lowerRoman"/>
      <w:lvlText w:val="%9."/>
      <w:lvlJc w:val="right"/>
      <w:pPr>
        <w:ind w:left="6259" w:hanging="180"/>
      </w:pPr>
    </w:lvl>
  </w:abstractNum>
  <w:abstractNum w:abstractNumId="24">
    <w:nsid w:val="5C1B4CFD"/>
    <w:multiLevelType w:val="hybridMultilevel"/>
    <w:tmpl w:val="4162D3C6"/>
    <w:lvl w:ilvl="0" w:tplc="8FF8A826">
      <w:start w:val="73"/>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D600556"/>
    <w:multiLevelType w:val="hybridMultilevel"/>
    <w:tmpl w:val="7DA6F11E"/>
    <w:lvl w:ilvl="0" w:tplc="04090019">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E2754B7"/>
    <w:multiLevelType w:val="hybridMultilevel"/>
    <w:tmpl w:val="F404E2CC"/>
    <w:lvl w:ilvl="0" w:tplc="8680830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520FA4"/>
    <w:multiLevelType w:val="hybridMultilevel"/>
    <w:tmpl w:val="831C5FF2"/>
    <w:lvl w:ilvl="0" w:tplc="36D0409C">
      <w:start w:val="2"/>
      <w:numFmt w:val="lowerLetter"/>
      <w:lvlText w:val="(%1)"/>
      <w:lvlJc w:val="left"/>
      <w:pPr>
        <w:ind w:left="2181" w:hanging="569"/>
      </w:pPr>
      <w:rPr>
        <w:rFonts w:ascii="Arial" w:eastAsia="Arial" w:hAnsi="Arial" w:cs="Arial" w:hint="default"/>
        <w:i/>
        <w:iCs/>
        <w:spacing w:val="-1"/>
        <w:w w:val="100"/>
        <w:sz w:val="22"/>
        <w:szCs w:val="22"/>
        <w:lang w:val="en-US" w:eastAsia="en-US" w:bidi="ar-SA"/>
      </w:rPr>
    </w:lvl>
    <w:lvl w:ilvl="1" w:tplc="1904183C">
      <w:start w:val="1"/>
      <w:numFmt w:val="lowerRoman"/>
      <w:lvlText w:val="(%2)"/>
      <w:lvlJc w:val="left"/>
      <w:pPr>
        <w:ind w:left="3359" w:hanging="720"/>
      </w:pPr>
      <w:rPr>
        <w:rFonts w:ascii="Arial" w:eastAsia="Arial" w:hAnsi="Arial" w:cs="Arial" w:hint="default"/>
        <w:i/>
        <w:iCs/>
        <w:spacing w:val="-2"/>
        <w:w w:val="100"/>
        <w:sz w:val="22"/>
        <w:szCs w:val="22"/>
        <w:lang w:val="en-US" w:eastAsia="en-US" w:bidi="ar-SA"/>
      </w:rPr>
    </w:lvl>
    <w:lvl w:ilvl="2" w:tplc="F468E010">
      <w:numFmt w:val="bullet"/>
      <w:lvlText w:val="•"/>
      <w:lvlJc w:val="left"/>
      <w:pPr>
        <w:ind w:left="4134" w:hanging="720"/>
      </w:pPr>
      <w:rPr>
        <w:rFonts w:hint="default"/>
        <w:lang w:val="en-US" w:eastAsia="en-US" w:bidi="ar-SA"/>
      </w:rPr>
    </w:lvl>
    <w:lvl w:ilvl="3" w:tplc="77124BFC">
      <w:numFmt w:val="bullet"/>
      <w:lvlText w:val="•"/>
      <w:lvlJc w:val="left"/>
      <w:pPr>
        <w:ind w:left="4908" w:hanging="720"/>
      </w:pPr>
      <w:rPr>
        <w:rFonts w:hint="default"/>
        <w:lang w:val="en-US" w:eastAsia="en-US" w:bidi="ar-SA"/>
      </w:rPr>
    </w:lvl>
    <w:lvl w:ilvl="4" w:tplc="7B087E02">
      <w:numFmt w:val="bullet"/>
      <w:lvlText w:val="•"/>
      <w:lvlJc w:val="left"/>
      <w:pPr>
        <w:ind w:left="5682" w:hanging="720"/>
      </w:pPr>
      <w:rPr>
        <w:rFonts w:hint="default"/>
        <w:lang w:val="en-US" w:eastAsia="en-US" w:bidi="ar-SA"/>
      </w:rPr>
    </w:lvl>
    <w:lvl w:ilvl="5" w:tplc="B5122314">
      <w:numFmt w:val="bullet"/>
      <w:lvlText w:val="•"/>
      <w:lvlJc w:val="left"/>
      <w:pPr>
        <w:ind w:left="6456" w:hanging="720"/>
      </w:pPr>
      <w:rPr>
        <w:rFonts w:hint="default"/>
        <w:lang w:val="en-US" w:eastAsia="en-US" w:bidi="ar-SA"/>
      </w:rPr>
    </w:lvl>
    <w:lvl w:ilvl="6" w:tplc="2CE0134C">
      <w:numFmt w:val="bullet"/>
      <w:lvlText w:val="•"/>
      <w:lvlJc w:val="left"/>
      <w:pPr>
        <w:ind w:left="7230" w:hanging="720"/>
      </w:pPr>
      <w:rPr>
        <w:rFonts w:hint="default"/>
        <w:lang w:val="en-US" w:eastAsia="en-US" w:bidi="ar-SA"/>
      </w:rPr>
    </w:lvl>
    <w:lvl w:ilvl="7" w:tplc="B27CE822">
      <w:numFmt w:val="bullet"/>
      <w:lvlText w:val="•"/>
      <w:lvlJc w:val="left"/>
      <w:pPr>
        <w:ind w:left="8004" w:hanging="720"/>
      </w:pPr>
      <w:rPr>
        <w:rFonts w:hint="default"/>
        <w:lang w:val="en-US" w:eastAsia="en-US" w:bidi="ar-SA"/>
      </w:rPr>
    </w:lvl>
    <w:lvl w:ilvl="8" w:tplc="233AC44C">
      <w:numFmt w:val="bullet"/>
      <w:lvlText w:val="•"/>
      <w:lvlJc w:val="left"/>
      <w:pPr>
        <w:ind w:left="8778" w:hanging="720"/>
      </w:pPr>
      <w:rPr>
        <w:rFonts w:hint="default"/>
        <w:lang w:val="en-US" w:eastAsia="en-US" w:bidi="ar-SA"/>
      </w:rPr>
    </w:lvl>
  </w:abstractNum>
  <w:abstractNum w:abstractNumId="28">
    <w:nsid w:val="60F734E1"/>
    <w:multiLevelType w:val="hybridMultilevel"/>
    <w:tmpl w:val="D970470A"/>
    <w:lvl w:ilvl="0" w:tplc="B4D00D44">
      <w:start w:val="1"/>
      <w:numFmt w:val="decimal"/>
      <w:lvlText w:val="(%1)"/>
      <w:lvlJc w:val="left"/>
      <w:pPr>
        <w:ind w:left="116" w:hanging="242"/>
        <w:jc w:val="left"/>
      </w:pPr>
      <w:rPr>
        <w:rFonts w:ascii="Verdana" w:eastAsia="Verdana" w:hAnsi="Verdana" w:cs="Verdana" w:hint="default"/>
        <w:spacing w:val="0"/>
        <w:w w:val="102"/>
        <w:sz w:val="12"/>
        <w:szCs w:val="12"/>
        <w:lang w:val="en-US" w:eastAsia="en-US" w:bidi="ar-SA"/>
      </w:rPr>
    </w:lvl>
    <w:lvl w:ilvl="1" w:tplc="6DD88C54">
      <w:start w:val="1"/>
      <w:numFmt w:val="lowerLetter"/>
      <w:lvlText w:val="(%2)"/>
      <w:lvlJc w:val="left"/>
      <w:pPr>
        <w:ind w:left="757" w:hanging="327"/>
        <w:jc w:val="left"/>
      </w:pPr>
      <w:rPr>
        <w:rFonts w:ascii="Verdana" w:eastAsia="Verdana" w:hAnsi="Verdana" w:cs="Verdana" w:hint="default"/>
        <w:i/>
        <w:iCs/>
        <w:spacing w:val="0"/>
        <w:w w:val="102"/>
        <w:sz w:val="12"/>
        <w:szCs w:val="12"/>
        <w:lang w:val="en-US" w:eastAsia="en-US" w:bidi="ar-SA"/>
      </w:rPr>
    </w:lvl>
    <w:lvl w:ilvl="2" w:tplc="E3388A10">
      <w:start w:val="1"/>
      <w:numFmt w:val="lowerRoman"/>
      <w:lvlText w:val="(%3)"/>
      <w:lvlJc w:val="left"/>
      <w:pPr>
        <w:ind w:left="1311" w:hanging="241"/>
        <w:jc w:val="left"/>
      </w:pPr>
      <w:rPr>
        <w:rFonts w:ascii="Verdana" w:eastAsia="Verdana" w:hAnsi="Verdana" w:cs="Verdana" w:hint="default"/>
        <w:spacing w:val="0"/>
        <w:w w:val="102"/>
        <w:sz w:val="12"/>
        <w:szCs w:val="12"/>
        <w:lang w:val="en-US" w:eastAsia="en-US" w:bidi="ar-SA"/>
      </w:rPr>
    </w:lvl>
    <w:lvl w:ilvl="3" w:tplc="1AA21628">
      <w:numFmt w:val="bullet"/>
      <w:lvlText w:val="•"/>
      <w:lvlJc w:val="left"/>
      <w:pPr>
        <w:ind w:left="2537" w:hanging="241"/>
      </w:pPr>
      <w:rPr>
        <w:rFonts w:hint="default"/>
        <w:lang w:val="en-US" w:eastAsia="en-US" w:bidi="ar-SA"/>
      </w:rPr>
    </w:lvl>
    <w:lvl w:ilvl="4" w:tplc="3BBAAA2A">
      <w:numFmt w:val="bullet"/>
      <w:lvlText w:val="•"/>
      <w:lvlJc w:val="left"/>
      <w:pPr>
        <w:ind w:left="3755" w:hanging="241"/>
      </w:pPr>
      <w:rPr>
        <w:rFonts w:hint="default"/>
        <w:lang w:val="en-US" w:eastAsia="en-US" w:bidi="ar-SA"/>
      </w:rPr>
    </w:lvl>
    <w:lvl w:ilvl="5" w:tplc="8D125D56">
      <w:numFmt w:val="bullet"/>
      <w:lvlText w:val="•"/>
      <w:lvlJc w:val="left"/>
      <w:pPr>
        <w:ind w:left="4972" w:hanging="241"/>
      </w:pPr>
      <w:rPr>
        <w:rFonts w:hint="default"/>
        <w:lang w:val="en-US" w:eastAsia="en-US" w:bidi="ar-SA"/>
      </w:rPr>
    </w:lvl>
    <w:lvl w:ilvl="6" w:tplc="09066428">
      <w:numFmt w:val="bullet"/>
      <w:lvlText w:val="•"/>
      <w:lvlJc w:val="left"/>
      <w:pPr>
        <w:ind w:left="6190" w:hanging="241"/>
      </w:pPr>
      <w:rPr>
        <w:rFonts w:hint="default"/>
        <w:lang w:val="en-US" w:eastAsia="en-US" w:bidi="ar-SA"/>
      </w:rPr>
    </w:lvl>
    <w:lvl w:ilvl="7" w:tplc="CD500E18">
      <w:numFmt w:val="bullet"/>
      <w:lvlText w:val="•"/>
      <w:lvlJc w:val="left"/>
      <w:pPr>
        <w:ind w:left="7407" w:hanging="241"/>
      </w:pPr>
      <w:rPr>
        <w:rFonts w:hint="default"/>
        <w:lang w:val="en-US" w:eastAsia="en-US" w:bidi="ar-SA"/>
      </w:rPr>
    </w:lvl>
    <w:lvl w:ilvl="8" w:tplc="1960BDA4">
      <w:numFmt w:val="bullet"/>
      <w:lvlText w:val="•"/>
      <w:lvlJc w:val="left"/>
      <w:pPr>
        <w:ind w:left="8625" w:hanging="241"/>
      </w:pPr>
      <w:rPr>
        <w:rFonts w:hint="default"/>
        <w:lang w:val="en-US" w:eastAsia="en-US" w:bidi="ar-SA"/>
      </w:rPr>
    </w:lvl>
  </w:abstractNum>
  <w:abstractNum w:abstractNumId="29">
    <w:nsid w:val="7091339B"/>
    <w:multiLevelType w:val="hybridMultilevel"/>
    <w:tmpl w:val="02F27766"/>
    <w:lvl w:ilvl="0" w:tplc="ED349706">
      <w:start w:val="1"/>
      <w:numFmt w:val="upperRoman"/>
      <w:lvlText w:val="%1."/>
      <w:lvlJc w:val="left"/>
      <w:pPr>
        <w:ind w:left="1220" w:hanging="720"/>
      </w:pPr>
      <w:rPr>
        <w:rFonts w:ascii="Arial" w:eastAsia="Arial" w:hAnsi="Arial" w:cs="Arial" w:hint="default"/>
        <w:b/>
        <w:bCs/>
        <w:w w:val="100"/>
        <w:sz w:val="24"/>
        <w:szCs w:val="24"/>
        <w:lang w:val="en-US" w:eastAsia="en-US" w:bidi="ar-SA"/>
      </w:rPr>
    </w:lvl>
    <w:lvl w:ilvl="1" w:tplc="52B0BE3A">
      <w:numFmt w:val="bullet"/>
      <w:lvlText w:val="•"/>
      <w:lvlJc w:val="left"/>
      <w:pPr>
        <w:ind w:left="2070" w:hanging="720"/>
      </w:pPr>
      <w:rPr>
        <w:rFonts w:hint="default"/>
        <w:lang w:val="en-US" w:eastAsia="en-US" w:bidi="ar-SA"/>
      </w:rPr>
    </w:lvl>
    <w:lvl w:ilvl="2" w:tplc="54A4B23A">
      <w:numFmt w:val="bullet"/>
      <w:lvlText w:val="•"/>
      <w:lvlJc w:val="left"/>
      <w:pPr>
        <w:ind w:left="2921" w:hanging="720"/>
      </w:pPr>
      <w:rPr>
        <w:rFonts w:hint="default"/>
        <w:lang w:val="en-US" w:eastAsia="en-US" w:bidi="ar-SA"/>
      </w:rPr>
    </w:lvl>
    <w:lvl w:ilvl="3" w:tplc="DF569C70">
      <w:numFmt w:val="bullet"/>
      <w:lvlText w:val="•"/>
      <w:lvlJc w:val="left"/>
      <w:pPr>
        <w:ind w:left="3771" w:hanging="720"/>
      </w:pPr>
      <w:rPr>
        <w:rFonts w:hint="default"/>
        <w:lang w:val="en-US" w:eastAsia="en-US" w:bidi="ar-SA"/>
      </w:rPr>
    </w:lvl>
    <w:lvl w:ilvl="4" w:tplc="DC82F970">
      <w:numFmt w:val="bullet"/>
      <w:lvlText w:val="•"/>
      <w:lvlJc w:val="left"/>
      <w:pPr>
        <w:ind w:left="4622" w:hanging="720"/>
      </w:pPr>
      <w:rPr>
        <w:rFonts w:hint="default"/>
        <w:lang w:val="en-US" w:eastAsia="en-US" w:bidi="ar-SA"/>
      </w:rPr>
    </w:lvl>
    <w:lvl w:ilvl="5" w:tplc="D804BA8C">
      <w:numFmt w:val="bullet"/>
      <w:lvlText w:val="•"/>
      <w:lvlJc w:val="left"/>
      <w:pPr>
        <w:ind w:left="5473" w:hanging="720"/>
      </w:pPr>
      <w:rPr>
        <w:rFonts w:hint="default"/>
        <w:lang w:val="en-US" w:eastAsia="en-US" w:bidi="ar-SA"/>
      </w:rPr>
    </w:lvl>
    <w:lvl w:ilvl="6" w:tplc="FB243770">
      <w:numFmt w:val="bullet"/>
      <w:lvlText w:val="•"/>
      <w:lvlJc w:val="left"/>
      <w:pPr>
        <w:ind w:left="6323" w:hanging="720"/>
      </w:pPr>
      <w:rPr>
        <w:rFonts w:hint="default"/>
        <w:lang w:val="en-US" w:eastAsia="en-US" w:bidi="ar-SA"/>
      </w:rPr>
    </w:lvl>
    <w:lvl w:ilvl="7" w:tplc="483EEFE4">
      <w:numFmt w:val="bullet"/>
      <w:lvlText w:val="•"/>
      <w:lvlJc w:val="left"/>
      <w:pPr>
        <w:ind w:left="7174" w:hanging="720"/>
      </w:pPr>
      <w:rPr>
        <w:rFonts w:hint="default"/>
        <w:lang w:val="en-US" w:eastAsia="en-US" w:bidi="ar-SA"/>
      </w:rPr>
    </w:lvl>
    <w:lvl w:ilvl="8" w:tplc="ABF67FD2">
      <w:numFmt w:val="bullet"/>
      <w:lvlText w:val="•"/>
      <w:lvlJc w:val="left"/>
      <w:pPr>
        <w:ind w:left="8025" w:hanging="720"/>
      </w:pPr>
      <w:rPr>
        <w:rFonts w:hint="default"/>
        <w:lang w:val="en-US" w:eastAsia="en-US" w:bidi="ar-SA"/>
      </w:rPr>
    </w:lvl>
  </w:abstractNum>
  <w:abstractNum w:abstractNumId="30">
    <w:nsid w:val="758005F2"/>
    <w:multiLevelType w:val="hybridMultilevel"/>
    <w:tmpl w:val="2216038A"/>
    <w:lvl w:ilvl="0" w:tplc="9A94B52E">
      <w:start w:val="494"/>
      <w:numFmt w:val="decimal"/>
      <w:lvlText w:val="%1."/>
      <w:lvlJc w:val="left"/>
      <w:pPr>
        <w:ind w:left="540" w:hanging="5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8605FB8"/>
    <w:multiLevelType w:val="hybridMultilevel"/>
    <w:tmpl w:val="FB34B7EA"/>
    <w:lvl w:ilvl="0" w:tplc="5A3AEE3C">
      <w:start w:val="238"/>
      <w:numFmt w:val="decimal"/>
      <w:lvlText w:val="%1."/>
      <w:lvlJc w:val="left"/>
      <w:pPr>
        <w:ind w:left="599" w:hanging="460"/>
      </w:pPr>
      <w:rPr>
        <w:rFonts w:hint="default"/>
      </w:rPr>
    </w:lvl>
    <w:lvl w:ilvl="1" w:tplc="04090019">
      <w:start w:val="1"/>
      <w:numFmt w:val="lowerLetter"/>
      <w:lvlText w:val="%2."/>
      <w:lvlJc w:val="left"/>
      <w:pPr>
        <w:ind w:left="1219" w:hanging="360"/>
      </w:pPr>
    </w:lvl>
    <w:lvl w:ilvl="2" w:tplc="0409001B">
      <w:start w:val="1"/>
      <w:numFmt w:val="lowerRoman"/>
      <w:lvlText w:val="%3."/>
      <w:lvlJc w:val="right"/>
      <w:pPr>
        <w:ind w:left="1939" w:hanging="180"/>
      </w:pPr>
    </w:lvl>
    <w:lvl w:ilvl="3" w:tplc="0409000F" w:tentative="1">
      <w:start w:val="1"/>
      <w:numFmt w:val="decimal"/>
      <w:lvlText w:val="%4."/>
      <w:lvlJc w:val="left"/>
      <w:pPr>
        <w:ind w:left="2659" w:hanging="360"/>
      </w:pPr>
    </w:lvl>
    <w:lvl w:ilvl="4" w:tplc="04090019" w:tentative="1">
      <w:start w:val="1"/>
      <w:numFmt w:val="lowerLetter"/>
      <w:lvlText w:val="%5."/>
      <w:lvlJc w:val="left"/>
      <w:pPr>
        <w:ind w:left="3379" w:hanging="360"/>
      </w:pPr>
    </w:lvl>
    <w:lvl w:ilvl="5" w:tplc="0409001B" w:tentative="1">
      <w:start w:val="1"/>
      <w:numFmt w:val="lowerRoman"/>
      <w:lvlText w:val="%6."/>
      <w:lvlJc w:val="right"/>
      <w:pPr>
        <w:ind w:left="4099" w:hanging="180"/>
      </w:pPr>
    </w:lvl>
    <w:lvl w:ilvl="6" w:tplc="0409000F" w:tentative="1">
      <w:start w:val="1"/>
      <w:numFmt w:val="decimal"/>
      <w:lvlText w:val="%7."/>
      <w:lvlJc w:val="left"/>
      <w:pPr>
        <w:ind w:left="4819" w:hanging="360"/>
      </w:pPr>
    </w:lvl>
    <w:lvl w:ilvl="7" w:tplc="04090019" w:tentative="1">
      <w:start w:val="1"/>
      <w:numFmt w:val="lowerLetter"/>
      <w:lvlText w:val="%8."/>
      <w:lvlJc w:val="left"/>
      <w:pPr>
        <w:ind w:left="5539" w:hanging="360"/>
      </w:pPr>
    </w:lvl>
    <w:lvl w:ilvl="8" w:tplc="0409001B" w:tentative="1">
      <w:start w:val="1"/>
      <w:numFmt w:val="lowerRoman"/>
      <w:lvlText w:val="%9."/>
      <w:lvlJc w:val="right"/>
      <w:pPr>
        <w:ind w:left="6259" w:hanging="180"/>
      </w:pPr>
    </w:lvl>
  </w:abstractNum>
  <w:abstractNum w:abstractNumId="32">
    <w:nsid w:val="78E959F2"/>
    <w:multiLevelType w:val="hybridMultilevel"/>
    <w:tmpl w:val="A2AC258C"/>
    <w:lvl w:ilvl="0" w:tplc="CDBC2FF2">
      <w:start w:val="7"/>
      <w:numFmt w:val="decimal"/>
      <w:lvlText w:val="%1."/>
      <w:lvlJc w:val="left"/>
      <w:pPr>
        <w:ind w:left="810" w:hanging="360"/>
      </w:pPr>
      <w:rPr>
        <w:rFonts w:hint="default"/>
      </w:rPr>
    </w:lvl>
    <w:lvl w:ilvl="1" w:tplc="04090019">
      <w:start w:val="1"/>
      <w:numFmt w:val="lowerLetter"/>
      <w:lvlText w:val="%2."/>
      <w:lvlJc w:val="left"/>
      <w:pPr>
        <w:ind w:left="189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B9D7853"/>
    <w:multiLevelType w:val="hybridMultilevel"/>
    <w:tmpl w:val="E4B8E6BC"/>
    <w:lvl w:ilvl="0" w:tplc="0409001B">
      <w:start w:val="1"/>
      <w:numFmt w:val="lowerRoman"/>
      <w:lvlText w:val="%1."/>
      <w:lvlJc w:val="right"/>
      <w:pPr>
        <w:ind w:left="117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4">
    <w:nsid w:val="7CDF4CC9"/>
    <w:multiLevelType w:val="hybridMultilevel"/>
    <w:tmpl w:val="C8C4B56E"/>
    <w:lvl w:ilvl="0" w:tplc="3B185630">
      <w:start w:val="74"/>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F6C2F39"/>
    <w:multiLevelType w:val="hybridMultilevel"/>
    <w:tmpl w:val="C548CD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3"/>
  </w:num>
  <w:num w:numId="3">
    <w:abstractNumId w:val="4"/>
  </w:num>
  <w:num w:numId="4">
    <w:abstractNumId w:val="32"/>
  </w:num>
  <w:num w:numId="5">
    <w:abstractNumId w:val="10"/>
  </w:num>
  <w:num w:numId="6">
    <w:abstractNumId w:val="1"/>
  </w:num>
  <w:num w:numId="7">
    <w:abstractNumId w:val="27"/>
  </w:num>
  <w:num w:numId="8">
    <w:abstractNumId w:val="34"/>
  </w:num>
  <w:num w:numId="9">
    <w:abstractNumId w:val="20"/>
  </w:num>
  <w:num w:numId="10">
    <w:abstractNumId w:val="16"/>
  </w:num>
  <w:num w:numId="11">
    <w:abstractNumId w:val="31"/>
  </w:num>
  <w:num w:numId="12">
    <w:abstractNumId w:val="23"/>
  </w:num>
  <w:num w:numId="13">
    <w:abstractNumId w:val="2"/>
  </w:num>
  <w:num w:numId="14">
    <w:abstractNumId w:val="29"/>
  </w:num>
  <w:num w:numId="15">
    <w:abstractNumId w:val="7"/>
  </w:num>
  <w:num w:numId="16">
    <w:abstractNumId w:val="31"/>
    <w:lvlOverride w:ilvl="0">
      <w:lvl w:ilvl="0" w:tplc="5A3AEE3C">
        <w:start w:val="238"/>
        <w:numFmt w:val="decimal"/>
        <w:lvlText w:val="%1."/>
        <w:lvlJc w:val="left"/>
        <w:pPr>
          <w:ind w:left="432" w:hanging="293"/>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7">
    <w:abstractNumId w:val="12"/>
  </w:num>
  <w:num w:numId="18">
    <w:abstractNumId w:val="22"/>
  </w:num>
  <w:num w:numId="19">
    <w:abstractNumId w:val="21"/>
  </w:num>
  <w:num w:numId="20">
    <w:abstractNumId w:val="30"/>
  </w:num>
  <w:num w:numId="21">
    <w:abstractNumId w:val="6"/>
  </w:num>
  <w:num w:numId="22">
    <w:abstractNumId w:val="9"/>
  </w:num>
  <w:num w:numId="23">
    <w:abstractNumId w:val="19"/>
  </w:num>
  <w:num w:numId="24">
    <w:abstractNumId w:val="35"/>
  </w:num>
  <w:num w:numId="25">
    <w:abstractNumId w:val="18"/>
  </w:num>
  <w:num w:numId="26">
    <w:abstractNumId w:val="25"/>
  </w:num>
  <w:num w:numId="27">
    <w:abstractNumId w:val="17"/>
  </w:num>
  <w:num w:numId="28">
    <w:abstractNumId w:val="26"/>
  </w:num>
  <w:num w:numId="29">
    <w:abstractNumId w:val="33"/>
  </w:num>
  <w:num w:numId="30">
    <w:abstractNumId w:val="11"/>
  </w:num>
  <w:num w:numId="31">
    <w:abstractNumId w:val="24"/>
  </w:num>
  <w:num w:numId="32">
    <w:abstractNumId w:val="8"/>
  </w:num>
  <w:num w:numId="33">
    <w:abstractNumId w:val="14"/>
  </w:num>
  <w:num w:numId="34">
    <w:abstractNumId w:val="0"/>
  </w:num>
  <w:num w:numId="35">
    <w:abstractNumId w:val="5"/>
  </w:num>
  <w:num w:numId="36">
    <w:abstractNumId w:val="28"/>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6D7"/>
    <w:rsid w:val="00004224"/>
    <w:rsid w:val="00007003"/>
    <w:rsid w:val="000075F7"/>
    <w:rsid w:val="00010F50"/>
    <w:rsid w:val="0001454D"/>
    <w:rsid w:val="00015C11"/>
    <w:rsid w:val="00022D43"/>
    <w:rsid w:val="00031475"/>
    <w:rsid w:val="00033A2F"/>
    <w:rsid w:val="00034B0E"/>
    <w:rsid w:val="00044871"/>
    <w:rsid w:val="0005174A"/>
    <w:rsid w:val="00055F4A"/>
    <w:rsid w:val="000736A9"/>
    <w:rsid w:val="00076E58"/>
    <w:rsid w:val="00087CBE"/>
    <w:rsid w:val="000A69BD"/>
    <w:rsid w:val="000B0D23"/>
    <w:rsid w:val="000B4AB0"/>
    <w:rsid w:val="000B79E4"/>
    <w:rsid w:val="000C17BA"/>
    <w:rsid w:val="000C399C"/>
    <w:rsid w:val="000C5227"/>
    <w:rsid w:val="000C7529"/>
    <w:rsid w:val="000D2373"/>
    <w:rsid w:val="000D3F75"/>
    <w:rsid w:val="000D758B"/>
    <w:rsid w:val="000F24DE"/>
    <w:rsid w:val="000F6B19"/>
    <w:rsid w:val="00114E86"/>
    <w:rsid w:val="00117077"/>
    <w:rsid w:val="00123E68"/>
    <w:rsid w:val="00127BD9"/>
    <w:rsid w:val="00135BDD"/>
    <w:rsid w:val="00141431"/>
    <w:rsid w:val="00142F8A"/>
    <w:rsid w:val="001448E2"/>
    <w:rsid w:val="00146994"/>
    <w:rsid w:val="001477DB"/>
    <w:rsid w:val="00154E05"/>
    <w:rsid w:val="00156E1F"/>
    <w:rsid w:val="00175EED"/>
    <w:rsid w:val="00176D47"/>
    <w:rsid w:val="0018213B"/>
    <w:rsid w:val="0018376B"/>
    <w:rsid w:val="00183F41"/>
    <w:rsid w:val="0018665F"/>
    <w:rsid w:val="00192A80"/>
    <w:rsid w:val="001935BA"/>
    <w:rsid w:val="001A2A8F"/>
    <w:rsid w:val="001A7B3D"/>
    <w:rsid w:val="001B05A3"/>
    <w:rsid w:val="001B3BCA"/>
    <w:rsid w:val="001C2078"/>
    <w:rsid w:val="001C27E0"/>
    <w:rsid w:val="001C37F3"/>
    <w:rsid w:val="001D5F3A"/>
    <w:rsid w:val="001E35DD"/>
    <w:rsid w:val="001E6D14"/>
    <w:rsid w:val="001E740F"/>
    <w:rsid w:val="001F11E3"/>
    <w:rsid w:val="001F11EB"/>
    <w:rsid w:val="001F2759"/>
    <w:rsid w:val="00200EDC"/>
    <w:rsid w:val="002051B7"/>
    <w:rsid w:val="00213310"/>
    <w:rsid w:val="0021656D"/>
    <w:rsid w:val="0022248D"/>
    <w:rsid w:val="002236BF"/>
    <w:rsid w:val="00232C43"/>
    <w:rsid w:val="002342C1"/>
    <w:rsid w:val="00235656"/>
    <w:rsid w:val="00250194"/>
    <w:rsid w:val="002625D4"/>
    <w:rsid w:val="00264730"/>
    <w:rsid w:val="00271C28"/>
    <w:rsid w:val="00274017"/>
    <w:rsid w:val="002817AE"/>
    <w:rsid w:val="00297CE8"/>
    <w:rsid w:val="002B3872"/>
    <w:rsid w:val="002C3682"/>
    <w:rsid w:val="002D7AC8"/>
    <w:rsid w:val="002D7F18"/>
    <w:rsid w:val="002E0D11"/>
    <w:rsid w:val="002E3CFD"/>
    <w:rsid w:val="002E3ED8"/>
    <w:rsid w:val="002E79A3"/>
    <w:rsid w:val="00307155"/>
    <w:rsid w:val="0031274A"/>
    <w:rsid w:val="00315919"/>
    <w:rsid w:val="00322325"/>
    <w:rsid w:val="003424B8"/>
    <w:rsid w:val="00342C1D"/>
    <w:rsid w:val="00347BAD"/>
    <w:rsid w:val="00347C69"/>
    <w:rsid w:val="00347E9F"/>
    <w:rsid w:val="00353781"/>
    <w:rsid w:val="00353DBA"/>
    <w:rsid w:val="003566E1"/>
    <w:rsid w:val="0035756D"/>
    <w:rsid w:val="003601BD"/>
    <w:rsid w:val="0037145B"/>
    <w:rsid w:val="003738D8"/>
    <w:rsid w:val="00381D22"/>
    <w:rsid w:val="00385145"/>
    <w:rsid w:val="00386A03"/>
    <w:rsid w:val="00392292"/>
    <w:rsid w:val="00396D29"/>
    <w:rsid w:val="003A2098"/>
    <w:rsid w:val="003A78CE"/>
    <w:rsid w:val="003B17EB"/>
    <w:rsid w:val="003B305E"/>
    <w:rsid w:val="003B6F47"/>
    <w:rsid w:val="003C1F1D"/>
    <w:rsid w:val="003C2059"/>
    <w:rsid w:val="003C7C80"/>
    <w:rsid w:val="003D4EBE"/>
    <w:rsid w:val="003E35B6"/>
    <w:rsid w:val="003E4E38"/>
    <w:rsid w:val="003E7A34"/>
    <w:rsid w:val="003F21B9"/>
    <w:rsid w:val="00406C63"/>
    <w:rsid w:val="00411595"/>
    <w:rsid w:val="004146E1"/>
    <w:rsid w:val="00420024"/>
    <w:rsid w:val="00420D11"/>
    <w:rsid w:val="00423936"/>
    <w:rsid w:val="00424800"/>
    <w:rsid w:val="00430171"/>
    <w:rsid w:val="00430B80"/>
    <w:rsid w:val="004312FE"/>
    <w:rsid w:val="004469EB"/>
    <w:rsid w:val="00447F37"/>
    <w:rsid w:val="004513E3"/>
    <w:rsid w:val="00465CA4"/>
    <w:rsid w:val="0048217D"/>
    <w:rsid w:val="004828A4"/>
    <w:rsid w:val="00487C26"/>
    <w:rsid w:val="00493F3F"/>
    <w:rsid w:val="004A73EF"/>
    <w:rsid w:val="004B0DAB"/>
    <w:rsid w:val="004B7FED"/>
    <w:rsid w:val="004C1CCA"/>
    <w:rsid w:val="004C2571"/>
    <w:rsid w:val="004C64DC"/>
    <w:rsid w:val="004D2325"/>
    <w:rsid w:val="004D3251"/>
    <w:rsid w:val="004D3E8E"/>
    <w:rsid w:val="004D3ED0"/>
    <w:rsid w:val="004D5313"/>
    <w:rsid w:val="004D6BB8"/>
    <w:rsid w:val="004E06C9"/>
    <w:rsid w:val="005112E9"/>
    <w:rsid w:val="00513CFC"/>
    <w:rsid w:val="00517F90"/>
    <w:rsid w:val="00520E7B"/>
    <w:rsid w:val="005229BC"/>
    <w:rsid w:val="005248AD"/>
    <w:rsid w:val="00525CEA"/>
    <w:rsid w:val="00527CF7"/>
    <w:rsid w:val="00537E11"/>
    <w:rsid w:val="00541968"/>
    <w:rsid w:val="00542A6C"/>
    <w:rsid w:val="00545B46"/>
    <w:rsid w:val="0054636A"/>
    <w:rsid w:val="00563A37"/>
    <w:rsid w:val="0056423C"/>
    <w:rsid w:val="00564973"/>
    <w:rsid w:val="00570097"/>
    <w:rsid w:val="005742D5"/>
    <w:rsid w:val="00582C44"/>
    <w:rsid w:val="005A174A"/>
    <w:rsid w:val="005A5FA7"/>
    <w:rsid w:val="005B16C8"/>
    <w:rsid w:val="005B43DA"/>
    <w:rsid w:val="005B5D1B"/>
    <w:rsid w:val="005D17AB"/>
    <w:rsid w:val="005D1903"/>
    <w:rsid w:val="005D5B4F"/>
    <w:rsid w:val="005D6002"/>
    <w:rsid w:val="005E1101"/>
    <w:rsid w:val="005E1FB5"/>
    <w:rsid w:val="005E2B54"/>
    <w:rsid w:val="005E43B8"/>
    <w:rsid w:val="005E5AFB"/>
    <w:rsid w:val="005E71D0"/>
    <w:rsid w:val="005E7BB9"/>
    <w:rsid w:val="005F677F"/>
    <w:rsid w:val="006017E0"/>
    <w:rsid w:val="00630722"/>
    <w:rsid w:val="0064058E"/>
    <w:rsid w:val="00642F80"/>
    <w:rsid w:val="00645D5D"/>
    <w:rsid w:val="00645F80"/>
    <w:rsid w:val="0064611C"/>
    <w:rsid w:val="00656439"/>
    <w:rsid w:val="006567E0"/>
    <w:rsid w:val="0066757F"/>
    <w:rsid w:val="0068109E"/>
    <w:rsid w:val="0068296A"/>
    <w:rsid w:val="006946E7"/>
    <w:rsid w:val="00694D47"/>
    <w:rsid w:val="006B25F9"/>
    <w:rsid w:val="006D3E68"/>
    <w:rsid w:val="0070160D"/>
    <w:rsid w:val="0071390A"/>
    <w:rsid w:val="00717132"/>
    <w:rsid w:val="007175A2"/>
    <w:rsid w:val="00722908"/>
    <w:rsid w:val="00723C1A"/>
    <w:rsid w:val="007447ED"/>
    <w:rsid w:val="007450FD"/>
    <w:rsid w:val="00746DB9"/>
    <w:rsid w:val="00757086"/>
    <w:rsid w:val="00765218"/>
    <w:rsid w:val="007869E4"/>
    <w:rsid w:val="00794B1D"/>
    <w:rsid w:val="007965D1"/>
    <w:rsid w:val="00797A65"/>
    <w:rsid w:val="007A454D"/>
    <w:rsid w:val="007A5D78"/>
    <w:rsid w:val="007C3337"/>
    <w:rsid w:val="007C399B"/>
    <w:rsid w:val="007C46E4"/>
    <w:rsid w:val="007E21F3"/>
    <w:rsid w:val="007E3DA5"/>
    <w:rsid w:val="007E605A"/>
    <w:rsid w:val="007F030A"/>
    <w:rsid w:val="007F3180"/>
    <w:rsid w:val="007F5573"/>
    <w:rsid w:val="008016A5"/>
    <w:rsid w:val="00816459"/>
    <w:rsid w:val="008233BA"/>
    <w:rsid w:val="0084183F"/>
    <w:rsid w:val="00846419"/>
    <w:rsid w:val="00851C0B"/>
    <w:rsid w:val="00854E0D"/>
    <w:rsid w:val="0085775A"/>
    <w:rsid w:val="00857CEA"/>
    <w:rsid w:val="00861C4C"/>
    <w:rsid w:val="00861DC6"/>
    <w:rsid w:val="00871283"/>
    <w:rsid w:val="00874FF7"/>
    <w:rsid w:val="00886566"/>
    <w:rsid w:val="008866CF"/>
    <w:rsid w:val="00893E9D"/>
    <w:rsid w:val="008A2188"/>
    <w:rsid w:val="008A2D75"/>
    <w:rsid w:val="008A474A"/>
    <w:rsid w:val="008A73FF"/>
    <w:rsid w:val="008B253D"/>
    <w:rsid w:val="008B6F02"/>
    <w:rsid w:val="008B7E93"/>
    <w:rsid w:val="008D5018"/>
    <w:rsid w:val="008F02AB"/>
    <w:rsid w:val="008F7138"/>
    <w:rsid w:val="0090429E"/>
    <w:rsid w:val="00904BDE"/>
    <w:rsid w:val="00907982"/>
    <w:rsid w:val="00910E80"/>
    <w:rsid w:val="0091566F"/>
    <w:rsid w:val="009222BB"/>
    <w:rsid w:val="00925741"/>
    <w:rsid w:val="009334D4"/>
    <w:rsid w:val="00936B56"/>
    <w:rsid w:val="00940959"/>
    <w:rsid w:val="00947685"/>
    <w:rsid w:val="00952307"/>
    <w:rsid w:val="009561D5"/>
    <w:rsid w:val="00962CC5"/>
    <w:rsid w:val="0096663A"/>
    <w:rsid w:val="00973215"/>
    <w:rsid w:val="00974632"/>
    <w:rsid w:val="009747FB"/>
    <w:rsid w:val="0098031C"/>
    <w:rsid w:val="00982DAA"/>
    <w:rsid w:val="009833B6"/>
    <w:rsid w:val="0099197E"/>
    <w:rsid w:val="00991CCB"/>
    <w:rsid w:val="00993F30"/>
    <w:rsid w:val="009961D7"/>
    <w:rsid w:val="009962C0"/>
    <w:rsid w:val="009A7993"/>
    <w:rsid w:val="009B268B"/>
    <w:rsid w:val="009C2E20"/>
    <w:rsid w:val="009C4A92"/>
    <w:rsid w:val="009C4FE3"/>
    <w:rsid w:val="009D336D"/>
    <w:rsid w:val="009D3C13"/>
    <w:rsid w:val="009E1975"/>
    <w:rsid w:val="00A01EF4"/>
    <w:rsid w:val="00A06D64"/>
    <w:rsid w:val="00A106AB"/>
    <w:rsid w:val="00A1510D"/>
    <w:rsid w:val="00A17EE3"/>
    <w:rsid w:val="00A259B7"/>
    <w:rsid w:val="00A32E85"/>
    <w:rsid w:val="00A37D65"/>
    <w:rsid w:val="00A42203"/>
    <w:rsid w:val="00A5430A"/>
    <w:rsid w:val="00A5587A"/>
    <w:rsid w:val="00A55AF2"/>
    <w:rsid w:val="00A63CAC"/>
    <w:rsid w:val="00A665F2"/>
    <w:rsid w:val="00A66A66"/>
    <w:rsid w:val="00A71C95"/>
    <w:rsid w:val="00A760C6"/>
    <w:rsid w:val="00A94C16"/>
    <w:rsid w:val="00AA6D3E"/>
    <w:rsid w:val="00AB4092"/>
    <w:rsid w:val="00AB4263"/>
    <w:rsid w:val="00AB693F"/>
    <w:rsid w:val="00AC2988"/>
    <w:rsid w:val="00AC549A"/>
    <w:rsid w:val="00AC6B47"/>
    <w:rsid w:val="00AC6C16"/>
    <w:rsid w:val="00AD5BA2"/>
    <w:rsid w:val="00AE3DC1"/>
    <w:rsid w:val="00AE43F2"/>
    <w:rsid w:val="00AE6C23"/>
    <w:rsid w:val="00AF07D2"/>
    <w:rsid w:val="00AF2559"/>
    <w:rsid w:val="00AF3771"/>
    <w:rsid w:val="00B0162F"/>
    <w:rsid w:val="00B030DA"/>
    <w:rsid w:val="00B0697D"/>
    <w:rsid w:val="00B106D9"/>
    <w:rsid w:val="00B22FB4"/>
    <w:rsid w:val="00B24944"/>
    <w:rsid w:val="00B35D29"/>
    <w:rsid w:val="00B42F1D"/>
    <w:rsid w:val="00B55EB5"/>
    <w:rsid w:val="00B64BCE"/>
    <w:rsid w:val="00B654FF"/>
    <w:rsid w:val="00B77A39"/>
    <w:rsid w:val="00B801F0"/>
    <w:rsid w:val="00B8456D"/>
    <w:rsid w:val="00B930E0"/>
    <w:rsid w:val="00B9726B"/>
    <w:rsid w:val="00BA22EB"/>
    <w:rsid w:val="00BA6269"/>
    <w:rsid w:val="00BA709E"/>
    <w:rsid w:val="00BB0679"/>
    <w:rsid w:val="00BB302D"/>
    <w:rsid w:val="00BB5AAB"/>
    <w:rsid w:val="00BC20C2"/>
    <w:rsid w:val="00BC64CB"/>
    <w:rsid w:val="00BE5912"/>
    <w:rsid w:val="00BE7FE6"/>
    <w:rsid w:val="00BF3048"/>
    <w:rsid w:val="00BF68F6"/>
    <w:rsid w:val="00C07A32"/>
    <w:rsid w:val="00C13504"/>
    <w:rsid w:val="00C1690C"/>
    <w:rsid w:val="00C22004"/>
    <w:rsid w:val="00C23F08"/>
    <w:rsid w:val="00C31D0C"/>
    <w:rsid w:val="00C32052"/>
    <w:rsid w:val="00C33BBA"/>
    <w:rsid w:val="00C37845"/>
    <w:rsid w:val="00C42280"/>
    <w:rsid w:val="00C509E8"/>
    <w:rsid w:val="00C53F8E"/>
    <w:rsid w:val="00C54EEC"/>
    <w:rsid w:val="00C57D6C"/>
    <w:rsid w:val="00C81731"/>
    <w:rsid w:val="00C941A0"/>
    <w:rsid w:val="00C97A84"/>
    <w:rsid w:val="00CB7912"/>
    <w:rsid w:val="00CC01BB"/>
    <w:rsid w:val="00CC11AC"/>
    <w:rsid w:val="00CC1882"/>
    <w:rsid w:val="00CD187F"/>
    <w:rsid w:val="00CD1E06"/>
    <w:rsid w:val="00CD511A"/>
    <w:rsid w:val="00CE0A02"/>
    <w:rsid w:val="00CF193F"/>
    <w:rsid w:val="00CF41E3"/>
    <w:rsid w:val="00CF68A5"/>
    <w:rsid w:val="00D05509"/>
    <w:rsid w:val="00D05F98"/>
    <w:rsid w:val="00D07943"/>
    <w:rsid w:val="00D123F2"/>
    <w:rsid w:val="00D179D9"/>
    <w:rsid w:val="00D228E3"/>
    <w:rsid w:val="00D23D12"/>
    <w:rsid w:val="00D2692A"/>
    <w:rsid w:val="00D41EB9"/>
    <w:rsid w:val="00D4463D"/>
    <w:rsid w:val="00D51423"/>
    <w:rsid w:val="00D528E5"/>
    <w:rsid w:val="00D5630A"/>
    <w:rsid w:val="00D60CF1"/>
    <w:rsid w:val="00D6171D"/>
    <w:rsid w:val="00D6341C"/>
    <w:rsid w:val="00D665E9"/>
    <w:rsid w:val="00D67E5E"/>
    <w:rsid w:val="00D717DE"/>
    <w:rsid w:val="00DA5938"/>
    <w:rsid w:val="00DA60EA"/>
    <w:rsid w:val="00DA7F1F"/>
    <w:rsid w:val="00DB0E95"/>
    <w:rsid w:val="00DB10D1"/>
    <w:rsid w:val="00DC2B93"/>
    <w:rsid w:val="00DC4ED0"/>
    <w:rsid w:val="00DC64C3"/>
    <w:rsid w:val="00DC7566"/>
    <w:rsid w:val="00DE1748"/>
    <w:rsid w:val="00DE78AC"/>
    <w:rsid w:val="00DF2C6E"/>
    <w:rsid w:val="00DF4E16"/>
    <w:rsid w:val="00DF7493"/>
    <w:rsid w:val="00E03A7E"/>
    <w:rsid w:val="00E06625"/>
    <w:rsid w:val="00E11E59"/>
    <w:rsid w:val="00E11F02"/>
    <w:rsid w:val="00E15203"/>
    <w:rsid w:val="00E20F18"/>
    <w:rsid w:val="00E22B4B"/>
    <w:rsid w:val="00E27215"/>
    <w:rsid w:val="00E47A00"/>
    <w:rsid w:val="00E531DA"/>
    <w:rsid w:val="00E545C4"/>
    <w:rsid w:val="00E71BF5"/>
    <w:rsid w:val="00E874EF"/>
    <w:rsid w:val="00EA3CA4"/>
    <w:rsid w:val="00EA3E0A"/>
    <w:rsid w:val="00EA5732"/>
    <w:rsid w:val="00EA7C08"/>
    <w:rsid w:val="00EB5D7D"/>
    <w:rsid w:val="00ED592F"/>
    <w:rsid w:val="00ED61C9"/>
    <w:rsid w:val="00EE1114"/>
    <w:rsid w:val="00EE1C8D"/>
    <w:rsid w:val="00EE3569"/>
    <w:rsid w:val="00EF0A33"/>
    <w:rsid w:val="00EF13FB"/>
    <w:rsid w:val="00F01473"/>
    <w:rsid w:val="00F0349D"/>
    <w:rsid w:val="00F202CB"/>
    <w:rsid w:val="00F3331E"/>
    <w:rsid w:val="00F50D83"/>
    <w:rsid w:val="00F52B5A"/>
    <w:rsid w:val="00F606D7"/>
    <w:rsid w:val="00F66E10"/>
    <w:rsid w:val="00F72048"/>
    <w:rsid w:val="00F8137D"/>
    <w:rsid w:val="00F87EA2"/>
    <w:rsid w:val="00F919FC"/>
    <w:rsid w:val="00F93540"/>
    <w:rsid w:val="00F97244"/>
    <w:rsid w:val="00FA0E4C"/>
    <w:rsid w:val="00FA5E28"/>
    <w:rsid w:val="00FB6E9D"/>
    <w:rsid w:val="00FC0A93"/>
    <w:rsid w:val="00FC2B24"/>
    <w:rsid w:val="00FC564C"/>
    <w:rsid w:val="00FD164E"/>
    <w:rsid w:val="00FD2824"/>
    <w:rsid w:val="00FD47E0"/>
    <w:rsid w:val="00FD7A1B"/>
    <w:rsid w:val="00FD7D25"/>
    <w:rsid w:val="00FE6BF0"/>
    <w:rsid w:val="00FE6C5C"/>
    <w:rsid w:val="00FE7553"/>
    <w:rsid w:val="00FF118A"/>
    <w:rsid w:val="00FF3F64"/>
    <w:rsid w:val="00FF531F"/>
    <w:rsid w:val="00FF5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3AD538"/>
  <w15:chartTrackingRefBased/>
  <w15:docId w15:val="{0D2B5E65-856F-490C-9FE2-993815050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E4C"/>
  </w:style>
  <w:style w:type="paragraph" w:styleId="Heading1">
    <w:name w:val="heading 1"/>
    <w:basedOn w:val="Normal"/>
    <w:next w:val="Normal"/>
    <w:link w:val="Heading1Char"/>
    <w:uiPriority w:val="1"/>
    <w:qFormat/>
    <w:rsid w:val="003159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1"/>
    <w:qFormat/>
    <w:rsid w:val="001B3BCA"/>
    <w:pPr>
      <w:widowControl w:val="0"/>
      <w:autoSpaceDE w:val="0"/>
      <w:autoSpaceDN w:val="0"/>
      <w:spacing w:before="92" w:after="0" w:line="240" w:lineRule="auto"/>
      <w:ind w:left="480"/>
      <w:outlineLvl w:val="1"/>
    </w:pPr>
    <w:rPr>
      <w:rFonts w:ascii="Arial" w:eastAsia="Arial" w:hAnsi="Arial" w:cs="Arial"/>
      <w:b/>
      <w:bCs/>
      <w:sz w:val="24"/>
      <w:szCs w:val="24"/>
    </w:rPr>
  </w:style>
  <w:style w:type="paragraph" w:styleId="Heading3">
    <w:name w:val="heading 3"/>
    <w:basedOn w:val="Normal"/>
    <w:next w:val="Normal"/>
    <w:link w:val="Heading3Char"/>
    <w:uiPriority w:val="9"/>
    <w:semiHidden/>
    <w:unhideWhenUsed/>
    <w:qFormat/>
    <w:rsid w:val="00CF68A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F606D7"/>
    <w:pPr>
      <w:spacing w:after="0" w:line="480" w:lineRule="auto"/>
      <w:jc w:val="both"/>
      <w:outlineLvl w:val="0"/>
    </w:pPr>
    <w:rPr>
      <w:rFonts w:ascii="Verdana" w:eastAsia="Arial Unicode MS" w:hAnsi="Verdana" w:cs="Times New Roman"/>
      <w:color w:val="000000"/>
      <w:sz w:val="24"/>
      <w:szCs w:val="20"/>
      <w:u w:color="000000"/>
    </w:rPr>
  </w:style>
  <w:style w:type="paragraph" w:styleId="Header">
    <w:name w:val="header"/>
    <w:basedOn w:val="Normal"/>
    <w:link w:val="HeaderChar"/>
    <w:uiPriority w:val="99"/>
    <w:unhideWhenUsed/>
    <w:rsid w:val="002342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42C1"/>
  </w:style>
  <w:style w:type="paragraph" w:styleId="Footer">
    <w:name w:val="footer"/>
    <w:basedOn w:val="Normal"/>
    <w:link w:val="FooterChar"/>
    <w:uiPriority w:val="99"/>
    <w:unhideWhenUsed/>
    <w:rsid w:val="002342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42C1"/>
  </w:style>
  <w:style w:type="paragraph" w:customStyle="1" w:styleId="2">
    <w:name w:val="2"/>
    <w:basedOn w:val="1"/>
    <w:qFormat/>
    <w:rsid w:val="002342C1"/>
    <w:pPr>
      <w:numPr>
        <w:ilvl w:val="1"/>
      </w:numPr>
      <w:tabs>
        <w:tab w:val="clear" w:pos="1247"/>
        <w:tab w:val="num" w:pos="360"/>
      </w:tabs>
      <w:spacing w:before="240"/>
    </w:pPr>
  </w:style>
  <w:style w:type="paragraph" w:customStyle="1" w:styleId="3">
    <w:name w:val="3"/>
    <w:basedOn w:val="2"/>
    <w:qFormat/>
    <w:rsid w:val="002342C1"/>
    <w:pPr>
      <w:numPr>
        <w:ilvl w:val="2"/>
      </w:numPr>
      <w:tabs>
        <w:tab w:val="clear" w:pos="2155"/>
        <w:tab w:val="num" w:pos="360"/>
      </w:tabs>
    </w:pPr>
  </w:style>
  <w:style w:type="paragraph" w:customStyle="1" w:styleId="4">
    <w:name w:val="4"/>
    <w:basedOn w:val="Normal"/>
    <w:qFormat/>
    <w:rsid w:val="002342C1"/>
    <w:pPr>
      <w:numPr>
        <w:ilvl w:val="3"/>
        <w:numId w:val="2"/>
      </w:numPr>
      <w:spacing w:before="240" w:after="0" w:line="480" w:lineRule="auto"/>
      <w:jc w:val="both"/>
    </w:pPr>
    <w:rPr>
      <w:rFonts w:ascii="Arial" w:eastAsia="Calibri" w:hAnsi="Arial"/>
      <w:iCs/>
      <w:color w:val="000000"/>
      <w:sz w:val="24"/>
      <w:szCs w:val="16"/>
      <w:lang w:val="en-ZA" w:eastAsia="en-ZA"/>
    </w:rPr>
  </w:style>
  <w:style w:type="paragraph" w:customStyle="1" w:styleId="5">
    <w:name w:val="5"/>
    <w:basedOn w:val="4"/>
    <w:qFormat/>
    <w:rsid w:val="002342C1"/>
    <w:pPr>
      <w:numPr>
        <w:ilvl w:val="4"/>
      </w:numPr>
    </w:pPr>
  </w:style>
  <w:style w:type="paragraph" w:customStyle="1" w:styleId="1">
    <w:name w:val="1"/>
    <w:basedOn w:val="Normal"/>
    <w:link w:val="1Char"/>
    <w:qFormat/>
    <w:rsid w:val="002342C1"/>
    <w:pPr>
      <w:numPr>
        <w:numId w:val="2"/>
      </w:numPr>
      <w:spacing w:before="480" w:after="0" w:line="480" w:lineRule="auto"/>
      <w:jc w:val="both"/>
    </w:pPr>
    <w:rPr>
      <w:rFonts w:ascii="Arial" w:eastAsia="Calibri" w:hAnsi="Arial"/>
      <w:iCs/>
      <w:color w:val="000000"/>
      <w:sz w:val="24"/>
      <w:lang w:val="en-ZA"/>
    </w:rPr>
  </w:style>
  <w:style w:type="character" w:customStyle="1" w:styleId="1Char">
    <w:name w:val="1 Char"/>
    <w:link w:val="1"/>
    <w:rsid w:val="002342C1"/>
    <w:rPr>
      <w:rFonts w:ascii="Arial" w:eastAsia="Calibri" w:hAnsi="Arial"/>
      <w:iCs/>
      <w:color w:val="000000"/>
      <w:sz w:val="24"/>
      <w:lang w:val="en-ZA"/>
    </w:rPr>
  </w:style>
  <w:style w:type="paragraph" w:customStyle="1" w:styleId="Quotation">
    <w:name w:val="Quotation"/>
    <w:basedOn w:val="Normal"/>
    <w:next w:val="Normal"/>
    <w:qFormat/>
    <w:rsid w:val="002342C1"/>
    <w:pPr>
      <w:spacing w:before="120" w:after="240" w:line="240" w:lineRule="auto"/>
      <w:ind w:left="567" w:right="567"/>
      <w:jc w:val="both"/>
    </w:pPr>
    <w:rPr>
      <w:rFonts w:ascii="Arial" w:eastAsia="Calibri" w:hAnsi="Arial" w:cs="Times New Roman"/>
      <w:sz w:val="24"/>
      <w:szCs w:val="24"/>
      <w:lang w:val="en-ZA" w:eastAsia="en-ZA"/>
    </w:rPr>
  </w:style>
  <w:style w:type="character" w:customStyle="1" w:styleId="Heading2Char">
    <w:name w:val="Heading 2 Char"/>
    <w:basedOn w:val="DefaultParagraphFont"/>
    <w:link w:val="Heading2"/>
    <w:uiPriority w:val="1"/>
    <w:rsid w:val="001B3BCA"/>
    <w:rPr>
      <w:rFonts w:ascii="Arial" w:eastAsia="Arial" w:hAnsi="Arial" w:cs="Arial"/>
      <w:b/>
      <w:bCs/>
      <w:sz w:val="24"/>
      <w:szCs w:val="24"/>
    </w:rPr>
  </w:style>
  <w:style w:type="paragraph" w:styleId="BodyText">
    <w:name w:val="Body Text"/>
    <w:basedOn w:val="Normal"/>
    <w:link w:val="BodyTextChar"/>
    <w:uiPriority w:val="1"/>
    <w:qFormat/>
    <w:rsid w:val="001B3BCA"/>
    <w:pPr>
      <w:widowControl w:val="0"/>
      <w:autoSpaceDE w:val="0"/>
      <w:autoSpaceDN w:val="0"/>
      <w:spacing w:after="0" w:line="240" w:lineRule="auto"/>
    </w:pPr>
    <w:rPr>
      <w:rFonts w:ascii="Arial MT" w:eastAsia="Arial MT" w:hAnsi="Arial MT" w:cs="Arial MT"/>
      <w:sz w:val="24"/>
      <w:szCs w:val="24"/>
    </w:rPr>
  </w:style>
  <w:style w:type="character" w:customStyle="1" w:styleId="BodyTextChar">
    <w:name w:val="Body Text Char"/>
    <w:basedOn w:val="DefaultParagraphFont"/>
    <w:link w:val="BodyText"/>
    <w:uiPriority w:val="1"/>
    <w:rsid w:val="001B3BCA"/>
    <w:rPr>
      <w:rFonts w:ascii="Arial MT" w:eastAsia="Arial MT" w:hAnsi="Arial MT" w:cs="Arial MT"/>
      <w:sz w:val="24"/>
      <w:szCs w:val="24"/>
    </w:rPr>
  </w:style>
  <w:style w:type="paragraph" w:styleId="ListParagraph">
    <w:name w:val="List Paragraph"/>
    <w:basedOn w:val="Normal"/>
    <w:uiPriority w:val="1"/>
    <w:qFormat/>
    <w:rsid w:val="001B3BCA"/>
    <w:pPr>
      <w:widowControl w:val="0"/>
      <w:autoSpaceDE w:val="0"/>
      <w:autoSpaceDN w:val="0"/>
      <w:spacing w:after="0" w:line="240" w:lineRule="auto"/>
      <w:ind w:left="1046" w:right="815" w:hanging="567"/>
      <w:jc w:val="both"/>
    </w:pPr>
    <w:rPr>
      <w:rFonts w:ascii="Arial MT" w:eastAsia="Arial MT" w:hAnsi="Arial MT" w:cs="Arial MT"/>
    </w:rPr>
  </w:style>
  <w:style w:type="paragraph" w:styleId="EndnoteText">
    <w:name w:val="endnote text"/>
    <w:basedOn w:val="Normal"/>
    <w:link w:val="EndnoteTextChar"/>
    <w:uiPriority w:val="99"/>
    <w:semiHidden/>
    <w:unhideWhenUsed/>
    <w:rsid w:val="001B3BC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B3BCA"/>
    <w:rPr>
      <w:sz w:val="20"/>
      <w:szCs w:val="20"/>
    </w:rPr>
  </w:style>
  <w:style w:type="character" w:styleId="EndnoteReference">
    <w:name w:val="endnote reference"/>
    <w:basedOn w:val="DefaultParagraphFont"/>
    <w:uiPriority w:val="99"/>
    <w:semiHidden/>
    <w:unhideWhenUsed/>
    <w:rsid w:val="001B3BCA"/>
    <w:rPr>
      <w:vertAlign w:val="superscript"/>
    </w:rPr>
  </w:style>
  <w:style w:type="character" w:customStyle="1" w:styleId="Heading3Char">
    <w:name w:val="Heading 3 Char"/>
    <w:basedOn w:val="DefaultParagraphFont"/>
    <w:link w:val="Heading3"/>
    <w:uiPriority w:val="9"/>
    <w:semiHidden/>
    <w:rsid w:val="00CF68A5"/>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925741"/>
    <w:rPr>
      <w:color w:val="0563C1" w:themeColor="hyperlink"/>
      <w:u w:val="single"/>
    </w:rPr>
  </w:style>
  <w:style w:type="paragraph" w:styleId="FootnoteText">
    <w:name w:val="footnote text"/>
    <w:basedOn w:val="Normal"/>
    <w:link w:val="FootnoteTextChar"/>
    <w:uiPriority w:val="99"/>
    <w:unhideWhenUsed/>
    <w:rsid w:val="003B17EB"/>
    <w:pPr>
      <w:spacing w:after="0" w:line="240" w:lineRule="auto"/>
    </w:pPr>
    <w:rPr>
      <w:sz w:val="20"/>
      <w:szCs w:val="20"/>
    </w:rPr>
  </w:style>
  <w:style w:type="character" w:customStyle="1" w:styleId="FootnoteTextChar">
    <w:name w:val="Footnote Text Char"/>
    <w:basedOn w:val="DefaultParagraphFont"/>
    <w:link w:val="FootnoteText"/>
    <w:uiPriority w:val="99"/>
    <w:rsid w:val="003B17EB"/>
    <w:rPr>
      <w:sz w:val="20"/>
      <w:szCs w:val="20"/>
    </w:rPr>
  </w:style>
  <w:style w:type="character" w:styleId="FootnoteReference">
    <w:name w:val="footnote reference"/>
    <w:basedOn w:val="DefaultParagraphFont"/>
    <w:uiPriority w:val="99"/>
    <w:semiHidden/>
    <w:unhideWhenUsed/>
    <w:rsid w:val="003B17EB"/>
    <w:rPr>
      <w:vertAlign w:val="superscript"/>
    </w:rPr>
  </w:style>
  <w:style w:type="character" w:customStyle="1" w:styleId="Heading1Char">
    <w:name w:val="Heading 1 Char"/>
    <w:basedOn w:val="DefaultParagraphFont"/>
    <w:link w:val="Heading1"/>
    <w:uiPriority w:val="9"/>
    <w:rsid w:val="00315919"/>
    <w:rPr>
      <w:rFonts w:asciiTheme="majorHAnsi" w:eastAsiaTheme="majorEastAsia" w:hAnsiTheme="majorHAnsi" w:cstheme="majorBidi"/>
      <w:color w:val="2E74B5" w:themeColor="accent1" w:themeShade="BF"/>
      <w:sz w:val="32"/>
      <w:szCs w:val="32"/>
    </w:rPr>
  </w:style>
  <w:style w:type="paragraph" w:customStyle="1" w:styleId="TableParagraph">
    <w:name w:val="Table Paragraph"/>
    <w:basedOn w:val="Normal"/>
    <w:uiPriority w:val="1"/>
    <w:qFormat/>
    <w:rsid w:val="00135BDD"/>
    <w:pPr>
      <w:widowControl w:val="0"/>
      <w:autoSpaceDE w:val="0"/>
      <w:autoSpaceDN w:val="0"/>
      <w:spacing w:after="0" w:line="240" w:lineRule="auto"/>
    </w:pPr>
    <w:rPr>
      <w:rFonts w:ascii="Arial MT" w:eastAsia="Arial MT" w:hAnsi="Arial MT" w:cs="Arial MT"/>
    </w:rPr>
  </w:style>
  <w:style w:type="paragraph" w:styleId="Title">
    <w:name w:val="Title"/>
    <w:basedOn w:val="Normal"/>
    <w:link w:val="TitleChar"/>
    <w:uiPriority w:val="10"/>
    <w:qFormat/>
    <w:rsid w:val="008866CF"/>
    <w:pPr>
      <w:widowControl w:val="0"/>
      <w:autoSpaceDE w:val="0"/>
      <w:autoSpaceDN w:val="0"/>
      <w:spacing w:after="0" w:line="240" w:lineRule="auto"/>
      <w:ind w:left="116"/>
    </w:pPr>
    <w:rPr>
      <w:rFonts w:ascii="Verdana" w:eastAsia="Verdana" w:hAnsi="Verdana" w:cs="Verdana"/>
      <w:b/>
      <w:bCs/>
      <w:sz w:val="17"/>
      <w:szCs w:val="17"/>
    </w:rPr>
  </w:style>
  <w:style w:type="character" w:customStyle="1" w:styleId="TitleChar">
    <w:name w:val="Title Char"/>
    <w:basedOn w:val="DefaultParagraphFont"/>
    <w:link w:val="Title"/>
    <w:uiPriority w:val="10"/>
    <w:rsid w:val="008866CF"/>
    <w:rPr>
      <w:rFonts w:ascii="Verdana" w:eastAsia="Verdana" w:hAnsi="Verdana" w:cs="Verdana"/>
      <w:b/>
      <w:bCs/>
      <w:sz w:val="17"/>
      <w:szCs w:val="17"/>
    </w:rPr>
  </w:style>
  <w:style w:type="paragraph" w:styleId="Revision">
    <w:name w:val="Revision"/>
    <w:hidden/>
    <w:uiPriority w:val="99"/>
    <w:semiHidden/>
    <w:rsid w:val="000C52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0.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3A721-298D-4EBA-B628-BE160363A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4261</Words>
  <Characters>24293</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Dipuo Thaba</dc:creator>
  <cp:keywords/>
  <dc:description/>
  <cp:lastModifiedBy>Mokone</cp:lastModifiedBy>
  <cp:revision>2</cp:revision>
  <cp:lastPrinted>2023-06-07T17:54:00Z</cp:lastPrinted>
  <dcterms:created xsi:type="dcterms:W3CDTF">2023-06-09T12:09:00Z</dcterms:created>
  <dcterms:modified xsi:type="dcterms:W3CDTF">2023-06-09T12:09:00Z</dcterms:modified>
</cp:coreProperties>
</file>